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62F41" w14:textId="77777777" w:rsidR="007437AB" w:rsidRPr="00177929" w:rsidRDefault="007437AB" w:rsidP="00233BDC">
      <w:pPr>
        <w:jc w:val="both"/>
        <w:rPr>
          <w:rFonts w:ascii="Arial" w:hAnsi="Arial" w:cs="Arial"/>
          <w:sz w:val="20"/>
          <w:szCs w:val="20"/>
        </w:rPr>
      </w:pPr>
    </w:p>
    <w:p w14:paraId="109F8C7C" w14:textId="0BC72261" w:rsidR="00463214" w:rsidRPr="007949C7" w:rsidRDefault="00463214" w:rsidP="0040425B">
      <w:pPr>
        <w:jc w:val="right"/>
        <w:rPr>
          <w:rFonts w:ascii="Verdana" w:hAnsi="Verdana" w:cs="Arial"/>
          <w:sz w:val="18"/>
          <w:szCs w:val="18"/>
        </w:rPr>
      </w:pPr>
      <w:r w:rsidRPr="007949C7">
        <w:rPr>
          <w:rFonts w:ascii="Verdana" w:hAnsi="Verdana" w:cs="Arial"/>
          <w:sz w:val="18"/>
          <w:szCs w:val="18"/>
          <w:lang w:val="el-GR"/>
        </w:rPr>
        <w:tab/>
      </w:r>
      <w:r w:rsidR="00B530C9" w:rsidRPr="00DC3942">
        <w:rPr>
          <w:rFonts w:ascii="Verdana" w:hAnsi="Verdana" w:cs="Arial"/>
          <w:sz w:val="18"/>
          <w:szCs w:val="18"/>
          <w:lang w:val="en-GB"/>
        </w:rPr>
        <w:t>16</w:t>
      </w:r>
      <w:r w:rsidR="006F41CF" w:rsidRPr="007949C7">
        <w:rPr>
          <w:rFonts w:ascii="Verdana" w:hAnsi="Verdana" w:cs="Arial"/>
          <w:sz w:val="18"/>
          <w:szCs w:val="18"/>
        </w:rPr>
        <w:t xml:space="preserve"> </w:t>
      </w:r>
      <w:r w:rsidR="00014639">
        <w:rPr>
          <w:rFonts w:ascii="Verdana" w:hAnsi="Verdana" w:cs="Arial"/>
          <w:sz w:val="18"/>
          <w:szCs w:val="18"/>
        </w:rPr>
        <w:t>April</w:t>
      </w:r>
      <w:r w:rsidRPr="007949C7">
        <w:rPr>
          <w:rFonts w:ascii="Verdana" w:eastAsia="Malgun Gothic" w:hAnsi="Verdana" w:cs="Arial"/>
          <w:sz w:val="18"/>
          <w:szCs w:val="18"/>
        </w:rPr>
        <w:t>, 20</w:t>
      </w:r>
      <w:r w:rsidR="00731445" w:rsidRPr="007949C7">
        <w:rPr>
          <w:rFonts w:ascii="Verdana" w:eastAsia="Malgun Gothic" w:hAnsi="Verdana" w:cs="Arial"/>
          <w:sz w:val="18"/>
          <w:szCs w:val="18"/>
        </w:rPr>
        <w:t>2</w:t>
      </w:r>
      <w:r w:rsidR="00430E0E">
        <w:rPr>
          <w:rFonts w:ascii="Verdana" w:eastAsia="Malgun Gothic" w:hAnsi="Verdana" w:cs="Arial"/>
          <w:sz w:val="18"/>
          <w:szCs w:val="18"/>
        </w:rPr>
        <w:t>5</w:t>
      </w:r>
    </w:p>
    <w:p w14:paraId="53DD298B" w14:textId="77777777" w:rsidR="007437AB" w:rsidRDefault="007437AB" w:rsidP="00233BDC">
      <w:pPr>
        <w:jc w:val="center"/>
        <w:rPr>
          <w:rFonts w:ascii="Verdana" w:eastAsia="Malgun Gothic" w:hAnsi="Verdana" w:cs="Arial"/>
          <w:b/>
          <w:sz w:val="18"/>
          <w:szCs w:val="18"/>
        </w:rPr>
      </w:pPr>
    </w:p>
    <w:p w14:paraId="449F8EEE" w14:textId="77777777" w:rsidR="00872146" w:rsidRDefault="00872146" w:rsidP="00233BDC">
      <w:pPr>
        <w:jc w:val="center"/>
        <w:rPr>
          <w:rFonts w:ascii="Verdana" w:eastAsia="Malgun Gothic" w:hAnsi="Verdana" w:cs="Arial"/>
          <w:b/>
          <w:sz w:val="24"/>
          <w:szCs w:val="24"/>
        </w:rPr>
      </w:pPr>
    </w:p>
    <w:p w14:paraId="2CD4DEC3" w14:textId="555BFA56" w:rsidR="00AA2543" w:rsidRPr="00233BDC" w:rsidRDefault="00931164" w:rsidP="00233BDC">
      <w:pPr>
        <w:jc w:val="center"/>
        <w:rPr>
          <w:rFonts w:ascii="Verdana" w:eastAsia="Malgun Gothic" w:hAnsi="Verdana" w:cs="Arial"/>
          <w:b/>
          <w:sz w:val="24"/>
          <w:szCs w:val="24"/>
        </w:rPr>
      </w:pPr>
      <w:r w:rsidRPr="00233BDC">
        <w:rPr>
          <w:rFonts w:ascii="Verdana" w:eastAsia="Malgun Gothic" w:hAnsi="Verdana" w:cs="Arial"/>
          <w:b/>
          <w:sz w:val="24"/>
          <w:szCs w:val="24"/>
        </w:rPr>
        <w:t>PRESS RELEASE</w:t>
      </w:r>
    </w:p>
    <w:p w14:paraId="611A9F04" w14:textId="77777777" w:rsidR="003F1DD4" w:rsidRPr="00233BDC" w:rsidRDefault="003F1DD4" w:rsidP="00233BDC">
      <w:pPr>
        <w:rPr>
          <w:rFonts w:ascii="Verdana" w:eastAsia="Malgun Gothic" w:hAnsi="Verdana" w:cs="Arial"/>
          <w:sz w:val="18"/>
          <w:szCs w:val="18"/>
        </w:rPr>
      </w:pPr>
    </w:p>
    <w:p w14:paraId="316967D2" w14:textId="3DF1ED7F" w:rsidR="004F73B9" w:rsidRDefault="00430E0E" w:rsidP="00233BDC">
      <w:pPr>
        <w:jc w:val="center"/>
        <w:rPr>
          <w:rFonts w:ascii="Verdana" w:hAnsi="Verdana" w:cs="Arial"/>
          <w:b/>
          <w:bCs/>
          <w:u w:val="single"/>
        </w:rPr>
      </w:pPr>
      <w:r>
        <w:rPr>
          <w:rFonts w:ascii="Verdana" w:hAnsi="Verdana" w:cs="Arial"/>
          <w:b/>
          <w:bCs/>
          <w:u w:val="single"/>
        </w:rPr>
        <w:t>ADULT EDUCATION SURVEY</w:t>
      </w:r>
      <w:r w:rsidR="004F73B9" w:rsidRPr="00233BDC">
        <w:rPr>
          <w:rFonts w:ascii="Verdana" w:hAnsi="Verdana" w:cs="Arial"/>
          <w:b/>
          <w:bCs/>
          <w:u w:val="single"/>
        </w:rPr>
        <w:t xml:space="preserve">, </w:t>
      </w:r>
      <w:r w:rsidR="00B343AA" w:rsidRPr="00233BDC">
        <w:rPr>
          <w:rFonts w:ascii="Verdana" w:hAnsi="Verdana" w:cs="Arial"/>
          <w:b/>
          <w:bCs/>
          <w:u w:val="single"/>
        </w:rPr>
        <w:t>202</w:t>
      </w:r>
      <w:r w:rsidR="00570070">
        <w:rPr>
          <w:rFonts w:ascii="Verdana" w:hAnsi="Verdana" w:cs="Arial"/>
          <w:b/>
          <w:bCs/>
          <w:u w:val="single"/>
        </w:rPr>
        <w:t>2</w:t>
      </w:r>
    </w:p>
    <w:p w14:paraId="33C0AFF1" w14:textId="77777777" w:rsidR="004F73B9" w:rsidRPr="0034238F" w:rsidRDefault="004F73B9" w:rsidP="0034238F">
      <w:pPr>
        <w:jc w:val="both"/>
        <w:rPr>
          <w:rFonts w:ascii="Verdana" w:hAnsi="Verdana" w:cs="Arial"/>
        </w:rPr>
      </w:pPr>
    </w:p>
    <w:p w14:paraId="238A4781" w14:textId="6221F46C" w:rsidR="00014639" w:rsidRDefault="00A65848" w:rsidP="0034238F">
      <w:pPr>
        <w:jc w:val="both"/>
        <w:rPr>
          <w:rFonts w:ascii="Verdana" w:hAnsi="Verdana" w:cs="Arial"/>
          <w:sz w:val="18"/>
          <w:szCs w:val="18"/>
        </w:rPr>
      </w:pPr>
      <w:r>
        <w:rPr>
          <w:rFonts w:ascii="Verdana" w:hAnsi="Verdana" w:cs="Arial"/>
          <w:sz w:val="18"/>
          <w:szCs w:val="18"/>
        </w:rPr>
        <w:t>According to</w:t>
      </w:r>
      <w:r w:rsidR="004F73B9" w:rsidRPr="00233BDC">
        <w:rPr>
          <w:rFonts w:ascii="Verdana" w:hAnsi="Verdana" w:cs="Arial"/>
          <w:sz w:val="18"/>
          <w:szCs w:val="18"/>
        </w:rPr>
        <w:t xml:space="preserve"> the results of the </w:t>
      </w:r>
      <w:r w:rsidR="00430E0E">
        <w:rPr>
          <w:rFonts w:ascii="Verdana" w:hAnsi="Verdana" w:cs="Arial"/>
          <w:sz w:val="18"/>
          <w:szCs w:val="18"/>
        </w:rPr>
        <w:t>Adult Education Survey</w:t>
      </w:r>
      <w:r w:rsidR="004F73B9" w:rsidRPr="00233BDC">
        <w:rPr>
          <w:rFonts w:ascii="Verdana" w:hAnsi="Verdana" w:cs="Arial"/>
          <w:sz w:val="18"/>
          <w:szCs w:val="18"/>
        </w:rPr>
        <w:t xml:space="preserve"> 20</w:t>
      </w:r>
      <w:r w:rsidR="00B343AA" w:rsidRPr="00233BDC">
        <w:rPr>
          <w:rFonts w:ascii="Verdana" w:hAnsi="Verdana" w:cs="Arial"/>
          <w:sz w:val="18"/>
          <w:szCs w:val="18"/>
        </w:rPr>
        <w:t>2</w:t>
      </w:r>
      <w:r w:rsidR="00570070">
        <w:rPr>
          <w:rFonts w:ascii="Verdana" w:hAnsi="Verdana" w:cs="Arial"/>
          <w:sz w:val="18"/>
          <w:szCs w:val="18"/>
        </w:rPr>
        <w:t>2</w:t>
      </w:r>
      <w:r w:rsidR="004F73B9" w:rsidRPr="00233BDC">
        <w:rPr>
          <w:rFonts w:ascii="Verdana" w:hAnsi="Verdana" w:cs="Arial"/>
          <w:sz w:val="18"/>
          <w:szCs w:val="18"/>
        </w:rPr>
        <w:t>,</w:t>
      </w:r>
      <w:r w:rsidR="00430E0E">
        <w:rPr>
          <w:rFonts w:ascii="Verdana" w:hAnsi="Verdana" w:cs="Arial"/>
          <w:sz w:val="18"/>
          <w:szCs w:val="18"/>
        </w:rPr>
        <w:t xml:space="preserve"> t</w:t>
      </w:r>
      <w:r w:rsidR="00430E0E" w:rsidRPr="00430E0E">
        <w:rPr>
          <w:rFonts w:ascii="Verdana" w:hAnsi="Verdana" w:cs="Arial"/>
          <w:sz w:val="18"/>
          <w:szCs w:val="18"/>
        </w:rPr>
        <w:t xml:space="preserve">he </w:t>
      </w:r>
      <w:r w:rsidR="009F7BB3">
        <w:rPr>
          <w:rFonts w:ascii="Verdana" w:hAnsi="Verdana" w:cs="Arial"/>
          <w:sz w:val="18"/>
          <w:szCs w:val="18"/>
        </w:rPr>
        <w:t xml:space="preserve">proportion </w:t>
      </w:r>
      <w:r w:rsidR="00430E0E" w:rsidRPr="00430E0E">
        <w:rPr>
          <w:rFonts w:ascii="Verdana" w:hAnsi="Verdana" w:cs="Arial"/>
          <w:sz w:val="18"/>
          <w:szCs w:val="18"/>
        </w:rPr>
        <w:t xml:space="preserve">of the population aged </w:t>
      </w:r>
      <w:r w:rsidR="00430E0E">
        <w:rPr>
          <w:rFonts w:ascii="Verdana" w:hAnsi="Verdana" w:cs="Arial"/>
          <w:sz w:val="18"/>
          <w:szCs w:val="18"/>
        </w:rPr>
        <w:t>18</w:t>
      </w:r>
      <w:r w:rsidR="00430E0E" w:rsidRPr="00430E0E">
        <w:rPr>
          <w:rFonts w:ascii="Verdana" w:hAnsi="Verdana" w:cs="Arial"/>
          <w:sz w:val="18"/>
          <w:szCs w:val="18"/>
        </w:rPr>
        <w:t>-6</w:t>
      </w:r>
      <w:r w:rsidR="00430E0E">
        <w:rPr>
          <w:rFonts w:ascii="Verdana" w:hAnsi="Verdana" w:cs="Arial"/>
          <w:sz w:val="18"/>
          <w:szCs w:val="18"/>
        </w:rPr>
        <w:t>9</w:t>
      </w:r>
      <w:r w:rsidR="00430E0E" w:rsidRPr="00430E0E">
        <w:rPr>
          <w:rFonts w:ascii="Verdana" w:hAnsi="Verdana" w:cs="Arial"/>
          <w:sz w:val="18"/>
          <w:szCs w:val="18"/>
        </w:rPr>
        <w:t xml:space="preserve"> </w:t>
      </w:r>
      <w:r w:rsidR="009F7BB3">
        <w:rPr>
          <w:rFonts w:ascii="Verdana" w:hAnsi="Verdana" w:cs="Arial"/>
          <w:sz w:val="18"/>
          <w:szCs w:val="18"/>
        </w:rPr>
        <w:t xml:space="preserve">participating </w:t>
      </w:r>
      <w:r w:rsidR="00430E0E" w:rsidRPr="00430E0E">
        <w:rPr>
          <w:rFonts w:ascii="Verdana" w:hAnsi="Verdana" w:cs="Arial"/>
          <w:sz w:val="18"/>
          <w:szCs w:val="18"/>
        </w:rPr>
        <w:t>in Formal or Non-Formal</w:t>
      </w:r>
      <w:r w:rsidR="009F7BB3">
        <w:rPr>
          <w:rFonts w:ascii="Verdana" w:hAnsi="Verdana" w:cs="Arial"/>
          <w:sz w:val="18"/>
          <w:szCs w:val="18"/>
        </w:rPr>
        <w:t xml:space="preserve"> education and training</w:t>
      </w:r>
      <w:r w:rsidR="00430E0E" w:rsidRPr="00430E0E">
        <w:rPr>
          <w:rFonts w:ascii="Verdana" w:hAnsi="Verdana" w:cs="Arial"/>
          <w:sz w:val="18"/>
          <w:szCs w:val="18"/>
        </w:rPr>
        <w:t xml:space="preserve">, </w:t>
      </w:r>
      <w:r w:rsidR="009F7BB3">
        <w:rPr>
          <w:rFonts w:ascii="Verdana" w:hAnsi="Verdana" w:cs="Arial"/>
          <w:sz w:val="18"/>
          <w:szCs w:val="18"/>
        </w:rPr>
        <w:t xml:space="preserve">was </w:t>
      </w:r>
      <w:r w:rsidR="00430E0E">
        <w:rPr>
          <w:rFonts w:ascii="Verdana" w:hAnsi="Verdana" w:cs="Arial"/>
          <w:sz w:val="18"/>
          <w:szCs w:val="18"/>
        </w:rPr>
        <w:t>46,9</w:t>
      </w:r>
      <w:r w:rsidR="00430E0E" w:rsidRPr="00430E0E">
        <w:rPr>
          <w:rFonts w:ascii="Verdana" w:hAnsi="Verdana" w:cs="Arial"/>
          <w:sz w:val="18"/>
          <w:szCs w:val="18"/>
        </w:rPr>
        <w:t xml:space="preserve">%. </w:t>
      </w:r>
      <w:r w:rsidR="009F7BB3">
        <w:rPr>
          <w:rFonts w:ascii="Verdana" w:hAnsi="Verdana" w:cs="Arial"/>
          <w:sz w:val="18"/>
          <w:szCs w:val="18"/>
        </w:rPr>
        <w:t>The respective proportion for men was</w:t>
      </w:r>
      <w:r w:rsidR="00430E0E" w:rsidRPr="00430E0E">
        <w:rPr>
          <w:rFonts w:ascii="Verdana" w:hAnsi="Verdana" w:cs="Arial"/>
          <w:sz w:val="18"/>
          <w:szCs w:val="18"/>
        </w:rPr>
        <w:t xml:space="preserve"> </w:t>
      </w:r>
      <w:r w:rsidR="00430E0E" w:rsidRPr="00430E0E">
        <w:rPr>
          <w:rFonts w:ascii="Verdana" w:hAnsi="Verdana" w:cs="Arial"/>
          <w:sz w:val="18"/>
          <w:szCs w:val="18"/>
          <w:lang w:val="en-GB"/>
        </w:rPr>
        <w:t>53,9</w:t>
      </w:r>
      <w:r w:rsidR="00430E0E" w:rsidRPr="00430E0E">
        <w:rPr>
          <w:rFonts w:ascii="Verdana" w:hAnsi="Verdana" w:cs="Arial"/>
          <w:sz w:val="18"/>
          <w:szCs w:val="18"/>
        </w:rPr>
        <w:t xml:space="preserve">% and </w:t>
      </w:r>
      <w:r w:rsidR="009F7BB3">
        <w:rPr>
          <w:rFonts w:ascii="Verdana" w:hAnsi="Verdana" w:cs="Arial"/>
          <w:sz w:val="18"/>
          <w:szCs w:val="18"/>
        </w:rPr>
        <w:t xml:space="preserve">for </w:t>
      </w:r>
      <w:r w:rsidR="00430E0E" w:rsidRPr="00430E0E">
        <w:rPr>
          <w:rFonts w:ascii="Verdana" w:hAnsi="Verdana" w:cs="Arial"/>
          <w:sz w:val="18"/>
          <w:szCs w:val="18"/>
        </w:rPr>
        <w:t>women</w:t>
      </w:r>
      <w:r w:rsidR="0014381D">
        <w:rPr>
          <w:rFonts w:ascii="Verdana" w:hAnsi="Verdana" w:cs="Arial"/>
          <w:sz w:val="18"/>
          <w:szCs w:val="18"/>
        </w:rPr>
        <w:t xml:space="preserve"> </w:t>
      </w:r>
      <w:r w:rsidR="009F7BB3">
        <w:rPr>
          <w:rFonts w:ascii="Verdana" w:hAnsi="Verdana" w:cs="Arial"/>
          <w:sz w:val="18"/>
          <w:szCs w:val="18"/>
        </w:rPr>
        <w:t xml:space="preserve">was </w:t>
      </w:r>
      <w:r w:rsidR="00430E0E" w:rsidRPr="00430E0E">
        <w:rPr>
          <w:rFonts w:ascii="Verdana" w:hAnsi="Verdana" w:cs="Arial"/>
          <w:sz w:val="18"/>
          <w:szCs w:val="18"/>
          <w:lang w:val="en-GB"/>
        </w:rPr>
        <w:t>40,3</w:t>
      </w:r>
      <w:r w:rsidR="00430E0E" w:rsidRPr="00430E0E">
        <w:rPr>
          <w:rFonts w:ascii="Verdana" w:hAnsi="Verdana" w:cs="Arial"/>
          <w:sz w:val="18"/>
          <w:szCs w:val="18"/>
        </w:rPr>
        <w:t>%.</w:t>
      </w:r>
      <w:r w:rsidR="009A3587">
        <w:rPr>
          <w:rFonts w:ascii="Verdana" w:hAnsi="Verdana" w:cs="Arial"/>
          <w:sz w:val="18"/>
          <w:szCs w:val="18"/>
        </w:rPr>
        <w:t xml:space="preserve"> </w:t>
      </w:r>
      <w:r w:rsidR="009A3587" w:rsidRPr="009A3587">
        <w:rPr>
          <w:rFonts w:ascii="Verdana" w:hAnsi="Verdana" w:cs="Arial"/>
          <w:sz w:val="18"/>
          <w:szCs w:val="18"/>
        </w:rPr>
        <w:t>The corresponding percentages for EU</w:t>
      </w:r>
      <w:r w:rsidR="009A3587">
        <w:rPr>
          <w:rFonts w:ascii="Verdana" w:hAnsi="Verdana" w:cs="Arial"/>
          <w:sz w:val="18"/>
          <w:szCs w:val="18"/>
        </w:rPr>
        <w:t>-27</w:t>
      </w:r>
      <w:r w:rsidR="009A3587" w:rsidRPr="009A3587">
        <w:rPr>
          <w:rFonts w:ascii="Verdana" w:hAnsi="Verdana" w:cs="Arial"/>
          <w:sz w:val="18"/>
          <w:szCs w:val="18"/>
        </w:rPr>
        <w:t xml:space="preserve"> </w:t>
      </w:r>
      <w:r w:rsidR="009F7BB3">
        <w:rPr>
          <w:rFonts w:ascii="Verdana" w:hAnsi="Verdana" w:cs="Arial"/>
          <w:sz w:val="18"/>
          <w:szCs w:val="18"/>
        </w:rPr>
        <w:t>were</w:t>
      </w:r>
      <w:r w:rsidR="009A3587" w:rsidRPr="009A3587">
        <w:rPr>
          <w:rFonts w:ascii="Verdana" w:hAnsi="Verdana" w:cs="Arial"/>
          <w:sz w:val="18"/>
          <w:szCs w:val="18"/>
        </w:rPr>
        <w:t xml:space="preserve"> 47</w:t>
      </w:r>
      <w:r w:rsidR="009A3587">
        <w:rPr>
          <w:rFonts w:ascii="Verdana" w:hAnsi="Verdana" w:cs="Arial"/>
          <w:sz w:val="18"/>
          <w:szCs w:val="18"/>
        </w:rPr>
        <w:t>,</w:t>
      </w:r>
      <w:r w:rsidR="009A3587" w:rsidRPr="009A3587">
        <w:rPr>
          <w:rFonts w:ascii="Verdana" w:hAnsi="Verdana" w:cs="Arial"/>
          <w:sz w:val="18"/>
          <w:szCs w:val="18"/>
        </w:rPr>
        <w:t>5% for the total population, 47</w:t>
      </w:r>
      <w:r w:rsidR="009A3587">
        <w:rPr>
          <w:rFonts w:ascii="Verdana" w:hAnsi="Verdana" w:cs="Arial"/>
          <w:sz w:val="18"/>
          <w:szCs w:val="18"/>
        </w:rPr>
        <w:t>,</w:t>
      </w:r>
      <w:r w:rsidR="009A3587" w:rsidRPr="009A3587">
        <w:rPr>
          <w:rFonts w:ascii="Verdana" w:hAnsi="Verdana" w:cs="Arial"/>
          <w:sz w:val="18"/>
          <w:szCs w:val="18"/>
        </w:rPr>
        <w:t>0% for men and 48</w:t>
      </w:r>
      <w:r w:rsidR="009A3587">
        <w:rPr>
          <w:rFonts w:ascii="Verdana" w:hAnsi="Verdana" w:cs="Arial"/>
          <w:sz w:val="18"/>
          <w:szCs w:val="18"/>
        </w:rPr>
        <w:t>,</w:t>
      </w:r>
      <w:r w:rsidR="009A3587" w:rsidRPr="009A3587">
        <w:rPr>
          <w:rFonts w:ascii="Verdana" w:hAnsi="Verdana" w:cs="Arial"/>
          <w:sz w:val="18"/>
          <w:szCs w:val="18"/>
        </w:rPr>
        <w:t>0% for women.</w:t>
      </w:r>
    </w:p>
    <w:p w14:paraId="3A117D1E" w14:textId="77777777" w:rsidR="003A648C" w:rsidRPr="003E564B" w:rsidRDefault="003A648C" w:rsidP="0034238F">
      <w:pPr>
        <w:jc w:val="both"/>
        <w:rPr>
          <w:rFonts w:ascii="Verdana" w:hAnsi="Verdana" w:cs="Arial"/>
          <w:sz w:val="18"/>
          <w:szCs w:val="18"/>
          <w:lang w:val="en-GB"/>
        </w:rPr>
      </w:pPr>
    </w:p>
    <w:p w14:paraId="490B7001" w14:textId="5CECB866" w:rsidR="003A648C" w:rsidRDefault="003A648C" w:rsidP="0034238F">
      <w:pPr>
        <w:jc w:val="both"/>
        <w:rPr>
          <w:rFonts w:ascii="Verdana" w:hAnsi="Verdana" w:cs="Arial"/>
          <w:sz w:val="18"/>
          <w:szCs w:val="18"/>
          <w:lang w:val="en-GB"/>
        </w:rPr>
      </w:pPr>
      <w:r w:rsidRPr="003A648C">
        <w:rPr>
          <w:rFonts w:ascii="Verdana" w:hAnsi="Verdana" w:cs="Arial"/>
          <w:sz w:val="18"/>
          <w:szCs w:val="18"/>
          <w:lang w:val="en-GB"/>
        </w:rPr>
        <w:t xml:space="preserve">Comparing the participation </w:t>
      </w:r>
      <w:r w:rsidR="00787514">
        <w:rPr>
          <w:rFonts w:ascii="Verdana" w:hAnsi="Verdana" w:cs="Arial"/>
          <w:sz w:val="18"/>
          <w:szCs w:val="18"/>
          <w:lang w:val="en-GB"/>
        </w:rPr>
        <w:t xml:space="preserve">rates </w:t>
      </w:r>
      <w:r w:rsidRPr="003A648C">
        <w:rPr>
          <w:rFonts w:ascii="Verdana" w:hAnsi="Verdana" w:cs="Arial"/>
          <w:sz w:val="18"/>
          <w:szCs w:val="18"/>
          <w:lang w:val="en-GB"/>
        </w:rPr>
        <w:t xml:space="preserve">of the population in learning activities in Formal or Non-Formal Education among the 27 EU </w:t>
      </w:r>
      <w:r>
        <w:rPr>
          <w:rFonts w:ascii="Verdana" w:hAnsi="Verdana" w:cs="Arial"/>
          <w:sz w:val="18"/>
          <w:szCs w:val="18"/>
        </w:rPr>
        <w:t>countries</w:t>
      </w:r>
      <w:r w:rsidRPr="003A648C">
        <w:rPr>
          <w:rFonts w:ascii="Verdana" w:hAnsi="Verdana" w:cs="Arial"/>
          <w:sz w:val="18"/>
          <w:szCs w:val="18"/>
          <w:lang w:val="en-GB"/>
        </w:rPr>
        <w:t xml:space="preserve">, Cyprus is in </w:t>
      </w:r>
      <w:r w:rsidR="00083AAD">
        <w:rPr>
          <w:rFonts w:ascii="Verdana" w:hAnsi="Verdana" w:cs="Arial"/>
          <w:sz w:val="18"/>
          <w:szCs w:val="18"/>
          <w:lang w:val="en-GB"/>
        </w:rPr>
        <w:t xml:space="preserve">the </w:t>
      </w:r>
      <w:r w:rsidRPr="003A648C">
        <w:rPr>
          <w:rFonts w:ascii="Verdana" w:hAnsi="Verdana" w:cs="Arial"/>
          <w:sz w:val="18"/>
          <w:szCs w:val="18"/>
          <w:lang w:val="en-GB"/>
        </w:rPr>
        <w:t>15th place.</w:t>
      </w:r>
    </w:p>
    <w:p w14:paraId="27D3A276" w14:textId="77777777" w:rsidR="003C291C" w:rsidRPr="003A648C" w:rsidRDefault="003C291C" w:rsidP="0034238F">
      <w:pPr>
        <w:jc w:val="both"/>
        <w:rPr>
          <w:rFonts w:ascii="Verdana" w:hAnsi="Verdana" w:cs="Arial"/>
          <w:sz w:val="18"/>
          <w:szCs w:val="18"/>
          <w:lang w:val="en-GB"/>
        </w:rPr>
      </w:pPr>
    </w:p>
    <w:p w14:paraId="724C2321" w14:textId="413B0AB0" w:rsidR="003F1DD4" w:rsidRDefault="0034238F" w:rsidP="0034238F">
      <w:pPr>
        <w:jc w:val="both"/>
        <w:rPr>
          <w:rFonts w:ascii="Verdana" w:hAnsi="Verdana" w:cs="Arial"/>
          <w:sz w:val="18"/>
          <w:szCs w:val="18"/>
        </w:rPr>
      </w:pPr>
      <w:r>
        <w:rPr>
          <w:rFonts w:ascii="Verdana" w:hAnsi="Verdana" w:cs="Arial"/>
          <w:noProof/>
          <w:sz w:val="18"/>
          <w:szCs w:val="18"/>
        </w:rPr>
        <w:drawing>
          <wp:inline distT="0" distB="0" distL="0" distR="0" wp14:anchorId="6DDF0143" wp14:editId="204CE6B2">
            <wp:extent cx="6084570" cy="3432175"/>
            <wp:effectExtent l="0" t="0" r="0" b="0"/>
            <wp:docPr id="1734627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3432175"/>
                    </a:xfrm>
                    <a:prstGeom prst="rect">
                      <a:avLst/>
                    </a:prstGeom>
                    <a:noFill/>
                  </pic:spPr>
                </pic:pic>
              </a:graphicData>
            </a:graphic>
          </wp:inline>
        </w:drawing>
      </w:r>
    </w:p>
    <w:p w14:paraId="28241101" w14:textId="77777777" w:rsidR="003F1DD4" w:rsidRPr="00233BDC" w:rsidRDefault="003F1DD4" w:rsidP="0034238F">
      <w:pPr>
        <w:jc w:val="both"/>
        <w:rPr>
          <w:rFonts w:ascii="Verdana" w:hAnsi="Verdana" w:cs="Arial"/>
          <w:sz w:val="18"/>
          <w:szCs w:val="18"/>
        </w:rPr>
      </w:pPr>
    </w:p>
    <w:p w14:paraId="48FC68BE" w14:textId="77777777" w:rsidR="00014639" w:rsidRDefault="00014639" w:rsidP="0034238F">
      <w:pPr>
        <w:jc w:val="both"/>
        <w:rPr>
          <w:rFonts w:ascii="Verdana" w:hAnsi="Verdana" w:cs="Arial"/>
          <w:b/>
          <w:sz w:val="18"/>
          <w:szCs w:val="18"/>
          <w:u w:val="single"/>
        </w:rPr>
      </w:pPr>
    </w:p>
    <w:p w14:paraId="4D527CED" w14:textId="1D0A8453" w:rsidR="002B688B" w:rsidRPr="0034238F" w:rsidRDefault="002B688B" w:rsidP="0034238F">
      <w:pPr>
        <w:jc w:val="both"/>
        <w:rPr>
          <w:rFonts w:ascii="Verdana" w:eastAsia="Malgun Gothic" w:hAnsi="Verdana" w:cs="Arial"/>
          <w:bCs/>
          <w:sz w:val="18"/>
          <w:szCs w:val="18"/>
          <w:lang w:val="en-GB"/>
        </w:rPr>
      </w:pPr>
      <w:r w:rsidRPr="0034238F">
        <w:rPr>
          <w:rFonts w:ascii="Verdana" w:eastAsia="Malgun Gothic" w:hAnsi="Verdana" w:cs="Arial"/>
          <w:b/>
          <w:sz w:val="18"/>
          <w:szCs w:val="18"/>
          <w:lang w:val="en-GB"/>
        </w:rPr>
        <w:t>Formal Education</w:t>
      </w:r>
      <w:r w:rsidRPr="0034238F">
        <w:rPr>
          <w:rFonts w:ascii="Verdana" w:eastAsia="Malgun Gothic" w:hAnsi="Verdana" w:cs="Arial"/>
          <w:bCs/>
          <w:sz w:val="18"/>
          <w:szCs w:val="18"/>
          <w:lang w:val="en-GB"/>
        </w:rPr>
        <w:t xml:space="preserve"> refers to learning activities that are part of the formal education system of a country. This includes all </w:t>
      </w:r>
      <w:r w:rsidR="00E27766" w:rsidRPr="0034238F">
        <w:rPr>
          <w:rFonts w:ascii="Verdana" w:eastAsia="Malgun Gothic" w:hAnsi="Verdana" w:cs="Arial"/>
          <w:bCs/>
          <w:sz w:val="18"/>
          <w:szCs w:val="18"/>
          <w:lang w:val="en-GB"/>
        </w:rPr>
        <w:t>educational institutions</w:t>
      </w:r>
      <w:r w:rsidRPr="0034238F">
        <w:rPr>
          <w:rFonts w:ascii="Verdana" w:eastAsia="Malgun Gothic" w:hAnsi="Verdana" w:cs="Arial"/>
          <w:bCs/>
          <w:sz w:val="18"/>
          <w:szCs w:val="18"/>
          <w:lang w:val="en-GB"/>
        </w:rPr>
        <w:t xml:space="preserve"> of primary</w:t>
      </w:r>
      <w:r w:rsidR="00E27766" w:rsidRPr="0034238F">
        <w:rPr>
          <w:rFonts w:ascii="Verdana" w:eastAsia="Malgun Gothic" w:hAnsi="Verdana" w:cs="Arial"/>
          <w:bCs/>
          <w:sz w:val="18"/>
          <w:szCs w:val="18"/>
          <w:lang w:val="en-GB"/>
        </w:rPr>
        <w:t>,</w:t>
      </w:r>
      <w:r w:rsidRPr="0034238F">
        <w:rPr>
          <w:rFonts w:ascii="Verdana" w:eastAsia="Malgun Gothic" w:hAnsi="Verdana" w:cs="Arial"/>
          <w:bCs/>
          <w:sz w:val="18"/>
          <w:szCs w:val="18"/>
          <w:lang w:val="en-GB"/>
        </w:rPr>
        <w:t xml:space="preserve"> secondary and</w:t>
      </w:r>
      <w:r w:rsidR="00E27766" w:rsidRPr="0034238F">
        <w:rPr>
          <w:rFonts w:ascii="Verdana" w:eastAsia="Malgun Gothic" w:hAnsi="Verdana" w:cs="Arial"/>
          <w:bCs/>
          <w:sz w:val="18"/>
          <w:szCs w:val="18"/>
          <w:lang w:val="en-GB"/>
        </w:rPr>
        <w:t xml:space="preserve"> tertiary education. </w:t>
      </w:r>
      <w:r w:rsidRPr="0034238F">
        <w:rPr>
          <w:rFonts w:ascii="Verdana" w:eastAsia="Malgun Gothic" w:hAnsi="Verdana" w:cs="Arial"/>
          <w:b/>
          <w:sz w:val="18"/>
          <w:szCs w:val="18"/>
          <w:lang w:val="en-GB"/>
        </w:rPr>
        <w:t>Non-Formal Education</w:t>
      </w:r>
      <w:r w:rsidRPr="0034238F">
        <w:rPr>
          <w:rFonts w:ascii="Verdana" w:eastAsia="Malgun Gothic" w:hAnsi="Verdana" w:cs="Arial"/>
          <w:bCs/>
          <w:sz w:val="18"/>
          <w:szCs w:val="18"/>
          <w:lang w:val="en-GB"/>
        </w:rPr>
        <w:t xml:space="preserve"> refers to learning activities that take place outside the formal education system but are organized and institutionalised. These activities include seminars, conferences, courses, training courses, tutorials etc.</w:t>
      </w:r>
    </w:p>
    <w:p w14:paraId="585B5896" w14:textId="77777777" w:rsidR="00014639" w:rsidRPr="0034238F" w:rsidRDefault="00014639" w:rsidP="0034238F">
      <w:pPr>
        <w:jc w:val="both"/>
        <w:rPr>
          <w:rFonts w:ascii="Verdana" w:hAnsi="Verdana" w:cs="Arial"/>
          <w:b/>
          <w:sz w:val="18"/>
          <w:szCs w:val="18"/>
          <w:u w:val="single"/>
          <w:lang w:val="en-GB"/>
        </w:rPr>
      </w:pPr>
    </w:p>
    <w:p w14:paraId="51E99D0C" w14:textId="3D5A0B10" w:rsidR="00BD45E4" w:rsidRPr="0034238F" w:rsidRDefault="00E27766" w:rsidP="0034238F">
      <w:pPr>
        <w:jc w:val="both"/>
        <w:rPr>
          <w:rFonts w:ascii="Verdana" w:hAnsi="Verdana" w:cs="Arial"/>
          <w:sz w:val="18"/>
          <w:szCs w:val="18"/>
          <w:u w:val="single"/>
        </w:rPr>
      </w:pPr>
      <w:r w:rsidRPr="0034238F">
        <w:rPr>
          <w:rFonts w:ascii="Verdana" w:eastAsia="Malgun Gothic" w:hAnsi="Verdana" w:cs="Arial"/>
          <w:b/>
          <w:sz w:val="18"/>
          <w:szCs w:val="18"/>
          <w:u w:val="single"/>
          <w:lang w:val="en-GB"/>
        </w:rPr>
        <w:t>Formal Education</w:t>
      </w:r>
    </w:p>
    <w:p w14:paraId="686DC3AF" w14:textId="2CC13001" w:rsidR="00430E0E" w:rsidRPr="0034238F" w:rsidRDefault="00430E0E" w:rsidP="0034238F">
      <w:pPr>
        <w:jc w:val="both"/>
        <w:rPr>
          <w:rFonts w:ascii="Verdana" w:hAnsi="Verdana" w:cs="Arial"/>
          <w:sz w:val="18"/>
          <w:szCs w:val="18"/>
        </w:rPr>
      </w:pPr>
      <w:r w:rsidRPr="0034238F">
        <w:rPr>
          <w:rFonts w:ascii="Verdana" w:hAnsi="Verdana" w:cs="Arial"/>
          <w:sz w:val="18"/>
          <w:szCs w:val="18"/>
        </w:rPr>
        <w:t xml:space="preserve">The participation </w:t>
      </w:r>
      <w:r w:rsidR="006170D7" w:rsidRPr="0034238F">
        <w:rPr>
          <w:rFonts w:ascii="Verdana" w:hAnsi="Verdana" w:cs="Arial"/>
          <w:sz w:val="18"/>
          <w:szCs w:val="18"/>
        </w:rPr>
        <w:t xml:space="preserve">rate </w:t>
      </w:r>
      <w:r w:rsidRPr="0034238F">
        <w:rPr>
          <w:rFonts w:ascii="Verdana" w:hAnsi="Verdana" w:cs="Arial"/>
          <w:sz w:val="18"/>
          <w:szCs w:val="18"/>
        </w:rPr>
        <w:t xml:space="preserve">of the population aged </w:t>
      </w:r>
      <w:r w:rsidRPr="0034238F">
        <w:rPr>
          <w:rFonts w:ascii="Verdana" w:hAnsi="Verdana" w:cs="Arial"/>
          <w:sz w:val="18"/>
          <w:szCs w:val="18"/>
          <w:lang w:val="en-GB"/>
        </w:rPr>
        <w:t>18-69</w:t>
      </w:r>
      <w:r w:rsidRPr="0034238F">
        <w:rPr>
          <w:rFonts w:ascii="Verdana" w:hAnsi="Verdana" w:cs="Arial"/>
          <w:sz w:val="18"/>
          <w:szCs w:val="18"/>
        </w:rPr>
        <w:t xml:space="preserve"> in Formal </w:t>
      </w:r>
      <w:r w:rsidR="00B605D5" w:rsidRPr="0034238F">
        <w:rPr>
          <w:rFonts w:ascii="Verdana" w:hAnsi="Verdana" w:cs="Arial"/>
          <w:sz w:val="18"/>
          <w:szCs w:val="18"/>
        </w:rPr>
        <w:t>Education</w:t>
      </w:r>
      <w:r w:rsidRPr="0034238F">
        <w:rPr>
          <w:rFonts w:ascii="Verdana" w:hAnsi="Verdana" w:cs="Arial"/>
          <w:sz w:val="18"/>
          <w:szCs w:val="18"/>
        </w:rPr>
        <w:t>,</w:t>
      </w:r>
      <w:r w:rsidR="006170D7" w:rsidRPr="0034238F">
        <w:rPr>
          <w:rFonts w:ascii="Verdana" w:hAnsi="Verdana" w:cs="Arial"/>
          <w:sz w:val="18"/>
          <w:szCs w:val="18"/>
        </w:rPr>
        <w:t xml:space="preserve"> was</w:t>
      </w:r>
      <w:r w:rsidRPr="0034238F">
        <w:rPr>
          <w:rFonts w:ascii="Verdana" w:hAnsi="Verdana" w:cs="Arial"/>
          <w:sz w:val="18"/>
          <w:szCs w:val="18"/>
        </w:rPr>
        <w:t xml:space="preserve"> 12,0%. </w:t>
      </w:r>
      <w:r w:rsidR="006170D7" w:rsidRPr="0034238F">
        <w:rPr>
          <w:rFonts w:ascii="Verdana" w:hAnsi="Verdana" w:cs="Arial"/>
          <w:sz w:val="18"/>
          <w:szCs w:val="18"/>
        </w:rPr>
        <w:t xml:space="preserve">The participation rate for men was </w:t>
      </w:r>
      <w:r w:rsidRPr="0034238F">
        <w:rPr>
          <w:rFonts w:ascii="Verdana" w:hAnsi="Verdana" w:cs="Arial"/>
          <w:sz w:val="18"/>
          <w:szCs w:val="18"/>
        </w:rPr>
        <w:t xml:space="preserve">11,8% and </w:t>
      </w:r>
      <w:r w:rsidR="006170D7" w:rsidRPr="0034238F">
        <w:rPr>
          <w:rFonts w:ascii="Verdana" w:hAnsi="Verdana" w:cs="Arial"/>
          <w:sz w:val="18"/>
          <w:szCs w:val="18"/>
        </w:rPr>
        <w:t xml:space="preserve">for </w:t>
      </w:r>
      <w:r w:rsidR="0014381D" w:rsidRPr="0034238F">
        <w:rPr>
          <w:rFonts w:ascii="Verdana" w:hAnsi="Verdana" w:cs="Arial"/>
          <w:sz w:val="18"/>
          <w:szCs w:val="18"/>
        </w:rPr>
        <w:t>women</w:t>
      </w:r>
      <w:r w:rsidR="006170D7" w:rsidRPr="0034238F">
        <w:rPr>
          <w:rFonts w:ascii="Verdana" w:hAnsi="Verdana" w:cs="Arial"/>
          <w:sz w:val="18"/>
          <w:szCs w:val="18"/>
        </w:rPr>
        <w:t xml:space="preserve"> was</w:t>
      </w:r>
      <w:r w:rsidR="0014381D" w:rsidRPr="0034238F">
        <w:rPr>
          <w:rFonts w:ascii="Verdana" w:hAnsi="Verdana" w:cs="Arial"/>
          <w:sz w:val="18"/>
          <w:szCs w:val="18"/>
        </w:rPr>
        <w:t xml:space="preserve"> </w:t>
      </w:r>
      <w:r w:rsidRPr="0034238F">
        <w:rPr>
          <w:rFonts w:ascii="Verdana" w:hAnsi="Verdana" w:cs="Arial"/>
          <w:sz w:val="18"/>
          <w:szCs w:val="18"/>
        </w:rPr>
        <w:t>12,2%.</w:t>
      </w:r>
      <w:r w:rsidR="009A3587" w:rsidRPr="0034238F">
        <w:rPr>
          <w:rFonts w:ascii="Verdana" w:hAnsi="Verdana" w:cs="Arial"/>
          <w:sz w:val="18"/>
          <w:szCs w:val="18"/>
        </w:rPr>
        <w:t xml:space="preserve"> The corresponding </w:t>
      </w:r>
      <w:r w:rsidR="0014381D" w:rsidRPr="0034238F">
        <w:rPr>
          <w:rFonts w:ascii="Verdana" w:hAnsi="Verdana" w:cs="Arial"/>
          <w:sz w:val="18"/>
          <w:szCs w:val="18"/>
        </w:rPr>
        <w:t xml:space="preserve">percentages </w:t>
      </w:r>
      <w:r w:rsidR="009A3587" w:rsidRPr="0034238F">
        <w:rPr>
          <w:rFonts w:ascii="Verdana" w:hAnsi="Verdana" w:cs="Arial"/>
          <w:sz w:val="18"/>
          <w:szCs w:val="18"/>
        </w:rPr>
        <w:t xml:space="preserve">for </w:t>
      </w:r>
      <w:r w:rsidR="0072239D" w:rsidRPr="0034238F">
        <w:rPr>
          <w:rFonts w:ascii="Verdana" w:hAnsi="Verdana" w:cs="Arial"/>
          <w:sz w:val="18"/>
          <w:szCs w:val="18"/>
        </w:rPr>
        <w:t xml:space="preserve">the </w:t>
      </w:r>
      <w:r w:rsidR="009A3587" w:rsidRPr="0034238F">
        <w:rPr>
          <w:rFonts w:ascii="Verdana" w:hAnsi="Verdana" w:cs="Arial"/>
          <w:sz w:val="18"/>
          <w:szCs w:val="18"/>
        </w:rPr>
        <w:t xml:space="preserve">EU </w:t>
      </w:r>
      <w:r w:rsidR="0072239D" w:rsidRPr="0034238F">
        <w:rPr>
          <w:rFonts w:ascii="Verdana" w:hAnsi="Verdana" w:cs="Arial"/>
          <w:sz w:val="18"/>
          <w:szCs w:val="18"/>
        </w:rPr>
        <w:t xml:space="preserve">were </w:t>
      </w:r>
      <w:r w:rsidR="009A3587" w:rsidRPr="0034238F">
        <w:rPr>
          <w:rFonts w:ascii="Verdana" w:hAnsi="Verdana" w:cs="Arial"/>
          <w:sz w:val="18"/>
          <w:szCs w:val="18"/>
        </w:rPr>
        <w:t>12,2% for the total population, 11</w:t>
      </w:r>
      <w:r w:rsidR="00BD45E4" w:rsidRPr="0034238F">
        <w:rPr>
          <w:rFonts w:ascii="Verdana" w:hAnsi="Verdana" w:cs="Arial"/>
          <w:sz w:val="18"/>
          <w:szCs w:val="18"/>
        </w:rPr>
        <w:t>,</w:t>
      </w:r>
      <w:r w:rsidR="009A3587" w:rsidRPr="0034238F">
        <w:rPr>
          <w:rFonts w:ascii="Verdana" w:hAnsi="Verdana" w:cs="Arial"/>
          <w:sz w:val="18"/>
          <w:szCs w:val="18"/>
        </w:rPr>
        <w:t>5% for men and 13,0% for women.</w:t>
      </w:r>
    </w:p>
    <w:p w14:paraId="35539494" w14:textId="77777777" w:rsidR="00BD45E4" w:rsidRPr="0034238F" w:rsidRDefault="00BD45E4" w:rsidP="0034238F">
      <w:pPr>
        <w:jc w:val="both"/>
        <w:rPr>
          <w:rFonts w:ascii="Verdana" w:hAnsi="Verdana" w:cs="Arial"/>
          <w:sz w:val="18"/>
          <w:szCs w:val="18"/>
        </w:rPr>
      </w:pPr>
    </w:p>
    <w:p w14:paraId="56111E83" w14:textId="23449DC6" w:rsidR="00430E0E" w:rsidRPr="0034238F" w:rsidRDefault="00BD45E4" w:rsidP="0034238F">
      <w:pPr>
        <w:jc w:val="both"/>
        <w:rPr>
          <w:rFonts w:ascii="Verdana" w:hAnsi="Verdana" w:cs="Arial"/>
          <w:sz w:val="18"/>
          <w:szCs w:val="18"/>
          <w:lang w:val="en-GB"/>
        </w:rPr>
      </w:pPr>
      <w:r w:rsidRPr="0034238F">
        <w:rPr>
          <w:rFonts w:ascii="Verdana" w:hAnsi="Verdana" w:cs="Arial"/>
          <w:sz w:val="18"/>
          <w:szCs w:val="18"/>
        </w:rPr>
        <w:lastRenderedPageBreak/>
        <w:t xml:space="preserve">The highest participation in Formal Education, as expected, </w:t>
      </w:r>
      <w:r w:rsidR="0072239D" w:rsidRPr="0034238F">
        <w:rPr>
          <w:rFonts w:ascii="Verdana" w:hAnsi="Verdana" w:cs="Arial"/>
          <w:sz w:val="18"/>
          <w:szCs w:val="18"/>
        </w:rPr>
        <w:t xml:space="preserve">was </w:t>
      </w:r>
      <w:r w:rsidRPr="0034238F">
        <w:rPr>
          <w:rFonts w:ascii="Verdana" w:hAnsi="Verdana" w:cs="Arial"/>
          <w:sz w:val="18"/>
          <w:szCs w:val="18"/>
        </w:rPr>
        <w:t xml:space="preserve">among </w:t>
      </w:r>
      <w:r w:rsidR="00B605D5" w:rsidRPr="0034238F">
        <w:rPr>
          <w:rFonts w:ascii="Verdana" w:hAnsi="Verdana" w:cs="Arial"/>
          <w:sz w:val="18"/>
          <w:szCs w:val="18"/>
        </w:rPr>
        <w:t xml:space="preserve">the population aged </w:t>
      </w:r>
      <w:r w:rsidRPr="0034238F">
        <w:rPr>
          <w:rFonts w:ascii="Verdana" w:hAnsi="Verdana" w:cs="Arial"/>
          <w:sz w:val="18"/>
          <w:szCs w:val="18"/>
        </w:rPr>
        <w:t xml:space="preserve">18–24, with a </w:t>
      </w:r>
      <w:r w:rsidR="00D06E65" w:rsidRPr="0034238F">
        <w:rPr>
          <w:rFonts w:ascii="Verdana" w:hAnsi="Verdana" w:cs="Arial"/>
          <w:sz w:val="18"/>
          <w:szCs w:val="18"/>
        </w:rPr>
        <w:t xml:space="preserve">percentage </w:t>
      </w:r>
      <w:r w:rsidRPr="0034238F">
        <w:rPr>
          <w:rFonts w:ascii="Verdana" w:hAnsi="Verdana" w:cs="Arial"/>
          <w:sz w:val="18"/>
          <w:szCs w:val="18"/>
        </w:rPr>
        <w:t xml:space="preserve">of </w:t>
      </w:r>
      <w:r w:rsidR="00B605D5" w:rsidRPr="0034238F">
        <w:rPr>
          <w:rFonts w:ascii="Verdana" w:hAnsi="Verdana" w:cs="Arial"/>
          <w:sz w:val="18"/>
          <w:szCs w:val="18"/>
          <w:lang w:val="en-GB"/>
        </w:rPr>
        <w:t>6</w:t>
      </w:r>
      <w:r w:rsidRPr="0034238F">
        <w:rPr>
          <w:rFonts w:ascii="Verdana" w:hAnsi="Verdana" w:cs="Arial"/>
          <w:sz w:val="18"/>
          <w:szCs w:val="18"/>
        </w:rPr>
        <w:t>1</w:t>
      </w:r>
      <w:r w:rsidR="00B605D5" w:rsidRPr="0034238F">
        <w:rPr>
          <w:rFonts w:ascii="Verdana" w:hAnsi="Verdana" w:cs="Arial"/>
          <w:sz w:val="18"/>
          <w:szCs w:val="18"/>
          <w:lang w:val="en-GB"/>
        </w:rPr>
        <w:t>,</w:t>
      </w:r>
      <w:r w:rsidRPr="0034238F">
        <w:rPr>
          <w:rFonts w:ascii="Verdana" w:hAnsi="Verdana" w:cs="Arial"/>
          <w:sz w:val="18"/>
          <w:szCs w:val="18"/>
        </w:rPr>
        <w:t>6% (EU</w:t>
      </w:r>
      <w:r w:rsidR="00EB0882" w:rsidRPr="0034238F">
        <w:rPr>
          <w:rFonts w:ascii="Verdana" w:hAnsi="Verdana" w:cs="Arial"/>
          <w:sz w:val="18"/>
          <w:szCs w:val="18"/>
          <w:lang w:val="en-GB"/>
        </w:rPr>
        <w:t xml:space="preserve"> - </w:t>
      </w:r>
      <w:r w:rsidRPr="0034238F">
        <w:rPr>
          <w:rFonts w:ascii="Verdana" w:hAnsi="Verdana" w:cs="Arial"/>
          <w:sz w:val="18"/>
          <w:szCs w:val="18"/>
        </w:rPr>
        <w:t>64</w:t>
      </w:r>
      <w:r w:rsidR="00B605D5" w:rsidRPr="0034238F">
        <w:rPr>
          <w:rFonts w:ascii="Verdana" w:hAnsi="Verdana" w:cs="Arial"/>
          <w:sz w:val="18"/>
          <w:szCs w:val="18"/>
          <w:lang w:val="en-GB"/>
        </w:rPr>
        <w:t>,</w:t>
      </w:r>
      <w:r w:rsidRPr="0034238F">
        <w:rPr>
          <w:rFonts w:ascii="Verdana" w:hAnsi="Verdana" w:cs="Arial"/>
          <w:sz w:val="18"/>
          <w:szCs w:val="18"/>
        </w:rPr>
        <w:t xml:space="preserve">3%) </w:t>
      </w:r>
      <w:r w:rsidR="00D06E65" w:rsidRPr="0034238F">
        <w:rPr>
          <w:rFonts w:ascii="Verdana" w:hAnsi="Verdana" w:cs="Arial"/>
          <w:sz w:val="18"/>
          <w:szCs w:val="18"/>
          <w:lang w:val="en-GB"/>
        </w:rPr>
        <w:t>and the population with upper secondary/post-secondary education.</w:t>
      </w:r>
    </w:p>
    <w:p w14:paraId="65BD4502" w14:textId="77777777" w:rsidR="00842830" w:rsidRPr="0034238F" w:rsidRDefault="00842830" w:rsidP="0034238F">
      <w:pPr>
        <w:jc w:val="both"/>
        <w:rPr>
          <w:rFonts w:ascii="Verdana" w:hAnsi="Verdana" w:cs="Arial"/>
          <w:sz w:val="18"/>
          <w:szCs w:val="18"/>
        </w:rPr>
      </w:pPr>
    </w:p>
    <w:p w14:paraId="58044EE3" w14:textId="3853386D" w:rsidR="00EB0882" w:rsidRPr="0034238F" w:rsidRDefault="00EB0882" w:rsidP="0034238F">
      <w:pPr>
        <w:jc w:val="both"/>
        <w:rPr>
          <w:rFonts w:ascii="Verdana" w:hAnsi="Verdana" w:cs="Arial"/>
          <w:sz w:val="18"/>
          <w:szCs w:val="18"/>
          <w:u w:val="single"/>
        </w:rPr>
      </w:pPr>
      <w:r w:rsidRPr="0034238F">
        <w:rPr>
          <w:rFonts w:ascii="Verdana" w:eastAsia="Malgun Gothic" w:hAnsi="Verdana" w:cs="Arial"/>
          <w:b/>
          <w:sz w:val="18"/>
          <w:szCs w:val="18"/>
          <w:u w:val="single"/>
          <w:lang w:val="en-GB"/>
        </w:rPr>
        <w:t>Non-Formal Education</w:t>
      </w:r>
    </w:p>
    <w:p w14:paraId="770D4CF1" w14:textId="65CFC13B" w:rsidR="001A13C7" w:rsidRPr="0034238F" w:rsidRDefault="00430E0E" w:rsidP="0034238F">
      <w:pPr>
        <w:jc w:val="both"/>
        <w:rPr>
          <w:rFonts w:ascii="Verdana" w:hAnsi="Verdana" w:cs="Arial"/>
          <w:sz w:val="18"/>
          <w:szCs w:val="18"/>
        </w:rPr>
      </w:pPr>
      <w:r w:rsidRPr="0034238F">
        <w:rPr>
          <w:rFonts w:ascii="Verdana" w:hAnsi="Verdana" w:cs="Arial"/>
          <w:sz w:val="18"/>
          <w:szCs w:val="18"/>
        </w:rPr>
        <w:t xml:space="preserve">The participation </w:t>
      </w:r>
      <w:r w:rsidR="00D55A4D" w:rsidRPr="0034238F">
        <w:rPr>
          <w:rFonts w:ascii="Verdana" w:hAnsi="Verdana" w:cs="Arial"/>
          <w:sz w:val="18"/>
          <w:szCs w:val="18"/>
        </w:rPr>
        <w:t xml:space="preserve">rate </w:t>
      </w:r>
      <w:r w:rsidRPr="0034238F">
        <w:rPr>
          <w:rFonts w:ascii="Verdana" w:hAnsi="Verdana" w:cs="Arial"/>
          <w:sz w:val="18"/>
          <w:szCs w:val="18"/>
        </w:rPr>
        <w:t xml:space="preserve">of the population aged </w:t>
      </w:r>
      <w:r w:rsidRPr="0034238F">
        <w:rPr>
          <w:rFonts w:ascii="Verdana" w:hAnsi="Verdana" w:cs="Arial"/>
          <w:sz w:val="18"/>
          <w:szCs w:val="18"/>
          <w:lang w:val="en-GB"/>
        </w:rPr>
        <w:t>18-69</w:t>
      </w:r>
      <w:r w:rsidRPr="0034238F">
        <w:rPr>
          <w:rFonts w:ascii="Verdana" w:hAnsi="Verdana" w:cs="Arial"/>
          <w:sz w:val="18"/>
          <w:szCs w:val="18"/>
        </w:rPr>
        <w:t xml:space="preserve"> in Non-Formal </w:t>
      </w:r>
      <w:r w:rsidR="00B605D5" w:rsidRPr="0034238F">
        <w:rPr>
          <w:rFonts w:ascii="Verdana" w:hAnsi="Verdana" w:cs="Arial"/>
          <w:sz w:val="18"/>
          <w:szCs w:val="18"/>
        </w:rPr>
        <w:t>Education</w:t>
      </w:r>
      <w:r w:rsidR="0072239D" w:rsidRPr="0034238F">
        <w:rPr>
          <w:rFonts w:ascii="Verdana" w:hAnsi="Verdana" w:cs="Arial"/>
          <w:sz w:val="18"/>
          <w:szCs w:val="18"/>
        </w:rPr>
        <w:t xml:space="preserve"> was</w:t>
      </w:r>
      <w:r w:rsidRPr="0034238F">
        <w:rPr>
          <w:rFonts w:ascii="Verdana" w:hAnsi="Verdana" w:cs="Arial"/>
          <w:sz w:val="18"/>
          <w:szCs w:val="18"/>
        </w:rPr>
        <w:t xml:space="preserve"> </w:t>
      </w:r>
      <w:r w:rsidR="008A20ED" w:rsidRPr="0034238F">
        <w:rPr>
          <w:rFonts w:ascii="Verdana" w:hAnsi="Verdana" w:cs="Arial"/>
          <w:sz w:val="18"/>
          <w:szCs w:val="18"/>
        </w:rPr>
        <w:t>39</w:t>
      </w:r>
      <w:r w:rsidRPr="0034238F">
        <w:rPr>
          <w:rFonts w:ascii="Verdana" w:hAnsi="Verdana" w:cs="Arial"/>
          <w:sz w:val="18"/>
          <w:szCs w:val="18"/>
        </w:rPr>
        <w:t xml:space="preserve">,2%. </w:t>
      </w:r>
      <w:r w:rsidR="0072239D" w:rsidRPr="0034238F">
        <w:rPr>
          <w:rFonts w:ascii="Verdana" w:hAnsi="Verdana" w:cs="Arial"/>
          <w:sz w:val="18"/>
          <w:szCs w:val="18"/>
        </w:rPr>
        <w:t>The participation rate among men was</w:t>
      </w:r>
      <w:r w:rsidR="0014381D" w:rsidRPr="0034238F">
        <w:rPr>
          <w:rFonts w:ascii="Verdana" w:hAnsi="Verdana" w:cs="Arial"/>
          <w:sz w:val="18"/>
          <w:szCs w:val="18"/>
        </w:rPr>
        <w:t xml:space="preserve"> </w:t>
      </w:r>
      <w:r w:rsidR="008A20ED" w:rsidRPr="0034238F">
        <w:rPr>
          <w:rFonts w:ascii="Verdana" w:hAnsi="Verdana" w:cs="Arial"/>
          <w:sz w:val="18"/>
          <w:szCs w:val="18"/>
        </w:rPr>
        <w:t>46</w:t>
      </w:r>
      <w:r w:rsidRPr="0034238F">
        <w:rPr>
          <w:rFonts w:ascii="Verdana" w:hAnsi="Verdana" w:cs="Arial"/>
          <w:sz w:val="18"/>
          <w:szCs w:val="18"/>
        </w:rPr>
        <w:t>,</w:t>
      </w:r>
      <w:r w:rsidR="008A20ED" w:rsidRPr="0034238F">
        <w:rPr>
          <w:rFonts w:ascii="Verdana" w:hAnsi="Verdana" w:cs="Arial"/>
          <w:sz w:val="18"/>
          <w:szCs w:val="18"/>
        </w:rPr>
        <w:t>1</w:t>
      </w:r>
      <w:r w:rsidRPr="0034238F">
        <w:rPr>
          <w:rFonts w:ascii="Verdana" w:hAnsi="Verdana" w:cs="Arial"/>
          <w:sz w:val="18"/>
          <w:szCs w:val="18"/>
        </w:rPr>
        <w:t xml:space="preserve">% and </w:t>
      </w:r>
      <w:r w:rsidR="0072239D" w:rsidRPr="0034238F">
        <w:rPr>
          <w:rFonts w:ascii="Verdana" w:hAnsi="Verdana" w:cs="Arial"/>
          <w:sz w:val="18"/>
          <w:szCs w:val="18"/>
        </w:rPr>
        <w:t>was much higher than the respective rate of women which was</w:t>
      </w:r>
      <w:r w:rsidR="0014381D" w:rsidRPr="0034238F">
        <w:rPr>
          <w:rFonts w:ascii="Verdana" w:hAnsi="Verdana" w:cs="Arial"/>
          <w:sz w:val="18"/>
          <w:szCs w:val="18"/>
        </w:rPr>
        <w:t xml:space="preserve"> </w:t>
      </w:r>
      <w:r w:rsidRPr="0034238F">
        <w:rPr>
          <w:rFonts w:ascii="Verdana" w:hAnsi="Verdana" w:cs="Arial"/>
          <w:sz w:val="18"/>
          <w:szCs w:val="18"/>
        </w:rPr>
        <w:t>3</w:t>
      </w:r>
      <w:r w:rsidR="008A20ED" w:rsidRPr="0034238F">
        <w:rPr>
          <w:rFonts w:ascii="Verdana" w:hAnsi="Verdana" w:cs="Arial"/>
          <w:sz w:val="18"/>
          <w:szCs w:val="18"/>
        </w:rPr>
        <w:t>2</w:t>
      </w:r>
      <w:r w:rsidRPr="0034238F">
        <w:rPr>
          <w:rFonts w:ascii="Verdana" w:hAnsi="Verdana" w:cs="Arial"/>
          <w:sz w:val="18"/>
          <w:szCs w:val="18"/>
        </w:rPr>
        <w:t>,</w:t>
      </w:r>
      <w:r w:rsidR="008A20ED" w:rsidRPr="0034238F">
        <w:rPr>
          <w:rFonts w:ascii="Verdana" w:hAnsi="Verdana" w:cs="Arial"/>
          <w:sz w:val="18"/>
          <w:szCs w:val="18"/>
        </w:rPr>
        <w:t>8</w:t>
      </w:r>
      <w:r w:rsidRPr="0034238F">
        <w:rPr>
          <w:rFonts w:ascii="Verdana" w:hAnsi="Verdana" w:cs="Arial"/>
          <w:sz w:val="18"/>
          <w:szCs w:val="18"/>
        </w:rPr>
        <w:t>%.</w:t>
      </w:r>
      <w:r w:rsidR="009A3587" w:rsidRPr="0034238F">
        <w:rPr>
          <w:rFonts w:ascii="Verdana" w:hAnsi="Verdana" w:cs="Arial"/>
          <w:sz w:val="18"/>
          <w:szCs w:val="18"/>
        </w:rPr>
        <w:t xml:space="preserve"> The corresponding percentages for </w:t>
      </w:r>
      <w:r w:rsidR="0072239D" w:rsidRPr="0034238F">
        <w:rPr>
          <w:rFonts w:ascii="Verdana" w:hAnsi="Verdana" w:cs="Arial"/>
          <w:sz w:val="18"/>
          <w:szCs w:val="18"/>
        </w:rPr>
        <w:t xml:space="preserve">the </w:t>
      </w:r>
      <w:r w:rsidR="009A3587" w:rsidRPr="0034238F">
        <w:rPr>
          <w:rFonts w:ascii="Verdana" w:hAnsi="Verdana" w:cs="Arial"/>
          <w:sz w:val="18"/>
          <w:szCs w:val="18"/>
        </w:rPr>
        <w:t>EU</w:t>
      </w:r>
      <w:r w:rsidR="0072239D" w:rsidRPr="0034238F">
        <w:rPr>
          <w:rFonts w:ascii="Verdana" w:hAnsi="Verdana" w:cs="Arial"/>
          <w:sz w:val="18"/>
          <w:szCs w:val="18"/>
        </w:rPr>
        <w:t xml:space="preserve"> were</w:t>
      </w:r>
      <w:r w:rsidR="009A3587" w:rsidRPr="0034238F">
        <w:rPr>
          <w:rFonts w:ascii="Verdana" w:hAnsi="Verdana" w:cs="Arial"/>
          <w:sz w:val="18"/>
          <w:szCs w:val="18"/>
        </w:rPr>
        <w:t xml:space="preserve"> 41,8% for the total population, 41,6% for men and 42,0% for women.</w:t>
      </w:r>
    </w:p>
    <w:p w14:paraId="257FEAAA" w14:textId="77777777" w:rsidR="00D06E65" w:rsidRPr="0034238F" w:rsidRDefault="00D06E65" w:rsidP="0034238F">
      <w:pPr>
        <w:jc w:val="both"/>
        <w:rPr>
          <w:rFonts w:ascii="Verdana" w:hAnsi="Verdana" w:cs="Arial"/>
          <w:sz w:val="18"/>
          <w:szCs w:val="18"/>
        </w:rPr>
      </w:pPr>
    </w:p>
    <w:p w14:paraId="1E726307" w14:textId="2593D8FA" w:rsidR="00430E0E" w:rsidRPr="0034238F" w:rsidRDefault="00B605D5" w:rsidP="0034238F">
      <w:pPr>
        <w:jc w:val="both"/>
        <w:rPr>
          <w:rFonts w:ascii="Verdana" w:hAnsi="Verdana" w:cs="Arial"/>
          <w:sz w:val="18"/>
          <w:szCs w:val="18"/>
        </w:rPr>
      </w:pPr>
      <w:r w:rsidRPr="0034238F">
        <w:rPr>
          <w:rFonts w:ascii="Verdana" w:hAnsi="Verdana" w:cs="Arial"/>
          <w:sz w:val="18"/>
          <w:szCs w:val="18"/>
        </w:rPr>
        <w:t>Additionally, in Non-Formal Education, the highest participation</w:t>
      </w:r>
      <w:r w:rsidR="0072239D" w:rsidRPr="0034238F">
        <w:rPr>
          <w:rFonts w:ascii="Verdana" w:hAnsi="Verdana" w:cs="Arial"/>
          <w:sz w:val="18"/>
          <w:szCs w:val="18"/>
        </w:rPr>
        <w:t xml:space="preserve"> rates</w:t>
      </w:r>
      <w:r w:rsidRPr="0034238F">
        <w:rPr>
          <w:rFonts w:ascii="Verdana" w:hAnsi="Verdana" w:cs="Arial"/>
          <w:sz w:val="18"/>
          <w:szCs w:val="18"/>
        </w:rPr>
        <w:t xml:space="preserve"> </w:t>
      </w:r>
      <w:r w:rsidR="0072239D" w:rsidRPr="0034238F">
        <w:rPr>
          <w:rFonts w:ascii="Verdana" w:hAnsi="Verdana" w:cs="Arial"/>
          <w:sz w:val="18"/>
          <w:szCs w:val="18"/>
        </w:rPr>
        <w:t xml:space="preserve">were recorded </w:t>
      </w:r>
      <w:r w:rsidRPr="0034238F">
        <w:rPr>
          <w:rFonts w:ascii="Verdana" w:hAnsi="Verdana" w:cs="Arial"/>
          <w:sz w:val="18"/>
          <w:szCs w:val="18"/>
        </w:rPr>
        <w:t xml:space="preserve">among the population </w:t>
      </w:r>
      <w:r w:rsidR="0072239D" w:rsidRPr="0034238F">
        <w:rPr>
          <w:rFonts w:ascii="Verdana" w:hAnsi="Verdana" w:cs="Arial"/>
          <w:sz w:val="18"/>
          <w:szCs w:val="18"/>
        </w:rPr>
        <w:t xml:space="preserve">aged </w:t>
      </w:r>
      <w:r w:rsidRPr="0034238F">
        <w:rPr>
          <w:rFonts w:ascii="Verdana" w:hAnsi="Verdana" w:cs="Arial"/>
          <w:sz w:val="18"/>
          <w:szCs w:val="18"/>
        </w:rPr>
        <w:t xml:space="preserve">25-54, </w:t>
      </w:r>
      <w:r w:rsidR="0072239D" w:rsidRPr="0034238F">
        <w:rPr>
          <w:rFonts w:ascii="Verdana" w:hAnsi="Verdana" w:cs="Arial"/>
          <w:sz w:val="18"/>
          <w:szCs w:val="18"/>
        </w:rPr>
        <w:t xml:space="preserve">among </w:t>
      </w:r>
      <w:r w:rsidRPr="0034238F">
        <w:rPr>
          <w:rFonts w:ascii="Verdana" w:hAnsi="Verdana" w:cs="Arial"/>
          <w:sz w:val="18"/>
          <w:szCs w:val="18"/>
        </w:rPr>
        <w:t xml:space="preserve">employees and </w:t>
      </w:r>
      <w:r w:rsidRPr="0034238F">
        <w:rPr>
          <w:rFonts w:ascii="Verdana" w:hAnsi="Verdana" w:cs="Arial"/>
          <w:sz w:val="18"/>
          <w:szCs w:val="18"/>
          <w:lang w:val="en-GB"/>
        </w:rPr>
        <w:t>the population with</w:t>
      </w:r>
      <w:r w:rsidRPr="0034238F">
        <w:rPr>
          <w:rFonts w:ascii="Verdana" w:hAnsi="Verdana" w:cs="Arial"/>
          <w:sz w:val="18"/>
          <w:szCs w:val="18"/>
        </w:rPr>
        <w:t xml:space="preserve"> tertiary education. Similar trends are observed in the </w:t>
      </w:r>
      <w:r w:rsidR="005477A6" w:rsidRPr="0034238F">
        <w:rPr>
          <w:rFonts w:ascii="Verdana" w:hAnsi="Verdana" w:cs="Arial"/>
          <w:sz w:val="18"/>
          <w:szCs w:val="18"/>
        </w:rPr>
        <w:t xml:space="preserve">rest of the </w:t>
      </w:r>
      <w:r w:rsidRPr="0034238F">
        <w:rPr>
          <w:rFonts w:ascii="Verdana" w:hAnsi="Verdana" w:cs="Arial"/>
          <w:sz w:val="18"/>
          <w:szCs w:val="18"/>
        </w:rPr>
        <w:t>EU countries.</w:t>
      </w:r>
    </w:p>
    <w:p w14:paraId="0D10114E" w14:textId="77777777" w:rsidR="00EB0882" w:rsidRPr="0034238F" w:rsidRDefault="00EB0882" w:rsidP="0034238F">
      <w:pPr>
        <w:jc w:val="both"/>
        <w:rPr>
          <w:rFonts w:ascii="Verdana" w:hAnsi="Verdana" w:cs="Arial"/>
          <w:sz w:val="18"/>
          <w:szCs w:val="18"/>
        </w:rPr>
      </w:pPr>
    </w:p>
    <w:p w14:paraId="013730DC" w14:textId="14F3FA3D" w:rsidR="00EB0882" w:rsidRPr="0034238F" w:rsidRDefault="00EB0882" w:rsidP="0034238F">
      <w:pPr>
        <w:jc w:val="both"/>
        <w:rPr>
          <w:rFonts w:ascii="Verdana" w:hAnsi="Verdana" w:cs="Arial"/>
          <w:sz w:val="18"/>
          <w:szCs w:val="18"/>
        </w:rPr>
      </w:pPr>
      <w:r w:rsidRPr="0034238F">
        <w:rPr>
          <w:rFonts w:ascii="Verdana" w:hAnsi="Verdana" w:cs="Arial"/>
          <w:sz w:val="18"/>
          <w:szCs w:val="18"/>
        </w:rPr>
        <w:t xml:space="preserve">In general, the participation rates in </w:t>
      </w:r>
      <w:r w:rsidRPr="0034238F">
        <w:rPr>
          <w:rFonts w:ascii="Verdana" w:hAnsi="Verdana" w:cs="Arial"/>
          <w:b/>
          <w:bCs/>
          <w:sz w:val="18"/>
          <w:szCs w:val="18"/>
        </w:rPr>
        <w:t>Non-Formal Education</w:t>
      </w:r>
      <w:r w:rsidRPr="0034238F">
        <w:rPr>
          <w:rFonts w:ascii="Verdana" w:hAnsi="Verdana" w:cs="Arial"/>
          <w:sz w:val="18"/>
          <w:szCs w:val="18"/>
        </w:rPr>
        <w:t xml:space="preserve"> are higher than those in </w:t>
      </w:r>
      <w:r w:rsidRPr="0034238F">
        <w:rPr>
          <w:rFonts w:ascii="Verdana" w:hAnsi="Verdana" w:cs="Arial"/>
          <w:b/>
          <w:bCs/>
          <w:sz w:val="18"/>
          <w:szCs w:val="18"/>
        </w:rPr>
        <w:t>Formal Education</w:t>
      </w:r>
      <w:r w:rsidRPr="0034238F">
        <w:rPr>
          <w:rFonts w:ascii="Verdana" w:hAnsi="Verdana" w:cs="Arial"/>
          <w:sz w:val="18"/>
          <w:szCs w:val="18"/>
        </w:rPr>
        <w:t xml:space="preserve"> (39</w:t>
      </w:r>
      <w:r w:rsidR="00D556B6">
        <w:rPr>
          <w:rFonts w:ascii="Verdana" w:hAnsi="Verdana" w:cs="Arial"/>
          <w:sz w:val="18"/>
          <w:szCs w:val="18"/>
        </w:rPr>
        <w:t>,</w:t>
      </w:r>
      <w:r w:rsidRPr="0034238F">
        <w:rPr>
          <w:rFonts w:ascii="Verdana" w:hAnsi="Verdana" w:cs="Arial"/>
          <w:sz w:val="18"/>
          <w:szCs w:val="18"/>
        </w:rPr>
        <w:t>2% and 12</w:t>
      </w:r>
      <w:r w:rsidR="00D556B6">
        <w:rPr>
          <w:rFonts w:ascii="Verdana" w:hAnsi="Verdana" w:cs="Arial"/>
          <w:sz w:val="18"/>
          <w:szCs w:val="18"/>
        </w:rPr>
        <w:t>,</w:t>
      </w:r>
      <w:r w:rsidRPr="0034238F">
        <w:rPr>
          <w:rFonts w:ascii="Verdana" w:hAnsi="Verdana" w:cs="Arial"/>
          <w:sz w:val="18"/>
          <w:szCs w:val="18"/>
        </w:rPr>
        <w:t>0%, respectively).</w:t>
      </w:r>
    </w:p>
    <w:p w14:paraId="7E223423" w14:textId="77777777" w:rsidR="00EB0882" w:rsidRDefault="00EB0882" w:rsidP="0034238F">
      <w:pPr>
        <w:jc w:val="both"/>
        <w:rPr>
          <w:rFonts w:ascii="Verdana" w:hAnsi="Verdana" w:cs="Arial"/>
          <w:sz w:val="18"/>
          <w:szCs w:val="18"/>
        </w:rPr>
      </w:pPr>
    </w:p>
    <w:tbl>
      <w:tblPr>
        <w:tblW w:w="9568" w:type="dxa"/>
        <w:jc w:val="center"/>
        <w:tblLook w:val="04A0" w:firstRow="1" w:lastRow="0" w:firstColumn="1" w:lastColumn="0" w:noHBand="0" w:noVBand="1"/>
      </w:tblPr>
      <w:tblGrid>
        <w:gridCol w:w="1854"/>
        <w:gridCol w:w="1721"/>
        <w:gridCol w:w="1124"/>
        <w:gridCol w:w="1623"/>
        <w:gridCol w:w="1623"/>
        <w:gridCol w:w="1623"/>
      </w:tblGrid>
      <w:tr w:rsidR="00721E67" w:rsidRPr="000E6328" w14:paraId="1066BCBE" w14:textId="77777777" w:rsidTr="006D2F2C">
        <w:trPr>
          <w:trHeight w:val="284"/>
          <w:jc w:val="center"/>
        </w:trPr>
        <w:tc>
          <w:tcPr>
            <w:tcW w:w="1854" w:type="dxa"/>
            <w:tcBorders>
              <w:top w:val="single" w:sz="8" w:space="0" w:color="FFFFFF"/>
              <w:left w:val="single" w:sz="8" w:space="0" w:color="FFFFFF"/>
              <w:bottom w:val="single" w:sz="8" w:space="0" w:color="366092"/>
              <w:right w:val="single" w:sz="8" w:space="0" w:color="FFFFFF"/>
            </w:tcBorders>
            <w:shd w:val="clear" w:color="auto" w:fill="auto"/>
            <w:noWrap/>
            <w:vAlign w:val="center"/>
            <w:hideMark/>
          </w:tcPr>
          <w:p w14:paraId="3E0A65FF" w14:textId="44A5A1B7" w:rsidR="00721E67" w:rsidRPr="00DC7791" w:rsidRDefault="00721E67" w:rsidP="00C03BC2">
            <w:pPr>
              <w:rPr>
                <w:rFonts w:ascii="Verdana" w:eastAsia="Times New Roman" w:hAnsi="Verdana" w:cs="Calibri"/>
                <w:b/>
                <w:bCs/>
                <w:color w:val="366092"/>
                <w:sz w:val="18"/>
                <w:szCs w:val="18"/>
              </w:rPr>
            </w:pPr>
            <w:r>
              <w:rPr>
                <w:rFonts w:ascii="Verdana" w:eastAsia="Times New Roman" w:hAnsi="Verdana" w:cs="Calibri"/>
                <w:b/>
                <w:bCs/>
                <w:color w:val="366092"/>
                <w:sz w:val="18"/>
                <w:szCs w:val="18"/>
              </w:rPr>
              <w:t>Table</w:t>
            </w:r>
          </w:p>
        </w:tc>
        <w:tc>
          <w:tcPr>
            <w:tcW w:w="1721" w:type="dxa"/>
            <w:tcBorders>
              <w:top w:val="single" w:sz="8" w:space="0" w:color="FFFFFF"/>
              <w:left w:val="nil"/>
              <w:bottom w:val="single" w:sz="8" w:space="0" w:color="366092"/>
              <w:right w:val="single" w:sz="8" w:space="0" w:color="FFFFFF"/>
            </w:tcBorders>
            <w:shd w:val="clear" w:color="auto" w:fill="auto"/>
            <w:noWrap/>
            <w:vAlign w:val="bottom"/>
            <w:hideMark/>
          </w:tcPr>
          <w:p w14:paraId="2FF7B809"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124" w:type="dxa"/>
            <w:tcBorders>
              <w:top w:val="single" w:sz="8" w:space="0" w:color="FFFFFF"/>
              <w:left w:val="nil"/>
              <w:bottom w:val="single" w:sz="8" w:space="0" w:color="366092"/>
              <w:right w:val="single" w:sz="8" w:space="0" w:color="FFFFFF"/>
            </w:tcBorders>
            <w:shd w:val="clear" w:color="auto" w:fill="auto"/>
            <w:noWrap/>
            <w:vAlign w:val="bottom"/>
            <w:hideMark/>
          </w:tcPr>
          <w:p w14:paraId="4D5C0749" w14:textId="77777777" w:rsidR="00721E67" w:rsidRPr="00DC7791" w:rsidRDefault="00721E67" w:rsidP="00C03BC2">
            <w:pPr>
              <w:jc w:val="cente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623" w:type="dxa"/>
            <w:tcBorders>
              <w:top w:val="single" w:sz="8" w:space="0" w:color="FFFFFF"/>
              <w:left w:val="nil"/>
              <w:bottom w:val="single" w:sz="8" w:space="0" w:color="366092"/>
              <w:right w:val="single" w:sz="8" w:space="0" w:color="FFFFFF"/>
            </w:tcBorders>
            <w:shd w:val="clear" w:color="auto" w:fill="auto"/>
            <w:noWrap/>
            <w:vAlign w:val="bottom"/>
            <w:hideMark/>
          </w:tcPr>
          <w:p w14:paraId="5E906970"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623" w:type="dxa"/>
            <w:tcBorders>
              <w:top w:val="single" w:sz="8" w:space="0" w:color="FFFFFF"/>
              <w:left w:val="nil"/>
              <w:bottom w:val="single" w:sz="8" w:space="0" w:color="366092"/>
              <w:right w:val="single" w:sz="8" w:space="0" w:color="FFFFFF"/>
            </w:tcBorders>
            <w:shd w:val="clear" w:color="auto" w:fill="auto"/>
            <w:noWrap/>
            <w:vAlign w:val="bottom"/>
            <w:hideMark/>
          </w:tcPr>
          <w:p w14:paraId="6529D96F"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623" w:type="dxa"/>
            <w:tcBorders>
              <w:top w:val="single" w:sz="8" w:space="0" w:color="FFFFFF"/>
              <w:left w:val="nil"/>
              <w:bottom w:val="single" w:sz="8" w:space="0" w:color="366092"/>
              <w:right w:val="single" w:sz="8" w:space="0" w:color="FFFFFF"/>
            </w:tcBorders>
            <w:shd w:val="clear" w:color="auto" w:fill="auto"/>
            <w:noWrap/>
            <w:vAlign w:val="bottom"/>
            <w:hideMark/>
          </w:tcPr>
          <w:p w14:paraId="118758CF"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r>
      <w:tr w:rsidR="00721E67" w:rsidRPr="000E6328" w14:paraId="0112A51B" w14:textId="77777777" w:rsidTr="006D2F2C">
        <w:trPr>
          <w:trHeight w:val="559"/>
          <w:jc w:val="center"/>
        </w:trPr>
        <w:tc>
          <w:tcPr>
            <w:tcW w:w="4699" w:type="dxa"/>
            <w:gridSpan w:val="3"/>
            <w:tcBorders>
              <w:top w:val="single" w:sz="8" w:space="0" w:color="366092"/>
              <w:left w:val="single" w:sz="8" w:space="0" w:color="FFFFFF"/>
              <w:bottom w:val="single" w:sz="8" w:space="0" w:color="366092"/>
              <w:right w:val="single" w:sz="8" w:space="0" w:color="FFFFFF"/>
            </w:tcBorders>
            <w:shd w:val="clear" w:color="auto" w:fill="auto"/>
            <w:noWrap/>
            <w:vAlign w:val="center"/>
            <w:hideMark/>
          </w:tcPr>
          <w:p w14:paraId="506379B3" w14:textId="197A84B7" w:rsidR="00721E67" w:rsidRPr="00465E25" w:rsidRDefault="00465E25" w:rsidP="00C03BC2">
            <w:pPr>
              <w:jc w:val="center"/>
              <w:rPr>
                <w:rFonts w:ascii="Verdana" w:eastAsia="Times New Roman" w:hAnsi="Verdana" w:cs="Calibri"/>
                <w:b/>
                <w:bCs/>
                <w:color w:val="366092"/>
                <w:sz w:val="18"/>
                <w:szCs w:val="18"/>
              </w:rPr>
            </w:pPr>
            <w:r w:rsidRPr="00465E25">
              <w:rPr>
                <w:rFonts w:ascii="Verdana" w:eastAsia="Times New Roman" w:hAnsi="Verdana" w:cs="Calibri"/>
                <w:b/>
                <w:bCs/>
                <w:color w:val="366092"/>
                <w:sz w:val="18"/>
                <w:szCs w:val="18"/>
              </w:rPr>
              <w:t>Participation in Educational Activities of People Aged 18-69 in 2022</w:t>
            </w:r>
          </w:p>
        </w:tc>
        <w:tc>
          <w:tcPr>
            <w:tcW w:w="1623" w:type="dxa"/>
            <w:tcBorders>
              <w:top w:val="single" w:sz="8" w:space="0" w:color="366092"/>
              <w:left w:val="nil"/>
              <w:bottom w:val="single" w:sz="8" w:space="0" w:color="366092"/>
              <w:right w:val="single" w:sz="8" w:space="0" w:color="FFFFFF"/>
            </w:tcBorders>
            <w:shd w:val="clear" w:color="auto" w:fill="auto"/>
            <w:vAlign w:val="center"/>
            <w:hideMark/>
          </w:tcPr>
          <w:p w14:paraId="1340961B" w14:textId="49E654AB" w:rsidR="00721E67" w:rsidRPr="00D556B6" w:rsidRDefault="00D556B6" w:rsidP="00C03BC2">
            <w:pPr>
              <w:jc w:val="center"/>
              <w:rPr>
                <w:rFonts w:ascii="Verdana" w:eastAsia="Times New Roman" w:hAnsi="Verdana" w:cs="Calibri"/>
                <w:b/>
                <w:bCs/>
                <w:color w:val="366092"/>
                <w:sz w:val="18"/>
                <w:szCs w:val="18"/>
              </w:rPr>
            </w:pPr>
            <w:r w:rsidRPr="00D556B6">
              <w:rPr>
                <w:rFonts w:ascii="Verdana" w:eastAsia="Times New Roman" w:hAnsi="Verdana" w:cs="Calibri"/>
                <w:b/>
                <w:bCs/>
                <w:color w:val="366092"/>
                <w:sz w:val="18"/>
                <w:szCs w:val="18"/>
              </w:rPr>
              <w:t xml:space="preserve">Formal or Non-Formal Education </w:t>
            </w:r>
            <w:r w:rsidR="00721E67" w:rsidRPr="00D556B6">
              <w:rPr>
                <w:rFonts w:ascii="Verdana" w:eastAsia="Times New Roman" w:hAnsi="Verdana" w:cs="Calibri"/>
                <w:b/>
                <w:bCs/>
                <w:color w:val="366092"/>
                <w:sz w:val="18"/>
                <w:szCs w:val="18"/>
              </w:rPr>
              <w:t>(%)</w:t>
            </w:r>
          </w:p>
        </w:tc>
        <w:tc>
          <w:tcPr>
            <w:tcW w:w="1623" w:type="dxa"/>
            <w:tcBorders>
              <w:top w:val="single" w:sz="8" w:space="0" w:color="366092"/>
              <w:left w:val="nil"/>
              <w:bottom w:val="single" w:sz="8" w:space="0" w:color="366092"/>
              <w:right w:val="single" w:sz="8" w:space="0" w:color="FFFFFF"/>
            </w:tcBorders>
            <w:shd w:val="clear" w:color="auto" w:fill="auto"/>
            <w:vAlign w:val="center"/>
            <w:hideMark/>
          </w:tcPr>
          <w:p w14:paraId="2FCB47A0" w14:textId="0E012B46" w:rsidR="00721E67" w:rsidRPr="00D556B6" w:rsidRDefault="00D556B6" w:rsidP="00C03BC2">
            <w:pPr>
              <w:jc w:val="center"/>
              <w:rPr>
                <w:rFonts w:ascii="Verdana" w:eastAsia="Times New Roman" w:hAnsi="Verdana" w:cs="Calibri"/>
                <w:b/>
                <w:bCs/>
                <w:color w:val="366092"/>
                <w:sz w:val="18"/>
                <w:szCs w:val="18"/>
              </w:rPr>
            </w:pPr>
            <w:r w:rsidRPr="00D556B6">
              <w:rPr>
                <w:rFonts w:ascii="Verdana" w:eastAsia="Times New Roman" w:hAnsi="Verdana" w:cs="Calibri"/>
                <w:b/>
                <w:bCs/>
                <w:color w:val="366092"/>
                <w:sz w:val="18"/>
                <w:szCs w:val="18"/>
              </w:rPr>
              <w:t xml:space="preserve">Formal Education </w:t>
            </w:r>
            <w:r w:rsidR="00721E67" w:rsidRPr="00D556B6">
              <w:rPr>
                <w:rFonts w:ascii="Verdana" w:eastAsia="Times New Roman" w:hAnsi="Verdana" w:cs="Calibri"/>
                <w:b/>
                <w:bCs/>
                <w:color w:val="366092"/>
                <w:sz w:val="18"/>
                <w:szCs w:val="18"/>
              </w:rPr>
              <w:t>(%)</w:t>
            </w:r>
          </w:p>
        </w:tc>
        <w:tc>
          <w:tcPr>
            <w:tcW w:w="1623" w:type="dxa"/>
            <w:tcBorders>
              <w:top w:val="single" w:sz="8" w:space="0" w:color="366092"/>
              <w:left w:val="nil"/>
              <w:bottom w:val="single" w:sz="8" w:space="0" w:color="366092"/>
              <w:right w:val="single" w:sz="8" w:space="0" w:color="FFFFFF"/>
            </w:tcBorders>
            <w:shd w:val="clear" w:color="auto" w:fill="auto"/>
            <w:vAlign w:val="center"/>
            <w:hideMark/>
          </w:tcPr>
          <w:p w14:paraId="24879959" w14:textId="4C7209EE" w:rsidR="00721E67" w:rsidRPr="00D556B6" w:rsidRDefault="00D556B6" w:rsidP="00C03BC2">
            <w:pPr>
              <w:jc w:val="center"/>
              <w:rPr>
                <w:rFonts w:ascii="Verdana" w:eastAsia="Times New Roman" w:hAnsi="Verdana" w:cs="Calibri"/>
                <w:b/>
                <w:bCs/>
                <w:color w:val="366092"/>
                <w:sz w:val="18"/>
                <w:szCs w:val="18"/>
              </w:rPr>
            </w:pPr>
            <w:r w:rsidRPr="00D556B6">
              <w:rPr>
                <w:rFonts w:ascii="Verdana" w:eastAsia="Times New Roman" w:hAnsi="Verdana" w:cs="Calibri"/>
                <w:b/>
                <w:bCs/>
                <w:color w:val="366092"/>
                <w:sz w:val="18"/>
                <w:szCs w:val="18"/>
              </w:rPr>
              <w:t>Non-Formal Education</w:t>
            </w:r>
            <w:r w:rsidR="00721E67" w:rsidRPr="00D556B6">
              <w:rPr>
                <w:rFonts w:ascii="Verdana" w:eastAsia="Times New Roman" w:hAnsi="Verdana" w:cs="Calibri"/>
                <w:b/>
                <w:bCs/>
                <w:color w:val="366092"/>
                <w:sz w:val="18"/>
                <w:szCs w:val="18"/>
              </w:rPr>
              <w:t xml:space="preserve"> (%)</w:t>
            </w:r>
          </w:p>
        </w:tc>
      </w:tr>
      <w:tr w:rsidR="00721E67" w:rsidRPr="00975B66" w14:paraId="38A2B675" w14:textId="77777777" w:rsidTr="006D2F2C">
        <w:trPr>
          <w:trHeight w:val="342"/>
          <w:jc w:val="center"/>
        </w:trPr>
        <w:tc>
          <w:tcPr>
            <w:tcW w:w="3575" w:type="dxa"/>
            <w:gridSpan w:val="2"/>
            <w:vMerge w:val="restart"/>
            <w:tcBorders>
              <w:top w:val="single" w:sz="8" w:space="0" w:color="366092"/>
              <w:left w:val="single" w:sz="8" w:space="0" w:color="FFFFFF"/>
              <w:bottom w:val="single" w:sz="8" w:space="0" w:color="365F91"/>
              <w:right w:val="single" w:sz="8" w:space="0" w:color="FFFFFF"/>
            </w:tcBorders>
            <w:shd w:val="clear" w:color="auto" w:fill="auto"/>
            <w:noWrap/>
            <w:hideMark/>
          </w:tcPr>
          <w:p w14:paraId="4354B202" w14:textId="6C65A8D6"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Total</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233DCF38" w14:textId="5DB0117B"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15436A24" w14:textId="77777777" w:rsidR="00721E67" w:rsidRPr="00DC7791" w:rsidRDefault="00721E67" w:rsidP="00C03BC2">
            <w:pPr>
              <w:ind w:right="454"/>
              <w:jc w:val="right"/>
              <w:rPr>
                <w:rFonts w:ascii="Verdana" w:eastAsia="Times New Roman" w:hAnsi="Verdana" w:cs="Calibri"/>
                <w:color w:val="366092"/>
                <w:sz w:val="18"/>
                <w:szCs w:val="18"/>
              </w:rPr>
            </w:pPr>
            <w:r w:rsidRPr="00DC7791">
              <w:rPr>
                <w:rFonts w:ascii="Verdana" w:eastAsia="Times New Roman" w:hAnsi="Verdana" w:cs="Calibri"/>
                <w:color w:val="366092"/>
                <w:sz w:val="18"/>
                <w:szCs w:val="18"/>
              </w:rPr>
              <w:t>46,9</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564BB5E7"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12,0</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318E3C0E"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39,2</w:t>
            </w:r>
          </w:p>
        </w:tc>
      </w:tr>
      <w:tr w:rsidR="00721E67" w:rsidRPr="00975B66" w14:paraId="27D06C03" w14:textId="77777777" w:rsidTr="006D2F2C">
        <w:trPr>
          <w:trHeight w:val="342"/>
          <w:jc w:val="center"/>
        </w:trPr>
        <w:tc>
          <w:tcPr>
            <w:tcW w:w="3575" w:type="dxa"/>
            <w:gridSpan w:val="2"/>
            <w:vMerge/>
            <w:tcBorders>
              <w:top w:val="single" w:sz="8" w:space="0" w:color="365F91"/>
              <w:left w:val="single" w:sz="8" w:space="0" w:color="FFFFFF"/>
              <w:bottom w:val="single" w:sz="8" w:space="0" w:color="366092"/>
              <w:right w:val="single" w:sz="8" w:space="0" w:color="FFFFFF"/>
            </w:tcBorders>
            <w:vAlign w:val="center"/>
            <w:hideMark/>
          </w:tcPr>
          <w:p w14:paraId="553E8A62"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366092"/>
              <w:right w:val="single" w:sz="8" w:space="0" w:color="FFFFFF"/>
            </w:tcBorders>
            <w:shd w:val="clear" w:color="auto" w:fill="auto"/>
            <w:noWrap/>
            <w:vAlign w:val="center"/>
            <w:hideMark/>
          </w:tcPr>
          <w:p w14:paraId="5B4FB04F" w14:textId="14D9E118"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00721E67" w:rsidRPr="00DC7791">
              <w:rPr>
                <w:rFonts w:ascii="Verdana" w:eastAsia="Times New Roman" w:hAnsi="Verdana" w:cs="Calibri"/>
                <w:color w:val="366092"/>
                <w:sz w:val="18"/>
                <w:szCs w:val="18"/>
              </w:rPr>
              <w:t>-27</w:t>
            </w:r>
          </w:p>
        </w:tc>
        <w:tc>
          <w:tcPr>
            <w:tcW w:w="1623" w:type="dxa"/>
            <w:tcBorders>
              <w:top w:val="nil"/>
              <w:left w:val="nil"/>
              <w:bottom w:val="single" w:sz="8" w:space="0" w:color="366092"/>
              <w:right w:val="single" w:sz="8" w:space="0" w:color="FFFFFF"/>
            </w:tcBorders>
            <w:shd w:val="clear" w:color="auto" w:fill="auto"/>
            <w:noWrap/>
            <w:vAlign w:val="center"/>
            <w:hideMark/>
          </w:tcPr>
          <w:p w14:paraId="1B2BB752"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47,5</w:t>
            </w:r>
          </w:p>
        </w:tc>
        <w:tc>
          <w:tcPr>
            <w:tcW w:w="1623" w:type="dxa"/>
            <w:tcBorders>
              <w:top w:val="nil"/>
              <w:left w:val="nil"/>
              <w:bottom w:val="single" w:sz="8" w:space="0" w:color="366092"/>
              <w:right w:val="single" w:sz="8" w:space="0" w:color="FFFFFF"/>
            </w:tcBorders>
            <w:shd w:val="clear" w:color="auto" w:fill="auto"/>
            <w:noWrap/>
            <w:vAlign w:val="center"/>
            <w:hideMark/>
          </w:tcPr>
          <w:p w14:paraId="7724787D"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12,2</w:t>
            </w:r>
          </w:p>
        </w:tc>
        <w:tc>
          <w:tcPr>
            <w:tcW w:w="1623" w:type="dxa"/>
            <w:tcBorders>
              <w:top w:val="nil"/>
              <w:left w:val="nil"/>
              <w:bottom w:val="single" w:sz="8" w:space="0" w:color="366092"/>
              <w:right w:val="single" w:sz="8" w:space="0" w:color="FFFFFF"/>
            </w:tcBorders>
            <w:shd w:val="clear" w:color="auto" w:fill="auto"/>
            <w:noWrap/>
            <w:vAlign w:val="center"/>
            <w:hideMark/>
          </w:tcPr>
          <w:p w14:paraId="4D2F39FD"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41,8</w:t>
            </w:r>
          </w:p>
        </w:tc>
      </w:tr>
      <w:tr w:rsidR="00721E67" w:rsidRPr="00975B66" w14:paraId="2F68AE7B" w14:textId="77777777" w:rsidTr="006D2F2C">
        <w:trPr>
          <w:trHeight w:val="342"/>
          <w:jc w:val="center"/>
        </w:trPr>
        <w:tc>
          <w:tcPr>
            <w:tcW w:w="1854" w:type="dxa"/>
            <w:tcBorders>
              <w:top w:val="single" w:sz="8" w:space="0" w:color="366092"/>
              <w:left w:val="single" w:sz="8" w:space="0" w:color="FFFFFF"/>
              <w:bottom w:val="single" w:sz="8" w:space="0" w:color="FFFFFF"/>
              <w:right w:val="single" w:sz="8" w:space="0" w:color="FFFFFF"/>
            </w:tcBorders>
            <w:shd w:val="clear" w:color="auto" w:fill="auto"/>
            <w:noWrap/>
            <w:vAlign w:val="bottom"/>
            <w:hideMark/>
          </w:tcPr>
          <w:p w14:paraId="01CC8569" w14:textId="616C31C0"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Sex</w:t>
            </w:r>
          </w:p>
        </w:tc>
        <w:tc>
          <w:tcPr>
            <w:tcW w:w="1721" w:type="dxa"/>
            <w:vMerge w:val="restart"/>
            <w:tcBorders>
              <w:top w:val="single" w:sz="8" w:space="0" w:color="366092"/>
              <w:left w:val="single" w:sz="8" w:space="0" w:color="FFFFFF"/>
              <w:bottom w:val="single" w:sz="8" w:space="0" w:color="FFFFFF"/>
              <w:right w:val="single" w:sz="8" w:space="0" w:color="FFFFFF"/>
            </w:tcBorders>
            <w:shd w:val="clear" w:color="auto" w:fill="auto"/>
            <w:noWrap/>
            <w:vAlign w:val="center"/>
            <w:hideMark/>
          </w:tcPr>
          <w:p w14:paraId="1E26CA37" w14:textId="40E8B4A8"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Men</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512854E2" w14:textId="52CDF7C9"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134D35B9"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53,9</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1412C8F6"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11,8</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2FB4352C"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46,1</w:t>
            </w:r>
          </w:p>
        </w:tc>
      </w:tr>
      <w:tr w:rsidR="00721E67" w:rsidRPr="00975B66" w14:paraId="3FA8D690" w14:textId="77777777" w:rsidTr="006D2F2C">
        <w:trPr>
          <w:trHeight w:val="342"/>
          <w:jc w:val="center"/>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5DFA61D3"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FFFFFF"/>
              <w:right w:val="single" w:sz="8" w:space="0" w:color="FFFFFF"/>
            </w:tcBorders>
            <w:vAlign w:val="center"/>
            <w:hideMark/>
          </w:tcPr>
          <w:p w14:paraId="6987BDE2"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178C65F7" w14:textId="380B5A63" w:rsidR="00721E67" w:rsidRPr="00DC7791" w:rsidRDefault="00772275" w:rsidP="00C03BC2">
            <w:pPr>
              <w:rPr>
                <w:rFonts w:ascii="Verdana" w:eastAsia="Times New Roman" w:hAnsi="Verdana" w:cs="Calibri"/>
                <w:color w:val="366092"/>
                <w:sz w:val="18"/>
                <w:szCs w:val="18"/>
              </w:rPr>
            </w:pPr>
            <w:r w:rsidRPr="00772275">
              <w:rPr>
                <w:rFonts w:ascii="Verdana" w:eastAsia="Times New Roman" w:hAnsi="Verdana" w:cs="Calibri"/>
                <w:color w:val="366092"/>
                <w:sz w:val="18"/>
                <w:szCs w:val="18"/>
              </w:rPr>
              <w:t>EU-27</w:t>
            </w:r>
          </w:p>
        </w:tc>
        <w:tc>
          <w:tcPr>
            <w:tcW w:w="1623" w:type="dxa"/>
            <w:tcBorders>
              <w:top w:val="nil"/>
              <w:left w:val="nil"/>
              <w:bottom w:val="single" w:sz="8" w:space="0" w:color="FFFFFF"/>
              <w:right w:val="single" w:sz="8" w:space="0" w:color="FFFFFF"/>
            </w:tcBorders>
            <w:shd w:val="clear" w:color="auto" w:fill="auto"/>
            <w:noWrap/>
            <w:vAlign w:val="center"/>
            <w:hideMark/>
          </w:tcPr>
          <w:p w14:paraId="00306690"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47,0</w:t>
            </w:r>
          </w:p>
        </w:tc>
        <w:tc>
          <w:tcPr>
            <w:tcW w:w="1623" w:type="dxa"/>
            <w:tcBorders>
              <w:top w:val="nil"/>
              <w:left w:val="nil"/>
              <w:bottom w:val="single" w:sz="8" w:space="0" w:color="FFFFFF"/>
              <w:right w:val="single" w:sz="8" w:space="0" w:color="FFFFFF"/>
            </w:tcBorders>
            <w:shd w:val="clear" w:color="auto" w:fill="auto"/>
            <w:noWrap/>
            <w:vAlign w:val="center"/>
            <w:hideMark/>
          </w:tcPr>
          <w:p w14:paraId="5BDB4DC5"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11,5</w:t>
            </w:r>
          </w:p>
        </w:tc>
        <w:tc>
          <w:tcPr>
            <w:tcW w:w="1623" w:type="dxa"/>
            <w:tcBorders>
              <w:top w:val="nil"/>
              <w:left w:val="nil"/>
              <w:bottom w:val="single" w:sz="8" w:space="0" w:color="FFFFFF"/>
              <w:right w:val="single" w:sz="8" w:space="0" w:color="FFFFFF"/>
            </w:tcBorders>
            <w:shd w:val="clear" w:color="auto" w:fill="auto"/>
            <w:noWrap/>
            <w:vAlign w:val="center"/>
            <w:hideMark/>
          </w:tcPr>
          <w:p w14:paraId="074365E6"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41,6</w:t>
            </w:r>
          </w:p>
        </w:tc>
      </w:tr>
      <w:tr w:rsidR="00721E67" w:rsidRPr="00975B66" w14:paraId="133B428D" w14:textId="77777777" w:rsidTr="006D2F2C">
        <w:trPr>
          <w:trHeight w:val="342"/>
          <w:jc w:val="center"/>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4B3C1A05"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val="restart"/>
            <w:tcBorders>
              <w:top w:val="nil"/>
              <w:left w:val="single" w:sz="8" w:space="0" w:color="FFFFFF"/>
              <w:bottom w:val="single" w:sz="8" w:space="0" w:color="365F91"/>
              <w:right w:val="single" w:sz="8" w:space="0" w:color="FFFFFF"/>
            </w:tcBorders>
            <w:shd w:val="clear" w:color="auto" w:fill="auto"/>
            <w:noWrap/>
            <w:vAlign w:val="center"/>
            <w:hideMark/>
          </w:tcPr>
          <w:p w14:paraId="5BBF0523" w14:textId="3A51A029"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Women</w:t>
            </w:r>
          </w:p>
        </w:tc>
        <w:tc>
          <w:tcPr>
            <w:tcW w:w="1124" w:type="dxa"/>
            <w:tcBorders>
              <w:top w:val="nil"/>
              <w:left w:val="nil"/>
              <w:bottom w:val="single" w:sz="8" w:space="0" w:color="FFFFFF"/>
              <w:right w:val="single" w:sz="8" w:space="0" w:color="FFFFFF"/>
            </w:tcBorders>
            <w:shd w:val="clear" w:color="auto" w:fill="auto"/>
            <w:noWrap/>
            <w:vAlign w:val="center"/>
            <w:hideMark/>
          </w:tcPr>
          <w:p w14:paraId="4A34E8F4" w14:textId="3843FE3B"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nil"/>
              <w:left w:val="nil"/>
              <w:bottom w:val="single" w:sz="8" w:space="0" w:color="FFFFFF"/>
              <w:right w:val="single" w:sz="8" w:space="0" w:color="FFFFFF"/>
            </w:tcBorders>
            <w:shd w:val="clear" w:color="auto" w:fill="auto"/>
            <w:noWrap/>
            <w:vAlign w:val="center"/>
            <w:hideMark/>
          </w:tcPr>
          <w:p w14:paraId="6AD9BF4A"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40,3</w:t>
            </w:r>
          </w:p>
        </w:tc>
        <w:tc>
          <w:tcPr>
            <w:tcW w:w="1623" w:type="dxa"/>
            <w:tcBorders>
              <w:top w:val="nil"/>
              <w:left w:val="nil"/>
              <w:bottom w:val="single" w:sz="8" w:space="0" w:color="FFFFFF"/>
              <w:right w:val="single" w:sz="8" w:space="0" w:color="FFFFFF"/>
            </w:tcBorders>
            <w:shd w:val="clear" w:color="auto" w:fill="auto"/>
            <w:noWrap/>
            <w:vAlign w:val="center"/>
            <w:hideMark/>
          </w:tcPr>
          <w:p w14:paraId="3E8C743E"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12,2</w:t>
            </w:r>
          </w:p>
        </w:tc>
        <w:tc>
          <w:tcPr>
            <w:tcW w:w="1623" w:type="dxa"/>
            <w:tcBorders>
              <w:top w:val="nil"/>
              <w:left w:val="nil"/>
              <w:bottom w:val="single" w:sz="8" w:space="0" w:color="FFFFFF"/>
              <w:right w:val="single" w:sz="8" w:space="0" w:color="FFFFFF"/>
            </w:tcBorders>
            <w:shd w:val="clear" w:color="auto" w:fill="auto"/>
            <w:noWrap/>
            <w:vAlign w:val="center"/>
            <w:hideMark/>
          </w:tcPr>
          <w:p w14:paraId="2D5439D4"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32,8</w:t>
            </w:r>
          </w:p>
        </w:tc>
      </w:tr>
      <w:tr w:rsidR="00721E67" w:rsidRPr="00975B66" w14:paraId="02099A24" w14:textId="77777777" w:rsidTr="006D2F2C">
        <w:trPr>
          <w:trHeight w:val="342"/>
          <w:jc w:val="center"/>
        </w:trPr>
        <w:tc>
          <w:tcPr>
            <w:tcW w:w="1854" w:type="dxa"/>
            <w:tcBorders>
              <w:top w:val="nil"/>
              <w:left w:val="single" w:sz="8" w:space="0" w:color="FFFFFF"/>
              <w:bottom w:val="single" w:sz="8" w:space="0" w:color="366092"/>
              <w:right w:val="single" w:sz="8" w:space="0" w:color="FFFFFF"/>
            </w:tcBorders>
            <w:shd w:val="clear" w:color="auto" w:fill="auto"/>
            <w:noWrap/>
            <w:vAlign w:val="bottom"/>
            <w:hideMark/>
          </w:tcPr>
          <w:p w14:paraId="6374C81A"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366092"/>
              <w:right w:val="single" w:sz="8" w:space="0" w:color="FFFFFF"/>
            </w:tcBorders>
            <w:vAlign w:val="center"/>
            <w:hideMark/>
          </w:tcPr>
          <w:p w14:paraId="122D8615"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366092"/>
              <w:right w:val="single" w:sz="8" w:space="0" w:color="FFFFFF"/>
            </w:tcBorders>
            <w:shd w:val="clear" w:color="auto" w:fill="auto"/>
            <w:noWrap/>
            <w:vAlign w:val="center"/>
            <w:hideMark/>
          </w:tcPr>
          <w:p w14:paraId="777D9809" w14:textId="187BCE6A"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366092"/>
              <w:right w:val="single" w:sz="8" w:space="0" w:color="FFFFFF"/>
            </w:tcBorders>
            <w:shd w:val="clear" w:color="auto" w:fill="auto"/>
            <w:noWrap/>
            <w:vAlign w:val="center"/>
            <w:hideMark/>
          </w:tcPr>
          <w:p w14:paraId="283E8B41"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48,0</w:t>
            </w:r>
          </w:p>
        </w:tc>
        <w:tc>
          <w:tcPr>
            <w:tcW w:w="1623" w:type="dxa"/>
            <w:tcBorders>
              <w:top w:val="nil"/>
              <w:left w:val="nil"/>
              <w:bottom w:val="single" w:sz="8" w:space="0" w:color="366092"/>
              <w:right w:val="single" w:sz="8" w:space="0" w:color="FFFFFF"/>
            </w:tcBorders>
            <w:shd w:val="clear" w:color="auto" w:fill="auto"/>
            <w:noWrap/>
            <w:vAlign w:val="center"/>
            <w:hideMark/>
          </w:tcPr>
          <w:p w14:paraId="02710B5E"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13,0</w:t>
            </w:r>
          </w:p>
        </w:tc>
        <w:tc>
          <w:tcPr>
            <w:tcW w:w="1623" w:type="dxa"/>
            <w:tcBorders>
              <w:top w:val="nil"/>
              <w:left w:val="nil"/>
              <w:bottom w:val="single" w:sz="8" w:space="0" w:color="366092"/>
              <w:right w:val="single" w:sz="8" w:space="0" w:color="FFFFFF"/>
            </w:tcBorders>
            <w:shd w:val="clear" w:color="auto" w:fill="auto"/>
            <w:noWrap/>
            <w:vAlign w:val="center"/>
            <w:hideMark/>
          </w:tcPr>
          <w:p w14:paraId="45CDC4F4"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42,0</w:t>
            </w:r>
          </w:p>
        </w:tc>
      </w:tr>
      <w:tr w:rsidR="00721E67" w:rsidRPr="00975B66" w14:paraId="7859AAA7" w14:textId="77777777" w:rsidTr="006D2F2C">
        <w:trPr>
          <w:trHeight w:val="342"/>
          <w:jc w:val="center"/>
        </w:trPr>
        <w:tc>
          <w:tcPr>
            <w:tcW w:w="1854" w:type="dxa"/>
            <w:tcBorders>
              <w:top w:val="single" w:sz="8" w:space="0" w:color="366092"/>
              <w:left w:val="single" w:sz="8" w:space="0" w:color="FFFFFF"/>
              <w:bottom w:val="single" w:sz="8" w:space="0" w:color="FFFFFF"/>
              <w:right w:val="single" w:sz="8" w:space="0" w:color="FFFFFF"/>
            </w:tcBorders>
            <w:shd w:val="clear" w:color="auto" w:fill="auto"/>
            <w:noWrap/>
            <w:vAlign w:val="bottom"/>
            <w:hideMark/>
          </w:tcPr>
          <w:p w14:paraId="456B04DC" w14:textId="3C1551DE"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Age</w:t>
            </w:r>
          </w:p>
        </w:tc>
        <w:tc>
          <w:tcPr>
            <w:tcW w:w="1721" w:type="dxa"/>
            <w:vMerge w:val="restart"/>
            <w:tcBorders>
              <w:top w:val="single" w:sz="8" w:space="0" w:color="366092"/>
              <w:left w:val="single" w:sz="8" w:space="0" w:color="FFFFFF"/>
              <w:bottom w:val="single" w:sz="8" w:space="0" w:color="FFFFFF"/>
              <w:right w:val="single" w:sz="8" w:space="0" w:color="FFFFFF"/>
            </w:tcBorders>
            <w:shd w:val="clear" w:color="auto" w:fill="auto"/>
            <w:noWrap/>
            <w:vAlign w:val="center"/>
            <w:hideMark/>
          </w:tcPr>
          <w:p w14:paraId="35A64517"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18-24</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46B553AE" w14:textId="0AA01BB2"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35580943"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76,6</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0D681B05"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61,6</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6DE153D3"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34,6</w:t>
            </w:r>
          </w:p>
        </w:tc>
      </w:tr>
      <w:tr w:rsidR="00721E67" w:rsidRPr="00975B66" w14:paraId="354E7715" w14:textId="77777777" w:rsidTr="006D2F2C">
        <w:trPr>
          <w:trHeight w:val="342"/>
          <w:jc w:val="center"/>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22F4C32E"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FFFFFF"/>
              <w:right w:val="single" w:sz="8" w:space="0" w:color="FFFFFF"/>
            </w:tcBorders>
            <w:vAlign w:val="center"/>
            <w:hideMark/>
          </w:tcPr>
          <w:p w14:paraId="22F06E97"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7CCF5724" w14:textId="5B0A6083"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FFFFFF"/>
              <w:right w:val="single" w:sz="8" w:space="0" w:color="FFFFFF"/>
            </w:tcBorders>
            <w:shd w:val="clear" w:color="auto" w:fill="auto"/>
            <w:noWrap/>
            <w:vAlign w:val="center"/>
            <w:hideMark/>
          </w:tcPr>
          <w:p w14:paraId="394EFA70"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79,8</w:t>
            </w:r>
          </w:p>
        </w:tc>
        <w:tc>
          <w:tcPr>
            <w:tcW w:w="1623" w:type="dxa"/>
            <w:tcBorders>
              <w:top w:val="nil"/>
              <w:left w:val="nil"/>
              <w:bottom w:val="single" w:sz="8" w:space="0" w:color="FFFFFF"/>
              <w:right w:val="single" w:sz="8" w:space="0" w:color="FFFFFF"/>
            </w:tcBorders>
            <w:shd w:val="clear" w:color="auto" w:fill="auto"/>
            <w:noWrap/>
            <w:vAlign w:val="center"/>
            <w:hideMark/>
          </w:tcPr>
          <w:p w14:paraId="25EA65FE"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64,3</w:t>
            </w:r>
          </w:p>
        </w:tc>
        <w:tc>
          <w:tcPr>
            <w:tcW w:w="1623" w:type="dxa"/>
            <w:tcBorders>
              <w:top w:val="nil"/>
              <w:left w:val="nil"/>
              <w:bottom w:val="single" w:sz="8" w:space="0" w:color="FFFFFF"/>
              <w:right w:val="single" w:sz="8" w:space="0" w:color="FFFFFF"/>
            </w:tcBorders>
            <w:shd w:val="clear" w:color="auto" w:fill="auto"/>
            <w:noWrap/>
            <w:vAlign w:val="center"/>
            <w:hideMark/>
          </w:tcPr>
          <w:p w14:paraId="2C5789CE"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47,6</w:t>
            </w:r>
          </w:p>
        </w:tc>
      </w:tr>
      <w:tr w:rsidR="00721E67" w:rsidRPr="00975B66" w14:paraId="30456E5E" w14:textId="77777777" w:rsidTr="006D2F2C">
        <w:trPr>
          <w:trHeight w:val="342"/>
          <w:jc w:val="center"/>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1E3B32E7"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val="restart"/>
            <w:tcBorders>
              <w:top w:val="nil"/>
              <w:left w:val="single" w:sz="8" w:space="0" w:color="FFFFFF"/>
              <w:bottom w:val="single" w:sz="8" w:space="0" w:color="FFFFFF"/>
              <w:right w:val="single" w:sz="8" w:space="0" w:color="FFFFFF"/>
            </w:tcBorders>
            <w:shd w:val="clear" w:color="auto" w:fill="auto"/>
            <w:noWrap/>
            <w:vAlign w:val="center"/>
            <w:hideMark/>
          </w:tcPr>
          <w:p w14:paraId="601C8C53"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25-34</w:t>
            </w:r>
          </w:p>
        </w:tc>
        <w:tc>
          <w:tcPr>
            <w:tcW w:w="1124" w:type="dxa"/>
            <w:tcBorders>
              <w:top w:val="nil"/>
              <w:left w:val="nil"/>
              <w:bottom w:val="single" w:sz="8" w:space="0" w:color="FFFFFF"/>
              <w:right w:val="single" w:sz="8" w:space="0" w:color="FFFFFF"/>
            </w:tcBorders>
            <w:shd w:val="clear" w:color="auto" w:fill="auto"/>
            <w:noWrap/>
            <w:vAlign w:val="center"/>
            <w:hideMark/>
          </w:tcPr>
          <w:p w14:paraId="42404623" w14:textId="7EF42463"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nil"/>
              <w:left w:val="nil"/>
              <w:bottom w:val="single" w:sz="8" w:space="0" w:color="FFFFFF"/>
              <w:right w:val="single" w:sz="8" w:space="0" w:color="FFFFFF"/>
            </w:tcBorders>
            <w:shd w:val="clear" w:color="auto" w:fill="auto"/>
            <w:noWrap/>
            <w:vAlign w:val="center"/>
            <w:hideMark/>
          </w:tcPr>
          <w:p w14:paraId="36CF7B77"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56,0</w:t>
            </w:r>
          </w:p>
        </w:tc>
        <w:tc>
          <w:tcPr>
            <w:tcW w:w="1623" w:type="dxa"/>
            <w:tcBorders>
              <w:top w:val="nil"/>
              <w:left w:val="nil"/>
              <w:bottom w:val="single" w:sz="8" w:space="0" w:color="FFFFFF"/>
              <w:right w:val="single" w:sz="8" w:space="0" w:color="FFFFFF"/>
            </w:tcBorders>
            <w:shd w:val="clear" w:color="auto" w:fill="auto"/>
            <w:noWrap/>
            <w:vAlign w:val="center"/>
            <w:hideMark/>
          </w:tcPr>
          <w:p w14:paraId="50C05A66"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10,6</w:t>
            </w:r>
          </w:p>
        </w:tc>
        <w:tc>
          <w:tcPr>
            <w:tcW w:w="1623" w:type="dxa"/>
            <w:tcBorders>
              <w:top w:val="nil"/>
              <w:left w:val="nil"/>
              <w:bottom w:val="single" w:sz="8" w:space="0" w:color="FFFFFF"/>
              <w:right w:val="single" w:sz="8" w:space="0" w:color="FFFFFF"/>
            </w:tcBorders>
            <w:shd w:val="clear" w:color="auto" w:fill="auto"/>
            <w:noWrap/>
            <w:vAlign w:val="center"/>
            <w:hideMark/>
          </w:tcPr>
          <w:p w14:paraId="7E58D08B"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49,5</w:t>
            </w:r>
          </w:p>
        </w:tc>
      </w:tr>
      <w:tr w:rsidR="00721E67" w:rsidRPr="00975B66" w14:paraId="1E5C7EE9" w14:textId="77777777" w:rsidTr="006D2F2C">
        <w:trPr>
          <w:trHeight w:val="342"/>
          <w:jc w:val="center"/>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72A7C803"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FFFFFF"/>
              <w:right w:val="single" w:sz="8" w:space="0" w:color="FFFFFF"/>
            </w:tcBorders>
            <w:vAlign w:val="center"/>
            <w:hideMark/>
          </w:tcPr>
          <w:p w14:paraId="29B12050"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0B317568" w14:textId="716AE53A"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FFFFFF"/>
              <w:right w:val="single" w:sz="8" w:space="0" w:color="FFFFFF"/>
            </w:tcBorders>
            <w:shd w:val="clear" w:color="auto" w:fill="auto"/>
            <w:noWrap/>
            <w:vAlign w:val="center"/>
            <w:hideMark/>
          </w:tcPr>
          <w:p w14:paraId="0371D02E"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56,5</w:t>
            </w:r>
          </w:p>
        </w:tc>
        <w:tc>
          <w:tcPr>
            <w:tcW w:w="1623" w:type="dxa"/>
            <w:tcBorders>
              <w:top w:val="nil"/>
              <w:left w:val="nil"/>
              <w:bottom w:val="single" w:sz="8" w:space="0" w:color="FFFFFF"/>
              <w:right w:val="single" w:sz="8" w:space="0" w:color="FFFFFF"/>
            </w:tcBorders>
            <w:shd w:val="clear" w:color="auto" w:fill="auto"/>
            <w:noWrap/>
            <w:vAlign w:val="center"/>
            <w:hideMark/>
          </w:tcPr>
          <w:p w14:paraId="404C2D6F"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16,0</w:t>
            </w:r>
          </w:p>
        </w:tc>
        <w:tc>
          <w:tcPr>
            <w:tcW w:w="1623" w:type="dxa"/>
            <w:tcBorders>
              <w:top w:val="nil"/>
              <w:left w:val="nil"/>
              <w:bottom w:val="single" w:sz="8" w:space="0" w:color="FFFFFF"/>
              <w:right w:val="single" w:sz="8" w:space="0" w:color="FFFFFF"/>
            </w:tcBorders>
            <w:shd w:val="clear" w:color="auto" w:fill="auto"/>
            <w:noWrap/>
            <w:vAlign w:val="center"/>
            <w:hideMark/>
          </w:tcPr>
          <w:p w14:paraId="4577C20E"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49,7</w:t>
            </w:r>
          </w:p>
        </w:tc>
      </w:tr>
      <w:tr w:rsidR="00721E67" w:rsidRPr="00975B66" w14:paraId="27545D78" w14:textId="77777777" w:rsidTr="006D2F2C">
        <w:trPr>
          <w:trHeight w:val="342"/>
          <w:jc w:val="center"/>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5D7D72BB"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val="restart"/>
            <w:tcBorders>
              <w:top w:val="nil"/>
              <w:left w:val="single" w:sz="8" w:space="0" w:color="FFFFFF"/>
              <w:bottom w:val="single" w:sz="8" w:space="0" w:color="FFFFFF"/>
              <w:right w:val="single" w:sz="8" w:space="0" w:color="FFFFFF"/>
            </w:tcBorders>
            <w:shd w:val="clear" w:color="auto" w:fill="auto"/>
            <w:noWrap/>
            <w:vAlign w:val="center"/>
            <w:hideMark/>
          </w:tcPr>
          <w:p w14:paraId="30A751B7"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35-54</w:t>
            </w:r>
          </w:p>
        </w:tc>
        <w:tc>
          <w:tcPr>
            <w:tcW w:w="1124" w:type="dxa"/>
            <w:tcBorders>
              <w:top w:val="nil"/>
              <w:left w:val="nil"/>
              <w:bottom w:val="single" w:sz="8" w:space="0" w:color="FFFFFF"/>
              <w:right w:val="single" w:sz="8" w:space="0" w:color="FFFFFF"/>
            </w:tcBorders>
            <w:shd w:val="clear" w:color="auto" w:fill="auto"/>
            <w:noWrap/>
            <w:vAlign w:val="center"/>
            <w:hideMark/>
          </w:tcPr>
          <w:p w14:paraId="1DF6B4E5" w14:textId="5EE4BD9B"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nil"/>
              <w:left w:val="nil"/>
              <w:bottom w:val="single" w:sz="8" w:space="0" w:color="FFFFFF"/>
              <w:right w:val="single" w:sz="8" w:space="0" w:color="FFFFFF"/>
            </w:tcBorders>
            <w:shd w:val="clear" w:color="auto" w:fill="auto"/>
            <w:noWrap/>
            <w:vAlign w:val="center"/>
            <w:hideMark/>
          </w:tcPr>
          <w:p w14:paraId="1C867FBF"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47,1</w:t>
            </w:r>
          </w:p>
        </w:tc>
        <w:tc>
          <w:tcPr>
            <w:tcW w:w="1623" w:type="dxa"/>
            <w:tcBorders>
              <w:top w:val="nil"/>
              <w:left w:val="nil"/>
              <w:bottom w:val="single" w:sz="8" w:space="0" w:color="FFFFFF"/>
              <w:right w:val="single" w:sz="8" w:space="0" w:color="FFFFFF"/>
            </w:tcBorders>
            <w:shd w:val="clear" w:color="auto" w:fill="auto"/>
            <w:noWrap/>
            <w:vAlign w:val="center"/>
            <w:hideMark/>
          </w:tcPr>
          <w:p w14:paraId="6EDF91F5"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2,6</w:t>
            </w:r>
          </w:p>
        </w:tc>
        <w:tc>
          <w:tcPr>
            <w:tcW w:w="1623" w:type="dxa"/>
            <w:tcBorders>
              <w:top w:val="nil"/>
              <w:left w:val="nil"/>
              <w:bottom w:val="single" w:sz="8" w:space="0" w:color="FFFFFF"/>
              <w:right w:val="single" w:sz="8" w:space="0" w:color="FFFFFF"/>
            </w:tcBorders>
            <w:shd w:val="clear" w:color="auto" w:fill="auto"/>
            <w:noWrap/>
            <w:vAlign w:val="center"/>
            <w:hideMark/>
          </w:tcPr>
          <w:p w14:paraId="11EF6077"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46,3</w:t>
            </w:r>
          </w:p>
        </w:tc>
      </w:tr>
      <w:tr w:rsidR="00721E67" w:rsidRPr="00975B66" w14:paraId="7C7D4CDC" w14:textId="77777777" w:rsidTr="006D2F2C">
        <w:trPr>
          <w:trHeight w:val="342"/>
          <w:jc w:val="center"/>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6A928CD3"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FFFFFF"/>
              <w:right w:val="single" w:sz="8" w:space="0" w:color="FFFFFF"/>
            </w:tcBorders>
            <w:vAlign w:val="center"/>
            <w:hideMark/>
          </w:tcPr>
          <w:p w14:paraId="13315864"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6718B0B8" w14:textId="5AE06CFA"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FFFFFF"/>
              <w:right w:val="single" w:sz="8" w:space="0" w:color="FFFFFF"/>
            </w:tcBorders>
            <w:shd w:val="clear" w:color="auto" w:fill="auto"/>
            <w:noWrap/>
            <w:vAlign w:val="center"/>
            <w:hideMark/>
          </w:tcPr>
          <w:p w14:paraId="39406C1E"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48,0</w:t>
            </w:r>
          </w:p>
        </w:tc>
        <w:tc>
          <w:tcPr>
            <w:tcW w:w="1623" w:type="dxa"/>
            <w:tcBorders>
              <w:top w:val="nil"/>
              <w:left w:val="nil"/>
              <w:bottom w:val="single" w:sz="8" w:space="0" w:color="FFFFFF"/>
              <w:right w:val="single" w:sz="8" w:space="0" w:color="FFFFFF"/>
            </w:tcBorders>
            <w:shd w:val="clear" w:color="auto" w:fill="auto"/>
            <w:noWrap/>
            <w:vAlign w:val="center"/>
            <w:hideMark/>
          </w:tcPr>
          <w:p w14:paraId="77809C9A"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w:t>
            </w:r>
          </w:p>
        </w:tc>
        <w:tc>
          <w:tcPr>
            <w:tcW w:w="1623" w:type="dxa"/>
            <w:tcBorders>
              <w:top w:val="nil"/>
              <w:left w:val="nil"/>
              <w:bottom w:val="single" w:sz="8" w:space="0" w:color="FFFFFF"/>
              <w:right w:val="single" w:sz="8" w:space="0" w:color="FFFFFF"/>
            </w:tcBorders>
            <w:shd w:val="clear" w:color="auto" w:fill="auto"/>
            <w:noWrap/>
            <w:vAlign w:val="center"/>
            <w:hideMark/>
          </w:tcPr>
          <w:p w14:paraId="1C04BAC1"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46,2</w:t>
            </w:r>
          </w:p>
        </w:tc>
      </w:tr>
      <w:tr w:rsidR="00721E67" w:rsidRPr="00975B66" w14:paraId="7EBA14FB" w14:textId="77777777" w:rsidTr="006D2F2C">
        <w:trPr>
          <w:trHeight w:val="342"/>
          <w:jc w:val="center"/>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6DFA9073"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val="restart"/>
            <w:tcBorders>
              <w:top w:val="nil"/>
              <w:left w:val="single" w:sz="8" w:space="0" w:color="FFFFFF"/>
              <w:bottom w:val="nil"/>
              <w:right w:val="single" w:sz="8" w:space="0" w:color="FFFFFF"/>
            </w:tcBorders>
            <w:shd w:val="clear" w:color="auto" w:fill="auto"/>
            <w:noWrap/>
            <w:vAlign w:val="center"/>
            <w:hideMark/>
          </w:tcPr>
          <w:p w14:paraId="408487C9"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55-69</w:t>
            </w:r>
          </w:p>
        </w:tc>
        <w:tc>
          <w:tcPr>
            <w:tcW w:w="1124" w:type="dxa"/>
            <w:tcBorders>
              <w:top w:val="nil"/>
              <w:left w:val="nil"/>
              <w:bottom w:val="single" w:sz="8" w:space="0" w:color="FFFFFF"/>
              <w:right w:val="single" w:sz="8" w:space="0" w:color="FFFFFF"/>
            </w:tcBorders>
            <w:shd w:val="clear" w:color="auto" w:fill="auto"/>
            <w:noWrap/>
            <w:vAlign w:val="center"/>
            <w:hideMark/>
          </w:tcPr>
          <w:p w14:paraId="3759F52C" w14:textId="3A747C5E"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nil"/>
              <w:left w:val="nil"/>
              <w:bottom w:val="single" w:sz="8" w:space="0" w:color="FFFFFF"/>
              <w:right w:val="single" w:sz="8" w:space="0" w:color="FFFFFF"/>
            </w:tcBorders>
            <w:shd w:val="clear" w:color="auto" w:fill="auto"/>
            <w:noWrap/>
            <w:vAlign w:val="center"/>
            <w:hideMark/>
          </w:tcPr>
          <w:p w14:paraId="111F79F2"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20,4</w:t>
            </w:r>
          </w:p>
        </w:tc>
        <w:tc>
          <w:tcPr>
            <w:tcW w:w="1623" w:type="dxa"/>
            <w:tcBorders>
              <w:top w:val="nil"/>
              <w:left w:val="nil"/>
              <w:bottom w:val="single" w:sz="8" w:space="0" w:color="FFFFFF"/>
              <w:right w:val="single" w:sz="8" w:space="0" w:color="FFFFFF"/>
            </w:tcBorders>
            <w:shd w:val="clear" w:color="auto" w:fill="auto"/>
            <w:noWrap/>
            <w:vAlign w:val="center"/>
            <w:hideMark/>
          </w:tcPr>
          <w:p w14:paraId="7F95EE09" w14:textId="77777777" w:rsidR="00721E67" w:rsidRPr="00DC7791" w:rsidRDefault="00721E67" w:rsidP="00C03BC2">
            <w:pPr>
              <w:ind w:right="454"/>
              <w:jc w:val="right"/>
              <w:rPr>
                <w:rFonts w:ascii="Verdana" w:eastAsia="Times New Roman" w:hAnsi="Verdana" w:cs="Calibri"/>
                <w:color w:val="366092"/>
                <w:sz w:val="18"/>
                <w:szCs w:val="18"/>
              </w:rPr>
            </w:pPr>
            <w:r>
              <w:rPr>
                <w:rFonts w:ascii="Verdana" w:eastAsia="Times New Roman" w:hAnsi="Verdana" w:cs="Calibri"/>
                <w:color w:val="366092"/>
                <w:sz w:val="18"/>
                <w:szCs w:val="18"/>
              </w:rPr>
              <w:t>u</w:t>
            </w:r>
          </w:p>
        </w:tc>
        <w:tc>
          <w:tcPr>
            <w:tcW w:w="1623" w:type="dxa"/>
            <w:tcBorders>
              <w:top w:val="nil"/>
              <w:left w:val="nil"/>
              <w:bottom w:val="single" w:sz="8" w:space="0" w:color="FFFFFF"/>
              <w:right w:val="single" w:sz="8" w:space="0" w:color="FFFFFF"/>
            </w:tcBorders>
            <w:shd w:val="clear" w:color="auto" w:fill="auto"/>
            <w:noWrap/>
            <w:vAlign w:val="center"/>
            <w:hideMark/>
          </w:tcPr>
          <w:p w14:paraId="35D9C728"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20,2</w:t>
            </w:r>
          </w:p>
        </w:tc>
      </w:tr>
      <w:tr w:rsidR="00721E67" w:rsidRPr="00975B66" w14:paraId="5BAA39C6" w14:textId="77777777" w:rsidTr="006D2F2C">
        <w:trPr>
          <w:trHeight w:val="342"/>
          <w:jc w:val="center"/>
        </w:trPr>
        <w:tc>
          <w:tcPr>
            <w:tcW w:w="1854" w:type="dxa"/>
            <w:tcBorders>
              <w:top w:val="nil"/>
              <w:left w:val="single" w:sz="8" w:space="0" w:color="FFFFFF"/>
              <w:bottom w:val="single" w:sz="8" w:space="0" w:color="366092"/>
              <w:right w:val="single" w:sz="8" w:space="0" w:color="FFFFFF"/>
            </w:tcBorders>
            <w:shd w:val="clear" w:color="auto" w:fill="auto"/>
            <w:noWrap/>
            <w:vAlign w:val="bottom"/>
            <w:hideMark/>
          </w:tcPr>
          <w:p w14:paraId="43C3DE04" w14:textId="77777777" w:rsidR="00721E67" w:rsidRPr="00DC7791" w:rsidRDefault="00721E67" w:rsidP="00C03BC2">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366092"/>
              <w:right w:val="single" w:sz="8" w:space="0" w:color="FFFFFF"/>
            </w:tcBorders>
            <w:vAlign w:val="center"/>
            <w:hideMark/>
          </w:tcPr>
          <w:p w14:paraId="4C290A9B"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366092"/>
              <w:right w:val="single" w:sz="8" w:space="0" w:color="FFFFFF"/>
            </w:tcBorders>
            <w:shd w:val="clear" w:color="auto" w:fill="auto"/>
            <w:noWrap/>
            <w:vAlign w:val="center"/>
            <w:hideMark/>
          </w:tcPr>
          <w:p w14:paraId="5D88BD44" w14:textId="0985D0ED"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366092"/>
              <w:right w:val="single" w:sz="8" w:space="0" w:color="FFFFFF"/>
            </w:tcBorders>
            <w:shd w:val="clear" w:color="auto" w:fill="auto"/>
            <w:noWrap/>
            <w:vAlign w:val="center"/>
            <w:hideMark/>
          </w:tcPr>
          <w:p w14:paraId="61D1B530"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29,4</w:t>
            </w:r>
          </w:p>
        </w:tc>
        <w:tc>
          <w:tcPr>
            <w:tcW w:w="1623" w:type="dxa"/>
            <w:tcBorders>
              <w:top w:val="nil"/>
              <w:left w:val="nil"/>
              <w:bottom w:val="single" w:sz="8" w:space="0" w:color="366092"/>
              <w:right w:val="single" w:sz="8" w:space="0" w:color="FFFFFF"/>
            </w:tcBorders>
            <w:shd w:val="clear" w:color="auto" w:fill="auto"/>
            <w:noWrap/>
            <w:vAlign w:val="center"/>
            <w:hideMark/>
          </w:tcPr>
          <w:p w14:paraId="4520EA53"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w:t>
            </w:r>
          </w:p>
        </w:tc>
        <w:tc>
          <w:tcPr>
            <w:tcW w:w="1623" w:type="dxa"/>
            <w:tcBorders>
              <w:top w:val="nil"/>
              <w:left w:val="nil"/>
              <w:bottom w:val="single" w:sz="8" w:space="0" w:color="366092"/>
              <w:right w:val="single" w:sz="8" w:space="0" w:color="FFFFFF"/>
            </w:tcBorders>
            <w:shd w:val="clear" w:color="auto" w:fill="auto"/>
            <w:noWrap/>
            <w:vAlign w:val="center"/>
            <w:hideMark/>
          </w:tcPr>
          <w:p w14:paraId="1ACA3D9C"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28,8</w:t>
            </w:r>
          </w:p>
        </w:tc>
      </w:tr>
      <w:tr w:rsidR="00721E67" w:rsidRPr="00975B66" w14:paraId="6250D62F" w14:textId="77777777" w:rsidTr="006D2F2C">
        <w:trPr>
          <w:trHeight w:val="342"/>
          <w:jc w:val="center"/>
        </w:trPr>
        <w:tc>
          <w:tcPr>
            <w:tcW w:w="1854" w:type="dxa"/>
            <w:vMerge w:val="restart"/>
            <w:tcBorders>
              <w:top w:val="single" w:sz="8" w:space="0" w:color="366092"/>
              <w:left w:val="single" w:sz="8" w:space="0" w:color="FFFFFF"/>
              <w:bottom w:val="single" w:sz="8" w:space="0" w:color="365F91"/>
              <w:right w:val="single" w:sz="8" w:space="0" w:color="FFFFFF"/>
            </w:tcBorders>
            <w:shd w:val="clear" w:color="auto" w:fill="auto"/>
            <w:hideMark/>
          </w:tcPr>
          <w:p w14:paraId="2C77524C" w14:textId="31284D06" w:rsidR="00721E67" w:rsidRPr="00DC7791" w:rsidRDefault="00721E67" w:rsidP="00C03BC2">
            <w:pPr>
              <w:rPr>
                <w:rFonts w:ascii="Verdana" w:eastAsia="Times New Roman" w:hAnsi="Verdana" w:cs="Calibri"/>
                <w:color w:val="366092"/>
                <w:sz w:val="18"/>
                <w:szCs w:val="18"/>
              </w:rPr>
            </w:pPr>
            <w:r w:rsidRPr="00721E67">
              <w:rPr>
                <w:rFonts w:ascii="Verdana" w:eastAsia="Times New Roman" w:hAnsi="Verdana" w:cs="Calibri"/>
                <w:color w:val="366092"/>
                <w:sz w:val="18"/>
                <w:szCs w:val="18"/>
              </w:rPr>
              <w:t>Employment Status</w:t>
            </w:r>
          </w:p>
        </w:tc>
        <w:tc>
          <w:tcPr>
            <w:tcW w:w="1721" w:type="dxa"/>
            <w:vMerge w:val="restart"/>
            <w:tcBorders>
              <w:top w:val="single" w:sz="8" w:space="0" w:color="366092"/>
              <w:left w:val="single" w:sz="8" w:space="0" w:color="FFFFFF"/>
              <w:bottom w:val="single" w:sz="8" w:space="0" w:color="FFFFFF"/>
              <w:right w:val="single" w:sz="8" w:space="0" w:color="FFFFFF"/>
            </w:tcBorders>
            <w:shd w:val="clear" w:color="auto" w:fill="auto"/>
            <w:noWrap/>
            <w:vAlign w:val="center"/>
            <w:hideMark/>
          </w:tcPr>
          <w:p w14:paraId="789D00A0" w14:textId="4BCE4C33"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w:t>
            </w:r>
            <w:r w:rsidRPr="00721E67">
              <w:rPr>
                <w:rFonts w:ascii="Verdana" w:eastAsia="Times New Roman" w:hAnsi="Verdana" w:cs="Calibri"/>
                <w:color w:val="366092"/>
                <w:sz w:val="18"/>
                <w:szCs w:val="18"/>
              </w:rPr>
              <w:t>mployed</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3A2E0438" w14:textId="5C9F28C5"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1264A932"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50,7</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3ABB9644"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5,3</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498083E5"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48,2</w:t>
            </w:r>
          </w:p>
        </w:tc>
      </w:tr>
      <w:tr w:rsidR="00721E67" w:rsidRPr="00975B66" w14:paraId="05359495" w14:textId="77777777" w:rsidTr="006D2F2C">
        <w:trPr>
          <w:trHeight w:val="342"/>
          <w:jc w:val="center"/>
        </w:trPr>
        <w:tc>
          <w:tcPr>
            <w:tcW w:w="1854" w:type="dxa"/>
            <w:vMerge/>
            <w:tcBorders>
              <w:top w:val="single" w:sz="8" w:space="0" w:color="365F91"/>
              <w:left w:val="single" w:sz="8" w:space="0" w:color="FFFFFF"/>
              <w:bottom w:val="single" w:sz="8" w:space="0" w:color="365F91"/>
              <w:right w:val="single" w:sz="8" w:space="0" w:color="FFFFFF"/>
            </w:tcBorders>
            <w:vAlign w:val="center"/>
            <w:hideMark/>
          </w:tcPr>
          <w:p w14:paraId="5235BBCA" w14:textId="77777777" w:rsidR="00721E67" w:rsidRPr="00DC7791" w:rsidRDefault="00721E67" w:rsidP="00C03BC2">
            <w:pPr>
              <w:rPr>
                <w:rFonts w:ascii="Verdana" w:eastAsia="Times New Roman" w:hAnsi="Verdana" w:cs="Calibri"/>
                <w:color w:val="366092"/>
                <w:sz w:val="18"/>
                <w:szCs w:val="18"/>
              </w:rPr>
            </w:pPr>
          </w:p>
        </w:tc>
        <w:tc>
          <w:tcPr>
            <w:tcW w:w="1721" w:type="dxa"/>
            <w:vMerge/>
            <w:tcBorders>
              <w:top w:val="single" w:sz="8" w:space="0" w:color="365F91"/>
              <w:left w:val="single" w:sz="8" w:space="0" w:color="FFFFFF"/>
              <w:bottom w:val="single" w:sz="8" w:space="0" w:color="FFFFFF"/>
              <w:right w:val="single" w:sz="8" w:space="0" w:color="FFFFFF"/>
            </w:tcBorders>
            <w:vAlign w:val="center"/>
            <w:hideMark/>
          </w:tcPr>
          <w:p w14:paraId="727211BE"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1D1F8C4E" w14:textId="185ACBAC"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FFFFFF"/>
              <w:right w:val="single" w:sz="8" w:space="0" w:color="FFFFFF"/>
            </w:tcBorders>
            <w:shd w:val="clear" w:color="auto" w:fill="auto"/>
            <w:noWrap/>
            <w:vAlign w:val="center"/>
            <w:hideMark/>
          </w:tcPr>
          <w:p w14:paraId="5E563D90"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54,4</w:t>
            </w:r>
          </w:p>
        </w:tc>
        <w:tc>
          <w:tcPr>
            <w:tcW w:w="1623" w:type="dxa"/>
            <w:tcBorders>
              <w:top w:val="nil"/>
              <w:left w:val="nil"/>
              <w:bottom w:val="single" w:sz="8" w:space="0" w:color="FFFFFF"/>
              <w:right w:val="single" w:sz="8" w:space="0" w:color="FFFFFF"/>
            </w:tcBorders>
            <w:shd w:val="clear" w:color="auto" w:fill="auto"/>
            <w:noWrap/>
            <w:vAlign w:val="center"/>
            <w:hideMark/>
          </w:tcPr>
          <w:p w14:paraId="2D84A41E"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7,0</w:t>
            </w:r>
          </w:p>
        </w:tc>
        <w:tc>
          <w:tcPr>
            <w:tcW w:w="1623" w:type="dxa"/>
            <w:tcBorders>
              <w:top w:val="nil"/>
              <w:left w:val="nil"/>
              <w:bottom w:val="single" w:sz="8" w:space="0" w:color="FFFFFF"/>
              <w:right w:val="single" w:sz="8" w:space="0" w:color="FFFFFF"/>
            </w:tcBorders>
            <w:shd w:val="clear" w:color="auto" w:fill="auto"/>
            <w:noWrap/>
            <w:vAlign w:val="center"/>
            <w:hideMark/>
          </w:tcPr>
          <w:p w14:paraId="5498CE77"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51,8</w:t>
            </w:r>
          </w:p>
        </w:tc>
      </w:tr>
      <w:tr w:rsidR="00721E67" w:rsidRPr="00975B66" w14:paraId="449E4CBF" w14:textId="77777777" w:rsidTr="006D2F2C">
        <w:trPr>
          <w:trHeight w:val="342"/>
          <w:jc w:val="center"/>
        </w:trPr>
        <w:tc>
          <w:tcPr>
            <w:tcW w:w="1854" w:type="dxa"/>
            <w:vMerge/>
            <w:tcBorders>
              <w:top w:val="single" w:sz="8" w:space="0" w:color="365F91"/>
              <w:left w:val="single" w:sz="8" w:space="0" w:color="FFFFFF"/>
              <w:bottom w:val="single" w:sz="8" w:space="0" w:color="365F91"/>
              <w:right w:val="single" w:sz="8" w:space="0" w:color="FFFFFF"/>
            </w:tcBorders>
            <w:vAlign w:val="center"/>
            <w:hideMark/>
          </w:tcPr>
          <w:p w14:paraId="7391DA70" w14:textId="77777777" w:rsidR="00721E67" w:rsidRPr="00DC7791" w:rsidRDefault="00721E67" w:rsidP="00C03BC2">
            <w:pPr>
              <w:rPr>
                <w:rFonts w:ascii="Verdana" w:eastAsia="Times New Roman" w:hAnsi="Verdana" w:cs="Calibri"/>
                <w:color w:val="366092"/>
                <w:sz w:val="18"/>
                <w:szCs w:val="18"/>
              </w:rPr>
            </w:pPr>
          </w:p>
        </w:tc>
        <w:tc>
          <w:tcPr>
            <w:tcW w:w="1721" w:type="dxa"/>
            <w:vMerge w:val="restart"/>
            <w:tcBorders>
              <w:top w:val="nil"/>
              <w:left w:val="single" w:sz="8" w:space="0" w:color="FFFFFF"/>
              <w:bottom w:val="single" w:sz="8" w:space="0" w:color="FFFFFF"/>
              <w:right w:val="single" w:sz="8" w:space="0" w:color="FFFFFF"/>
            </w:tcBorders>
            <w:shd w:val="clear" w:color="auto" w:fill="auto"/>
            <w:noWrap/>
            <w:vAlign w:val="center"/>
            <w:hideMark/>
          </w:tcPr>
          <w:p w14:paraId="3D75F160" w14:textId="32A50D9F" w:rsidR="00721E67" w:rsidRPr="00DC7791" w:rsidRDefault="00721E67" w:rsidP="00C03BC2">
            <w:pPr>
              <w:rPr>
                <w:rFonts w:ascii="Verdana" w:eastAsia="Times New Roman" w:hAnsi="Verdana" w:cs="Calibri"/>
                <w:color w:val="366092"/>
                <w:sz w:val="18"/>
                <w:szCs w:val="18"/>
              </w:rPr>
            </w:pPr>
            <w:r w:rsidRPr="00721E67">
              <w:rPr>
                <w:rFonts w:ascii="Verdana" w:eastAsia="Times New Roman" w:hAnsi="Verdana" w:cs="Calibri"/>
                <w:color w:val="366092"/>
                <w:sz w:val="18"/>
                <w:szCs w:val="18"/>
              </w:rPr>
              <w:t>Unemployed</w:t>
            </w:r>
          </w:p>
        </w:tc>
        <w:tc>
          <w:tcPr>
            <w:tcW w:w="1124" w:type="dxa"/>
            <w:tcBorders>
              <w:top w:val="nil"/>
              <w:left w:val="nil"/>
              <w:bottom w:val="single" w:sz="8" w:space="0" w:color="FFFFFF"/>
              <w:right w:val="single" w:sz="8" w:space="0" w:color="FFFFFF"/>
            </w:tcBorders>
            <w:shd w:val="clear" w:color="auto" w:fill="auto"/>
            <w:noWrap/>
            <w:vAlign w:val="center"/>
            <w:hideMark/>
          </w:tcPr>
          <w:p w14:paraId="70B9BEEC" w14:textId="57E23261"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nil"/>
              <w:left w:val="nil"/>
              <w:bottom w:val="single" w:sz="8" w:space="0" w:color="FFFFFF"/>
              <w:right w:val="single" w:sz="8" w:space="0" w:color="FFFFFF"/>
            </w:tcBorders>
            <w:shd w:val="clear" w:color="auto" w:fill="auto"/>
            <w:noWrap/>
            <w:vAlign w:val="center"/>
            <w:hideMark/>
          </w:tcPr>
          <w:p w14:paraId="20DE55C7"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35,0</w:t>
            </w:r>
          </w:p>
        </w:tc>
        <w:tc>
          <w:tcPr>
            <w:tcW w:w="1623" w:type="dxa"/>
            <w:tcBorders>
              <w:top w:val="nil"/>
              <w:left w:val="nil"/>
              <w:bottom w:val="single" w:sz="8" w:space="0" w:color="FFFFFF"/>
              <w:right w:val="single" w:sz="8" w:space="0" w:color="FFFFFF"/>
            </w:tcBorders>
            <w:shd w:val="clear" w:color="auto" w:fill="auto"/>
            <w:noWrap/>
            <w:vAlign w:val="center"/>
            <w:hideMark/>
          </w:tcPr>
          <w:p w14:paraId="0C8D7875"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6,2</w:t>
            </w:r>
          </w:p>
        </w:tc>
        <w:tc>
          <w:tcPr>
            <w:tcW w:w="1623" w:type="dxa"/>
            <w:tcBorders>
              <w:top w:val="nil"/>
              <w:left w:val="nil"/>
              <w:bottom w:val="single" w:sz="8" w:space="0" w:color="FFFFFF"/>
              <w:right w:val="single" w:sz="8" w:space="0" w:color="FFFFFF"/>
            </w:tcBorders>
            <w:shd w:val="clear" w:color="auto" w:fill="auto"/>
            <w:noWrap/>
            <w:vAlign w:val="center"/>
            <w:hideMark/>
          </w:tcPr>
          <w:p w14:paraId="2A52C6B8"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30,4</w:t>
            </w:r>
          </w:p>
        </w:tc>
      </w:tr>
      <w:tr w:rsidR="00721E67" w:rsidRPr="00975B66" w14:paraId="1C4C64F5" w14:textId="77777777" w:rsidTr="006D2F2C">
        <w:trPr>
          <w:trHeight w:val="342"/>
          <w:jc w:val="center"/>
        </w:trPr>
        <w:tc>
          <w:tcPr>
            <w:tcW w:w="1854" w:type="dxa"/>
            <w:vMerge/>
            <w:tcBorders>
              <w:top w:val="single" w:sz="8" w:space="0" w:color="365F91"/>
              <w:left w:val="single" w:sz="8" w:space="0" w:color="FFFFFF"/>
              <w:bottom w:val="single" w:sz="8" w:space="0" w:color="365F91"/>
              <w:right w:val="single" w:sz="8" w:space="0" w:color="FFFFFF"/>
            </w:tcBorders>
            <w:vAlign w:val="center"/>
            <w:hideMark/>
          </w:tcPr>
          <w:p w14:paraId="07F3154E" w14:textId="77777777" w:rsidR="00721E67" w:rsidRPr="00DC7791" w:rsidRDefault="00721E67" w:rsidP="00C03BC2">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FFFFFF"/>
              <w:right w:val="single" w:sz="8" w:space="0" w:color="FFFFFF"/>
            </w:tcBorders>
            <w:vAlign w:val="center"/>
            <w:hideMark/>
          </w:tcPr>
          <w:p w14:paraId="1385039E"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70E8734D" w14:textId="20969997"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FFFFFF"/>
              <w:right w:val="single" w:sz="8" w:space="0" w:color="FFFFFF"/>
            </w:tcBorders>
            <w:shd w:val="clear" w:color="auto" w:fill="auto"/>
            <w:noWrap/>
            <w:vAlign w:val="center"/>
            <w:hideMark/>
          </w:tcPr>
          <w:p w14:paraId="209C45F0"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31,6</w:t>
            </w:r>
          </w:p>
        </w:tc>
        <w:tc>
          <w:tcPr>
            <w:tcW w:w="1623" w:type="dxa"/>
            <w:tcBorders>
              <w:top w:val="nil"/>
              <w:left w:val="nil"/>
              <w:bottom w:val="single" w:sz="8" w:space="0" w:color="FFFFFF"/>
              <w:right w:val="single" w:sz="8" w:space="0" w:color="FFFFFF"/>
            </w:tcBorders>
            <w:shd w:val="clear" w:color="auto" w:fill="auto"/>
            <w:noWrap/>
            <w:vAlign w:val="center"/>
            <w:hideMark/>
          </w:tcPr>
          <w:p w14:paraId="2633D07F"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8,9</w:t>
            </w:r>
          </w:p>
        </w:tc>
        <w:tc>
          <w:tcPr>
            <w:tcW w:w="1623" w:type="dxa"/>
            <w:tcBorders>
              <w:top w:val="nil"/>
              <w:left w:val="nil"/>
              <w:bottom w:val="single" w:sz="8" w:space="0" w:color="FFFFFF"/>
              <w:right w:val="single" w:sz="8" w:space="0" w:color="FFFFFF"/>
            </w:tcBorders>
            <w:shd w:val="clear" w:color="auto" w:fill="auto"/>
            <w:noWrap/>
            <w:vAlign w:val="center"/>
            <w:hideMark/>
          </w:tcPr>
          <w:p w14:paraId="2CD2567B"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26,3</w:t>
            </w:r>
          </w:p>
        </w:tc>
      </w:tr>
      <w:tr w:rsidR="00721E67" w:rsidRPr="00975B66" w14:paraId="274BF2D9" w14:textId="77777777" w:rsidTr="006D2F2C">
        <w:trPr>
          <w:trHeight w:val="342"/>
          <w:jc w:val="center"/>
        </w:trPr>
        <w:tc>
          <w:tcPr>
            <w:tcW w:w="1854" w:type="dxa"/>
            <w:vMerge/>
            <w:tcBorders>
              <w:top w:val="single" w:sz="8" w:space="0" w:color="365F91"/>
              <w:left w:val="single" w:sz="8" w:space="0" w:color="FFFFFF"/>
              <w:bottom w:val="single" w:sz="8" w:space="0" w:color="365F91"/>
              <w:right w:val="single" w:sz="8" w:space="0" w:color="FFFFFF"/>
            </w:tcBorders>
            <w:vAlign w:val="center"/>
            <w:hideMark/>
          </w:tcPr>
          <w:p w14:paraId="39C9CE4A" w14:textId="77777777" w:rsidR="00721E67" w:rsidRPr="00DC7791" w:rsidRDefault="00721E67" w:rsidP="00C03BC2">
            <w:pPr>
              <w:rPr>
                <w:rFonts w:ascii="Verdana" w:eastAsia="Times New Roman" w:hAnsi="Verdana" w:cs="Calibri"/>
                <w:color w:val="366092"/>
                <w:sz w:val="18"/>
                <w:szCs w:val="18"/>
              </w:rPr>
            </w:pPr>
          </w:p>
        </w:tc>
        <w:tc>
          <w:tcPr>
            <w:tcW w:w="1721" w:type="dxa"/>
            <w:vMerge w:val="restart"/>
            <w:tcBorders>
              <w:top w:val="nil"/>
              <w:left w:val="single" w:sz="8" w:space="0" w:color="FFFFFF"/>
              <w:bottom w:val="single" w:sz="8" w:space="0" w:color="365F91"/>
              <w:right w:val="single" w:sz="8" w:space="0" w:color="FFFFFF"/>
            </w:tcBorders>
            <w:shd w:val="clear" w:color="auto" w:fill="auto"/>
            <w:noWrap/>
            <w:vAlign w:val="center"/>
            <w:hideMark/>
          </w:tcPr>
          <w:p w14:paraId="0DFBCB12" w14:textId="2AE2CC2E"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Inactive</w:t>
            </w:r>
          </w:p>
        </w:tc>
        <w:tc>
          <w:tcPr>
            <w:tcW w:w="1124" w:type="dxa"/>
            <w:tcBorders>
              <w:top w:val="nil"/>
              <w:left w:val="nil"/>
              <w:bottom w:val="single" w:sz="8" w:space="0" w:color="FFFFFF"/>
              <w:right w:val="single" w:sz="8" w:space="0" w:color="FFFFFF"/>
            </w:tcBorders>
            <w:shd w:val="clear" w:color="auto" w:fill="auto"/>
            <w:noWrap/>
            <w:vAlign w:val="center"/>
            <w:hideMark/>
          </w:tcPr>
          <w:p w14:paraId="0FAA3162" w14:textId="5437B2EB"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nil"/>
              <w:left w:val="nil"/>
              <w:bottom w:val="single" w:sz="8" w:space="0" w:color="FFFFFF"/>
              <w:right w:val="single" w:sz="8" w:space="0" w:color="FFFFFF"/>
            </w:tcBorders>
            <w:shd w:val="clear" w:color="auto" w:fill="auto"/>
            <w:noWrap/>
            <w:vAlign w:val="center"/>
            <w:hideMark/>
          </w:tcPr>
          <w:p w14:paraId="0F3526CA" w14:textId="77777777" w:rsidR="00721E67" w:rsidRPr="00DC7791" w:rsidRDefault="00721E67" w:rsidP="00C03BC2">
            <w:pPr>
              <w:ind w:right="454"/>
              <w:jc w:val="right"/>
              <w:rPr>
                <w:rFonts w:ascii="Verdana" w:eastAsia="Times New Roman" w:hAnsi="Verdana" w:cs="Calibri"/>
                <w:color w:val="366092"/>
                <w:sz w:val="18"/>
                <w:szCs w:val="18"/>
              </w:rPr>
            </w:pPr>
            <w:r w:rsidRPr="00DC7791">
              <w:rPr>
                <w:rFonts w:ascii="Verdana" w:eastAsia="Times New Roman" w:hAnsi="Verdana" w:cs="Calibri"/>
                <w:color w:val="366092"/>
                <w:sz w:val="18"/>
                <w:szCs w:val="18"/>
              </w:rPr>
              <w:t>39,0</w:t>
            </w:r>
          </w:p>
        </w:tc>
        <w:tc>
          <w:tcPr>
            <w:tcW w:w="1623" w:type="dxa"/>
            <w:tcBorders>
              <w:top w:val="nil"/>
              <w:left w:val="nil"/>
              <w:bottom w:val="single" w:sz="8" w:space="0" w:color="FFFFFF"/>
              <w:right w:val="single" w:sz="8" w:space="0" w:color="FFFFFF"/>
            </w:tcBorders>
            <w:shd w:val="clear" w:color="auto" w:fill="auto"/>
            <w:noWrap/>
            <w:vAlign w:val="center"/>
            <w:hideMark/>
          </w:tcPr>
          <w:p w14:paraId="051DD0FA"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32,5</w:t>
            </w:r>
          </w:p>
        </w:tc>
        <w:tc>
          <w:tcPr>
            <w:tcW w:w="1623" w:type="dxa"/>
            <w:tcBorders>
              <w:top w:val="nil"/>
              <w:left w:val="nil"/>
              <w:bottom w:val="single" w:sz="8" w:space="0" w:color="FFFFFF"/>
              <w:right w:val="single" w:sz="8" w:space="0" w:color="FFFFFF"/>
            </w:tcBorders>
            <w:shd w:val="clear" w:color="auto" w:fill="auto"/>
            <w:noWrap/>
            <w:vAlign w:val="center"/>
            <w:hideMark/>
          </w:tcPr>
          <w:p w14:paraId="63E6C622"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16,0</w:t>
            </w:r>
          </w:p>
        </w:tc>
      </w:tr>
      <w:tr w:rsidR="00721E67" w:rsidRPr="00975B66" w14:paraId="7117E247" w14:textId="77777777" w:rsidTr="006D2F2C">
        <w:trPr>
          <w:trHeight w:val="342"/>
          <w:jc w:val="center"/>
        </w:trPr>
        <w:tc>
          <w:tcPr>
            <w:tcW w:w="1854" w:type="dxa"/>
            <w:vMerge/>
            <w:tcBorders>
              <w:top w:val="single" w:sz="8" w:space="0" w:color="365F91"/>
              <w:left w:val="single" w:sz="8" w:space="0" w:color="FFFFFF"/>
              <w:bottom w:val="single" w:sz="8" w:space="0" w:color="366092"/>
              <w:right w:val="single" w:sz="8" w:space="0" w:color="FFFFFF"/>
            </w:tcBorders>
            <w:vAlign w:val="center"/>
            <w:hideMark/>
          </w:tcPr>
          <w:p w14:paraId="27B04946" w14:textId="77777777" w:rsidR="00721E67" w:rsidRPr="00DC7791" w:rsidRDefault="00721E67" w:rsidP="00C03BC2">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366092"/>
              <w:right w:val="single" w:sz="8" w:space="0" w:color="FFFFFF"/>
            </w:tcBorders>
            <w:vAlign w:val="center"/>
            <w:hideMark/>
          </w:tcPr>
          <w:p w14:paraId="30F7BF1F"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366092"/>
              <w:right w:val="single" w:sz="8" w:space="0" w:color="FFFFFF"/>
            </w:tcBorders>
            <w:shd w:val="clear" w:color="auto" w:fill="auto"/>
            <w:noWrap/>
            <w:vAlign w:val="center"/>
            <w:hideMark/>
          </w:tcPr>
          <w:p w14:paraId="2B6BE70C" w14:textId="168363BF"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366092"/>
              <w:right w:val="single" w:sz="8" w:space="0" w:color="FFFFFF"/>
            </w:tcBorders>
            <w:shd w:val="clear" w:color="auto" w:fill="auto"/>
            <w:noWrap/>
            <w:vAlign w:val="center"/>
            <w:hideMark/>
          </w:tcPr>
          <w:p w14:paraId="658B8894"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36,5</w:t>
            </w:r>
          </w:p>
        </w:tc>
        <w:tc>
          <w:tcPr>
            <w:tcW w:w="1623" w:type="dxa"/>
            <w:tcBorders>
              <w:top w:val="nil"/>
              <w:left w:val="nil"/>
              <w:bottom w:val="single" w:sz="8" w:space="0" w:color="366092"/>
              <w:right w:val="single" w:sz="8" w:space="0" w:color="FFFFFF"/>
            </w:tcBorders>
            <w:shd w:val="clear" w:color="auto" w:fill="auto"/>
            <w:noWrap/>
            <w:vAlign w:val="center"/>
            <w:hideMark/>
          </w:tcPr>
          <w:p w14:paraId="35039213"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24,8</w:t>
            </w:r>
          </w:p>
        </w:tc>
        <w:tc>
          <w:tcPr>
            <w:tcW w:w="1623" w:type="dxa"/>
            <w:tcBorders>
              <w:top w:val="nil"/>
              <w:left w:val="nil"/>
              <w:bottom w:val="single" w:sz="8" w:space="0" w:color="366092"/>
              <w:right w:val="single" w:sz="8" w:space="0" w:color="FFFFFF"/>
            </w:tcBorders>
            <w:shd w:val="clear" w:color="auto" w:fill="auto"/>
            <w:noWrap/>
            <w:vAlign w:val="center"/>
            <w:hideMark/>
          </w:tcPr>
          <w:p w14:paraId="6507A37D"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23,9</w:t>
            </w:r>
          </w:p>
        </w:tc>
      </w:tr>
      <w:tr w:rsidR="00721E67" w:rsidRPr="00975B66" w14:paraId="1384E675" w14:textId="77777777" w:rsidTr="006D2F2C">
        <w:trPr>
          <w:trHeight w:val="342"/>
          <w:jc w:val="center"/>
        </w:trPr>
        <w:tc>
          <w:tcPr>
            <w:tcW w:w="1854" w:type="dxa"/>
            <w:vMerge w:val="restart"/>
            <w:tcBorders>
              <w:top w:val="single" w:sz="8" w:space="0" w:color="366092"/>
              <w:left w:val="single" w:sz="8" w:space="0" w:color="FFFFFF"/>
              <w:bottom w:val="single" w:sz="8" w:space="0" w:color="365F91"/>
              <w:right w:val="single" w:sz="8" w:space="0" w:color="FFFFFF"/>
            </w:tcBorders>
            <w:shd w:val="clear" w:color="auto" w:fill="auto"/>
            <w:hideMark/>
          </w:tcPr>
          <w:p w14:paraId="3C509EE7" w14:textId="73947CDC" w:rsidR="00721E67" w:rsidRPr="00DC7791" w:rsidRDefault="00721E67" w:rsidP="00C03BC2">
            <w:pPr>
              <w:rPr>
                <w:rFonts w:ascii="Verdana" w:eastAsia="Times New Roman" w:hAnsi="Verdana" w:cs="Calibri"/>
                <w:color w:val="366092"/>
                <w:sz w:val="18"/>
                <w:szCs w:val="18"/>
              </w:rPr>
            </w:pPr>
            <w:r w:rsidRPr="00721E67">
              <w:rPr>
                <w:rFonts w:ascii="Verdana" w:eastAsia="Times New Roman" w:hAnsi="Verdana" w:cs="Calibri"/>
                <w:color w:val="366092"/>
                <w:sz w:val="18"/>
                <w:szCs w:val="18"/>
              </w:rPr>
              <w:t>Education Level</w:t>
            </w:r>
          </w:p>
        </w:tc>
        <w:tc>
          <w:tcPr>
            <w:tcW w:w="1721" w:type="dxa"/>
            <w:vMerge w:val="restart"/>
            <w:tcBorders>
              <w:top w:val="single" w:sz="8" w:space="0" w:color="366092"/>
              <w:left w:val="single" w:sz="8" w:space="0" w:color="FFFFFF"/>
              <w:bottom w:val="single" w:sz="8" w:space="0" w:color="FFFFFF"/>
              <w:right w:val="single" w:sz="8" w:space="0" w:color="FFFFFF"/>
            </w:tcBorders>
            <w:shd w:val="clear" w:color="auto" w:fill="auto"/>
            <w:vAlign w:val="center"/>
            <w:hideMark/>
          </w:tcPr>
          <w:p w14:paraId="7BECC6FA" w14:textId="10ED4064" w:rsidR="00721E67" w:rsidRPr="00DC7791" w:rsidRDefault="00721E67" w:rsidP="00C03BC2">
            <w:pPr>
              <w:rPr>
                <w:rFonts w:ascii="Verdana" w:eastAsia="Times New Roman" w:hAnsi="Verdana" w:cs="Calibri"/>
                <w:color w:val="366092"/>
                <w:sz w:val="18"/>
                <w:szCs w:val="18"/>
              </w:rPr>
            </w:pPr>
            <w:r w:rsidRPr="00721E67">
              <w:rPr>
                <w:rFonts w:ascii="Verdana" w:eastAsia="Times New Roman" w:hAnsi="Verdana" w:cs="Calibri"/>
                <w:color w:val="366092"/>
                <w:sz w:val="18"/>
                <w:szCs w:val="18"/>
              </w:rPr>
              <w:t>Less than upper secondary</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459A5477" w14:textId="29726116"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4CA72595"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16,9</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4359A27D"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3,1</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60BB7BB0"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15,2</w:t>
            </w:r>
          </w:p>
        </w:tc>
      </w:tr>
      <w:tr w:rsidR="00721E67" w:rsidRPr="00975B66" w14:paraId="33D4BD0E" w14:textId="77777777" w:rsidTr="006D2F2C">
        <w:trPr>
          <w:trHeight w:val="342"/>
          <w:jc w:val="center"/>
        </w:trPr>
        <w:tc>
          <w:tcPr>
            <w:tcW w:w="1854" w:type="dxa"/>
            <w:vMerge/>
            <w:tcBorders>
              <w:top w:val="nil"/>
              <w:left w:val="single" w:sz="8" w:space="0" w:color="FFFFFF"/>
              <w:bottom w:val="single" w:sz="8" w:space="0" w:color="365F91"/>
              <w:right w:val="single" w:sz="8" w:space="0" w:color="FFFFFF"/>
            </w:tcBorders>
            <w:vAlign w:val="center"/>
            <w:hideMark/>
          </w:tcPr>
          <w:p w14:paraId="6C89CFF9" w14:textId="77777777" w:rsidR="00721E67" w:rsidRPr="00DC7791" w:rsidRDefault="00721E67" w:rsidP="00C03BC2">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FFFFFF"/>
              <w:right w:val="single" w:sz="8" w:space="0" w:color="FFFFFF"/>
            </w:tcBorders>
            <w:vAlign w:val="center"/>
            <w:hideMark/>
          </w:tcPr>
          <w:p w14:paraId="7DFC6982"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5768895A" w14:textId="30893B36"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FFFFFF"/>
              <w:right w:val="single" w:sz="8" w:space="0" w:color="FFFFFF"/>
            </w:tcBorders>
            <w:shd w:val="clear" w:color="auto" w:fill="auto"/>
            <w:noWrap/>
            <w:vAlign w:val="center"/>
            <w:hideMark/>
          </w:tcPr>
          <w:p w14:paraId="606A158A"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28,3</w:t>
            </w:r>
          </w:p>
        </w:tc>
        <w:tc>
          <w:tcPr>
            <w:tcW w:w="1623" w:type="dxa"/>
            <w:tcBorders>
              <w:top w:val="nil"/>
              <w:left w:val="nil"/>
              <w:bottom w:val="single" w:sz="8" w:space="0" w:color="FFFFFF"/>
              <w:right w:val="single" w:sz="8" w:space="0" w:color="FFFFFF"/>
            </w:tcBorders>
            <w:shd w:val="clear" w:color="auto" w:fill="auto"/>
            <w:noWrap/>
            <w:vAlign w:val="center"/>
            <w:hideMark/>
          </w:tcPr>
          <w:p w14:paraId="60C932C9"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9,0</w:t>
            </w:r>
          </w:p>
        </w:tc>
        <w:tc>
          <w:tcPr>
            <w:tcW w:w="1623" w:type="dxa"/>
            <w:tcBorders>
              <w:top w:val="nil"/>
              <w:left w:val="nil"/>
              <w:bottom w:val="single" w:sz="8" w:space="0" w:color="FFFFFF"/>
              <w:right w:val="single" w:sz="8" w:space="0" w:color="FFFFFF"/>
            </w:tcBorders>
            <w:shd w:val="clear" w:color="auto" w:fill="auto"/>
            <w:noWrap/>
            <w:vAlign w:val="center"/>
            <w:hideMark/>
          </w:tcPr>
          <w:p w14:paraId="21AE3930"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23,6</w:t>
            </w:r>
          </w:p>
        </w:tc>
      </w:tr>
      <w:tr w:rsidR="00721E67" w:rsidRPr="00975B66" w14:paraId="2BE420BE" w14:textId="77777777" w:rsidTr="006D2F2C">
        <w:trPr>
          <w:trHeight w:val="342"/>
          <w:jc w:val="center"/>
        </w:trPr>
        <w:tc>
          <w:tcPr>
            <w:tcW w:w="1854" w:type="dxa"/>
            <w:vMerge/>
            <w:tcBorders>
              <w:top w:val="nil"/>
              <w:left w:val="single" w:sz="8" w:space="0" w:color="FFFFFF"/>
              <w:bottom w:val="single" w:sz="8" w:space="0" w:color="365F91"/>
              <w:right w:val="single" w:sz="8" w:space="0" w:color="FFFFFF"/>
            </w:tcBorders>
            <w:vAlign w:val="center"/>
            <w:hideMark/>
          </w:tcPr>
          <w:p w14:paraId="03659B08" w14:textId="77777777" w:rsidR="00721E67" w:rsidRPr="00DC7791" w:rsidRDefault="00721E67" w:rsidP="00C03BC2">
            <w:pPr>
              <w:rPr>
                <w:rFonts w:ascii="Verdana" w:eastAsia="Times New Roman" w:hAnsi="Verdana" w:cs="Calibri"/>
                <w:color w:val="366092"/>
                <w:sz w:val="18"/>
                <w:szCs w:val="18"/>
              </w:rPr>
            </w:pPr>
          </w:p>
        </w:tc>
        <w:tc>
          <w:tcPr>
            <w:tcW w:w="1721"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6BF92652" w14:textId="51C6E184" w:rsidR="00721E67" w:rsidRPr="00DC7791" w:rsidRDefault="00721E67" w:rsidP="00C03BC2">
            <w:pPr>
              <w:rPr>
                <w:rFonts w:ascii="Verdana" w:eastAsia="Times New Roman" w:hAnsi="Verdana" w:cs="Calibri"/>
                <w:color w:val="366092"/>
                <w:sz w:val="18"/>
                <w:szCs w:val="18"/>
              </w:rPr>
            </w:pPr>
            <w:r w:rsidRPr="00721E67">
              <w:rPr>
                <w:rFonts w:ascii="Verdana" w:eastAsia="Times New Roman" w:hAnsi="Verdana" w:cs="Calibri"/>
                <w:color w:val="366092"/>
                <w:sz w:val="18"/>
                <w:szCs w:val="18"/>
              </w:rPr>
              <w:t>Upper secondary and post-secondary</w:t>
            </w:r>
          </w:p>
        </w:tc>
        <w:tc>
          <w:tcPr>
            <w:tcW w:w="1124" w:type="dxa"/>
            <w:tcBorders>
              <w:top w:val="nil"/>
              <w:left w:val="nil"/>
              <w:bottom w:val="single" w:sz="8" w:space="0" w:color="FFFFFF"/>
              <w:right w:val="single" w:sz="8" w:space="0" w:color="FFFFFF"/>
            </w:tcBorders>
            <w:shd w:val="clear" w:color="auto" w:fill="auto"/>
            <w:noWrap/>
            <w:vAlign w:val="center"/>
            <w:hideMark/>
          </w:tcPr>
          <w:p w14:paraId="503FFC44" w14:textId="2CE8859C"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nil"/>
              <w:left w:val="nil"/>
              <w:bottom w:val="single" w:sz="8" w:space="0" w:color="FFFFFF"/>
              <w:right w:val="single" w:sz="8" w:space="0" w:color="FFFFFF"/>
            </w:tcBorders>
            <w:shd w:val="clear" w:color="auto" w:fill="auto"/>
            <w:noWrap/>
            <w:vAlign w:val="center"/>
            <w:hideMark/>
          </w:tcPr>
          <w:p w14:paraId="41BDACDF"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46,4</w:t>
            </w:r>
          </w:p>
        </w:tc>
        <w:tc>
          <w:tcPr>
            <w:tcW w:w="1623" w:type="dxa"/>
            <w:tcBorders>
              <w:top w:val="nil"/>
              <w:left w:val="nil"/>
              <w:bottom w:val="single" w:sz="8" w:space="0" w:color="FFFFFF"/>
              <w:right w:val="single" w:sz="8" w:space="0" w:color="FFFFFF"/>
            </w:tcBorders>
            <w:shd w:val="clear" w:color="auto" w:fill="auto"/>
            <w:noWrap/>
            <w:vAlign w:val="center"/>
            <w:hideMark/>
          </w:tcPr>
          <w:p w14:paraId="249DBDA1"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18,2</w:t>
            </w:r>
          </w:p>
        </w:tc>
        <w:tc>
          <w:tcPr>
            <w:tcW w:w="1623" w:type="dxa"/>
            <w:tcBorders>
              <w:top w:val="nil"/>
              <w:left w:val="nil"/>
              <w:bottom w:val="single" w:sz="8" w:space="0" w:color="FFFFFF"/>
              <w:right w:val="single" w:sz="8" w:space="0" w:color="FFFFFF"/>
            </w:tcBorders>
            <w:shd w:val="clear" w:color="auto" w:fill="auto"/>
            <w:noWrap/>
            <w:vAlign w:val="center"/>
            <w:hideMark/>
          </w:tcPr>
          <w:p w14:paraId="5280A26D"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33,8</w:t>
            </w:r>
          </w:p>
        </w:tc>
      </w:tr>
      <w:tr w:rsidR="00721E67" w:rsidRPr="00975B66" w14:paraId="2A9996AE" w14:textId="77777777" w:rsidTr="006D2F2C">
        <w:trPr>
          <w:trHeight w:val="342"/>
          <w:jc w:val="center"/>
        </w:trPr>
        <w:tc>
          <w:tcPr>
            <w:tcW w:w="1854" w:type="dxa"/>
            <w:vMerge/>
            <w:tcBorders>
              <w:top w:val="nil"/>
              <w:left w:val="single" w:sz="8" w:space="0" w:color="FFFFFF"/>
              <w:bottom w:val="single" w:sz="8" w:space="0" w:color="365F91"/>
              <w:right w:val="single" w:sz="8" w:space="0" w:color="FFFFFF"/>
            </w:tcBorders>
            <w:vAlign w:val="center"/>
            <w:hideMark/>
          </w:tcPr>
          <w:p w14:paraId="69C8D723" w14:textId="77777777" w:rsidR="00721E67" w:rsidRPr="00DC7791" w:rsidRDefault="00721E67" w:rsidP="00C03BC2">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FFFFFF"/>
              <w:right w:val="single" w:sz="8" w:space="0" w:color="FFFFFF"/>
            </w:tcBorders>
            <w:vAlign w:val="center"/>
            <w:hideMark/>
          </w:tcPr>
          <w:p w14:paraId="58F249CE"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620659D9" w14:textId="68CB33B4"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FFFFFF"/>
              <w:right w:val="single" w:sz="8" w:space="0" w:color="FFFFFF"/>
            </w:tcBorders>
            <w:shd w:val="clear" w:color="auto" w:fill="auto"/>
            <w:noWrap/>
            <w:vAlign w:val="center"/>
            <w:hideMark/>
          </w:tcPr>
          <w:p w14:paraId="28B1B6E5"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44,7</w:t>
            </w:r>
          </w:p>
        </w:tc>
        <w:tc>
          <w:tcPr>
            <w:tcW w:w="1623" w:type="dxa"/>
            <w:tcBorders>
              <w:top w:val="nil"/>
              <w:left w:val="nil"/>
              <w:bottom w:val="single" w:sz="8" w:space="0" w:color="FFFFFF"/>
              <w:right w:val="single" w:sz="8" w:space="0" w:color="FFFFFF"/>
            </w:tcBorders>
            <w:shd w:val="clear" w:color="auto" w:fill="auto"/>
            <w:noWrap/>
            <w:vAlign w:val="center"/>
            <w:hideMark/>
          </w:tcPr>
          <w:p w14:paraId="44C23998"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13,7</w:t>
            </w:r>
          </w:p>
        </w:tc>
        <w:tc>
          <w:tcPr>
            <w:tcW w:w="1623" w:type="dxa"/>
            <w:tcBorders>
              <w:top w:val="nil"/>
              <w:left w:val="nil"/>
              <w:bottom w:val="single" w:sz="8" w:space="0" w:color="FFFFFF"/>
              <w:right w:val="single" w:sz="8" w:space="0" w:color="FFFFFF"/>
            </w:tcBorders>
            <w:shd w:val="clear" w:color="auto" w:fill="auto"/>
            <w:noWrap/>
            <w:vAlign w:val="center"/>
            <w:hideMark/>
          </w:tcPr>
          <w:p w14:paraId="6A286438"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37,9</w:t>
            </w:r>
          </w:p>
        </w:tc>
      </w:tr>
      <w:tr w:rsidR="00721E67" w:rsidRPr="00975B66" w14:paraId="72D233A5" w14:textId="77777777" w:rsidTr="006D2F2C">
        <w:trPr>
          <w:trHeight w:val="342"/>
          <w:jc w:val="center"/>
        </w:trPr>
        <w:tc>
          <w:tcPr>
            <w:tcW w:w="1854" w:type="dxa"/>
            <w:vMerge/>
            <w:tcBorders>
              <w:top w:val="nil"/>
              <w:left w:val="single" w:sz="8" w:space="0" w:color="FFFFFF"/>
              <w:bottom w:val="single" w:sz="8" w:space="0" w:color="365F91"/>
              <w:right w:val="single" w:sz="8" w:space="0" w:color="FFFFFF"/>
            </w:tcBorders>
            <w:vAlign w:val="center"/>
            <w:hideMark/>
          </w:tcPr>
          <w:p w14:paraId="61365EFC" w14:textId="77777777" w:rsidR="00721E67" w:rsidRPr="00DC7791" w:rsidRDefault="00721E67" w:rsidP="00C03BC2">
            <w:pPr>
              <w:rPr>
                <w:rFonts w:ascii="Verdana" w:eastAsia="Times New Roman" w:hAnsi="Verdana" w:cs="Calibri"/>
                <w:color w:val="366092"/>
                <w:sz w:val="18"/>
                <w:szCs w:val="18"/>
              </w:rPr>
            </w:pPr>
          </w:p>
        </w:tc>
        <w:tc>
          <w:tcPr>
            <w:tcW w:w="1721" w:type="dxa"/>
            <w:vMerge w:val="restart"/>
            <w:tcBorders>
              <w:top w:val="nil"/>
              <w:left w:val="single" w:sz="8" w:space="0" w:color="FFFFFF"/>
              <w:bottom w:val="single" w:sz="8" w:space="0" w:color="365F91"/>
              <w:right w:val="single" w:sz="8" w:space="0" w:color="FFFFFF"/>
            </w:tcBorders>
            <w:shd w:val="clear" w:color="auto" w:fill="auto"/>
            <w:noWrap/>
            <w:vAlign w:val="center"/>
            <w:hideMark/>
          </w:tcPr>
          <w:p w14:paraId="7DE6D836" w14:textId="2089E1A3" w:rsidR="00721E67" w:rsidRPr="00DC7791" w:rsidRDefault="00721E67" w:rsidP="00C03BC2">
            <w:pPr>
              <w:rPr>
                <w:rFonts w:ascii="Verdana" w:eastAsia="Times New Roman" w:hAnsi="Verdana" w:cs="Calibri"/>
                <w:color w:val="366092"/>
                <w:sz w:val="18"/>
                <w:szCs w:val="18"/>
              </w:rPr>
            </w:pPr>
            <w:r w:rsidRPr="00721E67">
              <w:rPr>
                <w:rFonts w:ascii="Verdana" w:eastAsia="Times New Roman" w:hAnsi="Verdana" w:cs="Calibri"/>
                <w:color w:val="366092"/>
                <w:sz w:val="18"/>
                <w:szCs w:val="18"/>
              </w:rPr>
              <w:t>Tertiary</w:t>
            </w:r>
          </w:p>
        </w:tc>
        <w:tc>
          <w:tcPr>
            <w:tcW w:w="1124" w:type="dxa"/>
            <w:tcBorders>
              <w:top w:val="nil"/>
              <w:left w:val="nil"/>
              <w:bottom w:val="single" w:sz="8" w:space="0" w:color="FFFFFF"/>
              <w:right w:val="single" w:sz="8" w:space="0" w:color="FFFFFF"/>
            </w:tcBorders>
            <w:shd w:val="clear" w:color="auto" w:fill="auto"/>
            <w:noWrap/>
            <w:vAlign w:val="center"/>
            <w:hideMark/>
          </w:tcPr>
          <w:p w14:paraId="1C019AB0" w14:textId="4ECCD4C1" w:rsidR="00721E67" w:rsidRPr="00DC7791" w:rsidRDefault="00721E67" w:rsidP="00C03BC2">
            <w:pPr>
              <w:rPr>
                <w:rFonts w:ascii="Verdana" w:eastAsia="Times New Roman" w:hAnsi="Verdana" w:cs="Calibri"/>
                <w:color w:val="366092"/>
                <w:sz w:val="18"/>
                <w:szCs w:val="18"/>
              </w:rPr>
            </w:pPr>
            <w:r>
              <w:rPr>
                <w:rFonts w:ascii="Verdana" w:eastAsia="Times New Roman" w:hAnsi="Verdana" w:cs="Calibri"/>
                <w:color w:val="366092"/>
                <w:sz w:val="18"/>
                <w:szCs w:val="18"/>
              </w:rPr>
              <w:t>Cyprus</w:t>
            </w:r>
          </w:p>
        </w:tc>
        <w:tc>
          <w:tcPr>
            <w:tcW w:w="1623" w:type="dxa"/>
            <w:tcBorders>
              <w:top w:val="nil"/>
              <w:left w:val="nil"/>
              <w:bottom w:val="single" w:sz="8" w:space="0" w:color="FFFFFF"/>
              <w:right w:val="single" w:sz="8" w:space="0" w:color="FFFFFF"/>
            </w:tcBorders>
            <w:shd w:val="clear" w:color="auto" w:fill="auto"/>
            <w:noWrap/>
            <w:vAlign w:val="center"/>
            <w:hideMark/>
          </w:tcPr>
          <w:p w14:paraId="04980A36"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57,0</w:t>
            </w:r>
          </w:p>
        </w:tc>
        <w:tc>
          <w:tcPr>
            <w:tcW w:w="1623" w:type="dxa"/>
            <w:tcBorders>
              <w:top w:val="nil"/>
              <w:left w:val="nil"/>
              <w:bottom w:val="single" w:sz="8" w:space="0" w:color="FFFFFF"/>
              <w:right w:val="single" w:sz="8" w:space="0" w:color="FFFFFF"/>
            </w:tcBorders>
            <w:shd w:val="clear" w:color="auto" w:fill="auto"/>
            <w:noWrap/>
            <w:vAlign w:val="center"/>
            <w:hideMark/>
          </w:tcPr>
          <w:p w14:paraId="57CC7CE7"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9,1</w:t>
            </w:r>
          </w:p>
        </w:tc>
        <w:tc>
          <w:tcPr>
            <w:tcW w:w="1623" w:type="dxa"/>
            <w:tcBorders>
              <w:top w:val="nil"/>
              <w:left w:val="nil"/>
              <w:bottom w:val="single" w:sz="8" w:space="0" w:color="FFFFFF"/>
              <w:right w:val="single" w:sz="8" w:space="0" w:color="FFFFFF"/>
            </w:tcBorders>
            <w:shd w:val="clear" w:color="auto" w:fill="auto"/>
            <w:noWrap/>
            <w:vAlign w:val="center"/>
            <w:hideMark/>
          </w:tcPr>
          <w:p w14:paraId="5AE0881A"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52,1</w:t>
            </w:r>
          </w:p>
        </w:tc>
      </w:tr>
      <w:tr w:rsidR="00721E67" w:rsidRPr="00DC7791" w14:paraId="24E64505" w14:textId="77777777" w:rsidTr="006D2F2C">
        <w:trPr>
          <w:trHeight w:val="342"/>
          <w:jc w:val="center"/>
        </w:trPr>
        <w:tc>
          <w:tcPr>
            <w:tcW w:w="1854" w:type="dxa"/>
            <w:vMerge/>
            <w:tcBorders>
              <w:top w:val="nil"/>
              <w:left w:val="single" w:sz="8" w:space="0" w:color="FFFFFF"/>
              <w:bottom w:val="single" w:sz="8" w:space="0" w:color="365F91"/>
              <w:right w:val="single" w:sz="8" w:space="0" w:color="FFFFFF"/>
            </w:tcBorders>
            <w:vAlign w:val="center"/>
            <w:hideMark/>
          </w:tcPr>
          <w:p w14:paraId="051437DB" w14:textId="77777777" w:rsidR="00721E67" w:rsidRPr="00DC7791" w:rsidRDefault="00721E67" w:rsidP="00C03BC2">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365F91"/>
              <w:right w:val="single" w:sz="8" w:space="0" w:color="FFFFFF"/>
            </w:tcBorders>
            <w:vAlign w:val="center"/>
            <w:hideMark/>
          </w:tcPr>
          <w:p w14:paraId="73AF8A39" w14:textId="77777777" w:rsidR="00721E67" w:rsidRPr="00DC7791" w:rsidRDefault="00721E67" w:rsidP="00C03BC2">
            <w:pPr>
              <w:rPr>
                <w:rFonts w:ascii="Verdana" w:eastAsia="Times New Roman" w:hAnsi="Verdana" w:cs="Calibri"/>
                <w:color w:val="366092"/>
                <w:sz w:val="18"/>
                <w:szCs w:val="18"/>
              </w:rPr>
            </w:pPr>
          </w:p>
        </w:tc>
        <w:tc>
          <w:tcPr>
            <w:tcW w:w="1124" w:type="dxa"/>
            <w:tcBorders>
              <w:top w:val="nil"/>
              <w:left w:val="nil"/>
              <w:bottom w:val="single" w:sz="8" w:space="0" w:color="365F91"/>
              <w:right w:val="single" w:sz="8" w:space="0" w:color="FFFFFF"/>
            </w:tcBorders>
            <w:shd w:val="clear" w:color="auto" w:fill="auto"/>
            <w:noWrap/>
            <w:vAlign w:val="center"/>
            <w:hideMark/>
          </w:tcPr>
          <w:p w14:paraId="3056995B" w14:textId="05222B6F" w:rsidR="00721E67" w:rsidRPr="00DC7791" w:rsidRDefault="00772275" w:rsidP="00C03BC2">
            <w:pPr>
              <w:rPr>
                <w:rFonts w:ascii="Verdana" w:eastAsia="Times New Roman" w:hAnsi="Verdana" w:cs="Calibri"/>
                <w:color w:val="366092"/>
                <w:sz w:val="18"/>
                <w:szCs w:val="18"/>
              </w:rPr>
            </w:pPr>
            <w:r>
              <w:rPr>
                <w:rFonts w:ascii="Verdana" w:eastAsia="Times New Roman" w:hAnsi="Verdana" w:cs="Calibri"/>
                <w:color w:val="366092"/>
                <w:sz w:val="18"/>
                <w:szCs w:val="18"/>
              </w:rPr>
              <w:t>EU</w:t>
            </w:r>
            <w:r w:rsidRPr="00DC7791">
              <w:rPr>
                <w:rFonts w:ascii="Verdana" w:eastAsia="Times New Roman" w:hAnsi="Verdana" w:cs="Calibri"/>
                <w:color w:val="366092"/>
                <w:sz w:val="18"/>
                <w:szCs w:val="18"/>
              </w:rPr>
              <w:t>-27</w:t>
            </w:r>
          </w:p>
        </w:tc>
        <w:tc>
          <w:tcPr>
            <w:tcW w:w="1623" w:type="dxa"/>
            <w:tcBorders>
              <w:top w:val="nil"/>
              <w:left w:val="nil"/>
              <w:bottom w:val="single" w:sz="8" w:space="0" w:color="365F91"/>
              <w:right w:val="single" w:sz="8" w:space="0" w:color="FFFFFF"/>
            </w:tcBorders>
            <w:shd w:val="clear" w:color="auto" w:fill="auto"/>
            <w:noWrap/>
            <w:vAlign w:val="center"/>
            <w:hideMark/>
          </w:tcPr>
          <w:p w14:paraId="0545FA39"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64,8</w:t>
            </w:r>
          </w:p>
        </w:tc>
        <w:tc>
          <w:tcPr>
            <w:tcW w:w="1623" w:type="dxa"/>
            <w:tcBorders>
              <w:top w:val="nil"/>
              <w:left w:val="nil"/>
              <w:bottom w:val="single" w:sz="8" w:space="0" w:color="365F91"/>
              <w:right w:val="single" w:sz="8" w:space="0" w:color="FFFFFF"/>
            </w:tcBorders>
            <w:shd w:val="clear" w:color="auto" w:fill="auto"/>
            <w:noWrap/>
            <w:vAlign w:val="center"/>
            <w:hideMark/>
          </w:tcPr>
          <w:p w14:paraId="689D1F17"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12,2</w:t>
            </w:r>
          </w:p>
        </w:tc>
        <w:tc>
          <w:tcPr>
            <w:tcW w:w="1623" w:type="dxa"/>
            <w:tcBorders>
              <w:top w:val="nil"/>
              <w:left w:val="nil"/>
              <w:bottom w:val="single" w:sz="8" w:space="0" w:color="365F91"/>
              <w:right w:val="single" w:sz="8" w:space="0" w:color="FFFFFF"/>
            </w:tcBorders>
            <w:shd w:val="clear" w:color="auto" w:fill="auto"/>
            <w:noWrap/>
            <w:vAlign w:val="center"/>
            <w:hideMark/>
          </w:tcPr>
          <w:p w14:paraId="6EBEB302" w14:textId="77777777" w:rsidR="00721E67" w:rsidRPr="00DC7791" w:rsidRDefault="00721E67" w:rsidP="00C03BC2">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60,0</w:t>
            </w:r>
          </w:p>
        </w:tc>
      </w:tr>
      <w:tr w:rsidR="00721E67" w:rsidRPr="00D556B6" w14:paraId="6678D87F" w14:textId="77777777" w:rsidTr="006D2F2C">
        <w:trPr>
          <w:trHeight w:val="342"/>
          <w:jc w:val="center"/>
        </w:trPr>
        <w:tc>
          <w:tcPr>
            <w:tcW w:w="9568" w:type="dxa"/>
            <w:gridSpan w:val="6"/>
            <w:tcBorders>
              <w:top w:val="single" w:sz="8" w:space="0" w:color="365F91"/>
              <w:left w:val="single" w:sz="8" w:space="0" w:color="FFFFFF"/>
              <w:bottom w:val="single" w:sz="8" w:space="0" w:color="FFFFFF"/>
              <w:right w:val="single" w:sz="8" w:space="0" w:color="FFFFFF"/>
            </w:tcBorders>
            <w:shd w:val="clear" w:color="auto" w:fill="auto"/>
            <w:noWrap/>
            <w:vAlign w:val="center"/>
            <w:hideMark/>
          </w:tcPr>
          <w:p w14:paraId="30F29CDF" w14:textId="0BCA8068" w:rsidR="00721E67" w:rsidRPr="00D556B6" w:rsidRDefault="00721E67" w:rsidP="00C03BC2">
            <w:pPr>
              <w:rPr>
                <w:rFonts w:ascii="Verdana" w:eastAsia="Times New Roman" w:hAnsi="Verdana" w:cs="Calibri"/>
                <w:color w:val="366092"/>
                <w:sz w:val="16"/>
                <w:szCs w:val="16"/>
              </w:rPr>
            </w:pPr>
            <w:r w:rsidRPr="00DC7791">
              <w:rPr>
                <w:rFonts w:ascii="Verdana" w:eastAsia="Times New Roman" w:hAnsi="Verdana" w:cs="Calibri"/>
                <w:color w:val="366092"/>
                <w:sz w:val="16"/>
                <w:szCs w:val="16"/>
              </w:rPr>
              <w:t>u</w:t>
            </w:r>
            <w:r w:rsidRPr="00D556B6">
              <w:rPr>
                <w:rFonts w:ascii="Verdana" w:eastAsia="Times New Roman" w:hAnsi="Verdana" w:cs="Calibri"/>
                <w:color w:val="366092"/>
                <w:sz w:val="16"/>
                <w:szCs w:val="16"/>
              </w:rPr>
              <w:t xml:space="preserve">: </w:t>
            </w:r>
            <w:r w:rsidR="00D556B6" w:rsidRPr="00D556B6">
              <w:rPr>
                <w:rFonts w:ascii="Verdana" w:eastAsia="Times New Roman" w:hAnsi="Verdana" w:cs="Calibri"/>
                <w:color w:val="366092"/>
                <w:sz w:val="16"/>
                <w:szCs w:val="16"/>
              </w:rPr>
              <w:t>Data with low reliability</w:t>
            </w:r>
          </w:p>
        </w:tc>
      </w:tr>
    </w:tbl>
    <w:p w14:paraId="63C8B3EA" w14:textId="77777777" w:rsidR="001844C5" w:rsidRPr="006D2F2C" w:rsidRDefault="001844C5" w:rsidP="0034238F">
      <w:pPr>
        <w:jc w:val="center"/>
        <w:rPr>
          <w:rFonts w:ascii="Verdana" w:eastAsia="Malgun Gothic" w:hAnsi="Verdana" w:cs="Arial"/>
          <w:bCs/>
          <w:sz w:val="18"/>
          <w:szCs w:val="18"/>
        </w:rPr>
      </w:pPr>
    </w:p>
    <w:p w14:paraId="19AE9E34" w14:textId="59C1C4CE" w:rsidR="00A9453A" w:rsidRPr="0040425B" w:rsidRDefault="00A9453A" w:rsidP="0034238F">
      <w:pPr>
        <w:jc w:val="center"/>
        <w:rPr>
          <w:rFonts w:ascii="Verdana" w:hAnsi="Verdana" w:cs="Arial"/>
          <w:sz w:val="18"/>
          <w:szCs w:val="18"/>
        </w:rPr>
      </w:pPr>
      <w:r w:rsidRPr="007949C7">
        <w:rPr>
          <w:rFonts w:ascii="Verdana" w:eastAsia="Malgun Gothic" w:hAnsi="Verdana" w:cs="Arial"/>
          <w:b/>
          <w:u w:val="single"/>
        </w:rPr>
        <w:t>METHODOLOGICAL INFORMATION</w:t>
      </w:r>
    </w:p>
    <w:p w14:paraId="5AF7EC4F" w14:textId="77777777" w:rsidR="00A9453A" w:rsidRPr="00233BDC" w:rsidRDefault="00A9453A" w:rsidP="0034238F">
      <w:pPr>
        <w:jc w:val="both"/>
        <w:rPr>
          <w:rFonts w:ascii="Verdana" w:eastAsia="Malgun Gothic" w:hAnsi="Verdana" w:cs="Arial"/>
          <w:sz w:val="18"/>
          <w:szCs w:val="18"/>
        </w:rPr>
      </w:pPr>
    </w:p>
    <w:p w14:paraId="5C2E6593" w14:textId="77777777" w:rsidR="005D435D" w:rsidRPr="0034238F" w:rsidRDefault="005D435D" w:rsidP="0034238F">
      <w:pPr>
        <w:jc w:val="both"/>
        <w:rPr>
          <w:rFonts w:ascii="Verdana" w:eastAsia="Malgun Gothic" w:hAnsi="Verdana" w:cs="Arial"/>
          <w:b/>
          <w:sz w:val="18"/>
          <w:szCs w:val="18"/>
          <w:u w:val="single"/>
        </w:rPr>
      </w:pPr>
    </w:p>
    <w:p w14:paraId="46815701" w14:textId="7AFBAA97" w:rsidR="00A9453A" w:rsidRPr="0034238F" w:rsidRDefault="005D435D" w:rsidP="0034238F">
      <w:pPr>
        <w:jc w:val="both"/>
        <w:rPr>
          <w:rFonts w:ascii="Verdana" w:eastAsia="Malgun Gothic" w:hAnsi="Verdana" w:cs="Arial"/>
          <w:b/>
          <w:sz w:val="18"/>
          <w:szCs w:val="18"/>
          <w:u w:val="single"/>
        </w:rPr>
      </w:pPr>
      <w:r w:rsidRPr="0034238F">
        <w:rPr>
          <w:rFonts w:ascii="Verdana" w:eastAsia="Malgun Gothic" w:hAnsi="Verdana" w:cs="Arial"/>
          <w:b/>
          <w:sz w:val="18"/>
          <w:szCs w:val="18"/>
          <w:u w:val="single"/>
        </w:rPr>
        <w:t>Purpose and Coverage of the Adult Education Survey</w:t>
      </w:r>
    </w:p>
    <w:p w14:paraId="71F89417" w14:textId="77777777" w:rsidR="005D435D" w:rsidRPr="0034238F" w:rsidRDefault="005D435D" w:rsidP="0034238F">
      <w:pPr>
        <w:jc w:val="both"/>
        <w:rPr>
          <w:rFonts w:ascii="Verdana" w:eastAsia="Malgun Gothic" w:hAnsi="Verdana" w:cs="Arial"/>
          <w:sz w:val="18"/>
          <w:szCs w:val="18"/>
        </w:rPr>
      </w:pPr>
    </w:p>
    <w:p w14:paraId="1F118601" w14:textId="74FC6B77" w:rsidR="00A9453A" w:rsidRPr="0034238F" w:rsidRDefault="005D435D" w:rsidP="0034238F">
      <w:pPr>
        <w:jc w:val="both"/>
        <w:rPr>
          <w:rFonts w:ascii="Verdana" w:eastAsia="Malgun Gothic" w:hAnsi="Verdana" w:cs="Arial"/>
          <w:sz w:val="18"/>
          <w:szCs w:val="18"/>
        </w:rPr>
      </w:pPr>
      <w:r w:rsidRPr="0034238F">
        <w:rPr>
          <w:rFonts w:ascii="Verdana" w:eastAsia="Malgun Gothic" w:hAnsi="Verdana" w:cs="Arial"/>
          <w:sz w:val="18"/>
          <w:szCs w:val="18"/>
        </w:rPr>
        <w:t>The Adult Education Survey (AES) is conducted every five years from 2006 to 2016 and every six years from 2022</w:t>
      </w:r>
      <w:r w:rsidR="00455584" w:rsidRPr="0034238F">
        <w:rPr>
          <w:rFonts w:ascii="Verdana" w:eastAsia="Malgun Gothic" w:hAnsi="Verdana" w:cs="Arial"/>
          <w:sz w:val="18"/>
          <w:szCs w:val="18"/>
        </w:rPr>
        <w:t xml:space="preserve"> and </w:t>
      </w:r>
      <w:r w:rsidR="001844C5" w:rsidRPr="0034238F">
        <w:rPr>
          <w:rFonts w:ascii="Verdana" w:eastAsia="Malgun Gothic" w:hAnsi="Verdana" w:cs="Arial"/>
          <w:sz w:val="18"/>
          <w:szCs w:val="18"/>
        </w:rPr>
        <w:t>thereafter</w:t>
      </w:r>
      <w:r w:rsidRPr="0034238F">
        <w:rPr>
          <w:rFonts w:ascii="Verdana" w:eastAsia="Malgun Gothic" w:hAnsi="Verdana" w:cs="Arial"/>
          <w:sz w:val="18"/>
          <w:szCs w:val="18"/>
        </w:rPr>
        <w:t>, in all member states of the European Union</w:t>
      </w:r>
      <w:r w:rsidR="0040425B" w:rsidRPr="0034238F">
        <w:rPr>
          <w:rFonts w:ascii="Verdana" w:eastAsia="Malgun Gothic" w:hAnsi="Verdana" w:cs="Arial"/>
          <w:sz w:val="18"/>
          <w:szCs w:val="18"/>
        </w:rPr>
        <w:t xml:space="preserve"> based on </w:t>
      </w:r>
      <w:r w:rsidR="00455584" w:rsidRPr="0034238F">
        <w:rPr>
          <w:rFonts w:ascii="Verdana" w:eastAsia="Malgun Gothic" w:hAnsi="Verdana" w:cs="Arial"/>
          <w:sz w:val="18"/>
          <w:szCs w:val="18"/>
        </w:rPr>
        <w:t xml:space="preserve">the </w:t>
      </w:r>
      <w:r w:rsidR="0040425B" w:rsidRPr="0034238F">
        <w:rPr>
          <w:rFonts w:ascii="Verdana" w:eastAsia="Malgun Gothic" w:hAnsi="Verdana" w:cs="Arial"/>
          <w:sz w:val="18"/>
          <w:szCs w:val="18"/>
        </w:rPr>
        <w:t>Commission Implementing Regulation (EU) 2021/861, in accordance with Regulation (EU) No</w:t>
      </w:r>
      <w:r w:rsidR="00455584" w:rsidRPr="0034238F">
        <w:rPr>
          <w:rFonts w:ascii="Verdana" w:eastAsia="Malgun Gothic" w:hAnsi="Verdana" w:cs="Arial"/>
          <w:sz w:val="18"/>
          <w:szCs w:val="18"/>
        </w:rPr>
        <w:t>.</w:t>
      </w:r>
      <w:r w:rsidR="0040425B" w:rsidRPr="0034238F">
        <w:rPr>
          <w:rFonts w:ascii="Verdana" w:eastAsia="Malgun Gothic" w:hAnsi="Verdana" w:cs="Arial"/>
          <w:sz w:val="18"/>
          <w:szCs w:val="18"/>
        </w:rPr>
        <w:t xml:space="preserve"> 2019/1700 of the European Parliament and of the Council</w:t>
      </w:r>
      <w:r w:rsidRPr="0034238F">
        <w:rPr>
          <w:rFonts w:ascii="Verdana" w:eastAsia="Malgun Gothic" w:hAnsi="Verdana" w:cs="Arial"/>
          <w:sz w:val="18"/>
          <w:szCs w:val="18"/>
        </w:rPr>
        <w:t>.</w:t>
      </w:r>
      <w:r w:rsidR="00DC344F" w:rsidRPr="0034238F">
        <w:rPr>
          <w:rFonts w:ascii="Verdana" w:eastAsia="Malgun Gothic" w:hAnsi="Verdana" w:cs="Arial"/>
          <w:sz w:val="18"/>
          <w:szCs w:val="18"/>
        </w:rPr>
        <w:t xml:space="preserve"> It focuses on </w:t>
      </w:r>
      <w:r w:rsidR="00455584" w:rsidRPr="0034238F">
        <w:rPr>
          <w:rFonts w:ascii="Verdana" w:eastAsia="Malgun Gothic" w:hAnsi="Verdana" w:cs="Arial"/>
          <w:sz w:val="18"/>
          <w:szCs w:val="18"/>
        </w:rPr>
        <w:t xml:space="preserve">the </w:t>
      </w:r>
      <w:r w:rsidR="00DC344F" w:rsidRPr="0034238F">
        <w:rPr>
          <w:rFonts w:ascii="Verdana" w:eastAsia="Malgun Gothic" w:hAnsi="Verdana" w:cs="Arial"/>
          <w:sz w:val="18"/>
          <w:szCs w:val="18"/>
        </w:rPr>
        <w:t>participation in any educational activity, which is carried out with the intention of learning, whether it concerns Formal Education, Non-Formal Education, or Informal Learning and the analysis of these data in terms of demographic and other characteristics of the population.</w:t>
      </w:r>
    </w:p>
    <w:p w14:paraId="43385B53" w14:textId="77777777" w:rsidR="005067FD" w:rsidRPr="0034238F" w:rsidRDefault="005067FD" w:rsidP="0034238F">
      <w:pPr>
        <w:jc w:val="both"/>
        <w:rPr>
          <w:rFonts w:ascii="Verdana" w:eastAsia="Malgun Gothic" w:hAnsi="Verdana" w:cs="Arial"/>
          <w:sz w:val="18"/>
          <w:szCs w:val="18"/>
        </w:rPr>
      </w:pPr>
    </w:p>
    <w:p w14:paraId="29060ED6" w14:textId="6E5B41DB" w:rsidR="005067FD" w:rsidRPr="0034238F" w:rsidRDefault="00455584" w:rsidP="0034238F">
      <w:pPr>
        <w:jc w:val="both"/>
        <w:rPr>
          <w:rFonts w:ascii="Verdana" w:eastAsia="Malgun Gothic" w:hAnsi="Verdana" w:cs="Arial"/>
          <w:sz w:val="18"/>
          <w:szCs w:val="18"/>
        </w:rPr>
      </w:pPr>
      <w:r w:rsidRPr="0034238F">
        <w:rPr>
          <w:rFonts w:ascii="Verdana" w:eastAsia="Malgun Gothic" w:hAnsi="Verdana" w:cs="Arial"/>
          <w:sz w:val="18"/>
          <w:szCs w:val="18"/>
        </w:rPr>
        <w:t>Furthermore</w:t>
      </w:r>
      <w:r w:rsidR="005067FD" w:rsidRPr="0034238F">
        <w:rPr>
          <w:rFonts w:ascii="Verdana" w:eastAsia="Malgun Gothic" w:hAnsi="Verdana" w:cs="Arial"/>
          <w:sz w:val="18"/>
          <w:szCs w:val="18"/>
        </w:rPr>
        <w:t xml:space="preserve">, the AES collects data on the reasons that did not allow respondents to participate as much as they would like in educational activities, as well as their knowledge of languages </w:t>
      </w:r>
      <w:r w:rsidR="005067FD" w:rsidRPr="0034238F">
        <w:rPr>
          <w:rFonts w:ascii="Arial" w:eastAsia="Malgun Gothic" w:hAnsi="Arial" w:cs="Arial"/>
          <w:sz w:val="18"/>
          <w:szCs w:val="18"/>
        </w:rPr>
        <w:t>​​</w:t>
      </w:r>
      <w:r w:rsidR="005067FD" w:rsidRPr="0034238F">
        <w:rPr>
          <w:rFonts w:ascii="Verdana" w:eastAsia="Malgun Gothic" w:hAnsi="Verdana" w:cs="Arial"/>
          <w:sz w:val="18"/>
          <w:szCs w:val="18"/>
        </w:rPr>
        <w:t>other than their mother tongue.</w:t>
      </w:r>
    </w:p>
    <w:p w14:paraId="632E3D7F" w14:textId="77777777" w:rsidR="004C2132" w:rsidRPr="0034238F" w:rsidRDefault="004C2132" w:rsidP="0034238F">
      <w:pPr>
        <w:jc w:val="both"/>
        <w:rPr>
          <w:rFonts w:ascii="Verdana" w:eastAsia="Malgun Gothic" w:hAnsi="Verdana" w:cs="Arial"/>
          <w:sz w:val="18"/>
          <w:szCs w:val="18"/>
        </w:rPr>
      </w:pPr>
    </w:p>
    <w:p w14:paraId="46924EC0" w14:textId="12B3B09D" w:rsidR="0040425B" w:rsidRPr="0034238F" w:rsidRDefault="004C2132" w:rsidP="0034238F">
      <w:pPr>
        <w:jc w:val="both"/>
        <w:rPr>
          <w:rFonts w:ascii="Verdana" w:eastAsia="Malgun Gothic" w:hAnsi="Verdana" w:cs="Arial"/>
          <w:sz w:val="18"/>
          <w:szCs w:val="18"/>
        </w:rPr>
      </w:pPr>
      <w:r w:rsidRPr="0034238F">
        <w:rPr>
          <w:rFonts w:ascii="Verdana" w:eastAsia="Malgun Gothic" w:hAnsi="Verdana" w:cs="Arial"/>
          <w:sz w:val="18"/>
          <w:szCs w:val="18"/>
        </w:rPr>
        <w:t>The AES covered a representative sample of 4</w:t>
      </w:r>
      <w:r w:rsidR="003C291C" w:rsidRPr="0034238F">
        <w:rPr>
          <w:rFonts w:ascii="Verdana" w:eastAsia="Malgun Gothic" w:hAnsi="Verdana" w:cs="Arial"/>
          <w:sz w:val="18"/>
          <w:szCs w:val="18"/>
        </w:rPr>
        <w:t>.</w:t>
      </w:r>
      <w:r w:rsidRPr="0034238F">
        <w:rPr>
          <w:rFonts w:ascii="Verdana" w:eastAsia="Malgun Gothic" w:hAnsi="Verdana" w:cs="Arial"/>
          <w:sz w:val="18"/>
          <w:szCs w:val="18"/>
        </w:rPr>
        <w:t>500 households in the Government controlled area</w:t>
      </w:r>
      <w:r w:rsidR="00374736" w:rsidRPr="0034238F">
        <w:rPr>
          <w:rFonts w:ascii="Verdana" w:eastAsia="Malgun Gothic" w:hAnsi="Verdana" w:cs="Arial"/>
          <w:sz w:val="18"/>
          <w:szCs w:val="18"/>
        </w:rPr>
        <w:t>s</w:t>
      </w:r>
      <w:r w:rsidRPr="0034238F">
        <w:rPr>
          <w:rFonts w:ascii="Verdana" w:eastAsia="Malgun Gothic" w:hAnsi="Verdana" w:cs="Arial"/>
          <w:sz w:val="18"/>
          <w:szCs w:val="18"/>
        </w:rPr>
        <w:t xml:space="preserve"> of Cyprus</w:t>
      </w:r>
      <w:r w:rsidR="0040425B" w:rsidRPr="0034238F">
        <w:rPr>
          <w:rFonts w:ascii="Verdana" w:eastAsia="Malgun Gothic" w:hAnsi="Verdana" w:cs="Arial"/>
          <w:sz w:val="18"/>
          <w:szCs w:val="18"/>
        </w:rPr>
        <w:t xml:space="preserve">, </w:t>
      </w:r>
      <w:r w:rsidR="0040425B" w:rsidRPr="0034238F">
        <w:rPr>
          <w:rFonts w:ascii="Verdana" w:eastAsia="Malgun Gothic" w:hAnsi="Verdana" w:cs="Arial"/>
          <w:sz w:val="18"/>
          <w:szCs w:val="18"/>
          <w:lang w:val="en"/>
        </w:rPr>
        <w:t>both in urban and rural areas.</w:t>
      </w:r>
    </w:p>
    <w:p w14:paraId="25841A17" w14:textId="77777777" w:rsidR="005D435D" w:rsidRPr="0034238F" w:rsidRDefault="005D435D" w:rsidP="0034238F">
      <w:pPr>
        <w:jc w:val="both"/>
        <w:rPr>
          <w:rFonts w:ascii="Verdana" w:eastAsia="Malgun Gothic" w:hAnsi="Verdana" w:cs="Arial"/>
          <w:sz w:val="18"/>
          <w:szCs w:val="18"/>
        </w:rPr>
      </w:pPr>
    </w:p>
    <w:p w14:paraId="50F5B4BB" w14:textId="77777777" w:rsidR="00C43F49" w:rsidRPr="0034238F" w:rsidRDefault="00C43F49" w:rsidP="0034238F">
      <w:pPr>
        <w:jc w:val="both"/>
        <w:rPr>
          <w:rFonts w:ascii="Verdana" w:eastAsia="Malgun Gothic" w:hAnsi="Verdana" w:cs="Arial"/>
          <w:sz w:val="18"/>
          <w:szCs w:val="18"/>
        </w:rPr>
      </w:pPr>
    </w:p>
    <w:p w14:paraId="7E4E9612" w14:textId="77777777" w:rsidR="00A9453A" w:rsidRPr="0034238F" w:rsidRDefault="00A9453A" w:rsidP="0034238F">
      <w:pPr>
        <w:jc w:val="both"/>
        <w:rPr>
          <w:rFonts w:ascii="Verdana" w:eastAsia="Malgun Gothic" w:hAnsi="Verdana" w:cs="Arial"/>
          <w:b/>
          <w:sz w:val="18"/>
          <w:szCs w:val="18"/>
          <w:u w:val="single"/>
        </w:rPr>
      </w:pPr>
      <w:r w:rsidRPr="0034238F">
        <w:rPr>
          <w:rFonts w:ascii="Verdana" w:eastAsia="Malgun Gothic" w:hAnsi="Verdana" w:cs="Arial"/>
          <w:b/>
          <w:sz w:val="18"/>
          <w:szCs w:val="18"/>
          <w:u w:val="single"/>
        </w:rPr>
        <w:t>Reference period</w:t>
      </w:r>
    </w:p>
    <w:p w14:paraId="27E03C35" w14:textId="77777777" w:rsidR="00A9453A" w:rsidRPr="0034238F" w:rsidRDefault="00A9453A" w:rsidP="0034238F">
      <w:pPr>
        <w:jc w:val="both"/>
        <w:rPr>
          <w:rFonts w:ascii="Verdana" w:eastAsia="Malgun Gothic" w:hAnsi="Verdana" w:cs="Arial"/>
          <w:sz w:val="18"/>
          <w:szCs w:val="18"/>
        </w:rPr>
      </w:pPr>
    </w:p>
    <w:p w14:paraId="31450AB2" w14:textId="77777777" w:rsidR="00C43F49" w:rsidRPr="0034238F" w:rsidRDefault="00C43F49" w:rsidP="0034238F">
      <w:pPr>
        <w:jc w:val="both"/>
        <w:rPr>
          <w:rFonts w:ascii="Verdana" w:eastAsia="Malgun Gothic" w:hAnsi="Verdana" w:cs="Arial"/>
          <w:sz w:val="18"/>
          <w:szCs w:val="18"/>
        </w:rPr>
      </w:pPr>
      <w:r w:rsidRPr="0034238F">
        <w:rPr>
          <w:rFonts w:ascii="Verdana" w:eastAsia="Malgun Gothic" w:hAnsi="Verdana" w:cs="Arial"/>
          <w:sz w:val="18"/>
          <w:szCs w:val="18"/>
        </w:rPr>
        <w:t>The data collection period was from November 2022 to March 2023.</w:t>
      </w:r>
    </w:p>
    <w:p w14:paraId="24AE6154" w14:textId="40B81BFE" w:rsidR="00A9453A" w:rsidRPr="0034238F" w:rsidRDefault="00C43F49" w:rsidP="0034238F">
      <w:pPr>
        <w:jc w:val="both"/>
        <w:rPr>
          <w:rFonts w:ascii="Verdana" w:eastAsia="Malgun Gothic" w:hAnsi="Verdana" w:cs="Arial"/>
          <w:sz w:val="18"/>
          <w:szCs w:val="18"/>
        </w:rPr>
      </w:pPr>
      <w:r w:rsidRPr="0034238F">
        <w:rPr>
          <w:rFonts w:ascii="Verdana" w:eastAsia="Malgun Gothic" w:hAnsi="Verdana" w:cs="Arial"/>
          <w:sz w:val="18"/>
          <w:szCs w:val="18"/>
        </w:rPr>
        <w:t>The reference period of the survey was the last 12 months from the date of the interview.</w:t>
      </w:r>
    </w:p>
    <w:p w14:paraId="69A3836B" w14:textId="77777777" w:rsidR="00C43F49" w:rsidRPr="0034238F" w:rsidRDefault="00C43F49" w:rsidP="0034238F">
      <w:pPr>
        <w:jc w:val="both"/>
        <w:rPr>
          <w:rFonts w:ascii="Verdana" w:eastAsia="Malgun Gothic" w:hAnsi="Verdana" w:cs="Arial"/>
          <w:sz w:val="18"/>
          <w:szCs w:val="18"/>
        </w:rPr>
      </w:pPr>
    </w:p>
    <w:p w14:paraId="4CBAF6CD" w14:textId="77777777" w:rsidR="00C43F49" w:rsidRPr="0034238F" w:rsidRDefault="00C43F49" w:rsidP="0034238F">
      <w:pPr>
        <w:jc w:val="both"/>
        <w:rPr>
          <w:rFonts w:ascii="Verdana" w:eastAsia="Malgun Gothic" w:hAnsi="Verdana" w:cs="Arial"/>
          <w:sz w:val="18"/>
          <w:szCs w:val="18"/>
        </w:rPr>
      </w:pPr>
    </w:p>
    <w:p w14:paraId="50D88E55" w14:textId="77777777" w:rsidR="00A9453A" w:rsidRPr="0034238F" w:rsidRDefault="00A9453A" w:rsidP="0034238F">
      <w:pPr>
        <w:jc w:val="both"/>
        <w:rPr>
          <w:rFonts w:ascii="Verdana" w:eastAsia="Malgun Gothic" w:hAnsi="Verdana" w:cs="Arial"/>
          <w:b/>
          <w:sz w:val="18"/>
          <w:szCs w:val="18"/>
          <w:u w:val="single"/>
        </w:rPr>
      </w:pPr>
      <w:r w:rsidRPr="0034238F">
        <w:rPr>
          <w:rFonts w:ascii="Verdana" w:eastAsia="Malgun Gothic" w:hAnsi="Verdana" w:cs="Arial"/>
          <w:b/>
          <w:sz w:val="18"/>
          <w:szCs w:val="18"/>
          <w:u w:val="single"/>
        </w:rPr>
        <w:t>Sources of Data</w:t>
      </w:r>
    </w:p>
    <w:p w14:paraId="1ED94346" w14:textId="77777777" w:rsidR="00A9453A" w:rsidRPr="0034238F" w:rsidRDefault="00A9453A" w:rsidP="0034238F">
      <w:pPr>
        <w:jc w:val="both"/>
        <w:rPr>
          <w:rFonts w:ascii="Verdana" w:eastAsia="Malgun Gothic" w:hAnsi="Verdana" w:cs="Arial"/>
          <w:sz w:val="18"/>
          <w:szCs w:val="18"/>
        </w:rPr>
      </w:pPr>
    </w:p>
    <w:p w14:paraId="59F01FBA" w14:textId="77777777" w:rsidR="00C43F49" w:rsidRPr="0034238F" w:rsidRDefault="00C43F49" w:rsidP="0034238F">
      <w:pPr>
        <w:jc w:val="both"/>
        <w:rPr>
          <w:rFonts w:ascii="Verdana" w:eastAsia="Malgun Gothic" w:hAnsi="Verdana" w:cs="Arial"/>
          <w:sz w:val="18"/>
          <w:szCs w:val="18"/>
        </w:rPr>
      </w:pPr>
      <w:r w:rsidRPr="0034238F">
        <w:rPr>
          <w:rFonts w:ascii="Verdana" w:eastAsia="Malgun Gothic" w:hAnsi="Verdana" w:cs="Arial"/>
          <w:sz w:val="18"/>
          <w:szCs w:val="18"/>
        </w:rPr>
        <w:t>The data collection was carried out with personal and telephone interviews at the households using</w:t>
      </w:r>
    </w:p>
    <w:p w14:paraId="4195F89D" w14:textId="6BFE1A61" w:rsidR="00C43F49" w:rsidRPr="0034238F" w:rsidRDefault="00C43F49" w:rsidP="0034238F">
      <w:pPr>
        <w:jc w:val="both"/>
        <w:rPr>
          <w:rFonts w:ascii="Verdana" w:eastAsia="Malgun Gothic" w:hAnsi="Verdana" w:cs="Arial"/>
          <w:sz w:val="18"/>
          <w:szCs w:val="18"/>
        </w:rPr>
      </w:pPr>
      <w:r w:rsidRPr="0034238F">
        <w:rPr>
          <w:rFonts w:ascii="Verdana" w:eastAsia="Malgun Gothic" w:hAnsi="Verdana" w:cs="Arial"/>
          <w:sz w:val="18"/>
          <w:szCs w:val="18"/>
        </w:rPr>
        <w:t>electronic questionnaires.</w:t>
      </w:r>
      <w:r w:rsidRPr="0034238F">
        <w:rPr>
          <w:rFonts w:ascii="Verdana" w:eastAsia="Malgun Gothic" w:hAnsi="Verdana" w:cs="Arial"/>
          <w:sz w:val="18"/>
          <w:szCs w:val="18"/>
        </w:rPr>
        <w:cr/>
      </w:r>
    </w:p>
    <w:p w14:paraId="1C2C7EAC" w14:textId="77777777" w:rsidR="00C43F49" w:rsidRPr="0034238F" w:rsidRDefault="00C43F49" w:rsidP="0034238F">
      <w:pPr>
        <w:jc w:val="both"/>
        <w:rPr>
          <w:rFonts w:ascii="Verdana" w:eastAsia="Malgun Gothic" w:hAnsi="Verdana" w:cs="Arial"/>
          <w:sz w:val="18"/>
          <w:szCs w:val="18"/>
        </w:rPr>
      </w:pPr>
    </w:p>
    <w:p w14:paraId="77BD2839" w14:textId="77777777" w:rsidR="00A9453A" w:rsidRPr="0034238F" w:rsidRDefault="00A9453A" w:rsidP="0034238F">
      <w:pPr>
        <w:jc w:val="both"/>
        <w:rPr>
          <w:rFonts w:ascii="Verdana" w:eastAsia="Malgun Gothic" w:hAnsi="Verdana" w:cs="Arial"/>
          <w:b/>
          <w:sz w:val="18"/>
          <w:szCs w:val="18"/>
          <w:u w:val="single"/>
        </w:rPr>
      </w:pPr>
      <w:r w:rsidRPr="0034238F">
        <w:rPr>
          <w:rFonts w:ascii="Verdana" w:eastAsia="Malgun Gothic" w:hAnsi="Verdana" w:cs="Arial"/>
          <w:b/>
          <w:sz w:val="18"/>
          <w:szCs w:val="18"/>
          <w:u w:val="single"/>
        </w:rPr>
        <w:t>Definitions</w:t>
      </w:r>
    </w:p>
    <w:p w14:paraId="2EBD12FD" w14:textId="77777777" w:rsidR="00A9453A" w:rsidRPr="0034238F" w:rsidRDefault="00A9453A" w:rsidP="0034238F">
      <w:pPr>
        <w:jc w:val="both"/>
        <w:rPr>
          <w:rFonts w:ascii="Verdana" w:eastAsia="Malgun Gothic" w:hAnsi="Verdana" w:cs="Arial"/>
          <w:sz w:val="18"/>
          <w:szCs w:val="18"/>
        </w:rPr>
      </w:pPr>
    </w:p>
    <w:p w14:paraId="523FEF05" w14:textId="31AFC08D" w:rsidR="004A7728" w:rsidRPr="0034238F" w:rsidRDefault="00A51113" w:rsidP="0034238F">
      <w:pPr>
        <w:jc w:val="both"/>
        <w:rPr>
          <w:rFonts w:ascii="Verdana" w:eastAsia="Malgun Gothic" w:hAnsi="Verdana" w:cs="Arial"/>
          <w:b/>
          <w:sz w:val="18"/>
          <w:szCs w:val="18"/>
        </w:rPr>
      </w:pPr>
      <w:r w:rsidRPr="0034238F">
        <w:rPr>
          <w:rFonts w:ascii="Verdana" w:eastAsia="Malgun Gothic" w:hAnsi="Verdana" w:cs="Arial"/>
          <w:b/>
          <w:sz w:val="18"/>
          <w:szCs w:val="18"/>
        </w:rPr>
        <w:t>Adult Education</w:t>
      </w:r>
    </w:p>
    <w:p w14:paraId="28B358AE" w14:textId="21D046B4" w:rsidR="00853765" w:rsidRPr="0034238F" w:rsidRDefault="00A51113" w:rsidP="0034238F">
      <w:pPr>
        <w:jc w:val="both"/>
        <w:rPr>
          <w:rFonts w:ascii="Verdana" w:eastAsia="Malgun Gothic" w:hAnsi="Verdana" w:cs="Arial"/>
          <w:b/>
          <w:sz w:val="18"/>
          <w:szCs w:val="18"/>
        </w:rPr>
      </w:pPr>
      <w:r w:rsidRPr="0034238F">
        <w:rPr>
          <w:rFonts w:ascii="Verdana" w:eastAsia="Malgun Gothic" w:hAnsi="Verdana" w:cs="Arial"/>
          <w:bCs/>
          <w:sz w:val="18"/>
          <w:szCs w:val="18"/>
        </w:rPr>
        <w:t>Adult Education</w:t>
      </w:r>
      <w:r w:rsidRPr="0034238F">
        <w:rPr>
          <w:rFonts w:ascii="Verdana" w:eastAsia="Malgun Gothic" w:hAnsi="Verdana" w:cs="Arial"/>
          <w:b/>
          <w:sz w:val="18"/>
          <w:szCs w:val="18"/>
        </w:rPr>
        <w:t xml:space="preserve"> </w:t>
      </w:r>
      <w:r w:rsidR="004A7728" w:rsidRPr="0034238F">
        <w:rPr>
          <w:rFonts w:ascii="Verdana" w:eastAsia="Malgun Gothic" w:hAnsi="Verdana" w:cs="Arial"/>
          <w:bCs/>
          <w:sz w:val="18"/>
          <w:szCs w:val="18"/>
        </w:rPr>
        <w:t>encompasses all learning activities undertaken throughout</w:t>
      </w:r>
      <w:r w:rsidR="00857216" w:rsidRPr="0034238F">
        <w:rPr>
          <w:rFonts w:ascii="Verdana" w:eastAsia="Malgun Gothic" w:hAnsi="Verdana" w:cs="Arial"/>
          <w:bCs/>
          <w:sz w:val="18"/>
          <w:szCs w:val="18"/>
        </w:rPr>
        <w:t xml:space="preserve"> the</w:t>
      </w:r>
      <w:r w:rsidR="004A7728" w:rsidRPr="0034238F">
        <w:rPr>
          <w:rFonts w:ascii="Verdana" w:eastAsia="Malgun Gothic" w:hAnsi="Verdana" w:cs="Arial"/>
          <w:bCs/>
          <w:sz w:val="18"/>
          <w:szCs w:val="18"/>
        </w:rPr>
        <w:t xml:space="preserve"> life </w:t>
      </w:r>
      <w:r w:rsidR="00A74DC5" w:rsidRPr="0034238F">
        <w:rPr>
          <w:rFonts w:ascii="Verdana" w:eastAsia="Malgun Gothic" w:hAnsi="Verdana" w:cs="Arial"/>
          <w:bCs/>
          <w:sz w:val="18"/>
          <w:szCs w:val="18"/>
        </w:rPr>
        <w:t xml:space="preserve">of </w:t>
      </w:r>
      <w:r w:rsidR="00857216" w:rsidRPr="0034238F">
        <w:rPr>
          <w:rFonts w:ascii="Verdana" w:eastAsia="Malgun Gothic" w:hAnsi="Verdana" w:cs="Arial"/>
          <w:bCs/>
          <w:sz w:val="18"/>
          <w:szCs w:val="18"/>
        </w:rPr>
        <w:t xml:space="preserve">adult population (aged 18 and over) </w:t>
      </w:r>
      <w:r w:rsidR="004A7728" w:rsidRPr="0034238F">
        <w:rPr>
          <w:rFonts w:ascii="Verdana" w:eastAsia="Malgun Gothic" w:hAnsi="Verdana" w:cs="Arial"/>
          <w:bCs/>
          <w:sz w:val="18"/>
          <w:szCs w:val="18"/>
        </w:rPr>
        <w:t>with the aim of improving knowledge, skills and competences, within personal, civic, social or employment-related perspectives. The intention or aim to learn is the critical point that distinguishes these activities from non-learning activities, such as cultural or sporting activities.</w:t>
      </w:r>
    </w:p>
    <w:p w14:paraId="1BC21DE8" w14:textId="77777777" w:rsidR="004A7728" w:rsidRPr="0034238F" w:rsidRDefault="004A7728" w:rsidP="0034238F">
      <w:pPr>
        <w:jc w:val="both"/>
        <w:rPr>
          <w:rFonts w:ascii="Verdana" w:eastAsia="Malgun Gothic" w:hAnsi="Verdana" w:cs="Arial"/>
          <w:bCs/>
          <w:sz w:val="18"/>
          <w:szCs w:val="18"/>
        </w:rPr>
      </w:pPr>
    </w:p>
    <w:p w14:paraId="68D4E6F7" w14:textId="4AAD821F" w:rsidR="004A7728" w:rsidRPr="0034238F" w:rsidRDefault="004A7728" w:rsidP="0034238F">
      <w:pPr>
        <w:jc w:val="both"/>
        <w:rPr>
          <w:rFonts w:ascii="Verdana" w:eastAsia="Malgun Gothic" w:hAnsi="Verdana" w:cs="Arial"/>
          <w:b/>
          <w:sz w:val="18"/>
          <w:szCs w:val="18"/>
        </w:rPr>
      </w:pPr>
      <w:r w:rsidRPr="0034238F">
        <w:rPr>
          <w:rFonts w:ascii="Verdana" w:eastAsia="Malgun Gothic" w:hAnsi="Verdana" w:cs="Arial"/>
          <w:b/>
          <w:sz w:val="18"/>
          <w:szCs w:val="18"/>
        </w:rPr>
        <w:t>Learning Activities</w:t>
      </w:r>
    </w:p>
    <w:p w14:paraId="6520EDAF" w14:textId="46B81737" w:rsidR="004A7728" w:rsidRPr="0034238F" w:rsidRDefault="004A7728" w:rsidP="0034238F">
      <w:pPr>
        <w:jc w:val="both"/>
        <w:rPr>
          <w:rFonts w:ascii="Verdana" w:eastAsia="Malgun Gothic" w:hAnsi="Verdana" w:cs="Arial"/>
          <w:bCs/>
          <w:sz w:val="18"/>
          <w:szCs w:val="18"/>
        </w:rPr>
      </w:pPr>
      <w:r w:rsidRPr="0034238F">
        <w:rPr>
          <w:rFonts w:ascii="Verdana" w:eastAsia="Malgun Gothic" w:hAnsi="Verdana" w:cs="Arial"/>
          <w:bCs/>
          <w:sz w:val="18"/>
          <w:szCs w:val="18"/>
        </w:rPr>
        <w:t xml:space="preserve">Learning Activities are defined as any activities of an individual organised with the intention to improve his/her knowledge, skills and competence. The two fundamental criteria to distinguish learning activities from non-learning activities are: </w:t>
      </w:r>
    </w:p>
    <w:p w14:paraId="4578F84B" w14:textId="77777777" w:rsidR="00374736" w:rsidRPr="0034238F" w:rsidRDefault="004A7728" w:rsidP="0034238F">
      <w:pPr>
        <w:pStyle w:val="ListParagraph"/>
        <w:numPr>
          <w:ilvl w:val="0"/>
          <w:numId w:val="9"/>
        </w:numPr>
        <w:jc w:val="both"/>
        <w:rPr>
          <w:rFonts w:ascii="Verdana" w:eastAsia="Malgun Gothic" w:hAnsi="Verdana" w:cs="Arial"/>
          <w:bCs/>
          <w:sz w:val="18"/>
          <w:szCs w:val="18"/>
        </w:rPr>
      </w:pPr>
      <w:r w:rsidRPr="0034238F">
        <w:rPr>
          <w:rFonts w:ascii="Verdana" w:eastAsia="Malgun Gothic" w:hAnsi="Verdana" w:cs="Arial"/>
          <w:bCs/>
          <w:sz w:val="18"/>
          <w:szCs w:val="18"/>
        </w:rPr>
        <w:t>the activity must be intentional (as opposed to random learning), so the act has a predetermined purpose;</w:t>
      </w:r>
    </w:p>
    <w:p w14:paraId="1217AC2C" w14:textId="72411C2C" w:rsidR="00374736" w:rsidRPr="0034238F" w:rsidRDefault="00374736" w:rsidP="0034238F">
      <w:pPr>
        <w:pStyle w:val="ListParagraph"/>
        <w:numPr>
          <w:ilvl w:val="0"/>
          <w:numId w:val="9"/>
        </w:numPr>
        <w:jc w:val="both"/>
        <w:rPr>
          <w:rFonts w:ascii="Verdana" w:eastAsia="Malgun Gothic" w:hAnsi="Verdana" w:cs="Arial"/>
          <w:bCs/>
          <w:sz w:val="18"/>
          <w:szCs w:val="18"/>
        </w:rPr>
      </w:pPr>
      <w:r w:rsidRPr="0034238F">
        <w:rPr>
          <w:rFonts w:ascii="Verdana" w:eastAsia="Malgun Gothic" w:hAnsi="Verdana" w:cs="Arial"/>
          <w:bCs/>
          <w:sz w:val="18"/>
          <w:szCs w:val="18"/>
        </w:rPr>
        <w:t>the activity must be organized in some way, either by another person or an organized body, or by the learner himself/herself; it typically involves the transfer of information in a broader sense</w:t>
      </w:r>
      <w:r w:rsidR="00730DD8" w:rsidRPr="0034238F">
        <w:rPr>
          <w:rFonts w:ascii="Verdana" w:eastAsia="Malgun Gothic" w:hAnsi="Verdana" w:cs="Arial"/>
          <w:bCs/>
          <w:sz w:val="18"/>
          <w:szCs w:val="18"/>
        </w:rPr>
        <w:t>.</w:t>
      </w:r>
    </w:p>
    <w:p w14:paraId="55524E09" w14:textId="77777777" w:rsidR="004A7728" w:rsidRPr="0034238F" w:rsidRDefault="004A7728" w:rsidP="0034238F">
      <w:pPr>
        <w:jc w:val="both"/>
        <w:rPr>
          <w:rFonts w:ascii="Verdana" w:eastAsia="Malgun Gothic" w:hAnsi="Verdana" w:cs="Arial"/>
          <w:bCs/>
          <w:sz w:val="18"/>
          <w:szCs w:val="18"/>
        </w:rPr>
      </w:pPr>
    </w:p>
    <w:p w14:paraId="6455AE23" w14:textId="77777777" w:rsidR="008F7F7F" w:rsidRPr="0034238F" w:rsidRDefault="008F7F7F" w:rsidP="0034238F">
      <w:pPr>
        <w:jc w:val="both"/>
        <w:rPr>
          <w:rFonts w:ascii="Verdana" w:eastAsia="Malgun Gothic" w:hAnsi="Verdana" w:cs="Arial"/>
          <w:bCs/>
          <w:sz w:val="18"/>
          <w:szCs w:val="18"/>
          <w:lang w:val="en-GB"/>
        </w:rPr>
      </w:pPr>
      <w:r w:rsidRPr="0034238F">
        <w:rPr>
          <w:rFonts w:ascii="Verdana" w:eastAsia="Malgun Gothic" w:hAnsi="Verdana" w:cs="Arial"/>
          <w:b/>
          <w:sz w:val="18"/>
          <w:szCs w:val="18"/>
          <w:lang w:val="en-GB"/>
        </w:rPr>
        <w:t>Formal Education</w:t>
      </w:r>
      <w:r w:rsidRPr="0034238F">
        <w:rPr>
          <w:rFonts w:ascii="Verdana" w:eastAsia="Malgun Gothic" w:hAnsi="Verdana" w:cs="Arial"/>
          <w:bCs/>
          <w:sz w:val="18"/>
          <w:szCs w:val="18"/>
          <w:lang w:val="en-GB"/>
        </w:rPr>
        <w:t xml:space="preserve"> </w:t>
      </w:r>
    </w:p>
    <w:p w14:paraId="3974A31C" w14:textId="06D8ECC9" w:rsidR="00926895" w:rsidRPr="0034238F" w:rsidRDefault="00926895" w:rsidP="0034238F">
      <w:pPr>
        <w:jc w:val="both"/>
        <w:rPr>
          <w:rFonts w:ascii="Verdana" w:eastAsia="Malgun Gothic" w:hAnsi="Verdana" w:cs="Arial"/>
          <w:bCs/>
          <w:sz w:val="18"/>
          <w:szCs w:val="18"/>
          <w:lang w:val="en-GB"/>
        </w:rPr>
      </w:pPr>
      <w:r w:rsidRPr="0034238F">
        <w:rPr>
          <w:rFonts w:ascii="Verdana" w:eastAsia="Malgun Gothic" w:hAnsi="Verdana" w:cs="Arial"/>
          <w:bCs/>
          <w:sz w:val="18"/>
          <w:szCs w:val="18"/>
          <w:lang w:val="en-GB"/>
        </w:rPr>
        <w:t xml:space="preserve">It refers to learning activities that are part of the </w:t>
      </w:r>
      <w:r w:rsidR="008926FA" w:rsidRPr="0034238F">
        <w:rPr>
          <w:rFonts w:ascii="Verdana" w:eastAsia="Malgun Gothic" w:hAnsi="Verdana" w:cs="Arial"/>
          <w:bCs/>
          <w:sz w:val="18"/>
          <w:szCs w:val="18"/>
          <w:lang w:val="en-GB"/>
        </w:rPr>
        <w:t xml:space="preserve">formal </w:t>
      </w:r>
      <w:r w:rsidRPr="0034238F">
        <w:rPr>
          <w:rFonts w:ascii="Verdana" w:eastAsia="Malgun Gothic" w:hAnsi="Verdana" w:cs="Arial"/>
          <w:bCs/>
          <w:sz w:val="18"/>
          <w:szCs w:val="18"/>
          <w:lang w:val="en-GB"/>
        </w:rPr>
        <w:t>education system</w:t>
      </w:r>
      <w:r w:rsidR="008926FA" w:rsidRPr="0034238F">
        <w:rPr>
          <w:rFonts w:ascii="Verdana" w:eastAsia="Malgun Gothic" w:hAnsi="Verdana" w:cs="Arial"/>
          <w:bCs/>
          <w:sz w:val="18"/>
          <w:szCs w:val="18"/>
          <w:lang w:val="en-GB"/>
        </w:rPr>
        <w:t xml:space="preserve"> of a country</w:t>
      </w:r>
      <w:r w:rsidRPr="0034238F">
        <w:rPr>
          <w:rFonts w:ascii="Verdana" w:eastAsia="Malgun Gothic" w:hAnsi="Verdana" w:cs="Arial"/>
          <w:bCs/>
          <w:sz w:val="18"/>
          <w:szCs w:val="18"/>
          <w:lang w:val="en-GB"/>
        </w:rPr>
        <w:t xml:space="preserve">. This includes all educational institutions, public and private (schools, colleges, universities) which offer organized, </w:t>
      </w:r>
      <w:r w:rsidR="008926FA" w:rsidRPr="0034238F">
        <w:rPr>
          <w:rFonts w:ascii="Verdana" w:eastAsia="Malgun Gothic" w:hAnsi="Verdana" w:cs="Arial"/>
          <w:bCs/>
          <w:sz w:val="18"/>
          <w:szCs w:val="18"/>
          <w:lang w:val="en-GB"/>
        </w:rPr>
        <w:t>pre</w:t>
      </w:r>
      <w:r w:rsidRPr="0034238F">
        <w:rPr>
          <w:rFonts w:ascii="Verdana" w:eastAsia="Malgun Gothic" w:hAnsi="Verdana" w:cs="Arial"/>
          <w:bCs/>
          <w:sz w:val="18"/>
          <w:szCs w:val="18"/>
          <w:lang w:val="en-GB"/>
        </w:rPr>
        <w:t xml:space="preserve">defined and systematic education </w:t>
      </w:r>
      <w:r w:rsidR="00730DD8" w:rsidRPr="0034238F">
        <w:rPr>
          <w:rFonts w:ascii="Verdana" w:eastAsia="Malgun Gothic" w:hAnsi="Verdana" w:cs="Arial"/>
          <w:bCs/>
          <w:sz w:val="18"/>
          <w:szCs w:val="18"/>
          <w:lang w:val="en-GB"/>
        </w:rPr>
        <w:t>which</w:t>
      </w:r>
      <w:r w:rsidRPr="0034238F">
        <w:rPr>
          <w:rFonts w:ascii="Verdana" w:eastAsia="Malgun Gothic" w:hAnsi="Verdana" w:cs="Arial"/>
          <w:bCs/>
          <w:sz w:val="18"/>
          <w:szCs w:val="18"/>
          <w:lang w:val="en-GB"/>
        </w:rPr>
        <w:t xml:space="preserve"> </w:t>
      </w:r>
      <w:r w:rsidR="00627994" w:rsidRPr="0034238F">
        <w:rPr>
          <w:rFonts w:ascii="Verdana" w:eastAsia="Malgun Gothic" w:hAnsi="Verdana" w:cs="Arial"/>
          <w:bCs/>
          <w:sz w:val="18"/>
          <w:szCs w:val="18"/>
          <w:lang w:val="en-GB"/>
        </w:rPr>
        <w:t>result</w:t>
      </w:r>
      <w:r w:rsidR="00730DD8" w:rsidRPr="0034238F">
        <w:rPr>
          <w:rFonts w:ascii="Verdana" w:eastAsia="Malgun Gothic" w:hAnsi="Verdana" w:cs="Arial"/>
          <w:bCs/>
          <w:sz w:val="18"/>
          <w:szCs w:val="18"/>
        </w:rPr>
        <w:t>s</w:t>
      </w:r>
      <w:r w:rsidR="00627994" w:rsidRPr="0034238F">
        <w:rPr>
          <w:rFonts w:ascii="Verdana" w:eastAsia="Malgun Gothic" w:hAnsi="Verdana" w:cs="Arial"/>
          <w:bCs/>
          <w:sz w:val="18"/>
          <w:szCs w:val="18"/>
          <w:lang w:val="en-GB"/>
        </w:rPr>
        <w:t xml:space="preserve"> </w:t>
      </w:r>
      <w:r w:rsidRPr="0034238F">
        <w:rPr>
          <w:rFonts w:ascii="Verdana" w:eastAsia="Malgun Gothic" w:hAnsi="Verdana" w:cs="Arial"/>
          <w:bCs/>
          <w:sz w:val="18"/>
          <w:szCs w:val="18"/>
          <w:lang w:val="en-GB"/>
        </w:rPr>
        <w:t>in the award of a high school diploma or degree or certificate recognized by the Ministry of Education, Sports and Youth.</w:t>
      </w:r>
    </w:p>
    <w:p w14:paraId="723EAF16" w14:textId="77777777" w:rsidR="00730DD8" w:rsidRPr="0034238F" w:rsidRDefault="00730DD8" w:rsidP="0034238F">
      <w:pPr>
        <w:jc w:val="both"/>
        <w:rPr>
          <w:rFonts w:ascii="Verdana" w:eastAsia="Malgun Gothic" w:hAnsi="Verdana" w:cs="Arial"/>
          <w:bCs/>
          <w:sz w:val="18"/>
          <w:szCs w:val="18"/>
          <w:lang w:val="en-GB"/>
        </w:rPr>
      </w:pPr>
    </w:p>
    <w:p w14:paraId="7FD4CD21" w14:textId="706E4C66" w:rsidR="00AE3503" w:rsidRPr="0034238F" w:rsidRDefault="008C0F47" w:rsidP="0034238F">
      <w:pPr>
        <w:jc w:val="both"/>
        <w:rPr>
          <w:rFonts w:ascii="Verdana" w:eastAsia="Malgun Gothic" w:hAnsi="Verdana" w:cs="Arial"/>
          <w:bCs/>
          <w:sz w:val="18"/>
          <w:szCs w:val="18"/>
          <w:lang w:val="en-GB"/>
        </w:rPr>
      </w:pPr>
      <w:r w:rsidRPr="0034238F">
        <w:rPr>
          <w:rFonts w:ascii="Verdana" w:eastAsia="Malgun Gothic" w:hAnsi="Verdana" w:cs="Arial"/>
          <w:b/>
          <w:sz w:val="18"/>
          <w:szCs w:val="18"/>
          <w:lang w:val="en-GB"/>
        </w:rPr>
        <w:t>Non-Formal</w:t>
      </w:r>
      <w:r w:rsidR="008F7F7F" w:rsidRPr="0034238F">
        <w:rPr>
          <w:rFonts w:ascii="Verdana" w:eastAsia="Malgun Gothic" w:hAnsi="Verdana" w:cs="Arial"/>
          <w:b/>
          <w:sz w:val="18"/>
          <w:szCs w:val="18"/>
          <w:lang w:val="en-GB"/>
        </w:rPr>
        <w:t xml:space="preserve"> Education</w:t>
      </w:r>
      <w:r w:rsidR="008F7F7F" w:rsidRPr="0034238F">
        <w:rPr>
          <w:rFonts w:ascii="Verdana" w:eastAsia="Malgun Gothic" w:hAnsi="Verdana" w:cs="Arial"/>
          <w:bCs/>
          <w:sz w:val="18"/>
          <w:szCs w:val="18"/>
          <w:lang w:val="en-GB"/>
        </w:rPr>
        <w:t xml:space="preserve"> </w:t>
      </w:r>
    </w:p>
    <w:p w14:paraId="468B18BD" w14:textId="434BC7F4" w:rsidR="00AE3503" w:rsidRPr="0034238F" w:rsidRDefault="00AE3503" w:rsidP="0034238F">
      <w:pPr>
        <w:jc w:val="both"/>
        <w:rPr>
          <w:rFonts w:ascii="Verdana" w:eastAsia="Malgun Gothic" w:hAnsi="Verdana" w:cs="Arial"/>
          <w:bCs/>
          <w:sz w:val="18"/>
          <w:szCs w:val="18"/>
          <w:lang w:val="en-GB"/>
        </w:rPr>
      </w:pPr>
      <w:r w:rsidRPr="0034238F">
        <w:rPr>
          <w:rFonts w:ascii="Verdana" w:eastAsia="Malgun Gothic" w:hAnsi="Verdana" w:cs="Arial"/>
          <w:bCs/>
          <w:sz w:val="18"/>
          <w:szCs w:val="18"/>
          <w:lang w:val="en-GB"/>
        </w:rPr>
        <w:t xml:space="preserve">It refers to learning activities that take place outside the </w:t>
      </w:r>
      <w:r w:rsidR="00627994" w:rsidRPr="0034238F">
        <w:rPr>
          <w:rFonts w:ascii="Verdana" w:eastAsia="Malgun Gothic" w:hAnsi="Verdana" w:cs="Arial"/>
          <w:bCs/>
          <w:sz w:val="18"/>
          <w:szCs w:val="18"/>
          <w:lang w:val="en-GB"/>
        </w:rPr>
        <w:t xml:space="preserve">formal </w:t>
      </w:r>
      <w:r w:rsidRPr="0034238F">
        <w:rPr>
          <w:rFonts w:ascii="Verdana" w:eastAsia="Malgun Gothic" w:hAnsi="Verdana" w:cs="Arial"/>
          <w:bCs/>
          <w:sz w:val="18"/>
          <w:szCs w:val="18"/>
          <w:lang w:val="en-GB"/>
        </w:rPr>
        <w:t>education system but are organized and based on instruction. They can be short or long-term and usually require registration to attend.</w:t>
      </w:r>
      <w:r w:rsidR="006E510B" w:rsidRPr="0034238F">
        <w:rPr>
          <w:rFonts w:ascii="Verdana" w:eastAsia="Malgun Gothic" w:hAnsi="Verdana" w:cs="Arial"/>
          <w:bCs/>
          <w:sz w:val="18"/>
          <w:szCs w:val="18"/>
          <w:lang w:val="en-GB"/>
        </w:rPr>
        <w:t xml:space="preserve"> These activities include seminars, conferences, courses, training courses, tutorials or private lessons as well as the "apprenticeship system" and the "afternoon and evening classes of Technical Schools".</w:t>
      </w:r>
    </w:p>
    <w:p w14:paraId="47DFA324" w14:textId="77777777" w:rsidR="00D21A47" w:rsidRPr="0034238F" w:rsidRDefault="00D21A47" w:rsidP="0034238F">
      <w:pPr>
        <w:jc w:val="both"/>
        <w:rPr>
          <w:rFonts w:ascii="Verdana" w:eastAsia="Malgun Gothic" w:hAnsi="Verdana" w:cs="Arial"/>
          <w:bCs/>
          <w:sz w:val="18"/>
          <w:szCs w:val="18"/>
          <w:lang w:val="en-GB"/>
        </w:rPr>
      </w:pPr>
    </w:p>
    <w:p w14:paraId="659B7F87" w14:textId="77777777" w:rsidR="00730DD8" w:rsidRPr="0034238F" w:rsidRDefault="00730DD8" w:rsidP="0034238F">
      <w:pPr>
        <w:jc w:val="both"/>
        <w:rPr>
          <w:rFonts w:ascii="Verdana" w:eastAsia="Malgun Gothic" w:hAnsi="Verdana" w:cs="Arial"/>
          <w:bCs/>
          <w:sz w:val="18"/>
          <w:szCs w:val="18"/>
          <w:lang w:val="en-GB"/>
        </w:rPr>
      </w:pPr>
    </w:p>
    <w:p w14:paraId="387417B1" w14:textId="77777777" w:rsidR="00730DD8" w:rsidRPr="0034238F" w:rsidRDefault="00730DD8" w:rsidP="0034238F">
      <w:pPr>
        <w:jc w:val="both"/>
        <w:rPr>
          <w:rFonts w:ascii="Verdana" w:eastAsia="Malgun Gothic" w:hAnsi="Verdana" w:cs="Arial"/>
          <w:bCs/>
          <w:sz w:val="18"/>
          <w:szCs w:val="18"/>
          <w:lang w:val="en-GB"/>
        </w:rPr>
      </w:pPr>
    </w:p>
    <w:p w14:paraId="7F34A31A" w14:textId="77777777" w:rsidR="00730DD8" w:rsidRPr="0034238F" w:rsidRDefault="00730DD8" w:rsidP="0034238F">
      <w:pPr>
        <w:jc w:val="both"/>
        <w:rPr>
          <w:rFonts w:ascii="Verdana" w:eastAsia="Malgun Gothic" w:hAnsi="Verdana" w:cs="Arial"/>
          <w:bCs/>
          <w:sz w:val="18"/>
          <w:szCs w:val="18"/>
          <w:lang w:val="en-GB"/>
        </w:rPr>
      </w:pPr>
    </w:p>
    <w:p w14:paraId="4E16E56D" w14:textId="77777777" w:rsidR="00730DD8" w:rsidRPr="0034238F" w:rsidRDefault="00730DD8" w:rsidP="0034238F">
      <w:pPr>
        <w:jc w:val="both"/>
        <w:rPr>
          <w:rFonts w:ascii="Verdana" w:eastAsia="Malgun Gothic" w:hAnsi="Verdana" w:cs="Arial"/>
          <w:b/>
          <w:sz w:val="18"/>
          <w:szCs w:val="18"/>
          <w:lang w:val="en-GB"/>
        </w:rPr>
      </w:pPr>
    </w:p>
    <w:p w14:paraId="1EC5DE61" w14:textId="20BB2DFA" w:rsidR="00C22005" w:rsidRPr="0034238F" w:rsidRDefault="00C22005" w:rsidP="0034238F">
      <w:pPr>
        <w:jc w:val="both"/>
        <w:rPr>
          <w:rFonts w:ascii="Verdana" w:eastAsia="Malgun Gothic" w:hAnsi="Verdana" w:cs="Arial"/>
          <w:b/>
          <w:sz w:val="18"/>
          <w:szCs w:val="18"/>
          <w:lang w:val="en-GB"/>
        </w:rPr>
      </w:pPr>
      <w:r w:rsidRPr="0034238F">
        <w:rPr>
          <w:rFonts w:ascii="Verdana" w:eastAsia="Malgun Gothic" w:hAnsi="Verdana" w:cs="Arial"/>
          <w:b/>
          <w:sz w:val="18"/>
          <w:szCs w:val="18"/>
          <w:lang w:val="en-GB"/>
        </w:rPr>
        <w:lastRenderedPageBreak/>
        <w:t>Employment Status</w:t>
      </w:r>
    </w:p>
    <w:p w14:paraId="27F103D6" w14:textId="77777777" w:rsidR="00C22005" w:rsidRPr="0034238F" w:rsidRDefault="00C22005" w:rsidP="0034238F">
      <w:pPr>
        <w:jc w:val="both"/>
        <w:rPr>
          <w:rFonts w:ascii="Verdana" w:eastAsia="Malgun Gothic" w:hAnsi="Verdana" w:cs="Arial"/>
          <w:sz w:val="18"/>
          <w:szCs w:val="18"/>
          <w:lang w:val="en-GB"/>
        </w:rPr>
      </w:pPr>
      <w:r w:rsidRPr="0034238F">
        <w:rPr>
          <w:rFonts w:ascii="Verdana" w:eastAsia="Malgun Gothic" w:hAnsi="Verdana" w:cs="Arial"/>
          <w:sz w:val="18"/>
          <w:szCs w:val="18"/>
          <w:lang w:val="en-GB"/>
        </w:rPr>
        <w:t>Employment Status is determined by the following categories:</w:t>
      </w:r>
    </w:p>
    <w:p w14:paraId="642CDEFD" w14:textId="4D42B5EE" w:rsidR="00C22005" w:rsidRPr="0034238F" w:rsidRDefault="00C22005" w:rsidP="0034238F">
      <w:pPr>
        <w:numPr>
          <w:ilvl w:val="0"/>
          <w:numId w:val="11"/>
        </w:numPr>
        <w:jc w:val="both"/>
        <w:rPr>
          <w:rFonts w:ascii="Verdana" w:eastAsia="Malgun Gothic" w:hAnsi="Verdana" w:cs="Arial"/>
          <w:sz w:val="18"/>
          <w:szCs w:val="18"/>
          <w:lang w:val="en-GB"/>
        </w:rPr>
      </w:pPr>
      <w:r w:rsidRPr="0034238F">
        <w:rPr>
          <w:rFonts w:ascii="Verdana" w:eastAsia="Malgun Gothic" w:hAnsi="Verdana" w:cs="Arial"/>
          <w:b/>
          <w:bCs/>
          <w:sz w:val="18"/>
          <w:szCs w:val="18"/>
          <w:lang w:val="en-GB"/>
        </w:rPr>
        <w:t>Employee</w:t>
      </w:r>
      <w:r w:rsidRPr="0034238F">
        <w:rPr>
          <w:rFonts w:ascii="Verdana" w:eastAsia="Malgun Gothic" w:hAnsi="Verdana" w:cs="Arial"/>
          <w:sz w:val="18"/>
          <w:szCs w:val="18"/>
          <w:lang w:val="en-GB"/>
        </w:rPr>
        <w:t xml:space="preserve">: A person who works part-time or full-time as an employee or self-employed. This category includes people who work unpaid in a family business as well as </w:t>
      </w:r>
      <w:r w:rsidR="00747365" w:rsidRPr="0034238F">
        <w:rPr>
          <w:rFonts w:ascii="Verdana" w:eastAsia="Malgun Gothic" w:hAnsi="Verdana" w:cs="Arial"/>
          <w:sz w:val="18"/>
          <w:szCs w:val="18"/>
          <w:lang w:val="en-GB"/>
        </w:rPr>
        <w:t xml:space="preserve">paid </w:t>
      </w:r>
      <w:r w:rsidRPr="0034238F">
        <w:rPr>
          <w:rFonts w:ascii="Verdana" w:eastAsia="Malgun Gothic" w:hAnsi="Verdana" w:cs="Arial"/>
          <w:sz w:val="18"/>
          <w:szCs w:val="18"/>
          <w:lang w:val="en-GB"/>
        </w:rPr>
        <w:t>apprentices and trainees.</w:t>
      </w:r>
    </w:p>
    <w:p w14:paraId="28737D3B" w14:textId="134A4095" w:rsidR="00C22005" w:rsidRPr="0034238F" w:rsidRDefault="00C22005" w:rsidP="0034238F">
      <w:pPr>
        <w:numPr>
          <w:ilvl w:val="0"/>
          <w:numId w:val="11"/>
        </w:numPr>
        <w:jc w:val="both"/>
        <w:rPr>
          <w:rFonts w:ascii="Verdana" w:eastAsia="Malgun Gothic" w:hAnsi="Verdana" w:cs="Arial"/>
          <w:sz w:val="18"/>
          <w:szCs w:val="18"/>
          <w:lang w:val="en-GB"/>
        </w:rPr>
      </w:pPr>
      <w:r w:rsidRPr="0034238F">
        <w:rPr>
          <w:rFonts w:ascii="Verdana" w:eastAsia="Malgun Gothic" w:hAnsi="Verdana" w:cs="Arial"/>
          <w:b/>
          <w:bCs/>
          <w:sz w:val="18"/>
          <w:szCs w:val="18"/>
          <w:lang w:val="en-GB"/>
        </w:rPr>
        <w:t>Unemployed</w:t>
      </w:r>
      <w:r w:rsidRPr="0034238F">
        <w:rPr>
          <w:rFonts w:ascii="Verdana" w:eastAsia="Malgun Gothic" w:hAnsi="Verdana" w:cs="Arial"/>
          <w:sz w:val="18"/>
          <w:szCs w:val="18"/>
          <w:lang w:val="en-GB"/>
        </w:rPr>
        <w:t xml:space="preserve">: A person who was not working at the time of the interview and is actively looking for </w:t>
      </w:r>
      <w:r w:rsidR="00747365" w:rsidRPr="0034238F">
        <w:rPr>
          <w:rFonts w:ascii="Verdana" w:eastAsia="Malgun Gothic" w:hAnsi="Verdana" w:cs="Arial"/>
          <w:sz w:val="18"/>
          <w:szCs w:val="18"/>
          <w:lang w:val="en-GB"/>
        </w:rPr>
        <w:t>a job</w:t>
      </w:r>
      <w:r w:rsidRPr="0034238F">
        <w:rPr>
          <w:rFonts w:ascii="Verdana" w:eastAsia="Malgun Gothic" w:hAnsi="Verdana" w:cs="Arial"/>
          <w:sz w:val="18"/>
          <w:szCs w:val="18"/>
          <w:lang w:val="en-GB"/>
        </w:rPr>
        <w:t>.</w:t>
      </w:r>
    </w:p>
    <w:p w14:paraId="71981ACB" w14:textId="229477AB" w:rsidR="00C22005" w:rsidRPr="0034238F" w:rsidRDefault="00C22005" w:rsidP="0034238F">
      <w:pPr>
        <w:numPr>
          <w:ilvl w:val="0"/>
          <w:numId w:val="11"/>
        </w:numPr>
        <w:jc w:val="both"/>
        <w:rPr>
          <w:rFonts w:ascii="Verdana" w:eastAsia="Malgun Gothic" w:hAnsi="Verdana" w:cs="Arial"/>
          <w:sz w:val="18"/>
          <w:szCs w:val="18"/>
          <w:lang w:val="en-GB"/>
        </w:rPr>
      </w:pPr>
      <w:r w:rsidRPr="0034238F">
        <w:rPr>
          <w:rFonts w:ascii="Verdana" w:eastAsia="Malgun Gothic" w:hAnsi="Verdana" w:cs="Arial"/>
          <w:b/>
          <w:bCs/>
          <w:sz w:val="18"/>
          <w:szCs w:val="18"/>
          <w:lang w:val="en-GB"/>
        </w:rPr>
        <w:t>Inactive</w:t>
      </w:r>
      <w:r w:rsidRPr="0034238F">
        <w:rPr>
          <w:rFonts w:ascii="Verdana" w:eastAsia="Malgun Gothic" w:hAnsi="Verdana" w:cs="Arial"/>
          <w:sz w:val="18"/>
          <w:szCs w:val="18"/>
          <w:lang w:val="en-GB"/>
        </w:rPr>
        <w:t xml:space="preserve">: A person who is neither employed nor unemployed. This category includes pupils, students, </w:t>
      </w:r>
      <w:r w:rsidR="00233925" w:rsidRPr="0034238F">
        <w:rPr>
          <w:rFonts w:ascii="Verdana" w:eastAsia="Malgun Gothic" w:hAnsi="Verdana" w:cs="Arial"/>
          <w:sz w:val="18"/>
          <w:szCs w:val="18"/>
          <w:lang w:val="en-GB"/>
        </w:rPr>
        <w:t xml:space="preserve">unpaid </w:t>
      </w:r>
      <w:r w:rsidRPr="0034238F">
        <w:rPr>
          <w:rFonts w:ascii="Verdana" w:eastAsia="Malgun Gothic" w:hAnsi="Verdana" w:cs="Arial"/>
          <w:sz w:val="18"/>
          <w:szCs w:val="18"/>
          <w:lang w:val="en-GB"/>
        </w:rPr>
        <w:t>apprentices, people who are in regular or early retirement, people who are chronically ill or disabled or unable to work, soldiers serving their Military Service, housewives, and other economically inactive people.</w:t>
      </w:r>
    </w:p>
    <w:p w14:paraId="7348E032" w14:textId="77777777" w:rsidR="00C22005" w:rsidRPr="0034238F" w:rsidRDefault="00C22005" w:rsidP="0034238F">
      <w:pPr>
        <w:jc w:val="both"/>
        <w:rPr>
          <w:rFonts w:ascii="Verdana" w:eastAsia="Malgun Gothic" w:hAnsi="Verdana" w:cs="Arial"/>
          <w:b/>
          <w:bCs/>
          <w:sz w:val="18"/>
          <w:szCs w:val="18"/>
          <w:lang w:val="en-GB"/>
        </w:rPr>
      </w:pPr>
    </w:p>
    <w:p w14:paraId="4DCDC125" w14:textId="77777777" w:rsidR="00C22005" w:rsidRPr="0034238F" w:rsidRDefault="00C22005" w:rsidP="0034238F">
      <w:pPr>
        <w:jc w:val="both"/>
        <w:rPr>
          <w:rFonts w:ascii="Verdana" w:eastAsia="Malgun Gothic" w:hAnsi="Verdana" w:cs="Arial"/>
          <w:b/>
          <w:sz w:val="18"/>
          <w:szCs w:val="18"/>
          <w:lang w:val="en-GB"/>
        </w:rPr>
      </w:pPr>
      <w:r w:rsidRPr="0034238F">
        <w:rPr>
          <w:rFonts w:ascii="Verdana" w:eastAsia="Malgun Gothic" w:hAnsi="Verdana" w:cs="Arial"/>
          <w:b/>
          <w:sz w:val="18"/>
          <w:szCs w:val="18"/>
          <w:lang w:val="en-GB"/>
        </w:rPr>
        <w:t>Education Level</w:t>
      </w:r>
    </w:p>
    <w:p w14:paraId="69778055" w14:textId="77777777" w:rsidR="00C22005" w:rsidRPr="0034238F" w:rsidRDefault="00C22005" w:rsidP="0034238F">
      <w:pPr>
        <w:jc w:val="both"/>
        <w:rPr>
          <w:rFonts w:ascii="Verdana" w:eastAsia="Malgun Gothic" w:hAnsi="Verdana" w:cs="Arial"/>
          <w:sz w:val="18"/>
          <w:szCs w:val="18"/>
          <w:lang w:val="en-GB"/>
        </w:rPr>
      </w:pPr>
      <w:r w:rsidRPr="0034238F">
        <w:rPr>
          <w:rFonts w:ascii="Verdana" w:eastAsia="Malgun Gothic" w:hAnsi="Verdana" w:cs="Arial"/>
          <w:sz w:val="18"/>
          <w:szCs w:val="18"/>
          <w:lang w:val="en-GB"/>
        </w:rPr>
        <w:t>The level of education completed by an individual is divided into the following 3 categories:</w:t>
      </w:r>
    </w:p>
    <w:p w14:paraId="28831931" w14:textId="77777777" w:rsidR="00C22005" w:rsidRPr="0034238F" w:rsidRDefault="00C22005" w:rsidP="0034238F">
      <w:pPr>
        <w:numPr>
          <w:ilvl w:val="0"/>
          <w:numId w:val="12"/>
        </w:numPr>
        <w:jc w:val="both"/>
        <w:rPr>
          <w:rFonts w:ascii="Verdana" w:eastAsia="Malgun Gothic" w:hAnsi="Verdana" w:cs="Arial"/>
          <w:sz w:val="18"/>
          <w:szCs w:val="18"/>
          <w:lang w:val="en-GB"/>
        </w:rPr>
      </w:pPr>
      <w:r w:rsidRPr="0034238F">
        <w:rPr>
          <w:rFonts w:ascii="Verdana" w:eastAsia="Malgun Gothic" w:hAnsi="Verdana" w:cs="Arial"/>
          <w:b/>
          <w:bCs/>
          <w:sz w:val="18"/>
          <w:szCs w:val="18"/>
          <w:lang w:val="en-GB"/>
        </w:rPr>
        <w:t>Less than upper secondary:</w:t>
      </w:r>
      <w:r w:rsidRPr="0034238F">
        <w:rPr>
          <w:rFonts w:ascii="Verdana" w:eastAsia="Malgun Gothic" w:hAnsi="Verdana" w:cs="Arial"/>
          <w:sz w:val="18"/>
          <w:szCs w:val="18"/>
          <w:lang w:val="en-GB"/>
        </w:rPr>
        <w:t xml:space="preserve"> It includes people who have never attended school, people who attended primary school but did not complete it, people who completed primary school, people who attended lower secondary school but did not complete it, and people who completed lower secondary school. </w:t>
      </w:r>
    </w:p>
    <w:p w14:paraId="486A3E3F" w14:textId="77777777" w:rsidR="00C22005" w:rsidRPr="0034238F" w:rsidRDefault="00C22005" w:rsidP="0034238F">
      <w:pPr>
        <w:numPr>
          <w:ilvl w:val="0"/>
          <w:numId w:val="12"/>
        </w:numPr>
        <w:jc w:val="both"/>
        <w:rPr>
          <w:rFonts w:ascii="Verdana" w:eastAsia="Malgun Gothic" w:hAnsi="Verdana" w:cs="Arial"/>
          <w:sz w:val="18"/>
          <w:szCs w:val="18"/>
          <w:lang w:val="en-GB"/>
        </w:rPr>
      </w:pPr>
      <w:r w:rsidRPr="0034238F">
        <w:rPr>
          <w:rFonts w:ascii="Verdana" w:eastAsia="Malgun Gothic" w:hAnsi="Verdana" w:cs="Arial"/>
          <w:b/>
          <w:bCs/>
          <w:sz w:val="18"/>
          <w:szCs w:val="18"/>
          <w:lang w:val="en-GB"/>
        </w:rPr>
        <w:t>Upper secondary and post-secondary:</w:t>
      </w:r>
      <w:r w:rsidRPr="0034238F">
        <w:rPr>
          <w:rFonts w:ascii="Verdana" w:eastAsia="Malgun Gothic" w:hAnsi="Verdana" w:cs="Arial"/>
          <w:sz w:val="18"/>
          <w:szCs w:val="18"/>
          <w:lang w:val="en-GB"/>
        </w:rPr>
        <w:t xml:space="preserve"> It includes individuals who completed Upper Secondary, Technical or Vocational School, Evening Upper Secondary or Evening Technical School as well as individuals who completed Post-Secondary Non-Tertiary Education of usually less than 2 years duration.</w:t>
      </w:r>
    </w:p>
    <w:p w14:paraId="2EE2E1BC" w14:textId="77777777" w:rsidR="00C22005" w:rsidRPr="0034238F" w:rsidRDefault="00C22005" w:rsidP="0034238F">
      <w:pPr>
        <w:numPr>
          <w:ilvl w:val="0"/>
          <w:numId w:val="12"/>
        </w:numPr>
        <w:jc w:val="both"/>
        <w:rPr>
          <w:rFonts w:ascii="Verdana" w:eastAsia="Malgun Gothic" w:hAnsi="Verdana" w:cs="Arial"/>
          <w:sz w:val="18"/>
          <w:szCs w:val="18"/>
          <w:lang w:val="en-GB"/>
        </w:rPr>
      </w:pPr>
      <w:r w:rsidRPr="0034238F">
        <w:rPr>
          <w:rFonts w:ascii="Verdana" w:eastAsia="Malgun Gothic" w:hAnsi="Verdana" w:cs="Arial"/>
          <w:b/>
          <w:bCs/>
          <w:sz w:val="18"/>
          <w:szCs w:val="18"/>
          <w:lang w:val="en-GB"/>
        </w:rPr>
        <w:t>Tertiary:</w:t>
      </w:r>
      <w:r w:rsidRPr="0034238F">
        <w:rPr>
          <w:rFonts w:ascii="Verdana" w:eastAsia="Malgun Gothic" w:hAnsi="Verdana" w:cs="Arial"/>
          <w:sz w:val="18"/>
          <w:szCs w:val="18"/>
          <w:lang w:val="en-GB"/>
        </w:rPr>
        <w:t xml:space="preserve"> It includes individuals who completed short-term Tertiary Education (2-3 years), individuals who completed a Bachelor's Degree (3-4 years) or a Long Degree (5+ years), individuals who completed a Master's Degree and individuals who completed a Doctorate.</w:t>
      </w:r>
    </w:p>
    <w:p w14:paraId="72610CC2" w14:textId="77777777" w:rsidR="00A51113" w:rsidRPr="008F7F7F" w:rsidRDefault="00A51113" w:rsidP="0034238F">
      <w:pPr>
        <w:jc w:val="both"/>
        <w:rPr>
          <w:rFonts w:ascii="Verdana" w:eastAsia="Malgun Gothic" w:hAnsi="Verdana" w:cs="Arial"/>
          <w:bCs/>
          <w:sz w:val="18"/>
          <w:szCs w:val="18"/>
          <w:lang w:val="en-GB"/>
        </w:rPr>
      </w:pPr>
    </w:p>
    <w:p w14:paraId="4528599F" w14:textId="77777777" w:rsidR="008F7F7F" w:rsidRPr="008F7F7F" w:rsidRDefault="008F7F7F" w:rsidP="0034238F">
      <w:pPr>
        <w:jc w:val="both"/>
        <w:rPr>
          <w:rFonts w:ascii="Verdana" w:eastAsia="Malgun Gothic" w:hAnsi="Verdana" w:cs="Arial"/>
          <w:bCs/>
          <w:sz w:val="18"/>
          <w:szCs w:val="18"/>
          <w:lang w:val="en-GB"/>
        </w:rPr>
      </w:pPr>
    </w:p>
    <w:p w14:paraId="035DD3BF" w14:textId="77777777" w:rsidR="00A9453A" w:rsidRPr="00233BDC" w:rsidRDefault="00A9453A" w:rsidP="0034238F">
      <w:pPr>
        <w:jc w:val="both"/>
        <w:rPr>
          <w:rFonts w:ascii="Verdana" w:hAnsi="Verdana" w:cs="Arial"/>
          <w:b/>
          <w:i/>
          <w:sz w:val="18"/>
          <w:szCs w:val="18"/>
        </w:rPr>
      </w:pPr>
      <w:r w:rsidRPr="00233BDC">
        <w:rPr>
          <w:rFonts w:ascii="Verdana" w:hAnsi="Verdana" w:cs="Arial"/>
          <w:b/>
          <w:i/>
          <w:sz w:val="18"/>
          <w:szCs w:val="18"/>
        </w:rPr>
        <w:t>For further information:</w:t>
      </w:r>
    </w:p>
    <w:p w14:paraId="1F5AB431" w14:textId="33F55347" w:rsidR="007410A6" w:rsidRPr="0034238F" w:rsidRDefault="00F03E2E" w:rsidP="0034238F">
      <w:pPr>
        <w:ind w:right="-79"/>
        <w:jc w:val="both"/>
        <w:rPr>
          <w:rFonts w:ascii="Verdana" w:eastAsia="Malgun Gothic" w:hAnsi="Verdana" w:cs="Arial"/>
          <w:sz w:val="18"/>
          <w:szCs w:val="18"/>
        </w:rPr>
      </w:pPr>
      <w:r w:rsidRPr="0034238F">
        <w:rPr>
          <w:rFonts w:ascii="Verdana" w:eastAsia="Malgun Gothic" w:hAnsi="Verdana" w:cs="Arial"/>
          <w:sz w:val="18"/>
          <w:szCs w:val="18"/>
        </w:rPr>
        <w:t xml:space="preserve">Statistical Service (CYSTAT) Website, subtheme </w:t>
      </w:r>
      <w:hyperlink r:id="rId9" w:tooltip="Education" w:history="1">
        <w:r w:rsidRPr="0034238F">
          <w:rPr>
            <w:rStyle w:val="Hyperlink"/>
            <w:rFonts w:ascii="Verdana" w:eastAsia="Malgun Gothic" w:hAnsi="Verdana" w:cs="Arial"/>
            <w:sz w:val="18"/>
            <w:szCs w:val="18"/>
          </w:rPr>
          <w:t>Education</w:t>
        </w:r>
      </w:hyperlink>
    </w:p>
    <w:p w14:paraId="19E08574" w14:textId="419ADA01" w:rsidR="007410A6" w:rsidRPr="0034238F" w:rsidRDefault="007410A6" w:rsidP="0034238F">
      <w:pPr>
        <w:ind w:right="-79"/>
        <w:jc w:val="both"/>
        <w:rPr>
          <w:rFonts w:ascii="Verdana" w:hAnsi="Verdana"/>
          <w:sz w:val="18"/>
          <w:szCs w:val="18"/>
        </w:rPr>
      </w:pPr>
      <w:hyperlink r:id="rId10" w:history="1">
        <w:r w:rsidRPr="0034238F">
          <w:rPr>
            <w:rStyle w:val="Hyperlink"/>
            <w:rFonts w:ascii="Verdana" w:hAnsi="Verdana"/>
            <w:sz w:val="18"/>
            <w:szCs w:val="18"/>
          </w:rPr>
          <w:t>Methodological Information</w:t>
        </w:r>
      </w:hyperlink>
    </w:p>
    <w:p w14:paraId="17110E87" w14:textId="6E6FF1C2" w:rsidR="0000707A" w:rsidRPr="0034238F" w:rsidRDefault="007410A6" w:rsidP="0034238F">
      <w:pPr>
        <w:ind w:right="-79"/>
        <w:jc w:val="both"/>
        <w:rPr>
          <w:rFonts w:ascii="Verdana" w:hAnsi="Verdana"/>
          <w:sz w:val="18"/>
          <w:szCs w:val="18"/>
        </w:rPr>
      </w:pPr>
      <w:hyperlink r:id="rId11" w:history="1">
        <w:r w:rsidRPr="0034238F">
          <w:rPr>
            <w:rStyle w:val="Hyperlink"/>
            <w:rFonts w:ascii="Verdana" w:hAnsi="Verdana"/>
            <w:sz w:val="18"/>
            <w:szCs w:val="18"/>
          </w:rPr>
          <w:t>Publications</w:t>
        </w:r>
      </w:hyperlink>
      <w:r w:rsidRPr="0034238F">
        <w:rPr>
          <w:rFonts w:ascii="Verdana" w:hAnsi="Verdana"/>
          <w:sz w:val="18"/>
          <w:szCs w:val="18"/>
        </w:rPr>
        <w:t xml:space="preserve">  </w:t>
      </w:r>
    </w:p>
    <w:p w14:paraId="723927F0" w14:textId="77777777" w:rsidR="00100BD5" w:rsidRPr="0034238F" w:rsidRDefault="00100BD5" w:rsidP="0034238F">
      <w:pPr>
        <w:ind w:right="-79"/>
        <w:jc w:val="both"/>
        <w:rPr>
          <w:rFonts w:ascii="Verdana" w:hAnsi="Verdana"/>
          <w:sz w:val="18"/>
          <w:szCs w:val="18"/>
        </w:rPr>
      </w:pPr>
    </w:p>
    <w:p w14:paraId="04AD45AD" w14:textId="7F3A14B4" w:rsidR="00F03E2E" w:rsidRPr="0034238F" w:rsidRDefault="00F03E2E" w:rsidP="0034238F">
      <w:pPr>
        <w:ind w:right="-79"/>
        <w:jc w:val="both"/>
        <w:rPr>
          <w:rFonts w:ascii="Verdana" w:eastAsia="Malgun Gothic" w:hAnsi="Verdana" w:cs="Arial"/>
          <w:i/>
          <w:sz w:val="18"/>
          <w:szCs w:val="18"/>
        </w:rPr>
      </w:pPr>
      <w:r w:rsidRPr="0034238F">
        <w:rPr>
          <w:rFonts w:ascii="Verdana" w:eastAsia="Malgun Gothic" w:hAnsi="Verdana" w:cs="Arial"/>
          <w:i/>
          <w:sz w:val="18"/>
          <w:szCs w:val="18"/>
          <w:u w:val="single"/>
        </w:rPr>
        <w:t>Contact</w:t>
      </w:r>
      <w:r w:rsidRPr="0034238F">
        <w:rPr>
          <w:rFonts w:ascii="Verdana" w:eastAsia="Malgun Gothic" w:hAnsi="Verdana" w:cs="Arial"/>
          <w:i/>
          <w:sz w:val="18"/>
          <w:szCs w:val="18"/>
        </w:rPr>
        <w:t xml:space="preserve"> </w:t>
      </w:r>
    </w:p>
    <w:p w14:paraId="0656A530" w14:textId="77777777" w:rsidR="009E6DC9" w:rsidRPr="0034238F" w:rsidRDefault="009E6DC9" w:rsidP="0034238F">
      <w:pPr>
        <w:jc w:val="both"/>
        <w:rPr>
          <w:rFonts w:ascii="Verdana" w:hAnsi="Verdana" w:cs="Arial"/>
          <w:sz w:val="18"/>
          <w:szCs w:val="18"/>
        </w:rPr>
      </w:pPr>
      <w:r w:rsidRPr="0034238F">
        <w:rPr>
          <w:rFonts w:ascii="Verdana" w:hAnsi="Verdana" w:cs="Arial"/>
          <w:sz w:val="18"/>
          <w:szCs w:val="18"/>
        </w:rPr>
        <w:t xml:space="preserve">Loukia Nicolaou: Tel.: +35722602147, Email: </w:t>
      </w:r>
      <w:hyperlink r:id="rId12" w:history="1">
        <w:r w:rsidRPr="0034238F">
          <w:rPr>
            <w:rStyle w:val="Hyperlink"/>
            <w:rFonts w:ascii="Verdana" w:hAnsi="Verdana" w:cs="Arial"/>
            <w:sz w:val="18"/>
            <w:szCs w:val="18"/>
          </w:rPr>
          <w:t>lnicolaou@cystat.mof.gov.cy</w:t>
        </w:r>
      </w:hyperlink>
    </w:p>
    <w:p w14:paraId="31417BD5" w14:textId="77777777" w:rsidR="006D0411" w:rsidRPr="00570070" w:rsidRDefault="006D0411" w:rsidP="00233BDC">
      <w:pPr>
        <w:jc w:val="both"/>
        <w:rPr>
          <w:rStyle w:val="Hyperlink"/>
          <w:rFonts w:ascii="Verdana" w:hAnsi="Verdana" w:cs="Arial"/>
          <w:sz w:val="18"/>
          <w:szCs w:val="18"/>
          <w:lang w:val="en-GB"/>
        </w:rPr>
      </w:pPr>
    </w:p>
    <w:p w14:paraId="6617B94F" w14:textId="77777777" w:rsidR="006D0411" w:rsidRPr="00570070" w:rsidRDefault="006D0411" w:rsidP="00233BDC">
      <w:pPr>
        <w:jc w:val="both"/>
        <w:rPr>
          <w:rStyle w:val="Hyperlink"/>
          <w:rFonts w:ascii="Verdana" w:hAnsi="Verdana" w:cs="Arial"/>
          <w:sz w:val="18"/>
          <w:szCs w:val="18"/>
          <w:lang w:val="en-GB"/>
        </w:rPr>
      </w:pPr>
    </w:p>
    <w:p w14:paraId="56176FA0" w14:textId="77777777" w:rsidR="006D0411" w:rsidRPr="00570070" w:rsidRDefault="006D0411" w:rsidP="00233BDC">
      <w:pPr>
        <w:jc w:val="both"/>
        <w:rPr>
          <w:rStyle w:val="Hyperlink"/>
          <w:rFonts w:ascii="Verdana" w:hAnsi="Verdana" w:cs="Arial"/>
          <w:sz w:val="18"/>
          <w:szCs w:val="18"/>
          <w:lang w:val="en-GB"/>
        </w:rPr>
      </w:pPr>
    </w:p>
    <w:p w14:paraId="245D6D7E" w14:textId="77777777" w:rsidR="006D0411" w:rsidRPr="00570070" w:rsidRDefault="006D0411" w:rsidP="00233BDC">
      <w:pPr>
        <w:jc w:val="both"/>
        <w:rPr>
          <w:rStyle w:val="Hyperlink"/>
          <w:rFonts w:ascii="Verdana" w:hAnsi="Verdana" w:cs="Arial"/>
          <w:sz w:val="18"/>
          <w:szCs w:val="18"/>
          <w:lang w:val="en-GB"/>
        </w:rPr>
      </w:pPr>
    </w:p>
    <w:p w14:paraId="019D869D" w14:textId="77777777" w:rsidR="006D0411" w:rsidRPr="00570070" w:rsidRDefault="006D0411" w:rsidP="00233BDC">
      <w:pPr>
        <w:jc w:val="both"/>
        <w:rPr>
          <w:rStyle w:val="Hyperlink"/>
          <w:rFonts w:ascii="Verdana" w:hAnsi="Verdana" w:cs="Arial"/>
          <w:sz w:val="18"/>
          <w:szCs w:val="18"/>
          <w:lang w:val="en-GB"/>
        </w:rPr>
      </w:pPr>
    </w:p>
    <w:p w14:paraId="615108F8" w14:textId="77777777" w:rsidR="006D0411" w:rsidRPr="00570070" w:rsidRDefault="006D0411" w:rsidP="00233BDC">
      <w:pPr>
        <w:jc w:val="both"/>
        <w:rPr>
          <w:rStyle w:val="Hyperlink"/>
          <w:rFonts w:ascii="Verdana" w:hAnsi="Verdana" w:cs="Arial"/>
          <w:sz w:val="18"/>
          <w:szCs w:val="18"/>
          <w:lang w:val="en-GB"/>
        </w:rPr>
      </w:pPr>
    </w:p>
    <w:p w14:paraId="203624DB" w14:textId="77777777" w:rsidR="006D0411" w:rsidRPr="00570070" w:rsidRDefault="006D0411" w:rsidP="00233BDC">
      <w:pPr>
        <w:jc w:val="both"/>
        <w:rPr>
          <w:rStyle w:val="Hyperlink"/>
          <w:rFonts w:ascii="Verdana" w:hAnsi="Verdana" w:cs="Arial"/>
          <w:sz w:val="18"/>
          <w:szCs w:val="18"/>
          <w:lang w:val="en-GB"/>
        </w:rPr>
      </w:pPr>
    </w:p>
    <w:p w14:paraId="5B3DC202" w14:textId="77777777" w:rsidR="006D0411" w:rsidRPr="00570070" w:rsidRDefault="006D0411" w:rsidP="00233BDC">
      <w:pPr>
        <w:jc w:val="both"/>
        <w:rPr>
          <w:rStyle w:val="Hyperlink"/>
          <w:rFonts w:ascii="Verdana" w:hAnsi="Verdana" w:cs="Arial"/>
          <w:sz w:val="18"/>
          <w:szCs w:val="18"/>
          <w:lang w:val="en-GB"/>
        </w:rPr>
      </w:pPr>
    </w:p>
    <w:p w14:paraId="60553D88" w14:textId="77777777" w:rsidR="006D0411" w:rsidRPr="00570070" w:rsidRDefault="006D0411" w:rsidP="00233BDC">
      <w:pPr>
        <w:jc w:val="both"/>
        <w:rPr>
          <w:rStyle w:val="Hyperlink"/>
          <w:rFonts w:ascii="Verdana" w:hAnsi="Verdana" w:cs="Arial"/>
          <w:sz w:val="18"/>
          <w:szCs w:val="18"/>
          <w:lang w:val="en-GB"/>
        </w:rPr>
      </w:pPr>
    </w:p>
    <w:p w14:paraId="79760FD5" w14:textId="77777777" w:rsidR="006D0411" w:rsidRPr="00570070" w:rsidRDefault="006D0411" w:rsidP="00233BDC">
      <w:pPr>
        <w:jc w:val="both"/>
        <w:rPr>
          <w:rStyle w:val="Hyperlink"/>
          <w:rFonts w:ascii="Verdana" w:hAnsi="Verdana" w:cs="Arial"/>
          <w:sz w:val="18"/>
          <w:szCs w:val="18"/>
          <w:lang w:val="en-GB"/>
        </w:rPr>
      </w:pPr>
    </w:p>
    <w:p w14:paraId="59ABB373" w14:textId="77777777" w:rsidR="006D0411" w:rsidRPr="00570070" w:rsidRDefault="006D0411" w:rsidP="00233BDC">
      <w:pPr>
        <w:jc w:val="both"/>
        <w:rPr>
          <w:rStyle w:val="Hyperlink"/>
          <w:rFonts w:ascii="Verdana" w:hAnsi="Verdana" w:cs="Arial"/>
          <w:sz w:val="18"/>
          <w:szCs w:val="18"/>
          <w:lang w:val="en-GB"/>
        </w:rPr>
      </w:pPr>
    </w:p>
    <w:p w14:paraId="2463085B" w14:textId="77777777" w:rsidR="006D0411" w:rsidRPr="00570070" w:rsidRDefault="006D0411" w:rsidP="00233BDC">
      <w:pPr>
        <w:jc w:val="both"/>
        <w:rPr>
          <w:rStyle w:val="Hyperlink"/>
          <w:rFonts w:ascii="Verdana" w:hAnsi="Verdana" w:cs="Arial"/>
          <w:sz w:val="18"/>
          <w:szCs w:val="18"/>
          <w:lang w:val="en-GB"/>
        </w:rPr>
      </w:pPr>
    </w:p>
    <w:p w14:paraId="67C7C58B" w14:textId="77777777" w:rsidR="006D0411" w:rsidRPr="006D0411" w:rsidRDefault="006D0411" w:rsidP="00233BDC">
      <w:pPr>
        <w:jc w:val="both"/>
        <w:rPr>
          <w:rFonts w:ascii="Verdana" w:hAnsi="Verdana" w:cs="Arial"/>
          <w:sz w:val="18"/>
          <w:szCs w:val="18"/>
        </w:rPr>
      </w:pPr>
    </w:p>
    <w:p w14:paraId="188B2ED6" w14:textId="77777777" w:rsidR="00842BFB" w:rsidRPr="00233BDC" w:rsidRDefault="00842BFB" w:rsidP="00233BDC">
      <w:pPr>
        <w:ind w:right="-79"/>
        <w:jc w:val="both"/>
        <w:rPr>
          <w:rFonts w:ascii="Verdana" w:eastAsia="Malgun Gothic" w:hAnsi="Verdana" w:cs="Arial"/>
          <w:sz w:val="18"/>
          <w:szCs w:val="18"/>
        </w:rPr>
      </w:pPr>
    </w:p>
    <w:sectPr w:rsidR="00842BFB" w:rsidRPr="00233BDC" w:rsidSect="0044689B">
      <w:headerReference w:type="default" r:id="rId13"/>
      <w:footerReference w:type="default" r:id="rId14"/>
      <w:headerReference w:type="first" r:id="rId15"/>
      <w:footerReference w:type="first" r:id="rId16"/>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C2936" w14:textId="77777777" w:rsidR="00A1508E" w:rsidRDefault="00A1508E" w:rsidP="00FB398F">
      <w:r>
        <w:separator/>
      </w:r>
    </w:p>
  </w:endnote>
  <w:endnote w:type="continuationSeparator" w:id="0">
    <w:p w14:paraId="3729A73C" w14:textId="77777777" w:rsidR="00A1508E" w:rsidRDefault="00A1508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E62A"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233925">
      <w:rPr>
        <w:noProof/>
      </w:rPr>
      <w:t>4</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97F24" w14:textId="77777777" w:rsidR="001337B9" w:rsidRPr="00721E67" w:rsidRDefault="001337B9" w:rsidP="008C74E5">
    <w:pPr>
      <w:pStyle w:val="Footer"/>
      <w:pBdr>
        <w:top w:val="single" w:sz="4" w:space="1" w:color="auto"/>
      </w:pBdr>
      <w:tabs>
        <w:tab w:val="left" w:pos="4500"/>
      </w:tabs>
      <w:jc w:val="center"/>
      <w:rPr>
        <w:rFonts w:ascii="Verdana" w:hAnsi="Verdana"/>
        <w:sz w:val="16"/>
        <w:szCs w:val="16"/>
      </w:rPr>
    </w:pPr>
    <w:r w:rsidRPr="00721E67">
      <w:rPr>
        <w:rFonts w:ascii="Verdana" w:hAnsi="Verdana"/>
        <w:sz w:val="16"/>
        <w:szCs w:val="16"/>
      </w:rPr>
      <w:t>Address: Michael Karaoli Str., 1444 Nicosia, Cyprus</w:t>
    </w:r>
  </w:p>
  <w:p w14:paraId="2D0F42F9" w14:textId="2764FEAC" w:rsidR="001337B9" w:rsidRPr="00721E67" w:rsidRDefault="001337B9" w:rsidP="001337B9">
    <w:pPr>
      <w:pStyle w:val="Footer"/>
      <w:tabs>
        <w:tab w:val="clear" w:pos="4320"/>
        <w:tab w:val="center" w:pos="2835"/>
        <w:tab w:val="left" w:pos="4500"/>
      </w:tabs>
      <w:ind w:hanging="567"/>
      <w:jc w:val="center"/>
      <w:rPr>
        <w:rFonts w:ascii="Verdana" w:hAnsi="Verdana"/>
        <w:sz w:val="16"/>
        <w:szCs w:val="16"/>
        <w:lang w:val="de-DE"/>
      </w:rPr>
    </w:pPr>
    <w:r w:rsidRPr="00721E67">
      <w:rPr>
        <w:rFonts w:ascii="Verdana" w:hAnsi="Verdana"/>
        <w:sz w:val="16"/>
        <w:szCs w:val="16"/>
        <w:lang w:val="pt-PT"/>
      </w:rPr>
      <w:t>Tel.: 22 602129,</w:t>
    </w:r>
    <w:r w:rsidR="008D1E98" w:rsidRPr="00721E67">
      <w:rPr>
        <w:rFonts w:ascii="Verdana" w:hAnsi="Verdana"/>
        <w:sz w:val="16"/>
        <w:szCs w:val="16"/>
      </w:rPr>
      <w:t xml:space="preserve"> </w:t>
    </w:r>
    <w:r w:rsidRPr="00721E67">
      <w:rPr>
        <w:rFonts w:ascii="Verdana" w:hAnsi="Verdana"/>
        <w:sz w:val="16"/>
        <w:szCs w:val="16"/>
        <w:lang w:val="de-DE"/>
      </w:rPr>
      <w:t xml:space="preserve">E-mail: </w:t>
    </w:r>
    <w:hyperlink r:id="rId1" w:history="1">
      <w:r w:rsidRPr="00721E67">
        <w:rPr>
          <w:rStyle w:val="Hyperlink"/>
          <w:rFonts w:ascii="Verdana" w:hAnsi="Verdana"/>
          <w:sz w:val="16"/>
          <w:szCs w:val="16"/>
          <w:lang w:val="de-DE"/>
        </w:rPr>
        <w:t>enquiries@cystat.mof.gov.cy</w:t>
      </w:r>
    </w:hyperlink>
  </w:p>
  <w:p w14:paraId="6921F4E9" w14:textId="32683EB3" w:rsidR="004E4F42" w:rsidRPr="00721E67" w:rsidRDefault="001337B9" w:rsidP="001337B9">
    <w:pPr>
      <w:pStyle w:val="Footer"/>
      <w:tabs>
        <w:tab w:val="left" w:pos="4500"/>
      </w:tabs>
      <w:ind w:hanging="567"/>
      <w:jc w:val="center"/>
      <w:rPr>
        <w:rFonts w:ascii="Verdana" w:hAnsi="Verdana"/>
        <w:sz w:val="16"/>
        <w:szCs w:val="16"/>
        <w:lang w:val="pt-PT"/>
      </w:rPr>
    </w:pPr>
    <w:r w:rsidRPr="00721E67">
      <w:rPr>
        <w:rFonts w:ascii="Verdana" w:hAnsi="Verdana"/>
        <w:sz w:val="16"/>
        <w:szCs w:val="16"/>
        <w:lang w:val="pt-PT"/>
      </w:rPr>
      <w:t xml:space="preserve">Web </w:t>
    </w:r>
    <w:r w:rsidR="008D1E98" w:rsidRPr="00721E67">
      <w:rPr>
        <w:rFonts w:ascii="Verdana" w:hAnsi="Verdana"/>
        <w:sz w:val="16"/>
        <w:szCs w:val="16"/>
        <w:lang w:val="pt-PT"/>
      </w:rPr>
      <w:t>P</w:t>
    </w:r>
    <w:r w:rsidRPr="00721E67">
      <w:rPr>
        <w:rFonts w:ascii="Verdana" w:hAnsi="Verdana"/>
        <w:sz w:val="16"/>
        <w:szCs w:val="16"/>
        <w:lang w:val="pt-PT"/>
      </w:rPr>
      <w:t xml:space="preserve">ortal: </w:t>
    </w:r>
    <w:hyperlink r:id="rId2" w:history="1">
      <w:r w:rsidRPr="00721E67">
        <w:rPr>
          <w:rStyle w:val="Hyperlink"/>
          <w:rFonts w:ascii="Verdana" w:hAnsi="Verdana"/>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F314D" w14:textId="77777777" w:rsidR="00A1508E" w:rsidRDefault="00A1508E" w:rsidP="00FB398F">
      <w:r>
        <w:separator/>
      </w:r>
    </w:p>
  </w:footnote>
  <w:footnote w:type="continuationSeparator" w:id="0">
    <w:p w14:paraId="7E9245CE" w14:textId="77777777" w:rsidR="00A1508E" w:rsidRDefault="00A1508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9FE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E02E" w14:textId="77777777" w:rsidR="004E4F42" w:rsidRDefault="00EA2A4C"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A764516" wp14:editId="664534A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0801FECE" wp14:editId="4F98DC48">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2045B0FB" w14:textId="77777777" w:rsidR="004E4F42" w:rsidRDefault="00EA2A4C" w:rsidP="000932CF">
                          <w:r w:rsidRPr="009342E9">
                            <w:rPr>
                              <w:noProof/>
                              <w:lang w:val="el-GR" w:eastAsia="el-GR"/>
                            </w:rPr>
                            <w:drawing>
                              <wp:inline distT="0" distB="0" distL="0" distR="0" wp14:anchorId="0C6739FA" wp14:editId="6F27D0E8">
                                <wp:extent cx="1095375" cy="79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1FEC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2045B0FB" w14:textId="77777777" w:rsidR="004E4F42" w:rsidRDefault="00EA2A4C" w:rsidP="000932CF">
                    <w:r w:rsidRPr="009342E9">
                      <w:rPr>
                        <w:noProof/>
                        <w:lang w:val="el-GR" w:eastAsia="el-GR"/>
                      </w:rPr>
                      <w:drawing>
                        <wp:inline distT="0" distB="0" distL="0" distR="0" wp14:anchorId="0C6739FA" wp14:editId="6F27D0E8">
                          <wp:extent cx="1095375" cy="79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36479FE2" wp14:editId="74CD5FE3">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11C5B919" w14:textId="77777777" w:rsidR="004E4F42" w:rsidRDefault="00EA2A4C" w:rsidP="000932CF">
                          <w:r w:rsidRPr="009342E9">
                            <w:rPr>
                              <w:noProof/>
                              <w:lang w:val="el-GR" w:eastAsia="el-GR"/>
                            </w:rPr>
                            <w:drawing>
                              <wp:inline distT="0" distB="0" distL="0" distR="0" wp14:anchorId="6586511C" wp14:editId="6CE290B0">
                                <wp:extent cx="12763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9FE2"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11C5B919" w14:textId="77777777" w:rsidR="004E4F42" w:rsidRDefault="00EA2A4C" w:rsidP="000932CF">
                    <w:r w:rsidRPr="009342E9">
                      <w:rPr>
                        <w:noProof/>
                        <w:lang w:val="el-GR" w:eastAsia="el-GR"/>
                      </w:rPr>
                      <w:drawing>
                        <wp:inline distT="0" distB="0" distL="0" distR="0" wp14:anchorId="6586511C" wp14:editId="6CE290B0">
                          <wp:extent cx="12763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24FDBC"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726D18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7418D7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8DD3BD7"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1A4D7BA1" w14:textId="424A9FBD" w:rsidR="00364377" w:rsidRPr="0034238F" w:rsidRDefault="00EA2A4C"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05E48FEA" wp14:editId="2C71AEA5">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70BD7" w14:textId="77777777" w:rsidR="0060256A" w:rsidRPr="0034238F" w:rsidRDefault="0060256A" w:rsidP="0060256A">
                          <w:pPr>
                            <w:jc w:val="center"/>
                            <w:rPr>
                              <w:rFonts w:ascii="Verdana" w:hAnsi="Verdana" w:cs="Arial"/>
                              <w:b/>
                              <w:sz w:val="20"/>
                              <w:szCs w:val="20"/>
                            </w:rPr>
                          </w:pPr>
                          <w:r w:rsidRPr="0034238F">
                            <w:rPr>
                              <w:rFonts w:ascii="Verdana" w:hAnsi="Verdana" w:cs="Arial"/>
                              <w:b/>
                              <w:sz w:val="20"/>
                              <w:szCs w:val="20"/>
                            </w:rPr>
                            <w:t>STATISTICAL SERVICE</w:t>
                          </w:r>
                        </w:p>
                        <w:p w14:paraId="4FDE2121" w14:textId="77777777" w:rsidR="0060256A" w:rsidRPr="0034238F" w:rsidRDefault="0060256A" w:rsidP="0060256A">
                          <w:pPr>
                            <w:jc w:val="center"/>
                            <w:rPr>
                              <w:rFonts w:ascii="Verdana" w:hAnsi="Verdana" w:cs="Arial"/>
                              <w:b/>
                              <w:sz w:val="20"/>
                              <w:szCs w:val="20"/>
                            </w:rPr>
                          </w:pPr>
                          <w:r w:rsidRPr="0034238F">
                            <w:rPr>
                              <w:rFonts w:ascii="Verdana" w:hAnsi="Verdana" w:cs="Arial"/>
                              <w:b/>
                              <w:sz w:val="20"/>
                              <w:szCs w:val="20"/>
                            </w:rPr>
                            <w:t xml:space="preserve">OF </w:t>
                          </w:r>
                          <w:smartTag w:uri="urn:schemas-microsoft-com:office:smarttags" w:element="country-region">
                            <w:smartTag w:uri="urn:schemas-microsoft-com:office:smarttags" w:element="place">
                              <w:r w:rsidRPr="0034238F">
                                <w:rPr>
                                  <w:rFonts w:ascii="Verdana" w:hAnsi="Verdana" w:cs="Arial"/>
                                  <w:b/>
                                  <w:sz w:val="20"/>
                                  <w:szCs w:val="20"/>
                                </w:rPr>
                                <w:t>CYPRUS</w:t>
                              </w:r>
                            </w:smartTag>
                          </w:smartTag>
                        </w:p>
                        <w:p w14:paraId="17A9C9A8" w14:textId="77777777" w:rsidR="0060256A" w:rsidRPr="0034238F" w:rsidRDefault="0060256A" w:rsidP="0060256A">
                          <w:pPr>
                            <w:jc w:val="center"/>
                            <w:rPr>
                              <w:rFonts w:ascii="Verdana" w:hAnsi="Verdana" w:cs="Arial"/>
                              <w:sz w:val="20"/>
                              <w:szCs w:val="20"/>
                            </w:rPr>
                          </w:pPr>
                          <w:r w:rsidRPr="0034238F">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48FEA"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8870BD7" w14:textId="77777777" w:rsidR="0060256A" w:rsidRPr="0034238F" w:rsidRDefault="0060256A" w:rsidP="0060256A">
                    <w:pPr>
                      <w:jc w:val="center"/>
                      <w:rPr>
                        <w:rFonts w:ascii="Verdana" w:hAnsi="Verdana" w:cs="Arial"/>
                        <w:b/>
                        <w:sz w:val="20"/>
                        <w:szCs w:val="20"/>
                      </w:rPr>
                    </w:pPr>
                    <w:r w:rsidRPr="0034238F">
                      <w:rPr>
                        <w:rFonts w:ascii="Verdana" w:hAnsi="Verdana" w:cs="Arial"/>
                        <w:b/>
                        <w:sz w:val="20"/>
                        <w:szCs w:val="20"/>
                      </w:rPr>
                      <w:t>STATISTICAL SERVICE</w:t>
                    </w:r>
                  </w:p>
                  <w:p w14:paraId="4FDE2121" w14:textId="77777777" w:rsidR="0060256A" w:rsidRPr="0034238F" w:rsidRDefault="0060256A" w:rsidP="0060256A">
                    <w:pPr>
                      <w:jc w:val="center"/>
                      <w:rPr>
                        <w:rFonts w:ascii="Verdana" w:hAnsi="Verdana" w:cs="Arial"/>
                        <w:b/>
                        <w:sz w:val="20"/>
                        <w:szCs w:val="20"/>
                      </w:rPr>
                    </w:pPr>
                    <w:r w:rsidRPr="0034238F">
                      <w:rPr>
                        <w:rFonts w:ascii="Verdana" w:hAnsi="Verdana" w:cs="Arial"/>
                        <w:b/>
                        <w:sz w:val="20"/>
                        <w:szCs w:val="20"/>
                      </w:rPr>
                      <w:t xml:space="preserve">OF </w:t>
                    </w:r>
                    <w:smartTag w:uri="urn:schemas-microsoft-com:office:smarttags" w:element="country-region">
                      <w:smartTag w:uri="urn:schemas-microsoft-com:office:smarttags" w:element="place">
                        <w:r w:rsidRPr="0034238F">
                          <w:rPr>
                            <w:rFonts w:ascii="Verdana" w:hAnsi="Verdana" w:cs="Arial"/>
                            <w:b/>
                            <w:sz w:val="20"/>
                            <w:szCs w:val="20"/>
                          </w:rPr>
                          <w:t>CYPRUS</w:t>
                        </w:r>
                      </w:smartTag>
                    </w:smartTag>
                  </w:p>
                  <w:p w14:paraId="17A9C9A8" w14:textId="77777777" w:rsidR="0060256A" w:rsidRPr="0034238F" w:rsidRDefault="0060256A" w:rsidP="0060256A">
                    <w:pPr>
                      <w:jc w:val="center"/>
                      <w:rPr>
                        <w:rFonts w:ascii="Verdana" w:hAnsi="Verdana" w:cs="Arial"/>
                        <w:sz w:val="20"/>
                        <w:szCs w:val="20"/>
                      </w:rPr>
                    </w:pPr>
                    <w:r w:rsidRPr="0034238F">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34238F">
      <w:rPr>
        <w:rFonts w:ascii="Verdana" w:hAnsi="Verdana" w:cs="Arial"/>
        <w:bCs/>
        <w:sz w:val="20"/>
        <w:szCs w:val="20"/>
        <w:lang w:val="en-US"/>
      </w:rPr>
      <w:t>REPUBLIC OF CYPRUS</w:t>
    </w:r>
    <w:r w:rsidR="00364377" w:rsidRPr="0034238F">
      <w:rPr>
        <w:rFonts w:ascii="Verdana" w:hAnsi="Verdana"/>
        <w:b/>
        <w:bCs/>
        <w:sz w:val="20"/>
        <w:szCs w:val="20"/>
        <w:lang w:val="en-US"/>
      </w:rPr>
      <w:t xml:space="preserve"> </w:t>
    </w:r>
    <w:r w:rsidR="00364377" w:rsidRPr="0034238F">
      <w:rPr>
        <w:rFonts w:ascii="Verdana" w:hAnsi="Verdana"/>
        <w:b/>
        <w:bCs/>
        <w:sz w:val="20"/>
        <w:szCs w:val="20"/>
        <w:lang w:val="en-US"/>
      </w:rPr>
      <w:tab/>
    </w:r>
  </w:p>
  <w:p w14:paraId="298C7EC5" w14:textId="77777777"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0DE816A6"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B2D460A"/>
    <w:multiLevelType w:val="hybridMultilevel"/>
    <w:tmpl w:val="2AA2D154"/>
    <w:lvl w:ilvl="0" w:tplc="BDB08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74148"/>
    <w:multiLevelType w:val="hybridMultilevel"/>
    <w:tmpl w:val="6D40B19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A5E0397"/>
    <w:multiLevelType w:val="hybridMultilevel"/>
    <w:tmpl w:val="DA12961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56C3F03"/>
    <w:multiLevelType w:val="hybridMultilevel"/>
    <w:tmpl w:val="2806DCD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0"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9BA1899"/>
    <w:multiLevelType w:val="hybridMultilevel"/>
    <w:tmpl w:val="918405B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1740127479">
    <w:abstractNumId w:val="7"/>
  </w:num>
  <w:num w:numId="2" w16cid:durableId="1403484049">
    <w:abstractNumId w:val="1"/>
  </w:num>
  <w:num w:numId="3" w16cid:durableId="88741789">
    <w:abstractNumId w:val="2"/>
  </w:num>
  <w:num w:numId="4" w16cid:durableId="522018732">
    <w:abstractNumId w:val="4"/>
  </w:num>
  <w:num w:numId="5" w16cid:durableId="383523106">
    <w:abstractNumId w:val="0"/>
  </w:num>
  <w:num w:numId="6" w16cid:durableId="1974748954">
    <w:abstractNumId w:val="8"/>
  </w:num>
  <w:num w:numId="7" w16cid:durableId="665549302">
    <w:abstractNumId w:val="10"/>
  </w:num>
  <w:num w:numId="8" w16cid:durableId="63912473">
    <w:abstractNumId w:val="3"/>
  </w:num>
  <w:num w:numId="9" w16cid:durableId="1364206172">
    <w:abstractNumId w:val="5"/>
  </w:num>
  <w:num w:numId="10" w16cid:durableId="1605187495">
    <w:abstractNumId w:val="6"/>
  </w:num>
  <w:num w:numId="11" w16cid:durableId="329911073">
    <w:abstractNumId w:val="9"/>
  </w:num>
  <w:num w:numId="12" w16cid:durableId="1258172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4F86"/>
    <w:rsid w:val="0000542E"/>
    <w:rsid w:val="0000707A"/>
    <w:rsid w:val="00013E40"/>
    <w:rsid w:val="00014639"/>
    <w:rsid w:val="000161B1"/>
    <w:rsid w:val="00025A39"/>
    <w:rsid w:val="00027853"/>
    <w:rsid w:val="00030E18"/>
    <w:rsid w:val="00031D32"/>
    <w:rsid w:val="0003603D"/>
    <w:rsid w:val="00036FA9"/>
    <w:rsid w:val="00045088"/>
    <w:rsid w:val="00045A06"/>
    <w:rsid w:val="00050391"/>
    <w:rsid w:val="00051109"/>
    <w:rsid w:val="00055291"/>
    <w:rsid w:val="000563D3"/>
    <w:rsid w:val="000565F7"/>
    <w:rsid w:val="00057B8A"/>
    <w:rsid w:val="00057E44"/>
    <w:rsid w:val="00061299"/>
    <w:rsid w:val="00066155"/>
    <w:rsid w:val="00070576"/>
    <w:rsid w:val="00072754"/>
    <w:rsid w:val="000752BB"/>
    <w:rsid w:val="00081ADF"/>
    <w:rsid w:val="00083AAD"/>
    <w:rsid w:val="00084A02"/>
    <w:rsid w:val="00084BF7"/>
    <w:rsid w:val="000870E9"/>
    <w:rsid w:val="00092457"/>
    <w:rsid w:val="000932CF"/>
    <w:rsid w:val="00096ED8"/>
    <w:rsid w:val="000A1A88"/>
    <w:rsid w:val="000A2B5C"/>
    <w:rsid w:val="000A3601"/>
    <w:rsid w:val="000A3994"/>
    <w:rsid w:val="000A6FA8"/>
    <w:rsid w:val="000B18AC"/>
    <w:rsid w:val="000B5D16"/>
    <w:rsid w:val="000C0A4B"/>
    <w:rsid w:val="000C4E72"/>
    <w:rsid w:val="000D1E7A"/>
    <w:rsid w:val="000D56A5"/>
    <w:rsid w:val="000D6F17"/>
    <w:rsid w:val="000E24B1"/>
    <w:rsid w:val="000E2735"/>
    <w:rsid w:val="000E32D6"/>
    <w:rsid w:val="000E57F2"/>
    <w:rsid w:val="000E72A7"/>
    <w:rsid w:val="000F1162"/>
    <w:rsid w:val="000F2ED3"/>
    <w:rsid w:val="000F3467"/>
    <w:rsid w:val="000F38DE"/>
    <w:rsid w:val="000F5D6C"/>
    <w:rsid w:val="00100BD5"/>
    <w:rsid w:val="001052F9"/>
    <w:rsid w:val="00106852"/>
    <w:rsid w:val="001106A1"/>
    <w:rsid w:val="00110F9D"/>
    <w:rsid w:val="001118FB"/>
    <w:rsid w:val="00114995"/>
    <w:rsid w:val="00114A67"/>
    <w:rsid w:val="00122143"/>
    <w:rsid w:val="001253B6"/>
    <w:rsid w:val="00127320"/>
    <w:rsid w:val="00127456"/>
    <w:rsid w:val="001305CF"/>
    <w:rsid w:val="001312D8"/>
    <w:rsid w:val="0013137B"/>
    <w:rsid w:val="001337B9"/>
    <w:rsid w:val="00135A0A"/>
    <w:rsid w:val="0014381D"/>
    <w:rsid w:val="0015118B"/>
    <w:rsid w:val="001519CE"/>
    <w:rsid w:val="0015318C"/>
    <w:rsid w:val="00155E4C"/>
    <w:rsid w:val="00161CF3"/>
    <w:rsid w:val="00162C00"/>
    <w:rsid w:val="001639EF"/>
    <w:rsid w:val="0016589F"/>
    <w:rsid w:val="00166FC4"/>
    <w:rsid w:val="001724A6"/>
    <w:rsid w:val="00176558"/>
    <w:rsid w:val="0017756A"/>
    <w:rsid w:val="0017769A"/>
    <w:rsid w:val="00177929"/>
    <w:rsid w:val="0018010F"/>
    <w:rsid w:val="00183CDA"/>
    <w:rsid w:val="00183DFC"/>
    <w:rsid w:val="00184384"/>
    <w:rsid w:val="001844C5"/>
    <w:rsid w:val="00186717"/>
    <w:rsid w:val="00187FFC"/>
    <w:rsid w:val="00194F34"/>
    <w:rsid w:val="001A13C7"/>
    <w:rsid w:val="001A2018"/>
    <w:rsid w:val="001B2C39"/>
    <w:rsid w:val="001B3675"/>
    <w:rsid w:val="001B5E10"/>
    <w:rsid w:val="001B6AB3"/>
    <w:rsid w:val="001B73D5"/>
    <w:rsid w:val="001C0681"/>
    <w:rsid w:val="001C14B9"/>
    <w:rsid w:val="001C62B3"/>
    <w:rsid w:val="001C7C8C"/>
    <w:rsid w:val="001D0D6A"/>
    <w:rsid w:val="001D20A4"/>
    <w:rsid w:val="001E00D1"/>
    <w:rsid w:val="001E0E58"/>
    <w:rsid w:val="001E14F3"/>
    <w:rsid w:val="001E15ED"/>
    <w:rsid w:val="001E6099"/>
    <w:rsid w:val="001E614B"/>
    <w:rsid w:val="001E61AA"/>
    <w:rsid w:val="0020309E"/>
    <w:rsid w:val="002035BE"/>
    <w:rsid w:val="00205BA0"/>
    <w:rsid w:val="00210B58"/>
    <w:rsid w:val="00222423"/>
    <w:rsid w:val="00223945"/>
    <w:rsid w:val="00225B28"/>
    <w:rsid w:val="002313AC"/>
    <w:rsid w:val="00233925"/>
    <w:rsid w:val="00233BDC"/>
    <w:rsid w:val="00235FB2"/>
    <w:rsid w:val="00237BC1"/>
    <w:rsid w:val="002430B4"/>
    <w:rsid w:val="002447D0"/>
    <w:rsid w:val="002454C5"/>
    <w:rsid w:val="002459A5"/>
    <w:rsid w:val="00245E19"/>
    <w:rsid w:val="00246AEB"/>
    <w:rsid w:val="00250005"/>
    <w:rsid w:val="0025254F"/>
    <w:rsid w:val="00252F5C"/>
    <w:rsid w:val="0025566D"/>
    <w:rsid w:val="0025595C"/>
    <w:rsid w:val="00257149"/>
    <w:rsid w:val="002576E7"/>
    <w:rsid w:val="00260357"/>
    <w:rsid w:val="00264F04"/>
    <w:rsid w:val="00267554"/>
    <w:rsid w:val="00270097"/>
    <w:rsid w:val="0027122D"/>
    <w:rsid w:val="0028338F"/>
    <w:rsid w:val="00283DE9"/>
    <w:rsid w:val="00285C24"/>
    <w:rsid w:val="0029122E"/>
    <w:rsid w:val="002915C4"/>
    <w:rsid w:val="00293A59"/>
    <w:rsid w:val="00294190"/>
    <w:rsid w:val="002A1D1C"/>
    <w:rsid w:val="002A1F67"/>
    <w:rsid w:val="002A4D64"/>
    <w:rsid w:val="002A6955"/>
    <w:rsid w:val="002B6554"/>
    <w:rsid w:val="002B688B"/>
    <w:rsid w:val="002D05F0"/>
    <w:rsid w:val="002D7D4A"/>
    <w:rsid w:val="002E03CE"/>
    <w:rsid w:val="002E1906"/>
    <w:rsid w:val="002E3846"/>
    <w:rsid w:val="002E3F78"/>
    <w:rsid w:val="002F2CA2"/>
    <w:rsid w:val="002F400C"/>
    <w:rsid w:val="002F4D76"/>
    <w:rsid w:val="002F6D26"/>
    <w:rsid w:val="0030231E"/>
    <w:rsid w:val="003042C4"/>
    <w:rsid w:val="00304CB4"/>
    <w:rsid w:val="003057F0"/>
    <w:rsid w:val="0031184B"/>
    <w:rsid w:val="00313F37"/>
    <w:rsid w:val="003141D0"/>
    <w:rsid w:val="003168C1"/>
    <w:rsid w:val="00322FBE"/>
    <w:rsid w:val="00325632"/>
    <w:rsid w:val="00327549"/>
    <w:rsid w:val="003342A5"/>
    <w:rsid w:val="00336C36"/>
    <w:rsid w:val="0034238F"/>
    <w:rsid w:val="00343815"/>
    <w:rsid w:val="00350DED"/>
    <w:rsid w:val="003522BB"/>
    <w:rsid w:val="00352F6C"/>
    <w:rsid w:val="00353ADB"/>
    <w:rsid w:val="003556EA"/>
    <w:rsid w:val="00361F68"/>
    <w:rsid w:val="00362216"/>
    <w:rsid w:val="00364377"/>
    <w:rsid w:val="003673FD"/>
    <w:rsid w:val="00374736"/>
    <w:rsid w:val="00386FC7"/>
    <w:rsid w:val="00390A32"/>
    <w:rsid w:val="00391A93"/>
    <w:rsid w:val="00396C89"/>
    <w:rsid w:val="003A40F2"/>
    <w:rsid w:val="003A50D1"/>
    <w:rsid w:val="003A648C"/>
    <w:rsid w:val="003A73E3"/>
    <w:rsid w:val="003B196D"/>
    <w:rsid w:val="003B2710"/>
    <w:rsid w:val="003B4608"/>
    <w:rsid w:val="003B7E2F"/>
    <w:rsid w:val="003C1B8E"/>
    <w:rsid w:val="003C2392"/>
    <w:rsid w:val="003C291C"/>
    <w:rsid w:val="003C5174"/>
    <w:rsid w:val="003C5240"/>
    <w:rsid w:val="003D14E0"/>
    <w:rsid w:val="003D1EA5"/>
    <w:rsid w:val="003D3348"/>
    <w:rsid w:val="003D6822"/>
    <w:rsid w:val="003D724C"/>
    <w:rsid w:val="003E0C37"/>
    <w:rsid w:val="003E0CE2"/>
    <w:rsid w:val="003E564B"/>
    <w:rsid w:val="003F1DD4"/>
    <w:rsid w:val="003F49E4"/>
    <w:rsid w:val="003F4D2F"/>
    <w:rsid w:val="003F5E32"/>
    <w:rsid w:val="003F75F6"/>
    <w:rsid w:val="00403D48"/>
    <w:rsid w:val="0040425B"/>
    <w:rsid w:val="00404670"/>
    <w:rsid w:val="004049C8"/>
    <w:rsid w:val="00414CA0"/>
    <w:rsid w:val="004203F4"/>
    <w:rsid w:val="00422F54"/>
    <w:rsid w:val="00430E0E"/>
    <w:rsid w:val="00431516"/>
    <w:rsid w:val="004361B3"/>
    <w:rsid w:val="00437960"/>
    <w:rsid w:val="004409D2"/>
    <w:rsid w:val="0044249D"/>
    <w:rsid w:val="0044379F"/>
    <w:rsid w:val="0044427D"/>
    <w:rsid w:val="0044689B"/>
    <w:rsid w:val="00446FB1"/>
    <w:rsid w:val="00455584"/>
    <w:rsid w:val="0046078F"/>
    <w:rsid w:val="00463214"/>
    <w:rsid w:val="0046434D"/>
    <w:rsid w:val="004656FA"/>
    <w:rsid w:val="00465E25"/>
    <w:rsid w:val="00471D77"/>
    <w:rsid w:val="00475587"/>
    <w:rsid w:val="00480BC2"/>
    <w:rsid w:val="00484B44"/>
    <w:rsid w:val="004929C2"/>
    <w:rsid w:val="00493FDD"/>
    <w:rsid w:val="0049586B"/>
    <w:rsid w:val="004A3E44"/>
    <w:rsid w:val="004A7728"/>
    <w:rsid w:val="004A7983"/>
    <w:rsid w:val="004B2896"/>
    <w:rsid w:val="004B38E9"/>
    <w:rsid w:val="004B3FBA"/>
    <w:rsid w:val="004B4269"/>
    <w:rsid w:val="004B458A"/>
    <w:rsid w:val="004B556F"/>
    <w:rsid w:val="004B6599"/>
    <w:rsid w:val="004C2132"/>
    <w:rsid w:val="004C6CA7"/>
    <w:rsid w:val="004D4357"/>
    <w:rsid w:val="004D4950"/>
    <w:rsid w:val="004E2393"/>
    <w:rsid w:val="004E27EC"/>
    <w:rsid w:val="004E300F"/>
    <w:rsid w:val="004E3745"/>
    <w:rsid w:val="004E3B89"/>
    <w:rsid w:val="004E42BE"/>
    <w:rsid w:val="004E4F42"/>
    <w:rsid w:val="004E63D5"/>
    <w:rsid w:val="004F03FD"/>
    <w:rsid w:val="004F4DC9"/>
    <w:rsid w:val="004F52F0"/>
    <w:rsid w:val="004F6250"/>
    <w:rsid w:val="004F677C"/>
    <w:rsid w:val="004F6D8F"/>
    <w:rsid w:val="004F73B9"/>
    <w:rsid w:val="00505503"/>
    <w:rsid w:val="005067FD"/>
    <w:rsid w:val="0051107B"/>
    <w:rsid w:val="00512F9C"/>
    <w:rsid w:val="005135C0"/>
    <w:rsid w:val="005204E7"/>
    <w:rsid w:val="005231A5"/>
    <w:rsid w:val="00526021"/>
    <w:rsid w:val="00527CDB"/>
    <w:rsid w:val="005317FB"/>
    <w:rsid w:val="005341C9"/>
    <w:rsid w:val="005369CA"/>
    <w:rsid w:val="00536DE9"/>
    <w:rsid w:val="005407E4"/>
    <w:rsid w:val="00541E08"/>
    <w:rsid w:val="005477A6"/>
    <w:rsid w:val="0055135A"/>
    <w:rsid w:val="0055284B"/>
    <w:rsid w:val="005558DD"/>
    <w:rsid w:val="0055789A"/>
    <w:rsid w:val="00564900"/>
    <w:rsid w:val="005652D1"/>
    <w:rsid w:val="005660A0"/>
    <w:rsid w:val="00566A4F"/>
    <w:rsid w:val="00567D64"/>
    <w:rsid w:val="00570070"/>
    <w:rsid w:val="005728C7"/>
    <w:rsid w:val="00572CDB"/>
    <w:rsid w:val="0057414B"/>
    <w:rsid w:val="00585F94"/>
    <w:rsid w:val="0059478C"/>
    <w:rsid w:val="005978D4"/>
    <w:rsid w:val="00597FC4"/>
    <w:rsid w:val="005A3D6C"/>
    <w:rsid w:val="005A71AB"/>
    <w:rsid w:val="005A71CB"/>
    <w:rsid w:val="005B2A67"/>
    <w:rsid w:val="005B3DCD"/>
    <w:rsid w:val="005B4AD4"/>
    <w:rsid w:val="005B5CC7"/>
    <w:rsid w:val="005B7C6A"/>
    <w:rsid w:val="005C2798"/>
    <w:rsid w:val="005C36C3"/>
    <w:rsid w:val="005C56EE"/>
    <w:rsid w:val="005C5D4B"/>
    <w:rsid w:val="005D1714"/>
    <w:rsid w:val="005D2D39"/>
    <w:rsid w:val="005D435D"/>
    <w:rsid w:val="005D7638"/>
    <w:rsid w:val="005F12F5"/>
    <w:rsid w:val="005F4B4F"/>
    <w:rsid w:val="005F7C7D"/>
    <w:rsid w:val="0060110D"/>
    <w:rsid w:val="0060256A"/>
    <w:rsid w:val="00603116"/>
    <w:rsid w:val="006044B7"/>
    <w:rsid w:val="00606A08"/>
    <w:rsid w:val="006071CE"/>
    <w:rsid w:val="006075B5"/>
    <w:rsid w:val="0061018C"/>
    <w:rsid w:val="0061094E"/>
    <w:rsid w:val="00613440"/>
    <w:rsid w:val="00613BE3"/>
    <w:rsid w:val="006170D7"/>
    <w:rsid w:val="0062327B"/>
    <w:rsid w:val="00627994"/>
    <w:rsid w:val="00632777"/>
    <w:rsid w:val="00633750"/>
    <w:rsid w:val="00634491"/>
    <w:rsid w:val="0063679C"/>
    <w:rsid w:val="00637055"/>
    <w:rsid w:val="00641D59"/>
    <w:rsid w:val="00644507"/>
    <w:rsid w:val="00646880"/>
    <w:rsid w:val="00647D2A"/>
    <w:rsid w:val="006537BB"/>
    <w:rsid w:val="0065711B"/>
    <w:rsid w:val="00664D49"/>
    <w:rsid w:val="00671785"/>
    <w:rsid w:val="00672BA9"/>
    <w:rsid w:val="00673005"/>
    <w:rsid w:val="006733BA"/>
    <w:rsid w:val="006804BE"/>
    <w:rsid w:val="0069008E"/>
    <w:rsid w:val="0069087E"/>
    <w:rsid w:val="006925C4"/>
    <w:rsid w:val="0069309C"/>
    <w:rsid w:val="006A02B7"/>
    <w:rsid w:val="006B46D5"/>
    <w:rsid w:val="006B46F4"/>
    <w:rsid w:val="006C7AF3"/>
    <w:rsid w:val="006D0411"/>
    <w:rsid w:val="006D2F2C"/>
    <w:rsid w:val="006D6548"/>
    <w:rsid w:val="006E0E20"/>
    <w:rsid w:val="006E4256"/>
    <w:rsid w:val="006E4BBA"/>
    <w:rsid w:val="006E510B"/>
    <w:rsid w:val="006E5F43"/>
    <w:rsid w:val="006E60A6"/>
    <w:rsid w:val="006F0F69"/>
    <w:rsid w:val="006F116B"/>
    <w:rsid w:val="006F117F"/>
    <w:rsid w:val="006F13DF"/>
    <w:rsid w:val="006F41CF"/>
    <w:rsid w:val="0070075D"/>
    <w:rsid w:val="00702F26"/>
    <w:rsid w:val="0070313E"/>
    <w:rsid w:val="00703799"/>
    <w:rsid w:val="0070488D"/>
    <w:rsid w:val="00705C5C"/>
    <w:rsid w:val="007067DF"/>
    <w:rsid w:val="00711475"/>
    <w:rsid w:val="007115EE"/>
    <w:rsid w:val="00721E67"/>
    <w:rsid w:val="0072239D"/>
    <w:rsid w:val="00722C64"/>
    <w:rsid w:val="0072548A"/>
    <w:rsid w:val="007277A6"/>
    <w:rsid w:val="00730DD8"/>
    <w:rsid w:val="00731445"/>
    <w:rsid w:val="00731C3F"/>
    <w:rsid w:val="007410A6"/>
    <w:rsid w:val="00741F60"/>
    <w:rsid w:val="007437AB"/>
    <w:rsid w:val="00747365"/>
    <w:rsid w:val="00753496"/>
    <w:rsid w:val="007534F8"/>
    <w:rsid w:val="00753C8C"/>
    <w:rsid w:val="007545AD"/>
    <w:rsid w:val="0075559D"/>
    <w:rsid w:val="00755CA1"/>
    <w:rsid w:val="00763722"/>
    <w:rsid w:val="00764BC1"/>
    <w:rsid w:val="00770869"/>
    <w:rsid w:val="00772275"/>
    <w:rsid w:val="007738AA"/>
    <w:rsid w:val="007738FB"/>
    <w:rsid w:val="00780A62"/>
    <w:rsid w:val="00783241"/>
    <w:rsid w:val="00784BDC"/>
    <w:rsid w:val="00786158"/>
    <w:rsid w:val="00786F25"/>
    <w:rsid w:val="00787514"/>
    <w:rsid w:val="00792F28"/>
    <w:rsid w:val="007949C7"/>
    <w:rsid w:val="0079543F"/>
    <w:rsid w:val="00795880"/>
    <w:rsid w:val="007A0933"/>
    <w:rsid w:val="007A4367"/>
    <w:rsid w:val="007B0867"/>
    <w:rsid w:val="007B1AC1"/>
    <w:rsid w:val="007B5A08"/>
    <w:rsid w:val="007B693D"/>
    <w:rsid w:val="007C73E6"/>
    <w:rsid w:val="007C7538"/>
    <w:rsid w:val="007D45A9"/>
    <w:rsid w:val="007E041B"/>
    <w:rsid w:val="007E199A"/>
    <w:rsid w:val="007E2415"/>
    <w:rsid w:val="007E39F3"/>
    <w:rsid w:val="007E624B"/>
    <w:rsid w:val="007E68F4"/>
    <w:rsid w:val="007F31BA"/>
    <w:rsid w:val="007F4078"/>
    <w:rsid w:val="007F638D"/>
    <w:rsid w:val="0080014B"/>
    <w:rsid w:val="00801793"/>
    <w:rsid w:val="00803642"/>
    <w:rsid w:val="00806EA2"/>
    <w:rsid w:val="00812A2B"/>
    <w:rsid w:val="008133D5"/>
    <w:rsid w:val="00814A4C"/>
    <w:rsid w:val="00831AAB"/>
    <w:rsid w:val="0083574E"/>
    <w:rsid w:val="0083640C"/>
    <w:rsid w:val="0083643B"/>
    <w:rsid w:val="0084157B"/>
    <w:rsid w:val="00842830"/>
    <w:rsid w:val="00842BFB"/>
    <w:rsid w:val="00846B85"/>
    <w:rsid w:val="00847DC3"/>
    <w:rsid w:val="00847F49"/>
    <w:rsid w:val="008535C5"/>
    <w:rsid w:val="00853765"/>
    <w:rsid w:val="0085516F"/>
    <w:rsid w:val="00857216"/>
    <w:rsid w:val="00861278"/>
    <w:rsid w:val="00867186"/>
    <w:rsid w:val="00870AF6"/>
    <w:rsid w:val="00872146"/>
    <w:rsid w:val="008753E0"/>
    <w:rsid w:val="00881268"/>
    <w:rsid w:val="0088394A"/>
    <w:rsid w:val="008860BD"/>
    <w:rsid w:val="00887399"/>
    <w:rsid w:val="0088779E"/>
    <w:rsid w:val="008912AF"/>
    <w:rsid w:val="008916AF"/>
    <w:rsid w:val="00892114"/>
    <w:rsid w:val="008926FA"/>
    <w:rsid w:val="00892CB9"/>
    <w:rsid w:val="008935CB"/>
    <w:rsid w:val="008939C5"/>
    <w:rsid w:val="008A20ED"/>
    <w:rsid w:val="008B0A4E"/>
    <w:rsid w:val="008B0E7E"/>
    <w:rsid w:val="008B5FF0"/>
    <w:rsid w:val="008B65BD"/>
    <w:rsid w:val="008B7900"/>
    <w:rsid w:val="008C0F47"/>
    <w:rsid w:val="008C64A6"/>
    <w:rsid w:val="008C71BF"/>
    <w:rsid w:val="008C74E5"/>
    <w:rsid w:val="008C7FE0"/>
    <w:rsid w:val="008D1E98"/>
    <w:rsid w:val="008D3B44"/>
    <w:rsid w:val="008D5717"/>
    <w:rsid w:val="008D5E57"/>
    <w:rsid w:val="008E44A9"/>
    <w:rsid w:val="008E6B4D"/>
    <w:rsid w:val="008E6BFF"/>
    <w:rsid w:val="008F21AF"/>
    <w:rsid w:val="008F2400"/>
    <w:rsid w:val="008F3A35"/>
    <w:rsid w:val="008F6004"/>
    <w:rsid w:val="008F61BA"/>
    <w:rsid w:val="008F6E3C"/>
    <w:rsid w:val="008F7C55"/>
    <w:rsid w:val="008F7F7F"/>
    <w:rsid w:val="0090338C"/>
    <w:rsid w:val="00906A9D"/>
    <w:rsid w:val="00914A23"/>
    <w:rsid w:val="00922B72"/>
    <w:rsid w:val="00923745"/>
    <w:rsid w:val="00926895"/>
    <w:rsid w:val="00930754"/>
    <w:rsid w:val="00931164"/>
    <w:rsid w:val="009348F3"/>
    <w:rsid w:val="00934F68"/>
    <w:rsid w:val="009355AC"/>
    <w:rsid w:val="00935F38"/>
    <w:rsid w:val="00936DE1"/>
    <w:rsid w:val="00937586"/>
    <w:rsid w:val="00941282"/>
    <w:rsid w:val="00945A5B"/>
    <w:rsid w:val="00947889"/>
    <w:rsid w:val="00960E98"/>
    <w:rsid w:val="00963A82"/>
    <w:rsid w:val="009654EC"/>
    <w:rsid w:val="00972912"/>
    <w:rsid w:val="00976D1F"/>
    <w:rsid w:val="00981B28"/>
    <w:rsid w:val="00981C81"/>
    <w:rsid w:val="00982A79"/>
    <w:rsid w:val="0098500D"/>
    <w:rsid w:val="009855A3"/>
    <w:rsid w:val="00992209"/>
    <w:rsid w:val="009A2D24"/>
    <w:rsid w:val="009A3587"/>
    <w:rsid w:val="009A456C"/>
    <w:rsid w:val="009A4B24"/>
    <w:rsid w:val="009B00E0"/>
    <w:rsid w:val="009B292A"/>
    <w:rsid w:val="009B76D5"/>
    <w:rsid w:val="009C13D3"/>
    <w:rsid w:val="009C165D"/>
    <w:rsid w:val="009C37F7"/>
    <w:rsid w:val="009C3CEA"/>
    <w:rsid w:val="009C583D"/>
    <w:rsid w:val="009D2611"/>
    <w:rsid w:val="009D5AE8"/>
    <w:rsid w:val="009D79D2"/>
    <w:rsid w:val="009E247C"/>
    <w:rsid w:val="009E31BA"/>
    <w:rsid w:val="009E5F88"/>
    <w:rsid w:val="009E6DC9"/>
    <w:rsid w:val="009F0528"/>
    <w:rsid w:val="009F0806"/>
    <w:rsid w:val="009F148A"/>
    <w:rsid w:val="009F233B"/>
    <w:rsid w:val="009F7BB3"/>
    <w:rsid w:val="00A00B03"/>
    <w:rsid w:val="00A00C18"/>
    <w:rsid w:val="00A05D16"/>
    <w:rsid w:val="00A0659F"/>
    <w:rsid w:val="00A079BA"/>
    <w:rsid w:val="00A14AC6"/>
    <w:rsid w:val="00A1508E"/>
    <w:rsid w:val="00A1645E"/>
    <w:rsid w:val="00A1794D"/>
    <w:rsid w:val="00A33875"/>
    <w:rsid w:val="00A360A1"/>
    <w:rsid w:val="00A36E9D"/>
    <w:rsid w:val="00A402B3"/>
    <w:rsid w:val="00A41A8A"/>
    <w:rsid w:val="00A42467"/>
    <w:rsid w:val="00A51113"/>
    <w:rsid w:val="00A529A2"/>
    <w:rsid w:val="00A544B7"/>
    <w:rsid w:val="00A618CF"/>
    <w:rsid w:val="00A62770"/>
    <w:rsid w:val="00A62EEB"/>
    <w:rsid w:val="00A65848"/>
    <w:rsid w:val="00A660FF"/>
    <w:rsid w:val="00A6716E"/>
    <w:rsid w:val="00A675DF"/>
    <w:rsid w:val="00A73395"/>
    <w:rsid w:val="00A74DC5"/>
    <w:rsid w:val="00A76AC2"/>
    <w:rsid w:val="00A82B4C"/>
    <w:rsid w:val="00A93A4C"/>
    <w:rsid w:val="00A9453A"/>
    <w:rsid w:val="00A94D5D"/>
    <w:rsid w:val="00AA0A1A"/>
    <w:rsid w:val="00AA1D9B"/>
    <w:rsid w:val="00AA2543"/>
    <w:rsid w:val="00AA3804"/>
    <w:rsid w:val="00AA4668"/>
    <w:rsid w:val="00AA55C2"/>
    <w:rsid w:val="00AA7B1C"/>
    <w:rsid w:val="00AB0ACA"/>
    <w:rsid w:val="00AB1D41"/>
    <w:rsid w:val="00AB308E"/>
    <w:rsid w:val="00AB3E0C"/>
    <w:rsid w:val="00AC5D63"/>
    <w:rsid w:val="00AC5E9A"/>
    <w:rsid w:val="00AC704B"/>
    <w:rsid w:val="00AD53A1"/>
    <w:rsid w:val="00AD553E"/>
    <w:rsid w:val="00AD5848"/>
    <w:rsid w:val="00AE3503"/>
    <w:rsid w:val="00AE5ADA"/>
    <w:rsid w:val="00AF6145"/>
    <w:rsid w:val="00B01386"/>
    <w:rsid w:val="00B01BB5"/>
    <w:rsid w:val="00B04AF4"/>
    <w:rsid w:val="00B05214"/>
    <w:rsid w:val="00B12518"/>
    <w:rsid w:val="00B30D97"/>
    <w:rsid w:val="00B31738"/>
    <w:rsid w:val="00B3181A"/>
    <w:rsid w:val="00B343AA"/>
    <w:rsid w:val="00B35A7C"/>
    <w:rsid w:val="00B450D1"/>
    <w:rsid w:val="00B530C9"/>
    <w:rsid w:val="00B53D47"/>
    <w:rsid w:val="00B54299"/>
    <w:rsid w:val="00B54A25"/>
    <w:rsid w:val="00B57F5E"/>
    <w:rsid w:val="00B605D5"/>
    <w:rsid w:val="00B618C3"/>
    <w:rsid w:val="00B63652"/>
    <w:rsid w:val="00B668B0"/>
    <w:rsid w:val="00B70F5C"/>
    <w:rsid w:val="00B71873"/>
    <w:rsid w:val="00B7224E"/>
    <w:rsid w:val="00B75AE5"/>
    <w:rsid w:val="00B800C0"/>
    <w:rsid w:val="00B8132B"/>
    <w:rsid w:val="00B84C5A"/>
    <w:rsid w:val="00B858F5"/>
    <w:rsid w:val="00B85ADA"/>
    <w:rsid w:val="00B93668"/>
    <w:rsid w:val="00BA14CB"/>
    <w:rsid w:val="00BA68C6"/>
    <w:rsid w:val="00BB12F1"/>
    <w:rsid w:val="00BB276E"/>
    <w:rsid w:val="00BB3FEE"/>
    <w:rsid w:val="00BB5EB0"/>
    <w:rsid w:val="00BB7A27"/>
    <w:rsid w:val="00BC245A"/>
    <w:rsid w:val="00BD01A1"/>
    <w:rsid w:val="00BD115C"/>
    <w:rsid w:val="00BD16FA"/>
    <w:rsid w:val="00BD325C"/>
    <w:rsid w:val="00BD32F1"/>
    <w:rsid w:val="00BD41C3"/>
    <w:rsid w:val="00BD45E4"/>
    <w:rsid w:val="00BD488B"/>
    <w:rsid w:val="00BD7CCC"/>
    <w:rsid w:val="00BE002A"/>
    <w:rsid w:val="00BE1BC9"/>
    <w:rsid w:val="00BE5CDA"/>
    <w:rsid w:val="00BE608F"/>
    <w:rsid w:val="00BE7851"/>
    <w:rsid w:val="00BF0955"/>
    <w:rsid w:val="00BF23BB"/>
    <w:rsid w:val="00BF33DD"/>
    <w:rsid w:val="00BF5755"/>
    <w:rsid w:val="00BF684B"/>
    <w:rsid w:val="00BF72C4"/>
    <w:rsid w:val="00C016F3"/>
    <w:rsid w:val="00C13BF9"/>
    <w:rsid w:val="00C15193"/>
    <w:rsid w:val="00C15609"/>
    <w:rsid w:val="00C15F6A"/>
    <w:rsid w:val="00C22005"/>
    <w:rsid w:val="00C23EA7"/>
    <w:rsid w:val="00C251F4"/>
    <w:rsid w:val="00C256F3"/>
    <w:rsid w:val="00C270A2"/>
    <w:rsid w:val="00C27EEE"/>
    <w:rsid w:val="00C315B5"/>
    <w:rsid w:val="00C35E28"/>
    <w:rsid w:val="00C423E1"/>
    <w:rsid w:val="00C426AF"/>
    <w:rsid w:val="00C43F49"/>
    <w:rsid w:val="00C45AF8"/>
    <w:rsid w:val="00C469C1"/>
    <w:rsid w:val="00C50659"/>
    <w:rsid w:val="00C51B39"/>
    <w:rsid w:val="00C5338A"/>
    <w:rsid w:val="00C54EF9"/>
    <w:rsid w:val="00C56BBF"/>
    <w:rsid w:val="00C572AA"/>
    <w:rsid w:val="00C57A9A"/>
    <w:rsid w:val="00C6016A"/>
    <w:rsid w:val="00C60B3F"/>
    <w:rsid w:val="00C60CC1"/>
    <w:rsid w:val="00C623EB"/>
    <w:rsid w:val="00C6258A"/>
    <w:rsid w:val="00C64C6B"/>
    <w:rsid w:val="00C65138"/>
    <w:rsid w:val="00C66F2E"/>
    <w:rsid w:val="00C6785C"/>
    <w:rsid w:val="00C70FD1"/>
    <w:rsid w:val="00C733AA"/>
    <w:rsid w:val="00C75F48"/>
    <w:rsid w:val="00C83027"/>
    <w:rsid w:val="00C83D58"/>
    <w:rsid w:val="00C84B8A"/>
    <w:rsid w:val="00C85E65"/>
    <w:rsid w:val="00C87CA1"/>
    <w:rsid w:val="00C911B4"/>
    <w:rsid w:val="00C91B3B"/>
    <w:rsid w:val="00C94262"/>
    <w:rsid w:val="00C94EC7"/>
    <w:rsid w:val="00C9686E"/>
    <w:rsid w:val="00C976E1"/>
    <w:rsid w:val="00CA148E"/>
    <w:rsid w:val="00CA3A9A"/>
    <w:rsid w:val="00CA45DC"/>
    <w:rsid w:val="00CA6F27"/>
    <w:rsid w:val="00CB6BC1"/>
    <w:rsid w:val="00CB7021"/>
    <w:rsid w:val="00CC44B2"/>
    <w:rsid w:val="00CD2F4C"/>
    <w:rsid w:val="00CD3294"/>
    <w:rsid w:val="00CD4524"/>
    <w:rsid w:val="00CD784D"/>
    <w:rsid w:val="00CE6AEA"/>
    <w:rsid w:val="00CF40F8"/>
    <w:rsid w:val="00D008DA"/>
    <w:rsid w:val="00D0416F"/>
    <w:rsid w:val="00D05851"/>
    <w:rsid w:val="00D06E65"/>
    <w:rsid w:val="00D10FED"/>
    <w:rsid w:val="00D11736"/>
    <w:rsid w:val="00D12EE8"/>
    <w:rsid w:val="00D15FF1"/>
    <w:rsid w:val="00D167F4"/>
    <w:rsid w:val="00D2092A"/>
    <w:rsid w:val="00D21A47"/>
    <w:rsid w:val="00D2216D"/>
    <w:rsid w:val="00D30C11"/>
    <w:rsid w:val="00D30F8A"/>
    <w:rsid w:val="00D31A6F"/>
    <w:rsid w:val="00D33293"/>
    <w:rsid w:val="00D34C21"/>
    <w:rsid w:val="00D353D1"/>
    <w:rsid w:val="00D367DB"/>
    <w:rsid w:val="00D36E05"/>
    <w:rsid w:val="00D44F27"/>
    <w:rsid w:val="00D45304"/>
    <w:rsid w:val="00D461C7"/>
    <w:rsid w:val="00D479B5"/>
    <w:rsid w:val="00D50424"/>
    <w:rsid w:val="00D556B6"/>
    <w:rsid w:val="00D55A4D"/>
    <w:rsid w:val="00D5766D"/>
    <w:rsid w:val="00D57D3E"/>
    <w:rsid w:val="00D614CC"/>
    <w:rsid w:val="00D638AA"/>
    <w:rsid w:val="00D665BA"/>
    <w:rsid w:val="00D745D3"/>
    <w:rsid w:val="00D843F4"/>
    <w:rsid w:val="00D92599"/>
    <w:rsid w:val="00DA0A90"/>
    <w:rsid w:val="00DB0EC8"/>
    <w:rsid w:val="00DB59A3"/>
    <w:rsid w:val="00DC23CF"/>
    <w:rsid w:val="00DC344F"/>
    <w:rsid w:val="00DC3942"/>
    <w:rsid w:val="00DC6562"/>
    <w:rsid w:val="00DD3BD9"/>
    <w:rsid w:val="00DD67ED"/>
    <w:rsid w:val="00DD70DF"/>
    <w:rsid w:val="00DE130D"/>
    <w:rsid w:val="00DE24CF"/>
    <w:rsid w:val="00DE407C"/>
    <w:rsid w:val="00DE751B"/>
    <w:rsid w:val="00DE7C7D"/>
    <w:rsid w:val="00DF2992"/>
    <w:rsid w:val="00DF2D0C"/>
    <w:rsid w:val="00DF5E32"/>
    <w:rsid w:val="00E01847"/>
    <w:rsid w:val="00E01B9D"/>
    <w:rsid w:val="00E03602"/>
    <w:rsid w:val="00E04F5E"/>
    <w:rsid w:val="00E0522E"/>
    <w:rsid w:val="00E120F4"/>
    <w:rsid w:val="00E14C1E"/>
    <w:rsid w:val="00E1662B"/>
    <w:rsid w:val="00E17172"/>
    <w:rsid w:val="00E22996"/>
    <w:rsid w:val="00E27766"/>
    <w:rsid w:val="00E31439"/>
    <w:rsid w:val="00E3181C"/>
    <w:rsid w:val="00E3280A"/>
    <w:rsid w:val="00E343B4"/>
    <w:rsid w:val="00E372AF"/>
    <w:rsid w:val="00E37D68"/>
    <w:rsid w:val="00E40EAE"/>
    <w:rsid w:val="00E436AC"/>
    <w:rsid w:val="00E44FF8"/>
    <w:rsid w:val="00E5066A"/>
    <w:rsid w:val="00E51C58"/>
    <w:rsid w:val="00E52CF9"/>
    <w:rsid w:val="00E57465"/>
    <w:rsid w:val="00E609EF"/>
    <w:rsid w:val="00E63F34"/>
    <w:rsid w:val="00E66B80"/>
    <w:rsid w:val="00E6715A"/>
    <w:rsid w:val="00E679D2"/>
    <w:rsid w:val="00E75DC9"/>
    <w:rsid w:val="00E7660F"/>
    <w:rsid w:val="00E808DC"/>
    <w:rsid w:val="00E81610"/>
    <w:rsid w:val="00E83AA1"/>
    <w:rsid w:val="00E84910"/>
    <w:rsid w:val="00E85B28"/>
    <w:rsid w:val="00E91976"/>
    <w:rsid w:val="00E92D7F"/>
    <w:rsid w:val="00E947A6"/>
    <w:rsid w:val="00E97FC7"/>
    <w:rsid w:val="00EA0690"/>
    <w:rsid w:val="00EA2A4C"/>
    <w:rsid w:val="00EA3956"/>
    <w:rsid w:val="00EB0882"/>
    <w:rsid w:val="00EB3CA4"/>
    <w:rsid w:val="00EC02A5"/>
    <w:rsid w:val="00EC176B"/>
    <w:rsid w:val="00EC33CD"/>
    <w:rsid w:val="00EC5BE5"/>
    <w:rsid w:val="00EC7E37"/>
    <w:rsid w:val="00ED2650"/>
    <w:rsid w:val="00ED721A"/>
    <w:rsid w:val="00EE393D"/>
    <w:rsid w:val="00EF01CF"/>
    <w:rsid w:val="00EF7AF9"/>
    <w:rsid w:val="00F01495"/>
    <w:rsid w:val="00F015CA"/>
    <w:rsid w:val="00F01EE6"/>
    <w:rsid w:val="00F03E2E"/>
    <w:rsid w:val="00F067B4"/>
    <w:rsid w:val="00F10138"/>
    <w:rsid w:val="00F103F1"/>
    <w:rsid w:val="00F13F92"/>
    <w:rsid w:val="00F22ECA"/>
    <w:rsid w:val="00F240E8"/>
    <w:rsid w:val="00F244FA"/>
    <w:rsid w:val="00F3363A"/>
    <w:rsid w:val="00F33E42"/>
    <w:rsid w:val="00F366A2"/>
    <w:rsid w:val="00F440E8"/>
    <w:rsid w:val="00F44F43"/>
    <w:rsid w:val="00F450E1"/>
    <w:rsid w:val="00F50DF4"/>
    <w:rsid w:val="00F57572"/>
    <w:rsid w:val="00F57AFE"/>
    <w:rsid w:val="00F605E8"/>
    <w:rsid w:val="00F62077"/>
    <w:rsid w:val="00F6278E"/>
    <w:rsid w:val="00F63C41"/>
    <w:rsid w:val="00F63E96"/>
    <w:rsid w:val="00F6524E"/>
    <w:rsid w:val="00F701E3"/>
    <w:rsid w:val="00F71F8C"/>
    <w:rsid w:val="00F80362"/>
    <w:rsid w:val="00F81546"/>
    <w:rsid w:val="00F836A9"/>
    <w:rsid w:val="00F8391C"/>
    <w:rsid w:val="00F847D1"/>
    <w:rsid w:val="00F86AD4"/>
    <w:rsid w:val="00F92EE4"/>
    <w:rsid w:val="00FA0113"/>
    <w:rsid w:val="00FA12B2"/>
    <w:rsid w:val="00FA7610"/>
    <w:rsid w:val="00FB02BD"/>
    <w:rsid w:val="00FB328F"/>
    <w:rsid w:val="00FB398F"/>
    <w:rsid w:val="00FB49B2"/>
    <w:rsid w:val="00FB4EF8"/>
    <w:rsid w:val="00FB6692"/>
    <w:rsid w:val="00FB78DD"/>
    <w:rsid w:val="00FC02FE"/>
    <w:rsid w:val="00FC125E"/>
    <w:rsid w:val="00FC3EF3"/>
    <w:rsid w:val="00FC6C1B"/>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E247CD3"/>
  <w15:docId w15:val="{58C22994-E537-4E3B-B669-325679B0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paragraph" w:styleId="NormalWeb">
    <w:name w:val="Normal (Web)"/>
    <w:basedOn w:val="Normal"/>
    <w:uiPriority w:val="99"/>
    <w:semiHidden/>
    <w:unhideWhenUsed/>
    <w:rsid w:val="006F41CF"/>
    <w:pPr>
      <w:spacing w:before="100" w:beforeAutospacing="1" w:after="100" w:afterAutospacing="1"/>
    </w:pPr>
    <w:rPr>
      <w:rFonts w:ascii="Times New Roman" w:eastAsia="Times New Roman" w:hAnsi="Times New Roman"/>
      <w:sz w:val="24"/>
      <w:szCs w:val="24"/>
      <w:lang w:val="el-GR" w:eastAsia="el-GR"/>
    </w:rPr>
  </w:style>
  <w:style w:type="character" w:styleId="FollowedHyperlink">
    <w:name w:val="FollowedHyperlink"/>
    <w:uiPriority w:val="99"/>
    <w:semiHidden/>
    <w:unhideWhenUsed/>
    <w:rsid w:val="00F03E2E"/>
    <w:rPr>
      <w:color w:val="800080"/>
      <w:u w:val="single"/>
    </w:rPr>
  </w:style>
  <w:style w:type="paragraph" w:styleId="Revision">
    <w:name w:val="Revision"/>
    <w:hidden/>
    <w:uiPriority w:val="99"/>
    <w:semiHidden/>
    <w:rsid w:val="009E5F88"/>
    <w:rPr>
      <w:sz w:val="22"/>
      <w:szCs w:val="22"/>
      <w:lang w:val="en-US" w:eastAsia="en-US"/>
    </w:rPr>
  </w:style>
  <w:style w:type="character" w:customStyle="1" w:styleId="UnresolvedMention1">
    <w:name w:val="Unresolved Mention1"/>
    <w:basedOn w:val="DefaultParagraphFont"/>
    <w:uiPriority w:val="99"/>
    <w:semiHidden/>
    <w:unhideWhenUsed/>
    <w:rsid w:val="007410A6"/>
    <w:rPr>
      <w:color w:val="605E5C"/>
      <w:shd w:val="clear" w:color="auto" w:fill="E1DFDD"/>
    </w:rPr>
  </w:style>
  <w:style w:type="paragraph" w:styleId="HTMLPreformatted">
    <w:name w:val="HTML Preformatted"/>
    <w:basedOn w:val="Normal"/>
    <w:link w:val="HTMLPreformattedChar"/>
    <w:uiPriority w:val="99"/>
    <w:semiHidden/>
    <w:unhideWhenUsed/>
    <w:rsid w:val="002A1F6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1F67"/>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6136">
      <w:bodyDiv w:val="1"/>
      <w:marLeft w:val="0"/>
      <w:marRight w:val="0"/>
      <w:marTop w:val="0"/>
      <w:marBottom w:val="0"/>
      <w:divBdr>
        <w:top w:val="none" w:sz="0" w:space="0" w:color="auto"/>
        <w:left w:val="none" w:sz="0" w:space="0" w:color="auto"/>
        <w:bottom w:val="none" w:sz="0" w:space="0" w:color="auto"/>
        <w:right w:val="none" w:sz="0" w:space="0" w:color="auto"/>
      </w:divBdr>
    </w:div>
    <w:div w:id="44989975">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1437322">
      <w:bodyDiv w:val="1"/>
      <w:marLeft w:val="0"/>
      <w:marRight w:val="0"/>
      <w:marTop w:val="0"/>
      <w:marBottom w:val="0"/>
      <w:divBdr>
        <w:top w:val="none" w:sz="0" w:space="0" w:color="auto"/>
        <w:left w:val="none" w:sz="0" w:space="0" w:color="auto"/>
        <w:bottom w:val="none" w:sz="0" w:space="0" w:color="auto"/>
        <w:right w:val="none" w:sz="0" w:space="0" w:color="auto"/>
      </w:divBdr>
    </w:div>
    <w:div w:id="205410049">
      <w:bodyDiv w:val="1"/>
      <w:marLeft w:val="0"/>
      <w:marRight w:val="0"/>
      <w:marTop w:val="0"/>
      <w:marBottom w:val="0"/>
      <w:divBdr>
        <w:top w:val="none" w:sz="0" w:space="0" w:color="auto"/>
        <w:left w:val="none" w:sz="0" w:space="0" w:color="auto"/>
        <w:bottom w:val="none" w:sz="0" w:space="0" w:color="auto"/>
        <w:right w:val="none" w:sz="0" w:space="0" w:color="auto"/>
      </w:divBdr>
    </w:div>
    <w:div w:id="286205837">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6697638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96999770">
      <w:bodyDiv w:val="1"/>
      <w:marLeft w:val="0"/>
      <w:marRight w:val="0"/>
      <w:marTop w:val="0"/>
      <w:marBottom w:val="0"/>
      <w:divBdr>
        <w:top w:val="none" w:sz="0" w:space="0" w:color="auto"/>
        <w:left w:val="none" w:sz="0" w:space="0" w:color="auto"/>
        <w:bottom w:val="none" w:sz="0" w:space="0" w:color="auto"/>
        <w:right w:val="none" w:sz="0" w:space="0" w:color="auto"/>
      </w:divBdr>
    </w:div>
    <w:div w:id="1027217358">
      <w:bodyDiv w:val="1"/>
      <w:marLeft w:val="0"/>
      <w:marRight w:val="0"/>
      <w:marTop w:val="0"/>
      <w:marBottom w:val="0"/>
      <w:divBdr>
        <w:top w:val="none" w:sz="0" w:space="0" w:color="auto"/>
        <w:left w:val="none" w:sz="0" w:space="0" w:color="auto"/>
        <w:bottom w:val="none" w:sz="0" w:space="0" w:color="auto"/>
        <w:right w:val="none" w:sz="0" w:space="0" w:color="auto"/>
      </w:divBdr>
    </w:div>
    <w:div w:id="1137796387">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623216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83151592">
      <w:bodyDiv w:val="1"/>
      <w:marLeft w:val="0"/>
      <w:marRight w:val="0"/>
      <w:marTop w:val="0"/>
      <w:marBottom w:val="0"/>
      <w:divBdr>
        <w:top w:val="none" w:sz="0" w:space="0" w:color="auto"/>
        <w:left w:val="none" w:sz="0" w:space="0" w:color="auto"/>
        <w:bottom w:val="none" w:sz="0" w:space="0" w:color="auto"/>
        <w:right w:val="none" w:sz="0" w:space="0" w:color="auto"/>
      </w:divBdr>
    </w:div>
    <w:div w:id="1295523074">
      <w:bodyDiv w:val="1"/>
      <w:marLeft w:val="0"/>
      <w:marRight w:val="0"/>
      <w:marTop w:val="0"/>
      <w:marBottom w:val="0"/>
      <w:divBdr>
        <w:top w:val="none" w:sz="0" w:space="0" w:color="auto"/>
        <w:left w:val="none" w:sz="0" w:space="0" w:color="auto"/>
        <w:bottom w:val="none" w:sz="0" w:space="0" w:color="auto"/>
        <w:right w:val="none" w:sz="0" w:space="0" w:color="auto"/>
      </w:divBdr>
    </w:div>
    <w:div w:id="1318150029">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25122091">
      <w:bodyDiv w:val="1"/>
      <w:marLeft w:val="0"/>
      <w:marRight w:val="0"/>
      <w:marTop w:val="0"/>
      <w:marBottom w:val="0"/>
      <w:divBdr>
        <w:top w:val="none" w:sz="0" w:space="0" w:color="auto"/>
        <w:left w:val="none" w:sz="0" w:space="0" w:color="auto"/>
        <w:bottom w:val="none" w:sz="0" w:space="0" w:color="auto"/>
        <w:right w:val="none" w:sz="0" w:space="0" w:color="auto"/>
      </w:divBdr>
    </w:div>
    <w:div w:id="18739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nicola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PublicationList?s=3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n/MethodologicalDetails?m=2334" TargetMode="External"/><Relationship Id="rId4" Type="http://schemas.openxmlformats.org/officeDocument/2006/relationships/settings" Target="settings.xml"/><Relationship Id="rId9" Type="http://schemas.openxmlformats.org/officeDocument/2006/relationships/hyperlink" Target="https://www.cystat.gov.cy/en/SubthemeStatistics?id=3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3389-7DC9-41FA-A9CB-59FD738F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8590</CharactersWithSpaces>
  <SharedDoc>false</SharedDoc>
  <HLinks>
    <vt:vector size="42" baseType="variant">
      <vt:variant>
        <vt:i4>3866630</vt:i4>
      </vt:variant>
      <vt:variant>
        <vt:i4>24</vt:i4>
      </vt:variant>
      <vt:variant>
        <vt:i4>0</vt:i4>
      </vt:variant>
      <vt:variant>
        <vt:i4>5</vt:i4>
      </vt:variant>
      <vt:variant>
        <vt:lpwstr>mailto:mhadjiprokopi@cystat.mof.gov.cy</vt:lpwstr>
      </vt:variant>
      <vt:variant>
        <vt:lpwstr/>
      </vt:variant>
      <vt:variant>
        <vt:i4>3801092</vt:i4>
      </vt:variant>
      <vt:variant>
        <vt:i4>21</vt:i4>
      </vt:variant>
      <vt:variant>
        <vt:i4>0</vt:i4>
      </vt:variant>
      <vt:variant>
        <vt:i4>5</vt:i4>
      </vt:variant>
      <vt:variant>
        <vt:lpwstr>mailto:lnicolaou@cystat.mof.gov.cy</vt:lpwstr>
      </vt:variant>
      <vt:variant>
        <vt:lpwstr/>
      </vt:variant>
      <vt:variant>
        <vt:i4>1638491</vt:i4>
      </vt:variant>
      <vt:variant>
        <vt:i4>18</vt:i4>
      </vt:variant>
      <vt:variant>
        <vt:i4>0</vt:i4>
      </vt:variant>
      <vt:variant>
        <vt:i4>5</vt:i4>
      </vt:variant>
      <vt:variant>
        <vt:lpwstr>https://www.cystat.gov.cy/en/MethodologicalDetails?m=2104</vt:lpwstr>
      </vt:variant>
      <vt:variant>
        <vt:lpwstr/>
      </vt:variant>
      <vt:variant>
        <vt:i4>4653141</vt:i4>
      </vt:variant>
      <vt:variant>
        <vt:i4>15</vt:i4>
      </vt:variant>
      <vt:variant>
        <vt:i4>0</vt:i4>
      </vt:variant>
      <vt:variant>
        <vt:i4>5</vt:i4>
      </vt:variant>
      <vt:variant>
        <vt:lpwstr>https://www.cystat.gov.cy/en/KeyFiguresList?s=33</vt:lpwstr>
      </vt:variant>
      <vt:variant>
        <vt:lpwstr/>
      </vt:variant>
      <vt:variant>
        <vt:i4>1769503</vt:i4>
      </vt:variant>
      <vt:variant>
        <vt:i4>12</vt:i4>
      </vt:variant>
      <vt:variant>
        <vt:i4>0</vt:i4>
      </vt:variant>
      <vt:variant>
        <vt:i4>5</vt:i4>
      </vt:variant>
      <vt:variant>
        <vt:lpwstr>https://cystatdb.cystat.gov.cy/pxweb/en/8.CYSTAT-DB/8.CYSTAT-DB__Education__</vt:lpwstr>
      </vt:variant>
      <vt:variant>
        <vt:lpwstr/>
      </vt:variant>
      <vt:variant>
        <vt:i4>1179729</vt:i4>
      </vt:variant>
      <vt:variant>
        <vt:i4>9</vt:i4>
      </vt:variant>
      <vt:variant>
        <vt:i4>0</vt:i4>
      </vt:variant>
      <vt:variant>
        <vt:i4>5</vt:i4>
      </vt:variant>
      <vt:variant>
        <vt:lpwstr>https://www.cystat.gov.cy/en/SubthemeStatistics?id=33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32</cp:revision>
  <cp:lastPrinted>2025-04-16T08:56:00Z</cp:lastPrinted>
  <dcterms:created xsi:type="dcterms:W3CDTF">2025-04-14T06:56:00Z</dcterms:created>
  <dcterms:modified xsi:type="dcterms:W3CDTF">2025-04-16T09:14:00Z</dcterms:modified>
</cp:coreProperties>
</file>