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F1FD" w14:textId="77777777" w:rsidR="00463214" w:rsidRPr="002F7C21" w:rsidRDefault="00463214" w:rsidP="00962453">
      <w:pPr>
        <w:jc w:val="right"/>
        <w:rPr>
          <w:rFonts w:ascii="Verdana" w:eastAsia="Malgun Gothic" w:hAnsi="Verdana" w:cs="Arial"/>
          <w:sz w:val="18"/>
          <w:szCs w:val="18"/>
          <w:lang w:val="el-GR"/>
        </w:rPr>
      </w:pPr>
      <w:r w:rsidRPr="004F03FD">
        <w:rPr>
          <w:rFonts w:ascii="Arial" w:hAnsi="Arial" w:cs="Arial"/>
          <w:sz w:val="20"/>
          <w:szCs w:val="20"/>
          <w:lang w:val="el-GR"/>
        </w:rPr>
        <w:tab/>
      </w:r>
      <w:r w:rsidR="002769FA" w:rsidRPr="002F7C21">
        <w:rPr>
          <w:rFonts w:ascii="Verdana" w:hAnsi="Verdana" w:cs="Arial"/>
          <w:sz w:val="18"/>
          <w:szCs w:val="18"/>
          <w:lang w:val="el-GR"/>
        </w:rPr>
        <w:t>20</w:t>
      </w:r>
      <w:r w:rsidR="00C35E28" w:rsidRPr="002F7C21">
        <w:rPr>
          <w:rFonts w:ascii="Verdana" w:hAnsi="Verdana" w:cs="Arial"/>
          <w:sz w:val="18"/>
          <w:szCs w:val="18"/>
          <w:lang w:val="el-GR"/>
        </w:rPr>
        <w:t xml:space="preserve"> </w:t>
      </w:r>
      <w:r w:rsidR="002769FA" w:rsidRPr="002F7C21">
        <w:rPr>
          <w:rFonts w:ascii="Verdana" w:hAnsi="Verdana" w:cs="Arial"/>
          <w:sz w:val="18"/>
          <w:szCs w:val="18"/>
          <w:lang w:val="el-GR"/>
        </w:rPr>
        <w:t>Δεκεμβρίου</w:t>
      </w:r>
      <w:r w:rsidR="005521EE" w:rsidRPr="002F7C21">
        <w:rPr>
          <w:rFonts w:ascii="Verdana" w:eastAsia="Malgun Gothic" w:hAnsi="Verdana" w:cs="Arial"/>
          <w:sz w:val="18"/>
          <w:szCs w:val="18"/>
          <w:lang w:val="el-GR"/>
        </w:rPr>
        <w:t>,</w:t>
      </w:r>
      <w:r w:rsidR="009B62B6" w:rsidRPr="002F7C21">
        <w:rPr>
          <w:rFonts w:ascii="Verdana" w:eastAsia="Malgun Gothic" w:hAnsi="Verdana" w:cs="Arial"/>
          <w:sz w:val="18"/>
          <w:szCs w:val="18"/>
          <w:lang w:val="el-GR"/>
        </w:rPr>
        <w:t xml:space="preserve"> 202</w:t>
      </w:r>
      <w:r w:rsidR="00243011" w:rsidRPr="002F7C21">
        <w:rPr>
          <w:rFonts w:ascii="Verdana" w:eastAsia="Malgun Gothic" w:hAnsi="Verdana" w:cs="Arial"/>
          <w:sz w:val="18"/>
          <w:szCs w:val="18"/>
          <w:lang w:val="el-GR"/>
        </w:rPr>
        <w:t>2</w:t>
      </w:r>
    </w:p>
    <w:p w14:paraId="73913F96" w14:textId="77777777" w:rsidR="0045519A" w:rsidRPr="00DF7BAD" w:rsidRDefault="0045519A" w:rsidP="00962453">
      <w:pPr>
        <w:jc w:val="right"/>
        <w:rPr>
          <w:rFonts w:ascii="Verdana" w:eastAsia="Malgun Gothic" w:hAnsi="Verdana" w:cs="Arial"/>
          <w:sz w:val="18"/>
          <w:szCs w:val="18"/>
          <w:lang w:val="el-GR"/>
        </w:rPr>
      </w:pPr>
    </w:p>
    <w:p w14:paraId="2641650A" w14:textId="77777777" w:rsidR="00AA2543" w:rsidRPr="00CF40F8" w:rsidRDefault="00AA2543" w:rsidP="00414CA0">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5CDFABD" w14:textId="77777777" w:rsidR="00FF4B55" w:rsidRPr="004B3549" w:rsidRDefault="00FF4B55" w:rsidP="00414CA0">
      <w:pPr>
        <w:rPr>
          <w:rFonts w:ascii="Verdana" w:eastAsia="Malgun Gothic" w:hAnsi="Verdana" w:cs="Arial"/>
          <w:sz w:val="18"/>
          <w:szCs w:val="18"/>
          <w:lang w:val="el-GR"/>
        </w:rPr>
      </w:pPr>
    </w:p>
    <w:p w14:paraId="3A18F0CA" w14:textId="77777777" w:rsidR="002769FA" w:rsidRPr="000557F7" w:rsidRDefault="002769FA" w:rsidP="004F4FD6">
      <w:pPr>
        <w:pStyle w:val="Heading6"/>
        <w:rPr>
          <w:rFonts w:ascii="Verdana" w:eastAsia="Malgun Gothic" w:hAnsi="Verdana" w:cs="Arial"/>
          <w:b w:val="0"/>
          <w:szCs w:val="22"/>
        </w:rPr>
      </w:pPr>
      <w:r>
        <w:rPr>
          <w:rFonts w:ascii="Verdana" w:eastAsia="Malgun Gothic" w:hAnsi="Verdana" w:cs="Arial"/>
          <w:b w:val="0"/>
          <w:szCs w:val="22"/>
        </w:rPr>
        <w:t>ΑΠΟΤΕΛΕΣΜΑΤΑ ΑΠΟΓΡΑΦΗΣ ΓΕΩΡΓΙ</w:t>
      </w:r>
      <w:r w:rsidR="007752ED">
        <w:rPr>
          <w:rFonts w:ascii="Verdana" w:eastAsia="Malgun Gothic" w:hAnsi="Verdana" w:cs="Arial"/>
          <w:b w:val="0"/>
          <w:szCs w:val="22"/>
        </w:rPr>
        <w:t xml:space="preserve">ΚΩΝ </w:t>
      </w:r>
      <w:r>
        <w:rPr>
          <w:rFonts w:ascii="Verdana" w:eastAsia="Malgun Gothic" w:hAnsi="Verdana" w:cs="Arial"/>
          <w:b w:val="0"/>
          <w:szCs w:val="22"/>
        </w:rPr>
        <w:t>ΚΑΙ ΚΤΗΝΟΤΡΟΦΙ</w:t>
      </w:r>
      <w:r w:rsidR="007752ED">
        <w:rPr>
          <w:rFonts w:ascii="Verdana" w:eastAsia="Malgun Gothic" w:hAnsi="Verdana" w:cs="Arial"/>
          <w:b w:val="0"/>
          <w:szCs w:val="22"/>
        </w:rPr>
        <w:t>ΚΩΝ ΕΚΜΕΤΑΛΛΕΥΣΕΩΝ</w:t>
      </w:r>
      <w:r w:rsidR="002B07E7">
        <w:rPr>
          <w:rFonts w:ascii="Verdana" w:eastAsia="Malgun Gothic" w:hAnsi="Verdana" w:cs="Arial"/>
          <w:b w:val="0"/>
          <w:szCs w:val="22"/>
        </w:rPr>
        <w:t xml:space="preserve"> </w:t>
      </w:r>
      <w:r w:rsidRPr="000557F7">
        <w:rPr>
          <w:rFonts w:ascii="Verdana" w:eastAsia="Malgun Gothic" w:hAnsi="Verdana" w:cs="Arial"/>
          <w:b w:val="0"/>
          <w:szCs w:val="22"/>
        </w:rPr>
        <w:t>20</w:t>
      </w:r>
      <w:r>
        <w:rPr>
          <w:rFonts w:ascii="Verdana" w:eastAsia="Malgun Gothic" w:hAnsi="Verdana" w:cs="Arial"/>
          <w:b w:val="0"/>
          <w:szCs w:val="22"/>
        </w:rPr>
        <w:t>20</w:t>
      </w:r>
    </w:p>
    <w:p w14:paraId="69DA3DD6" w14:textId="77777777" w:rsidR="002769FA" w:rsidRPr="007752ED" w:rsidRDefault="002769FA" w:rsidP="005E0C87">
      <w:pPr>
        <w:jc w:val="center"/>
        <w:rPr>
          <w:rFonts w:ascii="Verdana" w:hAnsi="Verdana"/>
          <w:b/>
          <w:bCs/>
          <w:sz w:val="18"/>
          <w:szCs w:val="18"/>
          <w:lang w:val="el-GR"/>
        </w:rPr>
      </w:pPr>
    </w:p>
    <w:p w14:paraId="74832D61" w14:textId="77777777" w:rsidR="00E06A8D" w:rsidRDefault="00E06A8D" w:rsidP="00E06A8D">
      <w:pPr>
        <w:jc w:val="both"/>
        <w:rPr>
          <w:rFonts w:ascii="Verdana" w:hAnsi="Verdana" w:cs="Calibri"/>
          <w:sz w:val="18"/>
          <w:szCs w:val="18"/>
          <w:lang w:val="el-GR"/>
        </w:rPr>
      </w:pPr>
      <w:r>
        <w:rPr>
          <w:rFonts w:ascii="Verdana" w:hAnsi="Verdana" w:cs="Calibri"/>
          <w:sz w:val="18"/>
          <w:szCs w:val="18"/>
          <w:lang w:val="el-GR"/>
        </w:rPr>
        <w:t xml:space="preserve">Με βάση τα αποτελέσματα της </w:t>
      </w:r>
      <w:r w:rsidRPr="004279B4">
        <w:rPr>
          <w:rFonts w:ascii="Verdana" w:hAnsi="Verdana" w:cs="Calibri"/>
          <w:sz w:val="18"/>
          <w:szCs w:val="18"/>
          <w:lang w:val="el-GR"/>
        </w:rPr>
        <w:t>Απογραφή</w:t>
      </w:r>
      <w:r>
        <w:rPr>
          <w:rFonts w:ascii="Verdana" w:hAnsi="Verdana" w:cs="Calibri"/>
          <w:sz w:val="18"/>
          <w:szCs w:val="18"/>
          <w:lang w:val="el-GR"/>
        </w:rPr>
        <w:t>ς</w:t>
      </w:r>
      <w:r w:rsidRPr="004279B4">
        <w:rPr>
          <w:rFonts w:ascii="Verdana" w:hAnsi="Verdana" w:cs="Calibri"/>
          <w:sz w:val="18"/>
          <w:szCs w:val="18"/>
          <w:lang w:val="el-GR"/>
        </w:rPr>
        <w:t xml:space="preserve"> Γεωργ</w:t>
      </w:r>
      <w:r w:rsidR="007752ED">
        <w:rPr>
          <w:rFonts w:ascii="Verdana" w:hAnsi="Verdana" w:cs="Calibri"/>
          <w:sz w:val="18"/>
          <w:szCs w:val="18"/>
          <w:lang w:val="el-GR"/>
        </w:rPr>
        <w:t xml:space="preserve">ικών και </w:t>
      </w:r>
      <w:r w:rsidRPr="004279B4">
        <w:rPr>
          <w:rFonts w:ascii="Verdana" w:hAnsi="Verdana" w:cs="Calibri"/>
          <w:sz w:val="18"/>
          <w:szCs w:val="18"/>
          <w:lang w:val="el-GR"/>
        </w:rPr>
        <w:t>Κτηνοτροφ</w:t>
      </w:r>
      <w:r w:rsidR="007752ED">
        <w:rPr>
          <w:rFonts w:ascii="Verdana" w:hAnsi="Verdana" w:cs="Calibri"/>
          <w:sz w:val="18"/>
          <w:szCs w:val="18"/>
          <w:lang w:val="el-GR"/>
        </w:rPr>
        <w:t xml:space="preserve">ικών Εκμεταλλεύσεων </w:t>
      </w:r>
      <w:r w:rsidRPr="004279B4">
        <w:rPr>
          <w:rFonts w:ascii="Verdana" w:hAnsi="Verdana" w:cs="Calibri"/>
          <w:sz w:val="18"/>
          <w:szCs w:val="18"/>
          <w:lang w:val="el-GR"/>
        </w:rPr>
        <w:t>2020</w:t>
      </w:r>
      <w:r>
        <w:rPr>
          <w:rFonts w:ascii="Verdana" w:hAnsi="Verdana" w:cs="Calibri"/>
          <w:sz w:val="18"/>
          <w:szCs w:val="18"/>
          <w:lang w:val="el-GR"/>
        </w:rPr>
        <w:t>, ο</w:t>
      </w:r>
      <w:r w:rsidRPr="004279B4">
        <w:rPr>
          <w:rFonts w:ascii="Verdana" w:hAnsi="Verdana" w:cs="Calibri"/>
          <w:sz w:val="18"/>
          <w:szCs w:val="18"/>
          <w:lang w:val="el-GR"/>
        </w:rPr>
        <w:t xml:space="preserve"> συνολικός αριθμός των εκμεταλλεύσεω</w:t>
      </w:r>
      <w:r w:rsidR="00C80B93">
        <w:rPr>
          <w:rFonts w:ascii="Verdana" w:hAnsi="Verdana" w:cs="Calibri"/>
          <w:sz w:val="18"/>
          <w:szCs w:val="18"/>
          <w:lang w:val="el-GR"/>
        </w:rPr>
        <w:t xml:space="preserve">ν </w:t>
      </w:r>
      <w:r w:rsidR="007752ED">
        <w:rPr>
          <w:rFonts w:ascii="Verdana" w:hAnsi="Verdana" w:cs="Calibri"/>
          <w:sz w:val="18"/>
          <w:szCs w:val="18"/>
          <w:lang w:val="el-GR"/>
        </w:rPr>
        <w:t>ανήλθε</w:t>
      </w:r>
      <w:r w:rsidR="00C80B93">
        <w:rPr>
          <w:rFonts w:ascii="Verdana" w:hAnsi="Verdana" w:cs="Calibri"/>
          <w:sz w:val="18"/>
          <w:szCs w:val="18"/>
          <w:lang w:val="el-GR"/>
        </w:rPr>
        <w:t xml:space="preserve"> </w:t>
      </w:r>
      <w:r w:rsidR="007752ED">
        <w:rPr>
          <w:rFonts w:ascii="Verdana" w:hAnsi="Verdana" w:cs="Calibri"/>
          <w:sz w:val="18"/>
          <w:szCs w:val="18"/>
          <w:lang w:val="el-GR"/>
        </w:rPr>
        <w:t xml:space="preserve">σε </w:t>
      </w:r>
      <w:r w:rsidRPr="004279B4">
        <w:rPr>
          <w:rFonts w:ascii="Verdana" w:hAnsi="Verdana" w:cs="Calibri"/>
          <w:sz w:val="18"/>
          <w:szCs w:val="18"/>
          <w:lang w:val="el-GR"/>
        </w:rPr>
        <w:t>34.046</w:t>
      </w:r>
      <w:r>
        <w:rPr>
          <w:rFonts w:ascii="Verdana" w:hAnsi="Verdana" w:cs="Calibri"/>
          <w:sz w:val="18"/>
          <w:szCs w:val="18"/>
          <w:lang w:val="el-GR"/>
        </w:rPr>
        <w:t xml:space="preserve">, εκ των οποίων </w:t>
      </w:r>
      <w:r w:rsidRPr="004279B4">
        <w:rPr>
          <w:rFonts w:ascii="Verdana" w:hAnsi="Verdana" w:cs="Calibri"/>
          <w:sz w:val="18"/>
          <w:szCs w:val="18"/>
          <w:lang w:val="el-GR"/>
        </w:rPr>
        <w:t xml:space="preserve">οι 25.738 </w:t>
      </w:r>
      <w:r w:rsidR="00C80B93">
        <w:rPr>
          <w:rFonts w:ascii="Verdana" w:hAnsi="Verdana" w:cs="Calibri"/>
          <w:sz w:val="18"/>
          <w:szCs w:val="18"/>
          <w:lang w:val="el-GR"/>
        </w:rPr>
        <w:t xml:space="preserve">είναι </w:t>
      </w:r>
      <w:r w:rsidRPr="004279B4">
        <w:rPr>
          <w:rFonts w:ascii="Verdana" w:hAnsi="Verdana" w:cs="Calibri"/>
          <w:sz w:val="18"/>
          <w:szCs w:val="18"/>
          <w:lang w:val="el-GR"/>
        </w:rPr>
        <w:t xml:space="preserve">αμιγώς γεωργικές, οι 5.392 μικτές και οι 2.916 αμιγώς κτηνοτροφικές. Η συνολική γεωργική έκταση </w:t>
      </w:r>
      <w:r w:rsidR="007752ED">
        <w:rPr>
          <w:rFonts w:ascii="Verdana" w:hAnsi="Verdana" w:cs="Calibri"/>
          <w:sz w:val="18"/>
          <w:szCs w:val="18"/>
          <w:lang w:val="el-GR"/>
        </w:rPr>
        <w:t xml:space="preserve">καταμετρήθηκε </w:t>
      </w:r>
      <w:r w:rsidR="00C80B93">
        <w:rPr>
          <w:rFonts w:ascii="Verdana" w:hAnsi="Verdana" w:cs="Calibri"/>
          <w:sz w:val="18"/>
          <w:szCs w:val="18"/>
          <w:lang w:val="el-GR"/>
        </w:rPr>
        <w:t xml:space="preserve">στα </w:t>
      </w:r>
      <w:r w:rsidRPr="004279B4">
        <w:rPr>
          <w:rFonts w:ascii="Verdana" w:hAnsi="Verdana" w:cs="Calibri"/>
          <w:sz w:val="18"/>
          <w:szCs w:val="18"/>
          <w:lang w:val="el-GR"/>
        </w:rPr>
        <w:t>1.462.879 δεκάρια</w:t>
      </w:r>
      <w:r w:rsidR="007752ED">
        <w:rPr>
          <w:rFonts w:ascii="Verdana" w:hAnsi="Verdana" w:cs="Calibri"/>
          <w:sz w:val="18"/>
          <w:szCs w:val="18"/>
          <w:lang w:val="el-GR"/>
        </w:rPr>
        <w:t xml:space="preserve"> (περίπου 1.463 </w:t>
      </w:r>
      <w:r w:rsidR="007752ED">
        <w:rPr>
          <w:rFonts w:ascii="Verdana" w:hAnsi="Verdana" w:cs="Calibri"/>
          <w:sz w:val="18"/>
          <w:szCs w:val="18"/>
        </w:rPr>
        <w:t>km</w:t>
      </w:r>
      <w:r w:rsidR="007752ED" w:rsidRPr="007752ED">
        <w:rPr>
          <w:rFonts w:ascii="Verdana" w:hAnsi="Verdana" w:cs="Calibri"/>
          <w:sz w:val="18"/>
          <w:szCs w:val="18"/>
          <w:lang w:val="el-GR"/>
        </w:rPr>
        <w:t>²)</w:t>
      </w:r>
      <w:r w:rsidRPr="004279B4">
        <w:rPr>
          <w:rFonts w:ascii="Verdana" w:hAnsi="Verdana" w:cs="Calibri"/>
          <w:sz w:val="18"/>
          <w:szCs w:val="18"/>
          <w:lang w:val="el-GR"/>
        </w:rPr>
        <w:t xml:space="preserve">, εκ των οποίων τα 1.341.359 δεκάρια </w:t>
      </w:r>
      <w:r w:rsidR="007752ED">
        <w:rPr>
          <w:rFonts w:ascii="Verdana" w:hAnsi="Verdana" w:cs="Calibri"/>
          <w:sz w:val="18"/>
          <w:szCs w:val="18"/>
          <w:lang w:val="el-GR"/>
        </w:rPr>
        <w:t>(περίπου 1.</w:t>
      </w:r>
      <w:r w:rsidR="007752ED" w:rsidRPr="007752ED">
        <w:rPr>
          <w:rFonts w:ascii="Verdana" w:hAnsi="Verdana" w:cs="Calibri"/>
          <w:sz w:val="18"/>
          <w:szCs w:val="18"/>
          <w:lang w:val="el-GR"/>
        </w:rPr>
        <w:t>341</w:t>
      </w:r>
      <w:r w:rsidR="007752ED">
        <w:rPr>
          <w:rFonts w:ascii="Verdana" w:hAnsi="Verdana" w:cs="Calibri"/>
          <w:sz w:val="18"/>
          <w:szCs w:val="18"/>
          <w:lang w:val="el-GR"/>
        </w:rPr>
        <w:t xml:space="preserve"> </w:t>
      </w:r>
      <w:r w:rsidR="007752ED">
        <w:rPr>
          <w:rFonts w:ascii="Verdana" w:hAnsi="Verdana" w:cs="Calibri"/>
          <w:sz w:val="18"/>
          <w:szCs w:val="18"/>
        </w:rPr>
        <w:t>km</w:t>
      </w:r>
      <w:r w:rsidR="007752ED" w:rsidRPr="007752ED">
        <w:rPr>
          <w:rFonts w:ascii="Verdana" w:hAnsi="Verdana" w:cs="Calibri"/>
          <w:sz w:val="18"/>
          <w:szCs w:val="18"/>
          <w:lang w:val="el-GR"/>
        </w:rPr>
        <w:t>²)</w:t>
      </w:r>
      <w:r w:rsidR="007752ED" w:rsidRPr="004279B4">
        <w:rPr>
          <w:rFonts w:ascii="Verdana" w:hAnsi="Verdana" w:cs="Calibri"/>
          <w:sz w:val="18"/>
          <w:szCs w:val="18"/>
          <w:lang w:val="el-GR"/>
        </w:rPr>
        <w:t xml:space="preserve"> </w:t>
      </w:r>
      <w:r w:rsidR="0037652F">
        <w:rPr>
          <w:rFonts w:ascii="Verdana" w:hAnsi="Verdana" w:cs="Calibri"/>
          <w:sz w:val="18"/>
          <w:szCs w:val="18"/>
          <w:lang w:val="el-GR"/>
        </w:rPr>
        <w:t xml:space="preserve">αποτελούν </w:t>
      </w:r>
      <w:r w:rsidRPr="004279B4">
        <w:rPr>
          <w:rFonts w:ascii="Verdana" w:hAnsi="Verdana" w:cs="Calibri"/>
          <w:sz w:val="18"/>
          <w:szCs w:val="18"/>
          <w:lang w:val="el-GR"/>
        </w:rPr>
        <w:t>χρησιμοποιούμενη γεωργική έκταση.</w:t>
      </w:r>
    </w:p>
    <w:p w14:paraId="6770DEFE" w14:textId="77777777" w:rsidR="00327C69" w:rsidRDefault="00327C69" w:rsidP="00E06A8D">
      <w:pPr>
        <w:jc w:val="both"/>
        <w:rPr>
          <w:rFonts w:ascii="Verdana" w:hAnsi="Verdana" w:cs="Calibri"/>
          <w:sz w:val="18"/>
          <w:szCs w:val="18"/>
          <w:lang w:val="el-GR"/>
        </w:rPr>
      </w:pPr>
    </w:p>
    <w:p w14:paraId="7027A0BE" w14:textId="063A4524" w:rsidR="00327C69" w:rsidRPr="004279B4" w:rsidRDefault="007C741C" w:rsidP="00E06A8D">
      <w:pPr>
        <w:jc w:val="both"/>
        <w:rPr>
          <w:rFonts w:ascii="Verdana" w:hAnsi="Verdana" w:cs="Calibri"/>
          <w:sz w:val="18"/>
          <w:szCs w:val="18"/>
          <w:lang w:val="el-GR"/>
        </w:rPr>
      </w:pPr>
      <w:r w:rsidRPr="00406800">
        <w:rPr>
          <w:noProof/>
        </w:rPr>
        <w:drawing>
          <wp:inline distT="0" distB="0" distL="0" distR="0" wp14:anchorId="333135CB" wp14:editId="5E3A862D">
            <wp:extent cx="5961380" cy="2749550"/>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4E9D7F" w14:textId="77777777" w:rsidR="004279B4" w:rsidRPr="001C359D" w:rsidRDefault="004279B4" w:rsidP="001C359D">
      <w:pPr>
        <w:jc w:val="both"/>
        <w:rPr>
          <w:rFonts w:ascii="Verdana" w:hAnsi="Verdana"/>
          <w:noProof/>
          <w:sz w:val="18"/>
          <w:szCs w:val="18"/>
          <w:lang w:val="el-GR"/>
        </w:rPr>
      </w:pPr>
    </w:p>
    <w:p w14:paraId="51FCF05F" w14:textId="77777777" w:rsidR="00650B7E" w:rsidRDefault="00A2147F" w:rsidP="00A2147F">
      <w:pPr>
        <w:tabs>
          <w:tab w:val="left" w:pos="324"/>
        </w:tabs>
        <w:rPr>
          <w:rFonts w:ascii="Verdana" w:hAnsi="Verdana" w:cs="Calibri"/>
          <w:b/>
          <w:sz w:val="18"/>
          <w:szCs w:val="18"/>
          <w:u w:val="single"/>
          <w:lang w:val="el-GR"/>
        </w:rPr>
      </w:pPr>
      <w:r w:rsidRPr="004279B4">
        <w:rPr>
          <w:rFonts w:ascii="Verdana" w:hAnsi="Verdana" w:cs="Calibri"/>
          <w:b/>
          <w:sz w:val="18"/>
          <w:szCs w:val="18"/>
          <w:u w:val="single"/>
          <w:lang w:val="el-GR"/>
        </w:rPr>
        <w:t xml:space="preserve">Κάτοχοι ή </w:t>
      </w:r>
      <w:r w:rsidR="002F7C21">
        <w:rPr>
          <w:rFonts w:ascii="Verdana" w:hAnsi="Verdana" w:cs="Calibri"/>
          <w:b/>
          <w:sz w:val="18"/>
          <w:szCs w:val="18"/>
          <w:u w:val="single"/>
          <w:lang w:val="el-GR"/>
        </w:rPr>
        <w:t>Δ</w:t>
      </w:r>
      <w:r w:rsidRPr="004279B4">
        <w:rPr>
          <w:rFonts w:ascii="Verdana" w:hAnsi="Verdana" w:cs="Calibri"/>
          <w:b/>
          <w:sz w:val="18"/>
          <w:szCs w:val="18"/>
          <w:u w:val="single"/>
          <w:lang w:val="el-GR"/>
        </w:rPr>
        <w:t xml:space="preserve">ιαχειριστές </w:t>
      </w:r>
      <w:r w:rsidR="002F7C21">
        <w:rPr>
          <w:rFonts w:ascii="Verdana" w:hAnsi="Verdana" w:cs="Calibri"/>
          <w:b/>
          <w:sz w:val="18"/>
          <w:szCs w:val="18"/>
          <w:u w:val="single"/>
          <w:lang w:val="el-GR"/>
        </w:rPr>
        <w:t>Ε</w:t>
      </w:r>
      <w:r w:rsidRPr="004279B4">
        <w:rPr>
          <w:rFonts w:ascii="Verdana" w:hAnsi="Verdana" w:cs="Calibri"/>
          <w:b/>
          <w:sz w:val="18"/>
          <w:szCs w:val="18"/>
          <w:u w:val="single"/>
          <w:lang w:val="el-GR"/>
        </w:rPr>
        <w:t>κμεταλλεύσεων</w:t>
      </w:r>
    </w:p>
    <w:p w14:paraId="6F9E412E" w14:textId="77777777" w:rsidR="00F93CA8" w:rsidRPr="004279B4" w:rsidRDefault="00F93CA8" w:rsidP="00A2147F">
      <w:pPr>
        <w:tabs>
          <w:tab w:val="left" w:pos="324"/>
        </w:tabs>
        <w:rPr>
          <w:rFonts w:ascii="Verdana" w:hAnsi="Verdana" w:cs="Calibri"/>
          <w:sz w:val="18"/>
          <w:szCs w:val="18"/>
          <w:lang w:val="el-GR"/>
        </w:rPr>
      </w:pPr>
    </w:p>
    <w:p w14:paraId="2537654B" w14:textId="77777777" w:rsidR="00650B7E" w:rsidRDefault="00C80B93" w:rsidP="00650B7E">
      <w:pPr>
        <w:jc w:val="both"/>
        <w:rPr>
          <w:rFonts w:ascii="Verdana" w:hAnsi="Verdana" w:cs="Calibri"/>
          <w:sz w:val="18"/>
          <w:szCs w:val="18"/>
          <w:lang w:val="el-GR"/>
        </w:rPr>
      </w:pPr>
      <w:r>
        <w:rPr>
          <w:rFonts w:ascii="Verdana" w:hAnsi="Verdana" w:cs="Calibri"/>
          <w:sz w:val="18"/>
          <w:szCs w:val="18"/>
          <w:lang w:val="el-GR"/>
        </w:rPr>
        <w:t>Από το σύνολο των 34.046 εκμεταλλεύσεων</w:t>
      </w:r>
      <w:r w:rsidR="00C22A5E" w:rsidRPr="00C22A5E">
        <w:rPr>
          <w:rFonts w:ascii="Verdana" w:hAnsi="Verdana" w:cs="Calibri"/>
          <w:sz w:val="18"/>
          <w:szCs w:val="18"/>
          <w:lang w:val="el-GR"/>
        </w:rPr>
        <w:t>,</w:t>
      </w:r>
      <w:r>
        <w:rPr>
          <w:rFonts w:ascii="Verdana" w:hAnsi="Verdana" w:cs="Calibri"/>
          <w:sz w:val="18"/>
          <w:szCs w:val="18"/>
          <w:lang w:val="el-GR"/>
        </w:rPr>
        <w:t xml:space="preserve"> οι </w:t>
      </w:r>
      <w:r w:rsidRPr="004279B4">
        <w:rPr>
          <w:rFonts w:ascii="Verdana" w:hAnsi="Verdana" w:cs="Calibri"/>
          <w:sz w:val="18"/>
          <w:szCs w:val="18"/>
          <w:lang w:val="el-GR"/>
        </w:rPr>
        <w:t>33.189 εκμεταλλεύσεις</w:t>
      </w:r>
      <w:r>
        <w:rPr>
          <w:rFonts w:ascii="Verdana" w:hAnsi="Verdana" w:cs="Calibri"/>
          <w:sz w:val="18"/>
          <w:szCs w:val="18"/>
          <w:lang w:val="el-GR"/>
        </w:rPr>
        <w:t xml:space="preserve"> (97,5%) </w:t>
      </w:r>
      <w:r w:rsidR="00A2147F" w:rsidRPr="004279B4">
        <w:rPr>
          <w:rFonts w:ascii="Verdana" w:hAnsi="Verdana" w:cs="Calibri"/>
          <w:sz w:val="18"/>
          <w:szCs w:val="18"/>
          <w:lang w:val="el-GR"/>
        </w:rPr>
        <w:t>ανήκ</w:t>
      </w:r>
      <w:r>
        <w:rPr>
          <w:rFonts w:ascii="Verdana" w:hAnsi="Verdana" w:cs="Calibri"/>
          <w:sz w:val="18"/>
          <w:szCs w:val="18"/>
          <w:lang w:val="el-GR"/>
        </w:rPr>
        <w:t xml:space="preserve">ουν </w:t>
      </w:r>
      <w:r w:rsidR="00A2147F" w:rsidRPr="004279B4">
        <w:rPr>
          <w:rFonts w:ascii="Verdana" w:hAnsi="Verdana" w:cs="Calibri"/>
          <w:sz w:val="18"/>
          <w:szCs w:val="18"/>
          <w:lang w:val="el-GR"/>
        </w:rPr>
        <w:t xml:space="preserve">σε φυσικά πρόσωπα (ατομικές ή συνδιαχείριση), </w:t>
      </w:r>
      <w:r>
        <w:rPr>
          <w:rFonts w:ascii="Verdana" w:hAnsi="Verdana" w:cs="Calibri"/>
          <w:sz w:val="18"/>
          <w:szCs w:val="18"/>
          <w:lang w:val="el-GR"/>
        </w:rPr>
        <w:t xml:space="preserve">οι </w:t>
      </w:r>
      <w:r w:rsidR="00A2147F" w:rsidRPr="004279B4">
        <w:rPr>
          <w:rFonts w:ascii="Verdana" w:hAnsi="Verdana" w:cs="Calibri"/>
          <w:sz w:val="18"/>
          <w:szCs w:val="18"/>
          <w:lang w:val="el-GR"/>
        </w:rPr>
        <w:t xml:space="preserve">56 στο </w:t>
      </w:r>
      <w:r w:rsidR="007752ED">
        <w:rPr>
          <w:rFonts w:ascii="Verdana" w:hAnsi="Verdana" w:cs="Calibri"/>
          <w:sz w:val="18"/>
          <w:szCs w:val="18"/>
          <w:lang w:val="el-GR"/>
        </w:rPr>
        <w:t>δ</w:t>
      </w:r>
      <w:r w:rsidR="00A2147F" w:rsidRPr="004279B4">
        <w:rPr>
          <w:rFonts w:ascii="Verdana" w:hAnsi="Verdana" w:cs="Calibri"/>
          <w:sz w:val="18"/>
          <w:szCs w:val="18"/>
          <w:lang w:val="el-GR"/>
        </w:rPr>
        <w:t xml:space="preserve">ημόσιο ή σε </w:t>
      </w:r>
      <w:r w:rsidR="007752ED">
        <w:rPr>
          <w:rFonts w:ascii="Verdana" w:hAnsi="Verdana" w:cs="Calibri"/>
          <w:sz w:val="18"/>
          <w:szCs w:val="18"/>
          <w:lang w:val="el-GR"/>
        </w:rPr>
        <w:t>ν</w:t>
      </w:r>
      <w:r w:rsidR="00A2147F" w:rsidRPr="004279B4">
        <w:rPr>
          <w:rFonts w:ascii="Verdana" w:hAnsi="Verdana" w:cs="Calibri"/>
          <w:sz w:val="18"/>
          <w:szCs w:val="18"/>
          <w:lang w:val="el-GR"/>
        </w:rPr>
        <w:t xml:space="preserve">ομικό </w:t>
      </w:r>
      <w:r w:rsidR="007752ED">
        <w:rPr>
          <w:rFonts w:ascii="Verdana" w:hAnsi="Verdana" w:cs="Calibri"/>
          <w:sz w:val="18"/>
          <w:szCs w:val="18"/>
          <w:lang w:val="el-GR"/>
        </w:rPr>
        <w:t>π</w:t>
      </w:r>
      <w:r w:rsidR="00A2147F" w:rsidRPr="004279B4">
        <w:rPr>
          <w:rFonts w:ascii="Verdana" w:hAnsi="Verdana" w:cs="Calibri"/>
          <w:sz w:val="18"/>
          <w:szCs w:val="18"/>
          <w:lang w:val="el-GR"/>
        </w:rPr>
        <w:t xml:space="preserve">ρόσωπο </w:t>
      </w:r>
      <w:r w:rsidR="007752ED">
        <w:rPr>
          <w:rFonts w:ascii="Verdana" w:hAnsi="Verdana" w:cs="Calibri"/>
          <w:sz w:val="18"/>
          <w:szCs w:val="18"/>
          <w:lang w:val="el-GR"/>
        </w:rPr>
        <w:t>δ</w:t>
      </w:r>
      <w:r w:rsidR="00A2147F" w:rsidRPr="004279B4">
        <w:rPr>
          <w:rFonts w:ascii="Verdana" w:hAnsi="Verdana" w:cs="Calibri"/>
          <w:sz w:val="18"/>
          <w:szCs w:val="18"/>
          <w:lang w:val="el-GR"/>
        </w:rPr>
        <w:t xml:space="preserve">ημοσίου </w:t>
      </w:r>
      <w:r w:rsidR="007752ED">
        <w:rPr>
          <w:rFonts w:ascii="Verdana" w:hAnsi="Verdana" w:cs="Calibri"/>
          <w:sz w:val="18"/>
          <w:szCs w:val="18"/>
          <w:lang w:val="el-GR"/>
        </w:rPr>
        <w:t>δ</w:t>
      </w:r>
      <w:r w:rsidR="00A2147F" w:rsidRPr="004279B4">
        <w:rPr>
          <w:rFonts w:ascii="Verdana" w:hAnsi="Verdana" w:cs="Calibri"/>
          <w:sz w:val="18"/>
          <w:szCs w:val="18"/>
          <w:lang w:val="el-GR"/>
        </w:rPr>
        <w:t xml:space="preserve">ικαίου (ΝΠΔΔ) και </w:t>
      </w:r>
      <w:r>
        <w:rPr>
          <w:rFonts w:ascii="Verdana" w:hAnsi="Verdana" w:cs="Calibri"/>
          <w:sz w:val="18"/>
          <w:szCs w:val="18"/>
          <w:lang w:val="el-GR"/>
        </w:rPr>
        <w:t xml:space="preserve">οι </w:t>
      </w:r>
      <w:r w:rsidR="00A2147F" w:rsidRPr="004279B4">
        <w:rPr>
          <w:rFonts w:ascii="Verdana" w:hAnsi="Verdana" w:cs="Calibri"/>
          <w:sz w:val="18"/>
          <w:szCs w:val="18"/>
          <w:lang w:val="el-GR"/>
        </w:rPr>
        <w:t xml:space="preserve">801 λειτουργούν </w:t>
      </w:r>
      <w:r>
        <w:rPr>
          <w:rFonts w:ascii="Verdana" w:hAnsi="Verdana" w:cs="Calibri"/>
          <w:sz w:val="18"/>
          <w:szCs w:val="18"/>
          <w:lang w:val="el-GR"/>
        </w:rPr>
        <w:t>ως</w:t>
      </w:r>
      <w:r w:rsidR="00A2147F" w:rsidRPr="004279B4">
        <w:rPr>
          <w:rFonts w:ascii="Verdana" w:hAnsi="Verdana" w:cs="Calibri"/>
          <w:sz w:val="18"/>
          <w:szCs w:val="18"/>
          <w:lang w:val="el-GR"/>
        </w:rPr>
        <w:t xml:space="preserve"> </w:t>
      </w:r>
      <w:r w:rsidR="00A2147F" w:rsidRPr="004279B4">
        <w:rPr>
          <w:rFonts w:ascii="Verdana" w:eastAsia="Malgun Gothic" w:hAnsi="Verdana" w:cs="Calibri"/>
          <w:sz w:val="18"/>
          <w:szCs w:val="18"/>
          <w:lang w:val="el-GR"/>
        </w:rPr>
        <w:t xml:space="preserve">εταιρείες, συνεταιρισμοί ή </w:t>
      </w:r>
      <w:r w:rsidR="0037652F">
        <w:rPr>
          <w:rFonts w:ascii="Verdana" w:eastAsia="Malgun Gothic" w:hAnsi="Verdana" w:cs="Calibri"/>
          <w:sz w:val="18"/>
          <w:szCs w:val="18"/>
          <w:lang w:val="el-GR"/>
        </w:rPr>
        <w:t xml:space="preserve">με </w:t>
      </w:r>
      <w:r w:rsidR="00A2147F" w:rsidRPr="004279B4">
        <w:rPr>
          <w:rFonts w:ascii="Verdana" w:eastAsia="Malgun Gothic" w:hAnsi="Verdana" w:cs="Calibri"/>
          <w:sz w:val="18"/>
          <w:szCs w:val="18"/>
          <w:lang w:val="el-GR"/>
        </w:rPr>
        <w:t>άλλη</w:t>
      </w:r>
      <w:r w:rsidR="00A2147F" w:rsidRPr="004279B4">
        <w:rPr>
          <w:rFonts w:ascii="Verdana" w:hAnsi="Verdana" w:cs="Calibri"/>
          <w:sz w:val="18"/>
          <w:szCs w:val="18"/>
          <w:lang w:val="el-GR"/>
        </w:rPr>
        <w:t xml:space="preserve"> μορφή.</w:t>
      </w:r>
      <w:r w:rsidR="0045519A" w:rsidRPr="004279B4">
        <w:rPr>
          <w:rFonts w:ascii="Verdana" w:hAnsi="Verdana" w:cs="Calibri"/>
          <w:sz w:val="18"/>
          <w:szCs w:val="18"/>
          <w:lang w:val="el-GR"/>
        </w:rPr>
        <w:t xml:space="preserve"> </w:t>
      </w:r>
      <w:r w:rsidR="00650B7E">
        <w:rPr>
          <w:rFonts w:ascii="Verdana" w:hAnsi="Verdana" w:cs="Calibri"/>
          <w:sz w:val="18"/>
          <w:szCs w:val="18"/>
          <w:lang w:val="el-GR"/>
        </w:rPr>
        <w:t xml:space="preserve">Η κατανομή των εκμεταλλεύσεων στις διάφορες επαρχίες παρουσιάζεται στον </w:t>
      </w:r>
      <w:r w:rsidR="00650B7E" w:rsidRPr="004279B4">
        <w:rPr>
          <w:rFonts w:ascii="Verdana" w:hAnsi="Verdana" w:cs="Calibri"/>
          <w:sz w:val="18"/>
          <w:szCs w:val="18"/>
          <w:lang w:val="el-GR"/>
        </w:rPr>
        <w:t>Πίνακα 1</w:t>
      </w:r>
      <w:r w:rsidR="007752ED">
        <w:rPr>
          <w:rFonts w:ascii="Verdana" w:hAnsi="Verdana" w:cs="Calibri"/>
          <w:sz w:val="18"/>
          <w:szCs w:val="18"/>
          <w:lang w:val="el-GR"/>
        </w:rPr>
        <w:t xml:space="preserve"> και αφορά στον τόπο διαμονής των κατόχων και όχι στον τόπο όπου βρίσκεται η έδρα της εκμετάλλευσης</w:t>
      </w:r>
      <w:r w:rsidR="00650B7E">
        <w:rPr>
          <w:rFonts w:ascii="Verdana" w:hAnsi="Verdana" w:cs="Calibri"/>
          <w:sz w:val="18"/>
          <w:szCs w:val="18"/>
          <w:lang w:val="el-GR"/>
        </w:rPr>
        <w:t>.</w:t>
      </w:r>
      <w:r w:rsidR="00557222" w:rsidRPr="00557222">
        <w:rPr>
          <w:lang w:val="el-GR"/>
        </w:rPr>
        <w:t xml:space="preserve"> </w:t>
      </w:r>
    </w:p>
    <w:p w14:paraId="5935B128" w14:textId="77777777" w:rsidR="00650B7E" w:rsidRDefault="00650B7E" w:rsidP="00DF7BAD">
      <w:pPr>
        <w:jc w:val="both"/>
        <w:rPr>
          <w:rFonts w:ascii="Verdana" w:hAnsi="Verdana"/>
          <w:sz w:val="18"/>
          <w:szCs w:val="18"/>
          <w:lang w:val="el-GR"/>
        </w:rPr>
      </w:pPr>
    </w:p>
    <w:tbl>
      <w:tblPr>
        <w:tblW w:w="9142" w:type="dxa"/>
        <w:jc w:val="center"/>
        <w:tblLook w:val="04A0" w:firstRow="1" w:lastRow="0" w:firstColumn="1" w:lastColumn="0" w:noHBand="0" w:noVBand="1"/>
      </w:tblPr>
      <w:tblGrid>
        <w:gridCol w:w="2513"/>
        <w:gridCol w:w="2179"/>
        <w:gridCol w:w="2271"/>
        <w:gridCol w:w="2179"/>
      </w:tblGrid>
      <w:tr w:rsidR="00557222" w14:paraId="7C06519A" w14:textId="77777777" w:rsidTr="00920706">
        <w:trPr>
          <w:trHeight w:val="284"/>
          <w:jc w:val="center"/>
        </w:trPr>
        <w:tc>
          <w:tcPr>
            <w:tcW w:w="9142" w:type="dxa"/>
            <w:gridSpan w:val="4"/>
            <w:tcBorders>
              <w:bottom w:val="single" w:sz="4" w:space="0" w:color="2F5496"/>
            </w:tcBorders>
            <w:shd w:val="clear" w:color="FFFFFF" w:fill="FFFFFF"/>
            <w:vAlign w:val="center"/>
          </w:tcPr>
          <w:p w14:paraId="7BDA2D3C" w14:textId="77777777" w:rsidR="00557222" w:rsidRDefault="00557222" w:rsidP="00557222">
            <w:pPr>
              <w:rPr>
                <w:rFonts w:ascii="Verdana" w:eastAsia="Times New Roman" w:hAnsi="Verdana" w:cs="Calibri"/>
                <w:b/>
                <w:bCs/>
                <w:color w:val="2F5496"/>
                <w:sz w:val="18"/>
                <w:szCs w:val="18"/>
                <w:lang w:val="el-GR"/>
              </w:rPr>
            </w:pPr>
            <w:r w:rsidRPr="00557222">
              <w:rPr>
                <w:rFonts w:ascii="Verdana" w:eastAsia="Times New Roman" w:hAnsi="Verdana" w:cs="Calibri"/>
                <w:b/>
                <w:bCs/>
                <w:color w:val="2F5496"/>
                <w:sz w:val="18"/>
                <w:szCs w:val="18"/>
                <w:lang w:val="el-GR"/>
              </w:rPr>
              <w:t>Πίνακας 1</w:t>
            </w:r>
          </w:p>
        </w:tc>
      </w:tr>
      <w:tr w:rsidR="004B3549" w14:paraId="6C17A9C3" w14:textId="77777777" w:rsidTr="00920706">
        <w:trPr>
          <w:trHeight w:val="340"/>
          <w:jc w:val="center"/>
        </w:trPr>
        <w:tc>
          <w:tcPr>
            <w:tcW w:w="2513" w:type="dxa"/>
            <w:vMerge w:val="restart"/>
            <w:tcBorders>
              <w:top w:val="single" w:sz="4" w:space="0" w:color="2F5496"/>
            </w:tcBorders>
            <w:shd w:val="clear" w:color="FFFFFF" w:fill="FFFFFF"/>
            <w:vAlign w:val="center"/>
          </w:tcPr>
          <w:p w14:paraId="19757610" w14:textId="77777777" w:rsidR="004B3549" w:rsidRDefault="004B3549" w:rsidP="0059673F">
            <w:pPr>
              <w:jc w:val="center"/>
              <w:rPr>
                <w:rFonts w:ascii="Verdana" w:eastAsia="Times New Roman" w:hAnsi="Verdana" w:cs="Calibri"/>
                <w:b/>
                <w:bCs/>
                <w:color w:val="2F5496"/>
                <w:sz w:val="18"/>
                <w:szCs w:val="18"/>
                <w:lang w:val="el-GR"/>
              </w:rPr>
            </w:pPr>
            <w:r w:rsidRPr="004B3549">
              <w:rPr>
                <w:rFonts w:ascii="Verdana" w:eastAsia="Times New Roman" w:hAnsi="Verdana" w:cs="Calibri"/>
                <w:b/>
                <w:bCs/>
                <w:color w:val="2F5496"/>
                <w:sz w:val="18"/>
                <w:szCs w:val="18"/>
                <w:lang w:val="el-GR"/>
              </w:rPr>
              <w:t>Επαρχία</w:t>
            </w:r>
          </w:p>
        </w:tc>
        <w:tc>
          <w:tcPr>
            <w:tcW w:w="6629" w:type="dxa"/>
            <w:gridSpan w:val="3"/>
            <w:tcBorders>
              <w:top w:val="single" w:sz="4" w:space="0" w:color="2F5496"/>
              <w:bottom w:val="single" w:sz="4" w:space="0" w:color="2F5496"/>
            </w:tcBorders>
            <w:shd w:val="clear" w:color="FFFFFF" w:fill="FFFFFF"/>
            <w:vAlign w:val="center"/>
          </w:tcPr>
          <w:p w14:paraId="4A3EF3B1" w14:textId="77777777" w:rsidR="004B3549" w:rsidRDefault="004B3549" w:rsidP="0059673F">
            <w:pPr>
              <w:jc w:val="center"/>
              <w:rPr>
                <w:rFonts w:ascii="Verdana" w:eastAsia="Times New Roman" w:hAnsi="Verdana" w:cs="Calibri"/>
                <w:b/>
                <w:bCs/>
                <w:color w:val="2F5496"/>
                <w:sz w:val="18"/>
                <w:szCs w:val="18"/>
                <w:lang w:val="el-GR"/>
              </w:rPr>
            </w:pPr>
            <w:r w:rsidRPr="004B3549">
              <w:rPr>
                <w:rFonts w:ascii="Verdana" w:eastAsia="Times New Roman" w:hAnsi="Verdana" w:cs="Calibri"/>
                <w:b/>
                <w:bCs/>
                <w:color w:val="2F5496"/>
                <w:sz w:val="18"/>
                <w:szCs w:val="18"/>
                <w:lang w:val="el-GR"/>
              </w:rPr>
              <w:t>Αριθμός Εκμεταλ</w:t>
            </w:r>
            <w:r w:rsidR="00695816">
              <w:rPr>
                <w:rFonts w:ascii="Verdana" w:eastAsia="Times New Roman" w:hAnsi="Verdana" w:cs="Calibri"/>
                <w:b/>
                <w:bCs/>
                <w:color w:val="2F5496"/>
                <w:sz w:val="18"/>
                <w:szCs w:val="18"/>
                <w:lang w:val="el-GR"/>
              </w:rPr>
              <w:t>λ</w:t>
            </w:r>
            <w:r w:rsidRPr="004B3549">
              <w:rPr>
                <w:rFonts w:ascii="Verdana" w:eastAsia="Times New Roman" w:hAnsi="Verdana" w:cs="Calibri"/>
                <w:b/>
                <w:bCs/>
                <w:color w:val="2F5496"/>
                <w:sz w:val="18"/>
                <w:szCs w:val="18"/>
                <w:lang w:val="el-GR"/>
              </w:rPr>
              <w:t>εύσεων</w:t>
            </w:r>
          </w:p>
        </w:tc>
      </w:tr>
      <w:tr w:rsidR="004B3549" w14:paraId="75BF9742" w14:textId="77777777" w:rsidTr="00920706">
        <w:trPr>
          <w:trHeight w:val="340"/>
          <w:jc w:val="center"/>
        </w:trPr>
        <w:tc>
          <w:tcPr>
            <w:tcW w:w="2513" w:type="dxa"/>
            <w:vMerge/>
            <w:tcBorders>
              <w:bottom w:val="single" w:sz="4" w:space="0" w:color="2F5496"/>
            </w:tcBorders>
            <w:shd w:val="clear" w:color="FFFFFF" w:fill="FFFFFF"/>
            <w:vAlign w:val="center"/>
            <w:hideMark/>
          </w:tcPr>
          <w:p w14:paraId="62D87D39" w14:textId="77777777" w:rsidR="004B3549" w:rsidRDefault="004B3549" w:rsidP="0059673F">
            <w:pPr>
              <w:jc w:val="center"/>
              <w:rPr>
                <w:rFonts w:ascii="Verdana" w:eastAsia="Times New Roman" w:hAnsi="Verdana" w:cs="Calibri"/>
                <w:b/>
                <w:bCs/>
                <w:color w:val="2F5496"/>
                <w:sz w:val="18"/>
                <w:szCs w:val="18"/>
                <w:lang w:val="el-GR"/>
              </w:rPr>
            </w:pPr>
          </w:p>
        </w:tc>
        <w:tc>
          <w:tcPr>
            <w:tcW w:w="2179" w:type="dxa"/>
            <w:tcBorders>
              <w:top w:val="single" w:sz="4" w:space="0" w:color="2F5496"/>
              <w:bottom w:val="single" w:sz="4" w:space="0" w:color="2F5496"/>
            </w:tcBorders>
            <w:shd w:val="clear" w:color="FFFFFF" w:fill="FFFFFF"/>
            <w:vAlign w:val="center"/>
            <w:hideMark/>
          </w:tcPr>
          <w:p w14:paraId="2648D664" w14:textId="77777777" w:rsidR="004B3549" w:rsidRDefault="004B3549" w:rsidP="0059673F">
            <w:pPr>
              <w:jc w:val="center"/>
              <w:rPr>
                <w:rFonts w:ascii="Verdana" w:eastAsia="Times New Roman" w:hAnsi="Verdana" w:cs="Calibri"/>
                <w:b/>
                <w:bCs/>
                <w:color w:val="2F5496"/>
                <w:sz w:val="18"/>
                <w:szCs w:val="18"/>
              </w:rPr>
            </w:pPr>
            <w:r>
              <w:rPr>
                <w:rFonts w:ascii="Verdana" w:eastAsia="Times New Roman" w:hAnsi="Verdana" w:cs="Calibri"/>
                <w:b/>
                <w:bCs/>
                <w:color w:val="2F5496"/>
                <w:sz w:val="18"/>
                <w:szCs w:val="18"/>
                <w:lang w:val="el-GR"/>
              </w:rPr>
              <w:t>Σύνολο</w:t>
            </w:r>
          </w:p>
        </w:tc>
        <w:tc>
          <w:tcPr>
            <w:tcW w:w="2271" w:type="dxa"/>
            <w:tcBorders>
              <w:top w:val="single" w:sz="4" w:space="0" w:color="2F5496"/>
              <w:bottom w:val="single" w:sz="4" w:space="0" w:color="2F5496"/>
            </w:tcBorders>
            <w:shd w:val="clear" w:color="FFFFFF" w:fill="FFFFFF"/>
            <w:vAlign w:val="center"/>
            <w:hideMark/>
          </w:tcPr>
          <w:p w14:paraId="53557645" w14:textId="77777777" w:rsidR="004B3549" w:rsidRDefault="004B3549" w:rsidP="0059673F">
            <w:pPr>
              <w:jc w:val="center"/>
              <w:rPr>
                <w:rFonts w:ascii="Verdana" w:eastAsia="Times New Roman" w:hAnsi="Verdana" w:cs="Calibri"/>
                <w:b/>
                <w:bCs/>
                <w:color w:val="2F5496"/>
                <w:sz w:val="18"/>
                <w:szCs w:val="18"/>
              </w:rPr>
            </w:pPr>
            <w:r>
              <w:rPr>
                <w:rFonts w:ascii="Verdana" w:eastAsia="Times New Roman" w:hAnsi="Verdana" w:cs="Calibri"/>
                <w:b/>
                <w:bCs/>
                <w:color w:val="2F5496"/>
                <w:sz w:val="18"/>
                <w:szCs w:val="18"/>
                <w:lang w:val="el-GR"/>
              </w:rPr>
              <w:t>Φυσικά Πρόσωπα</w:t>
            </w:r>
          </w:p>
        </w:tc>
        <w:tc>
          <w:tcPr>
            <w:tcW w:w="2179" w:type="dxa"/>
            <w:tcBorders>
              <w:top w:val="single" w:sz="4" w:space="0" w:color="2F5496"/>
              <w:left w:val="nil"/>
              <w:bottom w:val="single" w:sz="4" w:space="0" w:color="2F5496"/>
            </w:tcBorders>
            <w:shd w:val="clear" w:color="FFFFFF" w:fill="FFFFFF"/>
            <w:vAlign w:val="center"/>
            <w:hideMark/>
          </w:tcPr>
          <w:p w14:paraId="10A71AE6" w14:textId="77777777" w:rsidR="004B3549" w:rsidRDefault="004B3549" w:rsidP="0059673F">
            <w:pPr>
              <w:jc w:val="center"/>
              <w:rPr>
                <w:rFonts w:ascii="Verdana" w:eastAsia="Times New Roman" w:hAnsi="Verdana" w:cs="Calibri"/>
                <w:b/>
                <w:bCs/>
                <w:color w:val="2F5496"/>
                <w:sz w:val="18"/>
                <w:szCs w:val="18"/>
              </w:rPr>
            </w:pPr>
            <w:r>
              <w:rPr>
                <w:rFonts w:ascii="Verdana" w:eastAsia="Times New Roman" w:hAnsi="Verdana" w:cs="Calibri"/>
                <w:b/>
                <w:bCs/>
                <w:color w:val="2F5496"/>
                <w:sz w:val="18"/>
                <w:szCs w:val="18"/>
                <w:lang w:val="el-GR"/>
              </w:rPr>
              <w:t>Νομικά Πρόσωπα</w:t>
            </w:r>
          </w:p>
        </w:tc>
      </w:tr>
      <w:tr w:rsidR="002F7C21" w14:paraId="170C65D2" w14:textId="77777777" w:rsidTr="00920706">
        <w:trPr>
          <w:trHeight w:val="397"/>
          <w:jc w:val="center"/>
        </w:trPr>
        <w:tc>
          <w:tcPr>
            <w:tcW w:w="2513" w:type="dxa"/>
            <w:tcBorders>
              <w:top w:val="single" w:sz="4" w:space="0" w:color="2F5496"/>
              <w:bottom w:val="single" w:sz="4" w:space="0" w:color="2F5496"/>
            </w:tcBorders>
            <w:shd w:val="clear" w:color="FFFFFF" w:fill="FFFFFF"/>
            <w:noWrap/>
            <w:vAlign w:val="center"/>
            <w:hideMark/>
          </w:tcPr>
          <w:p w14:paraId="521AB789" w14:textId="77777777" w:rsidR="00650B7E" w:rsidRDefault="00650B7E" w:rsidP="0059673F">
            <w:pPr>
              <w:ind w:firstLineChars="100" w:firstLine="181"/>
              <w:rPr>
                <w:rFonts w:ascii="Verdana" w:eastAsia="Times New Roman" w:hAnsi="Verdana" w:cs="Calibri"/>
                <w:b/>
                <w:bCs/>
                <w:color w:val="2F5496"/>
                <w:sz w:val="18"/>
                <w:szCs w:val="18"/>
              </w:rPr>
            </w:pPr>
            <w:r>
              <w:rPr>
                <w:rFonts w:ascii="Verdana" w:eastAsia="Times New Roman" w:hAnsi="Verdana" w:cs="Calibri"/>
                <w:b/>
                <w:bCs/>
                <w:color w:val="2F5496"/>
                <w:sz w:val="18"/>
                <w:szCs w:val="18"/>
              </w:rPr>
              <w:t>ΣΥΝΟΛΟ</w:t>
            </w:r>
          </w:p>
        </w:tc>
        <w:tc>
          <w:tcPr>
            <w:tcW w:w="2179" w:type="dxa"/>
            <w:tcBorders>
              <w:top w:val="single" w:sz="4" w:space="0" w:color="2F5496"/>
              <w:bottom w:val="single" w:sz="4" w:space="0" w:color="2F5496"/>
            </w:tcBorders>
            <w:shd w:val="clear" w:color="FFFFFF" w:fill="FFFFFF"/>
            <w:noWrap/>
            <w:vAlign w:val="center"/>
            <w:hideMark/>
          </w:tcPr>
          <w:p w14:paraId="65FFE6A6" w14:textId="77777777" w:rsidR="00650B7E" w:rsidRDefault="00650B7E" w:rsidP="00557222">
            <w:pPr>
              <w:ind w:right="624" w:firstLineChars="200" w:firstLine="361"/>
              <w:jc w:val="right"/>
              <w:rPr>
                <w:rFonts w:ascii="Verdana" w:eastAsia="Times New Roman" w:hAnsi="Verdana" w:cs="Calibri"/>
                <w:b/>
                <w:bCs/>
                <w:color w:val="2F5496"/>
                <w:sz w:val="18"/>
                <w:szCs w:val="18"/>
              </w:rPr>
            </w:pPr>
            <w:r>
              <w:rPr>
                <w:rFonts w:ascii="Verdana" w:eastAsia="Times New Roman" w:hAnsi="Verdana" w:cs="Calibri"/>
                <w:b/>
                <w:bCs/>
                <w:color w:val="2F5496"/>
                <w:sz w:val="18"/>
                <w:szCs w:val="18"/>
              </w:rPr>
              <w:t>34</w:t>
            </w:r>
            <w:r>
              <w:rPr>
                <w:rFonts w:ascii="Verdana" w:eastAsia="Times New Roman" w:hAnsi="Verdana" w:cs="Calibri"/>
                <w:b/>
                <w:bCs/>
                <w:color w:val="2F5496"/>
                <w:sz w:val="18"/>
                <w:szCs w:val="18"/>
                <w:lang w:val="el-GR"/>
              </w:rPr>
              <w:t>.</w:t>
            </w:r>
            <w:r>
              <w:rPr>
                <w:rFonts w:ascii="Verdana" w:eastAsia="Times New Roman" w:hAnsi="Verdana" w:cs="Calibri"/>
                <w:b/>
                <w:bCs/>
                <w:color w:val="2F5496"/>
                <w:sz w:val="18"/>
                <w:szCs w:val="18"/>
              </w:rPr>
              <w:t>046</w:t>
            </w:r>
          </w:p>
        </w:tc>
        <w:tc>
          <w:tcPr>
            <w:tcW w:w="2271" w:type="dxa"/>
            <w:tcBorders>
              <w:top w:val="single" w:sz="4" w:space="0" w:color="2F5496"/>
              <w:bottom w:val="single" w:sz="4" w:space="0" w:color="2F5496"/>
            </w:tcBorders>
            <w:shd w:val="clear" w:color="FFFFFF" w:fill="FFFFFF"/>
            <w:noWrap/>
            <w:vAlign w:val="center"/>
            <w:hideMark/>
          </w:tcPr>
          <w:p w14:paraId="25404D04" w14:textId="77777777" w:rsidR="00650B7E" w:rsidRDefault="00650B7E" w:rsidP="00557222">
            <w:pPr>
              <w:ind w:right="680" w:firstLineChars="200" w:firstLine="361"/>
              <w:jc w:val="right"/>
              <w:rPr>
                <w:rFonts w:ascii="Verdana" w:eastAsia="Times New Roman" w:hAnsi="Verdana" w:cs="Calibri"/>
                <w:b/>
                <w:bCs/>
                <w:color w:val="2F5496"/>
                <w:sz w:val="18"/>
                <w:szCs w:val="18"/>
              </w:rPr>
            </w:pPr>
            <w:r>
              <w:rPr>
                <w:rFonts w:ascii="Verdana" w:eastAsia="Times New Roman" w:hAnsi="Verdana" w:cs="Calibri"/>
                <w:b/>
                <w:bCs/>
                <w:color w:val="2F5496"/>
                <w:sz w:val="18"/>
                <w:szCs w:val="18"/>
              </w:rPr>
              <w:t>33</w:t>
            </w:r>
            <w:r>
              <w:rPr>
                <w:rFonts w:ascii="Verdana" w:eastAsia="Times New Roman" w:hAnsi="Verdana" w:cs="Calibri"/>
                <w:b/>
                <w:bCs/>
                <w:color w:val="2F5496"/>
                <w:sz w:val="18"/>
                <w:szCs w:val="18"/>
                <w:lang w:val="el-GR"/>
              </w:rPr>
              <w:t>.</w:t>
            </w:r>
            <w:r>
              <w:rPr>
                <w:rFonts w:ascii="Verdana" w:eastAsia="Times New Roman" w:hAnsi="Verdana" w:cs="Calibri"/>
                <w:b/>
                <w:bCs/>
                <w:color w:val="2F5496"/>
                <w:sz w:val="18"/>
                <w:szCs w:val="18"/>
              </w:rPr>
              <w:t>189</w:t>
            </w:r>
          </w:p>
        </w:tc>
        <w:tc>
          <w:tcPr>
            <w:tcW w:w="2179" w:type="dxa"/>
            <w:tcBorders>
              <w:top w:val="single" w:sz="4" w:space="0" w:color="2F5496"/>
              <w:left w:val="nil"/>
              <w:bottom w:val="single" w:sz="4" w:space="0" w:color="2F5496"/>
            </w:tcBorders>
            <w:shd w:val="clear" w:color="FFFFFF" w:fill="FFFFFF"/>
            <w:noWrap/>
            <w:vAlign w:val="center"/>
            <w:hideMark/>
          </w:tcPr>
          <w:p w14:paraId="2ED75CB5" w14:textId="77777777" w:rsidR="00650B7E" w:rsidRDefault="00650B7E" w:rsidP="00557222">
            <w:pPr>
              <w:ind w:right="851" w:firstLineChars="200" w:firstLine="361"/>
              <w:jc w:val="right"/>
              <w:rPr>
                <w:rFonts w:ascii="Verdana" w:eastAsia="Times New Roman" w:hAnsi="Verdana" w:cs="Calibri"/>
                <w:b/>
                <w:bCs/>
                <w:color w:val="2F5496"/>
                <w:sz w:val="18"/>
                <w:szCs w:val="18"/>
              </w:rPr>
            </w:pPr>
            <w:r>
              <w:rPr>
                <w:rFonts w:ascii="Verdana" w:eastAsia="Times New Roman" w:hAnsi="Verdana" w:cs="Calibri"/>
                <w:b/>
                <w:bCs/>
                <w:color w:val="2F5496"/>
                <w:sz w:val="18"/>
                <w:szCs w:val="18"/>
              </w:rPr>
              <w:t>857</w:t>
            </w:r>
          </w:p>
        </w:tc>
      </w:tr>
      <w:tr w:rsidR="002F7C21" w14:paraId="4CF46B71" w14:textId="77777777" w:rsidTr="00920706">
        <w:trPr>
          <w:trHeight w:val="315"/>
          <w:jc w:val="center"/>
        </w:trPr>
        <w:tc>
          <w:tcPr>
            <w:tcW w:w="2513" w:type="dxa"/>
            <w:tcBorders>
              <w:top w:val="single" w:sz="4" w:space="0" w:color="2F5496"/>
              <w:bottom w:val="nil"/>
            </w:tcBorders>
            <w:shd w:val="clear" w:color="FFFFFF" w:fill="FFFFFF"/>
            <w:noWrap/>
            <w:vAlign w:val="center"/>
            <w:hideMark/>
          </w:tcPr>
          <w:p w14:paraId="51AAE980" w14:textId="77777777" w:rsidR="00650B7E" w:rsidRDefault="00650B7E" w:rsidP="0059673F">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rPr>
              <w:t>Λ</w:t>
            </w:r>
            <w:r w:rsidR="00557222">
              <w:rPr>
                <w:rFonts w:ascii="Verdana" w:eastAsia="Times New Roman" w:hAnsi="Verdana" w:cs="Calibri"/>
                <w:color w:val="2F5496"/>
                <w:sz w:val="18"/>
                <w:szCs w:val="18"/>
                <w:lang w:val="el-GR"/>
              </w:rPr>
              <w:t>ευκωσία</w:t>
            </w:r>
          </w:p>
        </w:tc>
        <w:tc>
          <w:tcPr>
            <w:tcW w:w="2179" w:type="dxa"/>
            <w:tcBorders>
              <w:top w:val="single" w:sz="4" w:space="0" w:color="2F5496"/>
              <w:bottom w:val="nil"/>
            </w:tcBorders>
            <w:shd w:val="clear" w:color="FFFFFF" w:fill="FFFFFF"/>
            <w:noWrap/>
            <w:vAlign w:val="center"/>
            <w:hideMark/>
          </w:tcPr>
          <w:p w14:paraId="24CCC6E4" w14:textId="77777777" w:rsidR="00650B7E" w:rsidRDefault="00650B7E" w:rsidP="00557222">
            <w:pPr>
              <w:ind w:right="624"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10</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805</w:t>
            </w:r>
          </w:p>
        </w:tc>
        <w:tc>
          <w:tcPr>
            <w:tcW w:w="2271" w:type="dxa"/>
            <w:tcBorders>
              <w:top w:val="single" w:sz="4" w:space="0" w:color="2F5496"/>
              <w:bottom w:val="nil"/>
            </w:tcBorders>
            <w:shd w:val="clear" w:color="FFFFFF" w:fill="FFFFFF"/>
            <w:noWrap/>
            <w:vAlign w:val="center"/>
            <w:hideMark/>
          </w:tcPr>
          <w:p w14:paraId="5EF6E82D" w14:textId="77777777" w:rsidR="00650B7E" w:rsidRDefault="00650B7E" w:rsidP="00557222">
            <w:pPr>
              <w:ind w:right="680"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10</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520</w:t>
            </w:r>
          </w:p>
        </w:tc>
        <w:tc>
          <w:tcPr>
            <w:tcW w:w="2179" w:type="dxa"/>
            <w:tcBorders>
              <w:top w:val="single" w:sz="4" w:space="0" w:color="2F5496"/>
              <w:left w:val="nil"/>
              <w:bottom w:val="nil"/>
            </w:tcBorders>
            <w:shd w:val="clear" w:color="FFFFFF" w:fill="FFFFFF"/>
            <w:noWrap/>
            <w:vAlign w:val="center"/>
            <w:hideMark/>
          </w:tcPr>
          <w:p w14:paraId="4135EDE6" w14:textId="77777777" w:rsidR="00650B7E" w:rsidRDefault="00650B7E" w:rsidP="00557222">
            <w:pPr>
              <w:ind w:right="851"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285</w:t>
            </w:r>
          </w:p>
        </w:tc>
      </w:tr>
      <w:tr w:rsidR="002F7C21" w14:paraId="05024934" w14:textId="77777777" w:rsidTr="00920706">
        <w:trPr>
          <w:trHeight w:val="315"/>
          <w:jc w:val="center"/>
        </w:trPr>
        <w:tc>
          <w:tcPr>
            <w:tcW w:w="2513" w:type="dxa"/>
            <w:tcBorders>
              <w:top w:val="nil"/>
              <w:bottom w:val="nil"/>
            </w:tcBorders>
            <w:shd w:val="clear" w:color="FFFFFF" w:fill="FFFFFF"/>
            <w:noWrap/>
            <w:vAlign w:val="center"/>
            <w:hideMark/>
          </w:tcPr>
          <w:p w14:paraId="57CAB48D" w14:textId="77777777" w:rsidR="00650B7E" w:rsidRDefault="00650B7E" w:rsidP="0059673F">
            <w:pPr>
              <w:ind w:firstLineChars="100" w:firstLine="180"/>
              <w:rPr>
                <w:rFonts w:ascii="Verdana" w:eastAsia="Times New Roman" w:hAnsi="Verdana" w:cs="Calibri"/>
                <w:color w:val="2F5496"/>
                <w:sz w:val="18"/>
                <w:szCs w:val="18"/>
              </w:rPr>
            </w:pPr>
            <w:r>
              <w:rPr>
                <w:rFonts w:ascii="Verdana" w:eastAsia="Times New Roman" w:hAnsi="Verdana" w:cs="Calibri"/>
                <w:color w:val="2F5496"/>
                <w:sz w:val="18"/>
                <w:szCs w:val="18"/>
              </w:rPr>
              <w:t>Α</w:t>
            </w:r>
            <w:r w:rsidR="00557222">
              <w:rPr>
                <w:rFonts w:ascii="Verdana" w:eastAsia="Times New Roman" w:hAnsi="Verdana" w:cs="Calibri"/>
                <w:color w:val="2F5496"/>
                <w:sz w:val="18"/>
                <w:szCs w:val="18"/>
                <w:lang w:val="el-GR"/>
              </w:rPr>
              <w:t>μμόχωστος</w:t>
            </w:r>
          </w:p>
        </w:tc>
        <w:tc>
          <w:tcPr>
            <w:tcW w:w="2179" w:type="dxa"/>
            <w:tcBorders>
              <w:top w:val="nil"/>
              <w:bottom w:val="nil"/>
            </w:tcBorders>
            <w:shd w:val="clear" w:color="FFFFFF" w:fill="FFFFFF"/>
            <w:noWrap/>
            <w:vAlign w:val="center"/>
            <w:hideMark/>
          </w:tcPr>
          <w:p w14:paraId="167D71A6" w14:textId="77777777" w:rsidR="00650B7E" w:rsidRDefault="00650B7E" w:rsidP="00557222">
            <w:pPr>
              <w:ind w:right="624"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2</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051</w:t>
            </w:r>
          </w:p>
        </w:tc>
        <w:tc>
          <w:tcPr>
            <w:tcW w:w="2271" w:type="dxa"/>
            <w:tcBorders>
              <w:top w:val="nil"/>
              <w:bottom w:val="nil"/>
            </w:tcBorders>
            <w:shd w:val="clear" w:color="FFFFFF" w:fill="FFFFFF"/>
            <w:noWrap/>
            <w:vAlign w:val="center"/>
            <w:hideMark/>
          </w:tcPr>
          <w:p w14:paraId="657D9A69" w14:textId="77777777" w:rsidR="00650B7E" w:rsidRDefault="00650B7E" w:rsidP="00557222">
            <w:pPr>
              <w:ind w:right="680"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1</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980</w:t>
            </w:r>
          </w:p>
        </w:tc>
        <w:tc>
          <w:tcPr>
            <w:tcW w:w="2179" w:type="dxa"/>
            <w:tcBorders>
              <w:top w:val="nil"/>
              <w:left w:val="nil"/>
              <w:bottom w:val="nil"/>
            </w:tcBorders>
            <w:shd w:val="clear" w:color="FFFFFF" w:fill="FFFFFF"/>
            <w:noWrap/>
            <w:vAlign w:val="center"/>
            <w:hideMark/>
          </w:tcPr>
          <w:p w14:paraId="1E999553" w14:textId="77777777" w:rsidR="00650B7E" w:rsidRDefault="00650B7E" w:rsidP="00557222">
            <w:pPr>
              <w:ind w:right="851"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71</w:t>
            </w:r>
          </w:p>
        </w:tc>
      </w:tr>
      <w:tr w:rsidR="002F7C21" w14:paraId="71A7AB58" w14:textId="77777777" w:rsidTr="00920706">
        <w:trPr>
          <w:trHeight w:val="315"/>
          <w:jc w:val="center"/>
        </w:trPr>
        <w:tc>
          <w:tcPr>
            <w:tcW w:w="2513" w:type="dxa"/>
            <w:tcBorders>
              <w:top w:val="nil"/>
              <w:bottom w:val="nil"/>
            </w:tcBorders>
            <w:shd w:val="clear" w:color="FFFFFF" w:fill="FFFFFF"/>
            <w:noWrap/>
            <w:vAlign w:val="center"/>
            <w:hideMark/>
          </w:tcPr>
          <w:p w14:paraId="43BEFE45" w14:textId="77777777" w:rsidR="00650B7E" w:rsidRDefault="00650B7E" w:rsidP="0059673F">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rPr>
              <w:t>Λ</w:t>
            </w:r>
            <w:r w:rsidR="00557222">
              <w:rPr>
                <w:rFonts w:ascii="Verdana" w:eastAsia="Times New Roman" w:hAnsi="Verdana" w:cs="Calibri"/>
                <w:color w:val="2F5496"/>
                <w:sz w:val="18"/>
                <w:szCs w:val="18"/>
                <w:lang w:val="el-GR"/>
              </w:rPr>
              <w:t>άρνακα</w:t>
            </w:r>
          </w:p>
        </w:tc>
        <w:tc>
          <w:tcPr>
            <w:tcW w:w="2179" w:type="dxa"/>
            <w:tcBorders>
              <w:top w:val="nil"/>
              <w:bottom w:val="nil"/>
            </w:tcBorders>
            <w:shd w:val="clear" w:color="FFFFFF" w:fill="FFFFFF"/>
            <w:noWrap/>
            <w:vAlign w:val="center"/>
            <w:hideMark/>
          </w:tcPr>
          <w:p w14:paraId="112D879E" w14:textId="77777777" w:rsidR="00650B7E" w:rsidRDefault="00650B7E" w:rsidP="00557222">
            <w:pPr>
              <w:ind w:right="624"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5</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718</w:t>
            </w:r>
          </w:p>
        </w:tc>
        <w:tc>
          <w:tcPr>
            <w:tcW w:w="2271" w:type="dxa"/>
            <w:tcBorders>
              <w:top w:val="nil"/>
              <w:bottom w:val="nil"/>
            </w:tcBorders>
            <w:shd w:val="clear" w:color="FFFFFF" w:fill="FFFFFF"/>
            <w:noWrap/>
            <w:vAlign w:val="center"/>
            <w:hideMark/>
          </w:tcPr>
          <w:p w14:paraId="1AB8771E" w14:textId="77777777" w:rsidR="00650B7E" w:rsidRDefault="00650B7E" w:rsidP="00557222">
            <w:pPr>
              <w:ind w:right="680"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5</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492</w:t>
            </w:r>
          </w:p>
        </w:tc>
        <w:tc>
          <w:tcPr>
            <w:tcW w:w="2179" w:type="dxa"/>
            <w:tcBorders>
              <w:top w:val="nil"/>
              <w:left w:val="nil"/>
              <w:bottom w:val="nil"/>
            </w:tcBorders>
            <w:shd w:val="clear" w:color="FFFFFF" w:fill="FFFFFF"/>
            <w:noWrap/>
            <w:vAlign w:val="center"/>
            <w:hideMark/>
          </w:tcPr>
          <w:p w14:paraId="31BE6EA6" w14:textId="77777777" w:rsidR="00650B7E" w:rsidRDefault="00650B7E" w:rsidP="00557222">
            <w:pPr>
              <w:ind w:right="851"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226</w:t>
            </w:r>
          </w:p>
        </w:tc>
      </w:tr>
      <w:tr w:rsidR="002F7C21" w14:paraId="4628D965" w14:textId="77777777" w:rsidTr="00920706">
        <w:trPr>
          <w:trHeight w:val="315"/>
          <w:jc w:val="center"/>
        </w:trPr>
        <w:tc>
          <w:tcPr>
            <w:tcW w:w="2513" w:type="dxa"/>
            <w:tcBorders>
              <w:top w:val="nil"/>
              <w:bottom w:val="nil"/>
            </w:tcBorders>
            <w:shd w:val="clear" w:color="FFFFFF" w:fill="FFFFFF"/>
            <w:noWrap/>
            <w:vAlign w:val="center"/>
            <w:hideMark/>
          </w:tcPr>
          <w:p w14:paraId="48655564" w14:textId="77777777" w:rsidR="00650B7E" w:rsidRDefault="00650B7E" w:rsidP="0059673F">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rPr>
              <w:t>Λ</w:t>
            </w:r>
            <w:r w:rsidR="00557222">
              <w:rPr>
                <w:rFonts w:ascii="Verdana" w:eastAsia="Times New Roman" w:hAnsi="Verdana" w:cs="Calibri"/>
                <w:color w:val="2F5496"/>
                <w:sz w:val="18"/>
                <w:szCs w:val="18"/>
                <w:lang w:val="el-GR"/>
              </w:rPr>
              <w:t>εμεσός</w:t>
            </w:r>
          </w:p>
        </w:tc>
        <w:tc>
          <w:tcPr>
            <w:tcW w:w="2179" w:type="dxa"/>
            <w:tcBorders>
              <w:top w:val="nil"/>
              <w:bottom w:val="nil"/>
            </w:tcBorders>
            <w:shd w:val="clear" w:color="FFFFFF" w:fill="FFFFFF"/>
            <w:noWrap/>
            <w:vAlign w:val="center"/>
            <w:hideMark/>
          </w:tcPr>
          <w:p w14:paraId="7289B212" w14:textId="77777777" w:rsidR="00650B7E" w:rsidRDefault="00650B7E" w:rsidP="00557222">
            <w:pPr>
              <w:ind w:right="624"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8</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899</w:t>
            </w:r>
          </w:p>
        </w:tc>
        <w:tc>
          <w:tcPr>
            <w:tcW w:w="2271" w:type="dxa"/>
            <w:tcBorders>
              <w:top w:val="nil"/>
              <w:bottom w:val="nil"/>
            </w:tcBorders>
            <w:shd w:val="clear" w:color="FFFFFF" w:fill="FFFFFF"/>
            <w:noWrap/>
            <w:vAlign w:val="center"/>
            <w:hideMark/>
          </w:tcPr>
          <w:p w14:paraId="27814717" w14:textId="77777777" w:rsidR="00650B7E" w:rsidRDefault="00650B7E" w:rsidP="00557222">
            <w:pPr>
              <w:ind w:right="680"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8</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724</w:t>
            </w:r>
          </w:p>
        </w:tc>
        <w:tc>
          <w:tcPr>
            <w:tcW w:w="2179" w:type="dxa"/>
            <w:tcBorders>
              <w:top w:val="nil"/>
              <w:left w:val="nil"/>
              <w:bottom w:val="nil"/>
            </w:tcBorders>
            <w:shd w:val="clear" w:color="FFFFFF" w:fill="FFFFFF"/>
            <w:noWrap/>
            <w:vAlign w:val="center"/>
            <w:hideMark/>
          </w:tcPr>
          <w:p w14:paraId="2590FC39" w14:textId="77777777" w:rsidR="00650B7E" w:rsidRDefault="00650B7E" w:rsidP="00557222">
            <w:pPr>
              <w:ind w:right="851"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175</w:t>
            </w:r>
          </w:p>
        </w:tc>
      </w:tr>
      <w:tr w:rsidR="002F7C21" w14:paraId="09A2B487" w14:textId="77777777" w:rsidTr="00920706">
        <w:trPr>
          <w:trHeight w:val="315"/>
          <w:jc w:val="center"/>
        </w:trPr>
        <w:tc>
          <w:tcPr>
            <w:tcW w:w="2513" w:type="dxa"/>
            <w:tcBorders>
              <w:top w:val="nil"/>
              <w:bottom w:val="single" w:sz="4" w:space="0" w:color="2F5496"/>
            </w:tcBorders>
            <w:shd w:val="clear" w:color="FFFFFF" w:fill="FFFFFF"/>
            <w:noWrap/>
            <w:vAlign w:val="center"/>
            <w:hideMark/>
          </w:tcPr>
          <w:p w14:paraId="2828C47F" w14:textId="77777777" w:rsidR="00650B7E" w:rsidRDefault="00650B7E" w:rsidP="0059673F">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rPr>
              <w:t>Π</w:t>
            </w:r>
            <w:r w:rsidR="00557222">
              <w:rPr>
                <w:rFonts w:ascii="Verdana" w:eastAsia="Times New Roman" w:hAnsi="Verdana" w:cs="Calibri"/>
                <w:color w:val="2F5496"/>
                <w:sz w:val="18"/>
                <w:szCs w:val="18"/>
                <w:lang w:val="el-GR"/>
              </w:rPr>
              <w:t>άφος</w:t>
            </w:r>
          </w:p>
        </w:tc>
        <w:tc>
          <w:tcPr>
            <w:tcW w:w="2179" w:type="dxa"/>
            <w:tcBorders>
              <w:top w:val="nil"/>
              <w:bottom w:val="single" w:sz="4" w:space="0" w:color="2F5496"/>
            </w:tcBorders>
            <w:shd w:val="clear" w:color="FFFFFF" w:fill="FFFFFF"/>
            <w:noWrap/>
            <w:vAlign w:val="center"/>
            <w:hideMark/>
          </w:tcPr>
          <w:p w14:paraId="3F06F695" w14:textId="77777777" w:rsidR="00650B7E" w:rsidRDefault="00650B7E" w:rsidP="00557222">
            <w:pPr>
              <w:ind w:right="624"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6</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573</w:t>
            </w:r>
          </w:p>
        </w:tc>
        <w:tc>
          <w:tcPr>
            <w:tcW w:w="2271" w:type="dxa"/>
            <w:tcBorders>
              <w:top w:val="nil"/>
              <w:bottom w:val="single" w:sz="4" w:space="0" w:color="2F5496"/>
            </w:tcBorders>
            <w:shd w:val="clear" w:color="FFFFFF" w:fill="FFFFFF"/>
            <w:noWrap/>
            <w:vAlign w:val="center"/>
            <w:hideMark/>
          </w:tcPr>
          <w:p w14:paraId="092E7FAF" w14:textId="77777777" w:rsidR="00650B7E" w:rsidRDefault="00650B7E" w:rsidP="00557222">
            <w:pPr>
              <w:ind w:right="680"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6</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473</w:t>
            </w:r>
          </w:p>
        </w:tc>
        <w:tc>
          <w:tcPr>
            <w:tcW w:w="2179" w:type="dxa"/>
            <w:tcBorders>
              <w:top w:val="nil"/>
              <w:left w:val="nil"/>
              <w:bottom w:val="single" w:sz="4" w:space="0" w:color="2F5496"/>
            </w:tcBorders>
            <w:shd w:val="clear" w:color="FFFFFF" w:fill="FFFFFF"/>
            <w:noWrap/>
            <w:vAlign w:val="center"/>
            <w:hideMark/>
          </w:tcPr>
          <w:p w14:paraId="57E50FF9" w14:textId="77777777" w:rsidR="00650B7E" w:rsidRDefault="00650B7E" w:rsidP="00557222">
            <w:pPr>
              <w:ind w:right="851" w:firstLineChars="200" w:firstLine="360"/>
              <w:jc w:val="right"/>
              <w:rPr>
                <w:rFonts w:ascii="Verdana" w:eastAsia="Times New Roman" w:hAnsi="Verdana" w:cs="Calibri"/>
                <w:color w:val="2F5496"/>
                <w:sz w:val="18"/>
                <w:szCs w:val="18"/>
              </w:rPr>
            </w:pPr>
            <w:r>
              <w:rPr>
                <w:rFonts w:ascii="Verdana" w:eastAsia="Times New Roman" w:hAnsi="Verdana" w:cs="Calibri"/>
                <w:color w:val="2F5496"/>
                <w:sz w:val="18"/>
                <w:szCs w:val="18"/>
              </w:rPr>
              <w:t>100</w:t>
            </w:r>
          </w:p>
        </w:tc>
      </w:tr>
    </w:tbl>
    <w:p w14:paraId="41F45631" w14:textId="77777777" w:rsidR="00A2147F" w:rsidRPr="004279B4" w:rsidRDefault="00A2147F" w:rsidP="00292057">
      <w:pPr>
        <w:jc w:val="both"/>
        <w:rPr>
          <w:rFonts w:ascii="Verdana" w:hAnsi="Verdana" w:cs="Calibri"/>
          <w:sz w:val="18"/>
          <w:szCs w:val="18"/>
          <w:lang w:val="el-GR"/>
        </w:rPr>
      </w:pPr>
      <w:r w:rsidRPr="004279B4">
        <w:rPr>
          <w:rFonts w:ascii="Verdana" w:hAnsi="Verdana"/>
          <w:sz w:val="18"/>
          <w:szCs w:val="18"/>
          <w:lang w:val="el-GR"/>
        </w:rPr>
        <w:lastRenderedPageBreak/>
        <w:t>Η μέση ηλικία των κατόχων</w:t>
      </w:r>
      <w:r w:rsidR="00C44874" w:rsidRPr="004279B4">
        <w:rPr>
          <w:rFonts w:ascii="Verdana" w:hAnsi="Verdana"/>
          <w:sz w:val="18"/>
          <w:szCs w:val="18"/>
          <w:lang w:val="el-GR"/>
        </w:rPr>
        <w:t xml:space="preserve"> ή διαχειριστών των </w:t>
      </w:r>
      <w:r w:rsidRPr="004279B4">
        <w:rPr>
          <w:rFonts w:ascii="Verdana" w:hAnsi="Verdana"/>
          <w:sz w:val="18"/>
          <w:szCs w:val="18"/>
          <w:lang w:val="el-GR"/>
        </w:rPr>
        <w:t xml:space="preserve">εκμεταλλεύσεων </w:t>
      </w:r>
      <w:r w:rsidR="00C80B93">
        <w:rPr>
          <w:rFonts w:ascii="Verdana" w:hAnsi="Verdana"/>
          <w:sz w:val="18"/>
          <w:szCs w:val="18"/>
          <w:lang w:val="el-GR"/>
        </w:rPr>
        <w:t>είναι τ</w:t>
      </w:r>
      <w:r w:rsidR="007752ED">
        <w:rPr>
          <w:rFonts w:ascii="Verdana" w:hAnsi="Verdana"/>
          <w:sz w:val="18"/>
          <w:szCs w:val="18"/>
          <w:lang w:val="el-GR"/>
        </w:rPr>
        <w:t>α</w:t>
      </w:r>
      <w:r w:rsidR="00C44874" w:rsidRPr="004279B4">
        <w:rPr>
          <w:rFonts w:ascii="Verdana" w:hAnsi="Verdana"/>
          <w:sz w:val="18"/>
          <w:szCs w:val="18"/>
          <w:lang w:val="el-GR"/>
        </w:rPr>
        <w:t xml:space="preserve"> 63</w:t>
      </w:r>
      <w:r w:rsidRPr="004279B4">
        <w:rPr>
          <w:rFonts w:ascii="Verdana" w:hAnsi="Verdana"/>
          <w:sz w:val="18"/>
          <w:szCs w:val="18"/>
          <w:lang w:val="el-GR"/>
        </w:rPr>
        <w:t xml:space="preserve"> </w:t>
      </w:r>
      <w:r w:rsidR="00415180" w:rsidRPr="004279B4">
        <w:rPr>
          <w:rFonts w:ascii="Verdana" w:hAnsi="Verdana"/>
          <w:sz w:val="18"/>
          <w:szCs w:val="18"/>
          <w:lang w:val="el-GR"/>
        </w:rPr>
        <w:t>έτ</w:t>
      </w:r>
      <w:r w:rsidR="007752ED">
        <w:rPr>
          <w:rFonts w:ascii="Verdana" w:hAnsi="Verdana"/>
          <w:sz w:val="18"/>
          <w:szCs w:val="18"/>
          <w:lang w:val="el-GR"/>
        </w:rPr>
        <w:t>η</w:t>
      </w:r>
      <w:r w:rsidR="00D9739E" w:rsidRPr="004279B4">
        <w:rPr>
          <w:rFonts w:ascii="Verdana" w:hAnsi="Verdana"/>
          <w:sz w:val="18"/>
          <w:szCs w:val="18"/>
          <w:lang w:val="el-GR"/>
        </w:rPr>
        <w:t xml:space="preserve">. </w:t>
      </w:r>
      <w:r w:rsidR="00C80B93">
        <w:rPr>
          <w:rFonts w:ascii="Verdana" w:hAnsi="Verdana"/>
          <w:sz w:val="18"/>
          <w:szCs w:val="18"/>
          <w:lang w:val="el-GR"/>
        </w:rPr>
        <w:t xml:space="preserve">Με βάση την </w:t>
      </w:r>
      <w:r w:rsidR="00D9739E" w:rsidRPr="004279B4">
        <w:rPr>
          <w:rFonts w:ascii="Verdana" w:hAnsi="Verdana"/>
          <w:sz w:val="18"/>
          <w:szCs w:val="18"/>
          <w:lang w:val="el-GR"/>
        </w:rPr>
        <w:t xml:space="preserve">ηλικιακή κατανομή </w:t>
      </w:r>
      <w:r w:rsidR="00C80B93">
        <w:rPr>
          <w:rFonts w:ascii="Verdana" w:hAnsi="Verdana"/>
          <w:sz w:val="18"/>
          <w:szCs w:val="18"/>
          <w:lang w:val="el-GR"/>
        </w:rPr>
        <w:t>τους,</w:t>
      </w:r>
      <w:r w:rsidR="00D9739E" w:rsidRPr="004279B4">
        <w:rPr>
          <w:rFonts w:ascii="Verdana" w:hAnsi="Verdana"/>
          <w:sz w:val="18"/>
          <w:szCs w:val="18"/>
          <w:lang w:val="el-GR"/>
        </w:rPr>
        <w:t xml:space="preserve"> το </w:t>
      </w:r>
      <w:r w:rsidR="00415180" w:rsidRPr="004279B4">
        <w:rPr>
          <w:rFonts w:ascii="Verdana" w:hAnsi="Verdana"/>
          <w:sz w:val="18"/>
          <w:szCs w:val="18"/>
          <w:lang w:val="el-GR"/>
        </w:rPr>
        <w:t>2</w:t>
      </w:r>
      <w:r w:rsidRPr="004279B4">
        <w:rPr>
          <w:rFonts w:ascii="Verdana" w:hAnsi="Verdana"/>
          <w:sz w:val="18"/>
          <w:szCs w:val="18"/>
          <w:lang w:val="el-GR"/>
        </w:rPr>
        <w:t>,</w:t>
      </w:r>
      <w:r w:rsidR="00415180" w:rsidRPr="004279B4">
        <w:rPr>
          <w:rFonts w:ascii="Verdana" w:hAnsi="Verdana"/>
          <w:sz w:val="18"/>
          <w:szCs w:val="18"/>
          <w:lang w:val="el-GR"/>
        </w:rPr>
        <w:t>4</w:t>
      </w:r>
      <w:r w:rsidRPr="004279B4">
        <w:rPr>
          <w:rFonts w:ascii="Verdana" w:hAnsi="Verdana"/>
          <w:sz w:val="18"/>
          <w:szCs w:val="18"/>
          <w:lang w:val="el-GR"/>
        </w:rPr>
        <w:t xml:space="preserve">% </w:t>
      </w:r>
      <w:r w:rsidR="00452A0A">
        <w:rPr>
          <w:rFonts w:ascii="Verdana" w:hAnsi="Verdana"/>
          <w:sz w:val="18"/>
          <w:szCs w:val="18"/>
          <w:lang w:val="el-GR"/>
        </w:rPr>
        <w:t xml:space="preserve">των εκμεταλλεύσεων τύγχανε κατοχής ή διαχείρισης από άτομα </w:t>
      </w:r>
      <w:r w:rsidR="00C80B93">
        <w:rPr>
          <w:rFonts w:ascii="Verdana" w:hAnsi="Verdana"/>
          <w:sz w:val="18"/>
          <w:szCs w:val="18"/>
          <w:lang w:val="el-GR"/>
        </w:rPr>
        <w:t xml:space="preserve">κάτω </w:t>
      </w:r>
      <w:r w:rsidRPr="004279B4">
        <w:rPr>
          <w:rFonts w:ascii="Verdana" w:hAnsi="Verdana"/>
          <w:sz w:val="18"/>
          <w:szCs w:val="18"/>
          <w:lang w:val="el-GR"/>
        </w:rPr>
        <w:t xml:space="preserve">των 35 </w:t>
      </w:r>
      <w:r w:rsidR="00415180" w:rsidRPr="004279B4">
        <w:rPr>
          <w:rFonts w:ascii="Verdana" w:hAnsi="Verdana"/>
          <w:sz w:val="18"/>
          <w:szCs w:val="18"/>
          <w:lang w:val="el-GR"/>
        </w:rPr>
        <w:t>ετών</w:t>
      </w:r>
      <w:r w:rsidRPr="004279B4">
        <w:rPr>
          <w:rFonts w:ascii="Verdana" w:hAnsi="Verdana"/>
          <w:sz w:val="18"/>
          <w:szCs w:val="18"/>
          <w:lang w:val="el-GR"/>
        </w:rPr>
        <w:t xml:space="preserve">, </w:t>
      </w:r>
      <w:r w:rsidR="00415180" w:rsidRPr="004279B4">
        <w:rPr>
          <w:rFonts w:ascii="Verdana" w:hAnsi="Verdana"/>
          <w:sz w:val="18"/>
          <w:szCs w:val="18"/>
          <w:lang w:val="el-GR"/>
        </w:rPr>
        <w:t>το 20,6</w:t>
      </w:r>
      <w:r w:rsidRPr="004279B4">
        <w:rPr>
          <w:rFonts w:ascii="Verdana" w:hAnsi="Verdana"/>
          <w:sz w:val="18"/>
          <w:szCs w:val="18"/>
          <w:lang w:val="el-GR"/>
        </w:rPr>
        <w:t xml:space="preserve">% </w:t>
      </w:r>
      <w:r w:rsidR="00452A0A">
        <w:rPr>
          <w:rFonts w:ascii="Verdana" w:hAnsi="Verdana"/>
          <w:sz w:val="18"/>
          <w:szCs w:val="18"/>
          <w:lang w:val="el-GR"/>
        </w:rPr>
        <w:t xml:space="preserve">από άτομα </w:t>
      </w:r>
      <w:r w:rsidRPr="004279B4">
        <w:rPr>
          <w:rFonts w:ascii="Verdana" w:hAnsi="Verdana"/>
          <w:sz w:val="18"/>
          <w:szCs w:val="18"/>
          <w:lang w:val="el-GR"/>
        </w:rPr>
        <w:t>μεταξύ 35</w:t>
      </w:r>
      <w:r w:rsidR="00415180" w:rsidRPr="004279B4">
        <w:rPr>
          <w:rFonts w:ascii="Verdana" w:hAnsi="Verdana"/>
          <w:sz w:val="18"/>
          <w:szCs w:val="18"/>
          <w:lang w:val="el-GR"/>
        </w:rPr>
        <w:t xml:space="preserve"> και </w:t>
      </w:r>
      <w:r w:rsidRPr="004279B4">
        <w:rPr>
          <w:rFonts w:ascii="Verdana" w:hAnsi="Verdana"/>
          <w:sz w:val="18"/>
          <w:szCs w:val="18"/>
          <w:lang w:val="el-GR"/>
        </w:rPr>
        <w:t>54 ετών</w:t>
      </w:r>
      <w:r w:rsidR="00415180" w:rsidRPr="004279B4">
        <w:rPr>
          <w:rFonts w:ascii="Verdana" w:hAnsi="Verdana"/>
          <w:sz w:val="18"/>
          <w:szCs w:val="18"/>
          <w:lang w:val="el-GR"/>
        </w:rPr>
        <w:t>, το 59,6</w:t>
      </w:r>
      <w:r w:rsidRPr="004279B4">
        <w:rPr>
          <w:rFonts w:ascii="Verdana" w:hAnsi="Verdana"/>
          <w:sz w:val="18"/>
          <w:szCs w:val="18"/>
          <w:lang w:val="el-GR"/>
        </w:rPr>
        <w:t xml:space="preserve">% </w:t>
      </w:r>
      <w:r w:rsidR="00452A0A">
        <w:rPr>
          <w:rFonts w:ascii="Verdana" w:hAnsi="Verdana"/>
          <w:sz w:val="18"/>
          <w:szCs w:val="18"/>
          <w:lang w:val="el-GR"/>
        </w:rPr>
        <w:t xml:space="preserve">από άτομα </w:t>
      </w:r>
      <w:r w:rsidR="00415180" w:rsidRPr="004279B4">
        <w:rPr>
          <w:rFonts w:ascii="Verdana" w:hAnsi="Verdana" w:cs="Calibri"/>
          <w:sz w:val="18"/>
          <w:szCs w:val="18"/>
          <w:lang w:val="el-GR"/>
        </w:rPr>
        <w:t xml:space="preserve">μεταξύ 55 και 74 ετών και </w:t>
      </w:r>
      <w:r w:rsidR="00C80B93">
        <w:rPr>
          <w:rFonts w:ascii="Verdana" w:hAnsi="Verdana" w:cs="Calibri"/>
          <w:sz w:val="18"/>
          <w:szCs w:val="18"/>
          <w:lang w:val="el-GR"/>
        </w:rPr>
        <w:t xml:space="preserve">το </w:t>
      </w:r>
      <w:r w:rsidR="00415180" w:rsidRPr="004279B4">
        <w:rPr>
          <w:rFonts w:ascii="Verdana" w:hAnsi="Verdana" w:cs="Calibri"/>
          <w:sz w:val="18"/>
          <w:szCs w:val="18"/>
          <w:lang w:val="el-GR"/>
        </w:rPr>
        <w:t xml:space="preserve">17,4% </w:t>
      </w:r>
      <w:r w:rsidR="00452A0A">
        <w:rPr>
          <w:rFonts w:ascii="Verdana" w:hAnsi="Verdana" w:cs="Calibri"/>
          <w:sz w:val="18"/>
          <w:szCs w:val="18"/>
          <w:lang w:val="el-GR"/>
        </w:rPr>
        <w:t xml:space="preserve">από άτομα </w:t>
      </w:r>
      <w:r w:rsidR="00415180" w:rsidRPr="004279B4">
        <w:rPr>
          <w:rFonts w:ascii="Verdana" w:hAnsi="Verdana" w:cs="Calibri"/>
          <w:sz w:val="18"/>
          <w:szCs w:val="18"/>
          <w:lang w:val="el-GR"/>
        </w:rPr>
        <w:t>7</w:t>
      </w:r>
      <w:r w:rsidRPr="004279B4">
        <w:rPr>
          <w:rFonts w:ascii="Verdana" w:hAnsi="Verdana" w:cs="Calibri"/>
          <w:sz w:val="18"/>
          <w:szCs w:val="18"/>
          <w:lang w:val="el-GR"/>
        </w:rPr>
        <w:t>5 ετών</w:t>
      </w:r>
      <w:r w:rsidR="00452A0A">
        <w:rPr>
          <w:rFonts w:ascii="Verdana" w:hAnsi="Verdana" w:cs="Calibri"/>
          <w:sz w:val="18"/>
          <w:szCs w:val="18"/>
          <w:lang w:val="el-GR"/>
        </w:rPr>
        <w:t xml:space="preserve"> και άνω</w:t>
      </w:r>
      <w:r w:rsidRPr="004279B4">
        <w:rPr>
          <w:rFonts w:ascii="Verdana" w:hAnsi="Verdana" w:cs="Calibri"/>
          <w:sz w:val="18"/>
          <w:szCs w:val="18"/>
          <w:lang w:val="el-GR"/>
        </w:rPr>
        <w:t>.</w:t>
      </w:r>
    </w:p>
    <w:p w14:paraId="559B63A6" w14:textId="77777777" w:rsidR="00650B7E" w:rsidRDefault="00650B7E" w:rsidP="00650B7E">
      <w:pPr>
        <w:jc w:val="both"/>
        <w:rPr>
          <w:rFonts w:ascii="Verdana" w:hAnsi="Verdana" w:cs="Calibri"/>
          <w:b/>
          <w:bCs/>
          <w:sz w:val="18"/>
          <w:szCs w:val="18"/>
          <w:u w:val="single"/>
          <w:lang w:val="el-GR"/>
        </w:rPr>
      </w:pPr>
    </w:p>
    <w:p w14:paraId="454ACCF1" w14:textId="77777777" w:rsidR="00C3542B" w:rsidRDefault="00C3542B" w:rsidP="00650B7E">
      <w:pPr>
        <w:jc w:val="both"/>
        <w:rPr>
          <w:rFonts w:ascii="Verdana" w:hAnsi="Verdana" w:cs="Calibri"/>
          <w:b/>
          <w:bCs/>
          <w:sz w:val="18"/>
          <w:szCs w:val="18"/>
          <w:u w:val="single"/>
          <w:lang w:val="el-GR"/>
        </w:rPr>
      </w:pPr>
      <w:r w:rsidRPr="00650B7E">
        <w:rPr>
          <w:rFonts w:ascii="Verdana" w:hAnsi="Verdana" w:cs="Calibri"/>
          <w:b/>
          <w:bCs/>
          <w:sz w:val="18"/>
          <w:szCs w:val="18"/>
          <w:u w:val="single"/>
          <w:lang w:val="el-GR"/>
        </w:rPr>
        <w:t xml:space="preserve">Διακατοχή και </w:t>
      </w:r>
      <w:r w:rsidR="004B3549">
        <w:rPr>
          <w:rFonts w:ascii="Verdana" w:hAnsi="Verdana" w:cs="Calibri"/>
          <w:b/>
          <w:bCs/>
          <w:sz w:val="18"/>
          <w:szCs w:val="18"/>
          <w:u w:val="single"/>
          <w:lang w:val="el-GR"/>
        </w:rPr>
        <w:t>Χ</w:t>
      </w:r>
      <w:r w:rsidRPr="00650B7E">
        <w:rPr>
          <w:rFonts w:ascii="Verdana" w:hAnsi="Verdana" w:cs="Calibri"/>
          <w:b/>
          <w:bCs/>
          <w:sz w:val="18"/>
          <w:szCs w:val="18"/>
          <w:u w:val="single"/>
          <w:lang w:val="el-GR"/>
        </w:rPr>
        <w:t xml:space="preserve">ρήση </w:t>
      </w:r>
      <w:r w:rsidR="004B3549">
        <w:rPr>
          <w:rFonts w:ascii="Verdana" w:hAnsi="Verdana" w:cs="Calibri"/>
          <w:b/>
          <w:bCs/>
          <w:sz w:val="18"/>
          <w:szCs w:val="18"/>
          <w:u w:val="single"/>
          <w:lang w:val="el-GR"/>
        </w:rPr>
        <w:t>Γ</w:t>
      </w:r>
      <w:r w:rsidRPr="00650B7E">
        <w:rPr>
          <w:rFonts w:ascii="Verdana" w:hAnsi="Verdana" w:cs="Calibri"/>
          <w:b/>
          <w:bCs/>
          <w:sz w:val="18"/>
          <w:szCs w:val="18"/>
          <w:u w:val="single"/>
          <w:lang w:val="el-GR"/>
        </w:rPr>
        <w:t>ης</w:t>
      </w:r>
    </w:p>
    <w:p w14:paraId="61A51A22" w14:textId="77777777" w:rsidR="00F93CA8" w:rsidRPr="00650B7E" w:rsidRDefault="00F93CA8" w:rsidP="00650B7E">
      <w:pPr>
        <w:jc w:val="both"/>
        <w:rPr>
          <w:rFonts w:ascii="Verdana" w:hAnsi="Verdana" w:cs="Calibri"/>
          <w:b/>
          <w:bCs/>
          <w:sz w:val="18"/>
          <w:szCs w:val="18"/>
          <w:u w:val="single"/>
          <w:lang w:val="el-GR"/>
        </w:rPr>
      </w:pPr>
    </w:p>
    <w:p w14:paraId="15E8695D" w14:textId="77777777" w:rsidR="00C3542B" w:rsidRPr="00650B7E" w:rsidRDefault="00DC2D8A" w:rsidP="00650B7E">
      <w:pPr>
        <w:jc w:val="both"/>
        <w:rPr>
          <w:rFonts w:ascii="Verdana" w:hAnsi="Verdana" w:cs="Calibri"/>
          <w:sz w:val="18"/>
          <w:szCs w:val="18"/>
          <w:lang w:val="el-GR"/>
        </w:rPr>
      </w:pPr>
      <w:r>
        <w:rPr>
          <w:rFonts w:ascii="Verdana" w:hAnsi="Verdana" w:cs="Calibri"/>
          <w:sz w:val="18"/>
          <w:szCs w:val="18"/>
          <w:lang w:val="el-GR"/>
        </w:rPr>
        <w:t>Από τη συνολική χρησιμοποιούμενη γεωργική έκταση</w:t>
      </w:r>
      <w:r w:rsidR="0037652F">
        <w:rPr>
          <w:rFonts w:ascii="Verdana" w:hAnsi="Verdana" w:cs="Calibri"/>
          <w:sz w:val="18"/>
          <w:szCs w:val="18"/>
          <w:lang w:val="el-GR"/>
        </w:rPr>
        <w:t>,</w:t>
      </w:r>
      <w:r>
        <w:rPr>
          <w:rFonts w:ascii="Verdana" w:hAnsi="Verdana" w:cs="Calibri"/>
          <w:sz w:val="18"/>
          <w:szCs w:val="18"/>
          <w:lang w:val="el-GR"/>
        </w:rPr>
        <w:t xml:space="preserve"> το 57,4%</w:t>
      </w:r>
      <w:r w:rsidRPr="00DC2D8A">
        <w:rPr>
          <w:rFonts w:ascii="Verdana" w:hAnsi="Verdana" w:cs="Calibri"/>
          <w:sz w:val="18"/>
          <w:szCs w:val="18"/>
          <w:lang w:val="el-GR"/>
        </w:rPr>
        <w:t xml:space="preserve"> </w:t>
      </w:r>
      <w:r w:rsidRPr="00650B7E">
        <w:rPr>
          <w:rFonts w:ascii="Verdana" w:hAnsi="Verdana" w:cs="Calibri"/>
          <w:sz w:val="18"/>
          <w:szCs w:val="18"/>
          <w:lang w:val="el-GR"/>
        </w:rPr>
        <w:t>λειτουργ</w:t>
      </w:r>
      <w:r>
        <w:rPr>
          <w:rFonts w:ascii="Verdana" w:hAnsi="Verdana" w:cs="Calibri"/>
          <w:sz w:val="18"/>
          <w:szCs w:val="18"/>
          <w:lang w:val="el-GR"/>
        </w:rPr>
        <w:t xml:space="preserve">εί </w:t>
      </w:r>
      <w:r w:rsidRPr="00650B7E">
        <w:rPr>
          <w:rFonts w:ascii="Verdana" w:hAnsi="Verdana" w:cs="Calibri"/>
          <w:sz w:val="18"/>
          <w:szCs w:val="18"/>
          <w:lang w:val="el-GR"/>
        </w:rPr>
        <w:t>σε βάση ενοικίου</w:t>
      </w:r>
      <w:r>
        <w:rPr>
          <w:rFonts w:ascii="Verdana" w:hAnsi="Verdana" w:cs="Calibri"/>
          <w:sz w:val="18"/>
          <w:szCs w:val="18"/>
          <w:lang w:val="el-GR"/>
        </w:rPr>
        <w:t xml:space="preserve"> (</w:t>
      </w:r>
      <w:r w:rsidRPr="00650B7E">
        <w:rPr>
          <w:rFonts w:ascii="Verdana" w:hAnsi="Verdana" w:cs="Calibri"/>
          <w:sz w:val="18"/>
          <w:szCs w:val="18"/>
          <w:lang w:val="el-GR"/>
        </w:rPr>
        <w:t>769.973 δεκάρια</w:t>
      </w:r>
      <w:r>
        <w:rPr>
          <w:rFonts w:ascii="Verdana" w:hAnsi="Verdana" w:cs="Calibri"/>
          <w:sz w:val="18"/>
          <w:szCs w:val="18"/>
          <w:lang w:val="el-GR"/>
        </w:rPr>
        <w:t xml:space="preserve">), το 41,6% είναι </w:t>
      </w:r>
      <w:r w:rsidR="00C3542B" w:rsidRPr="00650B7E">
        <w:rPr>
          <w:rFonts w:ascii="Verdana" w:hAnsi="Verdana" w:cs="Calibri"/>
          <w:sz w:val="18"/>
          <w:szCs w:val="18"/>
          <w:lang w:val="el-GR"/>
        </w:rPr>
        <w:t xml:space="preserve">ιδιόκτητη </w:t>
      </w:r>
      <w:r>
        <w:rPr>
          <w:rFonts w:ascii="Verdana" w:hAnsi="Verdana" w:cs="Calibri"/>
          <w:sz w:val="18"/>
          <w:szCs w:val="18"/>
          <w:lang w:val="el-GR"/>
        </w:rPr>
        <w:t>(</w:t>
      </w:r>
      <w:r w:rsidR="003D3AF1" w:rsidRPr="00650B7E">
        <w:rPr>
          <w:rFonts w:ascii="Verdana" w:hAnsi="Verdana" w:cs="Calibri"/>
          <w:sz w:val="18"/>
          <w:szCs w:val="18"/>
          <w:lang w:val="el-GR"/>
        </w:rPr>
        <w:t>557.460</w:t>
      </w:r>
      <w:r w:rsidR="00C3542B" w:rsidRPr="00650B7E">
        <w:rPr>
          <w:rFonts w:ascii="Verdana" w:hAnsi="Verdana" w:cs="Calibri"/>
          <w:sz w:val="18"/>
          <w:szCs w:val="18"/>
          <w:lang w:val="el-GR"/>
        </w:rPr>
        <w:t xml:space="preserve"> δεκάρια</w:t>
      </w:r>
      <w:r>
        <w:rPr>
          <w:rFonts w:ascii="Verdana" w:hAnsi="Verdana" w:cs="Calibri"/>
          <w:sz w:val="18"/>
          <w:szCs w:val="18"/>
          <w:lang w:val="el-GR"/>
        </w:rPr>
        <w:t xml:space="preserve">), </w:t>
      </w:r>
      <w:r w:rsidRPr="00650B7E">
        <w:rPr>
          <w:rFonts w:ascii="Verdana" w:hAnsi="Verdana" w:cs="Calibri"/>
          <w:sz w:val="18"/>
          <w:szCs w:val="18"/>
          <w:lang w:val="el-GR"/>
        </w:rPr>
        <w:t>το 0,7% κοινόχρηστη ή άλλης μορφής</w:t>
      </w:r>
      <w:r>
        <w:rPr>
          <w:rFonts w:ascii="Verdana" w:hAnsi="Verdana" w:cs="Calibri"/>
          <w:sz w:val="18"/>
          <w:szCs w:val="18"/>
          <w:lang w:val="el-GR"/>
        </w:rPr>
        <w:t xml:space="preserve"> (10.006 δεκάρια) και τ</w:t>
      </w:r>
      <w:r w:rsidR="003D3AF1" w:rsidRPr="00650B7E">
        <w:rPr>
          <w:rFonts w:ascii="Verdana" w:hAnsi="Verdana" w:cs="Calibri"/>
          <w:sz w:val="18"/>
          <w:szCs w:val="18"/>
          <w:lang w:val="el-GR"/>
        </w:rPr>
        <w:t xml:space="preserve">ο 0,3% μεσιακή </w:t>
      </w:r>
      <w:r>
        <w:rPr>
          <w:rFonts w:ascii="Verdana" w:hAnsi="Verdana" w:cs="Calibri"/>
          <w:sz w:val="18"/>
          <w:szCs w:val="18"/>
          <w:lang w:val="el-GR"/>
        </w:rPr>
        <w:t>(</w:t>
      </w:r>
      <w:r w:rsidRPr="00650B7E">
        <w:rPr>
          <w:rFonts w:ascii="Verdana" w:hAnsi="Verdana" w:cs="Calibri"/>
          <w:sz w:val="18"/>
          <w:szCs w:val="18"/>
          <w:lang w:val="el-GR"/>
        </w:rPr>
        <w:t>3.921 δεκάρια</w:t>
      </w:r>
      <w:r>
        <w:rPr>
          <w:rFonts w:ascii="Verdana" w:hAnsi="Verdana" w:cs="Calibri"/>
          <w:sz w:val="18"/>
          <w:szCs w:val="18"/>
          <w:lang w:val="el-GR"/>
        </w:rPr>
        <w:t>).</w:t>
      </w:r>
      <w:r w:rsidR="003D3AF1" w:rsidRPr="00650B7E">
        <w:rPr>
          <w:rFonts w:ascii="Verdana" w:hAnsi="Verdana" w:cs="Calibri"/>
          <w:sz w:val="18"/>
          <w:szCs w:val="18"/>
          <w:lang w:val="el-GR"/>
        </w:rPr>
        <w:t xml:space="preserve"> </w:t>
      </w:r>
    </w:p>
    <w:p w14:paraId="101ED48D" w14:textId="77777777" w:rsidR="003D3AF1" w:rsidRDefault="003D3AF1" w:rsidP="00C3542B">
      <w:pPr>
        <w:tabs>
          <w:tab w:val="left" w:pos="1080"/>
          <w:tab w:val="left" w:pos="6840"/>
        </w:tabs>
        <w:jc w:val="both"/>
        <w:rPr>
          <w:rFonts w:eastAsia="Malgun Gothic" w:cs="Calibri"/>
          <w:lang w:val="el-GR"/>
        </w:rPr>
      </w:pPr>
    </w:p>
    <w:p w14:paraId="09CCEECE" w14:textId="5BE286C0" w:rsidR="003D3AF1" w:rsidRPr="004279B4" w:rsidRDefault="007C741C" w:rsidP="003D3AF1">
      <w:pPr>
        <w:tabs>
          <w:tab w:val="left" w:pos="1080"/>
          <w:tab w:val="left" w:pos="6840"/>
        </w:tabs>
        <w:jc w:val="center"/>
        <w:rPr>
          <w:rFonts w:ascii="Verdana" w:eastAsia="Malgun Gothic" w:hAnsi="Verdana" w:cs="Calibri"/>
          <w:sz w:val="18"/>
          <w:szCs w:val="18"/>
          <w:lang w:val="el-GR"/>
        </w:rPr>
      </w:pPr>
      <w:r>
        <w:rPr>
          <w:rFonts w:ascii="Verdana" w:eastAsia="Malgun Gothic" w:hAnsi="Verdana" w:cs="Calibri"/>
          <w:noProof/>
          <w:sz w:val="18"/>
          <w:szCs w:val="18"/>
          <w:lang w:val="el-GR"/>
        </w:rPr>
        <w:drawing>
          <wp:inline distT="0" distB="0" distL="0" distR="0" wp14:anchorId="01E96878" wp14:editId="295924B9">
            <wp:extent cx="5998845" cy="342011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845" cy="3420110"/>
                    </a:xfrm>
                    <a:prstGeom prst="rect">
                      <a:avLst/>
                    </a:prstGeom>
                    <a:noFill/>
                  </pic:spPr>
                </pic:pic>
              </a:graphicData>
            </a:graphic>
          </wp:inline>
        </w:drawing>
      </w:r>
    </w:p>
    <w:p w14:paraId="15F2168D" w14:textId="77777777" w:rsidR="003D3AF1" w:rsidRDefault="003D3AF1" w:rsidP="00441A39">
      <w:pPr>
        <w:tabs>
          <w:tab w:val="left" w:pos="1080"/>
          <w:tab w:val="left" w:pos="6840"/>
        </w:tabs>
        <w:jc w:val="both"/>
        <w:rPr>
          <w:rFonts w:cs="Calibri"/>
          <w:lang w:val="el-GR"/>
        </w:rPr>
      </w:pPr>
    </w:p>
    <w:p w14:paraId="0357DE2B" w14:textId="77777777" w:rsidR="00650B7E" w:rsidRDefault="003E59A5" w:rsidP="00650B7E">
      <w:pPr>
        <w:jc w:val="both"/>
        <w:rPr>
          <w:rFonts w:ascii="Verdana" w:hAnsi="Verdana" w:cs="Calibri"/>
          <w:sz w:val="18"/>
          <w:szCs w:val="18"/>
          <w:lang w:val="el-GR"/>
        </w:rPr>
      </w:pPr>
      <w:r>
        <w:rPr>
          <w:rFonts w:ascii="Verdana" w:hAnsi="Verdana" w:cs="Calibri"/>
          <w:sz w:val="18"/>
          <w:szCs w:val="18"/>
          <w:lang w:val="el-GR"/>
        </w:rPr>
        <w:t>Οι εκτάσεις που καλλιεργούνται με ετήσιες καλλιέργειες</w:t>
      </w:r>
      <w:r w:rsidR="006A0E6D">
        <w:rPr>
          <w:rFonts w:ascii="Verdana" w:hAnsi="Verdana" w:cs="Calibri"/>
          <w:sz w:val="18"/>
          <w:szCs w:val="18"/>
          <w:lang w:val="el-GR"/>
        </w:rPr>
        <w:t xml:space="preserve"> στο ύπαιθρο</w:t>
      </w:r>
      <w:r>
        <w:rPr>
          <w:rFonts w:ascii="Verdana" w:hAnsi="Verdana" w:cs="Calibri"/>
          <w:sz w:val="18"/>
          <w:szCs w:val="18"/>
          <w:lang w:val="el-GR"/>
        </w:rPr>
        <w:t xml:space="preserve"> καλύπτουν </w:t>
      </w:r>
      <w:r w:rsidR="00441A39" w:rsidRPr="004279B4">
        <w:rPr>
          <w:rFonts w:ascii="Verdana" w:hAnsi="Verdana" w:cs="Calibri"/>
          <w:sz w:val="18"/>
          <w:szCs w:val="18"/>
          <w:lang w:val="el-GR"/>
        </w:rPr>
        <w:t xml:space="preserve">το 75,9% </w:t>
      </w:r>
      <w:r>
        <w:rPr>
          <w:rFonts w:ascii="Verdana" w:hAnsi="Verdana" w:cs="Calibri"/>
          <w:sz w:val="18"/>
          <w:szCs w:val="18"/>
          <w:lang w:val="el-GR"/>
        </w:rPr>
        <w:t>της συνολικής χρησιμοποιούμενης γεωργικής έκτασης</w:t>
      </w:r>
      <w:r w:rsidR="00441A39" w:rsidRPr="004279B4">
        <w:rPr>
          <w:rFonts w:ascii="Verdana" w:hAnsi="Verdana" w:cs="Calibri"/>
          <w:sz w:val="18"/>
          <w:szCs w:val="18"/>
          <w:lang w:val="el-GR"/>
        </w:rPr>
        <w:t xml:space="preserve">, </w:t>
      </w:r>
      <w:r>
        <w:rPr>
          <w:rFonts w:ascii="Verdana" w:hAnsi="Verdana" w:cs="Calibri"/>
          <w:sz w:val="18"/>
          <w:szCs w:val="18"/>
          <w:lang w:val="el-GR"/>
        </w:rPr>
        <w:t xml:space="preserve">το </w:t>
      </w:r>
      <w:r w:rsidR="00441A39" w:rsidRPr="004279B4">
        <w:rPr>
          <w:rFonts w:ascii="Verdana" w:hAnsi="Verdana" w:cs="Calibri"/>
          <w:sz w:val="18"/>
          <w:szCs w:val="18"/>
          <w:lang w:val="el-GR"/>
        </w:rPr>
        <w:t>22</w:t>
      </w:r>
      <w:r>
        <w:rPr>
          <w:rFonts w:ascii="Verdana" w:hAnsi="Verdana" w:cs="Calibri"/>
          <w:sz w:val="18"/>
          <w:szCs w:val="18"/>
          <w:lang w:val="el-GR"/>
        </w:rPr>
        <w:t>,0</w:t>
      </w:r>
      <w:r w:rsidR="00441A39" w:rsidRPr="004279B4">
        <w:rPr>
          <w:rFonts w:ascii="Verdana" w:hAnsi="Verdana" w:cs="Calibri"/>
          <w:sz w:val="18"/>
          <w:szCs w:val="18"/>
          <w:lang w:val="el-GR"/>
        </w:rPr>
        <w:t xml:space="preserve">% </w:t>
      </w:r>
      <w:r>
        <w:rPr>
          <w:rFonts w:ascii="Verdana" w:hAnsi="Verdana" w:cs="Calibri"/>
          <w:sz w:val="18"/>
          <w:szCs w:val="18"/>
          <w:lang w:val="el-GR"/>
        </w:rPr>
        <w:t xml:space="preserve">καλύπτεται από </w:t>
      </w:r>
      <w:r w:rsidR="00441A39" w:rsidRPr="004279B4">
        <w:rPr>
          <w:rFonts w:ascii="Verdana" w:hAnsi="Verdana" w:cs="Calibri"/>
          <w:sz w:val="18"/>
          <w:szCs w:val="18"/>
          <w:lang w:val="el-GR"/>
        </w:rPr>
        <w:t>πολυετ</w:t>
      </w:r>
      <w:r w:rsidR="007752ED">
        <w:rPr>
          <w:rFonts w:ascii="Verdana" w:hAnsi="Verdana" w:cs="Calibri"/>
          <w:sz w:val="18"/>
          <w:szCs w:val="18"/>
          <w:lang w:val="el-GR"/>
        </w:rPr>
        <w:t>εί</w:t>
      </w:r>
      <w:r w:rsidR="00441A39" w:rsidRPr="004279B4">
        <w:rPr>
          <w:rFonts w:ascii="Verdana" w:hAnsi="Verdana" w:cs="Calibri"/>
          <w:sz w:val="18"/>
          <w:szCs w:val="18"/>
          <w:lang w:val="el-GR"/>
        </w:rPr>
        <w:t xml:space="preserve">ς (μόνιμες) καλλιέργειες στο ύπαιθρο, </w:t>
      </w:r>
      <w:r w:rsidR="00E21419" w:rsidRPr="004279B4">
        <w:rPr>
          <w:rFonts w:ascii="Verdana" w:hAnsi="Verdana" w:cs="Calibri"/>
          <w:sz w:val="18"/>
          <w:szCs w:val="18"/>
          <w:lang w:val="el-GR"/>
        </w:rPr>
        <w:t xml:space="preserve">το 1,7% </w:t>
      </w:r>
      <w:r w:rsidR="0037652F">
        <w:rPr>
          <w:rFonts w:ascii="Verdana" w:hAnsi="Verdana" w:cs="Calibri"/>
          <w:sz w:val="18"/>
          <w:szCs w:val="18"/>
          <w:lang w:val="el-GR"/>
        </w:rPr>
        <w:t>από</w:t>
      </w:r>
      <w:r>
        <w:rPr>
          <w:rFonts w:ascii="Verdana" w:hAnsi="Verdana" w:cs="Calibri"/>
          <w:sz w:val="18"/>
          <w:szCs w:val="18"/>
          <w:lang w:val="el-GR"/>
        </w:rPr>
        <w:t xml:space="preserve"> </w:t>
      </w:r>
      <w:r w:rsidR="00E21419" w:rsidRPr="004279B4">
        <w:rPr>
          <w:rFonts w:ascii="Verdana" w:hAnsi="Verdana" w:cs="Calibri"/>
          <w:sz w:val="18"/>
          <w:szCs w:val="18"/>
          <w:lang w:val="el-GR"/>
        </w:rPr>
        <w:t>μόνιμ</w:t>
      </w:r>
      <w:r>
        <w:rPr>
          <w:rFonts w:ascii="Verdana" w:hAnsi="Verdana" w:cs="Calibri"/>
          <w:sz w:val="18"/>
          <w:szCs w:val="18"/>
          <w:lang w:val="el-GR"/>
        </w:rPr>
        <w:t>ους</w:t>
      </w:r>
      <w:r w:rsidR="00E21419" w:rsidRPr="004279B4">
        <w:rPr>
          <w:rFonts w:ascii="Verdana" w:hAnsi="Verdana" w:cs="Calibri"/>
          <w:sz w:val="18"/>
          <w:szCs w:val="18"/>
          <w:lang w:val="el-GR"/>
        </w:rPr>
        <w:t xml:space="preserve"> βοσκότοπο</w:t>
      </w:r>
      <w:r>
        <w:rPr>
          <w:rFonts w:ascii="Verdana" w:hAnsi="Verdana" w:cs="Calibri"/>
          <w:sz w:val="18"/>
          <w:szCs w:val="18"/>
          <w:lang w:val="el-GR"/>
        </w:rPr>
        <w:t>υς</w:t>
      </w:r>
      <w:r w:rsidR="00E21419" w:rsidRPr="004279B4">
        <w:rPr>
          <w:rFonts w:ascii="Verdana" w:hAnsi="Verdana" w:cs="Calibri"/>
          <w:sz w:val="18"/>
          <w:szCs w:val="18"/>
          <w:lang w:val="el-GR"/>
        </w:rPr>
        <w:t xml:space="preserve">, το 0,4% </w:t>
      </w:r>
      <w:r>
        <w:rPr>
          <w:rFonts w:ascii="Verdana" w:hAnsi="Verdana" w:cs="Calibri"/>
          <w:sz w:val="18"/>
          <w:szCs w:val="18"/>
          <w:lang w:val="el-GR"/>
        </w:rPr>
        <w:t xml:space="preserve">είναι </w:t>
      </w:r>
      <w:r w:rsidR="00E21419" w:rsidRPr="004279B4">
        <w:rPr>
          <w:rFonts w:ascii="Verdana" w:hAnsi="Verdana" w:cs="Calibri"/>
          <w:sz w:val="18"/>
          <w:szCs w:val="18"/>
          <w:lang w:val="el-GR"/>
        </w:rPr>
        <w:t xml:space="preserve">εκτάσεις κάτω από θερμοκήπια ή από ψηλά προσπελάσιμα στέγαστρα και το </w:t>
      </w:r>
      <w:r w:rsidR="00441A39" w:rsidRPr="004279B4">
        <w:rPr>
          <w:rFonts w:ascii="Verdana" w:hAnsi="Verdana" w:cs="Calibri"/>
          <w:sz w:val="18"/>
          <w:szCs w:val="18"/>
          <w:lang w:val="el-GR"/>
        </w:rPr>
        <w:t xml:space="preserve">υπόλοιπο </w:t>
      </w:r>
      <w:r w:rsidR="00E21419" w:rsidRPr="004279B4">
        <w:rPr>
          <w:rFonts w:ascii="Verdana" w:hAnsi="Verdana" w:cs="Calibri"/>
          <w:sz w:val="18"/>
          <w:szCs w:val="18"/>
          <w:lang w:val="el-GR"/>
        </w:rPr>
        <w:t>0,1</w:t>
      </w:r>
      <w:r w:rsidR="00441A39" w:rsidRPr="004279B4">
        <w:rPr>
          <w:rFonts w:ascii="Verdana" w:hAnsi="Verdana" w:cs="Calibri"/>
          <w:sz w:val="18"/>
          <w:szCs w:val="18"/>
          <w:lang w:val="el-GR"/>
        </w:rPr>
        <w:t>% οικογενειακοί λαχανόκηποι.</w:t>
      </w:r>
      <w:r w:rsidR="0045519A" w:rsidRPr="004279B4">
        <w:rPr>
          <w:rFonts w:ascii="Verdana" w:hAnsi="Verdana" w:cs="Calibri"/>
          <w:sz w:val="18"/>
          <w:szCs w:val="18"/>
          <w:lang w:val="el-GR"/>
        </w:rPr>
        <w:t xml:space="preserve"> </w:t>
      </w:r>
      <w:r w:rsidR="00650B7E">
        <w:rPr>
          <w:rFonts w:ascii="Verdana" w:hAnsi="Verdana" w:cs="Calibri"/>
          <w:sz w:val="18"/>
          <w:szCs w:val="18"/>
          <w:lang w:val="el-GR"/>
        </w:rPr>
        <w:t xml:space="preserve">Αναλυτικά στοιχεία παρουσιάζονται στον </w:t>
      </w:r>
      <w:r w:rsidR="00650B7E" w:rsidRPr="004279B4">
        <w:rPr>
          <w:rFonts w:ascii="Verdana" w:hAnsi="Verdana" w:cs="Calibri"/>
          <w:sz w:val="18"/>
          <w:szCs w:val="18"/>
          <w:lang w:val="el-GR"/>
        </w:rPr>
        <w:t>Πίνακα 2</w:t>
      </w:r>
      <w:r w:rsidR="00650B7E">
        <w:rPr>
          <w:rFonts w:ascii="Verdana" w:hAnsi="Verdana" w:cs="Calibri"/>
          <w:sz w:val="18"/>
          <w:szCs w:val="18"/>
          <w:lang w:val="el-GR"/>
        </w:rPr>
        <w:t>, πιο κάτω.</w:t>
      </w:r>
    </w:p>
    <w:p w14:paraId="5CF2BAE9" w14:textId="77777777" w:rsidR="00650B7E" w:rsidRDefault="00650B7E" w:rsidP="00650B7E">
      <w:pPr>
        <w:jc w:val="both"/>
        <w:rPr>
          <w:rFonts w:ascii="Verdana" w:hAnsi="Verdana" w:cs="Calibri"/>
          <w:sz w:val="18"/>
          <w:szCs w:val="18"/>
          <w:lang w:val="el-GR"/>
        </w:rPr>
      </w:pPr>
    </w:p>
    <w:tbl>
      <w:tblPr>
        <w:tblW w:w="9379" w:type="dxa"/>
        <w:jc w:val="center"/>
        <w:tblLook w:val="04A0" w:firstRow="1" w:lastRow="0" w:firstColumn="1" w:lastColumn="0" w:noHBand="0" w:noVBand="1"/>
      </w:tblPr>
      <w:tblGrid>
        <w:gridCol w:w="5858"/>
        <w:gridCol w:w="2174"/>
        <w:gridCol w:w="1347"/>
      </w:tblGrid>
      <w:tr w:rsidR="004B3549" w14:paraId="622D7567" w14:textId="77777777" w:rsidTr="00920706">
        <w:trPr>
          <w:trHeight w:val="284"/>
          <w:jc w:val="center"/>
        </w:trPr>
        <w:tc>
          <w:tcPr>
            <w:tcW w:w="5858" w:type="dxa"/>
            <w:tcBorders>
              <w:top w:val="nil"/>
              <w:left w:val="nil"/>
              <w:bottom w:val="single" w:sz="4" w:space="0" w:color="2F5496"/>
              <w:right w:val="nil"/>
            </w:tcBorders>
            <w:shd w:val="clear" w:color="000000" w:fill="FFFFFF"/>
            <w:noWrap/>
            <w:vAlign w:val="center"/>
            <w:hideMark/>
          </w:tcPr>
          <w:p w14:paraId="66F96BB0" w14:textId="77777777" w:rsidR="00650B7E" w:rsidRDefault="00650B7E" w:rsidP="004B3549">
            <w:pPr>
              <w:rPr>
                <w:rFonts w:ascii="Verdana" w:eastAsia="Times New Roman" w:hAnsi="Verdana" w:cs="Calibri"/>
                <w:b/>
                <w:bCs/>
                <w:color w:val="2F5496"/>
                <w:sz w:val="18"/>
                <w:szCs w:val="18"/>
              </w:rPr>
            </w:pPr>
            <w:r>
              <w:rPr>
                <w:rFonts w:ascii="Verdana" w:eastAsia="Times New Roman" w:hAnsi="Verdana" w:cs="Calibri"/>
                <w:b/>
                <w:bCs/>
                <w:color w:val="2F5496"/>
                <w:sz w:val="18"/>
                <w:szCs w:val="18"/>
              </w:rPr>
              <w:t>Πίνακας 2</w:t>
            </w:r>
          </w:p>
        </w:tc>
        <w:tc>
          <w:tcPr>
            <w:tcW w:w="2174" w:type="dxa"/>
            <w:tcBorders>
              <w:top w:val="nil"/>
              <w:left w:val="nil"/>
              <w:bottom w:val="single" w:sz="4" w:space="0" w:color="2F5496"/>
              <w:right w:val="nil"/>
            </w:tcBorders>
            <w:shd w:val="clear" w:color="FFFFFF" w:fill="FFFFFF"/>
            <w:noWrap/>
            <w:vAlign w:val="center"/>
            <w:hideMark/>
          </w:tcPr>
          <w:p w14:paraId="09A52020" w14:textId="77777777" w:rsidR="00650B7E" w:rsidRDefault="00650B7E" w:rsidP="0059673F">
            <w:pPr>
              <w:rPr>
                <w:rFonts w:ascii="Verdana" w:eastAsia="Times New Roman" w:hAnsi="Verdana" w:cs="Calibri"/>
                <w:b/>
                <w:bCs/>
                <w:color w:val="2F5496"/>
                <w:sz w:val="18"/>
                <w:szCs w:val="18"/>
              </w:rPr>
            </w:pPr>
            <w:r>
              <w:rPr>
                <w:rFonts w:ascii="Verdana" w:eastAsia="Times New Roman" w:hAnsi="Verdana" w:cs="Calibri"/>
                <w:b/>
                <w:bCs/>
                <w:color w:val="2F5496"/>
                <w:sz w:val="18"/>
                <w:szCs w:val="18"/>
              </w:rPr>
              <w:t> </w:t>
            </w:r>
          </w:p>
        </w:tc>
        <w:tc>
          <w:tcPr>
            <w:tcW w:w="1347" w:type="dxa"/>
            <w:tcBorders>
              <w:top w:val="nil"/>
              <w:left w:val="nil"/>
              <w:bottom w:val="single" w:sz="4" w:space="0" w:color="2F5496"/>
              <w:right w:val="nil"/>
            </w:tcBorders>
            <w:shd w:val="clear" w:color="FFFFFF" w:fill="FFFFFF"/>
            <w:noWrap/>
            <w:vAlign w:val="center"/>
            <w:hideMark/>
          </w:tcPr>
          <w:p w14:paraId="1ECE0F4B" w14:textId="77777777" w:rsidR="00650B7E" w:rsidRDefault="00650B7E" w:rsidP="0059673F">
            <w:pPr>
              <w:rPr>
                <w:rFonts w:ascii="Verdana" w:eastAsia="Times New Roman" w:hAnsi="Verdana" w:cs="Calibri"/>
                <w:b/>
                <w:bCs/>
                <w:color w:val="2F5496"/>
                <w:sz w:val="18"/>
                <w:szCs w:val="18"/>
              </w:rPr>
            </w:pPr>
            <w:r>
              <w:rPr>
                <w:rFonts w:ascii="Verdana" w:eastAsia="Times New Roman" w:hAnsi="Verdana" w:cs="Calibri"/>
                <w:b/>
                <w:bCs/>
                <w:color w:val="2F5496"/>
                <w:sz w:val="18"/>
                <w:szCs w:val="18"/>
              </w:rPr>
              <w:t> </w:t>
            </w:r>
          </w:p>
        </w:tc>
      </w:tr>
      <w:tr w:rsidR="004B3549" w14:paraId="5268B2D1" w14:textId="77777777" w:rsidTr="00920706">
        <w:trPr>
          <w:trHeight w:val="862"/>
          <w:jc w:val="center"/>
        </w:trPr>
        <w:tc>
          <w:tcPr>
            <w:tcW w:w="5858" w:type="dxa"/>
            <w:tcBorders>
              <w:top w:val="single" w:sz="4" w:space="0" w:color="2F5496"/>
              <w:bottom w:val="single" w:sz="4" w:space="0" w:color="2F5496"/>
            </w:tcBorders>
            <w:shd w:val="clear" w:color="FFFFFF" w:fill="FFFFFF"/>
            <w:vAlign w:val="center"/>
            <w:hideMark/>
          </w:tcPr>
          <w:p w14:paraId="04FDE35D" w14:textId="77777777" w:rsidR="00650B7E" w:rsidRDefault="00650B7E" w:rsidP="0059673F">
            <w:pPr>
              <w:jc w:val="center"/>
              <w:rPr>
                <w:rFonts w:ascii="Verdana" w:eastAsia="Times New Roman" w:hAnsi="Verdana" w:cs="Calibri"/>
                <w:b/>
                <w:bCs/>
                <w:color w:val="2F5496"/>
                <w:sz w:val="18"/>
                <w:szCs w:val="18"/>
              </w:rPr>
            </w:pPr>
            <w:r>
              <w:rPr>
                <w:rFonts w:ascii="Verdana" w:eastAsia="Times New Roman" w:hAnsi="Verdana" w:cs="Calibri"/>
                <w:b/>
                <w:bCs/>
                <w:color w:val="2F5496"/>
                <w:sz w:val="18"/>
                <w:szCs w:val="18"/>
              </w:rPr>
              <w:t xml:space="preserve">Είδος </w:t>
            </w:r>
            <w:r w:rsidR="004B3549">
              <w:rPr>
                <w:rFonts w:ascii="Verdana" w:eastAsia="Times New Roman" w:hAnsi="Verdana" w:cs="Calibri"/>
                <w:b/>
                <w:bCs/>
                <w:color w:val="2F5496"/>
                <w:sz w:val="18"/>
                <w:szCs w:val="18"/>
                <w:lang w:val="el-GR"/>
              </w:rPr>
              <w:t>Κ</w:t>
            </w:r>
            <w:r>
              <w:rPr>
                <w:rFonts w:ascii="Verdana" w:eastAsia="Times New Roman" w:hAnsi="Verdana" w:cs="Calibri"/>
                <w:b/>
                <w:bCs/>
                <w:color w:val="2F5496"/>
                <w:sz w:val="18"/>
                <w:szCs w:val="18"/>
              </w:rPr>
              <w:t>αλλιέργειας</w:t>
            </w:r>
          </w:p>
        </w:tc>
        <w:tc>
          <w:tcPr>
            <w:tcW w:w="2174" w:type="dxa"/>
            <w:tcBorders>
              <w:top w:val="single" w:sz="4" w:space="0" w:color="2F5496"/>
              <w:bottom w:val="single" w:sz="4" w:space="0" w:color="2F5496"/>
            </w:tcBorders>
            <w:shd w:val="clear" w:color="FFFFFF" w:fill="FFFFFF"/>
            <w:vAlign w:val="center"/>
            <w:hideMark/>
          </w:tcPr>
          <w:p w14:paraId="1B080C54" w14:textId="77777777" w:rsidR="00650B7E" w:rsidRDefault="00650B7E" w:rsidP="0059673F">
            <w:pPr>
              <w:jc w:val="center"/>
              <w:rPr>
                <w:rFonts w:ascii="Verdana" w:eastAsia="Times New Roman" w:hAnsi="Verdana" w:cs="Calibri"/>
                <w:b/>
                <w:bCs/>
                <w:color w:val="2F5496"/>
                <w:sz w:val="18"/>
                <w:szCs w:val="18"/>
              </w:rPr>
            </w:pPr>
            <w:r>
              <w:rPr>
                <w:rFonts w:ascii="Verdana" w:eastAsia="Times New Roman" w:hAnsi="Verdana" w:cs="Calibri"/>
                <w:b/>
                <w:bCs/>
                <w:color w:val="2F5496"/>
                <w:sz w:val="18"/>
                <w:szCs w:val="18"/>
              </w:rPr>
              <w:t xml:space="preserve">Χρησιμοποιούμενη </w:t>
            </w:r>
            <w:r w:rsidR="004B3549">
              <w:rPr>
                <w:rFonts w:ascii="Verdana" w:eastAsia="Times New Roman" w:hAnsi="Verdana" w:cs="Calibri"/>
                <w:b/>
                <w:bCs/>
                <w:color w:val="2F5496"/>
                <w:sz w:val="18"/>
                <w:szCs w:val="18"/>
                <w:lang w:val="el-GR"/>
              </w:rPr>
              <w:t>Γ</w:t>
            </w:r>
            <w:r>
              <w:rPr>
                <w:rFonts w:ascii="Verdana" w:eastAsia="Times New Roman" w:hAnsi="Verdana" w:cs="Calibri"/>
                <w:b/>
                <w:bCs/>
                <w:color w:val="2F5496"/>
                <w:sz w:val="18"/>
                <w:szCs w:val="18"/>
              </w:rPr>
              <w:t xml:space="preserve">εωργική </w:t>
            </w:r>
            <w:r w:rsidR="004B3549">
              <w:rPr>
                <w:rFonts w:ascii="Verdana" w:eastAsia="Times New Roman" w:hAnsi="Verdana" w:cs="Calibri"/>
                <w:b/>
                <w:bCs/>
                <w:color w:val="2F5496"/>
                <w:sz w:val="18"/>
                <w:szCs w:val="18"/>
                <w:lang w:val="el-GR"/>
              </w:rPr>
              <w:t>Έ</w:t>
            </w:r>
            <w:r>
              <w:rPr>
                <w:rFonts w:ascii="Verdana" w:eastAsia="Times New Roman" w:hAnsi="Verdana" w:cs="Calibri"/>
                <w:b/>
                <w:bCs/>
                <w:color w:val="2F5496"/>
                <w:sz w:val="18"/>
                <w:szCs w:val="18"/>
              </w:rPr>
              <w:t>κταση</w:t>
            </w:r>
            <w:r>
              <w:rPr>
                <w:rFonts w:ascii="Verdana" w:eastAsia="Times New Roman" w:hAnsi="Verdana" w:cs="Calibri"/>
                <w:b/>
                <w:bCs/>
                <w:color w:val="2F5496"/>
                <w:sz w:val="18"/>
                <w:szCs w:val="18"/>
              </w:rPr>
              <w:br/>
              <w:t>(δεκάρια)</w:t>
            </w:r>
          </w:p>
        </w:tc>
        <w:tc>
          <w:tcPr>
            <w:tcW w:w="1347" w:type="dxa"/>
            <w:tcBorders>
              <w:top w:val="single" w:sz="4" w:space="0" w:color="2F5496"/>
              <w:bottom w:val="single" w:sz="4" w:space="0" w:color="2F5496"/>
            </w:tcBorders>
            <w:shd w:val="clear" w:color="FFFFFF" w:fill="FFFFFF"/>
            <w:vAlign w:val="center"/>
            <w:hideMark/>
          </w:tcPr>
          <w:p w14:paraId="1ECDA612" w14:textId="77777777" w:rsidR="00650B7E" w:rsidRDefault="00650B7E" w:rsidP="0059673F">
            <w:pPr>
              <w:jc w:val="center"/>
              <w:rPr>
                <w:rFonts w:ascii="Verdana" w:eastAsia="Times New Roman" w:hAnsi="Verdana" w:cs="Calibri"/>
                <w:b/>
                <w:bCs/>
                <w:color w:val="2F5496"/>
                <w:sz w:val="18"/>
                <w:szCs w:val="18"/>
                <w:lang w:val="el-GR"/>
              </w:rPr>
            </w:pPr>
            <w:r>
              <w:rPr>
                <w:rFonts w:ascii="Verdana" w:eastAsia="Times New Roman" w:hAnsi="Verdana" w:cs="Calibri"/>
                <w:b/>
                <w:bCs/>
                <w:color w:val="2F5496"/>
                <w:sz w:val="18"/>
                <w:szCs w:val="18"/>
                <w:lang w:val="el-GR"/>
              </w:rPr>
              <w:t xml:space="preserve">Ποσοστιαία </w:t>
            </w:r>
            <w:r w:rsidR="004B3549">
              <w:rPr>
                <w:rFonts w:ascii="Verdana" w:eastAsia="Times New Roman" w:hAnsi="Verdana" w:cs="Calibri"/>
                <w:b/>
                <w:bCs/>
                <w:color w:val="2F5496"/>
                <w:sz w:val="18"/>
                <w:szCs w:val="18"/>
                <w:lang w:val="el-GR"/>
              </w:rPr>
              <w:t>Κ</w:t>
            </w:r>
            <w:r>
              <w:rPr>
                <w:rFonts w:ascii="Verdana" w:eastAsia="Times New Roman" w:hAnsi="Verdana" w:cs="Calibri"/>
                <w:b/>
                <w:bCs/>
                <w:color w:val="2F5496"/>
                <w:sz w:val="18"/>
                <w:szCs w:val="18"/>
                <w:lang w:val="el-GR"/>
              </w:rPr>
              <w:t>ατανομή (%)</w:t>
            </w:r>
          </w:p>
        </w:tc>
      </w:tr>
      <w:tr w:rsidR="004B3549" w14:paraId="00AF6C10" w14:textId="77777777" w:rsidTr="00920706">
        <w:trPr>
          <w:trHeight w:val="380"/>
          <w:jc w:val="center"/>
        </w:trPr>
        <w:tc>
          <w:tcPr>
            <w:tcW w:w="5858" w:type="dxa"/>
            <w:tcBorders>
              <w:top w:val="single" w:sz="4" w:space="0" w:color="2F5496"/>
              <w:bottom w:val="single" w:sz="4" w:space="0" w:color="2F5496"/>
            </w:tcBorders>
            <w:shd w:val="clear" w:color="FFFFFF" w:fill="FFFFFF"/>
            <w:noWrap/>
            <w:vAlign w:val="center"/>
            <w:hideMark/>
          </w:tcPr>
          <w:p w14:paraId="15A0D132" w14:textId="77777777" w:rsidR="00650B7E" w:rsidRDefault="00650B7E" w:rsidP="0059673F">
            <w:pPr>
              <w:ind w:firstLineChars="100" w:firstLine="181"/>
              <w:rPr>
                <w:rFonts w:ascii="Verdana" w:eastAsia="Times New Roman" w:hAnsi="Verdana" w:cs="Calibri"/>
                <w:b/>
                <w:bCs/>
                <w:color w:val="2F5496"/>
                <w:sz w:val="18"/>
                <w:szCs w:val="18"/>
              </w:rPr>
            </w:pPr>
            <w:r>
              <w:rPr>
                <w:rFonts w:ascii="Verdana" w:eastAsia="Times New Roman" w:hAnsi="Verdana" w:cs="Calibri"/>
                <w:b/>
                <w:bCs/>
                <w:color w:val="2F5496"/>
                <w:sz w:val="18"/>
                <w:szCs w:val="18"/>
              </w:rPr>
              <w:t>ΣΥΝΟΛΟ</w:t>
            </w:r>
          </w:p>
        </w:tc>
        <w:tc>
          <w:tcPr>
            <w:tcW w:w="2174" w:type="dxa"/>
            <w:tcBorders>
              <w:top w:val="single" w:sz="4" w:space="0" w:color="2F5496"/>
              <w:bottom w:val="single" w:sz="4" w:space="0" w:color="2F5496"/>
            </w:tcBorders>
            <w:shd w:val="clear" w:color="FFFFFF" w:fill="FFFFFF"/>
            <w:noWrap/>
            <w:vAlign w:val="center"/>
            <w:hideMark/>
          </w:tcPr>
          <w:p w14:paraId="558639C3" w14:textId="77777777" w:rsidR="00650B7E" w:rsidRDefault="00650B7E" w:rsidP="004B3549">
            <w:pPr>
              <w:ind w:right="454" w:firstLineChars="100" w:firstLine="181"/>
              <w:jc w:val="right"/>
              <w:rPr>
                <w:rFonts w:ascii="Verdana" w:eastAsia="Times New Roman" w:hAnsi="Verdana" w:cs="Calibri"/>
                <w:b/>
                <w:bCs/>
                <w:color w:val="2F5496"/>
                <w:sz w:val="18"/>
                <w:szCs w:val="18"/>
              </w:rPr>
            </w:pPr>
            <w:r>
              <w:rPr>
                <w:rFonts w:ascii="Verdana" w:eastAsia="Times New Roman" w:hAnsi="Verdana" w:cs="Calibri"/>
                <w:b/>
                <w:bCs/>
                <w:color w:val="2F5496"/>
                <w:sz w:val="18"/>
                <w:szCs w:val="18"/>
              </w:rPr>
              <w:t>1</w:t>
            </w:r>
            <w:r>
              <w:rPr>
                <w:rFonts w:ascii="Verdana" w:eastAsia="Times New Roman" w:hAnsi="Verdana" w:cs="Calibri"/>
                <w:b/>
                <w:bCs/>
                <w:color w:val="2F5496"/>
                <w:sz w:val="18"/>
                <w:szCs w:val="18"/>
                <w:lang w:val="el-GR"/>
              </w:rPr>
              <w:t>.</w:t>
            </w:r>
            <w:r>
              <w:rPr>
                <w:rFonts w:ascii="Verdana" w:eastAsia="Times New Roman" w:hAnsi="Verdana" w:cs="Calibri"/>
                <w:b/>
                <w:bCs/>
                <w:color w:val="2F5496"/>
                <w:sz w:val="18"/>
                <w:szCs w:val="18"/>
              </w:rPr>
              <w:t>341</w:t>
            </w:r>
            <w:r>
              <w:rPr>
                <w:rFonts w:ascii="Verdana" w:eastAsia="Times New Roman" w:hAnsi="Verdana" w:cs="Calibri"/>
                <w:b/>
                <w:bCs/>
                <w:color w:val="2F5496"/>
                <w:sz w:val="18"/>
                <w:szCs w:val="18"/>
                <w:lang w:val="el-GR"/>
              </w:rPr>
              <w:t>.</w:t>
            </w:r>
            <w:r>
              <w:rPr>
                <w:rFonts w:ascii="Verdana" w:eastAsia="Times New Roman" w:hAnsi="Verdana" w:cs="Calibri"/>
                <w:b/>
                <w:bCs/>
                <w:color w:val="2F5496"/>
                <w:sz w:val="18"/>
                <w:szCs w:val="18"/>
              </w:rPr>
              <w:t>359</w:t>
            </w:r>
          </w:p>
        </w:tc>
        <w:tc>
          <w:tcPr>
            <w:tcW w:w="1347" w:type="dxa"/>
            <w:tcBorders>
              <w:top w:val="single" w:sz="4" w:space="0" w:color="2F5496"/>
              <w:bottom w:val="single" w:sz="4" w:space="0" w:color="2F5496"/>
            </w:tcBorders>
            <w:shd w:val="clear" w:color="FFFFFF" w:fill="FFFFFF"/>
            <w:noWrap/>
            <w:vAlign w:val="center"/>
            <w:hideMark/>
          </w:tcPr>
          <w:p w14:paraId="1962DC70" w14:textId="77777777" w:rsidR="00650B7E" w:rsidRDefault="00650B7E" w:rsidP="004B3549">
            <w:pPr>
              <w:ind w:right="284" w:firstLineChars="100" w:firstLine="181"/>
              <w:jc w:val="right"/>
              <w:rPr>
                <w:rFonts w:ascii="Verdana" w:eastAsia="Times New Roman" w:hAnsi="Verdana" w:cs="Calibri"/>
                <w:b/>
                <w:bCs/>
                <w:color w:val="2F5496"/>
                <w:sz w:val="18"/>
                <w:szCs w:val="18"/>
                <w:lang w:val="el-GR"/>
              </w:rPr>
            </w:pPr>
            <w:r>
              <w:rPr>
                <w:rFonts w:ascii="Verdana" w:eastAsia="Times New Roman" w:hAnsi="Verdana" w:cs="Calibri"/>
                <w:b/>
                <w:bCs/>
                <w:color w:val="2F5496"/>
                <w:sz w:val="18"/>
                <w:szCs w:val="18"/>
              </w:rPr>
              <w:t>100</w:t>
            </w:r>
            <w:r>
              <w:rPr>
                <w:rFonts w:ascii="Verdana" w:eastAsia="Times New Roman" w:hAnsi="Verdana" w:cs="Calibri"/>
                <w:b/>
                <w:bCs/>
                <w:color w:val="2F5496"/>
                <w:sz w:val="18"/>
                <w:szCs w:val="18"/>
                <w:lang w:val="el-GR"/>
              </w:rPr>
              <w:t>,0</w:t>
            </w:r>
          </w:p>
        </w:tc>
      </w:tr>
      <w:tr w:rsidR="004B3549" w14:paraId="2714CA64" w14:textId="77777777" w:rsidTr="00920706">
        <w:trPr>
          <w:trHeight w:val="313"/>
          <w:jc w:val="center"/>
        </w:trPr>
        <w:tc>
          <w:tcPr>
            <w:tcW w:w="5858" w:type="dxa"/>
            <w:tcBorders>
              <w:top w:val="single" w:sz="4" w:space="0" w:color="2F5496"/>
              <w:bottom w:val="nil"/>
            </w:tcBorders>
            <w:shd w:val="clear" w:color="FFFFFF" w:fill="FFFFFF"/>
            <w:noWrap/>
            <w:vAlign w:val="center"/>
            <w:hideMark/>
          </w:tcPr>
          <w:p w14:paraId="64D15E34" w14:textId="77777777" w:rsidR="00650B7E" w:rsidRDefault="00650B7E" w:rsidP="003E59A5">
            <w:pPr>
              <w:ind w:firstLineChars="100" w:firstLine="180"/>
              <w:rPr>
                <w:rFonts w:ascii="Verdana" w:eastAsia="Times New Roman" w:hAnsi="Verdana" w:cs="Calibri"/>
                <w:color w:val="2F5496"/>
                <w:sz w:val="18"/>
                <w:szCs w:val="18"/>
              </w:rPr>
            </w:pPr>
            <w:r>
              <w:rPr>
                <w:rFonts w:ascii="Verdana" w:eastAsia="Times New Roman" w:hAnsi="Verdana" w:cs="Calibri"/>
                <w:color w:val="2F5496"/>
                <w:sz w:val="18"/>
                <w:szCs w:val="18"/>
              </w:rPr>
              <w:t>Ετήσιες καλλιέργειες στο ύπαιθρο</w:t>
            </w:r>
          </w:p>
        </w:tc>
        <w:tc>
          <w:tcPr>
            <w:tcW w:w="2174" w:type="dxa"/>
            <w:tcBorders>
              <w:top w:val="single" w:sz="4" w:space="0" w:color="2F5496"/>
              <w:bottom w:val="nil"/>
            </w:tcBorders>
            <w:shd w:val="clear" w:color="FFFFFF" w:fill="FFFFFF"/>
            <w:noWrap/>
            <w:vAlign w:val="center"/>
            <w:hideMark/>
          </w:tcPr>
          <w:p w14:paraId="4F17DA2A" w14:textId="77777777" w:rsidR="00650B7E" w:rsidRDefault="00650B7E" w:rsidP="004B3549">
            <w:pPr>
              <w:ind w:right="45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1</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017</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735</w:t>
            </w:r>
          </w:p>
        </w:tc>
        <w:tc>
          <w:tcPr>
            <w:tcW w:w="1347" w:type="dxa"/>
            <w:tcBorders>
              <w:top w:val="single" w:sz="4" w:space="0" w:color="2F5496"/>
              <w:bottom w:val="nil"/>
            </w:tcBorders>
            <w:shd w:val="clear" w:color="FFFFFF" w:fill="FFFFFF"/>
            <w:noWrap/>
            <w:vAlign w:val="center"/>
            <w:hideMark/>
          </w:tcPr>
          <w:p w14:paraId="61196A6D" w14:textId="77777777" w:rsidR="00650B7E" w:rsidRDefault="00650B7E" w:rsidP="004B3549">
            <w:pPr>
              <w:ind w:right="28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75</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9</w:t>
            </w:r>
          </w:p>
        </w:tc>
      </w:tr>
      <w:tr w:rsidR="007752ED" w14:paraId="60D56102" w14:textId="77777777" w:rsidTr="00920706">
        <w:trPr>
          <w:trHeight w:val="313"/>
          <w:jc w:val="center"/>
        </w:trPr>
        <w:tc>
          <w:tcPr>
            <w:tcW w:w="5858" w:type="dxa"/>
            <w:tcBorders>
              <w:top w:val="nil"/>
            </w:tcBorders>
            <w:shd w:val="clear" w:color="FFFFFF" w:fill="FFFFFF"/>
            <w:noWrap/>
            <w:vAlign w:val="center"/>
            <w:hideMark/>
          </w:tcPr>
          <w:p w14:paraId="63A51C4B" w14:textId="77777777" w:rsidR="007752ED" w:rsidRDefault="007752ED">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lang w:val="el-GR"/>
              </w:rPr>
              <w:t>Πολυετείς (μόνιμες) καλλιέργειες στο ύπαιθρο</w:t>
            </w:r>
          </w:p>
        </w:tc>
        <w:tc>
          <w:tcPr>
            <w:tcW w:w="2174" w:type="dxa"/>
            <w:tcBorders>
              <w:top w:val="nil"/>
            </w:tcBorders>
            <w:shd w:val="clear" w:color="FFFFFF" w:fill="FFFFFF"/>
            <w:noWrap/>
            <w:vAlign w:val="center"/>
            <w:hideMark/>
          </w:tcPr>
          <w:p w14:paraId="503B4B67" w14:textId="77777777" w:rsidR="007752ED" w:rsidRDefault="007752ED">
            <w:pPr>
              <w:ind w:right="45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294</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515</w:t>
            </w:r>
          </w:p>
        </w:tc>
        <w:tc>
          <w:tcPr>
            <w:tcW w:w="1347" w:type="dxa"/>
            <w:tcBorders>
              <w:top w:val="nil"/>
            </w:tcBorders>
            <w:shd w:val="clear" w:color="FFFFFF" w:fill="FFFFFF"/>
            <w:noWrap/>
            <w:vAlign w:val="center"/>
            <w:hideMark/>
          </w:tcPr>
          <w:p w14:paraId="0DC88650" w14:textId="77777777" w:rsidR="007752ED" w:rsidRDefault="007752ED">
            <w:pPr>
              <w:ind w:right="28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22</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0</w:t>
            </w:r>
          </w:p>
        </w:tc>
      </w:tr>
      <w:tr w:rsidR="007752ED" w14:paraId="68918647" w14:textId="77777777" w:rsidTr="00920706">
        <w:trPr>
          <w:trHeight w:val="313"/>
          <w:jc w:val="center"/>
        </w:trPr>
        <w:tc>
          <w:tcPr>
            <w:tcW w:w="5858" w:type="dxa"/>
            <w:tcBorders>
              <w:top w:val="nil"/>
            </w:tcBorders>
            <w:shd w:val="clear" w:color="FFFFFF" w:fill="FFFFFF"/>
            <w:noWrap/>
            <w:vAlign w:val="center"/>
            <w:hideMark/>
          </w:tcPr>
          <w:p w14:paraId="74F78189" w14:textId="77777777" w:rsidR="007752ED" w:rsidRDefault="007752ED">
            <w:pPr>
              <w:ind w:firstLineChars="100" w:firstLine="180"/>
              <w:rPr>
                <w:rFonts w:ascii="Verdana" w:eastAsia="Times New Roman" w:hAnsi="Verdana" w:cs="Calibri"/>
                <w:color w:val="2F5496"/>
                <w:sz w:val="18"/>
                <w:szCs w:val="18"/>
                <w:lang w:val="el-GR"/>
              </w:rPr>
            </w:pPr>
            <w:r>
              <w:rPr>
                <w:rFonts w:ascii="Verdana" w:eastAsia="Times New Roman" w:hAnsi="Verdana" w:cs="Calibri"/>
                <w:color w:val="2F5496"/>
                <w:sz w:val="18"/>
                <w:szCs w:val="18"/>
                <w:lang w:val="el-GR"/>
              </w:rPr>
              <w:t>Θερμοκήπια ή ψηλά προσπελάσιμα στέγαστρα</w:t>
            </w:r>
          </w:p>
        </w:tc>
        <w:tc>
          <w:tcPr>
            <w:tcW w:w="2174" w:type="dxa"/>
            <w:tcBorders>
              <w:top w:val="nil"/>
            </w:tcBorders>
            <w:shd w:val="clear" w:color="FFFFFF" w:fill="FFFFFF"/>
            <w:noWrap/>
            <w:vAlign w:val="center"/>
            <w:hideMark/>
          </w:tcPr>
          <w:p w14:paraId="56314F9E" w14:textId="77777777" w:rsidR="007752ED" w:rsidRDefault="007752ED">
            <w:pPr>
              <w:ind w:right="45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4</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897</w:t>
            </w:r>
          </w:p>
        </w:tc>
        <w:tc>
          <w:tcPr>
            <w:tcW w:w="1347" w:type="dxa"/>
            <w:tcBorders>
              <w:top w:val="nil"/>
            </w:tcBorders>
            <w:shd w:val="clear" w:color="FFFFFF" w:fill="FFFFFF"/>
            <w:noWrap/>
            <w:vAlign w:val="center"/>
            <w:hideMark/>
          </w:tcPr>
          <w:p w14:paraId="3CC83B23" w14:textId="77777777" w:rsidR="007752ED" w:rsidRDefault="007752ED">
            <w:pPr>
              <w:ind w:right="28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0</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4</w:t>
            </w:r>
          </w:p>
        </w:tc>
      </w:tr>
      <w:tr w:rsidR="007752ED" w14:paraId="24BFCE6E" w14:textId="77777777" w:rsidTr="00920706">
        <w:trPr>
          <w:trHeight w:val="313"/>
          <w:jc w:val="center"/>
        </w:trPr>
        <w:tc>
          <w:tcPr>
            <w:tcW w:w="5858" w:type="dxa"/>
            <w:shd w:val="clear" w:color="FFFFFF" w:fill="FFFFFF"/>
            <w:noWrap/>
            <w:vAlign w:val="center"/>
            <w:hideMark/>
          </w:tcPr>
          <w:p w14:paraId="31D94675" w14:textId="77777777" w:rsidR="007752ED" w:rsidRDefault="007752ED">
            <w:pPr>
              <w:ind w:firstLineChars="100" w:firstLine="180"/>
              <w:rPr>
                <w:rFonts w:ascii="Verdana" w:eastAsia="Times New Roman" w:hAnsi="Verdana" w:cs="Calibri"/>
                <w:color w:val="2F5496"/>
                <w:sz w:val="18"/>
                <w:szCs w:val="18"/>
              </w:rPr>
            </w:pPr>
            <w:r>
              <w:rPr>
                <w:rFonts w:ascii="Verdana" w:eastAsia="Times New Roman" w:hAnsi="Verdana" w:cs="Calibri"/>
                <w:color w:val="2F5496"/>
                <w:sz w:val="18"/>
                <w:szCs w:val="18"/>
              </w:rPr>
              <w:t>Μόνιμοι βοσκότοποι</w:t>
            </w:r>
          </w:p>
        </w:tc>
        <w:tc>
          <w:tcPr>
            <w:tcW w:w="2174" w:type="dxa"/>
            <w:shd w:val="clear" w:color="FFFFFF" w:fill="FFFFFF"/>
            <w:noWrap/>
            <w:vAlign w:val="center"/>
            <w:hideMark/>
          </w:tcPr>
          <w:p w14:paraId="7770C939" w14:textId="77777777" w:rsidR="007752ED" w:rsidRDefault="007752ED">
            <w:pPr>
              <w:ind w:right="45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22</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566</w:t>
            </w:r>
          </w:p>
        </w:tc>
        <w:tc>
          <w:tcPr>
            <w:tcW w:w="1347" w:type="dxa"/>
            <w:shd w:val="clear" w:color="FFFFFF" w:fill="FFFFFF"/>
            <w:noWrap/>
            <w:vAlign w:val="center"/>
            <w:hideMark/>
          </w:tcPr>
          <w:p w14:paraId="3CE47DED" w14:textId="77777777" w:rsidR="007752ED" w:rsidRDefault="007752ED">
            <w:pPr>
              <w:ind w:right="28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1</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7</w:t>
            </w:r>
          </w:p>
        </w:tc>
      </w:tr>
      <w:tr w:rsidR="004B3549" w14:paraId="36C7497B" w14:textId="77777777" w:rsidTr="00920706">
        <w:trPr>
          <w:trHeight w:val="313"/>
          <w:jc w:val="center"/>
        </w:trPr>
        <w:tc>
          <w:tcPr>
            <w:tcW w:w="5858" w:type="dxa"/>
            <w:tcBorders>
              <w:top w:val="nil"/>
              <w:bottom w:val="single" w:sz="4" w:space="0" w:color="2F5496"/>
            </w:tcBorders>
            <w:shd w:val="clear" w:color="FFFFFF" w:fill="FFFFFF"/>
            <w:noWrap/>
            <w:vAlign w:val="center"/>
            <w:hideMark/>
          </w:tcPr>
          <w:p w14:paraId="6D5F29ED" w14:textId="77777777" w:rsidR="00650B7E" w:rsidRDefault="00650B7E" w:rsidP="003E59A5">
            <w:pPr>
              <w:ind w:firstLineChars="100" w:firstLine="180"/>
              <w:rPr>
                <w:rFonts w:ascii="Verdana" w:eastAsia="Times New Roman" w:hAnsi="Verdana" w:cs="Calibri"/>
                <w:color w:val="2F5496"/>
                <w:sz w:val="18"/>
                <w:szCs w:val="18"/>
              </w:rPr>
            </w:pPr>
            <w:r>
              <w:rPr>
                <w:rFonts w:ascii="Verdana" w:eastAsia="Times New Roman" w:hAnsi="Verdana" w:cs="Calibri"/>
                <w:color w:val="2F5496"/>
                <w:sz w:val="18"/>
                <w:szCs w:val="18"/>
              </w:rPr>
              <w:t>Οικογενειακοί λαχανόκηποι</w:t>
            </w:r>
          </w:p>
        </w:tc>
        <w:tc>
          <w:tcPr>
            <w:tcW w:w="2174" w:type="dxa"/>
            <w:tcBorders>
              <w:top w:val="nil"/>
              <w:bottom w:val="single" w:sz="4" w:space="0" w:color="2F5496"/>
            </w:tcBorders>
            <w:shd w:val="clear" w:color="FFFFFF" w:fill="FFFFFF"/>
            <w:noWrap/>
            <w:vAlign w:val="center"/>
            <w:hideMark/>
          </w:tcPr>
          <w:p w14:paraId="76D84C60" w14:textId="77777777" w:rsidR="00650B7E" w:rsidRDefault="00650B7E" w:rsidP="004B3549">
            <w:pPr>
              <w:ind w:right="45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1</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646</w:t>
            </w:r>
          </w:p>
        </w:tc>
        <w:tc>
          <w:tcPr>
            <w:tcW w:w="1347" w:type="dxa"/>
            <w:tcBorders>
              <w:top w:val="nil"/>
              <w:bottom w:val="single" w:sz="4" w:space="0" w:color="2F5496"/>
            </w:tcBorders>
            <w:shd w:val="clear" w:color="FFFFFF" w:fill="FFFFFF"/>
            <w:noWrap/>
            <w:vAlign w:val="center"/>
            <w:hideMark/>
          </w:tcPr>
          <w:p w14:paraId="62F6F2A3" w14:textId="77777777" w:rsidR="00650B7E" w:rsidRDefault="00650B7E" w:rsidP="004B3549">
            <w:pPr>
              <w:ind w:right="284" w:firstLineChars="100" w:firstLine="180"/>
              <w:jc w:val="right"/>
              <w:rPr>
                <w:rFonts w:ascii="Verdana" w:eastAsia="Times New Roman" w:hAnsi="Verdana" w:cs="Calibri"/>
                <w:color w:val="2F5496"/>
                <w:sz w:val="18"/>
                <w:szCs w:val="18"/>
              </w:rPr>
            </w:pPr>
            <w:r>
              <w:rPr>
                <w:rFonts w:ascii="Verdana" w:eastAsia="Times New Roman" w:hAnsi="Verdana" w:cs="Calibri"/>
                <w:color w:val="2F5496"/>
                <w:sz w:val="18"/>
                <w:szCs w:val="18"/>
              </w:rPr>
              <w:t>0</w:t>
            </w:r>
            <w:r>
              <w:rPr>
                <w:rFonts w:ascii="Verdana" w:eastAsia="Times New Roman" w:hAnsi="Verdana" w:cs="Calibri"/>
                <w:color w:val="2F5496"/>
                <w:sz w:val="18"/>
                <w:szCs w:val="18"/>
                <w:lang w:val="el-GR"/>
              </w:rPr>
              <w:t>,</w:t>
            </w:r>
            <w:r>
              <w:rPr>
                <w:rFonts w:ascii="Verdana" w:eastAsia="Times New Roman" w:hAnsi="Verdana" w:cs="Calibri"/>
                <w:color w:val="2F5496"/>
                <w:sz w:val="18"/>
                <w:szCs w:val="18"/>
              </w:rPr>
              <w:t>1</w:t>
            </w:r>
          </w:p>
        </w:tc>
      </w:tr>
    </w:tbl>
    <w:p w14:paraId="165ACD9A" w14:textId="77777777" w:rsidR="00650B7E" w:rsidRPr="007671D0" w:rsidRDefault="00650B7E" w:rsidP="00441A39">
      <w:pPr>
        <w:jc w:val="both"/>
        <w:rPr>
          <w:rFonts w:ascii="Verdana" w:hAnsi="Verdana" w:cs="Calibri"/>
          <w:sz w:val="18"/>
          <w:szCs w:val="18"/>
          <w:lang w:val="el-GR"/>
        </w:rPr>
      </w:pPr>
    </w:p>
    <w:p w14:paraId="348E3F39" w14:textId="77777777" w:rsidR="007671D0" w:rsidRPr="007671D0" w:rsidRDefault="007671D0" w:rsidP="007671D0">
      <w:pPr>
        <w:jc w:val="both"/>
        <w:rPr>
          <w:rFonts w:ascii="Verdana" w:hAnsi="Verdana"/>
          <w:sz w:val="18"/>
          <w:szCs w:val="18"/>
          <w:lang w:val="el-GR"/>
        </w:rPr>
      </w:pPr>
      <w:r>
        <w:rPr>
          <w:rFonts w:ascii="Verdana" w:hAnsi="Verdana"/>
          <w:sz w:val="18"/>
          <w:szCs w:val="18"/>
          <w:lang w:val="el-GR"/>
        </w:rPr>
        <w:t xml:space="preserve">Από </w:t>
      </w:r>
      <w:r w:rsidR="00695816">
        <w:rPr>
          <w:rFonts w:ascii="Verdana" w:hAnsi="Verdana"/>
          <w:sz w:val="18"/>
          <w:szCs w:val="18"/>
          <w:lang w:val="el-GR"/>
        </w:rPr>
        <w:t>τις</w:t>
      </w:r>
      <w:r>
        <w:rPr>
          <w:rFonts w:ascii="Verdana" w:hAnsi="Verdana"/>
          <w:sz w:val="18"/>
          <w:szCs w:val="18"/>
          <w:lang w:val="el-GR"/>
        </w:rPr>
        <w:t xml:space="preserve"> </w:t>
      </w:r>
      <w:r w:rsidRPr="007671D0">
        <w:rPr>
          <w:rFonts w:ascii="Verdana" w:hAnsi="Verdana"/>
          <w:sz w:val="18"/>
          <w:szCs w:val="18"/>
          <w:lang w:val="el-GR"/>
        </w:rPr>
        <w:t>ετήσι</w:t>
      </w:r>
      <w:r w:rsidR="00695816">
        <w:rPr>
          <w:rFonts w:ascii="Verdana" w:hAnsi="Verdana"/>
          <w:sz w:val="18"/>
          <w:szCs w:val="18"/>
          <w:lang w:val="el-GR"/>
        </w:rPr>
        <w:t>ες</w:t>
      </w:r>
      <w:r>
        <w:rPr>
          <w:rFonts w:ascii="Verdana" w:hAnsi="Verdana"/>
          <w:sz w:val="18"/>
          <w:szCs w:val="18"/>
          <w:lang w:val="el-GR"/>
        </w:rPr>
        <w:t xml:space="preserve"> </w:t>
      </w:r>
      <w:r w:rsidRPr="007671D0">
        <w:rPr>
          <w:rFonts w:ascii="Verdana" w:hAnsi="Verdana"/>
          <w:sz w:val="18"/>
          <w:szCs w:val="18"/>
          <w:lang w:val="el-GR"/>
        </w:rPr>
        <w:t>καλλι</w:t>
      </w:r>
      <w:r w:rsidR="00695816">
        <w:rPr>
          <w:rFonts w:ascii="Verdana" w:hAnsi="Verdana"/>
          <w:sz w:val="18"/>
          <w:szCs w:val="18"/>
          <w:lang w:val="el-GR"/>
        </w:rPr>
        <w:t>έ</w:t>
      </w:r>
      <w:r w:rsidRPr="007671D0">
        <w:rPr>
          <w:rFonts w:ascii="Verdana" w:hAnsi="Verdana"/>
          <w:sz w:val="18"/>
          <w:szCs w:val="18"/>
          <w:lang w:val="el-GR"/>
        </w:rPr>
        <w:t>ργει</w:t>
      </w:r>
      <w:r w:rsidR="00695816">
        <w:rPr>
          <w:rFonts w:ascii="Verdana" w:hAnsi="Verdana"/>
          <w:sz w:val="18"/>
          <w:szCs w:val="18"/>
          <w:lang w:val="el-GR"/>
        </w:rPr>
        <w:t>ες</w:t>
      </w:r>
      <w:r>
        <w:rPr>
          <w:rFonts w:ascii="Verdana" w:hAnsi="Verdana"/>
          <w:sz w:val="18"/>
          <w:szCs w:val="18"/>
          <w:lang w:val="el-GR"/>
        </w:rPr>
        <w:t xml:space="preserve"> στο ύπαιθρο</w:t>
      </w:r>
      <w:r w:rsidRPr="007671D0">
        <w:rPr>
          <w:rFonts w:ascii="Verdana" w:hAnsi="Verdana"/>
          <w:sz w:val="18"/>
          <w:szCs w:val="18"/>
          <w:lang w:val="el-GR"/>
        </w:rPr>
        <w:t xml:space="preserve">, </w:t>
      </w:r>
      <w:r>
        <w:rPr>
          <w:rFonts w:ascii="Verdana" w:hAnsi="Verdana"/>
          <w:sz w:val="18"/>
          <w:szCs w:val="18"/>
          <w:lang w:val="el-GR"/>
        </w:rPr>
        <w:t xml:space="preserve">τη μεγαλύτερη έκταση καταλαμβάνουν τα φυτά που συγκομίζονται </w:t>
      </w:r>
      <w:r w:rsidRPr="007671D0">
        <w:rPr>
          <w:rFonts w:ascii="Verdana" w:hAnsi="Verdana"/>
          <w:sz w:val="18"/>
          <w:szCs w:val="18"/>
          <w:lang w:val="el-GR"/>
        </w:rPr>
        <w:t>χλωρά (πράσιν</w:t>
      </w:r>
      <w:r>
        <w:rPr>
          <w:rFonts w:ascii="Verdana" w:hAnsi="Verdana"/>
          <w:sz w:val="18"/>
          <w:szCs w:val="18"/>
          <w:lang w:val="el-GR"/>
        </w:rPr>
        <w:t>α</w:t>
      </w:r>
      <w:r w:rsidRPr="007671D0">
        <w:rPr>
          <w:rFonts w:ascii="Verdana" w:hAnsi="Verdana"/>
          <w:sz w:val="18"/>
          <w:szCs w:val="18"/>
          <w:lang w:val="el-GR"/>
        </w:rPr>
        <w:t>) και προορίζονται κυρίως για ζωοτροφές</w:t>
      </w:r>
      <w:r>
        <w:rPr>
          <w:rFonts w:ascii="Verdana" w:hAnsi="Verdana"/>
          <w:sz w:val="18"/>
          <w:szCs w:val="18"/>
          <w:lang w:val="el-GR"/>
        </w:rPr>
        <w:t xml:space="preserve"> ή </w:t>
      </w:r>
      <w:r w:rsidRPr="007671D0">
        <w:rPr>
          <w:rFonts w:ascii="Verdana" w:hAnsi="Verdana"/>
          <w:sz w:val="18"/>
          <w:szCs w:val="18"/>
          <w:lang w:val="el-GR"/>
        </w:rPr>
        <w:t xml:space="preserve">βόσκηση </w:t>
      </w:r>
      <w:r>
        <w:rPr>
          <w:rFonts w:ascii="Verdana" w:hAnsi="Verdana"/>
          <w:sz w:val="18"/>
          <w:szCs w:val="18"/>
          <w:lang w:val="el-GR"/>
        </w:rPr>
        <w:t xml:space="preserve">με 518.658 δεκάρια και ακολουθούν τα διάφορα είδη </w:t>
      </w:r>
      <w:r w:rsidRPr="007671D0">
        <w:rPr>
          <w:rFonts w:ascii="Verdana" w:hAnsi="Verdana"/>
          <w:sz w:val="18"/>
          <w:szCs w:val="18"/>
          <w:lang w:val="el-GR"/>
        </w:rPr>
        <w:t>σιτηρ</w:t>
      </w:r>
      <w:r>
        <w:rPr>
          <w:rFonts w:ascii="Verdana" w:hAnsi="Verdana"/>
          <w:sz w:val="18"/>
          <w:szCs w:val="18"/>
          <w:lang w:val="el-GR"/>
        </w:rPr>
        <w:t xml:space="preserve">ών </w:t>
      </w:r>
      <w:r w:rsidRPr="007671D0">
        <w:rPr>
          <w:rFonts w:ascii="Verdana" w:hAnsi="Verdana"/>
          <w:sz w:val="18"/>
          <w:szCs w:val="18"/>
          <w:lang w:val="el-GR"/>
        </w:rPr>
        <w:t xml:space="preserve">για την παραγωγή καρπού </w:t>
      </w:r>
      <w:r>
        <w:rPr>
          <w:rFonts w:ascii="Verdana" w:hAnsi="Verdana"/>
          <w:sz w:val="18"/>
          <w:szCs w:val="18"/>
          <w:lang w:val="el-GR"/>
        </w:rPr>
        <w:t xml:space="preserve">με 278.733 δεκάρια. </w:t>
      </w:r>
    </w:p>
    <w:p w14:paraId="501C42FA" w14:textId="77777777" w:rsidR="007671D0" w:rsidRDefault="007671D0" w:rsidP="007671D0">
      <w:pPr>
        <w:jc w:val="both"/>
        <w:rPr>
          <w:rFonts w:ascii="Verdana" w:hAnsi="Verdana"/>
          <w:sz w:val="18"/>
          <w:szCs w:val="18"/>
          <w:lang w:val="el-GR"/>
        </w:rPr>
      </w:pPr>
    </w:p>
    <w:p w14:paraId="67423F6B" w14:textId="77777777" w:rsidR="00775E9C" w:rsidRDefault="00661540" w:rsidP="007671D0">
      <w:pPr>
        <w:jc w:val="both"/>
        <w:rPr>
          <w:rFonts w:ascii="Verdana" w:hAnsi="Verdana"/>
          <w:sz w:val="18"/>
          <w:szCs w:val="18"/>
          <w:lang w:val="el-GR"/>
        </w:rPr>
      </w:pPr>
      <w:r>
        <w:rPr>
          <w:rFonts w:ascii="Verdana" w:hAnsi="Verdana"/>
          <w:sz w:val="18"/>
          <w:szCs w:val="18"/>
          <w:lang w:val="el-GR"/>
        </w:rPr>
        <w:t xml:space="preserve">Από τις </w:t>
      </w:r>
      <w:r w:rsidR="007671D0">
        <w:rPr>
          <w:rFonts w:ascii="Verdana" w:hAnsi="Verdana"/>
          <w:sz w:val="18"/>
          <w:szCs w:val="18"/>
          <w:lang w:val="el-GR"/>
        </w:rPr>
        <w:t>πολυετείς (μόνιμες) καλλιέργειες</w:t>
      </w:r>
      <w:r w:rsidR="00452A0A">
        <w:rPr>
          <w:rFonts w:ascii="Verdana" w:hAnsi="Verdana"/>
          <w:sz w:val="18"/>
          <w:szCs w:val="18"/>
          <w:lang w:val="el-GR"/>
        </w:rPr>
        <w:t>,</w:t>
      </w:r>
      <w:r w:rsidR="00775E9C">
        <w:rPr>
          <w:rFonts w:ascii="Verdana" w:hAnsi="Verdana"/>
          <w:sz w:val="18"/>
          <w:szCs w:val="18"/>
          <w:lang w:val="el-GR"/>
        </w:rPr>
        <w:t xml:space="preserve"> οι ελαιώνες </w:t>
      </w:r>
      <w:r>
        <w:rPr>
          <w:rFonts w:ascii="Verdana" w:hAnsi="Verdana"/>
          <w:sz w:val="18"/>
          <w:szCs w:val="18"/>
          <w:lang w:val="el-GR"/>
        </w:rPr>
        <w:t xml:space="preserve">καταλαμβάνουν τη μεγαλύτερη έκταση </w:t>
      </w:r>
      <w:r w:rsidR="00775E9C">
        <w:rPr>
          <w:rFonts w:ascii="Verdana" w:hAnsi="Verdana"/>
          <w:sz w:val="18"/>
          <w:szCs w:val="18"/>
          <w:lang w:val="el-GR"/>
        </w:rPr>
        <w:t xml:space="preserve">με 120.686 δεκάρια, </w:t>
      </w:r>
      <w:r>
        <w:rPr>
          <w:rFonts w:ascii="Verdana" w:hAnsi="Verdana"/>
          <w:sz w:val="18"/>
          <w:szCs w:val="18"/>
          <w:lang w:val="el-GR"/>
        </w:rPr>
        <w:t xml:space="preserve">ακολουθούν </w:t>
      </w:r>
      <w:r w:rsidR="00775E9C">
        <w:rPr>
          <w:rFonts w:ascii="Verdana" w:hAnsi="Verdana"/>
          <w:sz w:val="18"/>
          <w:szCs w:val="18"/>
          <w:lang w:val="el-GR"/>
        </w:rPr>
        <w:t xml:space="preserve">τα αμπέλια με 65.997 δεκάρια και τα εσπεριδοειδή </w:t>
      </w:r>
      <w:r>
        <w:rPr>
          <w:rFonts w:ascii="Verdana" w:hAnsi="Verdana"/>
          <w:sz w:val="18"/>
          <w:szCs w:val="18"/>
          <w:lang w:val="el-GR"/>
        </w:rPr>
        <w:t>με</w:t>
      </w:r>
      <w:r w:rsidR="00775E9C">
        <w:rPr>
          <w:rFonts w:ascii="Verdana" w:hAnsi="Verdana"/>
          <w:sz w:val="18"/>
          <w:szCs w:val="18"/>
          <w:lang w:val="el-GR"/>
        </w:rPr>
        <w:t xml:space="preserve"> 34.230 δεκάρια.</w:t>
      </w:r>
    </w:p>
    <w:p w14:paraId="7387DA76" w14:textId="77777777" w:rsidR="00775E9C" w:rsidRDefault="00775E9C" w:rsidP="007671D0">
      <w:pPr>
        <w:jc w:val="both"/>
        <w:rPr>
          <w:rFonts w:ascii="Verdana" w:hAnsi="Verdana"/>
          <w:sz w:val="18"/>
          <w:szCs w:val="18"/>
          <w:lang w:val="el-GR"/>
        </w:rPr>
      </w:pPr>
    </w:p>
    <w:p w14:paraId="3DD4E4F7" w14:textId="77777777" w:rsidR="00775E9C" w:rsidRDefault="00775E9C" w:rsidP="007671D0">
      <w:pPr>
        <w:jc w:val="both"/>
        <w:rPr>
          <w:rFonts w:ascii="Verdana" w:hAnsi="Verdana"/>
          <w:sz w:val="18"/>
          <w:szCs w:val="18"/>
          <w:lang w:val="el-GR"/>
        </w:rPr>
      </w:pPr>
    </w:p>
    <w:p w14:paraId="2B60BA90" w14:textId="77777777" w:rsidR="0046724D" w:rsidRPr="00775E9C" w:rsidRDefault="0046724D" w:rsidP="00775E9C">
      <w:pPr>
        <w:jc w:val="both"/>
        <w:rPr>
          <w:rFonts w:ascii="Verdana" w:hAnsi="Verdana"/>
          <w:sz w:val="18"/>
          <w:szCs w:val="18"/>
          <w:lang w:val="el-GR"/>
        </w:rPr>
      </w:pPr>
      <w:r w:rsidRPr="004279B4">
        <w:rPr>
          <w:rFonts w:ascii="Verdana" w:hAnsi="Verdana"/>
          <w:sz w:val="18"/>
          <w:szCs w:val="18"/>
          <w:lang w:val="el-GR"/>
        </w:rPr>
        <w:lastRenderedPageBreak/>
        <w:t xml:space="preserve">Η </w:t>
      </w:r>
      <w:r w:rsidR="003E59A5">
        <w:rPr>
          <w:rFonts w:ascii="Verdana" w:hAnsi="Verdana"/>
          <w:sz w:val="18"/>
          <w:szCs w:val="18"/>
          <w:lang w:val="el-GR"/>
        </w:rPr>
        <w:t xml:space="preserve">συνολική </w:t>
      </w:r>
      <w:r w:rsidRPr="004279B4">
        <w:rPr>
          <w:rFonts w:ascii="Verdana" w:hAnsi="Verdana"/>
          <w:sz w:val="18"/>
          <w:szCs w:val="18"/>
          <w:lang w:val="el-GR"/>
        </w:rPr>
        <w:t xml:space="preserve">αρδεύσιμη έκταση </w:t>
      </w:r>
      <w:r w:rsidR="003E59A5">
        <w:rPr>
          <w:rFonts w:ascii="Verdana" w:hAnsi="Verdana"/>
          <w:sz w:val="18"/>
          <w:szCs w:val="18"/>
          <w:lang w:val="el-GR"/>
        </w:rPr>
        <w:t xml:space="preserve">ανέρχεται στα </w:t>
      </w:r>
      <w:r w:rsidR="00E21419" w:rsidRPr="004279B4">
        <w:rPr>
          <w:rFonts w:ascii="Verdana" w:hAnsi="Verdana"/>
          <w:sz w:val="18"/>
          <w:szCs w:val="18"/>
          <w:lang w:val="el-GR"/>
        </w:rPr>
        <w:t>381.250</w:t>
      </w:r>
      <w:r w:rsidRPr="004279B4">
        <w:rPr>
          <w:rFonts w:ascii="Verdana" w:hAnsi="Verdana"/>
          <w:sz w:val="18"/>
          <w:szCs w:val="18"/>
          <w:lang w:val="el-GR"/>
        </w:rPr>
        <w:t xml:space="preserve"> δεκάρια </w:t>
      </w:r>
      <w:r w:rsidR="00775E9C">
        <w:rPr>
          <w:rFonts w:ascii="Verdana" w:hAnsi="Verdana"/>
          <w:sz w:val="18"/>
          <w:szCs w:val="18"/>
          <w:lang w:val="el-GR"/>
        </w:rPr>
        <w:t>ή</w:t>
      </w:r>
      <w:r w:rsidR="003E59A5">
        <w:rPr>
          <w:rFonts w:ascii="Verdana" w:hAnsi="Verdana"/>
          <w:sz w:val="18"/>
          <w:szCs w:val="18"/>
          <w:lang w:val="el-GR"/>
        </w:rPr>
        <w:t xml:space="preserve"> </w:t>
      </w:r>
      <w:r w:rsidR="00E21419" w:rsidRPr="004279B4">
        <w:rPr>
          <w:rFonts w:ascii="Verdana" w:hAnsi="Verdana"/>
          <w:sz w:val="18"/>
          <w:szCs w:val="18"/>
          <w:lang w:val="el-GR"/>
        </w:rPr>
        <w:t>28,4</w:t>
      </w:r>
      <w:r w:rsidR="003E59A5">
        <w:rPr>
          <w:rFonts w:ascii="Verdana" w:hAnsi="Verdana"/>
          <w:sz w:val="18"/>
          <w:szCs w:val="18"/>
          <w:lang w:val="el-GR"/>
        </w:rPr>
        <w:t>%</w:t>
      </w:r>
      <w:r w:rsidRPr="004279B4">
        <w:rPr>
          <w:rFonts w:ascii="Verdana" w:hAnsi="Verdana"/>
          <w:sz w:val="18"/>
          <w:szCs w:val="18"/>
          <w:lang w:val="el-GR"/>
        </w:rPr>
        <w:t xml:space="preserve"> της συνολικής </w:t>
      </w:r>
      <w:r w:rsidR="00E21419" w:rsidRPr="00775E9C">
        <w:rPr>
          <w:rFonts w:ascii="Verdana" w:hAnsi="Verdana"/>
          <w:sz w:val="18"/>
          <w:szCs w:val="18"/>
          <w:lang w:val="el-GR"/>
        </w:rPr>
        <w:t xml:space="preserve">χρησιμοποιούμενης γεωργικής </w:t>
      </w:r>
      <w:r w:rsidRPr="00775E9C">
        <w:rPr>
          <w:rFonts w:ascii="Verdana" w:hAnsi="Verdana"/>
          <w:sz w:val="18"/>
          <w:szCs w:val="18"/>
          <w:lang w:val="el-GR"/>
        </w:rPr>
        <w:t>έκτασης</w:t>
      </w:r>
      <w:r w:rsidR="003E59A5" w:rsidRPr="00775E9C">
        <w:rPr>
          <w:rFonts w:ascii="Verdana" w:hAnsi="Verdana"/>
          <w:sz w:val="18"/>
          <w:szCs w:val="18"/>
          <w:lang w:val="el-GR"/>
        </w:rPr>
        <w:t>. Η</w:t>
      </w:r>
      <w:r w:rsidRPr="00775E9C">
        <w:rPr>
          <w:rFonts w:ascii="Verdana" w:hAnsi="Verdana"/>
          <w:sz w:val="18"/>
          <w:szCs w:val="18"/>
          <w:lang w:val="el-GR"/>
        </w:rPr>
        <w:t xml:space="preserve"> αρδευθείσα </w:t>
      </w:r>
      <w:r w:rsidR="003E59A5" w:rsidRPr="00775E9C">
        <w:rPr>
          <w:rFonts w:ascii="Verdana" w:hAnsi="Verdana"/>
          <w:sz w:val="18"/>
          <w:szCs w:val="18"/>
          <w:lang w:val="el-GR"/>
        </w:rPr>
        <w:t>έκταση φτάνει στα</w:t>
      </w:r>
      <w:r w:rsidRPr="00775E9C">
        <w:rPr>
          <w:rFonts w:ascii="Verdana" w:hAnsi="Verdana"/>
          <w:sz w:val="18"/>
          <w:szCs w:val="18"/>
          <w:lang w:val="el-GR"/>
        </w:rPr>
        <w:t xml:space="preserve"> </w:t>
      </w:r>
      <w:r w:rsidR="00E21419" w:rsidRPr="00775E9C">
        <w:rPr>
          <w:rFonts w:ascii="Verdana" w:hAnsi="Verdana"/>
          <w:sz w:val="18"/>
          <w:szCs w:val="18"/>
          <w:lang w:val="el-GR"/>
        </w:rPr>
        <w:t>266.076</w:t>
      </w:r>
      <w:r w:rsidRPr="00775E9C">
        <w:rPr>
          <w:rFonts w:ascii="Verdana" w:hAnsi="Verdana"/>
          <w:sz w:val="18"/>
          <w:szCs w:val="18"/>
          <w:lang w:val="el-GR"/>
        </w:rPr>
        <w:t xml:space="preserve"> δεκάρια</w:t>
      </w:r>
      <w:r w:rsidR="003E59A5" w:rsidRPr="00775E9C">
        <w:rPr>
          <w:rFonts w:ascii="Verdana" w:hAnsi="Verdana"/>
          <w:sz w:val="18"/>
          <w:szCs w:val="18"/>
          <w:lang w:val="el-GR"/>
        </w:rPr>
        <w:t xml:space="preserve">, </w:t>
      </w:r>
      <w:r w:rsidR="00775E9C" w:rsidRPr="00775E9C">
        <w:rPr>
          <w:rFonts w:ascii="Verdana" w:hAnsi="Verdana"/>
          <w:sz w:val="18"/>
          <w:szCs w:val="18"/>
          <w:lang w:val="el-GR"/>
        </w:rPr>
        <w:t xml:space="preserve">δηλαδή </w:t>
      </w:r>
      <w:r w:rsidR="00E21419" w:rsidRPr="00775E9C">
        <w:rPr>
          <w:rFonts w:ascii="Verdana" w:hAnsi="Verdana"/>
          <w:sz w:val="18"/>
          <w:szCs w:val="18"/>
          <w:lang w:val="el-GR"/>
        </w:rPr>
        <w:t>19,8</w:t>
      </w:r>
      <w:r w:rsidRPr="00775E9C">
        <w:rPr>
          <w:rFonts w:ascii="Verdana" w:hAnsi="Verdana"/>
          <w:sz w:val="18"/>
          <w:szCs w:val="18"/>
          <w:lang w:val="el-GR"/>
        </w:rPr>
        <w:t xml:space="preserve">% της συνολικής </w:t>
      </w:r>
      <w:r w:rsidR="00E21419" w:rsidRPr="00775E9C">
        <w:rPr>
          <w:rFonts w:ascii="Verdana" w:hAnsi="Verdana"/>
          <w:sz w:val="18"/>
          <w:szCs w:val="18"/>
          <w:lang w:val="el-GR"/>
        </w:rPr>
        <w:t xml:space="preserve">χρησιμοποιούμενης γεωργικής </w:t>
      </w:r>
      <w:r w:rsidRPr="00775E9C">
        <w:rPr>
          <w:rFonts w:ascii="Verdana" w:hAnsi="Verdana"/>
          <w:sz w:val="18"/>
          <w:szCs w:val="18"/>
          <w:lang w:val="el-GR"/>
        </w:rPr>
        <w:t xml:space="preserve">έκτασης. </w:t>
      </w:r>
    </w:p>
    <w:p w14:paraId="38E1F031" w14:textId="77777777" w:rsidR="00775E9C" w:rsidRPr="00775E9C" w:rsidRDefault="00775E9C" w:rsidP="00775E9C">
      <w:pPr>
        <w:jc w:val="both"/>
        <w:rPr>
          <w:rFonts w:ascii="Verdana" w:hAnsi="Verdana"/>
          <w:sz w:val="18"/>
          <w:szCs w:val="18"/>
          <w:lang w:val="el-GR"/>
        </w:rPr>
      </w:pPr>
    </w:p>
    <w:p w14:paraId="4EC86563" w14:textId="77777777" w:rsidR="00775E9C" w:rsidRPr="00775E9C" w:rsidRDefault="00452A0A" w:rsidP="00775E9C">
      <w:pPr>
        <w:jc w:val="both"/>
        <w:rPr>
          <w:rFonts w:ascii="Verdana" w:hAnsi="Verdana"/>
          <w:sz w:val="18"/>
          <w:szCs w:val="18"/>
          <w:lang w:val="el-GR"/>
        </w:rPr>
      </w:pPr>
      <w:r>
        <w:rPr>
          <w:rFonts w:ascii="Verdana" w:hAnsi="Verdana"/>
          <w:sz w:val="18"/>
          <w:szCs w:val="18"/>
          <w:lang w:val="el-GR"/>
        </w:rPr>
        <w:t>Μ</w:t>
      </w:r>
      <w:r w:rsidR="00775E9C" w:rsidRPr="00775E9C">
        <w:rPr>
          <w:rFonts w:ascii="Verdana" w:hAnsi="Verdana"/>
          <w:sz w:val="18"/>
          <w:szCs w:val="18"/>
          <w:lang w:val="el-GR"/>
        </w:rPr>
        <w:t>έθοδοι βιολογικής καλλιέργειας</w:t>
      </w:r>
      <w:r w:rsidR="00661540">
        <w:rPr>
          <w:rFonts w:ascii="Verdana" w:hAnsi="Verdana"/>
          <w:sz w:val="18"/>
          <w:szCs w:val="18"/>
          <w:lang w:val="el-GR"/>
        </w:rPr>
        <w:t xml:space="preserve"> που</w:t>
      </w:r>
      <w:r>
        <w:rPr>
          <w:rFonts w:ascii="Verdana" w:hAnsi="Verdana"/>
          <w:sz w:val="18"/>
          <w:szCs w:val="18"/>
          <w:lang w:val="el-GR"/>
        </w:rPr>
        <w:t>,</w:t>
      </w:r>
      <w:r w:rsidR="00775E9C" w:rsidRPr="00775E9C">
        <w:rPr>
          <w:rFonts w:ascii="Verdana" w:hAnsi="Verdana"/>
          <w:sz w:val="18"/>
          <w:szCs w:val="18"/>
          <w:lang w:val="el-GR"/>
        </w:rPr>
        <w:t xml:space="preserve"> είτε εφαρμόζονται και πιστοποιούνται είτε </w:t>
      </w:r>
      <w:r w:rsidR="008F66C7" w:rsidRPr="00775E9C">
        <w:rPr>
          <w:rFonts w:ascii="Verdana" w:hAnsi="Verdana"/>
          <w:sz w:val="18"/>
          <w:szCs w:val="18"/>
          <w:lang w:val="el-GR"/>
        </w:rPr>
        <w:t>τελούν υπό μεταβατικό καθεστώς προς πιστοποίηση</w:t>
      </w:r>
      <w:r>
        <w:rPr>
          <w:rFonts w:ascii="Verdana" w:hAnsi="Verdana"/>
          <w:sz w:val="18"/>
          <w:szCs w:val="18"/>
          <w:lang w:val="el-GR"/>
        </w:rPr>
        <w:t xml:space="preserve">, υλοποιούνται </w:t>
      </w:r>
      <w:r w:rsidR="00661540">
        <w:rPr>
          <w:rFonts w:ascii="Verdana" w:hAnsi="Verdana"/>
          <w:sz w:val="18"/>
          <w:szCs w:val="18"/>
          <w:lang w:val="el-GR"/>
        </w:rPr>
        <w:t>σε</w:t>
      </w:r>
      <w:r w:rsidR="00775E9C" w:rsidRPr="00775E9C">
        <w:rPr>
          <w:rFonts w:ascii="Verdana" w:hAnsi="Verdana"/>
          <w:sz w:val="18"/>
          <w:szCs w:val="18"/>
          <w:lang w:val="el-GR"/>
        </w:rPr>
        <w:t xml:space="preserve"> </w:t>
      </w:r>
      <w:r w:rsidR="00775E9C">
        <w:rPr>
          <w:rFonts w:ascii="Verdana" w:hAnsi="Verdana"/>
          <w:sz w:val="18"/>
          <w:szCs w:val="18"/>
          <w:lang w:val="el-GR"/>
        </w:rPr>
        <w:t>1.246</w:t>
      </w:r>
      <w:r w:rsidR="00775E9C" w:rsidRPr="00775E9C">
        <w:rPr>
          <w:rFonts w:ascii="Verdana" w:hAnsi="Verdana"/>
          <w:sz w:val="18"/>
          <w:szCs w:val="18"/>
          <w:lang w:val="el-GR"/>
        </w:rPr>
        <w:t xml:space="preserve"> </w:t>
      </w:r>
      <w:r w:rsidR="00661540">
        <w:rPr>
          <w:rFonts w:ascii="Verdana" w:hAnsi="Verdana"/>
          <w:sz w:val="18"/>
          <w:szCs w:val="18"/>
          <w:lang w:val="el-GR"/>
        </w:rPr>
        <w:t xml:space="preserve">εκμεταλλεύσεις και καλύπτουν </w:t>
      </w:r>
      <w:r w:rsidR="00775E9C">
        <w:rPr>
          <w:rFonts w:ascii="Verdana" w:hAnsi="Verdana"/>
          <w:sz w:val="18"/>
          <w:szCs w:val="18"/>
          <w:lang w:val="el-GR"/>
        </w:rPr>
        <w:t>54.650</w:t>
      </w:r>
      <w:r w:rsidR="00775E9C" w:rsidRPr="00775E9C">
        <w:rPr>
          <w:rFonts w:ascii="Verdana" w:hAnsi="Verdana"/>
          <w:sz w:val="18"/>
          <w:szCs w:val="18"/>
          <w:lang w:val="el-GR"/>
        </w:rPr>
        <w:t xml:space="preserve"> δεκάρια</w:t>
      </w:r>
      <w:r w:rsidR="00775E9C">
        <w:rPr>
          <w:rFonts w:ascii="Verdana" w:hAnsi="Verdana"/>
          <w:sz w:val="18"/>
          <w:szCs w:val="18"/>
          <w:lang w:val="el-GR"/>
        </w:rPr>
        <w:t>, δηλαδή 4,1% της χρησιμοποιούμενης γεωργικής έκτασης</w:t>
      </w:r>
      <w:r w:rsidR="00775E9C" w:rsidRPr="00775E9C">
        <w:rPr>
          <w:rFonts w:ascii="Verdana" w:hAnsi="Verdana"/>
          <w:sz w:val="18"/>
          <w:szCs w:val="18"/>
          <w:lang w:val="el-GR"/>
        </w:rPr>
        <w:t xml:space="preserve">. </w:t>
      </w:r>
    </w:p>
    <w:p w14:paraId="78E65BC8" w14:textId="77777777" w:rsidR="00775E9C" w:rsidRPr="00775E9C" w:rsidRDefault="00775E9C" w:rsidP="00775E9C">
      <w:pPr>
        <w:jc w:val="both"/>
        <w:rPr>
          <w:rFonts w:ascii="Verdana" w:hAnsi="Verdana"/>
          <w:sz w:val="18"/>
          <w:szCs w:val="18"/>
          <w:lang w:val="el-GR"/>
        </w:rPr>
      </w:pPr>
    </w:p>
    <w:p w14:paraId="385BF92C" w14:textId="77777777" w:rsidR="00650B7E" w:rsidRDefault="00E21419" w:rsidP="003848C3">
      <w:pPr>
        <w:ind w:left="324" w:hanging="324"/>
        <w:rPr>
          <w:rFonts w:ascii="Verdana" w:hAnsi="Verdana"/>
          <w:b/>
          <w:sz w:val="18"/>
          <w:szCs w:val="18"/>
          <w:u w:val="single"/>
          <w:lang w:val="el-GR"/>
        </w:rPr>
      </w:pPr>
      <w:r w:rsidRPr="004279B4">
        <w:rPr>
          <w:rFonts w:ascii="Verdana" w:hAnsi="Verdana"/>
          <w:b/>
          <w:sz w:val="18"/>
          <w:szCs w:val="18"/>
          <w:u w:val="single"/>
          <w:lang w:val="el-GR"/>
        </w:rPr>
        <w:t>Κτηνοτροφία</w:t>
      </w:r>
    </w:p>
    <w:p w14:paraId="3B72EE04" w14:textId="77777777" w:rsidR="00F93CA8" w:rsidRPr="004279B4" w:rsidRDefault="00F93CA8" w:rsidP="003848C3">
      <w:pPr>
        <w:ind w:left="324" w:hanging="324"/>
        <w:rPr>
          <w:rFonts w:ascii="Verdana" w:hAnsi="Verdana"/>
          <w:sz w:val="18"/>
          <w:szCs w:val="18"/>
          <w:lang w:val="el-GR"/>
        </w:rPr>
      </w:pPr>
    </w:p>
    <w:p w14:paraId="4321F1E9" w14:textId="77777777" w:rsidR="003848C3" w:rsidRDefault="003E59A5" w:rsidP="003848C3">
      <w:pPr>
        <w:jc w:val="both"/>
        <w:rPr>
          <w:rFonts w:ascii="Verdana" w:hAnsi="Verdana" w:cs="Calibri"/>
          <w:sz w:val="18"/>
          <w:szCs w:val="18"/>
          <w:lang w:val="el-GR"/>
        </w:rPr>
      </w:pPr>
      <w:r>
        <w:rPr>
          <w:rFonts w:ascii="Verdana" w:hAnsi="Verdana" w:cs="Calibri"/>
          <w:sz w:val="18"/>
          <w:szCs w:val="18"/>
          <w:lang w:val="el-GR"/>
        </w:rPr>
        <w:t xml:space="preserve">Οι </w:t>
      </w:r>
      <w:r w:rsidR="009B3BAA" w:rsidRPr="004279B4">
        <w:rPr>
          <w:rFonts w:ascii="Verdana" w:hAnsi="Verdana" w:cs="Calibri"/>
          <w:sz w:val="18"/>
          <w:szCs w:val="18"/>
          <w:lang w:val="el-GR"/>
        </w:rPr>
        <w:t>εκμεταλλεύσ</w:t>
      </w:r>
      <w:r>
        <w:rPr>
          <w:rFonts w:ascii="Verdana" w:hAnsi="Verdana" w:cs="Calibri"/>
          <w:sz w:val="18"/>
          <w:szCs w:val="18"/>
          <w:lang w:val="el-GR"/>
        </w:rPr>
        <w:t>εις</w:t>
      </w:r>
      <w:r w:rsidR="009B3BAA" w:rsidRPr="004279B4">
        <w:rPr>
          <w:rFonts w:ascii="Verdana" w:hAnsi="Verdana" w:cs="Calibri"/>
          <w:sz w:val="18"/>
          <w:szCs w:val="18"/>
          <w:lang w:val="el-GR"/>
        </w:rPr>
        <w:t xml:space="preserve"> που </w:t>
      </w:r>
      <w:r>
        <w:rPr>
          <w:rFonts w:ascii="Verdana" w:hAnsi="Verdana" w:cs="Calibri"/>
          <w:sz w:val="18"/>
          <w:szCs w:val="18"/>
          <w:lang w:val="el-GR"/>
        </w:rPr>
        <w:t xml:space="preserve">εκτρέφουν </w:t>
      </w:r>
      <w:r w:rsidR="009B3BAA" w:rsidRPr="004279B4">
        <w:rPr>
          <w:rFonts w:ascii="Verdana" w:hAnsi="Verdana" w:cs="Calibri"/>
          <w:sz w:val="18"/>
          <w:szCs w:val="18"/>
          <w:lang w:val="el-GR"/>
        </w:rPr>
        <w:t xml:space="preserve">βοοειδή </w:t>
      </w:r>
      <w:r>
        <w:rPr>
          <w:rFonts w:ascii="Verdana" w:hAnsi="Verdana" w:cs="Calibri"/>
          <w:sz w:val="18"/>
          <w:szCs w:val="18"/>
          <w:lang w:val="el-GR"/>
        </w:rPr>
        <w:t xml:space="preserve">αριθμούν σε </w:t>
      </w:r>
      <w:r w:rsidR="009B3BAA" w:rsidRPr="004279B4">
        <w:rPr>
          <w:rFonts w:ascii="Verdana" w:hAnsi="Verdana" w:cs="Calibri"/>
          <w:sz w:val="18"/>
          <w:szCs w:val="18"/>
          <w:lang w:val="el-GR"/>
        </w:rPr>
        <w:t>311</w:t>
      </w:r>
      <w:r w:rsidR="009F6529">
        <w:rPr>
          <w:rFonts w:ascii="Verdana" w:hAnsi="Verdana" w:cs="Calibri"/>
          <w:sz w:val="18"/>
          <w:szCs w:val="18"/>
          <w:lang w:val="el-GR"/>
        </w:rPr>
        <w:t>,</w:t>
      </w:r>
      <w:r w:rsidR="009B3BAA" w:rsidRPr="004279B4">
        <w:rPr>
          <w:rFonts w:ascii="Verdana" w:hAnsi="Verdana" w:cs="Calibri"/>
          <w:sz w:val="18"/>
          <w:szCs w:val="18"/>
          <w:lang w:val="el-GR"/>
        </w:rPr>
        <w:t xml:space="preserve"> με 83.561</w:t>
      </w:r>
      <w:r w:rsidR="003E44D1">
        <w:rPr>
          <w:rFonts w:ascii="Verdana" w:hAnsi="Verdana" w:cs="Calibri"/>
          <w:sz w:val="18"/>
          <w:szCs w:val="18"/>
          <w:lang w:val="el-GR"/>
        </w:rPr>
        <w:t xml:space="preserve"> </w:t>
      </w:r>
      <w:r w:rsidR="00452A0A">
        <w:rPr>
          <w:rFonts w:ascii="Verdana" w:hAnsi="Verdana" w:cs="Calibri"/>
          <w:sz w:val="18"/>
          <w:szCs w:val="18"/>
          <w:lang w:val="el-GR"/>
        </w:rPr>
        <w:t xml:space="preserve">ζώα </w:t>
      </w:r>
      <w:r w:rsidR="009B3BAA" w:rsidRPr="004279B4">
        <w:rPr>
          <w:rFonts w:ascii="Verdana" w:hAnsi="Verdana" w:cs="Calibri"/>
          <w:sz w:val="18"/>
          <w:szCs w:val="18"/>
          <w:lang w:val="el-GR"/>
        </w:rPr>
        <w:t xml:space="preserve">και </w:t>
      </w:r>
      <w:r w:rsidR="003E44D1">
        <w:rPr>
          <w:rFonts w:ascii="Verdana" w:hAnsi="Verdana" w:cs="Calibri"/>
          <w:sz w:val="18"/>
          <w:szCs w:val="18"/>
          <w:lang w:val="el-GR"/>
        </w:rPr>
        <w:t xml:space="preserve">οι εκμεταλλεύσεις που εκτρέφουν χοίρους </w:t>
      </w:r>
      <w:r w:rsidR="009B3BAA" w:rsidRPr="004279B4">
        <w:rPr>
          <w:rFonts w:ascii="Verdana" w:hAnsi="Verdana" w:cs="Calibri"/>
          <w:sz w:val="18"/>
          <w:szCs w:val="18"/>
          <w:lang w:val="el-GR"/>
        </w:rPr>
        <w:t>σε 156</w:t>
      </w:r>
      <w:r w:rsidR="009F6529">
        <w:rPr>
          <w:rFonts w:ascii="Verdana" w:hAnsi="Verdana" w:cs="Calibri"/>
          <w:sz w:val="18"/>
          <w:szCs w:val="18"/>
          <w:lang w:val="el-GR"/>
        </w:rPr>
        <w:t>,</w:t>
      </w:r>
      <w:r w:rsidR="009B3BAA" w:rsidRPr="004279B4">
        <w:rPr>
          <w:rFonts w:ascii="Verdana" w:hAnsi="Verdana" w:cs="Calibri"/>
          <w:sz w:val="18"/>
          <w:szCs w:val="18"/>
          <w:lang w:val="el-GR"/>
        </w:rPr>
        <w:t xml:space="preserve"> </w:t>
      </w:r>
      <w:r w:rsidR="003E44D1">
        <w:rPr>
          <w:rFonts w:ascii="Verdana" w:hAnsi="Verdana" w:cs="Calibri"/>
          <w:sz w:val="18"/>
          <w:szCs w:val="18"/>
          <w:lang w:val="el-GR"/>
        </w:rPr>
        <w:t xml:space="preserve">με </w:t>
      </w:r>
      <w:r w:rsidR="009B3BAA" w:rsidRPr="004279B4">
        <w:rPr>
          <w:rFonts w:ascii="Verdana" w:hAnsi="Verdana" w:cs="Calibri"/>
          <w:sz w:val="18"/>
          <w:szCs w:val="18"/>
          <w:lang w:val="el-GR"/>
        </w:rPr>
        <w:t>323.522</w:t>
      </w:r>
      <w:r w:rsidR="00452A0A">
        <w:rPr>
          <w:rFonts w:ascii="Verdana" w:hAnsi="Verdana" w:cs="Calibri"/>
          <w:sz w:val="18"/>
          <w:szCs w:val="18"/>
          <w:lang w:val="el-GR"/>
        </w:rPr>
        <w:t xml:space="preserve"> ζώα</w:t>
      </w:r>
      <w:r w:rsidR="009B3BAA" w:rsidRPr="004279B4">
        <w:rPr>
          <w:rFonts w:ascii="Verdana" w:hAnsi="Verdana" w:cs="Calibri"/>
          <w:sz w:val="18"/>
          <w:szCs w:val="18"/>
          <w:lang w:val="el-GR"/>
        </w:rPr>
        <w:t xml:space="preserve">. Ο συνολικός αριθμός εκμεταλλεύσεων με προβατοειδή </w:t>
      </w:r>
      <w:r w:rsidR="003E44D1">
        <w:rPr>
          <w:rFonts w:ascii="Verdana" w:hAnsi="Verdana" w:cs="Calibri"/>
          <w:sz w:val="18"/>
          <w:szCs w:val="18"/>
          <w:lang w:val="el-GR"/>
        </w:rPr>
        <w:t xml:space="preserve">είναι </w:t>
      </w:r>
      <w:r w:rsidR="009B3BAA" w:rsidRPr="004279B4">
        <w:rPr>
          <w:rFonts w:ascii="Verdana" w:hAnsi="Verdana" w:cs="Calibri"/>
          <w:sz w:val="18"/>
          <w:szCs w:val="18"/>
          <w:lang w:val="el-GR"/>
        </w:rPr>
        <w:t>1.509</w:t>
      </w:r>
      <w:r w:rsidR="009F6529">
        <w:rPr>
          <w:rFonts w:ascii="Verdana" w:hAnsi="Verdana" w:cs="Calibri"/>
          <w:sz w:val="18"/>
          <w:szCs w:val="18"/>
          <w:lang w:val="el-GR"/>
        </w:rPr>
        <w:t>,</w:t>
      </w:r>
      <w:r w:rsidR="009B3BAA" w:rsidRPr="004279B4">
        <w:rPr>
          <w:rFonts w:ascii="Verdana" w:hAnsi="Verdana" w:cs="Calibri"/>
          <w:sz w:val="18"/>
          <w:szCs w:val="18"/>
          <w:lang w:val="el-GR"/>
        </w:rPr>
        <w:t xml:space="preserve"> με πληθυσμό 327.882 κεφαλές </w:t>
      </w:r>
      <w:r w:rsidR="008F66C7">
        <w:rPr>
          <w:rFonts w:ascii="Verdana" w:hAnsi="Verdana" w:cs="Calibri"/>
          <w:sz w:val="18"/>
          <w:szCs w:val="18"/>
          <w:lang w:val="el-GR"/>
        </w:rPr>
        <w:t>ενώ</w:t>
      </w:r>
      <w:r w:rsidR="009B3BAA" w:rsidRPr="004279B4">
        <w:rPr>
          <w:rFonts w:ascii="Verdana" w:hAnsi="Verdana" w:cs="Calibri"/>
          <w:sz w:val="18"/>
          <w:szCs w:val="18"/>
          <w:lang w:val="el-GR"/>
        </w:rPr>
        <w:t xml:space="preserve"> 1.587 εκμεταλλεύσεις διαχειρίζοντα</w:t>
      </w:r>
      <w:r w:rsidR="003E44D1">
        <w:rPr>
          <w:rFonts w:ascii="Verdana" w:hAnsi="Verdana" w:cs="Calibri"/>
          <w:sz w:val="18"/>
          <w:szCs w:val="18"/>
          <w:lang w:val="el-GR"/>
        </w:rPr>
        <w:t>ι</w:t>
      </w:r>
      <w:r w:rsidR="009B3BAA" w:rsidRPr="004279B4">
        <w:rPr>
          <w:rFonts w:ascii="Verdana" w:hAnsi="Verdana" w:cs="Calibri"/>
          <w:sz w:val="18"/>
          <w:szCs w:val="18"/>
          <w:lang w:val="el-GR"/>
        </w:rPr>
        <w:t xml:space="preserve"> 232.831 αιγοειδή. </w:t>
      </w:r>
      <w:r w:rsidR="003E44D1">
        <w:rPr>
          <w:rFonts w:ascii="Verdana" w:hAnsi="Verdana" w:cs="Calibri"/>
          <w:sz w:val="18"/>
          <w:szCs w:val="18"/>
          <w:lang w:val="el-GR"/>
        </w:rPr>
        <w:t>Σε ότι αφορά τα</w:t>
      </w:r>
      <w:r w:rsidR="003848C3" w:rsidRPr="004279B4">
        <w:rPr>
          <w:rFonts w:ascii="Verdana" w:hAnsi="Verdana" w:cs="Calibri"/>
          <w:sz w:val="18"/>
          <w:szCs w:val="18"/>
          <w:lang w:val="el-GR"/>
        </w:rPr>
        <w:t xml:space="preserve"> πουλερικ</w:t>
      </w:r>
      <w:r w:rsidR="003E44D1">
        <w:rPr>
          <w:rFonts w:ascii="Verdana" w:hAnsi="Verdana" w:cs="Calibri"/>
          <w:sz w:val="18"/>
          <w:szCs w:val="18"/>
          <w:lang w:val="el-GR"/>
        </w:rPr>
        <w:t>ά</w:t>
      </w:r>
      <w:r w:rsidR="009F6529">
        <w:rPr>
          <w:rFonts w:ascii="Verdana" w:hAnsi="Verdana" w:cs="Calibri"/>
          <w:sz w:val="18"/>
          <w:szCs w:val="18"/>
          <w:lang w:val="el-GR"/>
        </w:rPr>
        <w:t>,</w:t>
      </w:r>
      <w:r w:rsidR="003848C3" w:rsidRPr="004279B4">
        <w:rPr>
          <w:rFonts w:ascii="Verdana" w:hAnsi="Verdana" w:cs="Calibri"/>
          <w:sz w:val="18"/>
          <w:szCs w:val="18"/>
          <w:lang w:val="el-GR"/>
        </w:rPr>
        <w:t xml:space="preserve"> </w:t>
      </w:r>
      <w:r w:rsidR="003E44D1">
        <w:rPr>
          <w:rFonts w:ascii="Verdana" w:hAnsi="Verdana" w:cs="Calibri"/>
          <w:sz w:val="18"/>
          <w:szCs w:val="18"/>
          <w:lang w:val="el-GR"/>
        </w:rPr>
        <w:t xml:space="preserve">υπάρχουν 6.450 εκμεταλλεύσεις που εκτρέφουν </w:t>
      </w:r>
      <w:r w:rsidR="0045519A" w:rsidRPr="004279B4">
        <w:rPr>
          <w:rFonts w:ascii="Verdana" w:hAnsi="Verdana" w:cs="Calibri"/>
          <w:sz w:val="18"/>
          <w:szCs w:val="18"/>
          <w:lang w:val="el-GR"/>
        </w:rPr>
        <w:t>4.730.039</w:t>
      </w:r>
      <w:r w:rsidR="003E44D1">
        <w:rPr>
          <w:rFonts w:ascii="Verdana" w:hAnsi="Verdana" w:cs="Calibri"/>
          <w:sz w:val="18"/>
          <w:szCs w:val="18"/>
          <w:lang w:val="el-GR"/>
        </w:rPr>
        <w:t xml:space="preserve"> πουλερικά</w:t>
      </w:r>
      <w:r w:rsidR="003848C3" w:rsidRPr="004279B4">
        <w:rPr>
          <w:rFonts w:ascii="Verdana" w:hAnsi="Verdana" w:cs="Calibri"/>
          <w:sz w:val="18"/>
          <w:szCs w:val="18"/>
          <w:lang w:val="el-GR"/>
        </w:rPr>
        <w:t xml:space="preserve">. </w:t>
      </w:r>
      <w:r w:rsidR="00842230">
        <w:rPr>
          <w:rFonts w:ascii="Verdana" w:hAnsi="Verdana" w:cs="Calibri"/>
          <w:sz w:val="18"/>
          <w:szCs w:val="18"/>
          <w:lang w:val="el-GR"/>
        </w:rPr>
        <w:t>Ο μεγαλύτερος αριθμός πουλερικών (</w:t>
      </w:r>
      <w:r w:rsidR="00842230" w:rsidRPr="004279B4">
        <w:rPr>
          <w:rFonts w:ascii="Verdana" w:hAnsi="Verdana" w:cs="Calibri"/>
          <w:sz w:val="18"/>
          <w:szCs w:val="18"/>
          <w:lang w:val="el-GR"/>
        </w:rPr>
        <w:t xml:space="preserve">3.895.713 </w:t>
      </w:r>
      <w:r w:rsidR="00842230">
        <w:rPr>
          <w:rFonts w:ascii="Verdana" w:hAnsi="Verdana" w:cs="Calibri"/>
          <w:sz w:val="18"/>
          <w:szCs w:val="18"/>
          <w:lang w:val="el-GR"/>
        </w:rPr>
        <w:t xml:space="preserve">κεφαλές) εκτρέφεται για </w:t>
      </w:r>
      <w:r w:rsidR="003848C3" w:rsidRPr="004279B4">
        <w:rPr>
          <w:rFonts w:ascii="Verdana" w:hAnsi="Verdana" w:cs="Calibri"/>
          <w:sz w:val="18"/>
          <w:szCs w:val="18"/>
          <w:lang w:val="el-GR"/>
        </w:rPr>
        <w:t xml:space="preserve">την παραγωγή κρέατος </w:t>
      </w:r>
      <w:r w:rsidR="00842230">
        <w:rPr>
          <w:rFonts w:ascii="Verdana" w:hAnsi="Verdana" w:cs="Calibri"/>
          <w:sz w:val="18"/>
          <w:szCs w:val="18"/>
          <w:lang w:val="el-GR"/>
        </w:rPr>
        <w:t xml:space="preserve">και αποτελεί το </w:t>
      </w:r>
      <w:r w:rsidR="0045519A" w:rsidRPr="004279B4">
        <w:rPr>
          <w:rFonts w:ascii="Verdana" w:hAnsi="Verdana" w:cs="Calibri"/>
          <w:sz w:val="18"/>
          <w:szCs w:val="18"/>
          <w:lang w:val="el-GR"/>
        </w:rPr>
        <w:t>82,4</w:t>
      </w:r>
      <w:r w:rsidR="003848C3" w:rsidRPr="004279B4">
        <w:rPr>
          <w:rFonts w:ascii="Verdana" w:hAnsi="Verdana" w:cs="Calibri"/>
          <w:sz w:val="18"/>
          <w:szCs w:val="18"/>
          <w:lang w:val="el-GR"/>
        </w:rPr>
        <w:t xml:space="preserve">% </w:t>
      </w:r>
      <w:r w:rsidR="0045519A" w:rsidRPr="004279B4">
        <w:rPr>
          <w:rFonts w:ascii="Verdana" w:hAnsi="Verdana" w:cs="Calibri"/>
          <w:sz w:val="18"/>
          <w:szCs w:val="18"/>
          <w:lang w:val="el-GR"/>
        </w:rPr>
        <w:t>του συνόλου</w:t>
      </w:r>
      <w:r w:rsidR="00842230">
        <w:rPr>
          <w:rFonts w:ascii="Verdana" w:hAnsi="Verdana" w:cs="Calibri"/>
          <w:sz w:val="18"/>
          <w:szCs w:val="18"/>
          <w:lang w:val="el-GR"/>
        </w:rPr>
        <w:t>. Ο</w:t>
      </w:r>
      <w:r w:rsidR="003848C3" w:rsidRPr="004279B4">
        <w:rPr>
          <w:rFonts w:ascii="Verdana" w:hAnsi="Verdana" w:cs="Calibri"/>
          <w:sz w:val="18"/>
          <w:szCs w:val="18"/>
          <w:lang w:val="el-GR"/>
        </w:rPr>
        <w:t xml:space="preserve">ι όρνιθες </w:t>
      </w:r>
      <w:r w:rsidR="0045519A" w:rsidRPr="004279B4">
        <w:rPr>
          <w:rFonts w:ascii="Verdana" w:hAnsi="Verdana" w:cs="Calibri"/>
          <w:sz w:val="18"/>
          <w:szCs w:val="18"/>
          <w:lang w:val="el-GR"/>
        </w:rPr>
        <w:t xml:space="preserve">αυγοπαραγωγής </w:t>
      </w:r>
      <w:r w:rsidR="00842230">
        <w:rPr>
          <w:rFonts w:ascii="Verdana" w:hAnsi="Verdana" w:cs="Calibri"/>
          <w:sz w:val="18"/>
          <w:szCs w:val="18"/>
          <w:lang w:val="el-GR"/>
        </w:rPr>
        <w:t xml:space="preserve">αποτελούν το </w:t>
      </w:r>
      <w:r w:rsidR="0045519A" w:rsidRPr="004279B4">
        <w:rPr>
          <w:rFonts w:ascii="Verdana" w:hAnsi="Verdana" w:cs="Calibri"/>
          <w:sz w:val="18"/>
          <w:szCs w:val="18"/>
          <w:lang w:val="el-GR"/>
        </w:rPr>
        <w:t>16,1</w:t>
      </w:r>
      <w:r w:rsidR="003848C3" w:rsidRPr="004279B4">
        <w:rPr>
          <w:rFonts w:ascii="Verdana" w:hAnsi="Verdana" w:cs="Calibri"/>
          <w:sz w:val="18"/>
          <w:szCs w:val="18"/>
          <w:lang w:val="el-GR"/>
        </w:rPr>
        <w:t xml:space="preserve">% </w:t>
      </w:r>
      <w:r w:rsidR="0045519A" w:rsidRPr="004279B4">
        <w:rPr>
          <w:rFonts w:ascii="Verdana" w:hAnsi="Verdana" w:cs="Calibri"/>
          <w:sz w:val="18"/>
          <w:szCs w:val="18"/>
          <w:lang w:val="el-GR"/>
        </w:rPr>
        <w:t>του συνόλου</w:t>
      </w:r>
      <w:r w:rsidR="00842230">
        <w:rPr>
          <w:rFonts w:ascii="Verdana" w:hAnsi="Verdana" w:cs="Calibri"/>
          <w:sz w:val="18"/>
          <w:szCs w:val="18"/>
          <w:lang w:val="el-GR"/>
        </w:rPr>
        <w:t xml:space="preserve"> (</w:t>
      </w:r>
      <w:r w:rsidR="00842230" w:rsidRPr="004279B4">
        <w:rPr>
          <w:rFonts w:ascii="Verdana" w:hAnsi="Verdana" w:cs="Calibri"/>
          <w:sz w:val="18"/>
          <w:szCs w:val="18"/>
          <w:lang w:val="el-GR"/>
        </w:rPr>
        <w:t xml:space="preserve">759.732 </w:t>
      </w:r>
      <w:r w:rsidR="00842230">
        <w:rPr>
          <w:rFonts w:ascii="Verdana" w:hAnsi="Verdana" w:cs="Calibri"/>
          <w:sz w:val="18"/>
          <w:szCs w:val="18"/>
          <w:lang w:val="el-GR"/>
        </w:rPr>
        <w:t>κεφαλές</w:t>
      </w:r>
      <w:r w:rsidR="0045519A" w:rsidRPr="004279B4">
        <w:rPr>
          <w:rFonts w:ascii="Verdana" w:hAnsi="Verdana" w:cs="Calibri"/>
          <w:sz w:val="18"/>
          <w:szCs w:val="18"/>
          <w:lang w:val="el-GR"/>
        </w:rPr>
        <w:t xml:space="preserve">) </w:t>
      </w:r>
      <w:r w:rsidR="003848C3" w:rsidRPr="004279B4">
        <w:rPr>
          <w:rFonts w:ascii="Verdana" w:hAnsi="Verdana" w:cs="Calibri"/>
          <w:sz w:val="18"/>
          <w:szCs w:val="18"/>
          <w:lang w:val="el-GR"/>
        </w:rPr>
        <w:t xml:space="preserve">και τα υπόλοιπα πουλερικά </w:t>
      </w:r>
      <w:r w:rsidR="00842230">
        <w:rPr>
          <w:rFonts w:ascii="Verdana" w:hAnsi="Verdana" w:cs="Calibri"/>
          <w:sz w:val="18"/>
          <w:szCs w:val="18"/>
          <w:lang w:val="el-GR"/>
        </w:rPr>
        <w:t xml:space="preserve">το </w:t>
      </w:r>
      <w:r w:rsidR="0045519A" w:rsidRPr="004279B4">
        <w:rPr>
          <w:rFonts w:ascii="Verdana" w:hAnsi="Verdana" w:cs="Calibri"/>
          <w:sz w:val="18"/>
          <w:szCs w:val="18"/>
          <w:lang w:val="el-GR"/>
        </w:rPr>
        <w:t>1</w:t>
      </w:r>
      <w:r w:rsidR="003848C3" w:rsidRPr="004279B4">
        <w:rPr>
          <w:rFonts w:ascii="Verdana" w:hAnsi="Verdana" w:cs="Calibri"/>
          <w:sz w:val="18"/>
          <w:szCs w:val="18"/>
          <w:lang w:val="el-GR"/>
        </w:rPr>
        <w:t>,</w:t>
      </w:r>
      <w:r w:rsidR="0045519A" w:rsidRPr="004279B4">
        <w:rPr>
          <w:rFonts w:ascii="Verdana" w:hAnsi="Verdana" w:cs="Calibri"/>
          <w:sz w:val="18"/>
          <w:szCs w:val="18"/>
          <w:lang w:val="el-GR"/>
        </w:rPr>
        <w:t>6</w:t>
      </w:r>
      <w:r w:rsidR="003848C3" w:rsidRPr="004279B4">
        <w:rPr>
          <w:rFonts w:ascii="Verdana" w:hAnsi="Verdana" w:cs="Calibri"/>
          <w:sz w:val="18"/>
          <w:szCs w:val="18"/>
          <w:lang w:val="el-GR"/>
        </w:rPr>
        <w:t xml:space="preserve">% </w:t>
      </w:r>
      <w:r w:rsidR="0045519A" w:rsidRPr="004279B4">
        <w:rPr>
          <w:rFonts w:ascii="Verdana" w:hAnsi="Verdana" w:cs="Calibri"/>
          <w:sz w:val="18"/>
          <w:szCs w:val="18"/>
          <w:lang w:val="el-GR"/>
        </w:rPr>
        <w:t>του συνόλου</w:t>
      </w:r>
      <w:r w:rsidR="00842230" w:rsidRPr="00842230">
        <w:rPr>
          <w:rFonts w:ascii="Verdana" w:hAnsi="Verdana" w:cs="Calibri"/>
          <w:sz w:val="18"/>
          <w:szCs w:val="18"/>
          <w:lang w:val="el-GR"/>
        </w:rPr>
        <w:t xml:space="preserve"> </w:t>
      </w:r>
      <w:r w:rsidR="00842230">
        <w:rPr>
          <w:rFonts w:ascii="Verdana" w:hAnsi="Verdana" w:cs="Calibri"/>
          <w:sz w:val="18"/>
          <w:szCs w:val="18"/>
          <w:lang w:val="el-GR"/>
        </w:rPr>
        <w:t>(</w:t>
      </w:r>
      <w:r w:rsidR="00842230" w:rsidRPr="004279B4">
        <w:rPr>
          <w:rFonts w:ascii="Verdana" w:hAnsi="Verdana" w:cs="Calibri"/>
          <w:sz w:val="18"/>
          <w:szCs w:val="18"/>
          <w:lang w:val="el-GR"/>
        </w:rPr>
        <w:t>74.594 κεφαλές</w:t>
      </w:r>
      <w:r w:rsidR="003848C3" w:rsidRPr="004279B4">
        <w:rPr>
          <w:rFonts w:ascii="Verdana" w:hAnsi="Verdana" w:cs="Calibri"/>
          <w:sz w:val="18"/>
          <w:szCs w:val="18"/>
          <w:lang w:val="el-GR"/>
        </w:rPr>
        <w:t>)</w:t>
      </w:r>
      <w:r w:rsidR="0045519A" w:rsidRPr="004279B4">
        <w:rPr>
          <w:rFonts w:ascii="Verdana" w:hAnsi="Verdana" w:cs="Calibri"/>
          <w:sz w:val="18"/>
          <w:szCs w:val="18"/>
          <w:lang w:val="el-GR"/>
        </w:rPr>
        <w:t>.</w:t>
      </w:r>
    </w:p>
    <w:p w14:paraId="084A450D" w14:textId="77777777" w:rsidR="008F66C7" w:rsidRDefault="008F66C7" w:rsidP="003848C3">
      <w:pPr>
        <w:jc w:val="both"/>
        <w:rPr>
          <w:rFonts w:ascii="Verdana" w:hAnsi="Verdana" w:cs="Calibri"/>
          <w:sz w:val="18"/>
          <w:szCs w:val="18"/>
          <w:lang w:val="el-GR"/>
        </w:rPr>
      </w:pPr>
    </w:p>
    <w:p w14:paraId="2447A930" w14:textId="77777777" w:rsidR="008F66C7" w:rsidRDefault="008F66C7" w:rsidP="008F66C7">
      <w:pPr>
        <w:ind w:left="324" w:hanging="324"/>
        <w:jc w:val="both"/>
        <w:rPr>
          <w:rFonts w:ascii="Verdana" w:hAnsi="Verdana"/>
          <w:b/>
          <w:sz w:val="18"/>
          <w:szCs w:val="18"/>
          <w:u w:val="single"/>
          <w:lang w:val="el-GR"/>
        </w:rPr>
      </w:pPr>
      <w:r w:rsidRPr="008F66C7">
        <w:rPr>
          <w:rFonts w:ascii="Verdana" w:hAnsi="Verdana"/>
          <w:b/>
          <w:sz w:val="18"/>
          <w:szCs w:val="18"/>
          <w:u w:val="single"/>
          <w:lang w:val="el-GR"/>
        </w:rPr>
        <w:t>Απασχόληση</w:t>
      </w:r>
    </w:p>
    <w:p w14:paraId="6C326961" w14:textId="77777777" w:rsidR="00F93CA8" w:rsidRPr="008F66C7" w:rsidRDefault="00F93CA8" w:rsidP="008F66C7">
      <w:pPr>
        <w:ind w:left="324" w:hanging="324"/>
        <w:jc w:val="both"/>
        <w:rPr>
          <w:rFonts w:ascii="Verdana" w:hAnsi="Verdana"/>
          <w:b/>
          <w:sz w:val="18"/>
          <w:szCs w:val="18"/>
          <w:u w:val="single"/>
          <w:lang w:val="el-GR"/>
        </w:rPr>
      </w:pPr>
    </w:p>
    <w:p w14:paraId="6501B15C" w14:textId="77777777" w:rsidR="008F66C7" w:rsidRPr="008F66C7" w:rsidRDefault="008F66C7" w:rsidP="008F66C7">
      <w:pPr>
        <w:jc w:val="both"/>
        <w:rPr>
          <w:rFonts w:ascii="Verdana" w:hAnsi="Verdana"/>
          <w:sz w:val="18"/>
          <w:szCs w:val="18"/>
          <w:lang w:val="el-GR"/>
        </w:rPr>
      </w:pPr>
      <w:r>
        <w:rPr>
          <w:rFonts w:ascii="Verdana" w:hAnsi="Verdana"/>
          <w:sz w:val="18"/>
          <w:szCs w:val="18"/>
          <w:lang w:val="el-GR"/>
        </w:rPr>
        <w:t>Σ</w:t>
      </w:r>
      <w:r w:rsidRPr="008F66C7">
        <w:rPr>
          <w:rFonts w:ascii="Verdana" w:hAnsi="Verdana"/>
          <w:sz w:val="18"/>
          <w:szCs w:val="18"/>
          <w:lang w:val="el-GR"/>
        </w:rPr>
        <w:t xml:space="preserve">τις </w:t>
      </w:r>
      <w:r w:rsidR="00452A0A">
        <w:rPr>
          <w:rFonts w:ascii="Verdana" w:hAnsi="Verdana"/>
          <w:sz w:val="18"/>
          <w:szCs w:val="18"/>
          <w:lang w:val="el-GR"/>
        </w:rPr>
        <w:t xml:space="preserve">γεωργοκτηνοτροφικές </w:t>
      </w:r>
      <w:r w:rsidRPr="008F66C7">
        <w:rPr>
          <w:rFonts w:ascii="Verdana" w:hAnsi="Verdana"/>
          <w:sz w:val="18"/>
          <w:szCs w:val="18"/>
          <w:lang w:val="el-GR"/>
        </w:rPr>
        <w:t xml:space="preserve">εκμεταλλεύσεις </w:t>
      </w:r>
      <w:r>
        <w:rPr>
          <w:rFonts w:ascii="Verdana" w:hAnsi="Verdana"/>
          <w:sz w:val="18"/>
          <w:szCs w:val="18"/>
          <w:lang w:val="el-GR"/>
        </w:rPr>
        <w:t xml:space="preserve">απασχολήθηκαν </w:t>
      </w:r>
      <w:r w:rsidR="00452A0A">
        <w:rPr>
          <w:rFonts w:ascii="Verdana" w:hAnsi="Verdana"/>
          <w:sz w:val="18"/>
          <w:szCs w:val="18"/>
          <w:lang w:val="el-GR"/>
        </w:rPr>
        <w:t xml:space="preserve">το 2020 </w:t>
      </w:r>
      <w:r>
        <w:rPr>
          <w:rFonts w:ascii="Verdana" w:hAnsi="Verdana"/>
          <w:sz w:val="18"/>
          <w:szCs w:val="18"/>
          <w:lang w:val="el-GR"/>
        </w:rPr>
        <w:t xml:space="preserve">συνολικά 65.533 κάτοχοι </w:t>
      </w:r>
      <w:r w:rsidRPr="008F66C7">
        <w:rPr>
          <w:rFonts w:ascii="Verdana" w:hAnsi="Verdana"/>
          <w:sz w:val="18"/>
          <w:szCs w:val="18"/>
          <w:lang w:val="el-GR"/>
        </w:rPr>
        <w:t>και μέλη τ</w:t>
      </w:r>
      <w:r w:rsidR="00452A0A">
        <w:rPr>
          <w:rFonts w:ascii="Verdana" w:hAnsi="Verdana"/>
          <w:sz w:val="18"/>
          <w:szCs w:val="18"/>
          <w:lang w:val="el-GR"/>
        </w:rPr>
        <w:t>ων</w:t>
      </w:r>
      <w:r w:rsidR="00303126">
        <w:rPr>
          <w:rFonts w:ascii="Verdana" w:hAnsi="Verdana"/>
          <w:sz w:val="18"/>
          <w:szCs w:val="18"/>
          <w:lang w:val="el-GR"/>
        </w:rPr>
        <w:t xml:space="preserve"> νοικοκυρι</w:t>
      </w:r>
      <w:r w:rsidR="00452A0A">
        <w:rPr>
          <w:rFonts w:ascii="Verdana" w:hAnsi="Verdana"/>
          <w:sz w:val="18"/>
          <w:szCs w:val="18"/>
          <w:lang w:val="el-GR"/>
        </w:rPr>
        <w:t>ών</w:t>
      </w:r>
      <w:r w:rsidR="00303126">
        <w:rPr>
          <w:rFonts w:ascii="Verdana" w:hAnsi="Verdana"/>
          <w:sz w:val="18"/>
          <w:szCs w:val="18"/>
          <w:lang w:val="el-GR"/>
        </w:rPr>
        <w:t xml:space="preserve"> </w:t>
      </w:r>
      <w:r w:rsidR="00AA7779">
        <w:rPr>
          <w:rFonts w:ascii="Verdana" w:hAnsi="Verdana"/>
          <w:sz w:val="18"/>
          <w:szCs w:val="18"/>
          <w:lang w:val="el-GR"/>
        </w:rPr>
        <w:t>τους,</w:t>
      </w:r>
      <w:r w:rsidRPr="008F66C7">
        <w:rPr>
          <w:rFonts w:ascii="Verdana" w:hAnsi="Verdana"/>
          <w:sz w:val="18"/>
          <w:szCs w:val="18"/>
          <w:lang w:val="el-GR"/>
        </w:rPr>
        <w:t xml:space="preserve"> </w:t>
      </w:r>
      <w:r w:rsidR="00D332DF">
        <w:rPr>
          <w:rFonts w:ascii="Verdana" w:hAnsi="Verdana"/>
          <w:sz w:val="18"/>
          <w:szCs w:val="18"/>
          <w:lang w:val="el-GR"/>
        </w:rPr>
        <w:t xml:space="preserve">εκ των οποίων 65,4% ήταν άνδρες (42.890 άτομα) και 34,6% γυναίκες (22.643 άτομα) και </w:t>
      </w:r>
      <w:r>
        <w:rPr>
          <w:rFonts w:ascii="Verdana" w:hAnsi="Verdana"/>
          <w:sz w:val="18"/>
          <w:szCs w:val="18"/>
          <w:lang w:val="el-GR"/>
        </w:rPr>
        <w:t xml:space="preserve">με </w:t>
      </w:r>
      <w:r w:rsidR="00D332DF">
        <w:rPr>
          <w:rFonts w:ascii="Verdana" w:hAnsi="Verdana"/>
          <w:sz w:val="18"/>
          <w:szCs w:val="18"/>
          <w:lang w:val="el-GR"/>
        </w:rPr>
        <w:t xml:space="preserve">συνολικές ημέρες </w:t>
      </w:r>
      <w:r>
        <w:rPr>
          <w:rFonts w:ascii="Verdana" w:hAnsi="Verdana"/>
          <w:sz w:val="18"/>
          <w:szCs w:val="18"/>
          <w:lang w:val="el-GR"/>
        </w:rPr>
        <w:t xml:space="preserve">εργασίας </w:t>
      </w:r>
      <w:r w:rsidRPr="008F66C7">
        <w:rPr>
          <w:rFonts w:ascii="Verdana" w:hAnsi="Verdana"/>
          <w:sz w:val="18"/>
          <w:szCs w:val="18"/>
          <w:lang w:val="el-GR"/>
        </w:rPr>
        <w:t>2</w:t>
      </w:r>
      <w:r>
        <w:rPr>
          <w:rFonts w:ascii="Verdana" w:hAnsi="Verdana"/>
          <w:sz w:val="18"/>
          <w:szCs w:val="18"/>
          <w:lang w:val="el-GR"/>
        </w:rPr>
        <w:t>.</w:t>
      </w:r>
      <w:r w:rsidRPr="008F66C7">
        <w:rPr>
          <w:rFonts w:ascii="Verdana" w:hAnsi="Verdana"/>
          <w:sz w:val="18"/>
          <w:szCs w:val="18"/>
          <w:lang w:val="el-GR"/>
        </w:rPr>
        <w:t>798</w:t>
      </w:r>
      <w:r>
        <w:rPr>
          <w:rFonts w:ascii="Verdana" w:hAnsi="Verdana"/>
          <w:sz w:val="18"/>
          <w:szCs w:val="18"/>
          <w:lang w:val="el-GR"/>
        </w:rPr>
        <w:t>.</w:t>
      </w:r>
      <w:r w:rsidRPr="008F66C7">
        <w:rPr>
          <w:rFonts w:ascii="Verdana" w:hAnsi="Verdana"/>
          <w:sz w:val="18"/>
          <w:szCs w:val="18"/>
          <w:lang w:val="el-GR"/>
        </w:rPr>
        <w:t>060</w:t>
      </w:r>
      <w:r w:rsidR="008914CE">
        <w:rPr>
          <w:rFonts w:ascii="Verdana" w:hAnsi="Verdana"/>
          <w:sz w:val="18"/>
          <w:szCs w:val="18"/>
          <w:lang w:val="el-GR"/>
        </w:rPr>
        <w:t xml:space="preserve">. Οι </w:t>
      </w:r>
      <w:r w:rsidR="00661540">
        <w:rPr>
          <w:rFonts w:ascii="Verdana" w:hAnsi="Verdana"/>
          <w:sz w:val="18"/>
          <w:szCs w:val="18"/>
          <w:lang w:val="el-GR"/>
        </w:rPr>
        <w:t>μόνιμοι</w:t>
      </w:r>
      <w:r w:rsidR="008914CE">
        <w:rPr>
          <w:rFonts w:ascii="Verdana" w:hAnsi="Verdana"/>
          <w:sz w:val="18"/>
          <w:szCs w:val="18"/>
          <w:lang w:val="el-GR"/>
        </w:rPr>
        <w:t xml:space="preserve"> εργάτες αριθμού</w:t>
      </w:r>
      <w:r w:rsidR="00452A0A">
        <w:rPr>
          <w:rFonts w:ascii="Verdana" w:hAnsi="Verdana"/>
          <w:sz w:val="18"/>
          <w:szCs w:val="18"/>
          <w:lang w:val="el-GR"/>
        </w:rPr>
        <w:t>σα</w:t>
      </w:r>
      <w:r w:rsidR="008914CE">
        <w:rPr>
          <w:rFonts w:ascii="Verdana" w:hAnsi="Verdana"/>
          <w:sz w:val="18"/>
          <w:szCs w:val="18"/>
          <w:lang w:val="el-GR"/>
        </w:rPr>
        <w:t>ν 5.993 άτομα (85,9% άνδρες και 14,1% γυναίκες)</w:t>
      </w:r>
      <w:r w:rsidR="00AA7779">
        <w:rPr>
          <w:rFonts w:ascii="Verdana" w:hAnsi="Verdana"/>
          <w:sz w:val="18"/>
          <w:szCs w:val="18"/>
          <w:lang w:val="el-GR"/>
        </w:rPr>
        <w:t xml:space="preserve">, ενώ </w:t>
      </w:r>
      <w:r w:rsidR="00D332DF">
        <w:rPr>
          <w:rFonts w:ascii="Verdana" w:hAnsi="Verdana"/>
          <w:sz w:val="18"/>
          <w:szCs w:val="18"/>
          <w:lang w:val="el-GR"/>
        </w:rPr>
        <w:t>οι</w:t>
      </w:r>
      <w:r w:rsidR="00AA7779">
        <w:rPr>
          <w:rFonts w:ascii="Verdana" w:hAnsi="Verdana"/>
          <w:sz w:val="18"/>
          <w:szCs w:val="18"/>
          <w:lang w:val="el-GR"/>
        </w:rPr>
        <w:t xml:space="preserve"> ε</w:t>
      </w:r>
      <w:r w:rsidR="008914CE">
        <w:rPr>
          <w:rFonts w:ascii="Verdana" w:hAnsi="Verdana"/>
          <w:sz w:val="18"/>
          <w:szCs w:val="18"/>
          <w:lang w:val="el-GR"/>
        </w:rPr>
        <w:t>ποχ</w:t>
      </w:r>
      <w:r w:rsidR="00AA7779">
        <w:rPr>
          <w:rFonts w:ascii="Verdana" w:hAnsi="Verdana"/>
          <w:sz w:val="18"/>
          <w:szCs w:val="18"/>
          <w:lang w:val="el-GR"/>
        </w:rPr>
        <w:t>ικο</w:t>
      </w:r>
      <w:r w:rsidR="00452A0A">
        <w:rPr>
          <w:rFonts w:ascii="Verdana" w:hAnsi="Verdana"/>
          <w:sz w:val="18"/>
          <w:szCs w:val="18"/>
          <w:lang w:val="el-GR"/>
        </w:rPr>
        <w:t>ί</w:t>
      </w:r>
      <w:r w:rsidR="00AA7779">
        <w:rPr>
          <w:rFonts w:ascii="Verdana" w:hAnsi="Verdana"/>
          <w:sz w:val="18"/>
          <w:szCs w:val="18"/>
          <w:lang w:val="el-GR"/>
        </w:rPr>
        <w:t xml:space="preserve"> </w:t>
      </w:r>
      <w:r w:rsidR="008914CE">
        <w:rPr>
          <w:rFonts w:ascii="Verdana" w:hAnsi="Verdana"/>
          <w:sz w:val="18"/>
          <w:szCs w:val="18"/>
          <w:lang w:val="el-GR"/>
        </w:rPr>
        <w:t xml:space="preserve">εργάτες </w:t>
      </w:r>
      <w:r w:rsidR="00D332DF">
        <w:rPr>
          <w:rFonts w:ascii="Verdana" w:hAnsi="Verdana"/>
          <w:sz w:val="18"/>
          <w:szCs w:val="18"/>
          <w:lang w:val="el-GR"/>
        </w:rPr>
        <w:t>αν</w:t>
      </w:r>
      <w:r w:rsidR="00452A0A">
        <w:rPr>
          <w:rFonts w:ascii="Verdana" w:hAnsi="Verdana"/>
          <w:sz w:val="18"/>
          <w:szCs w:val="18"/>
          <w:lang w:val="el-GR"/>
        </w:rPr>
        <w:t xml:space="preserve">ήλθαν </w:t>
      </w:r>
      <w:r w:rsidR="008914CE">
        <w:rPr>
          <w:rFonts w:ascii="Verdana" w:hAnsi="Verdana"/>
          <w:sz w:val="18"/>
          <w:szCs w:val="18"/>
          <w:lang w:val="el-GR"/>
        </w:rPr>
        <w:t xml:space="preserve">στα 16.356 άτομα </w:t>
      </w:r>
      <w:r w:rsidR="00D332DF">
        <w:rPr>
          <w:rFonts w:ascii="Verdana" w:hAnsi="Verdana"/>
          <w:sz w:val="18"/>
          <w:szCs w:val="18"/>
          <w:lang w:val="el-GR"/>
        </w:rPr>
        <w:t>(41,0% άνδρες και 59,0% γυναίκες).</w:t>
      </w:r>
      <w:r w:rsidR="008914CE">
        <w:rPr>
          <w:rFonts w:ascii="Verdana" w:hAnsi="Verdana"/>
          <w:sz w:val="18"/>
          <w:szCs w:val="18"/>
          <w:lang w:val="el-GR"/>
        </w:rPr>
        <w:t xml:space="preserve"> </w:t>
      </w:r>
    </w:p>
    <w:p w14:paraId="0CFE11D5" w14:textId="77777777" w:rsidR="008F66C7" w:rsidRPr="008F66C7" w:rsidRDefault="008F66C7" w:rsidP="008F66C7">
      <w:pPr>
        <w:jc w:val="both"/>
        <w:rPr>
          <w:rFonts w:ascii="Verdana" w:hAnsi="Verdana" w:cs="Calibri"/>
          <w:sz w:val="18"/>
          <w:szCs w:val="18"/>
          <w:lang w:val="el-GR"/>
        </w:rPr>
      </w:pPr>
    </w:p>
    <w:p w14:paraId="09FED214" w14:textId="77777777" w:rsidR="008F66C7" w:rsidRPr="008F66C7" w:rsidRDefault="00303126" w:rsidP="008F66C7">
      <w:pPr>
        <w:jc w:val="both"/>
        <w:rPr>
          <w:rFonts w:ascii="Verdana" w:hAnsi="Verdana" w:cs="Calibri"/>
          <w:sz w:val="18"/>
          <w:szCs w:val="18"/>
          <w:lang w:val="el-GR"/>
        </w:rPr>
      </w:pPr>
      <w:r>
        <w:rPr>
          <w:rFonts w:ascii="Verdana" w:hAnsi="Verdana"/>
          <w:sz w:val="18"/>
          <w:szCs w:val="18"/>
          <w:lang w:val="el-GR"/>
        </w:rPr>
        <w:t xml:space="preserve">Από τα αποτελέσματα της Απογραφής προκύπτει ότι </w:t>
      </w:r>
      <w:r w:rsidR="00812246">
        <w:rPr>
          <w:rFonts w:ascii="Verdana" w:hAnsi="Verdana"/>
          <w:sz w:val="18"/>
          <w:szCs w:val="18"/>
          <w:lang w:val="el-GR"/>
        </w:rPr>
        <w:t xml:space="preserve">οι ημέρες εργασίας του </w:t>
      </w:r>
      <w:r w:rsidR="008F66C7" w:rsidRPr="008F66C7">
        <w:rPr>
          <w:rFonts w:ascii="Verdana" w:hAnsi="Verdana"/>
          <w:sz w:val="18"/>
          <w:szCs w:val="18"/>
          <w:lang w:val="el-GR"/>
        </w:rPr>
        <w:t>οικογενειακ</w:t>
      </w:r>
      <w:r w:rsidR="00812246">
        <w:rPr>
          <w:rFonts w:ascii="Verdana" w:hAnsi="Verdana"/>
          <w:sz w:val="18"/>
          <w:szCs w:val="18"/>
          <w:lang w:val="el-GR"/>
        </w:rPr>
        <w:t>ού</w:t>
      </w:r>
      <w:r w:rsidR="008F66C7" w:rsidRPr="008F66C7">
        <w:rPr>
          <w:rFonts w:ascii="Verdana" w:hAnsi="Verdana"/>
          <w:sz w:val="18"/>
          <w:szCs w:val="18"/>
          <w:lang w:val="el-GR"/>
        </w:rPr>
        <w:t xml:space="preserve"> εργατικ</w:t>
      </w:r>
      <w:r w:rsidR="00812246">
        <w:rPr>
          <w:rFonts w:ascii="Verdana" w:hAnsi="Verdana"/>
          <w:sz w:val="18"/>
          <w:szCs w:val="18"/>
          <w:lang w:val="el-GR"/>
        </w:rPr>
        <w:t>ού</w:t>
      </w:r>
      <w:r w:rsidR="008F66C7" w:rsidRPr="008F66C7">
        <w:rPr>
          <w:rFonts w:ascii="Verdana" w:hAnsi="Verdana"/>
          <w:sz w:val="18"/>
          <w:szCs w:val="18"/>
          <w:lang w:val="el-GR"/>
        </w:rPr>
        <w:t xml:space="preserve"> δυναμικ</w:t>
      </w:r>
      <w:r w:rsidR="003E7FB2">
        <w:rPr>
          <w:rFonts w:ascii="Verdana" w:hAnsi="Verdana"/>
          <w:sz w:val="18"/>
          <w:szCs w:val="18"/>
          <w:lang w:val="el-GR"/>
        </w:rPr>
        <w:t>ού</w:t>
      </w:r>
      <w:r w:rsidR="008F66C7" w:rsidRPr="008F66C7">
        <w:rPr>
          <w:rFonts w:ascii="Verdana" w:hAnsi="Verdana"/>
          <w:sz w:val="18"/>
          <w:szCs w:val="18"/>
          <w:lang w:val="el-GR"/>
        </w:rPr>
        <w:t xml:space="preserve"> αποτελ</w:t>
      </w:r>
      <w:r w:rsidR="00812246">
        <w:rPr>
          <w:rFonts w:ascii="Verdana" w:hAnsi="Verdana"/>
          <w:sz w:val="18"/>
          <w:szCs w:val="18"/>
          <w:lang w:val="el-GR"/>
        </w:rPr>
        <w:t>ούν</w:t>
      </w:r>
      <w:r w:rsidR="008F66C7" w:rsidRPr="008F66C7">
        <w:rPr>
          <w:rFonts w:ascii="Verdana" w:hAnsi="Verdana"/>
          <w:sz w:val="18"/>
          <w:szCs w:val="18"/>
          <w:lang w:val="el-GR"/>
        </w:rPr>
        <w:t xml:space="preserve"> το </w:t>
      </w:r>
      <w:r>
        <w:rPr>
          <w:rFonts w:ascii="Verdana" w:hAnsi="Verdana"/>
          <w:sz w:val="18"/>
          <w:szCs w:val="18"/>
          <w:lang w:val="el-GR"/>
        </w:rPr>
        <w:t>62</w:t>
      </w:r>
      <w:r w:rsidR="008F66C7" w:rsidRPr="008F66C7">
        <w:rPr>
          <w:rFonts w:ascii="Verdana" w:hAnsi="Verdana"/>
          <w:sz w:val="18"/>
          <w:szCs w:val="18"/>
          <w:lang w:val="el-GR"/>
        </w:rPr>
        <w:t xml:space="preserve">,5% του συνόλου </w:t>
      </w:r>
      <w:r w:rsidR="00812246">
        <w:rPr>
          <w:rFonts w:ascii="Verdana" w:hAnsi="Verdana"/>
          <w:sz w:val="18"/>
          <w:szCs w:val="18"/>
          <w:lang w:val="el-GR"/>
        </w:rPr>
        <w:t xml:space="preserve">των ημερών απασχόλησης </w:t>
      </w:r>
      <w:r w:rsidR="008F66C7" w:rsidRPr="008F66C7">
        <w:rPr>
          <w:rFonts w:ascii="Verdana" w:hAnsi="Verdana"/>
          <w:sz w:val="18"/>
          <w:szCs w:val="18"/>
          <w:lang w:val="el-GR"/>
        </w:rPr>
        <w:t xml:space="preserve">στη γεωργία </w:t>
      </w:r>
      <w:r>
        <w:rPr>
          <w:rFonts w:ascii="Verdana" w:hAnsi="Verdana"/>
          <w:sz w:val="18"/>
          <w:szCs w:val="18"/>
          <w:lang w:val="el-GR"/>
        </w:rPr>
        <w:t>και κ</w:t>
      </w:r>
      <w:r w:rsidR="008F66C7" w:rsidRPr="008F66C7">
        <w:rPr>
          <w:rFonts w:ascii="Verdana" w:hAnsi="Verdana"/>
          <w:sz w:val="18"/>
          <w:szCs w:val="18"/>
          <w:lang w:val="el-GR"/>
        </w:rPr>
        <w:t xml:space="preserve">τηνοτροφία. Οι </w:t>
      </w:r>
      <w:r>
        <w:rPr>
          <w:rFonts w:ascii="Verdana" w:hAnsi="Verdana"/>
          <w:sz w:val="18"/>
          <w:szCs w:val="18"/>
          <w:lang w:val="el-GR"/>
        </w:rPr>
        <w:t xml:space="preserve">μόνιμοι εργάτες </w:t>
      </w:r>
      <w:r w:rsidR="008F66C7" w:rsidRPr="008F66C7">
        <w:rPr>
          <w:rFonts w:ascii="Verdana" w:hAnsi="Verdana"/>
          <w:sz w:val="18"/>
          <w:szCs w:val="18"/>
          <w:lang w:val="el-GR"/>
        </w:rPr>
        <w:t xml:space="preserve">αντιστοιχούν στο </w:t>
      </w:r>
      <w:r>
        <w:rPr>
          <w:rFonts w:ascii="Verdana" w:hAnsi="Verdana"/>
          <w:sz w:val="18"/>
          <w:szCs w:val="18"/>
          <w:lang w:val="el-GR"/>
        </w:rPr>
        <w:t>35,3</w:t>
      </w:r>
      <w:r w:rsidR="008F66C7" w:rsidRPr="008F66C7">
        <w:rPr>
          <w:rFonts w:ascii="Verdana" w:hAnsi="Verdana"/>
          <w:sz w:val="18"/>
          <w:szCs w:val="18"/>
          <w:lang w:val="el-GR"/>
        </w:rPr>
        <w:t>% του συνόλου</w:t>
      </w:r>
      <w:r>
        <w:rPr>
          <w:rFonts w:ascii="Verdana" w:hAnsi="Verdana"/>
          <w:sz w:val="18"/>
          <w:szCs w:val="18"/>
          <w:lang w:val="el-GR"/>
        </w:rPr>
        <w:t xml:space="preserve"> </w:t>
      </w:r>
      <w:r w:rsidR="008F66C7" w:rsidRPr="008F66C7">
        <w:rPr>
          <w:rFonts w:ascii="Verdana" w:hAnsi="Verdana"/>
          <w:sz w:val="18"/>
          <w:szCs w:val="18"/>
          <w:lang w:val="el-GR"/>
        </w:rPr>
        <w:t xml:space="preserve">και οι </w:t>
      </w:r>
      <w:r w:rsidRPr="008F66C7">
        <w:rPr>
          <w:rFonts w:ascii="Verdana" w:hAnsi="Verdana"/>
          <w:sz w:val="18"/>
          <w:szCs w:val="18"/>
          <w:lang w:val="el-GR"/>
        </w:rPr>
        <w:t xml:space="preserve">εποχικοί εργάτες </w:t>
      </w:r>
      <w:r w:rsidR="008F66C7" w:rsidRPr="008F66C7">
        <w:rPr>
          <w:rFonts w:ascii="Verdana" w:hAnsi="Verdana"/>
          <w:sz w:val="18"/>
          <w:szCs w:val="18"/>
          <w:lang w:val="el-GR"/>
        </w:rPr>
        <w:t xml:space="preserve">στο </w:t>
      </w:r>
      <w:r>
        <w:rPr>
          <w:rFonts w:ascii="Verdana" w:hAnsi="Verdana"/>
          <w:sz w:val="18"/>
          <w:szCs w:val="18"/>
          <w:lang w:val="el-GR"/>
        </w:rPr>
        <w:t>2,</w:t>
      </w:r>
      <w:r w:rsidR="008F66C7" w:rsidRPr="008F66C7">
        <w:rPr>
          <w:rFonts w:ascii="Verdana" w:hAnsi="Verdana"/>
          <w:sz w:val="18"/>
          <w:szCs w:val="18"/>
          <w:lang w:val="el-GR"/>
        </w:rPr>
        <w:t>2%</w:t>
      </w:r>
      <w:r>
        <w:rPr>
          <w:rFonts w:ascii="Verdana" w:hAnsi="Verdana"/>
          <w:sz w:val="18"/>
          <w:szCs w:val="18"/>
          <w:lang w:val="el-GR"/>
        </w:rPr>
        <w:t>.</w:t>
      </w:r>
    </w:p>
    <w:p w14:paraId="0FCDF780" w14:textId="77777777" w:rsidR="008F66C7" w:rsidRDefault="008F66C7" w:rsidP="008F66C7">
      <w:pPr>
        <w:jc w:val="both"/>
        <w:rPr>
          <w:rFonts w:ascii="Verdana" w:hAnsi="Verdana" w:cs="Calibri"/>
          <w:sz w:val="18"/>
          <w:szCs w:val="18"/>
          <w:lang w:val="el-GR"/>
        </w:rPr>
      </w:pPr>
    </w:p>
    <w:p w14:paraId="6B9C9FBF" w14:textId="77777777" w:rsidR="00F93CA8" w:rsidRPr="008F66C7" w:rsidRDefault="00F93CA8" w:rsidP="008F66C7">
      <w:pPr>
        <w:jc w:val="both"/>
        <w:rPr>
          <w:rFonts w:ascii="Verdana" w:hAnsi="Verdana" w:cs="Calibri"/>
          <w:sz w:val="18"/>
          <w:szCs w:val="18"/>
          <w:lang w:val="el-GR"/>
        </w:rPr>
      </w:pPr>
    </w:p>
    <w:p w14:paraId="72A94FB4" w14:textId="4AE2D3F8" w:rsidR="00ED0265" w:rsidRPr="008F66C7" w:rsidRDefault="007C741C" w:rsidP="00F93CA8">
      <w:pPr>
        <w:jc w:val="center"/>
        <w:rPr>
          <w:rFonts w:ascii="Verdana" w:hAnsi="Verdana" w:cs="Calibri"/>
          <w:sz w:val="18"/>
          <w:szCs w:val="18"/>
          <w:lang w:val="el-GR"/>
        </w:rPr>
      </w:pPr>
      <w:r w:rsidRPr="00E273C2">
        <w:rPr>
          <w:noProof/>
        </w:rPr>
        <w:drawing>
          <wp:inline distT="0" distB="0" distL="0" distR="0" wp14:anchorId="6BE3AE9A" wp14:editId="6D3FFD3C">
            <wp:extent cx="5968365" cy="293306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63AD31" w14:textId="77777777" w:rsidR="00E21419" w:rsidRPr="008F66C7" w:rsidRDefault="00E21419" w:rsidP="00727425">
      <w:pPr>
        <w:jc w:val="center"/>
        <w:rPr>
          <w:rFonts w:ascii="Verdana" w:hAnsi="Verdana"/>
          <w:noProof/>
          <w:sz w:val="18"/>
          <w:szCs w:val="18"/>
          <w:lang w:val="el-GR"/>
        </w:rPr>
      </w:pPr>
    </w:p>
    <w:p w14:paraId="5EF813EE" w14:textId="77777777" w:rsidR="004279B4" w:rsidRPr="0045519A" w:rsidRDefault="004279B4" w:rsidP="00ED0265">
      <w:pPr>
        <w:jc w:val="center"/>
        <w:rPr>
          <w:rFonts w:cs="Calibri"/>
          <w:lang w:val="el-GR"/>
        </w:rPr>
      </w:pPr>
    </w:p>
    <w:p w14:paraId="6E217736" w14:textId="77777777" w:rsidR="00D7139F" w:rsidRDefault="00D7139F" w:rsidP="00FB709A">
      <w:pPr>
        <w:jc w:val="center"/>
        <w:rPr>
          <w:rFonts w:ascii="Verdana" w:eastAsia="Malgun Gothic" w:hAnsi="Verdana" w:cs="Arial"/>
          <w:b/>
          <w:u w:val="single"/>
          <w:lang w:val="el-GR"/>
        </w:rPr>
      </w:pPr>
    </w:p>
    <w:p w14:paraId="14E74616" w14:textId="77777777" w:rsidR="00D7139F" w:rsidRDefault="00D7139F" w:rsidP="00FB709A">
      <w:pPr>
        <w:jc w:val="center"/>
        <w:rPr>
          <w:rFonts w:ascii="Verdana" w:eastAsia="Malgun Gothic" w:hAnsi="Verdana" w:cs="Arial"/>
          <w:b/>
          <w:u w:val="single"/>
          <w:lang w:val="el-GR"/>
        </w:rPr>
      </w:pPr>
    </w:p>
    <w:p w14:paraId="07786A06" w14:textId="77777777" w:rsidR="00D7139F" w:rsidRDefault="00D7139F" w:rsidP="00FB709A">
      <w:pPr>
        <w:jc w:val="center"/>
        <w:rPr>
          <w:rFonts w:ascii="Verdana" w:eastAsia="Malgun Gothic" w:hAnsi="Verdana" w:cs="Arial"/>
          <w:b/>
          <w:u w:val="single"/>
          <w:lang w:val="el-GR"/>
        </w:rPr>
      </w:pPr>
    </w:p>
    <w:p w14:paraId="31882C37" w14:textId="77777777" w:rsidR="00D7139F" w:rsidRDefault="00D7139F" w:rsidP="00FB709A">
      <w:pPr>
        <w:jc w:val="center"/>
        <w:rPr>
          <w:rFonts w:ascii="Verdana" w:eastAsia="Malgun Gothic" w:hAnsi="Verdana" w:cs="Arial"/>
          <w:b/>
          <w:u w:val="single"/>
          <w:lang w:val="el-GR"/>
        </w:rPr>
      </w:pPr>
    </w:p>
    <w:p w14:paraId="5015111F" w14:textId="77777777" w:rsidR="00812246" w:rsidRDefault="00812246" w:rsidP="00FB709A">
      <w:pPr>
        <w:jc w:val="center"/>
        <w:rPr>
          <w:rFonts w:ascii="Verdana" w:eastAsia="Malgun Gothic" w:hAnsi="Verdana" w:cs="Arial"/>
          <w:b/>
          <w:u w:val="single"/>
          <w:lang w:val="el-GR"/>
        </w:rPr>
      </w:pPr>
    </w:p>
    <w:p w14:paraId="533EB59E" w14:textId="77777777" w:rsidR="00D7139F" w:rsidRDefault="00D7139F" w:rsidP="00FB709A">
      <w:pPr>
        <w:jc w:val="center"/>
        <w:rPr>
          <w:rFonts w:ascii="Verdana" w:eastAsia="Malgun Gothic" w:hAnsi="Verdana" w:cs="Arial"/>
          <w:b/>
          <w:u w:val="single"/>
          <w:lang w:val="el-GR"/>
        </w:rPr>
      </w:pPr>
    </w:p>
    <w:p w14:paraId="27CA42B2" w14:textId="77777777" w:rsidR="00C77698" w:rsidRDefault="00C77698" w:rsidP="00FB709A">
      <w:pPr>
        <w:jc w:val="center"/>
        <w:rPr>
          <w:rFonts w:ascii="Verdana" w:eastAsia="Malgun Gothic" w:hAnsi="Verdana" w:cs="Arial"/>
          <w:b/>
          <w:u w:val="single"/>
          <w:lang w:val="el-GR"/>
        </w:rPr>
      </w:pPr>
    </w:p>
    <w:p w14:paraId="156D6768" w14:textId="77777777" w:rsidR="00C77698" w:rsidRDefault="00C77698" w:rsidP="00FB709A">
      <w:pPr>
        <w:jc w:val="center"/>
        <w:rPr>
          <w:rFonts w:ascii="Verdana" w:eastAsia="Malgun Gothic" w:hAnsi="Verdana" w:cs="Arial"/>
          <w:b/>
          <w:u w:val="single"/>
          <w:lang w:val="el-GR"/>
        </w:rPr>
      </w:pPr>
    </w:p>
    <w:p w14:paraId="2124B1DD" w14:textId="77777777" w:rsidR="00C77698" w:rsidRDefault="00C77698" w:rsidP="00FB709A">
      <w:pPr>
        <w:jc w:val="center"/>
        <w:rPr>
          <w:rFonts w:ascii="Verdana" w:eastAsia="Malgun Gothic" w:hAnsi="Verdana" w:cs="Arial"/>
          <w:b/>
          <w:u w:val="single"/>
          <w:lang w:val="el-GR"/>
        </w:rPr>
      </w:pPr>
    </w:p>
    <w:p w14:paraId="17C81DCA" w14:textId="77777777" w:rsidR="00C77698" w:rsidRDefault="00C77698" w:rsidP="00FB709A">
      <w:pPr>
        <w:jc w:val="center"/>
        <w:rPr>
          <w:rFonts w:ascii="Verdana" w:eastAsia="Malgun Gothic" w:hAnsi="Verdana" w:cs="Arial"/>
          <w:b/>
          <w:u w:val="single"/>
          <w:lang w:val="el-GR"/>
        </w:rPr>
      </w:pPr>
    </w:p>
    <w:p w14:paraId="732B9231" w14:textId="77777777" w:rsidR="004279B4" w:rsidRDefault="004279B4" w:rsidP="004279B4">
      <w:pPr>
        <w:jc w:val="center"/>
        <w:rPr>
          <w:rFonts w:ascii="Verdana" w:eastAsia="Malgun Gothic" w:hAnsi="Verdana" w:cs="Calibri"/>
          <w:b/>
          <w:u w:val="single"/>
          <w:lang w:val="el-GR"/>
        </w:rPr>
      </w:pPr>
      <w:r>
        <w:rPr>
          <w:rFonts w:ascii="Verdana" w:eastAsia="Malgun Gothic" w:hAnsi="Verdana" w:cs="Calibri"/>
          <w:b/>
          <w:u w:val="single"/>
          <w:lang w:val="el-GR"/>
        </w:rPr>
        <w:lastRenderedPageBreak/>
        <w:t>ΜΕΘΟΔΟΛΟΓΙΚΕΣ ΠΛΗΡΟΦΟΡΙΕΣ</w:t>
      </w:r>
    </w:p>
    <w:p w14:paraId="69944A66" w14:textId="77777777" w:rsidR="004279B4" w:rsidRDefault="004279B4" w:rsidP="004279B4">
      <w:pPr>
        <w:jc w:val="center"/>
        <w:rPr>
          <w:rFonts w:ascii="Verdana" w:eastAsia="Malgun Gothic" w:hAnsi="Verdana" w:cs="Calibri"/>
          <w:b/>
          <w:sz w:val="18"/>
          <w:szCs w:val="18"/>
          <w:u w:val="single"/>
          <w:lang w:val="el-GR"/>
        </w:rPr>
      </w:pPr>
    </w:p>
    <w:p w14:paraId="78F71AC5" w14:textId="77777777" w:rsidR="00C77D23" w:rsidRDefault="004279B4" w:rsidP="004279B4">
      <w:pPr>
        <w:jc w:val="both"/>
        <w:rPr>
          <w:rFonts w:ascii="Verdana" w:eastAsia="Malgun Gothic" w:hAnsi="Verdana" w:cs="Calibri"/>
          <w:b/>
          <w:sz w:val="18"/>
          <w:szCs w:val="18"/>
          <w:u w:val="single"/>
          <w:lang w:val="el-GR"/>
        </w:rPr>
      </w:pPr>
      <w:r>
        <w:rPr>
          <w:rFonts w:ascii="Verdana" w:eastAsia="Malgun Gothic" w:hAnsi="Verdana" w:cs="Calibri"/>
          <w:b/>
          <w:sz w:val="18"/>
          <w:szCs w:val="18"/>
          <w:u w:val="single"/>
          <w:lang w:val="el-GR"/>
        </w:rPr>
        <w:t>Σκοπός</w:t>
      </w:r>
    </w:p>
    <w:p w14:paraId="3ACAF11A" w14:textId="77777777" w:rsidR="00F93CA8" w:rsidRDefault="00F93CA8" w:rsidP="004279B4">
      <w:pPr>
        <w:jc w:val="both"/>
        <w:rPr>
          <w:rFonts w:ascii="Verdana" w:eastAsia="Malgun Gothic" w:hAnsi="Verdana" w:cs="Calibri"/>
          <w:b/>
          <w:sz w:val="18"/>
          <w:szCs w:val="18"/>
          <w:u w:val="single"/>
          <w:lang w:val="el-GR"/>
        </w:rPr>
      </w:pPr>
    </w:p>
    <w:p w14:paraId="16903DE7" w14:textId="77777777" w:rsidR="004279B4" w:rsidRDefault="004279B4" w:rsidP="004279B4">
      <w:pPr>
        <w:jc w:val="both"/>
        <w:rPr>
          <w:rFonts w:ascii="Verdana" w:eastAsia="Malgun Gothic" w:hAnsi="Verdana" w:cs="Calibri"/>
          <w:sz w:val="18"/>
          <w:szCs w:val="18"/>
          <w:lang w:val="el-GR"/>
        </w:rPr>
      </w:pPr>
      <w:r>
        <w:rPr>
          <w:rFonts w:ascii="Verdana" w:eastAsia="Malgun Gothic" w:hAnsi="Verdana" w:cs="Calibri"/>
          <w:sz w:val="18"/>
          <w:szCs w:val="18"/>
          <w:lang w:val="el-GR"/>
        </w:rPr>
        <w:t xml:space="preserve">Σκοπός της </w:t>
      </w:r>
      <w:r w:rsidR="00D56555">
        <w:rPr>
          <w:rFonts w:ascii="Verdana" w:eastAsia="Malgun Gothic" w:hAnsi="Verdana" w:cs="Calibri"/>
          <w:sz w:val="18"/>
          <w:szCs w:val="18"/>
          <w:lang w:val="el-GR"/>
        </w:rPr>
        <w:t>Απογραφής</w:t>
      </w:r>
      <w:r>
        <w:rPr>
          <w:rFonts w:ascii="Verdana" w:eastAsia="Malgun Gothic" w:hAnsi="Verdana" w:cs="Calibri"/>
          <w:sz w:val="18"/>
          <w:szCs w:val="18"/>
          <w:lang w:val="el-GR"/>
        </w:rPr>
        <w:t xml:space="preserve"> είναι η συλλογή πληροφοριών </w:t>
      </w:r>
      <w:r w:rsidR="002E7F97" w:rsidRPr="002E7F97">
        <w:rPr>
          <w:rFonts w:ascii="Verdana" w:eastAsia="Malgun Gothic" w:hAnsi="Verdana" w:cs="Calibri"/>
          <w:sz w:val="18"/>
          <w:szCs w:val="18"/>
          <w:lang w:val="el-GR"/>
        </w:rPr>
        <w:t xml:space="preserve">προκειμένου να εξεταστούν οι τάσεις στη διάρθρωση των γεωργικών και κτηνοτροφικών εκμεταλλεύσεων, ώστε να παρασχεθούν στην ΕΕ οι απαραίτητες πληροφορίες για τον σχεδιασμό, την εφαρμογή, την παρακολούθηση, την αξιολόγηση και την αναθεώρηση της Κοινής Αγροτικής Πολιτικής (ΚΑΠ) και άλλων συναφών πολιτικών. </w:t>
      </w:r>
      <w:r w:rsidR="002E7F97">
        <w:rPr>
          <w:rFonts w:ascii="Verdana" w:eastAsia="Malgun Gothic" w:hAnsi="Verdana" w:cs="Calibri"/>
          <w:sz w:val="18"/>
          <w:szCs w:val="18"/>
          <w:lang w:val="el-GR"/>
        </w:rPr>
        <w:t xml:space="preserve">Οι πληροφορίες σχετίζονται </w:t>
      </w:r>
      <w:r>
        <w:rPr>
          <w:rFonts w:ascii="Verdana" w:eastAsia="Malgun Gothic" w:hAnsi="Verdana" w:cs="Calibri"/>
          <w:sz w:val="18"/>
          <w:szCs w:val="18"/>
          <w:lang w:val="el-GR"/>
        </w:rPr>
        <w:t xml:space="preserve">με τη δομή και τους τύπους των γεωργικών και κτηνοτροφικών εκμεταλλεύσεων και τα χαρακτηριστικά των κατόχων </w:t>
      </w:r>
      <w:r w:rsidR="00D56555">
        <w:rPr>
          <w:rFonts w:ascii="Verdana" w:eastAsia="Malgun Gothic" w:hAnsi="Verdana" w:cs="Calibri"/>
          <w:sz w:val="18"/>
          <w:szCs w:val="18"/>
          <w:lang w:val="el-GR"/>
        </w:rPr>
        <w:t xml:space="preserve">τους, </w:t>
      </w:r>
      <w:r>
        <w:rPr>
          <w:rFonts w:ascii="Verdana" w:eastAsia="Malgun Gothic" w:hAnsi="Verdana" w:cs="Calibri"/>
          <w:sz w:val="18"/>
          <w:szCs w:val="18"/>
          <w:lang w:val="el-GR"/>
        </w:rPr>
        <w:t xml:space="preserve">με τον κατατεμαχισμό των εκμεταλλεύσεων, την κατοχή και χρήση της γης, τις καλλιεργούμενες εκτάσεις, τον αριθμό των ζώων ανά φυλή και ηλικία, τη στέγαση των ζώων, την εφαρμογή και αποθήκευση κοπριάς καθώς και τα μέτρα αγροτικής ανάπτυξης. Επίσης, </w:t>
      </w:r>
      <w:r w:rsidR="009F6529">
        <w:rPr>
          <w:rFonts w:ascii="Verdana" w:eastAsia="Malgun Gothic" w:hAnsi="Verdana" w:cs="Calibri"/>
          <w:sz w:val="18"/>
          <w:szCs w:val="18"/>
          <w:lang w:val="el-GR"/>
        </w:rPr>
        <w:t xml:space="preserve">συλλέγονται </w:t>
      </w:r>
      <w:r>
        <w:rPr>
          <w:rFonts w:ascii="Verdana" w:eastAsia="Malgun Gothic" w:hAnsi="Verdana" w:cs="Calibri"/>
          <w:sz w:val="18"/>
          <w:szCs w:val="18"/>
          <w:lang w:val="el-GR"/>
        </w:rPr>
        <w:t>πληροφορίες σχετικά με τα χαρακτηριστικά των κατόχων (ηλικία, φύλο, νομικό καθεστώς, γεωργική κατάρτιση, κύρια απασχόληση κλπ.), το εργατικό δυναμικό των εκμεταλλεύσεων, συμπεριλαμβανομένων άλλων κερδοσκοπικών δραστηριοτήτων καθώς και των μεθόδων παραγωγής, περιβαλλοντικές πτυχές κλπ.</w:t>
      </w:r>
    </w:p>
    <w:p w14:paraId="36A37706" w14:textId="77777777" w:rsidR="00AB1B0F" w:rsidRDefault="00AB1B0F" w:rsidP="004279B4">
      <w:pPr>
        <w:jc w:val="both"/>
        <w:rPr>
          <w:rFonts w:ascii="Verdana" w:eastAsia="Malgun Gothic" w:hAnsi="Verdana" w:cs="Calibri"/>
          <w:sz w:val="18"/>
          <w:szCs w:val="18"/>
          <w:lang w:val="el-GR"/>
        </w:rPr>
      </w:pPr>
    </w:p>
    <w:p w14:paraId="3819EC2F" w14:textId="77777777" w:rsidR="00C77D23" w:rsidRDefault="004279B4" w:rsidP="004279B4">
      <w:pPr>
        <w:jc w:val="both"/>
        <w:rPr>
          <w:rFonts w:ascii="Verdana" w:eastAsia="Malgun Gothic" w:hAnsi="Verdana" w:cs="Calibri"/>
          <w:b/>
          <w:sz w:val="18"/>
          <w:szCs w:val="18"/>
          <w:u w:val="single"/>
          <w:lang w:val="el-GR"/>
        </w:rPr>
      </w:pPr>
      <w:r>
        <w:rPr>
          <w:rFonts w:ascii="Verdana" w:eastAsia="Malgun Gothic" w:hAnsi="Verdana" w:cs="Calibri"/>
          <w:b/>
          <w:sz w:val="18"/>
          <w:szCs w:val="18"/>
          <w:u w:val="single"/>
          <w:lang w:val="el-GR"/>
        </w:rPr>
        <w:t>Κάλυψη</w:t>
      </w:r>
    </w:p>
    <w:p w14:paraId="55869A18" w14:textId="77777777" w:rsidR="00F93CA8" w:rsidRDefault="00F93CA8" w:rsidP="004279B4">
      <w:pPr>
        <w:jc w:val="both"/>
        <w:rPr>
          <w:rFonts w:ascii="Verdana" w:eastAsia="Malgun Gothic" w:hAnsi="Verdana" w:cs="Calibri"/>
          <w:b/>
          <w:sz w:val="18"/>
          <w:szCs w:val="18"/>
          <w:u w:val="single"/>
          <w:lang w:val="el-GR"/>
        </w:rPr>
      </w:pPr>
    </w:p>
    <w:p w14:paraId="27D26E73" w14:textId="77777777" w:rsidR="002E7F97" w:rsidRDefault="002E7F97" w:rsidP="00F93CA8">
      <w:pPr>
        <w:jc w:val="both"/>
        <w:rPr>
          <w:rFonts w:ascii="Verdana" w:eastAsia="Malgun Gothic" w:hAnsi="Verdana" w:cs="Calibri"/>
          <w:sz w:val="18"/>
          <w:szCs w:val="18"/>
          <w:lang w:val="el-GR"/>
        </w:rPr>
      </w:pPr>
      <w:r w:rsidRPr="002E7F97">
        <w:rPr>
          <w:rFonts w:ascii="Verdana" w:eastAsia="Malgun Gothic" w:hAnsi="Verdana" w:cs="Calibri"/>
          <w:sz w:val="18"/>
          <w:szCs w:val="18"/>
          <w:lang w:val="el-GR"/>
        </w:rPr>
        <w:t xml:space="preserve">Η απογραφόμενη μονάδα είναι </w:t>
      </w:r>
      <w:r>
        <w:rPr>
          <w:rFonts w:ascii="Verdana" w:eastAsia="Malgun Gothic" w:hAnsi="Verdana" w:cs="Calibri"/>
          <w:sz w:val="18"/>
          <w:szCs w:val="18"/>
          <w:lang w:val="el-GR"/>
        </w:rPr>
        <w:t>η γ</w:t>
      </w:r>
      <w:r w:rsidRPr="002E7F97">
        <w:rPr>
          <w:rFonts w:ascii="Verdana" w:eastAsia="Malgun Gothic" w:hAnsi="Verdana" w:cs="Calibri"/>
          <w:sz w:val="18"/>
          <w:szCs w:val="18"/>
          <w:lang w:val="el-GR"/>
        </w:rPr>
        <w:t xml:space="preserve">εωργική ή κτηνοτροφική </w:t>
      </w:r>
      <w:r>
        <w:rPr>
          <w:rFonts w:ascii="Verdana" w:eastAsia="Malgun Gothic" w:hAnsi="Verdana" w:cs="Calibri"/>
          <w:sz w:val="18"/>
          <w:szCs w:val="18"/>
          <w:lang w:val="el-GR"/>
        </w:rPr>
        <w:t xml:space="preserve">ή μικτή </w:t>
      </w:r>
      <w:r w:rsidRPr="002E7F97">
        <w:rPr>
          <w:rFonts w:ascii="Verdana" w:eastAsia="Malgun Gothic" w:hAnsi="Verdana" w:cs="Calibri"/>
          <w:sz w:val="18"/>
          <w:szCs w:val="18"/>
          <w:lang w:val="el-GR"/>
        </w:rPr>
        <w:t>εκμετάλλευση</w:t>
      </w:r>
      <w:r w:rsidR="00D56555">
        <w:rPr>
          <w:rFonts w:ascii="Verdana" w:eastAsia="Malgun Gothic" w:hAnsi="Verdana" w:cs="Calibri"/>
          <w:sz w:val="18"/>
          <w:szCs w:val="18"/>
          <w:lang w:val="el-GR"/>
        </w:rPr>
        <w:t>,</w:t>
      </w:r>
      <w:r w:rsidRPr="002E7F97">
        <w:rPr>
          <w:rFonts w:ascii="Verdana" w:eastAsia="Malgun Gothic" w:hAnsi="Verdana" w:cs="Calibri"/>
          <w:sz w:val="18"/>
          <w:szCs w:val="18"/>
          <w:lang w:val="el-GR"/>
        </w:rPr>
        <w:t xml:space="preserve"> η οποία ορίζεται </w:t>
      </w:r>
      <w:r>
        <w:rPr>
          <w:rFonts w:ascii="Verdana" w:eastAsia="Malgun Gothic" w:hAnsi="Verdana" w:cs="Calibri"/>
          <w:sz w:val="18"/>
          <w:szCs w:val="18"/>
          <w:lang w:val="el-GR"/>
        </w:rPr>
        <w:t xml:space="preserve">ως </w:t>
      </w:r>
      <w:r w:rsidRPr="002E7F97">
        <w:rPr>
          <w:rFonts w:ascii="Verdana" w:eastAsia="Malgun Gothic" w:hAnsi="Verdana" w:cs="Calibri"/>
          <w:sz w:val="18"/>
          <w:szCs w:val="18"/>
          <w:lang w:val="el-GR"/>
        </w:rPr>
        <w:t xml:space="preserve">μια ενιαία μονάδα, τόσο από τεχνική όσο και από οικονομική άποψη, που έχει ενιαία διαχείριση και αναλαμβάνει οικονομικές δραστηριότητες στη </w:t>
      </w:r>
      <w:r w:rsidR="00F93CA8">
        <w:rPr>
          <w:rFonts w:ascii="Verdana" w:eastAsia="Malgun Gothic" w:hAnsi="Verdana" w:cs="Calibri"/>
          <w:sz w:val="18"/>
          <w:szCs w:val="18"/>
          <w:lang w:val="el-GR"/>
        </w:rPr>
        <w:t>γεωργία.</w:t>
      </w:r>
    </w:p>
    <w:p w14:paraId="4EE4028D" w14:textId="77777777" w:rsidR="004279B4" w:rsidRDefault="004279B4" w:rsidP="004279B4">
      <w:pPr>
        <w:jc w:val="both"/>
        <w:rPr>
          <w:rFonts w:ascii="Verdana" w:eastAsia="Malgun Gothic" w:hAnsi="Verdana" w:cs="Calibri"/>
          <w:sz w:val="18"/>
          <w:szCs w:val="18"/>
          <w:lang w:val="el-GR"/>
        </w:rPr>
      </w:pPr>
    </w:p>
    <w:p w14:paraId="1C42ADB9" w14:textId="77777777" w:rsidR="00C77D23" w:rsidRDefault="002E7F97" w:rsidP="002E7F97">
      <w:pPr>
        <w:jc w:val="both"/>
        <w:rPr>
          <w:rFonts w:ascii="Verdana" w:eastAsia="Malgun Gothic" w:hAnsi="Verdana" w:cs="Calibri"/>
          <w:sz w:val="18"/>
          <w:szCs w:val="18"/>
          <w:lang w:val="el-GR"/>
        </w:rPr>
      </w:pPr>
      <w:r w:rsidRPr="002E7F97">
        <w:rPr>
          <w:rFonts w:ascii="Verdana" w:eastAsia="Malgun Gothic" w:hAnsi="Verdana" w:cs="Calibri"/>
          <w:sz w:val="18"/>
          <w:szCs w:val="18"/>
          <w:lang w:val="el-GR"/>
        </w:rPr>
        <w:t xml:space="preserve">Στην Απογραφή 2020 περιλήφθηκε κάθε γεωργική ή κτηνοτροφική εκμετάλλευση </w:t>
      </w:r>
      <w:r w:rsidR="003B1E6C">
        <w:rPr>
          <w:rFonts w:ascii="Verdana" w:eastAsia="Malgun Gothic" w:hAnsi="Verdana" w:cs="Calibri"/>
          <w:sz w:val="18"/>
          <w:szCs w:val="18"/>
          <w:lang w:val="el-GR"/>
        </w:rPr>
        <w:t>στις περιοχές της Κυπριακής Δημοκρατίας</w:t>
      </w:r>
      <w:r w:rsidR="003B1E6C" w:rsidRPr="002E7F97">
        <w:rPr>
          <w:rFonts w:ascii="Verdana" w:eastAsia="Malgun Gothic" w:hAnsi="Verdana" w:cs="Calibri"/>
          <w:sz w:val="18"/>
          <w:szCs w:val="18"/>
          <w:lang w:val="el-GR"/>
        </w:rPr>
        <w:t xml:space="preserve"> </w:t>
      </w:r>
      <w:r w:rsidRPr="002E7F97">
        <w:rPr>
          <w:rFonts w:ascii="Verdana" w:eastAsia="Malgun Gothic" w:hAnsi="Verdana" w:cs="Calibri"/>
          <w:sz w:val="18"/>
          <w:szCs w:val="18"/>
          <w:lang w:val="el-GR"/>
        </w:rPr>
        <w:t xml:space="preserve">που </w:t>
      </w:r>
      <w:r w:rsidR="00F93CA8">
        <w:rPr>
          <w:rFonts w:ascii="Verdana" w:eastAsia="Malgun Gothic" w:hAnsi="Verdana" w:cs="Calibri"/>
          <w:sz w:val="18"/>
          <w:szCs w:val="18"/>
          <w:lang w:val="el-GR"/>
        </w:rPr>
        <w:t>είχε</w:t>
      </w:r>
      <w:r w:rsidRPr="002E7F97">
        <w:rPr>
          <w:rFonts w:ascii="Verdana" w:eastAsia="Malgun Gothic" w:hAnsi="Verdana" w:cs="Calibri"/>
          <w:sz w:val="18"/>
          <w:szCs w:val="18"/>
          <w:lang w:val="el-GR"/>
        </w:rPr>
        <w:t>:</w:t>
      </w:r>
    </w:p>
    <w:p w14:paraId="450F4529" w14:textId="77777777" w:rsidR="00C77D23" w:rsidRDefault="00C77D23" w:rsidP="002E7F97">
      <w:pPr>
        <w:jc w:val="both"/>
        <w:rPr>
          <w:rFonts w:ascii="Verdana" w:eastAsia="Malgun Gothic" w:hAnsi="Verdana" w:cs="Calibri"/>
          <w:sz w:val="18"/>
          <w:szCs w:val="18"/>
          <w:lang w:val="el-GR"/>
        </w:rPr>
      </w:pPr>
    </w:p>
    <w:p w14:paraId="75DCFD26" w14:textId="77777777" w:rsidR="00C77D23" w:rsidRDefault="002E7F97" w:rsidP="00C77D23">
      <w:pPr>
        <w:numPr>
          <w:ilvl w:val="0"/>
          <w:numId w:val="10"/>
        </w:numPr>
        <w:jc w:val="both"/>
        <w:rPr>
          <w:rFonts w:ascii="Verdana" w:eastAsia="Malgun Gothic" w:hAnsi="Verdana" w:cs="Calibri"/>
          <w:sz w:val="18"/>
          <w:szCs w:val="18"/>
          <w:lang w:val="el-GR"/>
        </w:rPr>
      </w:pPr>
      <w:r w:rsidRPr="002E7F97">
        <w:rPr>
          <w:rFonts w:ascii="Verdana" w:eastAsia="Malgun Gothic" w:hAnsi="Verdana" w:cs="Calibri"/>
          <w:sz w:val="18"/>
          <w:szCs w:val="18"/>
          <w:lang w:val="el-GR"/>
        </w:rPr>
        <w:t>Δύο (2) τουλάχιστον δεκάρια χρησιμοποιούμενης γεωργικής έκτασης ή τουλάχιστον εκατό τετραγωνικά μέτρα (100m²) θερμοκηπίου ή τουλάχιστον ένα (1) δεκάριο αμπελώνες ή τουλάχιστον εκατό τετραγωνικά μέτρα (100m²) μανιτάρια</w:t>
      </w:r>
      <w:r w:rsidR="00F93CA8">
        <w:rPr>
          <w:rFonts w:ascii="Verdana" w:eastAsia="Malgun Gothic" w:hAnsi="Verdana" w:cs="Calibri"/>
          <w:sz w:val="18"/>
          <w:szCs w:val="18"/>
          <w:lang w:val="el-GR"/>
        </w:rPr>
        <w:t>,</w:t>
      </w:r>
      <w:r w:rsidRPr="002E7F97">
        <w:rPr>
          <w:rFonts w:ascii="Verdana" w:eastAsia="Malgun Gothic" w:hAnsi="Verdana" w:cs="Calibri"/>
          <w:sz w:val="18"/>
          <w:szCs w:val="18"/>
          <w:lang w:val="el-GR"/>
        </w:rPr>
        <w:t xml:space="preserve"> ανεξάρτητα από τους τίτλους ιδιοκτησίας (μορφή κατοχής) και τον τόπο όπου βρίσκεται ή,</w:t>
      </w:r>
    </w:p>
    <w:p w14:paraId="39E8910B" w14:textId="77777777" w:rsidR="00AB1B0F" w:rsidRDefault="00AB1B0F" w:rsidP="00AB1B0F">
      <w:pPr>
        <w:ind w:left="360"/>
        <w:jc w:val="both"/>
        <w:rPr>
          <w:rFonts w:ascii="Verdana" w:eastAsia="Malgun Gothic" w:hAnsi="Verdana" w:cs="Calibri"/>
          <w:sz w:val="18"/>
          <w:szCs w:val="18"/>
          <w:lang w:val="el-GR"/>
        </w:rPr>
      </w:pPr>
    </w:p>
    <w:p w14:paraId="2A111EC0" w14:textId="77777777" w:rsidR="002E7F97" w:rsidRPr="00F93CA8" w:rsidRDefault="002E7F97">
      <w:pPr>
        <w:numPr>
          <w:ilvl w:val="0"/>
          <w:numId w:val="10"/>
        </w:numPr>
        <w:jc w:val="both"/>
        <w:rPr>
          <w:rFonts w:ascii="Verdana" w:eastAsia="Malgun Gothic" w:hAnsi="Verdana" w:cs="Calibri"/>
          <w:sz w:val="18"/>
          <w:szCs w:val="18"/>
          <w:lang w:val="el-GR"/>
        </w:rPr>
      </w:pPr>
      <w:r w:rsidRPr="00F93CA8">
        <w:rPr>
          <w:rFonts w:ascii="Verdana" w:eastAsia="Malgun Gothic" w:hAnsi="Verdana" w:cs="Calibri"/>
          <w:sz w:val="18"/>
          <w:szCs w:val="18"/>
          <w:lang w:val="el-GR"/>
        </w:rPr>
        <w:t>Ιδιόκτητα ζώα και συγκεκριμένα μ</w:t>
      </w:r>
      <w:r w:rsidR="00F93CA8" w:rsidRPr="00F93CA8">
        <w:rPr>
          <w:rFonts w:ascii="Verdana" w:eastAsia="Malgun Gothic" w:hAnsi="Verdana" w:cs="Calibri"/>
          <w:sz w:val="18"/>
          <w:szCs w:val="18"/>
          <w:lang w:val="el-GR"/>
        </w:rPr>
        <w:t>ί</w:t>
      </w:r>
      <w:r w:rsidRPr="00F93CA8">
        <w:rPr>
          <w:rFonts w:ascii="Verdana" w:eastAsia="Malgun Gothic" w:hAnsi="Verdana" w:cs="Calibri"/>
          <w:sz w:val="18"/>
          <w:szCs w:val="18"/>
          <w:lang w:val="el-GR"/>
        </w:rPr>
        <w:t>α (1) ή περισσότερες αγελάδες ή συνολικά δύο (2) ή περισσότερα άλλα βοοειδή, κάθε είδους και ηλικίας ή συνολικά πέντε (5) και άνω "μικρά" ζώα (πρόβατα, κατσίκες, χοίρους), κάθε ηλικίας και γένους ή πενήντα (50) και άνω πουλερικά (κοτόπουλα, όρνιθες, γαλοπούλες, πάπιες, χήνες) ή πέντε (5) και άνω στρουθοκάμηλους ή είκοσι (20) και άνω κυψέλες μελισσών ή δέκα (10) και άνω κονικλομητέρες.</w:t>
      </w:r>
    </w:p>
    <w:p w14:paraId="6DD577BA" w14:textId="77777777" w:rsidR="00AB1B0F" w:rsidRDefault="00AB1B0F" w:rsidP="002E7F97">
      <w:pPr>
        <w:jc w:val="both"/>
        <w:rPr>
          <w:rFonts w:ascii="Verdana" w:eastAsia="Malgun Gothic" w:hAnsi="Verdana" w:cs="Calibri"/>
          <w:sz w:val="18"/>
          <w:szCs w:val="18"/>
          <w:lang w:val="el-GR"/>
        </w:rPr>
      </w:pPr>
    </w:p>
    <w:p w14:paraId="315EFB74" w14:textId="77777777" w:rsidR="00C77D23" w:rsidRDefault="004279B4" w:rsidP="004279B4">
      <w:pPr>
        <w:jc w:val="both"/>
        <w:rPr>
          <w:rFonts w:ascii="Verdana" w:eastAsia="Malgun Gothic" w:hAnsi="Verdana" w:cs="Calibri"/>
          <w:b/>
          <w:sz w:val="18"/>
          <w:szCs w:val="18"/>
          <w:u w:val="single"/>
          <w:lang w:val="el-GR"/>
        </w:rPr>
      </w:pPr>
      <w:r>
        <w:rPr>
          <w:rFonts w:ascii="Verdana" w:eastAsia="Malgun Gothic" w:hAnsi="Verdana" w:cs="Calibri"/>
          <w:b/>
          <w:sz w:val="18"/>
          <w:szCs w:val="18"/>
          <w:u w:val="single"/>
          <w:lang w:val="el-GR"/>
        </w:rPr>
        <w:t xml:space="preserve">Συλλογή </w:t>
      </w:r>
      <w:r w:rsidR="00FA6FE1">
        <w:rPr>
          <w:rFonts w:ascii="Verdana" w:eastAsia="Malgun Gothic" w:hAnsi="Verdana" w:cs="Calibri"/>
          <w:b/>
          <w:sz w:val="18"/>
          <w:szCs w:val="18"/>
          <w:u w:val="single"/>
          <w:lang w:val="el-GR"/>
        </w:rPr>
        <w:t>στοιχείων</w:t>
      </w:r>
    </w:p>
    <w:p w14:paraId="23E165BD" w14:textId="77777777" w:rsidR="00F93CA8" w:rsidRDefault="00F93CA8" w:rsidP="004279B4">
      <w:pPr>
        <w:jc w:val="both"/>
        <w:rPr>
          <w:rFonts w:ascii="Verdana" w:eastAsia="Malgun Gothic" w:hAnsi="Verdana" w:cs="Calibri"/>
          <w:b/>
          <w:sz w:val="18"/>
          <w:szCs w:val="18"/>
          <w:u w:val="single"/>
          <w:lang w:val="el-GR"/>
        </w:rPr>
      </w:pPr>
    </w:p>
    <w:p w14:paraId="1908B9E9" w14:textId="77777777" w:rsidR="00AB1B0F" w:rsidRDefault="00140E22" w:rsidP="00140E22">
      <w:pPr>
        <w:jc w:val="both"/>
        <w:rPr>
          <w:lang w:val="el-GR"/>
        </w:rPr>
      </w:pPr>
      <w:r w:rsidRPr="00140E22">
        <w:rPr>
          <w:rFonts w:ascii="Verdana" w:eastAsia="Malgun Gothic" w:hAnsi="Verdana" w:cs="Calibri"/>
          <w:sz w:val="18"/>
          <w:szCs w:val="18"/>
          <w:lang w:val="el-GR"/>
        </w:rPr>
        <w:t xml:space="preserve">Η </w:t>
      </w:r>
      <w:r w:rsidR="00D56555">
        <w:rPr>
          <w:rFonts w:ascii="Verdana" w:eastAsia="Malgun Gothic" w:hAnsi="Verdana" w:cs="Calibri"/>
          <w:sz w:val="18"/>
          <w:szCs w:val="18"/>
          <w:lang w:val="el-GR"/>
        </w:rPr>
        <w:t xml:space="preserve">Απογραφή </w:t>
      </w:r>
      <w:r w:rsidRPr="00140E22">
        <w:rPr>
          <w:rFonts w:ascii="Verdana" w:eastAsia="Malgun Gothic" w:hAnsi="Verdana" w:cs="Calibri"/>
          <w:sz w:val="18"/>
          <w:szCs w:val="18"/>
          <w:lang w:val="el-GR"/>
        </w:rPr>
        <w:t xml:space="preserve">διεξάγεται κάθε 10 χρόνια και </w:t>
      </w:r>
      <w:r w:rsidRPr="00C70C3A">
        <w:rPr>
          <w:rFonts w:ascii="Verdana" w:eastAsia="Malgun Gothic" w:hAnsi="Verdana" w:cs="Calibri"/>
          <w:sz w:val="18"/>
          <w:szCs w:val="18"/>
          <w:lang w:val="el-GR"/>
        </w:rPr>
        <w:t>δειγματοληπτικά κάθε 3 χρόνια</w:t>
      </w:r>
      <w:r w:rsidRPr="00140E22">
        <w:rPr>
          <w:rFonts w:ascii="Verdana" w:eastAsia="Malgun Gothic" w:hAnsi="Verdana" w:cs="Calibri"/>
          <w:sz w:val="18"/>
          <w:szCs w:val="18"/>
          <w:lang w:val="el-GR"/>
        </w:rPr>
        <w:t xml:space="preserve">. </w:t>
      </w:r>
      <w:r w:rsidR="00C70C3A" w:rsidRPr="00C70C3A">
        <w:rPr>
          <w:rFonts w:ascii="Verdana" w:eastAsia="Malgun Gothic" w:hAnsi="Verdana" w:cs="Calibri"/>
          <w:sz w:val="18"/>
          <w:szCs w:val="18"/>
          <w:lang w:val="el-GR"/>
        </w:rPr>
        <w:t xml:space="preserve">Η συλλογή </w:t>
      </w:r>
      <w:r w:rsidR="00D56555">
        <w:rPr>
          <w:rFonts w:ascii="Verdana" w:eastAsia="Malgun Gothic" w:hAnsi="Verdana" w:cs="Calibri"/>
          <w:sz w:val="18"/>
          <w:szCs w:val="18"/>
          <w:lang w:val="el-GR"/>
        </w:rPr>
        <w:t>των σ</w:t>
      </w:r>
      <w:r w:rsidR="00C70C3A">
        <w:rPr>
          <w:rFonts w:ascii="Verdana" w:eastAsia="Malgun Gothic" w:hAnsi="Verdana" w:cs="Calibri"/>
          <w:sz w:val="18"/>
          <w:szCs w:val="18"/>
          <w:lang w:val="el-GR"/>
        </w:rPr>
        <w:t>τοιχείων</w:t>
      </w:r>
      <w:r w:rsidR="00F93CA8">
        <w:rPr>
          <w:rFonts w:ascii="Verdana" w:eastAsia="Malgun Gothic" w:hAnsi="Verdana" w:cs="Calibri"/>
          <w:sz w:val="18"/>
          <w:szCs w:val="18"/>
          <w:lang w:val="el-GR"/>
        </w:rPr>
        <w:t xml:space="preserve"> για την Απογραφή 2020</w:t>
      </w:r>
      <w:r w:rsidR="00C70C3A">
        <w:rPr>
          <w:rFonts w:ascii="Verdana" w:eastAsia="Malgun Gothic" w:hAnsi="Verdana" w:cs="Calibri"/>
          <w:sz w:val="18"/>
          <w:szCs w:val="18"/>
          <w:lang w:val="el-GR"/>
        </w:rPr>
        <w:t xml:space="preserve"> </w:t>
      </w:r>
      <w:r w:rsidR="009F6529">
        <w:rPr>
          <w:rFonts w:ascii="Verdana" w:eastAsia="Malgun Gothic" w:hAnsi="Verdana" w:cs="Calibri"/>
          <w:sz w:val="18"/>
          <w:szCs w:val="18"/>
          <w:lang w:val="el-GR"/>
        </w:rPr>
        <w:t xml:space="preserve">πραγματοποιήθηκε </w:t>
      </w:r>
      <w:r w:rsidR="00D56555">
        <w:rPr>
          <w:rFonts w:ascii="Verdana" w:eastAsia="Malgun Gothic" w:hAnsi="Verdana" w:cs="Calibri"/>
          <w:sz w:val="18"/>
          <w:szCs w:val="18"/>
          <w:lang w:val="el-GR"/>
        </w:rPr>
        <w:t xml:space="preserve">κατά την περίοδο </w:t>
      </w:r>
      <w:r w:rsidR="00D56555" w:rsidRPr="00C70C3A">
        <w:rPr>
          <w:rFonts w:ascii="Verdana" w:eastAsia="Malgun Gothic" w:hAnsi="Verdana" w:cs="Calibri"/>
          <w:sz w:val="18"/>
          <w:szCs w:val="18"/>
          <w:lang w:val="el-GR"/>
        </w:rPr>
        <w:t>Σεπτ</w:t>
      </w:r>
      <w:r w:rsidR="00D56555">
        <w:rPr>
          <w:rFonts w:ascii="Verdana" w:eastAsia="Malgun Gothic" w:hAnsi="Verdana" w:cs="Calibri"/>
          <w:sz w:val="18"/>
          <w:szCs w:val="18"/>
          <w:lang w:val="el-GR"/>
        </w:rPr>
        <w:t>ε</w:t>
      </w:r>
      <w:r w:rsidR="00D56555" w:rsidRPr="00C70C3A">
        <w:rPr>
          <w:rFonts w:ascii="Verdana" w:eastAsia="Malgun Gothic" w:hAnsi="Verdana" w:cs="Calibri"/>
          <w:sz w:val="18"/>
          <w:szCs w:val="18"/>
          <w:lang w:val="el-GR"/>
        </w:rPr>
        <w:t>μβρ</w:t>
      </w:r>
      <w:r w:rsidR="00D56555">
        <w:rPr>
          <w:rFonts w:ascii="Verdana" w:eastAsia="Malgun Gothic" w:hAnsi="Verdana" w:cs="Calibri"/>
          <w:sz w:val="18"/>
          <w:szCs w:val="18"/>
          <w:lang w:val="el-GR"/>
        </w:rPr>
        <w:t>ίου</w:t>
      </w:r>
      <w:r w:rsidR="00D56555" w:rsidRPr="00C70C3A">
        <w:rPr>
          <w:rFonts w:ascii="Verdana" w:eastAsia="Malgun Gothic" w:hAnsi="Verdana" w:cs="Calibri"/>
          <w:sz w:val="18"/>
          <w:szCs w:val="18"/>
          <w:lang w:val="el-GR"/>
        </w:rPr>
        <w:t xml:space="preserve"> 2020 </w:t>
      </w:r>
      <w:r w:rsidR="009F6529">
        <w:rPr>
          <w:rFonts w:ascii="Verdana" w:eastAsia="Malgun Gothic" w:hAnsi="Verdana" w:cs="Calibri"/>
          <w:sz w:val="18"/>
          <w:szCs w:val="18"/>
          <w:lang w:val="el-GR"/>
        </w:rPr>
        <w:t>-</w:t>
      </w:r>
      <w:r w:rsidR="00D56555" w:rsidRPr="00C70C3A">
        <w:rPr>
          <w:rFonts w:ascii="Verdana" w:eastAsia="Malgun Gothic" w:hAnsi="Verdana" w:cs="Calibri"/>
          <w:sz w:val="18"/>
          <w:szCs w:val="18"/>
          <w:lang w:val="el-GR"/>
        </w:rPr>
        <w:t xml:space="preserve"> Μ</w:t>
      </w:r>
      <w:r w:rsidR="00D56555">
        <w:rPr>
          <w:rFonts w:ascii="Verdana" w:eastAsia="Malgun Gothic" w:hAnsi="Verdana" w:cs="Calibri"/>
          <w:sz w:val="18"/>
          <w:szCs w:val="18"/>
          <w:lang w:val="el-GR"/>
        </w:rPr>
        <w:t xml:space="preserve">αΐου </w:t>
      </w:r>
      <w:r w:rsidR="00D56555" w:rsidRPr="00C70C3A">
        <w:rPr>
          <w:rFonts w:ascii="Verdana" w:eastAsia="Malgun Gothic" w:hAnsi="Verdana" w:cs="Calibri"/>
          <w:sz w:val="18"/>
          <w:szCs w:val="18"/>
          <w:lang w:val="el-GR"/>
        </w:rPr>
        <w:t>2021</w:t>
      </w:r>
      <w:r w:rsidR="00D56555">
        <w:rPr>
          <w:rFonts w:ascii="Verdana" w:eastAsia="Malgun Gothic" w:hAnsi="Verdana" w:cs="Calibri"/>
          <w:sz w:val="18"/>
          <w:szCs w:val="18"/>
          <w:lang w:val="el-GR"/>
        </w:rPr>
        <w:t xml:space="preserve"> βάσ</w:t>
      </w:r>
      <w:r w:rsidR="009F6529">
        <w:rPr>
          <w:rFonts w:ascii="Verdana" w:eastAsia="Malgun Gothic" w:hAnsi="Verdana" w:cs="Calibri"/>
          <w:sz w:val="18"/>
          <w:szCs w:val="18"/>
          <w:lang w:val="el-GR"/>
        </w:rPr>
        <w:t>ει</w:t>
      </w:r>
      <w:r w:rsidR="00D56555">
        <w:rPr>
          <w:rFonts w:ascii="Verdana" w:eastAsia="Malgun Gothic" w:hAnsi="Verdana" w:cs="Calibri"/>
          <w:sz w:val="18"/>
          <w:szCs w:val="18"/>
          <w:lang w:val="el-GR"/>
        </w:rPr>
        <w:t xml:space="preserve"> του </w:t>
      </w:r>
      <w:r w:rsidR="00C70C3A" w:rsidRPr="00C70C3A">
        <w:rPr>
          <w:rFonts w:ascii="Verdana" w:eastAsia="Malgun Gothic" w:hAnsi="Verdana" w:cs="Calibri"/>
          <w:sz w:val="18"/>
          <w:szCs w:val="18"/>
          <w:lang w:val="el-GR"/>
        </w:rPr>
        <w:t>Κανονισμ</w:t>
      </w:r>
      <w:r w:rsidR="00D56555">
        <w:rPr>
          <w:rFonts w:ascii="Verdana" w:eastAsia="Malgun Gothic" w:hAnsi="Verdana" w:cs="Calibri"/>
          <w:sz w:val="18"/>
          <w:szCs w:val="18"/>
          <w:lang w:val="el-GR"/>
        </w:rPr>
        <w:t xml:space="preserve">ού </w:t>
      </w:r>
      <w:r w:rsidR="00C70C3A" w:rsidRPr="00C70C3A">
        <w:rPr>
          <w:rFonts w:ascii="Verdana" w:eastAsia="Malgun Gothic" w:hAnsi="Verdana" w:cs="Calibri"/>
          <w:sz w:val="18"/>
          <w:szCs w:val="18"/>
          <w:lang w:val="el-GR"/>
        </w:rPr>
        <w:t>(ΕΕ) 2018/1091 και τις σχετικές κατευθυντήριες γραμμές της ΕΕ.</w:t>
      </w:r>
      <w:r w:rsidR="003B1E6C">
        <w:rPr>
          <w:rFonts w:ascii="Verdana" w:eastAsia="Malgun Gothic" w:hAnsi="Verdana" w:cs="Calibri"/>
          <w:sz w:val="18"/>
          <w:szCs w:val="18"/>
          <w:lang w:val="el-GR"/>
        </w:rPr>
        <w:t xml:space="preserve"> </w:t>
      </w:r>
      <w:r w:rsidR="00C70C3A" w:rsidRPr="00C70C3A">
        <w:rPr>
          <w:rFonts w:ascii="Verdana" w:eastAsia="Malgun Gothic" w:hAnsi="Verdana" w:cs="Calibri"/>
          <w:sz w:val="18"/>
          <w:szCs w:val="18"/>
          <w:lang w:val="el-GR"/>
        </w:rPr>
        <w:t xml:space="preserve">Η συλλογή </w:t>
      </w:r>
      <w:r w:rsidR="00C70C3A">
        <w:rPr>
          <w:rFonts w:ascii="Verdana" w:eastAsia="Malgun Gothic" w:hAnsi="Verdana" w:cs="Calibri"/>
          <w:sz w:val="18"/>
          <w:szCs w:val="18"/>
          <w:lang w:val="el-GR"/>
        </w:rPr>
        <w:t xml:space="preserve">των στοιχείων </w:t>
      </w:r>
      <w:r w:rsidR="00C70C3A" w:rsidRPr="00C70C3A">
        <w:rPr>
          <w:rFonts w:ascii="Verdana" w:eastAsia="Malgun Gothic" w:hAnsi="Verdana" w:cs="Calibri"/>
          <w:sz w:val="18"/>
          <w:szCs w:val="18"/>
          <w:lang w:val="el-GR"/>
        </w:rPr>
        <w:t xml:space="preserve">ξεκίνησε </w:t>
      </w:r>
      <w:r w:rsidR="00C70C3A">
        <w:rPr>
          <w:rFonts w:ascii="Verdana" w:eastAsia="Malgun Gothic" w:hAnsi="Verdana" w:cs="Calibri"/>
          <w:sz w:val="18"/>
          <w:szCs w:val="18"/>
          <w:lang w:val="el-GR"/>
        </w:rPr>
        <w:t>με προσωπικές συνεντεύξεις και τη συμπλήρωση έντυπων ερωτηματολογίων</w:t>
      </w:r>
      <w:r w:rsidR="00C70C3A" w:rsidRPr="00C70C3A">
        <w:rPr>
          <w:rFonts w:ascii="Verdana" w:eastAsia="Malgun Gothic" w:hAnsi="Verdana" w:cs="Calibri"/>
          <w:sz w:val="18"/>
          <w:szCs w:val="18"/>
          <w:lang w:val="el-GR"/>
        </w:rPr>
        <w:t xml:space="preserve">, όπως είχε προγραμματιστεί, αλλά </w:t>
      </w:r>
      <w:r w:rsidR="00C70C3A">
        <w:rPr>
          <w:rFonts w:ascii="Verdana" w:eastAsia="Malgun Gothic" w:hAnsi="Verdana" w:cs="Calibri"/>
          <w:sz w:val="18"/>
          <w:szCs w:val="18"/>
          <w:lang w:val="el-GR"/>
        </w:rPr>
        <w:t xml:space="preserve">λόγω </w:t>
      </w:r>
      <w:r w:rsidR="009F6529">
        <w:rPr>
          <w:rFonts w:ascii="Verdana" w:eastAsia="Malgun Gothic" w:hAnsi="Verdana" w:cs="Calibri"/>
          <w:sz w:val="18"/>
          <w:szCs w:val="18"/>
          <w:lang w:val="el-GR"/>
        </w:rPr>
        <w:t xml:space="preserve">της πανδημίας, </w:t>
      </w:r>
      <w:r w:rsidRPr="00C70C3A">
        <w:rPr>
          <w:rFonts w:ascii="Verdana" w:eastAsia="Malgun Gothic" w:hAnsi="Verdana" w:cs="Calibri"/>
          <w:sz w:val="18"/>
          <w:szCs w:val="18"/>
          <w:lang w:val="el-GR"/>
        </w:rPr>
        <w:t>η μέθοδο</w:t>
      </w:r>
      <w:r>
        <w:rPr>
          <w:rFonts w:ascii="Verdana" w:eastAsia="Malgun Gothic" w:hAnsi="Verdana" w:cs="Calibri"/>
          <w:sz w:val="18"/>
          <w:szCs w:val="18"/>
          <w:lang w:val="el-GR"/>
        </w:rPr>
        <w:t>ς</w:t>
      </w:r>
      <w:r w:rsidRPr="00C70C3A">
        <w:rPr>
          <w:rFonts w:ascii="Verdana" w:eastAsia="Malgun Gothic" w:hAnsi="Verdana" w:cs="Calibri"/>
          <w:sz w:val="18"/>
          <w:szCs w:val="18"/>
          <w:lang w:val="el-GR"/>
        </w:rPr>
        <w:t xml:space="preserve"> συλλογής </w:t>
      </w:r>
      <w:r w:rsidR="009F6529">
        <w:rPr>
          <w:rFonts w:ascii="Verdana" w:eastAsia="Malgun Gothic" w:hAnsi="Verdana" w:cs="Calibri"/>
          <w:sz w:val="18"/>
          <w:szCs w:val="18"/>
          <w:lang w:val="el-GR"/>
        </w:rPr>
        <w:t xml:space="preserve">διαφοροποιήθηκε </w:t>
      </w:r>
      <w:r>
        <w:rPr>
          <w:rFonts w:ascii="Verdana" w:eastAsia="Malgun Gothic" w:hAnsi="Verdana" w:cs="Calibri"/>
          <w:sz w:val="18"/>
          <w:szCs w:val="18"/>
          <w:lang w:val="el-GR"/>
        </w:rPr>
        <w:t xml:space="preserve">για την περίοδο </w:t>
      </w:r>
      <w:r w:rsidR="00C70C3A" w:rsidRPr="00C70C3A">
        <w:rPr>
          <w:rFonts w:ascii="Verdana" w:eastAsia="Malgun Gothic" w:hAnsi="Verdana" w:cs="Calibri"/>
          <w:sz w:val="18"/>
          <w:szCs w:val="18"/>
          <w:lang w:val="el-GR"/>
        </w:rPr>
        <w:t>Νοεμβρίου 2020</w:t>
      </w:r>
      <w:r w:rsidR="00C70C3A">
        <w:rPr>
          <w:rFonts w:ascii="Verdana" w:eastAsia="Malgun Gothic" w:hAnsi="Verdana" w:cs="Calibri"/>
          <w:sz w:val="18"/>
          <w:szCs w:val="18"/>
          <w:lang w:val="el-GR"/>
        </w:rPr>
        <w:t xml:space="preserve"> </w:t>
      </w:r>
      <w:r>
        <w:rPr>
          <w:rFonts w:ascii="Verdana" w:eastAsia="Malgun Gothic" w:hAnsi="Verdana" w:cs="Calibri"/>
          <w:sz w:val="18"/>
          <w:szCs w:val="18"/>
          <w:lang w:val="el-GR"/>
        </w:rPr>
        <w:t xml:space="preserve">– Φεβρουαρίου 2021 </w:t>
      </w:r>
      <w:r w:rsidR="001614AA">
        <w:rPr>
          <w:rFonts w:ascii="Verdana" w:eastAsia="Malgun Gothic" w:hAnsi="Verdana" w:cs="Calibri"/>
          <w:sz w:val="18"/>
          <w:szCs w:val="18"/>
          <w:lang w:val="el-GR"/>
        </w:rPr>
        <w:t xml:space="preserve">και έγινε μέσω </w:t>
      </w:r>
      <w:r w:rsidR="009F6529">
        <w:rPr>
          <w:rFonts w:ascii="Verdana" w:eastAsia="Malgun Gothic" w:hAnsi="Verdana" w:cs="Calibri"/>
          <w:sz w:val="18"/>
          <w:szCs w:val="18"/>
          <w:lang w:val="el-GR"/>
        </w:rPr>
        <w:t>τηλεφωνικ</w:t>
      </w:r>
      <w:r w:rsidR="001614AA">
        <w:rPr>
          <w:rFonts w:ascii="Verdana" w:eastAsia="Malgun Gothic" w:hAnsi="Verdana" w:cs="Calibri"/>
          <w:sz w:val="18"/>
          <w:szCs w:val="18"/>
          <w:lang w:val="el-GR"/>
        </w:rPr>
        <w:t xml:space="preserve">ών </w:t>
      </w:r>
      <w:r w:rsidR="009F6529">
        <w:rPr>
          <w:rFonts w:ascii="Verdana" w:eastAsia="Malgun Gothic" w:hAnsi="Verdana" w:cs="Calibri"/>
          <w:sz w:val="18"/>
          <w:szCs w:val="18"/>
          <w:lang w:val="el-GR"/>
        </w:rPr>
        <w:t>συνεντεύξε</w:t>
      </w:r>
      <w:r w:rsidR="001614AA">
        <w:rPr>
          <w:rFonts w:ascii="Verdana" w:eastAsia="Malgun Gothic" w:hAnsi="Verdana" w:cs="Calibri"/>
          <w:sz w:val="18"/>
          <w:szCs w:val="18"/>
          <w:lang w:val="el-GR"/>
        </w:rPr>
        <w:t>ων</w:t>
      </w:r>
      <w:r>
        <w:rPr>
          <w:rFonts w:ascii="Verdana" w:eastAsia="Malgun Gothic" w:hAnsi="Verdana" w:cs="Calibri"/>
          <w:sz w:val="18"/>
          <w:szCs w:val="18"/>
          <w:lang w:val="el-GR"/>
        </w:rPr>
        <w:t>.</w:t>
      </w:r>
      <w:r w:rsidRPr="00140E22">
        <w:rPr>
          <w:lang w:val="el-GR"/>
        </w:rPr>
        <w:t xml:space="preserve"> </w:t>
      </w:r>
    </w:p>
    <w:p w14:paraId="7ED0E699" w14:textId="77777777" w:rsidR="00AB1B0F" w:rsidRDefault="00AB1B0F" w:rsidP="00140E22">
      <w:pPr>
        <w:jc w:val="both"/>
        <w:rPr>
          <w:lang w:val="el-GR"/>
        </w:rPr>
      </w:pPr>
    </w:p>
    <w:p w14:paraId="2F2B7C4F" w14:textId="77777777" w:rsidR="00C77D23" w:rsidRDefault="004279B4" w:rsidP="004279B4">
      <w:pPr>
        <w:jc w:val="both"/>
        <w:rPr>
          <w:rFonts w:ascii="Verdana" w:eastAsia="Malgun Gothic" w:hAnsi="Verdana" w:cs="Calibri"/>
          <w:b/>
          <w:sz w:val="18"/>
          <w:szCs w:val="18"/>
          <w:u w:val="single"/>
          <w:lang w:val="el-GR"/>
        </w:rPr>
      </w:pPr>
      <w:r>
        <w:rPr>
          <w:rFonts w:ascii="Verdana" w:eastAsia="Malgun Gothic" w:hAnsi="Verdana" w:cs="Calibri"/>
          <w:b/>
          <w:sz w:val="18"/>
          <w:szCs w:val="18"/>
          <w:u w:val="single"/>
          <w:lang w:val="el-GR"/>
        </w:rPr>
        <w:t xml:space="preserve">Περίοδος </w:t>
      </w:r>
      <w:r w:rsidR="001327D6">
        <w:rPr>
          <w:rFonts w:ascii="Verdana" w:eastAsia="Malgun Gothic" w:hAnsi="Verdana" w:cs="Calibri"/>
          <w:b/>
          <w:sz w:val="18"/>
          <w:szCs w:val="18"/>
          <w:u w:val="single"/>
          <w:lang w:val="el-GR"/>
        </w:rPr>
        <w:t>α</w:t>
      </w:r>
      <w:r>
        <w:rPr>
          <w:rFonts w:ascii="Verdana" w:eastAsia="Malgun Gothic" w:hAnsi="Verdana" w:cs="Calibri"/>
          <w:b/>
          <w:sz w:val="18"/>
          <w:szCs w:val="18"/>
          <w:u w:val="single"/>
          <w:lang w:val="el-GR"/>
        </w:rPr>
        <w:t>ναφοράς</w:t>
      </w:r>
    </w:p>
    <w:p w14:paraId="324CBEF0" w14:textId="77777777" w:rsidR="00F93CA8" w:rsidRDefault="00F93CA8" w:rsidP="004279B4">
      <w:pPr>
        <w:jc w:val="both"/>
        <w:rPr>
          <w:rFonts w:ascii="Verdana" w:eastAsia="Malgun Gothic" w:hAnsi="Verdana" w:cs="Calibri"/>
          <w:b/>
          <w:sz w:val="18"/>
          <w:szCs w:val="18"/>
          <w:u w:val="single"/>
          <w:lang w:val="el-GR"/>
        </w:rPr>
      </w:pPr>
    </w:p>
    <w:p w14:paraId="4545C7AB" w14:textId="77777777" w:rsidR="004279B4" w:rsidRDefault="00140E22" w:rsidP="00140E22">
      <w:pPr>
        <w:jc w:val="both"/>
        <w:rPr>
          <w:rFonts w:ascii="Verdana" w:eastAsia="Malgun Gothic" w:hAnsi="Verdana" w:cs="Calibri"/>
          <w:sz w:val="18"/>
          <w:szCs w:val="18"/>
          <w:lang w:val="el-GR"/>
        </w:rPr>
      </w:pPr>
      <w:r w:rsidRPr="00140E22">
        <w:rPr>
          <w:rFonts w:ascii="Verdana" w:eastAsia="Malgun Gothic" w:hAnsi="Verdana" w:cs="Calibri"/>
          <w:sz w:val="18"/>
          <w:szCs w:val="18"/>
          <w:lang w:val="el-GR"/>
        </w:rPr>
        <w:t>Η περίοδος αναφοράς για τα χαρακτηριστικά γης αναφέρ</w:t>
      </w:r>
      <w:r w:rsidR="00C22A5E">
        <w:rPr>
          <w:rFonts w:ascii="Verdana" w:eastAsia="Malgun Gothic" w:hAnsi="Verdana" w:cs="Calibri"/>
          <w:sz w:val="18"/>
          <w:szCs w:val="18"/>
          <w:lang w:val="el-GR"/>
        </w:rPr>
        <w:t>εται</w:t>
      </w:r>
      <w:r w:rsidRPr="00140E22">
        <w:rPr>
          <w:rFonts w:ascii="Verdana" w:eastAsia="Malgun Gothic" w:hAnsi="Verdana" w:cs="Calibri"/>
          <w:sz w:val="18"/>
          <w:szCs w:val="18"/>
          <w:lang w:val="el-GR"/>
        </w:rPr>
        <w:t xml:space="preserve"> σε εκτάσεις που χρησιμοποιήθηκαν από 1η Σεπτεμβρίου 2019 </w:t>
      </w:r>
      <w:r w:rsidR="009F6529">
        <w:rPr>
          <w:rFonts w:ascii="Verdana" w:eastAsia="Malgun Gothic" w:hAnsi="Verdana" w:cs="Calibri"/>
          <w:sz w:val="18"/>
          <w:szCs w:val="18"/>
          <w:lang w:val="el-GR"/>
        </w:rPr>
        <w:t>-</w:t>
      </w:r>
      <w:r w:rsidRPr="00140E22">
        <w:rPr>
          <w:rFonts w:ascii="Verdana" w:eastAsia="Malgun Gothic" w:hAnsi="Verdana" w:cs="Calibri"/>
          <w:sz w:val="18"/>
          <w:szCs w:val="18"/>
          <w:lang w:val="el-GR"/>
        </w:rPr>
        <w:t xml:space="preserve"> 31η Αυγούστου 2020. </w:t>
      </w:r>
      <w:r w:rsidR="001327D6">
        <w:rPr>
          <w:rFonts w:ascii="Verdana" w:eastAsia="Malgun Gothic" w:hAnsi="Verdana" w:cs="Calibri"/>
          <w:sz w:val="18"/>
          <w:szCs w:val="18"/>
          <w:lang w:val="el-GR"/>
        </w:rPr>
        <w:t>Η η</w:t>
      </w:r>
      <w:r w:rsidRPr="00140E22">
        <w:rPr>
          <w:rFonts w:ascii="Verdana" w:eastAsia="Malgun Gothic" w:hAnsi="Verdana" w:cs="Calibri"/>
          <w:sz w:val="18"/>
          <w:szCs w:val="18"/>
          <w:lang w:val="el-GR"/>
        </w:rPr>
        <w:t xml:space="preserve">μέρα αναφοράς για μεταβλητές </w:t>
      </w:r>
      <w:r w:rsidR="001327D6">
        <w:rPr>
          <w:rFonts w:ascii="Verdana" w:eastAsia="Malgun Gothic" w:hAnsi="Verdana" w:cs="Calibri"/>
          <w:sz w:val="18"/>
          <w:szCs w:val="18"/>
          <w:lang w:val="el-GR"/>
        </w:rPr>
        <w:t xml:space="preserve">του </w:t>
      </w:r>
      <w:r w:rsidRPr="00140E22">
        <w:rPr>
          <w:rFonts w:ascii="Verdana" w:eastAsia="Malgun Gothic" w:hAnsi="Verdana" w:cs="Calibri"/>
          <w:sz w:val="18"/>
          <w:szCs w:val="18"/>
          <w:lang w:val="el-GR"/>
        </w:rPr>
        <w:t>ζωικ</w:t>
      </w:r>
      <w:r w:rsidR="001327D6">
        <w:rPr>
          <w:rFonts w:ascii="Verdana" w:eastAsia="Malgun Gothic" w:hAnsi="Verdana" w:cs="Calibri"/>
          <w:sz w:val="18"/>
          <w:szCs w:val="18"/>
          <w:lang w:val="el-GR"/>
        </w:rPr>
        <w:t xml:space="preserve">ού </w:t>
      </w:r>
      <w:r w:rsidR="00812246">
        <w:rPr>
          <w:rFonts w:ascii="Verdana" w:eastAsia="Malgun Gothic" w:hAnsi="Verdana" w:cs="Calibri"/>
          <w:sz w:val="18"/>
          <w:szCs w:val="18"/>
          <w:lang w:val="el-GR"/>
        </w:rPr>
        <w:t xml:space="preserve">κεφαλαίου </w:t>
      </w:r>
      <w:r w:rsidR="001327D6">
        <w:rPr>
          <w:rFonts w:ascii="Verdana" w:eastAsia="Malgun Gothic" w:hAnsi="Verdana" w:cs="Calibri"/>
          <w:sz w:val="18"/>
          <w:szCs w:val="18"/>
          <w:lang w:val="el-GR"/>
        </w:rPr>
        <w:t xml:space="preserve">είναι </w:t>
      </w:r>
      <w:r w:rsidRPr="00140E22">
        <w:rPr>
          <w:rFonts w:ascii="Verdana" w:eastAsia="Malgun Gothic" w:hAnsi="Verdana" w:cs="Calibri"/>
          <w:sz w:val="18"/>
          <w:szCs w:val="18"/>
          <w:lang w:val="el-GR"/>
        </w:rPr>
        <w:t>η 31η Δεκεμβρίου 2020.</w:t>
      </w:r>
      <w:r>
        <w:rPr>
          <w:rFonts w:ascii="Verdana" w:eastAsia="Malgun Gothic" w:hAnsi="Verdana" w:cs="Calibri"/>
          <w:sz w:val="18"/>
          <w:szCs w:val="18"/>
          <w:lang w:val="el-GR"/>
        </w:rPr>
        <w:t xml:space="preserve"> </w:t>
      </w:r>
      <w:r w:rsidRPr="00140E22">
        <w:rPr>
          <w:rFonts w:ascii="Verdana" w:eastAsia="Malgun Gothic" w:hAnsi="Verdana" w:cs="Calibri"/>
          <w:sz w:val="18"/>
          <w:szCs w:val="18"/>
          <w:lang w:val="el-GR"/>
        </w:rPr>
        <w:t xml:space="preserve">Η περίοδος αναφοράς για μεταβλητές σχετικά με το εργατικό δυναμικό </w:t>
      </w:r>
      <w:r w:rsidR="001327D6">
        <w:rPr>
          <w:rFonts w:ascii="Verdana" w:eastAsia="Malgun Gothic" w:hAnsi="Verdana" w:cs="Calibri"/>
          <w:sz w:val="18"/>
          <w:szCs w:val="18"/>
          <w:lang w:val="el-GR"/>
        </w:rPr>
        <w:t xml:space="preserve">είναι </w:t>
      </w:r>
      <w:r w:rsidRPr="00140E22">
        <w:rPr>
          <w:rFonts w:ascii="Verdana" w:eastAsia="Malgun Gothic" w:hAnsi="Verdana" w:cs="Calibri"/>
          <w:sz w:val="18"/>
          <w:szCs w:val="18"/>
          <w:lang w:val="el-GR"/>
        </w:rPr>
        <w:t>η 12μηνη περίοδος 1η Σεπτεμβρίου 2019 - 31η Αυγούστου 2020.</w:t>
      </w:r>
    </w:p>
    <w:p w14:paraId="2109B3BB" w14:textId="77777777" w:rsidR="001327D6" w:rsidRDefault="001327D6" w:rsidP="00140E22">
      <w:pPr>
        <w:jc w:val="both"/>
        <w:rPr>
          <w:rFonts w:ascii="Verdana" w:eastAsia="Malgun Gothic" w:hAnsi="Verdana" w:cs="Calibri"/>
          <w:sz w:val="18"/>
          <w:szCs w:val="18"/>
          <w:lang w:val="el-GR"/>
        </w:rPr>
      </w:pPr>
    </w:p>
    <w:p w14:paraId="0C40C0CA" w14:textId="77777777" w:rsidR="001327D6" w:rsidRPr="00F93CA8" w:rsidRDefault="00F93CA8" w:rsidP="00140E22">
      <w:pPr>
        <w:jc w:val="both"/>
        <w:rPr>
          <w:rFonts w:ascii="Verdana" w:eastAsia="Malgun Gothic" w:hAnsi="Verdana" w:cs="Calibri"/>
          <w:b/>
          <w:sz w:val="18"/>
          <w:szCs w:val="18"/>
          <w:u w:val="single"/>
          <w:lang w:val="el-GR"/>
        </w:rPr>
      </w:pPr>
      <w:r w:rsidRPr="00F93CA8">
        <w:rPr>
          <w:rFonts w:ascii="Verdana" w:eastAsia="Malgun Gothic" w:hAnsi="Verdana" w:cs="Calibri"/>
          <w:b/>
          <w:sz w:val="18"/>
          <w:szCs w:val="18"/>
          <w:u w:val="single"/>
          <w:lang w:val="el-GR"/>
        </w:rPr>
        <w:t>Ορισμοί</w:t>
      </w:r>
    </w:p>
    <w:p w14:paraId="2B30AD2C" w14:textId="77777777" w:rsidR="00EF6A47" w:rsidRDefault="00EF6A47" w:rsidP="00FB709A">
      <w:pPr>
        <w:jc w:val="both"/>
        <w:rPr>
          <w:rFonts w:ascii="Verdana" w:eastAsia="Malgun Gothic" w:hAnsi="Verdana" w:cs="Calibri"/>
          <w:b/>
          <w:sz w:val="18"/>
          <w:szCs w:val="18"/>
          <w:u w:val="single"/>
          <w:lang w:val="el-GR"/>
        </w:rPr>
      </w:pPr>
    </w:p>
    <w:p w14:paraId="057035C6" w14:textId="77777777" w:rsidR="00F93CA8" w:rsidRDefault="00F93CA8" w:rsidP="00FB709A">
      <w:pPr>
        <w:jc w:val="both"/>
        <w:rPr>
          <w:rFonts w:ascii="Verdana" w:eastAsia="Malgun Gothic" w:hAnsi="Verdana" w:cs="Calibri"/>
          <w:sz w:val="18"/>
          <w:szCs w:val="18"/>
          <w:lang w:val="el-GR"/>
        </w:rPr>
      </w:pPr>
      <w:r w:rsidRPr="00F93CA8">
        <w:rPr>
          <w:rFonts w:ascii="Verdana" w:eastAsia="Malgun Gothic" w:hAnsi="Verdana" w:cs="Calibri"/>
          <w:b/>
          <w:bCs/>
          <w:sz w:val="18"/>
          <w:szCs w:val="18"/>
          <w:lang w:val="el-GR"/>
        </w:rPr>
        <w:t>Κάτοχος:</w:t>
      </w:r>
      <w:r w:rsidRPr="00F93CA8">
        <w:rPr>
          <w:rFonts w:ascii="Verdana" w:eastAsia="Malgun Gothic" w:hAnsi="Verdana" w:cs="Calibri"/>
          <w:sz w:val="18"/>
          <w:szCs w:val="18"/>
          <w:lang w:val="el-GR"/>
        </w:rPr>
        <w:t xml:space="preserve"> Είναι το φυσικό πρόσωπο, ομάδα φυσικών προσώπων ή νομικό πρόσωπο για λογαριασμό του οποίου και για το όνομα του οποίου ασκείται η εκμετάλλευση και το οποίο έχει τη νομική και οικονομική ευθύνη της εκμετάλλευσης. Διευκρινίζεται ότι η έννοια του κατόχου της εκμετάλλευσης δεν πρέπει να παρερμηνεύεται με αυτή του ιδιοκτήτη της γης ή των ζώων της εκμετάλλευσης. Ο κάτοχος μπορεί να είναι ο ιδιοκτήτης της εκμετάλλευσης ή ο ενοικιαστής ή ο κληρονομικός μακροχρόνιος ενοικιαστής ή διαχειριστής περιουσίας τρίτου.</w:t>
      </w:r>
    </w:p>
    <w:p w14:paraId="3CCB96AA" w14:textId="77777777" w:rsidR="00F93CA8" w:rsidRDefault="00F93CA8" w:rsidP="00FB709A">
      <w:pPr>
        <w:jc w:val="both"/>
        <w:rPr>
          <w:rFonts w:ascii="Verdana" w:eastAsia="Malgun Gothic" w:hAnsi="Verdana" w:cs="Calibri"/>
          <w:sz w:val="18"/>
          <w:szCs w:val="18"/>
          <w:lang w:val="el-GR"/>
        </w:rPr>
      </w:pPr>
    </w:p>
    <w:p w14:paraId="695FD843" w14:textId="77777777" w:rsidR="00F93CA8" w:rsidRDefault="00F93CA8" w:rsidP="00FB709A">
      <w:pPr>
        <w:jc w:val="both"/>
        <w:rPr>
          <w:rFonts w:ascii="Verdana" w:eastAsia="Malgun Gothic" w:hAnsi="Verdana" w:cs="Calibri"/>
          <w:sz w:val="18"/>
          <w:szCs w:val="18"/>
          <w:lang w:val="el-GR"/>
        </w:rPr>
      </w:pPr>
      <w:r w:rsidRPr="00F93CA8">
        <w:rPr>
          <w:rFonts w:ascii="Verdana" w:eastAsia="Malgun Gothic" w:hAnsi="Verdana" w:cs="Calibri"/>
          <w:b/>
          <w:bCs/>
          <w:sz w:val="18"/>
          <w:szCs w:val="18"/>
          <w:lang w:val="el-GR"/>
        </w:rPr>
        <w:t xml:space="preserve">Χρησιμοποιούμενη </w:t>
      </w:r>
      <w:r w:rsidR="00812246">
        <w:rPr>
          <w:rFonts w:ascii="Verdana" w:eastAsia="Malgun Gothic" w:hAnsi="Verdana" w:cs="Calibri"/>
          <w:b/>
          <w:bCs/>
          <w:sz w:val="18"/>
          <w:szCs w:val="18"/>
          <w:lang w:val="el-GR"/>
        </w:rPr>
        <w:t>γ</w:t>
      </w:r>
      <w:r w:rsidRPr="00F93CA8">
        <w:rPr>
          <w:rFonts w:ascii="Verdana" w:eastAsia="Malgun Gothic" w:hAnsi="Verdana" w:cs="Calibri"/>
          <w:b/>
          <w:bCs/>
          <w:sz w:val="18"/>
          <w:szCs w:val="18"/>
          <w:lang w:val="el-GR"/>
        </w:rPr>
        <w:t xml:space="preserve">εωργική </w:t>
      </w:r>
      <w:r w:rsidR="00812246">
        <w:rPr>
          <w:rFonts w:ascii="Verdana" w:eastAsia="Malgun Gothic" w:hAnsi="Verdana" w:cs="Calibri"/>
          <w:b/>
          <w:bCs/>
          <w:sz w:val="18"/>
          <w:szCs w:val="18"/>
          <w:lang w:val="el-GR"/>
        </w:rPr>
        <w:t>έ</w:t>
      </w:r>
      <w:r w:rsidRPr="00F93CA8">
        <w:rPr>
          <w:rFonts w:ascii="Verdana" w:eastAsia="Malgun Gothic" w:hAnsi="Verdana" w:cs="Calibri"/>
          <w:b/>
          <w:bCs/>
          <w:sz w:val="18"/>
          <w:szCs w:val="18"/>
          <w:lang w:val="el-GR"/>
        </w:rPr>
        <w:t>κταση:</w:t>
      </w:r>
      <w:r w:rsidRPr="00F93CA8">
        <w:rPr>
          <w:rFonts w:ascii="Verdana" w:eastAsia="Malgun Gothic" w:hAnsi="Verdana" w:cs="Calibri"/>
          <w:sz w:val="18"/>
          <w:szCs w:val="18"/>
          <w:lang w:val="el-GR"/>
        </w:rPr>
        <w:t xml:space="preserve"> </w:t>
      </w:r>
      <w:r w:rsidR="00DE1417">
        <w:rPr>
          <w:rFonts w:ascii="Verdana" w:eastAsia="Malgun Gothic" w:hAnsi="Verdana" w:cs="Calibri"/>
          <w:sz w:val="18"/>
          <w:szCs w:val="18"/>
          <w:lang w:val="el-GR"/>
        </w:rPr>
        <w:t>Π</w:t>
      </w:r>
      <w:r w:rsidRPr="00F93CA8">
        <w:rPr>
          <w:rFonts w:ascii="Verdana" w:eastAsia="Malgun Gothic" w:hAnsi="Verdana" w:cs="Calibri"/>
          <w:sz w:val="18"/>
          <w:szCs w:val="18"/>
          <w:lang w:val="el-GR"/>
        </w:rPr>
        <w:t>εριλαμβάν</w:t>
      </w:r>
      <w:r w:rsidR="00DE1417">
        <w:rPr>
          <w:rFonts w:ascii="Verdana" w:eastAsia="Malgun Gothic" w:hAnsi="Verdana" w:cs="Calibri"/>
          <w:sz w:val="18"/>
          <w:szCs w:val="18"/>
          <w:lang w:val="el-GR"/>
        </w:rPr>
        <w:t>ετ</w:t>
      </w:r>
      <w:r w:rsidRPr="00F93CA8">
        <w:rPr>
          <w:rFonts w:ascii="Verdana" w:eastAsia="Malgun Gothic" w:hAnsi="Verdana" w:cs="Calibri"/>
          <w:sz w:val="18"/>
          <w:szCs w:val="18"/>
          <w:lang w:val="el-GR"/>
        </w:rPr>
        <w:t xml:space="preserve">αι η γεωργική έκταση που καλλιεργεί ή εκμεταλλεύεται η εκμετάλλευση, ανεξάρτητα από τη μορφή κατοχής (ιδιόκτητη, νοικιασμένη κλπ.) και καλύπτεται από ετήσιες καλλιέργειες, μόνιμες καλλιέργειες, θερμοκήπια, οικογενειακούς λαχανόκηπους, μόνιμα λιβάδια και βοσκότοπους και αγραναπαύσεις μέχρι 5 ετών. </w:t>
      </w:r>
      <w:r w:rsidR="00DE1417">
        <w:rPr>
          <w:rFonts w:ascii="Verdana" w:eastAsia="Malgun Gothic" w:hAnsi="Verdana" w:cs="Calibri"/>
          <w:sz w:val="18"/>
          <w:szCs w:val="18"/>
          <w:lang w:val="el-GR"/>
        </w:rPr>
        <w:t xml:space="preserve">Επίσης, </w:t>
      </w:r>
      <w:r w:rsidRPr="00F93CA8">
        <w:rPr>
          <w:rFonts w:ascii="Verdana" w:eastAsia="Malgun Gothic" w:hAnsi="Verdana" w:cs="Calibri"/>
          <w:sz w:val="18"/>
          <w:szCs w:val="18"/>
          <w:lang w:val="el-GR"/>
        </w:rPr>
        <w:t xml:space="preserve">περιλαμβάνονται και οι άγονοι </w:t>
      </w:r>
      <w:r w:rsidRPr="00F93CA8">
        <w:rPr>
          <w:rFonts w:ascii="Verdana" w:eastAsia="Malgun Gothic" w:hAnsi="Verdana" w:cs="Calibri"/>
          <w:sz w:val="18"/>
          <w:szCs w:val="18"/>
          <w:lang w:val="el-GR"/>
        </w:rPr>
        <w:lastRenderedPageBreak/>
        <w:t>βοσκότοποι που κατά την περίοδο αναφοράς χρησιμοποιήθηκαν για να βοσκήσουν τα ζώα της εκμετάλλευσης.</w:t>
      </w:r>
    </w:p>
    <w:p w14:paraId="1CF880BF" w14:textId="77777777" w:rsidR="00DE1417" w:rsidRDefault="00DE1417" w:rsidP="00FB709A">
      <w:pPr>
        <w:jc w:val="both"/>
        <w:rPr>
          <w:rFonts w:ascii="Verdana" w:eastAsia="Malgun Gothic" w:hAnsi="Verdana" w:cs="Calibri"/>
          <w:sz w:val="18"/>
          <w:szCs w:val="18"/>
          <w:lang w:val="el-GR"/>
        </w:rPr>
      </w:pPr>
    </w:p>
    <w:p w14:paraId="046FE347" w14:textId="77777777" w:rsidR="00DE1417" w:rsidRDefault="00DE1417" w:rsidP="00FB709A">
      <w:pPr>
        <w:jc w:val="both"/>
        <w:rPr>
          <w:rFonts w:ascii="Verdana" w:eastAsia="Malgun Gothic" w:hAnsi="Verdana" w:cs="Calibri"/>
          <w:sz w:val="18"/>
          <w:szCs w:val="18"/>
          <w:lang w:val="el-GR"/>
        </w:rPr>
      </w:pPr>
      <w:r w:rsidRPr="00DE1417">
        <w:rPr>
          <w:rFonts w:ascii="Verdana" w:eastAsia="Malgun Gothic" w:hAnsi="Verdana" w:cs="Calibri"/>
          <w:b/>
          <w:bCs/>
          <w:sz w:val="18"/>
          <w:szCs w:val="18"/>
          <w:lang w:val="el-GR"/>
        </w:rPr>
        <w:t>Ετήσιες καλλιέργειες:</w:t>
      </w:r>
      <w:r w:rsidRPr="00DE1417">
        <w:rPr>
          <w:rFonts w:ascii="Verdana" w:eastAsia="Malgun Gothic" w:hAnsi="Verdana" w:cs="Calibri"/>
          <w:sz w:val="18"/>
          <w:szCs w:val="18"/>
          <w:lang w:val="el-GR"/>
        </w:rPr>
        <w:t xml:space="preserve"> Περιλαμβάνονται οι εκτάσεις που καλύπτονται από καλλιέργειες που υπόκεινται στο σύστημα της εναλλαγής των καλλιεργειών (αμειψισπορά). Είναι δηλαδή οι καλλιέργειες εκείνες των οποίων ο κύκλος ζωής δεν διαρκεί πέραν του ενός έτους. </w:t>
      </w:r>
      <w:r>
        <w:rPr>
          <w:rFonts w:ascii="Verdana" w:eastAsia="Malgun Gothic" w:hAnsi="Verdana" w:cs="Calibri"/>
          <w:sz w:val="18"/>
          <w:szCs w:val="18"/>
          <w:lang w:val="el-GR"/>
        </w:rPr>
        <w:t>Α</w:t>
      </w:r>
      <w:r w:rsidRPr="00DE1417">
        <w:rPr>
          <w:rFonts w:ascii="Verdana" w:eastAsia="Malgun Gothic" w:hAnsi="Verdana" w:cs="Calibri"/>
          <w:sz w:val="18"/>
          <w:szCs w:val="18"/>
          <w:lang w:val="el-GR"/>
        </w:rPr>
        <w:t>ποτελούνται από δημητριακά για παραγωγή καρπού, όσπρια για ξηρό καρπό, φυτά με ριζώματα ή κονδύλους, βιομηχανικά φυτά, νωπά λαχανικά, πεπονοειδή και φράουλες, άνθη και διακοσμητικά φυτά, φυτά που συγκομίζονται χλωρά, φυτείες σποροπαραγωγής και σπορόφυτα, αγραναπαύσεις και άλλες ετήσιες καλλιέργειες.</w:t>
      </w:r>
    </w:p>
    <w:p w14:paraId="536EBDA2" w14:textId="77777777" w:rsidR="00DE1417" w:rsidRDefault="00DE1417" w:rsidP="00FB709A">
      <w:pPr>
        <w:jc w:val="both"/>
        <w:rPr>
          <w:rFonts w:ascii="Verdana" w:eastAsia="Malgun Gothic" w:hAnsi="Verdana" w:cs="Calibri"/>
          <w:sz w:val="18"/>
          <w:szCs w:val="18"/>
          <w:lang w:val="el-GR"/>
        </w:rPr>
      </w:pPr>
    </w:p>
    <w:p w14:paraId="5A6DDB73" w14:textId="77777777" w:rsidR="00DE1417" w:rsidRDefault="00812246" w:rsidP="00FB709A">
      <w:pPr>
        <w:jc w:val="both"/>
        <w:rPr>
          <w:rFonts w:ascii="Verdana" w:eastAsia="Malgun Gothic" w:hAnsi="Verdana" w:cs="Calibri"/>
          <w:sz w:val="18"/>
          <w:szCs w:val="18"/>
          <w:lang w:val="el-GR"/>
        </w:rPr>
      </w:pPr>
      <w:r>
        <w:rPr>
          <w:rFonts w:ascii="Verdana" w:eastAsia="Malgun Gothic" w:hAnsi="Verdana" w:cs="Calibri"/>
          <w:b/>
          <w:bCs/>
          <w:sz w:val="18"/>
          <w:szCs w:val="18"/>
          <w:lang w:val="el-GR"/>
        </w:rPr>
        <w:t>Π</w:t>
      </w:r>
      <w:r w:rsidR="004B12B9" w:rsidRPr="00695816">
        <w:rPr>
          <w:rFonts w:ascii="Verdana" w:eastAsia="Malgun Gothic" w:hAnsi="Verdana" w:cs="Calibri"/>
          <w:b/>
          <w:bCs/>
          <w:sz w:val="18"/>
          <w:szCs w:val="18"/>
          <w:lang w:val="el-GR"/>
        </w:rPr>
        <w:t>ολυετείς (μόνιμες) καλλιέργειες:</w:t>
      </w:r>
      <w:r w:rsidR="004B12B9" w:rsidRPr="004B12B9">
        <w:rPr>
          <w:rFonts w:ascii="Verdana" w:eastAsia="Malgun Gothic" w:hAnsi="Verdana" w:cs="Calibri"/>
          <w:sz w:val="18"/>
          <w:szCs w:val="18"/>
          <w:lang w:val="el-GR"/>
        </w:rPr>
        <w:t xml:space="preserve"> Είναι ξυλώδη φυτά, δηλαδή δένδρα ή θάμνοι, που δεν ανήκουν στον κύκλο της αμειψισποράς, καταλαμβάνουν το έδαφος για μεγάλη χρονική περίοδο και παράγουν προϊόντα για πολλά έτη. Τα προϊόντα των διάφορων ειδών δένδρων ή θάμνων, όπου είναι φυτεμένα σε κανονικούς δενδρώνες ή διάσπαρτα, προορίζονται συνήθως για ανθρώπινη κατανάλωση. </w:t>
      </w:r>
      <w:r w:rsidR="00695816">
        <w:rPr>
          <w:rFonts w:ascii="Verdana" w:eastAsia="Malgun Gothic" w:hAnsi="Verdana" w:cs="Calibri"/>
          <w:sz w:val="18"/>
          <w:szCs w:val="18"/>
          <w:lang w:val="el-GR"/>
        </w:rPr>
        <w:t>Α</w:t>
      </w:r>
      <w:r w:rsidR="004B12B9" w:rsidRPr="004B12B9">
        <w:rPr>
          <w:rFonts w:ascii="Verdana" w:eastAsia="Malgun Gothic" w:hAnsi="Verdana" w:cs="Calibri"/>
          <w:sz w:val="18"/>
          <w:szCs w:val="18"/>
          <w:lang w:val="el-GR"/>
        </w:rPr>
        <w:t>ποτελούνται από ελαιώνες, μηλοειδή, πυρηνόκαρπα, φρούτα καλλιεργειών υποτροπικών και τροπικών κλιμάτων, δέντρα για καρπούς με κέλυφος, σαρκώδεις καρπούς, χαρουπιές, εσπεριδοειδή, αμπέλια, φυτώρια και άλλες μόνιμες καλλιέργειες.</w:t>
      </w:r>
    </w:p>
    <w:p w14:paraId="43889E53" w14:textId="77777777" w:rsidR="00695816" w:rsidRDefault="00695816" w:rsidP="00FB709A">
      <w:pPr>
        <w:jc w:val="both"/>
        <w:rPr>
          <w:rFonts w:ascii="Verdana" w:eastAsia="Malgun Gothic" w:hAnsi="Verdana" w:cs="Calibri"/>
          <w:sz w:val="18"/>
          <w:szCs w:val="18"/>
          <w:lang w:val="el-GR"/>
        </w:rPr>
      </w:pPr>
    </w:p>
    <w:p w14:paraId="6B2E9DEE" w14:textId="77777777" w:rsidR="00695816" w:rsidRDefault="00695816" w:rsidP="00FB709A">
      <w:pPr>
        <w:jc w:val="both"/>
        <w:rPr>
          <w:rFonts w:ascii="Verdana" w:eastAsia="Malgun Gothic" w:hAnsi="Verdana" w:cs="Calibri"/>
          <w:sz w:val="18"/>
          <w:szCs w:val="18"/>
          <w:lang w:val="el-GR"/>
        </w:rPr>
      </w:pPr>
      <w:r w:rsidRPr="00695816">
        <w:rPr>
          <w:rFonts w:ascii="Verdana" w:eastAsia="Malgun Gothic" w:hAnsi="Verdana" w:cs="Calibri"/>
          <w:b/>
          <w:bCs/>
          <w:sz w:val="18"/>
          <w:szCs w:val="18"/>
          <w:lang w:val="el-GR"/>
        </w:rPr>
        <w:t>Θερμοκήπια ή ψηλά προσπελάσιμα στέγαστρα:</w:t>
      </w:r>
      <w:r w:rsidRPr="00695816">
        <w:rPr>
          <w:rFonts w:ascii="Verdana" w:eastAsia="Malgun Gothic" w:hAnsi="Verdana" w:cs="Calibri"/>
          <w:sz w:val="18"/>
          <w:szCs w:val="18"/>
          <w:lang w:val="el-GR"/>
        </w:rPr>
        <w:t xml:space="preserve"> Εκτάσεις καλλιεργειών, οι οποίες για ολόκληρη την περίοδο ή για το μεγαλύτερο χρονικό διάστημα της ανάπτυξ</w:t>
      </w:r>
      <w:r w:rsidR="00812246">
        <w:rPr>
          <w:rFonts w:ascii="Verdana" w:eastAsia="Malgun Gothic" w:hAnsi="Verdana" w:cs="Calibri"/>
          <w:sz w:val="18"/>
          <w:szCs w:val="18"/>
          <w:lang w:val="el-GR"/>
        </w:rPr>
        <w:t>ή</w:t>
      </w:r>
      <w:r w:rsidRPr="00695816">
        <w:rPr>
          <w:rFonts w:ascii="Verdana" w:eastAsia="Malgun Gothic" w:hAnsi="Verdana" w:cs="Calibri"/>
          <w:sz w:val="18"/>
          <w:szCs w:val="18"/>
          <w:lang w:val="el-GR"/>
        </w:rPr>
        <w:t>ς τους είναι σε θερμοκήπια ή κάτω από ψηλά καλύμματα (κινητά και μη).</w:t>
      </w:r>
    </w:p>
    <w:p w14:paraId="766DB41C" w14:textId="77777777" w:rsidR="00695816" w:rsidRPr="00695816" w:rsidRDefault="00695816" w:rsidP="00FB709A">
      <w:pPr>
        <w:jc w:val="both"/>
        <w:rPr>
          <w:rFonts w:ascii="Verdana" w:eastAsia="Malgun Gothic" w:hAnsi="Verdana" w:cs="Calibri"/>
          <w:sz w:val="18"/>
          <w:szCs w:val="18"/>
          <w:lang w:val="el-GR"/>
        </w:rPr>
      </w:pPr>
    </w:p>
    <w:p w14:paraId="69A391BA" w14:textId="77777777" w:rsidR="00695816" w:rsidRDefault="00695816" w:rsidP="00FB709A">
      <w:pPr>
        <w:jc w:val="both"/>
        <w:rPr>
          <w:rFonts w:ascii="Verdana" w:eastAsia="Malgun Gothic" w:hAnsi="Verdana" w:cs="Calibri"/>
          <w:sz w:val="18"/>
          <w:szCs w:val="18"/>
          <w:lang w:val="el-GR"/>
        </w:rPr>
      </w:pPr>
      <w:r w:rsidRPr="00695816">
        <w:rPr>
          <w:rFonts w:ascii="Verdana" w:eastAsia="Malgun Gothic" w:hAnsi="Verdana" w:cs="Calibri"/>
          <w:b/>
          <w:bCs/>
          <w:sz w:val="18"/>
          <w:szCs w:val="18"/>
          <w:lang w:val="el-GR"/>
        </w:rPr>
        <w:t>Μόνιμοι βοσκότοποι:</w:t>
      </w:r>
      <w:r w:rsidRPr="00695816">
        <w:rPr>
          <w:rFonts w:ascii="Verdana" w:eastAsia="Malgun Gothic" w:hAnsi="Verdana" w:cs="Calibri"/>
          <w:sz w:val="18"/>
          <w:szCs w:val="18"/>
          <w:lang w:val="el-GR"/>
        </w:rPr>
        <w:t xml:space="preserve"> Εκτάσεις γης που χρησιμοποιούνται μόνιμα (για αρκετά συνεχόμενα έτη, κανονικά 5 ή περισσότερα) για </w:t>
      </w:r>
      <w:r w:rsidR="00812246">
        <w:rPr>
          <w:rFonts w:ascii="Verdana" w:eastAsia="Malgun Gothic" w:hAnsi="Verdana" w:cs="Calibri"/>
          <w:sz w:val="18"/>
          <w:szCs w:val="18"/>
          <w:lang w:val="el-GR"/>
        </w:rPr>
        <w:t>να καλλιεργηθούν</w:t>
      </w:r>
      <w:r w:rsidRPr="00695816">
        <w:rPr>
          <w:rFonts w:ascii="Verdana" w:eastAsia="Malgun Gothic" w:hAnsi="Verdana" w:cs="Calibri"/>
          <w:sz w:val="18"/>
          <w:szCs w:val="18"/>
          <w:lang w:val="el-GR"/>
        </w:rPr>
        <w:t xml:space="preserve"> αγρωστώδη και ποώδη κτηνοτροφικ</w:t>
      </w:r>
      <w:r w:rsidR="0001632D">
        <w:rPr>
          <w:rFonts w:ascii="Verdana" w:eastAsia="Malgun Gothic" w:hAnsi="Verdana" w:cs="Calibri"/>
          <w:sz w:val="18"/>
          <w:szCs w:val="18"/>
          <w:lang w:val="el-GR"/>
        </w:rPr>
        <w:t>ά</w:t>
      </w:r>
      <w:r w:rsidRPr="00695816">
        <w:rPr>
          <w:rFonts w:ascii="Verdana" w:eastAsia="Malgun Gothic" w:hAnsi="Verdana" w:cs="Calibri"/>
          <w:sz w:val="18"/>
          <w:szCs w:val="18"/>
          <w:lang w:val="el-GR"/>
        </w:rPr>
        <w:t xml:space="preserve"> φυτ</w:t>
      </w:r>
      <w:r w:rsidR="0001632D">
        <w:rPr>
          <w:rFonts w:ascii="Verdana" w:eastAsia="Malgun Gothic" w:hAnsi="Verdana" w:cs="Calibri"/>
          <w:sz w:val="18"/>
          <w:szCs w:val="18"/>
          <w:lang w:val="el-GR"/>
        </w:rPr>
        <w:t>ά</w:t>
      </w:r>
      <w:r w:rsidRPr="00695816">
        <w:rPr>
          <w:rFonts w:ascii="Verdana" w:eastAsia="Malgun Gothic" w:hAnsi="Verdana" w:cs="Calibri"/>
          <w:sz w:val="18"/>
          <w:szCs w:val="18"/>
          <w:lang w:val="el-GR"/>
        </w:rPr>
        <w:t xml:space="preserve"> για βόσκηση ή ενεργειακούς σκοπούς είτε σπέρνονται είτε είναι φυσική βλάστηση και που δεν περιλαμβάνονται στην αμειψισπορά.</w:t>
      </w:r>
    </w:p>
    <w:p w14:paraId="431A7AA4" w14:textId="77777777" w:rsidR="00695816" w:rsidRDefault="00695816" w:rsidP="00FB709A">
      <w:pPr>
        <w:jc w:val="both"/>
        <w:rPr>
          <w:rFonts w:ascii="Verdana" w:eastAsia="Malgun Gothic" w:hAnsi="Verdana" w:cs="Calibri"/>
          <w:sz w:val="18"/>
          <w:szCs w:val="18"/>
          <w:lang w:val="el-GR"/>
        </w:rPr>
      </w:pPr>
    </w:p>
    <w:p w14:paraId="69DFB8E5" w14:textId="77777777" w:rsidR="00695816" w:rsidRDefault="00695816" w:rsidP="00FB709A">
      <w:pPr>
        <w:jc w:val="both"/>
        <w:rPr>
          <w:rFonts w:ascii="Verdana" w:eastAsia="Malgun Gothic" w:hAnsi="Verdana" w:cs="Calibri"/>
          <w:sz w:val="18"/>
          <w:szCs w:val="18"/>
          <w:lang w:val="el-GR"/>
        </w:rPr>
      </w:pPr>
      <w:r w:rsidRPr="00695816">
        <w:rPr>
          <w:rFonts w:ascii="Verdana" w:eastAsia="Malgun Gothic" w:hAnsi="Verdana" w:cs="Calibri"/>
          <w:b/>
          <w:bCs/>
          <w:sz w:val="18"/>
          <w:szCs w:val="18"/>
          <w:lang w:val="el-GR"/>
        </w:rPr>
        <w:t xml:space="preserve">Οικογενειακοί λαχανόκηποι: </w:t>
      </w:r>
      <w:r w:rsidRPr="00695816">
        <w:rPr>
          <w:rFonts w:ascii="Verdana" w:eastAsia="Malgun Gothic" w:hAnsi="Verdana" w:cs="Calibri"/>
          <w:sz w:val="18"/>
          <w:szCs w:val="18"/>
          <w:lang w:val="el-GR"/>
        </w:rPr>
        <w:t xml:space="preserve">Είναι μικρές εκτάσεις γης που βρίσκονται, συνήθως, κοντά στο σπίτι του κατόχου της εκμετάλλευσης, χωριστά από την υπόλοιπη εκμετάλλευση και η παραγωγή τους προορίζεται για κατανάλωση από τα άτομα που ζουν στην εκμετάλλευση και όχι για πώληση. </w:t>
      </w:r>
    </w:p>
    <w:p w14:paraId="46C528CB" w14:textId="77777777" w:rsidR="00695816" w:rsidRDefault="00695816" w:rsidP="00FB709A">
      <w:pPr>
        <w:jc w:val="both"/>
        <w:rPr>
          <w:rFonts w:ascii="Verdana" w:eastAsia="Malgun Gothic" w:hAnsi="Verdana" w:cs="Calibri"/>
          <w:sz w:val="18"/>
          <w:szCs w:val="18"/>
          <w:lang w:val="el-GR"/>
        </w:rPr>
      </w:pPr>
    </w:p>
    <w:p w14:paraId="14BADA67" w14:textId="77777777" w:rsidR="00695816" w:rsidRDefault="00695816" w:rsidP="00695816">
      <w:pPr>
        <w:jc w:val="both"/>
        <w:rPr>
          <w:rFonts w:ascii="Verdana" w:eastAsia="Malgun Gothic" w:hAnsi="Verdana" w:cs="Calibri"/>
          <w:sz w:val="18"/>
          <w:szCs w:val="18"/>
          <w:lang w:val="el-GR"/>
        </w:rPr>
      </w:pPr>
      <w:r w:rsidRPr="00695816">
        <w:rPr>
          <w:rFonts w:ascii="Verdana" w:eastAsia="Malgun Gothic" w:hAnsi="Verdana" w:cs="Calibri"/>
          <w:b/>
          <w:bCs/>
          <w:sz w:val="18"/>
          <w:szCs w:val="18"/>
          <w:lang w:val="el-GR"/>
        </w:rPr>
        <w:t>Αρδεύσιμη</w:t>
      </w:r>
      <w:r w:rsidR="00812246">
        <w:rPr>
          <w:rFonts w:ascii="Verdana" w:eastAsia="Malgun Gothic" w:hAnsi="Verdana" w:cs="Calibri"/>
          <w:b/>
          <w:bCs/>
          <w:sz w:val="18"/>
          <w:szCs w:val="18"/>
          <w:lang w:val="el-GR"/>
        </w:rPr>
        <w:t xml:space="preserve"> έκταση</w:t>
      </w:r>
      <w:r w:rsidRPr="00695816">
        <w:rPr>
          <w:rFonts w:ascii="Verdana" w:eastAsia="Malgun Gothic" w:hAnsi="Verdana" w:cs="Calibri"/>
          <w:b/>
          <w:bCs/>
          <w:sz w:val="18"/>
          <w:szCs w:val="18"/>
          <w:lang w:val="el-GR"/>
        </w:rPr>
        <w:t>:</w:t>
      </w:r>
      <w:r w:rsidRPr="00695816">
        <w:rPr>
          <w:rFonts w:ascii="Verdana" w:eastAsia="Malgun Gothic" w:hAnsi="Verdana" w:cs="Calibri"/>
          <w:sz w:val="18"/>
          <w:szCs w:val="18"/>
          <w:lang w:val="el-GR"/>
        </w:rPr>
        <w:t xml:space="preserve"> Είναι η χρησιμοποιούμενη γεωργική έκταση που είχε τη δυνατότητα να ποτιστεί κατά την περίοδο αναφοράς χρησιμοποιώντας τον εξοπλισμό και την ποσότητα νερού που διαθέτει, συνήθως, η εκμετάλλευση, ανεξάρτητα αν ποτίστηκε ή όχι. Εξαιρούνται οι εκτάσεις σε θερμοκήπια ή υπό ψηλά προσπελάσιμα στέγαστρα και οι οικογενειακοί λαχανόκηποι.</w:t>
      </w:r>
    </w:p>
    <w:p w14:paraId="5F594F0C" w14:textId="77777777" w:rsidR="00695816" w:rsidRDefault="00695816" w:rsidP="00FB709A">
      <w:pPr>
        <w:jc w:val="both"/>
        <w:rPr>
          <w:rFonts w:ascii="Verdana" w:eastAsia="Malgun Gothic" w:hAnsi="Verdana" w:cs="Calibri"/>
          <w:sz w:val="18"/>
          <w:szCs w:val="18"/>
          <w:lang w:val="el-GR"/>
        </w:rPr>
      </w:pPr>
    </w:p>
    <w:p w14:paraId="003A70F4" w14:textId="77777777" w:rsidR="00695816" w:rsidRDefault="00695816" w:rsidP="00FB709A">
      <w:pPr>
        <w:jc w:val="both"/>
        <w:rPr>
          <w:rFonts w:ascii="Verdana" w:eastAsia="Malgun Gothic" w:hAnsi="Verdana" w:cs="Calibri"/>
          <w:sz w:val="18"/>
          <w:szCs w:val="18"/>
          <w:lang w:val="el-GR"/>
        </w:rPr>
      </w:pPr>
      <w:r w:rsidRPr="00695816">
        <w:rPr>
          <w:rFonts w:ascii="Verdana" w:eastAsia="Malgun Gothic" w:hAnsi="Verdana" w:cs="Calibri"/>
          <w:b/>
          <w:bCs/>
          <w:sz w:val="18"/>
          <w:szCs w:val="18"/>
          <w:lang w:val="el-GR"/>
        </w:rPr>
        <w:t>Αρδευθείσα</w:t>
      </w:r>
      <w:r w:rsidR="00812246">
        <w:rPr>
          <w:rFonts w:ascii="Verdana" w:eastAsia="Malgun Gothic" w:hAnsi="Verdana" w:cs="Calibri"/>
          <w:b/>
          <w:bCs/>
          <w:sz w:val="18"/>
          <w:szCs w:val="18"/>
          <w:lang w:val="el-GR"/>
        </w:rPr>
        <w:t xml:space="preserve"> έκταση</w:t>
      </w:r>
      <w:r w:rsidRPr="00695816">
        <w:rPr>
          <w:rFonts w:ascii="Verdana" w:eastAsia="Malgun Gothic" w:hAnsi="Verdana" w:cs="Calibri"/>
          <w:b/>
          <w:bCs/>
          <w:sz w:val="18"/>
          <w:szCs w:val="18"/>
          <w:lang w:val="el-GR"/>
        </w:rPr>
        <w:t>:</w:t>
      </w:r>
      <w:r w:rsidRPr="00695816">
        <w:rPr>
          <w:rFonts w:ascii="Verdana" w:eastAsia="Malgun Gothic" w:hAnsi="Verdana" w:cs="Calibri"/>
          <w:sz w:val="18"/>
          <w:szCs w:val="18"/>
          <w:lang w:val="el-GR"/>
        </w:rPr>
        <w:t xml:space="preserve"> </w:t>
      </w:r>
      <w:r>
        <w:rPr>
          <w:rFonts w:ascii="Verdana" w:eastAsia="Malgun Gothic" w:hAnsi="Verdana" w:cs="Calibri"/>
          <w:sz w:val="18"/>
          <w:szCs w:val="18"/>
          <w:lang w:val="el-GR"/>
        </w:rPr>
        <w:t>Ε</w:t>
      </w:r>
      <w:r w:rsidRPr="00695816">
        <w:rPr>
          <w:rFonts w:ascii="Verdana" w:eastAsia="Malgun Gothic" w:hAnsi="Verdana" w:cs="Calibri"/>
          <w:sz w:val="18"/>
          <w:szCs w:val="18"/>
          <w:lang w:val="el-GR"/>
        </w:rPr>
        <w:t xml:space="preserve">ίναι </w:t>
      </w:r>
      <w:r>
        <w:rPr>
          <w:rFonts w:ascii="Verdana" w:eastAsia="Malgun Gothic" w:hAnsi="Verdana" w:cs="Calibri"/>
          <w:sz w:val="18"/>
          <w:szCs w:val="18"/>
          <w:lang w:val="el-GR"/>
        </w:rPr>
        <w:t xml:space="preserve">η έκταση </w:t>
      </w:r>
      <w:r w:rsidRPr="00695816">
        <w:rPr>
          <w:rFonts w:ascii="Verdana" w:eastAsia="Malgun Gothic" w:hAnsi="Verdana" w:cs="Calibri"/>
          <w:sz w:val="18"/>
          <w:szCs w:val="18"/>
          <w:lang w:val="el-GR"/>
        </w:rPr>
        <w:t>που πραγματικά ποτίστηκ</w:t>
      </w:r>
      <w:r>
        <w:rPr>
          <w:rFonts w:ascii="Verdana" w:eastAsia="Malgun Gothic" w:hAnsi="Verdana" w:cs="Calibri"/>
          <w:sz w:val="18"/>
          <w:szCs w:val="18"/>
          <w:lang w:val="el-GR"/>
        </w:rPr>
        <w:t>ε</w:t>
      </w:r>
      <w:r w:rsidRPr="00695816">
        <w:rPr>
          <w:rFonts w:ascii="Verdana" w:eastAsia="Malgun Gothic" w:hAnsi="Verdana" w:cs="Calibri"/>
          <w:sz w:val="18"/>
          <w:szCs w:val="18"/>
          <w:lang w:val="el-GR"/>
        </w:rPr>
        <w:t>, τουλάχιστον μία φορά, κατά την περίοδο αναφοράς. Εξαιρούνται οι εκτάσεις σε θερμοκήπια ή υπό ψηλά προσπελάσιμα στέγαστρα και οι οικογενειακοί λαχανόκηποι.</w:t>
      </w:r>
    </w:p>
    <w:p w14:paraId="5D0C0234" w14:textId="77777777" w:rsidR="00695816" w:rsidRDefault="00695816" w:rsidP="00FB709A">
      <w:pPr>
        <w:jc w:val="both"/>
        <w:rPr>
          <w:rFonts w:ascii="Verdana" w:eastAsia="Malgun Gothic" w:hAnsi="Verdana" w:cs="Calibri"/>
          <w:sz w:val="18"/>
          <w:szCs w:val="18"/>
          <w:lang w:val="el-GR"/>
        </w:rPr>
      </w:pPr>
    </w:p>
    <w:p w14:paraId="30BD5C42" w14:textId="77777777" w:rsidR="00695816" w:rsidRDefault="00661540" w:rsidP="00FB709A">
      <w:pPr>
        <w:jc w:val="both"/>
        <w:rPr>
          <w:rFonts w:ascii="Verdana" w:eastAsia="Malgun Gothic" w:hAnsi="Verdana" w:cs="Calibri"/>
          <w:sz w:val="18"/>
          <w:szCs w:val="18"/>
          <w:lang w:val="el-GR"/>
        </w:rPr>
      </w:pPr>
      <w:r w:rsidRPr="00661540">
        <w:rPr>
          <w:rFonts w:ascii="Verdana" w:eastAsia="Malgun Gothic" w:hAnsi="Verdana" w:cs="Calibri"/>
          <w:b/>
          <w:bCs/>
          <w:sz w:val="18"/>
          <w:szCs w:val="18"/>
          <w:lang w:val="el-GR"/>
        </w:rPr>
        <w:t>Εργατικό δυναμικό:</w:t>
      </w:r>
      <w:r w:rsidRPr="00661540">
        <w:rPr>
          <w:rFonts w:ascii="Verdana" w:eastAsia="Malgun Gothic" w:hAnsi="Verdana" w:cs="Calibri"/>
          <w:sz w:val="18"/>
          <w:szCs w:val="18"/>
          <w:lang w:val="el-GR"/>
        </w:rPr>
        <w:t xml:space="preserve"> Είναι το σύνολο των φυσικών ατόμων τα οποία κατά τη διάρκεια μιας καλλιεργητικής περιόδου ασχολήθηκαν με οποιοδήποτε τρόπο στις εργασίες (διεύθυνση, τεχνική ή χειρονακτική εργασία) της εκμετάλλευσης που απαιτούνται</w:t>
      </w:r>
      <w:r w:rsidR="00812246">
        <w:rPr>
          <w:rFonts w:ascii="Verdana" w:eastAsia="Malgun Gothic" w:hAnsi="Verdana" w:cs="Calibri"/>
          <w:sz w:val="18"/>
          <w:szCs w:val="18"/>
          <w:lang w:val="el-GR"/>
        </w:rPr>
        <w:t>,</w:t>
      </w:r>
      <w:r w:rsidRPr="00661540">
        <w:rPr>
          <w:rFonts w:ascii="Verdana" w:eastAsia="Malgun Gothic" w:hAnsi="Verdana" w:cs="Calibri"/>
          <w:sz w:val="18"/>
          <w:szCs w:val="18"/>
          <w:lang w:val="el-GR"/>
        </w:rPr>
        <w:t xml:space="preserve"> τόσο για κάθε κλάδο παραγωγής όσο και για τις γενικές ανάγκες της ή και τη διαχείριση της παραγωγής από πλευράς εμπορίας. </w:t>
      </w:r>
    </w:p>
    <w:p w14:paraId="6B893042" w14:textId="77777777" w:rsidR="00695816" w:rsidRPr="00661540" w:rsidRDefault="00695816" w:rsidP="00FB709A">
      <w:pPr>
        <w:jc w:val="both"/>
        <w:rPr>
          <w:rFonts w:ascii="Verdana" w:eastAsia="Malgun Gothic" w:hAnsi="Verdana" w:cs="Calibri"/>
          <w:b/>
          <w:bCs/>
          <w:sz w:val="18"/>
          <w:szCs w:val="18"/>
          <w:lang w:val="el-GR"/>
        </w:rPr>
      </w:pPr>
    </w:p>
    <w:p w14:paraId="090D3D7B" w14:textId="77777777" w:rsidR="00695816" w:rsidRDefault="00661540" w:rsidP="00FB709A">
      <w:pPr>
        <w:jc w:val="both"/>
        <w:rPr>
          <w:rFonts w:ascii="Verdana" w:eastAsia="Malgun Gothic" w:hAnsi="Verdana" w:cs="Calibri"/>
          <w:sz w:val="18"/>
          <w:szCs w:val="18"/>
          <w:lang w:val="el-GR"/>
        </w:rPr>
      </w:pPr>
      <w:r w:rsidRPr="00661540">
        <w:rPr>
          <w:rFonts w:ascii="Verdana" w:eastAsia="Malgun Gothic" w:hAnsi="Verdana" w:cs="Calibri"/>
          <w:b/>
          <w:bCs/>
          <w:sz w:val="18"/>
          <w:szCs w:val="18"/>
          <w:lang w:val="el-GR"/>
        </w:rPr>
        <w:t>Μόνιμοι εργάτες:</w:t>
      </w:r>
      <w:r w:rsidRPr="00661540">
        <w:rPr>
          <w:rFonts w:ascii="Verdana" w:eastAsia="Malgun Gothic" w:hAnsi="Verdana" w:cs="Calibri"/>
          <w:sz w:val="18"/>
          <w:szCs w:val="18"/>
          <w:lang w:val="el-GR"/>
        </w:rPr>
        <w:t xml:space="preserve"> Τα άτομα που εργάστηκαν στην εκμετάλλευση τακτικά, όλες τις εβδομάδες κατά τη διάρκεια του 12μηνου αναφοράς, ανεξάρτητα από τη διάρκεια της εργάσιμης εβδομάδας και πήραν αμοιβή (μισθό, κέρδη ή πληρωμές σε είδος) από την εκμετάλλευση. Μόνιμοι εργάτες θεωρούνται επίσης και τα άτομα που εργάστηκαν μόνιμα ένα μέρος αυτής της περιόδου των 12 μηνών και δεν ήταν σε θέση να εργαστούν για όλη την περίοδο</w:t>
      </w:r>
      <w:r w:rsidR="00812246">
        <w:rPr>
          <w:rFonts w:ascii="Verdana" w:eastAsia="Malgun Gothic" w:hAnsi="Verdana" w:cs="Calibri"/>
          <w:sz w:val="18"/>
          <w:szCs w:val="18"/>
          <w:lang w:val="el-GR"/>
        </w:rPr>
        <w:t>,</w:t>
      </w:r>
      <w:r w:rsidRPr="00661540">
        <w:rPr>
          <w:rFonts w:ascii="Verdana" w:eastAsia="Malgun Gothic" w:hAnsi="Verdana" w:cs="Calibri"/>
          <w:sz w:val="18"/>
          <w:szCs w:val="18"/>
          <w:lang w:val="el-GR"/>
        </w:rPr>
        <w:t xml:space="preserve"> είτε γ</w:t>
      </w:r>
      <w:r w:rsidR="00812246">
        <w:rPr>
          <w:rFonts w:ascii="Verdana" w:eastAsia="Malgun Gothic" w:hAnsi="Verdana" w:cs="Calibri"/>
          <w:sz w:val="18"/>
          <w:szCs w:val="18"/>
          <w:lang w:val="el-GR"/>
        </w:rPr>
        <w:t>ι</w:t>
      </w:r>
      <w:r w:rsidRPr="00661540">
        <w:rPr>
          <w:rFonts w:ascii="Verdana" w:eastAsia="Malgun Gothic" w:hAnsi="Verdana" w:cs="Calibri"/>
          <w:sz w:val="18"/>
          <w:szCs w:val="18"/>
          <w:lang w:val="el-GR"/>
        </w:rPr>
        <w:t>ατί οι καλλιέργειες απαιτούν λίγους μήνες απασχόλησης, είτε λόγω ασθένειας, στρατιωτικής θητείας, ατυχήματος ή θανάτου, είτε γιατί υπήρχε διακοπή της απασχόλησης στην εκμετάλλευση στο ενδιάμεσο των 12 μηνών, είτε λόγω οριστικής παύση</w:t>
      </w:r>
      <w:r w:rsidR="00812246">
        <w:rPr>
          <w:rFonts w:ascii="Verdana" w:eastAsia="Malgun Gothic" w:hAnsi="Verdana" w:cs="Calibri"/>
          <w:sz w:val="18"/>
          <w:szCs w:val="18"/>
          <w:lang w:val="el-GR"/>
        </w:rPr>
        <w:t>ς</w:t>
      </w:r>
      <w:r w:rsidRPr="00661540">
        <w:rPr>
          <w:rFonts w:ascii="Verdana" w:eastAsia="Malgun Gothic" w:hAnsi="Verdana" w:cs="Calibri"/>
          <w:sz w:val="18"/>
          <w:szCs w:val="18"/>
          <w:lang w:val="el-GR"/>
        </w:rPr>
        <w:t xml:space="preserve"> των εργασιών της εκμετάλλευσης εξαιτίας καταστροφών, π.χ. πλημμυρών, πυρκαγιάς κλπ.</w:t>
      </w:r>
    </w:p>
    <w:p w14:paraId="5BFC4191" w14:textId="77777777" w:rsidR="00D332DF" w:rsidRDefault="00D332DF" w:rsidP="00FB709A">
      <w:pPr>
        <w:jc w:val="both"/>
        <w:rPr>
          <w:rFonts w:ascii="Verdana" w:eastAsia="Malgun Gothic" w:hAnsi="Verdana" w:cs="Calibri"/>
          <w:sz w:val="18"/>
          <w:szCs w:val="18"/>
          <w:lang w:val="el-GR"/>
        </w:rPr>
      </w:pPr>
    </w:p>
    <w:p w14:paraId="776C461E" w14:textId="77777777" w:rsidR="00D332DF" w:rsidRPr="00695816" w:rsidRDefault="00D332DF" w:rsidP="00FB709A">
      <w:pPr>
        <w:jc w:val="both"/>
        <w:rPr>
          <w:rFonts w:ascii="Verdana" w:eastAsia="Malgun Gothic" w:hAnsi="Verdana" w:cs="Calibri"/>
          <w:sz w:val="18"/>
          <w:szCs w:val="18"/>
          <w:lang w:val="el-GR"/>
        </w:rPr>
      </w:pPr>
      <w:r w:rsidRPr="00D332DF">
        <w:rPr>
          <w:rFonts w:ascii="Verdana" w:eastAsia="Malgun Gothic" w:hAnsi="Verdana" w:cs="Calibri"/>
          <w:b/>
          <w:bCs/>
          <w:sz w:val="18"/>
          <w:szCs w:val="18"/>
          <w:lang w:val="el-GR"/>
        </w:rPr>
        <w:t>Εποχικοί εργάτες:</w:t>
      </w:r>
      <w:r w:rsidRPr="00D332DF">
        <w:rPr>
          <w:rFonts w:ascii="Verdana" w:eastAsia="Malgun Gothic" w:hAnsi="Verdana" w:cs="Calibri"/>
          <w:sz w:val="18"/>
          <w:szCs w:val="18"/>
          <w:lang w:val="el-GR"/>
        </w:rPr>
        <w:t xml:space="preserve"> Τα άτομα που δεν εργάστηκαν στη γεωργική εκμετάλλευση τακτικά, όλες τις εβδομάδες κατά τη διάρκεια των 12 μηνών αναφοράς, αλλά μόνο ένα μικρό χρονικό διάστημα, ή για μικρά χρονικά διαστήματα, γιατί προσλαμβάνονται μόνο για συγκεκριμένη εργασία, όπως π.χ. για τον τρύγο ή τη συλλογή πατάτας, καπνού κλπ.</w:t>
      </w:r>
    </w:p>
    <w:p w14:paraId="0FCAE310" w14:textId="77777777" w:rsidR="00F93CA8" w:rsidRDefault="00F93CA8" w:rsidP="00FB709A">
      <w:pPr>
        <w:jc w:val="both"/>
        <w:rPr>
          <w:rFonts w:ascii="Verdana" w:eastAsia="Malgun Gothic" w:hAnsi="Verdana" w:cs="Calibri"/>
          <w:b/>
          <w:sz w:val="18"/>
          <w:szCs w:val="18"/>
          <w:u w:val="single"/>
          <w:lang w:val="el-GR"/>
        </w:rPr>
      </w:pPr>
    </w:p>
    <w:p w14:paraId="7575A185" w14:textId="77777777" w:rsidR="00C5230B" w:rsidRPr="002E7F97" w:rsidRDefault="00C5230B" w:rsidP="00C5230B">
      <w:pPr>
        <w:rPr>
          <w:rFonts w:ascii="Verdana" w:hAnsi="Verdana"/>
          <w:i/>
          <w:sz w:val="18"/>
          <w:szCs w:val="18"/>
          <w:lang w:val="el-GR"/>
        </w:rPr>
      </w:pPr>
      <w:r w:rsidRPr="002E7F97">
        <w:rPr>
          <w:rFonts w:ascii="Verdana" w:hAnsi="Verdana"/>
          <w:b/>
          <w:i/>
          <w:sz w:val="18"/>
          <w:szCs w:val="18"/>
          <w:lang w:val="el-GR"/>
        </w:rPr>
        <w:t>Για περισσότερες πληροφορίες:</w:t>
      </w:r>
      <w:r w:rsidRPr="002E7F97">
        <w:rPr>
          <w:rFonts w:ascii="Verdana" w:hAnsi="Verdana"/>
          <w:i/>
          <w:sz w:val="18"/>
          <w:szCs w:val="18"/>
          <w:lang w:val="el-GR"/>
        </w:rPr>
        <w:t xml:space="preserve"> </w:t>
      </w:r>
    </w:p>
    <w:p w14:paraId="3CC25ACF" w14:textId="77777777" w:rsidR="00C5230B" w:rsidRPr="002E7F97" w:rsidRDefault="00C5230B" w:rsidP="00C5230B">
      <w:pPr>
        <w:ind w:right="-79"/>
        <w:jc w:val="both"/>
        <w:rPr>
          <w:rFonts w:ascii="Verdana" w:eastAsia="Malgun Gothic" w:hAnsi="Verdana" w:cs="Arial"/>
          <w:sz w:val="18"/>
          <w:szCs w:val="18"/>
          <w:lang w:val="el-GR"/>
        </w:rPr>
      </w:pPr>
      <w:r w:rsidRPr="002E7F97">
        <w:rPr>
          <w:rFonts w:ascii="Verdana" w:hAnsi="Verdana"/>
          <w:sz w:val="18"/>
          <w:szCs w:val="18"/>
          <w:lang w:val="el-GR"/>
        </w:rPr>
        <w:t xml:space="preserve">Πύλη Στατιστικής Υπηρεσίας, υπόθεμα </w:t>
      </w:r>
      <w:hyperlink r:id="rId11" w:history="1">
        <w:r>
          <w:rPr>
            <w:rStyle w:val="Hyperlink"/>
            <w:rFonts w:ascii="Verdana" w:hAnsi="Verdana"/>
            <w:sz w:val="18"/>
            <w:szCs w:val="18"/>
            <w:lang w:val="el-GR"/>
          </w:rPr>
          <w:t>Γεωργία, Κτ</w:t>
        </w:r>
        <w:r>
          <w:rPr>
            <w:rStyle w:val="Hyperlink"/>
            <w:rFonts w:ascii="Verdana" w:hAnsi="Verdana"/>
            <w:sz w:val="18"/>
            <w:szCs w:val="18"/>
            <w:lang w:val="el-GR"/>
          </w:rPr>
          <w:t>η</w:t>
        </w:r>
        <w:r>
          <w:rPr>
            <w:rStyle w:val="Hyperlink"/>
            <w:rFonts w:ascii="Verdana" w:hAnsi="Verdana"/>
            <w:sz w:val="18"/>
            <w:szCs w:val="18"/>
            <w:lang w:val="el-GR"/>
          </w:rPr>
          <w:t>νοτροφία, Αλιεία</w:t>
        </w:r>
      </w:hyperlink>
    </w:p>
    <w:p w14:paraId="07229BD5" w14:textId="77777777" w:rsidR="00C5230B" w:rsidRPr="002E7F97" w:rsidRDefault="00C5230B" w:rsidP="00C5230B">
      <w:pPr>
        <w:rPr>
          <w:rFonts w:ascii="Verdana" w:hAnsi="Verdana"/>
          <w:sz w:val="18"/>
          <w:szCs w:val="18"/>
          <w:lang w:val="el-GR"/>
        </w:rPr>
      </w:pPr>
      <w:hyperlink r:id="rId12" w:history="1">
        <w:r w:rsidRPr="002E7F97">
          <w:rPr>
            <w:rStyle w:val="Hyperlink"/>
            <w:rFonts w:ascii="Verdana" w:hAnsi="Verdana"/>
            <w:sz w:val="18"/>
            <w:szCs w:val="18"/>
            <w:lang w:val="el-GR"/>
          </w:rPr>
          <w:t>Προκαθορισμ</w:t>
        </w:r>
        <w:r w:rsidRPr="002E7F97">
          <w:rPr>
            <w:rStyle w:val="Hyperlink"/>
            <w:rFonts w:ascii="Verdana" w:hAnsi="Verdana"/>
            <w:sz w:val="18"/>
            <w:szCs w:val="18"/>
            <w:lang w:val="el-GR"/>
          </w:rPr>
          <w:t>έ</w:t>
        </w:r>
        <w:r w:rsidRPr="002E7F97">
          <w:rPr>
            <w:rStyle w:val="Hyperlink"/>
            <w:rFonts w:ascii="Verdana" w:hAnsi="Verdana"/>
            <w:sz w:val="18"/>
            <w:szCs w:val="18"/>
            <w:lang w:val="el-GR"/>
          </w:rPr>
          <w:t>νοι Πίνακ</w:t>
        </w:r>
        <w:r w:rsidRPr="002E7F97">
          <w:rPr>
            <w:rStyle w:val="Hyperlink"/>
            <w:rFonts w:ascii="Verdana" w:hAnsi="Verdana"/>
            <w:sz w:val="18"/>
            <w:szCs w:val="18"/>
            <w:lang w:val="el-GR"/>
          </w:rPr>
          <w:t>ε</w:t>
        </w:r>
        <w:r w:rsidRPr="002E7F97">
          <w:rPr>
            <w:rStyle w:val="Hyperlink"/>
            <w:rFonts w:ascii="Verdana" w:hAnsi="Verdana"/>
            <w:sz w:val="18"/>
            <w:szCs w:val="18"/>
            <w:lang w:val="el-GR"/>
          </w:rPr>
          <w:t>ς</w:t>
        </w:r>
      </w:hyperlink>
      <w:r w:rsidRPr="002E7F97">
        <w:rPr>
          <w:rFonts w:ascii="Verdana" w:hAnsi="Verdana"/>
          <w:sz w:val="18"/>
          <w:szCs w:val="18"/>
          <w:lang w:val="el-GR"/>
        </w:rPr>
        <w:t xml:space="preserve"> (</w:t>
      </w:r>
      <w:r w:rsidRPr="002E7F97">
        <w:rPr>
          <w:rFonts w:ascii="Verdana" w:hAnsi="Verdana"/>
          <w:sz w:val="18"/>
          <w:szCs w:val="18"/>
        </w:rPr>
        <w:t>Excel</w:t>
      </w:r>
      <w:r w:rsidRPr="002E7F97">
        <w:rPr>
          <w:rFonts w:ascii="Verdana" w:hAnsi="Verdana"/>
          <w:sz w:val="18"/>
          <w:szCs w:val="18"/>
          <w:lang w:val="el-GR"/>
        </w:rPr>
        <w:t>)</w:t>
      </w:r>
    </w:p>
    <w:p w14:paraId="55C0EBAE" w14:textId="77777777" w:rsidR="00C5230B" w:rsidRPr="002E7F97" w:rsidRDefault="00C5230B" w:rsidP="00C5230B">
      <w:pPr>
        <w:jc w:val="both"/>
        <w:rPr>
          <w:rFonts w:ascii="Verdana" w:hAnsi="Verdana"/>
          <w:sz w:val="18"/>
          <w:szCs w:val="18"/>
          <w:lang w:val="el-GR"/>
        </w:rPr>
      </w:pPr>
      <w:hyperlink r:id="rId13" w:tooltip="Μεθοδολογικές Πληροφορίες" w:history="1">
        <w:r w:rsidRPr="002E7F97">
          <w:rPr>
            <w:rStyle w:val="Hyperlink"/>
            <w:rFonts w:ascii="Verdana" w:hAnsi="Verdana"/>
            <w:sz w:val="18"/>
            <w:szCs w:val="18"/>
            <w:lang w:val="el-GR"/>
          </w:rPr>
          <w:t>Μεθοδολογι</w:t>
        </w:r>
        <w:r w:rsidRPr="002E7F97">
          <w:rPr>
            <w:rStyle w:val="Hyperlink"/>
            <w:rFonts w:ascii="Verdana" w:hAnsi="Verdana"/>
            <w:sz w:val="18"/>
            <w:szCs w:val="18"/>
            <w:lang w:val="el-GR"/>
          </w:rPr>
          <w:t>κ</w:t>
        </w:r>
        <w:r w:rsidRPr="002E7F97">
          <w:rPr>
            <w:rStyle w:val="Hyperlink"/>
            <w:rFonts w:ascii="Verdana" w:hAnsi="Verdana"/>
            <w:sz w:val="18"/>
            <w:szCs w:val="18"/>
            <w:lang w:val="el-GR"/>
          </w:rPr>
          <w:t>ές Πληρ</w:t>
        </w:r>
        <w:r w:rsidRPr="002E7F97">
          <w:rPr>
            <w:rStyle w:val="Hyperlink"/>
            <w:rFonts w:ascii="Verdana" w:hAnsi="Verdana"/>
            <w:sz w:val="18"/>
            <w:szCs w:val="18"/>
            <w:lang w:val="el-GR"/>
          </w:rPr>
          <w:t>ο</w:t>
        </w:r>
        <w:r w:rsidRPr="002E7F97">
          <w:rPr>
            <w:rStyle w:val="Hyperlink"/>
            <w:rFonts w:ascii="Verdana" w:hAnsi="Verdana"/>
            <w:sz w:val="18"/>
            <w:szCs w:val="18"/>
            <w:lang w:val="el-GR"/>
          </w:rPr>
          <w:t>φορίες</w:t>
        </w:r>
      </w:hyperlink>
    </w:p>
    <w:p w14:paraId="651E5FFB" w14:textId="77777777" w:rsidR="006C71FC" w:rsidRPr="002E7F97" w:rsidRDefault="006C71FC" w:rsidP="00FB709A">
      <w:pPr>
        <w:ind w:right="-79"/>
        <w:jc w:val="both"/>
        <w:rPr>
          <w:rFonts w:ascii="Verdana" w:eastAsia="Malgun Gothic" w:hAnsi="Verdana" w:cs="Arial"/>
          <w:sz w:val="18"/>
          <w:szCs w:val="18"/>
          <w:lang w:val="el-GR"/>
        </w:rPr>
      </w:pPr>
    </w:p>
    <w:p w14:paraId="5954FDFE" w14:textId="77777777" w:rsidR="001142CC" w:rsidRPr="002E7F97" w:rsidRDefault="001142CC" w:rsidP="001142CC">
      <w:pPr>
        <w:jc w:val="both"/>
        <w:rPr>
          <w:rFonts w:ascii="Verdana" w:eastAsia="Malgun Gothic" w:hAnsi="Verdana" w:cs="Arial"/>
          <w:i/>
          <w:sz w:val="18"/>
          <w:szCs w:val="18"/>
          <w:u w:val="single"/>
          <w:lang w:val="el-GR"/>
        </w:rPr>
      </w:pPr>
      <w:r w:rsidRPr="002E7F97">
        <w:rPr>
          <w:rFonts w:ascii="Verdana" w:eastAsia="Malgun Gothic" w:hAnsi="Verdana" w:cs="Arial"/>
          <w:i/>
          <w:sz w:val="18"/>
          <w:szCs w:val="18"/>
          <w:u w:val="single"/>
          <w:lang w:val="el-GR"/>
        </w:rPr>
        <w:t>Επικοινωνία</w:t>
      </w:r>
    </w:p>
    <w:p w14:paraId="2CA0E300" w14:textId="77777777" w:rsidR="00B04E14" w:rsidRPr="005B476E" w:rsidRDefault="00B04E14" w:rsidP="00B04E14">
      <w:pPr>
        <w:jc w:val="both"/>
        <w:rPr>
          <w:rFonts w:ascii="Verdana" w:eastAsia="Malgun Gothic" w:hAnsi="Verdana" w:cs="Arial"/>
          <w:sz w:val="18"/>
          <w:szCs w:val="18"/>
          <w:lang w:val="el-GR"/>
        </w:rPr>
      </w:pPr>
      <w:r w:rsidRPr="00D13011">
        <w:rPr>
          <w:rFonts w:ascii="Verdana" w:eastAsia="Malgun Gothic" w:hAnsi="Verdana" w:cs="Arial"/>
          <w:sz w:val="18"/>
          <w:szCs w:val="18"/>
          <w:lang w:val="el-GR"/>
        </w:rPr>
        <w:t>Λουκία Αλεξάνδρου: Τηλ</w:t>
      </w:r>
      <w:r>
        <w:rPr>
          <w:rFonts w:ascii="Verdana" w:eastAsia="Malgun Gothic" w:hAnsi="Verdana" w:cs="Arial"/>
          <w:sz w:val="18"/>
          <w:szCs w:val="18"/>
          <w:lang w:val="el-GR"/>
        </w:rPr>
        <w:t>.</w:t>
      </w:r>
      <w:r w:rsidRPr="00D13011">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D13011">
        <w:rPr>
          <w:rFonts w:ascii="Verdana" w:eastAsia="Malgun Gothic" w:hAnsi="Verdana" w:cs="Arial"/>
          <w:sz w:val="18"/>
          <w:szCs w:val="18"/>
          <w:lang w:val="el-GR"/>
        </w:rPr>
        <w:t xml:space="preserve">22605124, Ηλ. Ταχ.: </w:t>
      </w:r>
      <w:hyperlink r:id="rId14" w:history="1">
        <w:r w:rsidRPr="00D13011">
          <w:rPr>
            <w:rStyle w:val="Hyperlink"/>
            <w:rFonts w:ascii="Verdana" w:hAnsi="Verdana"/>
            <w:sz w:val="18"/>
            <w:szCs w:val="18"/>
          </w:rPr>
          <w:t>lalexandrou</w:t>
        </w:r>
        <w:r w:rsidRPr="00D13011">
          <w:rPr>
            <w:rStyle w:val="Hyperlink"/>
            <w:rFonts w:ascii="Verdana" w:hAnsi="Verdana"/>
            <w:sz w:val="18"/>
            <w:szCs w:val="18"/>
            <w:lang w:val="el-GR"/>
          </w:rPr>
          <w:t>@</w:t>
        </w:r>
        <w:r w:rsidRPr="00D13011">
          <w:rPr>
            <w:rStyle w:val="Hyperlink"/>
            <w:rFonts w:ascii="Verdana" w:hAnsi="Verdana"/>
            <w:sz w:val="18"/>
            <w:szCs w:val="18"/>
          </w:rPr>
          <w:t>cystat</w:t>
        </w:r>
        <w:r w:rsidRPr="00D13011">
          <w:rPr>
            <w:rStyle w:val="Hyperlink"/>
            <w:rFonts w:ascii="Verdana" w:hAnsi="Verdana"/>
            <w:sz w:val="18"/>
            <w:szCs w:val="18"/>
            <w:lang w:val="el-GR"/>
          </w:rPr>
          <w:t>.</w:t>
        </w:r>
        <w:r w:rsidRPr="00D13011">
          <w:rPr>
            <w:rStyle w:val="Hyperlink"/>
            <w:rFonts w:ascii="Verdana" w:hAnsi="Verdana"/>
            <w:sz w:val="18"/>
            <w:szCs w:val="18"/>
          </w:rPr>
          <w:t>mof</w:t>
        </w:r>
        <w:r w:rsidRPr="00D13011">
          <w:rPr>
            <w:rStyle w:val="Hyperlink"/>
            <w:rFonts w:ascii="Verdana" w:hAnsi="Verdana"/>
            <w:sz w:val="18"/>
            <w:szCs w:val="18"/>
            <w:lang w:val="el-GR"/>
          </w:rPr>
          <w:t>.</w:t>
        </w:r>
        <w:r w:rsidRPr="00D13011">
          <w:rPr>
            <w:rStyle w:val="Hyperlink"/>
            <w:rFonts w:ascii="Verdana" w:hAnsi="Verdana"/>
            <w:sz w:val="18"/>
            <w:szCs w:val="18"/>
          </w:rPr>
          <w:t>gov</w:t>
        </w:r>
        <w:r w:rsidRPr="00D13011">
          <w:rPr>
            <w:rStyle w:val="Hyperlink"/>
            <w:rFonts w:ascii="Verdana" w:hAnsi="Verdana"/>
            <w:sz w:val="18"/>
            <w:szCs w:val="18"/>
            <w:lang w:val="el-GR"/>
          </w:rPr>
          <w:t>.</w:t>
        </w:r>
        <w:r w:rsidRPr="00D13011">
          <w:rPr>
            <w:rStyle w:val="Hyperlink"/>
            <w:rFonts w:ascii="Verdana" w:hAnsi="Verdana"/>
            <w:sz w:val="18"/>
            <w:szCs w:val="18"/>
          </w:rPr>
          <w:t>cy</w:t>
        </w:r>
      </w:hyperlink>
    </w:p>
    <w:sectPr w:rsidR="00B04E14" w:rsidRPr="005B476E" w:rsidSect="00BC245A">
      <w:headerReference w:type="default" r:id="rId15"/>
      <w:footerReference w:type="default" r:id="rId16"/>
      <w:headerReference w:type="first" r:id="rId17"/>
      <w:footerReference w:type="first" r:id="rId18"/>
      <w:pgSz w:w="11907" w:h="16840" w:code="9"/>
      <w:pgMar w:top="810" w:right="1185" w:bottom="102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9328" w14:textId="77777777" w:rsidR="00BA290E" w:rsidRDefault="00BA290E" w:rsidP="00FB398F">
      <w:r>
        <w:separator/>
      </w:r>
    </w:p>
  </w:endnote>
  <w:endnote w:type="continuationSeparator" w:id="0">
    <w:p w14:paraId="2F196242" w14:textId="77777777" w:rsidR="00BA290E" w:rsidRDefault="00BA290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D2B3"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ED1D1D">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3A7" w14:textId="77777777" w:rsidR="004E4F42" w:rsidRPr="00962453" w:rsidRDefault="003D7C74" w:rsidP="000932CF">
    <w:pPr>
      <w:pStyle w:val="Footer"/>
      <w:pBdr>
        <w:top w:val="single" w:sz="4" w:space="0" w:color="auto"/>
      </w:pBdr>
      <w:tabs>
        <w:tab w:val="left" w:pos="4500"/>
      </w:tabs>
      <w:jc w:val="center"/>
      <w:rPr>
        <w:rFonts w:ascii="Arial" w:hAnsi="Arial" w:cs="Arial"/>
        <w:i/>
        <w:iCs/>
        <w:sz w:val="16"/>
        <w:szCs w:val="16"/>
        <w:lang w:val="el-GR"/>
      </w:rPr>
    </w:pPr>
    <w:r>
      <w:rPr>
        <w:rFonts w:ascii="Arial" w:hAnsi="Arial" w:cs="Arial"/>
        <w:i/>
        <w:iCs/>
        <w:sz w:val="16"/>
        <w:szCs w:val="16"/>
        <w:lang w:val="el-GR"/>
      </w:rPr>
      <w:t>Διεύθυνση: Μιχαήλ</w:t>
    </w:r>
    <w:r w:rsidR="004E4F42" w:rsidRPr="00962453">
      <w:rPr>
        <w:rFonts w:ascii="Arial" w:hAnsi="Arial" w:cs="Arial"/>
        <w:i/>
        <w:iCs/>
        <w:sz w:val="16"/>
        <w:szCs w:val="16"/>
        <w:lang w:val="el-GR"/>
      </w:rPr>
      <w:t xml:space="preserve"> Καραολή, 1444 Λευκωσία, Κύπρος</w:t>
    </w:r>
  </w:p>
  <w:p w14:paraId="607D8424" w14:textId="77777777" w:rsidR="004E4F42" w:rsidRPr="00962453" w:rsidRDefault="00196006" w:rsidP="000932CF">
    <w:pPr>
      <w:pStyle w:val="Footer"/>
      <w:tabs>
        <w:tab w:val="left" w:pos="4500"/>
      </w:tabs>
      <w:jc w:val="center"/>
      <w:rPr>
        <w:rFonts w:ascii="Arial" w:hAnsi="Arial" w:cs="Arial"/>
        <w:i/>
        <w:iCs/>
        <w:sz w:val="16"/>
        <w:szCs w:val="16"/>
        <w:lang w:val="de-DE"/>
      </w:rPr>
    </w:pPr>
    <w:r>
      <w:rPr>
        <w:rFonts w:ascii="Arial" w:hAnsi="Arial" w:cs="Arial"/>
        <w:i/>
        <w:iCs/>
        <w:sz w:val="16"/>
        <w:szCs w:val="16"/>
        <w:lang w:val="el-GR"/>
      </w:rPr>
      <w:t>Τηλ</w:t>
    </w:r>
    <w:r w:rsidRPr="00196006">
      <w:rPr>
        <w:rFonts w:ascii="Arial" w:hAnsi="Arial" w:cs="Arial"/>
        <w:i/>
        <w:iCs/>
        <w:sz w:val="16"/>
        <w:szCs w:val="16"/>
      </w:rPr>
      <w:t xml:space="preserve">.:  22 602129, </w:t>
    </w:r>
    <w:r w:rsidR="004E4F42" w:rsidRPr="00962453">
      <w:rPr>
        <w:rFonts w:ascii="Arial" w:hAnsi="Arial" w:cs="Arial"/>
        <w:i/>
        <w:iCs/>
        <w:sz w:val="16"/>
        <w:szCs w:val="16"/>
        <w:lang w:val="el-GR"/>
      </w:rPr>
      <w:t>Φαξ</w:t>
    </w:r>
    <w:r w:rsidR="004E4F42" w:rsidRPr="00962453">
      <w:rPr>
        <w:rFonts w:ascii="Arial" w:hAnsi="Arial" w:cs="Arial"/>
        <w:i/>
        <w:iCs/>
        <w:sz w:val="16"/>
        <w:szCs w:val="16"/>
        <w:lang w:val="de-DE"/>
      </w:rPr>
      <w:t xml:space="preserve">:  22 661313, E-mail: </w:t>
    </w:r>
    <w:hyperlink r:id="rId1" w:history="1">
      <w:r w:rsidR="004E4F42" w:rsidRPr="00962453">
        <w:rPr>
          <w:rStyle w:val="Hyperlink"/>
          <w:rFonts w:ascii="Arial" w:hAnsi="Arial" w:cs="Arial"/>
          <w:i/>
          <w:iCs/>
          <w:sz w:val="16"/>
          <w:szCs w:val="16"/>
          <w:lang w:val="de-DE"/>
        </w:rPr>
        <w:t>enquiries@cystat.mof.gov.cy</w:t>
      </w:r>
    </w:hyperlink>
    <w:r w:rsidR="004E4F42" w:rsidRPr="00962453">
      <w:rPr>
        <w:rFonts w:ascii="Arial" w:hAnsi="Arial" w:cs="Arial"/>
        <w:i/>
        <w:iCs/>
        <w:sz w:val="16"/>
        <w:szCs w:val="16"/>
        <w:lang w:val="de-DE"/>
      </w:rPr>
      <w:t xml:space="preserve">  </w:t>
    </w:r>
  </w:p>
  <w:p w14:paraId="4A4334F1" w14:textId="77777777" w:rsidR="004E4F42" w:rsidRPr="00962453" w:rsidRDefault="004E4F42" w:rsidP="000932CF">
    <w:pPr>
      <w:pStyle w:val="Footer"/>
      <w:tabs>
        <w:tab w:val="left" w:pos="4500"/>
      </w:tabs>
      <w:jc w:val="center"/>
      <w:rPr>
        <w:rFonts w:ascii="Arial" w:hAnsi="Arial" w:cs="Arial"/>
        <w:sz w:val="16"/>
        <w:szCs w:val="16"/>
      </w:rPr>
    </w:pPr>
    <w:r w:rsidRPr="00962453">
      <w:rPr>
        <w:rFonts w:ascii="Arial" w:hAnsi="Arial" w:cs="Arial"/>
        <w:i/>
        <w:iCs/>
        <w:sz w:val="16"/>
        <w:szCs w:val="16"/>
      </w:rPr>
      <w:t xml:space="preserve">Web site: </w:t>
    </w:r>
    <w:hyperlink r:id="rId2" w:history="1">
      <w:r w:rsidRPr="00962453">
        <w:rPr>
          <w:rStyle w:val="Hyperlink"/>
          <w:rFonts w:ascii="Arial" w:hAnsi="Arial" w:cs="Arial"/>
          <w:i/>
          <w:iCs/>
          <w:sz w:val="16"/>
          <w:szCs w:val="16"/>
        </w:rPr>
        <w:t>http://www.cystat</w:t>
      </w:r>
      <w:r w:rsidRPr="00962453">
        <w:rPr>
          <w:rStyle w:val="Hyperlink"/>
          <w:rFonts w:ascii="Arial" w:hAnsi="Arial" w:cs="Arial"/>
          <w:i/>
          <w:iCs/>
          <w:sz w:val="16"/>
          <w:szCs w:val="16"/>
          <w:lang w:val="en-GB"/>
        </w:rPr>
        <w:t>.</w:t>
      </w:r>
      <w:r w:rsidRPr="00962453">
        <w:rPr>
          <w:rStyle w:val="Hyperlink"/>
          <w:rFonts w:ascii="Arial" w:hAnsi="Arial" w:cs="Arial"/>
          <w:i/>
          <w:iCs/>
          <w:sz w:val="16"/>
          <w:szCs w:val="16"/>
        </w:rPr>
        <w:t>gov.cy</w:t>
      </w:r>
    </w:hyperlink>
    <w:r w:rsidRPr="00962453">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231F" w14:textId="77777777" w:rsidR="00BA290E" w:rsidRDefault="00BA290E" w:rsidP="00FB398F">
      <w:r>
        <w:separator/>
      </w:r>
    </w:p>
  </w:footnote>
  <w:footnote w:type="continuationSeparator" w:id="0">
    <w:p w14:paraId="116E299C" w14:textId="77777777" w:rsidR="00BA290E" w:rsidRDefault="00BA290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ADE4"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46CC" w14:textId="01EC2342" w:rsidR="004E4F42" w:rsidRDefault="007C741C"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1E0247AB" wp14:editId="51032D42">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842497" wp14:editId="047C1BC6">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349D6CD0" w14:textId="22511FF9" w:rsidR="004E4F42" w:rsidRDefault="007C741C" w:rsidP="000932CF">
                          <w:r w:rsidRPr="00B96284">
                            <w:rPr>
                              <w:noProof/>
                            </w:rPr>
                            <w:drawing>
                              <wp:inline distT="0" distB="0" distL="0" distR="0" wp14:anchorId="188E73D9" wp14:editId="47159710">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2497"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349D6CD0" w14:textId="22511FF9" w:rsidR="004E4F42" w:rsidRDefault="007C741C" w:rsidP="000932CF">
                    <w:r w:rsidRPr="00B96284">
                      <w:rPr>
                        <w:noProof/>
                      </w:rPr>
                      <w:drawing>
                        <wp:inline distT="0" distB="0" distL="0" distR="0" wp14:anchorId="188E73D9" wp14:editId="47159710">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607C9AE8" wp14:editId="02915233">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1B178D2B" w14:textId="497CEF65" w:rsidR="004E4F42" w:rsidRDefault="007C741C" w:rsidP="000932CF">
                          <w:r w:rsidRPr="00B96284">
                            <w:rPr>
                              <w:noProof/>
                            </w:rPr>
                            <w:drawing>
                              <wp:inline distT="0" distB="0" distL="0" distR="0" wp14:anchorId="2BFF0FCB" wp14:editId="599F25E0">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9AE8"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1B178D2B" w14:textId="497CEF65" w:rsidR="004E4F42" w:rsidRDefault="007C741C" w:rsidP="000932CF">
                    <w:r w:rsidRPr="00B96284">
                      <w:rPr>
                        <w:noProof/>
                      </w:rPr>
                      <w:drawing>
                        <wp:inline distT="0" distB="0" distL="0" distR="0" wp14:anchorId="2BFF0FCB" wp14:editId="599F25E0">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2EB6E0D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8DC850D"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7EE9219B"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0BB2800" w14:textId="10DDA844" w:rsidR="004E4F42" w:rsidRDefault="007C741C"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74F9F42" wp14:editId="50CAD86D">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DF0CF"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A2BEA7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9F42"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249DF0CF"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A2BEA79"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36FA6908"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3F9C3A5D"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6777CF2F"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137"/>
    <w:multiLevelType w:val="hybridMultilevel"/>
    <w:tmpl w:val="E46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056DD"/>
    <w:multiLevelType w:val="hybridMultilevel"/>
    <w:tmpl w:val="530C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2F50A3"/>
    <w:multiLevelType w:val="hybridMultilevel"/>
    <w:tmpl w:val="697C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7685F4A"/>
    <w:multiLevelType w:val="hybridMultilevel"/>
    <w:tmpl w:val="D8DE5E5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634041">
    <w:abstractNumId w:val="7"/>
  </w:num>
  <w:num w:numId="2" w16cid:durableId="1144618554">
    <w:abstractNumId w:val="1"/>
  </w:num>
  <w:num w:numId="3" w16cid:durableId="1471358082">
    <w:abstractNumId w:val="2"/>
  </w:num>
  <w:num w:numId="4" w16cid:durableId="1481773237">
    <w:abstractNumId w:val="3"/>
  </w:num>
  <w:num w:numId="5" w16cid:durableId="404883474">
    <w:abstractNumId w:val="0"/>
  </w:num>
  <w:num w:numId="6" w16cid:durableId="1125585282">
    <w:abstractNumId w:val="8"/>
  </w:num>
  <w:num w:numId="7" w16cid:durableId="1398212363">
    <w:abstractNumId w:val="4"/>
  </w:num>
  <w:num w:numId="8" w16cid:durableId="1451633283">
    <w:abstractNumId w:val="9"/>
  </w:num>
  <w:num w:numId="9" w16cid:durableId="706832564">
    <w:abstractNumId w:val="5"/>
  </w:num>
  <w:num w:numId="10" w16cid:durableId="96752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5F2B"/>
    <w:rsid w:val="00013E40"/>
    <w:rsid w:val="000161B1"/>
    <w:rsid w:val="0001632D"/>
    <w:rsid w:val="00017F4F"/>
    <w:rsid w:val="00025A39"/>
    <w:rsid w:val="00027853"/>
    <w:rsid w:val="00030E18"/>
    <w:rsid w:val="00031D32"/>
    <w:rsid w:val="0003603D"/>
    <w:rsid w:val="00045088"/>
    <w:rsid w:val="00045A06"/>
    <w:rsid w:val="00047110"/>
    <w:rsid w:val="00050391"/>
    <w:rsid w:val="00055291"/>
    <w:rsid w:val="000563D3"/>
    <w:rsid w:val="00057E44"/>
    <w:rsid w:val="00061299"/>
    <w:rsid w:val="00070576"/>
    <w:rsid w:val="000752BB"/>
    <w:rsid w:val="00081ADF"/>
    <w:rsid w:val="00084A02"/>
    <w:rsid w:val="00084BF7"/>
    <w:rsid w:val="000870E9"/>
    <w:rsid w:val="000932CF"/>
    <w:rsid w:val="000968C8"/>
    <w:rsid w:val="00096ED8"/>
    <w:rsid w:val="000A1A88"/>
    <w:rsid w:val="000A2B5C"/>
    <w:rsid w:val="000A3601"/>
    <w:rsid w:val="000A6FA8"/>
    <w:rsid w:val="000C1070"/>
    <w:rsid w:val="000C4E72"/>
    <w:rsid w:val="000D1E7A"/>
    <w:rsid w:val="000E24B1"/>
    <w:rsid w:val="000E2735"/>
    <w:rsid w:val="000E32D6"/>
    <w:rsid w:val="000E57F2"/>
    <w:rsid w:val="000E72A7"/>
    <w:rsid w:val="000F1162"/>
    <w:rsid w:val="000F3467"/>
    <w:rsid w:val="000F38DE"/>
    <w:rsid w:val="000F532A"/>
    <w:rsid w:val="000F5D6C"/>
    <w:rsid w:val="00106852"/>
    <w:rsid w:val="00110F9D"/>
    <w:rsid w:val="001142CC"/>
    <w:rsid w:val="00114A67"/>
    <w:rsid w:val="001253B6"/>
    <w:rsid w:val="001262C3"/>
    <w:rsid w:val="00127320"/>
    <w:rsid w:val="00127456"/>
    <w:rsid w:val="001312D8"/>
    <w:rsid w:val="0013137B"/>
    <w:rsid w:val="001327D6"/>
    <w:rsid w:val="00135A53"/>
    <w:rsid w:val="00140E22"/>
    <w:rsid w:val="0014529D"/>
    <w:rsid w:val="001509B1"/>
    <w:rsid w:val="0015118B"/>
    <w:rsid w:val="001519CE"/>
    <w:rsid w:val="001614AA"/>
    <w:rsid w:val="00161CF3"/>
    <w:rsid w:val="00162C00"/>
    <w:rsid w:val="001639EF"/>
    <w:rsid w:val="0016589F"/>
    <w:rsid w:val="0017769A"/>
    <w:rsid w:val="00183DFC"/>
    <w:rsid w:val="00184384"/>
    <w:rsid w:val="00186717"/>
    <w:rsid w:val="00187FFC"/>
    <w:rsid w:val="00196006"/>
    <w:rsid w:val="001A2018"/>
    <w:rsid w:val="001B2C39"/>
    <w:rsid w:val="001B3675"/>
    <w:rsid w:val="001B5E10"/>
    <w:rsid w:val="001B6AB3"/>
    <w:rsid w:val="001B73D5"/>
    <w:rsid w:val="001C0681"/>
    <w:rsid w:val="001C359D"/>
    <w:rsid w:val="001C62B3"/>
    <w:rsid w:val="001C7C8C"/>
    <w:rsid w:val="001D0D6A"/>
    <w:rsid w:val="001D20A4"/>
    <w:rsid w:val="001E00D1"/>
    <w:rsid w:val="001E0E58"/>
    <w:rsid w:val="001E14F3"/>
    <w:rsid w:val="001E15ED"/>
    <w:rsid w:val="001E61AA"/>
    <w:rsid w:val="0020309E"/>
    <w:rsid w:val="00210B58"/>
    <w:rsid w:val="00222423"/>
    <w:rsid w:val="00224F25"/>
    <w:rsid w:val="00225B28"/>
    <w:rsid w:val="00226891"/>
    <w:rsid w:val="00230A11"/>
    <w:rsid w:val="00230D9B"/>
    <w:rsid w:val="002313AC"/>
    <w:rsid w:val="00235FB2"/>
    <w:rsid w:val="00237BC1"/>
    <w:rsid w:val="00243011"/>
    <w:rsid w:val="002430B4"/>
    <w:rsid w:val="002447D0"/>
    <w:rsid w:val="002454C5"/>
    <w:rsid w:val="00245E19"/>
    <w:rsid w:val="00246AEB"/>
    <w:rsid w:val="00250005"/>
    <w:rsid w:val="00251950"/>
    <w:rsid w:val="0025254F"/>
    <w:rsid w:val="00252A6C"/>
    <w:rsid w:val="0025566D"/>
    <w:rsid w:val="0025595C"/>
    <w:rsid w:val="00257149"/>
    <w:rsid w:val="002576E7"/>
    <w:rsid w:val="00260357"/>
    <w:rsid w:val="0026325E"/>
    <w:rsid w:val="00264F04"/>
    <w:rsid w:val="0026543D"/>
    <w:rsid w:val="00267554"/>
    <w:rsid w:val="00275750"/>
    <w:rsid w:val="002769FA"/>
    <w:rsid w:val="0028338F"/>
    <w:rsid w:val="002842B7"/>
    <w:rsid w:val="002870AD"/>
    <w:rsid w:val="002915C4"/>
    <w:rsid w:val="00292057"/>
    <w:rsid w:val="002951B4"/>
    <w:rsid w:val="00297E6B"/>
    <w:rsid w:val="002A1D1C"/>
    <w:rsid w:val="002A4D64"/>
    <w:rsid w:val="002B07E7"/>
    <w:rsid w:val="002B4969"/>
    <w:rsid w:val="002B6554"/>
    <w:rsid w:val="002C24E6"/>
    <w:rsid w:val="002D05F0"/>
    <w:rsid w:val="002D2829"/>
    <w:rsid w:val="002D7D4A"/>
    <w:rsid w:val="002E3846"/>
    <w:rsid w:val="002E3F78"/>
    <w:rsid w:val="002E7F97"/>
    <w:rsid w:val="002F400C"/>
    <w:rsid w:val="002F4D76"/>
    <w:rsid w:val="002F6D26"/>
    <w:rsid w:val="002F7C21"/>
    <w:rsid w:val="0030231E"/>
    <w:rsid w:val="00303126"/>
    <w:rsid w:val="003042C4"/>
    <w:rsid w:val="00304CB4"/>
    <w:rsid w:val="00313F37"/>
    <w:rsid w:val="003141D0"/>
    <w:rsid w:val="003168C1"/>
    <w:rsid w:val="003228DC"/>
    <w:rsid w:val="00322FBE"/>
    <w:rsid w:val="00325632"/>
    <w:rsid w:val="00325C41"/>
    <w:rsid w:val="00327549"/>
    <w:rsid w:val="00327C69"/>
    <w:rsid w:val="003342A5"/>
    <w:rsid w:val="00334616"/>
    <w:rsid w:val="00336C36"/>
    <w:rsid w:val="00342076"/>
    <w:rsid w:val="00343815"/>
    <w:rsid w:val="003522BB"/>
    <w:rsid w:val="00352F6C"/>
    <w:rsid w:val="003556EA"/>
    <w:rsid w:val="003724EF"/>
    <w:rsid w:val="0037652F"/>
    <w:rsid w:val="003848C3"/>
    <w:rsid w:val="00386FC7"/>
    <w:rsid w:val="00390A32"/>
    <w:rsid w:val="003A1E91"/>
    <w:rsid w:val="003A3394"/>
    <w:rsid w:val="003A40F2"/>
    <w:rsid w:val="003A50D1"/>
    <w:rsid w:val="003B196D"/>
    <w:rsid w:val="003B1E6C"/>
    <w:rsid w:val="003B2710"/>
    <w:rsid w:val="003B4608"/>
    <w:rsid w:val="003C2392"/>
    <w:rsid w:val="003C5174"/>
    <w:rsid w:val="003C5240"/>
    <w:rsid w:val="003C76E6"/>
    <w:rsid w:val="003D14E0"/>
    <w:rsid w:val="003D1EA5"/>
    <w:rsid w:val="003D3348"/>
    <w:rsid w:val="003D3AF1"/>
    <w:rsid w:val="003D6822"/>
    <w:rsid w:val="003D724C"/>
    <w:rsid w:val="003D7C74"/>
    <w:rsid w:val="003E0CE2"/>
    <w:rsid w:val="003E44D1"/>
    <w:rsid w:val="003E59A5"/>
    <w:rsid w:val="003E7FB2"/>
    <w:rsid w:val="003F49E4"/>
    <w:rsid w:val="003F4D2F"/>
    <w:rsid w:val="003F5E32"/>
    <w:rsid w:val="003F75F6"/>
    <w:rsid w:val="00404670"/>
    <w:rsid w:val="00414CA0"/>
    <w:rsid w:val="00415180"/>
    <w:rsid w:val="00422F54"/>
    <w:rsid w:val="004279B4"/>
    <w:rsid w:val="00431516"/>
    <w:rsid w:val="004361B3"/>
    <w:rsid w:val="00441A39"/>
    <w:rsid w:val="0044249D"/>
    <w:rsid w:val="0044379F"/>
    <w:rsid w:val="00444FCC"/>
    <w:rsid w:val="00446FB1"/>
    <w:rsid w:val="00452753"/>
    <w:rsid w:val="00452A0A"/>
    <w:rsid w:val="0045519A"/>
    <w:rsid w:val="0046078F"/>
    <w:rsid w:val="004613DC"/>
    <w:rsid w:val="00463214"/>
    <w:rsid w:val="0046434D"/>
    <w:rsid w:val="004656FA"/>
    <w:rsid w:val="0046724D"/>
    <w:rsid w:val="00471D77"/>
    <w:rsid w:val="00475587"/>
    <w:rsid w:val="00480BC2"/>
    <w:rsid w:val="004929C2"/>
    <w:rsid w:val="00493FDD"/>
    <w:rsid w:val="0049586B"/>
    <w:rsid w:val="004A3193"/>
    <w:rsid w:val="004A3E44"/>
    <w:rsid w:val="004B12B9"/>
    <w:rsid w:val="004B2018"/>
    <w:rsid w:val="004B2896"/>
    <w:rsid w:val="004B2BEA"/>
    <w:rsid w:val="004B3549"/>
    <w:rsid w:val="004B38E9"/>
    <w:rsid w:val="004B3FBA"/>
    <w:rsid w:val="004B6599"/>
    <w:rsid w:val="004C6CA7"/>
    <w:rsid w:val="004D3537"/>
    <w:rsid w:val="004D4357"/>
    <w:rsid w:val="004D4950"/>
    <w:rsid w:val="004E2393"/>
    <w:rsid w:val="004E3745"/>
    <w:rsid w:val="004E42BE"/>
    <w:rsid w:val="004E4F42"/>
    <w:rsid w:val="004E63D5"/>
    <w:rsid w:val="004F03FD"/>
    <w:rsid w:val="004F4FD6"/>
    <w:rsid w:val="004F52F0"/>
    <w:rsid w:val="004F6250"/>
    <w:rsid w:val="004F677C"/>
    <w:rsid w:val="004F6D8F"/>
    <w:rsid w:val="00505503"/>
    <w:rsid w:val="0051107B"/>
    <w:rsid w:val="00512F9C"/>
    <w:rsid w:val="00516EAC"/>
    <w:rsid w:val="00527CDB"/>
    <w:rsid w:val="005341C9"/>
    <w:rsid w:val="005369CA"/>
    <w:rsid w:val="00536DE9"/>
    <w:rsid w:val="00541E08"/>
    <w:rsid w:val="005521EE"/>
    <w:rsid w:val="00554FE0"/>
    <w:rsid w:val="00557222"/>
    <w:rsid w:val="0055789A"/>
    <w:rsid w:val="00560952"/>
    <w:rsid w:val="005652D1"/>
    <w:rsid w:val="005660A0"/>
    <w:rsid w:val="00566A4F"/>
    <w:rsid w:val="00567D64"/>
    <w:rsid w:val="00585FC5"/>
    <w:rsid w:val="0059673F"/>
    <w:rsid w:val="005978D4"/>
    <w:rsid w:val="005A23FA"/>
    <w:rsid w:val="005B2A67"/>
    <w:rsid w:val="005B3DCD"/>
    <w:rsid w:val="005B4AD4"/>
    <w:rsid w:val="005C2798"/>
    <w:rsid w:val="005C36C3"/>
    <w:rsid w:val="005C56EE"/>
    <w:rsid w:val="005D1714"/>
    <w:rsid w:val="005D7638"/>
    <w:rsid w:val="005E0C87"/>
    <w:rsid w:val="005F12F5"/>
    <w:rsid w:val="005F7C7D"/>
    <w:rsid w:val="006044B7"/>
    <w:rsid w:val="006071CE"/>
    <w:rsid w:val="006075B5"/>
    <w:rsid w:val="0061018C"/>
    <w:rsid w:val="0061094E"/>
    <w:rsid w:val="006132A8"/>
    <w:rsid w:val="00613440"/>
    <w:rsid w:val="00613BE3"/>
    <w:rsid w:val="0062327B"/>
    <w:rsid w:val="00624773"/>
    <w:rsid w:val="00632777"/>
    <w:rsid w:val="00633750"/>
    <w:rsid w:val="00634491"/>
    <w:rsid w:val="0063679C"/>
    <w:rsid w:val="00637055"/>
    <w:rsid w:val="00641D59"/>
    <w:rsid w:val="00644507"/>
    <w:rsid w:val="00646880"/>
    <w:rsid w:val="00647D2A"/>
    <w:rsid w:val="00650B7E"/>
    <w:rsid w:val="006537BB"/>
    <w:rsid w:val="00655C07"/>
    <w:rsid w:val="0065643E"/>
    <w:rsid w:val="00661540"/>
    <w:rsid w:val="00667E07"/>
    <w:rsid w:val="00671785"/>
    <w:rsid w:val="00672BA9"/>
    <w:rsid w:val="00673005"/>
    <w:rsid w:val="006772BF"/>
    <w:rsid w:val="006804BE"/>
    <w:rsid w:val="0068434A"/>
    <w:rsid w:val="0069008E"/>
    <w:rsid w:val="0069087E"/>
    <w:rsid w:val="006925C4"/>
    <w:rsid w:val="00695816"/>
    <w:rsid w:val="006A02B7"/>
    <w:rsid w:val="006A0E6D"/>
    <w:rsid w:val="006A7019"/>
    <w:rsid w:val="006B46D5"/>
    <w:rsid w:val="006B46F4"/>
    <w:rsid w:val="006C71FC"/>
    <w:rsid w:val="006C7AF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807"/>
    <w:rsid w:val="00711475"/>
    <w:rsid w:val="0072548A"/>
    <w:rsid w:val="00727425"/>
    <w:rsid w:val="007277A6"/>
    <w:rsid w:val="007313E0"/>
    <w:rsid w:val="007437AB"/>
    <w:rsid w:val="00745425"/>
    <w:rsid w:val="007534F8"/>
    <w:rsid w:val="007545AD"/>
    <w:rsid w:val="00763722"/>
    <w:rsid w:val="00764BC1"/>
    <w:rsid w:val="007671D0"/>
    <w:rsid w:val="00770869"/>
    <w:rsid w:val="007738AA"/>
    <w:rsid w:val="007752ED"/>
    <w:rsid w:val="00775E9C"/>
    <w:rsid w:val="00780A62"/>
    <w:rsid w:val="00783241"/>
    <w:rsid w:val="00784BDC"/>
    <w:rsid w:val="00792F28"/>
    <w:rsid w:val="00793A6D"/>
    <w:rsid w:val="0079543F"/>
    <w:rsid w:val="00795880"/>
    <w:rsid w:val="007A41CB"/>
    <w:rsid w:val="007A4367"/>
    <w:rsid w:val="007B0867"/>
    <w:rsid w:val="007B1AC1"/>
    <w:rsid w:val="007B5A08"/>
    <w:rsid w:val="007B693D"/>
    <w:rsid w:val="007C1302"/>
    <w:rsid w:val="007C4CDC"/>
    <w:rsid w:val="007C741C"/>
    <w:rsid w:val="007E041B"/>
    <w:rsid w:val="007E199A"/>
    <w:rsid w:val="007E2415"/>
    <w:rsid w:val="007E39F3"/>
    <w:rsid w:val="007E405E"/>
    <w:rsid w:val="007E68F4"/>
    <w:rsid w:val="007E6DE2"/>
    <w:rsid w:val="007F31BA"/>
    <w:rsid w:val="007F4078"/>
    <w:rsid w:val="0080014B"/>
    <w:rsid w:val="00801793"/>
    <w:rsid w:val="0080260C"/>
    <w:rsid w:val="00803642"/>
    <w:rsid w:val="00806776"/>
    <w:rsid w:val="00806EA2"/>
    <w:rsid w:val="00812246"/>
    <w:rsid w:val="00812A2B"/>
    <w:rsid w:val="00814A4C"/>
    <w:rsid w:val="00820D1F"/>
    <w:rsid w:val="00831AAB"/>
    <w:rsid w:val="00833BCD"/>
    <w:rsid w:val="00834B82"/>
    <w:rsid w:val="0083574E"/>
    <w:rsid w:val="0083640C"/>
    <w:rsid w:val="008374E3"/>
    <w:rsid w:val="0084157B"/>
    <w:rsid w:val="00842230"/>
    <w:rsid w:val="00842BFB"/>
    <w:rsid w:val="00846B85"/>
    <w:rsid w:val="00847DC3"/>
    <w:rsid w:val="00847F49"/>
    <w:rsid w:val="008535C5"/>
    <w:rsid w:val="00853765"/>
    <w:rsid w:val="0085516F"/>
    <w:rsid w:val="00855812"/>
    <w:rsid w:val="00867186"/>
    <w:rsid w:val="00870AF6"/>
    <w:rsid w:val="00877452"/>
    <w:rsid w:val="00881268"/>
    <w:rsid w:val="0088394A"/>
    <w:rsid w:val="008860BD"/>
    <w:rsid w:val="00887399"/>
    <w:rsid w:val="0088779E"/>
    <w:rsid w:val="008912AF"/>
    <w:rsid w:val="008914CE"/>
    <w:rsid w:val="00892114"/>
    <w:rsid w:val="00892CB9"/>
    <w:rsid w:val="008935CB"/>
    <w:rsid w:val="00897DAC"/>
    <w:rsid w:val="008A6F4B"/>
    <w:rsid w:val="008B0E7E"/>
    <w:rsid w:val="008B65BD"/>
    <w:rsid w:val="008B7900"/>
    <w:rsid w:val="008C71BF"/>
    <w:rsid w:val="008C7FE0"/>
    <w:rsid w:val="008D5717"/>
    <w:rsid w:val="008E44A9"/>
    <w:rsid w:val="008E4C20"/>
    <w:rsid w:val="008E6B4D"/>
    <w:rsid w:val="008E6BFF"/>
    <w:rsid w:val="008F21AF"/>
    <w:rsid w:val="008F2400"/>
    <w:rsid w:val="008F61BA"/>
    <w:rsid w:val="008F66C7"/>
    <w:rsid w:val="008F6E3C"/>
    <w:rsid w:val="008F7C55"/>
    <w:rsid w:val="00900ED7"/>
    <w:rsid w:val="00914A23"/>
    <w:rsid w:val="00920706"/>
    <w:rsid w:val="00930754"/>
    <w:rsid w:val="00934F68"/>
    <w:rsid w:val="009355AC"/>
    <w:rsid w:val="00935F38"/>
    <w:rsid w:val="00937586"/>
    <w:rsid w:val="00947889"/>
    <w:rsid w:val="009478BD"/>
    <w:rsid w:val="00947A4C"/>
    <w:rsid w:val="00960E98"/>
    <w:rsid w:val="00962453"/>
    <w:rsid w:val="00963A82"/>
    <w:rsid w:val="00971F4F"/>
    <w:rsid w:val="00972912"/>
    <w:rsid w:val="00976D1F"/>
    <w:rsid w:val="00981C81"/>
    <w:rsid w:val="00992349"/>
    <w:rsid w:val="00992503"/>
    <w:rsid w:val="009A2D24"/>
    <w:rsid w:val="009A456C"/>
    <w:rsid w:val="009B00E0"/>
    <w:rsid w:val="009B292A"/>
    <w:rsid w:val="009B3BAA"/>
    <w:rsid w:val="009B40EC"/>
    <w:rsid w:val="009B62B6"/>
    <w:rsid w:val="009B76D5"/>
    <w:rsid w:val="009C165D"/>
    <w:rsid w:val="009C3CEA"/>
    <w:rsid w:val="009C583D"/>
    <w:rsid w:val="009D2611"/>
    <w:rsid w:val="009D79D2"/>
    <w:rsid w:val="009E0EE0"/>
    <w:rsid w:val="009E247C"/>
    <w:rsid w:val="009E31BA"/>
    <w:rsid w:val="009F0528"/>
    <w:rsid w:val="009F0806"/>
    <w:rsid w:val="009F233B"/>
    <w:rsid w:val="009F6529"/>
    <w:rsid w:val="00A03170"/>
    <w:rsid w:val="00A05D16"/>
    <w:rsid w:val="00A0659F"/>
    <w:rsid w:val="00A079BA"/>
    <w:rsid w:val="00A14E8C"/>
    <w:rsid w:val="00A20C70"/>
    <w:rsid w:val="00A2147F"/>
    <w:rsid w:val="00A33875"/>
    <w:rsid w:val="00A360A1"/>
    <w:rsid w:val="00A402B3"/>
    <w:rsid w:val="00A544B7"/>
    <w:rsid w:val="00A618CF"/>
    <w:rsid w:val="00A62770"/>
    <w:rsid w:val="00A62EEB"/>
    <w:rsid w:val="00A660FF"/>
    <w:rsid w:val="00A6736E"/>
    <w:rsid w:val="00A73395"/>
    <w:rsid w:val="00A771E3"/>
    <w:rsid w:val="00A803DB"/>
    <w:rsid w:val="00A80C42"/>
    <w:rsid w:val="00A82B4C"/>
    <w:rsid w:val="00A93A4C"/>
    <w:rsid w:val="00A94D5D"/>
    <w:rsid w:val="00AA1D9B"/>
    <w:rsid w:val="00AA2543"/>
    <w:rsid w:val="00AA3804"/>
    <w:rsid w:val="00AA55C2"/>
    <w:rsid w:val="00AA7779"/>
    <w:rsid w:val="00AB0ACA"/>
    <w:rsid w:val="00AB17C1"/>
    <w:rsid w:val="00AB1B0F"/>
    <w:rsid w:val="00AB1D41"/>
    <w:rsid w:val="00AB761C"/>
    <w:rsid w:val="00AC3C31"/>
    <w:rsid w:val="00AC5E9A"/>
    <w:rsid w:val="00AC704B"/>
    <w:rsid w:val="00AD2CE6"/>
    <w:rsid w:val="00AD553E"/>
    <w:rsid w:val="00AD5848"/>
    <w:rsid w:val="00AE5ADA"/>
    <w:rsid w:val="00AF6145"/>
    <w:rsid w:val="00B01386"/>
    <w:rsid w:val="00B01BB5"/>
    <w:rsid w:val="00B026CC"/>
    <w:rsid w:val="00B04AF4"/>
    <w:rsid w:val="00B04E14"/>
    <w:rsid w:val="00B05214"/>
    <w:rsid w:val="00B30D97"/>
    <w:rsid w:val="00B31074"/>
    <w:rsid w:val="00B3181A"/>
    <w:rsid w:val="00B32D2C"/>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290E"/>
    <w:rsid w:val="00BA2B46"/>
    <w:rsid w:val="00BA3215"/>
    <w:rsid w:val="00BA4C1D"/>
    <w:rsid w:val="00BA68C6"/>
    <w:rsid w:val="00BA7F15"/>
    <w:rsid w:val="00BB12F1"/>
    <w:rsid w:val="00BB276E"/>
    <w:rsid w:val="00BB3FEE"/>
    <w:rsid w:val="00BB5BBF"/>
    <w:rsid w:val="00BB5EB0"/>
    <w:rsid w:val="00BC0C76"/>
    <w:rsid w:val="00BC245A"/>
    <w:rsid w:val="00BD16FA"/>
    <w:rsid w:val="00BD41C3"/>
    <w:rsid w:val="00BD488B"/>
    <w:rsid w:val="00BD7CCC"/>
    <w:rsid w:val="00BE002A"/>
    <w:rsid w:val="00BE0283"/>
    <w:rsid w:val="00BE1BC9"/>
    <w:rsid w:val="00BE3891"/>
    <w:rsid w:val="00BE4D76"/>
    <w:rsid w:val="00BE5CDA"/>
    <w:rsid w:val="00BE608F"/>
    <w:rsid w:val="00BF23BB"/>
    <w:rsid w:val="00BF33DD"/>
    <w:rsid w:val="00BF5755"/>
    <w:rsid w:val="00BF684B"/>
    <w:rsid w:val="00C016F3"/>
    <w:rsid w:val="00C15193"/>
    <w:rsid w:val="00C15609"/>
    <w:rsid w:val="00C15F6A"/>
    <w:rsid w:val="00C22A5E"/>
    <w:rsid w:val="00C23EA7"/>
    <w:rsid w:val="00C256F3"/>
    <w:rsid w:val="00C270A2"/>
    <w:rsid w:val="00C315B5"/>
    <w:rsid w:val="00C3542B"/>
    <w:rsid w:val="00C35E28"/>
    <w:rsid w:val="00C42520"/>
    <w:rsid w:val="00C426AF"/>
    <w:rsid w:val="00C4481B"/>
    <w:rsid w:val="00C44874"/>
    <w:rsid w:val="00C469C1"/>
    <w:rsid w:val="00C50659"/>
    <w:rsid w:val="00C51B39"/>
    <w:rsid w:val="00C5230B"/>
    <w:rsid w:val="00C5338A"/>
    <w:rsid w:val="00C54EF9"/>
    <w:rsid w:val="00C56BBF"/>
    <w:rsid w:val="00C572AA"/>
    <w:rsid w:val="00C57A9A"/>
    <w:rsid w:val="00C6016A"/>
    <w:rsid w:val="00C60B3F"/>
    <w:rsid w:val="00C623EB"/>
    <w:rsid w:val="00C64C6B"/>
    <w:rsid w:val="00C66F2E"/>
    <w:rsid w:val="00C6785C"/>
    <w:rsid w:val="00C70C3A"/>
    <w:rsid w:val="00C70FD1"/>
    <w:rsid w:val="00C72B76"/>
    <w:rsid w:val="00C733AA"/>
    <w:rsid w:val="00C77698"/>
    <w:rsid w:val="00C77D23"/>
    <w:rsid w:val="00C80B93"/>
    <w:rsid w:val="00C823EC"/>
    <w:rsid w:val="00C83027"/>
    <w:rsid w:val="00C84B8A"/>
    <w:rsid w:val="00C85E65"/>
    <w:rsid w:val="00C87CA1"/>
    <w:rsid w:val="00C911B4"/>
    <w:rsid w:val="00C91B3B"/>
    <w:rsid w:val="00C94262"/>
    <w:rsid w:val="00C976E1"/>
    <w:rsid w:val="00CA0E42"/>
    <w:rsid w:val="00CA148E"/>
    <w:rsid w:val="00CA324C"/>
    <w:rsid w:val="00CA3A9A"/>
    <w:rsid w:val="00CB6BC1"/>
    <w:rsid w:val="00CB7021"/>
    <w:rsid w:val="00CD3294"/>
    <w:rsid w:val="00CD4524"/>
    <w:rsid w:val="00CD784D"/>
    <w:rsid w:val="00CD7C00"/>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32DF"/>
    <w:rsid w:val="00D353D1"/>
    <w:rsid w:val="00D367DB"/>
    <w:rsid w:val="00D36E05"/>
    <w:rsid w:val="00D44F27"/>
    <w:rsid w:val="00D45304"/>
    <w:rsid w:val="00D46165"/>
    <w:rsid w:val="00D461C7"/>
    <w:rsid w:val="00D50424"/>
    <w:rsid w:val="00D525C9"/>
    <w:rsid w:val="00D55F29"/>
    <w:rsid w:val="00D56555"/>
    <w:rsid w:val="00D57D3E"/>
    <w:rsid w:val="00D7139F"/>
    <w:rsid w:val="00D76249"/>
    <w:rsid w:val="00D9739E"/>
    <w:rsid w:val="00DC23CF"/>
    <w:rsid w:val="00DC2D8A"/>
    <w:rsid w:val="00DC59F2"/>
    <w:rsid w:val="00DC6562"/>
    <w:rsid w:val="00DE130D"/>
    <w:rsid w:val="00DE1417"/>
    <w:rsid w:val="00DE24CF"/>
    <w:rsid w:val="00DE407C"/>
    <w:rsid w:val="00DE7C7D"/>
    <w:rsid w:val="00DF2992"/>
    <w:rsid w:val="00DF2D0C"/>
    <w:rsid w:val="00DF7BAD"/>
    <w:rsid w:val="00E00058"/>
    <w:rsid w:val="00E01B9D"/>
    <w:rsid w:val="00E0468F"/>
    <w:rsid w:val="00E04F5E"/>
    <w:rsid w:val="00E0522E"/>
    <w:rsid w:val="00E06A8D"/>
    <w:rsid w:val="00E120F4"/>
    <w:rsid w:val="00E13982"/>
    <w:rsid w:val="00E15CCC"/>
    <w:rsid w:val="00E17172"/>
    <w:rsid w:val="00E21419"/>
    <w:rsid w:val="00E3181C"/>
    <w:rsid w:val="00E3280A"/>
    <w:rsid w:val="00E33D4F"/>
    <w:rsid w:val="00E35C3A"/>
    <w:rsid w:val="00E372AF"/>
    <w:rsid w:val="00E37D68"/>
    <w:rsid w:val="00E4073D"/>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22A2"/>
    <w:rsid w:val="00EA3956"/>
    <w:rsid w:val="00EA40BF"/>
    <w:rsid w:val="00EA7136"/>
    <w:rsid w:val="00EB325A"/>
    <w:rsid w:val="00EB4014"/>
    <w:rsid w:val="00EC02A5"/>
    <w:rsid w:val="00EC176B"/>
    <w:rsid w:val="00EC33CD"/>
    <w:rsid w:val="00EC5BE5"/>
    <w:rsid w:val="00ED0265"/>
    <w:rsid w:val="00ED1D1D"/>
    <w:rsid w:val="00ED2650"/>
    <w:rsid w:val="00ED721A"/>
    <w:rsid w:val="00EE393D"/>
    <w:rsid w:val="00EF01CF"/>
    <w:rsid w:val="00EF6A47"/>
    <w:rsid w:val="00EF7AF9"/>
    <w:rsid w:val="00F00952"/>
    <w:rsid w:val="00F01495"/>
    <w:rsid w:val="00F10138"/>
    <w:rsid w:val="00F13F92"/>
    <w:rsid w:val="00F22ECA"/>
    <w:rsid w:val="00F240E8"/>
    <w:rsid w:val="00F24266"/>
    <w:rsid w:val="00F244FA"/>
    <w:rsid w:val="00F366A2"/>
    <w:rsid w:val="00F44F43"/>
    <w:rsid w:val="00F450E1"/>
    <w:rsid w:val="00F50DF4"/>
    <w:rsid w:val="00F551B2"/>
    <w:rsid w:val="00F56CE5"/>
    <w:rsid w:val="00F57AFE"/>
    <w:rsid w:val="00F6278E"/>
    <w:rsid w:val="00F63C41"/>
    <w:rsid w:val="00F63E96"/>
    <w:rsid w:val="00F701E3"/>
    <w:rsid w:val="00F71008"/>
    <w:rsid w:val="00F71F8C"/>
    <w:rsid w:val="00F86AD4"/>
    <w:rsid w:val="00F87ED6"/>
    <w:rsid w:val="00F93CA8"/>
    <w:rsid w:val="00FA0113"/>
    <w:rsid w:val="00FA12B2"/>
    <w:rsid w:val="00FA6FE1"/>
    <w:rsid w:val="00FA7610"/>
    <w:rsid w:val="00FB02BD"/>
    <w:rsid w:val="00FB398F"/>
    <w:rsid w:val="00FB4EF8"/>
    <w:rsid w:val="00FB54AE"/>
    <w:rsid w:val="00FB709A"/>
    <w:rsid w:val="00FB78DD"/>
    <w:rsid w:val="00FC3EF3"/>
    <w:rsid w:val="00FD2049"/>
    <w:rsid w:val="00FD2140"/>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C54D8"/>
  <w15:chartTrackingRefBased/>
  <w15:docId w15:val="{198FF08A-05D8-46B1-8A93-4E4D888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uiPriority w:val="99"/>
    <w:semiHidden/>
    <w:unhideWhenUsed/>
    <w:rsid w:val="001142CC"/>
    <w:rPr>
      <w:color w:val="605E5C"/>
      <w:shd w:val="clear" w:color="auto" w:fill="E1DFDD"/>
    </w:rPr>
  </w:style>
  <w:style w:type="character" w:styleId="FollowedHyperlink">
    <w:name w:val="FollowedHyperlink"/>
    <w:uiPriority w:val="99"/>
    <w:semiHidden/>
    <w:unhideWhenUsed/>
    <w:rsid w:val="00114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41870960">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12156731">
      <w:bodyDiv w:val="1"/>
      <w:marLeft w:val="0"/>
      <w:marRight w:val="0"/>
      <w:marTop w:val="0"/>
      <w:marBottom w:val="0"/>
      <w:divBdr>
        <w:top w:val="none" w:sz="0" w:space="0" w:color="auto"/>
        <w:left w:val="none" w:sz="0" w:space="0" w:color="auto"/>
        <w:bottom w:val="none" w:sz="0" w:space="0" w:color="auto"/>
        <w:right w:val="none" w:sz="0" w:space="0" w:color="auto"/>
      </w:divBdr>
    </w:div>
    <w:div w:id="928461347">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1257621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9991573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43713991">
      <w:bodyDiv w:val="1"/>
      <w:marLeft w:val="0"/>
      <w:marRight w:val="0"/>
      <w:marTop w:val="0"/>
      <w:marBottom w:val="0"/>
      <w:divBdr>
        <w:top w:val="none" w:sz="0" w:space="0" w:color="auto"/>
        <w:left w:val="none" w:sz="0" w:space="0" w:color="auto"/>
        <w:bottom w:val="none" w:sz="0" w:space="0" w:color="auto"/>
        <w:right w:val="none" w:sz="0" w:space="0" w:color="auto"/>
      </w:divBdr>
    </w:div>
    <w:div w:id="1586069007">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4158010">
      <w:bodyDiv w:val="1"/>
      <w:marLeft w:val="0"/>
      <w:marRight w:val="0"/>
      <w:marTop w:val="0"/>
      <w:marBottom w:val="0"/>
      <w:divBdr>
        <w:top w:val="none" w:sz="0" w:space="0" w:color="auto"/>
        <w:left w:val="none" w:sz="0" w:space="0" w:color="auto"/>
        <w:bottom w:val="none" w:sz="0" w:space="0" w:color="auto"/>
        <w:right w:val="none" w:sz="0" w:space="0" w:color="auto"/>
      </w:divBdr>
    </w:div>
    <w:div w:id="1963265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ystat.gov.cy/el/MethodologicalDetails?m=211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2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id=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alexandrou@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ELL\Desktop\Local%20Disk\Census\2020\WEBSITE\Agri_Census-press%20releas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ELL\Desktop\Local%20Disk\Census\2020\WEBSITE\Agri_Census-press%20rele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l-GR" sz="1100" b="1" u="none"/>
              <a:t>Διάγραμμα 1:</a:t>
            </a:r>
            <a:r>
              <a:rPr lang="el-GR" sz="1100" b="1" u="none" baseline="0"/>
              <a:t> </a:t>
            </a:r>
            <a:r>
              <a:rPr lang="el-GR" sz="1100" b="1" u="none"/>
              <a:t>Ποσοστιαία</a:t>
            </a:r>
            <a:r>
              <a:rPr lang="el-GR" sz="1100" b="1" u="none" baseline="0"/>
              <a:t> Κατανομή Ε</a:t>
            </a:r>
            <a:r>
              <a:rPr lang="el-GR" sz="1100" b="1" u="none"/>
              <a:t>κμεταλλεύσεων </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en-CY"/>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0579310946578E-2"/>
          <c:y val="0.16800925056310395"/>
          <c:w val="0.84478014704486581"/>
          <c:h val="0.70884979001000381"/>
        </c:manualLayout>
      </c:layout>
      <c:pie3DChart>
        <c:varyColors val="1"/>
        <c:ser>
          <c:idx val="0"/>
          <c:order val="0"/>
          <c:tx>
            <c:strRef>
              <c:f>chart1!$C$1</c:f>
              <c:strCache>
                <c:ptCount val="1"/>
                <c:pt idx="0">
                  <c:v>Αριθμός εκμεταλεύσεων</c:v>
                </c:pt>
              </c:strCache>
            </c:strRef>
          </c:tx>
          <c:dPt>
            <c:idx val="0"/>
            <c:bubble3D val="0"/>
            <c:spPr>
              <a:solidFill>
                <a:schemeClr val="accent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D8-4A34-A51B-A248914F239D}"/>
              </c:ext>
            </c:extLst>
          </c:dPt>
          <c:dPt>
            <c:idx val="1"/>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D8-4A34-A51B-A248914F239D}"/>
              </c:ext>
            </c:extLst>
          </c:dPt>
          <c:dPt>
            <c:idx val="2"/>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15D8-4A34-A51B-A248914F239D}"/>
              </c:ext>
            </c:extLst>
          </c:dPt>
          <c:dLbls>
            <c:numFmt formatCode="0.0%"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chart1!$B$2:$B$4</c:f>
              <c:strCache>
                <c:ptCount val="3"/>
                <c:pt idx="0">
                  <c:v>Μικτές</c:v>
                </c:pt>
                <c:pt idx="1">
                  <c:v>Αμιγώς γεωργικές</c:v>
                </c:pt>
                <c:pt idx="2">
                  <c:v>Αμιγώς κτηνοτροφικές</c:v>
                </c:pt>
              </c:strCache>
            </c:strRef>
          </c:cat>
          <c:val>
            <c:numRef>
              <c:f>chart1!$C$2:$C$4</c:f>
              <c:numCache>
                <c:formatCode>General</c:formatCode>
                <c:ptCount val="3"/>
                <c:pt idx="0">
                  <c:v>5.3920000000000003</c:v>
                </c:pt>
                <c:pt idx="1">
                  <c:v>25.738</c:v>
                </c:pt>
                <c:pt idx="2">
                  <c:v>2.9159999999999999</c:v>
                </c:pt>
              </c:numCache>
            </c:numRef>
          </c:val>
          <c:extLst>
            <c:ext xmlns:c16="http://schemas.microsoft.com/office/drawing/2014/chart" uri="{C3380CC4-5D6E-409C-BE32-E72D297353CC}">
              <c16:uniqueId val="{00000006-15D8-4A34-A51B-A248914F239D}"/>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legendEntry>
      <c:layout>
        <c:manualLayout>
          <c:xMode val="edge"/>
          <c:yMode val="edge"/>
          <c:x val="0.19397197830302076"/>
          <c:y val="0.8997857871868461"/>
          <c:w val="0.61205604339395847"/>
          <c:h val="8.132401912917199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60000"/>
          <a:lumOff val="40000"/>
          <a:alpha val="50000"/>
        </a:schemeClr>
      </a:solidFill>
      <a:round/>
    </a:ln>
    <a:effectLst/>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l-GR" sz="1100" b="1">
                <a:solidFill>
                  <a:sysClr val="windowText" lastClr="000000"/>
                </a:solidFill>
              </a:rPr>
              <a:t>Διάγραμμα 3: Ποσοστιαία Κατανομή Ημερών Απασχόλησης </a:t>
            </a:r>
            <a:r>
              <a:rPr lang="el-GR" sz="1100" b="1" baseline="0">
                <a:solidFill>
                  <a:sysClr val="windowText" lastClr="000000"/>
                </a:solidFill>
              </a:rPr>
              <a:t>κατά Κατηγορία και Φύλο</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en-CY"/>
        </a:p>
      </c:txPr>
    </c:title>
    <c:autoTitleDeleted val="0"/>
    <c:plotArea>
      <c:layout/>
      <c:barChart>
        <c:barDir val="col"/>
        <c:grouping val="clustered"/>
        <c:varyColors val="0"/>
        <c:ser>
          <c:idx val="0"/>
          <c:order val="0"/>
          <c:tx>
            <c:strRef>
              <c:f>Sheet1!$B$13</c:f>
              <c:strCache>
                <c:ptCount val="1"/>
                <c:pt idx="0">
                  <c:v>Ημέρες εργασίας</c:v>
                </c:pt>
              </c:strCache>
            </c:strRef>
          </c:tx>
          <c:spPr>
            <a:solidFill>
              <a:schemeClr val="accent1"/>
            </a:solidFill>
            <a:ln>
              <a:solidFill>
                <a:schemeClr val="accent1">
                  <a:lumMod val="60000"/>
                  <a:lumOff val="40000"/>
                </a:schemeClr>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Sheet1!$A$14:$A$18</c:f>
              <c:strCache>
                <c:ptCount val="5"/>
                <c:pt idx="0">
                  <c:v>Κάτοχοι και μέλη του νοικοκυριού</c:v>
                </c:pt>
                <c:pt idx="1">
                  <c:v>Μόνιμοι εργάτες</c:v>
                </c:pt>
                <c:pt idx="2">
                  <c:v>Εποχικοί εργάτες</c:v>
                </c:pt>
                <c:pt idx="3">
                  <c:v>Άνδρες</c:v>
                </c:pt>
                <c:pt idx="4">
                  <c:v>Γυναίκες</c:v>
                </c:pt>
              </c:strCache>
            </c:strRef>
          </c:cat>
          <c:val>
            <c:numRef>
              <c:f>Sheet1!$B$14:$B$18</c:f>
              <c:numCache>
                <c:formatCode>#,##0</c:formatCode>
                <c:ptCount val="5"/>
                <c:pt idx="0">
                  <c:v>0.62526033333392927</c:v>
                </c:pt>
                <c:pt idx="1">
                  <c:v>0.35274272899054132</c:v>
                </c:pt>
                <c:pt idx="2">
                  <c:v>2.199693767552947E-2</c:v>
                </c:pt>
              </c:numCache>
            </c:numRef>
          </c:val>
          <c:extLst>
            <c:ext xmlns:c16="http://schemas.microsoft.com/office/drawing/2014/chart" uri="{C3380CC4-5D6E-409C-BE32-E72D297353CC}">
              <c16:uniqueId val="{00000000-9ED0-4E74-A890-05F04AA93145}"/>
            </c:ext>
          </c:extLst>
        </c:ser>
        <c:ser>
          <c:idx val="1"/>
          <c:order val="1"/>
          <c:tx>
            <c:strRef>
              <c:f>Sheet1!$C$13</c:f>
              <c:strCache>
                <c:ptCount val="1"/>
                <c:pt idx="0">
                  <c:v>Ημέρες εργασίας</c:v>
                </c:pt>
              </c:strCache>
            </c:strRef>
          </c:tx>
          <c:spPr>
            <a:solidFill>
              <a:schemeClr val="accent2"/>
            </a:solidFill>
            <a:ln>
              <a:solidFill>
                <a:schemeClr val="accent1">
                  <a:lumMod val="60000"/>
                  <a:lumOff val="40000"/>
                </a:schemeClr>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Sheet1!$A$14:$A$18</c:f>
              <c:strCache>
                <c:ptCount val="5"/>
                <c:pt idx="0">
                  <c:v>Κάτοχοι και μέλη του νοικοκυριού</c:v>
                </c:pt>
                <c:pt idx="1">
                  <c:v>Μόνιμοι εργάτες</c:v>
                </c:pt>
                <c:pt idx="2">
                  <c:v>Εποχικοί εργάτες</c:v>
                </c:pt>
                <c:pt idx="3">
                  <c:v>Άνδρες</c:v>
                </c:pt>
                <c:pt idx="4">
                  <c:v>Γυναίκες</c:v>
                </c:pt>
              </c:strCache>
            </c:strRef>
          </c:cat>
          <c:val>
            <c:numRef>
              <c:f>Sheet1!$C$14:$C$18</c:f>
              <c:numCache>
                <c:formatCode>General</c:formatCode>
                <c:ptCount val="5"/>
                <c:pt idx="3" formatCode="#,##0">
                  <c:v>0.80314040212449878</c:v>
                </c:pt>
                <c:pt idx="4" formatCode="#,##0">
                  <c:v>0.19685959787550122</c:v>
                </c:pt>
              </c:numCache>
            </c:numRef>
          </c:val>
          <c:extLst>
            <c:ext xmlns:c16="http://schemas.microsoft.com/office/drawing/2014/chart" uri="{C3380CC4-5D6E-409C-BE32-E72D297353CC}">
              <c16:uniqueId val="{00000001-9ED0-4E74-A890-05F04AA93145}"/>
            </c:ext>
          </c:extLst>
        </c:ser>
        <c:dLbls>
          <c:showLegendKey val="0"/>
          <c:showVal val="0"/>
          <c:showCatName val="0"/>
          <c:showSerName val="0"/>
          <c:showPercent val="0"/>
          <c:showBubbleSize val="0"/>
        </c:dLbls>
        <c:gapWidth val="61"/>
        <c:overlap val="92"/>
        <c:axId val="985160671"/>
        <c:axId val="985179807"/>
      </c:barChart>
      <c:catAx>
        <c:axId val="985160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crossAx val="985179807"/>
        <c:crosses val="autoZero"/>
        <c:auto val="1"/>
        <c:lblAlgn val="ctr"/>
        <c:lblOffset val="100"/>
        <c:noMultiLvlLbl val="0"/>
      </c:catAx>
      <c:valAx>
        <c:axId val="985179807"/>
        <c:scaling>
          <c:orientation val="minMax"/>
        </c:scaling>
        <c:delete val="1"/>
        <c:axPos val="l"/>
        <c:numFmt formatCode="#,##0" sourceLinked="1"/>
        <c:majorTickMark val="none"/>
        <c:minorTickMark val="none"/>
        <c:tickLblPos val="nextTo"/>
        <c:crossAx val="985160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lumMod val="60000"/>
          <a:lumOff val="40000"/>
        </a:schemeClr>
      </a:solidFill>
      <a:round/>
    </a:ln>
    <a:effectLst/>
  </c:spPr>
  <c:txPr>
    <a:bodyPr/>
    <a:lstStyle/>
    <a:p>
      <a:pPr>
        <a:defRPr sz="900">
          <a:latin typeface="Verdana" panose="020B0604030504040204" pitchFamily="34" charset="0"/>
          <a:ea typeface="Verdana" panose="020B0604030504040204" pitchFamily="34" charset="0"/>
        </a:defRPr>
      </a:pPr>
      <a:endParaRPr lang="en-CY"/>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B275-100F-4178-8871-56C8145B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Links>
    <vt:vector size="36" baseType="variant">
      <vt:variant>
        <vt:i4>5570660</vt:i4>
      </vt:variant>
      <vt:variant>
        <vt:i4>12</vt:i4>
      </vt:variant>
      <vt:variant>
        <vt:i4>0</vt:i4>
      </vt:variant>
      <vt:variant>
        <vt:i4>5</vt:i4>
      </vt:variant>
      <vt:variant>
        <vt:lpwstr>mailto:lalexandrou@cystat.mof.gov.cy</vt:lpwstr>
      </vt:variant>
      <vt:variant>
        <vt:lpwstr/>
      </vt:variant>
      <vt:variant>
        <vt:i4>1704027</vt:i4>
      </vt:variant>
      <vt:variant>
        <vt:i4>9</vt:i4>
      </vt:variant>
      <vt:variant>
        <vt:i4>0</vt:i4>
      </vt:variant>
      <vt:variant>
        <vt:i4>5</vt:i4>
      </vt:variant>
      <vt:variant>
        <vt:lpwstr>https://www.cystat.gov.cy/el/MethodologicalDetails?m=2115</vt:lpwstr>
      </vt:variant>
      <vt:variant>
        <vt:lpwstr/>
      </vt:variant>
      <vt:variant>
        <vt:i4>5111892</vt:i4>
      </vt:variant>
      <vt:variant>
        <vt:i4>6</vt:i4>
      </vt:variant>
      <vt:variant>
        <vt:i4>0</vt:i4>
      </vt:variant>
      <vt:variant>
        <vt:i4>5</vt:i4>
      </vt:variant>
      <vt:variant>
        <vt:lpwstr>https://www.cystat.gov.cy/el/KeyFiguresList?s=28</vt:lpwstr>
      </vt:variant>
      <vt:variant>
        <vt:lpwstr/>
      </vt:variant>
      <vt:variant>
        <vt:i4>1114193</vt:i4>
      </vt:variant>
      <vt:variant>
        <vt:i4>3</vt:i4>
      </vt:variant>
      <vt:variant>
        <vt:i4>0</vt:i4>
      </vt:variant>
      <vt:variant>
        <vt:i4>5</vt:i4>
      </vt:variant>
      <vt:variant>
        <vt:lpwstr>https://www.cystat.gov.cy/el/SubthemeStatistics?id=28</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cp:revision>
  <cp:lastPrinted>2022-12-20T09:26:00Z</cp:lastPrinted>
  <dcterms:created xsi:type="dcterms:W3CDTF">2022-12-20T09:31:00Z</dcterms:created>
  <dcterms:modified xsi:type="dcterms:W3CDTF">2022-12-20T09:31:00Z</dcterms:modified>
</cp:coreProperties>
</file>