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62CA" w14:textId="276DBFFF" w:rsidR="009E44AE" w:rsidRPr="008D07DA" w:rsidRDefault="009E44AE" w:rsidP="009B5E00">
      <w:pPr>
        <w:tabs>
          <w:tab w:val="left" w:pos="1080"/>
          <w:tab w:val="left" w:pos="7088"/>
        </w:tabs>
        <w:rPr>
          <w:rFonts w:ascii="Verdana" w:hAnsi="Verdana" w:cs="Arial"/>
          <w:sz w:val="8"/>
          <w:szCs w:val="8"/>
        </w:rPr>
      </w:pPr>
    </w:p>
    <w:p w14:paraId="224B60EE" w14:textId="1FBAFD07" w:rsidR="00721160" w:rsidRPr="008D07DA" w:rsidRDefault="00D26C42" w:rsidP="00576CD8">
      <w:pPr>
        <w:tabs>
          <w:tab w:val="left" w:pos="1080"/>
          <w:tab w:val="left" w:pos="7088"/>
        </w:tabs>
        <w:jc w:val="right"/>
        <w:rPr>
          <w:rFonts w:ascii="Verdana" w:eastAsia="Malgun Gothic" w:hAnsi="Verdana" w:cs="Arial"/>
          <w:sz w:val="18"/>
          <w:szCs w:val="18"/>
          <w:lang w:val="el-GR"/>
        </w:rPr>
      </w:pPr>
      <w:r w:rsidRPr="00EF5A39">
        <w:rPr>
          <w:rFonts w:ascii="Verdana" w:hAnsi="Verdana" w:cs="Arial"/>
          <w:sz w:val="18"/>
          <w:szCs w:val="18"/>
          <w:lang w:val="el-GR"/>
        </w:rPr>
        <w:t>27</w:t>
      </w:r>
      <w:r w:rsidR="00843202" w:rsidRPr="008D07DA">
        <w:rPr>
          <w:rFonts w:ascii="Verdana" w:hAnsi="Verdana" w:cs="Arial"/>
          <w:sz w:val="18"/>
          <w:szCs w:val="18"/>
          <w:lang w:val="el-GR"/>
        </w:rPr>
        <w:t xml:space="preserve"> </w:t>
      </w:r>
      <w:r w:rsidR="00D60162" w:rsidRPr="008D07DA">
        <w:rPr>
          <w:rFonts w:ascii="Verdana" w:hAnsi="Verdana" w:cs="Arial"/>
          <w:sz w:val="18"/>
          <w:szCs w:val="18"/>
          <w:lang w:val="el-GR"/>
        </w:rPr>
        <w:t>Απριλ</w:t>
      </w:r>
      <w:r w:rsidR="000A67C8" w:rsidRPr="008D07DA">
        <w:rPr>
          <w:rFonts w:ascii="Verdana" w:hAnsi="Verdana" w:cs="Arial"/>
          <w:sz w:val="18"/>
          <w:szCs w:val="18"/>
          <w:lang w:val="el-GR"/>
        </w:rPr>
        <w:t>ί</w:t>
      </w:r>
      <w:r w:rsidR="00066638" w:rsidRPr="008D07DA">
        <w:rPr>
          <w:rFonts w:ascii="Verdana" w:hAnsi="Verdana" w:cs="Arial"/>
          <w:sz w:val="18"/>
          <w:szCs w:val="18"/>
          <w:lang w:val="el-GR"/>
        </w:rPr>
        <w:t>ου</w:t>
      </w:r>
      <w:r w:rsidR="00721160" w:rsidRPr="008D07DA">
        <w:rPr>
          <w:rFonts w:ascii="Verdana" w:eastAsia="Malgun Gothic" w:hAnsi="Verdana" w:cs="Arial"/>
          <w:sz w:val="18"/>
          <w:szCs w:val="18"/>
          <w:lang w:val="el-GR"/>
        </w:rPr>
        <w:t>, 202</w:t>
      </w:r>
      <w:r w:rsidR="00BC7C37" w:rsidRPr="008D07DA">
        <w:rPr>
          <w:rFonts w:ascii="Verdana" w:eastAsia="Malgun Gothic" w:hAnsi="Verdana" w:cs="Arial"/>
          <w:sz w:val="18"/>
          <w:szCs w:val="18"/>
          <w:lang w:val="el-GR"/>
        </w:rPr>
        <w:t>6</w:t>
      </w:r>
    </w:p>
    <w:p w14:paraId="40D252C4" w14:textId="77777777" w:rsidR="00721160" w:rsidRPr="008D07DA" w:rsidRDefault="00721160" w:rsidP="00055539">
      <w:pPr>
        <w:jc w:val="right"/>
        <w:rPr>
          <w:rFonts w:ascii="Verdana" w:eastAsia="Malgun Gothic" w:hAnsi="Verdana" w:cs="Arial"/>
          <w:bCs/>
          <w:sz w:val="20"/>
          <w:szCs w:val="20"/>
          <w:lang w:val="el-GR"/>
        </w:rPr>
      </w:pPr>
    </w:p>
    <w:p w14:paraId="19285BEB" w14:textId="5A51C347" w:rsidR="00721160" w:rsidRPr="008D07DA" w:rsidRDefault="00721160" w:rsidP="00850F26">
      <w:pPr>
        <w:jc w:val="center"/>
        <w:rPr>
          <w:rFonts w:ascii="Verdana" w:eastAsia="Malgun Gothic" w:hAnsi="Verdana" w:cs="Arial"/>
          <w:b/>
          <w:sz w:val="24"/>
          <w:szCs w:val="24"/>
          <w:lang w:val="el-GR"/>
        </w:rPr>
      </w:pPr>
      <w:r w:rsidRPr="008D07DA">
        <w:rPr>
          <w:rFonts w:ascii="Verdana" w:eastAsia="Malgun Gothic" w:hAnsi="Verdana" w:cs="Arial"/>
          <w:b/>
          <w:sz w:val="24"/>
          <w:szCs w:val="24"/>
          <w:lang w:val="el-GR"/>
        </w:rPr>
        <w:t>ΔΕΛΤΙΟ ΤΥΠΟΥ</w:t>
      </w:r>
      <w:r w:rsidR="00211786" w:rsidRPr="008D07DA">
        <w:rPr>
          <w:rFonts w:ascii="Verdana" w:eastAsia="Malgun Gothic" w:hAnsi="Verdana" w:cs="Arial"/>
          <w:b/>
          <w:sz w:val="24"/>
          <w:szCs w:val="24"/>
          <w:lang w:val="el-GR"/>
        </w:rPr>
        <w:t xml:space="preserve"> </w:t>
      </w:r>
    </w:p>
    <w:p w14:paraId="18CB3DE5" w14:textId="77777777" w:rsidR="00850F26" w:rsidRPr="008D07DA" w:rsidRDefault="00850F26" w:rsidP="00850F26">
      <w:pPr>
        <w:jc w:val="center"/>
        <w:rPr>
          <w:rFonts w:ascii="Verdana" w:eastAsia="Malgun Gothic" w:hAnsi="Verdana" w:cs="Arial"/>
          <w:sz w:val="18"/>
          <w:szCs w:val="18"/>
          <w:lang w:val="el-GR"/>
        </w:rPr>
      </w:pPr>
    </w:p>
    <w:p w14:paraId="3C5B09A8" w14:textId="4B50D284" w:rsidR="00721160" w:rsidRPr="008D07DA" w:rsidRDefault="00721160" w:rsidP="006B0D39">
      <w:pPr>
        <w:pStyle w:val="Heading6"/>
        <w:jc w:val="both"/>
        <w:rPr>
          <w:rFonts w:ascii="Verdana" w:eastAsia="Malgun Gothic" w:hAnsi="Verdana" w:cs="Arial"/>
          <w:b w:val="0"/>
          <w:szCs w:val="22"/>
        </w:rPr>
      </w:pPr>
      <w:r w:rsidRPr="008D07DA">
        <w:rPr>
          <w:rFonts w:ascii="Verdana" w:eastAsia="Malgun Gothic" w:hAnsi="Verdana" w:cs="Arial"/>
          <w:b w:val="0"/>
          <w:szCs w:val="22"/>
        </w:rPr>
        <w:t>ΜΕΣΕΣ ΜΗΝΙΑΙΕΣ ΑΠΟΛΑΒΕΣ ΥΠΑΛΛΗΛΩΝ</w:t>
      </w:r>
      <w:r w:rsidR="006E34BF" w:rsidRPr="008D07DA">
        <w:rPr>
          <w:rFonts w:ascii="Verdana" w:eastAsia="Malgun Gothic" w:hAnsi="Verdana" w:cs="Arial"/>
          <w:b w:val="0"/>
          <w:szCs w:val="22"/>
        </w:rPr>
        <w:t xml:space="preserve">: </w:t>
      </w:r>
      <w:r w:rsidR="006E34BF" w:rsidRPr="008D07DA">
        <w:rPr>
          <w:rFonts w:ascii="Verdana" w:eastAsia="Malgun Gothic" w:hAnsi="Verdana" w:cs="Arial"/>
          <w:bCs w:val="0"/>
          <w:szCs w:val="22"/>
        </w:rPr>
        <w:t>4</w:t>
      </w:r>
      <w:r w:rsidR="006B15D3" w:rsidRPr="008D07DA">
        <w:rPr>
          <w:rFonts w:ascii="Verdana" w:eastAsia="Malgun Gothic" w:hAnsi="Verdana" w:cs="Arial"/>
          <w:bCs w:val="0"/>
          <w:szCs w:val="22"/>
        </w:rPr>
        <w:t>ο</w:t>
      </w:r>
      <w:r w:rsidR="006E34BF" w:rsidRPr="008D07DA">
        <w:rPr>
          <w:rFonts w:ascii="Verdana" w:eastAsia="Malgun Gothic" w:hAnsi="Verdana" w:cs="Arial"/>
          <w:bCs w:val="0"/>
          <w:szCs w:val="22"/>
        </w:rPr>
        <w:t xml:space="preserve"> ΤΡΙΜΗΝΟ 202</w:t>
      </w:r>
      <w:r w:rsidR="00BC7C37" w:rsidRPr="008D07DA">
        <w:rPr>
          <w:rFonts w:ascii="Verdana" w:eastAsia="Malgun Gothic" w:hAnsi="Verdana" w:cs="Arial"/>
          <w:bCs w:val="0"/>
          <w:szCs w:val="22"/>
        </w:rPr>
        <w:t>5</w:t>
      </w:r>
      <w:r w:rsidR="006E34BF" w:rsidRPr="008D07DA">
        <w:rPr>
          <w:rFonts w:ascii="Verdana" w:eastAsia="Malgun Gothic" w:hAnsi="Verdana" w:cs="Arial"/>
          <w:bCs w:val="0"/>
          <w:szCs w:val="22"/>
        </w:rPr>
        <w:t xml:space="preserve"> ΚΑΙ ΕΤΗΣΙΑ ΣΤΟΙΧΕΙΑ 202</w:t>
      </w:r>
      <w:r w:rsidR="00BC7C37" w:rsidRPr="008D07DA">
        <w:rPr>
          <w:rFonts w:ascii="Verdana" w:eastAsia="Malgun Gothic" w:hAnsi="Verdana" w:cs="Arial"/>
          <w:bCs w:val="0"/>
          <w:szCs w:val="22"/>
        </w:rPr>
        <w:t>5</w:t>
      </w:r>
      <w:r w:rsidR="006E34BF" w:rsidRPr="008D07DA">
        <w:rPr>
          <w:rFonts w:ascii="Verdana" w:eastAsia="Malgun Gothic" w:hAnsi="Verdana" w:cs="Arial"/>
          <w:bCs w:val="0"/>
          <w:szCs w:val="22"/>
        </w:rPr>
        <w:t xml:space="preserve"> (ΠΡΟΚΑΤΑΡΚΤΙΚΑ)</w:t>
      </w:r>
    </w:p>
    <w:p w14:paraId="12349B83" w14:textId="073EA664" w:rsidR="001D2A79" w:rsidRPr="008D07DA" w:rsidRDefault="001D2A79" w:rsidP="006B0D39">
      <w:pPr>
        <w:tabs>
          <w:tab w:val="left" w:pos="1080"/>
          <w:tab w:val="left" w:pos="6840"/>
        </w:tabs>
        <w:jc w:val="both"/>
        <w:rPr>
          <w:rFonts w:ascii="Verdana" w:hAnsi="Verdana" w:cs="Arial"/>
          <w:sz w:val="18"/>
          <w:szCs w:val="18"/>
          <w:lang w:val="el-GR"/>
        </w:rPr>
      </w:pPr>
    </w:p>
    <w:p w14:paraId="0FE03678" w14:textId="141319FE" w:rsidR="00415ED9" w:rsidRPr="008D07DA" w:rsidRDefault="00A365D5" w:rsidP="00415ED9">
      <w:pPr>
        <w:jc w:val="center"/>
        <w:rPr>
          <w:rFonts w:ascii="Verdana" w:hAnsi="Verdana"/>
          <w:b/>
          <w:bCs/>
          <w:lang w:val="el-GR"/>
        </w:rPr>
      </w:pPr>
      <w:r w:rsidRPr="008D07DA">
        <w:rPr>
          <w:rFonts w:ascii="Verdana" w:hAnsi="Verdana"/>
          <w:b/>
          <w:bCs/>
          <w:lang w:val="el-GR"/>
        </w:rPr>
        <w:t>Αύξηση</w:t>
      </w:r>
      <w:r w:rsidR="00415ED9" w:rsidRPr="008D07DA">
        <w:rPr>
          <w:rFonts w:ascii="Verdana" w:hAnsi="Verdana"/>
          <w:b/>
          <w:bCs/>
          <w:lang w:val="el-GR"/>
        </w:rPr>
        <w:t xml:space="preserve"> </w:t>
      </w:r>
      <w:r w:rsidR="004E098F" w:rsidRPr="008D07DA">
        <w:rPr>
          <w:rFonts w:ascii="Verdana" w:hAnsi="Verdana"/>
          <w:b/>
          <w:bCs/>
          <w:lang w:val="el-GR"/>
        </w:rPr>
        <w:t>4</w:t>
      </w:r>
      <w:r w:rsidR="00415ED9" w:rsidRPr="008D07DA">
        <w:rPr>
          <w:rFonts w:ascii="Verdana" w:hAnsi="Verdana"/>
          <w:b/>
          <w:bCs/>
          <w:lang w:val="el-GR"/>
        </w:rPr>
        <w:t>,</w:t>
      </w:r>
      <w:r w:rsidR="00B9167F" w:rsidRPr="008D07DA">
        <w:rPr>
          <w:rFonts w:ascii="Verdana" w:hAnsi="Verdana"/>
          <w:b/>
          <w:bCs/>
          <w:lang w:val="el-GR"/>
        </w:rPr>
        <w:t>9</w:t>
      </w:r>
      <w:r w:rsidR="00415ED9" w:rsidRPr="008D07DA">
        <w:rPr>
          <w:rFonts w:ascii="Verdana" w:hAnsi="Verdana"/>
          <w:b/>
          <w:bCs/>
          <w:lang w:val="el-GR"/>
        </w:rPr>
        <w:t>%</w:t>
      </w:r>
      <w:r w:rsidRPr="008D07DA">
        <w:rPr>
          <w:rFonts w:ascii="Verdana" w:hAnsi="Verdana"/>
          <w:b/>
          <w:bCs/>
          <w:lang w:val="el-GR"/>
        </w:rPr>
        <w:t xml:space="preserve"> για το 2025</w:t>
      </w:r>
    </w:p>
    <w:p w14:paraId="3A3B0515" w14:textId="77777777" w:rsidR="00CD0F23" w:rsidRPr="008D07DA" w:rsidRDefault="00CD0F23" w:rsidP="00721160">
      <w:pPr>
        <w:tabs>
          <w:tab w:val="left" w:pos="1080"/>
          <w:tab w:val="left" w:pos="6840"/>
        </w:tabs>
        <w:jc w:val="both"/>
        <w:rPr>
          <w:rFonts w:ascii="Verdana" w:hAnsi="Verdana" w:cs="Arial"/>
          <w:sz w:val="18"/>
          <w:szCs w:val="18"/>
          <w:lang w:val="el-GR"/>
        </w:rPr>
      </w:pPr>
    </w:p>
    <w:p w14:paraId="789E36C4" w14:textId="43510C3A" w:rsidR="00627B85" w:rsidRPr="008D07DA" w:rsidRDefault="006E3368" w:rsidP="001F27EA">
      <w:pPr>
        <w:tabs>
          <w:tab w:val="left" w:pos="1080"/>
          <w:tab w:val="left" w:pos="6840"/>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Σύμφωνα με προκαταρκτικά στοιχεία, οι μέσες ακαθάριστες μηνιαίες απολαβές των υπαλλήλων κατά το </w:t>
      </w:r>
      <w:r w:rsidR="0057302A" w:rsidRPr="008D07DA">
        <w:rPr>
          <w:rFonts w:ascii="Verdana" w:eastAsia="Malgun Gothic" w:hAnsi="Verdana" w:cs="Arial"/>
          <w:b/>
          <w:bCs/>
          <w:sz w:val="18"/>
          <w:szCs w:val="18"/>
          <w:lang w:val="el-GR"/>
        </w:rPr>
        <w:t>τ</w:t>
      </w:r>
      <w:r w:rsidR="00D60162" w:rsidRPr="008D07DA">
        <w:rPr>
          <w:rFonts w:ascii="Verdana" w:eastAsia="Malgun Gothic" w:hAnsi="Verdana" w:cs="Arial"/>
          <w:b/>
          <w:bCs/>
          <w:sz w:val="18"/>
          <w:szCs w:val="18"/>
          <w:lang w:val="el-GR"/>
        </w:rPr>
        <w:t>έταρτο</w:t>
      </w:r>
      <w:r w:rsidRPr="008D07DA">
        <w:rPr>
          <w:rFonts w:ascii="Verdana" w:eastAsia="Malgun Gothic" w:hAnsi="Verdana" w:cs="Arial"/>
          <w:b/>
          <w:bCs/>
          <w:sz w:val="18"/>
          <w:szCs w:val="18"/>
          <w:lang w:val="el-GR"/>
        </w:rPr>
        <w:t xml:space="preserve"> τρίμηνο του 202</w:t>
      </w:r>
      <w:r w:rsidR="00D66018" w:rsidRPr="008D07DA">
        <w:rPr>
          <w:rFonts w:ascii="Verdana" w:eastAsia="Malgun Gothic" w:hAnsi="Verdana" w:cs="Arial"/>
          <w:b/>
          <w:bCs/>
          <w:sz w:val="18"/>
          <w:szCs w:val="18"/>
          <w:lang w:val="el-GR"/>
        </w:rPr>
        <w:t>5</w:t>
      </w:r>
      <w:r w:rsidRPr="008D07DA">
        <w:rPr>
          <w:rFonts w:ascii="Verdana" w:eastAsia="Malgun Gothic" w:hAnsi="Verdana" w:cs="Arial"/>
          <w:sz w:val="18"/>
          <w:szCs w:val="18"/>
          <w:lang w:val="el-GR"/>
        </w:rPr>
        <w:t xml:space="preserve">, </w:t>
      </w:r>
      <w:r w:rsidRPr="00666BFA">
        <w:rPr>
          <w:rFonts w:ascii="Verdana" w:eastAsia="Malgun Gothic" w:hAnsi="Verdana" w:cs="Arial"/>
          <w:sz w:val="18"/>
          <w:szCs w:val="18"/>
          <w:lang w:val="el-GR"/>
        </w:rPr>
        <w:t>εκτιμώνται στα €2.</w:t>
      </w:r>
      <w:r w:rsidR="00D66018" w:rsidRPr="00666BFA">
        <w:rPr>
          <w:rFonts w:ascii="Verdana" w:eastAsia="Malgun Gothic" w:hAnsi="Verdana" w:cs="Arial"/>
          <w:sz w:val="18"/>
          <w:szCs w:val="18"/>
          <w:lang w:val="el-GR"/>
        </w:rPr>
        <w:t>932</w:t>
      </w:r>
      <w:r w:rsidRPr="00666BFA">
        <w:rPr>
          <w:rFonts w:ascii="Verdana" w:eastAsia="Malgun Gothic" w:hAnsi="Verdana" w:cs="Arial"/>
          <w:sz w:val="18"/>
          <w:szCs w:val="18"/>
          <w:lang w:val="el-GR"/>
        </w:rPr>
        <w:t xml:space="preserve"> σε σύγκριση με €</w:t>
      </w:r>
      <w:r w:rsidR="00BA185F" w:rsidRPr="00666BFA">
        <w:rPr>
          <w:rFonts w:ascii="Verdana" w:eastAsia="Malgun Gothic" w:hAnsi="Verdana" w:cs="Arial"/>
          <w:sz w:val="18"/>
          <w:szCs w:val="18"/>
          <w:lang w:val="el-GR"/>
        </w:rPr>
        <w:t>2</w:t>
      </w:r>
      <w:r w:rsidRPr="00666BFA">
        <w:rPr>
          <w:rFonts w:ascii="Verdana" w:eastAsia="Malgun Gothic" w:hAnsi="Verdana" w:cs="Arial"/>
          <w:sz w:val="18"/>
          <w:szCs w:val="18"/>
          <w:lang w:val="el-GR"/>
        </w:rPr>
        <w:t>.</w:t>
      </w:r>
      <w:r w:rsidR="00D66018" w:rsidRPr="00666BFA">
        <w:rPr>
          <w:rFonts w:ascii="Verdana" w:eastAsia="Malgun Gothic" w:hAnsi="Verdana" w:cs="Arial"/>
          <w:sz w:val="18"/>
          <w:szCs w:val="18"/>
          <w:lang w:val="el-GR"/>
        </w:rPr>
        <w:t>810</w:t>
      </w:r>
      <w:r w:rsidRPr="00666BFA">
        <w:rPr>
          <w:rFonts w:ascii="Verdana" w:eastAsia="Malgun Gothic" w:hAnsi="Verdana" w:cs="Arial"/>
          <w:sz w:val="18"/>
          <w:szCs w:val="18"/>
          <w:lang w:val="el-GR"/>
        </w:rPr>
        <w:t xml:space="preserve"> το </w:t>
      </w:r>
      <w:r w:rsidR="00D60162" w:rsidRPr="00666BFA">
        <w:rPr>
          <w:rFonts w:ascii="Verdana" w:eastAsia="Malgun Gothic" w:hAnsi="Verdana" w:cs="Arial"/>
          <w:sz w:val="18"/>
          <w:szCs w:val="18"/>
          <w:lang w:val="el-GR"/>
        </w:rPr>
        <w:t>τέταρτο</w:t>
      </w:r>
      <w:r w:rsidRPr="00666BFA">
        <w:rPr>
          <w:rFonts w:ascii="Verdana" w:eastAsia="Malgun Gothic" w:hAnsi="Verdana" w:cs="Arial"/>
          <w:sz w:val="18"/>
          <w:szCs w:val="18"/>
          <w:lang w:val="el-GR"/>
        </w:rPr>
        <w:t xml:space="preserve"> τρίμηνο του 202</w:t>
      </w:r>
      <w:r w:rsidR="00D66018" w:rsidRPr="00666BFA">
        <w:rPr>
          <w:rFonts w:ascii="Verdana" w:eastAsia="Malgun Gothic" w:hAnsi="Verdana" w:cs="Arial"/>
          <w:sz w:val="18"/>
          <w:szCs w:val="18"/>
          <w:lang w:val="el-GR"/>
        </w:rPr>
        <w:t>4</w:t>
      </w:r>
      <w:r w:rsidRPr="00666BFA">
        <w:rPr>
          <w:rFonts w:ascii="Verdana" w:eastAsia="Malgun Gothic" w:hAnsi="Verdana" w:cs="Arial"/>
          <w:sz w:val="18"/>
          <w:szCs w:val="18"/>
          <w:lang w:val="el-GR"/>
        </w:rPr>
        <w:t xml:space="preserve">, δηλαδή παρατηρείται αύξηση </w:t>
      </w:r>
      <w:r w:rsidR="00D66018" w:rsidRPr="00666BFA">
        <w:rPr>
          <w:rFonts w:ascii="Verdana" w:eastAsia="Malgun Gothic" w:hAnsi="Verdana" w:cs="Arial"/>
          <w:sz w:val="18"/>
          <w:szCs w:val="18"/>
          <w:lang w:val="el-GR"/>
        </w:rPr>
        <w:t>4</w:t>
      </w:r>
      <w:r w:rsidRPr="00666BFA">
        <w:rPr>
          <w:rFonts w:ascii="Verdana" w:eastAsia="Malgun Gothic" w:hAnsi="Verdana" w:cs="Arial"/>
          <w:sz w:val="18"/>
          <w:szCs w:val="18"/>
          <w:lang w:val="el-GR"/>
        </w:rPr>
        <w:t>,</w:t>
      </w:r>
      <w:r w:rsidR="00D66018" w:rsidRPr="00666BFA">
        <w:rPr>
          <w:rFonts w:ascii="Verdana" w:eastAsia="Malgun Gothic" w:hAnsi="Verdana" w:cs="Arial"/>
          <w:sz w:val="18"/>
          <w:szCs w:val="18"/>
          <w:lang w:val="el-GR"/>
        </w:rPr>
        <w:t>4</w:t>
      </w:r>
      <w:r w:rsidRPr="00666BFA">
        <w:rPr>
          <w:rFonts w:ascii="Verdana" w:eastAsia="Malgun Gothic" w:hAnsi="Verdana" w:cs="Arial"/>
          <w:sz w:val="18"/>
          <w:szCs w:val="18"/>
          <w:lang w:val="el-GR"/>
        </w:rPr>
        <w:t xml:space="preserve">%. </w:t>
      </w:r>
      <w:r w:rsidR="00CD3347" w:rsidRPr="00666BFA">
        <w:rPr>
          <w:rFonts w:ascii="Verdana" w:eastAsia="Malgun Gothic" w:hAnsi="Verdana" w:cs="Arial"/>
          <w:sz w:val="18"/>
          <w:szCs w:val="18"/>
          <w:lang w:val="el-GR"/>
        </w:rPr>
        <w:t>(Πίνακας</w:t>
      </w:r>
      <w:r w:rsidR="00CD3347" w:rsidRPr="008D07DA">
        <w:rPr>
          <w:rFonts w:ascii="Verdana" w:eastAsia="Malgun Gothic" w:hAnsi="Verdana" w:cs="Arial"/>
          <w:sz w:val="18"/>
          <w:szCs w:val="18"/>
          <w:lang w:val="el-GR"/>
        </w:rPr>
        <w:t xml:space="preserve"> 1)</w:t>
      </w:r>
    </w:p>
    <w:p w14:paraId="452324B2" w14:textId="77777777" w:rsidR="001F27EA" w:rsidRPr="008D07DA" w:rsidRDefault="001F27EA" w:rsidP="001F27EA">
      <w:pPr>
        <w:tabs>
          <w:tab w:val="left" w:pos="1080"/>
          <w:tab w:val="left" w:pos="6840"/>
        </w:tabs>
        <w:jc w:val="both"/>
        <w:rPr>
          <w:rFonts w:ascii="Verdana" w:eastAsia="Malgun Gothic" w:hAnsi="Verdana" w:cs="Arial"/>
          <w:sz w:val="18"/>
          <w:szCs w:val="18"/>
          <w:lang w:val="el-GR"/>
        </w:rPr>
      </w:pPr>
    </w:p>
    <w:p w14:paraId="14A4219B" w14:textId="72914743" w:rsidR="00576CD8" w:rsidRPr="008D07DA" w:rsidRDefault="00C2193E" w:rsidP="00721160">
      <w:pPr>
        <w:tabs>
          <w:tab w:val="left" w:pos="1080"/>
          <w:tab w:val="left" w:pos="6840"/>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Για το </w:t>
      </w:r>
      <w:r w:rsidR="00D60162" w:rsidRPr="008D07DA">
        <w:rPr>
          <w:rFonts w:ascii="Verdana" w:eastAsia="Malgun Gothic" w:hAnsi="Verdana" w:cs="Arial"/>
          <w:sz w:val="18"/>
          <w:szCs w:val="18"/>
          <w:lang w:val="el-GR"/>
        </w:rPr>
        <w:t>τέταρτο</w:t>
      </w:r>
      <w:r w:rsidRPr="008D07DA">
        <w:rPr>
          <w:rFonts w:ascii="Verdana" w:eastAsia="Malgun Gothic" w:hAnsi="Verdana" w:cs="Arial"/>
          <w:sz w:val="18"/>
          <w:szCs w:val="18"/>
          <w:lang w:val="el-GR"/>
        </w:rPr>
        <w:t xml:space="preserve"> τρίμηνο του 202</w:t>
      </w:r>
      <w:r w:rsidR="00D66018" w:rsidRPr="008D07DA">
        <w:rPr>
          <w:rFonts w:ascii="Verdana" w:eastAsia="Malgun Gothic" w:hAnsi="Verdana" w:cs="Arial"/>
          <w:sz w:val="18"/>
          <w:szCs w:val="18"/>
          <w:lang w:val="el-GR"/>
        </w:rPr>
        <w:t>5</w:t>
      </w:r>
      <w:r w:rsidRPr="008D07DA">
        <w:rPr>
          <w:rFonts w:ascii="Verdana" w:eastAsia="Malgun Gothic" w:hAnsi="Verdana" w:cs="Arial"/>
          <w:sz w:val="18"/>
          <w:szCs w:val="18"/>
          <w:lang w:val="el-GR"/>
        </w:rPr>
        <w:t xml:space="preserve">, παρατηρείται αύξηση στις μέσες ακαθάριστες απολαβές διορθωμένες ως προς τις εποχικές διακυμάνσεις σε σύγκριση με το </w:t>
      </w:r>
      <w:r w:rsidR="00D60162" w:rsidRPr="008D07DA">
        <w:rPr>
          <w:rFonts w:ascii="Verdana" w:eastAsia="Malgun Gothic" w:hAnsi="Verdana" w:cs="Arial"/>
          <w:sz w:val="18"/>
          <w:szCs w:val="18"/>
          <w:lang w:val="el-GR"/>
        </w:rPr>
        <w:t>τρίτο</w:t>
      </w:r>
      <w:r w:rsidRPr="008D07DA">
        <w:rPr>
          <w:rFonts w:ascii="Verdana" w:eastAsia="Malgun Gothic" w:hAnsi="Verdana" w:cs="Arial"/>
          <w:sz w:val="18"/>
          <w:szCs w:val="18"/>
          <w:lang w:val="el-GR"/>
        </w:rPr>
        <w:t xml:space="preserve"> τρίμηνο του 202</w:t>
      </w:r>
      <w:r w:rsidR="00D66018" w:rsidRPr="008D07DA">
        <w:rPr>
          <w:rFonts w:ascii="Verdana" w:eastAsia="Malgun Gothic" w:hAnsi="Verdana" w:cs="Arial"/>
          <w:sz w:val="18"/>
          <w:szCs w:val="18"/>
          <w:lang w:val="el-GR"/>
        </w:rPr>
        <w:t>5</w:t>
      </w:r>
      <w:r w:rsidR="00C3412A" w:rsidRPr="008D07DA">
        <w:rPr>
          <w:rFonts w:ascii="Verdana" w:eastAsia="Malgun Gothic" w:hAnsi="Verdana" w:cs="Arial"/>
          <w:sz w:val="18"/>
          <w:szCs w:val="18"/>
          <w:lang w:val="el-GR"/>
        </w:rPr>
        <w:t>, κατά</w:t>
      </w:r>
      <w:r w:rsidRPr="008D07DA">
        <w:rPr>
          <w:rFonts w:ascii="Verdana" w:eastAsia="Malgun Gothic" w:hAnsi="Verdana" w:cs="Arial"/>
          <w:sz w:val="18"/>
          <w:szCs w:val="18"/>
          <w:lang w:val="el-GR"/>
        </w:rPr>
        <w:t xml:space="preserve"> </w:t>
      </w:r>
      <w:r w:rsidR="00C3412A" w:rsidRPr="008D07DA">
        <w:rPr>
          <w:rFonts w:ascii="Verdana" w:eastAsia="Malgun Gothic" w:hAnsi="Verdana" w:cs="Arial"/>
          <w:sz w:val="18"/>
          <w:szCs w:val="18"/>
          <w:lang w:val="el-GR"/>
        </w:rPr>
        <w:t>1,</w:t>
      </w:r>
      <w:r w:rsidR="00B9167F" w:rsidRPr="008D07DA">
        <w:rPr>
          <w:rFonts w:ascii="Verdana" w:eastAsia="Malgun Gothic" w:hAnsi="Verdana" w:cs="Arial"/>
          <w:sz w:val="18"/>
          <w:szCs w:val="18"/>
          <w:lang w:val="el-GR"/>
        </w:rPr>
        <w:t>1</w:t>
      </w:r>
      <w:r w:rsidR="00C3412A" w:rsidRPr="008D07DA">
        <w:rPr>
          <w:rFonts w:ascii="Verdana" w:eastAsia="Malgun Gothic" w:hAnsi="Verdana" w:cs="Arial"/>
          <w:sz w:val="18"/>
          <w:szCs w:val="18"/>
          <w:lang w:val="el-GR"/>
        </w:rPr>
        <w:t>%.</w:t>
      </w:r>
      <w:r w:rsidR="00CD3347" w:rsidRPr="008D07DA">
        <w:rPr>
          <w:rFonts w:ascii="Verdana" w:eastAsia="Malgun Gothic" w:hAnsi="Verdana" w:cs="Arial"/>
          <w:sz w:val="18"/>
          <w:szCs w:val="18"/>
          <w:lang w:val="el-GR"/>
        </w:rPr>
        <w:t xml:space="preserve"> (Πίνακας 1)</w:t>
      </w:r>
    </w:p>
    <w:p w14:paraId="743AE4E9" w14:textId="77777777" w:rsidR="00FC1F31" w:rsidRPr="008D07DA" w:rsidRDefault="00FC1F31" w:rsidP="00721160">
      <w:pPr>
        <w:tabs>
          <w:tab w:val="left" w:pos="1080"/>
          <w:tab w:val="left" w:pos="6840"/>
        </w:tabs>
        <w:jc w:val="both"/>
        <w:rPr>
          <w:rFonts w:ascii="Verdana" w:eastAsia="Malgun Gothic" w:hAnsi="Verdana" w:cs="Arial"/>
          <w:sz w:val="18"/>
          <w:szCs w:val="18"/>
          <w:lang w:val="el-GR"/>
        </w:rPr>
      </w:pPr>
    </w:p>
    <w:p w14:paraId="788C4456" w14:textId="7FC3DE24" w:rsidR="001C2188" w:rsidRPr="008D07DA" w:rsidRDefault="001C2188" w:rsidP="001C2188">
      <w:pPr>
        <w:tabs>
          <w:tab w:val="left" w:pos="1080"/>
          <w:tab w:val="left" w:pos="6840"/>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Οι μέσες ακαθάριστες μηνιαίες απολαβές των ανδρών κατά το τέταρτο τρίμηνο του 202</w:t>
      </w:r>
      <w:r w:rsidR="00D66018" w:rsidRPr="008D07DA">
        <w:rPr>
          <w:rFonts w:ascii="Verdana" w:eastAsia="Malgun Gothic" w:hAnsi="Verdana" w:cs="Arial"/>
          <w:sz w:val="18"/>
          <w:szCs w:val="18"/>
          <w:lang w:val="el-GR"/>
        </w:rPr>
        <w:t>5</w:t>
      </w:r>
      <w:r w:rsidRPr="008D07DA">
        <w:rPr>
          <w:rFonts w:ascii="Verdana" w:eastAsia="Malgun Gothic" w:hAnsi="Verdana" w:cs="Arial"/>
          <w:sz w:val="18"/>
          <w:szCs w:val="18"/>
          <w:lang w:val="el-GR"/>
        </w:rPr>
        <w:t>, εκτιμώνται στα €</w:t>
      </w:r>
      <w:r w:rsidR="00D66018" w:rsidRPr="008D07DA">
        <w:rPr>
          <w:rFonts w:ascii="Verdana" w:eastAsia="Malgun Gothic" w:hAnsi="Verdana" w:cs="Arial"/>
          <w:sz w:val="18"/>
          <w:szCs w:val="18"/>
          <w:lang w:val="el-GR"/>
        </w:rPr>
        <w:t>3</w:t>
      </w:r>
      <w:r w:rsidRPr="008D07DA">
        <w:rPr>
          <w:rFonts w:ascii="Verdana" w:eastAsia="Malgun Gothic" w:hAnsi="Verdana" w:cs="Arial"/>
          <w:sz w:val="18"/>
          <w:szCs w:val="18"/>
          <w:lang w:val="el-GR"/>
        </w:rPr>
        <w:t>.</w:t>
      </w:r>
      <w:r w:rsidR="00D66018" w:rsidRPr="008D07DA">
        <w:rPr>
          <w:rFonts w:ascii="Verdana" w:eastAsia="Malgun Gothic" w:hAnsi="Verdana" w:cs="Arial"/>
          <w:sz w:val="18"/>
          <w:szCs w:val="18"/>
          <w:lang w:val="el-GR"/>
        </w:rPr>
        <w:t>10</w:t>
      </w:r>
      <w:r w:rsidR="008411A7" w:rsidRPr="008D07DA">
        <w:rPr>
          <w:rFonts w:ascii="Verdana" w:eastAsia="Malgun Gothic" w:hAnsi="Verdana" w:cs="Arial"/>
          <w:sz w:val="18"/>
          <w:szCs w:val="18"/>
          <w:lang w:val="el-GR"/>
        </w:rPr>
        <w:t>2</w:t>
      </w:r>
      <w:r w:rsidRPr="008D07DA">
        <w:rPr>
          <w:rFonts w:ascii="Verdana" w:eastAsia="Malgun Gothic" w:hAnsi="Verdana" w:cs="Arial"/>
          <w:sz w:val="18"/>
          <w:szCs w:val="18"/>
          <w:lang w:val="el-GR"/>
        </w:rPr>
        <w:t xml:space="preserve"> και των γυναικών στα €2.</w:t>
      </w:r>
      <w:r w:rsidR="00D66018" w:rsidRPr="008D07DA">
        <w:rPr>
          <w:rFonts w:ascii="Verdana" w:eastAsia="Malgun Gothic" w:hAnsi="Verdana" w:cs="Arial"/>
          <w:sz w:val="18"/>
          <w:szCs w:val="18"/>
          <w:lang w:val="el-GR"/>
        </w:rPr>
        <w:t>71</w:t>
      </w:r>
      <w:r w:rsidR="008411A7" w:rsidRPr="008D07DA">
        <w:rPr>
          <w:rFonts w:ascii="Verdana" w:eastAsia="Malgun Gothic" w:hAnsi="Verdana" w:cs="Arial"/>
          <w:sz w:val="18"/>
          <w:szCs w:val="18"/>
          <w:lang w:val="el-GR"/>
        </w:rPr>
        <w:t>8</w:t>
      </w:r>
      <w:r w:rsidRPr="008D07DA">
        <w:rPr>
          <w:rFonts w:ascii="Verdana" w:eastAsia="Malgun Gothic" w:hAnsi="Verdana" w:cs="Arial"/>
          <w:sz w:val="18"/>
          <w:szCs w:val="18"/>
          <w:lang w:val="el-GR"/>
        </w:rPr>
        <w:t>. Σε σύγκριση με το τέταρτο τρίμηνο του 202</w:t>
      </w:r>
      <w:r w:rsidR="00D66018" w:rsidRPr="008D07DA">
        <w:rPr>
          <w:rFonts w:ascii="Verdana" w:eastAsia="Malgun Gothic" w:hAnsi="Verdana" w:cs="Arial"/>
          <w:sz w:val="18"/>
          <w:szCs w:val="18"/>
          <w:lang w:val="el-GR"/>
        </w:rPr>
        <w:t>4</w:t>
      </w:r>
      <w:r w:rsidRPr="008D07DA">
        <w:rPr>
          <w:rFonts w:ascii="Verdana" w:eastAsia="Malgun Gothic" w:hAnsi="Verdana" w:cs="Arial"/>
          <w:sz w:val="18"/>
          <w:szCs w:val="18"/>
          <w:lang w:val="el-GR"/>
        </w:rPr>
        <w:t>, οι μέσες μηνιαίες απολαβές των ανδρών και των γυναικών αυξήθηκαν κατά 4,</w:t>
      </w:r>
      <w:r w:rsidR="00D66018" w:rsidRPr="008D07DA">
        <w:rPr>
          <w:rFonts w:ascii="Verdana" w:eastAsia="Malgun Gothic" w:hAnsi="Verdana" w:cs="Arial"/>
          <w:sz w:val="18"/>
          <w:szCs w:val="18"/>
          <w:lang w:val="el-GR"/>
        </w:rPr>
        <w:t>2</w:t>
      </w:r>
      <w:r w:rsidRPr="008D07DA">
        <w:rPr>
          <w:rFonts w:ascii="Verdana" w:eastAsia="Malgun Gothic" w:hAnsi="Verdana" w:cs="Arial"/>
          <w:sz w:val="18"/>
          <w:szCs w:val="18"/>
          <w:lang w:val="el-GR"/>
        </w:rPr>
        <w:t xml:space="preserve">% και </w:t>
      </w:r>
      <w:r w:rsidR="00D66018" w:rsidRPr="008D07DA">
        <w:rPr>
          <w:rFonts w:ascii="Verdana" w:eastAsia="Malgun Gothic" w:hAnsi="Verdana" w:cs="Arial"/>
          <w:sz w:val="18"/>
          <w:szCs w:val="18"/>
          <w:lang w:val="el-GR"/>
        </w:rPr>
        <w:t>4</w:t>
      </w:r>
      <w:r w:rsidRPr="008D07DA">
        <w:rPr>
          <w:rFonts w:ascii="Verdana" w:eastAsia="Malgun Gothic" w:hAnsi="Verdana" w:cs="Arial"/>
          <w:sz w:val="18"/>
          <w:szCs w:val="18"/>
          <w:lang w:val="el-GR"/>
        </w:rPr>
        <w:t>,</w:t>
      </w:r>
      <w:r w:rsidR="008411A7" w:rsidRPr="008D07DA">
        <w:rPr>
          <w:rFonts w:ascii="Verdana" w:eastAsia="Malgun Gothic" w:hAnsi="Verdana" w:cs="Arial"/>
          <w:sz w:val="18"/>
          <w:szCs w:val="18"/>
          <w:lang w:val="el-GR"/>
        </w:rPr>
        <w:t>5</w:t>
      </w:r>
      <w:r w:rsidRPr="008D07DA">
        <w:rPr>
          <w:rFonts w:ascii="Verdana" w:eastAsia="Malgun Gothic" w:hAnsi="Verdana" w:cs="Arial"/>
          <w:sz w:val="18"/>
          <w:szCs w:val="18"/>
          <w:lang w:val="el-GR"/>
        </w:rPr>
        <w:t xml:space="preserve">% αντίστοιχα. </w:t>
      </w:r>
      <w:r w:rsidR="00CD3347" w:rsidRPr="008D07DA">
        <w:rPr>
          <w:rFonts w:ascii="Verdana" w:eastAsia="Malgun Gothic" w:hAnsi="Verdana" w:cs="Arial"/>
          <w:sz w:val="18"/>
          <w:szCs w:val="18"/>
          <w:lang w:val="el-GR"/>
        </w:rPr>
        <w:t>(Πίνακας 1)</w:t>
      </w:r>
    </w:p>
    <w:p w14:paraId="2FEDA8B6" w14:textId="77777777" w:rsidR="001C2188" w:rsidRPr="008D07DA" w:rsidRDefault="001C2188" w:rsidP="00721160">
      <w:pPr>
        <w:tabs>
          <w:tab w:val="left" w:pos="1080"/>
          <w:tab w:val="left" w:pos="6840"/>
        </w:tabs>
        <w:jc w:val="both"/>
        <w:rPr>
          <w:rFonts w:ascii="Verdana" w:eastAsia="Malgun Gothic" w:hAnsi="Verdana" w:cs="Arial"/>
          <w:sz w:val="18"/>
          <w:szCs w:val="18"/>
          <w:lang w:val="el-GR"/>
        </w:rPr>
      </w:pPr>
    </w:p>
    <w:p w14:paraId="1808E051" w14:textId="7267C024" w:rsidR="001C2188" w:rsidRPr="00EF5A39" w:rsidRDefault="00FC1F31" w:rsidP="00E91D0F">
      <w:pPr>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Οι μέσες ακαθάριστες μηνιαίες απολαβές των υπαλλήλων </w:t>
      </w:r>
      <w:r w:rsidRPr="008D07DA">
        <w:rPr>
          <w:rFonts w:ascii="Verdana" w:eastAsia="Malgun Gothic" w:hAnsi="Verdana" w:cs="Arial"/>
          <w:b/>
          <w:bCs/>
          <w:sz w:val="18"/>
          <w:szCs w:val="18"/>
          <w:lang w:val="el-GR"/>
        </w:rPr>
        <w:t xml:space="preserve">για το </w:t>
      </w:r>
      <w:r w:rsidR="001C2188" w:rsidRPr="008D07DA">
        <w:rPr>
          <w:rFonts w:ascii="Verdana" w:eastAsia="Malgun Gothic" w:hAnsi="Verdana" w:cs="Arial"/>
          <w:b/>
          <w:bCs/>
          <w:sz w:val="18"/>
          <w:szCs w:val="18"/>
          <w:lang w:val="el-GR"/>
        </w:rPr>
        <w:t xml:space="preserve">έτος </w:t>
      </w:r>
      <w:r w:rsidRPr="008D07DA">
        <w:rPr>
          <w:rFonts w:ascii="Verdana" w:eastAsia="Malgun Gothic" w:hAnsi="Verdana" w:cs="Arial"/>
          <w:b/>
          <w:bCs/>
          <w:sz w:val="18"/>
          <w:szCs w:val="18"/>
          <w:lang w:val="el-GR"/>
        </w:rPr>
        <w:t>202</w:t>
      </w:r>
      <w:r w:rsidR="00D66018" w:rsidRPr="008D07DA">
        <w:rPr>
          <w:rFonts w:ascii="Verdana" w:eastAsia="Malgun Gothic" w:hAnsi="Verdana" w:cs="Arial"/>
          <w:b/>
          <w:bCs/>
          <w:sz w:val="18"/>
          <w:szCs w:val="18"/>
          <w:lang w:val="el-GR"/>
        </w:rPr>
        <w:t>5</w:t>
      </w:r>
      <w:r w:rsidRPr="008D07DA">
        <w:rPr>
          <w:rFonts w:ascii="Verdana" w:eastAsia="Malgun Gothic" w:hAnsi="Verdana" w:cs="Arial"/>
          <w:sz w:val="18"/>
          <w:szCs w:val="18"/>
          <w:lang w:val="el-GR"/>
        </w:rPr>
        <w:t xml:space="preserve"> σύμφωνα με προκαταρκτικά στοιχεία, εκτιμώνται στα €2.</w:t>
      </w:r>
      <w:r w:rsidR="00D66018" w:rsidRPr="008D07DA">
        <w:rPr>
          <w:rFonts w:ascii="Verdana" w:eastAsia="Malgun Gothic" w:hAnsi="Verdana" w:cs="Arial"/>
          <w:sz w:val="18"/>
          <w:szCs w:val="18"/>
          <w:lang w:val="el-GR"/>
        </w:rPr>
        <w:t>60</w:t>
      </w:r>
      <w:r w:rsidR="0072693B" w:rsidRPr="008D07DA">
        <w:rPr>
          <w:rFonts w:ascii="Verdana" w:eastAsia="Malgun Gothic" w:hAnsi="Verdana" w:cs="Arial"/>
          <w:sz w:val="18"/>
          <w:szCs w:val="18"/>
          <w:lang w:val="el-GR"/>
        </w:rPr>
        <w:t>5</w:t>
      </w:r>
      <w:r w:rsidRPr="008D07DA">
        <w:rPr>
          <w:rFonts w:ascii="Verdana" w:eastAsia="Malgun Gothic" w:hAnsi="Verdana" w:cs="Arial"/>
          <w:sz w:val="18"/>
          <w:szCs w:val="18"/>
          <w:lang w:val="el-GR"/>
        </w:rPr>
        <w:t xml:space="preserve"> σε σύγκριση με €2.</w:t>
      </w:r>
      <w:r w:rsidR="00D66018" w:rsidRPr="008D07DA">
        <w:rPr>
          <w:rFonts w:ascii="Verdana" w:eastAsia="Malgun Gothic" w:hAnsi="Verdana" w:cs="Arial"/>
          <w:sz w:val="18"/>
          <w:szCs w:val="18"/>
          <w:lang w:val="el-GR"/>
        </w:rPr>
        <w:t>48</w:t>
      </w:r>
      <w:r w:rsidRPr="008D07DA">
        <w:rPr>
          <w:rFonts w:ascii="Verdana" w:eastAsia="Malgun Gothic" w:hAnsi="Verdana" w:cs="Arial"/>
          <w:sz w:val="18"/>
          <w:szCs w:val="18"/>
          <w:lang w:val="el-GR"/>
        </w:rPr>
        <w:t>3 το 202</w:t>
      </w:r>
      <w:r w:rsidR="00D66018" w:rsidRPr="008D07DA">
        <w:rPr>
          <w:rFonts w:ascii="Verdana" w:eastAsia="Malgun Gothic" w:hAnsi="Verdana" w:cs="Arial"/>
          <w:sz w:val="18"/>
          <w:szCs w:val="18"/>
          <w:lang w:val="el-GR"/>
        </w:rPr>
        <w:t>4</w:t>
      </w:r>
      <w:r w:rsidRPr="008D07DA">
        <w:rPr>
          <w:rFonts w:ascii="Verdana" w:eastAsia="Malgun Gothic" w:hAnsi="Verdana" w:cs="Arial"/>
          <w:sz w:val="18"/>
          <w:szCs w:val="18"/>
          <w:lang w:val="el-GR"/>
        </w:rPr>
        <w:t xml:space="preserve">, δηλαδή παρατηρείται αύξηση </w:t>
      </w:r>
      <w:r w:rsidR="00D66018" w:rsidRPr="008D07DA">
        <w:rPr>
          <w:rFonts w:ascii="Verdana" w:eastAsia="Malgun Gothic" w:hAnsi="Verdana" w:cs="Arial"/>
          <w:sz w:val="18"/>
          <w:szCs w:val="18"/>
          <w:lang w:val="el-GR"/>
        </w:rPr>
        <w:t>4</w:t>
      </w:r>
      <w:r w:rsidRPr="008D07DA">
        <w:rPr>
          <w:rFonts w:ascii="Verdana" w:eastAsia="Malgun Gothic" w:hAnsi="Verdana" w:cs="Arial"/>
          <w:sz w:val="18"/>
          <w:szCs w:val="18"/>
          <w:lang w:val="el-GR"/>
        </w:rPr>
        <w:t>,</w:t>
      </w:r>
      <w:r w:rsidR="0072693B" w:rsidRPr="008D07DA">
        <w:rPr>
          <w:rFonts w:ascii="Verdana" w:eastAsia="Malgun Gothic" w:hAnsi="Verdana" w:cs="Arial"/>
          <w:sz w:val="18"/>
          <w:szCs w:val="18"/>
          <w:lang w:val="el-GR"/>
        </w:rPr>
        <w:t>9</w:t>
      </w:r>
      <w:r w:rsidRPr="008D07DA">
        <w:rPr>
          <w:rFonts w:ascii="Verdana" w:eastAsia="Malgun Gothic" w:hAnsi="Verdana" w:cs="Arial"/>
          <w:sz w:val="18"/>
          <w:szCs w:val="18"/>
          <w:lang w:val="el-GR"/>
        </w:rPr>
        <w:t>% σε σχέση με το προηγούμενο έτος.</w:t>
      </w:r>
      <w:r w:rsidRPr="008D07DA">
        <w:rPr>
          <w:rFonts w:ascii="Verdana" w:hAnsi="Verdana"/>
          <w:lang w:val="el-GR"/>
        </w:rPr>
        <w:t xml:space="preserve"> </w:t>
      </w:r>
      <w:r w:rsidRPr="008D07DA">
        <w:rPr>
          <w:rFonts w:ascii="Verdana" w:eastAsia="Malgun Gothic" w:hAnsi="Verdana" w:cs="Arial"/>
          <w:sz w:val="18"/>
          <w:szCs w:val="18"/>
          <w:lang w:val="el-GR"/>
        </w:rPr>
        <w:t>Για το 202</w:t>
      </w:r>
      <w:r w:rsidR="00D66018" w:rsidRPr="008D07DA">
        <w:rPr>
          <w:rFonts w:ascii="Verdana" w:eastAsia="Malgun Gothic" w:hAnsi="Verdana" w:cs="Arial"/>
          <w:sz w:val="18"/>
          <w:szCs w:val="18"/>
          <w:lang w:val="el-GR"/>
        </w:rPr>
        <w:t>4</w:t>
      </w:r>
      <w:r w:rsidRPr="008D07DA">
        <w:rPr>
          <w:rFonts w:ascii="Verdana" w:eastAsia="Malgun Gothic" w:hAnsi="Verdana" w:cs="Arial"/>
          <w:sz w:val="18"/>
          <w:szCs w:val="18"/>
          <w:lang w:val="el-GR"/>
        </w:rPr>
        <w:t xml:space="preserve"> η αντίστοιχη αύξηση ήταν </w:t>
      </w:r>
      <w:r w:rsidR="00D66018" w:rsidRPr="008D07DA">
        <w:rPr>
          <w:rFonts w:ascii="Verdana" w:eastAsia="Malgun Gothic" w:hAnsi="Verdana" w:cs="Arial"/>
          <w:sz w:val="18"/>
          <w:szCs w:val="18"/>
          <w:lang w:val="el-GR"/>
        </w:rPr>
        <w:t>5</w:t>
      </w:r>
      <w:r w:rsidRPr="008D07DA">
        <w:rPr>
          <w:rFonts w:ascii="Verdana" w:eastAsia="Malgun Gothic" w:hAnsi="Verdana" w:cs="Arial"/>
          <w:sz w:val="18"/>
          <w:szCs w:val="18"/>
          <w:lang w:val="el-GR"/>
        </w:rPr>
        <w:t>,</w:t>
      </w:r>
      <w:r w:rsidR="00D66018" w:rsidRPr="008D07DA">
        <w:rPr>
          <w:rFonts w:ascii="Verdana" w:eastAsia="Malgun Gothic" w:hAnsi="Verdana" w:cs="Arial"/>
          <w:sz w:val="18"/>
          <w:szCs w:val="18"/>
          <w:lang w:val="el-GR"/>
        </w:rPr>
        <w:t>1</w:t>
      </w:r>
      <w:r w:rsidRPr="008D07DA">
        <w:rPr>
          <w:rFonts w:ascii="Verdana" w:eastAsia="Malgun Gothic" w:hAnsi="Verdana" w:cs="Arial"/>
          <w:sz w:val="18"/>
          <w:szCs w:val="18"/>
          <w:lang w:val="el-GR"/>
        </w:rPr>
        <w:t>%. Οι διάμεσες ακαθάριστες μηνιαίες απολαβές των υπαλλήλων ήταν €1.</w:t>
      </w:r>
      <w:r w:rsidR="00D66018" w:rsidRPr="008D07DA">
        <w:rPr>
          <w:rFonts w:ascii="Verdana" w:eastAsia="Malgun Gothic" w:hAnsi="Verdana" w:cs="Arial"/>
          <w:sz w:val="18"/>
          <w:szCs w:val="18"/>
          <w:lang w:val="el-GR"/>
        </w:rPr>
        <w:t>96</w:t>
      </w:r>
      <w:r w:rsidR="0072693B" w:rsidRPr="008D07DA">
        <w:rPr>
          <w:rFonts w:ascii="Verdana" w:eastAsia="Malgun Gothic" w:hAnsi="Verdana" w:cs="Arial"/>
          <w:sz w:val="18"/>
          <w:szCs w:val="18"/>
          <w:lang w:val="el-GR"/>
        </w:rPr>
        <w:t>8</w:t>
      </w:r>
      <w:r w:rsidRPr="008D07DA">
        <w:rPr>
          <w:rFonts w:ascii="Verdana" w:eastAsia="Malgun Gothic" w:hAnsi="Verdana" w:cs="Arial"/>
          <w:sz w:val="18"/>
          <w:szCs w:val="18"/>
          <w:lang w:val="el-GR"/>
        </w:rPr>
        <w:t>.</w:t>
      </w:r>
      <w:r w:rsidR="00CD3347" w:rsidRPr="008D07DA">
        <w:rPr>
          <w:rFonts w:ascii="Verdana" w:hAnsi="Verdana"/>
          <w:lang w:val="el-GR"/>
        </w:rPr>
        <w:t xml:space="preserve"> </w:t>
      </w:r>
      <w:r w:rsidR="00CD3347" w:rsidRPr="008D07DA">
        <w:rPr>
          <w:rFonts w:ascii="Verdana" w:eastAsia="Malgun Gothic" w:hAnsi="Verdana" w:cs="Arial"/>
          <w:sz w:val="18"/>
          <w:szCs w:val="18"/>
          <w:lang w:val="el-GR"/>
        </w:rPr>
        <w:t>(Γράφημα 2)</w:t>
      </w:r>
      <w:r w:rsidR="002E0D7D" w:rsidRPr="00EF5A39">
        <w:rPr>
          <w:rFonts w:ascii="Verdana" w:eastAsia="Malgun Gothic" w:hAnsi="Verdana" w:cs="Arial"/>
          <w:sz w:val="18"/>
          <w:szCs w:val="18"/>
          <w:lang w:val="el-GR"/>
        </w:rPr>
        <w:t xml:space="preserve"> </w:t>
      </w:r>
    </w:p>
    <w:p w14:paraId="5DDC96F9" w14:textId="7298C404" w:rsidR="00067B87" w:rsidRPr="00EF5A39" w:rsidRDefault="00067B87" w:rsidP="00E91D0F">
      <w:pPr>
        <w:jc w:val="both"/>
        <w:rPr>
          <w:rFonts w:ascii="Verdana" w:eastAsia="Malgun Gothic" w:hAnsi="Verdana" w:cs="Arial"/>
          <w:sz w:val="18"/>
          <w:szCs w:val="18"/>
          <w:lang w:val="el-GR"/>
        </w:rPr>
      </w:pPr>
    </w:p>
    <w:p w14:paraId="5AC2ECF3" w14:textId="53FBB60F" w:rsidR="0046551B" w:rsidRPr="008D07DA" w:rsidRDefault="00067B87" w:rsidP="00B70B16">
      <w:pPr>
        <w:tabs>
          <w:tab w:val="left" w:pos="1080"/>
          <w:tab w:val="left" w:pos="6840"/>
        </w:tabs>
        <w:jc w:val="both"/>
        <w:rPr>
          <w:rFonts w:ascii="Verdana" w:eastAsia="Malgun Gothic" w:hAnsi="Verdana" w:cs="Arial"/>
          <w:b/>
          <w:bCs/>
          <w:color w:val="366092"/>
          <w:sz w:val="18"/>
          <w:szCs w:val="18"/>
          <w:lang w:val="el-GR"/>
        </w:rPr>
      </w:pPr>
      <w:r w:rsidRPr="008D07DA">
        <w:rPr>
          <w:rFonts w:ascii="Verdana" w:eastAsia="Malgun Gothic" w:hAnsi="Verdana" w:cs="Arial"/>
          <w:b/>
          <w:bCs/>
          <w:color w:val="366092"/>
          <w:sz w:val="18"/>
          <w:szCs w:val="18"/>
          <w:lang w:val="el-GR"/>
        </w:rPr>
        <w:t>Γράφημα 1: Μέσες Μηνιαίες Ακαθάριστες Απολαβές</w:t>
      </w:r>
      <w:r w:rsidR="00B70B16" w:rsidRPr="008D07DA">
        <w:rPr>
          <w:rFonts w:ascii="Verdana" w:eastAsia="Malgun Gothic" w:hAnsi="Verdana" w:cs="Arial"/>
          <w:b/>
          <w:bCs/>
          <w:color w:val="366092"/>
          <w:sz w:val="18"/>
          <w:szCs w:val="18"/>
          <w:lang w:val="el-GR"/>
        </w:rPr>
        <w:t xml:space="preserve"> Υπαλλήλων, Τριμηνιαία</w:t>
      </w:r>
      <w:r w:rsidRPr="008D07DA">
        <w:rPr>
          <w:rFonts w:ascii="Verdana" w:eastAsia="Malgun Gothic" w:hAnsi="Verdana" w:cs="Arial"/>
          <w:b/>
          <w:bCs/>
          <w:color w:val="366092"/>
          <w:sz w:val="18"/>
          <w:szCs w:val="18"/>
          <w:lang w:val="el-GR"/>
        </w:rPr>
        <w:t xml:space="preserve"> </w:t>
      </w:r>
    </w:p>
    <w:p w14:paraId="6839764A" w14:textId="488598DD" w:rsidR="00CD3347" w:rsidRPr="008D07DA" w:rsidRDefault="00EF5A39" w:rsidP="00135E7E">
      <w:pPr>
        <w:tabs>
          <w:tab w:val="left" w:pos="1080"/>
          <w:tab w:val="left" w:pos="6840"/>
        </w:tabs>
        <w:jc w:val="center"/>
        <w:rPr>
          <w:rFonts w:ascii="Verdana" w:eastAsia="Malgun Gothic" w:hAnsi="Verdana" w:cs="Arial"/>
          <w:sz w:val="18"/>
          <w:szCs w:val="18"/>
          <w:lang w:val="el-GR"/>
        </w:rPr>
      </w:pPr>
      <w:r>
        <w:rPr>
          <w:noProof/>
        </w:rPr>
        <w:drawing>
          <wp:inline distT="0" distB="0" distL="0" distR="0" wp14:anchorId="48464315" wp14:editId="6EB199E2">
            <wp:extent cx="6120765" cy="3667125"/>
            <wp:effectExtent l="0" t="0" r="13335" b="9525"/>
            <wp:docPr id="1" name="Chart 1">
              <a:extLst xmlns:a="http://schemas.openxmlformats.org/drawingml/2006/main">
                <a:ext uri="{FF2B5EF4-FFF2-40B4-BE49-F238E27FC236}">
                  <a16:creationId xmlns:a16="http://schemas.microsoft.com/office/drawing/2014/main" id="{712963CE-F335-4616-A6EC-82B156D6C1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1E9754" w14:textId="38E442B8" w:rsidR="00721160" w:rsidRPr="00CC031A" w:rsidRDefault="00721160" w:rsidP="00990CB1">
      <w:pPr>
        <w:tabs>
          <w:tab w:val="left" w:pos="346"/>
          <w:tab w:val="left" w:pos="518"/>
          <w:tab w:val="left" w:pos="6840"/>
        </w:tabs>
        <w:rPr>
          <w:rFonts w:ascii="Verdana" w:eastAsia="Malgun Gothic" w:hAnsi="Verdana" w:cs="Arial"/>
          <w:color w:val="558ED5"/>
          <w:sz w:val="16"/>
          <w:szCs w:val="16"/>
          <w:lang w:val="el-GR"/>
        </w:rPr>
      </w:pPr>
      <w:r w:rsidRPr="00CC031A">
        <w:rPr>
          <w:rFonts w:ascii="Verdana" w:eastAsia="Malgun Gothic" w:hAnsi="Verdana" w:cs="Arial"/>
          <w:color w:val="558ED5"/>
          <w:sz w:val="16"/>
          <w:szCs w:val="16"/>
          <w:lang w:val="el-GR"/>
        </w:rPr>
        <w:t xml:space="preserve">Σημείωση: </w:t>
      </w:r>
      <w:r w:rsidR="00106114" w:rsidRPr="00CC031A">
        <w:rPr>
          <w:rFonts w:ascii="Verdana" w:eastAsia="Malgun Gothic" w:hAnsi="Verdana" w:cs="Arial"/>
          <w:color w:val="558ED5"/>
          <w:sz w:val="16"/>
          <w:szCs w:val="16"/>
          <w:lang w:val="el-GR"/>
        </w:rPr>
        <w:t>Α</w:t>
      </w:r>
      <w:r w:rsidRPr="00CC031A">
        <w:rPr>
          <w:rFonts w:ascii="Verdana" w:eastAsia="Malgun Gothic" w:hAnsi="Verdana" w:cs="Arial"/>
          <w:color w:val="558ED5"/>
          <w:sz w:val="16"/>
          <w:szCs w:val="16"/>
          <w:lang w:val="el-GR"/>
        </w:rPr>
        <w:t>πό το 1</w:t>
      </w:r>
      <w:r w:rsidRPr="00CC031A">
        <w:rPr>
          <w:rFonts w:ascii="Verdana" w:eastAsia="Malgun Gothic" w:hAnsi="Verdana" w:cs="Arial"/>
          <w:color w:val="558ED5"/>
          <w:sz w:val="16"/>
          <w:szCs w:val="16"/>
          <w:vertAlign w:val="superscript"/>
          <w:lang w:val="el-GR"/>
        </w:rPr>
        <w:t>ο</w:t>
      </w:r>
      <w:r w:rsidRPr="00CC031A">
        <w:rPr>
          <w:rFonts w:ascii="Verdana" w:eastAsia="Malgun Gothic" w:hAnsi="Verdana" w:cs="Arial"/>
          <w:color w:val="558ED5"/>
          <w:sz w:val="16"/>
          <w:szCs w:val="16"/>
          <w:lang w:val="el-GR"/>
        </w:rPr>
        <w:t xml:space="preserve"> τρίμηνο του 202</w:t>
      </w:r>
      <w:r w:rsidR="00D66018" w:rsidRPr="00CC031A">
        <w:rPr>
          <w:rFonts w:ascii="Verdana" w:eastAsia="Malgun Gothic" w:hAnsi="Verdana" w:cs="Arial"/>
          <w:color w:val="558ED5"/>
          <w:sz w:val="16"/>
          <w:szCs w:val="16"/>
          <w:lang w:val="el-GR"/>
        </w:rPr>
        <w:t>5</w:t>
      </w:r>
      <w:r w:rsidRPr="00CC031A">
        <w:rPr>
          <w:rFonts w:ascii="Verdana" w:eastAsia="Malgun Gothic" w:hAnsi="Verdana" w:cs="Arial"/>
          <w:color w:val="558ED5"/>
          <w:sz w:val="16"/>
          <w:szCs w:val="16"/>
          <w:lang w:val="el-GR"/>
        </w:rPr>
        <w:t xml:space="preserve"> </w:t>
      </w:r>
      <w:r w:rsidR="00106114" w:rsidRPr="00CC031A">
        <w:rPr>
          <w:rFonts w:ascii="Verdana" w:eastAsia="Malgun Gothic" w:hAnsi="Verdana" w:cs="Arial"/>
          <w:color w:val="558ED5"/>
          <w:sz w:val="16"/>
          <w:szCs w:val="16"/>
          <w:lang w:val="el-GR"/>
        </w:rPr>
        <w:t xml:space="preserve">και </w:t>
      </w:r>
      <w:r w:rsidR="00B4017B" w:rsidRPr="00CC031A">
        <w:rPr>
          <w:rFonts w:ascii="Verdana" w:eastAsia="Malgun Gothic" w:hAnsi="Verdana" w:cs="Arial"/>
          <w:color w:val="558ED5"/>
          <w:sz w:val="16"/>
          <w:szCs w:val="16"/>
          <w:lang w:val="el-GR"/>
        </w:rPr>
        <w:t xml:space="preserve">έπειτα </w:t>
      </w:r>
      <w:r w:rsidR="00106114" w:rsidRPr="00CC031A">
        <w:rPr>
          <w:rFonts w:ascii="Verdana" w:eastAsia="Malgun Gothic" w:hAnsi="Verdana" w:cs="Arial"/>
          <w:color w:val="558ED5"/>
          <w:sz w:val="16"/>
          <w:szCs w:val="16"/>
          <w:lang w:val="el-GR"/>
        </w:rPr>
        <w:t xml:space="preserve">τα στοιχεία </w:t>
      </w:r>
      <w:r w:rsidRPr="00CC031A">
        <w:rPr>
          <w:rFonts w:ascii="Verdana" w:eastAsia="Malgun Gothic" w:hAnsi="Verdana" w:cs="Arial"/>
          <w:color w:val="558ED5"/>
          <w:sz w:val="16"/>
          <w:szCs w:val="16"/>
          <w:lang w:val="el-GR"/>
        </w:rPr>
        <w:t>είναι προκαταρκτικά.</w:t>
      </w:r>
    </w:p>
    <w:tbl>
      <w:tblPr>
        <w:tblW w:w="4900" w:type="pct"/>
        <w:jc w:val="center"/>
        <w:tblBorders>
          <w:bottom w:val="single" w:sz="4" w:space="0" w:color="365F91"/>
        </w:tblBorders>
        <w:tblLook w:val="04A0" w:firstRow="1" w:lastRow="0" w:firstColumn="1" w:lastColumn="0" w:noHBand="0" w:noVBand="1"/>
      </w:tblPr>
      <w:tblGrid>
        <w:gridCol w:w="2017"/>
        <w:gridCol w:w="1693"/>
        <w:gridCol w:w="1717"/>
        <w:gridCol w:w="260"/>
        <w:gridCol w:w="1911"/>
        <w:gridCol w:w="1848"/>
      </w:tblGrid>
      <w:tr w:rsidR="00B2351F" w:rsidRPr="00737EAA" w14:paraId="3EEE6903" w14:textId="77777777" w:rsidTr="00EA6A91">
        <w:trPr>
          <w:trHeight w:val="389"/>
          <w:jc w:val="center"/>
        </w:trPr>
        <w:tc>
          <w:tcPr>
            <w:tcW w:w="9446" w:type="dxa"/>
            <w:gridSpan w:val="6"/>
            <w:tcBorders>
              <w:top w:val="nil"/>
              <w:bottom w:val="single" w:sz="4" w:space="0" w:color="365F91"/>
            </w:tcBorders>
            <w:vAlign w:val="center"/>
          </w:tcPr>
          <w:p w14:paraId="74E2E169" w14:textId="0C7DB5EB" w:rsidR="007A453C" w:rsidRPr="00B2351F" w:rsidRDefault="007A453C" w:rsidP="007A453C">
            <w:pPr>
              <w:tabs>
                <w:tab w:val="left" w:pos="1080"/>
                <w:tab w:val="left" w:pos="6840"/>
              </w:tabs>
              <w:rPr>
                <w:rFonts w:ascii="Verdana" w:eastAsia="Malgun Gothic" w:hAnsi="Verdana" w:cs="Arial"/>
                <w:b/>
                <w:color w:val="366092"/>
                <w:sz w:val="18"/>
                <w:szCs w:val="18"/>
                <w:lang w:val="el-GR"/>
              </w:rPr>
            </w:pPr>
            <w:r w:rsidRPr="00B2351F">
              <w:rPr>
                <w:rFonts w:ascii="Verdana" w:eastAsia="Malgun Gothic" w:hAnsi="Verdana" w:cs="Arial"/>
                <w:b/>
                <w:color w:val="366092"/>
                <w:sz w:val="18"/>
                <w:szCs w:val="18"/>
                <w:lang w:val="el-GR"/>
              </w:rPr>
              <w:lastRenderedPageBreak/>
              <w:t>Πίνακας 1: Μέσες Μηνιαίες Ακαθάριστες Απολαβές Υπαλλήλων κατά Φύλο, Τριμηνιαία</w:t>
            </w:r>
          </w:p>
        </w:tc>
      </w:tr>
      <w:tr w:rsidR="00B2351F" w:rsidRPr="00B2351F" w14:paraId="3449862A" w14:textId="77777777" w:rsidTr="00220427">
        <w:trPr>
          <w:trHeight w:val="360"/>
          <w:jc w:val="center"/>
        </w:trPr>
        <w:tc>
          <w:tcPr>
            <w:tcW w:w="2017" w:type="dxa"/>
            <w:vMerge w:val="restart"/>
            <w:tcBorders>
              <w:top w:val="single" w:sz="4" w:space="0" w:color="365F91"/>
            </w:tcBorders>
            <w:vAlign w:val="center"/>
          </w:tcPr>
          <w:p w14:paraId="5B3F7945" w14:textId="4DB89E22" w:rsidR="006B15D3" w:rsidRPr="00B2351F" w:rsidRDefault="006B15D3" w:rsidP="00220427">
            <w:pPr>
              <w:tabs>
                <w:tab w:val="left" w:pos="1080"/>
                <w:tab w:val="left" w:pos="6840"/>
              </w:tabs>
              <w:jc w:val="center"/>
              <w:rPr>
                <w:rFonts w:ascii="Verdana" w:eastAsia="Malgun Gothic" w:hAnsi="Verdana" w:cs="Arial"/>
                <w:b/>
                <w:color w:val="366092"/>
                <w:sz w:val="18"/>
                <w:szCs w:val="18"/>
                <w:lang w:val="el-GR"/>
              </w:rPr>
            </w:pPr>
            <w:r w:rsidRPr="00B2351F">
              <w:rPr>
                <w:rFonts w:ascii="Verdana" w:eastAsia="Malgun Gothic" w:hAnsi="Verdana" w:cs="Arial"/>
                <w:b/>
                <w:color w:val="366092"/>
                <w:sz w:val="18"/>
                <w:szCs w:val="18"/>
                <w:lang w:val="el-GR"/>
              </w:rPr>
              <w:t>Φύλο</w:t>
            </w:r>
          </w:p>
        </w:tc>
        <w:tc>
          <w:tcPr>
            <w:tcW w:w="3410" w:type="dxa"/>
            <w:gridSpan w:val="2"/>
            <w:tcBorders>
              <w:top w:val="single" w:sz="4" w:space="0" w:color="365F91"/>
              <w:bottom w:val="single" w:sz="4" w:space="0" w:color="365F91"/>
            </w:tcBorders>
            <w:vAlign w:val="center"/>
          </w:tcPr>
          <w:p w14:paraId="2D1C3C76" w14:textId="4C545DC5" w:rsidR="006B15D3" w:rsidRPr="00B2351F" w:rsidRDefault="006B15D3" w:rsidP="00220427">
            <w:pPr>
              <w:tabs>
                <w:tab w:val="left" w:pos="1080"/>
                <w:tab w:val="left" w:pos="6840"/>
              </w:tabs>
              <w:jc w:val="center"/>
              <w:rPr>
                <w:rFonts w:ascii="Verdana" w:eastAsia="Malgun Gothic" w:hAnsi="Verdana" w:cs="Arial"/>
                <w:b/>
                <w:color w:val="366092"/>
                <w:sz w:val="18"/>
                <w:szCs w:val="18"/>
                <w:lang w:val="en-GB"/>
              </w:rPr>
            </w:pPr>
            <w:r w:rsidRPr="00B2351F">
              <w:rPr>
                <w:rFonts w:ascii="Verdana" w:eastAsia="Malgun Gothic" w:hAnsi="Verdana" w:cs="Arial"/>
                <w:b/>
                <w:color w:val="366092"/>
                <w:sz w:val="18"/>
                <w:szCs w:val="18"/>
                <w:lang w:val="el-GR"/>
              </w:rPr>
              <w:t xml:space="preserve">Μέσες </w:t>
            </w:r>
            <w:r w:rsidR="007B15B3" w:rsidRPr="00B2351F">
              <w:rPr>
                <w:rFonts w:ascii="Verdana" w:eastAsia="Malgun Gothic" w:hAnsi="Verdana" w:cs="Arial"/>
                <w:b/>
                <w:color w:val="366092"/>
                <w:sz w:val="18"/>
                <w:szCs w:val="18"/>
                <w:lang w:val="el-GR"/>
              </w:rPr>
              <w:t xml:space="preserve">Ακαθάριστες </w:t>
            </w:r>
            <w:r w:rsidRPr="00B2351F">
              <w:rPr>
                <w:rFonts w:ascii="Verdana" w:eastAsia="Malgun Gothic" w:hAnsi="Verdana" w:cs="Arial"/>
                <w:b/>
                <w:color w:val="366092"/>
                <w:sz w:val="18"/>
                <w:szCs w:val="18"/>
                <w:lang w:val="el-GR"/>
              </w:rPr>
              <w:t>Μηνιαίες Απολαβές (€)</w:t>
            </w:r>
          </w:p>
        </w:tc>
        <w:tc>
          <w:tcPr>
            <w:tcW w:w="260" w:type="dxa"/>
            <w:tcBorders>
              <w:top w:val="single" w:sz="4" w:space="0" w:color="365F91"/>
              <w:bottom w:val="nil"/>
            </w:tcBorders>
          </w:tcPr>
          <w:p w14:paraId="2F484007" w14:textId="77777777" w:rsidR="006B15D3" w:rsidRPr="00B2351F" w:rsidRDefault="006B15D3" w:rsidP="00220427">
            <w:pPr>
              <w:tabs>
                <w:tab w:val="left" w:pos="1080"/>
                <w:tab w:val="left" w:pos="6840"/>
              </w:tabs>
              <w:jc w:val="both"/>
              <w:rPr>
                <w:rFonts w:ascii="Verdana" w:eastAsia="Malgun Gothic" w:hAnsi="Verdana" w:cs="Arial"/>
                <w:color w:val="366092"/>
                <w:sz w:val="18"/>
                <w:szCs w:val="18"/>
                <w:lang w:val="en-GB"/>
              </w:rPr>
            </w:pPr>
          </w:p>
        </w:tc>
        <w:tc>
          <w:tcPr>
            <w:tcW w:w="3759" w:type="dxa"/>
            <w:gridSpan w:val="2"/>
            <w:tcBorders>
              <w:top w:val="single" w:sz="4" w:space="0" w:color="365F91"/>
              <w:bottom w:val="single" w:sz="4" w:space="0" w:color="365F91"/>
            </w:tcBorders>
            <w:vAlign w:val="center"/>
          </w:tcPr>
          <w:p w14:paraId="01CD1920" w14:textId="77777777" w:rsidR="006B15D3" w:rsidRPr="00B2351F" w:rsidRDefault="006B15D3" w:rsidP="00220427">
            <w:pPr>
              <w:tabs>
                <w:tab w:val="left" w:pos="1080"/>
                <w:tab w:val="left" w:pos="6840"/>
              </w:tabs>
              <w:jc w:val="center"/>
              <w:rPr>
                <w:rFonts w:ascii="Verdana" w:eastAsia="Malgun Gothic" w:hAnsi="Verdana" w:cs="Arial"/>
                <w:b/>
                <w:color w:val="366092"/>
                <w:sz w:val="18"/>
                <w:szCs w:val="18"/>
                <w:lang w:val="en-GB"/>
              </w:rPr>
            </w:pPr>
            <w:r w:rsidRPr="00B2351F">
              <w:rPr>
                <w:rFonts w:ascii="Verdana" w:eastAsia="Malgun Gothic" w:hAnsi="Verdana" w:cs="Arial"/>
                <w:b/>
                <w:color w:val="366092"/>
                <w:sz w:val="18"/>
                <w:szCs w:val="18"/>
                <w:lang w:val="el-GR"/>
              </w:rPr>
              <w:t>Μεταβολή (%)</w:t>
            </w:r>
          </w:p>
        </w:tc>
      </w:tr>
      <w:tr w:rsidR="00B2351F" w:rsidRPr="00737EAA" w14:paraId="733FB81E" w14:textId="77777777" w:rsidTr="00220427">
        <w:trPr>
          <w:trHeight w:val="1440"/>
          <w:jc w:val="center"/>
        </w:trPr>
        <w:tc>
          <w:tcPr>
            <w:tcW w:w="2017" w:type="dxa"/>
            <w:vMerge/>
            <w:tcBorders>
              <w:bottom w:val="single" w:sz="4" w:space="0" w:color="365F91"/>
            </w:tcBorders>
            <w:vAlign w:val="center"/>
          </w:tcPr>
          <w:p w14:paraId="03ACD32E" w14:textId="77777777" w:rsidR="006B15D3" w:rsidRPr="00B2351F" w:rsidRDefault="006B15D3" w:rsidP="00220427">
            <w:pPr>
              <w:tabs>
                <w:tab w:val="left" w:pos="1080"/>
                <w:tab w:val="left" w:pos="6840"/>
              </w:tabs>
              <w:rPr>
                <w:rFonts w:ascii="Verdana" w:eastAsia="Malgun Gothic" w:hAnsi="Verdana" w:cs="Arial"/>
                <w:color w:val="366092"/>
                <w:sz w:val="18"/>
                <w:szCs w:val="18"/>
                <w:lang w:val="en-GB"/>
              </w:rPr>
            </w:pPr>
          </w:p>
        </w:tc>
        <w:tc>
          <w:tcPr>
            <w:tcW w:w="1693" w:type="dxa"/>
            <w:tcBorders>
              <w:top w:val="single" w:sz="4" w:space="0" w:color="365F91"/>
              <w:bottom w:val="single" w:sz="4" w:space="0" w:color="365F91"/>
              <w:right w:val="nil"/>
            </w:tcBorders>
            <w:vAlign w:val="center"/>
          </w:tcPr>
          <w:p w14:paraId="182E2EA1"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 xml:space="preserve">Χωρίς </w:t>
            </w:r>
          </w:p>
          <w:p w14:paraId="3EBFA2B1"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διόρθωση</w:t>
            </w:r>
          </w:p>
        </w:tc>
        <w:tc>
          <w:tcPr>
            <w:tcW w:w="1717" w:type="dxa"/>
            <w:tcBorders>
              <w:top w:val="single" w:sz="4" w:space="0" w:color="365F91"/>
              <w:left w:val="nil"/>
              <w:bottom w:val="single" w:sz="4" w:space="0" w:color="365F91"/>
            </w:tcBorders>
            <w:vAlign w:val="center"/>
          </w:tcPr>
          <w:p w14:paraId="58D12FB9"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Εποχικά διορθωμένες</w:t>
            </w:r>
          </w:p>
        </w:tc>
        <w:tc>
          <w:tcPr>
            <w:tcW w:w="260" w:type="dxa"/>
            <w:tcBorders>
              <w:top w:val="nil"/>
              <w:bottom w:val="single" w:sz="4" w:space="0" w:color="365F91"/>
            </w:tcBorders>
            <w:vAlign w:val="center"/>
          </w:tcPr>
          <w:p w14:paraId="6C20BAB9"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5F91"/>
              <w:bottom w:val="single" w:sz="4" w:space="0" w:color="365F91"/>
              <w:right w:val="nil"/>
            </w:tcBorders>
            <w:vAlign w:val="center"/>
          </w:tcPr>
          <w:p w14:paraId="3EA84856"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Με το αντίστοιχο τρίμηνο του προηγούμενου έτους       (απολαβές χωρίς διόρθωση)</w:t>
            </w:r>
          </w:p>
        </w:tc>
        <w:tc>
          <w:tcPr>
            <w:tcW w:w="1848" w:type="dxa"/>
            <w:tcBorders>
              <w:top w:val="single" w:sz="4" w:space="0" w:color="365F91"/>
              <w:left w:val="nil"/>
              <w:bottom w:val="single" w:sz="4" w:space="0" w:color="365F91"/>
            </w:tcBorders>
            <w:vAlign w:val="center"/>
          </w:tcPr>
          <w:p w14:paraId="58EBF244"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 xml:space="preserve">Με το προηγούμενο τρίμηνο </w:t>
            </w:r>
          </w:p>
          <w:p w14:paraId="6EBA1189"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(εποχικά διορθωμένες απολαβές)</w:t>
            </w:r>
          </w:p>
        </w:tc>
      </w:tr>
      <w:tr w:rsidR="00B2351F" w:rsidRPr="00B2351F" w14:paraId="6F31162E" w14:textId="77777777" w:rsidTr="00220427">
        <w:trPr>
          <w:trHeight w:hRule="exact" w:val="510"/>
          <w:jc w:val="center"/>
        </w:trPr>
        <w:tc>
          <w:tcPr>
            <w:tcW w:w="2017" w:type="dxa"/>
            <w:tcBorders>
              <w:top w:val="single" w:sz="4" w:space="0" w:color="365F91"/>
            </w:tcBorders>
            <w:vAlign w:val="center"/>
          </w:tcPr>
          <w:p w14:paraId="6E8740C5" w14:textId="77777777" w:rsidR="006B15D3" w:rsidRPr="00B2351F" w:rsidRDefault="006B15D3" w:rsidP="00220427">
            <w:pPr>
              <w:tabs>
                <w:tab w:val="left" w:pos="1080"/>
                <w:tab w:val="left" w:pos="6840"/>
              </w:tabs>
              <w:rPr>
                <w:rFonts w:ascii="Verdana" w:eastAsia="Malgun Gothic" w:hAnsi="Verdana" w:cs="Arial"/>
                <w:b/>
                <w:color w:val="366092"/>
                <w:sz w:val="18"/>
                <w:szCs w:val="18"/>
                <w:lang w:val="el-GR"/>
              </w:rPr>
            </w:pPr>
            <w:r w:rsidRPr="00B2351F">
              <w:rPr>
                <w:rFonts w:ascii="Verdana" w:eastAsia="Malgun Gothic" w:hAnsi="Verdana" w:cs="Arial"/>
                <w:b/>
                <w:color w:val="366092"/>
                <w:sz w:val="18"/>
                <w:szCs w:val="18"/>
                <w:lang w:val="el-GR"/>
              </w:rPr>
              <w:t>Σύνολο</w:t>
            </w:r>
          </w:p>
        </w:tc>
        <w:tc>
          <w:tcPr>
            <w:tcW w:w="1693" w:type="dxa"/>
            <w:tcBorders>
              <w:top w:val="single" w:sz="4" w:space="0" w:color="365F91"/>
            </w:tcBorders>
            <w:vAlign w:val="center"/>
          </w:tcPr>
          <w:p w14:paraId="55CCB8BB" w14:textId="77777777" w:rsidR="006B15D3" w:rsidRPr="00B2351F" w:rsidRDefault="006B15D3" w:rsidP="00220427">
            <w:pPr>
              <w:tabs>
                <w:tab w:val="left" w:pos="1080"/>
                <w:tab w:val="left" w:pos="6840"/>
              </w:tabs>
              <w:ind w:right="209"/>
              <w:jc w:val="center"/>
              <w:rPr>
                <w:rFonts w:ascii="Verdana" w:eastAsia="Malgun Gothic" w:hAnsi="Verdana" w:cs="Arial"/>
                <w:color w:val="366092"/>
                <w:sz w:val="18"/>
                <w:szCs w:val="18"/>
                <w:lang w:val="en-GB"/>
              </w:rPr>
            </w:pPr>
          </w:p>
        </w:tc>
        <w:tc>
          <w:tcPr>
            <w:tcW w:w="1717" w:type="dxa"/>
            <w:tcBorders>
              <w:top w:val="single" w:sz="4" w:space="0" w:color="365F91"/>
              <w:right w:val="nil"/>
            </w:tcBorders>
            <w:vAlign w:val="center"/>
          </w:tcPr>
          <w:p w14:paraId="29D7BED1" w14:textId="77777777" w:rsidR="006B15D3" w:rsidRPr="00B2351F" w:rsidRDefault="006B15D3" w:rsidP="00220427">
            <w:pPr>
              <w:tabs>
                <w:tab w:val="left" w:pos="1080"/>
                <w:tab w:val="left" w:pos="6840"/>
              </w:tabs>
              <w:ind w:right="206"/>
              <w:jc w:val="center"/>
              <w:rPr>
                <w:rFonts w:ascii="Verdana" w:eastAsia="Malgun Gothic" w:hAnsi="Verdana" w:cs="Arial"/>
                <w:color w:val="366092"/>
                <w:sz w:val="18"/>
                <w:szCs w:val="18"/>
                <w:lang w:val="en-GB"/>
              </w:rPr>
            </w:pPr>
          </w:p>
        </w:tc>
        <w:tc>
          <w:tcPr>
            <w:tcW w:w="260" w:type="dxa"/>
            <w:tcBorders>
              <w:top w:val="single" w:sz="4" w:space="0" w:color="365F91"/>
              <w:left w:val="nil"/>
              <w:bottom w:val="nil"/>
              <w:right w:val="nil"/>
            </w:tcBorders>
            <w:vAlign w:val="center"/>
          </w:tcPr>
          <w:p w14:paraId="54C02C72"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5F91"/>
              <w:left w:val="nil"/>
            </w:tcBorders>
            <w:vAlign w:val="center"/>
          </w:tcPr>
          <w:p w14:paraId="6B75E70E"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848" w:type="dxa"/>
            <w:tcBorders>
              <w:top w:val="single" w:sz="4" w:space="0" w:color="365F91"/>
            </w:tcBorders>
            <w:vAlign w:val="center"/>
          </w:tcPr>
          <w:p w14:paraId="252DF588" w14:textId="77777777" w:rsidR="006B15D3" w:rsidRPr="00B2351F" w:rsidRDefault="006B15D3" w:rsidP="00220427">
            <w:pPr>
              <w:tabs>
                <w:tab w:val="left" w:pos="1080"/>
                <w:tab w:val="left" w:pos="6840"/>
              </w:tabs>
              <w:jc w:val="center"/>
              <w:rPr>
                <w:rFonts w:ascii="Verdana" w:eastAsia="Malgun Gothic" w:hAnsi="Verdana" w:cs="Arial"/>
                <w:color w:val="366092"/>
                <w:sz w:val="18"/>
                <w:szCs w:val="18"/>
                <w:lang w:val="en-GB"/>
              </w:rPr>
            </w:pPr>
          </w:p>
        </w:tc>
      </w:tr>
      <w:tr w:rsidR="00B2351F" w:rsidRPr="00B2351F" w14:paraId="7EC2F072" w14:textId="77777777" w:rsidTr="00220427">
        <w:trPr>
          <w:trHeight w:val="374"/>
          <w:jc w:val="center"/>
        </w:trPr>
        <w:tc>
          <w:tcPr>
            <w:tcW w:w="2017" w:type="dxa"/>
            <w:vAlign w:val="center"/>
          </w:tcPr>
          <w:p w14:paraId="492CD042" w14:textId="701092CC" w:rsidR="006B15D3" w:rsidRPr="00B2351F" w:rsidRDefault="009E4DAF" w:rsidP="006B15D3">
            <w:pPr>
              <w:tabs>
                <w:tab w:val="left" w:pos="1080"/>
                <w:tab w:val="left" w:pos="6840"/>
              </w:tabs>
              <w:ind w:left="284"/>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006B15D3" w:rsidRPr="00B2351F">
              <w:rPr>
                <w:rFonts w:ascii="Verdana" w:eastAsia="Malgun Gothic" w:hAnsi="Verdana" w:cs="Arial"/>
                <w:color w:val="366092"/>
                <w:sz w:val="18"/>
                <w:szCs w:val="18"/>
                <w:vertAlign w:val="superscript"/>
                <w:lang w:val="el-GR"/>
              </w:rPr>
              <w:t>ο</w:t>
            </w:r>
            <w:r w:rsidR="006B15D3" w:rsidRPr="00B2351F">
              <w:rPr>
                <w:rFonts w:ascii="Verdana" w:eastAsia="Malgun Gothic" w:hAnsi="Verdana" w:cs="Arial"/>
                <w:color w:val="366092"/>
                <w:sz w:val="18"/>
                <w:szCs w:val="18"/>
                <w:lang w:val="el-GR"/>
              </w:rPr>
              <w:t xml:space="preserve"> Τρίμηνο 202</w:t>
            </w:r>
            <w:r w:rsidRPr="00B2351F">
              <w:rPr>
                <w:rFonts w:ascii="Verdana" w:eastAsia="Malgun Gothic" w:hAnsi="Verdana" w:cs="Arial"/>
                <w:color w:val="366092"/>
                <w:sz w:val="18"/>
                <w:szCs w:val="18"/>
              </w:rPr>
              <w:t>5</w:t>
            </w:r>
          </w:p>
        </w:tc>
        <w:tc>
          <w:tcPr>
            <w:tcW w:w="1693" w:type="dxa"/>
            <w:vAlign w:val="center"/>
          </w:tcPr>
          <w:p w14:paraId="573E3D08" w14:textId="310B20B1" w:rsidR="006B15D3" w:rsidRPr="00B2351F" w:rsidRDefault="006B15D3"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009E4DAF" w:rsidRPr="00B2351F">
              <w:rPr>
                <w:rFonts w:ascii="Verdana" w:eastAsia="Malgun Gothic" w:hAnsi="Verdana" w:cs="Arial"/>
                <w:color w:val="366092"/>
                <w:sz w:val="18"/>
                <w:szCs w:val="18"/>
              </w:rPr>
              <w:t>932</w:t>
            </w:r>
          </w:p>
        </w:tc>
        <w:tc>
          <w:tcPr>
            <w:tcW w:w="1717" w:type="dxa"/>
            <w:tcBorders>
              <w:right w:val="nil"/>
            </w:tcBorders>
            <w:vAlign w:val="center"/>
          </w:tcPr>
          <w:p w14:paraId="09B83992" w14:textId="3E10BAD5" w:rsidR="006B15D3" w:rsidRPr="00B2351F" w:rsidRDefault="006B15D3" w:rsidP="006B15D3">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2.</w:t>
            </w:r>
            <w:r w:rsidR="009E4DAF" w:rsidRPr="00B2351F">
              <w:rPr>
                <w:rFonts w:ascii="Verdana" w:eastAsia="Malgun Gothic" w:hAnsi="Verdana" w:cs="Arial"/>
                <w:color w:val="366092"/>
                <w:sz w:val="18"/>
                <w:szCs w:val="18"/>
              </w:rPr>
              <w:t>63</w:t>
            </w:r>
            <w:r w:rsidR="00371915" w:rsidRPr="00B2351F">
              <w:rPr>
                <w:rFonts w:ascii="Verdana" w:eastAsia="Malgun Gothic" w:hAnsi="Verdana" w:cs="Arial"/>
                <w:color w:val="366092"/>
                <w:sz w:val="18"/>
                <w:szCs w:val="18"/>
                <w:lang w:val="el-GR"/>
              </w:rPr>
              <w:t>4</w:t>
            </w:r>
          </w:p>
        </w:tc>
        <w:tc>
          <w:tcPr>
            <w:tcW w:w="260" w:type="dxa"/>
            <w:tcBorders>
              <w:left w:val="nil"/>
              <w:bottom w:val="nil"/>
              <w:right w:val="nil"/>
            </w:tcBorders>
            <w:vAlign w:val="center"/>
          </w:tcPr>
          <w:p w14:paraId="7B854B76" w14:textId="77777777" w:rsidR="006B15D3" w:rsidRPr="00B2351F" w:rsidRDefault="006B15D3" w:rsidP="006B15D3">
            <w:pPr>
              <w:jc w:val="center"/>
              <w:rPr>
                <w:rFonts w:ascii="Verdana" w:eastAsia="Malgun Gothic" w:hAnsi="Verdana" w:cs="Arial"/>
                <w:color w:val="366092"/>
                <w:sz w:val="18"/>
                <w:szCs w:val="18"/>
                <w:lang w:val="el-GR"/>
              </w:rPr>
            </w:pPr>
          </w:p>
        </w:tc>
        <w:tc>
          <w:tcPr>
            <w:tcW w:w="1911" w:type="dxa"/>
            <w:tcBorders>
              <w:left w:val="nil"/>
            </w:tcBorders>
            <w:vAlign w:val="center"/>
          </w:tcPr>
          <w:p w14:paraId="43ACDB43" w14:textId="728C7E73" w:rsidR="006B15D3" w:rsidRPr="00B2351F" w:rsidRDefault="009E4DAF"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006B15D3"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4</w:t>
            </w:r>
          </w:p>
        </w:tc>
        <w:tc>
          <w:tcPr>
            <w:tcW w:w="1848" w:type="dxa"/>
            <w:vAlign w:val="center"/>
          </w:tcPr>
          <w:p w14:paraId="59647AAC" w14:textId="77812E3D" w:rsidR="006B15D3" w:rsidRPr="00B2351F" w:rsidRDefault="006B15D3" w:rsidP="006B15D3">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1,</w:t>
            </w:r>
            <w:r w:rsidR="00371915" w:rsidRPr="00B2351F">
              <w:rPr>
                <w:rFonts w:ascii="Verdana" w:eastAsia="Malgun Gothic" w:hAnsi="Verdana" w:cs="Arial"/>
                <w:color w:val="366092"/>
                <w:sz w:val="18"/>
                <w:szCs w:val="18"/>
                <w:lang w:val="el-GR"/>
              </w:rPr>
              <w:t>1</w:t>
            </w:r>
          </w:p>
        </w:tc>
      </w:tr>
      <w:tr w:rsidR="00B2351F" w:rsidRPr="00B2351F" w14:paraId="51140B0B" w14:textId="77777777" w:rsidTr="00220427">
        <w:trPr>
          <w:trHeight w:val="374"/>
          <w:jc w:val="center"/>
        </w:trPr>
        <w:tc>
          <w:tcPr>
            <w:tcW w:w="2017" w:type="dxa"/>
            <w:vAlign w:val="center"/>
          </w:tcPr>
          <w:p w14:paraId="178F4F0F" w14:textId="1928F205" w:rsidR="006B15D3" w:rsidRPr="00B2351F" w:rsidRDefault="009E4DAF" w:rsidP="006B15D3">
            <w:pPr>
              <w:tabs>
                <w:tab w:val="left" w:pos="1080"/>
                <w:tab w:val="left" w:pos="6840"/>
              </w:tabs>
              <w:ind w:left="284"/>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3</w:t>
            </w:r>
            <w:r w:rsidR="006B15D3" w:rsidRPr="00B2351F">
              <w:rPr>
                <w:rFonts w:ascii="Verdana" w:eastAsia="Malgun Gothic" w:hAnsi="Verdana" w:cs="Arial"/>
                <w:color w:val="366092"/>
                <w:sz w:val="18"/>
                <w:szCs w:val="18"/>
                <w:vertAlign w:val="superscript"/>
                <w:lang w:val="el-GR"/>
              </w:rPr>
              <w:t>ο</w:t>
            </w:r>
            <w:r w:rsidR="006B15D3" w:rsidRPr="00B2351F">
              <w:rPr>
                <w:rFonts w:ascii="Verdana" w:eastAsia="Malgun Gothic" w:hAnsi="Verdana" w:cs="Arial"/>
                <w:color w:val="366092"/>
                <w:sz w:val="18"/>
                <w:szCs w:val="18"/>
                <w:lang w:val="el-GR"/>
              </w:rPr>
              <w:t xml:space="preserve"> Τρίμηνο 202</w:t>
            </w:r>
            <w:r w:rsidRPr="00B2351F">
              <w:rPr>
                <w:rFonts w:ascii="Verdana" w:eastAsia="Malgun Gothic" w:hAnsi="Verdana" w:cs="Arial"/>
                <w:color w:val="366092"/>
                <w:sz w:val="18"/>
                <w:szCs w:val="18"/>
              </w:rPr>
              <w:t>5</w:t>
            </w:r>
          </w:p>
        </w:tc>
        <w:tc>
          <w:tcPr>
            <w:tcW w:w="1693" w:type="dxa"/>
            <w:vAlign w:val="center"/>
          </w:tcPr>
          <w:p w14:paraId="6FD8BFD9" w14:textId="7BA101A3" w:rsidR="006B15D3" w:rsidRPr="00B2351F" w:rsidRDefault="006B15D3" w:rsidP="006B15D3">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2.</w:t>
            </w:r>
            <w:r w:rsidR="009E4DAF"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lang w:val="el-GR"/>
              </w:rPr>
              <w:t>52</w:t>
            </w:r>
          </w:p>
        </w:tc>
        <w:tc>
          <w:tcPr>
            <w:tcW w:w="1717" w:type="dxa"/>
            <w:tcBorders>
              <w:right w:val="nil"/>
            </w:tcBorders>
            <w:vAlign w:val="center"/>
          </w:tcPr>
          <w:p w14:paraId="6944DA05" w14:textId="660FC6B1" w:rsidR="006B15D3" w:rsidRPr="00B2351F" w:rsidRDefault="006B15D3"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009E4DAF" w:rsidRPr="00B2351F">
              <w:rPr>
                <w:rFonts w:ascii="Verdana" w:eastAsia="Malgun Gothic" w:hAnsi="Verdana" w:cs="Arial"/>
                <w:color w:val="366092"/>
                <w:sz w:val="18"/>
                <w:szCs w:val="18"/>
              </w:rPr>
              <w:t>606</w:t>
            </w:r>
          </w:p>
        </w:tc>
        <w:tc>
          <w:tcPr>
            <w:tcW w:w="260" w:type="dxa"/>
            <w:tcBorders>
              <w:left w:val="nil"/>
              <w:bottom w:val="nil"/>
              <w:right w:val="nil"/>
            </w:tcBorders>
            <w:vAlign w:val="center"/>
          </w:tcPr>
          <w:p w14:paraId="116CEB21" w14:textId="77777777" w:rsidR="006B15D3" w:rsidRPr="00B2351F" w:rsidRDefault="006B15D3" w:rsidP="006B15D3">
            <w:pPr>
              <w:jc w:val="center"/>
              <w:rPr>
                <w:rFonts w:ascii="Verdana" w:eastAsia="Malgun Gothic" w:hAnsi="Verdana" w:cs="Arial"/>
                <w:color w:val="366092"/>
                <w:sz w:val="18"/>
                <w:szCs w:val="18"/>
                <w:lang w:val="el-GR"/>
              </w:rPr>
            </w:pPr>
          </w:p>
        </w:tc>
        <w:tc>
          <w:tcPr>
            <w:tcW w:w="1911" w:type="dxa"/>
            <w:tcBorders>
              <w:left w:val="nil"/>
            </w:tcBorders>
            <w:vAlign w:val="center"/>
          </w:tcPr>
          <w:p w14:paraId="1A850764" w14:textId="7F46A190" w:rsidR="006B15D3" w:rsidRPr="00B2351F" w:rsidRDefault="009E4DAF"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006B15D3"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3</w:t>
            </w:r>
          </w:p>
        </w:tc>
        <w:tc>
          <w:tcPr>
            <w:tcW w:w="1848" w:type="dxa"/>
            <w:vAlign w:val="center"/>
          </w:tcPr>
          <w:p w14:paraId="7C7935DB" w14:textId="4AEE4738" w:rsidR="006B15D3" w:rsidRPr="00B2351F" w:rsidRDefault="006B15D3"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1,</w:t>
            </w:r>
            <w:r w:rsidR="009E4DAF" w:rsidRPr="00B2351F">
              <w:rPr>
                <w:rFonts w:ascii="Verdana" w:eastAsia="Malgun Gothic" w:hAnsi="Verdana" w:cs="Arial"/>
                <w:color w:val="366092"/>
                <w:sz w:val="18"/>
                <w:szCs w:val="18"/>
              </w:rPr>
              <w:t>1</w:t>
            </w:r>
          </w:p>
        </w:tc>
      </w:tr>
      <w:tr w:rsidR="00B2351F" w:rsidRPr="00B2351F" w14:paraId="1B915153" w14:textId="77777777" w:rsidTr="00220427">
        <w:trPr>
          <w:trHeight w:val="374"/>
          <w:jc w:val="center"/>
        </w:trPr>
        <w:tc>
          <w:tcPr>
            <w:tcW w:w="2017" w:type="dxa"/>
            <w:vAlign w:val="center"/>
          </w:tcPr>
          <w:p w14:paraId="08F881D6" w14:textId="771680D7" w:rsidR="006B15D3" w:rsidRPr="00B2351F" w:rsidRDefault="009E4DAF" w:rsidP="006B15D3">
            <w:pPr>
              <w:tabs>
                <w:tab w:val="left" w:pos="1080"/>
                <w:tab w:val="left" w:pos="6840"/>
              </w:tabs>
              <w:ind w:left="284"/>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006B15D3" w:rsidRPr="00B2351F">
              <w:rPr>
                <w:rFonts w:ascii="Verdana" w:eastAsia="Malgun Gothic" w:hAnsi="Verdana" w:cs="Arial"/>
                <w:color w:val="366092"/>
                <w:sz w:val="18"/>
                <w:szCs w:val="18"/>
                <w:vertAlign w:val="superscript"/>
                <w:lang w:val="el-GR"/>
              </w:rPr>
              <w:t>ο</w:t>
            </w:r>
            <w:r w:rsidR="006B15D3" w:rsidRPr="00B2351F">
              <w:rPr>
                <w:rFonts w:ascii="Verdana" w:eastAsia="Malgun Gothic" w:hAnsi="Verdana" w:cs="Arial"/>
                <w:color w:val="366092"/>
                <w:sz w:val="18"/>
                <w:szCs w:val="18"/>
                <w:lang w:val="el-GR"/>
              </w:rPr>
              <w:t xml:space="preserve"> Τρίμηνο 20</w:t>
            </w:r>
            <w:r w:rsidR="006B15D3" w:rsidRPr="00B2351F">
              <w:rPr>
                <w:rFonts w:ascii="Verdana" w:eastAsia="Malgun Gothic" w:hAnsi="Verdana" w:cs="Arial"/>
                <w:color w:val="366092"/>
                <w:sz w:val="18"/>
                <w:szCs w:val="18"/>
              </w:rPr>
              <w:t>2</w:t>
            </w:r>
            <w:r w:rsidRPr="00B2351F">
              <w:rPr>
                <w:rFonts w:ascii="Verdana" w:eastAsia="Malgun Gothic" w:hAnsi="Verdana" w:cs="Arial"/>
                <w:color w:val="366092"/>
                <w:sz w:val="18"/>
                <w:szCs w:val="18"/>
              </w:rPr>
              <w:t>4</w:t>
            </w:r>
          </w:p>
        </w:tc>
        <w:tc>
          <w:tcPr>
            <w:tcW w:w="1693" w:type="dxa"/>
            <w:vAlign w:val="center"/>
          </w:tcPr>
          <w:p w14:paraId="4099A43E" w14:textId="4F32DC42" w:rsidR="006B15D3" w:rsidRPr="00B2351F" w:rsidRDefault="006B15D3" w:rsidP="006B15D3">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2.8</w:t>
            </w:r>
            <w:r w:rsidR="009E4DAF" w:rsidRPr="00B2351F">
              <w:rPr>
                <w:rFonts w:ascii="Verdana" w:eastAsia="Malgun Gothic" w:hAnsi="Verdana" w:cs="Arial"/>
                <w:color w:val="366092"/>
                <w:sz w:val="18"/>
                <w:szCs w:val="18"/>
              </w:rPr>
              <w:t>1</w:t>
            </w:r>
            <w:r w:rsidRPr="00B2351F">
              <w:rPr>
                <w:rFonts w:ascii="Verdana" w:eastAsia="Malgun Gothic" w:hAnsi="Verdana" w:cs="Arial"/>
                <w:color w:val="366092"/>
                <w:sz w:val="18"/>
                <w:szCs w:val="18"/>
                <w:lang w:val="el-GR"/>
              </w:rPr>
              <w:t>0</w:t>
            </w:r>
          </w:p>
        </w:tc>
        <w:tc>
          <w:tcPr>
            <w:tcW w:w="1717" w:type="dxa"/>
            <w:tcBorders>
              <w:right w:val="nil"/>
            </w:tcBorders>
            <w:vAlign w:val="center"/>
          </w:tcPr>
          <w:p w14:paraId="613EAC86" w14:textId="01E0463B" w:rsidR="006B15D3" w:rsidRPr="00B2351F" w:rsidRDefault="006B15D3"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009E4DAF" w:rsidRPr="00B2351F">
              <w:rPr>
                <w:rFonts w:ascii="Verdana" w:eastAsia="Malgun Gothic" w:hAnsi="Verdana" w:cs="Arial"/>
                <w:color w:val="366092"/>
                <w:sz w:val="18"/>
                <w:szCs w:val="18"/>
              </w:rPr>
              <w:t>524</w:t>
            </w:r>
          </w:p>
        </w:tc>
        <w:tc>
          <w:tcPr>
            <w:tcW w:w="260" w:type="dxa"/>
            <w:tcBorders>
              <w:left w:val="nil"/>
              <w:bottom w:val="nil"/>
              <w:right w:val="nil"/>
            </w:tcBorders>
            <w:vAlign w:val="center"/>
          </w:tcPr>
          <w:p w14:paraId="3C6D6DE4" w14:textId="77777777" w:rsidR="006B15D3" w:rsidRPr="00B2351F" w:rsidRDefault="006B15D3" w:rsidP="006B15D3">
            <w:pPr>
              <w:jc w:val="center"/>
              <w:rPr>
                <w:rFonts w:ascii="Verdana" w:eastAsia="Malgun Gothic" w:hAnsi="Verdana" w:cs="Arial"/>
                <w:color w:val="366092"/>
                <w:sz w:val="18"/>
                <w:szCs w:val="18"/>
                <w:lang w:val="el-GR"/>
              </w:rPr>
            </w:pPr>
          </w:p>
        </w:tc>
        <w:tc>
          <w:tcPr>
            <w:tcW w:w="1911" w:type="dxa"/>
            <w:tcBorders>
              <w:left w:val="nil"/>
            </w:tcBorders>
            <w:vAlign w:val="center"/>
          </w:tcPr>
          <w:p w14:paraId="4D1D9C2B" w14:textId="5B257B53" w:rsidR="006B15D3" w:rsidRPr="00B2351F" w:rsidRDefault="009E4DAF"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006B15D3"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8</w:t>
            </w:r>
          </w:p>
        </w:tc>
        <w:tc>
          <w:tcPr>
            <w:tcW w:w="1848" w:type="dxa"/>
            <w:vAlign w:val="center"/>
          </w:tcPr>
          <w:p w14:paraId="03FCFD62" w14:textId="34AEA2DF" w:rsidR="006B15D3" w:rsidRPr="00B2351F" w:rsidRDefault="006B15D3" w:rsidP="006B15D3">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1,</w:t>
            </w:r>
            <w:r w:rsidR="009E4DAF" w:rsidRPr="00B2351F">
              <w:rPr>
                <w:rFonts w:ascii="Verdana" w:eastAsia="Malgun Gothic" w:hAnsi="Verdana" w:cs="Arial"/>
                <w:color w:val="366092"/>
                <w:sz w:val="18"/>
                <w:szCs w:val="18"/>
              </w:rPr>
              <w:t>0</w:t>
            </w:r>
          </w:p>
        </w:tc>
      </w:tr>
      <w:tr w:rsidR="00B2351F" w:rsidRPr="00B2351F" w14:paraId="25E5498E" w14:textId="77777777" w:rsidTr="00220427">
        <w:trPr>
          <w:trHeight w:hRule="exact" w:val="510"/>
          <w:jc w:val="center"/>
        </w:trPr>
        <w:tc>
          <w:tcPr>
            <w:tcW w:w="2017" w:type="dxa"/>
            <w:vAlign w:val="center"/>
          </w:tcPr>
          <w:p w14:paraId="30E9A3E3" w14:textId="77777777" w:rsidR="006B15D3" w:rsidRPr="00B2351F" w:rsidRDefault="006B15D3" w:rsidP="006B15D3">
            <w:pPr>
              <w:tabs>
                <w:tab w:val="left" w:pos="1080"/>
                <w:tab w:val="left" w:pos="6840"/>
              </w:tabs>
              <w:rPr>
                <w:rFonts w:ascii="Verdana" w:eastAsia="Malgun Gothic" w:hAnsi="Verdana" w:cs="Arial"/>
                <w:b/>
                <w:color w:val="366092"/>
                <w:sz w:val="18"/>
                <w:szCs w:val="18"/>
                <w:lang w:val="el-GR"/>
              </w:rPr>
            </w:pPr>
            <w:r w:rsidRPr="00B2351F">
              <w:rPr>
                <w:rFonts w:ascii="Verdana" w:eastAsia="Malgun Gothic" w:hAnsi="Verdana" w:cs="Arial"/>
                <w:b/>
                <w:color w:val="366092"/>
                <w:sz w:val="18"/>
                <w:szCs w:val="18"/>
                <w:lang w:val="el-GR"/>
              </w:rPr>
              <w:t>Άνδρες</w:t>
            </w:r>
          </w:p>
        </w:tc>
        <w:tc>
          <w:tcPr>
            <w:tcW w:w="1693" w:type="dxa"/>
            <w:vAlign w:val="center"/>
          </w:tcPr>
          <w:p w14:paraId="0E4100ED" w14:textId="77777777" w:rsidR="006B15D3" w:rsidRPr="00B2351F" w:rsidRDefault="006B15D3" w:rsidP="006B15D3">
            <w:pPr>
              <w:jc w:val="center"/>
              <w:rPr>
                <w:rFonts w:ascii="Verdana" w:eastAsia="Malgun Gothic" w:hAnsi="Verdana" w:cs="Arial"/>
                <w:color w:val="366092"/>
                <w:sz w:val="18"/>
                <w:szCs w:val="18"/>
                <w:lang w:val="el-GR"/>
              </w:rPr>
            </w:pPr>
          </w:p>
        </w:tc>
        <w:tc>
          <w:tcPr>
            <w:tcW w:w="1717" w:type="dxa"/>
            <w:tcBorders>
              <w:right w:val="nil"/>
            </w:tcBorders>
            <w:vAlign w:val="center"/>
          </w:tcPr>
          <w:p w14:paraId="6ECD462F" w14:textId="77777777" w:rsidR="006B15D3" w:rsidRPr="00B2351F" w:rsidRDefault="006B15D3" w:rsidP="006B15D3">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540A5ADB" w14:textId="77777777" w:rsidR="006B15D3" w:rsidRPr="00B2351F" w:rsidRDefault="006B15D3" w:rsidP="006B15D3">
            <w:pPr>
              <w:jc w:val="center"/>
              <w:rPr>
                <w:rFonts w:ascii="Verdana" w:eastAsia="Malgun Gothic" w:hAnsi="Verdana" w:cs="Arial"/>
                <w:color w:val="366092"/>
                <w:sz w:val="18"/>
                <w:szCs w:val="18"/>
                <w:lang w:val="el-GR"/>
              </w:rPr>
            </w:pPr>
          </w:p>
        </w:tc>
        <w:tc>
          <w:tcPr>
            <w:tcW w:w="1911" w:type="dxa"/>
            <w:tcBorders>
              <w:left w:val="nil"/>
            </w:tcBorders>
            <w:vAlign w:val="center"/>
          </w:tcPr>
          <w:p w14:paraId="2C4C5F0C" w14:textId="77777777" w:rsidR="006B15D3" w:rsidRPr="00B2351F" w:rsidRDefault="006B15D3" w:rsidP="006B15D3">
            <w:pPr>
              <w:jc w:val="center"/>
              <w:rPr>
                <w:rFonts w:ascii="Verdana" w:eastAsia="Malgun Gothic" w:hAnsi="Verdana" w:cs="Arial"/>
                <w:color w:val="366092"/>
                <w:sz w:val="18"/>
                <w:szCs w:val="18"/>
                <w:lang w:val="el-GR"/>
              </w:rPr>
            </w:pPr>
          </w:p>
        </w:tc>
        <w:tc>
          <w:tcPr>
            <w:tcW w:w="1848" w:type="dxa"/>
            <w:vAlign w:val="center"/>
          </w:tcPr>
          <w:p w14:paraId="08E720E3" w14:textId="77777777" w:rsidR="006B15D3" w:rsidRPr="00B2351F" w:rsidRDefault="006B15D3" w:rsidP="006B15D3">
            <w:pPr>
              <w:jc w:val="center"/>
              <w:rPr>
                <w:rFonts w:ascii="Verdana" w:eastAsia="Malgun Gothic" w:hAnsi="Verdana" w:cs="Arial"/>
                <w:color w:val="366092"/>
                <w:sz w:val="18"/>
                <w:szCs w:val="18"/>
                <w:lang w:val="el-GR"/>
              </w:rPr>
            </w:pPr>
          </w:p>
        </w:tc>
      </w:tr>
      <w:tr w:rsidR="00B2351F" w:rsidRPr="00B2351F" w14:paraId="01A7D1AF" w14:textId="77777777" w:rsidTr="00220427">
        <w:trPr>
          <w:trHeight w:val="374"/>
          <w:jc w:val="center"/>
        </w:trPr>
        <w:tc>
          <w:tcPr>
            <w:tcW w:w="2017" w:type="dxa"/>
            <w:vAlign w:val="center"/>
          </w:tcPr>
          <w:p w14:paraId="6843A30D" w14:textId="6F00A593" w:rsidR="009E4DAF" w:rsidRPr="00B2351F" w:rsidRDefault="009E4DAF" w:rsidP="009E4DAF">
            <w:pPr>
              <w:tabs>
                <w:tab w:val="left" w:pos="1080"/>
                <w:tab w:val="left" w:pos="6840"/>
              </w:tabs>
              <w:ind w:left="284"/>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vertAlign w:val="superscript"/>
                <w:lang w:val="el-GR"/>
              </w:rPr>
              <w:t>ο</w:t>
            </w:r>
            <w:r w:rsidRPr="00B2351F">
              <w:rPr>
                <w:rFonts w:ascii="Verdana" w:eastAsia="Malgun Gothic" w:hAnsi="Verdana" w:cs="Arial"/>
                <w:color w:val="366092"/>
                <w:sz w:val="18"/>
                <w:szCs w:val="18"/>
                <w:lang w:val="el-GR"/>
              </w:rPr>
              <w:t xml:space="preserve"> Τρίμηνο 202</w:t>
            </w:r>
            <w:r w:rsidRPr="00B2351F">
              <w:rPr>
                <w:rFonts w:ascii="Verdana" w:eastAsia="Malgun Gothic" w:hAnsi="Verdana" w:cs="Arial"/>
                <w:color w:val="366092"/>
                <w:sz w:val="18"/>
                <w:szCs w:val="18"/>
              </w:rPr>
              <w:t>5</w:t>
            </w:r>
          </w:p>
        </w:tc>
        <w:tc>
          <w:tcPr>
            <w:tcW w:w="1693" w:type="dxa"/>
            <w:vAlign w:val="center"/>
          </w:tcPr>
          <w:p w14:paraId="05D31B18" w14:textId="4267E1F2" w:rsidR="009E4DAF" w:rsidRPr="00B2351F" w:rsidRDefault="009E4DAF" w:rsidP="009E4DAF">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rPr>
              <w:t>3</w:t>
            </w:r>
            <w:r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10</w:t>
            </w:r>
            <w:r w:rsidR="00371915" w:rsidRPr="00B2351F">
              <w:rPr>
                <w:rFonts w:ascii="Verdana" w:eastAsia="Malgun Gothic" w:hAnsi="Verdana" w:cs="Arial"/>
                <w:color w:val="366092"/>
                <w:sz w:val="18"/>
                <w:szCs w:val="18"/>
                <w:lang w:val="el-GR"/>
              </w:rPr>
              <w:t>2</w:t>
            </w:r>
          </w:p>
        </w:tc>
        <w:tc>
          <w:tcPr>
            <w:tcW w:w="1717" w:type="dxa"/>
            <w:tcBorders>
              <w:right w:val="nil"/>
            </w:tcBorders>
            <w:vAlign w:val="center"/>
          </w:tcPr>
          <w:p w14:paraId="0EC31461" w14:textId="77752CE1" w:rsidR="009E4DAF" w:rsidRPr="00B2351F" w:rsidRDefault="009E4DAF" w:rsidP="009E4DAF">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81</w:t>
            </w:r>
            <w:r w:rsidR="00371915" w:rsidRPr="00B2351F">
              <w:rPr>
                <w:rFonts w:ascii="Verdana" w:eastAsia="Malgun Gothic" w:hAnsi="Verdana" w:cs="Arial"/>
                <w:color w:val="366092"/>
                <w:sz w:val="18"/>
                <w:szCs w:val="18"/>
                <w:lang w:val="el-GR"/>
              </w:rPr>
              <w:t>0</w:t>
            </w:r>
          </w:p>
        </w:tc>
        <w:tc>
          <w:tcPr>
            <w:tcW w:w="260" w:type="dxa"/>
            <w:tcBorders>
              <w:left w:val="nil"/>
              <w:bottom w:val="nil"/>
              <w:right w:val="nil"/>
            </w:tcBorders>
            <w:vAlign w:val="center"/>
          </w:tcPr>
          <w:p w14:paraId="6CF18A9A" w14:textId="77777777" w:rsidR="009E4DAF" w:rsidRPr="00B2351F" w:rsidRDefault="009E4DAF" w:rsidP="009E4DAF">
            <w:pPr>
              <w:jc w:val="center"/>
              <w:rPr>
                <w:rFonts w:ascii="Verdana" w:eastAsia="Malgun Gothic" w:hAnsi="Verdana" w:cs="Arial"/>
                <w:color w:val="366092"/>
                <w:sz w:val="18"/>
                <w:szCs w:val="18"/>
                <w:lang w:val="el-GR"/>
              </w:rPr>
            </w:pPr>
          </w:p>
        </w:tc>
        <w:tc>
          <w:tcPr>
            <w:tcW w:w="1911" w:type="dxa"/>
            <w:tcBorders>
              <w:left w:val="nil"/>
            </w:tcBorders>
            <w:vAlign w:val="center"/>
          </w:tcPr>
          <w:p w14:paraId="095F2D16" w14:textId="22697CCD"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4,</w:t>
            </w:r>
            <w:r w:rsidRPr="00B2351F">
              <w:rPr>
                <w:rFonts w:ascii="Verdana" w:eastAsia="Malgun Gothic" w:hAnsi="Verdana" w:cs="Arial"/>
                <w:color w:val="366092"/>
                <w:sz w:val="18"/>
                <w:szCs w:val="18"/>
              </w:rPr>
              <w:t>2</w:t>
            </w:r>
          </w:p>
        </w:tc>
        <w:tc>
          <w:tcPr>
            <w:tcW w:w="1848" w:type="dxa"/>
            <w:vAlign w:val="center"/>
          </w:tcPr>
          <w:p w14:paraId="23515147" w14:textId="59874549"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1,</w:t>
            </w:r>
            <w:r w:rsidRPr="00B2351F">
              <w:rPr>
                <w:rFonts w:ascii="Verdana" w:eastAsia="Malgun Gothic" w:hAnsi="Verdana" w:cs="Arial"/>
                <w:color w:val="366092"/>
                <w:sz w:val="18"/>
                <w:szCs w:val="18"/>
              </w:rPr>
              <w:t>1</w:t>
            </w:r>
          </w:p>
        </w:tc>
      </w:tr>
      <w:tr w:rsidR="00B2351F" w:rsidRPr="00B2351F" w14:paraId="28D1C68C" w14:textId="77777777" w:rsidTr="00220427">
        <w:trPr>
          <w:trHeight w:val="374"/>
          <w:jc w:val="center"/>
        </w:trPr>
        <w:tc>
          <w:tcPr>
            <w:tcW w:w="2017" w:type="dxa"/>
            <w:vAlign w:val="center"/>
          </w:tcPr>
          <w:p w14:paraId="1E23E597" w14:textId="62A52D3C" w:rsidR="009E4DAF" w:rsidRPr="00B2351F" w:rsidRDefault="009E4DAF" w:rsidP="009E4DAF">
            <w:pPr>
              <w:tabs>
                <w:tab w:val="left" w:pos="1080"/>
                <w:tab w:val="left" w:pos="6840"/>
              </w:tabs>
              <w:ind w:left="284"/>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rPr>
              <w:t>3</w:t>
            </w:r>
            <w:r w:rsidRPr="00B2351F">
              <w:rPr>
                <w:rFonts w:ascii="Verdana" w:eastAsia="Malgun Gothic" w:hAnsi="Verdana" w:cs="Arial"/>
                <w:color w:val="366092"/>
                <w:sz w:val="18"/>
                <w:szCs w:val="18"/>
                <w:vertAlign w:val="superscript"/>
                <w:lang w:val="el-GR"/>
              </w:rPr>
              <w:t>ο</w:t>
            </w:r>
            <w:r w:rsidRPr="00B2351F">
              <w:rPr>
                <w:rFonts w:ascii="Verdana" w:eastAsia="Malgun Gothic" w:hAnsi="Verdana" w:cs="Arial"/>
                <w:color w:val="366092"/>
                <w:sz w:val="18"/>
                <w:szCs w:val="18"/>
                <w:lang w:val="el-GR"/>
              </w:rPr>
              <w:t xml:space="preserve"> Τρίμηνο 202</w:t>
            </w:r>
            <w:r w:rsidRPr="00B2351F">
              <w:rPr>
                <w:rFonts w:ascii="Verdana" w:eastAsia="Malgun Gothic" w:hAnsi="Verdana" w:cs="Arial"/>
                <w:color w:val="366092"/>
                <w:sz w:val="18"/>
                <w:szCs w:val="18"/>
              </w:rPr>
              <w:t>5</w:t>
            </w:r>
          </w:p>
        </w:tc>
        <w:tc>
          <w:tcPr>
            <w:tcW w:w="1693" w:type="dxa"/>
            <w:vAlign w:val="center"/>
          </w:tcPr>
          <w:p w14:paraId="622BA27A" w14:textId="37CA63D0"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622</w:t>
            </w:r>
          </w:p>
        </w:tc>
        <w:tc>
          <w:tcPr>
            <w:tcW w:w="1717" w:type="dxa"/>
            <w:tcBorders>
              <w:right w:val="nil"/>
            </w:tcBorders>
            <w:vAlign w:val="center"/>
          </w:tcPr>
          <w:p w14:paraId="3F0518BF" w14:textId="2510433E" w:rsidR="009E4DAF" w:rsidRPr="00B2351F" w:rsidRDefault="009E4DAF" w:rsidP="009E4DAF">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7</w:t>
            </w:r>
            <w:r w:rsidR="00371915" w:rsidRPr="00B2351F">
              <w:rPr>
                <w:rFonts w:ascii="Verdana" w:eastAsia="Malgun Gothic" w:hAnsi="Verdana" w:cs="Arial"/>
                <w:color w:val="366092"/>
                <w:sz w:val="18"/>
                <w:szCs w:val="18"/>
                <w:lang w:val="el-GR"/>
              </w:rPr>
              <w:t>79</w:t>
            </w:r>
          </w:p>
        </w:tc>
        <w:tc>
          <w:tcPr>
            <w:tcW w:w="260" w:type="dxa"/>
            <w:tcBorders>
              <w:left w:val="nil"/>
              <w:bottom w:val="nil"/>
              <w:right w:val="nil"/>
            </w:tcBorders>
            <w:vAlign w:val="center"/>
          </w:tcPr>
          <w:p w14:paraId="41932144" w14:textId="77777777" w:rsidR="009E4DAF" w:rsidRPr="00B2351F" w:rsidRDefault="009E4DAF" w:rsidP="009E4DAF">
            <w:pPr>
              <w:jc w:val="center"/>
              <w:rPr>
                <w:rFonts w:ascii="Verdana" w:eastAsia="Malgun Gothic" w:hAnsi="Verdana" w:cs="Arial"/>
                <w:color w:val="366092"/>
                <w:sz w:val="18"/>
                <w:szCs w:val="18"/>
                <w:lang w:val="el-GR"/>
              </w:rPr>
            </w:pPr>
          </w:p>
        </w:tc>
        <w:tc>
          <w:tcPr>
            <w:tcW w:w="1911" w:type="dxa"/>
            <w:tcBorders>
              <w:left w:val="nil"/>
            </w:tcBorders>
            <w:vAlign w:val="center"/>
          </w:tcPr>
          <w:p w14:paraId="44700B4A" w14:textId="3BC62D62"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3</w:t>
            </w:r>
            <w:r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8</w:t>
            </w:r>
          </w:p>
        </w:tc>
        <w:tc>
          <w:tcPr>
            <w:tcW w:w="1848" w:type="dxa"/>
            <w:vAlign w:val="center"/>
          </w:tcPr>
          <w:p w14:paraId="196DEAB4" w14:textId="5CE1E83A"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1,</w:t>
            </w:r>
            <w:r w:rsidRPr="00B2351F">
              <w:rPr>
                <w:rFonts w:ascii="Verdana" w:eastAsia="Malgun Gothic" w:hAnsi="Verdana" w:cs="Arial"/>
                <w:color w:val="366092"/>
                <w:sz w:val="18"/>
                <w:szCs w:val="18"/>
              </w:rPr>
              <w:t>0</w:t>
            </w:r>
          </w:p>
        </w:tc>
      </w:tr>
      <w:tr w:rsidR="00B2351F" w:rsidRPr="00B2351F" w14:paraId="0C737B52" w14:textId="77777777" w:rsidTr="00220427">
        <w:trPr>
          <w:trHeight w:val="374"/>
          <w:jc w:val="center"/>
        </w:trPr>
        <w:tc>
          <w:tcPr>
            <w:tcW w:w="2017" w:type="dxa"/>
            <w:vAlign w:val="center"/>
          </w:tcPr>
          <w:p w14:paraId="12BAA375" w14:textId="2A603DF2" w:rsidR="009E4DAF" w:rsidRPr="00B2351F" w:rsidRDefault="009E4DAF" w:rsidP="009E4DAF">
            <w:pPr>
              <w:tabs>
                <w:tab w:val="left" w:pos="1080"/>
                <w:tab w:val="left" w:pos="6840"/>
              </w:tabs>
              <w:ind w:left="284"/>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vertAlign w:val="superscript"/>
                <w:lang w:val="el-GR"/>
              </w:rPr>
              <w:t>ο</w:t>
            </w:r>
            <w:r w:rsidRPr="00B2351F">
              <w:rPr>
                <w:rFonts w:ascii="Verdana" w:eastAsia="Malgun Gothic" w:hAnsi="Verdana" w:cs="Arial"/>
                <w:color w:val="366092"/>
                <w:sz w:val="18"/>
                <w:szCs w:val="18"/>
                <w:lang w:val="el-GR"/>
              </w:rPr>
              <w:t xml:space="preserve"> Τρίμηνο 20</w:t>
            </w:r>
            <w:r w:rsidRPr="00B2351F">
              <w:rPr>
                <w:rFonts w:ascii="Verdana" w:eastAsia="Malgun Gothic" w:hAnsi="Verdana" w:cs="Arial"/>
                <w:color w:val="366092"/>
                <w:sz w:val="18"/>
                <w:szCs w:val="18"/>
              </w:rPr>
              <w:t>24</w:t>
            </w:r>
          </w:p>
        </w:tc>
        <w:tc>
          <w:tcPr>
            <w:tcW w:w="1693" w:type="dxa"/>
            <w:vAlign w:val="center"/>
          </w:tcPr>
          <w:p w14:paraId="1D1D74A1" w14:textId="77A0F363"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977</w:t>
            </w:r>
          </w:p>
        </w:tc>
        <w:tc>
          <w:tcPr>
            <w:tcW w:w="1717" w:type="dxa"/>
            <w:tcBorders>
              <w:right w:val="nil"/>
            </w:tcBorders>
            <w:vAlign w:val="center"/>
          </w:tcPr>
          <w:p w14:paraId="0E101603" w14:textId="40D8F7D7"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697</w:t>
            </w:r>
          </w:p>
        </w:tc>
        <w:tc>
          <w:tcPr>
            <w:tcW w:w="260" w:type="dxa"/>
            <w:tcBorders>
              <w:left w:val="nil"/>
              <w:bottom w:val="nil"/>
              <w:right w:val="nil"/>
            </w:tcBorders>
            <w:vAlign w:val="center"/>
          </w:tcPr>
          <w:p w14:paraId="1A293C8C" w14:textId="77777777" w:rsidR="009E4DAF" w:rsidRPr="00B2351F" w:rsidRDefault="009E4DAF" w:rsidP="009E4DAF">
            <w:pPr>
              <w:jc w:val="center"/>
              <w:rPr>
                <w:rFonts w:ascii="Verdana" w:eastAsia="Malgun Gothic" w:hAnsi="Verdana" w:cs="Arial"/>
                <w:color w:val="366092"/>
                <w:sz w:val="18"/>
                <w:szCs w:val="18"/>
                <w:lang w:val="el-GR"/>
              </w:rPr>
            </w:pPr>
          </w:p>
        </w:tc>
        <w:tc>
          <w:tcPr>
            <w:tcW w:w="1911" w:type="dxa"/>
            <w:tcBorders>
              <w:left w:val="nil"/>
            </w:tcBorders>
            <w:vAlign w:val="center"/>
          </w:tcPr>
          <w:p w14:paraId="3B0476F7" w14:textId="3E01FB4B"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2</w:t>
            </w:r>
          </w:p>
        </w:tc>
        <w:tc>
          <w:tcPr>
            <w:tcW w:w="1848" w:type="dxa"/>
            <w:vAlign w:val="center"/>
          </w:tcPr>
          <w:p w14:paraId="3554ACBC" w14:textId="4EE8AD88"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0</w:t>
            </w:r>
            <w:r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7</w:t>
            </w:r>
          </w:p>
        </w:tc>
      </w:tr>
      <w:tr w:rsidR="00B2351F" w:rsidRPr="00B2351F" w14:paraId="05CC7F7B" w14:textId="77777777" w:rsidTr="00220427">
        <w:trPr>
          <w:trHeight w:hRule="exact" w:val="510"/>
          <w:jc w:val="center"/>
        </w:trPr>
        <w:tc>
          <w:tcPr>
            <w:tcW w:w="2017" w:type="dxa"/>
            <w:vAlign w:val="center"/>
          </w:tcPr>
          <w:p w14:paraId="454EB628" w14:textId="77777777" w:rsidR="006B15D3" w:rsidRPr="00B2351F" w:rsidRDefault="006B15D3" w:rsidP="006B15D3">
            <w:pPr>
              <w:tabs>
                <w:tab w:val="left" w:pos="1080"/>
                <w:tab w:val="left" w:pos="6840"/>
              </w:tabs>
              <w:rPr>
                <w:rFonts w:ascii="Verdana" w:eastAsia="Malgun Gothic" w:hAnsi="Verdana" w:cs="Arial"/>
                <w:b/>
                <w:color w:val="366092"/>
                <w:sz w:val="18"/>
                <w:szCs w:val="18"/>
                <w:lang w:val="el-GR"/>
              </w:rPr>
            </w:pPr>
            <w:r w:rsidRPr="00B2351F">
              <w:rPr>
                <w:rFonts w:ascii="Verdana" w:eastAsia="Malgun Gothic" w:hAnsi="Verdana" w:cs="Arial"/>
                <w:b/>
                <w:color w:val="366092"/>
                <w:sz w:val="18"/>
                <w:szCs w:val="18"/>
                <w:lang w:val="el-GR"/>
              </w:rPr>
              <w:t>Γυναίκες</w:t>
            </w:r>
          </w:p>
        </w:tc>
        <w:tc>
          <w:tcPr>
            <w:tcW w:w="1693" w:type="dxa"/>
            <w:vAlign w:val="center"/>
          </w:tcPr>
          <w:p w14:paraId="77AEED4D" w14:textId="77777777" w:rsidR="006B15D3" w:rsidRPr="00B2351F" w:rsidRDefault="006B15D3" w:rsidP="006B15D3">
            <w:pPr>
              <w:jc w:val="center"/>
              <w:rPr>
                <w:rFonts w:ascii="Verdana" w:eastAsia="Malgun Gothic" w:hAnsi="Verdana" w:cs="Arial"/>
                <w:color w:val="366092"/>
                <w:sz w:val="18"/>
                <w:szCs w:val="18"/>
                <w:lang w:val="el-GR"/>
              </w:rPr>
            </w:pPr>
          </w:p>
        </w:tc>
        <w:tc>
          <w:tcPr>
            <w:tcW w:w="1717" w:type="dxa"/>
            <w:tcBorders>
              <w:right w:val="nil"/>
            </w:tcBorders>
            <w:vAlign w:val="center"/>
          </w:tcPr>
          <w:p w14:paraId="0CD29BD6" w14:textId="77777777" w:rsidR="006B15D3" w:rsidRPr="00B2351F" w:rsidRDefault="006B15D3" w:rsidP="006B15D3">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06B113C6" w14:textId="77777777" w:rsidR="006B15D3" w:rsidRPr="00B2351F" w:rsidRDefault="006B15D3" w:rsidP="006B15D3">
            <w:pPr>
              <w:jc w:val="center"/>
              <w:rPr>
                <w:rFonts w:ascii="Verdana" w:eastAsia="Malgun Gothic" w:hAnsi="Verdana" w:cs="Arial"/>
                <w:color w:val="366092"/>
                <w:sz w:val="18"/>
                <w:szCs w:val="18"/>
                <w:lang w:val="el-GR"/>
              </w:rPr>
            </w:pPr>
          </w:p>
        </w:tc>
        <w:tc>
          <w:tcPr>
            <w:tcW w:w="1911" w:type="dxa"/>
            <w:tcBorders>
              <w:left w:val="nil"/>
            </w:tcBorders>
            <w:vAlign w:val="center"/>
          </w:tcPr>
          <w:p w14:paraId="52503ACA" w14:textId="77777777" w:rsidR="006B15D3" w:rsidRPr="00B2351F" w:rsidRDefault="006B15D3" w:rsidP="006B15D3">
            <w:pPr>
              <w:jc w:val="center"/>
              <w:rPr>
                <w:rFonts w:ascii="Verdana" w:eastAsia="Malgun Gothic" w:hAnsi="Verdana" w:cs="Arial"/>
                <w:color w:val="366092"/>
                <w:sz w:val="18"/>
                <w:szCs w:val="18"/>
                <w:lang w:val="el-GR"/>
              </w:rPr>
            </w:pPr>
          </w:p>
        </w:tc>
        <w:tc>
          <w:tcPr>
            <w:tcW w:w="1848" w:type="dxa"/>
            <w:vAlign w:val="center"/>
          </w:tcPr>
          <w:p w14:paraId="6AEC497F" w14:textId="77777777" w:rsidR="006B15D3" w:rsidRPr="00B2351F" w:rsidRDefault="006B15D3" w:rsidP="006B15D3">
            <w:pPr>
              <w:jc w:val="center"/>
              <w:rPr>
                <w:rFonts w:ascii="Verdana" w:eastAsia="Malgun Gothic" w:hAnsi="Verdana" w:cs="Arial"/>
                <w:color w:val="366092"/>
                <w:sz w:val="18"/>
                <w:szCs w:val="18"/>
                <w:lang w:val="el-GR"/>
              </w:rPr>
            </w:pPr>
          </w:p>
        </w:tc>
      </w:tr>
      <w:tr w:rsidR="00B2351F" w:rsidRPr="00B2351F" w14:paraId="45AB2814" w14:textId="77777777" w:rsidTr="00220427">
        <w:trPr>
          <w:trHeight w:val="312"/>
          <w:jc w:val="center"/>
        </w:trPr>
        <w:tc>
          <w:tcPr>
            <w:tcW w:w="2017" w:type="dxa"/>
            <w:vAlign w:val="center"/>
          </w:tcPr>
          <w:p w14:paraId="11434C5B" w14:textId="7B0B379B" w:rsidR="009E4DAF" w:rsidRPr="00B2351F" w:rsidRDefault="009E4DAF" w:rsidP="009E4DAF">
            <w:pPr>
              <w:tabs>
                <w:tab w:val="left" w:pos="1080"/>
                <w:tab w:val="left" w:pos="6840"/>
              </w:tabs>
              <w:ind w:left="284"/>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vertAlign w:val="superscript"/>
                <w:lang w:val="el-GR"/>
              </w:rPr>
              <w:t>ο</w:t>
            </w:r>
            <w:r w:rsidRPr="00B2351F">
              <w:rPr>
                <w:rFonts w:ascii="Verdana" w:eastAsia="Malgun Gothic" w:hAnsi="Verdana" w:cs="Arial"/>
                <w:color w:val="366092"/>
                <w:sz w:val="18"/>
                <w:szCs w:val="18"/>
                <w:lang w:val="el-GR"/>
              </w:rPr>
              <w:t xml:space="preserve"> Τρίμηνο 202</w:t>
            </w:r>
            <w:r w:rsidRPr="00B2351F">
              <w:rPr>
                <w:rFonts w:ascii="Verdana" w:eastAsia="Malgun Gothic" w:hAnsi="Verdana" w:cs="Arial"/>
                <w:color w:val="366092"/>
                <w:sz w:val="18"/>
                <w:szCs w:val="18"/>
              </w:rPr>
              <w:t>5</w:t>
            </w:r>
          </w:p>
        </w:tc>
        <w:tc>
          <w:tcPr>
            <w:tcW w:w="1693" w:type="dxa"/>
            <w:vAlign w:val="center"/>
          </w:tcPr>
          <w:p w14:paraId="5DD4FB26" w14:textId="4E3EFC0C" w:rsidR="009E4DAF" w:rsidRPr="00B2351F" w:rsidRDefault="009E4DAF" w:rsidP="009E4DAF">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71</w:t>
            </w:r>
            <w:r w:rsidR="000C72DE" w:rsidRPr="00B2351F">
              <w:rPr>
                <w:rFonts w:ascii="Verdana" w:eastAsia="Malgun Gothic" w:hAnsi="Verdana" w:cs="Arial"/>
                <w:color w:val="366092"/>
                <w:sz w:val="18"/>
                <w:szCs w:val="18"/>
                <w:lang w:val="el-GR"/>
              </w:rPr>
              <w:t>8</w:t>
            </w:r>
          </w:p>
        </w:tc>
        <w:tc>
          <w:tcPr>
            <w:tcW w:w="1717" w:type="dxa"/>
            <w:tcBorders>
              <w:right w:val="nil"/>
            </w:tcBorders>
            <w:vAlign w:val="center"/>
          </w:tcPr>
          <w:p w14:paraId="4EB3D491" w14:textId="117909F5"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lang w:val="el-GR"/>
              </w:rPr>
              <w:t>1</w:t>
            </w:r>
            <w:r w:rsidR="000C72DE" w:rsidRPr="00B2351F">
              <w:rPr>
                <w:rFonts w:ascii="Verdana" w:eastAsia="Malgun Gothic" w:hAnsi="Verdana" w:cs="Arial"/>
                <w:color w:val="366092"/>
                <w:sz w:val="18"/>
                <w:szCs w:val="18"/>
                <w:lang w:val="el-GR"/>
              </w:rPr>
              <w:t>1</w:t>
            </w:r>
          </w:p>
        </w:tc>
        <w:tc>
          <w:tcPr>
            <w:tcW w:w="260" w:type="dxa"/>
            <w:tcBorders>
              <w:left w:val="nil"/>
              <w:bottom w:val="nil"/>
              <w:right w:val="nil"/>
            </w:tcBorders>
            <w:vAlign w:val="center"/>
          </w:tcPr>
          <w:p w14:paraId="63EEB0DD" w14:textId="77777777" w:rsidR="009E4DAF" w:rsidRPr="00B2351F" w:rsidRDefault="009E4DAF" w:rsidP="009E4DAF">
            <w:pPr>
              <w:jc w:val="center"/>
              <w:rPr>
                <w:rFonts w:ascii="Verdana" w:eastAsia="Malgun Gothic" w:hAnsi="Verdana" w:cs="Arial"/>
                <w:color w:val="366092"/>
                <w:sz w:val="18"/>
                <w:szCs w:val="18"/>
                <w:lang w:val="el-GR"/>
              </w:rPr>
            </w:pPr>
          </w:p>
        </w:tc>
        <w:tc>
          <w:tcPr>
            <w:tcW w:w="1911" w:type="dxa"/>
            <w:tcBorders>
              <w:left w:val="nil"/>
            </w:tcBorders>
            <w:vAlign w:val="center"/>
          </w:tcPr>
          <w:p w14:paraId="57040798" w14:textId="1F6CF179"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lang w:val="el-GR"/>
              </w:rPr>
              <w:t>,</w:t>
            </w:r>
            <w:r w:rsidR="000C72DE" w:rsidRPr="00B2351F">
              <w:rPr>
                <w:rFonts w:ascii="Verdana" w:eastAsia="Malgun Gothic" w:hAnsi="Verdana" w:cs="Arial"/>
                <w:color w:val="366092"/>
                <w:sz w:val="18"/>
                <w:szCs w:val="18"/>
                <w:lang w:val="el-GR"/>
              </w:rPr>
              <w:t>5</w:t>
            </w:r>
          </w:p>
        </w:tc>
        <w:tc>
          <w:tcPr>
            <w:tcW w:w="1848" w:type="dxa"/>
            <w:vAlign w:val="center"/>
          </w:tcPr>
          <w:p w14:paraId="50A42EFB" w14:textId="74D8635D"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1,</w:t>
            </w:r>
            <w:r w:rsidRPr="00B2351F">
              <w:rPr>
                <w:rFonts w:ascii="Verdana" w:eastAsia="Malgun Gothic" w:hAnsi="Verdana" w:cs="Arial"/>
                <w:color w:val="366092"/>
                <w:sz w:val="18"/>
                <w:szCs w:val="18"/>
              </w:rPr>
              <w:t>0</w:t>
            </w:r>
          </w:p>
        </w:tc>
      </w:tr>
      <w:tr w:rsidR="00B2351F" w:rsidRPr="00B2351F" w14:paraId="711B8DDC" w14:textId="77777777" w:rsidTr="00220427">
        <w:trPr>
          <w:trHeight w:val="374"/>
          <w:jc w:val="center"/>
        </w:trPr>
        <w:tc>
          <w:tcPr>
            <w:tcW w:w="2017" w:type="dxa"/>
            <w:vAlign w:val="center"/>
          </w:tcPr>
          <w:p w14:paraId="522D5963" w14:textId="45122B8B" w:rsidR="009E4DAF" w:rsidRPr="00B2351F" w:rsidRDefault="009E4DAF" w:rsidP="009E4DAF">
            <w:pPr>
              <w:tabs>
                <w:tab w:val="left" w:pos="1080"/>
                <w:tab w:val="left" w:pos="6840"/>
              </w:tabs>
              <w:ind w:left="284"/>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rPr>
              <w:t>3</w:t>
            </w:r>
            <w:r w:rsidRPr="00B2351F">
              <w:rPr>
                <w:rFonts w:ascii="Verdana" w:eastAsia="Malgun Gothic" w:hAnsi="Verdana" w:cs="Arial"/>
                <w:color w:val="366092"/>
                <w:sz w:val="18"/>
                <w:szCs w:val="18"/>
                <w:vertAlign w:val="superscript"/>
                <w:lang w:val="el-GR"/>
              </w:rPr>
              <w:t>ο</w:t>
            </w:r>
            <w:r w:rsidRPr="00B2351F">
              <w:rPr>
                <w:rFonts w:ascii="Verdana" w:eastAsia="Malgun Gothic" w:hAnsi="Verdana" w:cs="Arial"/>
                <w:color w:val="366092"/>
                <w:sz w:val="18"/>
                <w:szCs w:val="18"/>
                <w:lang w:val="el-GR"/>
              </w:rPr>
              <w:t xml:space="preserve"> Τρίμηνο 202</w:t>
            </w:r>
            <w:r w:rsidRPr="00B2351F">
              <w:rPr>
                <w:rFonts w:ascii="Verdana" w:eastAsia="Malgun Gothic" w:hAnsi="Verdana" w:cs="Arial"/>
                <w:color w:val="366092"/>
                <w:sz w:val="18"/>
                <w:szCs w:val="18"/>
              </w:rPr>
              <w:t>5</w:t>
            </w:r>
          </w:p>
        </w:tc>
        <w:tc>
          <w:tcPr>
            <w:tcW w:w="1693" w:type="dxa"/>
            <w:vAlign w:val="center"/>
          </w:tcPr>
          <w:p w14:paraId="30CB07CD" w14:textId="0AAD1074"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238</w:t>
            </w:r>
          </w:p>
        </w:tc>
        <w:tc>
          <w:tcPr>
            <w:tcW w:w="1717" w:type="dxa"/>
            <w:tcBorders>
              <w:right w:val="nil"/>
            </w:tcBorders>
            <w:vAlign w:val="center"/>
          </w:tcPr>
          <w:p w14:paraId="77F71F55" w14:textId="606C86CD"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w:t>
            </w:r>
            <w:r w:rsidRPr="00B2351F">
              <w:rPr>
                <w:rFonts w:ascii="Verdana" w:eastAsia="Malgun Gothic" w:hAnsi="Verdana" w:cs="Arial"/>
                <w:color w:val="366092"/>
                <w:sz w:val="18"/>
                <w:szCs w:val="18"/>
              </w:rPr>
              <w:t>386</w:t>
            </w:r>
          </w:p>
        </w:tc>
        <w:tc>
          <w:tcPr>
            <w:tcW w:w="260" w:type="dxa"/>
            <w:tcBorders>
              <w:left w:val="nil"/>
              <w:bottom w:val="nil"/>
              <w:right w:val="nil"/>
            </w:tcBorders>
            <w:vAlign w:val="center"/>
          </w:tcPr>
          <w:p w14:paraId="5E79F43E" w14:textId="77777777" w:rsidR="009E4DAF" w:rsidRPr="00B2351F" w:rsidRDefault="009E4DAF" w:rsidP="009E4DAF">
            <w:pPr>
              <w:jc w:val="center"/>
              <w:rPr>
                <w:rFonts w:ascii="Verdana" w:eastAsia="Malgun Gothic" w:hAnsi="Verdana" w:cs="Arial"/>
                <w:color w:val="366092"/>
                <w:sz w:val="18"/>
                <w:szCs w:val="18"/>
                <w:lang w:val="el-GR"/>
              </w:rPr>
            </w:pPr>
          </w:p>
        </w:tc>
        <w:tc>
          <w:tcPr>
            <w:tcW w:w="1911" w:type="dxa"/>
            <w:tcBorders>
              <w:left w:val="nil"/>
            </w:tcBorders>
            <w:vAlign w:val="center"/>
          </w:tcPr>
          <w:p w14:paraId="079BCBD0" w14:textId="66154D5D"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lang w:val="el-GR"/>
              </w:rPr>
              <w:t>,</w:t>
            </w:r>
            <w:r w:rsidRPr="00B2351F">
              <w:rPr>
                <w:rFonts w:ascii="Verdana" w:eastAsia="Malgun Gothic" w:hAnsi="Verdana" w:cs="Arial"/>
                <w:color w:val="366092"/>
                <w:sz w:val="18"/>
                <w:szCs w:val="18"/>
              </w:rPr>
              <w:t>9</w:t>
            </w:r>
          </w:p>
        </w:tc>
        <w:tc>
          <w:tcPr>
            <w:tcW w:w="1848" w:type="dxa"/>
            <w:vAlign w:val="center"/>
          </w:tcPr>
          <w:p w14:paraId="7EE6A381" w14:textId="446481F9"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1,</w:t>
            </w:r>
            <w:r w:rsidRPr="00B2351F">
              <w:rPr>
                <w:rFonts w:ascii="Verdana" w:eastAsia="Malgun Gothic" w:hAnsi="Verdana" w:cs="Arial"/>
                <w:color w:val="366092"/>
                <w:sz w:val="18"/>
                <w:szCs w:val="18"/>
              </w:rPr>
              <w:t>2</w:t>
            </w:r>
          </w:p>
        </w:tc>
      </w:tr>
      <w:tr w:rsidR="00B2351F" w:rsidRPr="00B2351F" w14:paraId="2FDF2304" w14:textId="77777777" w:rsidTr="00220427">
        <w:trPr>
          <w:trHeight w:val="374"/>
          <w:jc w:val="center"/>
        </w:trPr>
        <w:tc>
          <w:tcPr>
            <w:tcW w:w="2017" w:type="dxa"/>
            <w:vAlign w:val="center"/>
          </w:tcPr>
          <w:p w14:paraId="491E36D2" w14:textId="2F6936B6" w:rsidR="009E4DAF" w:rsidRPr="00B2351F" w:rsidRDefault="009E4DAF" w:rsidP="009E4DAF">
            <w:pPr>
              <w:tabs>
                <w:tab w:val="left" w:pos="1080"/>
                <w:tab w:val="left" w:pos="6840"/>
              </w:tabs>
              <w:ind w:left="284"/>
              <w:jc w:val="center"/>
              <w:rPr>
                <w:rFonts w:ascii="Verdana" w:eastAsia="Malgun Gothic" w:hAnsi="Verdana" w:cs="Arial"/>
                <w:color w:val="366092"/>
                <w:sz w:val="18"/>
                <w:szCs w:val="18"/>
              </w:rPr>
            </w:pPr>
            <w:r w:rsidRPr="00B2351F">
              <w:rPr>
                <w:rFonts w:ascii="Verdana" w:eastAsia="Malgun Gothic" w:hAnsi="Verdana" w:cs="Arial"/>
                <w:color w:val="366092"/>
                <w:sz w:val="18"/>
                <w:szCs w:val="18"/>
              </w:rPr>
              <w:t>4</w:t>
            </w:r>
            <w:r w:rsidRPr="00B2351F">
              <w:rPr>
                <w:rFonts w:ascii="Verdana" w:eastAsia="Malgun Gothic" w:hAnsi="Verdana" w:cs="Arial"/>
                <w:color w:val="366092"/>
                <w:sz w:val="18"/>
                <w:szCs w:val="18"/>
                <w:vertAlign w:val="superscript"/>
                <w:lang w:val="el-GR"/>
              </w:rPr>
              <w:t>ο</w:t>
            </w:r>
            <w:r w:rsidRPr="00B2351F">
              <w:rPr>
                <w:rFonts w:ascii="Verdana" w:eastAsia="Malgun Gothic" w:hAnsi="Verdana" w:cs="Arial"/>
                <w:color w:val="366092"/>
                <w:sz w:val="18"/>
                <w:szCs w:val="18"/>
                <w:lang w:val="el-GR"/>
              </w:rPr>
              <w:t xml:space="preserve"> Τρίμηνο 20</w:t>
            </w:r>
            <w:r w:rsidRPr="00B2351F">
              <w:rPr>
                <w:rFonts w:ascii="Verdana" w:eastAsia="Malgun Gothic" w:hAnsi="Verdana" w:cs="Arial"/>
                <w:color w:val="366092"/>
                <w:sz w:val="18"/>
                <w:szCs w:val="18"/>
              </w:rPr>
              <w:t>24</w:t>
            </w:r>
          </w:p>
        </w:tc>
        <w:tc>
          <w:tcPr>
            <w:tcW w:w="1693" w:type="dxa"/>
            <w:vAlign w:val="center"/>
          </w:tcPr>
          <w:p w14:paraId="2729E08B" w14:textId="6A450836"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2.60</w:t>
            </w:r>
            <w:r w:rsidRPr="00B2351F">
              <w:rPr>
                <w:rFonts w:ascii="Verdana" w:eastAsia="Malgun Gothic" w:hAnsi="Verdana" w:cs="Arial"/>
                <w:color w:val="366092"/>
                <w:sz w:val="18"/>
                <w:szCs w:val="18"/>
              </w:rPr>
              <w:t>2</w:t>
            </w:r>
          </w:p>
        </w:tc>
        <w:tc>
          <w:tcPr>
            <w:tcW w:w="1717" w:type="dxa"/>
            <w:tcBorders>
              <w:right w:val="nil"/>
            </w:tcBorders>
            <w:vAlign w:val="center"/>
          </w:tcPr>
          <w:p w14:paraId="0C980E90" w14:textId="6F747C6F" w:rsidR="009E4DAF" w:rsidRPr="00B2351F" w:rsidRDefault="009E4DAF" w:rsidP="009E4DAF">
            <w:pPr>
              <w:jc w:val="center"/>
              <w:rPr>
                <w:rFonts w:ascii="Verdana" w:eastAsia="Malgun Gothic" w:hAnsi="Verdana" w:cs="Arial"/>
                <w:color w:val="366092"/>
                <w:sz w:val="18"/>
                <w:szCs w:val="18"/>
              </w:rPr>
            </w:pPr>
            <w:r w:rsidRPr="00B2351F">
              <w:rPr>
                <w:rFonts w:ascii="Verdana" w:eastAsia="Malgun Gothic" w:hAnsi="Verdana" w:cs="Arial"/>
                <w:color w:val="366092"/>
                <w:sz w:val="18"/>
                <w:szCs w:val="18"/>
                <w:lang w:val="el-GR"/>
              </w:rPr>
              <w:t>2.3</w:t>
            </w:r>
            <w:r w:rsidRPr="00B2351F">
              <w:rPr>
                <w:rFonts w:ascii="Verdana" w:eastAsia="Malgun Gothic" w:hAnsi="Verdana" w:cs="Arial"/>
                <w:color w:val="366092"/>
                <w:sz w:val="18"/>
                <w:szCs w:val="18"/>
              </w:rPr>
              <w:t>08</w:t>
            </w:r>
          </w:p>
        </w:tc>
        <w:tc>
          <w:tcPr>
            <w:tcW w:w="260" w:type="dxa"/>
            <w:tcBorders>
              <w:left w:val="nil"/>
              <w:bottom w:val="single" w:sz="4" w:space="0" w:color="365F91"/>
              <w:right w:val="nil"/>
            </w:tcBorders>
            <w:vAlign w:val="center"/>
          </w:tcPr>
          <w:p w14:paraId="40736A87" w14:textId="77777777" w:rsidR="009E4DAF" w:rsidRPr="00B2351F" w:rsidRDefault="009E4DAF" w:rsidP="009E4DAF">
            <w:pPr>
              <w:jc w:val="center"/>
              <w:rPr>
                <w:rFonts w:ascii="Verdana" w:eastAsia="Malgun Gothic" w:hAnsi="Verdana" w:cs="Arial"/>
                <w:color w:val="366092"/>
                <w:sz w:val="18"/>
                <w:szCs w:val="18"/>
                <w:lang w:val="el-GR"/>
              </w:rPr>
            </w:pPr>
          </w:p>
        </w:tc>
        <w:tc>
          <w:tcPr>
            <w:tcW w:w="1911" w:type="dxa"/>
            <w:tcBorders>
              <w:left w:val="nil"/>
            </w:tcBorders>
            <w:vAlign w:val="center"/>
          </w:tcPr>
          <w:p w14:paraId="26CA8A12" w14:textId="3C7CCEB0" w:rsidR="009E4DAF" w:rsidRPr="00B2351F" w:rsidRDefault="009E4DAF" w:rsidP="009E4DAF">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5,8</w:t>
            </w:r>
          </w:p>
        </w:tc>
        <w:tc>
          <w:tcPr>
            <w:tcW w:w="1848" w:type="dxa"/>
            <w:vAlign w:val="center"/>
          </w:tcPr>
          <w:p w14:paraId="431FA3E3" w14:textId="5D6BAB66" w:rsidR="009E4DAF" w:rsidRPr="00B2351F" w:rsidRDefault="009E4DAF" w:rsidP="009E4DAF">
            <w:pPr>
              <w:jc w:val="center"/>
              <w:rPr>
                <w:rFonts w:ascii="Verdana" w:eastAsia="Malgun Gothic" w:hAnsi="Verdana" w:cs="Arial"/>
                <w:color w:val="366092"/>
                <w:sz w:val="18"/>
                <w:szCs w:val="18"/>
                <w:lang w:val="el-GR"/>
              </w:rPr>
            </w:pPr>
            <w:r w:rsidRPr="00B2351F">
              <w:rPr>
                <w:rFonts w:ascii="Verdana" w:eastAsia="Malgun Gothic" w:hAnsi="Verdana" w:cs="Arial"/>
                <w:color w:val="366092"/>
                <w:sz w:val="18"/>
                <w:szCs w:val="18"/>
                <w:lang w:val="el-GR"/>
              </w:rPr>
              <w:t>1,</w:t>
            </w:r>
            <w:r w:rsidRPr="00B2351F">
              <w:rPr>
                <w:rFonts w:ascii="Verdana" w:eastAsia="Malgun Gothic" w:hAnsi="Verdana" w:cs="Arial"/>
                <w:color w:val="366092"/>
                <w:sz w:val="18"/>
                <w:szCs w:val="18"/>
              </w:rPr>
              <w:t>4</w:t>
            </w:r>
          </w:p>
        </w:tc>
      </w:tr>
    </w:tbl>
    <w:p w14:paraId="3C69A047" w14:textId="77777777" w:rsidR="007A453C" w:rsidRPr="00B2351F" w:rsidRDefault="007A453C" w:rsidP="007A453C">
      <w:pPr>
        <w:tabs>
          <w:tab w:val="left" w:pos="1080"/>
          <w:tab w:val="left" w:pos="6840"/>
        </w:tabs>
        <w:ind w:left="1134" w:hanging="1036"/>
        <w:jc w:val="both"/>
        <w:rPr>
          <w:rFonts w:ascii="Verdana" w:eastAsia="Malgun Gothic" w:hAnsi="Verdana" w:cs="Arial"/>
          <w:color w:val="366092"/>
          <w:sz w:val="16"/>
          <w:szCs w:val="16"/>
          <w:lang w:val="el-GR"/>
        </w:rPr>
      </w:pPr>
      <w:r w:rsidRPr="00B2351F">
        <w:rPr>
          <w:rFonts w:ascii="Verdana" w:eastAsia="Malgun Gothic" w:hAnsi="Verdana" w:cs="Arial"/>
          <w:color w:val="366092"/>
          <w:sz w:val="16"/>
          <w:szCs w:val="16"/>
          <w:lang w:val="el-GR"/>
        </w:rPr>
        <w:t xml:space="preserve">Σημειώσεις: 1. Λόγω στρογγυλοποίησης των απολαβών ο υπολογισμός της μεταβολής ενδεχομένως να διαφέρει από την ποσοστιαία αλλαγή που παρουσιάζεται στον πίνακα. </w:t>
      </w:r>
    </w:p>
    <w:p w14:paraId="3B36AAE5" w14:textId="0F5C1E3E" w:rsidR="007A453C" w:rsidRPr="00B2351F" w:rsidRDefault="007A453C" w:rsidP="007A453C">
      <w:pPr>
        <w:tabs>
          <w:tab w:val="left" w:pos="1080"/>
          <w:tab w:val="left" w:pos="6840"/>
        </w:tabs>
        <w:ind w:left="993"/>
        <w:jc w:val="both"/>
        <w:rPr>
          <w:rFonts w:ascii="Verdana" w:eastAsia="Malgun Gothic" w:hAnsi="Verdana" w:cs="Arial"/>
          <w:color w:val="366092"/>
          <w:sz w:val="16"/>
          <w:szCs w:val="16"/>
          <w:lang w:val="el-GR"/>
        </w:rPr>
      </w:pPr>
      <w:r w:rsidRPr="00B2351F">
        <w:rPr>
          <w:rFonts w:ascii="Verdana" w:eastAsia="Malgun Gothic" w:hAnsi="Verdana" w:cs="Arial"/>
          <w:color w:val="366092"/>
          <w:sz w:val="16"/>
          <w:szCs w:val="16"/>
          <w:lang w:val="el-GR"/>
        </w:rPr>
        <w:t xml:space="preserve">  2. Από το 1ο τρίμηνο του 202</w:t>
      </w:r>
      <w:r w:rsidR="00712C52" w:rsidRPr="00B2351F">
        <w:rPr>
          <w:rFonts w:ascii="Verdana" w:eastAsia="Malgun Gothic" w:hAnsi="Verdana" w:cs="Arial"/>
          <w:color w:val="366092"/>
          <w:sz w:val="16"/>
          <w:szCs w:val="16"/>
          <w:lang w:val="el-GR"/>
        </w:rPr>
        <w:t>5</w:t>
      </w:r>
      <w:r w:rsidRPr="00B2351F">
        <w:rPr>
          <w:rFonts w:ascii="Verdana" w:eastAsia="Malgun Gothic" w:hAnsi="Verdana" w:cs="Arial"/>
          <w:color w:val="366092"/>
          <w:sz w:val="16"/>
          <w:szCs w:val="16"/>
          <w:lang w:val="el-GR"/>
        </w:rPr>
        <w:t xml:space="preserve"> και έπειτα τα στοιχεία είναι προκαταρκτικά.</w:t>
      </w:r>
    </w:p>
    <w:p w14:paraId="00356895" w14:textId="0663C42D" w:rsidR="00721160" w:rsidRPr="008D07DA" w:rsidRDefault="00721160" w:rsidP="006B0D39">
      <w:pPr>
        <w:tabs>
          <w:tab w:val="left" w:pos="1080"/>
          <w:tab w:val="left" w:pos="6840"/>
        </w:tabs>
        <w:ind w:left="98"/>
        <w:jc w:val="both"/>
        <w:rPr>
          <w:rFonts w:ascii="Verdana" w:eastAsia="Malgun Gothic" w:hAnsi="Verdana" w:cs="Arial"/>
          <w:color w:val="366092"/>
          <w:sz w:val="16"/>
          <w:szCs w:val="16"/>
          <w:lang w:val="el-GR"/>
        </w:rPr>
      </w:pPr>
      <w:r w:rsidRPr="008D07DA">
        <w:rPr>
          <w:rFonts w:ascii="Verdana" w:eastAsia="Malgun Gothic" w:hAnsi="Verdana" w:cs="Arial"/>
          <w:color w:val="366092"/>
          <w:sz w:val="16"/>
          <w:szCs w:val="16"/>
          <w:lang w:val="el-GR"/>
        </w:rPr>
        <w:tab/>
      </w:r>
      <w:r w:rsidRPr="008D07DA">
        <w:rPr>
          <w:rFonts w:ascii="Verdana" w:eastAsia="Malgun Gothic" w:hAnsi="Verdana" w:cs="Arial"/>
          <w:color w:val="366092"/>
          <w:sz w:val="16"/>
          <w:szCs w:val="16"/>
          <w:lang w:val="el-GR"/>
        </w:rPr>
        <w:tab/>
      </w:r>
      <w:r w:rsidRPr="008D07DA">
        <w:rPr>
          <w:rFonts w:ascii="Verdana" w:eastAsia="Malgun Gothic" w:hAnsi="Verdana" w:cs="Arial"/>
          <w:color w:val="366092"/>
          <w:sz w:val="16"/>
          <w:szCs w:val="16"/>
          <w:lang w:val="el-GR"/>
        </w:rPr>
        <w:tab/>
      </w:r>
      <w:r w:rsidRPr="008D07DA">
        <w:rPr>
          <w:rFonts w:ascii="Verdana" w:eastAsia="Malgun Gothic" w:hAnsi="Verdana" w:cs="Arial"/>
          <w:color w:val="366092"/>
          <w:sz w:val="16"/>
          <w:szCs w:val="16"/>
          <w:lang w:val="el-GR"/>
        </w:rPr>
        <w:tab/>
      </w:r>
      <w:r w:rsidRPr="008D07DA">
        <w:rPr>
          <w:rFonts w:ascii="Verdana" w:eastAsia="Malgun Gothic" w:hAnsi="Verdana" w:cs="Arial"/>
          <w:color w:val="366092"/>
          <w:sz w:val="16"/>
          <w:szCs w:val="16"/>
          <w:lang w:val="el-GR"/>
        </w:rPr>
        <w:tab/>
      </w:r>
    </w:p>
    <w:p w14:paraId="4FF14874" w14:textId="0EB4DAF0" w:rsidR="000D495F" w:rsidRPr="008D07DA" w:rsidRDefault="000D495F" w:rsidP="000D495F">
      <w:pPr>
        <w:tabs>
          <w:tab w:val="left" w:pos="1080"/>
          <w:tab w:val="left" w:pos="6840"/>
        </w:tabs>
        <w:ind w:left="1302" w:hanging="1302"/>
        <w:jc w:val="both"/>
        <w:rPr>
          <w:rFonts w:ascii="Verdana" w:eastAsia="Malgun Gothic" w:hAnsi="Verdana" w:cs="Arial"/>
          <w:b/>
          <w:color w:val="366092"/>
          <w:u w:val="single"/>
          <w:lang w:val="el-GR"/>
        </w:rPr>
      </w:pPr>
      <w:r w:rsidRPr="008D07DA">
        <w:rPr>
          <w:rFonts w:ascii="Verdana" w:eastAsia="Malgun Gothic" w:hAnsi="Verdana" w:cs="Arial"/>
          <w:b/>
          <w:color w:val="366092"/>
          <w:sz w:val="18"/>
          <w:szCs w:val="18"/>
          <w:lang w:val="el-GR"/>
        </w:rPr>
        <w:t xml:space="preserve">Γράφημα 2: Μέσες και Διάμεσες Ακαθάριστες Μηνιαίες Απολαβές Υπαλλήλων, 2010 – 2025 </w:t>
      </w:r>
    </w:p>
    <w:p w14:paraId="7CD6FA36" w14:textId="5D1E8148" w:rsidR="00EB1EFE" w:rsidRPr="008D07DA" w:rsidRDefault="00FA55BB" w:rsidP="006B46F2">
      <w:pPr>
        <w:jc w:val="center"/>
        <w:rPr>
          <w:rFonts w:ascii="Verdana" w:eastAsia="Malgun Gothic" w:hAnsi="Verdana" w:cs="Arial"/>
          <w:sz w:val="18"/>
          <w:szCs w:val="18"/>
          <w:lang w:val="el-GR"/>
        </w:rPr>
      </w:pPr>
      <w:r>
        <w:rPr>
          <w:noProof/>
        </w:rPr>
        <w:drawing>
          <wp:inline distT="0" distB="0" distL="0" distR="0" wp14:anchorId="7652863D" wp14:editId="0960A4DC">
            <wp:extent cx="6119495" cy="3819525"/>
            <wp:effectExtent l="0" t="0" r="14605" b="9525"/>
            <wp:docPr id="3" name="Chart 3">
              <a:extLst xmlns:a="http://schemas.openxmlformats.org/drawingml/2006/main">
                <a:ext uri="{FF2B5EF4-FFF2-40B4-BE49-F238E27FC236}">
                  <a16:creationId xmlns:a16="http://schemas.microsoft.com/office/drawing/2014/main" id="{74F719A6-EE55-42EF-BEB9-1DB0B9E58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F54148" w14:textId="3F8B2A8A" w:rsidR="004A11F1" w:rsidRPr="00CC031A" w:rsidRDefault="004A11F1" w:rsidP="004A11F1">
      <w:pPr>
        <w:tabs>
          <w:tab w:val="left" w:pos="1080"/>
          <w:tab w:val="left" w:pos="6840"/>
        </w:tabs>
        <w:jc w:val="both"/>
        <w:rPr>
          <w:rFonts w:ascii="Verdana" w:eastAsia="Malgun Gothic" w:hAnsi="Verdana" w:cs="Arial"/>
          <w:bCs/>
          <w:color w:val="558ED5"/>
          <w:sz w:val="16"/>
          <w:szCs w:val="16"/>
          <w:lang w:val="el-GR"/>
        </w:rPr>
      </w:pPr>
      <w:r w:rsidRPr="00CC031A">
        <w:rPr>
          <w:rFonts w:ascii="Verdana" w:eastAsia="Malgun Gothic" w:hAnsi="Verdana" w:cs="Arial"/>
          <w:bCs/>
          <w:color w:val="558ED5"/>
          <w:sz w:val="16"/>
          <w:szCs w:val="16"/>
          <w:lang w:val="el-GR"/>
        </w:rPr>
        <w:t>Σημείωση: Tα στοιχεία για το 202</w:t>
      </w:r>
      <w:r w:rsidR="000E3791" w:rsidRPr="00CC031A">
        <w:rPr>
          <w:rFonts w:ascii="Verdana" w:eastAsia="Malgun Gothic" w:hAnsi="Verdana" w:cs="Arial"/>
          <w:bCs/>
          <w:color w:val="558ED5"/>
          <w:sz w:val="16"/>
          <w:szCs w:val="16"/>
          <w:lang w:val="el-GR"/>
        </w:rPr>
        <w:t>5</w:t>
      </w:r>
      <w:r w:rsidRPr="00CC031A">
        <w:rPr>
          <w:rFonts w:ascii="Verdana" w:eastAsia="Malgun Gothic" w:hAnsi="Verdana" w:cs="Arial"/>
          <w:bCs/>
          <w:color w:val="558ED5"/>
          <w:sz w:val="16"/>
          <w:szCs w:val="16"/>
          <w:lang w:val="el-GR"/>
        </w:rPr>
        <w:t xml:space="preserve"> είναι προκαταρκτικά.</w:t>
      </w:r>
    </w:p>
    <w:p w14:paraId="58EBCD6B" w14:textId="04841ECB" w:rsidR="00067B87" w:rsidRPr="002E5FD6" w:rsidRDefault="00067B87" w:rsidP="002E5FD6">
      <w:pPr>
        <w:tabs>
          <w:tab w:val="left" w:pos="1080"/>
          <w:tab w:val="left" w:pos="6840"/>
        </w:tabs>
        <w:jc w:val="both"/>
        <w:rPr>
          <w:rFonts w:ascii="Verdana" w:eastAsia="Malgun Gothic" w:hAnsi="Verdana" w:cs="Arial"/>
          <w:bCs/>
          <w:color w:val="366092"/>
          <w:sz w:val="18"/>
          <w:szCs w:val="18"/>
          <w:lang w:val="el-GR"/>
        </w:rPr>
      </w:pPr>
    </w:p>
    <w:p w14:paraId="7491A1A0" w14:textId="1E76D9EA" w:rsidR="00F71EDF" w:rsidRDefault="002E5FD6" w:rsidP="002E5FD6">
      <w:pPr>
        <w:jc w:val="both"/>
        <w:rPr>
          <w:rFonts w:ascii="Verdana" w:hAnsi="Verdana"/>
          <w:sz w:val="18"/>
          <w:szCs w:val="18"/>
        </w:rPr>
      </w:pPr>
      <w:r w:rsidRPr="00F322EB">
        <w:rPr>
          <w:rFonts w:ascii="Verdana" w:hAnsi="Verdana"/>
          <w:sz w:val="18"/>
          <w:szCs w:val="18"/>
          <w:lang w:val="el-GR"/>
        </w:rPr>
        <w:lastRenderedPageBreak/>
        <w:t xml:space="preserve">Με βάση προκαταρκτικά στοιχεία για το 2025, </w:t>
      </w:r>
      <w:r w:rsidR="00F322EB" w:rsidRPr="00F322EB">
        <w:rPr>
          <w:rFonts w:ascii="Verdana" w:hAnsi="Verdana"/>
          <w:sz w:val="18"/>
          <w:szCs w:val="18"/>
          <w:lang w:val="el-GR"/>
        </w:rPr>
        <w:t xml:space="preserve">σχετικά με την κατανομή υπαλλήλων κατά ομάδα απολαβών, το μεγαλύτερο ποσοστό Κύπριων υπαλλήλων παρατηρείται στην ομάδα μεταξύ €1.500 και €2.999 </w:t>
      </w:r>
      <w:r w:rsidR="00323FB5">
        <w:rPr>
          <w:rFonts w:ascii="Verdana" w:hAnsi="Verdana"/>
          <w:sz w:val="18"/>
          <w:szCs w:val="18"/>
          <w:lang w:val="el-GR"/>
        </w:rPr>
        <w:t xml:space="preserve">(42,8%) </w:t>
      </w:r>
      <w:r w:rsidR="00F322EB" w:rsidRPr="00F322EB">
        <w:rPr>
          <w:rFonts w:ascii="Verdana" w:hAnsi="Verdana"/>
          <w:sz w:val="18"/>
          <w:szCs w:val="18"/>
          <w:lang w:val="el-GR"/>
        </w:rPr>
        <w:t>ενώ</w:t>
      </w:r>
      <w:r w:rsidR="00E65D8F">
        <w:rPr>
          <w:rFonts w:ascii="Verdana" w:hAnsi="Verdana"/>
          <w:sz w:val="18"/>
          <w:szCs w:val="18"/>
          <w:lang w:val="el-GR"/>
        </w:rPr>
        <w:t xml:space="preserve"> για</w:t>
      </w:r>
      <w:r w:rsidR="00F322EB" w:rsidRPr="00F322EB">
        <w:rPr>
          <w:rFonts w:ascii="Verdana" w:hAnsi="Verdana"/>
          <w:sz w:val="18"/>
          <w:szCs w:val="18"/>
          <w:lang w:val="el-GR"/>
        </w:rPr>
        <w:t xml:space="preserve"> τους μη-Κύπριους υπαλλήλους, το υψηλότερο ποσοστό καταγράφεται στην ομάδα κάτω από €1.500</w:t>
      </w:r>
      <w:r w:rsidR="00323FB5">
        <w:rPr>
          <w:rFonts w:ascii="Verdana" w:hAnsi="Verdana"/>
          <w:sz w:val="18"/>
          <w:szCs w:val="18"/>
          <w:lang w:val="el-GR"/>
        </w:rPr>
        <w:t xml:space="preserve"> (47,7%)</w:t>
      </w:r>
      <w:r w:rsidR="00F322EB" w:rsidRPr="00F322EB">
        <w:rPr>
          <w:rFonts w:ascii="Verdana" w:hAnsi="Verdana"/>
          <w:sz w:val="18"/>
          <w:szCs w:val="18"/>
          <w:lang w:val="el-GR"/>
        </w:rPr>
        <w:t>. Π</w:t>
      </w:r>
      <w:r w:rsidRPr="00F322EB">
        <w:rPr>
          <w:rFonts w:ascii="Verdana" w:hAnsi="Verdana"/>
          <w:sz w:val="18"/>
          <w:szCs w:val="18"/>
          <w:lang w:val="el-GR"/>
        </w:rPr>
        <w:t xml:space="preserve">αρατηρούνται </w:t>
      </w:r>
      <w:r w:rsidR="00F322EB" w:rsidRPr="00F322EB">
        <w:rPr>
          <w:rFonts w:ascii="Verdana" w:hAnsi="Verdana"/>
          <w:sz w:val="18"/>
          <w:szCs w:val="18"/>
          <w:lang w:val="el-GR"/>
        </w:rPr>
        <w:t xml:space="preserve">επίσης </w:t>
      </w:r>
      <w:r w:rsidRPr="00F322EB">
        <w:rPr>
          <w:rFonts w:ascii="Verdana" w:hAnsi="Verdana"/>
          <w:sz w:val="18"/>
          <w:szCs w:val="18"/>
          <w:lang w:val="el-GR"/>
        </w:rPr>
        <w:t xml:space="preserve">διαφοροποιήσεις στην κατανομή υπαλλήλων κατά </w:t>
      </w:r>
      <w:r w:rsidRPr="002E5FD6">
        <w:rPr>
          <w:rFonts w:ascii="Verdana" w:hAnsi="Verdana"/>
          <w:sz w:val="18"/>
          <w:szCs w:val="18"/>
          <w:lang w:val="el-GR"/>
        </w:rPr>
        <w:t xml:space="preserve">φύλο, με τις γυναίκες να εμφανίζουν </w:t>
      </w:r>
      <w:r w:rsidRPr="00292B16">
        <w:rPr>
          <w:rFonts w:ascii="Verdana" w:hAnsi="Verdana"/>
          <w:sz w:val="18"/>
          <w:szCs w:val="18"/>
          <w:lang w:val="el-GR"/>
        </w:rPr>
        <w:t xml:space="preserve">μεγαλύτερη συγκέντρωση </w:t>
      </w:r>
      <w:r w:rsidR="00F322EB">
        <w:rPr>
          <w:rFonts w:ascii="Verdana" w:hAnsi="Verdana"/>
          <w:sz w:val="18"/>
          <w:szCs w:val="18"/>
          <w:lang w:val="el-GR"/>
        </w:rPr>
        <w:t>στην ομάδα</w:t>
      </w:r>
      <w:r w:rsidRPr="00292B16">
        <w:rPr>
          <w:rFonts w:ascii="Verdana" w:hAnsi="Verdana"/>
          <w:sz w:val="18"/>
          <w:szCs w:val="18"/>
          <w:lang w:val="el-GR"/>
        </w:rPr>
        <w:t xml:space="preserve"> απολαβών κάτω των €1.500 </w:t>
      </w:r>
      <w:r w:rsidR="00323FB5">
        <w:rPr>
          <w:rFonts w:ascii="Verdana" w:hAnsi="Verdana"/>
          <w:sz w:val="18"/>
          <w:szCs w:val="18"/>
          <w:lang w:val="el-GR"/>
        </w:rPr>
        <w:t xml:space="preserve">(38,8%) </w:t>
      </w:r>
      <w:r w:rsidR="00F322EB">
        <w:rPr>
          <w:rFonts w:ascii="Verdana" w:hAnsi="Verdana"/>
          <w:sz w:val="18"/>
          <w:szCs w:val="18"/>
          <w:lang w:val="el-GR"/>
        </w:rPr>
        <w:t>και τους</w:t>
      </w:r>
      <w:r w:rsidRPr="00292B16">
        <w:rPr>
          <w:rFonts w:ascii="Verdana" w:hAnsi="Verdana"/>
          <w:sz w:val="18"/>
          <w:szCs w:val="18"/>
          <w:lang w:val="el-GR"/>
        </w:rPr>
        <w:t xml:space="preserve"> άνδρες </w:t>
      </w:r>
      <w:r w:rsidR="00F322EB">
        <w:rPr>
          <w:rFonts w:ascii="Verdana" w:hAnsi="Verdana"/>
          <w:sz w:val="18"/>
          <w:szCs w:val="18"/>
          <w:lang w:val="el-GR"/>
        </w:rPr>
        <w:t xml:space="preserve">να </w:t>
      </w:r>
      <w:r w:rsidRPr="00292B16">
        <w:rPr>
          <w:rFonts w:ascii="Verdana" w:hAnsi="Verdana"/>
          <w:sz w:val="18"/>
          <w:szCs w:val="18"/>
          <w:lang w:val="el-GR"/>
        </w:rPr>
        <w:t xml:space="preserve">καταγράφουν </w:t>
      </w:r>
      <w:r w:rsidR="00F322EB">
        <w:rPr>
          <w:rFonts w:ascii="Verdana" w:hAnsi="Verdana"/>
          <w:sz w:val="18"/>
          <w:szCs w:val="18"/>
          <w:lang w:val="el-GR"/>
        </w:rPr>
        <w:t xml:space="preserve">το </w:t>
      </w:r>
      <w:r w:rsidRPr="00292B16">
        <w:rPr>
          <w:rFonts w:ascii="Verdana" w:hAnsi="Verdana"/>
          <w:sz w:val="18"/>
          <w:szCs w:val="18"/>
          <w:lang w:val="el-GR"/>
        </w:rPr>
        <w:t>υψηλότερ</w:t>
      </w:r>
      <w:r w:rsidR="00F322EB">
        <w:rPr>
          <w:rFonts w:ascii="Verdana" w:hAnsi="Verdana"/>
          <w:sz w:val="18"/>
          <w:szCs w:val="18"/>
          <w:lang w:val="el-GR"/>
        </w:rPr>
        <w:t>ο</w:t>
      </w:r>
      <w:r w:rsidRPr="00292B16">
        <w:rPr>
          <w:rFonts w:ascii="Verdana" w:hAnsi="Verdana"/>
          <w:sz w:val="18"/>
          <w:szCs w:val="18"/>
          <w:lang w:val="el-GR"/>
        </w:rPr>
        <w:t xml:space="preserve"> ποσοστ</w:t>
      </w:r>
      <w:r w:rsidR="00F322EB">
        <w:rPr>
          <w:rFonts w:ascii="Verdana" w:hAnsi="Verdana"/>
          <w:sz w:val="18"/>
          <w:szCs w:val="18"/>
          <w:lang w:val="el-GR"/>
        </w:rPr>
        <w:t>ό</w:t>
      </w:r>
      <w:r w:rsidRPr="00292B16">
        <w:rPr>
          <w:rFonts w:ascii="Verdana" w:hAnsi="Verdana"/>
          <w:sz w:val="18"/>
          <w:szCs w:val="18"/>
          <w:lang w:val="el-GR"/>
        </w:rPr>
        <w:t xml:space="preserve"> στ</w:t>
      </w:r>
      <w:r w:rsidR="00F322EB">
        <w:rPr>
          <w:rFonts w:ascii="Verdana" w:hAnsi="Verdana"/>
          <w:sz w:val="18"/>
          <w:szCs w:val="18"/>
          <w:lang w:val="el-GR"/>
        </w:rPr>
        <w:t>ην ομάδα</w:t>
      </w:r>
      <w:r w:rsidR="00ED44A5">
        <w:rPr>
          <w:rFonts w:ascii="Verdana" w:hAnsi="Verdana"/>
          <w:sz w:val="18"/>
          <w:szCs w:val="18"/>
          <w:lang w:val="el-GR"/>
        </w:rPr>
        <w:t xml:space="preserve"> </w:t>
      </w:r>
      <w:r w:rsidR="00E65D8F">
        <w:rPr>
          <w:rFonts w:ascii="Verdana" w:hAnsi="Verdana"/>
          <w:sz w:val="18"/>
          <w:szCs w:val="18"/>
          <w:lang w:val="el-GR"/>
        </w:rPr>
        <w:t xml:space="preserve">μεταξύ </w:t>
      </w:r>
      <w:r w:rsidR="00ED44A5" w:rsidRPr="00ED44A5">
        <w:rPr>
          <w:rFonts w:ascii="Verdana" w:hAnsi="Verdana"/>
          <w:sz w:val="18"/>
          <w:szCs w:val="18"/>
          <w:lang w:val="el-GR"/>
        </w:rPr>
        <w:t>€1.500</w:t>
      </w:r>
      <w:r w:rsidR="00E65D8F">
        <w:rPr>
          <w:rFonts w:ascii="Verdana" w:hAnsi="Verdana"/>
          <w:sz w:val="18"/>
          <w:szCs w:val="18"/>
          <w:lang w:val="el-GR"/>
        </w:rPr>
        <w:t xml:space="preserve"> και </w:t>
      </w:r>
      <w:r w:rsidR="00ED44A5" w:rsidRPr="00ED44A5">
        <w:rPr>
          <w:rFonts w:ascii="Verdana" w:hAnsi="Verdana"/>
          <w:sz w:val="18"/>
          <w:szCs w:val="18"/>
          <w:lang w:val="el-GR"/>
        </w:rPr>
        <w:t>€2.999</w:t>
      </w:r>
      <w:r w:rsidR="00323FB5">
        <w:rPr>
          <w:rFonts w:ascii="Verdana" w:hAnsi="Verdana"/>
          <w:sz w:val="18"/>
          <w:szCs w:val="18"/>
          <w:lang w:val="el-GR"/>
        </w:rPr>
        <w:t xml:space="preserve"> (40,5%)</w:t>
      </w:r>
      <w:r w:rsidR="00ED44A5" w:rsidRPr="00292B16">
        <w:rPr>
          <w:rFonts w:ascii="Verdana" w:hAnsi="Verdana"/>
          <w:sz w:val="18"/>
          <w:szCs w:val="18"/>
          <w:lang w:val="el-GR"/>
        </w:rPr>
        <w:t>.</w:t>
      </w:r>
      <w:r w:rsidR="00ED44A5" w:rsidRPr="00ED44A5">
        <w:rPr>
          <w:rFonts w:ascii="Verdana" w:hAnsi="Verdana"/>
          <w:sz w:val="18"/>
          <w:szCs w:val="18"/>
          <w:lang w:val="el-GR"/>
        </w:rPr>
        <w:t xml:space="preserve"> </w:t>
      </w:r>
      <w:r w:rsidRPr="002E5FD6">
        <w:rPr>
          <w:rFonts w:ascii="Verdana" w:hAnsi="Verdana"/>
          <w:sz w:val="18"/>
          <w:szCs w:val="18"/>
          <w:lang w:val="el-GR"/>
        </w:rPr>
        <w:t>(Πίνακας 2)</w:t>
      </w:r>
    </w:p>
    <w:p w14:paraId="0C400CF2" w14:textId="77777777" w:rsidR="002E5FD6" w:rsidRPr="002E5FD6" w:rsidRDefault="002E5FD6" w:rsidP="002E5FD6">
      <w:pPr>
        <w:jc w:val="both"/>
        <w:rPr>
          <w:rFonts w:ascii="Verdana" w:hAnsi="Verdana"/>
          <w:sz w:val="18"/>
          <w:szCs w:val="18"/>
          <w:lang w:val="el-GR"/>
        </w:rPr>
      </w:pPr>
    </w:p>
    <w:tbl>
      <w:tblPr>
        <w:tblW w:w="5000" w:type="pct"/>
        <w:jc w:val="center"/>
        <w:tblBorders>
          <w:bottom w:val="single" w:sz="4" w:space="0" w:color="365F91"/>
        </w:tblBorders>
        <w:tblLook w:val="04A0" w:firstRow="1" w:lastRow="0" w:firstColumn="1" w:lastColumn="0" w:noHBand="0" w:noVBand="1"/>
      </w:tblPr>
      <w:tblGrid>
        <w:gridCol w:w="4018"/>
        <w:gridCol w:w="1934"/>
        <w:gridCol w:w="1934"/>
        <w:gridCol w:w="1531"/>
        <w:gridCol w:w="222"/>
      </w:tblGrid>
      <w:tr w:rsidR="001827F2" w:rsidRPr="00737EAA" w14:paraId="06D6E5BE" w14:textId="77777777" w:rsidTr="007C6314">
        <w:trPr>
          <w:trHeight w:val="227"/>
          <w:jc w:val="center"/>
        </w:trPr>
        <w:tc>
          <w:tcPr>
            <w:tcW w:w="4885" w:type="pct"/>
            <w:gridSpan w:val="4"/>
            <w:tcBorders>
              <w:top w:val="nil"/>
              <w:bottom w:val="single" w:sz="4" w:space="0" w:color="365F91"/>
            </w:tcBorders>
            <w:vAlign w:val="center"/>
          </w:tcPr>
          <w:p w14:paraId="2015EA90" w14:textId="6B300500" w:rsidR="001827F2" w:rsidRPr="008D07DA" w:rsidRDefault="001827F2" w:rsidP="00B028BC">
            <w:pPr>
              <w:tabs>
                <w:tab w:val="left" w:pos="1080"/>
                <w:tab w:val="left" w:pos="6840"/>
              </w:tabs>
              <w:ind w:left="1165" w:hanging="1165"/>
              <w:jc w:val="both"/>
              <w:rPr>
                <w:rFonts w:ascii="Verdana" w:eastAsia="Malgun Gothic" w:hAnsi="Verdana" w:cs="Arial"/>
                <w:color w:val="366092"/>
                <w:sz w:val="18"/>
                <w:szCs w:val="18"/>
                <w:lang w:val="el-GR"/>
              </w:rPr>
            </w:pPr>
            <w:r w:rsidRPr="008D07DA">
              <w:rPr>
                <w:rFonts w:ascii="Verdana" w:eastAsia="Malgun Gothic" w:hAnsi="Verdana" w:cs="Arial"/>
                <w:b/>
                <w:color w:val="366092"/>
                <w:sz w:val="18"/>
                <w:szCs w:val="18"/>
                <w:lang w:val="el-GR"/>
              </w:rPr>
              <w:t xml:space="preserve">Πίνακας </w:t>
            </w:r>
            <w:r w:rsidR="00D22A4E" w:rsidRPr="00EF5A39">
              <w:rPr>
                <w:rFonts w:ascii="Verdana" w:eastAsia="Malgun Gothic" w:hAnsi="Verdana" w:cs="Arial"/>
                <w:b/>
                <w:color w:val="366092"/>
                <w:sz w:val="18"/>
                <w:szCs w:val="18"/>
                <w:lang w:val="el-GR"/>
              </w:rPr>
              <w:t>2</w:t>
            </w:r>
            <w:r w:rsidRPr="008D07DA">
              <w:rPr>
                <w:rFonts w:ascii="Verdana" w:eastAsia="Malgun Gothic" w:hAnsi="Verdana" w:cs="Arial"/>
                <w:b/>
                <w:color w:val="366092"/>
                <w:sz w:val="18"/>
                <w:szCs w:val="18"/>
                <w:lang w:val="el-GR"/>
              </w:rPr>
              <w:t xml:space="preserve">: Κατανομή Κύπριων και Μη-Κύπριων Υπαλλήλων κατά Ομάδα Απολαβών και Φύλο, 2025 </w:t>
            </w:r>
          </w:p>
        </w:tc>
        <w:tc>
          <w:tcPr>
            <w:tcW w:w="115" w:type="pct"/>
            <w:tcBorders>
              <w:top w:val="nil"/>
              <w:bottom w:val="single" w:sz="4" w:space="0" w:color="365F91"/>
            </w:tcBorders>
          </w:tcPr>
          <w:p w14:paraId="03D46943" w14:textId="77777777" w:rsidR="001827F2" w:rsidRPr="008D07DA" w:rsidRDefault="001827F2" w:rsidP="00220427">
            <w:pPr>
              <w:tabs>
                <w:tab w:val="left" w:pos="1080"/>
                <w:tab w:val="left" w:pos="6840"/>
              </w:tabs>
              <w:jc w:val="both"/>
              <w:rPr>
                <w:rFonts w:ascii="Verdana" w:eastAsia="Malgun Gothic" w:hAnsi="Verdana" w:cs="Arial"/>
                <w:color w:val="366092"/>
                <w:sz w:val="18"/>
                <w:szCs w:val="18"/>
                <w:lang w:val="el-GR"/>
              </w:rPr>
            </w:pPr>
          </w:p>
        </w:tc>
      </w:tr>
      <w:tr w:rsidR="009B12A7" w:rsidRPr="008D07DA" w14:paraId="18762998" w14:textId="77777777" w:rsidTr="00FA55BB">
        <w:trPr>
          <w:trHeight w:val="567"/>
          <w:jc w:val="center"/>
        </w:trPr>
        <w:tc>
          <w:tcPr>
            <w:tcW w:w="2085" w:type="pct"/>
            <w:vMerge w:val="restart"/>
            <w:vAlign w:val="center"/>
          </w:tcPr>
          <w:p w14:paraId="7D38588D" w14:textId="28461D6E" w:rsidR="006F5036" w:rsidRPr="008D07DA" w:rsidRDefault="00C6047E" w:rsidP="00220427">
            <w:pPr>
              <w:tabs>
                <w:tab w:val="left" w:pos="1080"/>
                <w:tab w:val="left" w:pos="6840"/>
              </w:tabs>
              <w:jc w:val="center"/>
              <w:rPr>
                <w:rFonts w:ascii="Verdana" w:eastAsia="Malgun Gothic" w:hAnsi="Verdana" w:cs="Arial"/>
                <w:color w:val="366092"/>
                <w:sz w:val="18"/>
                <w:szCs w:val="18"/>
                <w:lang w:val="el-GR"/>
              </w:rPr>
            </w:pPr>
            <w:r w:rsidRPr="008D07DA">
              <w:rPr>
                <w:rFonts w:ascii="Verdana" w:eastAsia="Malgun Gothic" w:hAnsi="Verdana" w:cs="Arial"/>
                <w:b/>
                <w:color w:val="366092"/>
                <w:sz w:val="18"/>
                <w:szCs w:val="18"/>
                <w:lang w:val="el-GR"/>
              </w:rPr>
              <w:t>Ακαθάριστες Μηνιαίες Απολαβές κατά Φύλο</w:t>
            </w:r>
          </w:p>
        </w:tc>
        <w:tc>
          <w:tcPr>
            <w:tcW w:w="2915" w:type="pct"/>
            <w:gridSpan w:val="4"/>
            <w:tcBorders>
              <w:top w:val="single" w:sz="4" w:space="0" w:color="365F91"/>
              <w:bottom w:val="single" w:sz="4" w:space="0" w:color="365F91"/>
            </w:tcBorders>
            <w:vAlign w:val="center"/>
          </w:tcPr>
          <w:p w14:paraId="75AA11B4" w14:textId="7243D298" w:rsidR="006F5036" w:rsidRPr="008D07DA" w:rsidRDefault="006F5036" w:rsidP="00220427">
            <w:pPr>
              <w:tabs>
                <w:tab w:val="left" w:pos="1080"/>
                <w:tab w:val="left" w:pos="6840"/>
              </w:tabs>
              <w:jc w:val="center"/>
              <w:rPr>
                <w:rFonts w:ascii="Verdana" w:eastAsia="Malgun Gothic" w:hAnsi="Verdana" w:cs="Arial"/>
                <w:b/>
                <w:color w:val="366092"/>
                <w:sz w:val="18"/>
                <w:szCs w:val="18"/>
                <w:lang w:val="el-GR"/>
              </w:rPr>
            </w:pPr>
            <w:r w:rsidRPr="008D07DA">
              <w:rPr>
                <w:rFonts w:ascii="Verdana" w:eastAsia="Malgun Gothic" w:hAnsi="Verdana" w:cs="Arial"/>
                <w:b/>
                <w:color w:val="366092"/>
                <w:sz w:val="18"/>
                <w:szCs w:val="18"/>
                <w:lang w:val="el-GR"/>
              </w:rPr>
              <w:t>Κατανομή Υπαλλήλων</w:t>
            </w:r>
          </w:p>
        </w:tc>
      </w:tr>
      <w:tr w:rsidR="009B12A7" w:rsidRPr="008D07DA" w14:paraId="71009B59" w14:textId="77777777" w:rsidTr="00FA55BB">
        <w:trPr>
          <w:trHeight w:val="284"/>
          <w:jc w:val="center"/>
        </w:trPr>
        <w:tc>
          <w:tcPr>
            <w:tcW w:w="2085" w:type="pct"/>
            <w:vMerge/>
            <w:tcBorders>
              <w:bottom w:val="single" w:sz="4" w:space="0" w:color="365F91"/>
            </w:tcBorders>
            <w:vAlign w:val="center"/>
          </w:tcPr>
          <w:p w14:paraId="082661CC" w14:textId="77777777" w:rsidR="006F5036" w:rsidRPr="008D07DA" w:rsidRDefault="006F5036" w:rsidP="00220427">
            <w:pPr>
              <w:tabs>
                <w:tab w:val="left" w:pos="1080"/>
                <w:tab w:val="left" w:pos="6840"/>
              </w:tabs>
              <w:rPr>
                <w:rFonts w:ascii="Verdana" w:eastAsia="Malgun Gothic" w:hAnsi="Verdana" w:cs="Arial"/>
                <w:color w:val="366092"/>
                <w:sz w:val="18"/>
                <w:szCs w:val="18"/>
                <w:lang w:val="el-GR"/>
              </w:rPr>
            </w:pPr>
          </w:p>
        </w:tc>
        <w:tc>
          <w:tcPr>
            <w:tcW w:w="1003" w:type="pct"/>
            <w:tcBorders>
              <w:top w:val="single" w:sz="4" w:space="0" w:color="365F91"/>
              <w:bottom w:val="single" w:sz="4" w:space="0" w:color="365F91"/>
              <w:right w:val="nil"/>
            </w:tcBorders>
            <w:vAlign w:val="center"/>
          </w:tcPr>
          <w:p w14:paraId="43827DB7" w14:textId="77777777" w:rsidR="006F5036" w:rsidRPr="008D07DA" w:rsidRDefault="006F5036" w:rsidP="00220427">
            <w:pPr>
              <w:tabs>
                <w:tab w:val="left" w:pos="1080"/>
                <w:tab w:val="left" w:pos="6840"/>
              </w:tabs>
              <w:jc w:val="center"/>
              <w:rPr>
                <w:rFonts w:ascii="Verdana" w:eastAsia="Malgun Gothic" w:hAnsi="Verdana" w:cs="Arial"/>
                <w:b/>
                <w:color w:val="366092"/>
                <w:sz w:val="18"/>
                <w:szCs w:val="18"/>
                <w:lang w:val="el-GR"/>
              </w:rPr>
            </w:pPr>
            <w:r w:rsidRPr="008D07DA">
              <w:rPr>
                <w:rFonts w:ascii="Verdana" w:eastAsia="Malgun Gothic" w:hAnsi="Verdana" w:cs="Arial"/>
                <w:b/>
                <w:color w:val="366092"/>
                <w:sz w:val="18"/>
                <w:szCs w:val="18"/>
                <w:lang w:val="el-GR"/>
              </w:rPr>
              <w:t>Σύνολο</w:t>
            </w:r>
          </w:p>
        </w:tc>
        <w:tc>
          <w:tcPr>
            <w:tcW w:w="1003" w:type="pct"/>
            <w:tcBorders>
              <w:top w:val="single" w:sz="4" w:space="0" w:color="365F91"/>
              <w:left w:val="nil"/>
              <w:bottom w:val="single" w:sz="4" w:space="0" w:color="365F91"/>
            </w:tcBorders>
            <w:vAlign w:val="center"/>
          </w:tcPr>
          <w:p w14:paraId="001DAE93" w14:textId="77777777" w:rsidR="006F5036" w:rsidRPr="008D07DA" w:rsidRDefault="006F5036" w:rsidP="00220427">
            <w:pPr>
              <w:tabs>
                <w:tab w:val="left" w:pos="1080"/>
                <w:tab w:val="left" w:pos="6840"/>
              </w:tabs>
              <w:jc w:val="center"/>
              <w:rPr>
                <w:rFonts w:ascii="Verdana" w:eastAsia="Malgun Gothic" w:hAnsi="Verdana" w:cs="Arial"/>
                <w:b/>
                <w:color w:val="366092"/>
                <w:sz w:val="18"/>
                <w:szCs w:val="18"/>
                <w:lang w:val="el-GR"/>
              </w:rPr>
            </w:pPr>
            <w:r w:rsidRPr="008D07DA">
              <w:rPr>
                <w:rFonts w:ascii="Verdana" w:eastAsia="Malgun Gothic" w:hAnsi="Verdana" w:cs="Arial"/>
                <w:b/>
                <w:color w:val="366092"/>
                <w:sz w:val="18"/>
                <w:szCs w:val="18"/>
                <w:lang w:val="el-GR"/>
              </w:rPr>
              <w:t xml:space="preserve">Κύπριοι </w:t>
            </w:r>
          </w:p>
        </w:tc>
        <w:tc>
          <w:tcPr>
            <w:tcW w:w="908" w:type="pct"/>
            <w:gridSpan w:val="2"/>
            <w:tcBorders>
              <w:top w:val="single" w:sz="4" w:space="0" w:color="365F91"/>
              <w:bottom w:val="single" w:sz="4" w:space="0" w:color="365F91"/>
            </w:tcBorders>
            <w:vAlign w:val="center"/>
          </w:tcPr>
          <w:p w14:paraId="0DBEEFC2" w14:textId="77777777" w:rsidR="006F5036" w:rsidRPr="008D07DA" w:rsidRDefault="006F5036" w:rsidP="00220427">
            <w:pPr>
              <w:tabs>
                <w:tab w:val="left" w:pos="1080"/>
                <w:tab w:val="left" w:pos="6840"/>
              </w:tabs>
              <w:jc w:val="center"/>
              <w:rPr>
                <w:rFonts w:ascii="Verdana" w:eastAsia="Malgun Gothic" w:hAnsi="Verdana" w:cs="Arial"/>
                <w:color w:val="366092"/>
                <w:sz w:val="18"/>
                <w:szCs w:val="18"/>
                <w:lang w:val="en-GB"/>
              </w:rPr>
            </w:pPr>
            <w:r w:rsidRPr="008D07DA">
              <w:rPr>
                <w:rFonts w:ascii="Verdana" w:eastAsia="Malgun Gothic" w:hAnsi="Verdana" w:cs="Arial"/>
                <w:b/>
                <w:color w:val="366092"/>
                <w:sz w:val="18"/>
                <w:szCs w:val="18"/>
                <w:lang w:val="el-GR"/>
              </w:rPr>
              <w:t>Μη-Κύπριοι</w:t>
            </w:r>
          </w:p>
        </w:tc>
      </w:tr>
      <w:tr w:rsidR="009B12A7" w:rsidRPr="008D07DA" w14:paraId="3D65E78A" w14:textId="77777777" w:rsidTr="00FA55BB">
        <w:trPr>
          <w:trHeight w:hRule="exact" w:val="340"/>
          <w:jc w:val="center"/>
        </w:trPr>
        <w:tc>
          <w:tcPr>
            <w:tcW w:w="2085" w:type="pct"/>
            <w:tcBorders>
              <w:top w:val="single" w:sz="4" w:space="0" w:color="365F91"/>
            </w:tcBorders>
            <w:vAlign w:val="center"/>
          </w:tcPr>
          <w:p w14:paraId="3F54A48B" w14:textId="77777777" w:rsidR="006F5036" w:rsidRPr="008D07DA" w:rsidRDefault="006F5036" w:rsidP="00220427">
            <w:pPr>
              <w:tabs>
                <w:tab w:val="left" w:pos="1080"/>
                <w:tab w:val="left" w:pos="6840"/>
              </w:tabs>
              <w:rPr>
                <w:rFonts w:ascii="Verdana" w:eastAsia="Malgun Gothic" w:hAnsi="Verdana" w:cs="Arial"/>
                <w:b/>
                <w:color w:val="366092"/>
                <w:sz w:val="18"/>
                <w:szCs w:val="18"/>
                <w:lang w:val="el-GR"/>
              </w:rPr>
            </w:pPr>
            <w:r w:rsidRPr="008D07DA">
              <w:rPr>
                <w:rFonts w:ascii="Verdana" w:eastAsia="Malgun Gothic" w:hAnsi="Verdana" w:cs="Arial"/>
                <w:b/>
                <w:color w:val="366092"/>
                <w:sz w:val="18"/>
                <w:szCs w:val="18"/>
                <w:lang w:val="el-GR"/>
              </w:rPr>
              <w:t>Σύνολο</w:t>
            </w:r>
          </w:p>
        </w:tc>
        <w:tc>
          <w:tcPr>
            <w:tcW w:w="1003" w:type="pct"/>
            <w:tcBorders>
              <w:top w:val="single" w:sz="4" w:space="0" w:color="365F91"/>
            </w:tcBorders>
            <w:vAlign w:val="center"/>
          </w:tcPr>
          <w:p w14:paraId="2D393440" w14:textId="77777777" w:rsidR="006F5036" w:rsidRPr="008D07DA" w:rsidRDefault="006F5036" w:rsidP="00220427">
            <w:pPr>
              <w:tabs>
                <w:tab w:val="left" w:pos="1080"/>
                <w:tab w:val="left" w:pos="6840"/>
              </w:tabs>
              <w:ind w:right="209"/>
              <w:jc w:val="center"/>
              <w:rPr>
                <w:rFonts w:ascii="Verdana" w:eastAsia="Malgun Gothic" w:hAnsi="Verdana" w:cs="Arial"/>
                <w:color w:val="366092"/>
                <w:sz w:val="18"/>
                <w:szCs w:val="18"/>
                <w:lang w:val="en-GB"/>
              </w:rPr>
            </w:pPr>
          </w:p>
        </w:tc>
        <w:tc>
          <w:tcPr>
            <w:tcW w:w="1003" w:type="pct"/>
            <w:tcBorders>
              <w:top w:val="single" w:sz="4" w:space="0" w:color="365F91"/>
              <w:right w:val="nil"/>
            </w:tcBorders>
            <w:vAlign w:val="center"/>
          </w:tcPr>
          <w:p w14:paraId="0696473B" w14:textId="77777777" w:rsidR="006F5036" w:rsidRPr="008D07DA" w:rsidRDefault="006F5036" w:rsidP="00220427">
            <w:pPr>
              <w:tabs>
                <w:tab w:val="left" w:pos="1080"/>
                <w:tab w:val="left" w:pos="6840"/>
              </w:tabs>
              <w:ind w:right="206"/>
              <w:jc w:val="center"/>
              <w:rPr>
                <w:rFonts w:ascii="Verdana" w:eastAsia="Malgun Gothic" w:hAnsi="Verdana" w:cs="Arial"/>
                <w:color w:val="366092"/>
                <w:sz w:val="18"/>
                <w:szCs w:val="18"/>
                <w:lang w:val="en-GB"/>
              </w:rPr>
            </w:pPr>
          </w:p>
        </w:tc>
        <w:tc>
          <w:tcPr>
            <w:tcW w:w="793" w:type="pct"/>
            <w:tcBorders>
              <w:top w:val="single" w:sz="4" w:space="0" w:color="365F91"/>
              <w:right w:val="nil"/>
            </w:tcBorders>
          </w:tcPr>
          <w:p w14:paraId="4E375CF4" w14:textId="77777777" w:rsidR="006F5036" w:rsidRPr="008D07DA" w:rsidRDefault="006F5036" w:rsidP="00220427">
            <w:pPr>
              <w:tabs>
                <w:tab w:val="left" w:pos="1080"/>
                <w:tab w:val="left" w:pos="6840"/>
              </w:tabs>
              <w:jc w:val="center"/>
              <w:rPr>
                <w:rFonts w:ascii="Verdana" w:eastAsia="Malgun Gothic" w:hAnsi="Verdana" w:cs="Arial"/>
                <w:color w:val="366092"/>
                <w:sz w:val="18"/>
                <w:szCs w:val="18"/>
                <w:lang w:val="en-GB"/>
              </w:rPr>
            </w:pPr>
          </w:p>
        </w:tc>
        <w:tc>
          <w:tcPr>
            <w:tcW w:w="115" w:type="pct"/>
            <w:tcBorders>
              <w:top w:val="single" w:sz="4" w:space="0" w:color="365F91"/>
              <w:left w:val="nil"/>
              <w:bottom w:val="nil"/>
              <w:right w:val="nil"/>
            </w:tcBorders>
            <w:vAlign w:val="center"/>
          </w:tcPr>
          <w:p w14:paraId="3CF5D129" w14:textId="77777777" w:rsidR="006F5036" w:rsidRPr="008D07DA" w:rsidRDefault="006F5036" w:rsidP="00220427">
            <w:pPr>
              <w:tabs>
                <w:tab w:val="left" w:pos="1080"/>
                <w:tab w:val="left" w:pos="6840"/>
              </w:tabs>
              <w:jc w:val="center"/>
              <w:rPr>
                <w:rFonts w:ascii="Verdana" w:eastAsia="Malgun Gothic" w:hAnsi="Verdana" w:cs="Arial"/>
                <w:color w:val="366092"/>
                <w:sz w:val="18"/>
                <w:szCs w:val="18"/>
                <w:lang w:val="en-GB"/>
              </w:rPr>
            </w:pPr>
          </w:p>
        </w:tc>
      </w:tr>
      <w:tr w:rsidR="009B12A7" w:rsidRPr="008D07DA" w14:paraId="5671C4F4" w14:textId="77777777" w:rsidTr="00FA55BB">
        <w:trPr>
          <w:trHeight w:val="284"/>
          <w:jc w:val="center"/>
        </w:trPr>
        <w:tc>
          <w:tcPr>
            <w:tcW w:w="2085" w:type="pct"/>
            <w:vAlign w:val="center"/>
          </w:tcPr>
          <w:p w14:paraId="09706437"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rPr>
            </w:pPr>
            <w:r w:rsidRPr="008D07DA">
              <w:rPr>
                <w:rFonts w:ascii="Verdana" w:eastAsia="Malgun Gothic" w:hAnsi="Verdana" w:cs="Arial"/>
                <w:color w:val="366092"/>
                <w:sz w:val="18"/>
                <w:szCs w:val="18"/>
                <w:lang w:val="el-GR"/>
              </w:rPr>
              <w:t>&lt;</w:t>
            </w: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1.500</w:t>
            </w:r>
          </w:p>
        </w:tc>
        <w:tc>
          <w:tcPr>
            <w:tcW w:w="1003" w:type="pct"/>
            <w:vAlign w:val="center"/>
          </w:tcPr>
          <w:p w14:paraId="37C1459B" w14:textId="66DBB6FB"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3</w:t>
            </w:r>
            <w:r w:rsidR="009043BE" w:rsidRPr="008D07DA">
              <w:rPr>
                <w:rFonts w:ascii="Verdana" w:eastAsia="Malgun Gothic" w:hAnsi="Verdana" w:cs="Arial"/>
                <w:color w:val="366092"/>
                <w:sz w:val="18"/>
                <w:szCs w:val="18"/>
              </w:rPr>
              <w:t>5,2</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0C982AEC" w14:textId="6ABAD3D6"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28,9</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44B34A85" w14:textId="28B884D5" w:rsidR="009B12A7" w:rsidRPr="008D07DA" w:rsidRDefault="00F124AF" w:rsidP="009B12A7">
            <w:pPr>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47,</w:t>
            </w:r>
            <w:r w:rsidR="00E7690B" w:rsidRPr="008D07DA">
              <w:rPr>
                <w:rFonts w:ascii="Verdana" w:eastAsia="Malgun Gothic" w:hAnsi="Verdana" w:cs="Arial"/>
                <w:color w:val="366092"/>
                <w:sz w:val="18"/>
                <w:szCs w:val="18"/>
              </w:rPr>
              <w:t>7</w:t>
            </w:r>
            <w:r w:rsidR="009B12A7"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2D3E9F4B"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3B425C9E" w14:textId="77777777" w:rsidTr="00FA55BB">
        <w:trPr>
          <w:trHeight w:val="284"/>
          <w:jc w:val="center"/>
        </w:trPr>
        <w:tc>
          <w:tcPr>
            <w:tcW w:w="2085" w:type="pct"/>
            <w:vAlign w:val="center"/>
          </w:tcPr>
          <w:p w14:paraId="659DB422"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1.500-</w:t>
            </w: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2.999</w:t>
            </w:r>
          </w:p>
        </w:tc>
        <w:tc>
          <w:tcPr>
            <w:tcW w:w="1003" w:type="pct"/>
            <w:vAlign w:val="center"/>
          </w:tcPr>
          <w:p w14:paraId="6E1460FA" w14:textId="528FD420"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3</w:t>
            </w:r>
            <w:r w:rsidR="009043BE" w:rsidRPr="008D07DA">
              <w:rPr>
                <w:rFonts w:ascii="Verdana" w:eastAsia="Malgun Gothic" w:hAnsi="Verdana" w:cs="Arial"/>
                <w:color w:val="366092"/>
                <w:sz w:val="18"/>
                <w:szCs w:val="18"/>
              </w:rPr>
              <w:t>9,</w:t>
            </w:r>
            <w:r w:rsidR="00EC1907" w:rsidRPr="008D07DA">
              <w:rPr>
                <w:rFonts w:ascii="Verdana" w:eastAsia="Malgun Gothic" w:hAnsi="Verdana" w:cs="Arial"/>
                <w:color w:val="366092"/>
                <w:sz w:val="18"/>
                <w:szCs w:val="18"/>
              </w:rPr>
              <w:t>2</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1ED954DA" w14:textId="1F1B27C3"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42</w:t>
            </w:r>
            <w:r w:rsidR="00F124AF" w:rsidRPr="008D07DA">
              <w:rPr>
                <w:rFonts w:ascii="Verdana" w:eastAsia="Malgun Gothic" w:hAnsi="Verdana" w:cs="Arial"/>
                <w:color w:val="366092"/>
                <w:sz w:val="18"/>
                <w:szCs w:val="18"/>
              </w:rPr>
              <w:t>,</w:t>
            </w:r>
            <w:r w:rsidR="00E7690B" w:rsidRPr="008D07DA">
              <w:rPr>
                <w:rFonts w:ascii="Verdana" w:eastAsia="Malgun Gothic" w:hAnsi="Verdana" w:cs="Arial"/>
                <w:color w:val="366092"/>
                <w:sz w:val="18"/>
                <w:szCs w:val="18"/>
              </w:rPr>
              <w:t>8</w:t>
            </w:r>
            <w:r w:rsidRPr="008D07DA">
              <w:rPr>
                <w:rFonts w:ascii="Verdana" w:eastAsia="Malgun Gothic" w:hAnsi="Verdana" w:cs="Arial"/>
                <w:color w:val="366092"/>
                <w:sz w:val="18"/>
                <w:szCs w:val="18"/>
                <w:lang w:val="el-GR"/>
              </w:rPr>
              <w:t>%</w:t>
            </w:r>
          </w:p>
        </w:tc>
        <w:tc>
          <w:tcPr>
            <w:tcW w:w="793" w:type="pct"/>
            <w:tcBorders>
              <w:right w:val="nil"/>
            </w:tcBorders>
            <w:vAlign w:val="center"/>
          </w:tcPr>
          <w:p w14:paraId="1298F6C1" w14:textId="48B4A706"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3</w:t>
            </w:r>
            <w:r w:rsidR="00F124AF" w:rsidRPr="008D07DA">
              <w:rPr>
                <w:rFonts w:ascii="Verdana" w:eastAsia="Malgun Gothic" w:hAnsi="Verdana" w:cs="Arial"/>
                <w:color w:val="366092"/>
                <w:sz w:val="18"/>
                <w:szCs w:val="18"/>
              </w:rPr>
              <w:t>2,</w:t>
            </w:r>
            <w:r w:rsidR="00E7690B" w:rsidRPr="008D07DA">
              <w:rPr>
                <w:rFonts w:ascii="Verdana" w:eastAsia="Malgun Gothic" w:hAnsi="Verdana" w:cs="Arial"/>
                <w:color w:val="366092"/>
                <w:sz w:val="18"/>
                <w:szCs w:val="18"/>
              </w:rPr>
              <w:t>2</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113F0F80"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45CB549E" w14:textId="77777777" w:rsidTr="00FA55BB">
        <w:trPr>
          <w:trHeight w:val="284"/>
          <w:jc w:val="center"/>
        </w:trPr>
        <w:tc>
          <w:tcPr>
            <w:tcW w:w="2085" w:type="pct"/>
            <w:vAlign w:val="center"/>
          </w:tcPr>
          <w:p w14:paraId="7BE7FF4C"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€3</w:t>
            </w:r>
            <w:r w:rsidRPr="008D07DA">
              <w:rPr>
                <w:rFonts w:ascii="Verdana" w:eastAsia="Malgun Gothic" w:hAnsi="Verdana" w:cs="Arial"/>
                <w:color w:val="366092"/>
                <w:sz w:val="18"/>
                <w:szCs w:val="18"/>
                <w:lang w:val="el-GR"/>
              </w:rPr>
              <w:t>.000-</w:t>
            </w:r>
            <w:r w:rsidRPr="008D07DA">
              <w:rPr>
                <w:rFonts w:ascii="Verdana" w:eastAsia="Malgun Gothic" w:hAnsi="Verdana" w:cs="Calibri"/>
                <w:color w:val="366092"/>
                <w:sz w:val="18"/>
                <w:szCs w:val="18"/>
                <w:lang w:val="el-GR"/>
              </w:rPr>
              <w:t>€4</w:t>
            </w:r>
            <w:r w:rsidRPr="008D07DA">
              <w:rPr>
                <w:rFonts w:ascii="Verdana" w:eastAsia="Malgun Gothic" w:hAnsi="Verdana" w:cs="Arial"/>
                <w:color w:val="366092"/>
                <w:sz w:val="18"/>
                <w:szCs w:val="18"/>
                <w:lang w:val="el-GR"/>
              </w:rPr>
              <w:t>.499</w:t>
            </w:r>
          </w:p>
        </w:tc>
        <w:tc>
          <w:tcPr>
            <w:tcW w:w="1003" w:type="pct"/>
            <w:vAlign w:val="center"/>
          </w:tcPr>
          <w:p w14:paraId="0E3A0804" w14:textId="39B9A717"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13</w:t>
            </w:r>
            <w:r w:rsidR="009043BE" w:rsidRPr="008D07DA">
              <w:rPr>
                <w:rFonts w:ascii="Verdana" w:eastAsia="Malgun Gothic" w:hAnsi="Verdana" w:cs="Arial"/>
                <w:color w:val="366092"/>
                <w:sz w:val="18"/>
                <w:szCs w:val="18"/>
              </w:rPr>
              <w:t>,1</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6352293D" w14:textId="376BFC0E"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1</w:t>
            </w:r>
            <w:r w:rsidR="00E7690B" w:rsidRPr="008D07DA">
              <w:rPr>
                <w:rFonts w:ascii="Verdana" w:eastAsia="Malgun Gothic" w:hAnsi="Verdana" w:cs="Arial"/>
                <w:color w:val="366092"/>
                <w:sz w:val="18"/>
                <w:szCs w:val="18"/>
              </w:rPr>
              <w:t>6</w:t>
            </w:r>
            <w:r w:rsidR="00F124AF" w:rsidRPr="008D07DA">
              <w:rPr>
                <w:rFonts w:ascii="Verdana" w:eastAsia="Malgun Gothic" w:hAnsi="Verdana" w:cs="Arial"/>
                <w:color w:val="366092"/>
                <w:sz w:val="18"/>
                <w:szCs w:val="18"/>
              </w:rPr>
              <w:t>,</w:t>
            </w:r>
            <w:r w:rsidR="00E7690B" w:rsidRPr="008D07DA">
              <w:rPr>
                <w:rFonts w:ascii="Verdana" w:eastAsia="Malgun Gothic" w:hAnsi="Verdana" w:cs="Arial"/>
                <w:color w:val="366092"/>
                <w:sz w:val="18"/>
                <w:szCs w:val="18"/>
              </w:rPr>
              <w:t>0</w:t>
            </w:r>
            <w:r w:rsidRPr="008D07DA">
              <w:rPr>
                <w:rFonts w:ascii="Verdana" w:eastAsia="Malgun Gothic" w:hAnsi="Verdana" w:cs="Arial"/>
                <w:color w:val="366092"/>
                <w:sz w:val="18"/>
                <w:szCs w:val="18"/>
                <w:lang w:val="el-GR"/>
              </w:rPr>
              <w:t>%</w:t>
            </w:r>
          </w:p>
        </w:tc>
        <w:tc>
          <w:tcPr>
            <w:tcW w:w="793" w:type="pct"/>
            <w:tcBorders>
              <w:right w:val="nil"/>
            </w:tcBorders>
            <w:vAlign w:val="center"/>
          </w:tcPr>
          <w:p w14:paraId="6204F44E" w14:textId="3B6D63F7"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7</w:t>
            </w:r>
            <w:r w:rsidR="00F124AF" w:rsidRPr="008D07DA">
              <w:rPr>
                <w:rFonts w:ascii="Verdana" w:eastAsia="Malgun Gothic" w:hAnsi="Verdana" w:cs="Arial"/>
                <w:color w:val="366092"/>
                <w:sz w:val="18"/>
                <w:szCs w:val="18"/>
              </w:rPr>
              <w:t>,5</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731D4ACB"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07BF4C9E" w14:textId="77777777" w:rsidTr="00FA55BB">
        <w:trPr>
          <w:trHeight w:val="284"/>
          <w:jc w:val="center"/>
        </w:trPr>
        <w:tc>
          <w:tcPr>
            <w:tcW w:w="2085" w:type="pct"/>
            <w:vAlign w:val="center"/>
          </w:tcPr>
          <w:p w14:paraId="247A0971" w14:textId="77777777" w:rsidR="009B12A7" w:rsidRPr="008D07DA" w:rsidRDefault="009B12A7" w:rsidP="009B12A7">
            <w:pPr>
              <w:tabs>
                <w:tab w:val="left" w:pos="1080"/>
                <w:tab w:val="left" w:pos="6840"/>
              </w:tabs>
              <w:ind w:left="284"/>
              <w:jc w:val="center"/>
              <w:rPr>
                <w:rFonts w:ascii="Verdana" w:eastAsia="Malgun Gothic" w:hAnsi="Verdana" w:cs="Calibri"/>
                <w:color w:val="366092"/>
                <w:sz w:val="18"/>
                <w:szCs w:val="18"/>
                <w:lang w:val="el-GR"/>
              </w:rPr>
            </w:pPr>
            <w:r w:rsidRPr="008D07DA">
              <w:rPr>
                <w:rFonts w:ascii="Verdana" w:eastAsia="Malgun Gothic" w:hAnsi="Verdana" w:cs="Calibri"/>
                <w:color w:val="366092"/>
                <w:sz w:val="18"/>
                <w:szCs w:val="18"/>
                <w:lang w:val="el-GR"/>
              </w:rPr>
              <w:t>€4</w:t>
            </w:r>
            <w:r w:rsidRPr="008D07DA">
              <w:rPr>
                <w:rFonts w:ascii="Verdana" w:eastAsia="Malgun Gothic" w:hAnsi="Verdana" w:cs="Arial"/>
                <w:color w:val="366092"/>
                <w:sz w:val="18"/>
                <w:szCs w:val="18"/>
                <w:lang w:val="el-GR"/>
              </w:rPr>
              <w:t>.500-</w:t>
            </w:r>
            <w:r w:rsidRPr="008D07DA">
              <w:rPr>
                <w:rFonts w:ascii="Verdana" w:eastAsia="Malgun Gothic" w:hAnsi="Verdana" w:cs="Calibri"/>
                <w:color w:val="366092"/>
                <w:sz w:val="18"/>
                <w:szCs w:val="18"/>
                <w:lang w:val="el-GR"/>
              </w:rPr>
              <w:t>€5</w:t>
            </w:r>
            <w:r w:rsidRPr="008D07DA">
              <w:rPr>
                <w:rFonts w:ascii="Verdana" w:eastAsia="Malgun Gothic" w:hAnsi="Verdana" w:cs="Arial"/>
                <w:color w:val="366092"/>
                <w:sz w:val="18"/>
                <w:szCs w:val="18"/>
                <w:lang w:val="el-GR"/>
              </w:rPr>
              <w:t>.999</w:t>
            </w:r>
          </w:p>
        </w:tc>
        <w:tc>
          <w:tcPr>
            <w:tcW w:w="1003" w:type="pct"/>
            <w:vAlign w:val="center"/>
          </w:tcPr>
          <w:p w14:paraId="78C8F7EF" w14:textId="54D607AD"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6</w:t>
            </w:r>
            <w:r w:rsidR="009043BE" w:rsidRPr="008D07DA">
              <w:rPr>
                <w:rFonts w:ascii="Verdana" w:eastAsia="Malgun Gothic" w:hAnsi="Verdana" w:cs="Arial"/>
                <w:color w:val="366092"/>
                <w:sz w:val="18"/>
                <w:szCs w:val="18"/>
              </w:rPr>
              <w:t>,4</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50DC7B64" w14:textId="3DDA651A"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7,2</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35769700" w14:textId="7A794F50" w:rsidR="009B12A7" w:rsidRPr="008D07DA" w:rsidRDefault="00F124AF"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4,8</w:t>
            </w:r>
            <w:r w:rsidR="009B12A7"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218BB584"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3541705A" w14:textId="77777777" w:rsidTr="00FA55BB">
        <w:trPr>
          <w:trHeight w:val="284"/>
          <w:jc w:val="center"/>
        </w:trPr>
        <w:tc>
          <w:tcPr>
            <w:tcW w:w="2085" w:type="pct"/>
            <w:vAlign w:val="center"/>
          </w:tcPr>
          <w:p w14:paraId="50EAFDB3" w14:textId="77777777" w:rsidR="009B12A7" w:rsidRPr="008D07DA" w:rsidRDefault="009B12A7" w:rsidP="009B12A7">
            <w:pPr>
              <w:tabs>
                <w:tab w:val="left" w:pos="1080"/>
                <w:tab w:val="left" w:pos="6840"/>
              </w:tabs>
              <w:ind w:left="284"/>
              <w:jc w:val="center"/>
              <w:rPr>
                <w:rFonts w:ascii="Verdana" w:eastAsia="Malgun Gothic" w:hAnsi="Verdana" w:cs="Calibri"/>
                <w:color w:val="366092"/>
                <w:sz w:val="18"/>
                <w:szCs w:val="18"/>
                <w:lang w:val="el-GR"/>
              </w:rPr>
            </w:pPr>
            <w:r w:rsidRPr="008D07DA">
              <w:rPr>
                <w:rFonts w:ascii="Verdana" w:eastAsia="Malgun Gothic" w:hAnsi="Verdana" w:cs="Calibri"/>
                <w:color w:val="366092"/>
                <w:sz w:val="18"/>
                <w:szCs w:val="18"/>
                <w:lang w:val="el-GR"/>
              </w:rPr>
              <w:t>&gt;=€6</w:t>
            </w:r>
            <w:r w:rsidRPr="008D07DA">
              <w:rPr>
                <w:rFonts w:ascii="Verdana" w:eastAsia="Malgun Gothic" w:hAnsi="Verdana" w:cs="Arial"/>
                <w:color w:val="366092"/>
                <w:sz w:val="18"/>
                <w:szCs w:val="18"/>
                <w:lang w:val="el-GR"/>
              </w:rPr>
              <w:t>.000</w:t>
            </w:r>
          </w:p>
        </w:tc>
        <w:tc>
          <w:tcPr>
            <w:tcW w:w="1003" w:type="pct"/>
            <w:vAlign w:val="center"/>
          </w:tcPr>
          <w:p w14:paraId="62138D9F" w14:textId="2229F02C" w:rsidR="009B12A7" w:rsidRPr="008D07DA" w:rsidRDefault="009043BE"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6,</w:t>
            </w:r>
            <w:r w:rsidR="002C5BE4" w:rsidRPr="008D07DA">
              <w:rPr>
                <w:rFonts w:ascii="Verdana" w:eastAsia="Malgun Gothic" w:hAnsi="Verdana" w:cs="Arial"/>
                <w:color w:val="366092"/>
                <w:sz w:val="18"/>
                <w:szCs w:val="18"/>
              </w:rPr>
              <w:t>1</w:t>
            </w:r>
            <w:r w:rsidR="009B12A7" w:rsidRPr="008D07DA">
              <w:rPr>
                <w:rFonts w:ascii="Verdana" w:eastAsia="Malgun Gothic" w:hAnsi="Verdana" w:cs="Arial"/>
                <w:color w:val="366092"/>
                <w:sz w:val="18"/>
                <w:szCs w:val="18"/>
                <w:lang w:val="el-GR"/>
              </w:rPr>
              <w:t>%</w:t>
            </w:r>
          </w:p>
        </w:tc>
        <w:tc>
          <w:tcPr>
            <w:tcW w:w="1003" w:type="pct"/>
            <w:tcBorders>
              <w:right w:val="nil"/>
            </w:tcBorders>
            <w:vAlign w:val="center"/>
          </w:tcPr>
          <w:p w14:paraId="232D058C" w14:textId="65EC77F6"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5,</w:t>
            </w:r>
            <w:r w:rsidR="00E7690B" w:rsidRPr="008D07DA">
              <w:rPr>
                <w:rFonts w:ascii="Verdana" w:eastAsia="Malgun Gothic" w:hAnsi="Verdana" w:cs="Arial"/>
                <w:color w:val="366092"/>
                <w:sz w:val="18"/>
                <w:szCs w:val="18"/>
              </w:rPr>
              <w:t>2</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113A9E35" w14:textId="06B73B9D"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7</w:t>
            </w:r>
            <w:r w:rsidR="00F124AF" w:rsidRPr="008D07DA">
              <w:rPr>
                <w:rFonts w:ascii="Verdana" w:eastAsia="Malgun Gothic" w:hAnsi="Verdana" w:cs="Arial"/>
                <w:color w:val="366092"/>
                <w:sz w:val="18"/>
                <w:szCs w:val="18"/>
              </w:rPr>
              <w:t>,</w:t>
            </w:r>
            <w:r w:rsidR="00E7690B" w:rsidRPr="008D07DA">
              <w:rPr>
                <w:rFonts w:ascii="Verdana" w:eastAsia="Malgun Gothic" w:hAnsi="Verdana" w:cs="Arial"/>
                <w:color w:val="366092"/>
                <w:sz w:val="18"/>
                <w:szCs w:val="18"/>
              </w:rPr>
              <w:t>8</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10D422A3"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03AD3E38" w14:textId="77777777" w:rsidTr="00FA55BB">
        <w:trPr>
          <w:trHeight w:hRule="exact" w:val="340"/>
          <w:jc w:val="center"/>
        </w:trPr>
        <w:tc>
          <w:tcPr>
            <w:tcW w:w="2085" w:type="pct"/>
            <w:vAlign w:val="center"/>
          </w:tcPr>
          <w:p w14:paraId="2A7FFBD2" w14:textId="77777777" w:rsidR="009B12A7" w:rsidRPr="008D07DA" w:rsidRDefault="009B12A7" w:rsidP="009B12A7">
            <w:pPr>
              <w:tabs>
                <w:tab w:val="left" w:pos="1080"/>
                <w:tab w:val="left" w:pos="6840"/>
              </w:tabs>
              <w:rPr>
                <w:rFonts w:ascii="Verdana" w:eastAsia="Malgun Gothic" w:hAnsi="Verdana" w:cs="Arial"/>
                <w:b/>
                <w:color w:val="366092"/>
                <w:sz w:val="18"/>
                <w:szCs w:val="18"/>
                <w:lang w:val="el-GR"/>
              </w:rPr>
            </w:pPr>
            <w:r w:rsidRPr="008D07DA">
              <w:rPr>
                <w:rFonts w:ascii="Verdana" w:eastAsia="Malgun Gothic" w:hAnsi="Verdana" w:cs="Arial"/>
                <w:b/>
                <w:color w:val="366092"/>
                <w:sz w:val="18"/>
                <w:szCs w:val="18"/>
                <w:lang w:val="el-GR"/>
              </w:rPr>
              <w:t>Άνδρες</w:t>
            </w:r>
          </w:p>
        </w:tc>
        <w:tc>
          <w:tcPr>
            <w:tcW w:w="1003" w:type="pct"/>
            <w:vAlign w:val="center"/>
          </w:tcPr>
          <w:p w14:paraId="0AEC79F0" w14:textId="77777777"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p>
        </w:tc>
        <w:tc>
          <w:tcPr>
            <w:tcW w:w="1003" w:type="pct"/>
            <w:tcBorders>
              <w:right w:val="nil"/>
            </w:tcBorders>
            <w:vAlign w:val="center"/>
          </w:tcPr>
          <w:p w14:paraId="2D0EAD14" w14:textId="77777777"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p>
        </w:tc>
        <w:tc>
          <w:tcPr>
            <w:tcW w:w="793" w:type="pct"/>
            <w:tcBorders>
              <w:right w:val="nil"/>
            </w:tcBorders>
            <w:vAlign w:val="center"/>
          </w:tcPr>
          <w:p w14:paraId="27129748" w14:textId="77777777"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p>
        </w:tc>
        <w:tc>
          <w:tcPr>
            <w:tcW w:w="115" w:type="pct"/>
            <w:tcBorders>
              <w:left w:val="nil"/>
              <w:bottom w:val="nil"/>
              <w:right w:val="nil"/>
            </w:tcBorders>
            <w:vAlign w:val="center"/>
          </w:tcPr>
          <w:p w14:paraId="0F4275C8"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659013A7" w14:textId="77777777" w:rsidTr="00FA55BB">
        <w:trPr>
          <w:trHeight w:val="284"/>
          <w:jc w:val="center"/>
        </w:trPr>
        <w:tc>
          <w:tcPr>
            <w:tcW w:w="2085" w:type="pct"/>
            <w:vAlign w:val="center"/>
          </w:tcPr>
          <w:p w14:paraId="2838A58A"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&lt;</w:t>
            </w: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1.500</w:t>
            </w:r>
          </w:p>
        </w:tc>
        <w:tc>
          <w:tcPr>
            <w:tcW w:w="1003" w:type="pct"/>
            <w:vAlign w:val="center"/>
          </w:tcPr>
          <w:p w14:paraId="203365A5" w14:textId="297C973A"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3</w:t>
            </w:r>
            <w:r w:rsidR="009043BE" w:rsidRPr="008D07DA">
              <w:rPr>
                <w:rFonts w:ascii="Verdana" w:eastAsia="Malgun Gothic" w:hAnsi="Verdana" w:cs="Arial"/>
                <w:color w:val="366092"/>
                <w:sz w:val="18"/>
                <w:szCs w:val="18"/>
              </w:rPr>
              <w:t>2,</w:t>
            </w:r>
            <w:r w:rsidR="002C5BE4" w:rsidRPr="008D07DA">
              <w:rPr>
                <w:rFonts w:ascii="Verdana" w:eastAsia="Malgun Gothic" w:hAnsi="Verdana" w:cs="Arial"/>
                <w:color w:val="366092"/>
                <w:sz w:val="18"/>
                <w:szCs w:val="18"/>
              </w:rPr>
              <w:t>3</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6ECF1B7E" w14:textId="03E1F799"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2</w:t>
            </w:r>
            <w:r w:rsidR="00F124AF" w:rsidRPr="008D07DA">
              <w:rPr>
                <w:rFonts w:ascii="Verdana" w:eastAsia="Malgun Gothic" w:hAnsi="Verdana" w:cs="Arial"/>
                <w:color w:val="366092"/>
                <w:sz w:val="18"/>
                <w:szCs w:val="18"/>
              </w:rPr>
              <w:t>4,5</w:t>
            </w:r>
            <w:r w:rsidRPr="008D07DA">
              <w:rPr>
                <w:rFonts w:ascii="Verdana" w:eastAsia="Malgun Gothic" w:hAnsi="Verdana" w:cs="Arial"/>
                <w:color w:val="366092"/>
                <w:sz w:val="18"/>
                <w:szCs w:val="18"/>
                <w:lang w:val="el-GR"/>
              </w:rPr>
              <w:t>%</w:t>
            </w:r>
          </w:p>
        </w:tc>
        <w:tc>
          <w:tcPr>
            <w:tcW w:w="793" w:type="pct"/>
            <w:tcBorders>
              <w:right w:val="nil"/>
            </w:tcBorders>
            <w:vAlign w:val="center"/>
          </w:tcPr>
          <w:p w14:paraId="1A5EA597" w14:textId="6A9F4942"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4</w:t>
            </w:r>
            <w:r w:rsidR="00F124AF" w:rsidRPr="008D07DA">
              <w:rPr>
                <w:rFonts w:ascii="Verdana" w:eastAsia="Malgun Gothic" w:hAnsi="Verdana" w:cs="Arial"/>
                <w:color w:val="366092"/>
                <w:sz w:val="18"/>
                <w:szCs w:val="18"/>
              </w:rPr>
              <w:t>5,</w:t>
            </w:r>
            <w:r w:rsidR="00E7690B" w:rsidRPr="008D07DA">
              <w:rPr>
                <w:rFonts w:ascii="Verdana" w:eastAsia="Malgun Gothic" w:hAnsi="Verdana" w:cs="Arial"/>
                <w:color w:val="366092"/>
                <w:sz w:val="18"/>
                <w:szCs w:val="18"/>
              </w:rPr>
              <w:t>3</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3C034C3A"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09BC3D4F" w14:textId="77777777" w:rsidTr="00FA55BB">
        <w:trPr>
          <w:trHeight w:val="284"/>
          <w:jc w:val="center"/>
        </w:trPr>
        <w:tc>
          <w:tcPr>
            <w:tcW w:w="2085" w:type="pct"/>
            <w:vAlign w:val="center"/>
          </w:tcPr>
          <w:p w14:paraId="634ECB8D"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bookmarkStart w:id="0" w:name="_Hlk228174781"/>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1.500-</w:t>
            </w: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2.999</w:t>
            </w:r>
            <w:bookmarkEnd w:id="0"/>
          </w:p>
        </w:tc>
        <w:tc>
          <w:tcPr>
            <w:tcW w:w="1003" w:type="pct"/>
            <w:vAlign w:val="center"/>
          </w:tcPr>
          <w:p w14:paraId="60E3D0EA" w14:textId="5A9BBB06"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40</w:t>
            </w:r>
            <w:r w:rsidR="009043BE" w:rsidRPr="008D07DA">
              <w:rPr>
                <w:rFonts w:ascii="Verdana" w:eastAsia="Malgun Gothic" w:hAnsi="Verdana" w:cs="Arial"/>
                <w:color w:val="366092"/>
                <w:sz w:val="18"/>
                <w:szCs w:val="18"/>
              </w:rPr>
              <w:t>,</w:t>
            </w:r>
            <w:r w:rsidR="002C5BE4" w:rsidRPr="008D07DA">
              <w:rPr>
                <w:rFonts w:ascii="Verdana" w:eastAsia="Malgun Gothic" w:hAnsi="Verdana" w:cs="Arial"/>
                <w:color w:val="366092"/>
                <w:sz w:val="18"/>
                <w:szCs w:val="18"/>
              </w:rPr>
              <w:t>5</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1ED2820B" w14:textId="43289207"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45</w:t>
            </w:r>
            <w:r w:rsidR="00F124AF" w:rsidRPr="008D07DA">
              <w:rPr>
                <w:rFonts w:ascii="Verdana" w:eastAsia="Malgun Gothic" w:hAnsi="Verdana" w:cs="Arial"/>
                <w:color w:val="366092"/>
                <w:sz w:val="18"/>
                <w:szCs w:val="18"/>
              </w:rPr>
              <w:t>,</w:t>
            </w:r>
            <w:r w:rsidR="00E7690B" w:rsidRPr="008D07DA">
              <w:rPr>
                <w:rFonts w:ascii="Verdana" w:eastAsia="Malgun Gothic" w:hAnsi="Verdana" w:cs="Arial"/>
                <w:color w:val="366092"/>
                <w:sz w:val="18"/>
                <w:szCs w:val="18"/>
              </w:rPr>
              <w:t>3</w:t>
            </w:r>
            <w:r w:rsidRPr="008D07DA">
              <w:rPr>
                <w:rFonts w:ascii="Verdana" w:eastAsia="Malgun Gothic" w:hAnsi="Verdana" w:cs="Arial"/>
                <w:color w:val="366092"/>
                <w:sz w:val="18"/>
                <w:szCs w:val="18"/>
                <w:lang w:val="el-GR"/>
              </w:rPr>
              <w:t>%</w:t>
            </w:r>
          </w:p>
        </w:tc>
        <w:tc>
          <w:tcPr>
            <w:tcW w:w="793" w:type="pct"/>
            <w:tcBorders>
              <w:right w:val="nil"/>
            </w:tcBorders>
            <w:vAlign w:val="center"/>
          </w:tcPr>
          <w:p w14:paraId="0CD39C18" w14:textId="52D29DD1"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3</w:t>
            </w:r>
            <w:r w:rsidR="00F124AF" w:rsidRPr="008D07DA">
              <w:rPr>
                <w:rFonts w:ascii="Verdana" w:eastAsia="Malgun Gothic" w:hAnsi="Verdana" w:cs="Arial"/>
                <w:color w:val="366092"/>
                <w:sz w:val="18"/>
                <w:szCs w:val="18"/>
              </w:rPr>
              <w:t>2,6</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2D17EBC2"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6154D645" w14:textId="77777777" w:rsidTr="00FA55BB">
        <w:trPr>
          <w:trHeight w:val="284"/>
          <w:jc w:val="center"/>
        </w:trPr>
        <w:tc>
          <w:tcPr>
            <w:tcW w:w="2085" w:type="pct"/>
            <w:vAlign w:val="center"/>
          </w:tcPr>
          <w:p w14:paraId="1588AC49"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€3</w:t>
            </w:r>
            <w:r w:rsidRPr="008D07DA">
              <w:rPr>
                <w:rFonts w:ascii="Verdana" w:eastAsia="Malgun Gothic" w:hAnsi="Verdana" w:cs="Arial"/>
                <w:color w:val="366092"/>
                <w:sz w:val="18"/>
                <w:szCs w:val="18"/>
                <w:lang w:val="el-GR"/>
              </w:rPr>
              <w:t>.000-</w:t>
            </w:r>
            <w:r w:rsidRPr="008D07DA">
              <w:rPr>
                <w:rFonts w:ascii="Verdana" w:eastAsia="Malgun Gothic" w:hAnsi="Verdana" w:cs="Calibri"/>
                <w:color w:val="366092"/>
                <w:sz w:val="18"/>
                <w:szCs w:val="18"/>
                <w:lang w:val="el-GR"/>
              </w:rPr>
              <w:t>€4</w:t>
            </w:r>
            <w:r w:rsidRPr="008D07DA">
              <w:rPr>
                <w:rFonts w:ascii="Verdana" w:eastAsia="Malgun Gothic" w:hAnsi="Verdana" w:cs="Arial"/>
                <w:color w:val="366092"/>
                <w:sz w:val="18"/>
                <w:szCs w:val="18"/>
                <w:lang w:val="el-GR"/>
              </w:rPr>
              <w:t>.499</w:t>
            </w:r>
          </w:p>
        </w:tc>
        <w:tc>
          <w:tcPr>
            <w:tcW w:w="1003" w:type="pct"/>
            <w:vAlign w:val="center"/>
          </w:tcPr>
          <w:p w14:paraId="374622EB" w14:textId="4F240F5E"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13</w:t>
            </w:r>
            <w:r w:rsidR="009043BE" w:rsidRPr="008D07DA">
              <w:rPr>
                <w:rFonts w:ascii="Verdana" w:eastAsia="Malgun Gothic" w:hAnsi="Verdana" w:cs="Arial"/>
                <w:color w:val="366092"/>
                <w:sz w:val="18"/>
                <w:szCs w:val="18"/>
              </w:rPr>
              <w:t>,2</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18B66644" w14:textId="28DC90E4"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16</w:t>
            </w:r>
            <w:r w:rsidR="00F124AF" w:rsidRPr="008D07DA">
              <w:rPr>
                <w:rFonts w:ascii="Verdana" w:eastAsia="Malgun Gothic" w:hAnsi="Verdana" w:cs="Arial"/>
                <w:color w:val="366092"/>
                <w:sz w:val="18"/>
                <w:szCs w:val="18"/>
              </w:rPr>
              <w:t>,8</w:t>
            </w:r>
            <w:r w:rsidRPr="008D07DA">
              <w:rPr>
                <w:rFonts w:ascii="Verdana" w:eastAsia="Malgun Gothic" w:hAnsi="Verdana" w:cs="Arial"/>
                <w:color w:val="366092"/>
                <w:sz w:val="18"/>
                <w:szCs w:val="18"/>
                <w:lang w:val="el-GR"/>
              </w:rPr>
              <w:t>%</w:t>
            </w:r>
          </w:p>
        </w:tc>
        <w:tc>
          <w:tcPr>
            <w:tcW w:w="793" w:type="pct"/>
            <w:tcBorders>
              <w:right w:val="nil"/>
            </w:tcBorders>
            <w:vAlign w:val="center"/>
          </w:tcPr>
          <w:p w14:paraId="287E10D4" w14:textId="67419854"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7</w:t>
            </w:r>
            <w:r w:rsidR="00F124AF" w:rsidRPr="008D07DA">
              <w:rPr>
                <w:rFonts w:ascii="Verdana" w:eastAsia="Malgun Gothic" w:hAnsi="Verdana" w:cs="Arial"/>
                <w:color w:val="366092"/>
                <w:sz w:val="18"/>
                <w:szCs w:val="18"/>
              </w:rPr>
              <w:t>,3</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07584B7E"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5A0006AA" w14:textId="77777777" w:rsidTr="00FA55BB">
        <w:trPr>
          <w:trHeight w:val="284"/>
          <w:jc w:val="center"/>
        </w:trPr>
        <w:tc>
          <w:tcPr>
            <w:tcW w:w="2085" w:type="pct"/>
            <w:vAlign w:val="center"/>
          </w:tcPr>
          <w:p w14:paraId="0EAD096F"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€4</w:t>
            </w:r>
            <w:r w:rsidRPr="008D07DA">
              <w:rPr>
                <w:rFonts w:ascii="Verdana" w:eastAsia="Malgun Gothic" w:hAnsi="Verdana" w:cs="Arial"/>
                <w:color w:val="366092"/>
                <w:sz w:val="18"/>
                <w:szCs w:val="18"/>
                <w:lang w:val="el-GR"/>
              </w:rPr>
              <w:t>.500-</w:t>
            </w:r>
            <w:r w:rsidRPr="008D07DA">
              <w:rPr>
                <w:rFonts w:ascii="Verdana" w:eastAsia="Malgun Gothic" w:hAnsi="Verdana" w:cs="Calibri"/>
                <w:color w:val="366092"/>
                <w:sz w:val="18"/>
                <w:szCs w:val="18"/>
                <w:lang w:val="el-GR"/>
              </w:rPr>
              <w:t>€5</w:t>
            </w:r>
            <w:r w:rsidRPr="008D07DA">
              <w:rPr>
                <w:rFonts w:ascii="Verdana" w:eastAsia="Malgun Gothic" w:hAnsi="Verdana" w:cs="Arial"/>
                <w:color w:val="366092"/>
                <w:sz w:val="18"/>
                <w:szCs w:val="18"/>
                <w:lang w:val="el-GR"/>
              </w:rPr>
              <w:t>.999</w:t>
            </w:r>
          </w:p>
        </w:tc>
        <w:tc>
          <w:tcPr>
            <w:tcW w:w="1003" w:type="pct"/>
            <w:vAlign w:val="center"/>
          </w:tcPr>
          <w:p w14:paraId="1F4F9E2D" w14:textId="691A1B96"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6</w:t>
            </w:r>
            <w:r w:rsidR="009043BE" w:rsidRPr="008D07DA">
              <w:rPr>
                <w:rFonts w:ascii="Verdana" w:eastAsia="Malgun Gothic" w:hAnsi="Verdana" w:cs="Arial"/>
                <w:color w:val="366092"/>
                <w:sz w:val="18"/>
                <w:szCs w:val="18"/>
              </w:rPr>
              <w:t>,4</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4C73D653" w14:textId="19E588D0"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7,</w:t>
            </w:r>
            <w:r w:rsidR="00E7690B" w:rsidRPr="008D07DA">
              <w:rPr>
                <w:rFonts w:ascii="Verdana" w:eastAsia="Malgun Gothic" w:hAnsi="Verdana" w:cs="Arial"/>
                <w:color w:val="366092"/>
                <w:sz w:val="18"/>
                <w:szCs w:val="18"/>
              </w:rPr>
              <w:t>2</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12F20DEA" w14:textId="1C7A3AAF"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5</w:t>
            </w:r>
            <w:r w:rsidR="00F124AF" w:rsidRPr="008D07DA">
              <w:rPr>
                <w:rFonts w:ascii="Verdana" w:eastAsia="Malgun Gothic" w:hAnsi="Verdana" w:cs="Arial"/>
                <w:color w:val="366092"/>
                <w:sz w:val="18"/>
                <w:szCs w:val="18"/>
              </w:rPr>
              <w:t>,</w:t>
            </w:r>
            <w:r w:rsidR="00E7690B" w:rsidRPr="008D07DA">
              <w:rPr>
                <w:rFonts w:ascii="Verdana" w:eastAsia="Malgun Gothic" w:hAnsi="Verdana" w:cs="Arial"/>
                <w:color w:val="366092"/>
                <w:sz w:val="18"/>
                <w:szCs w:val="18"/>
              </w:rPr>
              <w:t>0</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6B0C82BA"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1CF90533" w14:textId="77777777" w:rsidTr="00FA55BB">
        <w:trPr>
          <w:trHeight w:val="284"/>
          <w:jc w:val="center"/>
        </w:trPr>
        <w:tc>
          <w:tcPr>
            <w:tcW w:w="2085" w:type="pct"/>
            <w:vAlign w:val="center"/>
          </w:tcPr>
          <w:p w14:paraId="4E0C9394"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&gt;=€6</w:t>
            </w:r>
            <w:r w:rsidRPr="008D07DA">
              <w:rPr>
                <w:rFonts w:ascii="Verdana" w:eastAsia="Malgun Gothic" w:hAnsi="Verdana" w:cs="Arial"/>
                <w:color w:val="366092"/>
                <w:sz w:val="18"/>
                <w:szCs w:val="18"/>
                <w:lang w:val="el-GR"/>
              </w:rPr>
              <w:t>.000</w:t>
            </w:r>
          </w:p>
        </w:tc>
        <w:tc>
          <w:tcPr>
            <w:tcW w:w="1003" w:type="pct"/>
            <w:vAlign w:val="center"/>
          </w:tcPr>
          <w:p w14:paraId="53867D37" w14:textId="281CCB4D"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7</w:t>
            </w:r>
            <w:r w:rsidR="009043BE" w:rsidRPr="008D07DA">
              <w:rPr>
                <w:rFonts w:ascii="Verdana" w:eastAsia="Malgun Gothic" w:hAnsi="Verdana" w:cs="Arial"/>
                <w:color w:val="366092"/>
                <w:sz w:val="18"/>
                <w:szCs w:val="18"/>
              </w:rPr>
              <w:t>,5</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697E88C2" w14:textId="42D1789C"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6,</w:t>
            </w:r>
            <w:r w:rsidR="00E7690B" w:rsidRPr="008D07DA">
              <w:rPr>
                <w:rFonts w:ascii="Verdana" w:eastAsia="Malgun Gothic" w:hAnsi="Verdana" w:cs="Arial"/>
                <w:color w:val="366092"/>
                <w:sz w:val="18"/>
                <w:szCs w:val="18"/>
              </w:rPr>
              <w:t>2</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36517C41" w14:textId="253F699F"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9</w:t>
            </w:r>
            <w:r w:rsidR="00F124AF" w:rsidRPr="008D07DA">
              <w:rPr>
                <w:rFonts w:ascii="Verdana" w:eastAsia="Malgun Gothic" w:hAnsi="Verdana" w:cs="Arial"/>
                <w:color w:val="366092"/>
                <w:sz w:val="18"/>
                <w:szCs w:val="18"/>
              </w:rPr>
              <w:t>,8</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6F18942A"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1FB51B6C" w14:textId="77777777" w:rsidTr="00FA55BB">
        <w:trPr>
          <w:trHeight w:hRule="exact" w:val="340"/>
          <w:jc w:val="center"/>
        </w:trPr>
        <w:tc>
          <w:tcPr>
            <w:tcW w:w="2085" w:type="pct"/>
            <w:vAlign w:val="center"/>
          </w:tcPr>
          <w:p w14:paraId="18492569" w14:textId="77777777" w:rsidR="009B12A7" w:rsidRPr="008D07DA" w:rsidRDefault="009B12A7" w:rsidP="009B12A7">
            <w:pPr>
              <w:tabs>
                <w:tab w:val="left" w:pos="1080"/>
                <w:tab w:val="left" w:pos="6840"/>
              </w:tabs>
              <w:rPr>
                <w:rFonts w:ascii="Verdana" w:eastAsia="Malgun Gothic" w:hAnsi="Verdana" w:cs="Arial"/>
                <w:b/>
                <w:color w:val="366092"/>
                <w:sz w:val="18"/>
                <w:szCs w:val="18"/>
                <w:lang w:val="el-GR"/>
              </w:rPr>
            </w:pPr>
            <w:r w:rsidRPr="008D07DA">
              <w:rPr>
                <w:rFonts w:ascii="Verdana" w:eastAsia="Malgun Gothic" w:hAnsi="Verdana" w:cs="Arial"/>
                <w:b/>
                <w:color w:val="366092"/>
                <w:sz w:val="18"/>
                <w:szCs w:val="18"/>
                <w:lang w:val="el-GR"/>
              </w:rPr>
              <w:t>Γυναίκες</w:t>
            </w:r>
          </w:p>
        </w:tc>
        <w:tc>
          <w:tcPr>
            <w:tcW w:w="1003" w:type="pct"/>
            <w:vAlign w:val="center"/>
          </w:tcPr>
          <w:p w14:paraId="492CE33E" w14:textId="77777777"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p>
        </w:tc>
        <w:tc>
          <w:tcPr>
            <w:tcW w:w="1003" w:type="pct"/>
            <w:tcBorders>
              <w:right w:val="nil"/>
            </w:tcBorders>
            <w:vAlign w:val="center"/>
          </w:tcPr>
          <w:p w14:paraId="5A16A0E8" w14:textId="77777777"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p>
        </w:tc>
        <w:tc>
          <w:tcPr>
            <w:tcW w:w="793" w:type="pct"/>
            <w:tcBorders>
              <w:right w:val="nil"/>
            </w:tcBorders>
            <w:vAlign w:val="center"/>
          </w:tcPr>
          <w:p w14:paraId="3127C6E3" w14:textId="77777777"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p>
        </w:tc>
        <w:tc>
          <w:tcPr>
            <w:tcW w:w="115" w:type="pct"/>
            <w:tcBorders>
              <w:left w:val="nil"/>
              <w:bottom w:val="nil"/>
              <w:right w:val="nil"/>
            </w:tcBorders>
            <w:vAlign w:val="center"/>
          </w:tcPr>
          <w:p w14:paraId="5E05CDCD"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143B9042" w14:textId="77777777" w:rsidTr="00FA55BB">
        <w:trPr>
          <w:trHeight w:val="284"/>
          <w:jc w:val="center"/>
        </w:trPr>
        <w:tc>
          <w:tcPr>
            <w:tcW w:w="2085" w:type="pct"/>
            <w:vAlign w:val="center"/>
          </w:tcPr>
          <w:p w14:paraId="01E9D1EF"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rPr>
            </w:pPr>
            <w:r w:rsidRPr="008D07DA">
              <w:rPr>
                <w:rFonts w:ascii="Verdana" w:eastAsia="Malgun Gothic" w:hAnsi="Verdana" w:cs="Arial"/>
                <w:color w:val="366092"/>
                <w:sz w:val="18"/>
                <w:szCs w:val="18"/>
                <w:lang w:val="el-GR"/>
              </w:rPr>
              <w:t>&lt;</w:t>
            </w: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1.500</w:t>
            </w:r>
          </w:p>
        </w:tc>
        <w:tc>
          <w:tcPr>
            <w:tcW w:w="1003" w:type="pct"/>
            <w:vAlign w:val="center"/>
          </w:tcPr>
          <w:p w14:paraId="02276D2F" w14:textId="482854CB" w:rsidR="009B12A7" w:rsidRPr="008D07DA" w:rsidRDefault="009043BE"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38,8</w:t>
            </w:r>
            <w:r w:rsidR="009B12A7" w:rsidRPr="008D07DA">
              <w:rPr>
                <w:rFonts w:ascii="Verdana" w:eastAsia="Malgun Gothic" w:hAnsi="Verdana" w:cs="Arial"/>
                <w:color w:val="366092"/>
                <w:sz w:val="18"/>
                <w:szCs w:val="18"/>
                <w:lang w:val="el-GR"/>
              </w:rPr>
              <w:t>%</w:t>
            </w:r>
          </w:p>
        </w:tc>
        <w:tc>
          <w:tcPr>
            <w:tcW w:w="1003" w:type="pct"/>
            <w:tcBorders>
              <w:right w:val="nil"/>
            </w:tcBorders>
            <w:vAlign w:val="center"/>
          </w:tcPr>
          <w:p w14:paraId="3D944FC3" w14:textId="5F8797AD"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3</w:t>
            </w:r>
            <w:r w:rsidR="00F124AF" w:rsidRPr="008D07DA">
              <w:rPr>
                <w:rFonts w:ascii="Verdana" w:eastAsia="Malgun Gothic" w:hAnsi="Verdana" w:cs="Arial"/>
                <w:color w:val="366092"/>
                <w:sz w:val="18"/>
                <w:szCs w:val="18"/>
              </w:rPr>
              <w:t>3,7</w:t>
            </w:r>
            <w:r w:rsidRPr="008D07DA">
              <w:rPr>
                <w:rFonts w:ascii="Verdana" w:eastAsia="Malgun Gothic" w:hAnsi="Verdana" w:cs="Arial"/>
                <w:color w:val="366092"/>
                <w:sz w:val="18"/>
                <w:szCs w:val="18"/>
                <w:lang w:val="el-GR"/>
              </w:rPr>
              <w:t>%</w:t>
            </w:r>
          </w:p>
        </w:tc>
        <w:tc>
          <w:tcPr>
            <w:tcW w:w="793" w:type="pct"/>
            <w:tcBorders>
              <w:right w:val="nil"/>
            </w:tcBorders>
            <w:vAlign w:val="center"/>
          </w:tcPr>
          <w:p w14:paraId="7DC4B257" w14:textId="1E13686E"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5</w:t>
            </w:r>
            <w:r w:rsidR="00F124AF" w:rsidRPr="008D07DA">
              <w:rPr>
                <w:rFonts w:ascii="Verdana" w:eastAsia="Malgun Gothic" w:hAnsi="Verdana" w:cs="Arial"/>
                <w:color w:val="366092"/>
                <w:sz w:val="18"/>
                <w:szCs w:val="18"/>
              </w:rPr>
              <w:t>1,</w:t>
            </w:r>
            <w:r w:rsidR="00E7690B" w:rsidRPr="008D07DA">
              <w:rPr>
                <w:rFonts w:ascii="Verdana" w:eastAsia="Malgun Gothic" w:hAnsi="Verdana" w:cs="Arial"/>
                <w:color w:val="366092"/>
                <w:sz w:val="18"/>
                <w:szCs w:val="18"/>
              </w:rPr>
              <w:t>4</w:t>
            </w:r>
            <w:r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7DFAA93D"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026B5373" w14:textId="77777777" w:rsidTr="00FA55BB">
        <w:trPr>
          <w:trHeight w:val="284"/>
          <w:jc w:val="center"/>
        </w:trPr>
        <w:tc>
          <w:tcPr>
            <w:tcW w:w="2085" w:type="pct"/>
            <w:vAlign w:val="center"/>
          </w:tcPr>
          <w:p w14:paraId="4C19FAA2"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1.500-</w:t>
            </w:r>
            <w:r w:rsidRPr="008D07DA">
              <w:rPr>
                <w:rFonts w:ascii="Verdana" w:eastAsia="Malgun Gothic" w:hAnsi="Verdana" w:cs="Calibri"/>
                <w:color w:val="366092"/>
                <w:sz w:val="18"/>
                <w:szCs w:val="18"/>
                <w:lang w:val="el-GR"/>
              </w:rPr>
              <w:t>€</w:t>
            </w:r>
            <w:r w:rsidRPr="008D07DA">
              <w:rPr>
                <w:rFonts w:ascii="Verdana" w:eastAsia="Malgun Gothic" w:hAnsi="Verdana" w:cs="Arial"/>
                <w:color w:val="366092"/>
                <w:sz w:val="18"/>
                <w:szCs w:val="18"/>
                <w:lang w:val="el-GR"/>
              </w:rPr>
              <w:t>2.999</w:t>
            </w:r>
          </w:p>
        </w:tc>
        <w:tc>
          <w:tcPr>
            <w:tcW w:w="1003" w:type="pct"/>
            <w:vAlign w:val="center"/>
          </w:tcPr>
          <w:p w14:paraId="1BB0FDB5" w14:textId="3288CC41"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3</w:t>
            </w:r>
            <w:r w:rsidR="009043BE" w:rsidRPr="008D07DA">
              <w:rPr>
                <w:rFonts w:ascii="Verdana" w:eastAsia="Malgun Gothic" w:hAnsi="Verdana" w:cs="Arial"/>
                <w:color w:val="366092"/>
                <w:sz w:val="18"/>
                <w:szCs w:val="18"/>
              </w:rPr>
              <w:t>7,5</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7001CEF6" w14:textId="7A5F2B33"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40,0</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106D94C7" w14:textId="5795DD3B" w:rsidR="009B12A7" w:rsidRPr="008D07DA" w:rsidRDefault="00F124AF"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31,</w:t>
            </w:r>
            <w:r w:rsidR="00E7690B" w:rsidRPr="008D07DA">
              <w:rPr>
                <w:rFonts w:ascii="Verdana" w:eastAsia="Malgun Gothic" w:hAnsi="Verdana" w:cs="Arial"/>
                <w:color w:val="366092"/>
                <w:sz w:val="18"/>
                <w:szCs w:val="18"/>
              </w:rPr>
              <w:t>5</w:t>
            </w:r>
            <w:r w:rsidR="009B12A7" w:rsidRPr="008D07DA">
              <w:rPr>
                <w:rFonts w:ascii="Verdana" w:eastAsia="Malgun Gothic" w:hAnsi="Verdana" w:cs="Arial"/>
                <w:color w:val="366092"/>
                <w:sz w:val="18"/>
                <w:szCs w:val="18"/>
                <w:lang w:val="el-GR"/>
              </w:rPr>
              <w:t>%</w:t>
            </w:r>
          </w:p>
        </w:tc>
        <w:tc>
          <w:tcPr>
            <w:tcW w:w="115" w:type="pct"/>
            <w:tcBorders>
              <w:left w:val="nil"/>
              <w:bottom w:val="nil"/>
              <w:right w:val="nil"/>
            </w:tcBorders>
            <w:vAlign w:val="center"/>
          </w:tcPr>
          <w:p w14:paraId="56F14EDD"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2239F685" w14:textId="77777777" w:rsidTr="00FA55BB">
        <w:trPr>
          <w:trHeight w:val="284"/>
          <w:jc w:val="center"/>
        </w:trPr>
        <w:tc>
          <w:tcPr>
            <w:tcW w:w="2085" w:type="pct"/>
            <w:vAlign w:val="center"/>
          </w:tcPr>
          <w:p w14:paraId="6A6D0A1D"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rPr>
            </w:pPr>
            <w:r w:rsidRPr="008D07DA">
              <w:rPr>
                <w:rFonts w:ascii="Verdana" w:eastAsia="Malgun Gothic" w:hAnsi="Verdana" w:cs="Calibri"/>
                <w:color w:val="366092"/>
                <w:sz w:val="18"/>
                <w:szCs w:val="18"/>
                <w:lang w:val="el-GR"/>
              </w:rPr>
              <w:t>€3</w:t>
            </w:r>
            <w:r w:rsidRPr="008D07DA">
              <w:rPr>
                <w:rFonts w:ascii="Verdana" w:eastAsia="Malgun Gothic" w:hAnsi="Verdana" w:cs="Arial"/>
                <w:color w:val="366092"/>
                <w:sz w:val="18"/>
                <w:szCs w:val="18"/>
                <w:lang w:val="el-GR"/>
              </w:rPr>
              <w:t>.000-</w:t>
            </w:r>
            <w:r w:rsidRPr="008D07DA">
              <w:rPr>
                <w:rFonts w:ascii="Verdana" w:eastAsia="Malgun Gothic" w:hAnsi="Verdana" w:cs="Calibri"/>
                <w:color w:val="366092"/>
                <w:sz w:val="18"/>
                <w:szCs w:val="18"/>
                <w:lang w:val="el-GR"/>
              </w:rPr>
              <w:t>€4</w:t>
            </w:r>
            <w:r w:rsidRPr="008D07DA">
              <w:rPr>
                <w:rFonts w:ascii="Verdana" w:eastAsia="Malgun Gothic" w:hAnsi="Verdana" w:cs="Arial"/>
                <w:color w:val="366092"/>
                <w:sz w:val="18"/>
                <w:szCs w:val="18"/>
                <w:lang w:val="el-GR"/>
              </w:rPr>
              <w:t>.499</w:t>
            </w:r>
          </w:p>
        </w:tc>
        <w:tc>
          <w:tcPr>
            <w:tcW w:w="1003" w:type="pct"/>
            <w:vAlign w:val="center"/>
          </w:tcPr>
          <w:p w14:paraId="7429E23C" w14:textId="24E58033"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1</w:t>
            </w:r>
            <w:r w:rsidR="00A740AE" w:rsidRPr="008D07DA">
              <w:rPr>
                <w:rFonts w:ascii="Verdana" w:eastAsia="Malgun Gothic" w:hAnsi="Verdana" w:cs="Arial"/>
                <w:color w:val="366092"/>
                <w:sz w:val="18"/>
                <w:szCs w:val="18"/>
              </w:rPr>
              <w:t>3,0</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05D917A1" w14:textId="7DE8E6C1"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1</w:t>
            </w:r>
            <w:r w:rsidR="00F124AF" w:rsidRPr="008D07DA">
              <w:rPr>
                <w:rFonts w:ascii="Verdana" w:eastAsia="Malgun Gothic" w:hAnsi="Verdana" w:cs="Arial"/>
                <w:color w:val="366092"/>
                <w:sz w:val="18"/>
                <w:szCs w:val="18"/>
              </w:rPr>
              <w:t>5,</w:t>
            </w:r>
            <w:r w:rsidR="00E7690B" w:rsidRPr="008D07DA">
              <w:rPr>
                <w:rFonts w:ascii="Verdana" w:eastAsia="Malgun Gothic" w:hAnsi="Verdana" w:cs="Arial"/>
                <w:color w:val="366092"/>
                <w:sz w:val="18"/>
                <w:szCs w:val="18"/>
              </w:rPr>
              <w:t>1</w:t>
            </w:r>
            <w:r w:rsidRPr="008D07DA">
              <w:rPr>
                <w:rFonts w:ascii="Verdana" w:eastAsia="Malgun Gothic" w:hAnsi="Verdana" w:cs="Arial"/>
                <w:color w:val="366092"/>
                <w:sz w:val="18"/>
                <w:szCs w:val="18"/>
                <w:lang w:val="el-GR"/>
              </w:rPr>
              <w:t>%</w:t>
            </w:r>
          </w:p>
        </w:tc>
        <w:tc>
          <w:tcPr>
            <w:tcW w:w="793" w:type="pct"/>
            <w:tcBorders>
              <w:right w:val="nil"/>
            </w:tcBorders>
            <w:vAlign w:val="center"/>
          </w:tcPr>
          <w:p w14:paraId="746C2A77" w14:textId="603826EB"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7</w:t>
            </w:r>
            <w:r w:rsidR="00F124AF" w:rsidRPr="008D07DA">
              <w:rPr>
                <w:rFonts w:ascii="Verdana" w:eastAsia="Malgun Gothic" w:hAnsi="Verdana" w:cs="Arial"/>
                <w:color w:val="366092"/>
                <w:sz w:val="18"/>
                <w:szCs w:val="18"/>
              </w:rPr>
              <w:t>,9</w:t>
            </w:r>
            <w:r w:rsidRPr="008D07DA">
              <w:rPr>
                <w:rFonts w:ascii="Verdana" w:eastAsia="Malgun Gothic" w:hAnsi="Verdana" w:cs="Arial"/>
                <w:color w:val="366092"/>
                <w:sz w:val="18"/>
                <w:szCs w:val="18"/>
                <w:lang w:val="el-GR"/>
              </w:rPr>
              <w:t>%</w:t>
            </w:r>
          </w:p>
        </w:tc>
        <w:tc>
          <w:tcPr>
            <w:tcW w:w="115" w:type="pct"/>
            <w:tcBorders>
              <w:left w:val="nil"/>
              <w:right w:val="nil"/>
            </w:tcBorders>
            <w:vAlign w:val="center"/>
          </w:tcPr>
          <w:p w14:paraId="74A61329"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335D9D1C" w14:textId="77777777" w:rsidTr="00FA55BB">
        <w:trPr>
          <w:trHeight w:val="284"/>
          <w:jc w:val="center"/>
        </w:trPr>
        <w:tc>
          <w:tcPr>
            <w:tcW w:w="2085" w:type="pct"/>
            <w:vAlign w:val="center"/>
          </w:tcPr>
          <w:p w14:paraId="24B31214"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€4</w:t>
            </w:r>
            <w:r w:rsidRPr="008D07DA">
              <w:rPr>
                <w:rFonts w:ascii="Verdana" w:eastAsia="Malgun Gothic" w:hAnsi="Verdana" w:cs="Arial"/>
                <w:color w:val="366092"/>
                <w:sz w:val="18"/>
                <w:szCs w:val="18"/>
                <w:lang w:val="el-GR"/>
              </w:rPr>
              <w:t>.500-</w:t>
            </w:r>
            <w:r w:rsidRPr="008D07DA">
              <w:rPr>
                <w:rFonts w:ascii="Verdana" w:eastAsia="Malgun Gothic" w:hAnsi="Verdana" w:cs="Calibri"/>
                <w:color w:val="366092"/>
                <w:sz w:val="18"/>
                <w:szCs w:val="18"/>
                <w:lang w:val="el-GR"/>
              </w:rPr>
              <w:t>€5</w:t>
            </w:r>
            <w:r w:rsidRPr="008D07DA">
              <w:rPr>
                <w:rFonts w:ascii="Verdana" w:eastAsia="Malgun Gothic" w:hAnsi="Verdana" w:cs="Arial"/>
                <w:color w:val="366092"/>
                <w:sz w:val="18"/>
                <w:szCs w:val="18"/>
                <w:lang w:val="el-GR"/>
              </w:rPr>
              <w:t>.999</w:t>
            </w:r>
          </w:p>
        </w:tc>
        <w:tc>
          <w:tcPr>
            <w:tcW w:w="1003" w:type="pct"/>
            <w:vAlign w:val="center"/>
          </w:tcPr>
          <w:p w14:paraId="04C940DE" w14:textId="1E090BA9"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6</w:t>
            </w:r>
            <w:r w:rsidR="00A740AE" w:rsidRPr="008D07DA">
              <w:rPr>
                <w:rFonts w:ascii="Verdana" w:eastAsia="Malgun Gothic" w:hAnsi="Verdana" w:cs="Arial"/>
                <w:color w:val="366092"/>
                <w:sz w:val="18"/>
                <w:szCs w:val="18"/>
              </w:rPr>
              <w:t>,</w:t>
            </w:r>
            <w:r w:rsidR="002C5BE4" w:rsidRPr="008D07DA">
              <w:rPr>
                <w:rFonts w:ascii="Verdana" w:eastAsia="Malgun Gothic" w:hAnsi="Verdana" w:cs="Arial"/>
                <w:color w:val="366092"/>
                <w:sz w:val="18"/>
                <w:szCs w:val="18"/>
              </w:rPr>
              <w:t>3</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37CA2F95" w14:textId="09011B49"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7,1</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6290440A" w14:textId="79B33B16"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4</w:t>
            </w:r>
            <w:r w:rsidR="00F124AF" w:rsidRPr="008D07DA">
              <w:rPr>
                <w:rFonts w:ascii="Verdana" w:eastAsia="Malgun Gothic" w:hAnsi="Verdana" w:cs="Arial"/>
                <w:color w:val="366092"/>
                <w:sz w:val="18"/>
                <w:szCs w:val="18"/>
              </w:rPr>
              <w:t>,5</w:t>
            </w:r>
            <w:r w:rsidRPr="008D07DA">
              <w:rPr>
                <w:rFonts w:ascii="Verdana" w:eastAsia="Malgun Gothic" w:hAnsi="Verdana" w:cs="Arial"/>
                <w:color w:val="366092"/>
                <w:sz w:val="18"/>
                <w:szCs w:val="18"/>
                <w:lang w:val="el-GR"/>
              </w:rPr>
              <w:t>%</w:t>
            </w:r>
          </w:p>
        </w:tc>
        <w:tc>
          <w:tcPr>
            <w:tcW w:w="115" w:type="pct"/>
            <w:tcBorders>
              <w:left w:val="nil"/>
              <w:right w:val="nil"/>
            </w:tcBorders>
            <w:vAlign w:val="center"/>
          </w:tcPr>
          <w:p w14:paraId="538F1676" w14:textId="77777777" w:rsidR="009B12A7" w:rsidRPr="008D07DA" w:rsidRDefault="009B12A7" w:rsidP="009B12A7">
            <w:pPr>
              <w:jc w:val="center"/>
              <w:rPr>
                <w:rFonts w:ascii="Verdana" w:eastAsia="Malgun Gothic" w:hAnsi="Verdana" w:cs="Arial"/>
                <w:color w:val="366092"/>
                <w:sz w:val="18"/>
                <w:szCs w:val="18"/>
                <w:lang w:val="el-GR"/>
              </w:rPr>
            </w:pPr>
          </w:p>
        </w:tc>
      </w:tr>
      <w:tr w:rsidR="009B12A7" w:rsidRPr="008D07DA" w14:paraId="26ADAE1B" w14:textId="77777777" w:rsidTr="00FA55BB">
        <w:trPr>
          <w:trHeight w:val="340"/>
          <w:jc w:val="center"/>
        </w:trPr>
        <w:tc>
          <w:tcPr>
            <w:tcW w:w="2085" w:type="pct"/>
            <w:vAlign w:val="center"/>
          </w:tcPr>
          <w:p w14:paraId="296118C2" w14:textId="77777777" w:rsidR="009B12A7" w:rsidRPr="008D07DA" w:rsidRDefault="009B12A7" w:rsidP="009B12A7">
            <w:pPr>
              <w:tabs>
                <w:tab w:val="left" w:pos="1080"/>
                <w:tab w:val="left" w:pos="6840"/>
              </w:tabs>
              <w:ind w:left="284"/>
              <w:jc w:val="center"/>
              <w:rPr>
                <w:rFonts w:ascii="Verdana" w:eastAsia="Malgun Gothic" w:hAnsi="Verdana" w:cs="Arial"/>
                <w:color w:val="366092"/>
                <w:sz w:val="18"/>
                <w:szCs w:val="18"/>
                <w:lang w:val="el-GR"/>
              </w:rPr>
            </w:pPr>
            <w:r w:rsidRPr="008D07DA">
              <w:rPr>
                <w:rFonts w:ascii="Verdana" w:eastAsia="Malgun Gothic" w:hAnsi="Verdana" w:cs="Calibri"/>
                <w:color w:val="366092"/>
                <w:sz w:val="18"/>
                <w:szCs w:val="18"/>
                <w:lang w:val="el-GR"/>
              </w:rPr>
              <w:t>&gt;=€6</w:t>
            </w:r>
            <w:r w:rsidRPr="008D07DA">
              <w:rPr>
                <w:rFonts w:ascii="Verdana" w:eastAsia="Malgun Gothic" w:hAnsi="Verdana" w:cs="Arial"/>
                <w:color w:val="366092"/>
                <w:sz w:val="18"/>
                <w:szCs w:val="18"/>
                <w:lang w:val="el-GR"/>
              </w:rPr>
              <w:t>.000</w:t>
            </w:r>
          </w:p>
        </w:tc>
        <w:tc>
          <w:tcPr>
            <w:tcW w:w="1003" w:type="pct"/>
            <w:vAlign w:val="center"/>
          </w:tcPr>
          <w:p w14:paraId="0CFF9F4D" w14:textId="42F41259" w:rsidR="009B12A7" w:rsidRPr="008D07DA" w:rsidRDefault="009B12A7"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4</w:t>
            </w:r>
            <w:r w:rsidR="00A740AE" w:rsidRPr="008D07DA">
              <w:rPr>
                <w:rFonts w:ascii="Verdana" w:eastAsia="Malgun Gothic" w:hAnsi="Verdana" w:cs="Arial"/>
                <w:color w:val="366092"/>
                <w:sz w:val="18"/>
                <w:szCs w:val="18"/>
              </w:rPr>
              <w:t>,3</w:t>
            </w:r>
            <w:r w:rsidRPr="008D07DA">
              <w:rPr>
                <w:rFonts w:ascii="Verdana" w:eastAsia="Malgun Gothic" w:hAnsi="Verdana" w:cs="Arial"/>
                <w:color w:val="366092"/>
                <w:sz w:val="18"/>
                <w:szCs w:val="18"/>
                <w:lang w:val="el-GR"/>
              </w:rPr>
              <w:t>%</w:t>
            </w:r>
          </w:p>
        </w:tc>
        <w:tc>
          <w:tcPr>
            <w:tcW w:w="1003" w:type="pct"/>
            <w:tcBorders>
              <w:right w:val="nil"/>
            </w:tcBorders>
            <w:vAlign w:val="center"/>
          </w:tcPr>
          <w:p w14:paraId="458EF1C3" w14:textId="54A7CFC3" w:rsidR="009B12A7" w:rsidRPr="008D07DA" w:rsidRDefault="00F124AF" w:rsidP="009B12A7">
            <w:pPr>
              <w:tabs>
                <w:tab w:val="left" w:pos="1080"/>
                <w:tab w:val="left" w:pos="6840"/>
              </w:tabs>
              <w:ind w:left="284" w:right="794"/>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rPr>
              <w:t>4,</w:t>
            </w:r>
            <w:r w:rsidR="00E7690B" w:rsidRPr="008D07DA">
              <w:rPr>
                <w:rFonts w:ascii="Verdana" w:eastAsia="Malgun Gothic" w:hAnsi="Verdana" w:cs="Arial"/>
                <w:color w:val="366092"/>
                <w:sz w:val="18"/>
                <w:szCs w:val="18"/>
              </w:rPr>
              <w:t>2</w:t>
            </w:r>
            <w:r w:rsidR="009B12A7" w:rsidRPr="008D07DA">
              <w:rPr>
                <w:rFonts w:ascii="Verdana" w:eastAsia="Malgun Gothic" w:hAnsi="Verdana" w:cs="Arial"/>
                <w:color w:val="366092"/>
                <w:sz w:val="18"/>
                <w:szCs w:val="18"/>
                <w:lang w:val="el-GR"/>
              </w:rPr>
              <w:t>%</w:t>
            </w:r>
          </w:p>
        </w:tc>
        <w:tc>
          <w:tcPr>
            <w:tcW w:w="793" w:type="pct"/>
            <w:tcBorders>
              <w:right w:val="nil"/>
            </w:tcBorders>
            <w:vAlign w:val="center"/>
          </w:tcPr>
          <w:p w14:paraId="17DDA6CD" w14:textId="3ED872C6" w:rsidR="009B12A7" w:rsidRPr="008D07DA" w:rsidRDefault="009B12A7" w:rsidP="009B12A7">
            <w:pPr>
              <w:tabs>
                <w:tab w:val="left" w:pos="1080"/>
                <w:tab w:val="left" w:pos="6840"/>
              </w:tabs>
              <w:ind w:left="284" w:right="397"/>
              <w:jc w:val="right"/>
              <w:rPr>
                <w:rFonts w:ascii="Verdana" w:eastAsia="Malgun Gothic" w:hAnsi="Verdana" w:cs="Arial"/>
                <w:color w:val="366092"/>
                <w:sz w:val="18"/>
                <w:szCs w:val="18"/>
                <w:lang w:val="el-GR"/>
              </w:rPr>
            </w:pPr>
            <w:r w:rsidRPr="008D07DA">
              <w:rPr>
                <w:rFonts w:ascii="Verdana" w:eastAsia="Malgun Gothic" w:hAnsi="Verdana" w:cs="Arial"/>
                <w:color w:val="366092"/>
                <w:sz w:val="18"/>
                <w:szCs w:val="18"/>
                <w:lang w:val="el-GR"/>
              </w:rPr>
              <w:t>4</w:t>
            </w:r>
            <w:r w:rsidR="00F124AF" w:rsidRPr="008D07DA">
              <w:rPr>
                <w:rFonts w:ascii="Verdana" w:eastAsia="Malgun Gothic" w:hAnsi="Verdana" w:cs="Arial"/>
                <w:color w:val="366092"/>
                <w:sz w:val="18"/>
                <w:szCs w:val="18"/>
              </w:rPr>
              <w:t>,7</w:t>
            </w:r>
            <w:r w:rsidRPr="008D07DA">
              <w:rPr>
                <w:rFonts w:ascii="Verdana" w:eastAsia="Malgun Gothic" w:hAnsi="Verdana" w:cs="Arial"/>
                <w:color w:val="366092"/>
                <w:sz w:val="18"/>
                <w:szCs w:val="18"/>
                <w:lang w:val="el-GR"/>
              </w:rPr>
              <w:t>%</w:t>
            </w:r>
          </w:p>
        </w:tc>
        <w:tc>
          <w:tcPr>
            <w:tcW w:w="115" w:type="pct"/>
            <w:tcBorders>
              <w:left w:val="nil"/>
              <w:bottom w:val="single" w:sz="4" w:space="0" w:color="365F91"/>
              <w:right w:val="nil"/>
            </w:tcBorders>
            <w:vAlign w:val="center"/>
          </w:tcPr>
          <w:p w14:paraId="2D54BB99" w14:textId="77777777" w:rsidR="009B12A7" w:rsidRPr="008D07DA" w:rsidRDefault="009B12A7" w:rsidP="009B12A7">
            <w:pPr>
              <w:jc w:val="center"/>
              <w:rPr>
                <w:rFonts w:ascii="Verdana" w:eastAsia="Malgun Gothic" w:hAnsi="Verdana" w:cs="Arial"/>
                <w:color w:val="366092"/>
                <w:sz w:val="18"/>
                <w:szCs w:val="18"/>
                <w:lang w:val="el-GR"/>
              </w:rPr>
            </w:pPr>
          </w:p>
        </w:tc>
      </w:tr>
    </w:tbl>
    <w:p w14:paraId="0B02F6E3" w14:textId="4419565C" w:rsidR="008D1636" w:rsidRDefault="009B12A7" w:rsidP="008D1636">
      <w:pPr>
        <w:tabs>
          <w:tab w:val="left" w:pos="1080"/>
          <w:tab w:val="left" w:pos="6840"/>
        </w:tabs>
        <w:ind w:left="993" w:hanging="993"/>
        <w:jc w:val="both"/>
        <w:rPr>
          <w:rFonts w:ascii="Verdana" w:eastAsia="Malgun Gothic" w:hAnsi="Verdana" w:cs="Arial"/>
          <w:bCs/>
          <w:color w:val="366092"/>
          <w:sz w:val="16"/>
          <w:szCs w:val="16"/>
          <w:lang w:val="el-GR"/>
        </w:rPr>
      </w:pPr>
      <w:bookmarkStart w:id="1" w:name="_Hlk196899579"/>
      <w:r w:rsidRPr="008D07DA">
        <w:rPr>
          <w:rFonts w:ascii="Verdana" w:eastAsia="Malgun Gothic" w:hAnsi="Verdana" w:cs="Arial"/>
          <w:bCs/>
          <w:color w:val="366092"/>
          <w:sz w:val="16"/>
          <w:szCs w:val="16"/>
          <w:lang w:val="el-GR"/>
        </w:rPr>
        <w:t>Σημε</w:t>
      </w:r>
      <w:r w:rsidR="00842856">
        <w:rPr>
          <w:rFonts w:ascii="Verdana" w:eastAsia="Malgun Gothic" w:hAnsi="Verdana" w:cs="Arial"/>
          <w:bCs/>
          <w:color w:val="366092"/>
          <w:sz w:val="16"/>
          <w:szCs w:val="16"/>
          <w:lang w:val="el-GR"/>
        </w:rPr>
        <w:t>ιώσεις</w:t>
      </w:r>
      <w:r w:rsidRPr="008D07DA">
        <w:rPr>
          <w:rFonts w:ascii="Verdana" w:eastAsia="Malgun Gothic" w:hAnsi="Verdana" w:cs="Arial"/>
          <w:bCs/>
          <w:color w:val="366092"/>
          <w:sz w:val="16"/>
          <w:szCs w:val="16"/>
          <w:lang w:val="el-GR"/>
        </w:rPr>
        <w:t xml:space="preserve">: </w:t>
      </w:r>
      <w:r w:rsidR="008D1636">
        <w:rPr>
          <w:rFonts w:ascii="Verdana" w:eastAsia="Malgun Gothic" w:hAnsi="Verdana" w:cs="Arial"/>
          <w:bCs/>
          <w:color w:val="366092"/>
          <w:sz w:val="16"/>
          <w:szCs w:val="16"/>
          <w:lang w:val="el-GR"/>
        </w:rPr>
        <w:t xml:space="preserve">1. </w:t>
      </w:r>
      <w:r w:rsidR="008D1636">
        <w:rPr>
          <w:rFonts w:ascii="Verdana" w:eastAsia="Malgun Gothic" w:hAnsi="Verdana" w:cs="Arial"/>
          <w:color w:val="366092"/>
          <w:sz w:val="16"/>
          <w:szCs w:val="16"/>
          <w:lang w:val="el-GR"/>
        </w:rPr>
        <w:t>Λόγω</w:t>
      </w:r>
      <w:r w:rsidR="008D1636" w:rsidRPr="006A6689">
        <w:rPr>
          <w:rFonts w:ascii="Verdana" w:eastAsia="Malgun Gothic" w:hAnsi="Verdana" w:cs="Arial"/>
          <w:color w:val="366092"/>
          <w:sz w:val="16"/>
          <w:szCs w:val="16"/>
          <w:lang w:val="el-GR"/>
        </w:rPr>
        <w:t xml:space="preserve"> </w:t>
      </w:r>
      <w:r w:rsidR="008D1636">
        <w:rPr>
          <w:rFonts w:ascii="Verdana" w:eastAsia="Malgun Gothic" w:hAnsi="Verdana" w:cs="Arial"/>
          <w:color w:val="366092"/>
          <w:sz w:val="16"/>
          <w:szCs w:val="16"/>
          <w:lang w:val="el-GR"/>
        </w:rPr>
        <w:t>στρογγυλοποίησης</w:t>
      </w:r>
      <w:r w:rsidR="008D1636" w:rsidRPr="006A6689">
        <w:rPr>
          <w:rFonts w:ascii="Verdana" w:eastAsia="Malgun Gothic" w:hAnsi="Verdana" w:cs="Arial"/>
          <w:color w:val="366092"/>
          <w:sz w:val="16"/>
          <w:szCs w:val="16"/>
          <w:lang w:val="el-GR"/>
        </w:rPr>
        <w:t>,</w:t>
      </w:r>
      <w:r w:rsidR="008D1636">
        <w:rPr>
          <w:rFonts w:ascii="Verdana" w:eastAsia="Malgun Gothic" w:hAnsi="Verdana" w:cs="Arial"/>
          <w:color w:val="366092"/>
          <w:sz w:val="16"/>
          <w:szCs w:val="16"/>
          <w:lang w:val="el-GR"/>
        </w:rPr>
        <w:t xml:space="preserve"> το συνολικό άθροισμα των επιμέρους ποσοστών ενδέχεται να αποκλίνει από το 100%.</w:t>
      </w:r>
    </w:p>
    <w:p w14:paraId="51A5DC8C" w14:textId="249F02E0" w:rsidR="006F5036" w:rsidRDefault="008D1636" w:rsidP="006F5036">
      <w:pPr>
        <w:tabs>
          <w:tab w:val="left" w:pos="1080"/>
          <w:tab w:val="left" w:pos="6840"/>
        </w:tabs>
        <w:jc w:val="both"/>
        <w:rPr>
          <w:rFonts w:ascii="Verdana" w:eastAsia="Malgun Gothic" w:hAnsi="Verdana" w:cs="Arial"/>
          <w:bCs/>
          <w:color w:val="366092"/>
          <w:sz w:val="16"/>
          <w:szCs w:val="16"/>
          <w:lang w:val="el-GR"/>
        </w:rPr>
      </w:pPr>
      <w:r>
        <w:rPr>
          <w:rFonts w:ascii="Verdana" w:eastAsia="Malgun Gothic" w:hAnsi="Verdana" w:cs="Arial"/>
          <w:bCs/>
          <w:color w:val="366092"/>
          <w:sz w:val="16"/>
          <w:szCs w:val="16"/>
          <w:lang w:val="el-GR"/>
        </w:rPr>
        <w:t xml:space="preserve">                </w:t>
      </w:r>
      <w:r w:rsidR="006A0C35">
        <w:rPr>
          <w:rFonts w:ascii="Verdana" w:eastAsia="Malgun Gothic" w:hAnsi="Verdana" w:cs="Arial"/>
          <w:bCs/>
          <w:color w:val="366092"/>
          <w:sz w:val="16"/>
          <w:szCs w:val="16"/>
          <w:lang w:val="el-GR"/>
        </w:rPr>
        <w:t xml:space="preserve">  </w:t>
      </w:r>
      <w:r>
        <w:rPr>
          <w:rFonts w:ascii="Verdana" w:eastAsia="Malgun Gothic" w:hAnsi="Verdana" w:cs="Arial"/>
          <w:bCs/>
          <w:color w:val="366092"/>
          <w:sz w:val="16"/>
          <w:szCs w:val="16"/>
          <w:lang w:val="el-GR"/>
        </w:rPr>
        <w:t xml:space="preserve">2. </w:t>
      </w:r>
      <w:r w:rsidR="00830440">
        <w:rPr>
          <w:rFonts w:ascii="Verdana" w:eastAsia="Malgun Gothic" w:hAnsi="Verdana" w:cs="Arial"/>
          <w:bCs/>
          <w:color w:val="366092"/>
          <w:sz w:val="16"/>
          <w:szCs w:val="16"/>
          <w:lang w:val="el-GR"/>
        </w:rPr>
        <w:t>Τα</w:t>
      </w:r>
      <w:r w:rsidR="009B12A7" w:rsidRPr="008D07DA">
        <w:rPr>
          <w:rFonts w:ascii="Verdana" w:eastAsia="Malgun Gothic" w:hAnsi="Verdana" w:cs="Arial"/>
          <w:bCs/>
          <w:color w:val="366092"/>
          <w:sz w:val="16"/>
          <w:szCs w:val="16"/>
          <w:lang w:val="el-GR"/>
        </w:rPr>
        <w:t xml:space="preserve"> στοιχεία για το 202</w:t>
      </w:r>
      <w:r w:rsidR="009225EC" w:rsidRPr="008D07DA">
        <w:rPr>
          <w:rFonts w:ascii="Verdana" w:eastAsia="Malgun Gothic" w:hAnsi="Verdana" w:cs="Arial"/>
          <w:bCs/>
          <w:color w:val="366092"/>
          <w:sz w:val="16"/>
          <w:szCs w:val="16"/>
          <w:lang w:val="el-GR"/>
        </w:rPr>
        <w:t>5</w:t>
      </w:r>
      <w:r w:rsidR="009B12A7" w:rsidRPr="008D07DA">
        <w:rPr>
          <w:rFonts w:ascii="Verdana" w:eastAsia="Malgun Gothic" w:hAnsi="Verdana" w:cs="Arial"/>
          <w:bCs/>
          <w:color w:val="366092"/>
          <w:sz w:val="16"/>
          <w:szCs w:val="16"/>
          <w:lang w:val="el-GR"/>
        </w:rPr>
        <w:t xml:space="preserve"> είναι προκαταρκτικά.</w:t>
      </w:r>
    </w:p>
    <w:p w14:paraId="033E0A8B" w14:textId="7D30CA88" w:rsidR="002E5FD6" w:rsidRDefault="002E5FD6" w:rsidP="006F5036">
      <w:pPr>
        <w:tabs>
          <w:tab w:val="left" w:pos="1080"/>
          <w:tab w:val="left" w:pos="6840"/>
        </w:tabs>
        <w:jc w:val="both"/>
        <w:rPr>
          <w:rFonts w:ascii="Verdana" w:eastAsia="Malgun Gothic" w:hAnsi="Verdana" w:cs="Arial"/>
          <w:bCs/>
          <w:color w:val="366092"/>
          <w:sz w:val="16"/>
          <w:szCs w:val="16"/>
          <w:lang w:val="el-GR"/>
        </w:rPr>
      </w:pPr>
    </w:p>
    <w:p w14:paraId="05B0F172" w14:textId="77777777" w:rsidR="00EB49B9" w:rsidRDefault="00EB49B9">
      <w:pPr>
        <w:rPr>
          <w:rFonts w:ascii="Verdana" w:eastAsia="Malgun Gothic" w:hAnsi="Verdana" w:cs="Arial"/>
          <w:bCs/>
          <w:sz w:val="18"/>
          <w:szCs w:val="16"/>
          <w:lang w:val="el-GR"/>
        </w:rPr>
      </w:pPr>
      <w:r>
        <w:rPr>
          <w:rFonts w:ascii="Verdana" w:eastAsia="Malgun Gothic" w:hAnsi="Verdana" w:cs="Arial"/>
          <w:bCs/>
          <w:sz w:val="18"/>
          <w:szCs w:val="16"/>
          <w:lang w:val="el-GR"/>
        </w:rPr>
        <w:br w:type="page"/>
      </w:r>
    </w:p>
    <w:p w14:paraId="53D6BEAA" w14:textId="22330229" w:rsidR="002E5FD6" w:rsidRDefault="002E5FD6" w:rsidP="006F5036">
      <w:pPr>
        <w:tabs>
          <w:tab w:val="left" w:pos="1080"/>
          <w:tab w:val="left" w:pos="6840"/>
        </w:tabs>
        <w:jc w:val="both"/>
        <w:rPr>
          <w:rFonts w:ascii="Verdana" w:eastAsia="Malgun Gothic" w:hAnsi="Verdana" w:cs="Arial"/>
          <w:bCs/>
          <w:sz w:val="18"/>
          <w:szCs w:val="16"/>
          <w:lang w:val="el-GR"/>
        </w:rPr>
      </w:pPr>
      <w:r w:rsidRPr="002E5FD6">
        <w:rPr>
          <w:rFonts w:ascii="Verdana" w:eastAsia="Malgun Gothic" w:hAnsi="Verdana" w:cs="Arial"/>
          <w:bCs/>
          <w:sz w:val="18"/>
          <w:szCs w:val="16"/>
          <w:lang w:val="el-GR"/>
        </w:rPr>
        <w:lastRenderedPageBreak/>
        <w:t>Κατά το 2025, οι μη</w:t>
      </w:r>
      <w:r w:rsidR="00EB49B9" w:rsidRPr="00EB49B9">
        <w:rPr>
          <w:rFonts w:ascii="Verdana" w:eastAsia="Malgun Gothic" w:hAnsi="Verdana" w:cs="Arial"/>
          <w:bCs/>
          <w:sz w:val="18"/>
          <w:szCs w:val="16"/>
          <w:lang w:val="el-GR"/>
        </w:rPr>
        <w:t>-</w:t>
      </w:r>
      <w:r w:rsidRPr="002E5FD6">
        <w:rPr>
          <w:rFonts w:ascii="Verdana" w:eastAsia="Malgun Gothic" w:hAnsi="Verdana" w:cs="Arial"/>
          <w:bCs/>
          <w:sz w:val="18"/>
          <w:szCs w:val="16"/>
          <w:lang w:val="el-GR"/>
        </w:rPr>
        <w:t xml:space="preserve">Κύπριοι </w:t>
      </w:r>
      <w:r w:rsidR="00452CBD">
        <w:rPr>
          <w:rFonts w:ascii="Verdana" w:eastAsia="Malgun Gothic" w:hAnsi="Verdana" w:cs="Arial"/>
          <w:bCs/>
          <w:sz w:val="18"/>
          <w:szCs w:val="16"/>
          <w:lang w:val="el-GR"/>
        </w:rPr>
        <w:t>υπάλληλοι</w:t>
      </w:r>
      <w:r w:rsidRPr="002E5FD6">
        <w:rPr>
          <w:rFonts w:ascii="Verdana" w:eastAsia="Malgun Gothic" w:hAnsi="Verdana" w:cs="Arial"/>
          <w:bCs/>
          <w:sz w:val="18"/>
          <w:szCs w:val="16"/>
          <w:lang w:val="el-GR"/>
        </w:rPr>
        <w:t xml:space="preserve"> συγκεντρώνονται σε μεγαλύτερο βαθμό στα χαμηλότερα επίπεδα ακαθάριστων μηνιαίων απολαβών, ιδίως κάτω </w:t>
      </w:r>
      <w:r w:rsidRPr="00640B1C">
        <w:rPr>
          <w:rFonts w:ascii="Verdana" w:eastAsia="Malgun Gothic" w:hAnsi="Verdana" w:cs="Arial"/>
          <w:bCs/>
          <w:sz w:val="18"/>
          <w:szCs w:val="16"/>
          <w:lang w:val="el-GR"/>
        </w:rPr>
        <w:t>των €1.5</w:t>
      </w:r>
      <w:r w:rsidR="003228C8" w:rsidRPr="00640B1C">
        <w:rPr>
          <w:rFonts w:ascii="Verdana" w:eastAsia="Malgun Gothic" w:hAnsi="Verdana" w:cs="Arial"/>
          <w:bCs/>
          <w:sz w:val="18"/>
          <w:szCs w:val="16"/>
          <w:lang w:val="el-GR"/>
        </w:rPr>
        <w:t>0</w:t>
      </w:r>
      <w:r w:rsidRPr="00640B1C">
        <w:rPr>
          <w:rFonts w:ascii="Verdana" w:eastAsia="Malgun Gothic" w:hAnsi="Verdana" w:cs="Arial"/>
          <w:bCs/>
          <w:sz w:val="18"/>
          <w:szCs w:val="16"/>
          <w:lang w:val="el-GR"/>
        </w:rPr>
        <w:t>0</w:t>
      </w:r>
      <w:r w:rsidR="006C271E">
        <w:rPr>
          <w:rFonts w:ascii="Verdana" w:eastAsia="Malgun Gothic" w:hAnsi="Verdana" w:cs="Arial"/>
          <w:bCs/>
          <w:sz w:val="18"/>
          <w:szCs w:val="16"/>
          <w:lang w:val="el-GR"/>
        </w:rPr>
        <w:t>.</w:t>
      </w:r>
      <w:r w:rsidRPr="00640B1C">
        <w:rPr>
          <w:rFonts w:ascii="Verdana" w:eastAsia="Malgun Gothic" w:hAnsi="Verdana" w:cs="Arial"/>
          <w:bCs/>
          <w:sz w:val="18"/>
          <w:szCs w:val="16"/>
          <w:lang w:val="el-GR"/>
        </w:rPr>
        <w:t xml:space="preserve"> </w:t>
      </w:r>
      <w:r w:rsidR="006C271E">
        <w:rPr>
          <w:rFonts w:ascii="Verdana" w:eastAsia="Malgun Gothic" w:hAnsi="Verdana" w:cs="Arial"/>
          <w:bCs/>
          <w:sz w:val="18"/>
          <w:szCs w:val="16"/>
          <w:lang w:val="el-GR"/>
        </w:rPr>
        <w:t>Ο</w:t>
      </w:r>
      <w:r w:rsidRPr="00640B1C">
        <w:rPr>
          <w:rFonts w:ascii="Verdana" w:eastAsia="Malgun Gothic" w:hAnsi="Verdana" w:cs="Arial"/>
          <w:bCs/>
          <w:sz w:val="18"/>
          <w:szCs w:val="16"/>
          <w:lang w:val="el-GR"/>
        </w:rPr>
        <w:t xml:space="preserve">ι Κύπριοι παρουσιάζουν </w:t>
      </w:r>
      <w:r w:rsidR="00452CBD">
        <w:rPr>
          <w:rFonts w:ascii="Verdana" w:eastAsia="Malgun Gothic" w:hAnsi="Verdana" w:cs="Arial"/>
          <w:bCs/>
          <w:sz w:val="18"/>
          <w:szCs w:val="16"/>
          <w:lang w:val="el-GR"/>
        </w:rPr>
        <w:t>μεγαλύτερη συγκέντρωση</w:t>
      </w:r>
      <w:r w:rsidRPr="00640B1C">
        <w:rPr>
          <w:rFonts w:ascii="Verdana" w:eastAsia="Malgun Gothic" w:hAnsi="Verdana" w:cs="Arial"/>
          <w:bCs/>
          <w:sz w:val="18"/>
          <w:szCs w:val="16"/>
          <w:lang w:val="el-GR"/>
        </w:rPr>
        <w:t xml:space="preserve"> στις </w:t>
      </w:r>
      <w:r w:rsidR="0033221E">
        <w:rPr>
          <w:rFonts w:ascii="Verdana" w:eastAsia="Malgun Gothic" w:hAnsi="Verdana" w:cs="Arial"/>
          <w:bCs/>
          <w:sz w:val="18"/>
          <w:szCs w:val="16"/>
          <w:lang w:val="el-GR"/>
        </w:rPr>
        <w:t xml:space="preserve">μεσαίες και </w:t>
      </w:r>
      <w:r w:rsidR="00452CBD">
        <w:rPr>
          <w:rFonts w:ascii="Verdana" w:eastAsia="Malgun Gothic" w:hAnsi="Verdana" w:cs="Arial"/>
          <w:bCs/>
          <w:sz w:val="18"/>
          <w:szCs w:val="16"/>
          <w:lang w:val="el-GR"/>
        </w:rPr>
        <w:t>υψηλότερες</w:t>
      </w:r>
      <w:r w:rsidRPr="00640B1C">
        <w:rPr>
          <w:rFonts w:ascii="Verdana" w:eastAsia="Malgun Gothic" w:hAnsi="Verdana" w:cs="Arial"/>
          <w:bCs/>
          <w:sz w:val="18"/>
          <w:szCs w:val="16"/>
          <w:lang w:val="el-GR"/>
        </w:rPr>
        <w:t xml:space="preserve"> κατηγορίες</w:t>
      </w:r>
      <w:r w:rsidR="006C271E">
        <w:rPr>
          <w:rFonts w:ascii="Verdana" w:eastAsia="Malgun Gothic" w:hAnsi="Verdana" w:cs="Arial"/>
          <w:bCs/>
          <w:sz w:val="18"/>
          <w:szCs w:val="16"/>
          <w:lang w:val="el-GR"/>
        </w:rPr>
        <w:t>,</w:t>
      </w:r>
      <w:r w:rsidRPr="00640B1C">
        <w:rPr>
          <w:rFonts w:ascii="Verdana" w:eastAsia="Malgun Gothic" w:hAnsi="Verdana" w:cs="Arial"/>
          <w:bCs/>
          <w:sz w:val="18"/>
          <w:szCs w:val="16"/>
          <w:lang w:val="el-GR"/>
        </w:rPr>
        <w:t xml:space="preserve"> με το</w:t>
      </w:r>
      <w:r w:rsidRPr="002E5FD6">
        <w:rPr>
          <w:rFonts w:ascii="Verdana" w:eastAsia="Malgun Gothic" w:hAnsi="Verdana" w:cs="Arial"/>
          <w:bCs/>
          <w:sz w:val="18"/>
          <w:szCs w:val="16"/>
          <w:lang w:val="el-GR"/>
        </w:rPr>
        <w:t>υς μη</w:t>
      </w:r>
      <w:r w:rsidR="00EB49B9">
        <w:rPr>
          <w:rFonts w:ascii="Verdana" w:eastAsia="Malgun Gothic" w:hAnsi="Verdana" w:cs="Arial"/>
          <w:bCs/>
          <w:sz w:val="18"/>
          <w:szCs w:val="16"/>
          <w:lang w:val="el-GR"/>
        </w:rPr>
        <w:t>-</w:t>
      </w:r>
      <w:r w:rsidRPr="002E5FD6">
        <w:rPr>
          <w:rFonts w:ascii="Verdana" w:eastAsia="Malgun Gothic" w:hAnsi="Verdana" w:cs="Arial"/>
          <w:bCs/>
          <w:sz w:val="18"/>
          <w:szCs w:val="16"/>
          <w:lang w:val="el-GR"/>
        </w:rPr>
        <w:t>Κυπρίους να εμφανίζουν μεγαλύτερ</w:t>
      </w:r>
      <w:r w:rsidR="003A355F">
        <w:rPr>
          <w:rFonts w:ascii="Verdana" w:eastAsia="Malgun Gothic" w:hAnsi="Verdana" w:cs="Arial"/>
          <w:bCs/>
          <w:sz w:val="18"/>
          <w:szCs w:val="16"/>
          <w:lang w:val="el-GR"/>
        </w:rPr>
        <w:t>ο ποσοστό</w:t>
      </w:r>
      <w:r w:rsidRPr="002E5FD6">
        <w:rPr>
          <w:rFonts w:ascii="Verdana" w:eastAsia="Malgun Gothic" w:hAnsi="Verdana" w:cs="Arial"/>
          <w:bCs/>
          <w:sz w:val="18"/>
          <w:szCs w:val="16"/>
          <w:lang w:val="el-GR"/>
        </w:rPr>
        <w:t xml:space="preserve"> στην ανώτατη κατηγορία (≥€6.000). (Γράφημα 3)</w:t>
      </w:r>
    </w:p>
    <w:p w14:paraId="74A235FF" w14:textId="6705F815" w:rsidR="00640B1C" w:rsidRDefault="00640B1C" w:rsidP="006F5036">
      <w:pPr>
        <w:tabs>
          <w:tab w:val="left" w:pos="1080"/>
          <w:tab w:val="left" w:pos="6840"/>
        </w:tabs>
        <w:jc w:val="both"/>
        <w:rPr>
          <w:rFonts w:ascii="Verdana" w:eastAsia="Malgun Gothic" w:hAnsi="Verdana" w:cs="Arial"/>
          <w:bCs/>
          <w:sz w:val="18"/>
          <w:szCs w:val="16"/>
          <w:lang w:val="el-GR"/>
        </w:rPr>
      </w:pPr>
    </w:p>
    <w:p w14:paraId="57AF2C0D" w14:textId="706BB2B8" w:rsidR="005C726C" w:rsidRPr="008D07DA" w:rsidRDefault="005C726C" w:rsidP="003B5416">
      <w:pPr>
        <w:tabs>
          <w:tab w:val="left" w:pos="1080"/>
          <w:tab w:val="left" w:pos="6840"/>
        </w:tabs>
        <w:ind w:left="1276" w:hanging="1276"/>
        <w:jc w:val="both"/>
        <w:rPr>
          <w:rFonts w:ascii="Verdana" w:eastAsia="Malgun Gothic" w:hAnsi="Verdana" w:cs="Arial"/>
          <w:b/>
          <w:color w:val="366092"/>
          <w:u w:val="single"/>
          <w:lang w:val="el-GR"/>
        </w:rPr>
      </w:pPr>
      <w:bookmarkStart w:id="2" w:name="_Hlk196902422"/>
      <w:bookmarkEnd w:id="1"/>
      <w:r w:rsidRPr="008D07DA">
        <w:rPr>
          <w:rFonts w:ascii="Verdana" w:eastAsia="Malgun Gothic" w:hAnsi="Verdana" w:cs="Arial"/>
          <w:b/>
          <w:color w:val="366092"/>
          <w:sz w:val="18"/>
          <w:szCs w:val="18"/>
          <w:lang w:val="el-GR"/>
        </w:rPr>
        <w:t xml:space="preserve">Γράφημα 3: Κατανομή Κύπριων και Μη-Κύπριων Υπαλλήλων κατά Ομάδα </w:t>
      </w:r>
      <w:r w:rsidR="00671E16">
        <w:rPr>
          <w:rFonts w:ascii="Verdana" w:eastAsia="Malgun Gothic" w:hAnsi="Verdana" w:cs="Arial"/>
          <w:b/>
          <w:color w:val="366092"/>
          <w:sz w:val="18"/>
          <w:szCs w:val="18"/>
          <w:lang w:val="el-GR"/>
        </w:rPr>
        <w:t xml:space="preserve">Ακαθάριστων </w:t>
      </w:r>
      <w:r w:rsidRPr="008D07DA">
        <w:rPr>
          <w:rFonts w:ascii="Verdana" w:eastAsia="Malgun Gothic" w:hAnsi="Verdana" w:cs="Arial"/>
          <w:b/>
          <w:color w:val="366092"/>
          <w:sz w:val="18"/>
          <w:szCs w:val="18"/>
          <w:lang w:val="el-GR"/>
        </w:rPr>
        <w:t xml:space="preserve">Μηνιαίων Απολαβών, 2025 </w:t>
      </w:r>
    </w:p>
    <w:bookmarkEnd w:id="2"/>
    <w:p w14:paraId="77AEFF1A" w14:textId="568A391F" w:rsidR="009B12A7" w:rsidRPr="008D07DA" w:rsidRDefault="005D268F" w:rsidP="00CC031A">
      <w:pPr>
        <w:tabs>
          <w:tab w:val="left" w:pos="1080"/>
          <w:tab w:val="left" w:pos="6840"/>
        </w:tabs>
        <w:ind w:left="1302" w:hanging="1442"/>
        <w:jc w:val="center"/>
        <w:rPr>
          <w:rFonts w:ascii="Verdana" w:eastAsia="Malgun Gothic" w:hAnsi="Verdana" w:cs="Arial"/>
          <w:b/>
          <w:color w:val="365F91"/>
          <w:sz w:val="18"/>
          <w:szCs w:val="18"/>
          <w:lang w:val="el-GR"/>
        </w:rPr>
      </w:pPr>
      <w:r>
        <w:rPr>
          <w:noProof/>
        </w:rPr>
        <w:drawing>
          <wp:inline distT="0" distB="0" distL="0" distR="0" wp14:anchorId="0FBE3C32" wp14:editId="15EE510B">
            <wp:extent cx="6191250" cy="4048125"/>
            <wp:effectExtent l="0" t="0" r="0" b="9525"/>
            <wp:docPr id="6" name="Chart 6">
              <a:extLst xmlns:a="http://schemas.openxmlformats.org/drawingml/2006/main">
                <a:ext uri="{FF2B5EF4-FFF2-40B4-BE49-F238E27FC236}">
                  <a16:creationId xmlns:a16="http://schemas.microsoft.com/office/drawing/2014/main" id="{7AC67C30-5E40-42B5-AFA5-62592E353D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4E9AE5" w14:textId="55F6960D" w:rsidR="002E4060" w:rsidRPr="00CC031A" w:rsidRDefault="002E4060" w:rsidP="008810B3">
      <w:pPr>
        <w:tabs>
          <w:tab w:val="left" w:pos="1080"/>
          <w:tab w:val="left" w:pos="6840"/>
        </w:tabs>
        <w:jc w:val="both"/>
        <w:rPr>
          <w:rFonts w:ascii="Verdana" w:eastAsia="Malgun Gothic" w:hAnsi="Verdana" w:cs="Arial"/>
          <w:color w:val="558ED5"/>
          <w:sz w:val="20"/>
          <w:szCs w:val="20"/>
          <w:lang w:val="el-GR"/>
        </w:rPr>
      </w:pPr>
      <w:r w:rsidRPr="00CC031A">
        <w:rPr>
          <w:rFonts w:ascii="Verdana" w:eastAsia="Malgun Gothic" w:hAnsi="Verdana" w:cs="Arial"/>
          <w:color w:val="558ED5"/>
          <w:sz w:val="16"/>
          <w:szCs w:val="16"/>
          <w:lang w:val="el-GR"/>
        </w:rPr>
        <w:t xml:space="preserve">Σημείωση: </w:t>
      </w:r>
      <w:r w:rsidRPr="00CC031A">
        <w:rPr>
          <w:rFonts w:ascii="Verdana" w:eastAsia="Malgun Gothic" w:hAnsi="Verdana" w:cs="Arial"/>
          <w:color w:val="558ED5"/>
          <w:sz w:val="16"/>
          <w:szCs w:val="16"/>
        </w:rPr>
        <w:t>T</w:t>
      </w:r>
      <w:r w:rsidRPr="00CC031A">
        <w:rPr>
          <w:rFonts w:ascii="Verdana" w:eastAsia="Malgun Gothic" w:hAnsi="Verdana" w:cs="Arial"/>
          <w:color w:val="558ED5"/>
          <w:sz w:val="16"/>
          <w:szCs w:val="16"/>
          <w:lang w:val="el-GR"/>
        </w:rPr>
        <w:t>α στοιχεία για το 202</w:t>
      </w:r>
      <w:r w:rsidR="001F7CCC" w:rsidRPr="00CC031A">
        <w:rPr>
          <w:rFonts w:ascii="Verdana" w:eastAsia="Malgun Gothic" w:hAnsi="Verdana" w:cs="Arial"/>
          <w:color w:val="558ED5"/>
          <w:sz w:val="16"/>
          <w:szCs w:val="16"/>
          <w:lang w:val="el-GR"/>
        </w:rPr>
        <w:t>5</w:t>
      </w:r>
      <w:r w:rsidRPr="00CC031A">
        <w:rPr>
          <w:rFonts w:ascii="Verdana" w:eastAsia="Malgun Gothic" w:hAnsi="Verdana" w:cs="Arial"/>
          <w:color w:val="558ED5"/>
          <w:sz w:val="16"/>
          <w:szCs w:val="16"/>
          <w:lang w:val="el-GR"/>
        </w:rPr>
        <w:t xml:space="preserve"> είναι προκαταρκτικά.</w:t>
      </w:r>
      <w:r w:rsidR="00D047C8" w:rsidRPr="00CC031A">
        <w:rPr>
          <w:noProof/>
          <w:color w:val="558ED5"/>
          <w:lang w:val="el-GR"/>
        </w:rPr>
        <w:t xml:space="preserve"> </w:t>
      </w:r>
    </w:p>
    <w:p w14:paraId="7F63A0F2" w14:textId="77777777" w:rsidR="008810B3" w:rsidRPr="008D07DA" w:rsidRDefault="008810B3" w:rsidP="008810B3">
      <w:pPr>
        <w:jc w:val="both"/>
        <w:rPr>
          <w:rFonts w:ascii="Verdana" w:eastAsia="Malgun Gothic" w:hAnsi="Verdana" w:cs="Arial"/>
          <w:bCs/>
          <w:sz w:val="18"/>
          <w:szCs w:val="18"/>
          <w:u w:val="single"/>
          <w:lang w:val="el-GR"/>
        </w:rPr>
      </w:pPr>
    </w:p>
    <w:p w14:paraId="3CB2B84E" w14:textId="77777777" w:rsidR="008810B3" w:rsidRPr="008D07DA" w:rsidRDefault="008810B3" w:rsidP="008810B3">
      <w:pPr>
        <w:jc w:val="both"/>
        <w:rPr>
          <w:rFonts w:ascii="Verdana" w:eastAsia="Malgun Gothic" w:hAnsi="Verdana" w:cs="Arial"/>
          <w:bCs/>
          <w:sz w:val="18"/>
          <w:szCs w:val="18"/>
          <w:u w:val="single"/>
          <w:lang w:val="el-GR"/>
        </w:rPr>
      </w:pPr>
    </w:p>
    <w:p w14:paraId="72B994D5" w14:textId="77777777" w:rsidR="009E4DAF" w:rsidRPr="008D07DA" w:rsidRDefault="009E4DAF">
      <w:pPr>
        <w:rPr>
          <w:rFonts w:ascii="Verdana" w:eastAsia="Malgun Gothic" w:hAnsi="Verdana" w:cs="Arial"/>
          <w:b/>
          <w:u w:val="single"/>
          <w:lang w:val="el-GR"/>
        </w:rPr>
      </w:pPr>
      <w:r w:rsidRPr="008D07DA">
        <w:rPr>
          <w:rFonts w:ascii="Verdana" w:eastAsia="Malgun Gothic" w:hAnsi="Verdana" w:cs="Arial"/>
          <w:b/>
          <w:u w:val="single"/>
          <w:lang w:val="el-GR"/>
        </w:rPr>
        <w:br w:type="page"/>
      </w:r>
    </w:p>
    <w:p w14:paraId="2BD69792" w14:textId="7EF0B0BF" w:rsidR="00721160" w:rsidRPr="008D07DA" w:rsidRDefault="00721160" w:rsidP="00721160">
      <w:pPr>
        <w:jc w:val="center"/>
        <w:rPr>
          <w:rFonts w:ascii="Verdana" w:eastAsia="Malgun Gothic" w:hAnsi="Verdana" w:cs="Arial"/>
          <w:b/>
          <w:u w:val="single"/>
          <w:lang w:val="el-GR"/>
        </w:rPr>
      </w:pPr>
      <w:r w:rsidRPr="008D07DA">
        <w:rPr>
          <w:rFonts w:ascii="Verdana" w:eastAsia="Malgun Gothic" w:hAnsi="Verdana" w:cs="Arial"/>
          <w:b/>
          <w:u w:val="single"/>
          <w:lang w:val="el-GR"/>
        </w:rPr>
        <w:lastRenderedPageBreak/>
        <w:t>ΜΕΘΟΔΟΛΟΓΙΚΕΣ ΠΛΗΡΟΦΟΡΙΕΣ</w:t>
      </w:r>
    </w:p>
    <w:p w14:paraId="6281873A" w14:textId="77777777" w:rsidR="00721160" w:rsidRPr="008D07DA" w:rsidRDefault="00721160" w:rsidP="00721160">
      <w:pPr>
        <w:tabs>
          <w:tab w:val="left" w:pos="1080"/>
          <w:tab w:val="left" w:pos="6840"/>
        </w:tabs>
        <w:jc w:val="center"/>
        <w:rPr>
          <w:rFonts w:ascii="Verdana" w:eastAsia="Malgun Gothic" w:hAnsi="Verdana" w:cs="Arial"/>
          <w:b/>
          <w:u w:val="single"/>
          <w:lang w:val="el-GR"/>
        </w:rPr>
      </w:pPr>
    </w:p>
    <w:p w14:paraId="1E2DB3B2" w14:textId="77777777" w:rsidR="00721160" w:rsidRPr="008D07DA" w:rsidRDefault="00387114" w:rsidP="00721160">
      <w:pPr>
        <w:tabs>
          <w:tab w:val="left" w:pos="1080"/>
          <w:tab w:val="left" w:pos="6840"/>
        </w:tabs>
        <w:jc w:val="both"/>
        <w:rPr>
          <w:rFonts w:ascii="Verdana" w:eastAsia="Malgun Gothic" w:hAnsi="Verdana" w:cs="Arial"/>
          <w:b/>
          <w:sz w:val="18"/>
          <w:szCs w:val="18"/>
          <w:u w:val="single"/>
          <w:lang w:val="el-GR"/>
        </w:rPr>
      </w:pPr>
      <w:r w:rsidRPr="008D07DA">
        <w:rPr>
          <w:rFonts w:ascii="Verdana" w:eastAsia="Malgun Gothic" w:hAnsi="Verdana" w:cs="Arial"/>
          <w:b/>
          <w:sz w:val="18"/>
          <w:szCs w:val="18"/>
          <w:u w:val="single"/>
          <w:lang w:val="el-GR"/>
        </w:rPr>
        <w:t>Ταυτότητα</w:t>
      </w:r>
    </w:p>
    <w:p w14:paraId="5A5379F2" w14:textId="77777777" w:rsidR="00387114" w:rsidRPr="008D07DA" w:rsidRDefault="00387114" w:rsidP="00721160">
      <w:pPr>
        <w:tabs>
          <w:tab w:val="left" w:pos="1080"/>
          <w:tab w:val="left" w:pos="6840"/>
        </w:tabs>
        <w:jc w:val="both"/>
        <w:rPr>
          <w:rFonts w:ascii="Verdana" w:eastAsia="Malgun Gothic" w:hAnsi="Verdana" w:cs="Arial"/>
          <w:b/>
          <w:sz w:val="18"/>
          <w:szCs w:val="18"/>
          <w:u w:val="single"/>
          <w:lang w:val="el-GR"/>
        </w:rPr>
      </w:pPr>
    </w:p>
    <w:p w14:paraId="4F7A214A" w14:textId="1E560D6B" w:rsidR="00387114" w:rsidRPr="008D07DA" w:rsidRDefault="00B757B0" w:rsidP="00721160">
      <w:pPr>
        <w:tabs>
          <w:tab w:val="left" w:pos="1080"/>
          <w:tab w:val="left" w:pos="6840"/>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Οι Μέσες Μηνιαίες Απολαβές υπολογίζονται διαιρώντας το σύνολο των ακαθάριστων απολαβών προτού αφαιρεθούν οποιεσδήποτε συνεισφορές στα υποχρεωτικά ταμεία των Κοινωνικών Ασφαλίσεων, με το σύνολο των υπαλλήλων που έλαβαν τις απολαβές αυτές. Πηγή των στοιχείων είναι το αρχείο των Υπηρεσιών Κοινωνικών Ασφαλίσεων. Τα αποτελέσματα </w:t>
      </w:r>
      <w:r w:rsidR="00F10841" w:rsidRPr="008D07DA">
        <w:rPr>
          <w:rFonts w:ascii="Verdana" w:eastAsia="Malgun Gothic" w:hAnsi="Verdana" w:cs="Arial"/>
          <w:sz w:val="18"/>
          <w:szCs w:val="18"/>
          <w:lang w:val="el-GR"/>
        </w:rPr>
        <w:t xml:space="preserve">για τη παρούσα δημοσίευση </w:t>
      </w:r>
      <w:r w:rsidRPr="008D07DA">
        <w:rPr>
          <w:rFonts w:ascii="Verdana" w:eastAsia="Malgun Gothic" w:hAnsi="Verdana" w:cs="Arial"/>
          <w:sz w:val="18"/>
          <w:szCs w:val="18"/>
          <w:lang w:val="el-GR"/>
        </w:rPr>
        <w:t xml:space="preserve">δημοσιεύονται </w:t>
      </w:r>
      <w:r w:rsidR="00F10841" w:rsidRPr="008D07DA">
        <w:rPr>
          <w:rFonts w:ascii="Verdana" w:eastAsia="Malgun Gothic" w:hAnsi="Verdana" w:cs="Arial"/>
          <w:sz w:val="18"/>
          <w:szCs w:val="18"/>
          <w:lang w:val="el-GR"/>
        </w:rPr>
        <w:t xml:space="preserve">τόσο </w:t>
      </w:r>
      <w:r w:rsidRPr="008D07DA">
        <w:rPr>
          <w:rFonts w:ascii="Verdana" w:eastAsia="Malgun Gothic" w:hAnsi="Verdana" w:cs="Arial"/>
          <w:sz w:val="18"/>
          <w:szCs w:val="18"/>
          <w:lang w:val="el-GR"/>
        </w:rPr>
        <w:t xml:space="preserve">σε τριμηνιαία </w:t>
      </w:r>
      <w:r w:rsidR="00F10841" w:rsidRPr="008D07DA">
        <w:rPr>
          <w:rFonts w:ascii="Verdana" w:eastAsia="Malgun Gothic" w:hAnsi="Verdana" w:cs="Arial"/>
          <w:sz w:val="18"/>
          <w:szCs w:val="18"/>
          <w:lang w:val="el-GR"/>
        </w:rPr>
        <w:t xml:space="preserve">όσο </w:t>
      </w:r>
      <w:r w:rsidR="009703B4" w:rsidRPr="008D07DA">
        <w:rPr>
          <w:rFonts w:ascii="Verdana" w:eastAsia="Malgun Gothic" w:hAnsi="Verdana" w:cs="Arial"/>
          <w:sz w:val="18"/>
          <w:szCs w:val="18"/>
          <w:lang w:val="el-GR"/>
        </w:rPr>
        <w:t xml:space="preserve">και </w:t>
      </w:r>
      <w:r w:rsidR="00F10841" w:rsidRPr="008D07DA">
        <w:rPr>
          <w:rFonts w:ascii="Verdana" w:eastAsia="Malgun Gothic" w:hAnsi="Verdana" w:cs="Arial"/>
          <w:sz w:val="18"/>
          <w:szCs w:val="18"/>
          <w:lang w:val="el-GR"/>
        </w:rPr>
        <w:t xml:space="preserve">σε </w:t>
      </w:r>
      <w:r w:rsidR="009703B4" w:rsidRPr="008D07DA">
        <w:rPr>
          <w:rFonts w:ascii="Verdana" w:eastAsia="Malgun Gothic" w:hAnsi="Verdana" w:cs="Arial"/>
          <w:sz w:val="18"/>
          <w:szCs w:val="18"/>
          <w:lang w:val="el-GR"/>
        </w:rPr>
        <w:t xml:space="preserve">ετήσια </w:t>
      </w:r>
      <w:r w:rsidRPr="008D07DA">
        <w:rPr>
          <w:rFonts w:ascii="Verdana" w:eastAsia="Malgun Gothic" w:hAnsi="Verdana" w:cs="Arial"/>
          <w:sz w:val="18"/>
          <w:szCs w:val="18"/>
          <w:lang w:val="el-GR"/>
        </w:rPr>
        <w:t xml:space="preserve">βάση. </w:t>
      </w:r>
    </w:p>
    <w:p w14:paraId="1B5BEEB3" w14:textId="77777777" w:rsidR="00B757B0" w:rsidRPr="008D07DA" w:rsidRDefault="00B757B0" w:rsidP="00721160">
      <w:pPr>
        <w:tabs>
          <w:tab w:val="left" w:pos="1080"/>
          <w:tab w:val="left" w:pos="6840"/>
        </w:tabs>
        <w:jc w:val="both"/>
        <w:rPr>
          <w:rFonts w:ascii="Verdana" w:eastAsia="Malgun Gothic" w:hAnsi="Verdana" w:cs="Arial"/>
          <w:b/>
          <w:sz w:val="18"/>
          <w:szCs w:val="18"/>
          <w:u w:val="single"/>
          <w:lang w:val="el-GR"/>
        </w:rPr>
      </w:pPr>
    </w:p>
    <w:p w14:paraId="30E10233" w14:textId="28D8F4E0" w:rsidR="00387114" w:rsidRPr="008D07DA" w:rsidRDefault="00387114" w:rsidP="00387114">
      <w:pPr>
        <w:tabs>
          <w:tab w:val="left" w:pos="945"/>
        </w:tabs>
        <w:jc w:val="both"/>
        <w:rPr>
          <w:rFonts w:ascii="Verdana" w:eastAsia="Malgun Gothic" w:hAnsi="Verdana" w:cs="Arial"/>
          <w:b/>
          <w:sz w:val="18"/>
          <w:szCs w:val="18"/>
          <w:u w:val="single"/>
          <w:lang w:val="el-GR"/>
        </w:rPr>
      </w:pPr>
      <w:r w:rsidRPr="008D07DA">
        <w:rPr>
          <w:rFonts w:ascii="Verdana" w:eastAsia="Malgun Gothic" w:hAnsi="Verdana" w:cs="Arial"/>
          <w:b/>
          <w:sz w:val="18"/>
          <w:szCs w:val="18"/>
          <w:u w:val="single"/>
          <w:lang w:val="el-GR"/>
        </w:rPr>
        <w:t xml:space="preserve">Κάλυψη </w:t>
      </w:r>
      <w:r w:rsidR="00055539" w:rsidRPr="008D07DA">
        <w:rPr>
          <w:rFonts w:ascii="Verdana" w:eastAsia="Malgun Gothic" w:hAnsi="Verdana" w:cs="Arial"/>
          <w:b/>
          <w:sz w:val="18"/>
          <w:szCs w:val="18"/>
          <w:u w:val="single"/>
          <w:lang w:val="el-GR"/>
        </w:rPr>
        <w:t>Σ</w:t>
      </w:r>
      <w:r w:rsidRPr="008D07DA">
        <w:rPr>
          <w:rFonts w:ascii="Verdana" w:eastAsia="Malgun Gothic" w:hAnsi="Verdana" w:cs="Arial"/>
          <w:b/>
          <w:sz w:val="18"/>
          <w:szCs w:val="18"/>
          <w:u w:val="single"/>
          <w:lang w:val="el-GR"/>
        </w:rPr>
        <w:t>τοιχείων</w:t>
      </w:r>
    </w:p>
    <w:p w14:paraId="431E28B5" w14:textId="77777777" w:rsidR="00387114" w:rsidRPr="008D07DA" w:rsidRDefault="00387114" w:rsidP="00387114">
      <w:pPr>
        <w:tabs>
          <w:tab w:val="left" w:pos="945"/>
        </w:tabs>
        <w:jc w:val="both"/>
        <w:rPr>
          <w:rFonts w:ascii="Verdana" w:eastAsia="Malgun Gothic" w:hAnsi="Verdana" w:cs="Arial"/>
          <w:sz w:val="18"/>
          <w:szCs w:val="18"/>
          <w:lang w:val="el-GR"/>
        </w:rPr>
      </w:pPr>
    </w:p>
    <w:p w14:paraId="770C7AD9" w14:textId="1756796D" w:rsidR="00387114" w:rsidRPr="008D07DA" w:rsidRDefault="00387114" w:rsidP="005D2B52">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Καλύπτονται </w:t>
      </w:r>
      <w:r w:rsidR="00765134" w:rsidRPr="008D07DA">
        <w:rPr>
          <w:rFonts w:ascii="Verdana" w:eastAsia="Malgun Gothic" w:hAnsi="Verdana" w:cs="Arial"/>
          <w:sz w:val="18"/>
          <w:szCs w:val="18"/>
          <w:lang w:val="el-GR"/>
        </w:rPr>
        <w:t>όλοι οι τομείς οικονομικών δραστηριοτήτων με βάση τ</w:t>
      </w:r>
      <w:r w:rsidR="00D96B38" w:rsidRPr="008D07DA">
        <w:rPr>
          <w:rFonts w:ascii="Verdana" w:eastAsia="Malgun Gothic" w:hAnsi="Verdana" w:cs="Arial"/>
          <w:sz w:val="18"/>
          <w:szCs w:val="18"/>
          <w:lang w:val="el-GR"/>
        </w:rPr>
        <w:t>η</w:t>
      </w:r>
      <w:r w:rsidR="00765134" w:rsidRPr="008D07DA">
        <w:rPr>
          <w:rFonts w:ascii="Verdana" w:eastAsia="Malgun Gothic" w:hAnsi="Verdana" w:cs="Arial"/>
          <w:sz w:val="18"/>
          <w:szCs w:val="18"/>
          <w:lang w:val="el-GR"/>
        </w:rPr>
        <w:t xml:space="preserve"> </w:t>
      </w:r>
      <w:r w:rsidR="00D96B38" w:rsidRPr="008D07DA">
        <w:rPr>
          <w:rFonts w:ascii="Verdana" w:eastAsia="Malgun Gothic" w:hAnsi="Verdana" w:cs="Arial"/>
          <w:sz w:val="18"/>
          <w:szCs w:val="18"/>
          <w:lang w:val="el-GR"/>
        </w:rPr>
        <w:t xml:space="preserve">Στατιστική Ταξινόμηση Οικονομικών Δραστηριοτήτων στην Κοινότητα (NACE </w:t>
      </w:r>
      <w:proofErr w:type="spellStart"/>
      <w:r w:rsidR="00D96B38" w:rsidRPr="008D07DA">
        <w:rPr>
          <w:rFonts w:ascii="Verdana" w:eastAsia="Malgun Gothic" w:hAnsi="Verdana" w:cs="Arial"/>
          <w:sz w:val="18"/>
          <w:szCs w:val="18"/>
          <w:lang w:val="el-GR"/>
        </w:rPr>
        <w:t>Αναθ</w:t>
      </w:r>
      <w:proofErr w:type="spellEnd"/>
      <w:r w:rsidR="00D96B38" w:rsidRPr="008D07DA">
        <w:rPr>
          <w:rFonts w:ascii="Verdana" w:eastAsia="Malgun Gothic" w:hAnsi="Verdana" w:cs="Arial"/>
          <w:sz w:val="18"/>
          <w:szCs w:val="18"/>
          <w:lang w:val="el-GR"/>
        </w:rPr>
        <w:t>. 2)</w:t>
      </w:r>
      <w:r w:rsidR="00765134" w:rsidRPr="008D07DA">
        <w:rPr>
          <w:rFonts w:ascii="Verdana" w:eastAsia="Malgun Gothic" w:hAnsi="Verdana" w:cs="Arial"/>
          <w:sz w:val="18"/>
          <w:szCs w:val="18"/>
          <w:lang w:val="el-GR"/>
        </w:rPr>
        <w:t xml:space="preserve">, </w:t>
      </w:r>
      <w:r w:rsidRPr="008D07DA">
        <w:rPr>
          <w:rFonts w:ascii="Verdana" w:eastAsia="Malgun Gothic" w:hAnsi="Verdana" w:cs="Arial"/>
          <w:sz w:val="18"/>
          <w:szCs w:val="18"/>
          <w:lang w:val="el-GR"/>
        </w:rPr>
        <w:t>εκτός από τον Τομέα Τ: Δραστηριότητες νοικοκυριών ως εργοδοτών και τον Τομέα U: Δραστηριότητες ετερόδικων οργανισμών και φορέων.</w:t>
      </w:r>
    </w:p>
    <w:p w14:paraId="34D1C188" w14:textId="77777777" w:rsidR="00387114" w:rsidRPr="008D07DA" w:rsidRDefault="00387114" w:rsidP="00387114">
      <w:pPr>
        <w:tabs>
          <w:tab w:val="left" w:pos="945"/>
        </w:tabs>
        <w:jc w:val="both"/>
        <w:rPr>
          <w:rFonts w:ascii="Verdana" w:eastAsia="Malgun Gothic" w:hAnsi="Verdana" w:cs="Arial"/>
          <w:sz w:val="18"/>
          <w:szCs w:val="18"/>
          <w:lang w:val="el-GR"/>
        </w:rPr>
      </w:pPr>
    </w:p>
    <w:p w14:paraId="6DFA4B0E" w14:textId="322A4550" w:rsidR="00387114" w:rsidRPr="008D07DA" w:rsidRDefault="00387114" w:rsidP="00387114">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Καλύπτονται όλοι οι υπάλληλοι που είναι καταγεγραμμένοι στο Αρχείο των Υπηρεσιών Κοινωνικών Ασφαλίσεων. </w:t>
      </w:r>
      <w:r w:rsidR="000D35AC" w:rsidRPr="008D07DA">
        <w:rPr>
          <w:rFonts w:ascii="Verdana" w:eastAsia="Malgun Gothic" w:hAnsi="Verdana" w:cs="Arial"/>
          <w:sz w:val="18"/>
          <w:szCs w:val="18"/>
          <w:lang w:val="el-GR"/>
        </w:rPr>
        <w:t>Εξαιρούνται άτομα με απολαβές λιγότερες από το κατώτατο επιτρεπτό όριο, το οποίο όρισε η Στατιστική Υπηρεσία ως ένδειξη για τα άτομα που δεν είχαν κανονική απασχόληση κατά την περίοδο αναφοράς (π.χ. άτομα που έλαβαν μόνο κάποια αναδρομική πληρωμή, άτομα που εργάστηκαν πολύ λίγες ώρες, κτλ.). Το κατώτατο επιτρεπτό όριο απολαβών, αναθεωρείται κάθε έτος, ανάλογα με το επίπεδο του κατώτατου μισθού σύμφωνα με το Περί Κατώτατων Μισθών Διάταγμα</w:t>
      </w:r>
      <w:r w:rsidR="007E7A46" w:rsidRPr="008D07DA">
        <w:rPr>
          <w:rFonts w:ascii="Verdana" w:eastAsia="Malgun Gothic" w:hAnsi="Verdana" w:cs="Arial"/>
          <w:sz w:val="18"/>
          <w:szCs w:val="18"/>
          <w:lang w:val="el-GR"/>
        </w:rPr>
        <w:t xml:space="preserve"> μέχρι το 2022 και σύμφωνα με τον </w:t>
      </w:r>
      <w:r w:rsidR="00DB263E" w:rsidRPr="008D07DA">
        <w:rPr>
          <w:rFonts w:ascii="Verdana" w:eastAsia="Malgun Gothic" w:hAnsi="Verdana" w:cs="Arial"/>
          <w:sz w:val="18"/>
          <w:szCs w:val="18"/>
          <w:lang w:val="el-GR"/>
        </w:rPr>
        <w:t>Περί Κατώτατου Ορίου Μισθών Νόμο από το 2023</w:t>
      </w:r>
      <w:r w:rsidR="000D35AC" w:rsidRPr="008D07DA">
        <w:rPr>
          <w:rFonts w:ascii="Verdana" w:eastAsia="Malgun Gothic" w:hAnsi="Verdana" w:cs="Arial"/>
          <w:sz w:val="18"/>
          <w:szCs w:val="18"/>
          <w:lang w:val="el-GR"/>
        </w:rPr>
        <w:t>.</w:t>
      </w:r>
    </w:p>
    <w:p w14:paraId="361E5152" w14:textId="77777777" w:rsidR="00387114" w:rsidRPr="008D07DA" w:rsidRDefault="00387114" w:rsidP="00387114">
      <w:pPr>
        <w:tabs>
          <w:tab w:val="left" w:pos="945"/>
        </w:tabs>
        <w:jc w:val="both"/>
        <w:rPr>
          <w:rFonts w:ascii="Verdana" w:eastAsia="Malgun Gothic" w:hAnsi="Verdana" w:cs="Arial"/>
          <w:sz w:val="18"/>
          <w:szCs w:val="18"/>
          <w:u w:val="single"/>
          <w:lang w:val="el-GR"/>
        </w:rPr>
      </w:pPr>
    </w:p>
    <w:p w14:paraId="4CB449D3" w14:textId="77777777" w:rsidR="00B757B0" w:rsidRPr="008D07DA" w:rsidRDefault="00B757B0" w:rsidP="00B757B0">
      <w:pPr>
        <w:tabs>
          <w:tab w:val="left" w:pos="1080"/>
          <w:tab w:val="left" w:pos="6840"/>
        </w:tabs>
        <w:jc w:val="both"/>
        <w:rPr>
          <w:rFonts w:ascii="Verdana" w:eastAsia="Malgun Gothic" w:hAnsi="Verdana" w:cs="Arial"/>
          <w:b/>
          <w:sz w:val="18"/>
          <w:szCs w:val="18"/>
          <w:u w:val="single"/>
          <w:lang w:val="el-GR"/>
        </w:rPr>
      </w:pPr>
      <w:r w:rsidRPr="008D07DA">
        <w:rPr>
          <w:rFonts w:ascii="Verdana" w:eastAsia="Malgun Gothic" w:hAnsi="Verdana" w:cs="Arial"/>
          <w:b/>
          <w:sz w:val="18"/>
          <w:szCs w:val="18"/>
          <w:u w:val="single"/>
          <w:lang w:val="el-GR"/>
        </w:rPr>
        <w:t>Ορισμοί</w:t>
      </w:r>
    </w:p>
    <w:p w14:paraId="3B80F447" w14:textId="77777777" w:rsidR="00721160" w:rsidRPr="008D07DA" w:rsidRDefault="00721160" w:rsidP="00721160">
      <w:pPr>
        <w:tabs>
          <w:tab w:val="left" w:pos="1080"/>
          <w:tab w:val="left" w:pos="6840"/>
        </w:tabs>
        <w:jc w:val="both"/>
        <w:rPr>
          <w:rFonts w:ascii="Verdana" w:eastAsia="Malgun Gothic" w:hAnsi="Verdana" w:cs="Arial"/>
          <w:sz w:val="18"/>
          <w:szCs w:val="18"/>
          <w:lang w:val="el-GR"/>
        </w:rPr>
      </w:pPr>
    </w:p>
    <w:p w14:paraId="5D280C5A" w14:textId="599B3BAC" w:rsidR="00721160" w:rsidRPr="008D07DA" w:rsidRDefault="00721160" w:rsidP="00721160">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Οι </w:t>
      </w:r>
      <w:r w:rsidRPr="008D07DA">
        <w:rPr>
          <w:rFonts w:ascii="Verdana" w:eastAsia="Malgun Gothic" w:hAnsi="Verdana" w:cs="Arial"/>
          <w:b/>
          <w:sz w:val="18"/>
          <w:szCs w:val="18"/>
          <w:lang w:val="el-GR"/>
        </w:rPr>
        <w:t xml:space="preserve">Μέσες Μηνιαίες Απολαβές </w:t>
      </w:r>
      <w:r w:rsidRPr="008D07DA">
        <w:rPr>
          <w:rFonts w:ascii="Verdana" w:eastAsia="Malgun Gothic" w:hAnsi="Verdana" w:cs="Arial"/>
          <w:sz w:val="18"/>
          <w:szCs w:val="18"/>
          <w:lang w:val="el-GR"/>
        </w:rPr>
        <w:t xml:space="preserve">των υπαλλήλων περιλαμβάνουν το βασικό μισθό, το τιμαριθμικό επίδομα, απολαβές υπερωριών, το Ταμείο Αδειών, οποιαδήποτε επιδόματα έλαβαν οι υπάλληλοι κατά την περίοδο αναφοράς, καθώς επίσης και αναδρομικές πληρωμές. </w:t>
      </w:r>
      <w:r w:rsidR="00B83BDA" w:rsidRPr="008D07DA">
        <w:rPr>
          <w:rFonts w:ascii="Verdana" w:eastAsia="Malgun Gothic" w:hAnsi="Verdana" w:cs="Arial"/>
          <w:sz w:val="18"/>
          <w:szCs w:val="18"/>
          <w:lang w:val="el-GR"/>
        </w:rPr>
        <w:t>Στα επιδόματα περιλαμβάνονται τόσο σταθερές όσο και μη σταθερές πληρωμές (13ος μισθός, 14ος μισθός, επιμίσθια κλπ.)</w:t>
      </w:r>
    </w:p>
    <w:p w14:paraId="646EBA40" w14:textId="77777777" w:rsidR="00721160" w:rsidRPr="008D07DA" w:rsidRDefault="00721160" w:rsidP="00721160">
      <w:pPr>
        <w:tabs>
          <w:tab w:val="left" w:pos="945"/>
        </w:tabs>
        <w:jc w:val="both"/>
        <w:rPr>
          <w:rFonts w:ascii="Verdana" w:eastAsia="Malgun Gothic" w:hAnsi="Verdana" w:cs="Arial"/>
          <w:sz w:val="18"/>
          <w:szCs w:val="18"/>
          <w:lang w:val="el-GR"/>
        </w:rPr>
      </w:pPr>
    </w:p>
    <w:p w14:paraId="06EC1620" w14:textId="3C8A99CF" w:rsidR="00387114" w:rsidRPr="008D07DA" w:rsidRDefault="00721160" w:rsidP="00721160">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rPr>
        <w:t>O</w:t>
      </w:r>
      <w:r w:rsidRPr="008D07DA">
        <w:rPr>
          <w:rFonts w:ascii="Verdana" w:eastAsia="Malgun Gothic" w:hAnsi="Verdana" w:cs="Arial"/>
          <w:sz w:val="18"/>
          <w:szCs w:val="18"/>
          <w:lang w:val="el-GR"/>
        </w:rPr>
        <w:t>ι έκτακτες εισφορές των εργοδοτουμένων του ιδιωτικού τομέα (2012-2016) και των αξιωματούχων και εργοδοτουμένων της κρατικής υπηρεσίας και του ευρύτερου δημόσιου τομέα (1/9/2011-31/12/2016) και οι μειώσεις των απολαβών των αξιωματούχων και εργοδοτουμένων της κρατικής υπηρεσίας και του ευρύτερου δημόσιου τομέα (από 01/12/2012</w:t>
      </w:r>
      <w:r w:rsidR="00D80738" w:rsidRPr="008D07DA">
        <w:rPr>
          <w:rFonts w:ascii="Verdana" w:eastAsia="Malgun Gothic" w:hAnsi="Verdana" w:cs="Arial"/>
          <w:sz w:val="18"/>
          <w:szCs w:val="18"/>
          <w:lang w:val="el-GR"/>
        </w:rPr>
        <w:t xml:space="preserve"> μέχρι 31/12/202</w:t>
      </w:r>
      <w:r w:rsidR="00B83BDA" w:rsidRPr="008D07DA">
        <w:rPr>
          <w:rFonts w:ascii="Verdana" w:eastAsia="Malgun Gothic" w:hAnsi="Verdana" w:cs="Arial"/>
          <w:sz w:val="18"/>
          <w:szCs w:val="18"/>
          <w:lang w:val="el-GR"/>
        </w:rPr>
        <w:t>2</w:t>
      </w:r>
      <w:r w:rsidRPr="008D07DA">
        <w:rPr>
          <w:rFonts w:ascii="Verdana" w:eastAsia="Malgun Gothic" w:hAnsi="Verdana" w:cs="Arial"/>
          <w:sz w:val="18"/>
          <w:szCs w:val="18"/>
          <w:lang w:val="el-GR"/>
        </w:rPr>
        <w:t>), δεν επηρεάζουν τον ακαθάριστο μισθό αλλά το διαθέσιμο εισόδημα των υπαλλήλων. Επομένως, δεν αντικατοπτρίζονται στα πιο πάνω στοιχεία.</w:t>
      </w:r>
    </w:p>
    <w:p w14:paraId="2A197A2E" w14:textId="77777777" w:rsidR="00571414" w:rsidRPr="008D07DA" w:rsidRDefault="00571414" w:rsidP="00721160">
      <w:pPr>
        <w:tabs>
          <w:tab w:val="left" w:pos="945"/>
        </w:tabs>
        <w:jc w:val="both"/>
        <w:rPr>
          <w:rFonts w:ascii="Verdana" w:eastAsia="Malgun Gothic" w:hAnsi="Verdana" w:cs="Arial"/>
          <w:sz w:val="18"/>
          <w:szCs w:val="18"/>
          <w:lang w:val="el-GR"/>
        </w:rPr>
      </w:pPr>
    </w:p>
    <w:p w14:paraId="2E71052A" w14:textId="394DC0FC" w:rsidR="00571414" w:rsidRPr="008D07DA" w:rsidRDefault="00571414" w:rsidP="00721160">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Διευκρινίζεται</w:t>
      </w:r>
      <w:r w:rsidR="006559EC" w:rsidRPr="008D07DA">
        <w:rPr>
          <w:rFonts w:ascii="Verdana" w:eastAsia="Malgun Gothic" w:hAnsi="Verdana" w:cs="Arial"/>
          <w:sz w:val="18"/>
          <w:szCs w:val="18"/>
          <w:lang w:val="el-GR"/>
        </w:rPr>
        <w:t xml:space="preserve"> ότι,</w:t>
      </w:r>
      <w:r w:rsidRPr="008D07DA">
        <w:rPr>
          <w:rFonts w:ascii="Verdana" w:eastAsia="Malgun Gothic" w:hAnsi="Verdana" w:cs="Arial"/>
          <w:sz w:val="18"/>
          <w:szCs w:val="18"/>
          <w:lang w:val="el-GR"/>
        </w:rPr>
        <w:t xml:space="preserve"> </w:t>
      </w:r>
      <w:r w:rsidR="00E67392" w:rsidRPr="008D07DA">
        <w:rPr>
          <w:rFonts w:ascii="Verdana" w:eastAsia="Malgun Gothic" w:hAnsi="Verdana" w:cs="Arial"/>
          <w:sz w:val="18"/>
          <w:szCs w:val="18"/>
          <w:lang w:val="el-GR"/>
        </w:rPr>
        <w:t xml:space="preserve">όσον αφορά τους υπαλλήλους που </w:t>
      </w:r>
      <w:r w:rsidR="000F471F" w:rsidRPr="008D07DA">
        <w:rPr>
          <w:rFonts w:ascii="Verdana" w:eastAsia="Malgun Gothic" w:hAnsi="Verdana" w:cs="Arial"/>
          <w:sz w:val="18"/>
          <w:szCs w:val="18"/>
          <w:lang w:val="el-GR"/>
        </w:rPr>
        <w:t xml:space="preserve">συμμετείχαν στα Ειδικά Σχέδια </w:t>
      </w:r>
      <w:r w:rsidR="00E67392" w:rsidRPr="008D07DA">
        <w:rPr>
          <w:rFonts w:ascii="Verdana" w:eastAsia="Malgun Gothic" w:hAnsi="Verdana" w:cs="Arial"/>
          <w:sz w:val="18"/>
          <w:szCs w:val="18"/>
          <w:lang w:val="el-GR"/>
        </w:rPr>
        <w:t>στα πλαίσια των Μέτρων Στήριξης των Εργαζομένων για την αντιμετώπιση της πα</w:t>
      </w:r>
      <w:r w:rsidR="009E40A2" w:rsidRPr="008D07DA">
        <w:rPr>
          <w:rFonts w:ascii="Verdana" w:eastAsia="Malgun Gothic" w:hAnsi="Verdana" w:cs="Arial"/>
          <w:sz w:val="18"/>
          <w:szCs w:val="18"/>
          <w:lang w:val="el-GR"/>
        </w:rPr>
        <w:t>νδημίας του Υπουργείου Εργασίας</w:t>
      </w:r>
      <w:r w:rsidR="00E67392" w:rsidRPr="008D07DA">
        <w:rPr>
          <w:rFonts w:ascii="Verdana" w:eastAsia="Malgun Gothic" w:hAnsi="Verdana" w:cs="Arial"/>
          <w:sz w:val="18"/>
          <w:szCs w:val="18"/>
          <w:lang w:val="el-GR"/>
        </w:rPr>
        <w:t xml:space="preserve"> και Κοινωνικών Ασφαλίσεων, </w:t>
      </w:r>
      <w:r w:rsidRPr="008D07DA">
        <w:rPr>
          <w:rFonts w:ascii="Verdana" w:eastAsia="Malgun Gothic" w:hAnsi="Verdana" w:cs="Arial"/>
          <w:sz w:val="18"/>
          <w:szCs w:val="18"/>
          <w:lang w:val="el-GR"/>
        </w:rPr>
        <w:t>το ποσό που λαμβάνεται υπόψη είναι οι απολαβές που έχουν πληρωθεί από τον εργοδότη και δεν περιλαμβάνουν οποιοδήποτε ποσό πληρώθηκε ως επ</w:t>
      </w:r>
      <w:r w:rsidR="009E40A2" w:rsidRPr="008D07DA">
        <w:rPr>
          <w:rFonts w:ascii="Verdana" w:eastAsia="Malgun Gothic" w:hAnsi="Verdana" w:cs="Arial"/>
          <w:sz w:val="18"/>
          <w:szCs w:val="18"/>
          <w:lang w:val="el-GR"/>
        </w:rPr>
        <w:t>ίδομα από το Υπουργείο Εργασίας</w:t>
      </w:r>
      <w:r w:rsidRPr="008D07DA">
        <w:rPr>
          <w:rFonts w:ascii="Verdana" w:eastAsia="Malgun Gothic" w:hAnsi="Verdana" w:cs="Arial"/>
          <w:sz w:val="18"/>
          <w:szCs w:val="18"/>
          <w:lang w:val="el-GR"/>
        </w:rPr>
        <w:t xml:space="preserve"> και Κοινωνικών Ασφαλίσεων.</w:t>
      </w:r>
    </w:p>
    <w:p w14:paraId="40DFD68D" w14:textId="77777777" w:rsidR="00721160" w:rsidRPr="008D07DA" w:rsidRDefault="00721160" w:rsidP="00721160">
      <w:pPr>
        <w:tabs>
          <w:tab w:val="left" w:pos="945"/>
        </w:tabs>
        <w:jc w:val="both"/>
        <w:rPr>
          <w:rFonts w:ascii="Verdana" w:eastAsia="Malgun Gothic" w:hAnsi="Verdana" w:cs="Arial"/>
          <w:sz w:val="18"/>
          <w:szCs w:val="18"/>
          <w:lang w:val="el-GR"/>
        </w:rPr>
      </w:pPr>
    </w:p>
    <w:p w14:paraId="6636C533" w14:textId="77777777" w:rsidR="00721160" w:rsidRPr="008D07DA" w:rsidRDefault="00721160" w:rsidP="00721160">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Οι </w:t>
      </w:r>
      <w:r w:rsidRPr="008D07DA">
        <w:rPr>
          <w:rFonts w:ascii="Verdana" w:eastAsia="Malgun Gothic" w:hAnsi="Verdana" w:cs="Arial"/>
          <w:b/>
          <w:sz w:val="18"/>
          <w:szCs w:val="18"/>
          <w:lang w:val="el-GR"/>
        </w:rPr>
        <w:t>Μέσες Μηνιαίες Απολαβές, διορθωμένες ως προς τις εποχικές διακυμάνσεις</w:t>
      </w:r>
      <w:r w:rsidRPr="008D07DA">
        <w:rPr>
          <w:rFonts w:ascii="Verdana" w:eastAsia="Malgun Gothic" w:hAnsi="Verdana" w:cs="Arial"/>
          <w:sz w:val="18"/>
          <w:szCs w:val="18"/>
          <w:lang w:val="el-GR"/>
        </w:rPr>
        <w:t xml:space="preserve">, είναι οι μέσες μηνιαίες απολαβές των υπαλλήλων, έχοντας αφαιρέσει την επίδραση του εποχικού παράγοντα από τα στοιχεία. Για τον υπολογισμό των εποχικά διορθωμένων στοιχείων, χρησιμοποιούνται ειδικές στατιστικές μέθοδοι. Εποχικά διορθωμένα στοιχεία χρησιμοποιούνται για τη σύγκριση στοιχείων συγκεκριμένης χρονικής περιόδου με άλλες περιόδους, όπως για παράδειγμα, την αμέσως προηγούμενη τριμηνία, εκεί, δηλαδή, όπου ο παράγοντας της εποχικότητας επηρεάζει τα στοιχεία. </w:t>
      </w:r>
    </w:p>
    <w:p w14:paraId="5E381788" w14:textId="77777777" w:rsidR="00721160" w:rsidRPr="008D07DA" w:rsidRDefault="00721160" w:rsidP="00721160">
      <w:pPr>
        <w:tabs>
          <w:tab w:val="left" w:pos="945"/>
        </w:tabs>
        <w:jc w:val="both"/>
        <w:rPr>
          <w:rFonts w:ascii="Verdana" w:eastAsia="Malgun Gothic" w:hAnsi="Verdana" w:cs="Arial"/>
          <w:sz w:val="18"/>
          <w:szCs w:val="18"/>
          <w:lang w:val="el-GR"/>
        </w:rPr>
      </w:pPr>
    </w:p>
    <w:p w14:paraId="28EBACBA" w14:textId="77777777" w:rsidR="00721160" w:rsidRPr="008D07DA" w:rsidRDefault="00721160" w:rsidP="00721160">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Η </w:t>
      </w:r>
      <w:r w:rsidRPr="008D07DA">
        <w:rPr>
          <w:rFonts w:ascii="Verdana" w:eastAsia="Malgun Gothic" w:hAnsi="Verdana" w:cs="Arial"/>
          <w:b/>
          <w:sz w:val="18"/>
          <w:szCs w:val="18"/>
          <w:lang w:val="el-GR"/>
        </w:rPr>
        <w:t>Ποσοστιαία Μεταβολή - Σύγκριση με το αντίστοιχο τρίμηνο του προηγούμενου έτους</w:t>
      </w:r>
      <w:r w:rsidRPr="008D07DA">
        <w:rPr>
          <w:rFonts w:ascii="Verdana" w:eastAsia="Malgun Gothic" w:hAnsi="Verdana" w:cs="Arial"/>
          <w:sz w:val="18"/>
          <w:szCs w:val="18"/>
          <w:lang w:val="el-GR"/>
        </w:rPr>
        <w:t>, είναι η ποσοστιαία μεταβολή των μέσων μηνιαίων απολαβών, συγκρίνοντας τα στοιχεία συγκεκριμένου τριμήνου, με το αντίστοιχο τρίμηνο του προηγούμενου έτους. Λόγω του ότι η σύγκριση γίνεται μεταξύ αντίστοιχων περιόδων διαφορετικών ετών, δε χρειάζεται να χρησιμοποιηθούν εποχικά διορθωμένα στοιχεία στη σύγκριση, αφού ο εποχικός παράγοντας είναι ο ίδιος για τις περιόδους που συγκρίνονται.</w:t>
      </w:r>
    </w:p>
    <w:p w14:paraId="3F624FBC" w14:textId="77777777" w:rsidR="00721160" w:rsidRPr="008D07DA" w:rsidRDefault="00721160" w:rsidP="00721160">
      <w:pPr>
        <w:tabs>
          <w:tab w:val="left" w:pos="945"/>
        </w:tabs>
        <w:jc w:val="both"/>
        <w:rPr>
          <w:rFonts w:ascii="Verdana" w:eastAsia="Malgun Gothic" w:hAnsi="Verdana" w:cs="Arial"/>
          <w:sz w:val="18"/>
          <w:szCs w:val="18"/>
          <w:lang w:val="el-GR"/>
        </w:rPr>
      </w:pPr>
    </w:p>
    <w:p w14:paraId="57835FBC" w14:textId="2A2D4E60" w:rsidR="00721160" w:rsidRPr="008D07DA" w:rsidRDefault="00721160" w:rsidP="00721160">
      <w:pPr>
        <w:tabs>
          <w:tab w:val="left" w:pos="945"/>
        </w:tabs>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Η </w:t>
      </w:r>
      <w:r w:rsidRPr="008D07DA">
        <w:rPr>
          <w:rFonts w:ascii="Verdana" w:eastAsia="Malgun Gothic" w:hAnsi="Verdana" w:cs="Arial"/>
          <w:b/>
          <w:sz w:val="18"/>
          <w:szCs w:val="18"/>
          <w:lang w:val="el-GR"/>
        </w:rPr>
        <w:t xml:space="preserve">Ποσοστιαία Μεταβολή - Σύγκριση με το προηγούμενο τρίμηνο (Απολαβές διορθωμένες ως προς τις εποχικές διακυμάνσεις) </w:t>
      </w:r>
      <w:r w:rsidRPr="008D07DA">
        <w:rPr>
          <w:rFonts w:ascii="Verdana" w:eastAsia="Malgun Gothic" w:hAnsi="Verdana" w:cs="Arial"/>
          <w:sz w:val="18"/>
          <w:szCs w:val="18"/>
          <w:lang w:val="el-GR"/>
        </w:rPr>
        <w:t>είναι η ποσοστιαία μεταβολή των μέσων μηνιαίων απολαβών, συγκρίνοντας τα στοιχεία συγκεκριμένου τριμήνου, με το αμέσως προηγούμενο τρίμηνο. Λόγω του ότι ο εποχικός παράγοντας είναι διαφορετικός μεταξύ δύο συνεχόμενων τριμήνων, είναι αναγκαίο να χρησιμοποιηθούν τα εποχικά διορθωμένα στοιχεία των μέσων μηνιαίων απολαβών στον υπολογισμό της ποσοστιαίας μεταβολής.</w:t>
      </w:r>
    </w:p>
    <w:p w14:paraId="78C89CD2" w14:textId="77777777" w:rsidR="008810B3" w:rsidRPr="008D07DA" w:rsidRDefault="008810B3" w:rsidP="00721160">
      <w:pPr>
        <w:tabs>
          <w:tab w:val="left" w:pos="945"/>
        </w:tabs>
        <w:jc w:val="both"/>
        <w:rPr>
          <w:rFonts w:ascii="Verdana" w:eastAsia="Malgun Gothic" w:hAnsi="Verdana" w:cs="Arial"/>
          <w:b/>
          <w:sz w:val="18"/>
          <w:szCs w:val="18"/>
          <w:u w:val="single"/>
          <w:lang w:val="el-GR"/>
        </w:rPr>
      </w:pPr>
    </w:p>
    <w:p w14:paraId="65FC93C6" w14:textId="6EAA112B" w:rsidR="00721160" w:rsidRPr="008D07DA" w:rsidRDefault="00BA5838" w:rsidP="00721160">
      <w:pPr>
        <w:tabs>
          <w:tab w:val="left" w:pos="945"/>
        </w:tabs>
        <w:jc w:val="both"/>
        <w:rPr>
          <w:rFonts w:ascii="Verdana" w:eastAsia="Malgun Gothic" w:hAnsi="Verdana" w:cs="Arial"/>
          <w:b/>
          <w:sz w:val="18"/>
          <w:szCs w:val="18"/>
          <w:u w:val="single"/>
          <w:lang w:val="el-GR"/>
        </w:rPr>
      </w:pPr>
      <w:r w:rsidRPr="008D07DA">
        <w:rPr>
          <w:rFonts w:ascii="Verdana" w:eastAsia="Malgun Gothic" w:hAnsi="Verdana" w:cs="Arial"/>
          <w:b/>
          <w:sz w:val="18"/>
          <w:szCs w:val="18"/>
          <w:u w:val="single"/>
          <w:lang w:val="el-GR"/>
        </w:rPr>
        <w:t>Διαθεσιμότητα</w:t>
      </w:r>
      <w:r w:rsidR="00721160" w:rsidRPr="008D07DA">
        <w:rPr>
          <w:rFonts w:ascii="Verdana" w:eastAsia="Malgun Gothic" w:hAnsi="Verdana" w:cs="Arial"/>
          <w:b/>
          <w:sz w:val="18"/>
          <w:szCs w:val="18"/>
          <w:u w:val="single"/>
          <w:lang w:val="el-GR"/>
        </w:rPr>
        <w:t xml:space="preserve"> </w:t>
      </w:r>
      <w:r w:rsidR="00055539" w:rsidRPr="008D07DA">
        <w:rPr>
          <w:rFonts w:ascii="Verdana" w:eastAsia="Malgun Gothic" w:hAnsi="Verdana" w:cs="Arial"/>
          <w:b/>
          <w:sz w:val="18"/>
          <w:szCs w:val="18"/>
          <w:u w:val="single"/>
          <w:lang w:val="el-GR"/>
        </w:rPr>
        <w:t>Σ</w:t>
      </w:r>
      <w:r w:rsidR="00721160" w:rsidRPr="008D07DA">
        <w:rPr>
          <w:rFonts w:ascii="Verdana" w:eastAsia="Malgun Gothic" w:hAnsi="Verdana" w:cs="Arial"/>
          <w:b/>
          <w:sz w:val="18"/>
          <w:szCs w:val="18"/>
          <w:u w:val="single"/>
          <w:lang w:val="el-GR"/>
        </w:rPr>
        <w:t>τοιχείων</w:t>
      </w:r>
    </w:p>
    <w:p w14:paraId="25BE0306" w14:textId="77777777" w:rsidR="00721160" w:rsidRPr="008D07DA" w:rsidRDefault="00721160" w:rsidP="00721160">
      <w:pPr>
        <w:tabs>
          <w:tab w:val="left" w:pos="945"/>
        </w:tabs>
        <w:jc w:val="both"/>
        <w:rPr>
          <w:rFonts w:ascii="Verdana" w:eastAsia="Malgun Gothic" w:hAnsi="Verdana" w:cs="Arial"/>
          <w:b/>
          <w:sz w:val="18"/>
          <w:szCs w:val="18"/>
          <w:u w:val="single"/>
          <w:lang w:val="el-GR"/>
        </w:rPr>
      </w:pPr>
    </w:p>
    <w:p w14:paraId="0586CCD5" w14:textId="77777777" w:rsidR="00721160" w:rsidRPr="008D07DA" w:rsidRDefault="00BE27EC" w:rsidP="00721160">
      <w:pPr>
        <w:tabs>
          <w:tab w:val="left" w:pos="945"/>
        </w:tabs>
        <w:jc w:val="both"/>
        <w:rPr>
          <w:rFonts w:ascii="Verdana" w:eastAsia="Malgun Gothic" w:hAnsi="Verdana" w:cs="Arial"/>
          <w:sz w:val="18"/>
          <w:szCs w:val="18"/>
          <w:lang w:val="el-GR"/>
        </w:rPr>
      </w:pPr>
      <w:r w:rsidRPr="008D07DA">
        <w:rPr>
          <w:rStyle w:val="PageNumber"/>
          <w:rFonts w:ascii="Verdana" w:hAnsi="Verdana"/>
          <w:sz w:val="18"/>
          <w:szCs w:val="18"/>
          <w:lang w:val="el-GR"/>
        </w:rPr>
        <w:t>Τα στοιχεία</w:t>
      </w:r>
      <w:r w:rsidR="00BA5838" w:rsidRPr="008D07DA">
        <w:rPr>
          <w:rStyle w:val="PageNumber"/>
          <w:rFonts w:ascii="Verdana" w:hAnsi="Verdana"/>
          <w:sz w:val="18"/>
          <w:szCs w:val="18"/>
          <w:lang w:val="el-GR"/>
        </w:rPr>
        <w:t xml:space="preserve"> δημοσιεύ</w:t>
      </w:r>
      <w:r w:rsidRPr="008D07DA">
        <w:rPr>
          <w:rStyle w:val="PageNumber"/>
          <w:rFonts w:ascii="Verdana" w:hAnsi="Verdana"/>
          <w:sz w:val="18"/>
          <w:szCs w:val="18"/>
          <w:lang w:val="el-GR"/>
        </w:rPr>
        <w:t>ον</w:t>
      </w:r>
      <w:r w:rsidR="00BA5838" w:rsidRPr="008D07DA">
        <w:rPr>
          <w:rStyle w:val="PageNumber"/>
          <w:rFonts w:ascii="Verdana" w:hAnsi="Verdana"/>
          <w:sz w:val="18"/>
          <w:szCs w:val="18"/>
          <w:lang w:val="el-GR"/>
        </w:rPr>
        <w:t>ται στην online βάση δεδομένων της Στατιστικής Υπηρεσίας CYSTAT-DB. Τα στοιχεία είναι διαθέσιμα από το πρώτο τρίμηνο του 2003.</w:t>
      </w:r>
    </w:p>
    <w:p w14:paraId="1F6CBE14" w14:textId="15F01C71" w:rsidR="00BA5838" w:rsidRPr="008D07DA" w:rsidRDefault="00BA5838" w:rsidP="00721160">
      <w:pPr>
        <w:tabs>
          <w:tab w:val="left" w:pos="945"/>
        </w:tabs>
        <w:jc w:val="both"/>
        <w:rPr>
          <w:rFonts w:ascii="Verdana" w:eastAsia="Malgun Gothic" w:hAnsi="Verdana" w:cs="Arial"/>
          <w:sz w:val="18"/>
          <w:szCs w:val="18"/>
          <w:lang w:val="el-GR"/>
        </w:rPr>
      </w:pPr>
    </w:p>
    <w:p w14:paraId="36371DBB" w14:textId="77777777" w:rsidR="00CE76EA" w:rsidRPr="008D07DA" w:rsidRDefault="00CE76EA" w:rsidP="00721160">
      <w:pPr>
        <w:tabs>
          <w:tab w:val="left" w:pos="945"/>
        </w:tabs>
        <w:jc w:val="both"/>
        <w:rPr>
          <w:rFonts w:ascii="Verdana" w:eastAsia="Malgun Gothic" w:hAnsi="Verdana" w:cs="Arial"/>
          <w:sz w:val="18"/>
          <w:szCs w:val="18"/>
          <w:lang w:val="el-GR"/>
        </w:rPr>
      </w:pPr>
    </w:p>
    <w:p w14:paraId="29C4CFAC" w14:textId="77777777" w:rsidR="00721160" w:rsidRPr="008D07DA" w:rsidRDefault="00721160" w:rsidP="00721160">
      <w:pPr>
        <w:tabs>
          <w:tab w:val="left" w:pos="360"/>
          <w:tab w:val="left" w:pos="6840"/>
        </w:tabs>
        <w:ind w:right="-79"/>
        <w:jc w:val="both"/>
        <w:rPr>
          <w:rFonts w:ascii="Verdana" w:eastAsia="Malgun Gothic" w:hAnsi="Verdana" w:cs="Arial"/>
          <w:b/>
          <w:i/>
          <w:sz w:val="18"/>
          <w:szCs w:val="18"/>
          <w:lang w:val="el-GR"/>
        </w:rPr>
      </w:pPr>
      <w:r w:rsidRPr="008D07DA">
        <w:rPr>
          <w:rFonts w:ascii="Verdana" w:eastAsia="Malgun Gothic" w:hAnsi="Verdana" w:cs="Arial"/>
          <w:b/>
          <w:i/>
          <w:sz w:val="18"/>
          <w:szCs w:val="18"/>
          <w:lang w:val="el-GR"/>
        </w:rPr>
        <w:t>Για περισσότερες πληροφορίες:</w:t>
      </w:r>
    </w:p>
    <w:p w14:paraId="399A7299" w14:textId="77777777" w:rsidR="009E574E" w:rsidRPr="008D07DA" w:rsidRDefault="009E574E" w:rsidP="009E574E">
      <w:pPr>
        <w:ind w:right="-79"/>
        <w:rPr>
          <w:rFonts w:ascii="Verdana" w:hAnsi="Verdana"/>
          <w:sz w:val="18"/>
          <w:szCs w:val="18"/>
          <w:lang w:val="el-GR"/>
        </w:rPr>
      </w:pPr>
      <w:r w:rsidRPr="008D07DA">
        <w:rPr>
          <w:rFonts w:ascii="Verdana" w:hAnsi="Verdana"/>
          <w:sz w:val="18"/>
          <w:szCs w:val="18"/>
          <w:lang w:val="el-GR"/>
        </w:rPr>
        <w:t xml:space="preserve">Πύλη Στατιστικής Υπηρεσίας, υπόθεμα </w:t>
      </w:r>
      <w:hyperlink r:id="rId11" w:history="1">
        <w:r w:rsidRPr="008D07DA">
          <w:rPr>
            <w:rStyle w:val="Hyperlink"/>
            <w:rFonts w:ascii="Verdana" w:hAnsi="Verdana"/>
            <w:sz w:val="18"/>
            <w:szCs w:val="18"/>
            <w:lang w:val="el-GR"/>
          </w:rPr>
          <w:t>Εργατικό Κόστος και Απολαβές</w:t>
        </w:r>
      </w:hyperlink>
      <w:r w:rsidRPr="008D07DA">
        <w:rPr>
          <w:rFonts w:ascii="Verdana" w:hAnsi="Verdana"/>
          <w:sz w:val="18"/>
          <w:szCs w:val="18"/>
          <w:lang w:val="el-GR"/>
        </w:rPr>
        <w:t xml:space="preserve"> </w:t>
      </w:r>
    </w:p>
    <w:p w14:paraId="752B256E" w14:textId="1519D409" w:rsidR="00997C2B" w:rsidRPr="008D07DA" w:rsidRDefault="009E574E" w:rsidP="00997C2B">
      <w:pPr>
        <w:rPr>
          <w:rFonts w:ascii="Verdana" w:hAnsi="Verdana"/>
          <w:sz w:val="18"/>
          <w:szCs w:val="18"/>
          <w:lang w:val="el-GR"/>
        </w:rPr>
      </w:pPr>
      <w:hyperlink r:id="rId12" w:history="1">
        <w:r w:rsidRPr="008D07DA">
          <w:rPr>
            <w:rStyle w:val="Hyperlink"/>
            <w:rFonts w:ascii="Verdana" w:hAnsi="Verdana"/>
            <w:sz w:val="18"/>
            <w:szCs w:val="18"/>
          </w:rPr>
          <w:t>CYSTAT</w:t>
        </w:r>
        <w:r w:rsidRPr="008D07DA">
          <w:rPr>
            <w:rStyle w:val="Hyperlink"/>
            <w:rFonts w:ascii="Verdana" w:hAnsi="Verdana"/>
            <w:sz w:val="18"/>
            <w:szCs w:val="18"/>
            <w:lang w:val="el-GR"/>
          </w:rPr>
          <w:t>-</w:t>
        </w:r>
        <w:r w:rsidRPr="008D07DA">
          <w:rPr>
            <w:rStyle w:val="Hyperlink"/>
            <w:rFonts w:ascii="Verdana" w:hAnsi="Verdana"/>
            <w:sz w:val="18"/>
            <w:szCs w:val="18"/>
          </w:rPr>
          <w:t>DB</w:t>
        </w:r>
      </w:hyperlink>
      <w:r w:rsidRPr="008D07DA">
        <w:rPr>
          <w:rFonts w:ascii="Verdana" w:hAnsi="Verdana"/>
          <w:sz w:val="18"/>
          <w:szCs w:val="18"/>
          <w:lang w:val="el-GR"/>
        </w:rPr>
        <w:t xml:space="preserve"> (Βάση Δεδομένων)</w:t>
      </w:r>
    </w:p>
    <w:p w14:paraId="47CCE850" w14:textId="1E36D8A1" w:rsidR="00997C2B" w:rsidRPr="008D07DA" w:rsidRDefault="0050299D" w:rsidP="00997C2B">
      <w:pPr>
        <w:jc w:val="both"/>
        <w:rPr>
          <w:rFonts w:ascii="Verdana" w:hAnsi="Verdana"/>
          <w:b/>
          <w:bCs/>
          <w:sz w:val="18"/>
          <w:szCs w:val="18"/>
          <w:lang w:val="el-GR"/>
        </w:rPr>
      </w:pPr>
      <w:hyperlink r:id="rId13" w:tooltip="Μεθοδολογικές Πληροφορίες" w:history="1">
        <w:r w:rsidRPr="008D07DA">
          <w:rPr>
            <w:rStyle w:val="Hyperlink"/>
            <w:rFonts w:ascii="Verdana" w:hAnsi="Verdana"/>
            <w:sz w:val="18"/>
            <w:szCs w:val="18"/>
            <w:lang w:val="el-GR"/>
          </w:rPr>
          <w:t>Μεθοδολογικές Πληροφορίες</w:t>
        </w:r>
      </w:hyperlink>
    </w:p>
    <w:p w14:paraId="4F776FA2" w14:textId="6C9C2969" w:rsidR="00853F71" w:rsidRPr="008D07DA" w:rsidRDefault="00853F71" w:rsidP="00997C2B">
      <w:pPr>
        <w:jc w:val="both"/>
        <w:rPr>
          <w:rFonts w:ascii="Verdana" w:hAnsi="Verdana"/>
          <w:b/>
          <w:bCs/>
          <w:sz w:val="18"/>
          <w:szCs w:val="18"/>
          <w:lang w:val="el-GR"/>
        </w:rPr>
      </w:pPr>
    </w:p>
    <w:p w14:paraId="129831D2" w14:textId="77777777" w:rsidR="00721160" w:rsidRPr="008D07DA" w:rsidRDefault="00721160" w:rsidP="00721160">
      <w:pPr>
        <w:ind w:right="-79"/>
        <w:jc w:val="both"/>
        <w:rPr>
          <w:rFonts w:ascii="Verdana" w:hAnsi="Verdana"/>
          <w:sz w:val="18"/>
          <w:szCs w:val="18"/>
          <w:lang w:val="el-GR"/>
        </w:rPr>
      </w:pPr>
      <w:r w:rsidRPr="008D07DA">
        <w:rPr>
          <w:rFonts w:ascii="Verdana" w:hAnsi="Verdana"/>
          <w:i/>
          <w:sz w:val="18"/>
          <w:szCs w:val="18"/>
          <w:u w:val="single"/>
          <w:lang w:val="el-GR"/>
        </w:rPr>
        <w:t>Επικοινωνία</w:t>
      </w:r>
      <w:r w:rsidRPr="008D07DA">
        <w:rPr>
          <w:rFonts w:ascii="Verdana" w:hAnsi="Verdana"/>
          <w:sz w:val="18"/>
          <w:szCs w:val="18"/>
          <w:lang w:val="el-GR"/>
        </w:rPr>
        <w:t xml:space="preserve"> </w:t>
      </w:r>
    </w:p>
    <w:p w14:paraId="0E8DDA01" w14:textId="02A94CA7" w:rsidR="00721160" w:rsidRPr="008D07DA" w:rsidRDefault="00721160" w:rsidP="00721160">
      <w:pPr>
        <w:tabs>
          <w:tab w:val="left" w:pos="360"/>
          <w:tab w:val="left" w:pos="6840"/>
        </w:tabs>
        <w:ind w:right="-79"/>
        <w:jc w:val="both"/>
        <w:rPr>
          <w:rFonts w:ascii="Verdana" w:eastAsia="Malgun Gothic" w:hAnsi="Verdana" w:cs="Arial"/>
          <w:sz w:val="18"/>
          <w:szCs w:val="18"/>
          <w:lang w:val="el-GR"/>
        </w:rPr>
      </w:pPr>
      <w:r w:rsidRPr="008D07DA">
        <w:rPr>
          <w:rFonts w:ascii="Verdana" w:eastAsia="Malgun Gothic" w:hAnsi="Verdana" w:cs="Arial"/>
          <w:sz w:val="18"/>
          <w:szCs w:val="18"/>
          <w:lang w:val="el-GR"/>
        </w:rPr>
        <w:t xml:space="preserve">Φάνη Λαγού: Τηλ:+35722602115, </w:t>
      </w:r>
      <w:proofErr w:type="spellStart"/>
      <w:r w:rsidRPr="008D07DA">
        <w:rPr>
          <w:rFonts w:ascii="Verdana" w:eastAsia="Malgun Gothic" w:hAnsi="Verdana" w:cs="Arial"/>
          <w:sz w:val="18"/>
          <w:szCs w:val="18"/>
          <w:lang w:val="el-GR"/>
        </w:rPr>
        <w:t>Ηλ</w:t>
      </w:r>
      <w:proofErr w:type="spellEnd"/>
      <w:r w:rsidRPr="008D07DA">
        <w:rPr>
          <w:rFonts w:ascii="Verdana" w:eastAsia="Malgun Gothic" w:hAnsi="Verdana" w:cs="Arial"/>
          <w:sz w:val="18"/>
          <w:szCs w:val="18"/>
          <w:lang w:val="el-GR"/>
        </w:rPr>
        <w:t xml:space="preserve">. </w:t>
      </w:r>
      <w:proofErr w:type="spellStart"/>
      <w:r w:rsidRPr="008D07DA">
        <w:rPr>
          <w:rFonts w:ascii="Verdana" w:eastAsia="Malgun Gothic" w:hAnsi="Verdana" w:cs="Arial"/>
          <w:sz w:val="18"/>
          <w:szCs w:val="18"/>
          <w:lang w:val="el-GR"/>
        </w:rPr>
        <w:t>Ταχ</w:t>
      </w:r>
      <w:proofErr w:type="spellEnd"/>
      <w:r w:rsidRPr="008D07DA">
        <w:rPr>
          <w:rFonts w:ascii="Verdana" w:eastAsia="Malgun Gothic" w:hAnsi="Verdana" w:cs="Arial"/>
          <w:sz w:val="18"/>
          <w:szCs w:val="18"/>
          <w:lang w:val="el-GR"/>
        </w:rPr>
        <w:t xml:space="preserve">.: </w:t>
      </w:r>
      <w:hyperlink r:id="rId14" w:history="1">
        <w:r w:rsidRPr="008D07DA">
          <w:rPr>
            <w:rStyle w:val="Hyperlink"/>
            <w:rFonts w:ascii="Verdana" w:eastAsia="Malgun Gothic" w:hAnsi="Verdana" w:cs="Arial"/>
            <w:sz w:val="18"/>
            <w:szCs w:val="18"/>
          </w:rPr>
          <w:t>plagou</w:t>
        </w:r>
        <w:r w:rsidRPr="008D07DA">
          <w:rPr>
            <w:rStyle w:val="Hyperlink"/>
            <w:rFonts w:ascii="Verdana" w:eastAsia="Malgun Gothic" w:hAnsi="Verdana" w:cs="Arial"/>
            <w:sz w:val="18"/>
            <w:szCs w:val="18"/>
            <w:lang w:val="el-GR"/>
          </w:rPr>
          <w:t>@</w:t>
        </w:r>
        <w:r w:rsidRPr="008D07DA">
          <w:rPr>
            <w:rStyle w:val="Hyperlink"/>
            <w:rFonts w:ascii="Verdana" w:eastAsia="Malgun Gothic" w:hAnsi="Verdana" w:cs="Arial"/>
            <w:sz w:val="18"/>
            <w:szCs w:val="18"/>
          </w:rPr>
          <w:t>cystat</w:t>
        </w:r>
        <w:r w:rsidRPr="008D07DA">
          <w:rPr>
            <w:rStyle w:val="Hyperlink"/>
            <w:rFonts w:ascii="Verdana" w:eastAsia="Malgun Gothic" w:hAnsi="Verdana" w:cs="Arial"/>
            <w:sz w:val="18"/>
            <w:szCs w:val="18"/>
            <w:lang w:val="el-GR"/>
          </w:rPr>
          <w:t>.</w:t>
        </w:r>
        <w:r w:rsidRPr="008D07DA">
          <w:rPr>
            <w:rStyle w:val="Hyperlink"/>
            <w:rFonts w:ascii="Verdana" w:eastAsia="Malgun Gothic" w:hAnsi="Verdana" w:cs="Arial"/>
            <w:sz w:val="18"/>
            <w:szCs w:val="18"/>
          </w:rPr>
          <w:t>mof</w:t>
        </w:r>
        <w:r w:rsidRPr="008D07DA">
          <w:rPr>
            <w:rStyle w:val="Hyperlink"/>
            <w:rFonts w:ascii="Verdana" w:eastAsia="Malgun Gothic" w:hAnsi="Verdana" w:cs="Arial"/>
            <w:sz w:val="18"/>
            <w:szCs w:val="18"/>
            <w:lang w:val="el-GR"/>
          </w:rPr>
          <w:t>.</w:t>
        </w:r>
        <w:r w:rsidRPr="008D07DA">
          <w:rPr>
            <w:rStyle w:val="Hyperlink"/>
            <w:rFonts w:ascii="Verdana" w:eastAsia="Malgun Gothic" w:hAnsi="Verdana" w:cs="Arial"/>
            <w:sz w:val="18"/>
            <w:szCs w:val="18"/>
          </w:rPr>
          <w:t>gov</w:t>
        </w:r>
        <w:r w:rsidRPr="008D07DA">
          <w:rPr>
            <w:rStyle w:val="Hyperlink"/>
            <w:rFonts w:ascii="Verdana" w:eastAsia="Malgun Gothic" w:hAnsi="Verdana" w:cs="Arial"/>
            <w:sz w:val="18"/>
            <w:szCs w:val="18"/>
            <w:lang w:val="el-GR"/>
          </w:rPr>
          <w:t>.</w:t>
        </w:r>
        <w:r w:rsidRPr="008D07DA">
          <w:rPr>
            <w:rStyle w:val="Hyperlink"/>
            <w:rFonts w:ascii="Verdana" w:eastAsia="Malgun Gothic" w:hAnsi="Verdana" w:cs="Arial"/>
            <w:sz w:val="18"/>
            <w:szCs w:val="18"/>
          </w:rPr>
          <w:t>cy</w:t>
        </w:r>
      </w:hyperlink>
    </w:p>
    <w:p w14:paraId="28091E9E" w14:textId="77777777" w:rsidR="00DE5D35" w:rsidRPr="008D07DA" w:rsidRDefault="00DE5D35" w:rsidP="00A12E81">
      <w:pPr>
        <w:jc w:val="both"/>
        <w:rPr>
          <w:rFonts w:ascii="Verdana" w:eastAsia="Malgun Gothic" w:hAnsi="Verdana" w:cs="Arial"/>
          <w:sz w:val="18"/>
          <w:szCs w:val="18"/>
          <w:lang w:val="el-GR"/>
        </w:rPr>
      </w:pPr>
    </w:p>
    <w:sectPr w:rsidR="00DE5D35" w:rsidRPr="008D07DA" w:rsidSect="00C82E26">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C276" w14:textId="77777777" w:rsidR="00547B4C" w:rsidRDefault="00547B4C" w:rsidP="00FB398F">
      <w:r>
        <w:separator/>
      </w:r>
    </w:p>
  </w:endnote>
  <w:endnote w:type="continuationSeparator" w:id="0">
    <w:p w14:paraId="619B3312" w14:textId="77777777" w:rsidR="00547B4C" w:rsidRDefault="00547B4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4C26"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573C1E">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6EF" w14:textId="77777777" w:rsidR="004E4F42" w:rsidRPr="00030B8B"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30B8B">
      <w:rPr>
        <w:rFonts w:ascii="Verdana" w:hAnsi="Verdana" w:cs="Arial"/>
        <w:iCs/>
        <w:sz w:val="16"/>
        <w:szCs w:val="16"/>
        <w:lang w:val="el-GR"/>
      </w:rPr>
      <w:t>Διεύθυνση: Μιχα</w:t>
    </w:r>
    <w:r w:rsidR="00FD5B5F" w:rsidRPr="00030B8B">
      <w:rPr>
        <w:rFonts w:ascii="Verdana" w:hAnsi="Verdana" w:cs="Arial"/>
        <w:iCs/>
        <w:sz w:val="16"/>
        <w:szCs w:val="16"/>
        <w:lang w:val="el-GR"/>
      </w:rPr>
      <w:t>ήλ</w:t>
    </w:r>
    <w:r w:rsidRPr="00030B8B">
      <w:rPr>
        <w:rFonts w:ascii="Verdana" w:hAnsi="Verdana" w:cs="Arial"/>
        <w:iCs/>
        <w:sz w:val="16"/>
        <w:szCs w:val="16"/>
        <w:lang w:val="el-GR"/>
      </w:rPr>
      <w:t xml:space="preserve"> Καραολή, 1444 Λευκωσία, Κύπρος</w:t>
    </w:r>
  </w:p>
  <w:p w14:paraId="14798271" w14:textId="24256797" w:rsidR="004E4F42" w:rsidRPr="00030B8B" w:rsidRDefault="00D67EF5" w:rsidP="000932CF">
    <w:pPr>
      <w:pStyle w:val="Footer"/>
      <w:tabs>
        <w:tab w:val="left" w:pos="4500"/>
      </w:tabs>
      <w:jc w:val="center"/>
      <w:rPr>
        <w:rFonts w:ascii="Verdana" w:hAnsi="Verdana" w:cs="Arial"/>
        <w:iCs/>
        <w:sz w:val="16"/>
        <w:szCs w:val="16"/>
        <w:lang w:val="de-DE"/>
      </w:rPr>
    </w:pPr>
    <w:r w:rsidRPr="00030B8B">
      <w:rPr>
        <w:rFonts w:ascii="Verdana" w:hAnsi="Verdana" w:cs="Arial"/>
        <w:iCs/>
        <w:sz w:val="16"/>
        <w:szCs w:val="16"/>
        <w:lang w:val="el-GR"/>
      </w:rPr>
      <w:t>Τηλ</w:t>
    </w:r>
    <w:r w:rsidRPr="000F1FC2">
      <w:rPr>
        <w:rFonts w:ascii="Verdana" w:hAnsi="Verdana" w:cs="Arial"/>
        <w:iCs/>
        <w:sz w:val="16"/>
        <w:szCs w:val="16"/>
        <w:lang w:val="pt-PT"/>
      </w:rPr>
      <w:t xml:space="preserve">.:  22 602129, </w:t>
    </w:r>
    <w:r w:rsidR="004E4F42" w:rsidRPr="00030B8B">
      <w:rPr>
        <w:rFonts w:ascii="Verdana" w:hAnsi="Verdana" w:cs="Arial"/>
        <w:iCs/>
        <w:sz w:val="16"/>
        <w:szCs w:val="16"/>
        <w:lang w:val="de-DE"/>
      </w:rPr>
      <w:t xml:space="preserve">E-mail: </w:t>
    </w:r>
    <w:hyperlink r:id="rId1" w:history="1">
      <w:r w:rsidR="004E4F42" w:rsidRPr="00030B8B">
        <w:rPr>
          <w:rStyle w:val="Hyperlink"/>
          <w:rFonts w:ascii="Verdana" w:hAnsi="Verdana" w:cs="Arial"/>
          <w:iCs/>
          <w:sz w:val="16"/>
          <w:szCs w:val="16"/>
          <w:lang w:val="de-DE"/>
        </w:rPr>
        <w:t>enquiries@cystat.mof.gov.cy</w:t>
      </w:r>
    </w:hyperlink>
    <w:r w:rsidR="004E4F42" w:rsidRPr="00030B8B">
      <w:rPr>
        <w:rFonts w:ascii="Verdana" w:hAnsi="Verdana" w:cs="Arial"/>
        <w:iCs/>
        <w:sz w:val="16"/>
        <w:szCs w:val="16"/>
        <w:lang w:val="de-DE"/>
      </w:rPr>
      <w:t xml:space="preserve">  </w:t>
    </w:r>
  </w:p>
  <w:p w14:paraId="148DE6F2" w14:textId="7E92988B" w:rsidR="004E4F42" w:rsidRPr="00030B8B" w:rsidRDefault="00030B8B" w:rsidP="000932CF">
    <w:pPr>
      <w:pStyle w:val="Footer"/>
      <w:tabs>
        <w:tab w:val="left" w:pos="4500"/>
      </w:tabs>
      <w:jc w:val="center"/>
      <w:rPr>
        <w:rFonts w:ascii="Verdana" w:hAnsi="Verdana" w:cs="Arial"/>
        <w:sz w:val="16"/>
        <w:szCs w:val="16"/>
        <w:lang w:val="el-GR"/>
      </w:rPr>
    </w:pPr>
    <w:r w:rsidRPr="00030B8B">
      <w:rPr>
        <w:rFonts w:ascii="Verdana" w:hAnsi="Verdana" w:cs="Arial"/>
        <w:iCs/>
        <w:sz w:val="16"/>
        <w:szCs w:val="16"/>
        <w:lang w:val="el-GR"/>
      </w:rPr>
      <w:t>Διαδικτυακή Πύλη</w:t>
    </w:r>
    <w:r w:rsidR="004E4F42" w:rsidRPr="00030B8B">
      <w:rPr>
        <w:rFonts w:ascii="Verdana" w:hAnsi="Verdana" w:cs="Arial"/>
        <w:iCs/>
        <w:sz w:val="16"/>
        <w:szCs w:val="16"/>
        <w:lang w:val="el-GR"/>
      </w:rPr>
      <w:t xml:space="preserve">: </w:t>
    </w:r>
    <w:hyperlink r:id="rId2" w:history="1">
      <w:r w:rsidR="004E4F42" w:rsidRPr="00030B8B">
        <w:rPr>
          <w:rStyle w:val="Hyperlink"/>
          <w:rFonts w:ascii="Verdana" w:hAnsi="Verdana" w:cs="Arial"/>
          <w:iCs/>
          <w:sz w:val="16"/>
          <w:szCs w:val="16"/>
        </w:rPr>
        <w:t>http</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www</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cystat</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gov</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cy</w:t>
      </w:r>
    </w:hyperlink>
    <w:r w:rsidR="004E4F42" w:rsidRPr="00030B8B">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DC62" w14:textId="77777777" w:rsidR="00547B4C" w:rsidRDefault="00547B4C" w:rsidP="00FB398F">
      <w:r>
        <w:separator/>
      </w:r>
    </w:p>
  </w:footnote>
  <w:footnote w:type="continuationSeparator" w:id="0">
    <w:p w14:paraId="6250209D" w14:textId="77777777" w:rsidR="00547B4C" w:rsidRDefault="00547B4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1B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58E" w14:textId="7003E22B" w:rsidR="004F3AE1" w:rsidRDefault="004F3AE1" w:rsidP="004F3AE1">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521160EF" wp14:editId="4FFB1FE8">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FC08D0F" wp14:editId="27E7187F">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047750"/>
                      </a:xfrm>
                      <a:prstGeom prst="rect">
                        <a:avLst/>
                      </a:prstGeom>
                      <a:solidFill>
                        <a:srgbClr val="FFFFFF"/>
                      </a:solidFill>
                      <a:ln w="9525">
                        <a:solidFill>
                          <a:srgbClr val="FFFFFF"/>
                        </a:solidFill>
                        <a:miter lim="800000"/>
                        <a:headEnd/>
                        <a:tailEnd/>
                      </a:ln>
                    </wps:spPr>
                    <wps:txbx>
                      <w:txbxContent>
                        <w:p w14:paraId="52AAD54B" w14:textId="3CB563DC" w:rsidR="004F3AE1" w:rsidRDefault="004F3AE1" w:rsidP="004F3AE1">
                          <w:r>
                            <w:rPr>
                              <w:noProof/>
                              <w:sz w:val="20"/>
                              <w:szCs w:val="20"/>
                              <w:lang w:val="el-GR" w:eastAsia="el-GR"/>
                            </w:rPr>
                            <w:drawing>
                              <wp:inline distT="0" distB="0" distL="0" distR="0" wp14:anchorId="6CECC768" wp14:editId="162FA40E">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8D0F" id="_x0000_t202" coordsize="21600,21600" o:spt="202" path="m,l,21600r21600,l21600,xe">
              <v:stroke joinstyle="miter"/>
              <v:path gradientshapeok="t" o:connecttype="rect"/>
            </v:shapetype>
            <v:shape id="Text Box 12"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MQ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4r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i&#10;PeMQEAIAACoEAAAOAAAAAAAAAAAAAAAAAC4CAABkcnMvZTJvRG9jLnhtbFBLAQItABQABgAIAAAA&#10;IQBT78aT4QAAAAsBAAAPAAAAAAAAAAAAAAAAAGoEAABkcnMvZG93bnJldi54bWxQSwUGAAAAAAQA&#10;BADzAAAAeAUAAAAA&#10;" strokecolor="white">
              <v:textbox>
                <w:txbxContent>
                  <w:p w14:paraId="52AAD54B" w14:textId="3CB563DC" w:rsidR="004F3AE1" w:rsidRDefault="004F3AE1" w:rsidP="004F3AE1">
                    <w:r>
                      <w:rPr>
                        <w:noProof/>
                        <w:sz w:val="20"/>
                        <w:szCs w:val="20"/>
                        <w:lang w:val="el-GR" w:eastAsia="el-GR"/>
                      </w:rPr>
                      <w:drawing>
                        <wp:inline distT="0" distB="0" distL="0" distR="0" wp14:anchorId="6CECC768" wp14:editId="162FA40E">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8F0694B" wp14:editId="1B6D27C4">
              <wp:simplePos x="0" y="0"/>
              <wp:positionH relativeFrom="column">
                <wp:posOffset>3439160</wp:posOffset>
              </wp:positionH>
              <wp:positionV relativeFrom="paragraph">
                <wp:posOffset>-221615</wp:posOffset>
              </wp:positionV>
              <wp:extent cx="1468755" cy="120015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200150"/>
                      </a:xfrm>
                      <a:prstGeom prst="rect">
                        <a:avLst/>
                      </a:prstGeom>
                      <a:solidFill>
                        <a:srgbClr val="FFFFFF"/>
                      </a:solidFill>
                      <a:ln w="9525">
                        <a:solidFill>
                          <a:srgbClr val="FFFFFF"/>
                        </a:solidFill>
                        <a:miter lim="800000"/>
                        <a:headEnd/>
                        <a:tailEnd/>
                      </a:ln>
                    </wps:spPr>
                    <wps:txbx>
                      <w:txbxContent>
                        <w:p w14:paraId="7B3797A8" w14:textId="068362CE" w:rsidR="004F3AE1" w:rsidRDefault="004F3AE1" w:rsidP="004F3AE1">
                          <w:r>
                            <w:rPr>
                              <w:noProof/>
                              <w:sz w:val="20"/>
                              <w:szCs w:val="20"/>
                              <w:lang w:val="el-GR" w:eastAsia="el-GR"/>
                            </w:rPr>
                            <w:drawing>
                              <wp:inline distT="0" distB="0" distL="0" distR="0" wp14:anchorId="7EC58977" wp14:editId="2B8ACA66">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694B" id="Text Box 10"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" strokecolor="white">
              <v:textbox>
                <w:txbxContent>
                  <w:p w14:paraId="7B3797A8" w14:textId="068362CE" w:rsidR="004F3AE1" w:rsidRDefault="004F3AE1" w:rsidP="004F3AE1">
                    <w:r>
                      <w:rPr>
                        <w:noProof/>
                        <w:sz w:val="20"/>
                        <w:szCs w:val="20"/>
                        <w:lang w:val="el-GR" w:eastAsia="el-GR"/>
                      </w:rPr>
                      <w:drawing>
                        <wp:inline distT="0" distB="0" distL="0" distR="0" wp14:anchorId="7EC58977" wp14:editId="2B8ACA66">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836166D" w14:textId="77777777" w:rsidR="004F3AE1" w:rsidRDefault="004F3AE1" w:rsidP="004F3AE1">
    <w:pPr>
      <w:pStyle w:val="Header"/>
      <w:tabs>
        <w:tab w:val="clear" w:pos="4153"/>
        <w:tab w:val="center" w:pos="1620"/>
        <w:tab w:val="left" w:pos="6315"/>
      </w:tabs>
      <w:spacing w:line="360" w:lineRule="auto"/>
      <w:rPr>
        <w:rFonts w:ascii="Arial" w:hAnsi="Arial" w:cs="Arial"/>
        <w:bCs/>
        <w:sz w:val="18"/>
        <w:szCs w:val="18"/>
      </w:rPr>
    </w:pPr>
    <w:r>
      <w:rPr>
        <w:rFonts w:ascii="Arial" w:hAnsi="Arial" w:cs="Arial"/>
        <w:bCs/>
        <w:sz w:val="18"/>
        <w:szCs w:val="18"/>
      </w:rPr>
      <w:tab/>
    </w:r>
  </w:p>
  <w:p w14:paraId="4E075EBD" w14:textId="77777777" w:rsidR="004F3AE1" w:rsidRDefault="004F3AE1" w:rsidP="004F3AE1">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BCA5E57" w14:textId="331AF58D" w:rsidR="004F3AE1" w:rsidRDefault="004F3AE1" w:rsidP="007A76E5">
    <w:pPr>
      <w:pStyle w:val="Header"/>
      <w:tabs>
        <w:tab w:val="clear" w:pos="4153"/>
        <w:tab w:val="center" w:pos="1620"/>
        <w:tab w:val="left" w:pos="429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sidR="007A76E5">
      <w:rPr>
        <w:rFonts w:ascii="Arial" w:hAnsi="Arial" w:cs="Arial"/>
        <w:bCs/>
        <w:sz w:val="18"/>
        <w:szCs w:val="18"/>
      </w:rPr>
      <w:tab/>
    </w:r>
  </w:p>
  <w:p w14:paraId="6D91F5BC" w14:textId="19219073" w:rsidR="004F3AE1" w:rsidRDefault="004F3AE1" w:rsidP="004F3AE1">
    <w:pPr>
      <w:pStyle w:val="Header"/>
      <w:tabs>
        <w:tab w:val="clear" w:pos="4153"/>
        <w:tab w:val="center" w:pos="4794"/>
      </w:tabs>
      <w:spacing w:line="360" w:lineRule="auto"/>
      <w:rPr>
        <w:rFonts w:ascii="Arial" w:hAnsi="Arial" w:cs="Arial"/>
        <w:bCs/>
        <w:sz w:val="18"/>
        <w:szCs w:val="18"/>
      </w:rPr>
    </w:pPr>
    <w:r>
      <w:rPr>
        <w:noProof/>
      </w:rPr>
      <mc:AlternateContent>
        <mc:Choice Requires="wps">
          <w:drawing>
            <wp:anchor distT="0" distB="0" distL="114300" distR="114300" simplePos="0" relativeHeight="251662336" behindDoc="0" locked="0" layoutInCell="1" allowOverlap="1" wp14:anchorId="5A042ADA" wp14:editId="5F77F420">
              <wp:simplePos x="0" y="0"/>
              <wp:positionH relativeFrom="column">
                <wp:posOffset>3928110</wp:posOffset>
              </wp:positionH>
              <wp:positionV relativeFrom="paragraph">
                <wp:posOffset>104140</wp:posOffset>
              </wp:positionV>
              <wp:extent cx="2057400"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20AC9" w14:textId="77777777" w:rsidR="004F3AE1" w:rsidRPr="007A76E5" w:rsidRDefault="004F3AE1" w:rsidP="00C0215C">
                          <w:pPr>
                            <w:jc w:val="center"/>
                            <w:rPr>
                              <w:rFonts w:ascii="Verdana" w:hAnsi="Verdana" w:cs="Arial"/>
                              <w:b/>
                              <w:sz w:val="20"/>
                              <w:szCs w:val="20"/>
                            </w:rPr>
                          </w:pPr>
                          <w:r w:rsidRPr="007A76E5">
                            <w:rPr>
                              <w:rFonts w:ascii="Verdana" w:hAnsi="Verdana" w:cs="Arial"/>
                              <w:b/>
                              <w:bCs/>
                              <w:sz w:val="20"/>
                              <w:szCs w:val="20"/>
                            </w:rPr>
                            <w:t>ΣΤΑΤΙΣΤΙΚΗ ΥΠΗΡΕΣΙΑ</w:t>
                          </w:r>
                          <w:r w:rsidRPr="007A76E5">
                            <w:rPr>
                              <w:rFonts w:ascii="Verdana" w:hAnsi="Verdana" w:cs="Arial"/>
                              <w:b/>
                              <w:sz w:val="20"/>
                              <w:szCs w:val="20"/>
                            </w:rPr>
                            <w:t xml:space="preserve">  </w:t>
                          </w:r>
                        </w:p>
                        <w:p w14:paraId="15247326" w14:textId="77777777" w:rsidR="004F3AE1" w:rsidRPr="007A76E5" w:rsidRDefault="004F3AE1" w:rsidP="00C0215C">
                          <w:pPr>
                            <w:jc w:val="center"/>
                            <w:rPr>
                              <w:rFonts w:ascii="Verdana" w:hAnsi="Verdana" w:cs="Arial"/>
                              <w:b/>
                              <w:sz w:val="20"/>
                              <w:szCs w:val="20"/>
                            </w:rPr>
                          </w:pPr>
                          <w:r w:rsidRPr="007A76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42ADA" id="Text Box 4" o:spid="_x0000_s1028" type="#_x0000_t202" style="position:absolute;margin-left:309.3pt;margin-top:8.2pt;width:16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" stroked="f">
              <v:textbox>
                <w:txbxContent>
                  <w:p w14:paraId="1EC20AC9" w14:textId="77777777" w:rsidR="004F3AE1" w:rsidRPr="007A76E5" w:rsidRDefault="004F3AE1" w:rsidP="00C0215C">
                    <w:pPr>
                      <w:jc w:val="center"/>
                      <w:rPr>
                        <w:rFonts w:ascii="Verdana" w:hAnsi="Verdana" w:cs="Arial"/>
                        <w:b/>
                        <w:sz w:val="20"/>
                        <w:szCs w:val="20"/>
                      </w:rPr>
                    </w:pPr>
                    <w:r w:rsidRPr="007A76E5">
                      <w:rPr>
                        <w:rFonts w:ascii="Verdana" w:hAnsi="Verdana" w:cs="Arial"/>
                        <w:b/>
                        <w:bCs/>
                        <w:sz w:val="20"/>
                        <w:szCs w:val="20"/>
                      </w:rPr>
                      <w:t>ΣΤΑΤΙΣΤΙΚΗ ΥΠΗΡΕΣΙΑ</w:t>
                    </w:r>
                    <w:r w:rsidRPr="007A76E5">
                      <w:rPr>
                        <w:rFonts w:ascii="Verdana" w:hAnsi="Verdana" w:cs="Arial"/>
                        <w:b/>
                        <w:sz w:val="20"/>
                        <w:szCs w:val="20"/>
                      </w:rPr>
                      <w:t xml:space="preserve">  </w:t>
                    </w:r>
                  </w:p>
                  <w:p w14:paraId="15247326" w14:textId="77777777" w:rsidR="004F3AE1" w:rsidRPr="007A76E5" w:rsidRDefault="004F3AE1" w:rsidP="00C0215C">
                    <w:pPr>
                      <w:jc w:val="center"/>
                      <w:rPr>
                        <w:rFonts w:ascii="Verdana" w:hAnsi="Verdana" w:cs="Arial"/>
                        <w:b/>
                        <w:sz w:val="20"/>
                        <w:szCs w:val="20"/>
                      </w:rPr>
                    </w:pPr>
                    <w:r w:rsidRPr="007A76E5">
                      <w:rPr>
                        <w:rFonts w:ascii="Verdana" w:hAnsi="Verdana" w:cs="Arial"/>
                        <w:bCs/>
                        <w:sz w:val="20"/>
                        <w:szCs w:val="20"/>
                      </w:rPr>
                      <w:t>1444 ΛΕΥΚΩΣΙΑ</w:t>
                    </w:r>
                  </w:p>
                </w:txbxContent>
              </v:textbox>
            </v:shape>
          </w:pict>
        </mc:Fallback>
      </mc:AlternateContent>
    </w:r>
    <w:r>
      <w:rPr>
        <w:rFonts w:ascii="Arial" w:hAnsi="Arial" w:cs="Arial"/>
        <w:bCs/>
        <w:sz w:val="18"/>
        <w:szCs w:val="18"/>
      </w:rPr>
      <w:tab/>
    </w:r>
  </w:p>
  <w:p w14:paraId="138D2E1A" w14:textId="60B6533F" w:rsidR="004F3AE1" w:rsidRPr="007A76E5" w:rsidRDefault="004F3AE1" w:rsidP="004F3AE1">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sz w:val="18"/>
        <w:szCs w:val="18"/>
        <w:lang w:val="en-US"/>
      </w:rPr>
      <w:t xml:space="preserve">    </w:t>
    </w:r>
    <w:r w:rsidRPr="007A76E5">
      <w:rPr>
        <w:rFonts w:ascii="Verdana" w:hAnsi="Verdana" w:cs="Arial"/>
        <w:bCs/>
        <w:sz w:val="20"/>
        <w:szCs w:val="20"/>
      </w:rPr>
      <w:t>ΚΥΠΡΙΑΚΗ ΔΗΜΟΚΡΑΤΙΑ</w:t>
    </w:r>
    <w:r w:rsidRPr="007A76E5">
      <w:rPr>
        <w:rFonts w:ascii="Verdana" w:hAnsi="Verdana"/>
        <w:b/>
        <w:bCs/>
        <w:sz w:val="20"/>
        <w:szCs w:val="20"/>
        <w:lang w:val="en-US"/>
      </w:rPr>
      <w:t xml:space="preserve"> </w:t>
    </w:r>
    <w:r w:rsidRPr="007A76E5">
      <w:rPr>
        <w:rFonts w:ascii="Verdana" w:hAnsi="Verdana"/>
        <w:b/>
        <w:bCs/>
        <w:sz w:val="20"/>
        <w:szCs w:val="20"/>
        <w:lang w:val="en-US"/>
      </w:rPr>
      <w:tab/>
    </w:r>
  </w:p>
  <w:p w14:paraId="2A2E5837" w14:textId="2A2DEED0" w:rsidR="004F3AE1" w:rsidRDefault="004F3AE1" w:rsidP="004F3AE1">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2"/>
        <w:szCs w:val="22"/>
        <w:lang w:val="en-US"/>
      </w:rPr>
      <w:tab/>
    </w:r>
    <w:r>
      <w:rPr>
        <w:b/>
        <w:bCs/>
        <w:sz w:val="22"/>
        <w:szCs w:val="22"/>
        <w:lang w:val="en-US"/>
      </w:rPr>
      <w:tab/>
    </w:r>
  </w:p>
  <w:p w14:paraId="706F0518" w14:textId="77777777" w:rsidR="004E4F42" w:rsidRPr="004F3AE1" w:rsidRDefault="004E4F42" w:rsidP="004F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9593EC3"/>
    <w:multiLevelType w:val="hybridMultilevel"/>
    <w:tmpl w:val="12D6187C"/>
    <w:lvl w:ilvl="0" w:tplc="2E1A1E8A">
      <w:start w:val="1"/>
      <w:numFmt w:val="bullet"/>
      <w:lvlText w:val=""/>
      <w:lvlJc w:val="left"/>
      <w:pPr>
        <w:ind w:left="454" w:hanging="57"/>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FB06C9"/>
    <w:multiLevelType w:val="hybridMultilevel"/>
    <w:tmpl w:val="050C1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268137">
    <w:abstractNumId w:val="5"/>
  </w:num>
  <w:num w:numId="2" w16cid:durableId="1541555248">
    <w:abstractNumId w:val="2"/>
  </w:num>
  <w:num w:numId="3" w16cid:durableId="593053437">
    <w:abstractNumId w:val="3"/>
  </w:num>
  <w:num w:numId="4" w16cid:durableId="261377502">
    <w:abstractNumId w:val="4"/>
  </w:num>
  <w:num w:numId="5" w16cid:durableId="2032143625">
    <w:abstractNumId w:val="1"/>
  </w:num>
  <w:num w:numId="6" w16cid:durableId="1133132336">
    <w:abstractNumId w:val="6"/>
  </w:num>
  <w:num w:numId="7" w16cid:durableId="1736389129">
    <w:abstractNumId w:val="0"/>
  </w:num>
  <w:num w:numId="8" w16cid:durableId="45447568">
    <w:abstractNumId w:val="8"/>
  </w:num>
  <w:num w:numId="9" w16cid:durableId="1380779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B9C"/>
    <w:rsid w:val="00000FE0"/>
    <w:rsid w:val="00002458"/>
    <w:rsid w:val="00004E08"/>
    <w:rsid w:val="0000542E"/>
    <w:rsid w:val="000059B2"/>
    <w:rsid w:val="00007B44"/>
    <w:rsid w:val="00012EC9"/>
    <w:rsid w:val="00013E40"/>
    <w:rsid w:val="000161B1"/>
    <w:rsid w:val="00017A33"/>
    <w:rsid w:val="00017E99"/>
    <w:rsid w:val="0002163F"/>
    <w:rsid w:val="00022E0B"/>
    <w:rsid w:val="00022E82"/>
    <w:rsid w:val="00025A39"/>
    <w:rsid w:val="00027097"/>
    <w:rsid w:val="00027853"/>
    <w:rsid w:val="00030B83"/>
    <w:rsid w:val="00030B8B"/>
    <w:rsid w:val="00030E18"/>
    <w:rsid w:val="00031D32"/>
    <w:rsid w:val="00032595"/>
    <w:rsid w:val="00034A14"/>
    <w:rsid w:val="0003554A"/>
    <w:rsid w:val="0003603D"/>
    <w:rsid w:val="000372AC"/>
    <w:rsid w:val="00037864"/>
    <w:rsid w:val="00045088"/>
    <w:rsid w:val="00045A06"/>
    <w:rsid w:val="00047F2C"/>
    <w:rsid w:val="00050391"/>
    <w:rsid w:val="00052738"/>
    <w:rsid w:val="000540DF"/>
    <w:rsid w:val="00055291"/>
    <w:rsid w:val="00055539"/>
    <w:rsid w:val="000563D3"/>
    <w:rsid w:val="00057162"/>
    <w:rsid w:val="00057E44"/>
    <w:rsid w:val="00061299"/>
    <w:rsid w:val="00066638"/>
    <w:rsid w:val="000671E6"/>
    <w:rsid w:val="00067B87"/>
    <w:rsid w:val="00070576"/>
    <w:rsid w:val="000710C1"/>
    <w:rsid w:val="000752BB"/>
    <w:rsid w:val="00075646"/>
    <w:rsid w:val="00076B86"/>
    <w:rsid w:val="00081ADF"/>
    <w:rsid w:val="000839A4"/>
    <w:rsid w:val="00084A02"/>
    <w:rsid w:val="00084BF7"/>
    <w:rsid w:val="000855F8"/>
    <w:rsid w:val="000870E9"/>
    <w:rsid w:val="00087C06"/>
    <w:rsid w:val="00092289"/>
    <w:rsid w:val="000932CF"/>
    <w:rsid w:val="00093B3F"/>
    <w:rsid w:val="00096ED8"/>
    <w:rsid w:val="000A0203"/>
    <w:rsid w:val="000A1A88"/>
    <w:rsid w:val="000A2B5C"/>
    <w:rsid w:val="000A32B3"/>
    <w:rsid w:val="000A3601"/>
    <w:rsid w:val="000A67C8"/>
    <w:rsid w:val="000A6FA8"/>
    <w:rsid w:val="000B4267"/>
    <w:rsid w:val="000B5492"/>
    <w:rsid w:val="000B579E"/>
    <w:rsid w:val="000C1070"/>
    <w:rsid w:val="000C122B"/>
    <w:rsid w:val="000C1B8D"/>
    <w:rsid w:val="000C2BF6"/>
    <w:rsid w:val="000C3B16"/>
    <w:rsid w:val="000C4E72"/>
    <w:rsid w:val="000C72DE"/>
    <w:rsid w:val="000D16BD"/>
    <w:rsid w:val="000D1E7A"/>
    <w:rsid w:val="000D35AC"/>
    <w:rsid w:val="000D495F"/>
    <w:rsid w:val="000D55FD"/>
    <w:rsid w:val="000E24B1"/>
    <w:rsid w:val="000E2735"/>
    <w:rsid w:val="000E32D6"/>
    <w:rsid w:val="000E3791"/>
    <w:rsid w:val="000E42D7"/>
    <w:rsid w:val="000E4B59"/>
    <w:rsid w:val="000E57F2"/>
    <w:rsid w:val="000E5E60"/>
    <w:rsid w:val="000E727C"/>
    <w:rsid w:val="000E72A7"/>
    <w:rsid w:val="000F1162"/>
    <w:rsid w:val="000F1FC2"/>
    <w:rsid w:val="000F3467"/>
    <w:rsid w:val="000F38DE"/>
    <w:rsid w:val="000F3C74"/>
    <w:rsid w:val="000F471F"/>
    <w:rsid w:val="000F532A"/>
    <w:rsid w:val="000F5886"/>
    <w:rsid w:val="000F5CFD"/>
    <w:rsid w:val="000F5D6C"/>
    <w:rsid w:val="000F7308"/>
    <w:rsid w:val="000F762B"/>
    <w:rsid w:val="00100878"/>
    <w:rsid w:val="00103E27"/>
    <w:rsid w:val="00105E27"/>
    <w:rsid w:val="00106114"/>
    <w:rsid w:val="00106852"/>
    <w:rsid w:val="0010703E"/>
    <w:rsid w:val="00110F9D"/>
    <w:rsid w:val="001137FD"/>
    <w:rsid w:val="00114A67"/>
    <w:rsid w:val="0011536F"/>
    <w:rsid w:val="00121C8A"/>
    <w:rsid w:val="001248A2"/>
    <w:rsid w:val="001253B6"/>
    <w:rsid w:val="001257BC"/>
    <w:rsid w:val="001262C3"/>
    <w:rsid w:val="00127320"/>
    <w:rsid w:val="00127456"/>
    <w:rsid w:val="001276FE"/>
    <w:rsid w:val="001312D8"/>
    <w:rsid w:val="0013137B"/>
    <w:rsid w:val="00135E7E"/>
    <w:rsid w:val="00146576"/>
    <w:rsid w:val="001465D4"/>
    <w:rsid w:val="0015118B"/>
    <w:rsid w:val="001519CE"/>
    <w:rsid w:val="00154454"/>
    <w:rsid w:val="00161CF3"/>
    <w:rsid w:val="00162C00"/>
    <w:rsid w:val="001639EF"/>
    <w:rsid w:val="0016589F"/>
    <w:rsid w:val="00166219"/>
    <w:rsid w:val="0017769A"/>
    <w:rsid w:val="00181155"/>
    <w:rsid w:val="0018250A"/>
    <w:rsid w:val="001827F2"/>
    <w:rsid w:val="001838DE"/>
    <w:rsid w:val="00183DFC"/>
    <w:rsid w:val="00184384"/>
    <w:rsid w:val="0018470A"/>
    <w:rsid w:val="0018595E"/>
    <w:rsid w:val="00186717"/>
    <w:rsid w:val="00187FFC"/>
    <w:rsid w:val="001959E3"/>
    <w:rsid w:val="00197B35"/>
    <w:rsid w:val="001A179A"/>
    <w:rsid w:val="001A2018"/>
    <w:rsid w:val="001A2191"/>
    <w:rsid w:val="001A4860"/>
    <w:rsid w:val="001B1BD4"/>
    <w:rsid w:val="001B2C39"/>
    <w:rsid w:val="001B3675"/>
    <w:rsid w:val="001B5476"/>
    <w:rsid w:val="001B5E10"/>
    <w:rsid w:val="001B6AB3"/>
    <w:rsid w:val="001B73D5"/>
    <w:rsid w:val="001C0681"/>
    <w:rsid w:val="001C075C"/>
    <w:rsid w:val="001C2188"/>
    <w:rsid w:val="001C549B"/>
    <w:rsid w:val="001C62B3"/>
    <w:rsid w:val="001C6D54"/>
    <w:rsid w:val="001C7C8C"/>
    <w:rsid w:val="001D0D6A"/>
    <w:rsid w:val="001D20A4"/>
    <w:rsid w:val="001D2A79"/>
    <w:rsid w:val="001E00D1"/>
    <w:rsid w:val="001E0E58"/>
    <w:rsid w:val="001E14F3"/>
    <w:rsid w:val="001E15ED"/>
    <w:rsid w:val="001E1C3C"/>
    <w:rsid w:val="001E33D7"/>
    <w:rsid w:val="001E47CD"/>
    <w:rsid w:val="001E48FD"/>
    <w:rsid w:val="001E61AA"/>
    <w:rsid w:val="001E7658"/>
    <w:rsid w:val="001F190E"/>
    <w:rsid w:val="001F27EA"/>
    <w:rsid w:val="001F291E"/>
    <w:rsid w:val="001F5498"/>
    <w:rsid w:val="001F7CCC"/>
    <w:rsid w:val="0020309E"/>
    <w:rsid w:val="00206189"/>
    <w:rsid w:val="0021046C"/>
    <w:rsid w:val="00210573"/>
    <w:rsid w:val="0021061B"/>
    <w:rsid w:val="00210B58"/>
    <w:rsid w:val="00211786"/>
    <w:rsid w:val="002169B6"/>
    <w:rsid w:val="00216B06"/>
    <w:rsid w:val="00216B90"/>
    <w:rsid w:val="00222423"/>
    <w:rsid w:val="002228A8"/>
    <w:rsid w:val="002228D3"/>
    <w:rsid w:val="002256FC"/>
    <w:rsid w:val="00225B28"/>
    <w:rsid w:val="00225F2C"/>
    <w:rsid w:val="0022606C"/>
    <w:rsid w:val="00226891"/>
    <w:rsid w:val="00227D57"/>
    <w:rsid w:val="00230D9B"/>
    <w:rsid w:val="002313AC"/>
    <w:rsid w:val="0023146D"/>
    <w:rsid w:val="00235473"/>
    <w:rsid w:val="00235FB2"/>
    <w:rsid w:val="00236ECE"/>
    <w:rsid w:val="00237BC1"/>
    <w:rsid w:val="002430B4"/>
    <w:rsid w:val="002441EB"/>
    <w:rsid w:val="002447D0"/>
    <w:rsid w:val="00244D60"/>
    <w:rsid w:val="002454C5"/>
    <w:rsid w:val="00245E19"/>
    <w:rsid w:val="00246AEB"/>
    <w:rsid w:val="00250005"/>
    <w:rsid w:val="0025254F"/>
    <w:rsid w:val="0025566D"/>
    <w:rsid w:val="0025595C"/>
    <w:rsid w:val="00256E2A"/>
    <w:rsid w:val="00257149"/>
    <w:rsid w:val="002576E7"/>
    <w:rsid w:val="00260357"/>
    <w:rsid w:val="00264F04"/>
    <w:rsid w:val="00267554"/>
    <w:rsid w:val="00271899"/>
    <w:rsid w:val="00273C8A"/>
    <w:rsid w:val="002807BC"/>
    <w:rsid w:val="00281B73"/>
    <w:rsid w:val="00281D55"/>
    <w:rsid w:val="002824B8"/>
    <w:rsid w:val="0028338F"/>
    <w:rsid w:val="0028381B"/>
    <w:rsid w:val="00284414"/>
    <w:rsid w:val="002915C4"/>
    <w:rsid w:val="0029215E"/>
    <w:rsid w:val="00292B16"/>
    <w:rsid w:val="00292B36"/>
    <w:rsid w:val="00293BF0"/>
    <w:rsid w:val="002966DD"/>
    <w:rsid w:val="00297E6B"/>
    <w:rsid w:val="002A1D1C"/>
    <w:rsid w:val="002A40FD"/>
    <w:rsid w:val="002A4D64"/>
    <w:rsid w:val="002B15CA"/>
    <w:rsid w:val="002B4969"/>
    <w:rsid w:val="002B6554"/>
    <w:rsid w:val="002B7DAA"/>
    <w:rsid w:val="002C3834"/>
    <w:rsid w:val="002C5BE4"/>
    <w:rsid w:val="002D05F0"/>
    <w:rsid w:val="002D08FA"/>
    <w:rsid w:val="002D2726"/>
    <w:rsid w:val="002D2829"/>
    <w:rsid w:val="002D4064"/>
    <w:rsid w:val="002D660D"/>
    <w:rsid w:val="002D7D4A"/>
    <w:rsid w:val="002E0D7D"/>
    <w:rsid w:val="002E28AD"/>
    <w:rsid w:val="002E3846"/>
    <w:rsid w:val="002E3F78"/>
    <w:rsid w:val="002E4060"/>
    <w:rsid w:val="002E4D32"/>
    <w:rsid w:val="002E5FD6"/>
    <w:rsid w:val="002F1127"/>
    <w:rsid w:val="002F400C"/>
    <w:rsid w:val="002F4D76"/>
    <w:rsid w:val="002F53EE"/>
    <w:rsid w:val="002F6D26"/>
    <w:rsid w:val="002F75BE"/>
    <w:rsid w:val="0030231E"/>
    <w:rsid w:val="003042C4"/>
    <w:rsid w:val="00304CB4"/>
    <w:rsid w:val="00305CAF"/>
    <w:rsid w:val="00313F37"/>
    <w:rsid w:val="003141D0"/>
    <w:rsid w:val="00314EC6"/>
    <w:rsid w:val="003168C1"/>
    <w:rsid w:val="003228C8"/>
    <w:rsid w:val="00322FBE"/>
    <w:rsid w:val="00323FB5"/>
    <w:rsid w:val="00325570"/>
    <w:rsid w:val="00325632"/>
    <w:rsid w:val="003263AF"/>
    <w:rsid w:val="00327549"/>
    <w:rsid w:val="00331561"/>
    <w:rsid w:val="0033221E"/>
    <w:rsid w:val="0033299D"/>
    <w:rsid w:val="003342A5"/>
    <w:rsid w:val="00334616"/>
    <w:rsid w:val="00336C36"/>
    <w:rsid w:val="003403B5"/>
    <w:rsid w:val="003410DE"/>
    <w:rsid w:val="00343815"/>
    <w:rsid w:val="0035178C"/>
    <w:rsid w:val="003522BB"/>
    <w:rsid w:val="00352F6C"/>
    <w:rsid w:val="00354298"/>
    <w:rsid w:val="003556EA"/>
    <w:rsid w:val="00361B7B"/>
    <w:rsid w:val="003640B7"/>
    <w:rsid w:val="00367E38"/>
    <w:rsid w:val="00371915"/>
    <w:rsid w:val="003778B7"/>
    <w:rsid w:val="0038153A"/>
    <w:rsid w:val="00382100"/>
    <w:rsid w:val="00386FC7"/>
    <w:rsid w:val="00387114"/>
    <w:rsid w:val="003878C4"/>
    <w:rsid w:val="00390A32"/>
    <w:rsid w:val="00392A0B"/>
    <w:rsid w:val="0039412D"/>
    <w:rsid w:val="003A1142"/>
    <w:rsid w:val="003A1E91"/>
    <w:rsid w:val="003A241F"/>
    <w:rsid w:val="003A355F"/>
    <w:rsid w:val="003A40F2"/>
    <w:rsid w:val="003A50D1"/>
    <w:rsid w:val="003A6E00"/>
    <w:rsid w:val="003A72EA"/>
    <w:rsid w:val="003B13F7"/>
    <w:rsid w:val="003B196D"/>
    <w:rsid w:val="003B2710"/>
    <w:rsid w:val="003B4608"/>
    <w:rsid w:val="003B4E8C"/>
    <w:rsid w:val="003B5416"/>
    <w:rsid w:val="003B5DC6"/>
    <w:rsid w:val="003B60F5"/>
    <w:rsid w:val="003B706F"/>
    <w:rsid w:val="003C03A4"/>
    <w:rsid w:val="003C2392"/>
    <w:rsid w:val="003C5174"/>
    <w:rsid w:val="003C5240"/>
    <w:rsid w:val="003C76E6"/>
    <w:rsid w:val="003D14E0"/>
    <w:rsid w:val="003D1D9D"/>
    <w:rsid w:val="003D1EA5"/>
    <w:rsid w:val="003D3348"/>
    <w:rsid w:val="003D3471"/>
    <w:rsid w:val="003D6822"/>
    <w:rsid w:val="003D724C"/>
    <w:rsid w:val="003E0B20"/>
    <w:rsid w:val="003E0CE2"/>
    <w:rsid w:val="003F1C6D"/>
    <w:rsid w:val="003F49E4"/>
    <w:rsid w:val="003F4D2F"/>
    <w:rsid w:val="003F5E32"/>
    <w:rsid w:val="003F75F6"/>
    <w:rsid w:val="0040057A"/>
    <w:rsid w:val="00402DFC"/>
    <w:rsid w:val="004030DF"/>
    <w:rsid w:val="004037A2"/>
    <w:rsid w:val="00404670"/>
    <w:rsid w:val="004052B6"/>
    <w:rsid w:val="00414CA0"/>
    <w:rsid w:val="00415ED9"/>
    <w:rsid w:val="004217D5"/>
    <w:rsid w:val="00422F54"/>
    <w:rsid w:val="00431516"/>
    <w:rsid w:val="004361B3"/>
    <w:rsid w:val="00436BE9"/>
    <w:rsid w:val="00436DD3"/>
    <w:rsid w:val="0044249D"/>
    <w:rsid w:val="0044379F"/>
    <w:rsid w:val="004438DB"/>
    <w:rsid w:val="00444FCC"/>
    <w:rsid w:val="00446FB1"/>
    <w:rsid w:val="0045145A"/>
    <w:rsid w:val="00452753"/>
    <w:rsid w:val="00452CBD"/>
    <w:rsid w:val="00455872"/>
    <w:rsid w:val="0046078F"/>
    <w:rsid w:val="00463016"/>
    <w:rsid w:val="00463214"/>
    <w:rsid w:val="0046434D"/>
    <w:rsid w:val="00464FEB"/>
    <w:rsid w:val="0046551B"/>
    <w:rsid w:val="004656FA"/>
    <w:rsid w:val="00471D77"/>
    <w:rsid w:val="00474307"/>
    <w:rsid w:val="00475587"/>
    <w:rsid w:val="00480BC2"/>
    <w:rsid w:val="00490B0D"/>
    <w:rsid w:val="004929C2"/>
    <w:rsid w:val="00493FDD"/>
    <w:rsid w:val="00495727"/>
    <w:rsid w:val="0049586B"/>
    <w:rsid w:val="00495D7C"/>
    <w:rsid w:val="00497B3F"/>
    <w:rsid w:val="004A11F1"/>
    <w:rsid w:val="004A3E44"/>
    <w:rsid w:val="004B1250"/>
    <w:rsid w:val="004B2018"/>
    <w:rsid w:val="004B2896"/>
    <w:rsid w:val="004B31D7"/>
    <w:rsid w:val="004B38E9"/>
    <w:rsid w:val="004B3FBA"/>
    <w:rsid w:val="004B6599"/>
    <w:rsid w:val="004C2A4B"/>
    <w:rsid w:val="004C390D"/>
    <w:rsid w:val="004C3A25"/>
    <w:rsid w:val="004C4C95"/>
    <w:rsid w:val="004C6CA7"/>
    <w:rsid w:val="004C7021"/>
    <w:rsid w:val="004D071F"/>
    <w:rsid w:val="004D11F1"/>
    <w:rsid w:val="004D2721"/>
    <w:rsid w:val="004D30F8"/>
    <w:rsid w:val="004D4357"/>
    <w:rsid w:val="004D4950"/>
    <w:rsid w:val="004E098F"/>
    <w:rsid w:val="004E2196"/>
    <w:rsid w:val="004E2393"/>
    <w:rsid w:val="004E3745"/>
    <w:rsid w:val="004E42BE"/>
    <w:rsid w:val="004E4F42"/>
    <w:rsid w:val="004E5CEE"/>
    <w:rsid w:val="004E63D5"/>
    <w:rsid w:val="004E65F9"/>
    <w:rsid w:val="004F03FD"/>
    <w:rsid w:val="004F1AE6"/>
    <w:rsid w:val="004F2C9D"/>
    <w:rsid w:val="004F3AE1"/>
    <w:rsid w:val="004F52F0"/>
    <w:rsid w:val="004F5711"/>
    <w:rsid w:val="004F6250"/>
    <w:rsid w:val="004F6542"/>
    <w:rsid w:val="004F677C"/>
    <w:rsid w:val="004F6D8F"/>
    <w:rsid w:val="0050299D"/>
    <w:rsid w:val="00503EEA"/>
    <w:rsid w:val="005044EF"/>
    <w:rsid w:val="00505503"/>
    <w:rsid w:val="00510138"/>
    <w:rsid w:val="0051107B"/>
    <w:rsid w:val="00511967"/>
    <w:rsid w:val="00511DFC"/>
    <w:rsid w:val="00512F9C"/>
    <w:rsid w:val="00514E41"/>
    <w:rsid w:val="00521DFE"/>
    <w:rsid w:val="00527CDB"/>
    <w:rsid w:val="00532EB5"/>
    <w:rsid w:val="005335B9"/>
    <w:rsid w:val="005341C9"/>
    <w:rsid w:val="005369CA"/>
    <w:rsid w:val="00536D0B"/>
    <w:rsid w:val="00536DE9"/>
    <w:rsid w:val="00536F27"/>
    <w:rsid w:val="00541E08"/>
    <w:rsid w:val="005427BE"/>
    <w:rsid w:val="00547989"/>
    <w:rsid w:val="00547B4C"/>
    <w:rsid w:val="00554FE0"/>
    <w:rsid w:val="005557CD"/>
    <w:rsid w:val="0055613E"/>
    <w:rsid w:val="00556AAC"/>
    <w:rsid w:val="005576DF"/>
    <w:rsid w:val="0055789A"/>
    <w:rsid w:val="00560952"/>
    <w:rsid w:val="005652D1"/>
    <w:rsid w:val="005660A0"/>
    <w:rsid w:val="00566A4F"/>
    <w:rsid w:val="00567793"/>
    <w:rsid w:val="00567D64"/>
    <w:rsid w:val="00571414"/>
    <w:rsid w:val="0057302A"/>
    <w:rsid w:val="00573C1E"/>
    <w:rsid w:val="00576CD8"/>
    <w:rsid w:val="00591093"/>
    <w:rsid w:val="00591B64"/>
    <w:rsid w:val="0059572A"/>
    <w:rsid w:val="005978D4"/>
    <w:rsid w:val="00597A21"/>
    <w:rsid w:val="005A0842"/>
    <w:rsid w:val="005A0D3D"/>
    <w:rsid w:val="005A19B8"/>
    <w:rsid w:val="005A23FA"/>
    <w:rsid w:val="005B0C7B"/>
    <w:rsid w:val="005B2A67"/>
    <w:rsid w:val="005B3DCD"/>
    <w:rsid w:val="005B4AD4"/>
    <w:rsid w:val="005B5602"/>
    <w:rsid w:val="005B790A"/>
    <w:rsid w:val="005C2798"/>
    <w:rsid w:val="005C36C3"/>
    <w:rsid w:val="005C56DD"/>
    <w:rsid w:val="005C56EE"/>
    <w:rsid w:val="005C726C"/>
    <w:rsid w:val="005D1714"/>
    <w:rsid w:val="005D268F"/>
    <w:rsid w:val="005D2B52"/>
    <w:rsid w:val="005D760E"/>
    <w:rsid w:val="005D7638"/>
    <w:rsid w:val="005E2DD9"/>
    <w:rsid w:val="005E5534"/>
    <w:rsid w:val="005E66E0"/>
    <w:rsid w:val="005F12F5"/>
    <w:rsid w:val="005F3312"/>
    <w:rsid w:val="005F538F"/>
    <w:rsid w:val="005F6C60"/>
    <w:rsid w:val="005F7C7D"/>
    <w:rsid w:val="006044B7"/>
    <w:rsid w:val="006052E8"/>
    <w:rsid w:val="006071CE"/>
    <w:rsid w:val="006075B5"/>
    <w:rsid w:val="0061018C"/>
    <w:rsid w:val="0061094E"/>
    <w:rsid w:val="00613440"/>
    <w:rsid w:val="00613BE3"/>
    <w:rsid w:val="0062327B"/>
    <w:rsid w:val="00627ACA"/>
    <w:rsid w:val="00627B85"/>
    <w:rsid w:val="0063212F"/>
    <w:rsid w:val="00632777"/>
    <w:rsid w:val="00633750"/>
    <w:rsid w:val="00634491"/>
    <w:rsid w:val="00634F6C"/>
    <w:rsid w:val="006359AF"/>
    <w:rsid w:val="0063679C"/>
    <w:rsid w:val="00637055"/>
    <w:rsid w:val="00637570"/>
    <w:rsid w:val="00640A45"/>
    <w:rsid w:val="00640B1C"/>
    <w:rsid w:val="00641D59"/>
    <w:rsid w:val="00642BD8"/>
    <w:rsid w:val="00643161"/>
    <w:rsid w:val="00644507"/>
    <w:rsid w:val="00646880"/>
    <w:rsid w:val="00647D2A"/>
    <w:rsid w:val="00651C4C"/>
    <w:rsid w:val="006537BB"/>
    <w:rsid w:val="00653A57"/>
    <w:rsid w:val="006559EC"/>
    <w:rsid w:val="00655DC1"/>
    <w:rsid w:val="0065643E"/>
    <w:rsid w:val="00656AC5"/>
    <w:rsid w:val="006611AA"/>
    <w:rsid w:val="00665974"/>
    <w:rsid w:val="00666BFA"/>
    <w:rsid w:val="00667E07"/>
    <w:rsid w:val="00671785"/>
    <w:rsid w:val="00671E16"/>
    <w:rsid w:val="00672BA9"/>
    <w:rsid w:val="00673005"/>
    <w:rsid w:val="00676AA8"/>
    <w:rsid w:val="006804BE"/>
    <w:rsid w:val="00682728"/>
    <w:rsid w:val="0068434A"/>
    <w:rsid w:val="006868EC"/>
    <w:rsid w:val="0069008E"/>
    <w:rsid w:val="0069087E"/>
    <w:rsid w:val="006918B1"/>
    <w:rsid w:val="006925C4"/>
    <w:rsid w:val="00692E75"/>
    <w:rsid w:val="006A02B7"/>
    <w:rsid w:val="006A0C35"/>
    <w:rsid w:val="006A6AD8"/>
    <w:rsid w:val="006A7019"/>
    <w:rsid w:val="006B0D39"/>
    <w:rsid w:val="006B15D3"/>
    <w:rsid w:val="006B46D5"/>
    <w:rsid w:val="006B46F2"/>
    <w:rsid w:val="006B46F4"/>
    <w:rsid w:val="006C271E"/>
    <w:rsid w:val="006C39BB"/>
    <w:rsid w:val="006C7AF3"/>
    <w:rsid w:val="006D05F4"/>
    <w:rsid w:val="006D0B9D"/>
    <w:rsid w:val="006D1DFE"/>
    <w:rsid w:val="006D57CE"/>
    <w:rsid w:val="006D602A"/>
    <w:rsid w:val="006D6548"/>
    <w:rsid w:val="006E0708"/>
    <w:rsid w:val="006E0E20"/>
    <w:rsid w:val="006E1719"/>
    <w:rsid w:val="006E3368"/>
    <w:rsid w:val="006E34BF"/>
    <w:rsid w:val="006E4256"/>
    <w:rsid w:val="006E4BBA"/>
    <w:rsid w:val="006E5971"/>
    <w:rsid w:val="006E5F43"/>
    <w:rsid w:val="006E60A6"/>
    <w:rsid w:val="006F0F69"/>
    <w:rsid w:val="006F116B"/>
    <w:rsid w:val="006F117F"/>
    <w:rsid w:val="006F13DF"/>
    <w:rsid w:val="006F23C7"/>
    <w:rsid w:val="006F2780"/>
    <w:rsid w:val="006F3809"/>
    <w:rsid w:val="006F5036"/>
    <w:rsid w:val="006F7283"/>
    <w:rsid w:val="00702F26"/>
    <w:rsid w:val="0070313E"/>
    <w:rsid w:val="00703799"/>
    <w:rsid w:val="00704D1D"/>
    <w:rsid w:val="00705C5C"/>
    <w:rsid w:val="00710C61"/>
    <w:rsid w:val="00711475"/>
    <w:rsid w:val="007116CE"/>
    <w:rsid w:val="007127EC"/>
    <w:rsid w:val="00712C52"/>
    <w:rsid w:val="00716401"/>
    <w:rsid w:val="00717545"/>
    <w:rsid w:val="00720A6A"/>
    <w:rsid w:val="00721160"/>
    <w:rsid w:val="00721BD0"/>
    <w:rsid w:val="0072474B"/>
    <w:rsid w:val="0072548A"/>
    <w:rsid w:val="0072693B"/>
    <w:rsid w:val="007277A6"/>
    <w:rsid w:val="00732050"/>
    <w:rsid w:val="00733B28"/>
    <w:rsid w:val="00737812"/>
    <w:rsid w:val="00737EAA"/>
    <w:rsid w:val="0074028F"/>
    <w:rsid w:val="00741258"/>
    <w:rsid w:val="00741F73"/>
    <w:rsid w:val="007437AB"/>
    <w:rsid w:val="00745425"/>
    <w:rsid w:val="007534F8"/>
    <w:rsid w:val="0075413E"/>
    <w:rsid w:val="007545AD"/>
    <w:rsid w:val="007600BB"/>
    <w:rsid w:val="0076191A"/>
    <w:rsid w:val="00763722"/>
    <w:rsid w:val="00764081"/>
    <w:rsid w:val="00764BC1"/>
    <w:rsid w:val="00765134"/>
    <w:rsid w:val="0076604A"/>
    <w:rsid w:val="007663AF"/>
    <w:rsid w:val="00770869"/>
    <w:rsid w:val="00772FE4"/>
    <w:rsid w:val="007734DA"/>
    <w:rsid w:val="007738AA"/>
    <w:rsid w:val="00780A62"/>
    <w:rsid w:val="00783241"/>
    <w:rsid w:val="00784AD4"/>
    <w:rsid w:val="00784BDC"/>
    <w:rsid w:val="007924A2"/>
    <w:rsid w:val="00792F28"/>
    <w:rsid w:val="0079543F"/>
    <w:rsid w:val="00795880"/>
    <w:rsid w:val="007977B2"/>
    <w:rsid w:val="007A1268"/>
    <w:rsid w:val="007A2DB1"/>
    <w:rsid w:val="007A4367"/>
    <w:rsid w:val="007A453C"/>
    <w:rsid w:val="007A6A1D"/>
    <w:rsid w:val="007A76E5"/>
    <w:rsid w:val="007B0867"/>
    <w:rsid w:val="007B15B3"/>
    <w:rsid w:val="007B1AC1"/>
    <w:rsid w:val="007B4B39"/>
    <w:rsid w:val="007B5A08"/>
    <w:rsid w:val="007B693D"/>
    <w:rsid w:val="007C1EA2"/>
    <w:rsid w:val="007C4CDC"/>
    <w:rsid w:val="007C597A"/>
    <w:rsid w:val="007C6102"/>
    <w:rsid w:val="007C6314"/>
    <w:rsid w:val="007D0380"/>
    <w:rsid w:val="007D15AE"/>
    <w:rsid w:val="007D602E"/>
    <w:rsid w:val="007E041B"/>
    <w:rsid w:val="007E199A"/>
    <w:rsid w:val="007E2415"/>
    <w:rsid w:val="007E39F3"/>
    <w:rsid w:val="007E405E"/>
    <w:rsid w:val="007E413D"/>
    <w:rsid w:val="007E4739"/>
    <w:rsid w:val="007E68F4"/>
    <w:rsid w:val="007E6DE2"/>
    <w:rsid w:val="007E7A46"/>
    <w:rsid w:val="007F01C5"/>
    <w:rsid w:val="007F31BA"/>
    <w:rsid w:val="007F4078"/>
    <w:rsid w:val="0080014B"/>
    <w:rsid w:val="0080099C"/>
    <w:rsid w:val="008012E7"/>
    <w:rsid w:val="00801793"/>
    <w:rsid w:val="00803642"/>
    <w:rsid w:val="00803968"/>
    <w:rsid w:val="008049BC"/>
    <w:rsid w:val="0080592B"/>
    <w:rsid w:val="00805BA7"/>
    <w:rsid w:val="00806EA2"/>
    <w:rsid w:val="0081156E"/>
    <w:rsid w:val="00812A2B"/>
    <w:rsid w:val="00813225"/>
    <w:rsid w:val="0081408E"/>
    <w:rsid w:val="00814A4C"/>
    <w:rsid w:val="00814BDA"/>
    <w:rsid w:val="008160D8"/>
    <w:rsid w:val="00820BDA"/>
    <w:rsid w:val="00830440"/>
    <w:rsid w:val="00831AAB"/>
    <w:rsid w:val="00831E03"/>
    <w:rsid w:val="00833BCD"/>
    <w:rsid w:val="00834287"/>
    <w:rsid w:val="00834B82"/>
    <w:rsid w:val="0083574E"/>
    <w:rsid w:val="0083640C"/>
    <w:rsid w:val="00837341"/>
    <w:rsid w:val="008374E3"/>
    <w:rsid w:val="00837953"/>
    <w:rsid w:val="008411A7"/>
    <w:rsid w:val="0084157B"/>
    <w:rsid w:val="008417E1"/>
    <w:rsid w:val="00842856"/>
    <w:rsid w:val="00842BFB"/>
    <w:rsid w:val="00843202"/>
    <w:rsid w:val="00846B85"/>
    <w:rsid w:val="00847DC3"/>
    <w:rsid w:val="00847F49"/>
    <w:rsid w:val="0085079E"/>
    <w:rsid w:val="00850F26"/>
    <w:rsid w:val="0085213E"/>
    <w:rsid w:val="008528B3"/>
    <w:rsid w:val="008535C5"/>
    <w:rsid w:val="00853765"/>
    <w:rsid w:val="00853F71"/>
    <w:rsid w:val="0085516F"/>
    <w:rsid w:val="0085629B"/>
    <w:rsid w:val="00860C57"/>
    <w:rsid w:val="00862678"/>
    <w:rsid w:val="00864548"/>
    <w:rsid w:val="00867186"/>
    <w:rsid w:val="00867CBF"/>
    <w:rsid w:val="00870AF6"/>
    <w:rsid w:val="00877452"/>
    <w:rsid w:val="00877BB5"/>
    <w:rsid w:val="008810B3"/>
    <w:rsid w:val="00881268"/>
    <w:rsid w:val="00883280"/>
    <w:rsid w:val="0088394A"/>
    <w:rsid w:val="008860BD"/>
    <w:rsid w:val="00887399"/>
    <w:rsid w:val="0088779E"/>
    <w:rsid w:val="00887AFD"/>
    <w:rsid w:val="008912AF"/>
    <w:rsid w:val="00892114"/>
    <w:rsid w:val="00892796"/>
    <w:rsid w:val="00892CB9"/>
    <w:rsid w:val="008935CB"/>
    <w:rsid w:val="00894FE2"/>
    <w:rsid w:val="0089556E"/>
    <w:rsid w:val="00895813"/>
    <w:rsid w:val="00896897"/>
    <w:rsid w:val="00897F25"/>
    <w:rsid w:val="008B0E7E"/>
    <w:rsid w:val="008B3BCB"/>
    <w:rsid w:val="008B3C0A"/>
    <w:rsid w:val="008B4088"/>
    <w:rsid w:val="008B65BD"/>
    <w:rsid w:val="008B7900"/>
    <w:rsid w:val="008C3E88"/>
    <w:rsid w:val="008C71BF"/>
    <w:rsid w:val="008C7FE0"/>
    <w:rsid w:val="008D07DA"/>
    <w:rsid w:val="008D1636"/>
    <w:rsid w:val="008D5717"/>
    <w:rsid w:val="008D7E0C"/>
    <w:rsid w:val="008E018D"/>
    <w:rsid w:val="008E415F"/>
    <w:rsid w:val="008E44A9"/>
    <w:rsid w:val="008E66FB"/>
    <w:rsid w:val="008E68B1"/>
    <w:rsid w:val="008E6B4D"/>
    <w:rsid w:val="008E6BFF"/>
    <w:rsid w:val="008E6DE1"/>
    <w:rsid w:val="008E7719"/>
    <w:rsid w:val="008F21AF"/>
    <w:rsid w:val="008F2400"/>
    <w:rsid w:val="008F61BA"/>
    <w:rsid w:val="008F6E3C"/>
    <w:rsid w:val="008F7871"/>
    <w:rsid w:val="008F7C55"/>
    <w:rsid w:val="009043BE"/>
    <w:rsid w:val="00910F0A"/>
    <w:rsid w:val="00914A23"/>
    <w:rsid w:val="00915D53"/>
    <w:rsid w:val="009164D8"/>
    <w:rsid w:val="009225EC"/>
    <w:rsid w:val="0092466C"/>
    <w:rsid w:val="00930754"/>
    <w:rsid w:val="00934F68"/>
    <w:rsid w:val="009355AC"/>
    <w:rsid w:val="00935F38"/>
    <w:rsid w:val="00936E21"/>
    <w:rsid w:val="00937586"/>
    <w:rsid w:val="00943295"/>
    <w:rsid w:val="00946059"/>
    <w:rsid w:val="00946676"/>
    <w:rsid w:val="00946E5D"/>
    <w:rsid w:val="009472E3"/>
    <w:rsid w:val="00947889"/>
    <w:rsid w:val="009478BD"/>
    <w:rsid w:val="00954082"/>
    <w:rsid w:val="00955752"/>
    <w:rsid w:val="00960E98"/>
    <w:rsid w:val="00963A82"/>
    <w:rsid w:val="00965984"/>
    <w:rsid w:val="009703B4"/>
    <w:rsid w:val="00972912"/>
    <w:rsid w:val="00972DA0"/>
    <w:rsid w:val="009730C1"/>
    <w:rsid w:val="00976D1F"/>
    <w:rsid w:val="00980FA4"/>
    <w:rsid w:val="00981C81"/>
    <w:rsid w:val="00990CB1"/>
    <w:rsid w:val="009923AF"/>
    <w:rsid w:val="009963EE"/>
    <w:rsid w:val="00997C2B"/>
    <w:rsid w:val="00997C3A"/>
    <w:rsid w:val="009A2D24"/>
    <w:rsid w:val="009A456C"/>
    <w:rsid w:val="009B00E0"/>
    <w:rsid w:val="009B12A7"/>
    <w:rsid w:val="009B292A"/>
    <w:rsid w:val="009B5E00"/>
    <w:rsid w:val="009B6F56"/>
    <w:rsid w:val="009B76D5"/>
    <w:rsid w:val="009C165D"/>
    <w:rsid w:val="009C313F"/>
    <w:rsid w:val="009C3CEA"/>
    <w:rsid w:val="009C583D"/>
    <w:rsid w:val="009D2611"/>
    <w:rsid w:val="009D279A"/>
    <w:rsid w:val="009D79D2"/>
    <w:rsid w:val="009E247C"/>
    <w:rsid w:val="009E31BA"/>
    <w:rsid w:val="009E40A2"/>
    <w:rsid w:val="009E44AE"/>
    <w:rsid w:val="009E4DAF"/>
    <w:rsid w:val="009E574E"/>
    <w:rsid w:val="009E7774"/>
    <w:rsid w:val="009F0528"/>
    <w:rsid w:val="009F0806"/>
    <w:rsid w:val="009F233B"/>
    <w:rsid w:val="009F306C"/>
    <w:rsid w:val="00A0297C"/>
    <w:rsid w:val="00A03B5B"/>
    <w:rsid w:val="00A05D16"/>
    <w:rsid w:val="00A0659F"/>
    <w:rsid w:val="00A06ABB"/>
    <w:rsid w:val="00A07399"/>
    <w:rsid w:val="00A073F9"/>
    <w:rsid w:val="00A078AD"/>
    <w:rsid w:val="00A079BA"/>
    <w:rsid w:val="00A101D3"/>
    <w:rsid w:val="00A12DA7"/>
    <w:rsid w:val="00A12E81"/>
    <w:rsid w:val="00A14E8C"/>
    <w:rsid w:val="00A15BA2"/>
    <w:rsid w:val="00A16170"/>
    <w:rsid w:val="00A1625B"/>
    <w:rsid w:val="00A20C70"/>
    <w:rsid w:val="00A25711"/>
    <w:rsid w:val="00A26754"/>
    <w:rsid w:val="00A26889"/>
    <w:rsid w:val="00A27521"/>
    <w:rsid w:val="00A27EB3"/>
    <w:rsid w:val="00A33875"/>
    <w:rsid w:val="00A360A1"/>
    <w:rsid w:val="00A365D5"/>
    <w:rsid w:val="00A402B3"/>
    <w:rsid w:val="00A47C39"/>
    <w:rsid w:val="00A517DE"/>
    <w:rsid w:val="00A536E9"/>
    <w:rsid w:val="00A544B7"/>
    <w:rsid w:val="00A55EF2"/>
    <w:rsid w:val="00A57602"/>
    <w:rsid w:val="00A618CF"/>
    <w:rsid w:val="00A62770"/>
    <w:rsid w:val="00A62EEB"/>
    <w:rsid w:val="00A65CF2"/>
    <w:rsid w:val="00A660FF"/>
    <w:rsid w:val="00A718DF"/>
    <w:rsid w:val="00A73395"/>
    <w:rsid w:val="00A73CEE"/>
    <w:rsid w:val="00A740AE"/>
    <w:rsid w:val="00A771E3"/>
    <w:rsid w:val="00A82B4C"/>
    <w:rsid w:val="00A83129"/>
    <w:rsid w:val="00A86986"/>
    <w:rsid w:val="00A86AF9"/>
    <w:rsid w:val="00A906DE"/>
    <w:rsid w:val="00A91158"/>
    <w:rsid w:val="00A93A4C"/>
    <w:rsid w:val="00A94D5D"/>
    <w:rsid w:val="00A95C13"/>
    <w:rsid w:val="00AA168E"/>
    <w:rsid w:val="00AA1D9B"/>
    <w:rsid w:val="00AA2543"/>
    <w:rsid w:val="00AA2F69"/>
    <w:rsid w:val="00AA2FC2"/>
    <w:rsid w:val="00AA3804"/>
    <w:rsid w:val="00AA55C2"/>
    <w:rsid w:val="00AB0ACA"/>
    <w:rsid w:val="00AB1D41"/>
    <w:rsid w:val="00AB2D2D"/>
    <w:rsid w:val="00AB4AE5"/>
    <w:rsid w:val="00AB71CB"/>
    <w:rsid w:val="00AC5706"/>
    <w:rsid w:val="00AC5E9A"/>
    <w:rsid w:val="00AC704B"/>
    <w:rsid w:val="00AD1654"/>
    <w:rsid w:val="00AD553E"/>
    <w:rsid w:val="00AD5600"/>
    <w:rsid w:val="00AD5848"/>
    <w:rsid w:val="00AD7570"/>
    <w:rsid w:val="00AD7E3B"/>
    <w:rsid w:val="00AE134A"/>
    <w:rsid w:val="00AE2EE0"/>
    <w:rsid w:val="00AE5ADA"/>
    <w:rsid w:val="00AF16D6"/>
    <w:rsid w:val="00AF6145"/>
    <w:rsid w:val="00B01386"/>
    <w:rsid w:val="00B01BB5"/>
    <w:rsid w:val="00B026CC"/>
    <w:rsid w:val="00B028BC"/>
    <w:rsid w:val="00B03E3B"/>
    <w:rsid w:val="00B04AF4"/>
    <w:rsid w:val="00B04F1E"/>
    <w:rsid w:val="00B05214"/>
    <w:rsid w:val="00B14D5D"/>
    <w:rsid w:val="00B21252"/>
    <w:rsid w:val="00B22085"/>
    <w:rsid w:val="00B223A7"/>
    <w:rsid w:val="00B2351F"/>
    <w:rsid w:val="00B30D97"/>
    <w:rsid w:val="00B31074"/>
    <w:rsid w:val="00B3181A"/>
    <w:rsid w:val="00B35A7C"/>
    <w:rsid w:val="00B4017B"/>
    <w:rsid w:val="00B44ECD"/>
    <w:rsid w:val="00B450D1"/>
    <w:rsid w:val="00B53636"/>
    <w:rsid w:val="00B53D47"/>
    <w:rsid w:val="00B54832"/>
    <w:rsid w:val="00B54A25"/>
    <w:rsid w:val="00B5582C"/>
    <w:rsid w:val="00B56B95"/>
    <w:rsid w:val="00B618C3"/>
    <w:rsid w:val="00B63652"/>
    <w:rsid w:val="00B668B0"/>
    <w:rsid w:val="00B7059A"/>
    <w:rsid w:val="00B70B16"/>
    <w:rsid w:val="00B70F5C"/>
    <w:rsid w:val="00B7141D"/>
    <w:rsid w:val="00B71873"/>
    <w:rsid w:val="00B73054"/>
    <w:rsid w:val="00B73980"/>
    <w:rsid w:val="00B757B0"/>
    <w:rsid w:val="00B75AE5"/>
    <w:rsid w:val="00B77FEC"/>
    <w:rsid w:val="00B800C0"/>
    <w:rsid w:val="00B8132B"/>
    <w:rsid w:val="00B815FD"/>
    <w:rsid w:val="00B8213A"/>
    <w:rsid w:val="00B83BDA"/>
    <w:rsid w:val="00B84C5A"/>
    <w:rsid w:val="00B858F5"/>
    <w:rsid w:val="00B9167F"/>
    <w:rsid w:val="00B93668"/>
    <w:rsid w:val="00B9413C"/>
    <w:rsid w:val="00B9718A"/>
    <w:rsid w:val="00BA0A41"/>
    <w:rsid w:val="00BA151C"/>
    <w:rsid w:val="00BA185F"/>
    <w:rsid w:val="00BA2CC5"/>
    <w:rsid w:val="00BA5838"/>
    <w:rsid w:val="00BA68C6"/>
    <w:rsid w:val="00BA7F4B"/>
    <w:rsid w:val="00BB12F1"/>
    <w:rsid w:val="00BB276E"/>
    <w:rsid w:val="00BB3FEE"/>
    <w:rsid w:val="00BB5EB0"/>
    <w:rsid w:val="00BC00EA"/>
    <w:rsid w:val="00BC0352"/>
    <w:rsid w:val="00BC0539"/>
    <w:rsid w:val="00BC245A"/>
    <w:rsid w:val="00BC7C37"/>
    <w:rsid w:val="00BD16FA"/>
    <w:rsid w:val="00BD21C1"/>
    <w:rsid w:val="00BD41C3"/>
    <w:rsid w:val="00BD488B"/>
    <w:rsid w:val="00BD7850"/>
    <w:rsid w:val="00BD7CCC"/>
    <w:rsid w:val="00BE002A"/>
    <w:rsid w:val="00BE0283"/>
    <w:rsid w:val="00BE1BC9"/>
    <w:rsid w:val="00BE27EC"/>
    <w:rsid w:val="00BE5CDA"/>
    <w:rsid w:val="00BE608F"/>
    <w:rsid w:val="00BE60DC"/>
    <w:rsid w:val="00BF1328"/>
    <w:rsid w:val="00BF23BB"/>
    <w:rsid w:val="00BF33DD"/>
    <w:rsid w:val="00BF52D2"/>
    <w:rsid w:val="00BF5755"/>
    <w:rsid w:val="00BF5BD2"/>
    <w:rsid w:val="00BF684B"/>
    <w:rsid w:val="00BF6CA1"/>
    <w:rsid w:val="00C016F3"/>
    <w:rsid w:val="00C0215C"/>
    <w:rsid w:val="00C0352C"/>
    <w:rsid w:val="00C03F3F"/>
    <w:rsid w:val="00C07BFD"/>
    <w:rsid w:val="00C12DFB"/>
    <w:rsid w:val="00C1357B"/>
    <w:rsid w:val="00C15193"/>
    <w:rsid w:val="00C15609"/>
    <w:rsid w:val="00C15F6A"/>
    <w:rsid w:val="00C2193E"/>
    <w:rsid w:val="00C239CF"/>
    <w:rsid w:val="00C23EA7"/>
    <w:rsid w:val="00C2470F"/>
    <w:rsid w:val="00C256F3"/>
    <w:rsid w:val="00C25CE4"/>
    <w:rsid w:val="00C270A2"/>
    <w:rsid w:val="00C315B5"/>
    <w:rsid w:val="00C3412A"/>
    <w:rsid w:val="00C35E28"/>
    <w:rsid w:val="00C426AF"/>
    <w:rsid w:val="00C45D71"/>
    <w:rsid w:val="00C45DC2"/>
    <w:rsid w:val="00C469C1"/>
    <w:rsid w:val="00C500CD"/>
    <w:rsid w:val="00C50659"/>
    <w:rsid w:val="00C51B39"/>
    <w:rsid w:val="00C5338A"/>
    <w:rsid w:val="00C54EF9"/>
    <w:rsid w:val="00C56BBF"/>
    <w:rsid w:val="00C572AA"/>
    <w:rsid w:val="00C57502"/>
    <w:rsid w:val="00C57A9A"/>
    <w:rsid w:val="00C57E23"/>
    <w:rsid w:val="00C57FAD"/>
    <w:rsid w:val="00C6016A"/>
    <w:rsid w:val="00C6047E"/>
    <w:rsid w:val="00C60B3F"/>
    <w:rsid w:val="00C61256"/>
    <w:rsid w:val="00C623EB"/>
    <w:rsid w:val="00C62F44"/>
    <w:rsid w:val="00C6300F"/>
    <w:rsid w:val="00C635A8"/>
    <w:rsid w:val="00C64C6B"/>
    <w:rsid w:val="00C6678E"/>
    <w:rsid w:val="00C66F2E"/>
    <w:rsid w:val="00C6785C"/>
    <w:rsid w:val="00C7002B"/>
    <w:rsid w:val="00C700A9"/>
    <w:rsid w:val="00C70E74"/>
    <w:rsid w:val="00C70FD1"/>
    <w:rsid w:val="00C72B76"/>
    <w:rsid w:val="00C7318E"/>
    <w:rsid w:val="00C733AA"/>
    <w:rsid w:val="00C7367A"/>
    <w:rsid w:val="00C74333"/>
    <w:rsid w:val="00C7443D"/>
    <w:rsid w:val="00C82E26"/>
    <w:rsid w:val="00C83027"/>
    <w:rsid w:val="00C84B8A"/>
    <w:rsid w:val="00C85E65"/>
    <w:rsid w:val="00C87CA1"/>
    <w:rsid w:val="00C911B4"/>
    <w:rsid w:val="00C91B3B"/>
    <w:rsid w:val="00C92C30"/>
    <w:rsid w:val="00C94262"/>
    <w:rsid w:val="00C96A74"/>
    <w:rsid w:val="00C976E1"/>
    <w:rsid w:val="00CA148E"/>
    <w:rsid w:val="00CA3A9A"/>
    <w:rsid w:val="00CA5E9A"/>
    <w:rsid w:val="00CA7BA0"/>
    <w:rsid w:val="00CB3FB3"/>
    <w:rsid w:val="00CB46D9"/>
    <w:rsid w:val="00CB59CC"/>
    <w:rsid w:val="00CB6276"/>
    <w:rsid w:val="00CB6438"/>
    <w:rsid w:val="00CB6B50"/>
    <w:rsid w:val="00CB6BC1"/>
    <w:rsid w:val="00CB7021"/>
    <w:rsid w:val="00CC031A"/>
    <w:rsid w:val="00CD0F23"/>
    <w:rsid w:val="00CD1A52"/>
    <w:rsid w:val="00CD3294"/>
    <w:rsid w:val="00CD3347"/>
    <w:rsid w:val="00CD4524"/>
    <w:rsid w:val="00CD5C6B"/>
    <w:rsid w:val="00CD6027"/>
    <w:rsid w:val="00CD784D"/>
    <w:rsid w:val="00CE1C02"/>
    <w:rsid w:val="00CE29AF"/>
    <w:rsid w:val="00CE58E4"/>
    <w:rsid w:val="00CE6449"/>
    <w:rsid w:val="00CE76EA"/>
    <w:rsid w:val="00CF025A"/>
    <w:rsid w:val="00CF0B80"/>
    <w:rsid w:val="00CF2355"/>
    <w:rsid w:val="00CF3A1C"/>
    <w:rsid w:val="00CF3C85"/>
    <w:rsid w:val="00CF40F8"/>
    <w:rsid w:val="00CF7E32"/>
    <w:rsid w:val="00D008DA"/>
    <w:rsid w:val="00D0416F"/>
    <w:rsid w:val="00D047C8"/>
    <w:rsid w:val="00D04F74"/>
    <w:rsid w:val="00D05851"/>
    <w:rsid w:val="00D10FED"/>
    <w:rsid w:val="00D11736"/>
    <w:rsid w:val="00D11D48"/>
    <w:rsid w:val="00D12EE8"/>
    <w:rsid w:val="00D14CDF"/>
    <w:rsid w:val="00D15FF1"/>
    <w:rsid w:val="00D167F4"/>
    <w:rsid w:val="00D17323"/>
    <w:rsid w:val="00D1733F"/>
    <w:rsid w:val="00D177F3"/>
    <w:rsid w:val="00D2092A"/>
    <w:rsid w:val="00D2216D"/>
    <w:rsid w:val="00D22A4E"/>
    <w:rsid w:val="00D26C42"/>
    <w:rsid w:val="00D27D2F"/>
    <w:rsid w:val="00D30BEA"/>
    <w:rsid w:val="00D31907"/>
    <w:rsid w:val="00D31A6F"/>
    <w:rsid w:val="00D32DC3"/>
    <w:rsid w:val="00D33518"/>
    <w:rsid w:val="00D346E1"/>
    <w:rsid w:val="00D353D1"/>
    <w:rsid w:val="00D367DB"/>
    <w:rsid w:val="00D36E05"/>
    <w:rsid w:val="00D410A0"/>
    <w:rsid w:val="00D44F27"/>
    <w:rsid w:val="00D45304"/>
    <w:rsid w:val="00D454AE"/>
    <w:rsid w:val="00D46165"/>
    <w:rsid w:val="00D461C7"/>
    <w:rsid w:val="00D50424"/>
    <w:rsid w:val="00D523D2"/>
    <w:rsid w:val="00D525C9"/>
    <w:rsid w:val="00D543C3"/>
    <w:rsid w:val="00D57D3E"/>
    <w:rsid w:val="00D60162"/>
    <w:rsid w:val="00D60D34"/>
    <w:rsid w:val="00D620FA"/>
    <w:rsid w:val="00D64E72"/>
    <w:rsid w:val="00D66018"/>
    <w:rsid w:val="00D66E02"/>
    <w:rsid w:val="00D67EF5"/>
    <w:rsid w:val="00D73A68"/>
    <w:rsid w:val="00D73F60"/>
    <w:rsid w:val="00D75917"/>
    <w:rsid w:val="00D760AE"/>
    <w:rsid w:val="00D76249"/>
    <w:rsid w:val="00D80738"/>
    <w:rsid w:val="00D862D1"/>
    <w:rsid w:val="00D91AEA"/>
    <w:rsid w:val="00D92C87"/>
    <w:rsid w:val="00D92FDC"/>
    <w:rsid w:val="00D93F0F"/>
    <w:rsid w:val="00D96B38"/>
    <w:rsid w:val="00DA1D2A"/>
    <w:rsid w:val="00DA2913"/>
    <w:rsid w:val="00DA4485"/>
    <w:rsid w:val="00DA5C22"/>
    <w:rsid w:val="00DA7D12"/>
    <w:rsid w:val="00DB0E42"/>
    <w:rsid w:val="00DB25ED"/>
    <w:rsid w:val="00DB263E"/>
    <w:rsid w:val="00DB62B5"/>
    <w:rsid w:val="00DB6505"/>
    <w:rsid w:val="00DC07CF"/>
    <w:rsid w:val="00DC23CF"/>
    <w:rsid w:val="00DC541D"/>
    <w:rsid w:val="00DC6562"/>
    <w:rsid w:val="00DC6774"/>
    <w:rsid w:val="00DC7416"/>
    <w:rsid w:val="00DD1A90"/>
    <w:rsid w:val="00DD1FAA"/>
    <w:rsid w:val="00DD2511"/>
    <w:rsid w:val="00DD2919"/>
    <w:rsid w:val="00DD298A"/>
    <w:rsid w:val="00DD3585"/>
    <w:rsid w:val="00DD47E7"/>
    <w:rsid w:val="00DD77A6"/>
    <w:rsid w:val="00DE130D"/>
    <w:rsid w:val="00DE24CF"/>
    <w:rsid w:val="00DE407C"/>
    <w:rsid w:val="00DE5D35"/>
    <w:rsid w:val="00DE7C7D"/>
    <w:rsid w:val="00DF2938"/>
    <w:rsid w:val="00DF2992"/>
    <w:rsid w:val="00DF2D0C"/>
    <w:rsid w:val="00DF42F4"/>
    <w:rsid w:val="00DF6B5A"/>
    <w:rsid w:val="00E00058"/>
    <w:rsid w:val="00E01B9D"/>
    <w:rsid w:val="00E028DF"/>
    <w:rsid w:val="00E02F5D"/>
    <w:rsid w:val="00E0468F"/>
    <w:rsid w:val="00E04F5E"/>
    <w:rsid w:val="00E0522E"/>
    <w:rsid w:val="00E10374"/>
    <w:rsid w:val="00E120F4"/>
    <w:rsid w:val="00E15CC9"/>
    <w:rsid w:val="00E15DD2"/>
    <w:rsid w:val="00E1613D"/>
    <w:rsid w:val="00E17172"/>
    <w:rsid w:val="00E24DE3"/>
    <w:rsid w:val="00E3181C"/>
    <w:rsid w:val="00E3280A"/>
    <w:rsid w:val="00E372AF"/>
    <w:rsid w:val="00E374B3"/>
    <w:rsid w:val="00E37D68"/>
    <w:rsid w:val="00E40EAE"/>
    <w:rsid w:val="00E436AC"/>
    <w:rsid w:val="00E44F7A"/>
    <w:rsid w:val="00E44FF8"/>
    <w:rsid w:val="00E5066A"/>
    <w:rsid w:val="00E52CF9"/>
    <w:rsid w:val="00E54397"/>
    <w:rsid w:val="00E54950"/>
    <w:rsid w:val="00E5559C"/>
    <w:rsid w:val="00E6105F"/>
    <w:rsid w:val="00E625E3"/>
    <w:rsid w:val="00E63F34"/>
    <w:rsid w:val="00E63FEA"/>
    <w:rsid w:val="00E64ACE"/>
    <w:rsid w:val="00E65D8F"/>
    <w:rsid w:val="00E66D7F"/>
    <w:rsid w:val="00E6715A"/>
    <w:rsid w:val="00E67392"/>
    <w:rsid w:val="00E7480D"/>
    <w:rsid w:val="00E74974"/>
    <w:rsid w:val="00E75DC9"/>
    <w:rsid w:val="00E7690B"/>
    <w:rsid w:val="00E81610"/>
    <w:rsid w:val="00E8199E"/>
    <w:rsid w:val="00E8230E"/>
    <w:rsid w:val="00E841B3"/>
    <w:rsid w:val="00E84910"/>
    <w:rsid w:val="00E85B28"/>
    <w:rsid w:val="00E86F99"/>
    <w:rsid w:val="00E86FAE"/>
    <w:rsid w:val="00E87F0B"/>
    <w:rsid w:val="00E91976"/>
    <w:rsid w:val="00E91D0F"/>
    <w:rsid w:val="00E92778"/>
    <w:rsid w:val="00E947A6"/>
    <w:rsid w:val="00E97FC7"/>
    <w:rsid w:val="00EA05C2"/>
    <w:rsid w:val="00EA0690"/>
    <w:rsid w:val="00EA3956"/>
    <w:rsid w:val="00EA7012"/>
    <w:rsid w:val="00EA7136"/>
    <w:rsid w:val="00EB1EFE"/>
    <w:rsid w:val="00EB325A"/>
    <w:rsid w:val="00EB49B9"/>
    <w:rsid w:val="00EC02A5"/>
    <w:rsid w:val="00EC0ABC"/>
    <w:rsid w:val="00EC1180"/>
    <w:rsid w:val="00EC176B"/>
    <w:rsid w:val="00EC1907"/>
    <w:rsid w:val="00EC1F87"/>
    <w:rsid w:val="00EC2E2F"/>
    <w:rsid w:val="00EC33CD"/>
    <w:rsid w:val="00EC5BE5"/>
    <w:rsid w:val="00EC6AF5"/>
    <w:rsid w:val="00EC7ED7"/>
    <w:rsid w:val="00ED2650"/>
    <w:rsid w:val="00ED44A5"/>
    <w:rsid w:val="00ED721A"/>
    <w:rsid w:val="00EE0E4F"/>
    <w:rsid w:val="00EE165B"/>
    <w:rsid w:val="00EE279B"/>
    <w:rsid w:val="00EE393D"/>
    <w:rsid w:val="00EE742D"/>
    <w:rsid w:val="00EF01CF"/>
    <w:rsid w:val="00EF201A"/>
    <w:rsid w:val="00EF285F"/>
    <w:rsid w:val="00EF4A7C"/>
    <w:rsid w:val="00EF5A39"/>
    <w:rsid w:val="00EF5F95"/>
    <w:rsid w:val="00EF64F1"/>
    <w:rsid w:val="00EF6A47"/>
    <w:rsid w:val="00EF6B93"/>
    <w:rsid w:val="00EF7AF9"/>
    <w:rsid w:val="00F00952"/>
    <w:rsid w:val="00F00C95"/>
    <w:rsid w:val="00F01495"/>
    <w:rsid w:val="00F06A09"/>
    <w:rsid w:val="00F10138"/>
    <w:rsid w:val="00F10841"/>
    <w:rsid w:val="00F124AF"/>
    <w:rsid w:val="00F13DBA"/>
    <w:rsid w:val="00F13F92"/>
    <w:rsid w:val="00F22ECA"/>
    <w:rsid w:val="00F23348"/>
    <w:rsid w:val="00F240E8"/>
    <w:rsid w:val="00F244FA"/>
    <w:rsid w:val="00F27FCC"/>
    <w:rsid w:val="00F30855"/>
    <w:rsid w:val="00F322EB"/>
    <w:rsid w:val="00F3542B"/>
    <w:rsid w:val="00F3636F"/>
    <w:rsid w:val="00F366A2"/>
    <w:rsid w:val="00F42B8F"/>
    <w:rsid w:val="00F44F43"/>
    <w:rsid w:val="00F450E1"/>
    <w:rsid w:val="00F455DA"/>
    <w:rsid w:val="00F460FC"/>
    <w:rsid w:val="00F50DF4"/>
    <w:rsid w:val="00F54210"/>
    <w:rsid w:val="00F57AFE"/>
    <w:rsid w:val="00F602D8"/>
    <w:rsid w:val="00F6278E"/>
    <w:rsid w:val="00F63C41"/>
    <w:rsid w:val="00F63E96"/>
    <w:rsid w:val="00F63EF0"/>
    <w:rsid w:val="00F6421C"/>
    <w:rsid w:val="00F66A6F"/>
    <w:rsid w:val="00F701E3"/>
    <w:rsid w:val="00F71008"/>
    <w:rsid w:val="00F71EDF"/>
    <w:rsid w:val="00F71F8C"/>
    <w:rsid w:val="00F7702D"/>
    <w:rsid w:val="00F866B7"/>
    <w:rsid w:val="00F86AD4"/>
    <w:rsid w:val="00F87D45"/>
    <w:rsid w:val="00F907DA"/>
    <w:rsid w:val="00FA0113"/>
    <w:rsid w:val="00FA12B2"/>
    <w:rsid w:val="00FA4286"/>
    <w:rsid w:val="00FA4511"/>
    <w:rsid w:val="00FA55BB"/>
    <w:rsid w:val="00FA7610"/>
    <w:rsid w:val="00FB02BD"/>
    <w:rsid w:val="00FB37AA"/>
    <w:rsid w:val="00FB398F"/>
    <w:rsid w:val="00FB4EF8"/>
    <w:rsid w:val="00FB54AE"/>
    <w:rsid w:val="00FB6DA6"/>
    <w:rsid w:val="00FB709A"/>
    <w:rsid w:val="00FB78DD"/>
    <w:rsid w:val="00FC1F31"/>
    <w:rsid w:val="00FC3EF3"/>
    <w:rsid w:val="00FC4700"/>
    <w:rsid w:val="00FC5D35"/>
    <w:rsid w:val="00FD0547"/>
    <w:rsid w:val="00FD2049"/>
    <w:rsid w:val="00FD2140"/>
    <w:rsid w:val="00FD5B5F"/>
    <w:rsid w:val="00FD5BDE"/>
    <w:rsid w:val="00FD68EC"/>
    <w:rsid w:val="00FE24A5"/>
    <w:rsid w:val="00FE31E5"/>
    <w:rsid w:val="00FE4D0F"/>
    <w:rsid w:val="00FE631A"/>
    <w:rsid w:val="00FF19AD"/>
    <w:rsid w:val="00FF1EB5"/>
    <w:rsid w:val="00FF292D"/>
    <w:rsid w:val="00FF298D"/>
    <w:rsid w:val="00FF4B55"/>
    <w:rsid w:val="00FF6287"/>
    <w:rsid w:val="00FF6A74"/>
    <w:rsid w:val="00FF6A9F"/>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9FF9"/>
  <w15:docId w15:val="{CF8143C2-A5C5-4AD9-B0B2-3894A8F3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UnresolvedMention1">
    <w:name w:val="Unresolved Mention1"/>
    <w:uiPriority w:val="99"/>
    <w:semiHidden/>
    <w:unhideWhenUsed/>
    <w:rsid w:val="001C6D54"/>
    <w:rPr>
      <w:color w:val="605E5C"/>
      <w:shd w:val="clear" w:color="auto" w:fill="E1DFDD"/>
    </w:rPr>
  </w:style>
  <w:style w:type="paragraph" w:styleId="Revision">
    <w:name w:val="Revision"/>
    <w:hidden/>
    <w:uiPriority w:val="99"/>
    <w:semiHidden/>
    <w:rsid w:val="007600BB"/>
    <w:rPr>
      <w:sz w:val="22"/>
      <w:szCs w:val="22"/>
      <w:lang w:val="en-US" w:eastAsia="en-US"/>
    </w:rPr>
  </w:style>
  <w:style w:type="character" w:customStyle="1" w:styleId="UnresolvedMention2">
    <w:name w:val="Unresolved Mention2"/>
    <w:basedOn w:val="DefaultParagraphFont"/>
    <w:uiPriority w:val="99"/>
    <w:semiHidden/>
    <w:unhideWhenUsed/>
    <w:rsid w:val="0085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90354795">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187976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420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8983594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ystat.gov.cy/el/MethodologicalDetails?m=209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statdb23px.cystat.gov.cy/pxweb/el/8.CYSTAT-DB/8.CYSTAT-DB__Labour%20Cost%20and%20Earnings__"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SubthemeStatistics?s=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mailto:plag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MOFSTATFSRV1\Labour%20Market\MMA\04_AVG%20Earnings%20Time%20Series\02_Internet%20spreadsheets\74\Table%20to%20input%20data%20in%20correct%20format_with%20formulas_Comparison%20of%20metho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OFSTATFSRV1\Labour%20Market\MMA\04_AVG%20Earnings%20Time%20Series\02_Internet%20spreadsheets\74\Table%20to%20input%20data%20in%20correct%20format_with%20formulas_Comparison%20of%20method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MOFSTATFSRV1\Labour%20Market\MMA\04_AVG%20Earnings%20Time%20Series\02_Internet%20spreadsheets\74\Table%20to%20input%20data%20in%20correct%20format_with%20formulas_Comparison%20of%20method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020071843869203E-2"/>
          <c:y val="8.1290960451977409E-2"/>
          <c:w val="0.84511632040884344"/>
          <c:h val="0.667396186440678"/>
        </c:manualLayout>
      </c:layout>
      <c:barChart>
        <c:barDir val="col"/>
        <c:grouping val="clustered"/>
        <c:varyColors val="0"/>
        <c:ser>
          <c:idx val="2"/>
          <c:order val="0"/>
          <c:tx>
            <c:strRef>
              <c:f>graph!$G$5</c:f>
              <c:strCache>
                <c:ptCount val="1"/>
                <c:pt idx="0">
                  <c:v>Ετήσια % Μεταβολή</c:v>
                </c:pt>
              </c:strCache>
            </c:strRef>
          </c:tx>
          <c:spPr>
            <a:solidFill>
              <a:srgbClr val="4F81BD"/>
            </a:solidFill>
          </c:spPr>
          <c:invertIfNegative val="0"/>
          <c:cat>
            <c:multiLvlStrRef>
              <c:f>graph!$A$34:$B$65</c:f>
              <c:multiLvlStrCache>
                <c:ptCount val="28"/>
                <c:lvl>
                  <c:pt idx="0">
                    <c:v>Τ1</c:v>
                  </c:pt>
                  <c:pt idx="1">
                    <c:v>Τ2</c:v>
                  </c:pt>
                  <c:pt idx="2">
                    <c:v>Τ3</c:v>
                  </c:pt>
                  <c:pt idx="3">
                    <c:v>Τ4</c:v>
                  </c:pt>
                  <c:pt idx="4">
                    <c:v>Τ1</c:v>
                  </c:pt>
                  <c:pt idx="5">
                    <c:v>Τ2</c:v>
                  </c:pt>
                  <c:pt idx="6">
                    <c:v>Τ3</c:v>
                  </c:pt>
                  <c:pt idx="7">
                    <c:v>Τ4</c:v>
                  </c:pt>
                  <c:pt idx="8">
                    <c:v>Τ1</c:v>
                  </c:pt>
                  <c:pt idx="9">
                    <c:v>Τ2</c:v>
                  </c:pt>
                  <c:pt idx="10">
                    <c:v>Τ3</c:v>
                  </c:pt>
                  <c:pt idx="11">
                    <c:v>Τ4</c:v>
                  </c:pt>
                  <c:pt idx="12">
                    <c:v>Τ1</c:v>
                  </c:pt>
                  <c:pt idx="13">
                    <c:v>Τ2</c:v>
                  </c:pt>
                  <c:pt idx="14">
                    <c:v>Τ3</c:v>
                  </c:pt>
                  <c:pt idx="15">
                    <c:v>Τ4</c:v>
                  </c:pt>
                  <c:pt idx="16">
                    <c:v>Τ1</c:v>
                  </c:pt>
                  <c:pt idx="17">
                    <c:v>Τ2</c:v>
                  </c:pt>
                  <c:pt idx="18">
                    <c:v>Τ3</c:v>
                  </c:pt>
                  <c:pt idx="19">
                    <c:v>Τ4</c:v>
                  </c:pt>
                  <c:pt idx="20">
                    <c:v>Τ1</c:v>
                  </c:pt>
                  <c:pt idx="21">
                    <c:v>Τ2</c:v>
                  </c:pt>
                  <c:pt idx="22">
                    <c:v>Τ3</c:v>
                  </c:pt>
                  <c:pt idx="23">
                    <c:v>Τ4</c:v>
                  </c:pt>
                  <c:pt idx="24">
                    <c:v>Τ1</c:v>
                  </c:pt>
                  <c:pt idx="25">
                    <c:v>Τ2</c:v>
                  </c:pt>
                  <c:pt idx="26">
                    <c:v>Τ3</c:v>
                  </c:pt>
                  <c:pt idx="27">
                    <c:v>Τ4</c:v>
                  </c:pt>
                </c:lvl>
                <c:lvl>
                  <c:pt idx="0">
                    <c:v>2019</c:v>
                  </c:pt>
                  <c:pt idx="4">
                    <c:v>2020</c:v>
                  </c:pt>
                  <c:pt idx="8">
                    <c:v>2021</c:v>
                  </c:pt>
                  <c:pt idx="12">
                    <c:v>2022</c:v>
                  </c:pt>
                  <c:pt idx="16">
                    <c:v>2023</c:v>
                  </c:pt>
                  <c:pt idx="20">
                    <c:v>2024</c:v>
                  </c:pt>
                  <c:pt idx="24">
                    <c:v>2025</c:v>
                  </c:pt>
                </c:lvl>
              </c:multiLvlStrCache>
              <c:extLst/>
            </c:multiLvlStrRef>
          </c:cat>
          <c:val>
            <c:numRef>
              <c:f>graph!$G$34:$G$65</c:f>
              <c:numCache>
                <c:formatCode>0.0</c:formatCode>
                <c:ptCount val="28"/>
                <c:pt idx="0">
                  <c:v>2.0078103481728116</c:v>
                </c:pt>
                <c:pt idx="1">
                  <c:v>1.4188147296284148</c:v>
                </c:pt>
                <c:pt idx="2">
                  <c:v>2.6122528928973265</c:v>
                </c:pt>
                <c:pt idx="3">
                  <c:v>2.4066390249964709</c:v>
                </c:pt>
                <c:pt idx="4">
                  <c:v>2.4395115899634279</c:v>
                </c:pt>
                <c:pt idx="5">
                  <c:v>-0.50129957786666512</c:v>
                </c:pt>
                <c:pt idx="6">
                  <c:v>2.1345503764184093</c:v>
                </c:pt>
                <c:pt idx="7">
                  <c:v>3.1120275046880863E-2</c:v>
                </c:pt>
                <c:pt idx="8">
                  <c:v>-1.6211481258763705</c:v>
                </c:pt>
                <c:pt idx="9">
                  <c:v>2.8407460898477455</c:v>
                </c:pt>
                <c:pt idx="10">
                  <c:v>2.8928989770035773</c:v>
                </c:pt>
                <c:pt idx="11">
                  <c:v>6.4297192922770918</c:v>
                </c:pt>
                <c:pt idx="12">
                  <c:v>8.8158415266890842</c:v>
                </c:pt>
                <c:pt idx="13">
                  <c:v>7.9756041628658014</c:v>
                </c:pt>
                <c:pt idx="14">
                  <c:v>6.5660776095795459</c:v>
                </c:pt>
                <c:pt idx="15">
                  <c:v>5.430293672767017</c:v>
                </c:pt>
                <c:pt idx="16">
                  <c:v>9.5763624068573314</c:v>
                </c:pt>
                <c:pt idx="17">
                  <c:v>8.1397284791259175</c:v>
                </c:pt>
                <c:pt idx="18">
                  <c:v>6.5393160111171245</c:v>
                </c:pt>
                <c:pt idx="19">
                  <c:v>5.7185638125348381</c:v>
                </c:pt>
                <c:pt idx="20">
                  <c:v>4.9960105716986059</c:v>
                </c:pt>
                <c:pt idx="21">
                  <c:v>5.0300404784637154</c:v>
                </c:pt>
                <c:pt idx="22">
                  <c:v>5.4357938371238701</c:v>
                </c:pt>
                <c:pt idx="23">
                  <c:v>4.8368391494751695</c:v>
                </c:pt>
                <c:pt idx="24">
                  <c:v>4.8533476919211394</c:v>
                </c:pt>
                <c:pt idx="25">
                  <c:v>4.223398530862843</c:v>
                </c:pt>
                <c:pt idx="26">
                  <c:v>4.2823177704778059</c:v>
                </c:pt>
                <c:pt idx="27">
                  <c:v>4.3745683245148159</c:v>
                </c:pt>
              </c:numCache>
              <c:extLst/>
            </c:numRef>
          </c:val>
          <c:extLst>
            <c:ext xmlns:c16="http://schemas.microsoft.com/office/drawing/2014/chart" uri="{C3380CC4-5D6E-409C-BE32-E72D297353CC}">
              <c16:uniqueId val="{00000000-F9A9-4D56-98D7-369DEDA806A3}"/>
            </c:ext>
          </c:extLst>
        </c:ser>
        <c:dLbls>
          <c:showLegendKey val="0"/>
          <c:showVal val="0"/>
          <c:showCatName val="0"/>
          <c:showSerName val="0"/>
          <c:showPercent val="0"/>
          <c:showBubbleSize val="0"/>
        </c:dLbls>
        <c:gapWidth val="75"/>
        <c:axId val="142740864"/>
        <c:axId val="142747136"/>
      </c:barChart>
      <c:lineChart>
        <c:grouping val="standard"/>
        <c:varyColors val="0"/>
        <c:ser>
          <c:idx val="3"/>
          <c:order val="1"/>
          <c:tx>
            <c:strRef>
              <c:f>graph!$E$5</c:f>
              <c:strCache>
                <c:ptCount val="1"/>
                <c:pt idx="0">
                  <c:v>Μέσες Μηνιαίες Απολαβές (€)</c:v>
                </c:pt>
              </c:strCache>
            </c:strRef>
          </c:tx>
          <c:spPr>
            <a:ln>
              <a:solidFill>
                <a:srgbClr val="98B954"/>
              </a:solidFill>
            </a:ln>
          </c:spPr>
          <c:marker>
            <c:symbol val="none"/>
          </c:marker>
          <c:cat>
            <c:strRef>
              <c:f>graph!$B$34:$B$63</c:f>
              <c:strCache>
                <c:ptCount val="26"/>
                <c:pt idx="0">
                  <c:v>Τ1</c:v>
                </c:pt>
                <c:pt idx="1">
                  <c:v>Τ2</c:v>
                </c:pt>
                <c:pt idx="2">
                  <c:v>Τ3</c:v>
                </c:pt>
                <c:pt idx="3">
                  <c:v>Τ4</c:v>
                </c:pt>
                <c:pt idx="4">
                  <c:v>Τ1</c:v>
                </c:pt>
                <c:pt idx="5">
                  <c:v>Τ2</c:v>
                </c:pt>
                <c:pt idx="6">
                  <c:v>Τ3</c:v>
                </c:pt>
                <c:pt idx="7">
                  <c:v>Τ4</c:v>
                </c:pt>
                <c:pt idx="8">
                  <c:v>Τ1</c:v>
                </c:pt>
                <c:pt idx="9">
                  <c:v>Τ2</c:v>
                </c:pt>
                <c:pt idx="10">
                  <c:v>Τ3</c:v>
                </c:pt>
                <c:pt idx="11">
                  <c:v>Τ4</c:v>
                </c:pt>
                <c:pt idx="12">
                  <c:v>Τ1</c:v>
                </c:pt>
                <c:pt idx="13">
                  <c:v>Τ2</c:v>
                </c:pt>
                <c:pt idx="14">
                  <c:v>Τ3</c:v>
                </c:pt>
                <c:pt idx="15">
                  <c:v>Τ4</c:v>
                </c:pt>
                <c:pt idx="16">
                  <c:v>Τ1</c:v>
                </c:pt>
                <c:pt idx="17">
                  <c:v>Τ2</c:v>
                </c:pt>
                <c:pt idx="18">
                  <c:v>Τ3</c:v>
                </c:pt>
                <c:pt idx="19">
                  <c:v>Τ4</c:v>
                </c:pt>
                <c:pt idx="20">
                  <c:v>Τ1</c:v>
                </c:pt>
                <c:pt idx="21">
                  <c:v>Τ2</c:v>
                </c:pt>
                <c:pt idx="22">
                  <c:v>Τ3</c:v>
                </c:pt>
                <c:pt idx="23">
                  <c:v>Τ4</c:v>
                </c:pt>
                <c:pt idx="24">
                  <c:v>Τ1</c:v>
                </c:pt>
                <c:pt idx="25">
                  <c:v>Τ2</c:v>
                </c:pt>
              </c:strCache>
              <c:extLst/>
            </c:strRef>
          </c:cat>
          <c:val>
            <c:numRef>
              <c:f>graph!$E$34:$E$65</c:f>
              <c:numCache>
                <c:formatCode>#,##0</c:formatCode>
                <c:ptCount val="28"/>
                <c:pt idx="0">
                  <c:v>1895.5482155830609</c:v>
                </c:pt>
                <c:pt idx="1">
                  <c:v>1892.9602627770198</c:v>
                </c:pt>
                <c:pt idx="2">
                  <c:v>1869.3787017815339</c:v>
                </c:pt>
                <c:pt idx="3">
                  <c:v>2258.4530169274531</c:v>
                </c:pt>
                <c:pt idx="4">
                  <c:v>1941.7903339955546</c:v>
                </c:pt>
                <c:pt idx="5">
                  <c:v>1883.4708609705349</c:v>
                </c:pt>
                <c:pt idx="6">
                  <c:v>1909.2815318970972</c:v>
                </c:pt>
                <c:pt idx="7">
                  <c:v>2259.1558537181254</c:v>
                </c:pt>
                <c:pt idx="8">
                  <c:v>1910.3110363875371</c:v>
                </c:pt>
                <c:pt idx="9">
                  <c:v>1936.9754858069768</c:v>
                </c:pt>
                <c:pt idx="10">
                  <c:v>1964.5151178014664</c:v>
                </c:pt>
                <c:pt idx="11">
                  <c:v>2404.413233487247</c:v>
                </c:pt>
                <c:pt idx="12">
                  <c:v>2078.7210300223142</c:v>
                </c:pt>
                <c:pt idx="13">
                  <c:v>2091.4609832866881</c:v>
                </c:pt>
                <c:pt idx="14">
                  <c:v>2093.506705088234</c:v>
                </c:pt>
                <c:pt idx="15">
                  <c:v>2534.979933172478</c:v>
                </c:pt>
                <c:pt idx="16">
                  <c:v>2277.7868892848087</c:v>
                </c:pt>
                <c:pt idx="17">
                  <c:v>2261.7002285730819</c:v>
                </c:pt>
                <c:pt idx="18">
                  <c:v>2230.4077242478793</c:v>
                </c:pt>
                <c:pt idx="19">
                  <c:v>2679.9443782858993</c:v>
                </c:pt>
                <c:pt idx="20">
                  <c:v>2391.5853630742427</c:v>
                </c:pt>
                <c:pt idx="21">
                  <c:v>2375.4646655718143</c:v>
                </c:pt>
                <c:pt idx="22">
                  <c:v>2351.6480898652803</c:v>
                </c:pt>
                <c:pt idx="23">
                  <c:v>2809.5689771589905</c:v>
                </c:pt>
                <c:pt idx="24">
                  <c:v>2507.6573160933303</c:v>
                </c:pt>
                <c:pt idx="25">
                  <c:v>2475.79000535874</c:v>
                </c:pt>
                <c:pt idx="26">
                  <c:v>2452.353133916683</c:v>
                </c:pt>
                <c:pt idx="27">
                  <c:v>2932.4754916891825</c:v>
                </c:pt>
              </c:numCache>
              <c:extLst/>
            </c:numRef>
          </c:val>
          <c:smooth val="0"/>
          <c:extLst>
            <c:ext xmlns:c16="http://schemas.microsoft.com/office/drawing/2014/chart" uri="{C3380CC4-5D6E-409C-BE32-E72D297353CC}">
              <c16:uniqueId val="{00000001-F9A9-4D56-98D7-369DEDA806A3}"/>
            </c:ext>
          </c:extLst>
        </c:ser>
        <c:ser>
          <c:idx val="4"/>
          <c:order val="2"/>
          <c:tx>
            <c:strRef>
              <c:f>graph!$F$5</c:f>
              <c:strCache>
                <c:ptCount val="1"/>
                <c:pt idx="0">
                  <c:v>Μέσες Μηνιαίες Απολαβές - Εποχικά διορθωμένες (€)</c:v>
                </c:pt>
              </c:strCache>
            </c:strRef>
          </c:tx>
          <c:spPr>
            <a:ln>
              <a:solidFill>
                <a:srgbClr val="BE4B48"/>
              </a:solidFill>
            </a:ln>
          </c:spPr>
          <c:marker>
            <c:symbol val="none"/>
          </c:marker>
          <c:cat>
            <c:strRef>
              <c:f>graph!$B$34:$B$63</c:f>
              <c:strCache>
                <c:ptCount val="26"/>
                <c:pt idx="0">
                  <c:v>Τ1</c:v>
                </c:pt>
                <c:pt idx="1">
                  <c:v>Τ2</c:v>
                </c:pt>
                <c:pt idx="2">
                  <c:v>Τ3</c:v>
                </c:pt>
                <c:pt idx="3">
                  <c:v>Τ4</c:v>
                </c:pt>
                <c:pt idx="4">
                  <c:v>Τ1</c:v>
                </c:pt>
                <c:pt idx="5">
                  <c:v>Τ2</c:v>
                </c:pt>
                <c:pt idx="6">
                  <c:v>Τ3</c:v>
                </c:pt>
                <c:pt idx="7">
                  <c:v>Τ4</c:v>
                </c:pt>
                <c:pt idx="8">
                  <c:v>Τ1</c:v>
                </c:pt>
                <c:pt idx="9">
                  <c:v>Τ2</c:v>
                </c:pt>
                <c:pt idx="10">
                  <c:v>Τ3</c:v>
                </c:pt>
                <c:pt idx="11">
                  <c:v>Τ4</c:v>
                </c:pt>
                <c:pt idx="12">
                  <c:v>Τ1</c:v>
                </c:pt>
                <c:pt idx="13">
                  <c:v>Τ2</c:v>
                </c:pt>
                <c:pt idx="14">
                  <c:v>Τ3</c:v>
                </c:pt>
                <c:pt idx="15">
                  <c:v>Τ4</c:v>
                </c:pt>
                <c:pt idx="16">
                  <c:v>Τ1</c:v>
                </c:pt>
                <c:pt idx="17">
                  <c:v>Τ2</c:v>
                </c:pt>
                <c:pt idx="18">
                  <c:v>Τ3</c:v>
                </c:pt>
                <c:pt idx="19">
                  <c:v>Τ4</c:v>
                </c:pt>
                <c:pt idx="20">
                  <c:v>Τ1</c:v>
                </c:pt>
                <c:pt idx="21">
                  <c:v>Τ2</c:v>
                </c:pt>
                <c:pt idx="22">
                  <c:v>Τ3</c:v>
                </c:pt>
                <c:pt idx="23">
                  <c:v>Τ4</c:v>
                </c:pt>
                <c:pt idx="24">
                  <c:v>Τ1</c:v>
                </c:pt>
                <c:pt idx="25">
                  <c:v>Τ2</c:v>
                </c:pt>
              </c:strCache>
              <c:extLst/>
            </c:strRef>
          </c:cat>
          <c:val>
            <c:numRef>
              <c:f>graph!$F$34:$F$65</c:f>
              <c:numCache>
                <c:formatCode>#,##0</c:formatCode>
                <c:ptCount val="28"/>
                <c:pt idx="0">
                  <c:v>1959.1018293170796</c:v>
                </c:pt>
                <c:pt idx="1">
                  <c:v>1975.2562148276486</c:v>
                </c:pt>
                <c:pt idx="2">
                  <c:v>1982.010710285045</c:v>
                </c:pt>
                <c:pt idx="3">
                  <c:v>1992.525426877062</c:v>
                </c:pt>
                <c:pt idx="4">
                  <c:v>2011.7866899481005</c:v>
                </c:pt>
                <c:pt idx="5">
                  <c:v>1970.3132503556258</c:v>
                </c:pt>
                <c:pt idx="6">
                  <c:v>2019.399685923637</c:v>
                </c:pt>
                <c:pt idx="7">
                  <c:v>1987.6752306425124</c:v>
                </c:pt>
                <c:pt idx="8">
                  <c:v>1983.6011774097542</c:v>
                </c:pt>
                <c:pt idx="9">
                  <c:v>2029.3148244423498</c:v>
                </c:pt>
                <c:pt idx="10">
                  <c:v>2077.1073178114757</c:v>
                </c:pt>
                <c:pt idx="11">
                  <c:v>2120.1280628728505</c:v>
                </c:pt>
                <c:pt idx="12">
                  <c:v>2144.1635001323875</c:v>
                </c:pt>
                <c:pt idx="13">
                  <c:v>2185.932802788147</c:v>
                </c:pt>
                <c:pt idx="14">
                  <c:v>2226.2266660236069</c:v>
                </c:pt>
                <c:pt idx="15">
                  <c:v>2262.0203251679868</c:v>
                </c:pt>
                <c:pt idx="16">
                  <c:v>2321.9693761367848</c:v>
                </c:pt>
                <c:pt idx="17">
                  <c:v>2349.7534423423667</c:v>
                </c:pt>
                <c:pt idx="18">
                  <c:v>2376.1677222202284</c:v>
                </c:pt>
                <c:pt idx="19">
                  <c:v>2407.7561081276172</c:v>
                </c:pt>
                <c:pt idx="20">
                  <c:v>2435.7920786000154</c:v>
                </c:pt>
                <c:pt idx="21">
                  <c:v>2467.8002983792544</c:v>
                </c:pt>
                <c:pt idx="22">
                  <c:v>2499.3570659039374</c:v>
                </c:pt>
                <c:pt idx="23">
                  <c:v>2523.7600449185156</c:v>
                </c:pt>
                <c:pt idx="24">
                  <c:v>2553.1920279938481</c:v>
                </c:pt>
                <c:pt idx="25">
                  <c:v>2576.8248648379135</c:v>
                </c:pt>
                <c:pt idx="26">
                  <c:v>2605.9598173253321</c:v>
                </c:pt>
                <c:pt idx="27">
                  <c:v>2633.740819053397</c:v>
                </c:pt>
              </c:numCache>
              <c:extLst/>
            </c:numRef>
          </c:val>
          <c:smooth val="0"/>
          <c:extLst>
            <c:ext xmlns:c16="http://schemas.microsoft.com/office/drawing/2014/chart" uri="{C3380CC4-5D6E-409C-BE32-E72D297353CC}">
              <c16:uniqueId val="{00000002-F9A9-4D56-98D7-369DEDA806A3}"/>
            </c:ext>
          </c:extLst>
        </c:ser>
        <c:dLbls>
          <c:showLegendKey val="0"/>
          <c:showVal val="0"/>
          <c:showCatName val="0"/>
          <c:showSerName val="0"/>
          <c:showPercent val="0"/>
          <c:showBubbleSize val="0"/>
        </c:dLbls>
        <c:marker val="1"/>
        <c:smooth val="0"/>
        <c:axId val="142751232"/>
        <c:axId val="142749056"/>
      </c:lineChart>
      <c:catAx>
        <c:axId val="142740864"/>
        <c:scaling>
          <c:orientation val="minMax"/>
        </c:scaling>
        <c:delete val="0"/>
        <c:axPos val="b"/>
        <c:numFmt formatCode="General" sourceLinked="0"/>
        <c:majorTickMark val="none"/>
        <c:minorTickMark val="none"/>
        <c:tickLblPos val="low"/>
        <c:txPr>
          <a:bodyPr rot="0"/>
          <a:lstStyle/>
          <a:p>
            <a:pPr>
              <a:defRPr sz="900">
                <a:solidFill>
                  <a:sysClr val="windowText" lastClr="000000"/>
                </a:solidFill>
              </a:defRPr>
            </a:pPr>
            <a:endParaRPr lang="en-CY"/>
          </a:p>
        </c:txPr>
        <c:crossAx val="142747136"/>
        <c:crosses val="autoZero"/>
        <c:auto val="1"/>
        <c:lblAlgn val="ctr"/>
        <c:lblOffset val="100"/>
        <c:tickLblSkip val="1"/>
        <c:tickMarkSkip val="1"/>
        <c:noMultiLvlLbl val="0"/>
      </c:catAx>
      <c:valAx>
        <c:axId val="142747136"/>
        <c:scaling>
          <c:orientation val="minMax"/>
          <c:max val="24"/>
          <c:min val="-2"/>
        </c:scaling>
        <c:delete val="0"/>
        <c:axPos val="l"/>
        <c:majorGridlines>
          <c:spPr>
            <a:ln>
              <a:solidFill>
                <a:schemeClr val="bg1">
                  <a:lumMod val="85000"/>
                </a:schemeClr>
              </a:solidFill>
            </a:ln>
          </c:spPr>
        </c:majorGridlines>
        <c:title>
          <c:tx>
            <c:rich>
              <a:bodyPr rot="0" vert="horz" anchor="t" anchorCtr="0"/>
              <a:lstStyle/>
              <a:p>
                <a:pPr>
                  <a:defRPr sz="1000"/>
                </a:pPr>
                <a:r>
                  <a:rPr lang="el-GR" sz="1000"/>
                  <a:t>%</a:t>
                </a:r>
                <a:endParaRPr lang="en-US" sz="1000"/>
              </a:p>
            </c:rich>
          </c:tx>
          <c:layout>
            <c:manualLayout>
              <c:xMode val="edge"/>
              <c:yMode val="edge"/>
              <c:x val="1.2000444395067214E-2"/>
              <c:y val="2.0476224105461394E-2"/>
            </c:manualLayout>
          </c:layout>
          <c:overlay val="0"/>
        </c:title>
        <c:numFmt formatCode="0" sourceLinked="0"/>
        <c:majorTickMark val="none"/>
        <c:minorTickMark val="none"/>
        <c:tickLblPos val="nextTo"/>
        <c:spPr>
          <a:ln>
            <a:noFill/>
          </a:ln>
        </c:spPr>
        <c:crossAx val="142740864"/>
        <c:crosses val="autoZero"/>
        <c:crossBetween val="between"/>
        <c:majorUnit val="2"/>
        <c:minorUnit val="2"/>
      </c:valAx>
      <c:valAx>
        <c:axId val="142749056"/>
        <c:scaling>
          <c:orientation val="minMax"/>
          <c:min val="1000"/>
        </c:scaling>
        <c:delete val="0"/>
        <c:axPos val="r"/>
        <c:title>
          <c:tx>
            <c:rich>
              <a:bodyPr rot="0" vert="horz"/>
              <a:lstStyle/>
              <a:p>
                <a:pPr>
                  <a:defRPr sz="1000"/>
                </a:pPr>
                <a:r>
                  <a:rPr lang="en-US" sz="1000"/>
                  <a:t>€</a:t>
                </a:r>
              </a:p>
            </c:rich>
          </c:tx>
          <c:layout>
            <c:manualLayout>
              <c:xMode val="edge"/>
              <c:yMode val="edge"/>
              <c:x val="0.95635388660519205"/>
              <c:y val="1.7858521657250475E-2"/>
            </c:manualLayout>
          </c:layout>
          <c:overlay val="0"/>
        </c:title>
        <c:numFmt formatCode="#,##0" sourceLinked="0"/>
        <c:majorTickMark val="out"/>
        <c:minorTickMark val="none"/>
        <c:tickLblPos val="nextTo"/>
        <c:spPr>
          <a:ln>
            <a:noFill/>
          </a:ln>
        </c:spPr>
        <c:crossAx val="142751232"/>
        <c:crosses val="max"/>
        <c:crossBetween val="between"/>
        <c:majorUnit val="200"/>
      </c:valAx>
      <c:catAx>
        <c:axId val="142751232"/>
        <c:scaling>
          <c:orientation val="minMax"/>
        </c:scaling>
        <c:delete val="1"/>
        <c:axPos val="b"/>
        <c:numFmt formatCode="General" sourceLinked="1"/>
        <c:majorTickMark val="out"/>
        <c:minorTickMark val="none"/>
        <c:tickLblPos val="none"/>
        <c:crossAx val="142749056"/>
        <c:crosses val="autoZero"/>
        <c:auto val="1"/>
        <c:lblAlgn val="ctr"/>
        <c:lblOffset val="100"/>
        <c:noMultiLvlLbl val="0"/>
      </c:catAx>
      <c:spPr>
        <a:noFill/>
        <a:ln w="25400">
          <a:noFill/>
        </a:ln>
      </c:spPr>
    </c:plotArea>
    <c:legend>
      <c:legendPos val="b"/>
      <c:layout>
        <c:manualLayout>
          <c:xMode val="edge"/>
          <c:yMode val="edge"/>
          <c:x val="2.1885876840696135E-3"/>
          <c:y val="0.88549811708319071"/>
          <c:w val="0.99584487951807232"/>
          <c:h val="0.10360175992493692"/>
        </c:manualLayout>
      </c:layout>
      <c:overlay val="0"/>
      <c:txPr>
        <a:bodyPr/>
        <a:lstStyle/>
        <a:p>
          <a:pPr>
            <a:defRPr b="1"/>
          </a:pPr>
          <a:endParaRPr lang="en-CY"/>
        </a:p>
      </c:txPr>
    </c:legend>
    <c:plotVisOnly val="1"/>
    <c:dispBlanksAs val="gap"/>
    <c:showDLblsOverMax val="0"/>
  </c:chart>
  <c:spPr>
    <a:ln>
      <a:solidFill>
        <a:srgbClr val="558ED5">
          <a:alpha val="49804"/>
        </a:srgbClr>
      </a:solidFill>
    </a:ln>
  </c:spPr>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61335798531375E-2"/>
          <c:y val="7.3012985896112825E-2"/>
          <c:w val="0.90750127584954554"/>
          <c:h val="0.75430770553835569"/>
        </c:manualLayout>
      </c:layout>
      <c:barChart>
        <c:barDir val="col"/>
        <c:grouping val="clustered"/>
        <c:varyColors val="0"/>
        <c:ser>
          <c:idx val="0"/>
          <c:order val="0"/>
          <c:tx>
            <c:strRef>
              <c:f>'graph 2 mean median'!$B$2:$D$2</c:f>
              <c:strCache>
                <c:ptCount val="1"/>
                <c:pt idx="0">
                  <c:v>Αριθμητικός Μέσος</c:v>
                </c:pt>
              </c:strCache>
            </c:strRef>
          </c:tx>
          <c:spPr>
            <a:solidFill>
              <a:srgbClr val="99CC00"/>
            </a:solidFill>
          </c:spPr>
          <c:invertIfNegative val="0"/>
          <c:dLbls>
            <c:dLbl>
              <c:idx val="1"/>
              <c:layout>
                <c:manualLayout>
                  <c:x val="0"/>
                  <c:y val="-1.6382868937048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23-4E9C-9623-66DCA8EE358A}"/>
                </c:ext>
              </c:extLst>
            </c:dLbl>
            <c:spPr>
              <a:noFill/>
              <a:ln>
                <a:noFill/>
              </a:ln>
              <a:effectLst/>
            </c:spPr>
            <c:txPr>
              <a:bodyPr/>
              <a:lstStyle/>
              <a:p>
                <a:pPr>
                  <a:defRPr sz="750">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'graph 2 mean median'!$A$4:$A$19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'graph 2 mean median'!$B$4:$B$19</c:f>
              <c:numCache>
                <c:formatCode>#,##0</c:formatCode>
                <c:ptCount val="16"/>
                <c:pt idx="0">
                  <c:v>1915</c:v>
                </c:pt>
                <c:pt idx="1">
                  <c:v>1967</c:v>
                </c:pt>
                <c:pt idx="2">
                  <c:v>1988</c:v>
                </c:pt>
                <c:pt idx="3">
                  <c:v>1945</c:v>
                </c:pt>
                <c:pt idx="4">
                  <c:v>1892</c:v>
                </c:pt>
                <c:pt idx="5">
                  <c:v>1882</c:v>
                </c:pt>
                <c:pt idx="6">
                  <c:v>1879</c:v>
                </c:pt>
                <c:pt idx="7">
                  <c:v>1892</c:v>
                </c:pt>
                <c:pt idx="8">
                  <c:v>1939</c:v>
                </c:pt>
                <c:pt idx="9">
                  <c:v>1979</c:v>
                </c:pt>
                <c:pt idx="10">
                  <c:v>2003</c:v>
                </c:pt>
                <c:pt idx="11">
                  <c:v>2056</c:v>
                </c:pt>
                <c:pt idx="12">
                  <c:v>2202</c:v>
                </c:pt>
                <c:pt idx="13">
                  <c:v>2363</c:v>
                </c:pt>
                <c:pt idx="14">
                  <c:v>2483</c:v>
                </c:pt>
                <c:pt idx="15">
                  <c:v>2605</c:v>
                </c:pt>
              </c:numCache>
            </c:numRef>
          </c:val>
          <c:extLst>
            <c:ext xmlns:c16="http://schemas.microsoft.com/office/drawing/2014/chart" uri="{C3380CC4-5D6E-409C-BE32-E72D297353CC}">
              <c16:uniqueId val="{00000001-7923-4E9C-9623-66DCA8EE358A}"/>
            </c:ext>
          </c:extLst>
        </c:ser>
        <c:ser>
          <c:idx val="1"/>
          <c:order val="1"/>
          <c:tx>
            <c:strRef>
              <c:f>'graph 2 mean median'!$E$2:$G$2</c:f>
              <c:strCache>
                <c:ptCount val="1"/>
                <c:pt idx="0">
                  <c:v>Διάμεσος</c:v>
                </c:pt>
              </c:strCache>
            </c:strRef>
          </c:tx>
          <c:invertIfNegative val="0"/>
          <c:dLbls>
            <c:dLbl>
              <c:idx val="0"/>
              <c:layout>
                <c:manualLayout>
                  <c:x val="1.4638082065467958E-2"/>
                  <c:y val="-1.0921912624699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23-4E9C-9623-66DCA8EE358A}"/>
                </c:ext>
              </c:extLst>
            </c:dLbl>
            <c:dLbl>
              <c:idx val="1"/>
              <c:layout>
                <c:manualLayout>
                  <c:x val="1.4638082065467958E-2"/>
                  <c:y val="-5.00581879200786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23-4E9C-9623-66DCA8EE358A}"/>
                </c:ext>
              </c:extLst>
            </c:dLbl>
            <c:dLbl>
              <c:idx val="2"/>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23-4E9C-9623-66DCA8EE358A}"/>
                </c:ext>
              </c:extLst>
            </c:dLbl>
            <c:dLbl>
              <c:idx val="3"/>
              <c:layout>
                <c:manualLayout>
                  <c:x val="1.6729236646249094E-2"/>
                  <c:y val="-5.46095631234950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23-4E9C-9623-66DCA8EE358A}"/>
                </c:ext>
              </c:extLst>
            </c:dLbl>
            <c:dLbl>
              <c:idx val="4"/>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23-4E9C-9623-66DCA8EE358A}"/>
                </c:ext>
              </c:extLst>
            </c:dLbl>
            <c:dLbl>
              <c:idx val="5"/>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23-4E9C-9623-66DCA8EE358A}"/>
                </c:ext>
              </c:extLst>
            </c:dLbl>
            <c:dLbl>
              <c:idx val="6"/>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23-4E9C-9623-66DCA8EE358A}"/>
                </c:ext>
              </c:extLst>
            </c:dLbl>
            <c:dLbl>
              <c:idx val="7"/>
              <c:layout>
                <c:manualLayout>
                  <c:x val="1.2546927484686743E-2"/>
                  <c:y val="-2.7304781561747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23-4E9C-9623-66DCA8EE358A}"/>
                </c:ext>
              </c:extLst>
            </c:dLbl>
            <c:dLbl>
              <c:idx val="8"/>
              <c:layout>
                <c:manualLayout>
                  <c:x val="1.882039122703023E-2"/>
                  <c:y val="2.7304781561747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23-4E9C-9623-66DCA8EE358A}"/>
                </c:ext>
              </c:extLst>
            </c:dLbl>
            <c:dLbl>
              <c:idx val="9"/>
              <c:layout>
                <c:manualLayout>
                  <c:x val="1.6729236646249094E-2"/>
                  <c:y val="1.0921912624699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23-4E9C-9623-66DCA8EE358A}"/>
                </c:ext>
              </c:extLst>
            </c:dLbl>
            <c:dLbl>
              <c:idx val="10"/>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23-4E9C-9623-66DCA8EE358A}"/>
                </c:ext>
              </c:extLst>
            </c:dLbl>
            <c:dLbl>
              <c:idx val="11"/>
              <c:layout>
                <c:manualLayout>
                  <c:x val="1.4638082065467958E-2"/>
                  <c:y val="-5.00581879200786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23-4E9C-9623-66DCA8EE358A}"/>
                </c:ext>
              </c:extLst>
            </c:dLbl>
            <c:spPr>
              <a:noFill/>
              <a:ln>
                <a:noFill/>
              </a:ln>
              <a:effectLst/>
            </c:spPr>
            <c:txPr>
              <a:bodyPr/>
              <a:lstStyle/>
              <a:p>
                <a:pPr>
                  <a:defRPr sz="750">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'graph 2 mean median'!$A$4:$A$19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'graph 2 mean median'!$E$4:$E$19</c:f>
              <c:numCache>
                <c:formatCode>#,##0</c:formatCode>
                <c:ptCount val="16"/>
                <c:pt idx="0">
                  <c:v>1566</c:v>
                </c:pt>
                <c:pt idx="1">
                  <c:v>1607</c:v>
                </c:pt>
                <c:pt idx="2">
                  <c:v>1611</c:v>
                </c:pt>
                <c:pt idx="3">
                  <c:v>1586</c:v>
                </c:pt>
                <c:pt idx="4">
                  <c:v>1522</c:v>
                </c:pt>
                <c:pt idx="5">
                  <c:v>1509</c:v>
                </c:pt>
                <c:pt idx="6">
                  <c:v>1498</c:v>
                </c:pt>
                <c:pt idx="7">
                  <c:v>1497</c:v>
                </c:pt>
                <c:pt idx="8">
                  <c:v>1519</c:v>
                </c:pt>
                <c:pt idx="9">
                  <c:v>1556</c:v>
                </c:pt>
                <c:pt idx="10">
                  <c:v>1573</c:v>
                </c:pt>
                <c:pt idx="11">
                  <c:v>1606</c:v>
                </c:pt>
                <c:pt idx="12">
                  <c:v>1701</c:v>
                </c:pt>
                <c:pt idx="13">
                  <c:v>1792</c:v>
                </c:pt>
                <c:pt idx="14">
                  <c:v>1881</c:v>
                </c:pt>
                <c:pt idx="15">
                  <c:v>1968</c:v>
                </c:pt>
              </c:numCache>
            </c:numRef>
          </c:val>
          <c:extLst>
            <c:ext xmlns:c16="http://schemas.microsoft.com/office/drawing/2014/chart" uri="{C3380CC4-5D6E-409C-BE32-E72D297353CC}">
              <c16:uniqueId val="{0000000E-7923-4E9C-9623-66DCA8EE358A}"/>
            </c:ext>
          </c:extLst>
        </c:ser>
        <c:dLbls>
          <c:showLegendKey val="0"/>
          <c:showVal val="0"/>
          <c:showCatName val="0"/>
          <c:showSerName val="0"/>
          <c:showPercent val="0"/>
          <c:showBubbleSize val="0"/>
        </c:dLbls>
        <c:gapWidth val="150"/>
        <c:axId val="183280000"/>
        <c:axId val="183281536"/>
      </c:barChart>
      <c:catAx>
        <c:axId val="183280000"/>
        <c:scaling>
          <c:orientation val="minMax"/>
        </c:scaling>
        <c:delete val="0"/>
        <c:axPos val="b"/>
        <c:numFmt formatCode="General" sourceLinked="1"/>
        <c:majorTickMark val="none"/>
        <c:minorTickMark val="none"/>
        <c:tickLblPos val="nextTo"/>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281536"/>
        <c:crosses val="autoZero"/>
        <c:auto val="1"/>
        <c:lblAlgn val="ctr"/>
        <c:lblOffset val="100"/>
        <c:noMultiLvlLbl val="0"/>
      </c:catAx>
      <c:valAx>
        <c:axId val="183281536"/>
        <c:scaling>
          <c:orientation val="minMax"/>
          <c:min val="1000"/>
        </c:scaling>
        <c:delete val="0"/>
        <c:axPos val="l"/>
        <c:majorGridlines>
          <c:spPr>
            <a:ln>
              <a:solidFill>
                <a:schemeClr val="bg1">
                  <a:lumMod val="85000"/>
                </a:schemeClr>
              </a:solidFill>
            </a:ln>
          </c:spPr>
        </c:majorGridlines>
        <c:title>
          <c:tx>
            <c:rich>
              <a:bodyPr rot="0" vert="horz"/>
              <a:lstStyle/>
              <a:p>
                <a:pPr>
                  <a:defRPr sz="900">
                    <a:latin typeface="Verdana" panose="020B0604030504040204" pitchFamily="34" charset="0"/>
                    <a:ea typeface="Verdana" panose="020B0604030504040204" pitchFamily="34" charset="0"/>
                    <a:cs typeface="Verdana" panose="020B0604030504040204" pitchFamily="34" charset="0"/>
                  </a:defRPr>
                </a:pPr>
                <a:r>
                  <a:rPr lang="el-GR" sz="900">
                    <a:latin typeface="Verdana" panose="020B0604030504040204" pitchFamily="34" charset="0"/>
                    <a:ea typeface="Verdana" panose="020B0604030504040204" pitchFamily="34" charset="0"/>
                    <a:cs typeface="Verdana" panose="020B0604030504040204" pitchFamily="34" charset="0"/>
                  </a:rPr>
                  <a:t>€</a:t>
                </a:r>
                <a:endParaRPr lang="en-US" sz="900">
                  <a:latin typeface="Verdana" panose="020B0604030504040204" pitchFamily="34" charset="0"/>
                  <a:ea typeface="Verdana" panose="020B0604030504040204" pitchFamily="34" charset="0"/>
                  <a:cs typeface="Verdana" panose="020B0604030504040204" pitchFamily="34" charset="0"/>
                </a:endParaRPr>
              </a:p>
            </c:rich>
          </c:tx>
          <c:layout>
            <c:manualLayout>
              <c:xMode val="edge"/>
              <c:yMode val="edge"/>
              <c:x val="1.8733616544819868E-2"/>
              <c:y val="1.6102726178190575E-2"/>
            </c:manualLayout>
          </c:layout>
          <c:overlay val="0"/>
        </c:title>
        <c:numFmt formatCode="#,##0" sourceLinked="1"/>
        <c:majorTickMark val="none"/>
        <c:minorTickMark val="none"/>
        <c:tickLblPos val="nextTo"/>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280000"/>
        <c:crosses val="autoZero"/>
        <c:crossBetween val="between"/>
      </c:valAx>
    </c:plotArea>
    <c:legend>
      <c:legendPos val="b"/>
      <c:overlay val="0"/>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legend>
    <c:plotVisOnly val="1"/>
    <c:dispBlanksAs val="gap"/>
    <c:showDLblsOverMax val="0"/>
  </c:chart>
  <c:spPr>
    <a:ln>
      <a:solidFill>
        <a:srgbClr val="558ED5">
          <a:alpha val="50196"/>
        </a:srgb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752989209682122E-2"/>
          <c:y val="9.8765432098765427E-2"/>
          <c:w val="0.94113589967920674"/>
          <c:h val="0.69626834840089435"/>
        </c:manualLayout>
      </c:layout>
      <c:barChart>
        <c:barDir val="col"/>
        <c:grouping val="clustered"/>
        <c:varyColors val="0"/>
        <c:ser>
          <c:idx val="0"/>
          <c:order val="0"/>
          <c:tx>
            <c:strRef>
              <c:f>'graph 3 distr'!$N$3</c:f>
              <c:strCache>
                <c:ptCount val="1"/>
                <c:pt idx="0">
                  <c:v>Κύπριοι</c:v>
                </c:pt>
              </c:strCache>
            </c:strRef>
          </c:tx>
          <c:spPr>
            <a:solidFill>
              <a:srgbClr val="EF5011"/>
            </a:solidFill>
            <a:ln>
              <a:noFill/>
            </a:ln>
            <a:effectLst/>
          </c:spPr>
          <c:invertIfNegative val="0"/>
          <c:cat>
            <c:strRef>
              <c:f>'graph 3 distr'!$M$4:$M$27</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'graph 3 distr'!$N$4:$N$27</c:f>
              <c:numCache>
                <c:formatCode>0.0</c:formatCode>
                <c:ptCount val="24"/>
                <c:pt idx="0">
                  <c:v>1</c:v>
                </c:pt>
                <c:pt idx="1">
                  <c:v>4</c:v>
                </c:pt>
                <c:pt idx="2">
                  <c:v>4</c:v>
                </c:pt>
                <c:pt idx="3">
                  <c:v>10</c:v>
                </c:pt>
                <c:pt idx="4">
                  <c:v>10</c:v>
                </c:pt>
                <c:pt idx="5">
                  <c:v>12</c:v>
                </c:pt>
                <c:pt idx="6">
                  <c:v>8</c:v>
                </c:pt>
                <c:pt idx="7">
                  <c:v>8</c:v>
                </c:pt>
                <c:pt idx="8">
                  <c:v>6</c:v>
                </c:pt>
                <c:pt idx="9">
                  <c:v>5</c:v>
                </c:pt>
                <c:pt idx="10">
                  <c:v>4</c:v>
                </c:pt>
                <c:pt idx="11">
                  <c:v>4</c:v>
                </c:pt>
                <c:pt idx="12">
                  <c:v>3</c:v>
                </c:pt>
                <c:pt idx="13">
                  <c:v>3</c:v>
                </c:pt>
                <c:pt idx="14">
                  <c:v>2</c:v>
                </c:pt>
                <c:pt idx="15">
                  <c:v>2</c:v>
                </c:pt>
                <c:pt idx="16">
                  <c:v>2</c:v>
                </c:pt>
                <c:pt idx="17">
                  <c:v>2</c:v>
                </c:pt>
                <c:pt idx="18">
                  <c:v>1</c:v>
                </c:pt>
                <c:pt idx="19">
                  <c:v>2</c:v>
                </c:pt>
                <c:pt idx="20">
                  <c:v>1</c:v>
                </c:pt>
                <c:pt idx="21">
                  <c:v>1</c:v>
                </c:pt>
                <c:pt idx="22">
                  <c:v>1</c:v>
                </c:pt>
                <c:pt idx="23">
                  <c:v>5</c:v>
                </c:pt>
              </c:numCache>
            </c:numRef>
          </c:val>
          <c:extLst>
            <c:ext xmlns:c16="http://schemas.microsoft.com/office/drawing/2014/chart" uri="{C3380CC4-5D6E-409C-BE32-E72D297353CC}">
              <c16:uniqueId val="{00000000-AB16-42EF-BF35-686B503A9695}"/>
            </c:ext>
          </c:extLst>
        </c:ser>
        <c:ser>
          <c:idx val="1"/>
          <c:order val="1"/>
          <c:tx>
            <c:strRef>
              <c:f>'graph 3 distr'!$O$3</c:f>
              <c:strCache>
                <c:ptCount val="1"/>
                <c:pt idx="0">
                  <c:v>Μη-Κύπριοι</c:v>
                </c:pt>
              </c:strCache>
            </c:strRef>
          </c:tx>
          <c:spPr>
            <a:solidFill>
              <a:schemeClr val="accent3">
                <a:lumMod val="75000"/>
              </a:schemeClr>
            </a:solidFill>
            <a:ln>
              <a:noFill/>
            </a:ln>
            <a:effectLst/>
          </c:spPr>
          <c:invertIfNegative val="0"/>
          <c:cat>
            <c:strRef>
              <c:f>'graph 3 distr'!$M$4:$M$27</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'graph 3 distr'!$O$4:$O$27</c:f>
              <c:numCache>
                <c:formatCode>0.0</c:formatCode>
                <c:ptCount val="24"/>
                <c:pt idx="0">
                  <c:v>4</c:v>
                </c:pt>
                <c:pt idx="1">
                  <c:v>7</c:v>
                </c:pt>
                <c:pt idx="2">
                  <c:v>7</c:v>
                </c:pt>
                <c:pt idx="3">
                  <c:v>18</c:v>
                </c:pt>
                <c:pt idx="4">
                  <c:v>13</c:v>
                </c:pt>
                <c:pt idx="5">
                  <c:v>10</c:v>
                </c:pt>
                <c:pt idx="6">
                  <c:v>6</c:v>
                </c:pt>
                <c:pt idx="7">
                  <c:v>5</c:v>
                </c:pt>
                <c:pt idx="8">
                  <c:v>3</c:v>
                </c:pt>
                <c:pt idx="9">
                  <c:v>5</c:v>
                </c:pt>
                <c:pt idx="10">
                  <c:v>2</c:v>
                </c:pt>
                <c:pt idx="11">
                  <c:v>2</c:v>
                </c:pt>
                <c:pt idx="12">
                  <c:v>1</c:v>
                </c:pt>
                <c:pt idx="13">
                  <c:v>1</c:v>
                </c:pt>
                <c:pt idx="14">
                  <c:v>1</c:v>
                </c:pt>
                <c:pt idx="15">
                  <c:v>1</c:v>
                </c:pt>
                <c:pt idx="16">
                  <c:v>1</c:v>
                </c:pt>
                <c:pt idx="17">
                  <c:v>1</c:v>
                </c:pt>
                <c:pt idx="18">
                  <c:v>1</c:v>
                </c:pt>
                <c:pt idx="19">
                  <c:v>1</c:v>
                </c:pt>
                <c:pt idx="20">
                  <c:v>1</c:v>
                </c:pt>
                <c:pt idx="21">
                  <c:v>1</c:v>
                </c:pt>
                <c:pt idx="22">
                  <c:v>1</c:v>
                </c:pt>
                <c:pt idx="23">
                  <c:v>8</c:v>
                </c:pt>
              </c:numCache>
            </c:numRef>
          </c:val>
          <c:extLst>
            <c:ext xmlns:c16="http://schemas.microsoft.com/office/drawing/2014/chart" uri="{C3380CC4-5D6E-409C-BE32-E72D297353CC}">
              <c16:uniqueId val="{00000001-AB16-42EF-BF35-686B503A9695}"/>
            </c:ext>
          </c:extLst>
        </c:ser>
        <c:dLbls>
          <c:showLegendKey val="0"/>
          <c:showVal val="0"/>
          <c:showCatName val="0"/>
          <c:showSerName val="0"/>
          <c:showPercent val="0"/>
          <c:showBubbleSize val="0"/>
        </c:dLbls>
        <c:gapWidth val="219"/>
        <c:overlap val="-27"/>
        <c:axId val="1340269504"/>
        <c:axId val="1263087488"/>
      </c:barChart>
      <c:catAx>
        <c:axId val="134026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263087488"/>
        <c:crosses val="autoZero"/>
        <c:auto val="1"/>
        <c:lblAlgn val="ctr"/>
        <c:lblOffset val="0"/>
        <c:noMultiLvlLbl val="0"/>
      </c:catAx>
      <c:valAx>
        <c:axId val="126308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340269504"/>
        <c:crosses val="autoZero"/>
        <c:crossBetween val="between"/>
      </c:valAx>
      <c:spPr>
        <a:noFill/>
        <a:ln>
          <a:noFill/>
        </a:ln>
        <a:effectLst/>
      </c:spPr>
    </c:plotArea>
    <c:legend>
      <c:legendPos val="b"/>
      <c:layout>
        <c:manualLayout>
          <c:xMode val="edge"/>
          <c:yMode val="edge"/>
          <c:x val="0.82053280839895015"/>
          <c:y val="0.25057815689705454"/>
          <c:w val="0.16819356955380574"/>
          <c:h val="0.1475699912510936"/>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558ED5">
          <a:alpha val="50196"/>
        </a:srgbClr>
      </a:solidFill>
      <a:round/>
    </a:ln>
    <a:effectLst/>
  </c:spPr>
  <c:txPr>
    <a:bodyPr/>
    <a:lstStyle/>
    <a:p>
      <a:pPr>
        <a:defRPr/>
      </a:pPr>
      <a:endParaRPr lang="en-CY"/>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0.02222</cdr:x>
      <cdr:y>0.04051</cdr:y>
    </cdr:from>
    <cdr:to>
      <cdr:x>0.05416</cdr:x>
      <cdr:y>0.08912</cdr:y>
    </cdr:to>
    <cdr:sp macro="" textlink="">
      <cdr:nvSpPr>
        <cdr:cNvPr id="2" name="TextBox 1">
          <a:extLst xmlns:a="http://schemas.openxmlformats.org/drawingml/2006/main">
            <a:ext uri="{FF2B5EF4-FFF2-40B4-BE49-F238E27FC236}">
              <a16:creationId xmlns:a16="http://schemas.microsoft.com/office/drawing/2014/main" id="{5A57AFB2-A33C-4ABF-BF36-408FEA5B49FD}"/>
            </a:ext>
          </a:extLst>
        </cdr:cNvPr>
        <cdr:cNvSpPr txBox="1"/>
      </cdr:nvSpPr>
      <cdr:spPr>
        <a:xfrm xmlns:a="http://schemas.openxmlformats.org/drawingml/2006/main">
          <a:off x="152403" y="166688"/>
          <a:ext cx="219042" cy="2000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Y" sz="1100"/>
        </a:p>
      </cdr:txBody>
    </cdr:sp>
  </cdr:relSizeAnchor>
  <cdr:relSizeAnchor xmlns:cdr="http://schemas.openxmlformats.org/drawingml/2006/chartDrawing">
    <cdr:from>
      <cdr:x>0.00139</cdr:x>
      <cdr:y>0.00579</cdr:y>
    </cdr:from>
    <cdr:to>
      <cdr:x>0.06111</cdr:x>
      <cdr:y>0.08681</cdr:y>
    </cdr:to>
    <cdr:sp macro="" textlink="">
      <cdr:nvSpPr>
        <cdr:cNvPr id="3" name="TextBox 5">
          <a:extLst xmlns:a="http://schemas.openxmlformats.org/drawingml/2006/main">
            <a:ext uri="{FF2B5EF4-FFF2-40B4-BE49-F238E27FC236}">
              <a16:creationId xmlns:a16="http://schemas.microsoft.com/office/drawing/2014/main" id="{9B94EAA7-AA6E-4CF0-A508-EBE87A0DACBC}"/>
            </a:ext>
          </a:extLst>
        </cdr:cNvPr>
        <cdr:cNvSpPr txBox="1"/>
      </cdr:nvSpPr>
      <cdr:spPr>
        <a:xfrm xmlns:a="http://schemas.openxmlformats.org/drawingml/2006/main">
          <a:off x="9529" y="23816"/>
          <a:ext cx="409574" cy="33337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a:t>
          </a:r>
          <a:endParaRPr lang="en-CY"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BAC0-0164-4832-AC26-94E7322D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6</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9255</CharactersWithSpaces>
  <SharedDoc>false</SharedDoc>
  <HLinks>
    <vt:vector size="24"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ariant>
        <vt:i4>3014706</vt:i4>
      </vt:variant>
      <vt:variant>
        <vt:i4>0</vt:i4>
      </vt:variant>
      <vt:variant>
        <vt:i4>0</vt:i4>
      </vt:variant>
      <vt:variant>
        <vt:i4>5</vt:i4>
      </vt:variant>
      <vt:variant>
        <vt:lpwstr>https://www.census2021.cystat.gov.cy/el</vt:lpwstr>
      </vt:variant>
      <vt:variant>
        <vt:lpwstr/>
      </vt:variant>
      <vt:variant>
        <vt:i4>3014706</vt:i4>
      </vt:variant>
      <vt:variant>
        <vt:i4>-1</vt:i4>
      </vt:variant>
      <vt:variant>
        <vt:i4>1026</vt:i4>
      </vt:variant>
      <vt:variant>
        <vt:i4>4</vt:i4>
      </vt:variant>
      <vt:variant>
        <vt:lpwstr>https://www.census2021.cystat.gov.cy/el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George Theodoulou</cp:lastModifiedBy>
  <cp:revision>100</cp:revision>
  <cp:lastPrinted>2026-04-23T10:38:00Z</cp:lastPrinted>
  <dcterms:created xsi:type="dcterms:W3CDTF">2025-04-29T12:08:00Z</dcterms:created>
  <dcterms:modified xsi:type="dcterms:W3CDTF">2026-04-27T09:22:00Z</dcterms:modified>
</cp:coreProperties>
</file>