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6AC6C" w14:textId="72D2FD17" w:rsidR="00196350" w:rsidRPr="00D76439" w:rsidRDefault="00196350" w:rsidP="00D76439">
      <w:pPr>
        <w:jc w:val="center"/>
        <w:rPr>
          <w:rFonts w:ascii="Verdana" w:hAnsi="Verdana" w:cs="Arial"/>
          <w:sz w:val="18"/>
          <w:szCs w:val="18"/>
          <w:lang w:val="el-GR"/>
        </w:rPr>
      </w:pPr>
      <w:r>
        <w:rPr>
          <w:noProof/>
        </w:rPr>
        <w:drawing>
          <wp:inline distT="0" distB="0" distL="0" distR="0" wp14:anchorId="6EECB0CA" wp14:editId="6CCA4C8F">
            <wp:extent cx="1169175" cy="1133475"/>
            <wp:effectExtent l="0" t="0" r="0" b="0"/>
            <wp:docPr id="7334589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73" cy="1134637"/>
                    </a:xfrm>
                    <a:prstGeom prst="rect">
                      <a:avLst/>
                    </a:prstGeom>
                    <a:noFill/>
                    <a:ln>
                      <a:noFill/>
                    </a:ln>
                  </pic:spPr>
                </pic:pic>
              </a:graphicData>
            </a:graphic>
          </wp:inline>
        </w:drawing>
      </w:r>
    </w:p>
    <w:p w14:paraId="17E7DCCC" w14:textId="065EC6A8" w:rsidR="00E428AE" w:rsidRPr="001945AE" w:rsidRDefault="004A7A5A" w:rsidP="00196350">
      <w:pPr>
        <w:jc w:val="right"/>
        <w:rPr>
          <w:rFonts w:ascii="Verdana" w:eastAsia="Malgun Gothic" w:hAnsi="Verdana" w:cs="Arial"/>
          <w:sz w:val="18"/>
          <w:szCs w:val="18"/>
          <w:lang w:val="el-GR"/>
        </w:rPr>
      </w:pPr>
      <w:r w:rsidRPr="00664BE6">
        <w:rPr>
          <w:rFonts w:ascii="Verdana" w:hAnsi="Verdana" w:cs="Arial"/>
          <w:sz w:val="18"/>
          <w:szCs w:val="18"/>
          <w:lang w:val="el-GR"/>
        </w:rPr>
        <w:t>9</w:t>
      </w:r>
      <w:r w:rsidR="00E63F6C" w:rsidRPr="00664BE6">
        <w:rPr>
          <w:rFonts w:ascii="Verdana" w:hAnsi="Verdana" w:cs="Arial"/>
          <w:sz w:val="18"/>
          <w:szCs w:val="18"/>
          <w:lang w:val="el-GR"/>
        </w:rPr>
        <w:t xml:space="preserve"> </w:t>
      </w:r>
      <w:r w:rsidR="00904B9A" w:rsidRPr="00664BE6">
        <w:rPr>
          <w:rFonts w:ascii="Verdana" w:hAnsi="Verdana" w:cs="Arial"/>
          <w:sz w:val="18"/>
          <w:szCs w:val="18"/>
          <w:lang w:val="el-GR"/>
        </w:rPr>
        <w:t>Αυγούστου</w:t>
      </w:r>
      <w:r w:rsidR="00E428AE" w:rsidRPr="00664BE6">
        <w:rPr>
          <w:rFonts w:ascii="Verdana" w:eastAsia="Malgun Gothic" w:hAnsi="Verdana" w:cs="Arial"/>
          <w:sz w:val="18"/>
          <w:szCs w:val="18"/>
          <w:lang w:val="el-GR"/>
        </w:rPr>
        <w:t>, 202</w:t>
      </w:r>
      <w:r w:rsidR="00E63F6C" w:rsidRPr="00664BE6">
        <w:rPr>
          <w:rFonts w:ascii="Verdana" w:eastAsia="Malgun Gothic" w:hAnsi="Verdana" w:cs="Arial"/>
          <w:sz w:val="18"/>
          <w:szCs w:val="18"/>
          <w:lang w:val="el-GR"/>
        </w:rPr>
        <w:t>4</w:t>
      </w:r>
    </w:p>
    <w:p w14:paraId="350E36D5" w14:textId="65216E1F" w:rsidR="00E428AE" w:rsidRPr="00E701CF" w:rsidRDefault="00E428AE" w:rsidP="00D123FA">
      <w:pPr>
        <w:jc w:val="both"/>
        <w:rPr>
          <w:rFonts w:ascii="Verdana" w:eastAsia="Malgun Gothic" w:hAnsi="Verdana" w:cs="Arial"/>
          <w:sz w:val="18"/>
          <w:szCs w:val="18"/>
          <w:lang w:val="el-GR"/>
        </w:rPr>
      </w:pPr>
    </w:p>
    <w:p w14:paraId="1ADB90DF" w14:textId="34A29310" w:rsidR="007A4152" w:rsidRPr="00AC32BD" w:rsidRDefault="007A4152" w:rsidP="00AC32BD">
      <w:pPr>
        <w:tabs>
          <w:tab w:val="left" w:pos="945"/>
        </w:tabs>
        <w:jc w:val="center"/>
        <w:rPr>
          <w:rFonts w:ascii="Verdana" w:hAnsi="Verdana" w:cs="Calibri"/>
          <w:b/>
          <w:sz w:val="24"/>
          <w:szCs w:val="24"/>
          <w:lang w:val="el-GR"/>
        </w:rPr>
      </w:pPr>
      <w:r w:rsidRPr="00AC32BD">
        <w:rPr>
          <w:rFonts w:ascii="Verdana" w:hAnsi="Verdana" w:cs="Calibri"/>
          <w:b/>
          <w:sz w:val="24"/>
          <w:szCs w:val="24"/>
          <w:lang w:val="el-GR"/>
        </w:rPr>
        <w:t>ΔΕΛΤΙΟ ΤΥΠΟΥ</w:t>
      </w:r>
    </w:p>
    <w:p w14:paraId="15C13569" w14:textId="77777777" w:rsidR="0070393A" w:rsidRPr="00AC32BD" w:rsidRDefault="0070393A" w:rsidP="00AC32BD">
      <w:pPr>
        <w:tabs>
          <w:tab w:val="left" w:pos="945"/>
        </w:tabs>
        <w:jc w:val="center"/>
        <w:rPr>
          <w:rFonts w:ascii="Verdana" w:hAnsi="Verdana" w:cs="Calibri"/>
          <w:bCs/>
          <w:sz w:val="18"/>
          <w:szCs w:val="18"/>
          <w:lang w:val="el-GR"/>
        </w:rPr>
      </w:pPr>
    </w:p>
    <w:p w14:paraId="76E7A8C2" w14:textId="03C8DEF0" w:rsidR="007A4152" w:rsidRPr="00CE4925" w:rsidRDefault="007A4152" w:rsidP="00E63F6C">
      <w:pPr>
        <w:tabs>
          <w:tab w:val="left" w:pos="945"/>
        </w:tabs>
        <w:jc w:val="center"/>
        <w:rPr>
          <w:rFonts w:ascii="Verdana" w:hAnsi="Verdana" w:cs="Calibri"/>
          <w:b/>
          <w:u w:val="single"/>
          <w:lang w:val="el-GR"/>
        </w:rPr>
      </w:pPr>
      <w:r w:rsidRPr="00BF3865">
        <w:rPr>
          <w:rFonts w:ascii="Verdana" w:hAnsi="Verdana" w:cs="Calibri"/>
          <w:b/>
          <w:u w:val="single"/>
          <w:lang w:val="el-GR"/>
        </w:rPr>
        <w:t>ΑΠΟΓΡΑΦΗ ΠΛΗΘΥΣΜΟΥ ΚΑΙ ΚΑΤΟΙΚΙΩΝ 2021</w:t>
      </w:r>
    </w:p>
    <w:p w14:paraId="76FD8CF9" w14:textId="001B0AFE" w:rsidR="00571B0F" w:rsidRPr="00E701CF" w:rsidRDefault="00571B0F" w:rsidP="00E63F6C">
      <w:pPr>
        <w:tabs>
          <w:tab w:val="left" w:pos="945"/>
        </w:tabs>
        <w:jc w:val="center"/>
        <w:rPr>
          <w:rFonts w:ascii="Verdana" w:hAnsi="Verdana" w:cs="Calibri"/>
          <w:b/>
          <w:u w:val="single"/>
          <w:lang w:val="el-GR"/>
        </w:rPr>
      </w:pPr>
      <w:r>
        <w:rPr>
          <w:rFonts w:ascii="Verdana" w:hAnsi="Verdana" w:cs="Calibri"/>
          <w:b/>
          <w:u w:val="single"/>
          <w:lang w:val="el-GR"/>
        </w:rPr>
        <w:t>ΤΕΛΙΚΑ ΑΠΟΤΕΛΕΣΜΑΤΑ</w:t>
      </w:r>
    </w:p>
    <w:p w14:paraId="489E80AD" w14:textId="77777777" w:rsidR="00664BE6" w:rsidRPr="00E701CF" w:rsidRDefault="00664BE6" w:rsidP="00E63F6C">
      <w:pPr>
        <w:tabs>
          <w:tab w:val="left" w:pos="945"/>
        </w:tabs>
        <w:jc w:val="center"/>
        <w:rPr>
          <w:rFonts w:ascii="Verdana" w:hAnsi="Verdana" w:cs="Calibri"/>
          <w:b/>
          <w:u w:val="single"/>
          <w:lang w:val="el-GR"/>
        </w:rPr>
      </w:pPr>
    </w:p>
    <w:p w14:paraId="42932B8E" w14:textId="40F675DB" w:rsidR="009F3D3E" w:rsidRPr="009F3D3E" w:rsidRDefault="009F3D3E" w:rsidP="00F145C3">
      <w:pPr>
        <w:suppressAutoHyphens/>
        <w:jc w:val="both"/>
        <w:rPr>
          <w:rFonts w:ascii="Verdana" w:hAnsi="Verdana" w:cs="Calibri"/>
          <w:sz w:val="18"/>
          <w:szCs w:val="18"/>
          <w:lang w:val="el-GR"/>
        </w:rPr>
      </w:pPr>
      <w:r w:rsidRPr="009E4155">
        <w:rPr>
          <w:rFonts w:ascii="Verdana" w:hAnsi="Verdana" w:cs="Calibri"/>
          <w:sz w:val="18"/>
          <w:szCs w:val="18"/>
          <w:lang w:val="el-GR"/>
        </w:rPr>
        <w:t xml:space="preserve">Η Στατιστική Υπηρεσία ανακοινώνει τα </w:t>
      </w:r>
      <w:r w:rsidR="00810E4B" w:rsidRPr="009E4155">
        <w:rPr>
          <w:rFonts w:ascii="Verdana" w:hAnsi="Verdana" w:cs="Calibri"/>
          <w:sz w:val="18"/>
          <w:szCs w:val="18"/>
          <w:lang w:val="el-GR"/>
        </w:rPr>
        <w:t>τελικ</w:t>
      </w:r>
      <w:r w:rsidRPr="009E4155">
        <w:rPr>
          <w:rFonts w:ascii="Verdana" w:hAnsi="Verdana" w:cs="Calibri"/>
          <w:sz w:val="18"/>
          <w:szCs w:val="18"/>
          <w:lang w:val="el-GR"/>
        </w:rPr>
        <w:t>ά αποτελέσματα της Απογραφής Πληθυσμού και Κατοικιών 2021</w:t>
      </w:r>
      <w:r w:rsidR="006D23F5" w:rsidRPr="009E4155">
        <w:rPr>
          <w:rFonts w:ascii="Verdana" w:hAnsi="Verdana" w:cs="Calibri"/>
          <w:sz w:val="18"/>
          <w:szCs w:val="18"/>
          <w:lang w:val="el-GR"/>
        </w:rPr>
        <w:t xml:space="preserve">, που διενεργήθηκε στις </w:t>
      </w:r>
      <w:r w:rsidR="0063233A">
        <w:rPr>
          <w:rFonts w:ascii="Verdana" w:hAnsi="Verdana" w:cs="Calibri"/>
          <w:sz w:val="18"/>
          <w:szCs w:val="18"/>
          <w:lang w:val="el-GR"/>
        </w:rPr>
        <w:t xml:space="preserve">ελεγχόμενες από το Κράτος </w:t>
      </w:r>
      <w:r w:rsidR="006D23F5" w:rsidRPr="009E4155">
        <w:rPr>
          <w:rFonts w:ascii="Verdana" w:hAnsi="Verdana" w:cs="Calibri"/>
          <w:sz w:val="18"/>
          <w:szCs w:val="18"/>
          <w:lang w:val="el-GR"/>
        </w:rPr>
        <w:t xml:space="preserve">περιοχές </w:t>
      </w:r>
      <w:r w:rsidR="0063233A">
        <w:rPr>
          <w:rFonts w:ascii="Verdana" w:hAnsi="Verdana" w:cs="Calibri"/>
          <w:sz w:val="18"/>
          <w:szCs w:val="18"/>
          <w:lang w:val="el-GR"/>
        </w:rPr>
        <w:t>της Κύπρου.</w:t>
      </w:r>
      <w:r w:rsidRPr="009F3D3E">
        <w:rPr>
          <w:rFonts w:ascii="Verdana" w:hAnsi="Verdana" w:cs="Calibri"/>
          <w:sz w:val="18"/>
          <w:szCs w:val="18"/>
          <w:lang w:val="el-GR"/>
        </w:rPr>
        <w:t xml:space="preserve"> </w:t>
      </w:r>
    </w:p>
    <w:p w14:paraId="22FAB0B1" w14:textId="77777777" w:rsidR="009F3D3E" w:rsidRDefault="009F3D3E" w:rsidP="00F145C3">
      <w:pPr>
        <w:jc w:val="both"/>
        <w:rPr>
          <w:rFonts w:ascii="Verdana" w:hAnsi="Verdana" w:cs="Calibri"/>
          <w:sz w:val="18"/>
          <w:szCs w:val="18"/>
          <w:lang w:val="el-GR"/>
        </w:rPr>
      </w:pPr>
    </w:p>
    <w:p w14:paraId="2E97719E" w14:textId="2B852225" w:rsidR="00F51B53" w:rsidRPr="00B212AD" w:rsidRDefault="00F51B53" w:rsidP="00F145C3">
      <w:pPr>
        <w:jc w:val="both"/>
        <w:rPr>
          <w:rFonts w:ascii="Verdana" w:hAnsi="Verdana" w:cs="Calibri"/>
          <w:b/>
          <w:bCs/>
          <w:sz w:val="18"/>
          <w:szCs w:val="18"/>
          <w:u w:val="single"/>
          <w:lang w:val="el-GR"/>
        </w:rPr>
      </w:pPr>
      <w:r w:rsidRPr="00BF3865">
        <w:rPr>
          <w:rFonts w:ascii="Verdana" w:hAnsi="Verdana" w:cs="Calibri"/>
          <w:b/>
          <w:bCs/>
          <w:sz w:val="18"/>
          <w:szCs w:val="18"/>
          <w:u w:val="single"/>
          <w:lang w:val="el-GR"/>
        </w:rPr>
        <w:t>Πληθυσμός</w:t>
      </w:r>
      <w:r w:rsidR="00B212AD">
        <w:rPr>
          <w:rFonts w:ascii="Verdana" w:hAnsi="Verdana" w:cs="Calibri"/>
          <w:b/>
          <w:bCs/>
          <w:sz w:val="18"/>
          <w:szCs w:val="18"/>
          <w:u w:val="single"/>
          <w:lang w:val="el-GR"/>
        </w:rPr>
        <w:t xml:space="preserve"> </w:t>
      </w:r>
      <w:r w:rsidR="00B212AD" w:rsidRPr="00F97BEA">
        <w:rPr>
          <w:rFonts w:ascii="Verdana" w:hAnsi="Verdana" w:cs="Calibri"/>
          <w:b/>
          <w:bCs/>
          <w:sz w:val="18"/>
          <w:szCs w:val="18"/>
          <w:u w:val="single"/>
          <w:lang w:val="el-GR"/>
        </w:rPr>
        <w:t xml:space="preserve">κατά </w:t>
      </w:r>
      <w:r w:rsidR="007A7089">
        <w:rPr>
          <w:rFonts w:ascii="Verdana" w:hAnsi="Verdana" w:cs="Calibri"/>
          <w:b/>
          <w:bCs/>
          <w:sz w:val="18"/>
          <w:szCs w:val="18"/>
          <w:u w:val="single"/>
          <w:lang w:val="el-GR"/>
        </w:rPr>
        <w:t>Φ</w:t>
      </w:r>
      <w:r w:rsidR="00B212AD" w:rsidRPr="00F97BEA">
        <w:rPr>
          <w:rFonts w:ascii="Verdana" w:hAnsi="Verdana" w:cs="Calibri"/>
          <w:b/>
          <w:bCs/>
          <w:sz w:val="18"/>
          <w:szCs w:val="18"/>
          <w:u w:val="single"/>
          <w:lang w:val="el-GR"/>
        </w:rPr>
        <w:t>ύλο</w:t>
      </w:r>
      <w:r w:rsidR="00120BAE">
        <w:rPr>
          <w:rFonts w:ascii="Verdana" w:hAnsi="Verdana" w:cs="Calibri"/>
          <w:b/>
          <w:bCs/>
          <w:sz w:val="18"/>
          <w:szCs w:val="18"/>
          <w:u w:val="single"/>
          <w:lang w:val="el-GR"/>
        </w:rPr>
        <w:t>,</w:t>
      </w:r>
      <w:r w:rsidR="00B212AD" w:rsidRPr="00F97BEA">
        <w:rPr>
          <w:rFonts w:ascii="Verdana" w:hAnsi="Verdana" w:cs="Calibri"/>
          <w:b/>
          <w:bCs/>
          <w:sz w:val="18"/>
          <w:szCs w:val="18"/>
          <w:u w:val="single"/>
          <w:lang w:val="el-GR"/>
        </w:rPr>
        <w:t xml:space="preserve"> </w:t>
      </w:r>
      <w:r w:rsidR="007A7089">
        <w:rPr>
          <w:rFonts w:ascii="Verdana" w:hAnsi="Verdana" w:cs="Calibri"/>
          <w:b/>
          <w:bCs/>
          <w:sz w:val="18"/>
          <w:szCs w:val="18"/>
          <w:u w:val="single"/>
          <w:lang w:val="el-GR"/>
        </w:rPr>
        <w:t>Γ</w:t>
      </w:r>
      <w:r w:rsidR="00B212AD" w:rsidRPr="00F97BEA">
        <w:rPr>
          <w:rFonts w:ascii="Verdana" w:hAnsi="Verdana" w:cs="Calibri"/>
          <w:b/>
          <w:bCs/>
          <w:sz w:val="18"/>
          <w:szCs w:val="18"/>
          <w:u w:val="single"/>
          <w:lang w:val="el-GR"/>
        </w:rPr>
        <w:t xml:space="preserve">εωγραφική </w:t>
      </w:r>
      <w:r w:rsidR="007A7089">
        <w:rPr>
          <w:rFonts w:ascii="Verdana" w:hAnsi="Verdana" w:cs="Calibri"/>
          <w:b/>
          <w:bCs/>
          <w:sz w:val="18"/>
          <w:szCs w:val="18"/>
          <w:u w:val="single"/>
          <w:lang w:val="el-GR"/>
        </w:rPr>
        <w:t>Κ</w:t>
      </w:r>
      <w:r w:rsidR="00B212AD" w:rsidRPr="00F97BEA">
        <w:rPr>
          <w:rFonts w:ascii="Verdana" w:hAnsi="Verdana" w:cs="Calibri"/>
          <w:b/>
          <w:bCs/>
          <w:sz w:val="18"/>
          <w:szCs w:val="18"/>
          <w:u w:val="single"/>
          <w:lang w:val="el-GR"/>
        </w:rPr>
        <w:t>ατανομή</w:t>
      </w:r>
      <w:r w:rsidR="00120BAE">
        <w:rPr>
          <w:rFonts w:ascii="Verdana" w:hAnsi="Verdana" w:cs="Calibri"/>
          <w:b/>
          <w:bCs/>
          <w:sz w:val="18"/>
          <w:szCs w:val="18"/>
          <w:u w:val="single"/>
          <w:lang w:val="el-GR"/>
        </w:rPr>
        <w:t xml:space="preserve"> και </w:t>
      </w:r>
      <w:r w:rsidR="007A7089">
        <w:rPr>
          <w:rFonts w:ascii="Verdana" w:hAnsi="Verdana" w:cs="Calibri"/>
          <w:b/>
          <w:bCs/>
          <w:sz w:val="18"/>
          <w:szCs w:val="18"/>
          <w:u w:val="single"/>
          <w:lang w:val="el-GR"/>
        </w:rPr>
        <w:t>Η</w:t>
      </w:r>
      <w:r w:rsidR="00120BAE">
        <w:rPr>
          <w:rFonts w:ascii="Verdana" w:hAnsi="Verdana" w:cs="Calibri"/>
          <w:b/>
          <w:bCs/>
          <w:sz w:val="18"/>
          <w:szCs w:val="18"/>
          <w:u w:val="single"/>
          <w:lang w:val="el-GR"/>
        </w:rPr>
        <w:t>λικία</w:t>
      </w:r>
    </w:p>
    <w:p w14:paraId="13A5F1C3" w14:textId="77777777" w:rsidR="00F51B53" w:rsidRPr="00BF3865" w:rsidRDefault="00F51B53" w:rsidP="00F145C3">
      <w:pPr>
        <w:jc w:val="both"/>
        <w:rPr>
          <w:rFonts w:ascii="Verdana" w:hAnsi="Verdana" w:cs="Calibri"/>
          <w:b/>
          <w:bCs/>
          <w:sz w:val="18"/>
          <w:szCs w:val="18"/>
          <w:lang w:val="el-GR"/>
        </w:rPr>
      </w:pPr>
    </w:p>
    <w:p w14:paraId="7B39A494" w14:textId="03B91B95" w:rsidR="00810E4B" w:rsidRDefault="009F3D3E" w:rsidP="00F145C3">
      <w:pPr>
        <w:jc w:val="both"/>
        <w:rPr>
          <w:rFonts w:ascii="Verdana" w:hAnsi="Verdana" w:cs="Calibri"/>
          <w:sz w:val="18"/>
          <w:szCs w:val="18"/>
          <w:lang w:val="el-GR"/>
        </w:rPr>
      </w:pPr>
      <w:r w:rsidRPr="009F3D3E">
        <w:rPr>
          <w:rFonts w:ascii="Verdana" w:hAnsi="Verdana" w:cs="Calibri"/>
          <w:sz w:val="18"/>
          <w:szCs w:val="18"/>
          <w:lang w:val="el-GR"/>
        </w:rPr>
        <w:t>Σύμφωνα με τα αποτελέσματα</w:t>
      </w:r>
      <w:r w:rsidR="00810E4B">
        <w:rPr>
          <w:rFonts w:ascii="Verdana" w:hAnsi="Verdana" w:cs="Calibri"/>
          <w:sz w:val="18"/>
          <w:szCs w:val="18"/>
          <w:lang w:val="el-GR"/>
        </w:rPr>
        <w:t xml:space="preserve"> της Απογραφής Πληθυσμού και Κατοικιών </w:t>
      </w:r>
      <w:r w:rsidR="00810E4B" w:rsidRPr="00810E4B">
        <w:rPr>
          <w:rFonts w:ascii="Verdana" w:hAnsi="Verdana" w:cs="Calibri"/>
          <w:sz w:val="18"/>
          <w:szCs w:val="18"/>
          <w:lang w:val="el-GR"/>
        </w:rPr>
        <w:t xml:space="preserve">2021, </w:t>
      </w:r>
      <w:r w:rsidR="00810E4B">
        <w:rPr>
          <w:rFonts w:ascii="Verdana" w:hAnsi="Verdana" w:cs="Calibri"/>
          <w:sz w:val="18"/>
          <w:szCs w:val="18"/>
          <w:lang w:val="el-GR"/>
        </w:rPr>
        <w:t xml:space="preserve">ο συνολικός πληθυσμός στις ελεγχόμενες από το Κράτος περιοχές της Κύπρου κατά την </w:t>
      </w:r>
      <w:r w:rsidR="00810E4B" w:rsidRPr="00672729">
        <w:rPr>
          <w:rFonts w:ascii="Verdana" w:hAnsi="Verdana" w:cs="Calibri"/>
          <w:sz w:val="18"/>
          <w:szCs w:val="18"/>
          <w:lang w:val="el-GR"/>
        </w:rPr>
        <w:t>1</w:t>
      </w:r>
      <w:r w:rsidR="00810E4B" w:rsidRPr="00672729">
        <w:rPr>
          <w:rFonts w:ascii="Verdana" w:hAnsi="Verdana" w:cs="Calibri"/>
          <w:sz w:val="18"/>
          <w:szCs w:val="18"/>
          <w:vertAlign w:val="superscript"/>
          <w:lang w:val="el-GR"/>
        </w:rPr>
        <w:t>η</w:t>
      </w:r>
      <w:r w:rsidR="00810E4B" w:rsidRPr="00672729">
        <w:rPr>
          <w:rFonts w:ascii="Verdana" w:hAnsi="Verdana" w:cs="Calibri"/>
          <w:sz w:val="18"/>
          <w:szCs w:val="18"/>
          <w:lang w:val="el-GR"/>
        </w:rPr>
        <w:t xml:space="preserve"> Οκτωβρίου </w:t>
      </w:r>
      <w:r w:rsidR="00810E4B">
        <w:rPr>
          <w:rFonts w:ascii="Verdana" w:hAnsi="Verdana" w:cs="Calibri"/>
          <w:sz w:val="18"/>
          <w:szCs w:val="18"/>
          <w:lang w:val="el-GR"/>
        </w:rPr>
        <w:t>2021 ανήλθε στις 923.381</w:t>
      </w:r>
      <w:r w:rsidR="00D76439">
        <w:rPr>
          <w:rFonts w:ascii="Verdana" w:hAnsi="Verdana" w:cs="Calibri"/>
          <w:sz w:val="18"/>
          <w:szCs w:val="18"/>
          <w:lang w:val="el-GR"/>
        </w:rPr>
        <w:t xml:space="preserve"> άτομα</w:t>
      </w:r>
      <w:r w:rsidR="00810E4B">
        <w:rPr>
          <w:rFonts w:ascii="Verdana" w:hAnsi="Verdana" w:cs="Calibri"/>
          <w:sz w:val="18"/>
          <w:szCs w:val="18"/>
          <w:lang w:val="el-GR"/>
        </w:rPr>
        <w:t xml:space="preserve">, 449.708 άντρες και 473.673 γυναίκες, σημειώνοντας αύξηση της τάξης του 9,9% σε σύγκριση με τα αποτελέσματα της </w:t>
      </w:r>
      <w:r w:rsidR="0011703F">
        <w:rPr>
          <w:rFonts w:ascii="Verdana" w:hAnsi="Verdana" w:cs="Calibri"/>
          <w:sz w:val="18"/>
          <w:szCs w:val="18"/>
          <w:lang w:val="el-GR"/>
        </w:rPr>
        <w:t xml:space="preserve">Απογραφής Πληθυσμού και Κατοικιών 2011 στην οποία καταγράφηκαν 840.407 </w:t>
      </w:r>
      <w:r w:rsidR="006B22D9">
        <w:rPr>
          <w:rFonts w:ascii="Verdana" w:hAnsi="Verdana" w:cs="Calibri"/>
          <w:sz w:val="18"/>
          <w:szCs w:val="18"/>
          <w:lang w:val="el-GR"/>
        </w:rPr>
        <w:t>άτομα</w:t>
      </w:r>
      <w:r w:rsidR="0011703F">
        <w:rPr>
          <w:rFonts w:ascii="Verdana" w:hAnsi="Verdana" w:cs="Calibri"/>
          <w:sz w:val="18"/>
          <w:szCs w:val="18"/>
          <w:lang w:val="el-GR"/>
        </w:rPr>
        <w:t xml:space="preserve">, 408.780 άντρες και 431.627 γυναίκες. </w:t>
      </w:r>
    </w:p>
    <w:p w14:paraId="251399E2" w14:textId="77777777" w:rsidR="0011703F" w:rsidRDefault="0011703F" w:rsidP="00F145C3">
      <w:pPr>
        <w:jc w:val="both"/>
        <w:rPr>
          <w:rFonts w:ascii="Verdana" w:hAnsi="Verdana" w:cs="Calibri"/>
          <w:sz w:val="18"/>
          <w:szCs w:val="18"/>
          <w:lang w:val="el-GR"/>
        </w:rPr>
      </w:pPr>
    </w:p>
    <w:p w14:paraId="238963CC" w14:textId="4A142BC3" w:rsidR="0011703F" w:rsidRPr="009D694F" w:rsidRDefault="00842490" w:rsidP="00F145C3">
      <w:pPr>
        <w:jc w:val="both"/>
        <w:rPr>
          <w:rFonts w:ascii="Verdana" w:hAnsi="Verdana" w:cs="Calibri"/>
          <w:sz w:val="18"/>
          <w:szCs w:val="18"/>
          <w:lang w:val="el-GR"/>
        </w:rPr>
      </w:pPr>
      <w:r>
        <w:rPr>
          <w:rFonts w:ascii="Verdana" w:hAnsi="Verdana" w:cs="Calibri"/>
          <w:sz w:val="18"/>
          <w:szCs w:val="18"/>
          <w:lang w:val="el-GR"/>
        </w:rPr>
        <w:t xml:space="preserve">Ποσοστό </w:t>
      </w:r>
      <w:r w:rsidR="0011703F">
        <w:rPr>
          <w:rFonts w:ascii="Verdana" w:hAnsi="Verdana" w:cs="Calibri"/>
          <w:sz w:val="18"/>
          <w:szCs w:val="18"/>
          <w:lang w:val="el-GR"/>
        </w:rPr>
        <w:t xml:space="preserve"> 66,7% του πληθυσμού </w:t>
      </w:r>
      <w:r>
        <w:rPr>
          <w:rFonts w:ascii="Verdana" w:hAnsi="Verdana" w:cs="Calibri"/>
          <w:sz w:val="18"/>
          <w:szCs w:val="18"/>
          <w:lang w:val="el-GR"/>
        </w:rPr>
        <w:t xml:space="preserve">(615.603 άτομα) </w:t>
      </w:r>
      <w:r w:rsidR="0011703F">
        <w:rPr>
          <w:rFonts w:ascii="Verdana" w:hAnsi="Verdana" w:cs="Calibri"/>
          <w:sz w:val="18"/>
          <w:szCs w:val="18"/>
          <w:lang w:val="el-GR"/>
        </w:rPr>
        <w:t xml:space="preserve">που καταγράφηκε διέμενε </w:t>
      </w:r>
      <w:r>
        <w:rPr>
          <w:rFonts w:ascii="Verdana" w:hAnsi="Verdana" w:cs="Calibri"/>
          <w:sz w:val="18"/>
          <w:szCs w:val="18"/>
          <w:lang w:val="el-GR"/>
        </w:rPr>
        <w:t>στις</w:t>
      </w:r>
      <w:r w:rsidR="0011703F">
        <w:rPr>
          <w:rFonts w:ascii="Verdana" w:hAnsi="Verdana" w:cs="Calibri"/>
          <w:sz w:val="18"/>
          <w:szCs w:val="18"/>
          <w:lang w:val="el-GR"/>
        </w:rPr>
        <w:t xml:space="preserve"> αστικές περιοχές, ενώ 33,3% </w:t>
      </w:r>
      <w:r>
        <w:rPr>
          <w:rFonts w:ascii="Verdana" w:hAnsi="Verdana" w:cs="Calibri"/>
          <w:sz w:val="18"/>
          <w:szCs w:val="18"/>
          <w:lang w:val="el-GR"/>
        </w:rPr>
        <w:t xml:space="preserve">(307.778 άτομα) στις </w:t>
      </w:r>
      <w:r w:rsidR="0011703F">
        <w:rPr>
          <w:rFonts w:ascii="Verdana" w:hAnsi="Verdana" w:cs="Calibri"/>
          <w:sz w:val="18"/>
          <w:szCs w:val="18"/>
          <w:lang w:val="el-GR"/>
        </w:rPr>
        <w:t xml:space="preserve"> αγροτικές περιοχές</w:t>
      </w:r>
      <w:r w:rsidR="009D694F">
        <w:rPr>
          <w:rFonts w:ascii="Verdana" w:hAnsi="Verdana" w:cs="Calibri"/>
          <w:sz w:val="18"/>
          <w:szCs w:val="18"/>
          <w:lang w:val="el-GR"/>
        </w:rPr>
        <w:t>.</w:t>
      </w:r>
      <w:r w:rsidR="009D694F" w:rsidRPr="00E701CF">
        <w:rPr>
          <w:lang w:val="el-GR"/>
        </w:rPr>
        <w:t xml:space="preserve"> </w:t>
      </w:r>
      <w:r w:rsidR="009D694F" w:rsidRPr="00E701CF">
        <w:rPr>
          <w:rFonts w:ascii="Verdana" w:hAnsi="Verdana" w:cs="Calibri"/>
          <w:sz w:val="18"/>
          <w:szCs w:val="18"/>
          <w:lang w:val="el-GR"/>
        </w:rPr>
        <w:t>Τα αντίστοιχα ποσοστά της Απογραφής 2011 ήταν 67,4% (566.191) και 32,6% (274.216). Επομένως, ο πληθυσμός δεν παρουσίασε μείωση στο σύνολο των αγροτικών περιοχών, αν και σε απομακρυσμένες ή ορεινές κοινότητες υπήρξε κάποια μείωση στον αριθμό των κατοίκων.</w:t>
      </w:r>
    </w:p>
    <w:p w14:paraId="5E54CC0A" w14:textId="77777777" w:rsidR="0011703F" w:rsidRDefault="0011703F" w:rsidP="00F145C3">
      <w:pPr>
        <w:jc w:val="both"/>
        <w:rPr>
          <w:rFonts w:ascii="Verdana" w:hAnsi="Verdana" w:cs="Calibri"/>
          <w:sz w:val="18"/>
          <w:szCs w:val="18"/>
          <w:lang w:val="el-GR"/>
        </w:rPr>
      </w:pPr>
    </w:p>
    <w:p w14:paraId="702B8F95" w14:textId="270A8E57" w:rsidR="0011703F" w:rsidRDefault="0011703F" w:rsidP="00F145C3">
      <w:pPr>
        <w:jc w:val="both"/>
        <w:rPr>
          <w:rFonts w:ascii="Verdana" w:hAnsi="Verdana" w:cs="Calibri"/>
          <w:sz w:val="18"/>
          <w:szCs w:val="18"/>
          <w:lang w:val="el-GR"/>
        </w:rPr>
      </w:pPr>
      <w:r w:rsidRPr="00664BE6">
        <w:rPr>
          <w:rFonts w:ascii="Verdana" w:hAnsi="Verdana" w:cs="Calibri"/>
          <w:sz w:val="18"/>
          <w:szCs w:val="18"/>
          <w:lang w:val="el-GR"/>
        </w:rPr>
        <w:t xml:space="preserve">Αναλυτικά, η κατανομή του πληθυσμού κατά επαρχία είχε ως εξής: 350.035 </w:t>
      </w:r>
      <w:r w:rsidR="006B22D9" w:rsidRPr="00664BE6">
        <w:rPr>
          <w:rFonts w:ascii="Verdana" w:hAnsi="Verdana" w:cs="Calibri"/>
          <w:sz w:val="18"/>
          <w:szCs w:val="18"/>
          <w:lang w:val="el-GR"/>
        </w:rPr>
        <w:t>άτομα</w:t>
      </w:r>
      <w:r w:rsidRPr="00664BE6">
        <w:rPr>
          <w:rFonts w:ascii="Verdana" w:hAnsi="Verdana" w:cs="Calibri"/>
          <w:sz w:val="18"/>
          <w:szCs w:val="18"/>
          <w:lang w:val="el-GR"/>
        </w:rPr>
        <w:t xml:space="preserve"> ή ποσοστό της τάξης του 37,9% διέμεναν στην επαρχία Λευκωσίας, </w:t>
      </w:r>
      <w:r w:rsidR="00E85247" w:rsidRPr="00664BE6">
        <w:rPr>
          <w:rFonts w:ascii="Verdana" w:hAnsi="Verdana" w:cs="Calibri"/>
          <w:sz w:val="18"/>
          <w:szCs w:val="18"/>
          <w:lang w:val="el-GR"/>
        </w:rPr>
        <w:t xml:space="preserve">262.157 (28,4%) στην επαρχία Λεμεσού, </w:t>
      </w:r>
      <w:r w:rsidRPr="00664BE6">
        <w:rPr>
          <w:rFonts w:ascii="Verdana" w:hAnsi="Verdana" w:cs="Calibri"/>
          <w:sz w:val="18"/>
          <w:szCs w:val="18"/>
          <w:lang w:val="el-GR"/>
        </w:rPr>
        <w:t>155.765 (16,9%) στην επαρχία Λάρνακας,</w:t>
      </w:r>
      <w:r w:rsidR="00E85247" w:rsidRPr="00664BE6">
        <w:rPr>
          <w:rFonts w:ascii="Verdana" w:hAnsi="Verdana" w:cs="Calibri"/>
          <w:sz w:val="18"/>
          <w:szCs w:val="18"/>
          <w:lang w:val="el-GR"/>
        </w:rPr>
        <w:t xml:space="preserve"> </w:t>
      </w:r>
      <w:r w:rsidRPr="00664BE6">
        <w:rPr>
          <w:rFonts w:ascii="Verdana" w:hAnsi="Verdana" w:cs="Calibri"/>
          <w:sz w:val="18"/>
          <w:szCs w:val="18"/>
          <w:lang w:val="el-GR"/>
        </w:rPr>
        <w:t>101.106 (10,9%) στην επαρχία Πάφου</w:t>
      </w:r>
      <w:r w:rsidR="00E85247" w:rsidRPr="00664BE6">
        <w:rPr>
          <w:rFonts w:ascii="Verdana" w:hAnsi="Verdana" w:cs="Calibri"/>
          <w:sz w:val="18"/>
          <w:szCs w:val="18"/>
          <w:lang w:val="el-GR"/>
        </w:rPr>
        <w:t xml:space="preserve"> και 54.318 (5,9%) στην επαρχία Αμμοχώστου</w:t>
      </w:r>
      <w:r w:rsidRPr="00664BE6">
        <w:rPr>
          <w:rFonts w:ascii="Verdana" w:hAnsi="Verdana" w:cs="Calibri"/>
          <w:sz w:val="18"/>
          <w:szCs w:val="18"/>
          <w:lang w:val="el-GR"/>
        </w:rPr>
        <w:t xml:space="preserve">. </w:t>
      </w:r>
    </w:p>
    <w:p w14:paraId="69657B59" w14:textId="77777777" w:rsidR="00E13730" w:rsidRDefault="00E13730" w:rsidP="009F3D3E">
      <w:pPr>
        <w:ind w:right="-1"/>
        <w:jc w:val="both"/>
        <w:rPr>
          <w:rFonts w:ascii="Verdana" w:hAnsi="Verdana" w:cs="Calibri"/>
          <w:sz w:val="18"/>
          <w:szCs w:val="18"/>
          <w:lang w:val="el-GR"/>
        </w:rPr>
      </w:pPr>
    </w:p>
    <w:p w14:paraId="4B40EE51" w14:textId="4E56B1B1" w:rsidR="003F2D40" w:rsidRPr="00AA74DD" w:rsidRDefault="00AA74DD" w:rsidP="00942F94">
      <w:pPr>
        <w:ind w:right="-1"/>
        <w:jc w:val="center"/>
        <w:rPr>
          <w:rFonts w:ascii="Verdana" w:hAnsi="Verdana" w:cs="Calibri"/>
          <w:sz w:val="18"/>
          <w:szCs w:val="18"/>
          <w:lang w:val="el-GR"/>
        </w:rPr>
      </w:pPr>
      <w:r>
        <w:rPr>
          <w:rFonts w:ascii="Verdana" w:hAnsi="Verdana" w:cs="Calibri"/>
          <w:noProof/>
          <w:sz w:val="18"/>
          <w:szCs w:val="18"/>
          <w:lang w:val="el-GR"/>
        </w:rPr>
        <w:drawing>
          <wp:inline distT="0" distB="0" distL="0" distR="0" wp14:anchorId="0BF27107" wp14:editId="1D7FE3E6">
            <wp:extent cx="6066155" cy="2719070"/>
            <wp:effectExtent l="0" t="0" r="0" b="5080"/>
            <wp:docPr id="208975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6155" cy="2719070"/>
                    </a:xfrm>
                    <a:prstGeom prst="rect">
                      <a:avLst/>
                    </a:prstGeom>
                    <a:noFill/>
                  </pic:spPr>
                </pic:pic>
              </a:graphicData>
            </a:graphic>
          </wp:inline>
        </w:drawing>
      </w:r>
    </w:p>
    <w:p w14:paraId="52E0D3CA" w14:textId="77777777" w:rsidR="00196350" w:rsidRDefault="00196350" w:rsidP="009F3D3E">
      <w:pPr>
        <w:ind w:right="-1"/>
        <w:jc w:val="both"/>
        <w:rPr>
          <w:rFonts w:ascii="Verdana" w:hAnsi="Verdana" w:cs="Calibri"/>
          <w:sz w:val="18"/>
          <w:szCs w:val="18"/>
          <w:lang w:val="el-GR"/>
        </w:rPr>
      </w:pPr>
    </w:p>
    <w:p w14:paraId="639C1B0B" w14:textId="2B436162" w:rsidR="00672729" w:rsidRPr="00F145C3" w:rsidRDefault="00E13730" w:rsidP="00F145C3">
      <w:pPr>
        <w:jc w:val="both"/>
        <w:rPr>
          <w:rFonts w:ascii="Verdana" w:hAnsi="Verdana" w:cs="Calibri"/>
          <w:sz w:val="18"/>
          <w:szCs w:val="18"/>
          <w:lang w:val="el-GR"/>
        </w:rPr>
      </w:pPr>
      <w:r w:rsidRPr="00F145C3">
        <w:rPr>
          <w:rFonts w:ascii="Verdana" w:hAnsi="Verdana" w:cs="Calibri"/>
          <w:sz w:val="18"/>
          <w:szCs w:val="18"/>
          <w:lang w:val="el-GR"/>
        </w:rPr>
        <w:t>Συγκριτικά με τα αποτελέσματα της Απογραφής του 2011, η μεγαλύτερη ποσοστιαία αύξηση στον πληθυσμό (16,</w:t>
      </w:r>
      <w:r w:rsidR="004F6B1C" w:rsidRPr="00F145C3">
        <w:rPr>
          <w:rFonts w:ascii="Verdana" w:hAnsi="Verdana" w:cs="Calibri"/>
          <w:sz w:val="18"/>
          <w:szCs w:val="18"/>
          <w:lang w:val="el-GR"/>
        </w:rPr>
        <w:t>5</w:t>
      </w:r>
      <w:r w:rsidRPr="00F145C3">
        <w:rPr>
          <w:rFonts w:ascii="Verdana" w:hAnsi="Verdana" w:cs="Calibri"/>
          <w:sz w:val="18"/>
          <w:szCs w:val="18"/>
          <w:lang w:val="el-GR"/>
        </w:rPr>
        <w:t>%), παρουσιάζεται στην επαρχία Αμμοχώστου</w:t>
      </w:r>
      <w:r w:rsidR="004F6B1C" w:rsidRPr="00F145C3">
        <w:rPr>
          <w:rFonts w:ascii="Verdana" w:hAnsi="Verdana" w:cs="Calibri"/>
          <w:sz w:val="18"/>
          <w:szCs w:val="18"/>
          <w:lang w:val="el-GR"/>
        </w:rPr>
        <w:t xml:space="preserve"> και ακολουθούν οι επαρχίες Πάφου (14,5%) και Λεμεσού (11,4%). </w:t>
      </w:r>
    </w:p>
    <w:p w14:paraId="2B7965AC" w14:textId="77777777" w:rsidR="00672729" w:rsidRPr="00F145C3" w:rsidRDefault="00672729" w:rsidP="009F3D3E">
      <w:pPr>
        <w:ind w:right="-1"/>
        <w:jc w:val="both"/>
        <w:rPr>
          <w:rFonts w:ascii="Verdana" w:hAnsi="Verdana" w:cs="Calibri"/>
          <w:sz w:val="18"/>
          <w:szCs w:val="18"/>
          <w:lang w:val="el-GR"/>
        </w:rPr>
      </w:pPr>
    </w:p>
    <w:tbl>
      <w:tblPr>
        <w:tblW w:w="7925" w:type="dxa"/>
        <w:jc w:val="center"/>
        <w:tblLook w:val="04A0" w:firstRow="1" w:lastRow="0" w:firstColumn="1" w:lastColumn="0" w:noHBand="0" w:noVBand="1"/>
      </w:tblPr>
      <w:tblGrid>
        <w:gridCol w:w="1981"/>
        <w:gridCol w:w="1981"/>
        <w:gridCol w:w="1981"/>
        <w:gridCol w:w="1982"/>
      </w:tblGrid>
      <w:tr w:rsidR="00896C4A" w:rsidRPr="00F145C3" w14:paraId="26CA11B9" w14:textId="77777777" w:rsidTr="00896C4A">
        <w:trPr>
          <w:trHeight w:val="297"/>
          <w:jc w:val="center"/>
        </w:trPr>
        <w:tc>
          <w:tcPr>
            <w:tcW w:w="1981" w:type="dxa"/>
            <w:tcBorders>
              <w:top w:val="nil"/>
              <w:left w:val="nil"/>
              <w:bottom w:val="single" w:sz="8" w:space="0" w:color="2F5496"/>
              <w:right w:val="nil"/>
            </w:tcBorders>
            <w:shd w:val="clear" w:color="auto" w:fill="auto"/>
            <w:vAlign w:val="center"/>
            <w:hideMark/>
          </w:tcPr>
          <w:p w14:paraId="69018307" w14:textId="77777777" w:rsidR="00AD561B" w:rsidRPr="00F145C3" w:rsidRDefault="00AD561B" w:rsidP="00AD561B">
            <w:pPr>
              <w:rPr>
                <w:rFonts w:ascii="Verdana" w:eastAsia="Times New Roman" w:hAnsi="Verdana" w:cs="Calibri"/>
                <w:b/>
                <w:bCs/>
                <w:color w:val="2F5496" w:themeColor="accent1" w:themeShade="BF"/>
                <w:sz w:val="18"/>
                <w:szCs w:val="18"/>
              </w:rPr>
            </w:pPr>
            <w:proofErr w:type="spellStart"/>
            <w:r w:rsidRPr="00F145C3">
              <w:rPr>
                <w:rFonts w:ascii="Verdana" w:eastAsia="Times New Roman" w:hAnsi="Verdana" w:cs="Calibri"/>
                <w:b/>
                <w:bCs/>
                <w:color w:val="2F5496" w:themeColor="accent1" w:themeShade="BF"/>
                <w:sz w:val="18"/>
                <w:szCs w:val="18"/>
              </w:rPr>
              <w:t>Πίν</w:t>
            </w:r>
            <w:proofErr w:type="spellEnd"/>
            <w:r w:rsidRPr="00F145C3">
              <w:rPr>
                <w:rFonts w:ascii="Verdana" w:eastAsia="Times New Roman" w:hAnsi="Verdana" w:cs="Calibri"/>
                <w:b/>
                <w:bCs/>
                <w:color w:val="2F5496" w:themeColor="accent1" w:themeShade="BF"/>
                <w:sz w:val="18"/>
                <w:szCs w:val="18"/>
              </w:rPr>
              <w:t>ακας 1</w:t>
            </w:r>
          </w:p>
        </w:tc>
        <w:tc>
          <w:tcPr>
            <w:tcW w:w="1981" w:type="dxa"/>
            <w:tcBorders>
              <w:top w:val="nil"/>
              <w:left w:val="nil"/>
              <w:bottom w:val="single" w:sz="8" w:space="0" w:color="2F5496"/>
              <w:right w:val="nil"/>
            </w:tcBorders>
            <w:shd w:val="clear" w:color="auto" w:fill="auto"/>
            <w:vAlign w:val="center"/>
            <w:hideMark/>
          </w:tcPr>
          <w:p w14:paraId="7A0C8492" w14:textId="77777777" w:rsidR="00AD561B" w:rsidRPr="00F145C3" w:rsidRDefault="00AD561B" w:rsidP="00AD561B">
            <w:pPr>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 </w:t>
            </w:r>
          </w:p>
        </w:tc>
        <w:tc>
          <w:tcPr>
            <w:tcW w:w="1981" w:type="dxa"/>
            <w:tcBorders>
              <w:top w:val="nil"/>
              <w:left w:val="nil"/>
              <w:bottom w:val="single" w:sz="8" w:space="0" w:color="2F5496"/>
              <w:right w:val="nil"/>
            </w:tcBorders>
            <w:shd w:val="clear" w:color="auto" w:fill="auto"/>
            <w:vAlign w:val="center"/>
            <w:hideMark/>
          </w:tcPr>
          <w:p w14:paraId="4D46DDDC" w14:textId="77777777" w:rsidR="00AD561B" w:rsidRPr="00F145C3" w:rsidRDefault="00AD561B" w:rsidP="00AD561B">
            <w:pPr>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 </w:t>
            </w:r>
          </w:p>
        </w:tc>
        <w:tc>
          <w:tcPr>
            <w:tcW w:w="1981" w:type="dxa"/>
            <w:tcBorders>
              <w:top w:val="nil"/>
              <w:left w:val="nil"/>
              <w:bottom w:val="single" w:sz="8" w:space="0" w:color="2F5496"/>
              <w:right w:val="nil"/>
            </w:tcBorders>
            <w:shd w:val="clear" w:color="auto" w:fill="auto"/>
            <w:vAlign w:val="center"/>
            <w:hideMark/>
          </w:tcPr>
          <w:p w14:paraId="32BA0E79" w14:textId="77777777" w:rsidR="00AD561B" w:rsidRPr="00F145C3" w:rsidRDefault="00AD561B" w:rsidP="00AD561B">
            <w:pPr>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 </w:t>
            </w:r>
          </w:p>
        </w:tc>
      </w:tr>
      <w:tr w:rsidR="00896C4A" w:rsidRPr="00F145C3" w14:paraId="2DDEA462" w14:textId="77777777" w:rsidTr="00896C4A">
        <w:trPr>
          <w:trHeight w:val="297"/>
          <w:jc w:val="center"/>
        </w:trPr>
        <w:tc>
          <w:tcPr>
            <w:tcW w:w="1981" w:type="dxa"/>
            <w:vMerge w:val="restart"/>
            <w:tcBorders>
              <w:top w:val="nil"/>
              <w:left w:val="nil"/>
              <w:bottom w:val="single" w:sz="8" w:space="0" w:color="2F5496"/>
              <w:right w:val="nil"/>
            </w:tcBorders>
            <w:shd w:val="clear" w:color="auto" w:fill="auto"/>
            <w:vAlign w:val="center"/>
            <w:hideMark/>
          </w:tcPr>
          <w:p w14:paraId="3116B0E9" w14:textId="77777777" w:rsidR="00AD561B" w:rsidRPr="00F145C3" w:rsidRDefault="00AD561B" w:rsidP="00AD561B">
            <w:pPr>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Επα</w:t>
            </w:r>
            <w:proofErr w:type="spellStart"/>
            <w:r w:rsidRPr="00F145C3">
              <w:rPr>
                <w:rFonts w:ascii="Verdana" w:eastAsia="Times New Roman" w:hAnsi="Verdana" w:cs="Calibri"/>
                <w:b/>
                <w:bCs/>
                <w:color w:val="2F5496" w:themeColor="accent1" w:themeShade="BF"/>
                <w:sz w:val="18"/>
                <w:szCs w:val="18"/>
              </w:rPr>
              <w:t>ρχί</w:t>
            </w:r>
            <w:proofErr w:type="spellEnd"/>
            <w:r w:rsidRPr="00F145C3">
              <w:rPr>
                <w:rFonts w:ascii="Verdana" w:eastAsia="Times New Roman" w:hAnsi="Verdana" w:cs="Calibri"/>
                <w:b/>
                <w:bCs/>
                <w:color w:val="2F5496" w:themeColor="accent1" w:themeShade="BF"/>
                <w:sz w:val="18"/>
                <w:szCs w:val="18"/>
              </w:rPr>
              <w:t>α</w:t>
            </w:r>
          </w:p>
        </w:tc>
        <w:tc>
          <w:tcPr>
            <w:tcW w:w="5944" w:type="dxa"/>
            <w:gridSpan w:val="3"/>
            <w:tcBorders>
              <w:top w:val="single" w:sz="8" w:space="0" w:color="2F5496"/>
              <w:left w:val="nil"/>
              <w:bottom w:val="single" w:sz="8" w:space="0" w:color="2F5496"/>
              <w:right w:val="nil"/>
            </w:tcBorders>
            <w:shd w:val="clear" w:color="auto" w:fill="auto"/>
            <w:vAlign w:val="center"/>
            <w:hideMark/>
          </w:tcPr>
          <w:p w14:paraId="4E8DB828" w14:textId="77777777" w:rsidR="00AD561B" w:rsidRPr="00F145C3" w:rsidRDefault="00AD561B" w:rsidP="00AD561B">
            <w:pPr>
              <w:jc w:val="center"/>
              <w:rPr>
                <w:rFonts w:ascii="Verdana" w:eastAsia="Times New Roman" w:hAnsi="Verdana" w:cs="Calibri"/>
                <w:b/>
                <w:bCs/>
                <w:color w:val="2F5496" w:themeColor="accent1" w:themeShade="BF"/>
                <w:sz w:val="18"/>
                <w:szCs w:val="18"/>
              </w:rPr>
            </w:pPr>
            <w:proofErr w:type="spellStart"/>
            <w:r w:rsidRPr="00F145C3">
              <w:rPr>
                <w:rFonts w:ascii="Verdana" w:eastAsia="Times New Roman" w:hAnsi="Verdana" w:cs="Calibri"/>
                <w:b/>
                <w:bCs/>
                <w:color w:val="2F5496" w:themeColor="accent1" w:themeShade="BF"/>
                <w:sz w:val="18"/>
                <w:szCs w:val="18"/>
              </w:rPr>
              <w:t>Πληθυσμός</w:t>
            </w:r>
            <w:proofErr w:type="spellEnd"/>
          </w:p>
        </w:tc>
      </w:tr>
      <w:tr w:rsidR="00896C4A" w:rsidRPr="00F145C3" w14:paraId="1DB33000" w14:textId="77777777" w:rsidTr="00896C4A">
        <w:trPr>
          <w:trHeight w:val="464"/>
          <w:jc w:val="center"/>
        </w:trPr>
        <w:tc>
          <w:tcPr>
            <w:tcW w:w="1981" w:type="dxa"/>
            <w:vMerge/>
            <w:tcBorders>
              <w:top w:val="nil"/>
              <w:left w:val="nil"/>
              <w:bottom w:val="single" w:sz="8" w:space="0" w:color="2F5496"/>
              <w:right w:val="nil"/>
            </w:tcBorders>
            <w:vAlign w:val="center"/>
            <w:hideMark/>
          </w:tcPr>
          <w:p w14:paraId="515512E0" w14:textId="77777777" w:rsidR="00AD561B" w:rsidRPr="00F145C3" w:rsidRDefault="00AD561B" w:rsidP="00AD561B">
            <w:pPr>
              <w:rPr>
                <w:rFonts w:ascii="Verdana" w:eastAsia="Times New Roman" w:hAnsi="Verdana" w:cs="Calibri"/>
                <w:b/>
                <w:bCs/>
                <w:color w:val="2F5496" w:themeColor="accent1" w:themeShade="BF"/>
                <w:sz w:val="18"/>
                <w:szCs w:val="18"/>
              </w:rPr>
            </w:pPr>
          </w:p>
        </w:tc>
        <w:tc>
          <w:tcPr>
            <w:tcW w:w="1981" w:type="dxa"/>
            <w:tcBorders>
              <w:top w:val="nil"/>
              <w:left w:val="nil"/>
              <w:bottom w:val="single" w:sz="8" w:space="0" w:color="2F5496"/>
              <w:right w:val="nil"/>
            </w:tcBorders>
            <w:shd w:val="clear" w:color="auto" w:fill="auto"/>
            <w:vAlign w:val="center"/>
            <w:hideMark/>
          </w:tcPr>
          <w:p w14:paraId="47C1FBF5" w14:textId="074918B2" w:rsidR="00AD561B" w:rsidRPr="00F145C3" w:rsidRDefault="00AD561B" w:rsidP="00AD561B">
            <w:pPr>
              <w:jc w:val="center"/>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1</w:t>
            </w:r>
            <w:r w:rsidR="001B75A6" w:rsidRPr="00F145C3">
              <w:rPr>
                <w:rFonts w:ascii="Verdana" w:eastAsia="Times New Roman" w:hAnsi="Verdana" w:cs="Calibri"/>
                <w:b/>
                <w:bCs/>
                <w:color w:val="2F5496" w:themeColor="accent1" w:themeShade="BF"/>
                <w:sz w:val="18"/>
                <w:szCs w:val="18"/>
                <w:lang w:val="el-GR"/>
              </w:rPr>
              <w:t>.</w:t>
            </w:r>
            <w:r w:rsidRPr="00F145C3">
              <w:rPr>
                <w:rFonts w:ascii="Verdana" w:eastAsia="Times New Roman" w:hAnsi="Verdana" w:cs="Calibri"/>
                <w:b/>
                <w:bCs/>
                <w:color w:val="2F5496" w:themeColor="accent1" w:themeShade="BF"/>
                <w:sz w:val="18"/>
                <w:szCs w:val="18"/>
              </w:rPr>
              <w:t>10</w:t>
            </w:r>
            <w:r w:rsidR="001B75A6" w:rsidRPr="00F145C3">
              <w:rPr>
                <w:rFonts w:ascii="Verdana" w:eastAsia="Times New Roman" w:hAnsi="Verdana" w:cs="Calibri"/>
                <w:b/>
                <w:bCs/>
                <w:color w:val="2F5496" w:themeColor="accent1" w:themeShade="BF"/>
                <w:sz w:val="18"/>
                <w:szCs w:val="18"/>
                <w:lang w:val="el-GR"/>
              </w:rPr>
              <w:t>.</w:t>
            </w:r>
            <w:r w:rsidRPr="00F145C3">
              <w:rPr>
                <w:rFonts w:ascii="Verdana" w:eastAsia="Times New Roman" w:hAnsi="Verdana" w:cs="Calibri"/>
                <w:b/>
                <w:bCs/>
                <w:color w:val="2F5496" w:themeColor="accent1" w:themeShade="BF"/>
                <w:sz w:val="18"/>
                <w:szCs w:val="18"/>
              </w:rPr>
              <w:t>2021</w:t>
            </w:r>
          </w:p>
        </w:tc>
        <w:tc>
          <w:tcPr>
            <w:tcW w:w="1981" w:type="dxa"/>
            <w:tcBorders>
              <w:top w:val="nil"/>
              <w:left w:val="nil"/>
              <w:bottom w:val="single" w:sz="8" w:space="0" w:color="2F5496"/>
              <w:right w:val="nil"/>
            </w:tcBorders>
            <w:shd w:val="clear" w:color="auto" w:fill="auto"/>
            <w:vAlign w:val="center"/>
            <w:hideMark/>
          </w:tcPr>
          <w:p w14:paraId="77EBC503" w14:textId="2F262FE6" w:rsidR="00AD561B" w:rsidRPr="00F145C3" w:rsidRDefault="00AD561B" w:rsidP="00AD561B">
            <w:pPr>
              <w:jc w:val="center"/>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1</w:t>
            </w:r>
            <w:r w:rsidR="001B75A6" w:rsidRPr="00F145C3">
              <w:rPr>
                <w:rFonts w:ascii="Verdana" w:eastAsia="Times New Roman" w:hAnsi="Verdana" w:cs="Calibri"/>
                <w:b/>
                <w:bCs/>
                <w:color w:val="2F5496" w:themeColor="accent1" w:themeShade="BF"/>
                <w:sz w:val="18"/>
                <w:szCs w:val="18"/>
                <w:lang w:val="el-GR"/>
              </w:rPr>
              <w:t>.</w:t>
            </w:r>
            <w:r w:rsidRPr="00F145C3">
              <w:rPr>
                <w:rFonts w:ascii="Verdana" w:eastAsia="Times New Roman" w:hAnsi="Verdana" w:cs="Calibri"/>
                <w:b/>
                <w:bCs/>
                <w:color w:val="2F5496" w:themeColor="accent1" w:themeShade="BF"/>
                <w:sz w:val="18"/>
                <w:szCs w:val="18"/>
              </w:rPr>
              <w:t>10</w:t>
            </w:r>
            <w:r w:rsidR="001B75A6" w:rsidRPr="00F145C3">
              <w:rPr>
                <w:rFonts w:ascii="Verdana" w:eastAsia="Times New Roman" w:hAnsi="Verdana" w:cs="Calibri"/>
                <w:b/>
                <w:bCs/>
                <w:color w:val="2F5496" w:themeColor="accent1" w:themeShade="BF"/>
                <w:sz w:val="18"/>
                <w:szCs w:val="18"/>
                <w:lang w:val="el-GR"/>
              </w:rPr>
              <w:t>.</w:t>
            </w:r>
            <w:r w:rsidRPr="00F145C3">
              <w:rPr>
                <w:rFonts w:ascii="Verdana" w:eastAsia="Times New Roman" w:hAnsi="Verdana" w:cs="Calibri"/>
                <w:b/>
                <w:bCs/>
                <w:color w:val="2F5496" w:themeColor="accent1" w:themeShade="BF"/>
                <w:sz w:val="18"/>
                <w:szCs w:val="18"/>
              </w:rPr>
              <w:t>2011</w:t>
            </w:r>
          </w:p>
        </w:tc>
        <w:tc>
          <w:tcPr>
            <w:tcW w:w="1981" w:type="dxa"/>
            <w:tcBorders>
              <w:top w:val="nil"/>
              <w:left w:val="nil"/>
              <w:bottom w:val="single" w:sz="8" w:space="0" w:color="2F5496"/>
              <w:right w:val="nil"/>
            </w:tcBorders>
            <w:shd w:val="clear" w:color="auto" w:fill="auto"/>
            <w:vAlign w:val="center"/>
            <w:hideMark/>
          </w:tcPr>
          <w:p w14:paraId="2AF1EA38" w14:textId="77777777" w:rsidR="00AD561B" w:rsidRPr="00F145C3" w:rsidRDefault="00AD561B" w:rsidP="00AD561B">
            <w:pPr>
              <w:jc w:val="center"/>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 xml:space="preserve">% </w:t>
            </w:r>
            <w:proofErr w:type="spellStart"/>
            <w:r w:rsidRPr="00F145C3">
              <w:rPr>
                <w:rFonts w:ascii="Verdana" w:eastAsia="Times New Roman" w:hAnsi="Verdana" w:cs="Calibri"/>
                <w:b/>
                <w:bCs/>
                <w:color w:val="2F5496" w:themeColor="accent1" w:themeShade="BF"/>
                <w:sz w:val="18"/>
                <w:szCs w:val="18"/>
              </w:rPr>
              <w:t>Αύξησης</w:t>
            </w:r>
            <w:proofErr w:type="spellEnd"/>
            <w:r w:rsidRPr="00F145C3">
              <w:rPr>
                <w:rFonts w:ascii="Verdana" w:eastAsia="Times New Roman" w:hAnsi="Verdana" w:cs="Calibri"/>
                <w:b/>
                <w:bCs/>
                <w:color w:val="2F5496" w:themeColor="accent1" w:themeShade="BF"/>
                <w:sz w:val="18"/>
                <w:szCs w:val="18"/>
              </w:rPr>
              <w:t xml:space="preserve"> 2021/2011</w:t>
            </w:r>
          </w:p>
        </w:tc>
      </w:tr>
      <w:tr w:rsidR="00896C4A" w:rsidRPr="00F145C3" w14:paraId="6660DA9D" w14:textId="77777777" w:rsidTr="00896C4A">
        <w:trPr>
          <w:trHeight w:val="285"/>
          <w:jc w:val="center"/>
        </w:trPr>
        <w:tc>
          <w:tcPr>
            <w:tcW w:w="1981" w:type="dxa"/>
            <w:tcBorders>
              <w:top w:val="nil"/>
              <w:left w:val="nil"/>
              <w:bottom w:val="nil"/>
              <w:right w:val="nil"/>
            </w:tcBorders>
            <w:shd w:val="clear" w:color="auto" w:fill="auto"/>
            <w:vAlign w:val="center"/>
            <w:hideMark/>
          </w:tcPr>
          <w:p w14:paraId="7E4538AD" w14:textId="77777777" w:rsidR="00AD561B" w:rsidRPr="00F145C3" w:rsidRDefault="00AD561B" w:rsidP="00AD561B">
            <w:pPr>
              <w:rPr>
                <w:rFonts w:ascii="Verdana" w:eastAsia="Times New Roman" w:hAnsi="Verdana" w:cs="Calibri"/>
                <w:color w:val="2F5496" w:themeColor="accent1" w:themeShade="BF"/>
                <w:sz w:val="18"/>
                <w:szCs w:val="18"/>
              </w:rPr>
            </w:pPr>
            <w:proofErr w:type="spellStart"/>
            <w:r w:rsidRPr="00F145C3">
              <w:rPr>
                <w:rFonts w:ascii="Verdana" w:eastAsia="Times New Roman" w:hAnsi="Verdana" w:cs="Calibri"/>
                <w:color w:val="2F5496" w:themeColor="accent1" w:themeShade="BF"/>
                <w:sz w:val="18"/>
                <w:szCs w:val="18"/>
              </w:rPr>
              <w:t>Λευκωσί</w:t>
            </w:r>
            <w:proofErr w:type="spellEnd"/>
            <w:r w:rsidRPr="00F145C3">
              <w:rPr>
                <w:rFonts w:ascii="Verdana" w:eastAsia="Times New Roman" w:hAnsi="Verdana" w:cs="Calibri"/>
                <w:color w:val="2F5496" w:themeColor="accent1" w:themeShade="BF"/>
                <w:sz w:val="18"/>
                <w:szCs w:val="18"/>
              </w:rPr>
              <w:t>α</w:t>
            </w:r>
          </w:p>
        </w:tc>
        <w:tc>
          <w:tcPr>
            <w:tcW w:w="1981" w:type="dxa"/>
            <w:tcBorders>
              <w:top w:val="nil"/>
              <w:left w:val="nil"/>
              <w:bottom w:val="nil"/>
              <w:right w:val="nil"/>
            </w:tcBorders>
            <w:shd w:val="clear" w:color="auto" w:fill="auto"/>
            <w:vAlign w:val="center"/>
            <w:hideMark/>
          </w:tcPr>
          <w:p w14:paraId="409C4C65" w14:textId="77777777" w:rsidR="00AD561B" w:rsidRPr="00F145C3" w:rsidRDefault="00AD561B" w:rsidP="00896C4A">
            <w:pPr>
              <w:ind w:right="454"/>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350.035</w:t>
            </w:r>
          </w:p>
        </w:tc>
        <w:tc>
          <w:tcPr>
            <w:tcW w:w="1981" w:type="dxa"/>
            <w:tcBorders>
              <w:top w:val="nil"/>
              <w:left w:val="nil"/>
              <w:bottom w:val="nil"/>
              <w:right w:val="nil"/>
            </w:tcBorders>
            <w:shd w:val="clear" w:color="auto" w:fill="auto"/>
            <w:vAlign w:val="center"/>
            <w:hideMark/>
          </w:tcPr>
          <w:p w14:paraId="472B88CC" w14:textId="77777777" w:rsidR="00AD561B" w:rsidRPr="00F145C3" w:rsidRDefault="00AD561B" w:rsidP="00896C4A">
            <w:pPr>
              <w:ind w:right="454"/>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326.980</w:t>
            </w:r>
          </w:p>
        </w:tc>
        <w:tc>
          <w:tcPr>
            <w:tcW w:w="1981" w:type="dxa"/>
            <w:tcBorders>
              <w:top w:val="nil"/>
              <w:left w:val="nil"/>
              <w:bottom w:val="nil"/>
              <w:right w:val="nil"/>
            </w:tcBorders>
            <w:shd w:val="clear" w:color="auto" w:fill="auto"/>
            <w:vAlign w:val="center"/>
            <w:hideMark/>
          </w:tcPr>
          <w:p w14:paraId="6C2BC63C" w14:textId="77777777" w:rsidR="00AD561B" w:rsidRPr="00F145C3" w:rsidRDefault="00AD561B" w:rsidP="00896C4A">
            <w:pPr>
              <w:ind w:right="624"/>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7,1</w:t>
            </w:r>
          </w:p>
        </w:tc>
      </w:tr>
      <w:tr w:rsidR="00896C4A" w:rsidRPr="00F145C3" w14:paraId="245AA615" w14:textId="77777777" w:rsidTr="00896C4A">
        <w:trPr>
          <w:trHeight w:val="297"/>
          <w:jc w:val="center"/>
        </w:trPr>
        <w:tc>
          <w:tcPr>
            <w:tcW w:w="1981" w:type="dxa"/>
            <w:tcBorders>
              <w:top w:val="nil"/>
              <w:left w:val="nil"/>
              <w:bottom w:val="nil"/>
              <w:right w:val="nil"/>
            </w:tcBorders>
            <w:shd w:val="clear" w:color="auto" w:fill="auto"/>
            <w:vAlign w:val="center"/>
            <w:hideMark/>
          </w:tcPr>
          <w:p w14:paraId="2CAFABC0" w14:textId="77777777" w:rsidR="00AD561B" w:rsidRPr="00F145C3" w:rsidRDefault="00AD561B" w:rsidP="00AD561B">
            <w:pPr>
              <w:rPr>
                <w:rFonts w:ascii="Verdana" w:eastAsia="Times New Roman" w:hAnsi="Verdana" w:cs="Calibri"/>
                <w:color w:val="2F5496" w:themeColor="accent1" w:themeShade="BF"/>
                <w:sz w:val="18"/>
                <w:szCs w:val="18"/>
              </w:rPr>
            </w:pPr>
            <w:proofErr w:type="spellStart"/>
            <w:r w:rsidRPr="00F145C3">
              <w:rPr>
                <w:rFonts w:ascii="Verdana" w:eastAsia="Times New Roman" w:hAnsi="Verdana" w:cs="Calibri"/>
                <w:color w:val="2F5496" w:themeColor="accent1" w:themeShade="BF"/>
                <w:sz w:val="18"/>
                <w:szCs w:val="18"/>
              </w:rPr>
              <w:t>Αμμόχωστος</w:t>
            </w:r>
            <w:proofErr w:type="spellEnd"/>
          </w:p>
        </w:tc>
        <w:tc>
          <w:tcPr>
            <w:tcW w:w="1981" w:type="dxa"/>
            <w:tcBorders>
              <w:top w:val="nil"/>
              <w:left w:val="nil"/>
              <w:bottom w:val="nil"/>
              <w:right w:val="nil"/>
            </w:tcBorders>
            <w:shd w:val="clear" w:color="auto" w:fill="auto"/>
            <w:vAlign w:val="center"/>
            <w:hideMark/>
          </w:tcPr>
          <w:p w14:paraId="6A5CC21C" w14:textId="77777777" w:rsidR="00AD561B" w:rsidRPr="00F145C3" w:rsidRDefault="00AD561B" w:rsidP="00896C4A">
            <w:pPr>
              <w:ind w:right="454"/>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54.318</w:t>
            </w:r>
          </w:p>
        </w:tc>
        <w:tc>
          <w:tcPr>
            <w:tcW w:w="1981" w:type="dxa"/>
            <w:tcBorders>
              <w:top w:val="nil"/>
              <w:left w:val="nil"/>
              <w:bottom w:val="nil"/>
              <w:right w:val="nil"/>
            </w:tcBorders>
            <w:shd w:val="clear" w:color="auto" w:fill="auto"/>
            <w:vAlign w:val="center"/>
            <w:hideMark/>
          </w:tcPr>
          <w:p w14:paraId="038F9274" w14:textId="77777777" w:rsidR="00AD561B" w:rsidRPr="00F145C3" w:rsidRDefault="00AD561B" w:rsidP="00896C4A">
            <w:pPr>
              <w:ind w:right="454"/>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46.629</w:t>
            </w:r>
          </w:p>
        </w:tc>
        <w:tc>
          <w:tcPr>
            <w:tcW w:w="1981" w:type="dxa"/>
            <w:tcBorders>
              <w:top w:val="nil"/>
              <w:left w:val="nil"/>
              <w:bottom w:val="nil"/>
              <w:right w:val="nil"/>
            </w:tcBorders>
            <w:shd w:val="clear" w:color="auto" w:fill="auto"/>
            <w:vAlign w:val="center"/>
            <w:hideMark/>
          </w:tcPr>
          <w:p w14:paraId="35F21D4B" w14:textId="77777777" w:rsidR="00AD561B" w:rsidRPr="00F145C3" w:rsidRDefault="00AD561B" w:rsidP="00896C4A">
            <w:pPr>
              <w:ind w:right="624"/>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16,5</w:t>
            </w:r>
          </w:p>
        </w:tc>
      </w:tr>
      <w:tr w:rsidR="00896C4A" w:rsidRPr="00F145C3" w14:paraId="17BB39E4" w14:textId="77777777" w:rsidTr="00896C4A">
        <w:trPr>
          <w:trHeight w:val="285"/>
          <w:jc w:val="center"/>
        </w:trPr>
        <w:tc>
          <w:tcPr>
            <w:tcW w:w="1981" w:type="dxa"/>
            <w:tcBorders>
              <w:top w:val="nil"/>
              <w:left w:val="nil"/>
              <w:bottom w:val="nil"/>
              <w:right w:val="nil"/>
            </w:tcBorders>
            <w:shd w:val="clear" w:color="auto" w:fill="auto"/>
            <w:vAlign w:val="center"/>
            <w:hideMark/>
          </w:tcPr>
          <w:p w14:paraId="44A23351" w14:textId="77777777" w:rsidR="00AD561B" w:rsidRPr="00F145C3" w:rsidRDefault="00AD561B" w:rsidP="00AD561B">
            <w:pPr>
              <w:rPr>
                <w:rFonts w:ascii="Verdana" w:eastAsia="Times New Roman" w:hAnsi="Verdana" w:cs="Calibri"/>
                <w:color w:val="2F5496" w:themeColor="accent1" w:themeShade="BF"/>
                <w:sz w:val="18"/>
                <w:szCs w:val="18"/>
              </w:rPr>
            </w:pPr>
            <w:proofErr w:type="spellStart"/>
            <w:r w:rsidRPr="00F145C3">
              <w:rPr>
                <w:rFonts w:ascii="Verdana" w:eastAsia="Times New Roman" w:hAnsi="Verdana" w:cs="Calibri"/>
                <w:color w:val="2F5496" w:themeColor="accent1" w:themeShade="BF"/>
                <w:sz w:val="18"/>
                <w:szCs w:val="18"/>
              </w:rPr>
              <w:t>Λάρν</w:t>
            </w:r>
            <w:proofErr w:type="spellEnd"/>
            <w:r w:rsidRPr="00F145C3">
              <w:rPr>
                <w:rFonts w:ascii="Verdana" w:eastAsia="Times New Roman" w:hAnsi="Verdana" w:cs="Calibri"/>
                <w:color w:val="2F5496" w:themeColor="accent1" w:themeShade="BF"/>
                <w:sz w:val="18"/>
                <w:szCs w:val="18"/>
              </w:rPr>
              <w:t>ακα</w:t>
            </w:r>
          </w:p>
        </w:tc>
        <w:tc>
          <w:tcPr>
            <w:tcW w:w="1981" w:type="dxa"/>
            <w:tcBorders>
              <w:top w:val="nil"/>
              <w:left w:val="nil"/>
              <w:bottom w:val="nil"/>
              <w:right w:val="nil"/>
            </w:tcBorders>
            <w:shd w:val="clear" w:color="auto" w:fill="auto"/>
            <w:vAlign w:val="center"/>
            <w:hideMark/>
          </w:tcPr>
          <w:p w14:paraId="1D979367" w14:textId="77777777" w:rsidR="00AD561B" w:rsidRPr="00F145C3" w:rsidRDefault="00AD561B" w:rsidP="00896C4A">
            <w:pPr>
              <w:ind w:right="454"/>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155.765</w:t>
            </w:r>
          </w:p>
        </w:tc>
        <w:tc>
          <w:tcPr>
            <w:tcW w:w="1981" w:type="dxa"/>
            <w:tcBorders>
              <w:top w:val="nil"/>
              <w:left w:val="nil"/>
              <w:bottom w:val="nil"/>
              <w:right w:val="nil"/>
            </w:tcBorders>
            <w:shd w:val="clear" w:color="auto" w:fill="auto"/>
            <w:vAlign w:val="center"/>
            <w:hideMark/>
          </w:tcPr>
          <w:p w14:paraId="5AFE9C40" w14:textId="77777777" w:rsidR="00AD561B" w:rsidRPr="00F145C3" w:rsidRDefault="00AD561B" w:rsidP="00896C4A">
            <w:pPr>
              <w:ind w:right="454"/>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143.192</w:t>
            </w:r>
          </w:p>
        </w:tc>
        <w:tc>
          <w:tcPr>
            <w:tcW w:w="1981" w:type="dxa"/>
            <w:tcBorders>
              <w:top w:val="nil"/>
              <w:left w:val="nil"/>
              <w:bottom w:val="nil"/>
              <w:right w:val="nil"/>
            </w:tcBorders>
            <w:shd w:val="clear" w:color="auto" w:fill="auto"/>
            <w:vAlign w:val="center"/>
            <w:hideMark/>
          </w:tcPr>
          <w:p w14:paraId="74BD282D" w14:textId="77777777" w:rsidR="00AD561B" w:rsidRPr="00F145C3" w:rsidRDefault="00AD561B" w:rsidP="00896C4A">
            <w:pPr>
              <w:ind w:right="624"/>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8,8</w:t>
            </w:r>
          </w:p>
        </w:tc>
      </w:tr>
      <w:tr w:rsidR="00896C4A" w:rsidRPr="00F145C3" w14:paraId="60215516" w14:textId="77777777" w:rsidTr="00896C4A">
        <w:trPr>
          <w:trHeight w:val="285"/>
          <w:jc w:val="center"/>
        </w:trPr>
        <w:tc>
          <w:tcPr>
            <w:tcW w:w="1981" w:type="dxa"/>
            <w:tcBorders>
              <w:top w:val="nil"/>
              <w:left w:val="nil"/>
              <w:bottom w:val="nil"/>
              <w:right w:val="nil"/>
            </w:tcBorders>
            <w:shd w:val="clear" w:color="auto" w:fill="auto"/>
            <w:vAlign w:val="center"/>
            <w:hideMark/>
          </w:tcPr>
          <w:p w14:paraId="04A896E8" w14:textId="77777777" w:rsidR="00AD561B" w:rsidRPr="00F145C3" w:rsidRDefault="00AD561B" w:rsidP="00AD561B">
            <w:pPr>
              <w:rPr>
                <w:rFonts w:ascii="Verdana" w:eastAsia="Times New Roman" w:hAnsi="Verdana" w:cs="Calibri"/>
                <w:color w:val="2F5496" w:themeColor="accent1" w:themeShade="BF"/>
                <w:sz w:val="18"/>
                <w:szCs w:val="18"/>
              </w:rPr>
            </w:pPr>
            <w:proofErr w:type="spellStart"/>
            <w:r w:rsidRPr="00F145C3">
              <w:rPr>
                <w:rFonts w:ascii="Verdana" w:eastAsia="Times New Roman" w:hAnsi="Verdana" w:cs="Calibri"/>
                <w:color w:val="2F5496" w:themeColor="accent1" w:themeShade="BF"/>
                <w:sz w:val="18"/>
                <w:szCs w:val="18"/>
              </w:rPr>
              <w:t>Λεμεσός</w:t>
            </w:r>
            <w:proofErr w:type="spellEnd"/>
          </w:p>
        </w:tc>
        <w:tc>
          <w:tcPr>
            <w:tcW w:w="1981" w:type="dxa"/>
            <w:tcBorders>
              <w:top w:val="nil"/>
              <w:left w:val="nil"/>
              <w:bottom w:val="nil"/>
              <w:right w:val="nil"/>
            </w:tcBorders>
            <w:shd w:val="clear" w:color="auto" w:fill="auto"/>
            <w:vAlign w:val="center"/>
            <w:hideMark/>
          </w:tcPr>
          <w:p w14:paraId="52B1E2CD" w14:textId="77777777" w:rsidR="00AD561B" w:rsidRPr="00F145C3" w:rsidRDefault="00AD561B" w:rsidP="00896C4A">
            <w:pPr>
              <w:ind w:right="454"/>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262.157</w:t>
            </w:r>
          </w:p>
        </w:tc>
        <w:tc>
          <w:tcPr>
            <w:tcW w:w="1981" w:type="dxa"/>
            <w:tcBorders>
              <w:top w:val="nil"/>
              <w:left w:val="nil"/>
              <w:bottom w:val="nil"/>
              <w:right w:val="nil"/>
            </w:tcBorders>
            <w:shd w:val="clear" w:color="auto" w:fill="auto"/>
            <w:vAlign w:val="center"/>
            <w:hideMark/>
          </w:tcPr>
          <w:p w14:paraId="0D56A5DF" w14:textId="77777777" w:rsidR="00AD561B" w:rsidRPr="00F145C3" w:rsidRDefault="00AD561B" w:rsidP="00896C4A">
            <w:pPr>
              <w:ind w:right="454"/>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235.330</w:t>
            </w:r>
          </w:p>
        </w:tc>
        <w:tc>
          <w:tcPr>
            <w:tcW w:w="1981" w:type="dxa"/>
            <w:tcBorders>
              <w:top w:val="nil"/>
              <w:left w:val="nil"/>
              <w:bottom w:val="nil"/>
              <w:right w:val="nil"/>
            </w:tcBorders>
            <w:shd w:val="clear" w:color="auto" w:fill="auto"/>
            <w:vAlign w:val="center"/>
            <w:hideMark/>
          </w:tcPr>
          <w:p w14:paraId="502615DB" w14:textId="77777777" w:rsidR="00AD561B" w:rsidRPr="00F145C3" w:rsidRDefault="00AD561B" w:rsidP="00896C4A">
            <w:pPr>
              <w:ind w:right="624"/>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11,4</w:t>
            </w:r>
          </w:p>
        </w:tc>
      </w:tr>
      <w:tr w:rsidR="00896C4A" w:rsidRPr="00F145C3" w14:paraId="603B5278" w14:textId="77777777" w:rsidTr="00896C4A">
        <w:trPr>
          <w:trHeight w:val="297"/>
          <w:jc w:val="center"/>
        </w:trPr>
        <w:tc>
          <w:tcPr>
            <w:tcW w:w="1981" w:type="dxa"/>
            <w:tcBorders>
              <w:top w:val="nil"/>
              <w:left w:val="nil"/>
              <w:bottom w:val="single" w:sz="8" w:space="0" w:color="2F5496"/>
              <w:right w:val="nil"/>
            </w:tcBorders>
            <w:shd w:val="clear" w:color="auto" w:fill="auto"/>
            <w:vAlign w:val="center"/>
            <w:hideMark/>
          </w:tcPr>
          <w:p w14:paraId="79CA27B9" w14:textId="77777777" w:rsidR="00AD561B" w:rsidRPr="00F145C3" w:rsidRDefault="00AD561B" w:rsidP="00AD561B">
            <w:pPr>
              <w:rPr>
                <w:rFonts w:ascii="Verdana" w:eastAsia="Times New Roman" w:hAnsi="Verdana" w:cs="Calibri"/>
                <w:color w:val="2F5496" w:themeColor="accent1" w:themeShade="BF"/>
                <w:sz w:val="18"/>
                <w:szCs w:val="18"/>
              </w:rPr>
            </w:pPr>
            <w:proofErr w:type="spellStart"/>
            <w:r w:rsidRPr="00F145C3">
              <w:rPr>
                <w:rFonts w:ascii="Verdana" w:eastAsia="Times New Roman" w:hAnsi="Verdana" w:cs="Calibri"/>
                <w:color w:val="2F5496" w:themeColor="accent1" w:themeShade="BF"/>
                <w:sz w:val="18"/>
                <w:szCs w:val="18"/>
              </w:rPr>
              <w:t>Πάφος</w:t>
            </w:r>
            <w:proofErr w:type="spellEnd"/>
          </w:p>
        </w:tc>
        <w:tc>
          <w:tcPr>
            <w:tcW w:w="1981" w:type="dxa"/>
            <w:tcBorders>
              <w:top w:val="nil"/>
              <w:left w:val="nil"/>
              <w:bottom w:val="single" w:sz="8" w:space="0" w:color="2F5496"/>
              <w:right w:val="nil"/>
            </w:tcBorders>
            <w:shd w:val="clear" w:color="auto" w:fill="auto"/>
            <w:vAlign w:val="center"/>
            <w:hideMark/>
          </w:tcPr>
          <w:p w14:paraId="5B62D246" w14:textId="77777777" w:rsidR="00AD561B" w:rsidRPr="00F145C3" w:rsidRDefault="00AD561B" w:rsidP="00896C4A">
            <w:pPr>
              <w:ind w:right="454"/>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101.106</w:t>
            </w:r>
          </w:p>
        </w:tc>
        <w:tc>
          <w:tcPr>
            <w:tcW w:w="1981" w:type="dxa"/>
            <w:tcBorders>
              <w:top w:val="nil"/>
              <w:left w:val="nil"/>
              <w:bottom w:val="single" w:sz="8" w:space="0" w:color="2F5496"/>
              <w:right w:val="nil"/>
            </w:tcBorders>
            <w:shd w:val="clear" w:color="auto" w:fill="auto"/>
            <w:vAlign w:val="center"/>
            <w:hideMark/>
          </w:tcPr>
          <w:p w14:paraId="7929C12F" w14:textId="77777777" w:rsidR="00AD561B" w:rsidRPr="00F145C3" w:rsidRDefault="00AD561B" w:rsidP="00896C4A">
            <w:pPr>
              <w:ind w:right="454"/>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88.276</w:t>
            </w:r>
          </w:p>
        </w:tc>
        <w:tc>
          <w:tcPr>
            <w:tcW w:w="1981" w:type="dxa"/>
            <w:tcBorders>
              <w:top w:val="nil"/>
              <w:left w:val="nil"/>
              <w:bottom w:val="single" w:sz="8" w:space="0" w:color="2F5496"/>
              <w:right w:val="nil"/>
            </w:tcBorders>
            <w:shd w:val="clear" w:color="auto" w:fill="auto"/>
            <w:vAlign w:val="center"/>
            <w:hideMark/>
          </w:tcPr>
          <w:p w14:paraId="51E52EA5" w14:textId="77777777" w:rsidR="00AD561B" w:rsidRPr="00F145C3" w:rsidRDefault="00AD561B" w:rsidP="00896C4A">
            <w:pPr>
              <w:ind w:right="624"/>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14,5</w:t>
            </w:r>
          </w:p>
        </w:tc>
      </w:tr>
      <w:tr w:rsidR="00896C4A" w:rsidRPr="00F145C3" w14:paraId="3AB4744F" w14:textId="77777777" w:rsidTr="00896C4A">
        <w:trPr>
          <w:trHeight w:val="297"/>
          <w:jc w:val="center"/>
        </w:trPr>
        <w:tc>
          <w:tcPr>
            <w:tcW w:w="1981" w:type="dxa"/>
            <w:tcBorders>
              <w:top w:val="nil"/>
              <w:left w:val="nil"/>
              <w:bottom w:val="single" w:sz="8" w:space="0" w:color="2F5496"/>
              <w:right w:val="nil"/>
            </w:tcBorders>
            <w:shd w:val="clear" w:color="auto" w:fill="auto"/>
            <w:vAlign w:val="center"/>
            <w:hideMark/>
          </w:tcPr>
          <w:p w14:paraId="5ED7C053" w14:textId="77777777" w:rsidR="00AD561B" w:rsidRPr="00F145C3" w:rsidRDefault="00AD561B" w:rsidP="00AD561B">
            <w:pPr>
              <w:rPr>
                <w:rFonts w:ascii="Verdana" w:eastAsia="Times New Roman" w:hAnsi="Verdana" w:cs="Calibri"/>
                <w:b/>
                <w:bCs/>
                <w:color w:val="2F5496" w:themeColor="accent1" w:themeShade="BF"/>
                <w:sz w:val="18"/>
                <w:szCs w:val="18"/>
              </w:rPr>
            </w:pPr>
            <w:proofErr w:type="spellStart"/>
            <w:r w:rsidRPr="00F145C3">
              <w:rPr>
                <w:rFonts w:ascii="Verdana" w:eastAsia="Times New Roman" w:hAnsi="Verdana" w:cs="Calibri"/>
                <w:b/>
                <w:bCs/>
                <w:color w:val="2F5496" w:themeColor="accent1" w:themeShade="BF"/>
                <w:sz w:val="18"/>
                <w:szCs w:val="18"/>
              </w:rPr>
              <w:t>Σύνολο</w:t>
            </w:r>
            <w:proofErr w:type="spellEnd"/>
          </w:p>
        </w:tc>
        <w:tc>
          <w:tcPr>
            <w:tcW w:w="1981" w:type="dxa"/>
            <w:tcBorders>
              <w:top w:val="nil"/>
              <w:left w:val="nil"/>
              <w:bottom w:val="single" w:sz="8" w:space="0" w:color="2F5496"/>
              <w:right w:val="nil"/>
            </w:tcBorders>
            <w:shd w:val="clear" w:color="auto" w:fill="auto"/>
            <w:vAlign w:val="center"/>
            <w:hideMark/>
          </w:tcPr>
          <w:p w14:paraId="15FA1E3A" w14:textId="77777777" w:rsidR="00AD561B" w:rsidRPr="00F145C3" w:rsidRDefault="00AD561B" w:rsidP="00896C4A">
            <w:pPr>
              <w:ind w:right="454"/>
              <w:jc w:val="right"/>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923.381</w:t>
            </w:r>
          </w:p>
        </w:tc>
        <w:tc>
          <w:tcPr>
            <w:tcW w:w="1981" w:type="dxa"/>
            <w:tcBorders>
              <w:top w:val="nil"/>
              <w:left w:val="nil"/>
              <w:bottom w:val="single" w:sz="8" w:space="0" w:color="2F5496"/>
              <w:right w:val="nil"/>
            </w:tcBorders>
            <w:shd w:val="clear" w:color="auto" w:fill="auto"/>
            <w:vAlign w:val="center"/>
            <w:hideMark/>
          </w:tcPr>
          <w:p w14:paraId="37664407" w14:textId="77777777" w:rsidR="00AD561B" w:rsidRPr="00F145C3" w:rsidRDefault="00AD561B" w:rsidP="00896C4A">
            <w:pPr>
              <w:ind w:right="454"/>
              <w:jc w:val="right"/>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840.407</w:t>
            </w:r>
          </w:p>
        </w:tc>
        <w:tc>
          <w:tcPr>
            <w:tcW w:w="1981" w:type="dxa"/>
            <w:tcBorders>
              <w:top w:val="nil"/>
              <w:left w:val="nil"/>
              <w:bottom w:val="single" w:sz="8" w:space="0" w:color="2F5496"/>
              <w:right w:val="nil"/>
            </w:tcBorders>
            <w:shd w:val="clear" w:color="auto" w:fill="auto"/>
            <w:vAlign w:val="center"/>
            <w:hideMark/>
          </w:tcPr>
          <w:p w14:paraId="694C99C8" w14:textId="77777777" w:rsidR="00AD561B" w:rsidRPr="00F145C3" w:rsidRDefault="00AD561B" w:rsidP="00896C4A">
            <w:pPr>
              <w:ind w:right="624"/>
              <w:jc w:val="right"/>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9,9</w:t>
            </w:r>
          </w:p>
        </w:tc>
      </w:tr>
    </w:tbl>
    <w:p w14:paraId="238ABD40" w14:textId="77777777" w:rsidR="0011703F" w:rsidRPr="00F145C3" w:rsidRDefault="0011703F" w:rsidP="009F3D3E">
      <w:pPr>
        <w:ind w:right="-1"/>
        <w:jc w:val="both"/>
        <w:rPr>
          <w:rFonts w:ascii="Verdana" w:hAnsi="Verdana" w:cs="Calibri"/>
          <w:sz w:val="18"/>
          <w:szCs w:val="18"/>
          <w:lang w:val="el-GR"/>
        </w:rPr>
      </w:pPr>
    </w:p>
    <w:p w14:paraId="0AE95C59" w14:textId="77777777" w:rsidR="00942F94" w:rsidRPr="00F145C3" w:rsidRDefault="00942F94" w:rsidP="006E7F4E">
      <w:pPr>
        <w:ind w:right="-1"/>
        <w:jc w:val="both"/>
        <w:rPr>
          <w:rFonts w:ascii="Verdana" w:hAnsi="Verdana" w:cs="Calibri"/>
          <w:sz w:val="18"/>
          <w:szCs w:val="18"/>
        </w:rPr>
      </w:pPr>
    </w:p>
    <w:p w14:paraId="1C209FB3" w14:textId="5B036789" w:rsidR="006E7F4E" w:rsidRPr="00F145C3" w:rsidRDefault="00DE0350" w:rsidP="00F145C3">
      <w:pPr>
        <w:jc w:val="both"/>
        <w:rPr>
          <w:rFonts w:ascii="Verdana" w:hAnsi="Verdana" w:cs="Calibri"/>
          <w:sz w:val="18"/>
          <w:szCs w:val="18"/>
          <w:lang w:val="el-GR"/>
        </w:rPr>
      </w:pPr>
      <w:r w:rsidRPr="00F145C3">
        <w:rPr>
          <w:rFonts w:ascii="Verdana" w:hAnsi="Verdana" w:cs="Calibri"/>
          <w:sz w:val="18"/>
          <w:szCs w:val="18"/>
        </w:rPr>
        <w:t>To</w:t>
      </w:r>
      <w:r w:rsidR="0011703F" w:rsidRPr="00F145C3">
        <w:rPr>
          <w:rFonts w:ascii="Verdana" w:hAnsi="Verdana" w:cs="Calibri"/>
          <w:sz w:val="18"/>
          <w:szCs w:val="18"/>
          <w:lang w:val="el-GR"/>
        </w:rPr>
        <w:t xml:space="preserve"> ποσοστό</w:t>
      </w:r>
      <w:r w:rsidRPr="00F145C3">
        <w:rPr>
          <w:rFonts w:ascii="Verdana" w:hAnsi="Verdana" w:cs="Calibri"/>
          <w:sz w:val="18"/>
          <w:szCs w:val="18"/>
          <w:lang w:val="el-GR"/>
        </w:rPr>
        <w:t xml:space="preserve"> </w:t>
      </w:r>
      <w:r w:rsidR="006E7F4E" w:rsidRPr="00F145C3">
        <w:rPr>
          <w:rFonts w:ascii="Verdana" w:hAnsi="Verdana" w:cs="Calibri"/>
          <w:sz w:val="18"/>
          <w:szCs w:val="18"/>
          <w:lang w:val="el-GR"/>
        </w:rPr>
        <w:t xml:space="preserve">του πληθυσμού </w:t>
      </w:r>
      <w:r w:rsidR="00367CD3" w:rsidRPr="00F145C3">
        <w:rPr>
          <w:rFonts w:ascii="Verdana" w:hAnsi="Verdana" w:cs="Calibri"/>
          <w:sz w:val="18"/>
          <w:szCs w:val="18"/>
          <w:lang w:val="el-GR"/>
        </w:rPr>
        <w:t xml:space="preserve">ηλικίας κάτω των 15 ετών </w:t>
      </w:r>
      <w:r w:rsidR="006E7F4E" w:rsidRPr="00F145C3">
        <w:rPr>
          <w:rFonts w:ascii="Verdana" w:hAnsi="Verdana" w:cs="Calibri"/>
          <w:sz w:val="18"/>
          <w:szCs w:val="18"/>
          <w:lang w:val="el-GR"/>
        </w:rPr>
        <w:t xml:space="preserve">που καταγράφηκε </w:t>
      </w:r>
      <w:r w:rsidRPr="00F145C3">
        <w:rPr>
          <w:rFonts w:ascii="Verdana" w:hAnsi="Verdana" w:cs="Calibri"/>
          <w:sz w:val="18"/>
          <w:szCs w:val="18"/>
          <w:lang w:val="el-GR"/>
        </w:rPr>
        <w:t xml:space="preserve">ανέρχεται στο </w:t>
      </w:r>
      <w:r w:rsidR="002876FC" w:rsidRPr="00F145C3">
        <w:rPr>
          <w:rFonts w:ascii="Verdana" w:hAnsi="Verdana" w:cs="Calibri"/>
          <w:sz w:val="18"/>
          <w:szCs w:val="18"/>
          <w:lang w:val="el-GR"/>
        </w:rPr>
        <w:t>15,4%</w:t>
      </w:r>
      <w:r w:rsidR="006E7F4E" w:rsidRPr="00F145C3">
        <w:rPr>
          <w:rFonts w:ascii="Verdana" w:hAnsi="Verdana" w:cs="Calibri"/>
          <w:sz w:val="18"/>
          <w:szCs w:val="18"/>
          <w:lang w:val="el-GR"/>
        </w:rPr>
        <w:t>, τ</w:t>
      </w:r>
      <w:r w:rsidRPr="00F145C3">
        <w:rPr>
          <w:rFonts w:ascii="Verdana" w:hAnsi="Verdana" w:cs="Calibri"/>
          <w:sz w:val="18"/>
          <w:szCs w:val="18"/>
          <w:lang w:val="el-GR"/>
        </w:rPr>
        <w:t xml:space="preserve">ο </w:t>
      </w:r>
      <w:r w:rsidR="002876FC" w:rsidRPr="00F145C3">
        <w:rPr>
          <w:rFonts w:ascii="Verdana" w:hAnsi="Verdana" w:cs="Calibri"/>
          <w:sz w:val="18"/>
          <w:szCs w:val="18"/>
          <w:lang w:val="el-GR"/>
        </w:rPr>
        <w:t>ποσοστό</w:t>
      </w:r>
      <w:r w:rsidRPr="00F145C3">
        <w:rPr>
          <w:rFonts w:ascii="Verdana" w:hAnsi="Verdana" w:cs="Calibri"/>
          <w:sz w:val="18"/>
          <w:szCs w:val="18"/>
          <w:lang w:val="el-GR"/>
        </w:rPr>
        <w:t xml:space="preserve"> των ατόμων 15-64 ετών ανέρχεται στο </w:t>
      </w:r>
      <w:r w:rsidR="002876FC" w:rsidRPr="00F145C3">
        <w:rPr>
          <w:rFonts w:ascii="Verdana" w:hAnsi="Verdana" w:cs="Calibri"/>
          <w:sz w:val="18"/>
          <w:szCs w:val="18"/>
          <w:lang w:val="el-GR"/>
        </w:rPr>
        <w:t xml:space="preserve">67,3% </w:t>
      </w:r>
      <w:r w:rsidRPr="00F145C3">
        <w:rPr>
          <w:rFonts w:ascii="Verdana" w:hAnsi="Verdana" w:cs="Calibri"/>
          <w:sz w:val="18"/>
          <w:szCs w:val="18"/>
          <w:lang w:val="el-GR"/>
        </w:rPr>
        <w:t xml:space="preserve">και το ποσοστό των ατόμων ηλικίας </w:t>
      </w:r>
      <w:r w:rsidR="002876FC" w:rsidRPr="00F145C3">
        <w:rPr>
          <w:rFonts w:ascii="Verdana" w:hAnsi="Verdana" w:cs="Calibri"/>
          <w:sz w:val="18"/>
          <w:szCs w:val="18"/>
          <w:lang w:val="el-GR"/>
        </w:rPr>
        <w:t>65 ετών και άνω</w:t>
      </w:r>
      <w:r w:rsidRPr="00F145C3">
        <w:rPr>
          <w:rFonts w:ascii="Verdana" w:hAnsi="Verdana" w:cs="Calibri"/>
          <w:sz w:val="18"/>
          <w:szCs w:val="18"/>
          <w:lang w:val="el-GR"/>
        </w:rPr>
        <w:t xml:space="preserve"> στο 17,2%</w:t>
      </w:r>
      <w:r w:rsidR="002876FC" w:rsidRPr="00F145C3">
        <w:rPr>
          <w:rFonts w:ascii="Verdana" w:hAnsi="Verdana" w:cs="Calibri"/>
          <w:sz w:val="18"/>
          <w:szCs w:val="18"/>
          <w:lang w:val="el-GR"/>
        </w:rPr>
        <w:t xml:space="preserve">. </w:t>
      </w:r>
      <w:r w:rsidR="006E7F4E" w:rsidRPr="00F145C3">
        <w:rPr>
          <w:rFonts w:ascii="Verdana" w:hAnsi="Verdana" w:cs="Calibri"/>
          <w:sz w:val="18"/>
          <w:szCs w:val="18"/>
          <w:lang w:val="el-GR"/>
        </w:rPr>
        <w:t xml:space="preserve">Το ποσοστό </w:t>
      </w:r>
      <w:r w:rsidR="00367CD3" w:rsidRPr="00F145C3">
        <w:rPr>
          <w:rFonts w:ascii="Verdana" w:hAnsi="Verdana" w:cs="Calibri"/>
          <w:sz w:val="18"/>
          <w:szCs w:val="18"/>
          <w:lang w:val="el-GR"/>
        </w:rPr>
        <w:t xml:space="preserve">των </w:t>
      </w:r>
      <w:r w:rsidR="006E7F4E" w:rsidRPr="00F145C3">
        <w:rPr>
          <w:rFonts w:ascii="Verdana" w:hAnsi="Verdana" w:cs="Calibri"/>
          <w:sz w:val="18"/>
          <w:szCs w:val="18"/>
          <w:lang w:val="el-GR"/>
        </w:rPr>
        <w:t>ατόμων 65 ετών και άνω έχει ξεπεράσει το ποσοστό παιδιών ηλικίας κάτω των 15 ετών, χαρακτηριστικό της τάσης γήρανσης του πληθυσμού. Το φαινόμενο της γήρανσης του πληθυσμού παρατηρείται και στις περισσότερες Ευρωπαϊκές χώρες.</w:t>
      </w:r>
    </w:p>
    <w:p w14:paraId="4324AFB9" w14:textId="77777777" w:rsidR="006E7F4E" w:rsidRPr="00F145C3" w:rsidRDefault="006E7F4E" w:rsidP="00F145C3">
      <w:pPr>
        <w:jc w:val="both"/>
        <w:rPr>
          <w:rFonts w:ascii="Verdana" w:hAnsi="Verdana" w:cs="Calibri"/>
          <w:sz w:val="18"/>
          <w:szCs w:val="18"/>
          <w:lang w:val="el-GR"/>
        </w:rPr>
      </w:pPr>
    </w:p>
    <w:p w14:paraId="29563E6B" w14:textId="1746E89E" w:rsidR="009F3D3E" w:rsidRPr="00F145C3" w:rsidRDefault="00343CEB" w:rsidP="00F145C3">
      <w:pPr>
        <w:jc w:val="both"/>
        <w:rPr>
          <w:rFonts w:ascii="Verdana" w:hAnsi="Verdana" w:cs="Calibri"/>
          <w:sz w:val="18"/>
          <w:szCs w:val="18"/>
          <w:lang w:val="el-GR"/>
        </w:rPr>
      </w:pPr>
      <w:r w:rsidRPr="00F145C3">
        <w:rPr>
          <w:rFonts w:ascii="Verdana" w:hAnsi="Verdana" w:cs="Calibri"/>
          <w:sz w:val="18"/>
          <w:szCs w:val="18"/>
          <w:lang w:val="el-GR"/>
        </w:rPr>
        <w:t xml:space="preserve">Στο διάγραμμα που ακολουθεί παρουσιάζεται η ηλικιακή σύνθεση του πληθυσμού κατά τις </w:t>
      </w:r>
      <w:r w:rsidR="002876FC" w:rsidRPr="00F145C3">
        <w:rPr>
          <w:rFonts w:ascii="Verdana" w:hAnsi="Verdana" w:cs="Calibri"/>
          <w:sz w:val="18"/>
          <w:szCs w:val="18"/>
          <w:lang w:val="el-GR"/>
        </w:rPr>
        <w:t xml:space="preserve"> δύο τελευταί</w:t>
      </w:r>
      <w:r w:rsidRPr="00F145C3">
        <w:rPr>
          <w:rFonts w:ascii="Verdana" w:hAnsi="Verdana" w:cs="Calibri"/>
          <w:sz w:val="18"/>
          <w:szCs w:val="18"/>
          <w:lang w:val="el-GR"/>
        </w:rPr>
        <w:t>ες</w:t>
      </w:r>
      <w:r w:rsidR="002876FC" w:rsidRPr="00F145C3">
        <w:rPr>
          <w:rFonts w:ascii="Verdana" w:hAnsi="Verdana" w:cs="Calibri"/>
          <w:sz w:val="18"/>
          <w:szCs w:val="18"/>
          <w:lang w:val="el-GR"/>
        </w:rPr>
        <w:t xml:space="preserve"> Απογραφ</w:t>
      </w:r>
      <w:r w:rsidRPr="00F145C3">
        <w:rPr>
          <w:rFonts w:ascii="Verdana" w:hAnsi="Verdana" w:cs="Calibri"/>
          <w:sz w:val="18"/>
          <w:szCs w:val="18"/>
          <w:lang w:val="el-GR"/>
        </w:rPr>
        <w:t xml:space="preserve">ές.  Από τα αποτελέσματα καταδεικνύεται ότι </w:t>
      </w:r>
      <w:r w:rsidR="002876FC" w:rsidRPr="00F145C3">
        <w:rPr>
          <w:rFonts w:ascii="Verdana" w:hAnsi="Verdana" w:cs="Calibri"/>
          <w:sz w:val="18"/>
          <w:szCs w:val="18"/>
          <w:lang w:val="el-GR"/>
        </w:rPr>
        <w:t>το ποσοστό των παιδιών (</w:t>
      </w:r>
      <w:r w:rsidR="00DE0350" w:rsidRPr="00F145C3">
        <w:rPr>
          <w:rFonts w:ascii="Verdana" w:hAnsi="Verdana" w:cs="Calibri"/>
          <w:sz w:val="18"/>
          <w:szCs w:val="18"/>
          <w:lang w:val="el-GR"/>
        </w:rPr>
        <w:t>κάτω των 15</w:t>
      </w:r>
      <w:r w:rsidR="002876FC" w:rsidRPr="00F145C3">
        <w:rPr>
          <w:rFonts w:ascii="Verdana" w:hAnsi="Verdana" w:cs="Calibri"/>
          <w:sz w:val="18"/>
          <w:szCs w:val="18"/>
          <w:lang w:val="el-GR"/>
        </w:rPr>
        <w:t xml:space="preserve"> ετών)  μειώνεται από 16,1% το 2011 σε 15,4% το 2021 και το ποσοστό των ατόμων 65 ετών και άνω  αυξάνεται από 13,3% το 2011 σε 17,2% το 2021. </w:t>
      </w:r>
    </w:p>
    <w:p w14:paraId="036530C5" w14:textId="77777777" w:rsidR="00DD342F" w:rsidRPr="00F145C3" w:rsidRDefault="00DD342F" w:rsidP="009F3D3E">
      <w:pPr>
        <w:ind w:right="-1"/>
        <w:jc w:val="both"/>
        <w:rPr>
          <w:rFonts w:ascii="Verdana" w:hAnsi="Verdana" w:cs="Calibri"/>
          <w:sz w:val="18"/>
          <w:szCs w:val="18"/>
          <w:lang w:val="el-GR"/>
        </w:rPr>
      </w:pPr>
    </w:p>
    <w:p w14:paraId="0B029E14" w14:textId="7F23FCA3" w:rsidR="008004B2" w:rsidRPr="00942F94" w:rsidRDefault="00942F94" w:rsidP="00942F94">
      <w:pPr>
        <w:ind w:right="-1"/>
        <w:jc w:val="center"/>
        <w:rPr>
          <w:rFonts w:ascii="Verdana" w:hAnsi="Verdana" w:cs="Calibri"/>
          <w:b/>
          <w:bCs/>
          <w:sz w:val="18"/>
          <w:szCs w:val="18"/>
          <w:lang w:val="el-GR"/>
        </w:rPr>
      </w:pPr>
      <w:r w:rsidRPr="00942F94">
        <w:rPr>
          <w:rFonts w:ascii="Verdana" w:hAnsi="Verdana" w:cs="Calibri"/>
          <w:b/>
          <w:bCs/>
          <w:noProof/>
          <w:sz w:val="18"/>
          <w:szCs w:val="18"/>
          <w:lang w:val="el-GR"/>
        </w:rPr>
        <w:drawing>
          <wp:inline distT="0" distB="0" distL="0" distR="0" wp14:anchorId="2AA8B3E1" wp14:editId="72571AFE">
            <wp:extent cx="6071870" cy="3581400"/>
            <wp:effectExtent l="0" t="0" r="5080" b="0"/>
            <wp:docPr id="16135462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1870" cy="3581400"/>
                    </a:xfrm>
                    <a:prstGeom prst="rect">
                      <a:avLst/>
                    </a:prstGeom>
                    <a:noFill/>
                  </pic:spPr>
                </pic:pic>
              </a:graphicData>
            </a:graphic>
          </wp:inline>
        </w:drawing>
      </w:r>
    </w:p>
    <w:p w14:paraId="32286458" w14:textId="77777777" w:rsidR="000454FD" w:rsidRPr="00942F94" w:rsidRDefault="000454FD" w:rsidP="009F3D3E">
      <w:pPr>
        <w:ind w:right="-1"/>
        <w:jc w:val="both"/>
        <w:rPr>
          <w:rFonts w:ascii="Verdana" w:hAnsi="Verdana" w:cs="Calibri"/>
          <w:b/>
          <w:bCs/>
          <w:sz w:val="18"/>
          <w:szCs w:val="18"/>
          <w:lang w:val="el-GR"/>
        </w:rPr>
      </w:pPr>
    </w:p>
    <w:p w14:paraId="201744A9" w14:textId="77777777" w:rsidR="000454FD" w:rsidRPr="00942F94" w:rsidRDefault="000454FD" w:rsidP="009F3D3E">
      <w:pPr>
        <w:ind w:right="-1"/>
        <w:jc w:val="both"/>
        <w:rPr>
          <w:rFonts w:ascii="Verdana" w:hAnsi="Verdana" w:cs="Calibri"/>
          <w:b/>
          <w:bCs/>
          <w:sz w:val="18"/>
          <w:szCs w:val="18"/>
          <w:lang w:val="el-GR"/>
        </w:rPr>
      </w:pPr>
    </w:p>
    <w:p w14:paraId="49F7EE95" w14:textId="5427E4C5" w:rsidR="00B212AD" w:rsidRDefault="00B212AD" w:rsidP="009F3D3E">
      <w:pPr>
        <w:ind w:right="-1"/>
        <w:jc w:val="both"/>
        <w:rPr>
          <w:rFonts w:ascii="Verdana" w:hAnsi="Verdana" w:cs="Calibri"/>
          <w:sz w:val="18"/>
          <w:szCs w:val="18"/>
          <w:lang w:val="el-GR"/>
        </w:rPr>
      </w:pPr>
      <w:r w:rsidRPr="00E56883">
        <w:rPr>
          <w:rFonts w:ascii="Verdana" w:hAnsi="Verdana" w:cs="Calibri"/>
          <w:b/>
          <w:bCs/>
          <w:sz w:val="18"/>
          <w:szCs w:val="18"/>
          <w:u w:val="single"/>
          <w:lang w:val="el-GR"/>
        </w:rPr>
        <w:t xml:space="preserve">Πληθυσμός κατά </w:t>
      </w:r>
      <w:r w:rsidR="006838D2">
        <w:rPr>
          <w:rFonts w:ascii="Verdana" w:hAnsi="Verdana" w:cs="Calibri"/>
          <w:b/>
          <w:bCs/>
          <w:sz w:val="18"/>
          <w:szCs w:val="18"/>
          <w:u w:val="single"/>
          <w:lang w:val="el-GR"/>
        </w:rPr>
        <w:t>Υ</w:t>
      </w:r>
      <w:r w:rsidRPr="00E56883">
        <w:rPr>
          <w:rFonts w:ascii="Verdana" w:hAnsi="Verdana" w:cs="Calibri"/>
          <w:b/>
          <w:bCs/>
          <w:sz w:val="18"/>
          <w:szCs w:val="18"/>
          <w:u w:val="single"/>
          <w:lang w:val="el-GR"/>
        </w:rPr>
        <w:t xml:space="preserve">πηκοότητα και </w:t>
      </w:r>
      <w:r w:rsidR="006838D2">
        <w:rPr>
          <w:rFonts w:ascii="Verdana" w:hAnsi="Verdana" w:cs="Calibri"/>
          <w:b/>
          <w:bCs/>
          <w:sz w:val="18"/>
          <w:szCs w:val="18"/>
          <w:u w:val="single"/>
          <w:lang w:val="el-GR"/>
        </w:rPr>
        <w:t>Χ</w:t>
      </w:r>
      <w:r w:rsidRPr="00E56883">
        <w:rPr>
          <w:rFonts w:ascii="Verdana" w:hAnsi="Verdana" w:cs="Calibri"/>
          <w:b/>
          <w:bCs/>
          <w:sz w:val="18"/>
          <w:szCs w:val="18"/>
          <w:u w:val="single"/>
          <w:lang w:val="el-GR"/>
        </w:rPr>
        <w:t xml:space="preserve">ώρα </w:t>
      </w:r>
      <w:r w:rsidR="006838D2">
        <w:rPr>
          <w:rFonts w:ascii="Verdana" w:hAnsi="Verdana" w:cs="Calibri"/>
          <w:b/>
          <w:bCs/>
          <w:sz w:val="18"/>
          <w:szCs w:val="18"/>
          <w:u w:val="single"/>
          <w:lang w:val="el-GR"/>
        </w:rPr>
        <w:t>Γ</w:t>
      </w:r>
      <w:r w:rsidRPr="00E56883">
        <w:rPr>
          <w:rFonts w:ascii="Verdana" w:hAnsi="Verdana" w:cs="Calibri"/>
          <w:b/>
          <w:bCs/>
          <w:sz w:val="18"/>
          <w:szCs w:val="18"/>
          <w:u w:val="single"/>
          <w:lang w:val="el-GR"/>
        </w:rPr>
        <w:t>έννησης</w:t>
      </w:r>
    </w:p>
    <w:p w14:paraId="607FED55" w14:textId="77777777" w:rsidR="00B212AD" w:rsidRDefault="00B212AD" w:rsidP="00F145C3">
      <w:pPr>
        <w:jc w:val="both"/>
        <w:rPr>
          <w:rFonts w:ascii="Verdana" w:hAnsi="Verdana" w:cs="Calibri"/>
          <w:sz w:val="18"/>
          <w:szCs w:val="18"/>
          <w:lang w:val="el-GR"/>
        </w:rPr>
      </w:pPr>
    </w:p>
    <w:p w14:paraId="7E3C2077" w14:textId="52775827" w:rsidR="002876FC" w:rsidRDefault="00000A8D" w:rsidP="00F145C3">
      <w:pPr>
        <w:jc w:val="both"/>
        <w:rPr>
          <w:rFonts w:ascii="Verdana" w:hAnsi="Verdana" w:cs="Calibri"/>
          <w:sz w:val="18"/>
          <w:szCs w:val="18"/>
        </w:rPr>
      </w:pPr>
      <w:r>
        <w:rPr>
          <w:rFonts w:ascii="Verdana" w:hAnsi="Verdana" w:cs="Calibri"/>
          <w:sz w:val="18"/>
          <w:szCs w:val="18"/>
          <w:lang w:val="el-GR"/>
        </w:rPr>
        <w:t>Όσον αφορά στον πληθυσμό που καταγράφηκε κατά</w:t>
      </w:r>
      <w:r w:rsidR="002876FC">
        <w:rPr>
          <w:rFonts w:ascii="Verdana" w:hAnsi="Verdana" w:cs="Calibri"/>
          <w:sz w:val="18"/>
          <w:szCs w:val="18"/>
          <w:lang w:val="el-GR"/>
        </w:rPr>
        <w:t xml:space="preserve"> υπηκοότητα, </w:t>
      </w:r>
      <w:r w:rsidR="006C416D" w:rsidRPr="006C416D">
        <w:rPr>
          <w:rFonts w:ascii="Verdana" w:hAnsi="Verdana" w:cs="Calibri"/>
          <w:sz w:val="18"/>
          <w:szCs w:val="18"/>
          <w:lang w:val="el-GR"/>
        </w:rPr>
        <w:t xml:space="preserve">719.252 </w:t>
      </w:r>
      <w:r w:rsidR="00E23482">
        <w:rPr>
          <w:rFonts w:ascii="Verdana" w:hAnsi="Verdana" w:cs="Calibri"/>
          <w:sz w:val="18"/>
          <w:szCs w:val="18"/>
          <w:lang w:val="el-GR"/>
        </w:rPr>
        <w:t>άτομα</w:t>
      </w:r>
      <w:r w:rsidR="006C416D">
        <w:rPr>
          <w:rFonts w:ascii="Verdana" w:hAnsi="Verdana" w:cs="Calibri"/>
          <w:sz w:val="18"/>
          <w:szCs w:val="18"/>
          <w:lang w:val="el-GR"/>
        </w:rPr>
        <w:t xml:space="preserve"> ή </w:t>
      </w:r>
      <w:r w:rsidR="002876FC">
        <w:rPr>
          <w:rFonts w:ascii="Verdana" w:hAnsi="Verdana" w:cs="Calibri"/>
          <w:sz w:val="18"/>
          <w:szCs w:val="18"/>
          <w:lang w:val="el-GR"/>
        </w:rPr>
        <w:t>ποσοστό της τάξης του 77,9% ήταν Κύπριοι,</w:t>
      </w:r>
      <w:r w:rsidR="006C416D">
        <w:rPr>
          <w:rFonts w:ascii="Verdana" w:hAnsi="Verdana" w:cs="Calibri"/>
          <w:sz w:val="18"/>
          <w:szCs w:val="18"/>
          <w:lang w:val="el-GR"/>
        </w:rPr>
        <w:t xml:space="preserve"> 93.540 ή ποσοστό</w:t>
      </w:r>
      <w:r w:rsidR="002876FC">
        <w:rPr>
          <w:rFonts w:ascii="Verdana" w:hAnsi="Verdana" w:cs="Calibri"/>
          <w:sz w:val="18"/>
          <w:szCs w:val="18"/>
          <w:lang w:val="el-GR"/>
        </w:rPr>
        <w:t xml:space="preserve"> 10,1% ήταν υπήκοοι </w:t>
      </w:r>
      <w:r w:rsidR="00571B0F">
        <w:rPr>
          <w:rFonts w:ascii="Verdana" w:hAnsi="Verdana" w:cs="Calibri"/>
          <w:sz w:val="18"/>
          <w:szCs w:val="18"/>
          <w:lang w:val="el-GR"/>
        </w:rPr>
        <w:t xml:space="preserve">άλλων </w:t>
      </w:r>
      <w:r w:rsidR="002876FC">
        <w:rPr>
          <w:rFonts w:ascii="Verdana" w:hAnsi="Verdana" w:cs="Calibri"/>
          <w:sz w:val="18"/>
          <w:szCs w:val="18"/>
          <w:lang w:val="el-GR"/>
        </w:rPr>
        <w:t xml:space="preserve">χωρών της </w:t>
      </w:r>
      <w:r w:rsidR="00D76439">
        <w:rPr>
          <w:rFonts w:ascii="Verdana" w:hAnsi="Verdana" w:cs="Calibri"/>
          <w:sz w:val="18"/>
          <w:szCs w:val="18"/>
          <w:lang w:val="el-GR"/>
        </w:rPr>
        <w:t>Ευρωπαϊκής Ένωσης (</w:t>
      </w:r>
      <w:r w:rsidR="002876FC">
        <w:rPr>
          <w:rFonts w:ascii="Verdana" w:hAnsi="Verdana" w:cs="Calibri"/>
          <w:sz w:val="18"/>
          <w:szCs w:val="18"/>
          <w:lang w:val="el-GR"/>
        </w:rPr>
        <w:t>ΕΕ</w:t>
      </w:r>
      <w:r w:rsidR="00D76439">
        <w:rPr>
          <w:rFonts w:ascii="Verdana" w:hAnsi="Verdana" w:cs="Calibri"/>
          <w:sz w:val="18"/>
          <w:szCs w:val="18"/>
          <w:lang w:val="el-GR"/>
        </w:rPr>
        <w:t>)</w:t>
      </w:r>
      <w:r w:rsidR="002876FC">
        <w:rPr>
          <w:rFonts w:ascii="Verdana" w:hAnsi="Verdana" w:cs="Calibri"/>
          <w:sz w:val="18"/>
          <w:szCs w:val="18"/>
          <w:lang w:val="el-GR"/>
        </w:rPr>
        <w:t xml:space="preserve">, κυρίως από Ελλάδα (4,7%), Ρουμανία (2,2%) και Βουλγαρία (1,8%), ενώ </w:t>
      </w:r>
      <w:r w:rsidR="006C416D">
        <w:rPr>
          <w:rFonts w:ascii="Verdana" w:hAnsi="Verdana" w:cs="Calibri"/>
          <w:sz w:val="18"/>
          <w:szCs w:val="18"/>
          <w:lang w:val="el-GR"/>
        </w:rPr>
        <w:t xml:space="preserve">107.168 </w:t>
      </w:r>
      <w:r w:rsidR="00E23482">
        <w:rPr>
          <w:rFonts w:ascii="Verdana" w:hAnsi="Verdana" w:cs="Calibri"/>
          <w:sz w:val="18"/>
          <w:szCs w:val="18"/>
          <w:lang w:val="el-GR"/>
        </w:rPr>
        <w:t>άτομα</w:t>
      </w:r>
      <w:r w:rsidR="006C416D">
        <w:rPr>
          <w:rFonts w:ascii="Verdana" w:hAnsi="Verdana" w:cs="Calibri"/>
          <w:sz w:val="18"/>
          <w:szCs w:val="18"/>
          <w:lang w:val="el-GR"/>
        </w:rPr>
        <w:t xml:space="preserve"> ή </w:t>
      </w:r>
      <w:r w:rsidR="002876FC">
        <w:rPr>
          <w:rFonts w:ascii="Verdana" w:hAnsi="Verdana" w:cs="Calibri"/>
          <w:sz w:val="18"/>
          <w:szCs w:val="18"/>
          <w:lang w:val="el-GR"/>
        </w:rPr>
        <w:t>ποσοστό της τάξης του 11,6% ήταν υπήκοοι χωρών</w:t>
      </w:r>
      <w:r w:rsidR="00D76439">
        <w:rPr>
          <w:rFonts w:ascii="Verdana" w:hAnsi="Verdana" w:cs="Calibri"/>
          <w:sz w:val="18"/>
          <w:szCs w:val="18"/>
          <w:lang w:val="el-GR"/>
        </w:rPr>
        <w:t xml:space="preserve"> εκτός ΕΕ</w:t>
      </w:r>
      <w:r w:rsidR="002876FC">
        <w:rPr>
          <w:rFonts w:ascii="Verdana" w:hAnsi="Verdana" w:cs="Calibri"/>
          <w:sz w:val="18"/>
          <w:szCs w:val="18"/>
          <w:lang w:val="el-GR"/>
        </w:rPr>
        <w:t xml:space="preserve">, κυρίως από Ηνωμένο Βασίλειο (2,0%), Συρία (1,4%) και Ρωσία (1,3%). </w:t>
      </w:r>
      <w:r>
        <w:rPr>
          <w:rFonts w:ascii="Verdana" w:hAnsi="Verdana" w:cs="Calibri"/>
          <w:sz w:val="18"/>
          <w:szCs w:val="18"/>
          <w:lang w:val="el-GR"/>
        </w:rPr>
        <w:t>Η επαρχία Πάφου κατέχει το μεγαλύτερο ποσοστό ξένων ως προς τον συνολικό πληθυσμό της επαρχίας (40,0%) και ακ</w:t>
      </w:r>
      <w:r w:rsidR="002876FC">
        <w:rPr>
          <w:rFonts w:ascii="Verdana" w:hAnsi="Verdana" w:cs="Calibri"/>
          <w:sz w:val="18"/>
          <w:szCs w:val="18"/>
          <w:lang w:val="el-GR"/>
        </w:rPr>
        <w:t>ολουθεί η Αμμόχωστος με 23,6%, η Λεμεσός με 21,7%, η Λάρνακα με 19,2% και τέλος η Λευκωσία με 17,3%.</w:t>
      </w:r>
    </w:p>
    <w:p w14:paraId="1925B644" w14:textId="77777777" w:rsidR="00CE4925" w:rsidRPr="00CE4925" w:rsidRDefault="00CE4925" w:rsidP="00F145C3">
      <w:pPr>
        <w:jc w:val="both"/>
        <w:rPr>
          <w:rFonts w:ascii="Verdana" w:hAnsi="Verdana" w:cs="Calibri"/>
          <w:sz w:val="18"/>
          <w:szCs w:val="18"/>
        </w:rPr>
      </w:pPr>
    </w:p>
    <w:p w14:paraId="64D4EC3D" w14:textId="3EBAD3E5" w:rsidR="00BA7E86" w:rsidRDefault="00CE4925" w:rsidP="00942F94">
      <w:pPr>
        <w:ind w:right="-1"/>
        <w:jc w:val="center"/>
        <w:rPr>
          <w:rFonts w:ascii="Verdana" w:hAnsi="Verdana" w:cs="Calibri"/>
          <w:sz w:val="18"/>
          <w:szCs w:val="18"/>
          <w:lang w:val="el-GR"/>
        </w:rPr>
      </w:pPr>
      <w:r>
        <w:rPr>
          <w:rFonts w:ascii="Verdana" w:hAnsi="Verdana" w:cs="Calibri"/>
          <w:noProof/>
          <w:sz w:val="18"/>
          <w:szCs w:val="18"/>
          <w:lang w:val="el-GR"/>
        </w:rPr>
        <w:drawing>
          <wp:inline distT="0" distB="0" distL="0" distR="0" wp14:anchorId="24071C2E" wp14:editId="7254EAA6">
            <wp:extent cx="6066155" cy="4822190"/>
            <wp:effectExtent l="0" t="0" r="0" b="0"/>
            <wp:docPr id="14060100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6155" cy="4822190"/>
                    </a:xfrm>
                    <a:prstGeom prst="rect">
                      <a:avLst/>
                    </a:prstGeom>
                    <a:noFill/>
                  </pic:spPr>
                </pic:pic>
              </a:graphicData>
            </a:graphic>
          </wp:inline>
        </w:drawing>
      </w:r>
    </w:p>
    <w:p w14:paraId="1B7B9339" w14:textId="032DE887" w:rsidR="0000339C" w:rsidRDefault="0000339C" w:rsidP="009F3D3E">
      <w:pPr>
        <w:ind w:right="-1"/>
        <w:jc w:val="both"/>
        <w:rPr>
          <w:rFonts w:ascii="Verdana" w:hAnsi="Verdana" w:cs="Calibri"/>
          <w:sz w:val="18"/>
          <w:szCs w:val="18"/>
          <w:lang w:val="el-GR"/>
        </w:rPr>
      </w:pPr>
    </w:p>
    <w:p w14:paraId="2292D5A9" w14:textId="77777777" w:rsidR="0042410A" w:rsidRDefault="0042410A" w:rsidP="009F3D3E">
      <w:pPr>
        <w:ind w:right="-1"/>
        <w:jc w:val="both"/>
        <w:rPr>
          <w:rFonts w:ascii="Verdana" w:hAnsi="Verdana" w:cs="Calibri"/>
          <w:sz w:val="18"/>
          <w:szCs w:val="18"/>
          <w:lang w:val="el-GR"/>
        </w:rPr>
      </w:pPr>
    </w:p>
    <w:p w14:paraId="2B19F6AB" w14:textId="2EDF2990" w:rsidR="00F51B53" w:rsidRDefault="00F51B53" w:rsidP="00F145C3">
      <w:pPr>
        <w:jc w:val="both"/>
        <w:rPr>
          <w:rFonts w:ascii="Verdana" w:hAnsi="Verdana" w:cs="Calibri"/>
          <w:sz w:val="18"/>
          <w:szCs w:val="18"/>
          <w:lang w:val="el-GR"/>
        </w:rPr>
      </w:pPr>
      <w:r>
        <w:rPr>
          <w:rFonts w:ascii="Verdana" w:hAnsi="Verdana" w:cs="Calibri"/>
          <w:sz w:val="18"/>
          <w:szCs w:val="18"/>
          <w:lang w:val="el-GR"/>
        </w:rPr>
        <w:t xml:space="preserve">Από τον συνολικό </w:t>
      </w:r>
      <w:r w:rsidR="006C416D">
        <w:rPr>
          <w:rFonts w:ascii="Verdana" w:hAnsi="Verdana" w:cs="Calibri"/>
          <w:sz w:val="18"/>
          <w:szCs w:val="18"/>
          <w:lang w:val="el-GR"/>
        </w:rPr>
        <w:t>πληθυσμό</w:t>
      </w:r>
      <w:r>
        <w:rPr>
          <w:rFonts w:ascii="Verdana" w:hAnsi="Verdana" w:cs="Calibri"/>
          <w:sz w:val="18"/>
          <w:szCs w:val="18"/>
          <w:lang w:val="el-GR"/>
        </w:rPr>
        <w:t xml:space="preserve"> που καταγράφηκε, 688.844 </w:t>
      </w:r>
      <w:r w:rsidR="007034F3">
        <w:rPr>
          <w:rFonts w:ascii="Verdana" w:hAnsi="Verdana" w:cs="Calibri"/>
          <w:sz w:val="18"/>
          <w:szCs w:val="18"/>
          <w:lang w:val="el-GR"/>
        </w:rPr>
        <w:t xml:space="preserve">άτομα </w:t>
      </w:r>
      <w:r>
        <w:rPr>
          <w:rFonts w:ascii="Verdana" w:hAnsi="Verdana" w:cs="Calibri"/>
          <w:sz w:val="18"/>
          <w:szCs w:val="18"/>
          <w:lang w:val="el-GR"/>
        </w:rPr>
        <w:t>ή ποσοστό της τάξης του 74,6% γεννήθηκαν στην Κύπρο</w:t>
      </w:r>
      <w:r w:rsidR="00706714">
        <w:rPr>
          <w:rFonts w:ascii="Verdana" w:hAnsi="Verdana" w:cs="Calibri"/>
          <w:sz w:val="18"/>
          <w:szCs w:val="18"/>
          <w:lang w:val="el-GR"/>
        </w:rPr>
        <w:t xml:space="preserve">, 86.026 ή ποσοστό 9,3% γεννήθηκαν σε </w:t>
      </w:r>
      <w:r w:rsidR="00571B0F">
        <w:rPr>
          <w:rFonts w:ascii="Verdana" w:hAnsi="Verdana" w:cs="Calibri"/>
          <w:sz w:val="18"/>
          <w:szCs w:val="18"/>
          <w:lang w:val="el-GR"/>
        </w:rPr>
        <w:t xml:space="preserve">άλλες </w:t>
      </w:r>
      <w:r w:rsidR="00706714">
        <w:rPr>
          <w:rFonts w:ascii="Verdana" w:hAnsi="Verdana" w:cs="Calibri"/>
          <w:sz w:val="18"/>
          <w:szCs w:val="18"/>
          <w:lang w:val="el-GR"/>
        </w:rPr>
        <w:t xml:space="preserve">χώρες της ΕΕ, </w:t>
      </w:r>
      <w:r w:rsidR="00791067">
        <w:rPr>
          <w:rFonts w:ascii="Verdana" w:hAnsi="Verdana" w:cs="Calibri"/>
          <w:sz w:val="18"/>
          <w:szCs w:val="18"/>
          <w:lang w:val="el-GR"/>
        </w:rPr>
        <w:t>κυρίως στην Ελλάδα (3,8%), τη Ρουμανία (</w:t>
      </w:r>
      <w:r w:rsidR="007B1AC9">
        <w:rPr>
          <w:rFonts w:ascii="Verdana" w:hAnsi="Verdana" w:cs="Calibri"/>
          <w:sz w:val="18"/>
          <w:szCs w:val="18"/>
          <w:lang w:val="el-GR"/>
        </w:rPr>
        <w:t>2,1%)</w:t>
      </w:r>
      <w:r w:rsidR="00791067">
        <w:rPr>
          <w:rFonts w:ascii="Verdana" w:hAnsi="Verdana" w:cs="Calibri"/>
          <w:sz w:val="18"/>
          <w:szCs w:val="18"/>
          <w:lang w:val="el-GR"/>
        </w:rPr>
        <w:t xml:space="preserve"> και τη Βουλγαρία</w:t>
      </w:r>
      <w:r w:rsidR="007B1AC9">
        <w:rPr>
          <w:rFonts w:ascii="Verdana" w:hAnsi="Verdana" w:cs="Calibri"/>
          <w:sz w:val="18"/>
          <w:szCs w:val="18"/>
          <w:lang w:val="el-GR"/>
        </w:rPr>
        <w:t xml:space="preserve"> (1,8%)</w:t>
      </w:r>
      <w:r w:rsidR="00791067">
        <w:rPr>
          <w:rFonts w:ascii="Verdana" w:hAnsi="Verdana" w:cs="Calibri"/>
          <w:sz w:val="18"/>
          <w:szCs w:val="18"/>
          <w:lang w:val="el-GR"/>
        </w:rPr>
        <w:t xml:space="preserve">, </w:t>
      </w:r>
      <w:r w:rsidR="00706714">
        <w:rPr>
          <w:rFonts w:ascii="Verdana" w:hAnsi="Verdana" w:cs="Calibri"/>
          <w:sz w:val="18"/>
          <w:szCs w:val="18"/>
          <w:lang w:val="el-GR"/>
        </w:rPr>
        <w:t>ενώ 142.5</w:t>
      </w:r>
      <w:r w:rsidR="00AA74DD" w:rsidRPr="00AA74DD">
        <w:rPr>
          <w:rFonts w:ascii="Verdana" w:hAnsi="Verdana" w:cs="Calibri"/>
          <w:sz w:val="18"/>
          <w:szCs w:val="18"/>
          <w:lang w:val="el-GR"/>
        </w:rPr>
        <w:t>1</w:t>
      </w:r>
      <w:r w:rsidR="00706714">
        <w:rPr>
          <w:rFonts w:ascii="Verdana" w:hAnsi="Verdana" w:cs="Calibri"/>
          <w:sz w:val="18"/>
          <w:szCs w:val="18"/>
          <w:lang w:val="el-GR"/>
        </w:rPr>
        <w:t>4 ή ποσοστό 15,4% γεννήθηκαν σε χώρες εκτός ΕΕ</w:t>
      </w:r>
      <w:r w:rsidR="007B1AC9">
        <w:rPr>
          <w:rFonts w:ascii="Verdana" w:hAnsi="Verdana" w:cs="Calibri"/>
          <w:sz w:val="18"/>
          <w:szCs w:val="18"/>
          <w:lang w:val="el-GR"/>
        </w:rPr>
        <w:t>, κυρίως στο Ηνωμένο Βασίλειο (3,0%), τη Ρωσία (1,8%) και τη Συρία (1,3%).</w:t>
      </w:r>
      <w:r>
        <w:rPr>
          <w:rFonts w:ascii="Verdana" w:hAnsi="Verdana" w:cs="Calibri"/>
          <w:sz w:val="18"/>
          <w:szCs w:val="18"/>
          <w:lang w:val="el-GR"/>
        </w:rPr>
        <w:t xml:space="preserve"> </w:t>
      </w:r>
    </w:p>
    <w:p w14:paraId="03CB3DF1" w14:textId="77777777" w:rsidR="00BA39EB" w:rsidRDefault="00BA39EB" w:rsidP="009F3D3E">
      <w:pPr>
        <w:ind w:right="-1"/>
        <w:jc w:val="both"/>
        <w:rPr>
          <w:rFonts w:ascii="Verdana" w:hAnsi="Verdana" w:cs="Calibri"/>
          <w:sz w:val="18"/>
          <w:szCs w:val="18"/>
          <w:lang w:val="el-GR"/>
        </w:rPr>
      </w:pPr>
    </w:p>
    <w:p w14:paraId="244D59C3" w14:textId="579F6A36" w:rsidR="00BA39EB" w:rsidRDefault="00942F94" w:rsidP="00942F94">
      <w:pPr>
        <w:ind w:right="-1"/>
        <w:jc w:val="center"/>
        <w:rPr>
          <w:rFonts w:ascii="Verdana" w:hAnsi="Verdana" w:cs="Calibri"/>
          <w:sz w:val="18"/>
          <w:szCs w:val="18"/>
          <w:lang w:val="el-GR"/>
        </w:rPr>
      </w:pPr>
      <w:r>
        <w:rPr>
          <w:rFonts w:ascii="Verdana" w:hAnsi="Verdana" w:cs="Calibri"/>
          <w:noProof/>
          <w:sz w:val="18"/>
          <w:szCs w:val="18"/>
          <w:lang w:val="el-GR"/>
        </w:rPr>
        <w:drawing>
          <wp:inline distT="0" distB="0" distL="0" distR="0" wp14:anchorId="09008648" wp14:editId="379E86A0">
            <wp:extent cx="6066155" cy="3243580"/>
            <wp:effectExtent l="0" t="0" r="0" b="0"/>
            <wp:docPr id="21058874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6155" cy="3243580"/>
                    </a:xfrm>
                    <a:prstGeom prst="rect">
                      <a:avLst/>
                    </a:prstGeom>
                    <a:noFill/>
                  </pic:spPr>
                </pic:pic>
              </a:graphicData>
            </a:graphic>
          </wp:inline>
        </w:drawing>
      </w:r>
    </w:p>
    <w:p w14:paraId="3A3513C3" w14:textId="77777777" w:rsidR="00BA39EB" w:rsidRDefault="00BA39EB" w:rsidP="009F3D3E">
      <w:pPr>
        <w:ind w:right="-1"/>
        <w:jc w:val="both"/>
        <w:rPr>
          <w:rFonts w:ascii="Verdana" w:hAnsi="Verdana" w:cs="Calibri"/>
          <w:sz w:val="18"/>
          <w:szCs w:val="18"/>
          <w:lang w:val="el-GR"/>
        </w:rPr>
      </w:pPr>
    </w:p>
    <w:p w14:paraId="6407A89C" w14:textId="77777777" w:rsidR="00583F04" w:rsidRDefault="00583F04" w:rsidP="009F3D3E">
      <w:pPr>
        <w:ind w:right="-1"/>
        <w:jc w:val="both"/>
        <w:rPr>
          <w:rFonts w:ascii="Verdana" w:hAnsi="Verdana" w:cs="Calibri"/>
          <w:sz w:val="18"/>
          <w:szCs w:val="18"/>
          <w:lang w:val="el-GR"/>
        </w:rPr>
      </w:pPr>
    </w:p>
    <w:p w14:paraId="258460B2" w14:textId="790018D1" w:rsidR="00B212AD" w:rsidRDefault="00B212AD" w:rsidP="00F145C3">
      <w:pPr>
        <w:jc w:val="both"/>
        <w:rPr>
          <w:rFonts w:ascii="Verdana" w:hAnsi="Verdana" w:cs="Calibri"/>
          <w:b/>
          <w:bCs/>
          <w:sz w:val="18"/>
          <w:szCs w:val="18"/>
          <w:u w:val="single"/>
          <w:lang w:val="el-GR"/>
        </w:rPr>
      </w:pPr>
      <w:r w:rsidRPr="00036E5F">
        <w:rPr>
          <w:rFonts w:ascii="Verdana" w:hAnsi="Verdana" w:cs="Calibri"/>
          <w:b/>
          <w:bCs/>
          <w:sz w:val="18"/>
          <w:szCs w:val="18"/>
          <w:u w:val="single"/>
          <w:lang w:val="el-GR"/>
        </w:rPr>
        <w:lastRenderedPageBreak/>
        <w:t xml:space="preserve">Πληθυσμός κατά </w:t>
      </w:r>
      <w:r w:rsidR="00B3719B">
        <w:rPr>
          <w:rFonts w:ascii="Verdana" w:hAnsi="Verdana" w:cs="Calibri"/>
          <w:b/>
          <w:bCs/>
          <w:sz w:val="18"/>
          <w:szCs w:val="18"/>
          <w:u w:val="single"/>
          <w:lang w:val="el-GR"/>
        </w:rPr>
        <w:t>Μ</w:t>
      </w:r>
      <w:r w:rsidRPr="00036E5F">
        <w:rPr>
          <w:rFonts w:ascii="Verdana" w:hAnsi="Verdana" w:cs="Calibri"/>
          <w:b/>
          <w:bCs/>
          <w:sz w:val="18"/>
          <w:szCs w:val="18"/>
          <w:u w:val="single"/>
          <w:lang w:val="el-GR"/>
        </w:rPr>
        <w:t xml:space="preserve">ορφωτικό </w:t>
      </w:r>
      <w:r w:rsidR="00B3719B">
        <w:rPr>
          <w:rFonts w:ascii="Verdana" w:hAnsi="Verdana" w:cs="Calibri"/>
          <w:b/>
          <w:bCs/>
          <w:sz w:val="18"/>
          <w:szCs w:val="18"/>
          <w:u w:val="single"/>
          <w:lang w:val="el-GR"/>
        </w:rPr>
        <w:t>Ε</w:t>
      </w:r>
      <w:r w:rsidRPr="00036E5F">
        <w:rPr>
          <w:rFonts w:ascii="Verdana" w:hAnsi="Verdana" w:cs="Calibri"/>
          <w:b/>
          <w:bCs/>
          <w:sz w:val="18"/>
          <w:szCs w:val="18"/>
          <w:u w:val="single"/>
          <w:lang w:val="el-GR"/>
        </w:rPr>
        <w:t>πίπεδο</w:t>
      </w:r>
    </w:p>
    <w:p w14:paraId="0C18700F" w14:textId="77777777" w:rsidR="00C217B3" w:rsidRDefault="00C217B3" w:rsidP="00F145C3">
      <w:pPr>
        <w:jc w:val="both"/>
        <w:rPr>
          <w:rFonts w:ascii="Verdana" w:hAnsi="Verdana" w:cs="Calibri"/>
          <w:sz w:val="18"/>
          <w:szCs w:val="18"/>
          <w:lang w:val="el-GR"/>
        </w:rPr>
      </w:pPr>
    </w:p>
    <w:p w14:paraId="4BCEE66D" w14:textId="0D30D339" w:rsidR="00B12C9A" w:rsidRDefault="00F51B53" w:rsidP="00F145C3">
      <w:pPr>
        <w:jc w:val="both"/>
        <w:rPr>
          <w:rFonts w:ascii="Verdana" w:hAnsi="Verdana" w:cs="Calibri"/>
          <w:sz w:val="18"/>
          <w:szCs w:val="18"/>
          <w:lang w:val="el-GR"/>
        </w:rPr>
      </w:pPr>
      <w:r>
        <w:rPr>
          <w:rFonts w:ascii="Verdana" w:hAnsi="Verdana" w:cs="Calibri"/>
          <w:sz w:val="18"/>
          <w:szCs w:val="18"/>
          <w:lang w:val="el-GR"/>
        </w:rPr>
        <w:t>Το μορφωτικό επίπεδο του πληθυσμού 15 ετών και άνω</w:t>
      </w:r>
      <w:r w:rsidR="00571B0F" w:rsidRPr="00571B0F">
        <w:rPr>
          <w:rFonts w:ascii="Verdana" w:hAnsi="Verdana" w:cs="Calibri"/>
          <w:sz w:val="18"/>
          <w:szCs w:val="18"/>
          <w:lang w:val="el-GR"/>
        </w:rPr>
        <w:t>,</w:t>
      </w:r>
      <w:r>
        <w:rPr>
          <w:rFonts w:ascii="Verdana" w:hAnsi="Verdana" w:cs="Calibri"/>
          <w:sz w:val="18"/>
          <w:szCs w:val="18"/>
          <w:lang w:val="el-GR"/>
        </w:rPr>
        <w:t xml:space="preserve"> που αριθμούσε 780.770 </w:t>
      </w:r>
      <w:r w:rsidR="00BB7EB3">
        <w:rPr>
          <w:rFonts w:ascii="Verdana" w:hAnsi="Verdana" w:cs="Calibri"/>
          <w:sz w:val="18"/>
          <w:szCs w:val="18"/>
          <w:lang w:val="el-GR"/>
        </w:rPr>
        <w:t>άτομα</w:t>
      </w:r>
      <w:r w:rsidR="008E37E6" w:rsidRPr="008E37E6">
        <w:rPr>
          <w:rFonts w:ascii="Verdana" w:hAnsi="Verdana" w:cs="Calibri"/>
          <w:sz w:val="18"/>
          <w:szCs w:val="18"/>
          <w:lang w:val="el-GR"/>
        </w:rPr>
        <w:t>,</w:t>
      </w:r>
      <w:r>
        <w:rPr>
          <w:rFonts w:ascii="Verdana" w:hAnsi="Verdana" w:cs="Calibri"/>
          <w:sz w:val="18"/>
          <w:szCs w:val="18"/>
          <w:lang w:val="el-GR"/>
        </w:rPr>
        <w:t xml:space="preserve"> διαμορφώνεται ως ακολούθως: ποσοστό 2,0% δεν είχαν τελειώσει το δημοτικό, 11,6% είχαν συμπληρώσει τη δημοτική εκπαίδευση, 9,7% είχαν συμπληρώσει την κατώτερη δευτεροβάθμια εκπαίδευση</w:t>
      </w:r>
      <w:r w:rsidR="001D76CC">
        <w:rPr>
          <w:rFonts w:ascii="Verdana" w:hAnsi="Verdana" w:cs="Calibri"/>
          <w:sz w:val="18"/>
          <w:szCs w:val="18"/>
          <w:lang w:val="el-GR"/>
        </w:rPr>
        <w:t xml:space="preserve"> (Γυμνάσιο)</w:t>
      </w:r>
      <w:r>
        <w:rPr>
          <w:rFonts w:ascii="Verdana" w:hAnsi="Verdana" w:cs="Calibri"/>
          <w:sz w:val="18"/>
          <w:szCs w:val="18"/>
          <w:lang w:val="el-GR"/>
        </w:rPr>
        <w:t>, 36,6% είχαν συμπληρώσει την ανώτερη δευτεροβάθμια εκπαίδευση</w:t>
      </w:r>
      <w:r w:rsidR="001D76CC">
        <w:rPr>
          <w:rFonts w:ascii="Verdana" w:hAnsi="Verdana" w:cs="Calibri"/>
          <w:sz w:val="18"/>
          <w:szCs w:val="18"/>
          <w:lang w:val="el-GR"/>
        </w:rPr>
        <w:t xml:space="preserve"> (Λύκειο/Τεχνική)</w:t>
      </w:r>
      <w:r>
        <w:rPr>
          <w:rFonts w:ascii="Verdana" w:hAnsi="Verdana" w:cs="Calibri"/>
          <w:sz w:val="18"/>
          <w:szCs w:val="18"/>
          <w:lang w:val="el-GR"/>
        </w:rPr>
        <w:t xml:space="preserve">, 3,4% τη </w:t>
      </w:r>
      <w:proofErr w:type="spellStart"/>
      <w:r>
        <w:rPr>
          <w:rFonts w:ascii="Verdana" w:hAnsi="Verdana" w:cs="Calibri"/>
          <w:sz w:val="18"/>
          <w:szCs w:val="18"/>
          <w:lang w:val="el-GR"/>
        </w:rPr>
        <w:t>μεταλυκειακή</w:t>
      </w:r>
      <w:proofErr w:type="spellEnd"/>
      <w:r>
        <w:rPr>
          <w:rFonts w:ascii="Verdana" w:hAnsi="Verdana" w:cs="Calibri"/>
          <w:sz w:val="18"/>
          <w:szCs w:val="18"/>
          <w:lang w:val="el-GR"/>
        </w:rPr>
        <w:t xml:space="preserve"> μη τριτοβάθμια, 6,0% την τριτοβάθμια μη πανεπιστημιακή</w:t>
      </w:r>
      <w:r w:rsidR="00385509">
        <w:rPr>
          <w:rFonts w:ascii="Verdana" w:hAnsi="Verdana" w:cs="Calibri"/>
          <w:sz w:val="18"/>
          <w:szCs w:val="18"/>
          <w:lang w:val="el-GR"/>
        </w:rPr>
        <w:t xml:space="preserve"> και 27,6% την τριτοβάθμια πανεπιστημιακή εκπαίδευση (</w:t>
      </w:r>
      <w:r>
        <w:rPr>
          <w:rFonts w:ascii="Verdana" w:hAnsi="Verdana" w:cs="Calibri"/>
          <w:sz w:val="18"/>
          <w:szCs w:val="18"/>
          <w:lang w:val="el-GR"/>
        </w:rPr>
        <w:t>19,8%  πρώτο πτυχίο, 7,1%  μεταπτυχιακό και 0,7%  διδακτορικό</w:t>
      </w:r>
      <w:r w:rsidR="00385509">
        <w:rPr>
          <w:rFonts w:ascii="Verdana" w:hAnsi="Verdana" w:cs="Calibri"/>
          <w:sz w:val="18"/>
          <w:szCs w:val="18"/>
          <w:lang w:val="el-GR"/>
        </w:rPr>
        <w:t>)</w:t>
      </w:r>
      <w:r w:rsidRPr="00B81253">
        <w:rPr>
          <w:rFonts w:ascii="Verdana" w:hAnsi="Verdana" w:cs="Calibri"/>
          <w:sz w:val="18"/>
          <w:szCs w:val="18"/>
          <w:lang w:val="el-GR"/>
        </w:rPr>
        <w:t xml:space="preserve">. </w:t>
      </w:r>
    </w:p>
    <w:p w14:paraId="5920BD07" w14:textId="77777777" w:rsidR="004A7A5A" w:rsidRDefault="004A7A5A" w:rsidP="00F145C3">
      <w:pPr>
        <w:jc w:val="both"/>
        <w:rPr>
          <w:rFonts w:ascii="Verdana" w:hAnsi="Verdana" w:cs="Calibri"/>
          <w:sz w:val="18"/>
          <w:szCs w:val="18"/>
          <w:lang w:val="el-GR"/>
        </w:rPr>
      </w:pPr>
    </w:p>
    <w:p w14:paraId="309EB1F3" w14:textId="71B7679F" w:rsidR="00F51B53" w:rsidRPr="00C37740" w:rsidRDefault="001D76CC" w:rsidP="00F145C3">
      <w:pPr>
        <w:jc w:val="both"/>
        <w:rPr>
          <w:rFonts w:ascii="Verdana" w:hAnsi="Verdana" w:cs="Calibri"/>
          <w:sz w:val="18"/>
          <w:szCs w:val="18"/>
          <w:lang w:val="el-GR"/>
        </w:rPr>
      </w:pPr>
      <w:r w:rsidRPr="00036E5F">
        <w:rPr>
          <w:rFonts w:ascii="Verdana" w:hAnsi="Verdana" w:cs="Calibri"/>
          <w:sz w:val="18"/>
          <w:szCs w:val="18"/>
          <w:lang w:val="el-GR"/>
        </w:rPr>
        <w:t>Σημαντική</w:t>
      </w:r>
      <w:r w:rsidR="00B12C9A" w:rsidRPr="00036E5F">
        <w:rPr>
          <w:rFonts w:ascii="Verdana" w:hAnsi="Verdana" w:cs="Calibri"/>
          <w:sz w:val="18"/>
          <w:szCs w:val="18"/>
          <w:lang w:val="el-GR"/>
        </w:rPr>
        <w:t xml:space="preserve"> αύξηση παρουσιάζεται στο ποσοστό του πληθυσμού που κατέχ</w:t>
      </w:r>
      <w:r w:rsidR="00106532" w:rsidRPr="00036E5F">
        <w:rPr>
          <w:rFonts w:ascii="Verdana" w:hAnsi="Verdana" w:cs="Calibri"/>
          <w:sz w:val="18"/>
          <w:szCs w:val="18"/>
          <w:lang w:val="el-GR"/>
        </w:rPr>
        <w:t>ει</w:t>
      </w:r>
      <w:r w:rsidR="00B12C9A" w:rsidRPr="00036E5F">
        <w:rPr>
          <w:rFonts w:ascii="Verdana" w:hAnsi="Verdana" w:cs="Calibri"/>
          <w:sz w:val="18"/>
          <w:szCs w:val="18"/>
          <w:lang w:val="el-GR"/>
        </w:rPr>
        <w:t xml:space="preserve"> τριτοβάθμια </w:t>
      </w:r>
      <w:r w:rsidR="000A271F" w:rsidRPr="00036E5F">
        <w:rPr>
          <w:rFonts w:ascii="Verdana" w:hAnsi="Verdana" w:cs="Calibri"/>
          <w:sz w:val="18"/>
          <w:szCs w:val="18"/>
          <w:lang w:val="el-GR"/>
        </w:rPr>
        <w:t xml:space="preserve">πανεπιστημιακή </w:t>
      </w:r>
      <w:r w:rsidR="00B12C9A" w:rsidRPr="00036E5F">
        <w:rPr>
          <w:rFonts w:ascii="Verdana" w:hAnsi="Verdana" w:cs="Calibri"/>
          <w:sz w:val="18"/>
          <w:szCs w:val="18"/>
          <w:lang w:val="el-GR"/>
        </w:rPr>
        <w:t xml:space="preserve">εκπαίδευση. </w:t>
      </w:r>
      <w:r w:rsidR="00106532" w:rsidRPr="00036E5F">
        <w:rPr>
          <w:rFonts w:ascii="Verdana" w:hAnsi="Verdana" w:cs="Calibri"/>
          <w:sz w:val="18"/>
          <w:szCs w:val="18"/>
          <w:lang w:val="el-GR"/>
        </w:rPr>
        <w:t>Σ</w:t>
      </w:r>
      <w:r w:rsidR="00B12C9A" w:rsidRPr="00036E5F">
        <w:rPr>
          <w:rFonts w:ascii="Verdana" w:hAnsi="Verdana" w:cs="Calibri"/>
          <w:sz w:val="18"/>
          <w:szCs w:val="18"/>
          <w:lang w:val="el-GR"/>
        </w:rPr>
        <w:t>υγκεκριμένα</w:t>
      </w:r>
      <w:r w:rsidR="00106532" w:rsidRPr="00036E5F">
        <w:rPr>
          <w:rFonts w:ascii="Verdana" w:hAnsi="Verdana" w:cs="Calibri"/>
          <w:sz w:val="18"/>
          <w:szCs w:val="18"/>
          <w:lang w:val="el-GR"/>
        </w:rPr>
        <w:t>,</w:t>
      </w:r>
      <w:r w:rsidR="00B12C9A" w:rsidRPr="00036E5F">
        <w:rPr>
          <w:rFonts w:ascii="Verdana" w:hAnsi="Verdana" w:cs="Calibri"/>
          <w:sz w:val="18"/>
          <w:szCs w:val="18"/>
          <w:lang w:val="el-GR"/>
        </w:rPr>
        <w:t xml:space="preserve"> το ποσοστό αυτό έχει αυξηθεί από 20,2% που ήταν το 2011 σε 27,6% το 2021. </w:t>
      </w:r>
      <w:r w:rsidR="00490653">
        <w:rPr>
          <w:rFonts w:ascii="Verdana" w:hAnsi="Verdana" w:cs="Calibri"/>
          <w:sz w:val="18"/>
          <w:szCs w:val="18"/>
          <w:lang w:val="el-GR"/>
        </w:rPr>
        <w:t xml:space="preserve"> Τ</w:t>
      </w:r>
      <w:r w:rsidR="00474B7D">
        <w:rPr>
          <w:rFonts w:ascii="Verdana" w:hAnsi="Verdana" w:cs="Calibri"/>
          <w:sz w:val="18"/>
          <w:szCs w:val="18"/>
          <w:lang w:val="el-GR"/>
        </w:rPr>
        <w:t xml:space="preserve">ο ποσοστό των γυναικών που έχουν συμπληρώσει τριτοβάθμια πανεπιστημιακή εκπαίδευση είναι </w:t>
      </w:r>
      <w:r w:rsidR="00490653">
        <w:rPr>
          <w:rFonts w:ascii="Verdana" w:hAnsi="Verdana" w:cs="Calibri"/>
          <w:sz w:val="18"/>
          <w:szCs w:val="18"/>
          <w:lang w:val="el-GR"/>
        </w:rPr>
        <w:t xml:space="preserve">ελαφρώς </w:t>
      </w:r>
      <w:r w:rsidR="00474B7D">
        <w:rPr>
          <w:rFonts w:ascii="Verdana" w:hAnsi="Verdana" w:cs="Calibri"/>
          <w:sz w:val="18"/>
          <w:szCs w:val="18"/>
          <w:lang w:val="el-GR"/>
        </w:rPr>
        <w:t>ψηλότερο (28,1%) από το αντίστοιχο των αντρών (27,1%). Τα αντίστοιχα ποσοστά το 2011 ήταν 20,2% για τις γυναίκες και 20,3% για τους άντρες.</w:t>
      </w:r>
    </w:p>
    <w:p w14:paraId="7B5A01A8" w14:textId="77777777" w:rsidR="001D7F6E" w:rsidRPr="00E701CF" w:rsidRDefault="001D7F6E" w:rsidP="00F145C3">
      <w:pPr>
        <w:jc w:val="both"/>
        <w:rPr>
          <w:rFonts w:ascii="Verdana" w:hAnsi="Verdana" w:cs="Calibri"/>
          <w:sz w:val="18"/>
          <w:szCs w:val="18"/>
          <w:lang w:val="el-GR"/>
        </w:rPr>
      </w:pPr>
    </w:p>
    <w:p w14:paraId="2263F4D3" w14:textId="21FC60D0" w:rsidR="00783F65" w:rsidRPr="00783F65" w:rsidRDefault="00CE4925" w:rsidP="00B3719B">
      <w:pPr>
        <w:ind w:right="-1"/>
        <w:jc w:val="center"/>
        <w:rPr>
          <w:rFonts w:ascii="Verdana" w:hAnsi="Verdana" w:cs="Calibri"/>
          <w:sz w:val="18"/>
          <w:szCs w:val="18"/>
        </w:rPr>
      </w:pPr>
      <w:r>
        <w:rPr>
          <w:rFonts w:ascii="Verdana" w:hAnsi="Verdana" w:cs="Calibri"/>
          <w:noProof/>
          <w:sz w:val="18"/>
          <w:szCs w:val="18"/>
        </w:rPr>
        <w:drawing>
          <wp:inline distT="0" distB="0" distL="0" distR="0" wp14:anchorId="7F2E2899" wp14:editId="578199F6">
            <wp:extent cx="6071870" cy="3237230"/>
            <wp:effectExtent l="0" t="0" r="5080" b="1270"/>
            <wp:docPr id="16537682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1870" cy="3237230"/>
                    </a:xfrm>
                    <a:prstGeom prst="rect">
                      <a:avLst/>
                    </a:prstGeom>
                    <a:noFill/>
                  </pic:spPr>
                </pic:pic>
              </a:graphicData>
            </a:graphic>
          </wp:inline>
        </w:drawing>
      </w:r>
    </w:p>
    <w:p w14:paraId="4C560477" w14:textId="77777777" w:rsidR="0003799B" w:rsidRDefault="0003799B" w:rsidP="00F145C3">
      <w:pPr>
        <w:jc w:val="both"/>
        <w:rPr>
          <w:rFonts w:ascii="Verdana" w:hAnsi="Verdana" w:cs="Calibri"/>
          <w:b/>
          <w:bCs/>
          <w:sz w:val="18"/>
          <w:szCs w:val="18"/>
          <w:u w:val="single"/>
          <w:lang w:val="el-GR"/>
        </w:rPr>
      </w:pPr>
    </w:p>
    <w:p w14:paraId="0F8F93E9" w14:textId="7024BC3B" w:rsidR="0011703F" w:rsidRPr="00BF3865" w:rsidRDefault="00BF3865" w:rsidP="00F145C3">
      <w:pPr>
        <w:jc w:val="both"/>
        <w:rPr>
          <w:rFonts w:ascii="Verdana" w:hAnsi="Verdana" w:cs="Calibri"/>
          <w:b/>
          <w:bCs/>
          <w:sz w:val="18"/>
          <w:szCs w:val="18"/>
          <w:u w:val="single"/>
          <w:lang w:val="el-GR"/>
        </w:rPr>
      </w:pPr>
      <w:r w:rsidRPr="00BF3865">
        <w:rPr>
          <w:rFonts w:ascii="Verdana" w:hAnsi="Verdana" w:cs="Calibri"/>
          <w:b/>
          <w:bCs/>
          <w:sz w:val="18"/>
          <w:szCs w:val="18"/>
          <w:u w:val="single"/>
          <w:lang w:val="el-GR"/>
        </w:rPr>
        <w:t xml:space="preserve">Κατοικίες </w:t>
      </w:r>
    </w:p>
    <w:p w14:paraId="71E51E7D" w14:textId="77777777" w:rsidR="0011703F" w:rsidRDefault="0011703F" w:rsidP="00F145C3">
      <w:pPr>
        <w:jc w:val="both"/>
        <w:rPr>
          <w:rFonts w:ascii="Verdana" w:hAnsi="Verdana" w:cs="Calibri"/>
          <w:sz w:val="18"/>
          <w:szCs w:val="18"/>
          <w:lang w:val="el-GR"/>
        </w:rPr>
      </w:pPr>
    </w:p>
    <w:p w14:paraId="224F6C29" w14:textId="75B01DEC" w:rsidR="0011703F" w:rsidRDefault="000C404F" w:rsidP="00F145C3">
      <w:pPr>
        <w:jc w:val="both"/>
        <w:rPr>
          <w:rFonts w:ascii="Verdana" w:hAnsi="Verdana" w:cs="Calibri"/>
          <w:sz w:val="18"/>
          <w:szCs w:val="18"/>
          <w:lang w:val="el-GR"/>
        </w:rPr>
      </w:pPr>
      <w:r>
        <w:rPr>
          <w:rFonts w:ascii="Verdana" w:hAnsi="Verdana" w:cs="Calibri"/>
          <w:sz w:val="18"/>
          <w:szCs w:val="18"/>
          <w:lang w:val="el-GR"/>
        </w:rPr>
        <w:t xml:space="preserve">Από τις 492.931 κατοικίες που καταγράφηκαν συνολικά, οι 354.818 ήταν συνήθους διαμονής ενώ οι 138.113 ήταν κενές και προσωρινής διαμονής. </w:t>
      </w:r>
    </w:p>
    <w:p w14:paraId="0B3BAE80" w14:textId="77777777" w:rsidR="000C404F" w:rsidRDefault="000C404F" w:rsidP="00F145C3">
      <w:pPr>
        <w:jc w:val="both"/>
        <w:rPr>
          <w:rFonts w:ascii="Verdana" w:hAnsi="Verdana" w:cs="Calibri"/>
          <w:sz w:val="18"/>
          <w:szCs w:val="18"/>
          <w:lang w:val="el-GR"/>
        </w:rPr>
      </w:pPr>
    </w:p>
    <w:p w14:paraId="5975B2FA" w14:textId="14BBB5B8" w:rsidR="00DB1E90" w:rsidRPr="00AD561B" w:rsidRDefault="000C404F" w:rsidP="00F145C3">
      <w:pPr>
        <w:jc w:val="both"/>
        <w:rPr>
          <w:rFonts w:ascii="Verdana" w:hAnsi="Verdana" w:cs="Calibri"/>
          <w:sz w:val="18"/>
          <w:szCs w:val="18"/>
          <w:lang w:val="el-GR"/>
        </w:rPr>
      </w:pPr>
      <w:r w:rsidRPr="00F4060C">
        <w:rPr>
          <w:rFonts w:ascii="Verdana" w:hAnsi="Verdana" w:cs="Calibri"/>
          <w:sz w:val="18"/>
          <w:szCs w:val="18"/>
          <w:lang w:val="el-GR"/>
        </w:rPr>
        <w:t xml:space="preserve">Όσον αφορά στη γεωγραφική κατανομή των κατοικιών, </w:t>
      </w:r>
      <w:r w:rsidR="00C647C7" w:rsidRPr="00C647C7">
        <w:rPr>
          <w:rFonts w:ascii="Verdana" w:hAnsi="Verdana" w:cs="Calibri"/>
          <w:sz w:val="18"/>
          <w:szCs w:val="18"/>
          <w:lang w:val="el-GR"/>
        </w:rPr>
        <w:t xml:space="preserve">298.020 </w:t>
      </w:r>
      <w:r w:rsidR="00C647C7">
        <w:rPr>
          <w:rFonts w:ascii="Verdana" w:hAnsi="Verdana" w:cs="Calibri"/>
          <w:sz w:val="18"/>
          <w:szCs w:val="18"/>
          <w:lang w:val="el-GR"/>
        </w:rPr>
        <w:t>κατοικίες (</w:t>
      </w:r>
      <w:r w:rsidRPr="00F4060C">
        <w:rPr>
          <w:rFonts w:ascii="Verdana" w:hAnsi="Verdana" w:cs="Calibri"/>
          <w:sz w:val="18"/>
          <w:szCs w:val="18"/>
          <w:lang w:val="el-GR"/>
        </w:rPr>
        <w:t>60,5%</w:t>
      </w:r>
      <w:r w:rsidR="00C647C7">
        <w:rPr>
          <w:rFonts w:ascii="Verdana" w:hAnsi="Verdana" w:cs="Calibri"/>
          <w:sz w:val="18"/>
          <w:szCs w:val="18"/>
          <w:lang w:val="el-GR"/>
        </w:rPr>
        <w:t>)</w:t>
      </w:r>
      <w:r w:rsidRPr="00F4060C">
        <w:rPr>
          <w:rFonts w:ascii="Verdana" w:hAnsi="Verdana" w:cs="Calibri"/>
          <w:sz w:val="18"/>
          <w:szCs w:val="18"/>
          <w:lang w:val="el-GR"/>
        </w:rPr>
        <w:t xml:space="preserve"> καταγράφηκαν σ</w:t>
      </w:r>
      <w:r w:rsidR="001C4658">
        <w:rPr>
          <w:rFonts w:ascii="Verdana" w:hAnsi="Verdana" w:cs="Calibri"/>
          <w:sz w:val="18"/>
          <w:szCs w:val="18"/>
          <w:lang w:val="el-GR"/>
        </w:rPr>
        <w:t>τις</w:t>
      </w:r>
      <w:r w:rsidRPr="00F4060C">
        <w:rPr>
          <w:rFonts w:ascii="Verdana" w:hAnsi="Verdana" w:cs="Calibri"/>
          <w:sz w:val="18"/>
          <w:szCs w:val="18"/>
          <w:lang w:val="el-GR"/>
        </w:rPr>
        <w:t xml:space="preserve"> αστικές περιοχές και</w:t>
      </w:r>
      <w:r w:rsidR="00C647C7">
        <w:rPr>
          <w:rFonts w:ascii="Verdana" w:hAnsi="Verdana" w:cs="Calibri"/>
          <w:sz w:val="18"/>
          <w:szCs w:val="18"/>
          <w:lang w:val="el-GR"/>
        </w:rPr>
        <w:t xml:space="preserve"> 194.911 (3</w:t>
      </w:r>
      <w:r w:rsidRPr="00F4060C">
        <w:rPr>
          <w:rFonts w:ascii="Verdana" w:hAnsi="Verdana" w:cs="Calibri"/>
          <w:sz w:val="18"/>
          <w:szCs w:val="18"/>
          <w:lang w:val="el-GR"/>
        </w:rPr>
        <w:t>9,5%</w:t>
      </w:r>
      <w:r w:rsidR="00C647C7">
        <w:rPr>
          <w:rFonts w:ascii="Verdana" w:hAnsi="Verdana" w:cs="Calibri"/>
          <w:sz w:val="18"/>
          <w:szCs w:val="18"/>
          <w:lang w:val="el-GR"/>
        </w:rPr>
        <w:t>)</w:t>
      </w:r>
      <w:r w:rsidRPr="00F4060C">
        <w:rPr>
          <w:rFonts w:ascii="Verdana" w:hAnsi="Verdana" w:cs="Calibri"/>
          <w:sz w:val="18"/>
          <w:szCs w:val="18"/>
          <w:lang w:val="el-GR"/>
        </w:rPr>
        <w:t xml:space="preserve"> σ</w:t>
      </w:r>
      <w:r w:rsidR="001C4658">
        <w:rPr>
          <w:rFonts w:ascii="Verdana" w:hAnsi="Verdana" w:cs="Calibri"/>
          <w:sz w:val="18"/>
          <w:szCs w:val="18"/>
          <w:lang w:val="el-GR"/>
        </w:rPr>
        <w:t>τις</w:t>
      </w:r>
      <w:r w:rsidRPr="00F4060C">
        <w:rPr>
          <w:rFonts w:ascii="Verdana" w:hAnsi="Verdana" w:cs="Calibri"/>
          <w:sz w:val="18"/>
          <w:szCs w:val="18"/>
          <w:lang w:val="el-GR"/>
        </w:rPr>
        <w:t xml:space="preserve"> αγροτικές περιοχές. Στην επαρχία Λευκωσίας καταγράφηκ</w:t>
      </w:r>
      <w:r w:rsidR="002D0C95">
        <w:rPr>
          <w:rFonts w:ascii="Verdana" w:hAnsi="Verdana" w:cs="Calibri"/>
          <w:sz w:val="18"/>
          <w:szCs w:val="18"/>
          <w:lang w:val="el-GR"/>
        </w:rPr>
        <w:t>αν 163.350 κατοικίες (</w:t>
      </w:r>
      <w:r w:rsidRPr="00F4060C">
        <w:rPr>
          <w:rFonts w:ascii="Verdana" w:hAnsi="Verdana" w:cs="Calibri"/>
          <w:sz w:val="18"/>
          <w:szCs w:val="18"/>
          <w:lang w:val="el-GR"/>
        </w:rPr>
        <w:t xml:space="preserve"> 33,1%</w:t>
      </w:r>
      <w:r w:rsidR="002D0C95">
        <w:rPr>
          <w:rFonts w:ascii="Verdana" w:hAnsi="Verdana" w:cs="Calibri"/>
          <w:sz w:val="18"/>
          <w:szCs w:val="18"/>
          <w:lang w:val="el-GR"/>
        </w:rPr>
        <w:t>)</w:t>
      </w:r>
      <w:r w:rsidRPr="00F4060C">
        <w:rPr>
          <w:rFonts w:ascii="Verdana" w:hAnsi="Verdana" w:cs="Calibri"/>
          <w:sz w:val="18"/>
          <w:szCs w:val="18"/>
          <w:lang w:val="el-GR"/>
        </w:rPr>
        <w:t xml:space="preserve">, </w:t>
      </w:r>
      <w:r w:rsidR="00CF7244" w:rsidRPr="00F4060C">
        <w:rPr>
          <w:rFonts w:ascii="Verdana" w:hAnsi="Verdana" w:cs="Calibri"/>
          <w:sz w:val="18"/>
          <w:szCs w:val="18"/>
          <w:lang w:val="el-GR"/>
        </w:rPr>
        <w:t xml:space="preserve">στην επαρχία Λεμεσού </w:t>
      </w:r>
      <w:r w:rsidR="002D0C95">
        <w:rPr>
          <w:rFonts w:ascii="Verdana" w:hAnsi="Verdana" w:cs="Calibri"/>
          <w:sz w:val="18"/>
          <w:szCs w:val="18"/>
          <w:lang w:val="el-GR"/>
        </w:rPr>
        <w:t>132.574 (</w:t>
      </w:r>
      <w:r w:rsidR="00CF7244" w:rsidRPr="00F4060C">
        <w:rPr>
          <w:rFonts w:ascii="Verdana" w:hAnsi="Verdana" w:cs="Calibri"/>
          <w:sz w:val="18"/>
          <w:szCs w:val="18"/>
          <w:lang w:val="el-GR"/>
        </w:rPr>
        <w:t>26,9%</w:t>
      </w:r>
      <w:r w:rsidR="002D0C95">
        <w:rPr>
          <w:rFonts w:ascii="Verdana" w:hAnsi="Verdana" w:cs="Calibri"/>
          <w:sz w:val="18"/>
          <w:szCs w:val="18"/>
          <w:lang w:val="el-GR"/>
        </w:rPr>
        <w:t>)</w:t>
      </w:r>
      <w:r w:rsidR="00CF7244" w:rsidRPr="00F4060C">
        <w:rPr>
          <w:rFonts w:ascii="Verdana" w:hAnsi="Verdana" w:cs="Calibri"/>
          <w:sz w:val="18"/>
          <w:szCs w:val="18"/>
          <w:lang w:val="el-GR"/>
        </w:rPr>
        <w:t xml:space="preserve">, στην επαρχία Λάρνακας </w:t>
      </w:r>
      <w:r w:rsidR="002D0C95">
        <w:rPr>
          <w:rFonts w:ascii="Verdana" w:hAnsi="Verdana" w:cs="Calibri"/>
          <w:sz w:val="18"/>
          <w:szCs w:val="18"/>
          <w:lang w:val="el-GR"/>
        </w:rPr>
        <w:t>82.274 (</w:t>
      </w:r>
      <w:r w:rsidR="00CF7244" w:rsidRPr="00F4060C">
        <w:rPr>
          <w:rFonts w:ascii="Verdana" w:hAnsi="Verdana" w:cs="Calibri"/>
          <w:sz w:val="18"/>
          <w:szCs w:val="18"/>
          <w:lang w:val="el-GR"/>
        </w:rPr>
        <w:t>16,7%</w:t>
      </w:r>
      <w:r w:rsidR="002D0C95">
        <w:rPr>
          <w:rFonts w:ascii="Verdana" w:hAnsi="Verdana" w:cs="Calibri"/>
          <w:sz w:val="18"/>
          <w:szCs w:val="18"/>
          <w:lang w:val="el-GR"/>
        </w:rPr>
        <w:t>)</w:t>
      </w:r>
      <w:r w:rsidR="00CF7244" w:rsidRPr="00F4060C">
        <w:rPr>
          <w:rFonts w:ascii="Verdana" w:hAnsi="Verdana" w:cs="Calibri"/>
          <w:sz w:val="18"/>
          <w:szCs w:val="18"/>
          <w:lang w:val="el-GR"/>
        </w:rPr>
        <w:t>, στην επαρχία Πάφου</w:t>
      </w:r>
      <w:r w:rsidR="002D0C95">
        <w:rPr>
          <w:rFonts w:ascii="Verdana" w:hAnsi="Verdana" w:cs="Calibri"/>
          <w:sz w:val="18"/>
          <w:szCs w:val="18"/>
          <w:lang w:val="el-GR"/>
        </w:rPr>
        <w:t xml:space="preserve"> 74.473</w:t>
      </w:r>
      <w:r w:rsidR="00CF7244" w:rsidRPr="00F4060C">
        <w:rPr>
          <w:rFonts w:ascii="Verdana" w:hAnsi="Verdana" w:cs="Calibri"/>
          <w:sz w:val="18"/>
          <w:szCs w:val="18"/>
          <w:lang w:val="el-GR"/>
        </w:rPr>
        <w:t xml:space="preserve"> </w:t>
      </w:r>
      <w:r w:rsidR="002D0C95">
        <w:rPr>
          <w:rFonts w:ascii="Verdana" w:hAnsi="Verdana" w:cs="Calibri"/>
          <w:sz w:val="18"/>
          <w:szCs w:val="18"/>
          <w:lang w:val="el-GR"/>
        </w:rPr>
        <w:t>(</w:t>
      </w:r>
      <w:r w:rsidR="00CF7244" w:rsidRPr="00F4060C">
        <w:rPr>
          <w:rFonts w:ascii="Verdana" w:hAnsi="Verdana" w:cs="Calibri"/>
          <w:sz w:val="18"/>
          <w:szCs w:val="18"/>
          <w:lang w:val="el-GR"/>
        </w:rPr>
        <w:t>15,1%</w:t>
      </w:r>
      <w:r w:rsidR="002D0C95">
        <w:rPr>
          <w:rFonts w:ascii="Verdana" w:hAnsi="Verdana" w:cs="Calibri"/>
          <w:sz w:val="18"/>
          <w:szCs w:val="18"/>
          <w:lang w:val="el-GR"/>
        </w:rPr>
        <w:t>)</w:t>
      </w:r>
      <w:r w:rsidR="00CF7244" w:rsidRPr="00F4060C">
        <w:rPr>
          <w:rFonts w:ascii="Verdana" w:hAnsi="Verdana" w:cs="Calibri"/>
          <w:sz w:val="18"/>
          <w:szCs w:val="18"/>
          <w:lang w:val="el-GR"/>
        </w:rPr>
        <w:t xml:space="preserve"> και σ</w:t>
      </w:r>
      <w:r w:rsidRPr="00F4060C">
        <w:rPr>
          <w:rFonts w:ascii="Verdana" w:hAnsi="Verdana" w:cs="Calibri"/>
          <w:sz w:val="18"/>
          <w:szCs w:val="18"/>
          <w:lang w:val="el-GR"/>
        </w:rPr>
        <w:t>την επαρχία Αμμοχώστου</w:t>
      </w:r>
      <w:r w:rsidR="002D0C95">
        <w:rPr>
          <w:rFonts w:ascii="Verdana" w:hAnsi="Verdana" w:cs="Calibri"/>
          <w:sz w:val="18"/>
          <w:szCs w:val="18"/>
          <w:lang w:val="el-GR"/>
        </w:rPr>
        <w:t xml:space="preserve"> 40.260</w:t>
      </w:r>
      <w:r w:rsidRPr="00F4060C">
        <w:rPr>
          <w:rFonts w:ascii="Verdana" w:hAnsi="Verdana" w:cs="Calibri"/>
          <w:sz w:val="18"/>
          <w:szCs w:val="18"/>
          <w:lang w:val="el-GR"/>
        </w:rPr>
        <w:t xml:space="preserve"> </w:t>
      </w:r>
      <w:r w:rsidR="002D0C95">
        <w:rPr>
          <w:rFonts w:ascii="Verdana" w:hAnsi="Verdana" w:cs="Calibri"/>
          <w:sz w:val="18"/>
          <w:szCs w:val="18"/>
          <w:lang w:val="el-GR"/>
        </w:rPr>
        <w:t>(</w:t>
      </w:r>
      <w:r w:rsidRPr="00F4060C">
        <w:rPr>
          <w:rFonts w:ascii="Verdana" w:hAnsi="Verdana" w:cs="Calibri"/>
          <w:sz w:val="18"/>
          <w:szCs w:val="18"/>
          <w:lang w:val="el-GR"/>
        </w:rPr>
        <w:t>8,2%</w:t>
      </w:r>
      <w:r w:rsidR="002D0C95">
        <w:rPr>
          <w:rFonts w:ascii="Verdana" w:hAnsi="Verdana" w:cs="Calibri"/>
          <w:sz w:val="18"/>
          <w:szCs w:val="18"/>
          <w:lang w:val="el-GR"/>
        </w:rPr>
        <w:t>)</w:t>
      </w:r>
      <w:r w:rsidR="00CF7244" w:rsidRPr="00F4060C">
        <w:rPr>
          <w:rFonts w:ascii="Verdana" w:hAnsi="Verdana" w:cs="Calibri"/>
          <w:sz w:val="18"/>
          <w:szCs w:val="18"/>
          <w:lang w:val="el-GR"/>
        </w:rPr>
        <w:t>.</w:t>
      </w:r>
      <w:r w:rsidR="008E0A42" w:rsidRPr="00F4060C">
        <w:rPr>
          <w:rFonts w:ascii="Verdana" w:hAnsi="Verdana" w:cs="Calibri"/>
          <w:sz w:val="18"/>
          <w:szCs w:val="18"/>
          <w:lang w:val="el-GR"/>
        </w:rPr>
        <w:t xml:space="preserve"> </w:t>
      </w:r>
    </w:p>
    <w:p w14:paraId="666D0D3F" w14:textId="13601244" w:rsidR="000C404F" w:rsidRPr="00DB1E90" w:rsidRDefault="000C404F" w:rsidP="009F3D3E">
      <w:pPr>
        <w:ind w:right="-1"/>
        <w:jc w:val="both"/>
        <w:rPr>
          <w:rFonts w:ascii="Verdana" w:hAnsi="Verdana" w:cs="Calibri"/>
          <w:sz w:val="18"/>
          <w:szCs w:val="18"/>
          <w:lang w:val="el-GR"/>
        </w:rPr>
      </w:pPr>
    </w:p>
    <w:p w14:paraId="161C790F" w14:textId="6DC18CE1" w:rsidR="003373E3" w:rsidRPr="00DB1E90" w:rsidRDefault="00AA74DD" w:rsidP="009F3D3E">
      <w:pPr>
        <w:ind w:right="-1"/>
        <w:jc w:val="both"/>
        <w:rPr>
          <w:rFonts w:ascii="Verdana" w:hAnsi="Verdana" w:cs="Calibri"/>
          <w:sz w:val="18"/>
          <w:szCs w:val="18"/>
          <w:lang w:val="el-GR"/>
        </w:rPr>
      </w:pPr>
      <w:r>
        <w:rPr>
          <w:rFonts w:ascii="Verdana" w:hAnsi="Verdana" w:cs="Calibri"/>
          <w:noProof/>
          <w:sz w:val="18"/>
          <w:szCs w:val="18"/>
          <w:lang w:val="el-GR"/>
        </w:rPr>
        <w:drawing>
          <wp:inline distT="0" distB="0" distL="0" distR="0" wp14:anchorId="240749A4" wp14:editId="37F5DA39">
            <wp:extent cx="6066155" cy="2658110"/>
            <wp:effectExtent l="0" t="0" r="0" b="8890"/>
            <wp:docPr id="6861597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6155" cy="2658110"/>
                    </a:xfrm>
                    <a:prstGeom prst="rect">
                      <a:avLst/>
                    </a:prstGeom>
                    <a:noFill/>
                  </pic:spPr>
                </pic:pic>
              </a:graphicData>
            </a:graphic>
          </wp:inline>
        </w:drawing>
      </w:r>
    </w:p>
    <w:p w14:paraId="3502AE9A" w14:textId="77777777" w:rsidR="00B3719B" w:rsidRDefault="00CB349E" w:rsidP="00650B8D">
      <w:pPr>
        <w:ind w:right="-1"/>
        <w:jc w:val="both"/>
        <w:rPr>
          <w:rFonts w:ascii="Verdana" w:hAnsi="Verdana" w:cs="Calibri"/>
          <w:sz w:val="18"/>
          <w:szCs w:val="18"/>
          <w:lang w:val="el-GR"/>
        </w:rPr>
      </w:pPr>
      <w:r>
        <w:rPr>
          <w:noProof/>
        </w:rPr>
        <w:lastRenderedPageBreak/>
        <w:drawing>
          <wp:anchor distT="0" distB="0" distL="114300" distR="114300" simplePos="0" relativeHeight="251660288" behindDoc="0" locked="0" layoutInCell="1" allowOverlap="1" wp14:anchorId="77885D32" wp14:editId="43771136">
            <wp:simplePos x="0" y="0"/>
            <wp:positionH relativeFrom="column">
              <wp:posOffset>3810</wp:posOffset>
            </wp:positionH>
            <wp:positionV relativeFrom="paragraph">
              <wp:posOffset>-9073515</wp:posOffset>
            </wp:positionV>
            <wp:extent cx="6087600" cy="3310890"/>
            <wp:effectExtent l="0" t="0" r="8890" b="3810"/>
            <wp:wrapNone/>
            <wp:docPr id="1285000385" name="Chart 1">
              <a:extLst xmlns:a="http://schemas.openxmlformats.org/drawingml/2006/main">
                <a:ext uri="{FF2B5EF4-FFF2-40B4-BE49-F238E27FC236}">
                  <a16:creationId xmlns:a16="http://schemas.microsoft.com/office/drawing/2014/main" id="{9157BC02-7922-4ADD-B035-2B2E5D758B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5050545E" w14:textId="349590C2" w:rsidR="00650B8D" w:rsidRPr="009B33C8" w:rsidRDefault="00650B8D" w:rsidP="00F145C3">
      <w:pPr>
        <w:jc w:val="both"/>
        <w:rPr>
          <w:rFonts w:ascii="Verdana" w:hAnsi="Verdana" w:cs="Calibri"/>
          <w:sz w:val="18"/>
          <w:szCs w:val="18"/>
          <w:lang w:val="el-GR"/>
        </w:rPr>
      </w:pPr>
      <w:r w:rsidRPr="009B33C8">
        <w:rPr>
          <w:rFonts w:ascii="Verdana" w:hAnsi="Verdana" w:cs="Calibri"/>
          <w:sz w:val="18"/>
          <w:szCs w:val="18"/>
          <w:lang w:val="el-GR"/>
        </w:rPr>
        <w:t xml:space="preserve">Συγκριτικά με τα αποτελέσματα της Απογραφής του 2011, η μεγαλύτερη ποσοστιαία αύξηση </w:t>
      </w:r>
      <w:r>
        <w:rPr>
          <w:rFonts w:ascii="Verdana" w:hAnsi="Verdana" w:cs="Calibri"/>
          <w:sz w:val="18"/>
          <w:szCs w:val="18"/>
          <w:lang w:val="el-GR"/>
        </w:rPr>
        <w:t>στις κατοικίες</w:t>
      </w:r>
      <w:r w:rsidRPr="009B33C8">
        <w:rPr>
          <w:rFonts w:ascii="Verdana" w:hAnsi="Verdana" w:cs="Calibri"/>
          <w:sz w:val="18"/>
          <w:szCs w:val="18"/>
          <w:lang w:val="el-GR"/>
        </w:rPr>
        <w:t xml:space="preserve">  (1</w:t>
      </w:r>
      <w:r>
        <w:rPr>
          <w:rFonts w:ascii="Verdana" w:hAnsi="Verdana" w:cs="Calibri"/>
          <w:sz w:val="18"/>
          <w:szCs w:val="18"/>
          <w:lang w:val="el-GR"/>
        </w:rPr>
        <w:t>7</w:t>
      </w:r>
      <w:r w:rsidRPr="009B33C8">
        <w:rPr>
          <w:rFonts w:ascii="Verdana" w:hAnsi="Verdana" w:cs="Calibri"/>
          <w:sz w:val="18"/>
          <w:szCs w:val="18"/>
          <w:lang w:val="el-GR"/>
        </w:rPr>
        <w:t>,</w:t>
      </w:r>
      <w:r>
        <w:rPr>
          <w:rFonts w:ascii="Verdana" w:hAnsi="Verdana" w:cs="Calibri"/>
          <w:sz w:val="18"/>
          <w:szCs w:val="18"/>
          <w:lang w:val="el-GR"/>
        </w:rPr>
        <w:t>9</w:t>
      </w:r>
      <w:r w:rsidRPr="009B33C8">
        <w:rPr>
          <w:rFonts w:ascii="Verdana" w:hAnsi="Verdana" w:cs="Calibri"/>
          <w:sz w:val="18"/>
          <w:szCs w:val="18"/>
          <w:lang w:val="el-GR"/>
        </w:rPr>
        <w:t>%) παρουσιάζεται στην επαρχία Αμμοχώστου</w:t>
      </w:r>
      <w:r>
        <w:rPr>
          <w:rFonts w:ascii="Verdana" w:hAnsi="Verdana" w:cs="Calibri"/>
          <w:sz w:val="18"/>
          <w:szCs w:val="18"/>
          <w:lang w:val="el-GR"/>
        </w:rPr>
        <w:t xml:space="preserve"> και ακολουθούν οι επαρχίες Λεμεσού </w:t>
      </w:r>
      <w:r w:rsidRPr="009B33C8">
        <w:rPr>
          <w:rFonts w:ascii="Verdana" w:hAnsi="Verdana" w:cs="Calibri"/>
          <w:sz w:val="18"/>
          <w:szCs w:val="18"/>
          <w:lang w:val="el-GR"/>
        </w:rPr>
        <w:t>(1</w:t>
      </w:r>
      <w:r>
        <w:rPr>
          <w:rFonts w:ascii="Verdana" w:hAnsi="Verdana" w:cs="Calibri"/>
          <w:sz w:val="18"/>
          <w:szCs w:val="18"/>
          <w:lang w:val="el-GR"/>
        </w:rPr>
        <w:t>5</w:t>
      </w:r>
      <w:r w:rsidRPr="009B33C8">
        <w:rPr>
          <w:rFonts w:ascii="Verdana" w:hAnsi="Verdana" w:cs="Calibri"/>
          <w:sz w:val="18"/>
          <w:szCs w:val="18"/>
          <w:lang w:val="el-GR"/>
        </w:rPr>
        <w:t>,</w:t>
      </w:r>
      <w:r>
        <w:rPr>
          <w:rFonts w:ascii="Verdana" w:hAnsi="Verdana" w:cs="Calibri"/>
          <w:sz w:val="18"/>
          <w:szCs w:val="18"/>
          <w:lang w:val="el-GR"/>
        </w:rPr>
        <w:t>6</w:t>
      </w:r>
      <w:r w:rsidRPr="009B33C8">
        <w:rPr>
          <w:rFonts w:ascii="Verdana" w:hAnsi="Verdana" w:cs="Calibri"/>
          <w:sz w:val="18"/>
          <w:szCs w:val="18"/>
          <w:lang w:val="el-GR"/>
        </w:rPr>
        <w:t>%)</w:t>
      </w:r>
      <w:r>
        <w:rPr>
          <w:rFonts w:ascii="Verdana" w:hAnsi="Verdana" w:cs="Calibri"/>
          <w:sz w:val="18"/>
          <w:szCs w:val="18"/>
          <w:lang w:val="el-GR"/>
        </w:rPr>
        <w:t xml:space="preserve"> και Λευκωσίας</w:t>
      </w:r>
      <w:r w:rsidRPr="009B33C8">
        <w:rPr>
          <w:rFonts w:ascii="Verdana" w:hAnsi="Verdana" w:cs="Calibri"/>
          <w:sz w:val="18"/>
          <w:szCs w:val="18"/>
          <w:lang w:val="el-GR"/>
        </w:rPr>
        <w:t xml:space="preserve"> (1</w:t>
      </w:r>
      <w:r>
        <w:rPr>
          <w:rFonts w:ascii="Verdana" w:hAnsi="Verdana" w:cs="Calibri"/>
          <w:sz w:val="18"/>
          <w:szCs w:val="18"/>
          <w:lang w:val="el-GR"/>
        </w:rPr>
        <w:t>3</w:t>
      </w:r>
      <w:r w:rsidRPr="009B33C8">
        <w:rPr>
          <w:rFonts w:ascii="Verdana" w:hAnsi="Verdana" w:cs="Calibri"/>
          <w:sz w:val="18"/>
          <w:szCs w:val="18"/>
          <w:lang w:val="el-GR"/>
        </w:rPr>
        <w:t>,</w:t>
      </w:r>
      <w:r>
        <w:rPr>
          <w:rFonts w:ascii="Verdana" w:hAnsi="Verdana" w:cs="Calibri"/>
          <w:sz w:val="18"/>
          <w:szCs w:val="18"/>
          <w:lang w:val="el-GR"/>
        </w:rPr>
        <w:t>0</w:t>
      </w:r>
      <w:r w:rsidRPr="009B33C8">
        <w:rPr>
          <w:rFonts w:ascii="Verdana" w:hAnsi="Verdana" w:cs="Calibri"/>
          <w:sz w:val="18"/>
          <w:szCs w:val="18"/>
          <w:lang w:val="el-GR"/>
        </w:rPr>
        <w:t>%).</w:t>
      </w:r>
      <w:r>
        <w:rPr>
          <w:rFonts w:ascii="Verdana" w:hAnsi="Verdana" w:cs="Calibri"/>
          <w:sz w:val="18"/>
          <w:szCs w:val="18"/>
          <w:lang w:val="el-GR"/>
        </w:rPr>
        <w:t xml:space="preserve"> </w:t>
      </w:r>
    </w:p>
    <w:p w14:paraId="39CD79C4" w14:textId="77777777" w:rsidR="00650B8D" w:rsidRPr="00E701CF" w:rsidRDefault="00650B8D" w:rsidP="00F145C3">
      <w:pPr>
        <w:jc w:val="both"/>
        <w:rPr>
          <w:rFonts w:ascii="Verdana" w:hAnsi="Verdana" w:cs="Calibri"/>
          <w:sz w:val="18"/>
          <w:szCs w:val="18"/>
          <w:lang w:val="el-GR"/>
        </w:rPr>
      </w:pPr>
    </w:p>
    <w:p w14:paraId="7026F572" w14:textId="77777777" w:rsidR="00927879" w:rsidRPr="00E701CF" w:rsidRDefault="00927879" w:rsidP="00F145C3">
      <w:pPr>
        <w:jc w:val="both"/>
        <w:rPr>
          <w:rFonts w:ascii="Verdana" w:hAnsi="Verdana" w:cs="Calibri"/>
          <w:sz w:val="18"/>
          <w:szCs w:val="18"/>
          <w:lang w:val="el-GR"/>
        </w:rPr>
      </w:pPr>
    </w:p>
    <w:tbl>
      <w:tblPr>
        <w:tblW w:w="8700" w:type="dxa"/>
        <w:jc w:val="center"/>
        <w:tblLook w:val="04A0" w:firstRow="1" w:lastRow="0" w:firstColumn="1" w:lastColumn="0" w:noHBand="0" w:noVBand="1"/>
      </w:tblPr>
      <w:tblGrid>
        <w:gridCol w:w="2175"/>
        <w:gridCol w:w="2175"/>
        <w:gridCol w:w="2175"/>
        <w:gridCol w:w="2175"/>
      </w:tblGrid>
      <w:tr w:rsidR="00F145C3" w:rsidRPr="00F145C3" w14:paraId="34FB8C5B" w14:textId="77777777" w:rsidTr="00F145C3">
        <w:trPr>
          <w:trHeight w:val="310"/>
          <w:jc w:val="center"/>
        </w:trPr>
        <w:tc>
          <w:tcPr>
            <w:tcW w:w="2175" w:type="dxa"/>
            <w:tcBorders>
              <w:top w:val="nil"/>
              <w:left w:val="nil"/>
              <w:bottom w:val="single" w:sz="8" w:space="0" w:color="2F5496"/>
              <w:right w:val="nil"/>
            </w:tcBorders>
            <w:shd w:val="clear" w:color="auto" w:fill="auto"/>
            <w:vAlign w:val="center"/>
            <w:hideMark/>
          </w:tcPr>
          <w:p w14:paraId="2FA045A3" w14:textId="77777777" w:rsidR="00DB1E90" w:rsidRPr="00F145C3" w:rsidRDefault="00DB1E90" w:rsidP="00DB1E90">
            <w:pPr>
              <w:rPr>
                <w:rFonts w:ascii="Verdana" w:eastAsia="Times New Roman" w:hAnsi="Verdana" w:cs="Calibri"/>
                <w:b/>
                <w:bCs/>
                <w:color w:val="2F5496" w:themeColor="accent1" w:themeShade="BF"/>
                <w:sz w:val="18"/>
                <w:szCs w:val="18"/>
              </w:rPr>
            </w:pPr>
            <w:proofErr w:type="spellStart"/>
            <w:r w:rsidRPr="00F145C3">
              <w:rPr>
                <w:rFonts w:ascii="Verdana" w:eastAsia="Times New Roman" w:hAnsi="Verdana" w:cs="Calibri"/>
                <w:b/>
                <w:bCs/>
                <w:color w:val="2F5496" w:themeColor="accent1" w:themeShade="BF"/>
                <w:sz w:val="18"/>
                <w:szCs w:val="18"/>
              </w:rPr>
              <w:t>Πίν</w:t>
            </w:r>
            <w:proofErr w:type="spellEnd"/>
            <w:r w:rsidRPr="00F145C3">
              <w:rPr>
                <w:rFonts w:ascii="Verdana" w:eastAsia="Times New Roman" w:hAnsi="Verdana" w:cs="Calibri"/>
                <w:b/>
                <w:bCs/>
                <w:color w:val="2F5496" w:themeColor="accent1" w:themeShade="BF"/>
                <w:sz w:val="18"/>
                <w:szCs w:val="18"/>
              </w:rPr>
              <w:t>ακας 2</w:t>
            </w:r>
          </w:p>
        </w:tc>
        <w:tc>
          <w:tcPr>
            <w:tcW w:w="2175" w:type="dxa"/>
            <w:tcBorders>
              <w:top w:val="nil"/>
              <w:left w:val="nil"/>
              <w:bottom w:val="single" w:sz="8" w:space="0" w:color="2F5496"/>
              <w:right w:val="nil"/>
            </w:tcBorders>
            <w:shd w:val="clear" w:color="auto" w:fill="auto"/>
            <w:vAlign w:val="center"/>
            <w:hideMark/>
          </w:tcPr>
          <w:p w14:paraId="329C4F5D" w14:textId="77777777" w:rsidR="00DB1E90" w:rsidRPr="00F145C3" w:rsidRDefault="00DB1E90" w:rsidP="00DB1E90">
            <w:pPr>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 </w:t>
            </w:r>
          </w:p>
        </w:tc>
        <w:tc>
          <w:tcPr>
            <w:tcW w:w="2175" w:type="dxa"/>
            <w:tcBorders>
              <w:top w:val="nil"/>
              <w:left w:val="nil"/>
              <w:bottom w:val="single" w:sz="8" w:space="0" w:color="2F5496"/>
              <w:right w:val="nil"/>
            </w:tcBorders>
            <w:shd w:val="clear" w:color="auto" w:fill="auto"/>
            <w:vAlign w:val="center"/>
            <w:hideMark/>
          </w:tcPr>
          <w:p w14:paraId="319D71C3" w14:textId="77777777" w:rsidR="00DB1E90" w:rsidRPr="00F145C3" w:rsidRDefault="00DB1E90" w:rsidP="00DB1E90">
            <w:pPr>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 </w:t>
            </w:r>
          </w:p>
        </w:tc>
        <w:tc>
          <w:tcPr>
            <w:tcW w:w="2175" w:type="dxa"/>
            <w:tcBorders>
              <w:top w:val="nil"/>
              <w:left w:val="nil"/>
              <w:bottom w:val="single" w:sz="8" w:space="0" w:color="2F5496"/>
              <w:right w:val="nil"/>
            </w:tcBorders>
            <w:shd w:val="clear" w:color="auto" w:fill="auto"/>
            <w:vAlign w:val="center"/>
            <w:hideMark/>
          </w:tcPr>
          <w:p w14:paraId="00220A8E" w14:textId="77777777" w:rsidR="00DB1E90" w:rsidRPr="00F145C3" w:rsidRDefault="00DB1E90" w:rsidP="00DB1E90">
            <w:pPr>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 </w:t>
            </w:r>
          </w:p>
        </w:tc>
      </w:tr>
      <w:tr w:rsidR="00F145C3" w:rsidRPr="00F145C3" w14:paraId="48A9D6DD" w14:textId="77777777" w:rsidTr="00F145C3">
        <w:trPr>
          <w:trHeight w:val="310"/>
          <w:jc w:val="center"/>
        </w:trPr>
        <w:tc>
          <w:tcPr>
            <w:tcW w:w="2175" w:type="dxa"/>
            <w:vMerge w:val="restart"/>
            <w:tcBorders>
              <w:top w:val="nil"/>
              <w:left w:val="nil"/>
              <w:bottom w:val="single" w:sz="8" w:space="0" w:color="2F5496"/>
              <w:right w:val="nil"/>
            </w:tcBorders>
            <w:shd w:val="clear" w:color="auto" w:fill="auto"/>
            <w:vAlign w:val="center"/>
            <w:hideMark/>
          </w:tcPr>
          <w:p w14:paraId="31443D54" w14:textId="77777777" w:rsidR="00DB1E90" w:rsidRPr="00F145C3" w:rsidRDefault="00DB1E90" w:rsidP="00DB1E90">
            <w:pPr>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Επα</w:t>
            </w:r>
            <w:proofErr w:type="spellStart"/>
            <w:r w:rsidRPr="00F145C3">
              <w:rPr>
                <w:rFonts w:ascii="Verdana" w:eastAsia="Times New Roman" w:hAnsi="Verdana" w:cs="Calibri"/>
                <w:b/>
                <w:bCs/>
                <w:color w:val="2F5496" w:themeColor="accent1" w:themeShade="BF"/>
                <w:sz w:val="18"/>
                <w:szCs w:val="18"/>
              </w:rPr>
              <w:t>ρχί</w:t>
            </w:r>
            <w:proofErr w:type="spellEnd"/>
            <w:r w:rsidRPr="00F145C3">
              <w:rPr>
                <w:rFonts w:ascii="Verdana" w:eastAsia="Times New Roman" w:hAnsi="Verdana" w:cs="Calibri"/>
                <w:b/>
                <w:bCs/>
                <w:color w:val="2F5496" w:themeColor="accent1" w:themeShade="BF"/>
                <w:sz w:val="18"/>
                <w:szCs w:val="18"/>
              </w:rPr>
              <w:t>α</w:t>
            </w:r>
          </w:p>
        </w:tc>
        <w:tc>
          <w:tcPr>
            <w:tcW w:w="6525" w:type="dxa"/>
            <w:gridSpan w:val="3"/>
            <w:tcBorders>
              <w:top w:val="single" w:sz="8" w:space="0" w:color="2F5496"/>
              <w:left w:val="nil"/>
              <w:bottom w:val="single" w:sz="8" w:space="0" w:color="2F5496"/>
              <w:right w:val="nil"/>
            </w:tcBorders>
            <w:shd w:val="clear" w:color="auto" w:fill="auto"/>
            <w:vAlign w:val="center"/>
            <w:hideMark/>
          </w:tcPr>
          <w:p w14:paraId="21F17F35" w14:textId="77777777" w:rsidR="00DB1E90" w:rsidRPr="00F145C3" w:rsidRDefault="00DB1E90" w:rsidP="00DB1E90">
            <w:pPr>
              <w:jc w:val="center"/>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Κα</w:t>
            </w:r>
            <w:proofErr w:type="spellStart"/>
            <w:r w:rsidRPr="00F145C3">
              <w:rPr>
                <w:rFonts w:ascii="Verdana" w:eastAsia="Times New Roman" w:hAnsi="Verdana" w:cs="Calibri"/>
                <w:b/>
                <w:bCs/>
                <w:color w:val="2F5496" w:themeColor="accent1" w:themeShade="BF"/>
                <w:sz w:val="18"/>
                <w:szCs w:val="18"/>
              </w:rPr>
              <w:t>τοικίες</w:t>
            </w:r>
            <w:proofErr w:type="spellEnd"/>
          </w:p>
        </w:tc>
      </w:tr>
      <w:tr w:rsidR="00F145C3" w:rsidRPr="00F145C3" w14:paraId="2E01FC3A" w14:textId="77777777" w:rsidTr="00F145C3">
        <w:trPr>
          <w:trHeight w:val="484"/>
          <w:jc w:val="center"/>
        </w:trPr>
        <w:tc>
          <w:tcPr>
            <w:tcW w:w="2175" w:type="dxa"/>
            <w:vMerge/>
            <w:tcBorders>
              <w:top w:val="nil"/>
              <w:left w:val="nil"/>
              <w:bottom w:val="single" w:sz="8" w:space="0" w:color="2F5496"/>
              <w:right w:val="nil"/>
            </w:tcBorders>
            <w:vAlign w:val="center"/>
            <w:hideMark/>
          </w:tcPr>
          <w:p w14:paraId="36A4C87C" w14:textId="77777777" w:rsidR="00DB1E90" w:rsidRPr="00F145C3" w:rsidRDefault="00DB1E90" w:rsidP="00DB1E90">
            <w:pPr>
              <w:rPr>
                <w:rFonts w:ascii="Verdana" w:eastAsia="Times New Roman" w:hAnsi="Verdana" w:cs="Calibri"/>
                <w:b/>
                <w:bCs/>
                <w:color w:val="2F5496" w:themeColor="accent1" w:themeShade="BF"/>
                <w:sz w:val="18"/>
                <w:szCs w:val="18"/>
              </w:rPr>
            </w:pPr>
          </w:p>
        </w:tc>
        <w:tc>
          <w:tcPr>
            <w:tcW w:w="2175" w:type="dxa"/>
            <w:tcBorders>
              <w:top w:val="nil"/>
              <w:left w:val="nil"/>
              <w:bottom w:val="single" w:sz="8" w:space="0" w:color="2F5496"/>
              <w:right w:val="nil"/>
            </w:tcBorders>
            <w:shd w:val="clear" w:color="auto" w:fill="auto"/>
            <w:vAlign w:val="center"/>
            <w:hideMark/>
          </w:tcPr>
          <w:p w14:paraId="6AABFB9C" w14:textId="2F643150" w:rsidR="00DB1E90" w:rsidRPr="00F145C3" w:rsidRDefault="00DB1E90" w:rsidP="00DB1E90">
            <w:pPr>
              <w:jc w:val="center"/>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1</w:t>
            </w:r>
            <w:r w:rsidR="00214F2F" w:rsidRPr="00F145C3">
              <w:rPr>
                <w:rFonts w:ascii="Verdana" w:eastAsia="Times New Roman" w:hAnsi="Verdana" w:cs="Calibri"/>
                <w:b/>
                <w:bCs/>
                <w:color w:val="2F5496" w:themeColor="accent1" w:themeShade="BF"/>
                <w:sz w:val="18"/>
                <w:szCs w:val="18"/>
                <w:lang w:val="el-GR"/>
              </w:rPr>
              <w:t>.</w:t>
            </w:r>
            <w:r w:rsidRPr="00F145C3">
              <w:rPr>
                <w:rFonts w:ascii="Verdana" w:eastAsia="Times New Roman" w:hAnsi="Verdana" w:cs="Calibri"/>
                <w:b/>
                <w:bCs/>
                <w:color w:val="2F5496" w:themeColor="accent1" w:themeShade="BF"/>
                <w:sz w:val="18"/>
                <w:szCs w:val="18"/>
              </w:rPr>
              <w:t>10</w:t>
            </w:r>
            <w:r w:rsidR="00214F2F" w:rsidRPr="00F145C3">
              <w:rPr>
                <w:rFonts w:ascii="Verdana" w:eastAsia="Times New Roman" w:hAnsi="Verdana" w:cs="Calibri"/>
                <w:b/>
                <w:bCs/>
                <w:color w:val="2F5496" w:themeColor="accent1" w:themeShade="BF"/>
                <w:sz w:val="18"/>
                <w:szCs w:val="18"/>
                <w:lang w:val="el-GR"/>
              </w:rPr>
              <w:t>.</w:t>
            </w:r>
            <w:r w:rsidRPr="00F145C3">
              <w:rPr>
                <w:rFonts w:ascii="Verdana" w:eastAsia="Times New Roman" w:hAnsi="Verdana" w:cs="Calibri"/>
                <w:b/>
                <w:bCs/>
                <w:color w:val="2F5496" w:themeColor="accent1" w:themeShade="BF"/>
                <w:sz w:val="18"/>
                <w:szCs w:val="18"/>
              </w:rPr>
              <w:t>2021</w:t>
            </w:r>
          </w:p>
        </w:tc>
        <w:tc>
          <w:tcPr>
            <w:tcW w:w="2175" w:type="dxa"/>
            <w:tcBorders>
              <w:top w:val="nil"/>
              <w:left w:val="nil"/>
              <w:bottom w:val="single" w:sz="8" w:space="0" w:color="2F5496"/>
              <w:right w:val="nil"/>
            </w:tcBorders>
            <w:shd w:val="clear" w:color="auto" w:fill="auto"/>
            <w:vAlign w:val="center"/>
            <w:hideMark/>
          </w:tcPr>
          <w:p w14:paraId="62E08336" w14:textId="763ADA0C" w:rsidR="00DB1E90" w:rsidRPr="00F145C3" w:rsidRDefault="00DB1E90" w:rsidP="00DB1E90">
            <w:pPr>
              <w:jc w:val="center"/>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1</w:t>
            </w:r>
            <w:r w:rsidR="00214F2F" w:rsidRPr="00F145C3">
              <w:rPr>
                <w:rFonts w:ascii="Verdana" w:eastAsia="Times New Roman" w:hAnsi="Verdana" w:cs="Calibri"/>
                <w:b/>
                <w:bCs/>
                <w:color w:val="2F5496" w:themeColor="accent1" w:themeShade="BF"/>
                <w:sz w:val="18"/>
                <w:szCs w:val="18"/>
                <w:lang w:val="el-GR"/>
              </w:rPr>
              <w:t>.</w:t>
            </w:r>
            <w:r w:rsidRPr="00F145C3">
              <w:rPr>
                <w:rFonts w:ascii="Verdana" w:eastAsia="Times New Roman" w:hAnsi="Verdana" w:cs="Calibri"/>
                <w:b/>
                <w:bCs/>
                <w:color w:val="2F5496" w:themeColor="accent1" w:themeShade="BF"/>
                <w:sz w:val="18"/>
                <w:szCs w:val="18"/>
              </w:rPr>
              <w:t>10</w:t>
            </w:r>
            <w:r w:rsidR="00214F2F" w:rsidRPr="00F145C3">
              <w:rPr>
                <w:rFonts w:ascii="Verdana" w:eastAsia="Times New Roman" w:hAnsi="Verdana" w:cs="Calibri"/>
                <w:b/>
                <w:bCs/>
                <w:color w:val="2F5496" w:themeColor="accent1" w:themeShade="BF"/>
                <w:sz w:val="18"/>
                <w:szCs w:val="18"/>
                <w:lang w:val="el-GR"/>
              </w:rPr>
              <w:t>.</w:t>
            </w:r>
            <w:r w:rsidRPr="00F145C3">
              <w:rPr>
                <w:rFonts w:ascii="Verdana" w:eastAsia="Times New Roman" w:hAnsi="Verdana" w:cs="Calibri"/>
                <w:b/>
                <w:bCs/>
                <w:color w:val="2F5496" w:themeColor="accent1" w:themeShade="BF"/>
                <w:sz w:val="18"/>
                <w:szCs w:val="18"/>
              </w:rPr>
              <w:t>2011</w:t>
            </w:r>
          </w:p>
        </w:tc>
        <w:tc>
          <w:tcPr>
            <w:tcW w:w="2175" w:type="dxa"/>
            <w:tcBorders>
              <w:top w:val="nil"/>
              <w:left w:val="nil"/>
              <w:bottom w:val="single" w:sz="8" w:space="0" w:color="2F5496"/>
              <w:right w:val="nil"/>
            </w:tcBorders>
            <w:shd w:val="clear" w:color="auto" w:fill="auto"/>
            <w:vAlign w:val="center"/>
            <w:hideMark/>
          </w:tcPr>
          <w:p w14:paraId="5A168BE7" w14:textId="77777777" w:rsidR="00DB1E90" w:rsidRPr="00F145C3" w:rsidRDefault="00DB1E90" w:rsidP="00DB1E90">
            <w:pPr>
              <w:jc w:val="center"/>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 xml:space="preserve">% </w:t>
            </w:r>
            <w:proofErr w:type="spellStart"/>
            <w:r w:rsidRPr="00F145C3">
              <w:rPr>
                <w:rFonts w:ascii="Verdana" w:eastAsia="Times New Roman" w:hAnsi="Verdana" w:cs="Calibri"/>
                <w:b/>
                <w:bCs/>
                <w:color w:val="2F5496" w:themeColor="accent1" w:themeShade="BF"/>
                <w:sz w:val="18"/>
                <w:szCs w:val="18"/>
              </w:rPr>
              <w:t>Αύξησης</w:t>
            </w:r>
            <w:proofErr w:type="spellEnd"/>
            <w:r w:rsidRPr="00F145C3">
              <w:rPr>
                <w:rFonts w:ascii="Verdana" w:eastAsia="Times New Roman" w:hAnsi="Verdana" w:cs="Calibri"/>
                <w:b/>
                <w:bCs/>
                <w:color w:val="2F5496" w:themeColor="accent1" w:themeShade="BF"/>
                <w:sz w:val="18"/>
                <w:szCs w:val="18"/>
              </w:rPr>
              <w:t xml:space="preserve"> 2021/2011</w:t>
            </w:r>
          </w:p>
        </w:tc>
      </w:tr>
      <w:tr w:rsidR="00F145C3" w:rsidRPr="00F145C3" w14:paraId="0568F2C8" w14:textId="77777777" w:rsidTr="00F145C3">
        <w:trPr>
          <w:trHeight w:val="298"/>
          <w:jc w:val="center"/>
        </w:trPr>
        <w:tc>
          <w:tcPr>
            <w:tcW w:w="2175" w:type="dxa"/>
            <w:tcBorders>
              <w:top w:val="nil"/>
              <w:left w:val="nil"/>
              <w:bottom w:val="nil"/>
              <w:right w:val="nil"/>
            </w:tcBorders>
            <w:shd w:val="clear" w:color="auto" w:fill="auto"/>
            <w:vAlign w:val="center"/>
            <w:hideMark/>
          </w:tcPr>
          <w:p w14:paraId="1D3618B6" w14:textId="77777777" w:rsidR="00DB1E90" w:rsidRPr="00F145C3" w:rsidRDefault="00DB1E90" w:rsidP="00DB1E90">
            <w:pPr>
              <w:rPr>
                <w:rFonts w:ascii="Verdana" w:eastAsia="Times New Roman" w:hAnsi="Verdana" w:cs="Calibri"/>
                <w:color w:val="2F5496" w:themeColor="accent1" w:themeShade="BF"/>
                <w:sz w:val="18"/>
                <w:szCs w:val="18"/>
              </w:rPr>
            </w:pPr>
            <w:proofErr w:type="spellStart"/>
            <w:r w:rsidRPr="00F145C3">
              <w:rPr>
                <w:rFonts w:ascii="Verdana" w:eastAsia="Times New Roman" w:hAnsi="Verdana" w:cs="Calibri"/>
                <w:color w:val="2F5496" w:themeColor="accent1" w:themeShade="BF"/>
                <w:sz w:val="18"/>
                <w:szCs w:val="18"/>
              </w:rPr>
              <w:t>Λευκωσί</w:t>
            </w:r>
            <w:proofErr w:type="spellEnd"/>
            <w:r w:rsidRPr="00F145C3">
              <w:rPr>
                <w:rFonts w:ascii="Verdana" w:eastAsia="Times New Roman" w:hAnsi="Verdana" w:cs="Calibri"/>
                <w:color w:val="2F5496" w:themeColor="accent1" w:themeShade="BF"/>
                <w:sz w:val="18"/>
                <w:szCs w:val="18"/>
              </w:rPr>
              <w:t>α</w:t>
            </w:r>
          </w:p>
        </w:tc>
        <w:tc>
          <w:tcPr>
            <w:tcW w:w="2175" w:type="dxa"/>
            <w:tcBorders>
              <w:top w:val="nil"/>
              <w:left w:val="nil"/>
              <w:bottom w:val="nil"/>
              <w:right w:val="nil"/>
            </w:tcBorders>
            <w:shd w:val="clear" w:color="auto" w:fill="auto"/>
            <w:vAlign w:val="center"/>
            <w:hideMark/>
          </w:tcPr>
          <w:p w14:paraId="3F5EB737" w14:textId="77777777" w:rsidR="00DB1E90" w:rsidRPr="00F145C3" w:rsidRDefault="00DB1E90" w:rsidP="00F145C3">
            <w:pPr>
              <w:ind w:right="567"/>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163.350</w:t>
            </w:r>
          </w:p>
        </w:tc>
        <w:tc>
          <w:tcPr>
            <w:tcW w:w="2175" w:type="dxa"/>
            <w:tcBorders>
              <w:top w:val="nil"/>
              <w:left w:val="nil"/>
              <w:bottom w:val="nil"/>
              <w:right w:val="nil"/>
            </w:tcBorders>
            <w:shd w:val="clear" w:color="auto" w:fill="auto"/>
            <w:vAlign w:val="center"/>
            <w:hideMark/>
          </w:tcPr>
          <w:p w14:paraId="2FA77C31" w14:textId="77777777" w:rsidR="00DB1E90" w:rsidRPr="00F145C3" w:rsidRDefault="00DB1E90" w:rsidP="00F145C3">
            <w:pPr>
              <w:ind w:right="510"/>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144.556</w:t>
            </w:r>
          </w:p>
        </w:tc>
        <w:tc>
          <w:tcPr>
            <w:tcW w:w="2175" w:type="dxa"/>
            <w:tcBorders>
              <w:top w:val="nil"/>
              <w:left w:val="nil"/>
              <w:bottom w:val="nil"/>
              <w:right w:val="nil"/>
            </w:tcBorders>
            <w:shd w:val="clear" w:color="auto" w:fill="auto"/>
            <w:vAlign w:val="center"/>
            <w:hideMark/>
          </w:tcPr>
          <w:p w14:paraId="47543B04" w14:textId="77777777" w:rsidR="00DB1E90" w:rsidRPr="00F145C3" w:rsidRDefault="00DB1E90" w:rsidP="00F145C3">
            <w:pPr>
              <w:ind w:right="737"/>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13,0</w:t>
            </w:r>
          </w:p>
        </w:tc>
      </w:tr>
      <w:tr w:rsidR="00F145C3" w:rsidRPr="00F145C3" w14:paraId="778007DA" w14:textId="77777777" w:rsidTr="00F145C3">
        <w:trPr>
          <w:trHeight w:val="298"/>
          <w:jc w:val="center"/>
        </w:trPr>
        <w:tc>
          <w:tcPr>
            <w:tcW w:w="2175" w:type="dxa"/>
            <w:tcBorders>
              <w:top w:val="nil"/>
              <w:left w:val="nil"/>
              <w:bottom w:val="nil"/>
              <w:right w:val="nil"/>
            </w:tcBorders>
            <w:shd w:val="clear" w:color="auto" w:fill="auto"/>
            <w:vAlign w:val="center"/>
            <w:hideMark/>
          </w:tcPr>
          <w:p w14:paraId="26368C78" w14:textId="77777777" w:rsidR="00DB1E90" w:rsidRPr="00F145C3" w:rsidRDefault="00DB1E90" w:rsidP="00DB1E90">
            <w:pPr>
              <w:rPr>
                <w:rFonts w:ascii="Verdana" w:eastAsia="Times New Roman" w:hAnsi="Verdana" w:cs="Calibri"/>
                <w:color w:val="2F5496" w:themeColor="accent1" w:themeShade="BF"/>
                <w:sz w:val="18"/>
                <w:szCs w:val="18"/>
              </w:rPr>
            </w:pPr>
            <w:proofErr w:type="spellStart"/>
            <w:r w:rsidRPr="00F145C3">
              <w:rPr>
                <w:rFonts w:ascii="Verdana" w:eastAsia="Times New Roman" w:hAnsi="Verdana" w:cs="Calibri"/>
                <w:color w:val="2F5496" w:themeColor="accent1" w:themeShade="BF"/>
                <w:sz w:val="18"/>
                <w:szCs w:val="18"/>
              </w:rPr>
              <w:t>Αμμόχωστος</w:t>
            </w:r>
            <w:proofErr w:type="spellEnd"/>
          </w:p>
        </w:tc>
        <w:tc>
          <w:tcPr>
            <w:tcW w:w="2175" w:type="dxa"/>
            <w:tcBorders>
              <w:top w:val="nil"/>
              <w:left w:val="nil"/>
              <w:bottom w:val="nil"/>
              <w:right w:val="nil"/>
            </w:tcBorders>
            <w:shd w:val="clear" w:color="auto" w:fill="auto"/>
            <w:vAlign w:val="center"/>
            <w:hideMark/>
          </w:tcPr>
          <w:p w14:paraId="15B798B6" w14:textId="77777777" w:rsidR="00DB1E90" w:rsidRPr="00F145C3" w:rsidRDefault="00DB1E90" w:rsidP="00F145C3">
            <w:pPr>
              <w:ind w:right="567"/>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40.260</w:t>
            </w:r>
          </w:p>
        </w:tc>
        <w:tc>
          <w:tcPr>
            <w:tcW w:w="2175" w:type="dxa"/>
            <w:tcBorders>
              <w:top w:val="nil"/>
              <w:left w:val="nil"/>
              <w:bottom w:val="nil"/>
              <w:right w:val="nil"/>
            </w:tcBorders>
            <w:shd w:val="clear" w:color="auto" w:fill="auto"/>
            <w:vAlign w:val="center"/>
            <w:hideMark/>
          </w:tcPr>
          <w:p w14:paraId="3F6A2BAD" w14:textId="77777777" w:rsidR="00DB1E90" w:rsidRPr="00F145C3" w:rsidRDefault="00DB1E90" w:rsidP="00F145C3">
            <w:pPr>
              <w:ind w:right="510"/>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34.150</w:t>
            </w:r>
          </w:p>
        </w:tc>
        <w:tc>
          <w:tcPr>
            <w:tcW w:w="2175" w:type="dxa"/>
            <w:tcBorders>
              <w:top w:val="nil"/>
              <w:left w:val="nil"/>
              <w:bottom w:val="nil"/>
              <w:right w:val="nil"/>
            </w:tcBorders>
            <w:shd w:val="clear" w:color="auto" w:fill="auto"/>
            <w:vAlign w:val="center"/>
            <w:hideMark/>
          </w:tcPr>
          <w:p w14:paraId="671A501B" w14:textId="77777777" w:rsidR="00DB1E90" w:rsidRPr="00F145C3" w:rsidRDefault="00DB1E90" w:rsidP="00F145C3">
            <w:pPr>
              <w:ind w:right="737"/>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17,9</w:t>
            </w:r>
          </w:p>
        </w:tc>
      </w:tr>
      <w:tr w:rsidR="00F145C3" w:rsidRPr="00F145C3" w14:paraId="506A1A27" w14:textId="77777777" w:rsidTr="00F145C3">
        <w:trPr>
          <w:trHeight w:val="298"/>
          <w:jc w:val="center"/>
        </w:trPr>
        <w:tc>
          <w:tcPr>
            <w:tcW w:w="2175" w:type="dxa"/>
            <w:tcBorders>
              <w:top w:val="nil"/>
              <w:left w:val="nil"/>
              <w:bottom w:val="nil"/>
              <w:right w:val="nil"/>
            </w:tcBorders>
            <w:shd w:val="clear" w:color="auto" w:fill="auto"/>
            <w:vAlign w:val="center"/>
            <w:hideMark/>
          </w:tcPr>
          <w:p w14:paraId="05BA338E" w14:textId="77777777" w:rsidR="00DB1E90" w:rsidRPr="00F145C3" w:rsidRDefault="00DB1E90" w:rsidP="00DB1E90">
            <w:pPr>
              <w:rPr>
                <w:rFonts w:ascii="Verdana" w:eastAsia="Times New Roman" w:hAnsi="Verdana" w:cs="Calibri"/>
                <w:color w:val="2F5496" w:themeColor="accent1" w:themeShade="BF"/>
                <w:sz w:val="18"/>
                <w:szCs w:val="18"/>
              </w:rPr>
            </w:pPr>
            <w:proofErr w:type="spellStart"/>
            <w:r w:rsidRPr="00F145C3">
              <w:rPr>
                <w:rFonts w:ascii="Verdana" w:eastAsia="Times New Roman" w:hAnsi="Verdana" w:cs="Calibri"/>
                <w:color w:val="2F5496" w:themeColor="accent1" w:themeShade="BF"/>
                <w:sz w:val="18"/>
                <w:szCs w:val="18"/>
              </w:rPr>
              <w:t>Λάρν</w:t>
            </w:r>
            <w:proofErr w:type="spellEnd"/>
            <w:r w:rsidRPr="00F145C3">
              <w:rPr>
                <w:rFonts w:ascii="Verdana" w:eastAsia="Times New Roman" w:hAnsi="Verdana" w:cs="Calibri"/>
                <w:color w:val="2F5496" w:themeColor="accent1" w:themeShade="BF"/>
                <w:sz w:val="18"/>
                <w:szCs w:val="18"/>
              </w:rPr>
              <w:t>ακα</w:t>
            </w:r>
          </w:p>
        </w:tc>
        <w:tc>
          <w:tcPr>
            <w:tcW w:w="2175" w:type="dxa"/>
            <w:tcBorders>
              <w:top w:val="nil"/>
              <w:left w:val="nil"/>
              <w:bottom w:val="nil"/>
              <w:right w:val="nil"/>
            </w:tcBorders>
            <w:shd w:val="clear" w:color="auto" w:fill="auto"/>
            <w:vAlign w:val="center"/>
            <w:hideMark/>
          </w:tcPr>
          <w:p w14:paraId="53587DB7" w14:textId="77777777" w:rsidR="00DB1E90" w:rsidRPr="00F145C3" w:rsidRDefault="00DB1E90" w:rsidP="00F145C3">
            <w:pPr>
              <w:ind w:right="567"/>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82.274</w:t>
            </w:r>
          </w:p>
        </w:tc>
        <w:tc>
          <w:tcPr>
            <w:tcW w:w="2175" w:type="dxa"/>
            <w:tcBorders>
              <w:top w:val="nil"/>
              <w:left w:val="nil"/>
              <w:bottom w:val="nil"/>
              <w:right w:val="nil"/>
            </w:tcBorders>
            <w:shd w:val="clear" w:color="auto" w:fill="auto"/>
            <w:vAlign w:val="center"/>
            <w:hideMark/>
          </w:tcPr>
          <w:p w14:paraId="04DBB8FD" w14:textId="77777777" w:rsidR="00DB1E90" w:rsidRPr="00F145C3" w:rsidRDefault="00DB1E90" w:rsidP="00F145C3">
            <w:pPr>
              <w:ind w:right="510"/>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73.676</w:t>
            </w:r>
          </w:p>
        </w:tc>
        <w:tc>
          <w:tcPr>
            <w:tcW w:w="2175" w:type="dxa"/>
            <w:tcBorders>
              <w:top w:val="nil"/>
              <w:left w:val="nil"/>
              <w:bottom w:val="nil"/>
              <w:right w:val="nil"/>
            </w:tcBorders>
            <w:shd w:val="clear" w:color="auto" w:fill="auto"/>
            <w:vAlign w:val="center"/>
            <w:hideMark/>
          </w:tcPr>
          <w:p w14:paraId="7C547DC6" w14:textId="77777777" w:rsidR="00DB1E90" w:rsidRPr="00F145C3" w:rsidRDefault="00DB1E90" w:rsidP="00F145C3">
            <w:pPr>
              <w:ind w:right="737"/>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11,7</w:t>
            </w:r>
          </w:p>
        </w:tc>
      </w:tr>
      <w:tr w:rsidR="00F145C3" w:rsidRPr="00F145C3" w14:paraId="3637AEF4" w14:textId="77777777" w:rsidTr="00F145C3">
        <w:trPr>
          <w:trHeight w:val="298"/>
          <w:jc w:val="center"/>
        </w:trPr>
        <w:tc>
          <w:tcPr>
            <w:tcW w:w="2175" w:type="dxa"/>
            <w:tcBorders>
              <w:top w:val="nil"/>
              <w:left w:val="nil"/>
              <w:bottom w:val="nil"/>
              <w:right w:val="nil"/>
            </w:tcBorders>
            <w:shd w:val="clear" w:color="auto" w:fill="auto"/>
            <w:vAlign w:val="center"/>
            <w:hideMark/>
          </w:tcPr>
          <w:p w14:paraId="117A2283" w14:textId="77777777" w:rsidR="00DB1E90" w:rsidRPr="00F145C3" w:rsidRDefault="00DB1E90" w:rsidP="00DB1E90">
            <w:pPr>
              <w:rPr>
                <w:rFonts w:ascii="Verdana" w:eastAsia="Times New Roman" w:hAnsi="Verdana" w:cs="Calibri"/>
                <w:color w:val="2F5496" w:themeColor="accent1" w:themeShade="BF"/>
                <w:sz w:val="18"/>
                <w:szCs w:val="18"/>
              </w:rPr>
            </w:pPr>
            <w:proofErr w:type="spellStart"/>
            <w:r w:rsidRPr="00F145C3">
              <w:rPr>
                <w:rFonts w:ascii="Verdana" w:eastAsia="Times New Roman" w:hAnsi="Verdana" w:cs="Calibri"/>
                <w:color w:val="2F5496" w:themeColor="accent1" w:themeShade="BF"/>
                <w:sz w:val="18"/>
                <w:szCs w:val="18"/>
              </w:rPr>
              <w:t>Λεμεσός</w:t>
            </w:r>
            <w:proofErr w:type="spellEnd"/>
          </w:p>
        </w:tc>
        <w:tc>
          <w:tcPr>
            <w:tcW w:w="2175" w:type="dxa"/>
            <w:tcBorders>
              <w:top w:val="nil"/>
              <w:left w:val="nil"/>
              <w:bottom w:val="nil"/>
              <w:right w:val="nil"/>
            </w:tcBorders>
            <w:shd w:val="clear" w:color="auto" w:fill="auto"/>
            <w:vAlign w:val="center"/>
            <w:hideMark/>
          </w:tcPr>
          <w:p w14:paraId="158AB4FD" w14:textId="77777777" w:rsidR="00DB1E90" w:rsidRPr="00F145C3" w:rsidRDefault="00DB1E90" w:rsidP="00F145C3">
            <w:pPr>
              <w:ind w:right="567"/>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132.574</w:t>
            </w:r>
          </w:p>
        </w:tc>
        <w:tc>
          <w:tcPr>
            <w:tcW w:w="2175" w:type="dxa"/>
            <w:tcBorders>
              <w:top w:val="nil"/>
              <w:left w:val="nil"/>
              <w:bottom w:val="nil"/>
              <w:right w:val="nil"/>
            </w:tcBorders>
            <w:shd w:val="clear" w:color="auto" w:fill="auto"/>
            <w:vAlign w:val="center"/>
            <w:hideMark/>
          </w:tcPr>
          <w:p w14:paraId="054E06A3" w14:textId="77777777" w:rsidR="00DB1E90" w:rsidRPr="00F145C3" w:rsidRDefault="00DB1E90" w:rsidP="00F145C3">
            <w:pPr>
              <w:ind w:right="510"/>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114.662</w:t>
            </w:r>
          </w:p>
        </w:tc>
        <w:tc>
          <w:tcPr>
            <w:tcW w:w="2175" w:type="dxa"/>
            <w:tcBorders>
              <w:top w:val="nil"/>
              <w:left w:val="nil"/>
              <w:bottom w:val="nil"/>
              <w:right w:val="nil"/>
            </w:tcBorders>
            <w:shd w:val="clear" w:color="auto" w:fill="auto"/>
            <w:vAlign w:val="center"/>
            <w:hideMark/>
          </w:tcPr>
          <w:p w14:paraId="1D613B96" w14:textId="77777777" w:rsidR="00DB1E90" w:rsidRPr="00F145C3" w:rsidRDefault="00DB1E90" w:rsidP="00F145C3">
            <w:pPr>
              <w:ind w:right="737"/>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15,6</w:t>
            </w:r>
          </w:p>
        </w:tc>
      </w:tr>
      <w:tr w:rsidR="00F145C3" w:rsidRPr="00F145C3" w14:paraId="6E8D2037" w14:textId="77777777" w:rsidTr="00F145C3">
        <w:trPr>
          <w:trHeight w:val="310"/>
          <w:jc w:val="center"/>
        </w:trPr>
        <w:tc>
          <w:tcPr>
            <w:tcW w:w="2175" w:type="dxa"/>
            <w:tcBorders>
              <w:top w:val="nil"/>
              <w:left w:val="nil"/>
              <w:bottom w:val="single" w:sz="8" w:space="0" w:color="2F5496"/>
              <w:right w:val="nil"/>
            </w:tcBorders>
            <w:shd w:val="clear" w:color="auto" w:fill="auto"/>
            <w:vAlign w:val="center"/>
            <w:hideMark/>
          </w:tcPr>
          <w:p w14:paraId="113F88BB" w14:textId="77777777" w:rsidR="00DB1E90" w:rsidRPr="00F145C3" w:rsidRDefault="00DB1E90" w:rsidP="00DB1E90">
            <w:pPr>
              <w:rPr>
                <w:rFonts w:ascii="Verdana" w:eastAsia="Times New Roman" w:hAnsi="Verdana" w:cs="Calibri"/>
                <w:color w:val="2F5496" w:themeColor="accent1" w:themeShade="BF"/>
                <w:sz w:val="18"/>
                <w:szCs w:val="18"/>
              </w:rPr>
            </w:pPr>
            <w:proofErr w:type="spellStart"/>
            <w:r w:rsidRPr="00F145C3">
              <w:rPr>
                <w:rFonts w:ascii="Verdana" w:eastAsia="Times New Roman" w:hAnsi="Verdana" w:cs="Calibri"/>
                <w:color w:val="2F5496" w:themeColor="accent1" w:themeShade="BF"/>
                <w:sz w:val="18"/>
                <w:szCs w:val="18"/>
              </w:rPr>
              <w:t>Πάφος</w:t>
            </w:r>
            <w:proofErr w:type="spellEnd"/>
          </w:p>
        </w:tc>
        <w:tc>
          <w:tcPr>
            <w:tcW w:w="2175" w:type="dxa"/>
            <w:tcBorders>
              <w:top w:val="nil"/>
              <w:left w:val="nil"/>
              <w:bottom w:val="single" w:sz="8" w:space="0" w:color="2F5496"/>
              <w:right w:val="nil"/>
            </w:tcBorders>
            <w:shd w:val="clear" w:color="auto" w:fill="auto"/>
            <w:vAlign w:val="center"/>
            <w:hideMark/>
          </w:tcPr>
          <w:p w14:paraId="4D6D295A" w14:textId="77777777" w:rsidR="00DB1E90" w:rsidRPr="00F145C3" w:rsidRDefault="00DB1E90" w:rsidP="00F145C3">
            <w:pPr>
              <w:ind w:right="567"/>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74.473</w:t>
            </w:r>
          </w:p>
        </w:tc>
        <w:tc>
          <w:tcPr>
            <w:tcW w:w="2175" w:type="dxa"/>
            <w:tcBorders>
              <w:top w:val="nil"/>
              <w:left w:val="nil"/>
              <w:bottom w:val="single" w:sz="8" w:space="0" w:color="2F5496"/>
              <w:right w:val="nil"/>
            </w:tcBorders>
            <w:shd w:val="clear" w:color="auto" w:fill="auto"/>
            <w:vAlign w:val="center"/>
            <w:hideMark/>
          </w:tcPr>
          <w:p w14:paraId="6FD83D1B" w14:textId="77777777" w:rsidR="00DB1E90" w:rsidRPr="00F145C3" w:rsidRDefault="00DB1E90" w:rsidP="00F145C3">
            <w:pPr>
              <w:ind w:right="510"/>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66.168</w:t>
            </w:r>
          </w:p>
        </w:tc>
        <w:tc>
          <w:tcPr>
            <w:tcW w:w="2175" w:type="dxa"/>
            <w:tcBorders>
              <w:top w:val="nil"/>
              <w:left w:val="nil"/>
              <w:bottom w:val="single" w:sz="8" w:space="0" w:color="2F5496"/>
              <w:right w:val="nil"/>
            </w:tcBorders>
            <w:shd w:val="clear" w:color="auto" w:fill="auto"/>
            <w:vAlign w:val="center"/>
            <w:hideMark/>
          </w:tcPr>
          <w:p w14:paraId="55AD25B9" w14:textId="77777777" w:rsidR="00DB1E90" w:rsidRPr="00F145C3" w:rsidRDefault="00DB1E90" w:rsidP="00F145C3">
            <w:pPr>
              <w:ind w:right="737"/>
              <w:jc w:val="right"/>
              <w:rPr>
                <w:rFonts w:ascii="Verdana" w:eastAsia="Times New Roman" w:hAnsi="Verdana" w:cs="Calibri"/>
                <w:color w:val="2F5496" w:themeColor="accent1" w:themeShade="BF"/>
                <w:sz w:val="18"/>
                <w:szCs w:val="18"/>
              </w:rPr>
            </w:pPr>
            <w:r w:rsidRPr="00F145C3">
              <w:rPr>
                <w:rFonts w:ascii="Verdana" w:eastAsia="Times New Roman" w:hAnsi="Verdana" w:cs="Calibri"/>
                <w:color w:val="2F5496" w:themeColor="accent1" w:themeShade="BF"/>
                <w:sz w:val="18"/>
                <w:szCs w:val="18"/>
              </w:rPr>
              <w:t>12,6</w:t>
            </w:r>
          </w:p>
        </w:tc>
      </w:tr>
      <w:tr w:rsidR="00F145C3" w:rsidRPr="00F145C3" w14:paraId="6DDA2915" w14:textId="77777777" w:rsidTr="00F145C3">
        <w:trPr>
          <w:trHeight w:val="310"/>
          <w:jc w:val="center"/>
        </w:trPr>
        <w:tc>
          <w:tcPr>
            <w:tcW w:w="2175" w:type="dxa"/>
            <w:tcBorders>
              <w:top w:val="nil"/>
              <w:left w:val="nil"/>
              <w:bottom w:val="single" w:sz="8" w:space="0" w:color="2F5496"/>
              <w:right w:val="nil"/>
            </w:tcBorders>
            <w:shd w:val="clear" w:color="auto" w:fill="auto"/>
            <w:vAlign w:val="center"/>
            <w:hideMark/>
          </w:tcPr>
          <w:p w14:paraId="3719E168" w14:textId="77777777" w:rsidR="00DB1E90" w:rsidRPr="00F145C3" w:rsidRDefault="00DB1E90" w:rsidP="00DB1E90">
            <w:pPr>
              <w:rPr>
                <w:rFonts w:ascii="Verdana" w:eastAsia="Times New Roman" w:hAnsi="Verdana" w:cs="Calibri"/>
                <w:b/>
                <w:bCs/>
                <w:color w:val="2F5496" w:themeColor="accent1" w:themeShade="BF"/>
                <w:sz w:val="18"/>
                <w:szCs w:val="18"/>
              </w:rPr>
            </w:pPr>
            <w:proofErr w:type="spellStart"/>
            <w:r w:rsidRPr="00F145C3">
              <w:rPr>
                <w:rFonts w:ascii="Verdana" w:eastAsia="Times New Roman" w:hAnsi="Verdana" w:cs="Calibri"/>
                <w:b/>
                <w:bCs/>
                <w:color w:val="2F5496" w:themeColor="accent1" w:themeShade="BF"/>
                <w:sz w:val="18"/>
                <w:szCs w:val="18"/>
              </w:rPr>
              <w:t>Σύνολο</w:t>
            </w:r>
            <w:proofErr w:type="spellEnd"/>
          </w:p>
        </w:tc>
        <w:tc>
          <w:tcPr>
            <w:tcW w:w="2175" w:type="dxa"/>
            <w:tcBorders>
              <w:top w:val="nil"/>
              <w:left w:val="nil"/>
              <w:bottom w:val="single" w:sz="8" w:space="0" w:color="2F5496"/>
              <w:right w:val="nil"/>
            </w:tcBorders>
            <w:shd w:val="clear" w:color="auto" w:fill="auto"/>
            <w:vAlign w:val="center"/>
            <w:hideMark/>
          </w:tcPr>
          <w:p w14:paraId="76E91D55" w14:textId="77777777" w:rsidR="00DB1E90" w:rsidRPr="00F145C3" w:rsidRDefault="00DB1E90" w:rsidP="00F145C3">
            <w:pPr>
              <w:ind w:right="567"/>
              <w:jc w:val="right"/>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492.931</w:t>
            </w:r>
          </w:p>
        </w:tc>
        <w:tc>
          <w:tcPr>
            <w:tcW w:w="2175" w:type="dxa"/>
            <w:tcBorders>
              <w:top w:val="nil"/>
              <w:left w:val="nil"/>
              <w:bottom w:val="single" w:sz="8" w:space="0" w:color="2F5496"/>
              <w:right w:val="nil"/>
            </w:tcBorders>
            <w:shd w:val="clear" w:color="auto" w:fill="auto"/>
            <w:vAlign w:val="center"/>
            <w:hideMark/>
          </w:tcPr>
          <w:p w14:paraId="68173BD0" w14:textId="77777777" w:rsidR="00DB1E90" w:rsidRPr="00F145C3" w:rsidRDefault="00DB1E90" w:rsidP="00F145C3">
            <w:pPr>
              <w:ind w:right="510"/>
              <w:jc w:val="right"/>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433.212</w:t>
            </w:r>
          </w:p>
        </w:tc>
        <w:tc>
          <w:tcPr>
            <w:tcW w:w="2175" w:type="dxa"/>
            <w:tcBorders>
              <w:top w:val="nil"/>
              <w:left w:val="nil"/>
              <w:bottom w:val="single" w:sz="8" w:space="0" w:color="2F5496"/>
              <w:right w:val="nil"/>
            </w:tcBorders>
            <w:shd w:val="clear" w:color="auto" w:fill="auto"/>
            <w:vAlign w:val="center"/>
            <w:hideMark/>
          </w:tcPr>
          <w:p w14:paraId="5E5E972B" w14:textId="77777777" w:rsidR="00DB1E90" w:rsidRPr="00F145C3" w:rsidRDefault="00DB1E90" w:rsidP="00F145C3">
            <w:pPr>
              <w:ind w:right="737"/>
              <w:jc w:val="right"/>
              <w:rPr>
                <w:rFonts w:ascii="Verdana" w:eastAsia="Times New Roman" w:hAnsi="Verdana" w:cs="Calibri"/>
                <w:b/>
                <w:bCs/>
                <w:color w:val="2F5496" w:themeColor="accent1" w:themeShade="BF"/>
                <w:sz w:val="18"/>
                <w:szCs w:val="18"/>
              </w:rPr>
            </w:pPr>
            <w:r w:rsidRPr="00F145C3">
              <w:rPr>
                <w:rFonts w:ascii="Verdana" w:eastAsia="Times New Roman" w:hAnsi="Verdana" w:cs="Calibri"/>
                <w:b/>
                <w:bCs/>
                <w:color w:val="2F5496" w:themeColor="accent1" w:themeShade="BF"/>
                <w:sz w:val="18"/>
                <w:szCs w:val="18"/>
              </w:rPr>
              <w:t>13,8</w:t>
            </w:r>
          </w:p>
        </w:tc>
      </w:tr>
    </w:tbl>
    <w:p w14:paraId="0262A76F" w14:textId="77777777" w:rsidR="006200A6" w:rsidRDefault="006200A6" w:rsidP="009F3D3E">
      <w:pPr>
        <w:ind w:right="-1"/>
        <w:jc w:val="both"/>
        <w:rPr>
          <w:rFonts w:ascii="Verdana" w:hAnsi="Verdana" w:cs="Calibri"/>
          <w:sz w:val="18"/>
          <w:szCs w:val="18"/>
          <w:lang w:val="el-GR"/>
        </w:rPr>
      </w:pPr>
    </w:p>
    <w:p w14:paraId="5D66D82D" w14:textId="77777777" w:rsidR="007072D3" w:rsidRDefault="007072D3" w:rsidP="00F145C3">
      <w:pPr>
        <w:jc w:val="both"/>
        <w:rPr>
          <w:rFonts w:ascii="Verdana" w:hAnsi="Verdana" w:cs="Calibri"/>
          <w:sz w:val="18"/>
          <w:szCs w:val="18"/>
          <w:lang w:val="el-GR"/>
        </w:rPr>
      </w:pPr>
    </w:p>
    <w:p w14:paraId="76C219F8" w14:textId="77777777" w:rsidR="00A91D55" w:rsidRPr="005A5C3E" w:rsidRDefault="00A91D55" w:rsidP="00F145C3">
      <w:pPr>
        <w:jc w:val="both"/>
        <w:rPr>
          <w:rFonts w:ascii="Verdana" w:hAnsi="Verdana" w:cs="Calibri"/>
          <w:sz w:val="18"/>
          <w:szCs w:val="18"/>
          <w:lang w:val="el-GR"/>
        </w:rPr>
      </w:pPr>
      <w:bookmarkStart w:id="0" w:name="_Hlk173833096"/>
      <w:r>
        <w:rPr>
          <w:rFonts w:ascii="Verdana" w:hAnsi="Verdana" w:cs="Calibri"/>
          <w:sz w:val="18"/>
          <w:szCs w:val="18"/>
          <w:lang w:val="el-GR"/>
        </w:rPr>
        <w:t>Στο διάγραμμα που ακολουθεί παρουσιάζεται η ποσοστιαία κατανομή των κατοικιών κατά επαρχία και αστική/αγροτική περιοχή.</w:t>
      </w:r>
    </w:p>
    <w:bookmarkEnd w:id="0"/>
    <w:p w14:paraId="48834A5F" w14:textId="77777777" w:rsidR="007072D3" w:rsidRDefault="007072D3" w:rsidP="00F145C3">
      <w:pPr>
        <w:jc w:val="both"/>
        <w:rPr>
          <w:rFonts w:ascii="Verdana" w:hAnsi="Verdana" w:cs="Calibri"/>
          <w:sz w:val="18"/>
          <w:szCs w:val="18"/>
          <w:lang w:val="el-GR"/>
        </w:rPr>
      </w:pPr>
    </w:p>
    <w:p w14:paraId="1315EA04" w14:textId="3358A877" w:rsidR="00A91D55" w:rsidRPr="007072D3" w:rsidRDefault="00F145C3" w:rsidP="00F145C3">
      <w:pPr>
        <w:jc w:val="center"/>
        <w:rPr>
          <w:rFonts w:ascii="Verdana" w:hAnsi="Verdana" w:cs="Calibri"/>
          <w:sz w:val="18"/>
          <w:szCs w:val="18"/>
          <w:lang w:val="el-GR"/>
        </w:rPr>
      </w:pPr>
      <w:r>
        <w:rPr>
          <w:rFonts w:ascii="Verdana" w:hAnsi="Verdana" w:cs="Calibri"/>
          <w:noProof/>
          <w:sz w:val="18"/>
          <w:szCs w:val="18"/>
          <w:lang w:val="el-GR"/>
        </w:rPr>
        <w:drawing>
          <wp:inline distT="0" distB="0" distL="0" distR="0" wp14:anchorId="3BC3613B" wp14:editId="48C11BE9">
            <wp:extent cx="6066155" cy="3743325"/>
            <wp:effectExtent l="0" t="0" r="0" b="9525"/>
            <wp:docPr id="13108821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6155" cy="3743325"/>
                    </a:xfrm>
                    <a:prstGeom prst="rect">
                      <a:avLst/>
                    </a:prstGeom>
                    <a:noFill/>
                  </pic:spPr>
                </pic:pic>
              </a:graphicData>
            </a:graphic>
          </wp:inline>
        </w:drawing>
      </w:r>
    </w:p>
    <w:p w14:paraId="2D8A05C9" w14:textId="77777777" w:rsidR="00F145C3" w:rsidRDefault="00F145C3" w:rsidP="00F145C3">
      <w:pPr>
        <w:jc w:val="both"/>
        <w:rPr>
          <w:rFonts w:ascii="Verdana" w:hAnsi="Verdana" w:cs="Calibri"/>
          <w:sz w:val="18"/>
          <w:szCs w:val="18"/>
          <w:lang w:val="el-GR"/>
        </w:rPr>
      </w:pPr>
    </w:p>
    <w:p w14:paraId="04CCB5E0" w14:textId="77777777" w:rsidR="00F145C3" w:rsidRDefault="00F145C3" w:rsidP="00F145C3">
      <w:pPr>
        <w:jc w:val="both"/>
        <w:rPr>
          <w:rFonts w:ascii="Verdana" w:hAnsi="Verdana" w:cs="Calibri"/>
          <w:sz w:val="18"/>
          <w:szCs w:val="18"/>
          <w:lang w:val="el-GR"/>
        </w:rPr>
      </w:pPr>
    </w:p>
    <w:p w14:paraId="08B8BC5F" w14:textId="1EE734F9" w:rsidR="00927879" w:rsidRDefault="0033333E" w:rsidP="00F145C3">
      <w:pPr>
        <w:jc w:val="both"/>
        <w:rPr>
          <w:rFonts w:ascii="Verdana" w:hAnsi="Verdana" w:cs="Calibri"/>
          <w:sz w:val="18"/>
          <w:szCs w:val="18"/>
          <w:lang w:val="el-GR"/>
        </w:rPr>
      </w:pPr>
      <w:r>
        <w:rPr>
          <w:rFonts w:ascii="Verdana" w:hAnsi="Verdana" w:cs="Calibri"/>
          <w:sz w:val="18"/>
          <w:szCs w:val="18"/>
          <w:lang w:val="el-GR"/>
        </w:rPr>
        <w:t xml:space="preserve">Από τις 492.931 κατοικίες που καταγράφηκαν συνολικά, οι </w:t>
      </w:r>
      <w:r w:rsidR="00927879">
        <w:rPr>
          <w:rFonts w:ascii="Verdana" w:hAnsi="Verdana" w:cs="Calibri"/>
          <w:sz w:val="18"/>
          <w:szCs w:val="18"/>
          <w:lang w:val="el-GR"/>
        </w:rPr>
        <w:t>491.545 ήταν κανονικές κατοικίες</w:t>
      </w:r>
      <w:r>
        <w:rPr>
          <w:rFonts w:ascii="Verdana" w:hAnsi="Verdana" w:cs="Calibri"/>
          <w:sz w:val="18"/>
          <w:szCs w:val="18"/>
          <w:lang w:val="el-GR"/>
        </w:rPr>
        <w:t xml:space="preserve">, </w:t>
      </w:r>
      <w:r w:rsidR="00927879">
        <w:rPr>
          <w:rFonts w:ascii="Verdana" w:hAnsi="Verdana" w:cs="Calibri"/>
          <w:sz w:val="18"/>
          <w:szCs w:val="18"/>
          <w:lang w:val="el-GR"/>
        </w:rPr>
        <w:t>είχαν</w:t>
      </w:r>
      <w:r>
        <w:rPr>
          <w:rFonts w:ascii="Verdana" w:hAnsi="Verdana" w:cs="Calibri"/>
          <w:sz w:val="18"/>
          <w:szCs w:val="18"/>
          <w:lang w:val="el-GR"/>
        </w:rPr>
        <w:t xml:space="preserve"> δηλαδή</w:t>
      </w:r>
      <w:r w:rsidR="00927879">
        <w:rPr>
          <w:rFonts w:ascii="Verdana" w:hAnsi="Verdana" w:cs="Calibri"/>
          <w:sz w:val="18"/>
          <w:szCs w:val="18"/>
          <w:lang w:val="el-GR"/>
        </w:rPr>
        <w:t xml:space="preserve"> κτιστεί για σκοπούς κατοίκησης,</w:t>
      </w:r>
      <w:r>
        <w:rPr>
          <w:rFonts w:ascii="Verdana" w:hAnsi="Verdana" w:cs="Calibri"/>
          <w:sz w:val="18"/>
          <w:szCs w:val="18"/>
          <w:lang w:val="el-GR"/>
        </w:rPr>
        <w:t xml:space="preserve"> ενώ οι 1.386 ήταν μη κανονικές κατοικίες, δηλ. δεν είχαν κτιστεί για σκοπούς κατοίκησης, ωστόσο χρησιμοποιούνταν ως τόπος διαμονής από ένα ή περισσότερα άτομα (π.χ. </w:t>
      </w:r>
      <w:r w:rsidR="00F34F29">
        <w:rPr>
          <w:rFonts w:ascii="Verdana" w:hAnsi="Verdana" w:cs="Calibri"/>
          <w:sz w:val="18"/>
          <w:szCs w:val="18"/>
          <w:lang w:val="el-GR"/>
        </w:rPr>
        <w:t xml:space="preserve">ένα </w:t>
      </w:r>
      <w:r>
        <w:rPr>
          <w:rFonts w:ascii="Verdana" w:hAnsi="Verdana" w:cs="Calibri"/>
          <w:sz w:val="18"/>
          <w:szCs w:val="18"/>
          <w:lang w:val="el-GR"/>
        </w:rPr>
        <w:t xml:space="preserve">κατάστημα). Από τις 491.545 κανονικές κατοικίες, </w:t>
      </w:r>
      <w:r w:rsidR="00927879">
        <w:rPr>
          <w:rFonts w:ascii="Verdana" w:hAnsi="Verdana" w:cs="Calibri"/>
          <w:sz w:val="18"/>
          <w:szCs w:val="18"/>
          <w:lang w:val="el-GR"/>
        </w:rPr>
        <w:t>οι 353.432 ήταν κατοικημένες</w:t>
      </w:r>
      <w:r>
        <w:rPr>
          <w:rFonts w:ascii="Verdana" w:hAnsi="Verdana" w:cs="Calibri"/>
          <w:sz w:val="18"/>
          <w:szCs w:val="18"/>
          <w:lang w:val="el-GR"/>
        </w:rPr>
        <w:t xml:space="preserve">, εκ των οποίων οι 247.019 (69,9%) ήταν ιδιόκτητες, οι 74.809 (21,2%) ήταν </w:t>
      </w:r>
      <w:r w:rsidR="00927879">
        <w:rPr>
          <w:rFonts w:ascii="Verdana" w:hAnsi="Verdana" w:cs="Calibri"/>
          <w:sz w:val="18"/>
          <w:szCs w:val="18"/>
          <w:lang w:val="el-GR"/>
        </w:rPr>
        <w:t>ενοικιαζόμενες</w:t>
      </w:r>
      <w:r w:rsidR="00B45EB9" w:rsidRPr="00B45EB9">
        <w:rPr>
          <w:rFonts w:ascii="Verdana" w:hAnsi="Verdana" w:cs="Calibri"/>
          <w:sz w:val="18"/>
          <w:szCs w:val="18"/>
          <w:lang w:val="el-GR"/>
        </w:rPr>
        <w:t xml:space="preserve"> </w:t>
      </w:r>
      <w:r w:rsidR="00B45EB9">
        <w:rPr>
          <w:rFonts w:ascii="Verdana" w:hAnsi="Verdana" w:cs="Calibri"/>
          <w:sz w:val="18"/>
          <w:szCs w:val="18"/>
          <w:lang w:val="el-GR"/>
        </w:rPr>
        <w:t xml:space="preserve">και </w:t>
      </w:r>
      <w:r w:rsidR="00F34F29">
        <w:rPr>
          <w:rFonts w:ascii="Verdana" w:hAnsi="Verdana" w:cs="Calibri"/>
          <w:sz w:val="18"/>
          <w:szCs w:val="18"/>
          <w:lang w:val="el-GR"/>
        </w:rPr>
        <w:t>οι</w:t>
      </w:r>
      <w:r>
        <w:rPr>
          <w:rFonts w:ascii="Verdana" w:hAnsi="Verdana" w:cs="Calibri"/>
          <w:sz w:val="18"/>
          <w:szCs w:val="18"/>
          <w:lang w:val="el-GR"/>
        </w:rPr>
        <w:t xml:space="preserve"> 17.890</w:t>
      </w:r>
      <w:r w:rsidR="00927879">
        <w:rPr>
          <w:rFonts w:ascii="Verdana" w:hAnsi="Verdana" w:cs="Calibri"/>
          <w:sz w:val="18"/>
          <w:szCs w:val="18"/>
          <w:lang w:val="el-GR"/>
        </w:rPr>
        <w:t xml:space="preserve"> </w:t>
      </w:r>
      <w:r w:rsidR="00F34F29">
        <w:rPr>
          <w:rFonts w:ascii="Verdana" w:hAnsi="Verdana" w:cs="Calibri"/>
          <w:sz w:val="18"/>
          <w:szCs w:val="18"/>
          <w:lang w:val="el-GR"/>
        </w:rPr>
        <w:t xml:space="preserve">(5,1%)  ήταν παραχωρημένες </w:t>
      </w:r>
      <w:r w:rsidR="00FE64F8">
        <w:rPr>
          <w:rFonts w:ascii="Verdana" w:hAnsi="Verdana" w:cs="Calibri"/>
          <w:sz w:val="18"/>
          <w:szCs w:val="18"/>
          <w:lang w:val="el-GR"/>
        </w:rPr>
        <w:t xml:space="preserve">για </w:t>
      </w:r>
      <w:r w:rsidR="00927879">
        <w:rPr>
          <w:rFonts w:ascii="Verdana" w:hAnsi="Verdana" w:cs="Calibri"/>
          <w:sz w:val="18"/>
          <w:szCs w:val="18"/>
          <w:lang w:val="el-GR"/>
        </w:rPr>
        <w:t>δωρεάν</w:t>
      </w:r>
      <w:r w:rsidR="00FE64F8">
        <w:rPr>
          <w:rFonts w:ascii="Verdana" w:hAnsi="Verdana" w:cs="Calibri"/>
          <w:sz w:val="18"/>
          <w:szCs w:val="18"/>
          <w:lang w:val="el-GR"/>
        </w:rPr>
        <w:t xml:space="preserve"> διαμονή</w:t>
      </w:r>
      <w:r>
        <w:rPr>
          <w:rFonts w:ascii="Verdana" w:hAnsi="Verdana" w:cs="Calibri"/>
          <w:sz w:val="18"/>
          <w:szCs w:val="18"/>
          <w:lang w:val="el-GR"/>
        </w:rPr>
        <w:t xml:space="preserve">, ενώ για 12.397 </w:t>
      </w:r>
      <w:r w:rsidR="00927879">
        <w:rPr>
          <w:rFonts w:ascii="Verdana" w:hAnsi="Verdana" w:cs="Calibri"/>
          <w:sz w:val="18"/>
          <w:szCs w:val="18"/>
          <w:lang w:val="el-GR"/>
        </w:rPr>
        <w:t xml:space="preserve">ίσχυε κάποιος άλλος τρόπος </w:t>
      </w:r>
      <w:proofErr w:type="spellStart"/>
      <w:r w:rsidR="00927879">
        <w:rPr>
          <w:rFonts w:ascii="Verdana" w:hAnsi="Verdana" w:cs="Calibri"/>
          <w:sz w:val="18"/>
          <w:szCs w:val="18"/>
          <w:lang w:val="el-GR"/>
        </w:rPr>
        <w:t>ενοίκησης</w:t>
      </w:r>
      <w:proofErr w:type="spellEnd"/>
      <w:r w:rsidR="00927879">
        <w:rPr>
          <w:rFonts w:ascii="Verdana" w:hAnsi="Verdana" w:cs="Calibri"/>
          <w:sz w:val="18"/>
          <w:szCs w:val="18"/>
          <w:lang w:val="el-GR"/>
        </w:rPr>
        <w:t xml:space="preserve"> (3,5%). </w:t>
      </w:r>
    </w:p>
    <w:p w14:paraId="0CC9BC6A" w14:textId="77777777" w:rsidR="007072D3" w:rsidRDefault="007072D3" w:rsidP="00F145C3">
      <w:pPr>
        <w:jc w:val="both"/>
        <w:rPr>
          <w:rFonts w:ascii="Verdana" w:hAnsi="Verdana" w:cs="Calibri"/>
          <w:sz w:val="18"/>
          <w:szCs w:val="18"/>
          <w:lang w:val="el-GR"/>
        </w:rPr>
      </w:pPr>
    </w:p>
    <w:p w14:paraId="05579355" w14:textId="2FD9FF5E" w:rsidR="003D02B9" w:rsidRDefault="00B40066" w:rsidP="00F145C3">
      <w:pPr>
        <w:jc w:val="both"/>
        <w:rPr>
          <w:rFonts w:ascii="Verdana" w:hAnsi="Verdana" w:cs="Calibri"/>
          <w:sz w:val="18"/>
          <w:szCs w:val="18"/>
          <w:lang w:val="el-GR"/>
        </w:rPr>
      </w:pPr>
      <w:r>
        <w:rPr>
          <w:rFonts w:ascii="Verdana" w:hAnsi="Verdana" w:cs="Calibri"/>
          <w:noProof/>
          <w:sz w:val="18"/>
          <w:szCs w:val="18"/>
          <w:lang w:val="el-GR"/>
        </w:rPr>
        <w:lastRenderedPageBreak/>
        <w:drawing>
          <wp:inline distT="0" distB="0" distL="0" distR="0" wp14:anchorId="520A7CB9" wp14:editId="47E4CEB0">
            <wp:extent cx="6066155" cy="3243580"/>
            <wp:effectExtent l="0" t="0" r="0" b="0"/>
            <wp:docPr id="199380807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66155" cy="3243580"/>
                    </a:xfrm>
                    <a:prstGeom prst="rect">
                      <a:avLst/>
                    </a:prstGeom>
                    <a:noFill/>
                  </pic:spPr>
                </pic:pic>
              </a:graphicData>
            </a:graphic>
          </wp:inline>
        </w:drawing>
      </w:r>
    </w:p>
    <w:p w14:paraId="0AFF9BC6" w14:textId="77777777" w:rsidR="0023543F" w:rsidRDefault="0023543F" w:rsidP="00F145C3">
      <w:pPr>
        <w:jc w:val="both"/>
        <w:rPr>
          <w:rFonts w:ascii="Verdana" w:hAnsi="Verdana" w:cs="Calibri"/>
          <w:sz w:val="18"/>
          <w:szCs w:val="18"/>
          <w:lang w:val="el-GR"/>
        </w:rPr>
      </w:pPr>
    </w:p>
    <w:p w14:paraId="44EF92E3" w14:textId="77777777" w:rsidR="00E42078" w:rsidRDefault="00E42078" w:rsidP="00F145C3">
      <w:pPr>
        <w:jc w:val="both"/>
        <w:rPr>
          <w:rFonts w:ascii="Verdana" w:hAnsi="Verdana" w:cs="Calibri"/>
          <w:b/>
          <w:bCs/>
          <w:sz w:val="18"/>
          <w:szCs w:val="18"/>
          <w:u w:val="single"/>
          <w:lang w:val="el-GR"/>
        </w:rPr>
      </w:pPr>
    </w:p>
    <w:p w14:paraId="3D18626D" w14:textId="41D236F8" w:rsidR="00974737" w:rsidRPr="00BF3865" w:rsidRDefault="00974737" w:rsidP="00F145C3">
      <w:pPr>
        <w:jc w:val="both"/>
        <w:rPr>
          <w:rFonts w:ascii="Verdana" w:hAnsi="Verdana" w:cs="Calibri"/>
          <w:b/>
          <w:bCs/>
          <w:sz w:val="18"/>
          <w:szCs w:val="18"/>
          <w:u w:val="single"/>
          <w:lang w:val="el-GR"/>
        </w:rPr>
      </w:pPr>
      <w:r>
        <w:rPr>
          <w:rFonts w:ascii="Verdana" w:hAnsi="Verdana" w:cs="Calibri"/>
          <w:b/>
          <w:bCs/>
          <w:sz w:val="18"/>
          <w:szCs w:val="18"/>
          <w:u w:val="single"/>
          <w:lang w:val="el-GR"/>
        </w:rPr>
        <w:t>Νοικοκυριά</w:t>
      </w:r>
    </w:p>
    <w:p w14:paraId="6B84D63F" w14:textId="77777777" w:rsidR="00974737" w:rsidRDefault="00974737" w:rsidP="00F145C3">
      <w:pPr>
        <w:jc w:val="both"/>
        <w:rPr>
          <w:rFonts w:ascii="Verdana" w:hAnsi="Verdana" w:cs="Calibri"/>
          <w:sz w:val="18"/>
          <w:szCs w:val="18"/>
          <w:lang w:val="el-GR"/>
        </w:rPr>
      </w:pPr>
    </w:p>
    <w:p w14:paraId="16A22D6F" w14:textId="1AD9E5A3" w:rsidR="00974737" w:rsidRDefault="00D80A44" w:rsidP="00F145C3">
      <w:pPr>
        <w:jc w:val="both"/>
        <w:rPr>
          <w:rFonts w:ascii="Verdana" w:hAnsi="Verdana" w:cs="Calibri"/>
          <w:sz w:val="18"/>
          <w:szCs w:val="18"/>
          <w:lang w:val="el-GR"/>
        </w:rPr>
      </w:pPr>
      <w:r>
        <w:rPr>
          <w:rFonts w:ascii="Verdana" w:hAnsi="Verdana" w:cs="Calibri"/>
          <w:sz w:val="18"/>
          <w:szCs w:val="18"/>
          <w:lang w:val="el-GR"/>
        </w:rPr>
        <w:t xml:space="preserve">Συνολικά </w:t>
      </w:r>
      <w:r w:rsidR="00B45EB9">
        <w:rPr>
          <w:rFonts w:ascii="Verdana" w:hAnsi="Verdana" w:cs="Calibri"/>
          <w:sz w:val="18"/>
          <w:szCs w:val="18"/>
          <w:lang w:val="el-GR"/>
        </w:rPr>
        <w:t>το 2021 καταγράφηκαν</w:t>
      </w:r>
      <w:r>
        <w:rPr>
          <w:rFonts w:ascii="Verdana" w:hAnsi="Verdana" w:cs="Calibri"/>
          <w:sz w:val="18"/>
          <w:szCs w:val="18"/>
          <w:lang w:val="el-GR"/>
        </w:rPr>
        <w:t xml:space="preserve"> 357.858 νοικοκυριά (σε σύγκριση με 303.242 το 2011), με μέσο μέγεθος νοικοκυριού τα 2,57 άτομα (2,76 το 2011), 2,51</w:t>
      </w:r>
      <w:r w:rsidR="00662C47">
        <w:rPr>
          <w:rFonts w:ascii="Verdana" w:hAnsi="Verdana" w:cs="Calibri"/>
          <w:sz w:val="18"/>
          <w:szCs w:val="18"/>
          <w:lang w:val="el-GR"/>
        </w:rPr>
        <w:t xml:space="preserve"> </w:t>
      </w:r>
      <w:r>
        <w:rPr>
          <w:rFonts w:ascii="Verdana" w:hAnsi="Verdana" w:cs="Calibri"/>
          <w:sz w:val="18"/>
          <w:szCs w:val="18"/>
          <w:lang w:val="el-GR"/>
        </w:rPr>
        <w:t xml:space="preserve">στις αστικές περιοχές (2,70 το 2011) και 2,68 στις αγροτικές περιοχές (2,88 το 2011). </w:t>
      </w:r>
      <w:r w:rsidR="003D3F28">
        <w:rPr>
          <w:rFonts w:ascii="Verdana" w:hAnsi="Verdana" w:cs="Calibri"/>
          <w:sz w:val="18"/>
          <w:szCs w:val="18"/>
          <w:lang w:val="el-GR"/>
        </w:rPr>
        <w:t>Η επαρχία με το μεγαλύτερο μέσο μέγεθος νοικοκυριού ήταν η Αμμόχωστος (2,66) και η επαρχία με το μικρότερο ήταν η Λευκωσία (2,51).</w:t>
      </w:r>
    </w:p>
    <w:p w14:paraId="5F524742" w14:textId="626D40FE" w:rsidR="00D80A44" w:rsidRDefault="00D80A44" w:rsidP="00F145C3">
      <w:pPr>
        <w:jc w:val="both"/>
        <w:rPr>
          <w:rFonts w:ascii="Verdana" w:hAnsi="Verdana" w:cs="Calibri"/>
          <w:sz w:val="18"/>
          <w:szCs w:val="18"/>
          <w:lang w:val="el-GR"/>
        </w:rPr>
      </w:pPr>
    </w:p>
    <w:p w14:paraId="606BEE48" w14:textId="337844D0" w:rsidR="006A0CD3" w:rsidRDefault="003E2510" w:rsidP="00F145C3">
      <w:pPr>
        <w:jc w:val="both"/>
        <w:rPr>
          <w:rFonts w:ascii="Verdana" w:hAnsi="Verdana" w:cs="Calibri"/>
          <w:sz w:val="18"/>
          <w:szCs w:val="18"/>
          <w:lang w:val="el-GR"/>
        </w:rPr>
      </w:pPr>
      <w:r>
        <w:rPr>
          <w:rFonts w:ascii="Verdana" w:hAnsi="Verdana" w:cs="Calibri"/>
          <w:sz w:val="18"/>
          <w:szCs w:val="18"/>
          <w:lang w:val="el-GR"/>
        </w:rPr>
        <w:t xml:space="preserve">Η επαρχία Αμμοχώστου παρουσιάζει τη μεγαλύτερη αύξηση </w:t>
      </w:r>
      <w:r w:rsidR="00B45EB9">
        <w:rPr>
          <w:rFonts w:ascii="Verdana" w:hAnsi="Verdana" w:cs="Calibri"/>
          <w:sz w:val="18"/>
          <w:szCs w:val="18"/>
          <w:lang w:val="el-GR"/>
        </w:rPr>
        <w:t>στον αριθμό νοικοκυριών</w:t>
      </w:r>
      <w:r>
        <w:rPr>
          <w:rFonts w:ascii="Verdana" w:hAnsi="Verdana" w:cs="Calibri"/>
          <w:sz w:val="18"/>
          <w:szCs w:val="18"/>
          <w:lang w:val="el-GR"/>
        </w:rPr>
        <w:t xml:space="preserve"> σε σχέση με το 2011, με ποσοστό 29,1% και ακολουθεί η επαρχία Πάφου με ποσοστό 20,0%.</w:t>
      </w:r>
    </w:p>
    <w:p w14:paraId="3C8C9A42" w14:textId="77777777" w:rsidR="00B40066" w:rsidRPr="003E2510" w:rsidRDefault="00B40066" w:rsidP="00F145C3">
      <w:pPr>
        <w:jc w:val="both"/>
        <w:rPr>
          <w:rFonts w:ascii="Verdana" w:hAnsi="Verdana" w:cs="Calibri"/>
          <w:sz w:val="18"/>
          <w:szCs w:val="18"/>
          <w:lang w:val="el-GR"/>
        </w:rPr>
      </w:pPr>
    </w:p>
    <w:tbl>
      <w:tblPr>
        <w:tblW w:w="9240" w:type="dxa"/>
        <w:tblLook w:val="04A0" w:firstRow="1" w:lastRow="0" w:firstColumn="1" w:lastColumn="0" w:noHBand="0" w:noVBand="1"/>
      </w:tblPr>
      <w:tblGrid>
        <w:gridCol w:w="1540"/>
        <w:gridCol w:w="1540"/>
        <w:gridCol w:w="1540"/>
        <w:gridCol w:w="1540"/>
        <w:gridCol w:w="1540"/>
        <w:gridCol w:w="1540"/>
      </w:tblGrid>
      <w:tr w:rsidR="00B40066" w:rsidRPr="00B40066" w14:paraId="21212E7D" w14:textId="77777777" w:rsidTr="00AF650B">
        <w:trPr>
          <w:trHeight w:val="300"/>
        </w:trPr>
        <w:tc>
          <w:tcPr>
            <w:tcW w:w="1540" w:type="dxa"/>
            <w:tcBorders>
              <w:top w:val="nil"/>
              <w:left w:val="nil"/>
              <w:bottom w:val="single" w:sz="8" w:space="0" w:color="2F5496"/>
              <w:right w:val="nil"/>
            </w:tcBorders>
            <w:shd w:val="clear" w:color="auto" w:fill="auto"/>
            <w:vAlign w:val="center"/>
            <w:hideMark/>
          </w:tcPr>
          <w:p w14:paraId="41354DBC" w14:textId="72ECE9BB" w:rsidR="00AF650B" w:rsidRPr="00B40066" w:rsidRDefault="00AF650B" w:rsidP="00AF650B">
            <w:pPr>
              <w:rPr>
                <w:rFonts w:ascii="Verdana" w:eastAsia="Times New Roman" w:hAnsi="Verdana" w:cs="Calibri"/>
                <w:b/>
                <w:bCs/>
                <w:color w:val="2F5496" w:themeColor="accent1" w:themeShade="BF"/>
                <w:sz w:val="18"/>
                <w:szCs w:val="18"/>
              </w:rPr>
            </w:pPr>
            <w:proofErr w:type="spellStart"/>
            <w:r w:rsidRPr="00B40066">
              <w:rPr>
                <w:rFonts w:ascii="Verdana" w:eastAsia="Times New Roman" w:hAnsi="Verdana" w:cs="Calibri"/>
                <w:b/>
                <w:bCs/>
                <w:color w:val="2F5496" w:themeColor="accent1" w:themeShade="BF"/>
                <w:sz w:val="18"/>
                <w:szCs w:val="18"/>
              </w:rPr>
              <w:t>Πίν</w:t>
            </w:r>
            <w:proofErr w:type="spellEnd"/>
            <w:r w:rsidRPr="00B40066">
              <w:rPr>
                <w:rFonts w:ascii="Verdana" w:eastAsia="Times New Roman" w:hAnsi="Verdana" w:cs="Calibri"/>
                <w:b/>
                <w:bCs/>
                <w:color w:val="2F5496" w:themeColor="accent1" w:themeShade="BF"/>
                <w:sz w:val="18"/>
                <w:szCs w:val="18"/>
              </w:rPr>
              <w:t>ακας 3</w:t>
            </w:r>
          </w:p>
        </w:tc>
        <w:tc>
          <w:tcPr>
            <w:tcW w:w="1540" w:type="dxa"/>
            <w:tcBorders>
              <w:top w:val="nil"/>
              <w:left w:val="nil"/>
              <w:bottom w:val="single" w:sz="8" w:space="0" w:color="2F5496"/>
              <w:right w:val="nil"/>
            </w:tcBorders>
            <w:shd w:val="clear" w:color="auto" w:fill="auto"/>
            <w:vAlign w:val="center"/>
            <w:hideMark/>
          </w:tcPr>
          <w:p w14:paraId="34F3ED74" w14:textId="77777777" w:rsidR="00AF650B" w:rsidRPr="00B40066" w:rsidRDefault="00AF650B" w:rsidP="00AF650B">
            <w:pPr>
              <w:rPr>
                <w:rFonts w:ascii="Verdana" w:eastAsia="Times New Roman" w:hAnsi="Verdana" w:cs="Calibri"/>
                <w:b/>
                <w:bCs/>
                <w:color w:val="2F5496" w:themeColor="accent1" w:themeShade="BF"/>
                <w:sz w:val="18"/>
                <w:szCs w:val="18"/>
              </w:rPr>
            </w:pPr>
            <w:r w:rsidRPr="00B40066">
              <w:rPr>
                <w:rFonts w:ascii="Verdana" w:eastAsia="Times New Roman" w:hAnsi="Verdana" w:cs="Calibri"/>
                <w:b/>
                <w:bCs/>
                <w:color w:val="2F5496" w:themeColor="accent1" w:themeShade="BF"/>
                <w:sz w:val="18"/>
                <w:szCs w:val="18"/>
              </w:rPr>
              <w:t> </w:t>
            </w:r>
          </w:p>
        </w:tc>
        <w:tc>
          <w:tcPr>
            <w:tcW w:w="1540" w:type="dxa"/>
            <w:tcBorders>
              <w:top w:val="nil"/>
              <w:left w:val="nil"/>
              <w:bottom w:val="single" w:sz="8" w:space="0" w:color="2F5496"/>
              <w:right w:val="nil"/>
            </w:tcBorders>
            <w:shd w:val="clear" w:color="auto" w:fill="auto"/>
            <w:vAlign w:val="center"/>
            <w:hideMark/>
          </w:tcPr>
          <w:p w14:paraId="0CE951E9" w14:textId="77777777" w:rsidR="00AF650B" w:rsidRPr="00B40066" w:rsidRDefault="00AF650B" w:rsidP="00AF650B">
            <w:pPr>
              <w:rPr>
                <w:rFonts w:ascii="Verdana" w:eastAsia="Times New Roman" w:hAnsi="Verdana" w:cs="Calibri"/>
                <w:b/>
                <w:bCs/>
                <w:color w:val="2F5496" w:themeColor="accent1" w:themeShade="BF"/>
                <w:sz w:val="18"/>
                <w:szCs w:val="18"/>
              </w:rPr>
            </w:pPr>
            <w:r w:rsidRPr="00B40066">
              <w:rPr>
                <w:rFonts w:ascii="Verdana" w:eastAsia="Times New Roman" w:hAnsi="Verdana" w:cs="Calibri"/>
                <w:b/>
                <w:bCs/>
                <w:color w:val="2F5496" w:themeColor="accent1" w:themeShade="BF"/>
                <w:sz w:val="18"/>
                <w:szCs w:val="18"/>
              </w:rPr>
              <w:t> </w:t>
            </w:r>
          </w:p>
        </w:tc>
        <w:tc>
          <w:tcPr>
            <w:tcW w:w="1540" w:type="dxa"/>
            <w:tcBorders>
              <w:top w:val="nil"/>
              <w:left w:val="nil"/>
              <w:bottom w:val="single" w:sz="8" w:space="0" w:color="2F5496"/>
              <w:right w:val="nil"/>
            </w:tcBorders>
            <w:shd w:val="clear" w:color="auto" w:fill="auto"/>
            <w:vAlign w:val="center"/>
            <w:hideMark/>
          </w:tcPr>
          <w:p w14:paraId="6DF81828" w14:textId="77777777" w:rsidR="00AF650B" w:rsidRPr="00B40066" w:rsidRDefault="00AF650B" w:rsidP="00AF650B">
            <w:pPr>
              <w:rPr>
                <w:rFonts w:ascii="Verdana" w:eastAsia="Times New Roman" w:hAnsi="Verdana" w:cs="Calibri"/>
                <w:b/>
                <w:bCs/>
                <w:color w:val="2F5496" w:themeColor="accent1" w:themeShade="BF"/>
                <w:sz w:val="18"/>
                <w:szCs w:val="18"/>
              </w:rPr>
            </w:pPr>
            <w:r w:rsidRPr="00B40066">
              <w:rPr>
                <w:rFonts w:ascii="Verdana" w:eastAsia="Times New Roman" w:hAnsi="Verdana" w:cs="Calibri"/>
                <w:b/>
                <w:bCs/>
                <w:color w:val="2F5496" w:themeColor="accent1" w:themeShade="BF"/>
                <w:sz w:val="18"/>
                <w:szCs w:val="18"/>
              </w:rPr>
              <w:t> </w:t>
            </w:r>
          </w:p>
        </w:tc>
        <w:tc>
          <w:tcPr>
            <w:tcW w:w="1540" w:type="dxa"/>
            <w:tcBorders>
              <w:top w:val="nil"/>
              <w:left w:val="nil"/>
              <w:bottom w:val="single" w:sz="8" w:space="0" w:color="2F5496"/>
              <w:right w:val="nil"/>
            </w:tcBorders>
            <w:shd w:val="clear" w:color="auto" w:fill="auto"/>
            <w:vAlign w:val="center"/>
            <w:hideMark/>
          </w:tcPr>
          <w:p w14:paraId="61C39F6E" w14:textId="77777777" w:rsidR="00AF650B" w:rsidRPr="00B40066" w:rsidRDefault="00AF650B" w:rsidP="00AF650B">
            <w:pPr>
              <w:rPr>
                <w:rFonts w:ascii="Verdana" w:eastAsia="Times New Roman" w:hAnsi="Verdana" w:cs="Calibri"/>
                <w:b/>
                <w:bCs/>
                <w:color w:val="2F5496" w:themeColor="accent1" w:themeShade="BF"/>
                <w:sz w:val="18"/>
                <w:szCs w:val="18"/>
              </w:rPr>
            </w:pPr>
            <w:r w:rsidRPr="00B40066">
              <w:rPr>
                <w:rFonts w:ascii="Verdana" w:eastAsia="Times New Roman" w:hAnsi="Verdana" w:cs="Calibri"/>
                <w:b/>
                <w:bCs/>
                <w:color w:val="2F5496" w:themeColor="accent1" w:themeShade="BF"/>
                <w:sz w:val="18"/>
                <w:szCs w:val="18"/>
              </w:rPr>
              <w:t> </w:t>
            </w:r>
          </w:p>
        </w:tc>
        <w:tc>
          <w:tcPr>
            <w:tcW w:w="1540" w:type="dxa"/>
            <w:tcBorders>
              <w:top w:val="nil"/>
              <w:left w:val="nil"/>
              <w:bottom w:val="single" w:sz="8" w:space="0" w:color="2F5496"/>
              <w:right w:val="nil"/>
            </w:tcBorders>
            <w:shd w:val="clear" w:color="auto" w:fill="auto"/>
            <w:vAlign w:val="center"/>
            <w:hideMark/>
          </w:tcPr>
          <w:p w14:paraId="28C82431" w14:textId="77777777" w:rsidR="00AF650B" w:rsidRPr="00B40066" w:rsidRDefault="00AF650B" w:rsidP="00AF650B">
            <w:pPr>
              <w:rPr>
                <w:rFonts w:ascii="Verdana" w:eastAsia="Times New Roman" w:hAnsi="Verdana" w:cs="Calibri"/>
                <w:b/>
                <w:bCs/>
                <w:color w:val="2F5496" w:themeColor="accent1" w:themeShade="BF"/>
                <w:sz w:val="18"/>
                <w:szCs w:val="18"/>
              </w:rPr>
            </w:pPr>
            <w:r w:rsidRPr="00B40066">
              <w:rPr>
                <w:rFonts w:ascii="Verdana" w:eastAsia="Times New Roman" w:hAnsi="Verdana" w:cs="Calibri"/>
                <w:b/>
                <w:bCs/>
                <w:color w:val="2F5496" w:themeColor="accent1" w:themeShade="BF"/>
                <w:sz w:val="18"/>
                <w:szCs w:val="18"/>
              </w:rPr>
              <w:t> </w:t>
            </w:r>
          </w:p>
        </w:tc>
      </w:tr>
      <w:tr w:rsidR="00B40066" w:rsidRPr="00B40066" w14:paraId="154AE927" w14:textId="77777777" w:rsidTr="00AF650B">
        <w:trPr>
          <w:trHeight w:val="288"/>
        </w:trPr>
        <w:tc>
          <w:tcPr>
            <w:tcW w:w="1540" w:type="dxa"/>
            <w:vMerge w:val="restart"/>
            <w:tcBorders>
              <w:top w:val="nil"/>
              <w:left w:val="nil"/>
              <w:bottom w:val="single" w:sz="8" w:space="0" w:color="2F5496"/>
              <w:right w:val="nil"/>
            </w:tcBorders>
            <w:shd w:val="clear" w:color="auto" w:fill="auto"/>
            <w:vAlign w:val="center"/>
            <w:hideMark/>
          </w:tcPr>
          <w:p w14:paraId="11013E37" w14:textId="77777777" w:rsidR="00AF650B" w:rsidRPr="00B40066" w:rsidRDefault="00AF650B" w:rsidP="00AF650B">
            <w:pPr>
              <w:rPr>
                <w:rFonts w:ascii="Verdana" w:eastAsia="Times New Roman" w:hAnsi="Verdana" w:cs="Calibri"/>
                <w:b/>
                <w:bCs/>
                <w:color w:val="2F5496" w:themeColor="accent1" w:themeShade="BF"/>
                <w:sz w:val="18"/>
                <w:szCs w:val="18"/>
              </w:rPr>
            </w:pPr>
            <w:r w:rsidRPr="00B40066">
              <w:rPr>
                <w:rFonts w:ascii="Verdana" w:eastAsia="Times New Roman" w:hAnsi="Verdana" w:cs="Calibri"/>
                <w:b/>
                <w:bCs/>
                <w:color w:val="2F5496" w:themeColor="accent1" w:themeShade="BF"/>
                <w:sz w:val="18"/>
                <w:szCs w:val="18"/>
              </w:rPr>
              <w:t>Επα</w:t>
            </w:r>
            <w:proofErr w:type="spellStart"/>
            <w:r w:rsidRPr="00B40066">
              <w:rPr>
                <w:rFonts w:ascii="Verdana" w:eastAsia="Times New Roman" w:hAnsi="Verdana" w:cs="Calibri"/>
                <w:b/>
                <w:bCs/>
                <w:color w:val="2F5496" w:themeColor="accent1" w:themeShade="BF"/>
                <w:sz w:val="18"/>
                <w:szCs w:val="18"/>
              </w:rPr>
              <w:t>ρχί</w:t>
            </w:r>
            <w:proofErr w:type="spellEnd"/>
            <w:r w:rsidRPr="00B40066">
              <w:rPr>
                <w:rFonts w:ascii="Verdana" w:eastAsia="Times New Roman" w:hAnsi="Verdana" w:cs="Calibri"/>
                <w:b/>
                <w:bCs/>
                <w:color w:val="2F5496" w:themeColor="accent1" w:themeShade="BF"/>
                <w:sz w:val="18"/>
                <w:szCs w:val="18"/>
              </w:rPr>
              <w:t>α</w:t>
            </w:r>
          </w:p>
        </w:tc>
        <w:tc>
          <w:tcPr>
            <w:tcW w:w="7700" w:type="dxa"/>
            <w:gridSpan w:val="5"/>
            <w:tcBorders>
              <w:top w:val="nil"/>
              <w:left w:val="nil"/>
              <w:bottom w:val="nil"/>
              <w:right w:val="nil"/>
            </w:tcBorders>
            <w:shd w:val="clear" w:color="auto" w:fill="auto"/>
            <w:vAlign w:val="center"/>
            <w:hideMark/>
          </w:tcPr>
          <w:p w14:paraId="77BC7E6C" w14:textId="77777777" w:rsidR="00AF650B" w:rsidRPr="00B40066" w:rsidRDefault="00AF650B" w:rsidP="00AF650B">
            <w:pPr>
              <w:jc w:val="center"/>
              <w:rPr>
                <w:rFonts w:ascii="Verdana" w:eastAsia="Times New Roman" w:hAnsi="Verdana" w:cs="Calibri"/>
                <w:b/>
                <w:bCs/>
                <w:color w:val="2F5496" w:themeColor="accent1" w:themeShade="BF"/>
                <w:sz w:val="18"/>
                <w:szCs w:val="18"/>
              </w:rPr>
            </w:pPr>
            <w:proofErr w:type="spellStart"/>
            <w:r w:rsidRPr="00B40066">
              <w:rPr>
                <w:rFonts w:ascii="Verdana" w:eastAsia="Times New Roman" w:hAnsi="Verdana" w:cs="Calibri"/>
                <w:b/>
                <w:bCs/>
                <w:color w:val="2F5496" w:themeColor="accent1" w:themeShade="BF"/>
                <w:sz w:val="18"/>
                <w:szCs w:val="18"/>
              </w:rPr>
              <w:t>Νοικοκυριά</w:t>
            </w:r>
            <w:proofErr w:type="spellEnd"/>
          </w:p>
        </w:tc>
      </w:tr>
      <w:tr w:rsidR="00B40066" w:rsidRPr="00B40066" w14:paraId="551F8719" w14:textId="77777777" w:rsidTr="00AF650B">
        <w:trPr>
          <w:trHeight w:val="984"/>
        </w:trPr>
        <w:tc>
          <w:tcPr>
            <w:tcW w:w="1540" w:type="dxa"/>
            <w:vMerge/>
            <w:tcBorders>
              <w:top w:val="nil"/>
              <w:left w:val="nil"/>
              <w:bottom w:val="single" w:sz="8" w:space="0" w:color="2F5496"/>
              <w:right w:val="nil"/>
            </w:tcBorders>
            <w:vAlign w:val="center"/>
            <w:hideMark/>
          </w:tcPr>
          <w:p w14:paraId="75DF30A4" w14:textId="77777777" w:rsidR="00AF650B" w:rsidRPr="00B40066" w:rsidRDefault="00AF650B" w:rsidP="00AF650B">
            <w:pPr>
              <w:rPr>
                <w:rFonts w:ascii="Verdana" w:eastAsia="Times New Roman" w:hAnsi="Verdana" w:cs="Calibri"/>
                <w:b/>
                <w:bCs/>
                <w:color w:val="2F5496" w:themeColor="accent1" w:themeShade="BF"/>
                <w:sz w:val="18"/>
                <w:szCs w:val="18"/>
              </w:rPr>
            </w:pPr>
          </w:p>
        </w:tc>
        <w:tc>
          <w:tcPr>
            <w:tcW w:w="1540" w:type="dxa"/>
            <w:tcBorders>
              <w:top w:val="nil"/>
              <w:left w:val="nil"/>
              <w:bottom w:val="single" w:sz="8" w:space="0" w:color="2F5496"/>
              <w:right w:val="nil"/>
            </w:tcBorders>
            <w:shd w:val="clear" w:color="auto" w:fill="auto"/>
            <w:vAlign w:val="center"/>
            <w:hideMark/>
          </w:tcPr>
          <w:p w14:paraId="0E59FB9E" w14:textId="32CE4672" w:rsidR="00AF650B" w:rsidRPr="00B40066" w:rsidRDefault="00AF650B" w:rsidP="00AF650B">
            <w:pPr>
              <w:jc w:val="center"/>
              <w:rPr>
                <w:rFonts w:ascii="Verdana" w:eastAsia="Times New Roman" w:hAnsi="Verdana" w:cs="Calibri"/>
                <w:b/>
                <w:bCs/>
                <w:color w:val="2F5496" w:themeColor="accent1" w:themeShade="BF"/>
                <w:sz w:val="18"/>
                <w:szCs w:val="18"/>
              </w:rPr>
            </w:pPr>
            <w:r w:rsidRPr="00B40066">
              <w:rPr>
                <w:rFonts w:ascii="Verdana" w:eastAsia="Times New Roman" w:hAnsi="Verdana" w:cs="Calibri"/>
                <w:b/>
                <w:bCs/>
                <w:color w:val="2F5496" w:themeColor="accent1" w:themeShade="BF"/>
                <w:sz w:val="18"/>
                <w:szCs w:val="18"/>
              </w:rPr>
              <w:t>1</w:t>
            </w:r>
            <w:r w:rsidR="005D5F09" w:rsidRPr="00B40066">
              <w:rPr>
                <w:rFonts w:ascii="Verdana" w:eastAsia="Times New Roman" w:hAnsi="Verdana" w:cs="Calibri"/>
                <w:b/>
                <w:bCs/>
                <w:color w:val="2F5496" w:themeColor="accent1" w:themeShade="BF"/>
                <w:sz w:val="18"/>
                <w:szCs w:val="18"/>
              </w:rPr>
              <w:t>.</w:t>
            </w:r>
            <w:r w:rsidRPr="00B40066">
              <w:rPr>
                <w:rFonts w:ascii="Verdana" w:eastAsia="Times New Roman" w:hAnsi="Verdana" w:cs="Calibri"/>
                <w:b/>
                <w:bCs/>
                <w:color w:val="2F5496" w:themeColor="accent1" w:themeShade="BF"/>
                <w:sz w:val="18"/>
                <w:szCs w:val="18"/>
              </w:rPr>
              <w:t>10</w:t>
            </w:r>
            <w:r w:rsidR="005D5F09" w:rsidRPr="00B40066">
              <w:rPr>
                <w:rFonts w:ascii="Verdana" w:eastAsia="Times New Roman" w:hAnsi="Verdana" w:cs="Calibri"/>
                <w:b/>
                <w:bCs/>
                <w:color w:val="2F5496" w:themeColor="accent1" w:themeShade="BF"/>
                <w:sz w:val="18"/>
                <w:szCs w:val="18"/>
              </w:rPr>
              <w:t>.</w:t>
            </w:r>
            <w:r w:rsidRPr="00B40066">
              <w:rPr>
                <w:rFonts w:ascii="Verdana" w:eastAsia="Times New Roman" w:hAnsi="Verdana" w:cs="Calibri"/>
                <w:b/>
                <w:bCs/>
                <w:color w:val="2F5496" w:themeColor="accent1" w:themeShade="BF"/>
                <w:sz w:val="18"/>
                <w:szCs w:val="18"/>
              </w:rPr>
              <w:t>2021</w:t>
            </w:r>
          </w:p>
        </w:tc>
        <w:tc>
          <w:tcPr>
            <w:tcW w:w="1540" w:type="dxa"/>
            <w:tcBorders>
              <w:top w:val="nil"/>
              <w:left w:val="nil"/>
              <w:bottom w:val="single" w:sz="8" w:space="0" w:color="2F5496"/>
              <w:right w:val="nil"/>
            </w:tcBorders>
            <w:shd w:val="clear" w:color="auto" w:fill="auto"/>
            <w:vAlign w:val="center"/>
            <w:hideMark/>
          </w:tcPr>
          <w:p w14:paraId="2D168F93" w14:textId="08650338" w:rsidR="00AF650B" w:rsidRPr="00B40066" w:rsidRDefault="00AF650B" w:rsidP="00AF650B">
            <w:pPr>
              <w:jc w:val="center"/>
              <w:rPr>
                <w:rFonts w:ascii="Verdana" w:eastAsia="Times New Roman" w:hAnsi="Verdana" w:cs="Calibri"/>
                <w:b/>
                <w:bCs/>
                <w:color w:val="2F5496" w:themeColor="accent1" w:themeShade="BF"/>
                <w:sz w:val="18"/>
                <w:szCs w:val="18"/>
              </w:rPr>
            </w:pPr>
            <w:r w:rsidRPr="00B40066">
              <w:rPr>
                <w:rFonts w:ascii="Verdana" w:eastAsia="Times New Roman" w:hAnsi="Verdana" w:cs="Calibri"/>
                <w:b/>
                <w:bCs/>
                <w:color w:val="2F5496" w:themeColor="accent1" w:themeShade="BF"/>
                <w:sz w:val="18"/>
                <w:szCs w:val="18"/>
              </w:rPr>
              <w:t>1</w:t>
            </w:r>
            <w:r w:rsidR="005D5F09" w:rsidRPr="00B40066">
              <w:rPr>
                <w:rFonts w:ascii="Verdana" w:eastAsia="Times New Roman" w:hAnsi="Verdana" w:cs="Calibri"/>
                <w:b/>
                <w:bCs/>
                <w:color w:val="2F5496" w:themeColor="accent1" w:themeShade="BF"/>
                <w:sz w:val="18"/>
                <w:szCs w:val="18"/>
              </w:rPr>
              <w:t>.</w:t>
            </w:r>
            <w:r w:rsidRPr="00B40066">
              <w:rPr>
                <w:rFonts w:ascii="Verdana" w:eastAsia="Times New Roman" w:hAnsi="Verdana" w:cs="Calibri"/>
                <w:b/>
                <w:bCs/>
                <w:color w:val="2F5496" w:themeColor="accent1" w:themeShade="BF"/>
                <w:sz w:val="18"/>
                <w:szCs w:val="18"/>
              </w:rPr>
              <w:t>10</w:t>
            </w:r>
            <w:r w:rsidR="005D5F09" w:rsidRPr="00B40066">
              <w:rPr>
                <w:rFonts w:ascii="Verdana" w:eastAsia="Times New Roman" w:hAnsi="Verdana" w:cs="Calibri"/>
                <w:b/>
                <w:bCs/>
                <w:color w:val="2F5496" w:themeColor="accent1" w:themeShade="BF"/>
                <w:sz w:val="18"/>
                <w:szCs w:val="18"/>
              </w:rPr>
              <w:t>.</w:t>
            </w:r>
            <w:r w:rsidRPr="00B40066">
              <w:rPr>
                <w:rFonts w:ascii="Verdana" w:eastAsia="Times New Roman" w:hAnsi="Verdana" w:cs="Calibri"/>
                <w:b/>
                <w:bCs/>
                <w:color w:val="2F5496" w:themeColor="accent1" w:themeShade="BF"/>
                <w:sz w:val="18"/>
                <w:szCs w:val="18"/>
              </w:rPr>
              <w:t>2011</w:t>
            </w:r>
          </w:p>
        </w:tc>
        <w:tc>
          <w:tcPr>
            <w:tcW w:w="1540" w:type="dxa"/>
            <w:tcBorders>
              <w:top w:val="nil"/>
              <w:left w:val="nil"/>
              <w:bottom w:val="single" w:sz="8" w:space="0" w:color="2F5496"/>
              <w:right w:val="nil"/>
            </w:tcBorders>
            <w:shd w:val="clear" w:color="auto" w:fill="auto"/>
            <w:vAlign w:val="center"/>
            <w:hideMark/>
          </w:tcPr>
          <w:p w14:paraId="558ED690" w14:textId="77777777" w:rsidR="00AF650B" w:rsidRPr="00B40066" w:rsidRDefault="00AF650B" w:rsidP="00AF650B">
            <w:pPr>
              <w:jc w:val="center"/>
              <w:rPr>
                <w:rFonts w:ascii="Verdana" w:eastAsia="Times New Roman" w:hAnsi="Verdana" w:cs="Calibri"/>
                <w:b/>
                <w:bCs/>
                <w:color w:val="2F5496" w:themeColor="accent1" w:themeShade="BF"/>
                <w:sz w:val="18"/>
                <w:szCs w:val="18"/>
              </w:rPr>
            </w:pPr>
            <w:r w:rsidRPr="00B40066">
              <w:rPr>
                <w:rFonts w:ascii="Verdana" w:eastAsia="Times New Roman" w:hAnsi="Verdana" w:cs="Calibri"/>
                <w:b/>
                <w:bCs/>
                <w:color w:val="2F5496" w:themeColor="accent1" w:themeShade="BF"/>
                <w:sz w:val="18"/>
                <w:szCs w:val="18"/>
              </w:rPr>
              <w:t xml:space="preserve">% </w:t>
            </w:r>
            <w:proofErr w:type="spellStart"/>
            <w:r w:rsidRPr="00B40066">
              <w:rPr>
                <w:rFonts w:ascii="Verdana" w:eastAsia="Times New Roman" w:hAnsi="Verdana" w:cs="Calibri"/>
                <w:b/>
                <w:bCs/>
                <w:color w:val="2F5496" w:themeColor="accent1" w:themeShade="BF"/>
                <w:sz w:val="18"/>
                <w:szCs w:val="18"/>
              </w:rPr>
              <w:t>Αύξηση</w:t>
            </w:r>
            <w:proofErr w:type="spellEnd"/>
            <w:r w:rsidRPr="00B40066">
              <w:rPr>
                <w:rFonts w:ascii="Verdana" w:eastAsia="Times New Roman" w:hAnsi="Verdana" w:cs="Calibri"/>
                <w:b/>
                <w:bCs/>
                <w:color w:val="2F5496" w:themeColor="accent1" w:themeShade="BF"/>
                <w:sz w:val="18"/>
                <w:szCs w:val="18"/>
              </w:rPr>
              <w:t xml:space="preserve"> 2021/2011</w:t>
            </w:r>
          </w:p>
        </w:tc>
        <w:tc>
          <w:tcPr>
            <w:tcW w:w="1540" w:type="dxa"/>
            <w:tcBorders>
              <w:top w:val="nil"/>
              <w:left w:val="nil"/>
              <w:bottom w:val="single" w:sz="8" w:space="0" w:color="2F5496"/>
              <w:right w:val="nil"/>
            </w:tcBorders>
            <w:shd w:val="clear" w:color="auto" w:fill="auto"/>
            <w:vAlign w:val="center"/>
            <w:hideMark/>
          </w:tcPr>
          <w:p w14:paraId="63CA3C2F" w14:textId="01F6AA4B" w:rsidR="00AF650B" w:rsidRPr="00B40066" w:rsidRDefault="00AF650B" w:rsidP="00AF650B">
            <w:pPr>
              <w:jc w:val="center"/>
              <w:rPr>
                <w:rFonts w:ascii="Verdana" w:eastAsia="Times New Roman" w:hAnsi="Verdana" w:cs="Calibri"/>
                <w:b/>
                <w:bCs/>
                <w:color w:val="2F5496" w:themeColor="accent1" w:themeShade="BF"/>
                <w:sz w:val="18"/>
                <w:szCs w:val="18"/>
              </w:rPr>
            </w:pPr>
            <w:r w:rsidRPr="00B40066">
              <w:rPr>
                <w:rFonts w:ascii="Verdana" w:eastAsia="Times New Roman" w:hAnsi="Verdana" w:cs="Calibri"/>
                <w:b/>
                <w:bCs/>
                <w:color w:val="2F5496" w:themeColor="accent1" w:themeShade="BF"/>
                <w:sz w:val="18"/>
                <w:szCs w:val="18"/>
              </w:rPr>
              <w:t xml:space="preserve"> </w:t>
            </w:r>
            <w:proofErr w:type="spellStart"/>
            <w:r w:rsidRPr="00B40066">
              <w:rPr>
                <w:rFonts w:ascii="Verdana" w:eastAsia="Times New Roman" w:hAnsi="Verdana" w:cs="Calibri"/>
                <w:b/>
                <w:bCs/>
                <w:color w:val="2F5496" w:themeColor="accent1" w:themeShade="BF"/>
                <w:sz w:val="18"/>
                <w:szCs w:val="18"/>
              </w:rPr>
              <w:t>Μέσο</w:t>
            </w:r>
            <w:proofErr w:type="spellEnd"/>
            <w:r w:rsidRPr="00B40066">
              <w:rPr>
                <w:rFonts w:ascii="Verdana" w:eastAsia="Times New Roman" w:hAnsi="Verdana" w:cs="Calibri"/>
                <w:b/>
                <w:bCs/>
                <w:color w:val="2F5496" w:themeColor="accent1" w:themeShade="BF"/>
                <w:sz w:val="18"/>
                <w:szCs w:val="18"/>
              </w:rPr>
              <w:t xml:space="preserve"> </w:t>
            </w:r>
            <w:proofErr w:type="spellStart"/>
            <w:r w:rsidRPr="00B40066">
              <w:rPr>
                <w:rFonts w:ascii="Verdana" w:eastAsia="Times New Roman" w:hAnsi="Verdana" w:cs="Calibri"/>
                <w:b/>
                <w:bCs/>
                <w:color w:val="2F5496" w:themeColor="accent1" w:themeShade="BF"/>
                <w:sz w:val="18"/>
                <w:szCs w:val="18"/>
              </w:rPr>
              <w:t>μέγεθος</w:t>
            </w:r>
            <w:proofErr w:type="spellEnd"/>
            <w:r w:rsidRPr="00B40066">
              <w:rPr>
                <w:rFonts w:ascii="Verdana" w:eastAsia="Times New Roman" w:hAnsi="Verdana" w:cs="Calibri"/>
                <w:b/>
                <w:bCs/>
                <w:color w:val="2F5496" w:themeColor="accent1" w:themeShade="BF"/>
                <w:sz w:val="18"/>
                <w:szCs w:val="18"/>
              </w:rPr>
              <w:t xml:space="preserve"> </w:t>
            </w:r>
            <w:proofErr w:type="spellStart"/>
            <w:r w:rsidRPr="00B40066">
              <w:rPr>
                <w:rFonts w:ascii="Verdana" w:eastAsia="Times New Roman" w:hAnsi="Verdana" w:cs="Calibri"/>
                <w:b/>
                <w:bCs/>
                <w:color w:val="2F5496" w:themeColor="accent1" w:themeShade="BF"/>
                <w:sz w:val="18"/>
                <w:szCs w:val="18"/>
              </w:rPr>
              <w:t>Νοικοκυριού</w:t>
            </w:r>
            <w:proofErr w:type="spellEnd"/>
            <w:r w:rsidRPr="00B40066">
              <w:rPr>
                <w:rFonts w:ascii="Verdana" w:eastAsia="Times New Roman" w:hAnsi="Verdana" w:cs="Calibri"/>
                <w:b/>
                <w:bCs/>
                <w:color w:val="2F5496" w:themeColor="accent1" w:themeShade="BF"/>
                <w:sz w:val="18"/>
                <w:szCs w:val="18"/>
              </w:rPr>
              <w:t xml:space="preserve"> 1</w:t>
            </w:r>
            <w:r w:rsidR="002C4641" w:rsidRPr="00B40066">
              <w:rPr>
                <w:rFonts w:ascii="Verdana" w:eastAsia="Times New Roman" w:hAnsi="Verdana" w:cs="Calibri"/>
                <w:b/>
                <w:bCs/>
                <w:color w:val="2F5496" w:themeColor="accent1" w:themeShade="BF"/>
                <w:sz w:val="18"/>
                <w:szCs w:val="18"/>
                <w:lang w:val="el-GR"/>
              </w:rPr>
              <w:t>.</w:t>
            </w:r>
            <w:r w:rsidRPr="00B40066">
              <w:rPr>
                <w:rFonts w:ascii="Verdana" w:eastAsia="Times New Roman" w:hAnsi="Verdana" w:cs="Calibri"/>
                <w:b/>
                <w:bCs/>
                <w:color w:val="2F5496" w:themeColor="accent1" w:themeShade="BF"/>
                <w:sz w:val="18"/>
                <w:szCs w:val="18"/>
              </w:rPr>
              <w:t>10</w:t>
            </w:r>
            <w:r w:rsidR="002C4641" w:rsidRPr="00B40066">
              <w:rPr>
                <w:rFonts w:ascii="Verdana" w:eastAsia="Times New Roman" w:hAnsi="Verdana" w:cs="Calibri"/>
                <w:b/>
                <w:bCs/>
                <w:color w:val="2F5496" w:themeColor="accent1" w:themeShade="BF"/>
                <w:sz w:val="18"/>
                <w:szCs w:val="18"/>
                <w:lang w:val="el-GR"/>
              </w:rPr>
              <w:t>.</w:t>
            </w:r>
            <w:r w:rsidRPr="00B40066">
              <w:rPr>
                <w:rFonts w:ascii="Verdana" w:eastAsia="Times New Roman" w:hAnsi="Verdana" w:cs="Calibri"/>
                <w:b/>
                <w:bCs/>
                <w:color w:val="2F5496" w:themeColor="accent1" w:themeShade="BF"/>
                <w:sz w:val="18"/>
                <w:szCs w:val="18"/>
              </w:rPr>
              <w:t>2021</w:t>
            </w:r>
          </w:p>
        </w:tc>
        <w:tc>
          <w:tcPr>
            <w:tcW w:w="1540" w:type="dxa"/>
            <w:tcBorders>
              <w:top w:val="nil"/>
              <w:left w:val="nil"/>
              <w:bottom w:val="single" w:sz="8" w:space="0" w:color="2F5496"/>
              <w:right w:val="nil"/>
            </w:tcBorders>
            <w:shd w:val="clear" w:color="auto" w:fill="auto"/>
            <w:vAlign w:val="center"/>
            <w:hideMark/>
          </w:tcPr>
          <w:p w14:paraId="6073CA2A" w14:textId="4100F0FA" w:rsidR="00AF650B" w:rsidRPr="00B40066" w:rsidRDefault="00AF650B" w:rsidP="00AF650B">
            <w:pPr>
              <w:jc w:val="center"/>
              <w:rPr>
                <w:rFonts w:ascii="Verdana" w:eastAsia="Times New Roman" w:hAnsi="Verdana" w:cs="Calibri"/>
                <w:b/>
                <w:bCs/>
                <w:color w:val="2F5496" w:themeColor="accent1" w:themeShade="BF"/>
                <w:sz w:val="18"/>
                <w:szCs w:val="18"/>
              </w:rPr>
            </w:pPr>
            <w:r w:rsidRPr="00B40066">
              <w:rPr>
                <w:rFonts w:ascii="Verdana" w:eastAsia="Times New Roman" w:hAnsi="Verdana" w:cs="Calibri"/>
                <w:b/>
                <w:bCs/>
                <w:color w:val="2F5496" w:themeColor="accent1" w:themeShade="BF"/>
                <w:sz w:val="18"/>
                <w:szCs w:val="18"/>
              </w:rPr>
              <w:t xml:space="preserve"> </w:t>
            </w:r>
            <w:proofErr w:type="spellStart"/>
            <w:r w:rsidRPr="00B40066">
              <w:rPr>
                <w:rFonts w:ascii="Verdana" w:eastAsia="Times New Roman" w:hAnsi="Verdana" w:cs="Calibri"/>
                <w:b/>
                <w:bCs/>
                <w:color w:val="2F5496" w:themeColor="accent1" w:themeShade="BF"/>
                <w:sz w:val="18"/>
                <w:szCs w:val="18"/>
              </w:rPr>
              <w:t>Μέσο</w:t>
            </w:r>
            <w:proofErr w:type="spellEnd"/>
            <w:r w:rsidRPr="00B40066">
              <w:rPr>
                <w:rFonts w:ascii="Verdana" w:eastAsia="Times New Roman" w:hAnsi="Verdana" w:cs="Calibri"/>
                <w:b/>
                <w:bCs/>
                <w:color w:val="2F5496" w:themeColor="accent1" w:themeShade="BF"/>
                <w:sz w:val="18"/>
                <w:szCs w:val="18"/>
              </w:rPr>
              <w:t xml:space="preserve"> </w:t>
            </w:r>
            <w:proofErr w:type="spellStart"/>
            <w:r w:rsidRPr="00B40066">
              <w:rPr>
                <w:rFonts w:ascii="Verdana" w:eastAsia="Times New Roman" w:hAnsi="Verdana" w:cs="Calibri"/>
                <w:b/>
                <w:bCs/>
                <w:color w:val="2F5496" w:themeColor="accent1" w:themeShade="BF"/>
                <w:sz w:val="18"/>
                <w:szCs w:val="18"/>
              </w:rPr>
              <w:t>μέγεθος</w:t>
            </w:r>
            <w:proofErr w:type="spellEnd"/>
            <w:r w:rsidRPr="00B40066">
              <w:rPr>
                <w:rFonts w:ascii="Verdana" w:eastAsia="Times New Roman" w:hAnsi="Verdana" w:cs="Calibri"/>
                <w:b/>
                <w:bCs/>
                <w:color w:val="2F5496" w:themeColor="accent1" w:themeShade="BF"/>
                <w:sz w:val="18"/>
                <w:szCs w:val="18"/>
              </w:rPr>
              <w:t xml:space="preserve"> </w:t>
            </w:r>
            <w:proofErr w:type="spellStart"/>
            <w:r w:rsidRPr="00B40066">
              <w:rPr>
                <w:rFonts w:ascii="Verdana" w:eastAsia="Times New Roman" w:hAnsi="Verdana" w:cs="Calibri"/>
                <w:b/>
                <w:bCs/>
                <w:color w:val="2F5496" w:themeColor="accent1" w:themeShade="BF"/>
                <w:sz w:val="18"/>
                <w:szCs w:val="18"/>
              </w:rPr>
              <w:t>Νοικοκυριού</w:t>
            </w:r>
            <w:proofErr w:type="spellEnd"/>
            <w:r w:rsidRPr="00B40066">
              <w:rPr>
                <w:rFonts w:ascii="Verdana" w:eastAsia="Times New Roman" w:hAnsi="Verdana" w:cs="Calibri"/>
                <w:b/>
                <w:bCs/>
                <w:color w:val="2F5496" w:themeColor="accent1" w:themeShade="BF"/>
                <w:sz w:val="18"/>
                <w:szCs w:val="18"/>
              </w:rPr>
              <w:t xml:space="preserve"> 1</w:t>
            </w:r>
            <w:r w:rsidR="002C4641" w:rsidRPr="00B40066">
              <w:rPr>
                <w:rFonts w:ascii="Verdana" w:eastAsia="Times New Roman" w:hAnsi="Verdana" w:cs="Calibri"/>
                <w:b/>
                <w:bCs/>
                <w:color w:val="2F5496" w:themeColor="accent1" w:themeShade="BF"/>
                <w:sz w:val="18"/>
                <w:szCs w:val="18"/>
                <w:lang w:val="el-GR"/>
              </w:rPr>
              <w:t>.</w:t>
            </w:r>
            <w:r w:rsidRPr="00B40066">
              <w:rPr>
                <w:rFonts w:ascii="Verdana" w:eastAsia="Times New Roman" w:hAnsi="Verdana" w:cs="Calibri"/>
                <w:b/>
                <w:bCs/>
                <w:color w:val="2F5496" w:themeColor="accent1" w:themeShade="BF"/>
                <w:sz w:val="18"/>
                <w:szCs w:val="18"/>
              </w:rPr>
              <w:t>10</w:t>
            </w:r>
            <w:r w:rsidR="002C4641" w:rsidRPr="00B40066">
              <w:rPr>
                <w:rFonts w:ascii="Verdana" w:eastAsia="Times New Roman" w:hAnsi="Verdana" w:cs="Calibri"/>
                <w:b/>
                <w:bCs/>
                <w:color w:val="2F5496" w:themeColor="accent1" w:themeShade="BF"/>
                <w:sz w:val="18"/>
                <w:szCs w:val="18"/>
                <w:lang w:val="el-GR"/>
              </w:rPr>
              <w:t>.</w:t>
            </w:r>
            <w:r w:rsidRPr="00B40066">
              <w:rPr>
                <w:rFonts w:ascii="Verdana" w:eastAsia="Times New Roman" w:hAnsi="Verdana" w:cs="Calibri"/>
                <w:b/>
                <w:bCs/>
                <w:color w:val="2F5496" w:themeColor="accent1" w:themeShade="BF"/>
                <w:sz w:val="18"/>
                <w:szCs w:val="18"/>
              </w:rPr>
              <w:t>2011</w:t>
            </w:r>
          </w:p>
        </w:tc>
      </w:tr>
      <w:tr w:rsidR="00B40066" w:rsidRPr="00B40066" w14:paraId="1DB6F989" w14:textId="77777777" w:rsidTr="00B40066">
        <w:trPr>
          <w:trHeight w:val="288"/>
        </w:trPr>
        <w:tc>
          <w:tcPr>
            <w:tcW w:w="1540" w:type="dxa"/>
            <w:tcBorders>
              <w:top w:val="nil"/>
              <w:left w:val="nil"/>
              <w:bottom w:val="nil"/>
              <w:right w:val="nil"/>
            </w:tcBorders>
            <w:shd w:val="clear" w:color="auto" w:fill="auto"/>
            <w:vAlign w:val="center"/>
            <w:hideMark/>
          </w:tcPr>
          <w:p w14:paraId="358E9BC1" w14:textId="77777777" w:rsidR="00AF650B" w:rsidRPr="00B40066" w:rsidRDefault="00AF650B" w:rsidP="00AF650B">
            <w:pPr>
              <w:rPr>
                <w:rFonts w:ascii="Verdana" w:eastAsia="Times New Roman" w:hAnsi="Verdana" w:cs="Calibri"/>
                <w:color w:val="2F5496" w:themeColor="accent1" w:themeShade="BF"/>
                <w:sz w:val="18"/>
                <w:szCs w:val="18"/>
              </w:rPr>
            </w:pPr>
            <w:proofErr w:type="spellStart"/>
            <w:r w:rsidRPr="00B40066">
              <w:rPr>
                <w:rFonts w:ascii="Verdana" w:eastAsia="Times New Roman" w:hAnsi="Verdana" w:cs="Calibri"/>
                <w:color w:val="2F5496" w:themeColor="accent1" w:themeShade="BF"/>
                <w:sz w:val="18"/>
                <w:szCs w:val="18"/>
              </w:rPr>
              <w:t>Λευκωσί</w:t>
            </w:r>
            <w:proofErr w:type="spellEnd"/>
            <w:r w:rsidRPr="00B40066">
              <w:rPr>
                <w:rFonts w:ascii="Verdana" w:eastAsia="Times New Roman" w:hAnsi="Verdana" w:cs="Calibri"/>
                <w:color w:val="2F5496" w:themeColor="accent1" w:themeShade="BF"/>
                <w:sz w:val="18"/>
                <w:szCs w:val="18"/>
              </w:rPr>
              <w:t>α</w:t>
            </w:r>
          </w:p>
        </w:tc>
        <w:tc>
          <w:tcPr>
            <w:tcW w:w="1540" w:type="dxa"/>
            <w:tcBorders>
              <w:top w:val="nil"/>
              <w:left w:val="nil"/>
              <w:bottom w:val="nil"/>
              <w:right w:val="nil"/>
            </w:tcBorders>
            <w:shd w:val="clear" w:color="auto" w:fill="auto"/>
            <w:vAlign w:val="center"/>
            <w:hideMark/>
          </w:tcPr>
          <w:p w14:paraId="3AFA1481" w14:textId="77777777" w:rsidR="00AF650B" w:rsidRPr="00B40066" w:rsidRDefault="00AF650B" w:rsidP="00B40066">
            <w:pPr>
              <w:ind w:right="284"/>
              <w:jc w:val="right"/>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137.805</w:t>
            </w:r>
          </w:p>
        </w:tc>
        <w:tc>
          <w:tcPr>
            <w:tcW w:w="1540" w:type="dxa"/>
            <w:tcBorders>
              <w:top w:val="nil"/>
              <w:left w:val="nil"/>
              <w:bottom w:val="nil"/>
              <w:right w:val="nil"/>
            </w:tcBorders>
            <w:shd w:val="clear" w:color="auto" w:fill="auto"/>
            <w:vAlign w:val="center"/>
            <w:hideMark/>
          </w:tcPr>
          <w:p w14:paraId="26F16717" w14:textId="77777777" w:rsidR="00AF650B" w:rsidRPr="00B40066" w:rsidRDefault="00AF650B" w:rsidP="00B40066">
            <w:pPr>
              <w:ind w:right="284"/>
              <w:jc w:val="right"/>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119.203</w:t>
            </w:r>
          </w:p>
        </w:tc>
        <w:tc>
          <w:tcPr>
            <w:tcW w:w="1540" w:type="dxa"/>
            <w:tcBorders>
              <w:top w:val="nil"/>
              <w:left w:val="nil"/>
              <w:bottom w:val="nil"/>
              <w:right w:val="nil"/>
            </w:tcBorders>
            <w:shd w:val="clear" w:color="auto" w:fill="auto"/>
            <w:vAlign w:val="center"/>
            <w:hideMark/>
          </w:tcPr>
          <w:p w14:paraId="160CA91C" w14:textId="77777777" w:rsidR="00AF650B" w:rsidRPr="00B40066" w:rsidRDefault="00AF650B" w:rsidP="00E701CF">
            <w:pPr>
              <w:jc w:val="center"/>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15,6</w:t>
            </w:r>
          </w:p>
        </w:tc>
        <w:tc>
          <w:tcPr>
            <w:tcW w:w="1540" w:type="dxa"/>
            <w:tcBorders>
              <w:top w:val="nil"/>
              <w:left w:val="nil"/>
              <w:bottom w:val="nil"/>
              <w:right w:val="nil"/>
            </w:tcBorders>
            <w:shd w:val="clear" w:color="auto" w:fill="auto"/>
            <w:vAlign w:val="center"/>
            <w:hideMark/>
          </w:tcPr>
          <w:p w14:paraId="7EC06325" w14:textId="77777777" w:rsidR="00AF650B" w:rsidRPr="00B40066" w:rsidRDefault="00AF650B" w:rsidP="00E701CF">
            <w:pPr>
              <w:jc w:val="center"/>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2,51</w:t>
            </w:r>
          </w:p>
        </w:tc>
        <w:tc>
          <w:tcPr>
            <w:tcW w:w="1540" w:type="dxa"/>
            <w:tcBorders>
              <w:top w:val="nil"/>
              <w:left w:val="nil"/>
              <w:bottom w:val="nil"/>
              <w:right w:val="nil"/>
            </w:tcBorders>
            <w:shd w:val="clear" w:color="auto" w:fill="auto"/>
            <w:vAlign w:val="center"/>
            <w:hideMark/>
          </w:tcPr>
          <w:p w14:paraId="35A889B0" w14:textId="77777777" w:rsidR="00AF650B" w:rsidRPr="00B40066" w:rsidRDefault="00AF650B" w:rsidP="00E701CF">
            <w:pPr>
              <w:jc w:val="center"/>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2,73</w:t>
            </w:r>
          </w:p>
        </w:tc>
      </w:tr>
      <w:tr w:rsidR="00B40066" w:rsidRPr="00B40066" w14:paraId="7EC9341C" w14:textId="77777777" w:rsidTr="00B40066">
        <w:trPr>
          <w:trHeight w:val="288"/>
        </w:trPr>
        <w:tc>
          <w:tcPr>
            <w:tcW w:w="1540" w:type="dxa"/>
            <w:tcBorders>
              <w:top w:val="nil"/>
              <w:left w:val="nil"/>
              <w:bottom w:val="nil"/>
              <w:right w:val="nil"/>
            </w:tcBorders>
            <w:shd w:val="clear" w:color="auto" w:fill="auto"/>
            <w:vAlign w:val="center"/>
            <w:hideMark/>
          </w:tcPr>
          <w:p w14:paraId="0F8FB305" w14:textId="77777777" w:rsidR="00AF650B" w:rsidRPr="00B40066" w:rsidRDefault="00AF650B" w:rsidP="00AF650B">
            <w:pPr>
              <w:rPr>
                <w:rFonts w:ascii="Verdana" w:eastAsia="Times New Roman" w:hAnsi="Verdana" w:cs="Calibri"/>
                <w:color w:val="2F5496" w:themeColor="accent1" w:themeShade="BF"/>
                <w:sz w:val="18"/>
                <w:szCs w:val="18"/>
              </w:rPr>
            </w:pPr>
            <w:proofErr w:type="spellStart"/>
            <w:r w:rsidRPr="00B40066">
              <w:rPr>
                <w:rFonts w:ascii="Verdana" w:eastAsia="Times New Roman" w:hAnsi="Verdana" w:cs="Calibri"/>
                <w:color w:val="2F5496" w:themeColor="accent1" w:themeShade="BF"/>
                <w:sz w:val="18"/>
                <w:szCs w:val="18"/>
              </w:rPr>
              <w:t>Αμμόχωστος</w:t>
            </w:r>
            <w:proofErr w:type="spellEnd"/>
          </w:p>
        </w:tc>
        <w:tc>
          <w:tcPr>
            <w:tcW w:w="1540" w:type="dxa"/>
            <w:tcBorders>
              <w:top w:val="nil"/>
              <w:left w:val="nil"/>
              <w:bottom w:val="nil"/>
              <w:right w:val="nil"/>
            </w:tcBorders>
            <w:shd w:val="clear" w:color="auto" w:fill="auto"/>
            <w:vAlign w:val="center"/>
            <w:hideMark/>
          </w:tcPr>
          <w:p w14:paraId="16D38DC7" w14:textId="77777777" w:rsidR="00AF650B" w:rsidRPr="00B40066" w:rsidRDefault="00AF650B" w:rsidP="00B40066">
            <w:pPr>
              <w:ind w:right="284"/>
              <w:jc w:val="right"/>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20.424</w:t>
            </w:r>
          </w:p>
        </w:tc>
        <w:tc>
          <w:tcPr>
            <w:tcW w:w="1540" w:type="dxa"/>
            <w:tcBorders>
              <w:top w:val="nil"/>
              <w:left w:val="nil"/>
              <w:bottom w:val="nil"/>
              <w:right w:val="nil"/>
            </w:tcBorders>
            <w:shd w:val="clear" w:color="auto" w:fill="auto"/>
            <w:vAlign w:val="center"/>
            <w:hideMark/>
          </w:tcPr>
          <w:p w14:paraId="4CF2BF4B" w14:textId="77777777" w:rsidR="00AF650B" w:rsidRPr="00B40066" w:rsidRDefault="00AF650B" w:rsidP="00B40066">
            <w:pPr>
              <w:ind w:right="284"/>
              <w:jc w:val="right"/>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15.826</w:t>
            </w:r>
          </w:p>
        </w:tc>
        <w:tc>
          <w:tcPr>
            <w:tcW w:w="1540" w:type="dxa"/>
            <w:tcBorders>
              <w:top w:val="nil"/>
              <w:left w:val="nil"/>
              <w:bottom w:val="nil"/>
              <w:right w:val="nil"/>
            </w:tcBorders>
            <w:shd w:val="clear" w:color="auto" w:fill="auto"/>
            <w:vAlign w:val="center"/>
            <w:hideMark/>
          </w:tcPr>
          <w:p w14:paraId="17A17C56" w14:textId="77777777" w:rsidR="00AF650B" w:rsidRPr="00B40066" w:rsidRDefault="00AF650B" w:rsidP="00E701CF">
            <w:pPr>
              <w:jc w:val="center"/>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29,1</w:t>
            </w:r>
          </w:p>
        </w:tc>
        <w:tc>
          <w:tcPr>
            <w:tcW w:w="1540" w:type="dxa"/>
            <w:tcBorders>
              <w:top w:val="nil"/>
              <w:left w:val="nil"/>
              <w:bottom w:val="nil"/>
              <w:right w:val="nil"/>
            </w:tcBorders>
            <w:shd w:val="clear" w:color="auto" w:fill="auto"/>
            <w:vAlign w:val="center"/>
            <w:hideMark/>
          </w:tcPr>
          <w:p w14:paraId="292BABC9" w14:textId="77777777" w:rsidR="00AF650B" w:rsidRPr="00B40066" w:rsidRDefault="00AF650B" w:rsidP="00E701CF">
            <w:pPr>
              <w:jc w:val="center"/>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2,66</w:t>
            </w:r>
          </w:p>
        </w:tc>
        <w:tc>
          <w:tcPr>
            <w:tcW w:w="1540" w:type="dxa"/>
            <w:tcBorders>
              <w:top w:val="nil"/>
              <w:left w:val="nil"/>
              <w:bottom w:val="nil"/>
              <w:right w:val="nil"/>
            </w:tcBorders>
            <w:shd w:val="clear" w:color="auto" w:fill="auto"/>
            <w:vAlign w:val="center"/>
            <w:hideMark/>
          </w:tcPr>
          <w:p w14:paraId="0B6A0EDF" w14:textId="77777777" w:rsidR="00AF650B" w:rsidRPr="00B40066" w:rsidRDefault="00AF650B" w:rsidP="00E701CF">
            <w:pPr>
              <w:jc w:val="center"/>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2,94</w:t>
            </w:r>
          </w:p>
        </w:tc>
      </w:tr>
      <w:tr w:rsidR="00B40066" w:rsidRPr="00B40066" w14:paraId="6C3BF0F3" w14:textId="77777777" w:rsidTr="00B40066">
        <w:trPr>
          <w:trHeight w:val="288"/>
        </w:trPr>
        <w:tc>
          <w:tcPr>
            <w:tcW w:w="1540" w:type="dxa"/>
            <w:tcBorders>
              <w:top w:val="nil"/>
              <w:left w:val="nil"/>
              <w:bottom w:val="nil"/>
              <w:right w:val="nil"/>
            </w:tcBorders>
            <w:shd w:val="clear" w:color="auto" w:fill="auto"/>
            <w:vAlign w:val="center"/>
            <w:hideMark/>
          </w:tcPr>
          <w:p w14:paraId="07E111BB" w14:textId="77777777" w:rsidR="00AF650B" w:rsidRPr="00B40066" w:rsidRDefault="00AF650B" w:rsidP="00AF650B">
            <w:pPr>
              <w:rPr>
                <w:rFonts w:ascii="Verdana" w:eastAsia="Times New Roman" w:hAnsi="Verdana" w:cs="Calibri"/>
                <w:color w:val="2F5496" w:themeColor="accent1" w:themeShade="BF"/>
                <w:sz w:val="18"/>
                <w:szCs w:val="18"/>
              </w:rPr>
            </w:pPr>
            <w:proofErr w:type="spellStart"/>
            <w:r w:rsidRPr="00B40066">
              <w:rPr>
                <w:rFonts w:ascii="Verdana" w:eastAsia="Times New Roman" w:hAnsi="Verdana" w:cs="Calibri"/>
                <w:color w:val="2F5496" w:themeColor="accent1" w:themeShade="BF"/>
                <w:sz w:val="18"/>
                <w:szCs w:val="18"/>
              </w:rPr>
              <w:t>Λάρν</w:t>
            </w:r>
            <w:proofErr w:type="spellEnd"/>
            <w:r w:rsidRPr="00B40066">
              <w:rPr>
                <w:rFonts w:ascii="Verdana" w:eastAsia="Times New Roman" w:hAnsi="Verdana" w:cs="Calibri"/>
                <w:color w:val="2F5496" w:themeColor="accent1" w:themeShade="BF"/>
                <w:sz w:val="18"/>
                <w:szCs w:val="18"/>
              </w:rPr>
              <w:t>ακα</w:t>
            </w:r>
          </w:p>
        </w:tc>
        <w:tc>
          <w:tcPr>
            <w:tcW w:w="1540" w:type="dxa"/>
            <w:tcBorders>
              <w:top w:val="nil"/>
              <w:left w:val="nil"/>
              <w:bottom w:val="nil"/>
              <w:right w:val="nil"/>
            </w:tcBorders>
            <w:shd w:val="clear" w:color="auto" w:fill="auto"/>
            <w:vAlign w:val="center"/>
            <w:hideMark/>
          </w:tcPr>
          <w:p w14:paraId="6071FAA3" w14:textId="77777777" w:rsidR="00AF650B" w:rsidRPr="00B40066" w:rsidRDefault="00AF650B" w:rsidP="00B40066">
            <w:pPr>
              <w:ind w:right="284"/>
              <w:jc w:val="right"/>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59.226</w:t>
            </w:r>
          </w:p>
        </w:tc>
        <w:tc>
          <w:tcPr>
            <w:tcW w:w="1540" w:type="dxa"/>
            <w:tcBorders>
              <w:top w:val="nil"/>
              <w:left w:val="nil"/>
              <w:bottom w:val="nil"/>
              <w:right w:val="nil"/>
            </w:tcBorders>
            <w:shd w:val="clear" w:color="auto" w:fill="auto"/>
            <w:vAlign w:val="center"/>
            <w:hideMark/>
          </w:tcPr>
          <w:p w14:paraId="0FA938E7" w14:textId="77777777" w:rsidR="00AF650B" w:rsidRPr="00B40066" w:rsidRDefault="00AF650B" w:rsidP="00B40066">
            <w:pPr>
              <w:ind w:right="284"/>
              <w:jc w:val="right"/>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50.038</w:t>
            </w:r>
          </w:p>
        </w:tc>
        <w:tc>
          <w:tcPr>
            <w:tcW w:w="1540" w:type="dxa"/>
            <w:tcBorders>
              <w:top w:val="nil"/>
              <w:left w:val="nil"/>
              <w:bottom w:val="nil"/>
              <w:right w:val="nil"/>
            </w:tcBorders>
            <w:shd w:val="clear" w:color="auto" w:fill="auto"/>
            <w:vAlign w:val="center"/>
            <w:hideMark/>
          </w:tcPr>
          <w:p w14:paraId="69F8A8CB" w14:textId="77777777" w:rsidR="00AF650B" w:rsidRPr="00B40066" w:rsidRDefault="00AF650B" w:rsidP="00E701CF">
            <w:pPr>
              <w:jc w:val="center"/>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18,4</w:t>
            </w:r>
          </w:p>
        </w:tc>
        <w:tc>
          <w:tcPr>
            <w:tcW w:w="1540" w:type="dxa"/>
            <w:tcBorders>
              <w:top w:val="nil"/>
              <w:left w:val="nil"/>
              <w:bottom w:val="nil"/>
              <w:right w:val="nil"/>
            </w:tcBorders>
            <w:shd w:val="clear" w:color="auto" w:fill="auto"/>
            <w:vAlign w:val="center"/>
            <w:hideMark/>
          </w:tcPr>
          <w:p w14:paraId="03705A67" w14:textId="77777777" w:rsidR="00AF650B" w:rsidRPr="00B40066" w:rsidRDefault="00AF650B" w:rsidP="00E701CF">
            <w:pPr>
              <w:jc w:val="center"/>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2,62</w:t>
            </w:r>
          </w:p>
        </w:tc>
        <w:tc>
          <w:tcPr>
            <w:tcW w:w="1540" w:type="dxa"/>
            <w:tcBorders>
              <w:top w:val="nil"/>
              <w:left w:val="nil"/>
              <w:bottom w:val="nil"/>
              <w:right w:val="nil"/>
            </w:tcBorders>
            <w:shd w:val="clear" w:color="auto" w:fill="auto"/>
            <w:vAlign w:val="center"/>
            <w:hideMark/>
          </w:tcPr>
          <w:p w14:paraId="0848CF0E" w14:textId="77777777" w:rsidR="00AF650B" w:rsidRPr="00B40066" w:rsidRDefault="00AF650B" w:rsidP="00E701CF">
            <w:pPr>
              <w:jc w:val="center"/>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2,85</w:t>
            </w:r>
          </w:p>
        </w:tc>
      </w:tr>
      <w:tr w:rsidR="00B40066" w:rsidRPr="00B40066" w14:paraId="322F1F1F" w14:textId="77777777" w:rsidTr="00B40066">
        <w:trPr>
          <w:trHeight w:val="288"/>
        </w:trPr>
        <w:tc>
          <w:tcPr>
            <w:tcW w:w="1540" w:type="dxa"/>
            <w:tcBorders>
              <w:top w:val="nil"/>
              <w:left w:val="nil"/>
              <w:bottom w:val="nil"/>
              <w:right w:val="nil"/>
            </w:tcBorders>
            <w:shd w:val="clear" w:color="auto" w:fill="auto"/>
            <w:vAlign w:val="center"/>
            <w:hideMark/>
          </w:tcPr>
          <w:p w14:paraId="52978234" w14:textId="77777777" w:rsidR="00AF650B" w:rsidRPr="00B40066" w:rsidRDefault="00AF650B" w:rsidP="00AF650B">
            <w:pPr>
              <w:rPr>
                <w:rFonts w:ascii="Verdana" w:eastAsia="Times New Roman" w:hAnsi="Verdana" w:cs="Calibri"/>
                <w:color w:val="2F5496" w:themeColor="accent1" w:themeShade="BF"/>
                <w:sz w:val="18"/>
                <w:szCs w:val="18"/>
              </w:rPr>
            </w:pPr>
            <w:proofErr w:type="spellStart"/>
            <w:r w:rsidRPr="00B40066">
              <w:rPr>
                <w:rFonts w:ascii="Verdana" w:eastAsia="Times New Roman" w:hAnsi="Verdana" w:cs="Calibri"/>
                <w:color w:val="2F5496" w:themeColor="accent1" w:themeShade="BF"/>
                <w:sz w:val="18"/>
                <w:szCs w:val="18"/>
              </w:rPr>
              <w:t>Λεμεσός</w:t>
            </w:r>
            <w:proofErr w:type="spellEnd"/>
          </w:p>
        </w:tc>
        <w:tc>
          <w:tcPr>
            <w:tcW w:w="1540" w:type="dxa"/>
            <w:tcBorders>
              <w:top w:val="nil"/>
              <w:left w:val="nil"/>
              <w:bottom w:val="nil"/>
              <w:right w:val="nil"/>
            </w:tcBorders>
            <w:shd w:val="clear" w:color="auto" w:fill="auto"/>
            <w:vAlign w:val="center"/>
            <w:hideMark/>
          </w:tcPr>
          <w:p w14:paraId="196ADC56" w14:textId="77777777" w:rsidR="00AF650B" w:rsidRPr="00B40066" w:rsidRDefault="00AF650B" w:rsidP="00B40066">
            <w:pPr>
              <w:ind w:right="284"/>
              <w:jc w:val="right"/>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100.806</w:t>
            </w:r>
          </w:p>
        </w:tc>
        <w:tc>
          <w:tcPr>
            <w:tcW w:w="1540" w:type="dxa"/>
            <w:tcBorders>
              <w:top w:val="nil"/>
              <w:left w:val="nil"/>
              <w:bottom w:val="nil"/>
              <w:right w:val="nil"/>
            </w:tcBorders>
            <w:shd w:val="clear" w:color="auto" w:fill="auto"/>
            <w:vAlign w:val="center"/>
            <w:hideMark/>
          </w:tcPr>
          <w:p w14:paraId="339381BF" w14:textId="77777777" w:rsidR="00AF650B" w:rsidRPr="00B40066" w:rsidRDefault="00AF650B" w:rsidP="00B40066">
            <w:pPr>
              <w:ind w:right="284"/>
              <w:jc w:val="right"/>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85.171</w:t>
            </w:r>
          </w:p>
        </w:tc>
        <w:tc>
          <w:tcPr>
            <w:tcW w:w="1540" w:type="dxa"/>
            <w:tcBorders>
              <w:top w:val="nil"/>
              <w:left w:val="nil"/>
              <w:bottom w:val="nil"/>
              <w:right w:val="nil"/>
            </w:tcBorders>
            <w:shd w:val="clear" w:color="auto" w:fill="auto"/>
            <w:vAlign w:val="center"/>
            <w:hideMark/>
          </w:tcPr>
          <w:p w14:paraId="3CE54033" w14:textId="77777777" w:rsidR="00AF650B" w:rsidRPr="00B40066" w:rsidRDefault="00AF650B" w:rsidP="00E701CF">
            <w:pPr>
              <w:jc w:val="center"/>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18,4</w:t>
            </w:r>
          </w:p>
        </w:tc>
        <w:tc>
          <w:tcPr>
            <w:tcW w:w="1540" w:type="dxa"/>
            <w:tcBorders>
              <w:top w:val="nil"/>
              <w:left w:val="nil"/>
              <w:bottom w:val="nil"/>
              <w:right w:val="nil"/>
            </w:tcBorders>
            <w:shd w:val="clear" w:color="auto" w:fill="auto"/>
            <w:vAlign w:val="center"/>
            <w:hideMark/>
          </w:tcPr>
          <w:p w14:paraId="41DCA6C4" w14:textId="77777777" w:rsidR="00AF650B" w:rsidRPr="00B40066" w:rsidRDefault="00AF650B" w:rsidP="00E701CF">
            <w:pPr>
              <w:jc w:val="center"/>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2,59</w:t>
            </w:r>
          </w:p>
        </w:tc>
        <w:tc>
          <w:tcPr>
            <w:tcW w:w="1540" w:type="dxa"/>
            <w:tcBorders>
              <w:top w:val="nil"/>
              <w:left w:val="nil"/>
              <w:bottom w:val="nil"/>
              <w:right w:val="nil"/>
            </w:tcBorders>
            <w:shd w:val="clear" w:color="auto" w:fill="auto"/>
            <w:vAlign w:val="center"/>
            <w:hideMark/>
          </w:tcPr>
          <w:p w14:paraId="48F6768F" w14:textId="77777777" w:rsidR="00AF650B" w:rsidRPr="00B40066" w:rsidRDefault="00AF650B" w:rsidP="00E701CF">
            <w:pPr>
              <w:jc w:val="center"/>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2,75</w:t>
            </w:r>
          </w:p>
        </w:tc>
      </w:tr>
      <w:tr w:rsidR="00B40066" w:rsidRPr="00B40066" w14:paraId="2B047ED2" w14:textId="77777777" w:rsidTr="00B40066">
        <w:trPr>
          <w:trHeight w:val="300"/>
        </w:trPr>
        <w:tc>
          <w:tcPr>
            <w:tcW w:w="1540" w:type="dxa"/>
            <w:tcBorders>
              <w:top w:val="nil"/>
              <w:left w:val="nil"/>
              <w:bottom w:val="single" w:sz="8" w:space="0" w:color="2F5496"/>
              <w:right w:val="nil"/>
            </w:tcBorders>
            <w:shd w:val="clear" w:color="auto" w:fill="auto"/>
            <w:vAlign w:val="center"/>
            <w:hideMark/>
          </w:tcPr>
          <w:p w14:paraId="54C9B390" w14:textId="77777777" w:rsidR="00AF650B" w:rsidRPr="00B40066" w:rsidRDefault="00AF650B" w:rsidP="00AF650B">
            <w:pPr>
              <w:rPr>
                <w:rFonts w:ascii="Verdana" w:eastAsia="Times New Roman" w:hAnsi="Verdana" w:cs="Calibri"/>
                <w:color w:val="2F5496" w:themeColor="accent1" w:themeShade="BF"/>
                <w:sz w:val="18"/>
                <w:szCs w:val="18"/>
              </w:rPr>
            </w:pPr>
            <w:proofErr w:type="spellStart"/>
            <w:r w:rsidRPr="00B40066">
              <w:rPr>
                <w:rFonts w:ascii="Verdana" w:eastAsia="Times New Roman" w:hAnsi="Verdana" w:cs="Calibri"/>
                <w:color w:val="2F5496" w:themeColor="accent1" w:themeShade="BF"/>
                <w:sz w:val="18"/>
                <w:szCs w:val="18"/>
              </w:rPr>
              <w:t>Πάφος</w:t>
            </w:r>
            <w:proofErr w:type="spellEnd"/>
          </w:p>
        </w:tc>
        <w:tc>
          <w:tcPr>
            <w:tcW w:w="1540" w:type="dxa"/>
            <w:tcBorders>
              <w:top w:val="nil"/>
              <w:left w:val="nil"/>
              <w:bottom w:val="single" w:sz="8" w:space="0" w:color="2F5496"/>
              <w:right w:val="nil"/>
            </w:tcBorders>
            <w:shd w:val="clear" w:color="auto" w:fill="auto"/>
            <w:vAlign w:val="center"/>
            <w:hideMark/>
          </w:tcPr>
          <w:p w14:paraId="58FA8A35" w14:textId="77777777" w:rsidR="00AF650B" w:rsidRPr="00B40066" w:rsidRDefault="00AF650B" w:rsidP="00B40066">
            <w:pPr>
              <w:ind w:right="284"/>
              <w:jc w:val="right"/>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39.597</w:t>
            </w:r>
          </w:p>
        </w:tc>
        <w:tc>
          <w:tcPr>
            <w:tcW w:w="1540" w:type="dxa"/>
            <w:tcBorders>
              <w:top w:val="nil"/>
              <w:left w:val="nil"/>
              <w:bottom w:val="single" w:sz="8" w:space="0" w:color="2F5496"/>
              <w:right w:val="nil"/>
            </w:tcBorders>
            <w:shd w:val="clear" w:color="auto" w:fill="auto"/>
            <w:vAlign w:val="center"/>
            <w:hideMark/>
          </w:tcPr>
          <w:p w14:paraId="1E94E680" w14:textId="77777777" w:rsidR="00AF650B" w:rsidRPr="00B40066" w:rsidRDefault="00AF650B" w:rsidP="00B40066">
            <w:pPr>
              <w:ind w:right="284"/>
              <w:jc w:val="right"/>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33.004</w:t>
            </w:r>
          </w:p>
        </w:tc>
        <w:tc>
          <w:tcPr>
            <w:tcW w:w="1540" w:type="dxa"/>
            <w:tcBorders>
              <w:top w:val="nil"/>
              <w:left w:val="nil"/>
              <w:bottom w:val="single" w:sz="8" w:space="0" w:color="2F5496"/>
              <w:right w:val="nil"/>
            </w:tcBorders>
            <w:shd w:val="clear" w:color="auto" w:fill="auto"/>
            <w:vAlign w:val="center"/>
            <w:hideMark/>
          </w:tcPr>
          <w:p w14:paraId="515B8EC5" w14:textId="77777777" w:rsidR="00AF650B" w:rsidRPr="00B40066" w:rsidRDefault="00AF650B" w:rsidP="00E701CF">
            <w:pPr>
              <w:jc w:val="center"/>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20,0</w:t>
            </w:r>
          </w:p>
        </w:tc>
        <w:tc>
          <w:tcPr>
            <w:tcW w:w="1540" w:type="dxa"/>
            <w:tcBorders>
              <w:top w:val="nil"/>
              <w:left w:val="nil"/>
              <w:bottom w:val="single" w:sz="8" w:space="0" w:color="2F5496"/>
              <w:right w:val="nil"/>
            </w:tcBorders>
            <w:shd w:val="clear" w:color="auto" w:fill="auto"/>
            <w:vAlign w:val="center"/>
            <w:hideMark/>
          </w:tcPr>
          <w:p w14:paraId="40810657" w14:textId="77777777" w:rsidR="00AF650B" w:rsidRPr="00B40066" w:rsidRDefault="00AF650B" w:rsidP="00E701CF">
            <w:pPr>
              <w:jc w:val="center"/>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2,55</w:t>
            </w:r>
          </w:p>
        </w:tc>
        <w:tc>
          <w:tcPr>
            <w:tcW w:w="1540" w:type="dxa"/>
            <w:tcBorders>
              <w:top w:val="nil"/>
              <w:left w:val="nil"/>
              <w:bottom w:val="single" w:sz="8" w:space="0" w:color="2F5496"/>
              <w:right w:val="nil"/>
            </w:tcBorders>
            <w:shd w:val="clear" w:color="auto" w:fill="auto"/>
            <w:vAlign w:val="center"/>
            <w:hideMark/>
          </w:tcPr>
          <w:p w14:paraId="30DD0B3A" w14:textId="77777777" w:rsidR="00AF650B" w:rsidRPr="00B40066" w:rsidRDefault="00AF650B" w:rsidP="00E701CF">
            <w:pPr>
              <w:jc w:val="center"/>
              <w:rPr>
                <w:rFonts w:ascii="Verdana" w:eastAsia="Times New Roman" w:hAnsi="Verdana" w:cs="Calibri"/>
                <w:color w:val="2F5496" w:themeColor="accent1" w:themeShade="BF"/>
                <w:sz w:val="18"/>
                <w:szCs w:val="18"/>
              </w:rPr>
            </w:pPr>
            <w:r w:rsidRPr="00B40066">
              <w:rPr>
                <w:rFonts w:ascii="Verdana" w:eastAsia="Times New Roman" w:hAnsi="Verdana" w:cs="Calibri"/>
                <w:color w:val="2F5496" w:themeColor="accent1" w:themeShade="BF"/>
                <w:sz w:val="18"/>
                <w:szCs w:val="18"/>
              </w:rPr>
              <w:t>2,67</w:t>
            </w:r>
          </w:p>
        </w:tc>
      </w:tr>
      <w:tr w:rsidR="00B40066" w:rsidRPr="00B40066" w14:paraId="284E6BE7" w14:textId="77777777" w:rsidTr="00B40066">
        <w:trPr>
          <w:trHeight w:val="300"/>
        </w:trPr>
        <w:tc>
          <w:tcPr>
            <w:tcW w:w="1540" w:type="dxa"/>
            <w:tcBorders>
              <w:top w:val="nil"/>
              <w:left w:val="nil"/>
              <w:bottom w:val="single" w:sz="8" w:space="0" w:color="2F5496"/>
              <w:right w:val="nil"/>
            </w:tcBorders>
            <w:shd w:val="clear" w:color="auto" w:fill="auto"/>
            <w:vAlign w:val="center"/>
            <w:hideMark/>
          </w:tcPr>
          <w:p w14:paraId="66821474" w14:textId="77777777" w:rsidR="00AF650B" w:rsidRPr="00B40066" w:rsidRDefault="00AF650B" w:rsidP="00AF650B">
            <w:pPr>
              <w:rPr>
                <w:rFonts w:ascii="Verdana" w:eastAsia="Times New Roman" w:hAnsi="Verdana" w:cs="Calibri"/>
                <w:b/>
                <w:bCs/>
                <w:color w:val="2F5496" w:themeColor="accent1" w:themeShade="BF"/>
                <w:sz w:val="18"/>
                <w:szCs w:val="18"/>
              </w:rPr>
            </w:pPr>
            <w:proofErr w:type="spellStart"/>
            <w:r w:rsidRPr="00B40066">
              <w:rPr>
                <w:rFonts w:ascii="Verdana" w:eastAsia="Times New Roman" w:hAnsi="Verdana" w:cs="Calibri"/>
                <w:b/>
                <w:bCs/>
                <w:color w:val="2F5496" w:themeColor="accent1" w:themeShade="BF"/>
                <w:sz w:val="18"/>
                <w:szCs w:val="18"/>
              </w:rPr>
              <w:t>Σύνολο</w:t>
            </w:r>
            <w:proofErr w:type="spellEnd"/>
          </w:p>
        </w:tc>
        <w:tc>
          <w:tcPr>
            <w:tcW w:w="1540" w:type="dxa"/>
            <w:tcBorders>
              <w:top w:val="nil"/>
              <w:left w:val="nil"/>
              <w:bottom w:val="single" w:sz="8" w:space="0" w:color="2F5496"/>
              <w:right w:val="nil"/>
            </w:tcBorders>
            <w:shd w:val="clear" w:color="auto" w:fill="auto"/>
            <w:vAlign w:val="center"/>
            <w:hideMark/>
          </w:tcPr>
          <w:p w14:paraId="2757A200" w14:textId="77777777" w:rsidR="00AF650B" w:rsidRPr="00B40066" w:rsidRDefault="00AF650B" w:rsidP="00B40066">
            <w:pPr>
              <w:ind w:right="284"/>
              <w:jc w:val="right"/>
              <w:rPr>
                <w:rFonts w:ascii="Verdana" w:eastAsia="Times New Roman" w:hAnsi="Verdana" w:cs="Calibri"/>
                <w:b/>
                <w:bCs/>
                <w:color w:val="2F5496" w:themeColor="accent1" w:themeShade="BF"/>
                <w:sz w:val="18"/>
                <w:szCs w:val="18"/>
              </w:rPr>
            </w:pPr>
            <w:r w:rsidRPr="00B40066">
              <w:rPr>
                <w:rFonts w:ascii="Verdana" w:eastAsia="Times New Roman" w:hAnsi="Verdana" w:cs="Calibri"/>
                <w:b/>
                <w:bCs/>
                <w:color w:val="2F5496" w:themeColor="accent1" w:themeShade="BF"/>
                <w:sz w:val="18"/>
                <w:szCs w:val="18"/>
              </w:rPr>
              <w:t>357.858</w:t>
            </w:r>
          </w:p>
        </w:tc>
        <w:tc>
          <w:tcPr>
            <w:tcW w:w="1540" w:type="dxa"/>
            <w:tcBorders>
              <w:top w:val="nil"/>
              <w:left w:val="nil"/>
              <w:bottom w:val="single" w:sz="8" w:space="0" w:color="2F5496"/>
              <w:right w:val="nil"/>
            </w:tcBorders>
            <w:shd w:val="clear" w:color="auto" w:fill="auto"/>
            <w:vAlign w:val="center"/>
            <w:hideMark/>
          </w:tcPr>
          <w:p w14:paraId="67EE9724" w14:textId="77777777" w:rsidR="00AF650B" w:rsidRPr="00B40066" w:rsidRDefault="00AF650B" w:rsidP="00B40066">
            <w:pPr>
              <w:ind w:right="284"/>
              <w:jc w:val="right"/>
              <w:rPr>
                <w:rFonts w:ascii="Verdana" w:eastAsia="Times New Roman" w:hAnsi="Verdana" w:cs="Calibri"/>
                <w:b/>
                <w:bCs/>
                <w:color w:val="2F5496" w:themeColor="accent1" w:themeShade="BF"/>
                <w:sz w:val="18"/>
                <w:szCs w:val="18"/>
              </w:rPr>
            </w:pPr>
            <w:r w:rsidRPr="00B40066">
              <w:rPr>
                <w:rFonts w:ascii="Verdana" w:eastAsia="Times New Roman" w:hAnsi="Verdana" w:cs="Calibri"/>
                <w:b/>
                <w:bCs/>
                <w:color w:val="2F5496" w:themeColor="accent1" w:themeShade="BF"/>
                <w:sz w:val="18"/>
                <w:szCs w:val="18"/>
              </w:rPr>
              <w:t>303.242</w:t>
            </w:r>
          </w:p>
        </w:tc>
        <w:tc>
          <w:tcPr>
            <w:tcW w:w="1540" w:type="dxa"/>
            <w:tcBorders>
              <w:top w:val="nil"/>
              <w:left w:val="nil"/>
              <w:bottom w:val="single" w:sz="8" w:space="0" w:color="2F5496"/>
              <w:right w:val="nil"/>
            </w:tcBorders>
            <w:shd w:val="clear" w:color="auto" w:fill="auto"/>
            <w:vAlign w:val="center"/>
            <w:hideMark/>
          </w:tcPr>
          <w:p w14:paraId="4729224F" w14:textId="77777777" w:rsidR="00AF650B" w:rsidRPr="00B40066" w:rsidRDefault="00AF650B" w:rsidP="00E701CF">
            <w:pPr>
              <w:jc w:val="center"/>
              <w:rPr>
                <w:rFonts w:ascii="Verdana" w:eastAsia="Times New Roman" w:hAnsi="Verdana" w:cs="Calibri"/>
                <w:b/>
                <w:bCs/>
                <w:color w:val="2F5496" w:themeColor="accent1" w:themeShade="BF"/>
                <w:sz w:val="18"/>
                <w:szCs w:val="18"/>
              </w:rPr>
            </w:pPr>
            <w:r w:rsidRPr="00B40066">
              <w:rPr>
                <w:rFonts w:ascii="Verdana" w:eastAsia="Times New Roman" w:hAnsi="Verdana" w:cs="Calibri"/>
                <w:b/>
                <w:bCs/>
                <w:color w:val="2F5496" w:themeColor="accent1" w:themeShade="BF"/>
                <w:sz w:val="18"/>
                <w:szCs w:val="18"/>
              </w:rPr>
              <w:t>18,0</w:t>
            </w:r>
          </w:p>
        </w:tc>
        <w:tc>
          <w:tcPr>
            <w:tcW w:w="1540" w:type="dxa"/>
            <w:tcBorders>
              <w:top w:val="nil"/>
              <w:left w:val="nil"/>
              <w:bottom w:val="single" w:sz="8" w:space="0" w:color="2F5496"/>
            </w:tcBorders>
            <w:shd w:val="clear" w:color="auto" w:fill="auto"/>
            <w:vAlign w:val="center"/>
            <w:hideMark/>
          </w:tcPr>
          <w:p w14:paraId="10160F90" w14:textId="77777777" w:rsidR="00AF650B" w:rsidRPr="00B40066" w:rsidRDefault="00AF650B" w:rsidP="00E701CF">
            <w:pPr>
              <w:jc w:val="center"/>
              <w:rPr>
                <w:rFonts w:ascii="Verdana" w:eastAsia="Times New Roman" w:hAnsi="Verdana" w:cs="Calibri"/>
                <w:b/>
                <w:bCs/>
                <w:color w:val="2F5496" w:themeColor="accent1" w:themeShade="BF"/>
                <w:sz w:val="18"/>
                <w:szCs w:val="18"/>
              </w:rPr>
            </w:pPr>
            <w:r w:rsidRPr="00B40066">
              <w:rPr>
                <w:rFonts w:ascii="Verdana" w:eastAsia="Times New Roman" w:hAnsi="Verdana" w:cs="Calibri"/>
                <w:b/>
                <w:bCs/>
                <w:color w:val="2F5496" w:themeColor="accent1" w:themeShade="BF"/>
                <w:sz w:val="18"/>
                <w:szCs w:val="18"/>
              </w:rPr>
              <w:t>2,57</w:t>
            </w:r>
          </w:p>
        </w:tc>
        <w:tc>
          <w:tcPr>
            <w:tcW w:w="1540" w:type="dxa"/>
            <w:tcBorders>
              <w:top w:val="single" w:sz="8" w:space="0" w:color="2F5496"/>
              <w:bottom w:val="single" w:sz="4" w:space="0" w:color="0000FF"/>
            </w:tcBorders>
            <w:shd w:val="clear" w:color="FFFFFF" w:fill="FFFFFF"/>
            <w:noWrap/>
            <w:vAlign w:val="center"/>
            <w:hideMark/>
          </w:tcPr>
          <w:p w14:paraId="395FB924" w14:textId="77777777" w:rsidR="00AF650B" w:rsidRPr="00B40066" w:rsidRDefault="00AF650B" w:rsidP="00E701CF">
            <w:pPr>
              <w:jc w:val="center"/>
              <w:rPr>
                <w:rFonts w:ascii="Verdana" w:eastAsia="Times New Roman" w:hAnsi="Verdana" w:cs="Calibri"/>
                <w:b/>
                <w:bCs/>
                <w:color w:val="2F5496" w:themeColor="accent1" w:themeShade="BF"/>
                <w:sz w:val="18"/>
                <w:szCs w:val="18"/>
              </w:rPr>
            </w:pPr>
            <w:r w:rsidRPr="00B40066">
              <w:rPr>
                <w:rFonts w:ascii="Verdana" w:eastAsia="Times New Roman" w:hAnsi="Verdana" w:cs="Calibri"/>
                <w:b/>
                <w:bCs/>
                <w:color w:val="2F5496" w:themeColor="accent1" w:themeShade="BF"/>
                <w:sz w:val="18"/>
                <w:szCs w:val="18"/>
              </w:rPr>
              <w:t>2,76</w:t>
            </w:r>
          </w:p>
        </w:tc>
      </w:tr>
    </w:tbl>
    <w:p w14:paraId="663892AA" w14:textId="77777777" w:rsidR="00B6393C" w:rsidRDefault="00B6393C" w:rsidP="00F145C3">
      <w:pPr>
        <w:jc w:val="both"/>
        <w:rPr>
          <w:rFonts w:ascii="Verdana" w:hAnsi="Verdana" w:cs="Calibri"/>
          <w:sz w:val="18"/>
          <w:szCs w:val="18"/>
          <w:lang w:val="el-GR"/>
        </w:rPr>
      </w:pPr>
    </w:p>
    <w:p w14:paraId="5B424FDA" w14:textId="77777777" w:rsidR="006766D7" w:rsidRDefault="006766D7" w:rsidP="00F145C3">
      <w:pPr>
        <w:jc w:val="both"/>
        <w:rPr>
          <w:rFonts w:ascii="Verdana" w:hAnsi="Verdana" w:cs="Calibri"/>
          <w:sz w:val="18"/>
          <w:szCs w:val="18"/>
          <w:lang w:val="el-GR"/>
        </w:rPr>
      </w:pPr>
    </w:p>
    <w:p w14:paraId="29D84803" w14:textId="27F4BE80" w:rsidR="003E2510" w:rsidRDefault="003E2510" w:rsidP="00F145C3">
      <w:pPr>
        <w:jc w:val="both"/>
        <w:rPr>
          <w:rFonts w:ascii="Verdana" w:hAnsi="Verdana" w:cs="Calibri"/>
          <w:sz w:val="18"/>
          <w:szCs w:val="18"/>
          <w:lang w:val="el-GR"/>
        </w:rPr>
      </w:pPr>
      <w:r>
        <w:rPr>
          <w:rFonts w:ascii="Verdana" w:hAnsi="Verdana" w:cs="Calibri"/>
          <w:sz w:val="18"/>
          <w:szCs w:val="18"/>
          <w:lang w:val="el-GR"/>
        </w:rPr>
        <w:t>Τα 112.305 νοικοκυριά (31,4%) αποτελούσαν νοικοκυριά χωρίς οικογενειακό πυρήνα, τα 237.936 νοικοκυριά (ή ποσοστό της τάξης του 66,5%) ήταν νοικοκυριά με έναν οικογενειακό πυρήνα και τα υπόλοιπα 7.617 (2,1%) αποτελούσαν νοικοκυριά με δύο ή περισσότερες οικογένειες. Τα αντίστοιχα ποσοστά του 2011 ήταν 25,3% χωρίς οικογενειακό πυρήνα, 72,4% νοικοκυριά με έναν οικογενειακό πυρήνα και 2,3% με δύο ή περισσότερες οικογένειες.</w:t>
      </w:r>
    </w:p>
    <w:p w14:paraId="4B13267F" w14:textId="77777777" w:rsidR="00F145C3" w:rsidRDefault="00F145C3" w:rsidP="00F145C3">
      <w:pPr>
        <w:jc w:val="both"/>
        <w:rPr>
          <w:rFonts w:ascii="Verdana" w:hAnsi="Verdana" w:cs="Calibri"/>
          <w:sz w:val="18"/>
          <w:szCs w:val="18"/>
          <w:lang w:val="el-GR"/>
        </w:rPr>
      </w:pPr>
    </w:p>
    <w:p w14:paraId="1F7D846B" w14:textId="77777777" w:rsidR="00F145C3" w:rsidRDefault="00F145C3" w:rsidP="00F145C3">
      <w:pPr>
        <w:jc w:val="both"/>
        <w:rPr>
          <w:rFonts w:ascii="Verdana" w:hAnsi="Verdana" w:cs="Calibri"/>
          <w:sz w:val="18"/>
          <w:szCs w:val="18"/>
          <w:lang w:val="el-GR"/>
        </w:rPr>
      </w:pPr>
    </w:p>
    <w:p w14:paraId="1AC05D7F" w14:textId="77777777" w:rsidR="00F145C3" w:rsidRDefault="00F145C3" w:rsidP="00F145C3">
      <w:pPr>
        <w:jc w:val="both"/>
        <w:rPr>
          <w:rFonts w:ascii="Verdana" w:hAnsi="Verdana" w:cs="Calibri"/>
          <w:sz w:val="18"/>
          <w:szCs w:val="18"/>
          <w:lang w:val="el-GR"/>
        </w:rPr>
      </w:pPr>
    </w:p>
    <w:p w14:paraId="13EE6EE9" w14:textId="77777777" w:rsidR="00F145C3" w:rsidRDefault="00F145C3" w:rsidP="00F145C3">
      <w:pPr>
        <w:jc w:val="both"/>
        <w:rPr>
          <w:rFonts w:ascii="Verdana" w:hAnsi="Verdana" w:cs="Calibri"/>
          <w:sz w:val="18"/>
          <w:szCs w:val="18"/>
          <w:lang w:val="el-GR"/>
        </w:rPr>
      </w:pPr>
    </w:p>
    <w:p w14:paraId="4B2B2738" w14:textId="77777777" w:rsidR="00F145C3" w:rsidRDefault="00F145C3" w:rsidP="00F145C3">
      <w:pPr>
        <w:jc w:val="both"/>
        <w:rPr>
          <w:rFonts w:ascii="Verdana" w:hAnsi="Verdana" w:cs="Calibri"/>
          <w:sz w:val="18"/>
          <w:szCs w:val="18"/>
          <w:lang w:val="el-GR"/>
        </w:rPr>
      </w:pPr>
    </w:p>
    <w:p w14:paraId="13C894F2" w14:textId="77777777" w:rsidR="00F145C3" w:rsidRDefault="00F145C3" w:rsidP="00F145C3">
      <w:pPr>
        <w:jc w:val="both"/>
        <w:rPr>
          <w:rFonts w:ascii="Verdana" w:hAnsi="Verdana" w:cs="Calibri"/>
          <w:sz w:val="18"/>
          <w:szCs w:val="18"/>
          <w:lang w:val="el-GR"/>
        </w:rPr>
      </w:pPr>
    </w:p>
    <w:p w14:paraId="4C580597" w14:textId="77777777" w:rsidR="00F145C3" w:rsidRDefault="00F145C3" w:rsidP="00F145C3">
      <w:pPr>
        <w:jc w:val="both"/>
        <w:rPr>
          <w:rFonts w:ascii="Verdana" w:hAnsi="Verdana" w:cs="Calibri"/>
          <w:sz w:val="18"/>
          <w:szCs w:val="18"/>
          <w:lang w:val="el-GR"/>
        </w:rPr>
      </w:pPr>
    </w:p>
    <w:p w14:paraId="247F6615" w14:textId="77777777" w:rsidR="00B40066" w:rsidRDefault="00B40066" w:rsidP="00F145C3">
      <w:pPr>
        <w:jc w:val="both"/>
        <w:rPr>
          <w:rFonts w:ascii="Verdana" w:hAnsi="Verdana" w:cs="Calibri"/>
          <w:sz w:val="18"/>
          <w:szCs w:val="18"/>
          <w:lang w:val="el-GR"/>
        </w:rPr>
      </w:pPr>
    </w:p>
    <w:p w14:paraId="413502DB" w14:textId="77777777" w:rsidR="00B40066" w:rsidRDefault="00B40066" w:rsidP="00F145C3">
      <w:pPr>
        <w:jc w:val="both"/>
        <w:rPr>
          <w:rFonts w:ascii="Verdana" w:hAnsi="Verdana" w:cs="Calibri"/>
          <w:sz w:val="18"/>
          <w:szCs w:val="18"/>
          <w:lang w:val="el-GR"/>
        </w:rPr>
      </w:pPr>
    </w:p>
    <w:p w14:paraId="1201C04D" w14:textId="77777777" w:rsidR="00B40066" w:rsidRDefault="00B40066" w:rsidP="00F145C3">
      <w:pPr>
        <w:jc w:val="both"/>
        <w:rPr>
          <w:rFonts w:ascii="Verdana" w:hAnsi="Verdana" w:cs="Calibri"/>
          <w:sz w:val="18"/>
          <w:szCs w:val="18"/>
          <w:lang w:val="el-GR"/>
        </w:rPr>
      </w:pPr>
    </w:p>
    <w:p w14:paraId="36133A2A" w14:textId="77777777" w:rsidR="00DE3844" w:rsidRPr="008059A4" w:rsidRDefault="00DE3844" w:rsidP="00F145C3">
      <w:pPr>
        <w:jc w:val="center"/>
        <w:rPr>
          <w:rFonts w:ascii="Verdana" w:hAnsi="Verdana" w:cs="Calibri"/>
          <w:b/>
          <w:bCs/>
          <w:u w:val="single"/>
          <w:lang w:val="el-GR"/>
        </w:rPr>
      </w:pPr>
      <w:r w:rsidRPr="008059A4">
        <w:rPr>
          <w:rFonts w:ascii="Verdana" w:hAnsi="Verdana" w:cs="Calibri"/>
          <w:b/>
          <w:bCs/>
          <w:u w:val="single"/>
          <w:lang w:val="el-GR"/>
        </w:rPr>
        <w:lastRenderedPageBreak/>
        <w:t>ΜΕΘΟΔΟΛΟΓΙΚΕΣ ΠΛΗΡΟΦΟΡΙΕΣ</w:t>
      </w:r>
    </w:p>
    <w:p w14:paraId="1AAB3FF1" w14:textId="77777777" w:rsidR="00DE3844" w:rsidRPr="00AC32BD" w:rsidRDefault="00DE3844" w:rsidP="00F145C3">
      <w:pPr>
        <w:suppressAutoHyphens/>
        <w:jc w:val="both"/>
        <w:rPr>
          <w:rFonts w:ascii="Verdana" w:hAnsi="Verdana" w:cs="Calibri"/>
          <w:sz w:val="18"/>
          <w:szCs w:val="18"/>
          <w:lang w:val="el-GR"/>
        </w:rPr>
      </w:pPr>
    </w:p>
    <w:p w14:paraId="78114A83" w14:textId="1573579D" w:rsidR="00965570" w:rsidRPr="00F145C3" w:rsidRDefault="00965570" w:rsidP="00F145C3">
      <w:pPr>
        <w:suppressAutoHyphens/>
        <w:jc w:val="both"/>
        <w:rPr>
          <w:rFonts w:ascii="Verdana" w:hAnsi="Verdana" w:cs="Calibri"/>
          <w:sz w:val="18"/>
          <w:szCs w:val="18"/>
          <w:lang w:val="el-GR"/>
        </w:rPr>
      </w:pPr>
      <w:r w:rsidRPr="00F145C3">
        <w:rPr>
          <w:rFonts w:ascii="Verdana" w:hAnsi="Verdana" w:cs="Calibri"/>
          <w:sz w:val="18"/>
          <w:szCs w:val="18"/>
          <w:lang w:val="el-GR"/>
        </w:rPr>
        <w:t xml:space="preserve">Η Απογραφή Πληθυσμού και Κατοικιών 2021 είχε σκοπό την πλήρη και ακριβή γεωγραφική κάλυψη των κατοικιών, των ιδρυμάτων, των νοικοκυριών και των ατόμων, Κυπρίων και ξένων υπηκόων, που είχαν τη συνήθη διαμονή τους στις ελεγχόμενες από το Κράτος περιοχές </w:t>
      </w:r>
      <w:r w:rsidR="00B45EB9">
        <w:rPr>
          <w:rFonts w:ascii="Verdana" w:hAnsi="Verdana" w:cs="Calibri"/>
          <w:sz w:val="18"/>
          <w:szCs w:val="18"/>
          <w:lang w:val="el-GR"/>
        </w:rPr>
        <w:t xml:space="preserve">της Κύπρου </w:t>
      </w:r>
      <w:r w:rsidRPr="00F145C3">
        <w:rPr>
          <w:rFonts w:ascii="Verdana" w:hAnsi="Verdana" w:cs="Calibri"/>
          <w:sz w:val="18"/>
          <w:szCs w:val="18"/>
          <w:lang w:val="el-GR"/>
        </w:rPr>
        <w:t xml:space="preserve">κατά την </w:t>
      </w:r>
      <w:r w:rsidRPr="00F145C3">
        <w:rPr>
          <w:rFonts w:ascii="Verdana" w:hAnsi="Verdana" w:cs="Calibri"/>
          <w:sz w:val="18"/>
          <w:szCs w:val="18"/>
          <w:u w:val="single"/>
          <w:lang w:val="el-GR"/>
        </w:rPr>
        <w:t>1</w:t>
      </w:r>
      <w:r w:rsidRPr="00F145C3">
        <w:rPr>
          <w:rFonts w:ascii="Verdana" w:hAnsi="Verdana" w:cs="Calibri"/>
          <w:sz w:val="18"/>
          <w:szCs w:val="18"/>
          <w:u w:val="single"/>
          <w:vertAlign w:val="superscript"/>
          <w:lang w:val="el-GR"/>
        </w:rPr>
        <w:t>η</w:t>
      </w:r>
      <w:r w:rsidRPr="00F145C3">
        <w:rPr>
          <w:rFonts w:ascii="Verdana" w:hAnsi="Verdana" w:cs="Calibri"/>
          <w:sz w:val="18"/>
          <w:szCs w:val="18"/>
          <w:u w:val="single"/>
          <w:lang w:val="el-GR"/>
        </w:rPr>
        <w:t xml:space="preserve"> Οκτωβρίου 2021</w:t>
      </w:r>
      <w:r w:rsidRPr="00F145C3">
        <w:rPr>
          <w:rFonts w:ascii="Verdana" w:hAnsi="Verdana" w:cs="Calibri"/>
          <w:sz w:val="18"/>
          <w:szCs w:val="18"/>
          <w:lang w:val="el-GR"/>
        </w:rPr>
        <w:t xml:space="preserve">. </w:t>
      </w:r>
    </w:p>
    <w:p w14:paraId="4A64764E" w14:textId="77777777" w:rsidR="00965570" w:rsidRPr="00F145C3" w:rsidRDefault="00965570" w:rsidP="00F145C3">
      <w:pPr>
        <w:suppressAutoHyphens/>
        <w:jc w:val="both"/>
        <w:rPr>
          <w:rFonts w:ascii="Verdana" w:hAnsi="Verdana" w:cs="Calibri"/>
          <w:sz w:val="18"/>
          <w:szCs w:val="18"/>
          <w:lang w:val="el-GR"/>
        </w:rPr>
      </w:pPr>
    </w:p>
    <w:p w14:paraId="0B1B6BC6" w14:textId="44C4DBCB" w:rsidR="00965570" w:rsidRPr="00F145C3" w:rsidRDefault="00965570" w:rsidP="00F145C3">
      <w:pPr>
        <w:jc w:val="both"/>
        <w:rPr>
          <w:rFonts w:ascii="Verdana" w:hAnsi="Verdana" w:cs="Calibri"/>
          <w:sz w:val="18"/>
          <w:szCs w:val="18"/>
          <w:lang w:val="el-GR"/>
        </w:rPr>
      </w:pPr>
      <w:r w:rsidRPr="00F145C3">
        <w:rPr>
          <w:rFonts w:ascii="Verdana" w:hAnsi="Verdana" w:cs="Calibri"/>
          <w:sz w:val="18"/>
          <w:szCs w:val="18"/>
          <w:lang w:val="el-GR"/>
        </w:rPr>
        <w:t xml:space="preserve">Η Απογραφή αποτελεί βασική πηγή πληροφοριών και στατιστικών δεδομένων και διεξάγεται συνήθως </w:t>
      </w:r>
      <w:r w:rsidR="00373582" w:rsidRPr="00F145C3">
        <w:rPr>
          <w:rFonts w:ascii="Verdana" w:hAnsi="Verdana" w:cs="Calibri"/>
          <w:sz w:val="18"/>
          <w:szCs w:val="18"/>
          <w:lang w:val="el-GR"/>
        </w:rPr>
        <w:t>κάθε</w:t>
      </w:r>
      <w:r w:rsidRPr="00F145C3">
        <w:rPr>
          <w:rFonts w:ascii="Verdana" w:hAnsi="Verdana" w:cs="Calibri"/>
          <w:sz w:val="18"/>
          <w:szCs w:val="18"/>
          <w:lang w:val="el-GR"/>
        </w:rPr>
        <w:t xml:space="preserve"> 10 χρόν</w:t>
      </w:r>
      <w:r w:rsidR="00373582" w:rsidRPr="00F145C3">
        <w:rPr>
          <w:rFonts w:ascii="Verdana" w:hAnsi="Verdana" w:cs="Calibri"/>
          <w:sz w:val="18"/>
          <w:szCs w:val="18"/>
          <w:lang w:val="el-GR"/>
        </w:rPr>
        <w:t>ια</w:t>
      </w:r>
      <w:r w:rsidRPr="00F145C3">
        <w:rPr>
          <w:rFonts w:ascii="Verdana" w:hAnsi="Verdana" w:cs="Calibri"/>
          <w:sz w:val="18"/>
          <w:szCs w:val="18"/>
          <w:lang w:val="el-GR"/>
        </w:rPr>
        <w:t xml:space="preserve">. Αποτελεί το πιο πολυδάπανο και απαιτητικό έργο που διεξάγεται από τη Στατιστική Υπηρεσία. Η </w:t>
      </w:r>
      <w:r w:rsidR="00B45EB9">
        <w:rPr>
          <w:rFonts w:ascii="Verdana" w:hAnsi="Verdana" w:cs="Calibri"/>
          <w:sz w:val="18"/>
          <w:szCs w:val="18"/>
          <w:lang w:val="el-GR"/>
        </w:rPr>
        <w:t>προηγούμενη</w:t>
      </w:r>
      <w:r w:rsidRPr="00F145C3">
        <w:rPr>
          <w:rFonts w:ascii="Verdana" w:hAnsi="Verdana" w:cs="Calibri"/>
          <w:sz w:val="18"/>
          <w:szCs w:val="18"/>
          <w:lang w:val="el-GR"/>
        </w:rPr>
        <w:t xml:space="preserve"> Απογραφή Πληθυσμού </w:t>
      </w:r>
      <w:r w:rsidR="00B45EB9">
        <w:rPr>
          <w:rFonts w:ascii="Verdana" w:hAnsi="Verdana" w:cs="Calibri"/>
          <w:sz w:val="18"/>
          <w:szCs w:val="18"/>
          <w:lang w:val="el-GR"/>
        </w:rPr>
        <w:t xml:space="preserve">είχε </w:t>
      </w:r>
      <w:r w:rsidRPr="00F145C3">
        <w:rPr>
          <w:rFonts w:ascii="Verdana" w:hAnsi="Verdana" w:cs="Calibri"/>
          <w:sz w:val="18"/>
          <w:szCs w:val="18"/>
          <w:lang w:val="el-GR"/>
        </w:rPr>
        <w:t>πραγματοποιη</w:t>
      </w:r>
      <w:r w:rsidR="00B45EB9">
        <w:rPr>
          <w:rFonts w:ascii="Verdana" w:hAnsi="Verdana" w:cs="Calibri"/>
          <w:sz w:val="18"/>
          <w:szCs w:val="18"/>
          <w:lang w:val="el-GR"/>
        </w:rPr>
        <w:t>θ</w:t>
      </w:r>
      <w:r w:rsidRPr="00F145C3">
        <w:rPr>
          <w:rFonts w:ascii="Verdana" w:hAnsi="Verdana" w:cs="Calibri"/>
          <w:sz w:val="18"/>
          <w:szCs w:val="18"/>
          <w:lang w:val="el-GR"/>
        </w:rPr>
        <w:t>ε</w:t>
      </w:r>
      <w:r w:rsidR="00B45EB9">
        <w:rPr>
          <w:rFonts w:ascii="Verdana" w:hAnsi="Verdana" w:cs="Calibri"/>
          <w:sz w:val="18"/>
          <w:szCs w:val="18"/>
          <w:lang w:val="el-GR"/>
        </w:rPr>
        <w:t>ί</w:t>
      </w:r>
      <w:r w:rsidRPr="00F145C3">
        <w:rPr>
          <w:rFonts w:ascii="Verdana" w:hAnsi="Verdana" w:cs="Calibri"/>
          <w:sz w:val="18"/>
          <w:szCs w:val="18"/>
          <w:lang w:val="el-GR"/>
        </w:rPr>
        <w:t xml:space="preserve"> το 2011. </w:t>
      </w:r>
    </w:p>
    <w:p w14:paraId="0E7F7637" w14:textId="77777777" w:rsidR="00965570" w:rsidRPr="00F145C3" w:rsidRDefault="00965570" w:rsidP="00F145C3">
      <w:pPr>
        <w:jc w:val="both"/>
        <w:rPr>
          <w:rFonts w:ascii="Verdana" w:hAnsi="Verdana" w:cs="Calibri"/>
          <w:sz w:val="18"/>
          <w:szCs w:val="18"/>
          <w:lang w:val="el-GR"/>
        </w:rPr>
      </w:pPr>
    </w:p>
    <w:p w14:paraId="4AE6D826" w14:textId="77777777" w:rsidR="00965570" w:rsidRPr="00F145C3" w:rsidRDefault="00965570" w:rsidP="00F145C3">
      <w:pPr>
        <w:jc w:val="both"/>
        <w:rPr>
          <w:rFonts w:ascii="Verdana" w:hAnsi="Verdana" w:cs="Calibri"/>
          <w:sz w:val="18"/>
          <w:szCs w:val="18"/>
          <w:u w:val="single"/>
          <w:lang w:val="el-GR"/>
        </w:rPr>
      </w:pPr>
      <w:r w:rsidRPr="00F145C3">
        <w:rPr>
          <w:rFonts w:ascii="Verdana" w:hAnsi="Verdana" w:cs="Calibri"/>
          <w:b/>
          <w:bCs/>
          <w:sz w:val="18"/>
          <w:szCs w:val="18"/>
          <w:u w:val="single"/>
          <w:lang w:val="el-GR"/>
        </w:rPr>
        <w:t>Μέθοδος Συλλογής Στοιχείων</w:t>
      </w:r>
    </w:p>
    <w:p w14:paraId="14FEFE2D" w14:textId="77777777" w:rsidR="00965570" w:rsidRPr="00F145C3" w:rsidRDefault="00965570" w:rsidP="00F145C3">
      <w:pPr>
        <w:jc w:val="both"/>
        <w:rPr>
          <w:rFonts w:ascii="Verdana" w:hAnsi="Verdana" w:cs="Calibri"/>
          <w:sz w:val="18"/>
          <w:szCs w:val="18"/>
          <w:lang w:val="el-GR"/>
        </w:rPr>
      </w:pPr>
    </w:p>
    <w:p w14:paraId="1569CC0F" w14:textId="03286341" w:rsidR="00965570" w:rsidRPr="00F145C3" w:rsidRDefault="00965570" w:rsidP="00F145C3">
      <w:pPr>
        <w:jc w:val="both"/>
        <w:rPr>
          <w:rFonts w:ascii="Verdana" w:hAnsi="Verdana" w:cs="Calibri"/>
          <w:sz w:val="18"/>
          <w:szCs w:val="18"/>
          <w:lang w:val="el-GR"/>
        </w:rPr>
      </w:pPr>
      <w:r w:rsidRPr="00F145C3">
        <w:rPr>
          <w:rFonts w:ascii="Verdana" w:hAnsi="Verdana" w:cs="Calibri"/>
          <w:sz w:val="18"/>
          <w:szCs w:val="18"/>
          <w:lang w:val="el-GR"/>
        </w:rPr>
        <w:t>Σύμφωνα με τον αρχικό προγραμματισμό, τα στοιχεία θα συλλέγονταν με τη διενέργεια προσωπικών ή τηλεφωνικών συνεντεύξεων</w:t>
      </w:r>
      <w:r w:rsidR="008E37E6" w:rsidRPr="008E37E6">
        <w:rPr>
          <w:rFonts w:ascii="Verdana" w:hAnsi="Verdana" w:cs="Calibri"/>
          <w:sz w:val="18"/>
          <w:szCs w:val="18"/>
          <w:lang w:val="el-GR"/>
        </w:rPr>
        <w:t xml:space="preserve"> </w:t>
      </w:r>
      <w:r w:rsidR="008E37E6">
        <w:rPr>
          <w:rFonts w:ascii="Verdana" w:hAnsi="Verdana" w:cs="Calibri"/>
          <w:sz w:val="18"/>
          <w:szCs w:val="18"/>
          <w:lang w:val="el-GR"/>
        </w:rPr>
        <w:t>στα νοικοκυριά</w:t>
      </w:r>
      <w:r w:rsidRPr="00F145C3">
        <w:rPr>
          <w:rFonts w:ascii="Verdana" w:hAnsi="Verdana" w:cs="Calibri"/>
          <w:sz w:val="18"/>
          <w:szCs w:val="18"/>
          <w:lang w:val="el-GR"/>
        </w:rPr>
        <w:t xml:space="preserve"> (παραδοσιακή μέθοδος) με τη χρήση φορητού υπολογιστή</w:t>
      </w:r>
      <w:r w:rsidR="00975B8A" w:rsidRPr="00F145C3">
        <w:rPr>
          <w:rFonts w:ascii="Verdana" w:hAnsi="Verdana" w:cs="Calibri"/>
          <w:sz w:val="18"/>
          <w:szCs w:val="18"/>
          <w:lang w:val="el-GR"/>
        </w:rPr>
        <w:t xml:space="preserve"> αφής </w:t>
      </w:r>
      <w:r w:rsidRPr="00F145C3">
        <w:rPr>
          <w:rFonts w:ascii="Verdana" w:hAnsi="Verdana" w:cs="Calibri"/>
          <w:sz w:val="18"/>
          <w:szCs w:val="18"/>
          <w:lang w:val="el-GR"/>
        </w:rPr>
        <w:t xml:space="preserve">ή με τη συμπλήρωση έντυπου ερωτηματολογίου από τους ίδιους τους απογραφόμενους. </w:t>
      </w:r>
    </w:p>
    <w:p w14:paraId="16C60869" w14:textId="77777777" w:rsidR="00965570" w:rsidRPr="00F145C3" w:rsidRDefault="00965570" w:rsidP="00F145C3">
      <w:pPr>
        <w:jc w:val="both"/>
        <w:rPr>
          <w:rFonts w:ascii="Verdana" w:hAnsi="Verdana" w:cs="Calibri"/>
          <w:sz w:val="18"/>
          <w:szCs w:val="18"/>
          <w:lang w:val="el-GR"/>
        </w:rPr>
      </w:pPr>
    </w:p>
    <w:p w14:paraId="463D5705" w14:textId="34AA11EE" w:rsidR="00965570" w:rsidRPr="00F145C3" w:rsidRDefault="00965570" w:rsidP="00F145C3">
      <w:pPr>
        <w:jc w:val="both"/>
        <w:rPr>
          <w:rFonts w:ascii="Verdana" w:hAnsi="Verdana" w:cs="Calibri"/>
          <w:sz w:val="18"/>
          <w:szCs w:val="18"/>
          <w:lang w:val="el-GR"/>
        </w:rPr>
      </w:pPr>
      <w:r w:rsidRPr="00F145C3">
        <w:rPr>
          <w:rFonts w:ascii="Verdana" w:hAnsi="Verdana" w:cs="Calibri"/>
          <w:sz w:val="18"/>
          <w:szCs w:val="18"/>
          <w:lang w:val="el-GR"/>
        </w:rPr>
        <w:t xml:space="preserve">Για τη διεκπεραίωση του έργου θα απασχολούνταν περίπου 1.000 απογραφείς </w:t>
      </w:r>
      <w:proofErr w:type="spellStart"/>
      <w:r w:rsidRPr="00F145C3">
        <w:rPr>
          <w:rFonts w:ascii="Verdana" w:hAnsi="Verdana" w:cs="Calibri"/>
          <w:sz w:val="18"/>
          <w:szCs w:val="18"/>
          <w:lang w:val="el-GR"/>
        </w:rPr>
        <w:t>παγκύπρια</w:t>
      </w:r>
      <w:proofErr w:type="spellEnd"/>
      <w:r w:rsidRPr="00F145C3">
        <w:rPr>
          <w:rFonts w:ascii="Verdana" w:hAnsi="Verdana" w:cs="Calibri"/>
          <w:sz w:val="18"/>
          <w:szCs w:val="18"/>
          <w:lang w:val="el-GR"/>
        </w:rPr>
        <w:t xml:space="preserve">. Λόγω του ότι δεν υπήρξε το αναμενόμενο ενδιαφέρον από υποψηφίους, στο έργο απασχολήθηκε πολύ μικρότερος αριθμός </w:t>
      </w:r>
      <w:proofErr w:type="spellStart"/>
      <w:r w:rsidRPr="00F145C3">
        <w:rPr>
          <w:rFonts w:ascii="Verdana" w:hAnsi="Verdana" w:cs="Calibri"/>
          <w:sz w:val="18"/>
          <w:szCs w:val="18"/>
          <w:lang w:val="el-GR"/>
        </w:rPr>
        <w:t>απογραφέων</w:t>
      </w:r>
      <w:proofErr w:type="spellEnd"/>
      <w:r w:rsidRPr="00F145C3">
        <w:rPr>
          <w:rFonts w:ascii="Verdana" w:hAnsi="Verdana" w:cs="Calibri"/>
          <w:sz w:val="18"/>
          <w:szCs w:val="18"/>
          <w:lang w:val="el-GR"/>
        </w:rPr>
        <w:t xml:space="preserve">, έχοντας επιπτώσεις στο χρονοδιάγραμμα διεκπεραίωσής του. Επιπρόσθετα, οι ιδιαίτερες συνθήκες που επικρατούσαν το φθινόπωρο του 2021 λόγω της έξαρσης της νόσου του </w:t>
      </w:r>
      <w:proofErr w:type="spellStart"/>
      <w:r w:rsidRPr="00F145C3">
        <w:rPr>
          <w:rFonts w:ascii="Verdana" w:hAnsi="Verdana" w:cs="Calibri"/>
          <w:sz w:val="18"/>
          <w:szCs w:val="18"/>
          <w:lang w:val="el-GR"/>
        </w:rPr>
        <w:t>κορωνοϊού</w:t>
      </w:r>
      <w:proofErr w:type="spellEnd"/>
      <w:r w:rsidRPr="00F145C3">
        <w:rPr>
          <w:rFonts w:ascii="Verdana" w:hAnsi="Verdana" w:cs="Calibri"/>
          <w:sz w:val="18"/>
          <w:szCs w:val="18"/>
          <w:lang w:val="el-GR"/>
        </w:rPr>
        <w:t xml:space="preserve"> (</w:t>
      </w:r>
      <w:r w:rsidRPr="00F145C3">
        <w:rPr>
          <w:rFonts w:ascii="Verdana" w:hAnsi="Verdana" w:cs="Calibri"/>
          <w:sz w:val="18"/>
          <w:szCs w:val="18"/>
        </w:rPr>
        <w:t>COVID</w:t>
      </w:r>
      <w:r w:rsidRPr="00F145C3">
        <w:rPr>
          <w:rFonts w:ascii="Verdana" w:hAnsi="Verdana" w:cs="Calibri"/>
          <w:sz w:val="18"/>
          <w:szCs w:val="18"/>
          <w:lang w:val="el-GR"/>
        </w:rPr>
        <w:t>-19), αποτέλεσαν ακόμη έναν ανασταλτικό παράγοντα στην εξέλιξη του έργου</w:t>
      </w:r>
      <w:r w:rsidR="008E37E6" w:rsidRPr="008E37E6">
        <w:rPr>
          <w:rFonts w:ascii="Verdana" w:hAnsi="Verdana" w:cs="Calibri"/>
          <w:sz w:val="18"/>
          <w:szCs w:val="18"/>
          <w:lang w:val="el-GR"/>
        </w:rPr>
        <w:t>,</w:t>
      </w:r>
      <w:r w:rsidRPr="00F145C3">
        <w:rPr>
          <w:rFonts w:ascii="Verdana" w:hAnsi="Verdana" w:cs="Calibri"/>
          <w:sz w:val="18"/>
          <w:szCs w:val="18"/>
          <w:lang w:val="el-GR"/>
        </w:rPr>
        <w:t xml:space="preserve"> θέτοντας την ολοκλήρωση της Απογραφής εκτός του αρχικού προγραμματισμού (τέλος Δεκεμβρίου 2021).</w:t>
      </w:r>
    </w:p>
    <w:p w14:paraId="3A404178" w14:textId="77777777" w:rsidR="00965570" w:rsidRPr="00F145C3" w:rsidRDefault="00965570" w:rsidP="00F145C3">
      <w:pPr>
        <w:jc w:val="both"/>
        <w:rPr>
          <w:rFonts w:ascii="Verdana" w:hAnsi="Verdana" w:cs="Calibri"/>
          <w:sz w:val="18"/>
          <w:szCs w:val="18"/>
          <w:lang w:val="el-GR"/>
        </w:rPr>
      </w:pPr>
    </w:p>
    <w:p w14:paraId="4E1C6C96" w14:textId="6D9A880E" w:rsidR="00965570" w:rsidRPr="00F145C3" w:rsidRDefault="00965570" w:rsidP="00F145C3">
      <w:pPr>
        <w:jc w:val="both"/>
        <w:rPr>
          <w:rFonts w:ascii="Verdana" w:hAnsi="Verdana" w:cs="Calibri"/>
          <w:sz w:val="18"/>
          <w:szCs w:val="18"/>
          <w:lang w:val="el-GR"/>
        </w:rPr>
      </w:pPr>
      <w:r w:rsidRPr="00F145C3">
        <w:rPr>
          <w:rFonts w:ascii="Verdana" w:hAnsi="Verdana" w:cs="Calibri"/>
          <w:sz w:val="18"/>
          <w:szCs w:val="18"/>
          <w:lang w:val="el-GR"/>
        </w:rPr>
        <w:t>Ως εκ τούτου</w:t>
      </w:r>
      <w:r w:rsidR="008E37E6" w:rsidRPr="008E37E6">
        <w:rPr>
          <w:rFonts w:ascii="Verdana" w:hAnsi="Verdana" w:cs="Calibri"/>
          <w:sz w:val="18"/>
          <w:szCs w:val="18"/>
          <w:lang w:val="el-GR"/>
        </w:rPr>
        <w:t>,</w:t>
      </w:r>
      <w:r w:rsidRPr="00F145C3">
        <w:rPr>
          <w:rFonts w:ascii="Verdana" w:hAnsi="Verdana" w:cs="Calibri"/>
          <w:sz w:val="18"/>
          <w:szCs w:val="18"/>
          <w:lang w:val="el-GR"/>
        </w:rPr>
        <w:t xml:space="preserve"> για την ολοκλήρωση του έργου κρίθηκε αναγκαία η τροποποίηση της αρχικής μεθόδου συλλογής στοιχείων. Συγκεκριμένα, υιοθετήθηκαν νέες μέθοδοι, οι οποίες αφορούσαν στην αξιοποίηση διοικητικών αρχείων ως συμπληρωματικές πηγές πληροφόρησης καθώς και στη χρήση σύγχρονης τεχνολογίας. Οι διοικητικές πηγές, οι οποίες αξιοποιήθηκαν από τη Στατιστική Υπηρεσία για τον σκοπό αυτό μετά από έγκριση της Επιτρόπου Προστασίας Δεδομένων Προσωπικού Χαρακτήρα, χρησιμοποιήθηκαν για τη συμπλήρωση κύριων δημογραφικών χαρακτηριστικών του πληθυσμού, όπως τόπο διαμονής, φύλο, ηλικία, υπηκοότητα κλπ. Οι πηγές αυτές αφορούσαν κυρίως το Αρχείο Δικαιούχων του Οργανισμού Ασφάλισης Υγείας, το Αρχείο Γεννήσεων, το Αρχείο Θανάτων</w:t>
      </w:r>
      <w:r w:rsidR="005C0D36" w:rsidRPr="00F145C3">
        <w:rPr>
          <w:rFonts w:ascii="Verdana" w:hAnsi="Verdana" w:cs="Calibri"/>
          <w:sz w:val="18"/>
          <w:szCs w:val="18"/>
          <w:lang w:val="el-GR"/>
        </w:rPr>
        <w:t xml:space="preserve"> και</w:t>
      </w:r>
      <w:r w:rsidR="0017171F" w:rsidRPr="00F145C3">
        <w:rPr>
          <w:rFonts w:ascii="Verdana" w:hAnsi="Verdana" w:cs="Calibri"/>
          <w:sz w:val="18"/>
          <w:szCs w:val="18"/>
          <w:lang w:val="el-GR"/>
        </w:rPr>
        <w:t xml:space="preserve"> </w:t>
      </w:r>
      <w:r w:rsidRPr="00F145C3">
        <w:rPr>
          <w:rFonts w:ascii="Verdana" w:hAnsi="Verdana" w:cs="Calibri"/>
          <w:sz w:val="18"/>
          <w:szCs w:val="18"/>
          <w:lang w:val="el-GR"/>
        </w:rPr>
        <w:t>το Αρχείο Πληθυσμού</w:t>
      </w:r>
      <w:r w:rsidR="005C0D36" w:rsidRPr="00F145C3">
        <w:rPr>
          <w:rFonts w:ascii="Verdana" w:hAnsi="Verdana" w:cs="Calibri"/>
          <w:sz w:val="18"/>
          <w:szCs w:val="18"/>
          <w:lang w:val="el-GR"/>
        </w:rPr>
        <w:t>.</w:t>
      </w:r>
    </w:p>
    <w:p w14:paraId="337EA816" w14:textId="77777777" w:rsidR="00965570" w:rsidRPr="00F145C3" w:rsidRDefault="00965570" w:rsidP="00F145C3">
      <w:pPr>
        <w:jc w:val="both"/>
        <w:rPr>
          <w:rFonts w:ascii="Verdana" w:hAnsi="Verdana" w:cs="Calibri"/>
          <w:sz w:val="18"/>
          <w:szCs w:val="18"/>
          <w:lang w:val="el-GR"/>
        </w:rPr>
      </w:pPr>
    </w:p>
    <w:p w14:paraId="206AA54D" w14:textId="71B69391" w:rsidR="00A91D55" w:rsidRPr="00F145C3" w:rsidRDefault="00965570" w:rsidP="00F145C3">
      <w:pPr>
        <w:jc w:val="both"/>
        <w:rPr>
          <w:rFonts w:ascii="Verdana" w:hAnsi="Verdana" w:cs="Calibri"/>
          <w:sz w:val="18"/>
          <w:szCs w:val="18"/>
          <w:lang w:val="el-GR"/>
        </w:rPr>
      </w:pPr>
      <w:r w:rsidRPr="00F145C3">
        <w:rPr>
          <w:rFonts w:ascii="Verdana" w:hAnsi="Verdana" w:cs="Calibri"/>
          <w:sz w:val="18"/>
          <w:szCs w:val="18"/>
          <w:lang w:val="el-GR"/>
        </w:rPr>
        <w:t>Τα αποτελέσματα προέκυψαν, τόσο από τη συλλογή στοιχείων με την παραδοσιακή μέθοδο (</w:t>
      </w:r>
      <w:r w:rsidR="004110EC" w:rsidRPr="00F145C3">
        <w:rPr>
          <w:rFonts w:ascii="Verdana" w:hAnsi="Verdana" w:cs="Calibri"/>
          <w:sz w:val="18"/>
          <w:szCs w:val="18"/>
          <w:lang w:val="el-GR"/>
        </w:rPr>
        <w:t>μέσω της οποίας</w:t>
      </w:r>
      <w:r w:rsidRPr="00F145C3">
        <w:rPr>
          <w:rFonts w:ascii="Verdana" w:hAnsi="Verdana" w:cs="Calibri"/>
          <w:sz w:val="18"/>
          <w:szCs w:val="18"/>
          <w:lang w:val="el-GR"/>
        </w:rPr>
        <w:t xml:space="preserve"> επιτεύχθηκε κάλυψη για το 80% του πληθυσμού) όσο και από διοικητικές πηγές (για την κάλυψη του  υπόλοιπου πληθυσμού</w:t>
      </w:r>
      <w:r w:rsidR="00A91D55" w:rsidRPr="00F145C3">
        <w:rPr>
          <w:rFonts w:ascii="Verdana" w:hAnsi="Verdana" w:cs="Calibri"/>
          <w:sz w:val="18"/>
          <w:szCs w:val="18"/>
          <w:lang w:val="el-GR"/>
        </w:rPr>
        <w:t>)</w:t>
      </w:r>
      <w:r w:rsidRPr="00F145C3">
        <w:rPr>
          <w:rFonts w:ascii="Verdana" w:hAnsi="Verdana" w:cs="Calibri"/>
          <w:sz w:val="18"/>
          <w:szCs w:val="18"/>
          <w:lang w:val="el-GR"/>
        </w:rPr>
        <w:t xml:space="preserve">. </w:t>
      </w:r>
      <w:r w:rsidR="006B287B" w:rsidRPr="00F145C3">
        <w:rPr>
          <w:rFonts w:ascii="Verdana" w:hAnsi="Verdana" w:cs="Calibri"/>
          <w:sz w:val="18"/>
          <w:szCs w:val="18"/>
          <w:lang w:val="el-GR"/>
        </w:rPr>
        <w:t>Με τη χρήση των διοικητικών πηγών επιτεύχθηκε η πλήρης κάλυψη του πληθυσμού. Για την ολοκλήρωση της πληροφόρησης για συγκεκριμένες μεταβλητές χρησιμοποιήθηκε η στατιστική μέθοδος</w:t>
      </w:r>
      <w:r w:rsidR="00A91D55" w:rsidRPr="00F145C3">
        <w:rPr>
          <w:rFonts w:ascii="Verdana" w:hAnsi="Verdana" w:cs="Calibri"/>
          <w:sz w:val="18"/>
          <w:szCs w:val="18"/>
          <w:lang w:val="el-GR"/>
        </w:rPr>
        <w:t xml:space="preserve"> </w:t>
      </w:r>
      <w:r w:rsidR="005E003B" w:rsidRPr="00F145C3">
        <w:rPr>
          <w:rFonts w:ascii="Verdana" w:hAnsi="Verdana" w:cs="Calibri"/>
          <w:sz w:val="18"/>
          <w:szCs w:val="18"/>
          <w:lang w:val="el-GR"/>
        </w:rPr>
        <w:t xml:space="preserve">του </w:t>
      </w:r>
      <w:r w:rsidR="00A91D55" w:rsidRPr="00F145C3">
        <w:rPr>
          <w:rFonts w:ascii="Verdana" w:hAnsi="Verdana" w:cs="Calibri"/>
          <w:sz w:val="18"/>
          <w:szCs w:val="18"/>
          <w:lang w:val="el-GR"/>
        </w:rPr>
        <w:t>τεκμαρτού υπολογισμού</w:t>
      </w:r>
      <w:r w:rsidR="006B287B" w:rsidRPr="00F145C3">
        <w:rPr>
          <w:rFonts w:ascii="Verdana" w:hAnsi="Verdana" w:cs="Calibri"/>
          <w:sz w:val="18"/>
          <w:szCs w:val="18"/>
          <w:lang w:val="el-GR"/>
        </w:rPr>
        <w:t xml:space="preserve"> (</w:t>
      </w:r>
      <w:r w:rsidR="006B287B" w:rsidRPr="00F145C3">
        <w:rPr>
          <w:rFonts w:ascii="Verdana" w:hAnsi="Verdana" w:cs="Calibri"/>
          <w:sz w:val="18"/>
          <w:szCs w:val="18"/>
          <w:lang w:val="en-GB"/>
        </w:rPr>
        <w:t>imputation</w:t>
      </w:r>
      <w:r w:rsidR="006B287B" w:rsidRPr="00F145C3">
        <w:rPr>
          <w:rFonts w:ascii="Verdana" w:hAnsi="Verdana" w:cs="Calibri"/>
          <w:sz w:val="18"/>
          <w:szCs w:val="18"/>
          <w:lang w:val="el-GR"/>
        </w:rPr>
        <w:t>)</w:t>
      </w:r>
      <w:r w:rsidR="00A91D55" w:rsidRPr="00F145C3">
        <w:rPr>
          <w:rFonts w:ascii="Verdana" w:hAnsi="Verdana" w:cs="Calibri"/>
          <w:sz w:val="18"/>
          <w:szCs w:val="18"/>
          <w:lang w:val="el-GR"/>
        </w:rPr>
        <w:t xml:space="preserve">.   </w:t>
      </w:r>
    </w:p>
    <w:p w14:paraId="3654478D" w14:textId="77777777" w:rsidR="00A91D55" w:rsidRPr="00F145C3" w:rsidRDefault="00A91D55" w:rsidP="00F145C3">
      <w:pPr>
        <w:jc w:val="both"/>
        <w:rPr>
          <w:rFonts w:ascii="Verdana" w:hAnsi="Verdana" w:cs="Calibri"/>
          <w:sz w:val="18"/>
          <w:szCs w:val="18"/>
          <w:lang w:val="el-GR"/>
        </w:rPr>
      </w:pPr>
    </w:p>
    <w:p w14:paraId="3FF6C58A" w14:textId="78DA09B2" w:rsidR="00965570" w:rsidRPr="00F145C3" w:rsidRDefault="00965570" w:rsidP="00F145C3">
      <w:pPr>
        <w:jc w:val="both"/>
        <w:rPr>
          <w:rFonts w:ascii="Verdana" w:hAnsi="Verdana" w:cs="Calibri"/>
          <w:sz w:val="18"/>
          <w:szCs w:val="18"/>
          <w:lang w:val="el-GR"/>
        </w:rPr>
      </w:pPr>
      <w:r w:rsidRPr="00F145C3">
        <w:rPr>
          <w:rFonts w:ascii="Verdana" w:hAnsi="Verdana" w:cs="Calibri"/>
          <w:sz w:val="18"/>
          <w:szCs w:val="18"/>
          <w:lang w:val="el-GR"/>
        </w:rPr>
        <w:t xml:space="preserve">Η χρήση διοικητικών πηγών για σκοπούς διενέργειας της Απογραφής Πληθυσμού είναι μία πρακτική που </w:t>
      </w:r>
      <w:r w:rsidR="009A1546" w:rsidRPr="00F145C3">
        <w:rPr>
          <w:rFonts w:ascii="Verdana" w:hAnsi="Verdana" w:cs="Calibri"/>
          <w:sz w:val="18"/>
          <w:szCs w:val="18"/>
          <w:lang w:val="el-GR"/>
        </w:rPr>
        <w:t>εφαρμόζεται</w:t>
      </w:r>
      <w:r w:rsidRPr="00F145C3">
        <w:rPr>
          <w:rFonts w:ascii="Verdana" w:hAnsi="Verdana" w:cs="Calibri"/>
          <w:sz w:val="18"/>
          <w:szCs w:val="18"/>
          <w:lang w:val="el-GR"/>
        </w:rPr>
        <w:t xml:space="preserve"> σε πολλές ευρωπαϊκές χώρες εδώ και</w:t>
      </w:r>
      <w:r w:rsidR="00EE32A7" w:rsidRPr="00F145C3">
        <w:rPr>
          <w:rFonts w:ascii="Verdana" w:hAnsi="Verdana" w:cs="Calibri"/>
          <w:sz w:val="18"/>
          <w:szCs w:val="18"/>
          <w:lang w:val="el-GR"/>
        </w:rPr>
        <w:t xml:space="preserve"> </w:t>
      </w:r>
      <w:r w:rsidR="005C0D36" w:rsidRPr="00F145C3">
        <w:rPr>
          <w:rFonts w:ascii="Verdana" w:hAnsi="Verdana" w:cs="Calibri"/>
          <w:sz w:val="18"/>
          <w:szCs w:val="18"/>
          <w:lang w:val="el-GR"/>
        </w:rPr>
        <w:t xml:space="preserve"> χρόνια</w:t>
      </w:r>
      <w:r w:rsidRPr="00F145C3">
        <w:rPr>
          <w:rFonts w:ascii="Verdana" w:hAnsi="Verdana" w:cs="Calibri"/>
          <w:sz w:val="18"/>
          <w:szCs w:val="18"/>
          <w:lang w:val="el-GR"/>
        </w:rPr>
        <w:t>. Σύμφωνα με τις τελευταίες διαθέσιμες πληροφορίες, ποσοστό 38% των χωρών της ΕΕ επέλεξε να διεκπεραιώσει την Απογραφή Πληθυσμού 2021 με την αποκλειστική χρήση διοικητικών πηγών, ενώ ένα επίσης σημαντικό ποσοστό της τάξης του 35% επέλεξε τον συνδυασμό της παραδοσιακής Απογραφής με τη χρήση διοικητικών πηγών (</w:t>
      </w:r>
      <w:r w:rsidRPr="00F145C3">
        <w:rPr>
          <w:rFonts w:ascii="Verdana" w:hAnsi="Verdana" w:cs="Calibri"/>
          <w:sz w:val="18"/>
          <w:szCs w:val="18"/>
        </w:rPr>
        <w:t>combined</w:t>
      </w:r>
      <w:r w:rsidRPr="00F145C3">
        <w:rPr>
          <w:rFonts w:ascii="Verdana" w:hAnsi="Verdana" w:cs="Calibri"/>
          <w:sz w:val="18"/>
          <w:szCs w:val="18"/>
          <w:lang w:val="el-GR"/>
        </w:rPr>
        <w:t xml:space="preserve"> </w:t>
      </w:r>
      <w:r w:rsidRPr="00F145C3">
        <w:rPr>
          <w:rFonts w:ascii="Verdana" w:hAnsi="Verdana" w:cs="Calibri"/>
          <w:sz w:val="18"/>
          <w:szCs w:val="18"/>
        </w:rPr>
        <w:t>Census</w:t>
      </w:r>
      <w:r w:rsidRPr="00F145C3">
        <w:rPr>
          <w:rFonts w:ascii="Verdana" w:hAnsi="Verdana" w:cs="Calibri"/>
          <w:sz w:val="18"/>
          <w:szCs w:val="18"/>
          <w:lang w:val="el-GR"/>
        </w:rPr>
        <w:t>). Την παραδοσιακή μέθοδο συλλογής στοιχείων με συνεντεύξεις επέλεξε το 27% των χωρών της ΕΕ.</w:t>
      </w:r>
    </w:p>
    <w:p w14:paraId="79050710" w14:textId="77777777" w:rsidR="00965570" w:rsidRPr="00F145C3" w:rsidRDefault="00965570" w:rsidP="00F145C3">
      <w:pPr>
        <w:jc w:val="both"/>
        <w:rPr>
          <w:rFonts w:ascii="Verdana" w:hAnsi="Verdana" w:cs="Calibri"/>
          <w:sz w:val="18"/>
          <w:szCs w:val="18"/>
          <w:lang w:val="el-GR"/>
        </w:rPr>
      </w:pPr>
    </w:p>
    <w:p w14:paraId="50ECD909" w14:textId="0C0FA7BA" w:rsidR="00965570" w:rsidRPr="00F145C3" w:rsidRDefault="005C0D36" w:rsidP="00F145C3">
      <w:pPr>
        <w:jc w:val="both"/>
        <w:rPr>
          <w:rFonts w:ascii="Verdana" w:hAnsi="Verdana" w:cs="Calibri"/>
          <w:bCs/>
          <w:sz w:val="18"/>
          <w:szCs w:val="18"/>
          <w:lang w:val="el-GR"/>
        </w:rPr>
      </w:pPr>
      <w:r w:rsidRPr="00F145C3">
        <w:rPr>
          <w:rFonts w:ascii="Verdana" w:hAnsi="Verdana" w:cs="Calibri"/>
          <w:sz w:val="18"/>
          <w:szCs w:val="18"/>
          <w:lang w:val="el-GR"/>
        </w:rPr>
        <w:t>Σ</w:t>
      </w:r>
      <w:r w:rsidR="002E2363" w:rsidRPr="00F145C3">
        <w:rPr>
          <w:rFonts w:ascii="Verdana" w:hAnsi="Verdana" w:cs="Calibri"/>
          <w:sz w:val="18"/>
          <w:szCs w:val="18"/>
          <w:lang w:val="el-GR"/>
        </w:rPr>
        <w:t>τόχος</w:t>
      </w:r>
      <w:r w:rsidR="00965570" w:rsidRPr="00F145C3">
        <w:rPr>
          <w:rFonts w:ascii="Verdana" w:hAnsi="Verdana" w:cs="Calibri"/>
          <w:sz w:val="18"/>
          <w:szCs w:val="18"/>
          <w:lang w:val="el-GR"/>
        </w:rPr>
        <w:t xml:space="preserve"> </w:t>
      </w:r>
      <w:r w:rsidRPr="00F145C3">
        <w:rPr>
          <w:rFonts w:ascii="Verdana" w:hAnsi="Verdana" w:cs="Calibri"/>
          <w:sz w:val="18"/>
          <w:szCs w:val="18"/>
          <w:lang w:val="el-GR"/>
        </w:rPr>
        <w:t xml:space="preserve">της Στατιστικής Υπηρεσίας </w:t>
      </w:r>
      <w:r w:rsidR="00965570" w:rsidRPr="00F145C3">
        <w:rPr>
          <w:rFonts w:ascii="Verdana" w:hAnsi="Verdana" w:cs="Calibri"/>
          <w:sz w:val="18"/>
          <w:szCs w:val="18"/>
          <w:lang w:val="el-GR"/>
        </w:rPr>
        <w:t>είναι</w:t>
      </w:r>
      <w:r w:rsidR="002E2363" w:rsidRPr="00F145C3">
        <w:rPr>
          <w:rFonts w:ascii="Verdana" w:hAnsi="Verdana" w:cs="Calibri"/>
          <w:sz w:val="18"/>
          <w:szCs w:val="18"/>
          <w:lang w:val="el-GR"/>
        </w:rPr>
        <w:t xml:space="preserve"> όπως η βάση δεδομένων π</w:t>
      </w:r>
      <w:r w:rsidR="00965570" w:rsidRPr="00F145C3">
        <w:rPr>
          <w:rFonts w:ascii="Verdana" w:hAnsi="Verdana" w:cs="Calibri"/>
          <w:sz w:val="18"/>
          <w:szCs w:val="18"/>
          <w:lang w:val="el-GR"/>
        </w:rPr>
        <w:t xml:space="preserve">ου </w:t>
      </w:r>
      <w:r w:rsidR="002E2363" w:rsidRPr="00F145C3">
        <w:rPr>
          <w:rFonts w:ascii="Verdana" w:hAnsi="Verdana" w:cs="Calibri"/>
          <w:sz w:val="18"/>
          <w:szCs w:val="18"/>
          <w:lang w:val="el-GR"/>
        </w:rPr>
        <w:t xml:space="preserve">έχει </w:t>
      </w:r>
      <w:r w:rsidR="00965570" w:rsidRPr="00F145C3">
        <w:rPr>
          <w:rFonts w:ascii="Verdana" w:hAnsi="Verdana" w:cs="Calibri"/>
          <w:sz w:val="18"/>
          <w:szCs w:val="18"/>
          <w:lang w:val="el-GR"/>
        </w:rPr>
        <w:t>προκύψει από την Απογραφή Πληθυσμού</w:t>
      </w:r>
      <w:r w:rsidR="002E2363" w:rsidRPr="00F145C3">
        <w:rPr>
          <w:rFonts w:ascii="Verdana" w:hAnsi="Verdana" w:cs="Calibri"/>
          <w:sz w:val="18"/>
          <w:szCs w:val="18"/>
          <w:lang w:val="el-GR"/>
        </w:rPr>
        <w:t xml:space="preserve"> </w:t>
      </w:r>
      <w:r w:rsidRPr="00F145C3">
        <w:rPr>
          <w:rFonts w:ascii="Verdana" w:hAnsi="Verdana" w:cs="Calibri"/>
          <w:sz w:val="18"/>
          <w:szCs w:val="18"/>
          <w:lang w:val="el-GR"/>
        </w:rPr>
        <w:t xml:space="preserve">και Κατοικιών </w:t>
      </w:r>
      <w:r w:rsidR="002E2363" w:rsidRPr="00F145C3">
        <w:rPr>
          <w:rFonts w:ascii="Verdana" w:hAnsi="Verdana" w:cs="Calibri"/>
          <w:sz w:val="18"/>
          <w:szCs w:val="18"/>
          <w:lang w:val="el-GR"/>
        </w:rPr>
        <w:t>2021</w:t>
      </w:r>
      <w:r w:rsidR="00965570" w:rsidRPr="00F145C3">
        <w:rPr>
          <w:rFonts w:ascii="Verdana" w:hAnsi="Verdana" w:cs="Calibri"/>
          <w:sz w:val="18"/>
          <w:szCs w:val="18"/>
          <w:lang w:val="el-GR"/>
        </w:rPr>
        <w:t xml:space="preserve"> αποτελέσει ένα Δυναμικό Στατιστικό Μητρώο Πληθυσμού </w:t>
      </w:r>
      <w:r w:rsidRPr="00F145C3">
        <w:rPr>
          <w:rFonts w:ascii="Verdana" w:hAnsi="Verdana" w:cs="Calibri"/>
          <w:sz w:val="18"/>
          <w:szCs w:val="18"/>
          <w:lang w:val="el-GR"/>
        </w:rPr>
        <w:t>και Κατοικιών</w:t>
      </w:r>
      <w:r w:rsidR="008E37E6" w:rsidRPr="008E37E6">
        <w:rPr>
          <w:rFonts w:ascii="Verdana" w:hAnsi="Verdana" w:cs="Calibri"/>
          <w:sz w:val="18"/>
          <w:szCs w:val="18"/>
          <w:lang w:val="el-GR"/>
        </w:rPr>
        <w:t>,</w:t>
      </w:r>
      <w:r w:rsidRPr="00F145C3">
        <w:rPr>
          <w:rFonts w:ascii="Verdana" w:hAnsi="Verdana" w:cs="Calibri"/>
          <w:sz w:val="18"/>
          <w:szCs w:val="18"/>
          <w:lang w:val="el-GR"/>
        </w:rPr>
        <w:t xml:space="preserve"> </w:t>
      </w:r>
      <w:r w:rsidR="00965570" w:rsidRPr="00F145C3">
        <w:rPr>
          <w:rFonts w:ascii="Verdana" w:hAnsi="Verdana" w:cs="Calibri"/>
          <w:bCs/>
          <w:sz w:val="18"/>
          <w:szCs w:val="18"/>
          <w:lang w:val="el-GR"/>
        </w:rPr>
        <w:t xml:space="preserve">το οποίο στο εξής θα ενημερώνεται σε συνεχή βάση από διάφορες διοικητικές πηγές. Ως αποτέλεσμα, δεν θα υφίσταται πλέον η ανάγκη διεξαγωγής Απογραφής Πληθυσμού από πόρτα σε πόρτα στο σύνολο του πληθυσμού. Το Δυναμικό Στατιστικό Μητρώο Πληθυσμού </w:t>
      </w:r>
      <w:r w:rsidRPr="00F145C3">
        <w:rPr>
          <w:rFonts w:ascii="Verdana" w:hAnsi="Verdana" w:cs="Calibri"/>
          <w:bCs/>
          <w:sz w:val="18"/>
          <w:szCs w:val="18"/>
          <w:lang w:val="el-GR"/>
        </w:rPr>
        <w:t xml:space="preserve">και Κατοικιών </w:t>
      </w:r>
      <w:r w:rsidR="00965570" w:rsidRPr="00F145C3">
        <w:rPr>
          <w:rFonts w:ascii="Verdana" w:hAnsi="Verdana" w:cs="Calibri"/>
          <w:bCs/>
          <w:sz w:val="18"/>
          <w:szCs w:val="18"/>
          <w:lang w:val="el-GR"/>
        </w:rPr>
        <w:t>θα αποτελέσει τη βάση για την παραγωγή πληθυσμιακών στοιχείων και δημογραφικών δεικτών ετησίως, με στόχο την</w:t>
      </w:r>
      <w:r w:rsidR="002E2363" w:rsidRPr="00F145C3">
        <w:rPr>
          <w:rFonts w:ascii="Verdana" w:hAnsi="Verdana" w:cs="Calibri"/>
          <w:bCs/>
          <w:sz w:val="18"/>
          <w:szCs w:val="18"/>
          <w:lang w:val="el-GR"/>
        </w:rPr>
        <w:t xml:space="preserve"> παροχή</w:t>
      </w:r>
      <w:r w:rsidR="00965570" w:rsidRPr="00F145C3">
        <w:rPr>
          <w:rFonts w:ascii="Verdana" w:hAnsi="Verdana" w:cs="Calibri"/>
          <w:bCs/>
          <w:sz w:val="18"/>
          <w:szCs w:val="18"/>
          <w:lang w:val="el-GR"/>
        </w:rPr>
        <w:t xml:space="preserve"> άμεση</w:t>
      </w:r>
      <w:r w:rsidR="002E2363" w:rsidRPr="00F145C3">
        <w:rPr>
          <w:rFonts w:ascii="Verdana" w:hAnsi="Verdana" w:cs="Calibri"/>
          <w:bCs/>
          <w:sz w:val="18"/>
          <w:szCs w:val="18"/>
          <w:lang w:val="el-GR"/>
        </w:rPr>
        <w:t>ς</w:t>
      </w:r>
      <w:r w:rsidR="00965570" w:rsidRPr="00F145C3">
        <w:rPr>
          <w:rFonts w:ascii="Verdana" w:hAnsi="Verdana" w:cs="Calibri"/>
          <w:bCs/>
          <w:sz w:val="18"/>
          <w:szCs w:val="18"/>
          <w:lang w:val="el-GR"/>
        </w:rPr>
        <w:t xml:space="preserve"> πληροφόρηση</w:t>
      </w:r>
      <w:r w:rsidR="002E2363" w:rsidRPr="00F145C3">
        <w:rPr>
          <w:rFonts w:ascii="Verdana" w:hAnsi="Verdana" w:cs="Calibri"/>
          <w:bCs/>
          <w:sz w:val="18"/>
          <w:szCs w:val="18"/>
          <w:lang w:val="el-GR"/>
        </w:rPr>
        <w:t xml:space="preserve">ς </w:t>
      </w:r>
      <w:r w:rsidRPr="00F145C3">
        <w:rPr>
          <w:rFonts w:ascii="Verdana" w:hAnsi="Verdana" w:cs="Calibri"/>
          <w:bCs/>
          <w:sz w:val="18"/>
          <w:szCs w:val="18"/>
          <w:lang w:val="el-GR"/>
        </w:rPr>
        <w:t xml:space="preserve"> και</w:t>
      </w:r>
      <w:r w:rsidR="002E2363" w:rsidRPr="00F145C3">
        <w:rPr>
          <w:rFonts w:ascii="Verdana" w:hAnsi="Verdana" w:cs="Calibri"/>
          <w:bCs/>
          <w:sz w:val="18"/>
          <w:szCs w:val="18"/>
          <w:lang w:val="el-GR"/>
        </w:rPr>
        <w:t xml:space="preserve"> </w:t>
      </w:r>
      <w:r w:rsidR="00965570" w:rsidRPr="00F145C3">
        <w:rPr>
          <w:rFonts w:ascii="Verdana" w:hAnsi="Verdana" w:cs="Calibri"/>
          <w:bCs/>
          <w:sz w:val="18"/>
          <w:szCs w:val="18"/>
          <w:lang w:val="el-GR"/>
        </w:rPr>
        <w:t>την υποβοήθηση χάραξης πολιτικής.</w:t>
      </w:r>
    </w:p>
    <w:p w14:paraId="095779AA" w14:textId="77777777" w:rsidR="00C7352A" w:rsidRPr="00F145C3" w:rsidRDefault="00C7352A" w:rsidP="00F145C3">
      <w:pPr>
        <w:jc w:val="both"/>
        <w:rPr>
          <w:rFonts w:ascii="Verdana" w:hAnsi="Verdana" w:cs="Calibri"/>
          <w:bCs/>
          <w:sz w:val="18"/>
          <w:szCs w:val="18"/>
          <w:lang w:val="el-GR"/>
        </w:rPr>
      </w:pPr>
    </w:p>
    <w:p w14:paraId="5BC83FDF" w14:textId="77777777" w:rsidR="00965570" w:rsidRPr="00F145C3" w:rsidRDefault="00965570" w:rsidP="00F145C3">
      <w:pPr>
        <w:jc w:val="both"/>
        <w:rPr>
          <w:rFonts w:ascii="Verdana" w:hAnsi="Verdana" w:cs="Calibri"/>
          <w:sz w:val="18"/>
          <w:szCs w:val="18"/>
          <w:u w:val="single"/>
          <w:lang w:val="el-GR"/>
        </w:rPr>
      </w:pPr>
      <w:r w:rsidRPr="00F145C3">
        <w:rPr>
          <w:rFonts w:ascii="Verdana" w:hAnsi="Verdana" w:cs="Calibri"/>
          <w:b/>
          <w:bCs/>
          <w:sz w:val="18"/>
          <w:szCs w:val="18"/>
          <w:u w:val="single"/>
          <w:lang w:val="el-GR"/>
        </w:rPr>
        <w:t>Νομικό Πλαίσιο και Προστασία Δεδομένων</w:t>
      </w:r>
    </w:p>
    <w:p w14:paraId="2C4739AF" w14:textId="77777777" w:rsidR="00965570" w:rsidRPr="00F145C3" w:rsidRDefault="00965570" w:rsidP="00F145C3">
      <w:pPr>
        <w:jc w:val="both"/>
        <w:rPr>
          <w:rFonts w:ascii="Verdana" w:hAnsi="Verdana" w:cs="Calibri"/>
          <w:sz w:val="18"/>
          <w:szCs w:val="18"/>
          <w:lang w:val="el-GR"/>
        </w:rPr>
      </w:pPr>
    </w:p>
    <w:p w14:paraId="437CC916" w14:textId="77777777" w:rsidR="00965570" w:rsidRPr="00F145C3" w:rsidRDefault="00965570" w:rsidP="00F145C3">
      <w:pPr>
        <w:jc w:val="both"/>
        <w:rPr>
          <w:rFonts w:ascii="Verdana" w:hAnsi="Verdana" w:cs="Calibri"/>
          <w:b/>
          <w:bCs/>
          <w:sz w:val="18"/>
          <w:szCs w:val="18"/>
          <w:u w:val="single"/>
          <w:lang w:val="el-GR"/>
        </w:rPr>
      </w:pPr>
      <w:r w:rsidRPr="00F145C3">
        <w:rPr>
          <w:rFonts w:ascii="Verdana" w:hAnsi="Verdana" w:cs="Calibri"/>
          <w:sz w:val="18"/>
          <w:szCs w:val="18"/>
          <w:lang w:val="el-GR"/>
        </w:rPr>
        <w:t>Η Απογραφή Πληθυσμού 2021 διενεργήθηκε σε όλα τα Κράτη Μέλη της ΕΕ, ακολουθώντας κοινές έννοιες και ορισμούς, βάσει του Κανονισμού (ΕΚ) αριθ. 763/2008 του Ευρωπαϊκού Κοινοβουλίου και του Συμβουλίου της 9</w:t>
      </w:r>
      <w:r w:rsidRPr="00F145C3">
        <w:rPr>
          <w:rFonts w:ascii="Verdana" w:hAnsi="Verdana" w:cs="Calibri"/>
          <w:sz w:val="18"/>
          <w:szCs w:val="18"/>
          <w:vertAlign w:val="superscript"/>
          <w:lang w:val="el-GR"/>
        </w:rPr>
        <w:t>ης</w:t>
      </w:r>
      <w:r w:rsidRPr="00F145C3">
        <w:rPr>
          <w:rFonts w:ascii="Verdana" w:hAnsi="Verdana" w:cs="Calibri"/>
          <w:sz w:val="18"/>
          <w:szCs w:val="18"/>
          <w:lang w:val="el-GR"/>
        </w:rPr>
        <w:t xml:space="preserve"> Ιουλίου 2008 σχετικά με τις απογραφές πληθυσμού και στέγασης.</w:t>
      </w:r>
    </w:p>
    <w:p w14:paraId="253B3B05" w14:textId="77777777" w:rsidR="00965570" w:rsidRPr="00F145C3" w:rsidRDefault="00965570" w:rsidP="00F145C3">
      <w:pPr>
        <w:jc w:val="both"/>
        <w:rPr>
          <w:rFonts w:ascii="Verdana" w:hAnsi="Verdana" w:cs="Calibri"/>
          <w:sz w:val="18"/>
          <w:szCs w:val="18"/>
          <w:lang w:val="el-GR"/>
        </w:rPr>
      </w:pPr>
    </w:p>
    <w:p w14:paraId="6C53E31D" w14:textId="3C3324EB" w:rsidR="006B3B04" w:rsidRPr="00F145C3" w:rsidRDefault="002F39F5" w:rsidP="00F145C3">
      <w:pPr>
        <w:jc w:val="both"/>
        <w:rPr>
          <w:rFonts w:ascii="Verdana" w:hAnsi="Verdana" w:cs="Calibri"/>
          <w:b/>
          <w:bCs/>
          <w:sz w:val="18"/>
          <w:szCs w:val="18"/>
          <w:lang w:val="el-GR"/>
        </w:rPr>
      </w:pPr>
      <w:r w:rsidRPr="00F145C3">
        <w:rPr>
          <w:rFonts w:ascii="Verdana" w:hAnsi="Verdana" w:cs="Calibri"/>
          <w:sz w:val="18"/>
          <w:szCs w:val="18"/>
          <w:lang w:val="el-GR"/>
        </w:rPr>
        <w:t>Επίσης</w:t>
      </w:r>
      <w:r w:rsidR="00553463" w:rsidRPr="00F145C3">
        <w:rPr>
          <w:rFonts w:ascii="Verdana" w:hAnsi="Verdana" w:cs="Calibri"/>
          <w:sz w:val="18"/>
          <w:szCs w:val="18"/>
          <w:lang w:val="el-GR"/>
        </w:rPr>
        <w:t>, η</w:t>
      </w:r>
      <w:r w:rsidR="00965570" w:rsidRPr="00F145C3">
        <w:rPr>
          <w:rFonts w:ascii="Verdana" w:hAnsi="Verdana" w:cs="Calibri"/>
          <w:sz w:val="18"/>
          <w:szCs w:val="18"/>
          <w:lang w:val="el-GR"/>
        </w:rPr>
        <w:t xml:space="preserve"> Απογραφή</w:t>
      </w:r>
      <w:r w:rsidR="00553463" w:rsidRPr="00F145C3">
        <w:rPr>
          <w:rFonts w:ascii="Verdana" w:hAnsi="Verdana" w:cs="Calibri"/>
          <w:sz w:val="18"/>
          <w:szCs w:val="18"/>
          <w:lang w:val="el-GR"/>
        </w:rPr>
        <w:t xml:space="preserve"> Πληθυσμού </w:t>
      </w:r>
      <w:r w:rsidR="00965570" w:rsidRPr="00F145C3">
        <w:rPr>
          <w:rFonts w:ascii="Verdana" w:hAnsi="Verdana" w:cs="Calibri"/>
          <w:sz w:val="18"/>
          <w:szCs w:val="18"/>
          <w:lang w:val="el-GR"/>
        </w:rPr>
        <w:t>στην Κύπρο δ</w:t>
      </w:r>
      <w:r w:rsidR="00553463" w:rsidRPr="00F145C3">
        <w:rPr>
          <w:rFonts w:ascii="Verdana" w:hAnsi="Verdana" w:cs="Calibri"/>
          <w:sz w:val="18"/>
          <w:szCs w:val="18"/>
          <w:lang w:val="el-GR"/>
        </w:rPr>
        <w:t>ιενεργήθηκε σύμφωνα με</w:t>
      </w:r>
      <w:r w:rsidR="00965570" w:rsidRPr="00F145C3">
        <w:rPr>
          <w:rFonts w:ascii="Verdana" w:hAnsi="Verdana" w:cs="Calibri"/>
          <w:sz w:val="18"/>
          <w:szCs w:val="18"/>
          <w:lang w:val="el-GR"/>
        </w:rPr>
        <w:t xml:space="preserve"> τον περί Επίσημων Στατιστικών Νόμο του 2021 (Ν. 25(Ι)/2021). Σύμφωνα με τον εν λόγω Νόμο, τα στοιχεία που συλλέχθηκαν </w:t>
      </w:r>
      <w:r w:rsidR="00965570" w:rsidRPr="00F145C3">
        <w:rPr>
          <w:rFonts w:ascii="Verdana" w:hAnsi="Verdana" w:cs="Calibri"/>
          <w:b/>
          <w:bCs/>
          <w:sz w:val="18"/>
          <w:szCs w:val="18"/>
          <w:lang w:val="el-GR"/>
        </w:rPr>
        <w:t>τηρούνται</w:t>
      </w:r>
      <w:r w:rsidR="00965570" w:rsidRPr="00F145C3">
        <w:rPr>
          <w:rFonts w:ascii="Verdana" w:hAnsi="Verdana" w:cs="Calibri"/>
          <w:sz w:val="18"/>
          <w:szCs w:val="18"/>
          <w:lang w:val="el-GR"/>
        </w:rPr>
        <w:t xml:space="preserve"> </w:t>
      </w:r>
      <w:r w:rsidR="00965570" w:rsidRPr="00F145C3">
        <w:rPr>
          <w:rFonts w:ascii="Verdana" w:hAnsi="Verdana" w:cs="Calibri"/>
          <w:b/>
          <w:bCs/>
          <w:sz w:val="18"/>
          <w:szCs w:val="18"/>
          <w:lang w:val="el-GR"/>
        </w:rPr>
        <w:t>ως εμπιστευτικά και χρησιμοποιούνται αποκλειστικά και μόνο για στατιστικούς σκοπούς.</w:t>
      </w:r>
    </w:p>
    <w:p w14:paraId="0D00360F" w14:textId="77777777" w:rsidR="009E7DED" w:rsidRPr="00F145C3" w:rsidRDefault="009E7DED" w:rsidP="00F145C3">
      <w:pPr>
        <w:jc w:val="both"/>
        <w:rPr>
          <w:rFonts w:ascii="Verdana" w:hAnsi="Verdana" w:cs="Calibri"/>
          <w:b/>
          <w:bCs/>
          <w:sz w:val="18"/>
          <w:szCs w:val="18"/>
          <w:lang w:val="el-GR"/>
        </w:rPr>
      </w:pPr>
    </w:p>
    <w:p w14:paraId="4C7D7685" w14:textId="09CD4279" w:rsidR="009E7DED" w:rsidRPr="00F145C3" w:rsidRDefault="009E7DED" w:rsidP="00F145C3">
      <w:pPr>
        <w:shd w:val="clear" w:color="auto" w:fill="FFFFFF"/>
        <w:jc w:val="both"/>
        <w:rPr>
          <w:rFonts w:ascii="Verdana" w:hAnsi="Verdana" w:cs="Calibri"/>
          <w:sz w:val="18"/>
          <w:szCs w:val="18"/>
          <w:lang w:val="el-GR"/>
        </w:rPr>
      </w:pPr>
      <w:r w:rsidRPr="00F145C3">
        <w:rPr>
          <w:rFonts w:ascii="Verdana" w:hAnsi="Verdana" w:cs="Calibri"/>
          <w:sz w:val="18"/>
          <w:szCs w:val="18"/>
          <w:lang w:val="el-GR"/>
        </w:rPr>
        <w:t>Η Στατιστική Υπηρεσία εφαρμόζει αυστηρά το στατιστικό απόρρητο. Οι εσωτερικές διαδικασίες που απορρέουν από την εφαρμογή του στατιστικού απορρήτου καλύπτουν πλήρως τις πρόνοιες του Γενικού Κανονισμού για την Προστασία Δεδομένων (ΓΚΠΔ)</w:t>
      </w:r>
      <w:r w:rsidR="00067DEC" w:rsidRPr="00067DEC">
        <w:rPr>
          <w:rFonts w:ascii="Verdana" w:hAnsi="Verdana" w:cs="Calibri"/>
          <w:sz w:val="18"/>
          <w:szCs w:val="18"/>
          <w:lang w:val="el-GR"/>
        </w:rPr>
        <w:t xml:space="preserve"> </w:t>
      </w:r>
      <w:r w:rsidR="00067DEC">
        <w:rPr>
          <w:rFonts w:ascii="Verdana" w:hAnsi="Verdana" w:cs="Calibri"/>
          <w:sz w:val="18"/>
          <w:szCs w:val="18"/>
          <w:lang w:val="el-GR"/>
        </w:rPr>
        <w:t>της ΕΕ</w:t>
      </w:r>
      <w:r w:rsidRPr="00F145C3">
        <w:rPr>
          <w:rFonts w:ascii="Verdana" w:hAnsi="Verdana" w:cs="Calibri"/>
          <w:sz w:val="18"/>
          <w:szCs w:val="18"/>
          <w:lang w:val="el-GR"/>
        </w:rPr>
        <w:t xml:space="preserve">, διασφαλίζοντας την προστασία των δεδομένων σε κάθε στάδιο, από τη συλλογή έως και τη δημοσίευση. Τα στοιχεία που παράγονται δημοσιοποιούνται </w:t>
      </w:r>
      <w:r w:rsidRPr="00F145C3">
        <w:rPr>
          <w:rFonts w:ascii="Verdana" w:hAnsi="Verdana" w:cs="Calibri"/>
          <w:sz w:val="18"/>
          <w:szCs w:val="18"/>
          <w:lang w:val="el-GR"/>
        </w:rPr>
        <w:lastRenderedPageBreak/>
        <w:t>πάντοτε σε συγκεντρωτική μορφή ώστε να μην μπορεί να αποκαλυφθεί άμεσα ή έμμεσα η ταυτότητα οποιωνδήποτε προσώπων.</w:t>
      </w:r>
    </w:p>
    <w:p w14:paraId="7DF3F96D" w14:textId="77777777" w:rsidR="009E7DED" w:rsidRPr="00F145C3" w:rsidRDefault="009E7DED" w:rsidP="00F145C3">
      <w:pPr>
        <w:jc w:val="both"/>
        <w:rPr>
          <w:rFonts w:ascii="Verdana" w:hAnsi="Verdana" w:cs="Calibri"/>
          <w:b/>
          <w:bCs/>
          <w:sz w:val="18"/>
          <w:szCs w:val="18"/>
          <w:lang w:val="el-GR"/>
        </w:rPr>
      </w:pPr>
    </w:p>
    <w:p w14:paraId="60BA9ED0" w14:textId="77777777" w:rsidR="00012718" w:rsidRPr="00F145C3" w:rsidRDefault="00012718" w:rsidP="00F145C3">
      <w:pPr>
        <w:jc w:val="both"/>
        <w:rPr>
          <w:rFonts w:ascii="Verdana" w:hAnsi="Verdana" w:cs="Calibri"/>
          <w:b/>
          <w:bCs/>
          <w:sz w:val="18"/>
          <w:szCs w:val="18"/>
          <w:u w:val="single"/>
          <w:lang w:val="el-GR"/>
        </w:rPr>
      </w:pPr>
      <w:bookmarkStart w:id="1" w:name="_Hlk173882246"/>
      <w:r w:rsidRPr="00F145C3">
        <w:rPr>
          <w:rFonts w:ascii="Verdana" w:hAnsi="Verdana" w:cs="Calibri"/>
          <w:b/>
          <w:bCs/>
          <w:sz w:val="18"/>
          <w:szCs w:val="18"/>
          <w:u w:val="single"/>
          <w:lang w:val="el-GR"/>
        </w:rPr>
        <w:t xml:space="preserve">Ορισμοί </w:t>
      </w:r>
    </w:p>
    <w:p w14:paraId="726B7969" w14:textId="77777777" w:rsidR="00012718" w:rsidRPr="00F145C3" w:rsidRDefault="00012718" w:rsidP="00F145C3">
      <w:pPr>
        <w:jc w:val="both"/>
        <w:rPr>
          <w:rFonts w:ascii="Verdana" w:hAnsi="Verdana" w:cs="Calibri"/>
          <w:b/>
          <w:bCs/>
          <w:sz w:val="18"/>
          <w:szCs w:val="18"/>
          <w:lang w:val="el-GR"/>
        </w:rPr>
      </w:pPr>
    </w:p>
    <w:p w14:paraId="4835ACFE" w14:textId="7B2228C9" w:rsidR="00B6393C" w:rsidRPr="00F145C3" w:rsidRDefault="00B6393C" w:rsidP="00F145C3">
      <w:pPr>
        <w:contextualSpacing/>
        <w:jc w:val="both"/>
        <w:rPr>
          <w:rFonts w:ascii="Verdana" w:hAnsi="Verdana" w:cs="Calibri"/>
          <w:sz w:val="18"/>
          <w:szCs w:val="18"/>
          <w:lang w:val="el-GR"/>
        </w:rPr>
      </w:pPr>
      <w:r w:rsidRPr="00F145C3">
        <w:rPr>
          <w:rFonts w:ascii="Verdana" w:hAnsi="Verdana" w:cs="Calibri"/>
          <w:bCs/>
          <w:sz w:val="18"/>
          <w:szCs w:val="18"/>
          <w:u w:val="single"/>
          <w:lang w:val="el-GR"/>
        </w:rPr>
        <w:t>Πληθυσμός:</w:t>
      </w:r>
      <w:r w:rsidRPr="00F145C3">
        <w:rPr>
          <w:rFonts w:ascii="Verdana" w:hAnsi="Verdana" w:cs="Calibri"/>
          <w:bCs/>
          <w:sz w:val="18"/>
          <w:szCs w:val="18"/>
          <w:lang w:val="el-GR"/>
        </w:rPr>
        <w:t xml:space="preserve"> Ά</w:t>
      </w:r>
      <w:r w:rsidRPr="00F145C3">
        <w:rPr>
          <w:rFonts w:ascii="Verdana" w:hAnsi="Verdana" w:cs="Calibri"/>
          <w:sz w:val="18"/>
          <w:szCs w:val="18"/>
          <w:lang w:val="el-GR"/>
        </w:rPr>
        <w:t>τομα που είχαν ως συνήθη διαμονή τους την Κύπρο την 1</w:t>
      </w:r>
      <w:r w:rsidRPr="00F145C3">
        <w:rPr>
          <w:rFonts w:ascii="Verdana" w:hAnsi="Verdana" w:cs="Calibri"/>
          <w:sz w:val="18"/>
          <w:szCs w:val="18"/>
          <w:vertAlign w:val="superscript"/>
          <w:lang w:val="el-GR"/>
        </w:rPr>
        <w:t>η</w:t>
      </w:r>
      <w:r w:rsidRPr="00F145C3">
        <w:rPr>
          <w:rFonts w:ascii="Verdana" w:hAnsi="Verdana" w:cs="Calibri"/>
          <w:sz w:val="18"/>
          <w:szCs w:val="18"/>
          <w:lang w:val="el-GR"/>
        </w:rPr>
        <w:t xml:space="preserve"> Οκτωβρίου 2021, δηλαδή άτομα που διέμεναν μόνιμα στην Κύπρο για ένα χρόνο ή περισσότερο, ή άτομα που είχαν έρθει στην Κύπρο μέσα στους τελευταίους δώδεκα μήνες (πριν από την ημερομηνία αναφοράς της Απογραφής) με την πρόθεση να διαμείνουν στην Κύπρο για περίοδο τουλάχιστον ενός χρόνου.</w:t>
      </w:r>
    </w:p>
    <w:p w14:paraId="3251E2EF" w14:textId="77777777" w:rsidR="00B6393C" w:rsidRPr="00F145C3" w:rsidRDefault="00B6393C" w:rsidP="00F145C3">
      <w:pPr>
        <w:contextualSpacing/>
        <w:jc w:val="both"/>
        <w:rPr>
          <w:rFonts w:ascii="Verdana" w:hAnsi="Verdana" w:cs="Calibri"/>
          <w:b/>
          <w:sz w:val="18"/>
          <w:szCs w:val="18"/>
          <w:u w:val="single"/>
          <w:lang w:val="el-GR"/>
        </w:rPr>
      </w:pPr>
    </w:p>
    <w:p w14:paraId="1B37C41D" w14:textId="45352D78" w:rsidR="00B6393C" w:rsidRPr="00F145C3" w:rsidRDefault="00B6393C" w:rsidP="00F145C3">
      <w:pPr>
        <w:contextualSpacing/>
        <w:jc w:val="both"/>
        <w:rPr>
          <w:rFonts w:ascii="Verdana" w:hAnsi="Verdana" w:cs="Calibri"/>
          <w:sz w:val="18"/>
          <w:szCs w:val="18"/>
          <w:lang w:val="el-GR"/>
        </w:rPr>
      </w:pPr>
      <w:r w:rsidRPr="00F145C3">
        <w:rPr>
          <w:rFonts w:ascii="Verdana" w:hAnsi="Verdana" w:cs="Calibri"/>
          <w:bCs/>
          <w:sz w:val="18"/>
          <w:szCs w:val="18"/>
          <w:u w:val="single"/>
          <w:lang w:val="el-GR"/>
        </w:rPr>
        <w:t>Κατοικία:</w:t>
      </w:r>
      <w:r w:rsidRPr="00F145C3">
        <w:rPr>
          <w:rFonts w:ascii="Verdana" w:hAnsi="Verdana" w:cs="Calibri"/>
          <w:sz w:val="18"/>
          <w:szCs w:val="18"/>
          <w:lang w:val="el-GR"/>
        </w:rPr>
        <w:t xml:space="preserve"> Είναι γενικά ένας χώρος που από την κατασκευή του είναι χωριστός και ανεξάρτητος, ο οποίος κτίστηκε ή μετατράπηκε με σκοπό να χρησιμοποιηθεί για σκοπούς συνήθους διαμονής, ή αν δεν προοριζόταν αρχικά για κατοίκηση, χρησιμοποιείτο στην πραγματικότητα γι’ αυτό το σκοπό κατά την ημερομηνία αναφοράς της Απογραφής, π.χ. ένα κατάστημα που χρησιμοποιείτο από κάποιο πρόσωπο σαν κατοικία. Δεν θεωρήθηκαν κατοικίες και δεν καταγράφηκαν οι χώροι οι οποίοι αρχικά προορίζονταν για κατοίκηση, χρησιμοποιούνταν όμως, κατά την ημερομηνία αναφοράς της Απογραφής εξ ολοκλήρου για άλλους σκοπούς και όχι για κατοίκηση, π.χ. μια κανονική κατοικία που χρησιμοποιείτο σαν εργαστήριο ή σαν γραφείο εταιρείας.</w:t>
      </w:r>
    </w:p>
    <w:p w14:paraId="25851141" w14:textId="77777777" w:rsidR="0055797C" w:rsidRPr="00F145C3" w:rsidRDefault="0055797C" w:rsidP="00F145C3">
      <w:pPr>
        <w:contextualSpacing/>
        <w:jc w:val="both"/>
        <w:rPr>
          <w:rFonts w:ascii="Verdana" w:hAnsi="Verdana" w:cs="Calibri"/>
          <w:sz w:val="18"/>
          <w:szCs w:val="18"/>
          <w:lang w:val="el-GR"/>
        </w:rPr>
      </w:pPr>
    </w:p>
    <w:p w14:paraId="4334011F" w14:textId="77777777" w:rsidR="0055797C" w:rsidRPr="00F145C3" w:rsidRDefault="0055797C" w:rsidP="00F145C3">
      <w:pPr>
        <w:contextualSpacing/>
        <w:jc w:val="both"/>
        <w:rPr>
          <w:rFonts w:ascii="Verdana" w:hAnsi="Verdana" w:cs="Calibri"/>
          <w:i/>
          <w:sz w:val="18"/>
          <w:szCs w:val="18"/>
          <w:lang w:val="el-GR"/>
        </w:rPr>
      </w:pPr>
      <w:r w:rsidRPr="00F145C3">
        <w:rPr>
          <w:rFonts w:ascii="Verdana" w:hAnsi="Verdana" w:cs="Calibri"/>
          <w:bCs/>
          <w:sz w:val="18"/>
          <w:szCs w:val="18"/>
          <w:u w:val="single"/>
          <w:lang w:val="el-GR"/>
        </w:rPr>
        <w:t>Κανονική Κατοικία:</w:t>
      </w:r>
      <w:r w:rsidRPr="00F145C3">
        <w:rPr>
          <w:rFonts w:ascii="Verdana" w:hAnsi="Verdana" w:cs="Calibri"/>
          <w:sz w:val="18"/>
          <w:szCs w:val="18"/>
          <w:lang w:val="el-GR"/>
        </w:rPr>
        <w:t xml:space="preserve"> Πρόκειται για τη μόνιμη και αυτοτελή κατασκευή που κτίστηκε για σκοπούς οίκησης. Αποτελείται από τουλάχιστον ένα κανονικό δωμάτιο και προορίζεται για να χρησιμοποιηθεί για κατοικία ενός νοικοκυριού καθ’ όλη τη διάρκεια του χρόνου και χρησιμοποιείτο στην πραγματικότητα γι’ αυτό το σκοπό κατά το χρόνο της Απογραφής. Πρέπει να έχει απευθείας έξοδο προς το δρόμο, είτε διαμέσου κήπου είτε σε κοινό χώρο μέσα στην οικοδομή. </w:t>
      </w:r>
      <w:r w:rsidRPr="00F145C3">
        <w:rPr>
          <w:rFonts w:ascii="Verdana" w:hAnsi="Verdana" w:cs="Calibri"/>
          <w:i/>
          <w:sz w:val="18"/>
          <w:szCs w:val="18"/>
          <w:lang w:val="el-GR"/>
        </w:rPr>
        <w:t>Οι κανονικές κατοικίες καταγράφηκαν είτε αυτές κατοικούνταν κατά την ημερομηνία αναφοράς της Απογραφής, είτε όχι.</w:t>
      </w:r>
    </w:p>
    <w:p w14:paraId="3D1BDAFB" w14:textId="77777777" w:rsidR="0055797C" w:rsidRPr="00F145C3" w:rsidRDefault="0055797C" w:rsidP="00F145C3">
      <w:pPr>
        <w:contextualSpacing/>
        <w:jc w:val="both"/>
        <w:rPr>
          <w:rFonts w:ascii="Verdana" w:hAnsi="Verdana" w:cs="Calibri"/>
          <w:i/>
          <w:sz w:val="18"/>
          <w:szCs w:val="18"/>
          <w:lang w:val="el-GR"/>
        </w:rPr>
      </w:pPr>
    </w:p>
    <w:p w14:paraId="70AC9C0F" w14:textId="77777777" w:rsidR="0055797C" w:rsidRPr="00F145C3" w:rsidRDefault="0055797C" w:rsidP="00F145C3">
      <w:pPr>
        <w:contextualSpacing/>
        <w:jc w:val="both"/>
        <w:rPr>
          <w:rFonts w:ascii="Verdana" w:hAnsi="Verdana" w:cs="Calibri"/>
          <w:b/>
          <w:i/>
          <w:sz w:val="18"/>
          <w:szCs w:val="18"/>
          <w:u w:val="single"/>
          <w:lang w:val="el-GR"/>
        </w:rPr>
      </w:pPr>
      <w:r w:rsidRPr="00F145C3">
        <w:rPr>
          <w:rFonts w:ascii="Verdana" w:hAnsi="Verdana" w:cs="Calibri"/>
          <w:bCs/>
          <w:sz w:val="18"/>
          <w:szCs w:val="18"/>
          <w:u w:val="single"/>
          <w:lang w:val="el-GR"/>
        </w:rPr>
        <w:t>Μη Κανονική Κατοικία:</w:t>
      </w:r>
      <w:r w:rsidRPr="00F145C3">
        <w:rPr>
          <w:rFonts w:ascii="Verdana" w:hAnsi="Verdana" w:cs="Calibri"/>
          <w:sz w:val="18"/>
          <w:szCs w:val="18"/>
          <w:lang w:val="el-GR"/>
        </w:rPr>
        <w:t xml:space="preserve"> Πρόκειται για την κατοικία που είτε κτίστηκε με σκοπό την κατοίκηση αλλά κατασκευάστηκε από πρόχειρα υλικά (και συνεπώς δεν συγκαταλέγεται στην κατηγορία των κανονικών κατοικιών), είτε δεν προοριζόταν αρχικά για κατοίκηση, ωστόσο χρησιμοποιείτο στην πραγματικότητα γι’ αυτό τον σκοπό κατά την ημερομηνία αναφοράς της Απογραφής (π.χ. ένα κατάστημα που χρησιμοποιείτο από κάποιο άτομο σαν κατοικία). </w:t>
      </w:r>
      <w:r w:rsidRPr="00F145C3">
        <w:rPr>
          <w:rFonts w:ascii="Verdana" w:hAnsi="Verdana" w:cs="Calibri"/>
          <w:i/>
          <w:sz w:val="18"/>
          <w:szCs w:val="18"/>
          <w:lang w:val="el-GR"/>
        </w:rPr>
        <w:t>Οι μη κανονικές κατοικίες καταγράφηκαν μόνο εάν αυτές κατοικούνταν (ως τόπος συνήθους διαμονής από ένα ή περισσότερα άτομα) κατά την ημερομηνία αναφοράς της Απογραφής.</w:t>
      </w:r>
    </w:p>
    <w:p w14:paraId="363B5ABD" w14:textId="77777777" w:rsidR="00B6393C" w:rsidRPr="00F145C3" w:rsidRDefault="00B6393C" w:rsidP="00F145C3">
      <w:pPr>
        <w:contextualSpacing/>
        <w:jc w:val="both"/>
        <w:rPr>
          <w:rFonts w:ascii="Verdana" w:hAnsi="Verdana" w:cs="Calibri"/>
          <w:b/>
          <w:sz w:val="18"/>
          <w:szCs w:val="18"/>
          <w:u w:val="single"/>
          <w:lang w:val="el-GR"/>
        </w:rPr>
      </w:pPr>
    </w:p>
    <w:p w14:paraId="12E71242" w14:textId="77777777" w:rsidR="00B6393C" w:rsidRPr="00F145C3" w:rsidRDefault="00B6393C" w:rsidP="00F145C3">
      <w:pPr>
        <w:contextualSpacing/>
        <w:jc w:val="both"/>
        <w:rPr>
          <w:rFonts w:ascii="Verdana" w:hAnsi="Verdana" w:cs="Calibri"/>
          <w:b/>
          <w:sz w:val="18"/>
          <w:szCs w:val="18"/>
          <w:u w:val="single"/>
          <w:lang w:val="el-GR"/>
        </w:rPr>
      </w:pPr>
      <w:r w:rsidRPr="00F145C3">
        <w:rPr>
          <w:rFonts w:ascii="Verdana" w:hAnsi="Verdana" w:cs="Calibri"/>
          <w:bCs/>
          <w:sz w:val="18"/>
          <w:szCs w:val="18"/>
          <w:u w:val="single"/>
          <w:lang w:val="el-GR"/>
        </w:rPr>
        <w:t>Νοικοκυριό:</w:t>
      </w:r>
      <w:r w:rsidRPr="00F145C3">
        <w:rPr>
          <w:rFonts w:ascii="Verdana" w:hAnsi="Verdana" w:cs="Calibri"/>
          <w:sz w:val="18"/>
          <w:szCs w:val="18"/>
          <w:lang w:val="el-GR"/>
        </w:rPr>
        <w:t xml:space="preserve"> Ένα νοικοκυριό μπορεί να αποτελείται από ένα ή περισσότερα άτομα ανεξάρτητα από συγγένεια, που διαμένουν στην ίδια κατοικία, προμηθεύονται από κοινού τα απαραίτητα για τη συντήρησή τους κι έχουν τουλάχιστον ένα κοινό γεύμα την ημέρα. Νοικοκυριό θεωρείται μία από τις εξής περιπτώσεις:</w:t>
      </w:r>
    </w:p>
    <w:p w14:paraId="45B41876" w14:textId="77777777" w:rsidR="00B6393C" w:rsidRPr="00F145C3" w:rsidRDefault="00B6393C" w:rsidP="00F145C3">
      <w:pPr>
        <w:contextualSpacing/>
        <w:jc w:val="both"/>
        <w:rPr>
          <w:rFonts w:ascii="Verdana" w:hAnsi="Verdana" w:cs="Calibri"/>
          <w:sz w:val="18"/>
          <w:szCs w:val="18"/>
          <w:lang w:val="el-GR"/>
        </w:rPr>
      </w:pPr>
      <w:r w:rsidRPr="00F145C3">
        <w:rPr>
          <w:rFonts w:ascii="Verdana" w:hAnsi="Verdana" w:cs="Calibri"/>
          <w:sz w:val="18"/>
          <w:szCs w:val="18"/>
          <w:lang w:val="el-GR"/>
        </w:rPr>
        <w:t>(α) Δύο ή περισσότερα άτομα που διαμένουν μαζί, προμηθεύονται από κοινού τα απαραίτητα για τη συντήρησή τους και έχουν τουλάχιστον ένα κοινό γεύμα την ημέρα. Ένα νοικοκυριό μπορεί να αποτελείται μόνο από συγγενικά άτομα ή μόνο από μη συγγενικά άτομα ή ακόμα και από συνδυασμό των δύο αυτών περιπτώσεων.</w:t>
      </w:r>
    </w:p>
    <w:p w14:paraId="291B4055" w14:textId="77777777" w:rsidR="00B6393C" w:rsidRPr="00F145C3" w:rsidRDefault="00B6393C" w:rsidP="00F145C3">
      <w:pPr>
        <w:contextualSpacing/>
        <w:jc w:val="both"/>
        <w:rPr>
          <w:rFonts w:ascii="Verdana" w:hAnsi="Verdana" w:cs="Calibri"/>
          <w:sz w:val="18"/>
          <w:szCs w:val="18"/>
          <w:lang w:val="el-GR"/>
        </w:rPr>
      </w:pPr>
      <w:r w:rsidRPr="00F145C3">
        <w:rPr>
          <w:rFonts w:ascii="Verdana" w:hAnsi="Verdana" w:cs="Calibri"/>
          <w:sz w:val="18"/>
          <w:szCs w:val="18"/>
          <w:lang w:val="el-GR"/>
        </w:rPr>
        <w:t>(β) Κάθε άτομο του διαμένει μόνο του σε μια χωριστή κατοικία ή που διαμένει μαζί με άλλα άτομα σε μια κατοικία αλλά δεν συνδέεται μαζί τους, δηλαδή δεν τρώει μαζί τους ώστε να αποτελεί μέλος του νοικοκυριού τους.</w:t>
      </w:r>
    </w:p>
    <w:p w14:paraId="157FD213" w14:textId="0E275C2F" w:rsidR="00B6393C" w:rsidRPr="00F145C3" w:rsidRDefault="00B6393C" w:rsidP="00F145C3">
      <w:pPr>
        <w:contextualSpacing/>
        <w:jc w:val="both"/>
        <w:rPr>
          <w:rFonts w:ascii="Verdana" w:hAnsi="Verdana" w:cs="Calibri"/>
          <w:sz w:val="18"/>
          <w:szCs w:val="18"/>
          <w:lang w:val="el-GR"/>
        </w:rPr>
      </w:pPr>
      <w:r w:rsidRPr="00F145C3">
        <w:rPr>
          <w:rFonts w:ascii="Verdana" w:hAnsi="Verdana" w:cs="Calibri"/>
          <w:sz w:val="18"/>
          <w:szCs w:val="18"/>
          <w:lang w:val="el-GR"/>
        </w:rPr>
        <w:t xml:space="preserve">Στις πλείστες περιπτώσεις, οι έννοιες οικογένεια (ή οικογενειακός πυρήνας) και νοικοκυριό είναι ταυτόσημες, δηλαδή ένα νοικοκυριό αποτελείται από μία οικογένεια. Υπάρχουν όμως και περιπτώσεις που η έννοια του νοικοκυριού είναι πιο ευρεία από αυτή της οικογένειας, π.χ. ένα νοικοκυριό μπορεί να αποτελείται από πατέρα, μητέρα, παιδιά, παππού και γιαγιά. </w:t>
      </w:r>
    </w:p>
    <w:p w14:paraId="3751A4F7" w14:textId="77777777" w:rsidR="00EE21A4" w:rsidRPr="00F145C3" w:rsidRDefault="00EE21A4" w:rsidP="00F145C3">
      <w:pPr>
        <w:contextualSpacing/>
        <w:jc w:val="both"/>
        <w:rPr>
          <w:rFonts w:ascii="Verdana" w:hAnsi="Verdana" w:cs="Calibri"/>
          <w:b/>
          <w:sz w:val="18"/>
          <w:szCs w:val="18"/>
          <w:u w:val="single"/>
          <w:lang w:val="el-GR"/>
        </w:rPr>
      </w:pPr>
    </w:p>
    <w:p w14:paraId="29E97CB3" w14:textId="0F5E7F98" w:rsidR="00EE21A4" w:rsidRPr="00F145C3" w:rsidRDefault="00EE21A4" w:rsidP="00F145C3">
      <w:pPr>
        <w:contextualSpacing/>
        <w:jc w:val="both"/>
        <w:rPr>
          <w:rFonts w:ascii="Verdana" w:hAnsi="Verdana" w:cs="Calibri"/>
          <w:bCs/>
          <w:sz w:val="18"/>
          <w:szCs w:val="18"/>
          <w:u w:val="single"/>
          <w:lang w:val="el-GR"/>
        </w:rPr>
      </w:pPr>
      <w:r w:rsidRPr="00F145C3">
        <w:rPr>
          <w:rFonts w:ascii="Verdana" w:hAnsi="Verdana" w:cs="Calibri"/>
          <w:bCs/>
          <w:sz w:val="18"/>
          <w:szCs w:val="18"/>
          <w:u w:val="single"/>
          <w:lang w:val="el-GR"/>
        </w:rPr>
        <w:t xml:space="preserve">Καθεστώς </w:t>
      </w:r>
      <w:proofErr w:type="spellStart"/>
      <w:r w:rsidRPr="00F145C3">
        <w:rPr>
          <w:rFonts w:ascii="Verdana" w:hAnsi="Verdana" w:cs="Calibri"/>
          <w:bCs/>
          <w:sz w:val="18"/>
          <w:szCs w:val="18"/>
          <w:u w:val="single"/>
          <w:lang w:val="el-GR"/>
        </w:rPr>
        <w:t>ενοίκησης</w:t>
      </w:r>
      <w:proofErr w:type="spellEnd"/>
      <w:r w:rsidRPr="00F145C3">
        <w:rPr>
          <w:rFonts w:ascii="Verdana" w:hAnsi="Verdana" w:cs="Calibri"/>
          <w:bCs/>
          <w:sz w:val="18"/>
          <w:szCs w:val="18"/>
          <w:u w:val="single"/>
          <w:lang w:val="el-GR"/>
        </w:rPr>
        <w:t>:</w:t>
      </w:r>
      <w:r w:rsidRPr="00F145C3">
        <w:rPr>
          <w:rFonts w:ascii="Verdana" w:hAnsi="Verdana" w:cs="Calibri"/>
          <w:bCs/>
          <w:sz w:val="18"/>
          <w:szCs w:val="18"/>
          <w:lang w:val="el-GR"/>
        </w:rPr>
        <w:t xml:space="preserve"> Αναφερόμαστε στο κατά πόσο πρόκειται για ιδιοκατοίκηση, ενοικίαση της κατοικίας, δωρεάν διαμονή, ή για κάποιον άλλο τρόπο </w:t>
      </w:r>
      <w:proofErr w:type="spellStart"/>
      <w:r w:rsidRPr="00F145C3">
        <w:rPr>
          <w:rFonts w:ascii="Verdana" w:hAnsi="Verdana" w:cs="Calibri"/>
          <w:bCs/>
          <w:sz w:val="18"/>
          <w:szCs w:val="18"/>
          <w:lang w:val="el-GR"/>
        </w:rPr>
        <w:t>ενοίκησης</w:t>
      </w:r>
      <w:proofErr w:type="spellEnd"/>
      <w:r w:rsidRPr="00F145C3">
        <w:rPr>
          <w:rFonts w:ascii="Verdana" w:hAnsi="Verdana" w:cs="Calibri"/>
          <w:bCs/>
          <w:sz w:val="18"/>
          <w:szCs w:val="18"/>
          <w:lang w:val="el-GR"/>
        </w:rPr>
        <w:t>.</w:t>
      </w:r>
    </w:p>
    <w:p w14:paraId="7D61A203" w14:textId="77777777" w:rsidR="00EE21A4" w:rsidRPr="00F145C3" w:rsidRDefault="00EE21A4" w:rsidP="00F145C3">
      <w:pPr>
        <w:contextualSpacing/>
        <w:jc w:val="both"/>
        <w:rPr>
          <w:rFonts w:ascii="Verdana" w:hAnsi="Verdana" w:cs="Calibri"/>
          <w:bCs/>
          <w:sz w:val="18"/>
          <w:szCs w:val="18"/>
          <w:lang w:val="el-GR"/>
        </w:rPr>
      </w:pPr>
    </w:p>
    <w:p w14:paraId="259135C4" w14:textId="77777777" w:rsidR="00EE21A4" w:rsidRPr="00F145C3" w:rsidRDefault="00EE21A4" w:rsidP="00F145C3">
      <w:pPr>
        <w:contextualSpacing/>
        <w:jc w:val="both"/>
        <w:rPr>
          <w:rFonts w:ascii="Verdana" w:hAnsi="Verdana" w:cs="Calibri"/>
          <w:bCs/>
          <w:sz w:val="18"/>
          <w:szCs w:val="18"/>
          <w:lang w:val="el-GR"/>
        </w:rPr>
      </w:pPr>
      <w:r w:rsidRPr="00F145C3">
        <w:rPr>
          <w:rFonts w:ascii="Verdana" w:hAnsi="Verdana" w:cs="Calibri"/>
          <w:bCs/>
          <w:sz w:val="18"/>
          <w:szCs w:val="18"/>
          <w:u w:val="single"/>
          <w:lang w:val="el-GR"/>
        </w:rPr>
        <w:t>α) Ιδιόκτητη:</w:t>
      </w:r>
      <w:r w:rsidRPr="00F145C3">
        <w:rPr>
          <w:rFonts w:ascii="Verdana" w:hAnsi="Verdana" w:cs="Calibri"/>
          <w:bCs/>
          <w:sz w:val="18"/>
          <w:szCs w:val="18"/>
          <w:lang w:val="el-GR"/>
        </w:rPr>
        <w:t xml:space="preserve"> Η κατοικία ανήκει σε κάποιο από τα μέλη του νοικοκυριού.</w:t>
      </w:r>
    </w:p>
    <w:p w14:paraId="4EC8709A" w14:textId="77777777" w:rsidR="00EE21A4" w:rsidRPr="00F145C3" w:rsidRDefault="00EE21A4" w:rsidP="00F145C3">
      <w:pPr>
        <w:contextualSpacing/>
        <w:jc w:val="both"/>
        <w:rPr>
          <w:rFonts w:ascii="Verdana" w:hAnsi="Verdana" w:cs="Calibri"/>
          <w:bCs/>
          <w:sz w:val="18"/>
          <w:szCs w:val="18"/>
          <w:lang w:val="el-GR"/>
        </w:rPr>
      </w:pPr>
    </w:p>
    <w:p w14:paraId="7A9499F6" w14:textId="77777777" w:rsidR="00EE21A4" w:rsidRPr="00F145C3" w:rsidRDefault="00EE21A4" w:rsidP="00F145C3">
      <w:pPr>
        <w:contextualSpacing/>
        <w:jc w:val="both"/>
        <w:rPr>
          <w:rFonts w:ascii="Verdana" w:hAnsi="Verdana" w:cs="Calibri"/>
          <w:bCs/>
          <w:sz w:val="18"/>
          <w:szCs w:val="18"/>
          <w:lang w:val="el-GR"/>
        </w:rPr>
      </w:pPr>
      <w:r w:rsidRPr="00F145C3">
        <w:rPr>
          <w:rFonts w:ascii="Verdana" w:hAnsi="Verdana" w:cs="Calibri"/>
          <w:bCs/>
          <w:sz w:val="18"/>
          <w:szCs w:val="18"/>
          <w:u w:val="single"/>
          <w:lang w:val="el-GR"/>
        </w:rPr>
        <w:t>β) Ενοικιαζόμενη:</w:t>
      </w:r>
      <w:r w:rsidRPr="00F145C3">
        <w:rPr>
          <w:rFonts w:ascii="Verdana" w:hAnsi="Verdana" w:cs="Calibri"/>
          <w:bCs/>
          <w:sz w:val="18"/>
          <w:szCs w:val="18"/>
          <w:lang w:val="el-GR"/>
        </w:rPr>
        <w:t xml:space="preserve"> Αναφερόμαστε στις περιπτώσεις όπου ο ένοικος της κατοικίας (ή κάποιο άλλο πρόσωπο ή εταιρεία κλπ.) πληρώνει ενοίκιο στον ιδιοκτήτη της κατοικίας.</w:t>
      </w:r>
    </w:p>
    <w:p w14:paraId="31E3604A" w14:textId="77777777" w:rsidR="00EE21A4" w:rsidRPr="00F145C3" w:rsidRDefault="00EE21A4" w:rsidP="00F145C3">
      <w:pPr>
        <w:contextualSpacing/>
        <w:jc w:val="both"/>
        <w:rPr>
          <w:rFonts w:ascii="Verdana" w:hAnsi="Verdana" w:cs="Calibri"/>
          <w:bCs/>
          <w:sz w:val="18"/>
          <w:szCs w:val="18"/>
          <w:lang w:val="el-GR"/>
        </w:rPr>
      </w:pPr>
    </w:p>
    <w:p w14:paraId="7AF1BC57" w14:textId="77777777" w:rsidR="00EE21A4" w:rsidRPr="00F145C3" w:rsidRDefault="00EE21A4" w:rsidP="00F145C3">
      <w:pPr>
        <w:contextualSpacing/>
        <w:jc w:val="both"/>
        <w:rPr>
          <w:rFonts w:ascii="Verdana" w:hAnsi="Verdana" w:cs="Calibri"/>
          <w:bCs/>
          <w:sz w:val="18"/>
          <w:szCs w:val="18"/>
          <w:lang w:val="el-GR"/>
        </w:rPr>
      </w:pPr>
      <w:r w:rsidRPr="00F145C3">
        <w:rPr>
          <w:rFonts w:ascii="Verdana" w:hAnsi="Verdana" w:cs="Calibri"/>
          <w:bCs/>
          <w:sz w:val="18"/>
          <w:szCs w:val="18"/>
          <w:u w:val="single"/>
          <w:lang w:val="el-GR"/>
        </w:rPr>
        <w:t>γ) Δωρεάν διαμονή:</w:t>
      </w:r>
      <w:r w:rsidRPr="00F145C3">
        <w:rPr>
          <w:rFonts w:ascii="Verdana" w:hAnsi="Verdana" w:cs="Calibri"/>
          <w:bCs/>
          <w:sz w:val="18"/>
          <w:szCs w:val="18"/>
          <w:lang w:val="el-GR"/>
        </w:rPr>
        <w:t xml:space="preserve"> Πρόκειται για την περίπτωση όπου η κατοικία προσφέρεται για δωρεάν διαμονή σε συγγενικά ή άλλα άτομα (χωρίς να πρέπει ο ένοικος να πληρώνει ενοίκιο στον ιδιοκτήτη).</w:t>
      </w:r>
    </w:p>
    <w:p w14:paraId="26D33E0F" w14:textId="77777777" w:rsidR="00EE21A4" w:rsidRPr="00F145C3" w:rsidRDefault="00EE21A4" w:rsidP="00F145C3">
      <w:pPr>
        <w:contextualSpacing/>
        <w:jc w:val="both"/>
        <w:rPr>
          <w:rFonts w:ascii="Verdana" w:hAnsi="Verdana" w:cs="Calibri"/>
          <w:bCs/>
          <w:sz w:val="18"/>
          <w:szCs w:val="18"/>
          <w:lang w:val="el-GR"/>
        </w:rPr>
      </w:pPr>
    </w:p>
    <w:p w14:paraId="11008105" w14:textId="77777777" w:rsidR="00EE21A4" w:rsidRPr="00F145C3" w:rsidRDefault="00EE21A4" w:rsidP="00F145C3">
      <w:pPr>
        <w:contextualSpacing/>
        <w:jc w:val="both"/>
        <w:rPr>
          <w:rFonts w:ascii="Verdana" w:hAnsi="Verdana" w:cs="Calibri"/>
          <w:sz w:val="18"/>
          <w:szCs w:val="18"/>
          <w:lang w:val="el-GR"/>
        </w:rPr>
      </w:pPr>
      <w:r w:rsidRPr="00F145C3">
        <w:rPr>
          <w:rFonts w:ascii="Verdana" w:hAnsi="Verdana" w:cs="Calibri"/>
          <w:bCs/>
          <w:sz w:val="18"/>
          <w:szCs w:val="18"/>
          <w:u w:val="single"/>
          <w:lang w:val="el-GR"/>
        </w:rPr>
        <w:t xml:space="preserve">δ) Άλλος τρόπος </w:t>
      </w:r>
      <w:proofErr w:type="spellStart"/>
      <w:r w:rsidRPr="00F145C3">
        <w:rPr>
          <w:rFonts w:ascii="Verdana" w:hAnsi="Verdana" w:cs="Calibri"/>
          <w:bCs/>
          <w:sz w:val="18"/>
          <w:szCs w:val="18"/>
          <w:u w:val="single"/>
          <w:lang w:val="el-GR"/>
        </w:rPr>
        <w:t>ενοίκησης</w:t>
      </w:r>
      <w:proofErr w:type="spellEnd"/>
      <w:r w:rsidRPr="00F145C3">
        <w:rPr>
          <w:rFonts w:ascii="Verdana" w:hAnsi="Verdana" w:cs="Calibri"/>
          <w:bCs/>
          <w:sz w:val="18"/>
          <w:szCs w:val="18"/>
          <w:u w:val="single"/>
          <w:lang w:val="el-GR"/>
        </w:rPr>
        <w:t>:</w:t>
      </w:r>
      <w:r w:rsidRPr="00F145C3">
        <w:rPr>
          <w:rFonts w:ascii="Verdana" w:hAnsi="Verdana" w:cs="Calibri"/>
          <w:sz w:val="18"/>
          <w:szCs w:val="18"/>
          <w:lang w:val="el-GR"/>
        </w:rPr>
        <w:t xml:space="preserve"> Πρόκειται για τις περιπτώσεις όπου το καθεστώς </w:t>
      </w:r>
      <w:proofErr w:type="spellStart"/>
      <w:r w:rsidRPr="00F145C3">
        <w:rPr>
          <w:rFonts w:ascii="Verdana" w:hAnsi="Verdana" w:cs="Calibri"/>
          <w:sz w:val="18"/>
          <w:szCs w:val="18"/>
          <w:lang w:val="el-GR"/>
        </w:rPr>
        <w:t>ενοίκησης</w:t>
      </w:r>
      <w:proofErr w:type="spellEnd"/>
      <w:r w:rsidRPr="00F145C3">
        <w:rPr>
          <w:rFonts w:ascii="Verdana" w:hAnsi="Verdana" w:cs="Calibri"/>
          <w:sz w:val="18"/>
          <w:szCs w:val="18"/>
          <w:lang w:val="el-GR"/>
        </w:rPr>
        <w:t xml:space="preserve"> δεν εμπίπτει σε κάποια από τις πιο πάνω κατηγορίες.</w:t>
      </w:r>
    </w:p>
    <w:p w14:paraId="14EA01DD" w14:textId="77777777" w:rsidR="006B225D" w:rsidRPr="00F145C3" w:rsidRDefault="006B225D" w:rsidP="00F145C3">
      <w:pPr>
        <w:contextualSpacing/>
        <w:jc w:val="both"/>
        <w:rPr>
          <w:rFonts w:ascii="Verdana" w:hAnsi="Verdana" w:cs="Calibri"/>
          <w:sz w:val="18"/>
          <w:szCs w:val="18"/>
          <w:lang w:val="el-GR"/>
        </w:rPr>
      </w:pPr>
    </w:p>
    <w:p w14:paraId="3F98C3BF" w14:textId="77777777" w:rsidR="00EE21A4" w:rsidRPr="00F145C3" w:rsidRDefault="00EE21A4" w:rsidP="00F145C3">
      <w:pPr>
        <w:contextualSpacing/>
        <w:jc w:val="both"/>
        <w:rPr>
          <w:rFonts w:ascii="Verdana" w:hAnsi="Verdana" w:cs="Calibri"/>
          <w:b/>
          <w:sz w:val="18"/>
          <w:szCs w:val="18"/>
          <w:u w:val="single"/>
          <w:lang w:val="el-GR"/>
        </w:rPr>
      </w:pPr>
      <w:r w:rsidRPr="00F145C3">
        <w:rPr>
          <w:rFonts w:ascii="Verdana" w:hAnsi="Verdana" w:cs="Calibri"/>
          <w:bCs/>
          <w:sz w:val="18"/>
          <w:szCs w:val="18"/>
          <w:u w:val="single"/>
          <w:lang w:val="el-GR"/>
        </w:rPr>
        <w:t>Χώρα γέννησης:</w:t>
      </w:r>
      <w:r w:rsidRPr="00F145C3">
        <w:rPr>
          <w:rFonts w:ascii="Verdana" w:hAnsi="Verdana" w:cs="Calibri"/>
          <w:sz w:val="18"/>
          <w:szCs w:val="18"/>
          <w:lang w:val="el-GR"/>
        </w:rPr>
        <w:t xml:space="preserve"> Ως χώρα γέννησης του απογραφόμενου καταγράφηκε η χώρα στην οποία κατοικούσε η μητέρα του απογραφόμενου όταν τον/τη γέννησε. Ο ίδιος ορισμός ίσχυε και για τη χώρα γέννησης του πατέρα και της μητέρας του απογραφόμενου.</w:t>
      </w:r>
    </w:p>
    <w:p w14:paraId="629A45E2" w14:textId="77777777" w:rsidR="00EE21A4" w:rsidRPr="00F145C3" w:rsidRDefault="00EE21A4" w:rsidP="00F145C3">
      <w:pPr>
        <w:contextualSpacing/>
        <w:jc w:val="both"/>
        <w:rPr>
          <w:rFonts w:ascii="Verdana" w:hAnsi="Verdana" w:cs="Calibri"/>
          <w:b/>
          <w:sz w:val="18"/>
          <w:szCs w:val="18"/>
          <w:u w:val="single"/>
          <w:lang w:val="el-GR"/>
        </w:rPr>
      </w:pPr>
    </w:p>
    <w:p w14:paraId="0260ED7D" w14:textId="5F002D93" w:rsidR="00DF6883" w:rsidRPr="00F145C3" w:rsidRDefault="00DF6883" w:rsidP="00F145C3">
      <w:pPr>
        <w:contextualSpacing/>
        <w:jc w:val="both"/>
        <w:rPr>
          <w:rFonts w:ascii="Verdana" w:hAnsi="Verdana" w:cs="Calibri"/>
          <w:b/>
          <w:sz w:val="18"/>
          <w:szCs w:val="18"/>
          <w:u w:val="single"/>
          <w:lang w:val="el-GR"/>
        </w:rPr>
      </w:pPr>
      <w:r w:rsidRPr="00F145C3">
        <w:rPr>
          <w:rFonts w:ascii="Verdana" w:hAnsi="Verdana" w:cs="Calibri"/>
          <w:bCs/>
          <w:sz w:val="18"/>
          <w:szCs w:val="18"/>
          <w:u w:val="single"/>
          <w:lang w:val="el-GR"/>
        </w:rPr>
        <w:lastRenderedPageBreak/>
        <w:t>Υπηκοότητα:</w:t>
      </w:r>
      <w:r w:rsidRPr="00F145C3">
        <w:rPr>
          <w:rFonts w:ascii="Verdana" w:hAnsi="Verdana" w:cs="Calibri"/>
          <w:sz w:val="18"/>
          <w:szCs w:val="18"/>
          <w:lang w:val="el-GR"/>
        </w:rPr>
        <w:t xml:space="preserve"> Ρωτήθηκε η πρώτη και η δεύτερη υπηκοότητα του απογραφόμενου (όπου αυτό ίσχυε). Τα </w:t>
      </w:r>
      <w:r w:rsidR="006B22D9" w:rsidRPr="00F145C3">
        <w:rPr>
          <w:rFonts w:ascii="Verdana" w:hAnsi="Verdana" w:cs="Calibri"/>
          <w:sz w:val="18"/>
          <w:szCs w:val="18"/>
          <w:lang w:val="el-GR"/>
        </w:rPr>
        <w:t>άτομα</w:t>
      </w:r>
      <w:r w:rsidRPr="00F145C3">
        <w:rPr>
          <w:rFonts w:ascii="Verdana" w:hAnsi="Verdana" w:cs="Calibri"/>
          <w:sz w:val="18"/>
          <w:szCs w:val="18"/>
          <w:lang w:val="el-GR"/>
        </w:rPr>
        <w:t xml:space="preserve"> που είχαν δηλώσει την Κυπριακή υπηκοότητα είτε ως την πρώτη τους υπηκοότητα είτε ως τη δεύτερη, παρουσιάζονται στους σχετικούς πίνακες ως Κύπριοι. Τα άτομα που είχαν δηλώσει δύο υπηκοότητες, η μία χώρα της ΕΕ (εκτός της Κύπρου) και η άλλη χώρας εκτός ΕΕ, παρουσιάζονται στους σχετικούς πίνακες ως υπήκοοι χωρών της ΕΕ.</w:t>
      </w:r>
    </w:p>
    <w:p w14:paraId="74EEA5F0" w14:textId="77777777" w:rsidR="00DF6883" w:rsidRPr="00F145C3" w:rsidRDefault="00DF6883" w:rsidP="00F145C3">
      <w:pPr>
        <w:contextualSpacing/>
        <w:jc w:val="both"/>
        <w:rPr>
          <w:rFonts w:ascii="Verdana" w:hAnsi="Verdana" w:cs="Calibri"/>
          <w:b/>
          <w:sz w:val="18"/>
          <w:szCs w:val="18"/>
          <w:u w:val="single"/>
          <w:lang w:val="el-GR"/>
        </w:rPr>
      </w:pPr>
    </w:p>
    <w:p w14:paraId="73DF5900" w14:textId="1FF70A99" w:rsidR="00DF6883" w:rsidRPr="00F145C3" w:rsidRDefault="00DF6883" w:rsidP="00F145C3">
      <w:pPr>
        <w:contextualSpacing/>
        <w:jc w:val="both"/>
        <w:rPr>
          <w:rFonts w:ascii="Verdana" w:hAnsi="Verdana" w:cs="Calibri"/>
          <w:sz w:val="18"/>
          <w:szCs w:val="18"/>
          <w:lang w:val="el-GR"/>
        </w:rPr>
      </w:pPr>
      <w:r w:rsidRPr="00F145C3">
        <w:rPr>
          <w:rFonts w:ascii="Verdana" w:hAnsi="Verdana" w:cs="Calibri"/>
          <w:bCs/>
          <w:sz w:val="18"/>
          <w:szCs w:val="18"/>
          <w:u w:val="single"/>
          <w:lang w:val="el-GR"/>
        </w:rPr>
        <w:t>Μορφωτικό επίπεδο:</w:t>
      </w:r>
      <w:r w:rsidRPr="00F145C3">
        <w:rPr>
          <w:rFonts w:ascii="Verdana" w:hAnsi="Verdana" w:cs="Calibri"/>
          <w:sz w:val="18"/>
          <w:szCs w:val="18"/>
          <w:lang w:val="el-GR"/>
        </w:rPr>
        <w:t xml:space="preserve"> Για τον κάθε απογραφόμενο που ήταν 15 ετών και άνω,  καταγράφηκε το ψηλότερο επίπεδο μόρφωσης που είχε </w:t>
      </w:r>
      <w:r w:rsidRPr="00F145C3">
        <w:rPr>
          <w:rFonts w:ascii="Verdana" w:hAnsi="Verdana" w:cs="Calibri"/>
          <w:i/>
          <w:sz w:val="18"/>
          <w:szCs w:val="18"/>
          <w:lang w:val="el-GR"/>
        </w:rPr>
        <w:t xml:space="preserve">συμπληρώσει </w:t>
      </w:r>
      <w:r w:rsidRPr="00F145C3">
        <w:rPr>
          <w:rFonts w:ascii="Verdana" w:hAnsi="Verdana" w:cs="Calibri"/>
          <w:sz w:val="18"/>
          <w:szCs w:val="18"/>
          <w:lang w:val="el-GR"/>
        </w:rPr>
        <w:t>κατά την ημερομηνία αναφοράς της Απογραφής.</w:t>
      </w:r>
    </w:p>
    <w:p w14:paraId="5399F767" w14:textId="77777777" w:rsidR="00DF6883" w:rsidRPr="00F145C3" w:rsidRDefault="00DF6883" w:rsidP="00F145C3">
      <w:pPr>
        <w:contextualSpacing/>
        <w:jc w:val="both"/>
        <w:rPr>
          <w:rFonts w:ascii="Verdana" w:hAnsi="Verdana" w:cs="Calibri"/>
          <w:sz w:val="18"/>
          <w:szCs w:val="18"/>
          <w:lang w:val="el-GR"/>
        </w:rPr>
      </w:pPr>
    </w:p>
    <w:p w14:paraId="412EB59A" w14:textId="4700230A" w:rsidR="00DF6883" w:rsidRPr="00F145C3" w:rsidRDefault="00DF6883" w:rsidP="00F145C3">
      <w:pPr>
        <w:contextualSpacing/>
        <w:jc w:val="both"/>
        <w:rPr>
          <w:rFonts w:ascii="Verdana" w:hAnsi="Verdana" w:cs="Calibri"/>
          <w:b/>
          <w:sz w:val="18"/>
          <w:szCs w:val="18"/>
          <w:u w:val="single"/>
          <w:lang w:val="el-GR"/>
        </w:rPr>
      </w:pPr>
      <w:r w:rsidRPr="00F145C3">
        <w:rPr>
          <w:rFonts w:ascii="Verdana" w:hAnsi="Verdana" w:cs="Calibri"/>
          <w:bCs/>
          <w:sz w:val="18"/>
          <w:szCs w:val="18"/>
          <w:u w:val="single"/>
          <w:lang w:val="el-GR"/>
        </w:rPr>
        <w:t>Οικογενειακός πυρήνας:</w:t>
      </w:r>
      <w:r w:rsidRPr="00F145C3">
        <w:rPr>
          <w:rFonts w:ascii="Verdana" w:hAnsi="Verdana" w:cs="Calibri"/>
          <w:bCs/>
          <w:sz w:val="18"/>
          <w:szCs w:val="18"/>
          <w:lang w:val="el-GR"/>
        </w:rPr>
        <w:t xml:space="preserve"> Ορίζεται</w:t>
      </w:r>
      <w:r w:rsidRPr="00F145C3">
        <w:rPr>
          <w:rFonts w:ascii="Verdana" w:hAnsi="Verdana" w:cs="Calibri"/>
          <w:sz w:val="18"/>
          <w:szCs w:val="18"/>
          <w:lang w:val="el-GR"/>
        </w:rPr>
        <w:t xml:space="preserve"> ως δύο ή περισσότερα </w:t>
      </w:r>
      <w:r w:rsidR="006B22D9" w:rsidRPr="00F145C3">
        <w:rPr>
          <w:rFonts w:ascii="Verdana" w:hAnsi="Verdana" w:cs="Calibri"/>
          <w:sz w:val="18"/>
          <w:szCs w:val="18"/>
          <w:lang w:val="el-GR"/>
        </w:rPr>
        <w:t>άτομα</w:t>
      </w:r>
      <w:r w:rsidRPr="00F145C3">
        <w:rPr>
          <w:rFonts w:ascii="Verdana" w:hAnsi="Verdana" w:cs="Calibri"/>
          <w:sz w:val="18"/>
          <w:szCs w:val="18"/>
          <w:lang w:val="el-GR"/>
        </w:rPr>
        <w:t xml:space="preserve"> μέσα στο νοικοκυριό που έχουν σχέση ζευγαριού (παντρεμένοι ή μη), ή σχέση γονέα με παιδί. Συνεπώς ένας οικογενειακός πυρήνας μπορεί ν’ αποτελείται από ένα ζευγάρι χωρίς παιδιά, ζευγάρι με ένα ή περισσότερα παιδιά ή μία μονογονεϊκή οικογένεια (</w:t>
      </w:r>
      <w:proofErr w:type="spellStart"/>
      <w:r w:rsidRPr="00F145C3">
        <w:rPr>
          <w:rFonts w:ascii="Verdana" w:hAnsi="Verdana" w:cs="Calibri"/>
          <w:sz w:val="18"/>
          <w:szCs w:val="18"/>
          <w:lang w:val="el-GR"/>
        </w:rPr>
        <w:t>μονογονέας</w:t>
      </w:r>
      <w:proofErr w:type="spellEnd"/>
      <w:r w:rsidRPr="00F145C3">
        <w:rPr>
          <w:rFonts w:ascii="Verdana" w:hAnsi="Verdana" w:cs="Calibri"/>
          <w:sz w:val="18"/>
          <w:szCs w:val="18"/>
          <w:lang w:val="el-GR"/>
        </w:rPr>
        <w:t xml:space="preserve"> με ένα ή περισσότερα παιδιά). </w:t>
      </w:r>
    </w:p>
    <w:bookmarkEnd w:id="1"/>
    <w:p w14:paraId="5540AC56" w14:textId="77777777" w:rsidR="00463FE1" w:rsidRPr="00F145C3" w:rsidRDefault="00463FE1" w:rsidP="00F145C3">
      <w:pPr>
        <w:jc w:val="both"/>
        <w:rPr>
          <w:rFonts w:ascii="Verdana" w:eastAsia="Malgun Gothic" w:hAnsi="Verdana" w:cs="Calibri"/>
          <w:b/>
          <w:sz w:val="18"/>
          <w:szCs w:val="18"/>
          <w:u w:val="single"/>
          <w:lang w:val="el-GR"/>
        </w:rPr>
      </w:pPr>
    </w:p>
    <w:p w14:paraId="7D54496A" w14:textId="77777777" w:rsidR="00B06314" w:rsidRPr="00F145C3" w:rsidRDefault="00B06314" w:rsidP="00F145C3">
      <w:pPr>
        <w:jc w:val="both"/>
        <w:rPr>
          <w:rFonts w:ascii="Verdana" w:eastAsia="Malgun Gothic" w:hAnsi="Verdana" w:cs="Calibri"/>
          <w:b/>
          <w:sz w:val="18"/>
          <w:szCs w:val="18"/>
          <w:u w:val="single"/>
          <w:lang w:val="el-GR"/>
        </w:rPr>
      </w:pPr>
    </w:p>
    <w:p w14:paraId="383C75E4" w14:textId="77777777" w:rsidR="00463FE1" w:rsidRPr="00F145C3" w:rsidRDefault="00463FE1" w:rsidP="00F145C3">
      <w:pPr>
        <w:jc w:val="both"/>
        <w:rPr>
          <w:rFonts w:ascii="Verdana" w:hAnsi="Verdana"/>
          <w:i/>
          <w:sz w:val="18"/>
          <w:szCs w:val="18"/>
          <w:lang w:val="el-GR"/>
        </w:rPr>
      </w:pPr>
      <w:r w:rsidRPr="00F145C3">
        <w:rPr>
          <w:rFonts w:ascii="Verdana" w:hAnsi="Verdana"/>
          <w:b/>
          <w:i/>
          <w:sz w:val="18"/>
          <w:szCs w:val="18"/>
          <w:lang w:val="el-GR"/>
        </w:rPr>
        <w:t>Για περισσότερες πληροφορίες:</w:t>
      </w:r>
      <w:r w:rsidRPr="00F145C3">
        <w:rPr>
          <w:rFonts w:ascii="Verdana" w:hAnsi="Verdana"/>
          <w:i/>
          <w:sz w:val="18"/>
          <w:szCs w:val="18"/>
          <w:lang w:val="el-GR"/>
        </w:rPr>
        <w:t xml:space="preserve"> </w:t>
      </w:r>
    </w:p>
    <w:p w14:paraId="31077DDA" w14:textId="651B7875" w:rsidR="00204C29" w:rsidRPr="005C277B" w:rsidRDefault="00204C29" w:rsidP="00F145C3">
      <w:pPr>
        <w:jc w:val="both"/>
        <w:rPr>
          <w:rFonts w:ascii="Verdana" w:eastAsia="Malgun Gothic" w:hAnsi="Verdana" w:cs="Arial"/>
          <w:sz w:val="18"/>
          <w:szCs w:val="18"/>
          <w:lang w:val="el-GR"/>
        </w:rPr>
      </w:pPr>
      <w:r w:rsidRPr="005C277B">
        <w:rPr>
          <w:rFonts w:ascii="Verdana" w:eastAsia="Malgun Gothic" w:hAnsi="Verdana" w:cs="Arial"/>
          <w:sz w:val="18"/>
          <w:szCs w:val="18"/>
          <w:lang w:val="el-GR"/>
        </w:rPr>
        <w:t xml:space="preserve">Πύλη Στατιστικής Υπηρεσίας, </w:t>
      </w:r>
      <w:r w:rsidR="0032286C" w:rsidRPr="005C277B">
        <w:rPr>
          <w:rFonts w:ascii="Verdana" w:eastAsia="Malgun Gothic" w:hAnsi="Verdana" w:cs="Arial"/>
          <w:sz w:val="18"/>
          <w:szCs w:val="18"/>
          <w:lang w:val="el-GR"/>
        </w:rPr>
        <w:t>θέμα</w:t>
      </w:r>
      <w:r w:rsidRPr="005C277B">
        <w:rPr>
          <w:rFonts w:ascii="Verdana" w:eastAsia="Malgun Gothic" w:hAnsi="Verdana" w:cs="Arial"/>
          <w:sz w:val="18"/>
          <w:szCs w:val="18"/>
          <w:lang w:val="el-GR"/>
        </w:rPr>
        <w:t xml:space="preserve"> </w:t>
      </w:r>
      <w:hyperlink r:id="rId18" w:tooltip="Πληθυσμός" w:history="1">
        <w:r w:rsidRPr="005C277B">
          <w:rPr>
            <w:rStyle w:val="Hyperlink"/>
            <w:rFonts w:ascii="Verdana" w:eastAsia="Malgun Gothic" w:hAnsi="Verdana" w:cs="Arial"/>
            <w:sz w:val="18"/>
            <w:szCs w:val="18"/>
            <w:lang w:val="el-GR"/>
          </w:rPr>
          <w:t>Πληθυσμός</w:t>
        </w:r>
      </w:hyperlink>
    </w:p>
    <w:p w14:paraId="0773D995" w14:textId="47718B62" w:rsidR="00204C29" w:rsidRPr="005C277B" w:rsidRDefault="00000000" w:rsidP="00F145C3">
      <w:pPr>
        <w:jc w:val="both"/>
        <w:rPr>
          <w:rFonts w:ascii="Verdana" w:eastAsia="Malgun Gothic" w:hAnsi="Verdana" w:cs="Arial"/>
          <w:sz w:val="18"/>
          <w:szCs w:val="18"/>
          <w:lang w:val="el-GR"/>
        </w:rPr>
      </w:pPr>
      <w:hyperlink r:id="rId19" w:history="1">
        <w:r w:rsidR="00204C29" w:rsidRPr="005C277B">
          <w:rPr>
            <w:rStyle w:val="Hyperlink"/>
            <w:rFonts w:ascii="Verdana" w:eastAsia="Malgun Gothic" w:hAnsi="Verdana" w:cs="Arial"/>
            <w:sz w:val="18"/>
            <w:szCs w:val="18"/>
            <w:lang w:val="el-GR"/>
          </w:rPr>
          <w:t>CYSTAT-DB</w:t>
        </w:r>
      </w:hyperlink>
      <w:r w:rsidR="00204C29" w:rsidRPr="005C277B">
        <w:rPr>
          <w:rFonts w:ascii="Verdana" w:eastAsia="Malgun Gothic" w:hAnsi="Verdana" w:cs="Arial"/>
          <w:sz w:val="18"/>
          <w:szCs w:val="18"/>
          <w:lang w:val="el-GR"/>
        </w:rPr>
        <w:t xml:space="preserve"> (Βάση Δεδομένων)</w:t>
      </w:r>
    </w:p>
    <w:p w14:paraId="026EEFC1" w14:textId="73F599C8" w:rsidR="00204C29" w:rsidRPr="005C277B" w:rsidRDefault="00000000" w:rsidP="00F145C3">
      <w:pPr>
        <w:jc w:val="both"/>
        <w:rPr>
          <w:rFonts w:ascii="Verdana" w:eastAsia="Malgun Gothic" w:hAnsi="Verdana" w:cs="Arial"/>
          <w:sz w:val="18"/>
          <w:szCs w:val="18"/>
          <w:lang w:val="el-GR"/>
        </w:rPr>
      </w:pPr>
      <w:hyperlink r:id="rId20" w:history="1">
        <w:r w:rsidR="00204C29" w:rsidRPr="005C277B">
          <w:rPr>
            <w:rStyle w:val="Hyperlink"/>
            <w:rFonts w:ascii="Verdana" w:eastAsia="Malgun Gothic" w:hAnsi="Verdana" w:cs="Arial"/>
            <w:sz w:val="18"/>
            <w:szCs w:val="18"/>
            <w:lang w:val="el-GR"/>
          </w:rPr>
          <w:t>Προκαθορισμένοι Πίνακες</w:t>
        </w:r>
      </w:hyperlink>
      <w:r w:rsidR="00204C29" w:rsidRPr="005C277B">
        <w:rPr>
          <w:rFonts w:ascii="Verdana" w:eastAsia="Malgun Gothic" w:hAnsi="Verdana" w:cs="Arial"/>
          <w:sz w:val="18"/>
          <w:szCs w:val="18"/>
          <w:lang w:val="el-GR"/>
        </w:rPr>
        <w:t xml:space="preserve"> </w:t>
      </w:r>
    </w:p>
    <w:p w14:paraId="18DB500B" w14:textId="671BACBD" w:rsidR="00715F50" w:rsidRPr="00F145C3" w:rsidRDefault="00000000" w:rsidP="00F145C3">
      <w:pPr>
        <w:jc w:val="both"/>
        <w:rPr>
          <w:rFonts w:ascii="Verdana" w:eastAsia="Malgun Gothic" w:hAnsi="Verdana" w:cs="Arial"/>
          <w:sz w:val="18"/>
          <w:szCs w:val="18"/>
          <w:lang w:val="el-GR"/>
        </w:rPr>
      </w:pPr>
      <w:hyperlink r:id="rId21" w:tooltip="Μεθοδολογικές Πληροφορίες Απογραφής Πληθυσμού και Κατοικίων 2021" w:history="1">
        <w:r w:rsidR="00715F50" w:rsidRPr="005C277B">
          <w:rPr>
            <w:rStyle w:val="Hyperlink"/>
            <w:rFonts w:ascii="Verdana" w:eastAsia="Malgun Gothic" w:hAnsi="Verdana" w:cs="Arial"/>
            <w:sz w:val="18"/>
            <w:szCs w:val="18"/>
            <w:lang w:val="el-GR"/>
          </w:rPr>
          <w:t xml:space="preserve">Μεθοδολογικές </w:t>
        </w:r>
        <w:r w:rsidR="0032286C" w:rsidRPr="005C277B">
          <w:rPr>
            <w:rStyle w:val="Hyperlink"/>
            <w:rFonts w:ascii="Verdana" w:eastAsia="Malgun Gothic" w:hAnsi="Verdana" w:cs="Arial"/>
            <w:sz w:val="18"/>
            <w:szCs w:val="18"/>
            <w:lang w:val="el-GR"/>
          </w:rPr>
          <w:t>Π</w:t>
        </w:r>
        <w:r w:rsidR="00715F50" w:rsidRPr="005C277B">
          <w:rPr>
            <w:rStyle w:val="Hyperlink"/>
            <w:rFonts w:ascii="Verdana" w:eastAsia="Malgun Gothic" w:hAnsi="Verdana" w:cs="Arial"/>
            <w:sz w:val="18"/>
            <w:szCs w:val="18"/>
            <w:lang w:val="el-GR"/>
          </w:rPr>
          <w:t>ληροφορίες</w:t>
        </w:r>
      </w:hyperlink>
    </w:p>
    <w:p w14:paraId="2E96E98D" w14:textId="77777777" w:rsidR="00204C29" w:rsidRPr="00F145C3" w:rsidRDefault="00204C29" w:rsidP="00F145C3">
      <w:pPr>
        <w:jc w:val="both"/>
        <w:rPr>
          <w:rFonts w:ascii="Verdana" w:eastAsia="Malgun Gothic" w:hAnsi="Verdana" w:cs="Arial"/>
          <w:sz w:val="18"/>
          <w:szCs w:val="18"/>
          <w:lang w:val="el-GR"/>
        </w:rPr>
      </w:pPr>
    </w:p>
    <w:p w14:paraId="71EEFAD7" w14:textId="77777777" w:rsidR="00463FE1" w:rsidRPr="00F145C3" w:rsidRDefault="00463FE1" w:rsidP="00F145C3">
      <w:pPr>
        <w:jc w:val="both"/>
        <w:rPr>
          <w:rFonts w:ascii="Verdana" w:eastAsia="Malgun Gothic" w:hAnsi="Verdana" w:cs="Arial"/>
          <w:i/>
          <w:sz w:val="18"/>
          <w:szCs w:val="18"/>
          <w:u w:val="single"/>
          <w:lang w:val="el-GR"/>
        </w:rPr>
      </w:pPr>
      <w:r w:rsidRPr="00F145C3">
        <w:rPr>
          <w:rFonts w:ascii="Verdana" w:eastAsia="Malgun Gothic" w:hAnsi="Verdana" w:cs="Arial"/>
          <w:i/>
          <w:sz w:val="18"/>
          <w:szCs w:val="18"/>
          <w:u w:val="single"/>
          <w:lang w:val="el-GR"/>
        </w:rPr>
        <w:t>Επικοινωνία</w:t>
      </w:r>
    </w:p>
    <w:p w14:paraId="18DA1B70" w14:textId="731AD14D" w:rsidR="006B225D" w:rsidRPr="00F145C3" w:rsidRDefault="006B225D" w:rsidP="00F145C3">
      <w:pPr>
        <w:jc w:val="both"/>
        <w:rPr>
          <w:rStyle w:val="Hyperlink"/>
          <w:rFonts w:ascii="Verdana" w:hAnsi="Verdana"/>
          <w:sz w:val="18"/>
          <w:szCs w:val="18"/>
          <w:lang w:val="el-GR"/>
        </w:rPr>
      </w:pPr>
      <w:r w:rsidRPr="00F145C3">
        <w:rPr>
          <w:rFonts w:ascii="Verdana" w:eastAsia="Malgun Gothic" w:hAnsi="Verdana" w:cs="Arial"/>
          <w:iCs/>
          <w:sz w:val="18"/>
          <w:szCs w:val="18"/>
          <w:lang w:val="el-GR"/>
        </w:rPr>
        <w:t xml:space="preserve">Γεωργία Ιωάννου : </w:t>
      </w:r>
      <w:proofErr w:type="spellStart"/>
      <w:r w:rsidRPr="00F145C3">
        <w:rPr>
          <w:rFonts w:ascii="Verdana" w:eastAsia="Malgun Gothic" w:hAnsi="Verdana" w:cs="Arial"/>
          <w:iCs/>
          <w:sz w:val="18"/>
          <w:szCs w:val="18"/>
          <w:lang w:val="el-GR"/>
        </w:rPr>
        <w:t>Τηλ</w:t>
      </w:r>
      <w:proofErr w:type="spellEnd"/>
      <w:r w:rsidRPr="00F145C3">
        <w:rPr>
          <w:rFonts w:ascii="Verdana" w:eastAsia="Malgun Gothic" w:hAnsi="Verdana" w:cs="Arial"/>
          <w:i/>
          <w:sz w:val="18"/>
          <w:szCs w:val="18"/>
          <w:lang w:val="el-GR"/>
        </w:rPr>
        <w:t>.:</w:t>
      </w:r>
      <w:r w:rsidRPr="00F145C3">
        <w:rPr>
          <w:rFonts w:ascii="Verdana" w:eastAsia="Malgun Gothic" w:hAnsi="Verdana" w:cs="Arial"/>
          <w:i/>
          <w:sz w:val="18"/>
          <w:szCs w:val="18"/>
          <w:u w:val="single"/>
          <w:lang w:val="el-GR"/>
        </w:rPr>
        <w:t xml:space="preserve"> </w:t>
      </w:r>
      <w:r w:rsidRPr="00F145C3">
        <w:rPr>
          <w:rFonts w:ascii="Verdana" w:eastAsia="Malgun Gothic" w:hAnsi="Verdana" w:cs="Arial"/>
          <w:sz w:val="18"/>
          <w:szCs w:val="18"/>
          <w:lang w:val="el-GR"/>
        </w:rPr>
        <w:t xml:space="preserve">+35722602144, </w:t>
      </w:r>
      <w:proofErr w:type="spellStart"/>
      <w:r w:rsidRPr="00F145C3">
        <w:rPr>
          <w:rFonts w:ascii="Verdana" w:eastAsia="Malgun Gothic" w:hAnsi="Verdana" w:cs="Arial"/>
          <w:sz w:val="18"/>
          <w:szCs w:val="18"/>
          <w:lang w:val="el-GR"/>
        </w:rPr>
        <w:t>Ηλ</w:t>
      </w:r>
      <w:proofErr w:type="spellEnd"/>
      <w:r w:rsidRPr="00F145C3">
        <w:rPr>
          <w:rFonts w:ascii="Verdana" w:eastAsia="Malgun Gothic" w:hAnsi="Verdana" w:cs="Arial"/>
          <w:sz w:val="18"/>
          <w:szCs w:val="18"/>
          <w:lang w:val="el-GR"/>
        </w:rPr>
        <w:t xml:space="preserve">. </w:t>
      </w:r>
      <w:proofErr w:type="spellStart"/>
      <w:r w:rsidRPr="00F145C3">
        <w:rPr>
          <w:rFonts w:ascii="Verdana" w:eastAsia="Malgun Gothic" w:hAnsi="Verdana" w:cs="Arial"/>
          <w:sz w:val="18"/>
          <w:szCs w:val="18"/>
          <w:lang w:val="el-GR"/>
        </w:rPr>
        <w:t>Ταχ</w:t>
      </w:r>
      <w:proofErr w:type="spellEnd"/>
      <w:r w:rsidRPr="00F145C3">
        <w:rPr>
          <w:rFonts w:ascii="Verdana" w:eastAsia="Malgun Gothic" w:hAnsi="Verdana" w:cs="Arial"/>
          <w:sz w:val="18"/>
          <w:szCs w:val="18"/>
          <w:lang w:val="el-GR"/>
        </w:rPr>
        <w:t xml:space="preserve">.: </w:t>
      </w:r>
      <w:proofErr w:type="spellStart"/>
      <w:r w:rsidRPr="00F145C3">
        <w:rPr>
          <w:rStyle w:val="Hyperlink"/>
          <w:rFonts w:ascii="Verdana" w:hAnsi="Verdana"/>
          <w:sz w:val="18"/>
          <w:szCs w:val="18"/>
        </w:rPr>
        <w:t>gioannou</w:t>
      </w:r>
      <w:proofErr w:type="spellEnd"/>
      <w:r w:rsidRPr="00F145C3">
        <w:rPr>
          <w:rStyle w:val="Hyperlink"/>
          <w:rFonts w:ascii="Verdana" w:hAnsi="Verdana"/>
          <w:sz w:val="18"/>
          <w:szCs w:val="18"/>
          <w:lang w:val="el-GR"/>
        </w:rPr>
        <w:t>@</w:t>
      </w:r>
      <w:proofErr w:type="spellStart"/>
      <w:r w:rsidRPr="00F145C3">
        <w:rPr>
          <w:rStyle w:val="Hyperlink"/>
          <w:rFonts w:ascii="Verdana" w:hAnsi="Verdana"/>
          <w:sz w:val="18"/>
          <w:szCs w:val="18"/>
        </w:rPr>
        <w:t>cystat</w:t>
      </w:r>
      <w:proofErr w:type="spellEnd"/>
      <w:r w:rsidRPr="00F145C3">
        <w:rPr>
          <w:rStyle w:val="Hyperlink"/>
          <w:rFonts w:ascii="Verdana" w:hAnsi="Verdana"/>
          <w:sz w:val="18"/>
          <w:szCs w:val="18"/>
          <w:lang w:val="el-GR"/>
        </w:rPr>
        <w:t>.</w:t>
      </w:r>
      <w:proofErr w:type="spellStart"/>
      <w:r w:rsidRPr="00F145C3">
        <w:rPr>
          <w:rStyle w:val="Hyperlink"/>
          <w:rFonts w:ascii="Verdana" w:hAnsi="Verdana"/>
          <w:sz w:val="18"/>
          <w:szCs w:val="18"/>
        </w:rPr>
        <w:t>mof</w:t>
      </w:r>
      <w:proofErr w:type="spellEnd"/>
      <w:r w:rsidRPr="00F145C3">
        <w:rPr>
          <w:rStyle w:val="Hyperlink"/>
          <w:rFonts w:ascii="Verdana" w:hAnsi="Verdana"/>
          <w:sz w:val="18"/>
          <w:szCs w:val="18"/>
          <w:lang w:val="el-GR"/>
        </w:rPr>
        <w:t>.</w:t>
      </w:r>
      <w:r w:rsidRPr="00F145C3">
        <w:rPr>
          <w:rStyle w:val="Hyperlink"/>
          <w:rFonts w:ascii="Verdana" w:hAnsi="Verdana"/>
          <w:sz w:val="18"/>
          <w:szCs w:val="18"/>
        </w:rPr>
        <w:t>gov</w:t>
      </w:r>
      <w:r w:rsidRPr="00F145C3">
        <w:rPr>
          <w:rStyle w:val="Hyperlink"/>
          <w:rFonts w:ascii="Verdana" w:hAnsi="Verdana"/>
          <w:sz w:val="18"/>
          <w:szCs w:val="18"/>
          <w:lang w:val="el-GR"/>
        </w:rPr>
        <w:t>.</w:t>
      </w:r>
      <w:r w:rsidRPr="00F145C3">
        <w:rPr>
          <w:rStyle w:val="Hyperlink"/>
          <w:rFonts w:ascii="Verdana" w:hAnsi="Verdana"/>
          <w:sz w:val="18"/>
          <w:szCs w:val="18"/>
        </w:rPr>
        <w:t>cy</w:t>
      </w:r>
    </w:p>
    <w:p w14:paraId="0AA9DF90" w14:textId="6B8DAB11" w:rsidR="00965570" w:rsidRPr="00F145C3" w:rsidRDefault="00965570" w:rsidP="00F145C3">
      <w:pPr>
        <w:jc w:val="both"/>
        <w:rPr>
          <w:rFonts w:ascii="Verdana" w:hAnsi="Verdana"/>
          <w:sz w:val="18"/>
          <w:szCs w:val="18"/>
          <w:lang w:val="el-GR"/>
        </w:rPr>
      </w:pPr>
      <w:r w:rsidRPr="00F145C3">
        <w:rPr>
          <w:rFonts w:ascii="Verdana" w:eastAsia="Malgun Gothic" w:hAnsi="Verdana" w:cs="Arial"/>
          <w:sz w:val="18"/>
          <w:szCs w:val="18"/>
          <w:lang w:val="el-GR"/>
        </w:rPr>
        <w:t xml:space="preserve">Λουκία Μακρή : </w:t>
      </w:r>
      <w:proofErr w:type="spellStart"/>
      <w:r w:rsidRPr="00F145C3">
        <w:rPr>
          <w:rFonts w:ascii="Verdana" w:eastAsia="Malgun Gothic" w:hAnsi="Verdana" w:cs="Arial"/>
          <w:sz w:val="18"/>
          <w:szCs w:val="18"/>
          <w:lang w:val="el-GR"/>
        </w:rPr>
        <w:t>Τηλ</w:t>
      </w:r>
      <w:proofErr w:type="spellEnd"/>
      <w:r w:rsidRPr="00F145C3">
        <w:rPr>
          <w:rFonts w:ascii="Verdana" w:eastAsia="Malgun Gothic" w:hAnsi="Verdana" w:cs="Arial"/>
          <w:sz w:val="18"/>
          <w:szCs w:val="18"/>
          <w:lang w:val="el-GR"/>
        </w:rPr>
        <w:t xml:space="preserve">.: +35722602150, </w:t>
      </w:r>
      <w:proofErr w:type="spellStart"/>
      <w:r w:rsidRPr="00F145C3">
        <w:rPr>
          <w:rFonts w:ascii="Verdana" w:eastAsia="Malgun Gothic" w:hAnsi="Verdana" w:cs="Arial"/>
          <w:sz w:val="18"/>
          <w:szCs w:val="18"/>
          <w:lang w:val="el-GR"/>
        </w:rPr>
        <w:t>Ηλ</w:t>
      </w:r>
      <w:proofErr w:type="spellEnd"/>
      <w:r w:rsidRPr="00F145C3">
        <w:rPr>
          <w:rFonts w:ascii="Verdana" w:eastAsia="Malgun Gothic" w:hAnsi="Verdana" w:cs="Arial"/>
          <w:sz w:val="18"/>
          <w:szCs w:val="18"/>
          <w:lang w:val="el-GR"/>
        </w:rPr>
        <w:t xml:space="preserve">. </w:t>
      </w:r>
      <w:proofErr w:type="spellStart"/>
      <w:r w:rsidRPr="00F145C3">
        <w:rPr>
          <w:rFonts w:ascii="Verdana" w:eastAsia="Malgun Gothic" w:hAnsi="Verdana" w:cs="Arial"/>
          <w:sz w:val="18"/>
          <w:szCs w:val="18"/>
          <w:lang w:val="el-GR"/>
        </w:rPr>
        <w:t>Ταχ</w:t>
      </w:r>
      <w:proofErr w:type="spellEnd"/>
      <w:r w:rsidRPr="00F145C3">
        <w:rPr>
          <w:rFonts w:ascii="Verdana" w:eastAsia="Malgun Gothic" w:hAnsi="Verdana" w:cs="Arial"/>
          <w:sz w:val="18"/>
          <w:szCs w:val="18"/>
          <w:lang w:val="el-GR"/>
        </w:rPr>
        <w:t xml:space="preserve">.: </w:t>
      </w:r>
      <w:hyperlink r:id="rId22" w:history="1">
        <w:r w:rsidR="00107877" w:rsidRPr="00F145C3">
          <w:rPr>
            <w:rStyle w:val="Hyperlink"/>
            <w:rFonts w:ascii="Verdana" w:eastAsia="Malgun Gothic" w:hAnsi="Verdana" w:cs="Arial"/>
            <w:sz w:val="18"/>
            <w:szCs w:val="18"/>
            <w:lang w:val="en-GB"/>
          </w:rPr>
          <w:t>lmakri</w:t>
        </w:r>
        <w:r w:rsidR="00107877" w:rsidRPr="00F145C3">
          <w:rPr>
            <w:rStyle w:val="Hyperlink"/>
            <w:rFonts w:ascii="Verdana" w:hAnsi="Verdana"/>
            <w:sz w:val="18"/>
            <w:szCs w:val="18"/>
            <w:lang w:val="el-GR"/>
          </w:rPr>
          <w:t>@</w:t>
        </w:r>
        <w:r w:rsidR="00107877" w:rsidRPr="00F145C3">
          <w:rPr>
            <w:rStyle w:val="Hyperlink"/>
            <w:rFonts w:ascii="Verdana" w:hAnsi="Verdana"/>
            <w:sz w:val="18"/>
            <w:szCs w:val="18"/>
          </w:rPr>
          <w:t>cystat</w:t>
        </w:r>
        <w:r w:rsidR="00107877" w:rsidRPr="00F145C3">
          <w:rPr>
            <w:rStyle w:val="Hyperlink"/>
            <w:rFonts w:ascii="Verdana" w:hAnsi="Verdana"/>
            <w:sz w:val="18"/>
            <w:szCs w:val="18"/>
            <w:lang w:val="el-GR"/>
          </w:rPr>
          <w:t>.</w:t>
        </w:r>
        <w:r w:rsidR="00107877" w:rsidRPr="00F145C3">
          <w:rPr>
            <w:rStyle w:val="Hyperlink"/>
            <w:rFonts w:ascii="Verdana" w:hAnsi="Verdana"/>
            <w:sz w:val="18"/>
            <w:szCs w:val="18"/>
            <w:lang w:val="en-GB"/>
          </w:rPr>
          <w:t>mof</w:t>
        </w:r>
        <w:r w:rsidR="00107877" w:rsidRPr="00F145C3">
          <w:rPr>
            <w:rStyle w:val="Hyperlink"/>
            <w:rFonts w:ascii="Verdana" w:hAnsi="Verdana"/>
            <w:sz w:val="18"/>
            <w:szCs w:val="18"/>
            <w:lang w:val="el-GR"/>
          </w:rPr>
          <w:t>.</w:t>
        </w:r>
        <w:r w:rsidR="00107877" w:rsidRPr="00F145C3">
          <w:rPr>
            <w:rStyle w:val="Hyperlink"/>
            <w:rFonts w:ascii="Verdana" w:hAnsi="Verdana"/>
            <w:sz w:val="18"/>
            <w:szCs w:val="18"/>
            <w:lang w:val="en-GB"/>
          </w:rPr>
          <w:t>gov</w:t>
        </w:r>
        <w:r w:rsidR="00107877" w:rsidRPr="00F145C3">
          <w:rPr>
            <w:rStyle w:val="Hyperlink"/>
            <w:rFonts w:ascii="Verdana" w:hAnsi="Verdana"/>
            <w:sz w:val="18"/>
            <w:szCs w:val="18"/>
            <w:lang w:val="el-GR"/>
          </w:rPr>
          <w:t>.</w:t>
        </w:r>
        <w:r w:rsidR="00107877" w:rsidRPr="00F145C3">
          <w:rPr>
            <w:rStyle w:val="Hyperlink"/>
            <w:rFonts w:ascii="Verdana" w:hAnsi="Verdana"/>
            <w:sz w:val="18"/>
            <w:szCs w:val="18"/>
            <w:lang w:val="en-GB"/>
          </w:rPr>
          <w:t>cy</w:t>
        </w:r>
      </w:hyperlink>
    </w:p>
    <w:p w14:paraId="00D65A1D" w14:textId="68507435" w:rsidR="001712CF" w:rsidRPr="00F145C3" w:rsidRDefault="00965570" w:rsidP="00F145C3">
      <w:pPr>
        <w:jc w:val="both"/>
        <w:rPr>
          <w:rFonts w:ascii="Verdana" w:hAnsi="Verdana"/>
          <w:sz w:val="18"/>
          <w:szCs w:val="18"/>
          <w:lang w:val="el-GR"/>
        </w:rPr>
      </w:pPr>
      <w:proofErr w:type="spellStart"/>
      <w:r w:rsidRPr="00F145C3">
        <w:rPr>
          <w:rFonts w:ascii="Verdana" w:eastAsia="Malgun Gothic" w:hAnsi="Verdana" w:cs="Arial"/>
          <w:sz w:val="18"/>
          <w:szCs w:val="18"/>
          <w:lang w:val="el-GR"/>
        </w:rPr>
        <w:t>Κούλια</w:t>
      </w:r>
      <w:proofErr w:type="spellEnd"/>
      <w:r w:rsidRPr="00F145C3">
        <w:rPr>
          <w:rFonts w:ascii="Verdana" w:eastAsia="Malgun Gothic" w:hAnsi="Verdana" w:cs="Arial"/>
          <w:sz w:val="18"/>
          <w:szCs w:val="18"/>
          <w:lang w:val="el-GR"/>
        </w:rPr>
        <w:t xml:space="preserve"> </w:t>
      </w:r>
      <w:proofErr w:type="spellStart"/>
      <w:r w:rsidRPr="00F145C3">
        <w:rPr>
          <w:rFonts w:ascii="Verdana" w:eastAsia="Malgun Gothic" w:hAnsi="Verdana" w:cs="Arial"/>
          <w:sz w:val="18"/>
          <w:szCs w:val="18"/>
          <w:lang w:val="el-GR"/>
        </w:rPr>
        <w:t>Ονησιφόρου</w:t>
      </w:r>
      <w:proofErr w:type="spellEnd"/>
      <w:r w:rsidRPr="00F145C3">
        <w:rPr>
          <w:rFonts w:ascii="Verdana" w:eastAsia="Malgun Gothic" w:hAnsi="Verdana" w:cs="Arial"/>
          <w:sz w:val="18"/>
          <w:szCs w:val="18"/>
          <w:lang w:val="el-GR"/>
        </w:rPr>
        <w:t xml:space="preserve"> : </w:t>
      </w:r>
      <w:proofErr w:type="spellStart"/>
      <w:r w:rsidRPr="00F145C3">
        <w:rPr>
          <w:rFonts w:ascii="Verdana" w:eastAsia="Malgun Gothic" w:hAnsi="Verdana" w:cs="Arial"/>
          <w:sz w:val="18"/>
          <w:szCs w:val="18"/>
          <w:lang w:val="el-GR"/>
        </w:rPr>
        <w:t>Τηλ</w:t>
      </w:r>
      <w:proofErr w:type="spellEnd"/>
      <w:r w:rsidRPr="00F145C3">
        <w:rPr>
          <w:rFonts w:ascii="Verdana" w:eastAsia="Malgun Gothic" w:hAnsi="Verdana" w:cs="Arial"/>
          <w:sz w:val="18"/>
          <w:szCs w:val="18"/>
          <w:lang w:val="el-GR"/>
        </w:rPr>
        <w:t xml:space="preserve">.: +35722602139, </w:t>
      </w:r>
      <w:proofErr w:type="spellStart"/>
      <w:r w:rsidRPr="00F145C3">
        <w:rPr>
          <w:rFonts w:ascii="Verdana" w:eastAsia="Malgun Gothic" w:hAnsi="Verdana" w:cs="Arial"/>
          <w:sz w:val="18"/>
          <w:szCs w:val="18"/>
          <w:lang w:val="el-GR"/>
        </w:rPr>
        <w:t>Ηλ</w:t>
      </w:r>
      <w:proofErr w:type="spellEnd"/>
      <w:r w:rsidRPr="00F145C3">
        <w:rPr>
          <w:rFonts w:ascii="Verdana" w:eastAsia="Malgun Gothic" w:hAnsi="Verdana" w:cs="Arial"/>
          <w:sz w:val="18"/>
          <w:szCs w:val="18"/>
          <w:lang w:val="el-GR"/>
        </w:rPr>
        <w:t xml:space="preserve">. </w:t>
      </w:r>
      <w:proofErr w:type="spellStart"/>
      <w:r w:rsidRPr="00F145C3">
        <w:rPr>
          <w:rFonts w:ascii="Verdana" w:eastAsia="Malgun Gothic" w:hAnsi="Verdana" w:cs="Arial"/>
          <w:sz w:val="18"/>
          <w:szCs w:val="18"/>
          <w:lang w:val="el-GR"/>
        </w:rPr>
        <w:t>Ταχ</w:t>
      </w:r>
      <w:proofErr w:type="spellEnd"/>
      <w:r w:rsidRPr="00F145C3">
        <w:rPr>
          <w:rFonts w:ascii="Verdana" w:eastAsia="Malgun Gothic" w:hAnsi="Verdana" w:cs="Arial"/>
          <w:sz w:val="18"/>
          <w:szCs w:val="18"/>
          <w:lang w:val="el-GR"/>
        </w:rPr>
        <w:t xml:space="preserve">.: </w:t>
      </w:r>
      <w:hyperlink r:id="rId23" w:history="1">
        <w:r w:rsidR="00107877" w:rsidRPr="00F145C3">
          <w:rPr>
            <w:rStyle w:val="Hyperlink"/>
            <w:rFonts w:ascii="Verdana" w:eastAsia="Malgun Gothic" w:hAnsi="Verdana" w:cs="Arial"/>
            <w:sz w:val="18"/>
            <w:szCs w:val="18"/>
            <w:lang w:val="en-GB"/>
          </w:rPr>
          <w:t>konisiforou</w:t>
        </w:r>
        <w:r w:rsidR="00107877" w:rsidRPr="00F145C3">
          <w:rPr>
            <w:rStyle w:val="Hyperlink"/>
            <w:rFonts w:ascii="Verdana" w:hAnsi="Verdana"/>
            <w:sz w:val="18"/>
            <w:szCs w:val="18"/>
            <w:lang w:val="el-GR"/>
          </w:rPr>
          <w:t>@</w:t>
        </w:r>
        <w:r w:rsidR="00107877" w:rsidRPr="00F145C3">
          <w:rPr>
            <w:rStyle w:val="Hyperlink"/>
            <w:rFonts w:ascii="Verdana" w:hAnsi="Verdana"/>
            <w:sz w:val="18"/>
            <w:szCs w:val="18"/>
            <w:lang w:val="en-GB"/>
          </w:rPr>
          <w:t>cystat</w:t>
        </w:r>
        <w:r w:rsidR="00107877" w:rsidRPr="00F145C3">
          <w:rPr>
            <w:rStyle w:val="Hyperlink"/>
            <w:rFonts w:ascii="Verdana" w:hAnsi="Verdana"/>
            <w:sz w:val="18"/>
            <w:szCs w:val="18"/>
            <w:lang w:val="el-GR"/>
          </w:rPr>
          <w:t>.</w:t>
        </w:r>
        <w:r w:rsidR="00107877" w:rsidRPr="00F145C3">
          <w:rPr>
            <w:rStyle w:val="Hyperlink"/>
            <w:rFonts w:ascii="Verdana" w:hAnsi="Verdana"/>
            <w:sz w:val="18"/>
            <w:szCs w:val="18"/>
            <w:lang w:val="en-GB"/>
          </w:rPr>
          <w:t>mof</w:t>
        </w:r>
        <w:r w:rsidR="00107877" w:rsidRPr="00F145C3">
          <w:rPr>
            <w:rStyle w:val="Hyperlink"/>
            <w:rFonts w:ascii="Verdana" w:hAnsi="Verdana"/>
            <w:sz w:val="18"/>
            <w:szCs w:val="18"/>
            <w:lang w:val="el-GR"/>
          </w:rPr>
          <w:t>.</w:t>
        </w:r>
        <w:r w:rsidR="00107877" w:rsidRPr="00F145C3">
          <w:rPr>
            <w:rStyle w:val="Hyperlink"/>
            <w:rFonts w:ascii="Verdana" w:hAnsi="Verdana"/>
            <w:sz w:val="18"/>
            <w:szCs w:val="18"/>
            <w:lang w:val="en-GB"/>
          </w:rPr>
          <w:t>gov</w:t>
        </w:r>
        <w:r w:rsidR="00107877" w:rsidRPr="00F145C3">
          <w:rPr>
            <w:rStyle w:val="Hyperlink"/>
            <w:rFonts w:ascii="Verdana" w:hAnsi="Verdana"/>
            <w:sz w:val="18"/>
            <w:szCs w:val="18"/>
            <w:lang w:val="el-GR"/>
          </w:rPr>
          <w:t>.</w:t>
        </w:r>
        <w:r w:rsidR="00107877" w:rsidRPr="00F145C3">
          <w:rPr>
            <w:rStyle w:val="Hyperlink"/>
            <w:rFonts w:ascii="Verdana" w:hAnsi="Verdana"/>
            <w:sz w:val="18"/>
            <w:szCs w:val="18"/>
            <w:lang w:val="en-GB"/>
          </w:rPr>
          <w:t>cy</w:t>
        </w:r>
      </w:hyperlink>
    </w:p>
    <w:p w14:paraId="61ABDC81" w14:textId="77777777" w:rsidR="00107877" w:rsidRPr="00107877" w:rsidRDefault="00107877" w:rsidP="00F145C3">
      <w:pPr>
        <w:jc w:val="both"/>
        <w:rPr>
          <w:rFonts w:ascii="Verdana" w:hAnsi="Verdana" w:cs="Arial"/>
          <w:sz w:val="18"/>
          <w:szCs w:val="18"/>
          <w:lang w:val="el-GR"/>
        </w:rPr>
      </w:pPr>
    </w:p>
    <w:sectPr w:rsidR="00107877" w:rsidRPr="00107877" w:rsidSect="007E1AED">
      <w:headerReference w:type="default" r:id="rId24"/>
      <w:footerReference w:type="default" r:id="rId25"/>
      <w:headerReference w:type="first" r:id="rId26"/>
      <w:footerReference w:type="first" r:id="rId27"/>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1E54A" w14:textId="77777777" w:rsidR="009C69DA" w:rsidRDefault="009C69DA" w:rsidP="00FB398F">
      <w:r>
        <w:separator/>
      </w:r>
    </w:p>
  </w:endnote>
  <w:endnote w:type="continuationSeparator" w:id="0">
    <w:p w14:paraId="2EF98CF1" w14:textId="77777777" w:rsidR="009C69DA" w:rsidRDefault="009C69D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2A76678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CE4925">
      <w:rPr>
        <w:rFonts w:ascii="Arial" w:hAnsi="Arial" w:cs="Arial"/>
        <w:i/>
        <w:iCs/>
        <w:sz w:val="16"/>
        <w:szCs w:val="16"/>
        <w:lang w:val="el-GR"/>
      </w:rPr>
      <w:t xml:space="preserve">.:  22 602129, </w:t>
    </w:r>
    <w:r w:rsidRPr="00233FBF">
      <w:rPr>
        <w:rFonts w:ascii="Arial" w:hAnsi="Arial" w:cs="Arial"/>
        <w:i/>
        <w:iCs/>
        <w:sz w:val="16"/>
        <w:szCs w:val="16"/>
        <w:lang w:val="de-DE"/>
      </w:rPr>
      <w:t xml:space="preserve">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3D70F" w14:textId="77777777" w:rsidR="009C69DA" w:rsidRDefault="009C69DA" w:rsidP="00FB398F">
      <w:r>
        <w:separator/>
      </w:r>
    </w:p>
  </w:footnote>
  <w:footnote w:type="continuationSeparator" w:id="0">
    <w:p w14:paraId="4142140E" w14:textId="77777777" w:rsidR="009C69DA" w:rsidRDefault="009C69D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4971A953" w:rsidR="004E4F42" w:rsidRDefault="006B3B04"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sidRPr="00B96284">
      <w:rPr>
        <w:noProof/>
      </w:rPr>
      <w:drawing>
        <wp:anchor distT="0" distB="0" distL="114300" distR="114300" simplePos="0" relativeHeight="251661312" behindDoc="1" locked="0" layoutInCell="1" allowOverlap="1" wp14:anchorId="094BECC3" wp14:editId="79EC613B">
          <wp:simplePos x="0" y="0"/>
          <wp:positionH relativeFrom="column">
            <wp:posOffset>3191786</wp:posOffset>
          </wp:positionH>
          <wp:positionV relativeFrom="paragraph">
            <wp:posOffset>86995</wp:posOffset>
          </wp:positionV>
          <wp:extent cx="1276350" cy="100965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12CF">
      <w:rPr>
        <w:rFonts w:ascii="Arial" w:hAnsi="Arial" w:cs="Arial"/>
        <w:bCs/>
        <w:noProof/>
        <w:sz w:val="18"/>
        <w:szCs w:val="18"/>
      </w:rPr>
      <w:drawing>
        <wp:anchor distT="0" distB="0" distL="114300" distR="114300" simplePos="0" relativeHeight="251656192" behindDoc="0" locked="0" layoutInCell="1" allowOverlap="1" wp14:anchorId="3290AC8A" wp14:editId="05A3BE9D">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607B8" w14:textId="673A58E5" w:rsidR="004E4F42" w:rsidRDefault="006B3B04" w:rsidP="000932CF">
    <w:pPr>
      <w:pStyle w:val="Header"/>
      <w:tabs>
        <w:tab w:val="clear" w:pos="4153"/>
        <w:tab w:val="clear" w:pos="8306"/>
        <w:tab w:val="center" w:pos="1620"/>
        <w:tab w:val="left" w:pos="6315"/>
      </w:tabs>
      <w:spacing w:line="360" w:lineRule="auto"/>
      <w:rPr>
        <w:rFonts w:ascii="Arial" w:hAnsi="Arial" w:cs="Arial"/>
        <w:bCs/>
        <w:sz w:val="18"/>
        <w:szCs w:val="18"/>
      </w:rPr>
    </w:pPr>
    <w:r w:rsidRPr="00B96284">
      <w:rPr>
        <w:noProof/>
      </w:rPr>
      <w:drawing>
        <wp:anchor distT="0" distB="0" distL="114300" distR="114300" simplePos="0" relativeHeight="251662336" behindDoc="1" locked="0" layoutInCell="1" allowOverlap="1" wp14:anchorId="0C428F49" wp14:editId="451FE725">
          <wp:simplePos x="0" y="0"/>
          <wp:positionH relativeFrom="column">
            <wp:posOffset>4631138</wp:posOffset>
          </wp:positionH>
          <wp:positionV relativeFrom="paragraph">
            <wp:posOffset>9718</wp:posOffset>
          </wp:positionV>
          <wp:extent cx="1095375" cy="790575"/>
          <wp:effectExtent l="0" t="0" r="9525" b="9525"/>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F42">
      <w:rPr>
        <w:rFonts w:ascii="Arial" w:hAnsi="Arial" w:cs="Arial"/>
        <w:bCs/>
        <w:sz w:val="18"/>
        <w:szCs w:val="18"/>
      </w:rPr>
      <w:tab/>
    </w:r>
  </w:p>
  <w:p w14:paraId="3A7322B1" w14:textId="07F5E883"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5EC60A90"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1B719D53"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2780D2DD">
              <wp:simplePos x="0" y="0"/>
              <wp:positionH relativeFrom="margin">
                <wp:align>right</wp:align>
              </wp:positionH>
              <wp:positionV relativeFrom="paragraph">
                <wp:posOffset>101710</wp:posOffset>
              </wp:positionV>
              <wp:extent cx="1758343"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43"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35A09" id="_x0000_t202" coordsize="21600,21600" o:spt="202" path="m,l,21600r21600,l21600,xe">
              <v:stroke joinstyle="miter"/>
              <v:path gradientshapeok="t" o:connecttype="rect"/>
            </v:shapetype>
            <v:shape id="Text Box 16" o:spid="_x0000_s1026" type="#_x0000_t202" style="position:absolute;margin-left:87.25pt;margin-top:8pt;width:138.45pt;height:3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w10:wrap anchorx="margin"/>
            </v:shape>
          </w:pict>
        </mc:Fallback>
      </mc:AlternateContent>
    </w:r>
  </w:p>
  <w:p w14:paraId="788C084B" w14:textId="38E50DF8"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33F547B5"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5C9E53EB"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434"/>
        </w:tabs>
        <w:ind w:left="414" w:hanging="340"/>
      </w:pPr>
      <w:rPr>
        <w:rFonts w:ascii="Wingdings" w:hAnsi="Wingdings" w:hint="default"/>
        <w:sz w:val="16"/>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45137"/>
    <w:multiLevelType w:val="hybridMultilevel"/>
    <w:tmpl w:val="E46E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3056DD"/>
    <w:multiLevelType w:val="hybridMultilevel"/>
    <w:tmpl w:val="530C7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2F50A3"/>
    <w:multiLevelType w:val="hybridMultilevel"/>
    <w:tmpl w:val="697C5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7685F4A"/>
    <w:multiLevelType w:val="hybridMultilevel"/>
    <w:tmpl w:val="D8DE5E5C"/>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450CE"/>
    <w:multiLevelType w:val="hybridMultilevel"/>
    <w:tmpl w:val="7A1E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71B83"/>
    <w:multiLevelType w:val="hybridMultilevel"/>
    <w:tmpl w:val="560C8650"/>
    <w:lvl w:ilvl="0" w:tplc="4C98BB9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9554438">
    <w:abstractNumId w:val="7"/>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8"/>
  </w:num>
  <w:num w:numId="7" w16cid:durableId="919943222">
    <w:abstractNumId w:val="4"/>
  </w:num>
  <w:num w:numId="8" w16cid:durableId="941959603">
    <w:abstractNumId w:val="9"/>
  </w:num>
  <w:num w:numId="9" w16cid:durableId="54865397">
    <w:abstractNumId w:val="5"/>
  </w:num>
  <w:num w:numId="10" w16cid:durableId="1189639067">
    <w:abstractNumId w:val="6"/>
  </w:num>
  <w:num w:numId="11" w16cid:durableId="1607808395">
    <w:abstractNumId w:val="10"/>
  </w:num>
  <w:num w:numId="12" w16cid:durableId="15051268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A8D"/>
    <w:rsid w:val="00002458"/>
    <w:rsid w:val="0000249F"/>
    <w:rsid w:val="00002E1E"/>
    <w:rsid w:val="0000339C"/>
    <w:rsid w:val="0000542E"/>
    <w:rsid w:val="00007670"/>
    <w:rsid w:val="00012718"/>
    <w:rsid w:val="000139EA"/>
    <w:rsid w:val="00013E40"/>
    <w:rsid w:val="000150CE"/>
    <w:rsid w:val="000161B1"/>
    <w:rsid w:val="000247AA"/>
    <w:rsid w:val="00025A39"/>
    <w:rsid w:val="00027853"/>
    <w:rsid w:val="000303A5"/>
    <w:rsid w:val="00030E18"/>
    <w:rsid w:val="00031D32"/>
    <w:rsid w:val="00034D5C"/>
    <w:rsid w:val="0003603D"/>
    <w:rsid w:val="00036550"/>
    <w:rsid w:val="00036E5F"/>
    <w:rsid w:val="0003799B"/>
    <w:rsid w:val="00045088"/>
    <w:rsid w:val="000454FD"/>
    <w:rsid w:val="00045A06"/>
    <w:rsid w:val="00050391"/>
    <w:rsid w:val="000511CA"/>
    <w:rsid w:val="00055291"/>
    <w:rsid w:val="000563D3"/>
    <w:rsid w:val="00057E44"/>
    <w:rsid w:val="00061299"/>
    <w:rsid w:val="00065C50"/>
    <w:rsid w:val="000662F9"/>
    <w:rsid w:val="00067DEC"/>
    <w:rsid w:val="00070576"/>
    <w:rsid w:val="00073A7B"/>
    <w:rsid w:val="000752BB"/>
    <w:rsid w:val="00081ADF"/>
    <w:rsid w:val="00084A02"/>
    <w:rsid w:val="00084BF7"/>
    <w:rsid w:val="000870E9"/>
    <w:rsid w:val="000911F9"/>
    <w:rsid w:val="000919A0"/>
    <w:rsid w:val="000932CF"/>
    <w:rsid w:val="00096ED8"/>
    <w:rsid w:val="0009782C"/>
    <w:rsid w:val="000A08A3"/>
    <w:rsid w:val="000A1A88"/>
    <w:rsid w:val="000A271F"/>
    <w:rsid w:val="000A2B5C"/>
    <w:rsid w:val="000A3601"/>
    <w:rsid w:val="000A6FA8"/>
    <w:rsid w:val="000B08CE"/>
    <w:rsid w:val="000B1F41"/>
    <w:rsid w:val="000B29D5"/>
    <w:rsid w:val="000C1070"/>
    <w:rsid w:val="000C2113"/>
    <w:rsid w:val="000C404F"/>
    <w:rsid w:val="000C4E72"/>
    <w:rsid w:val="000D059A"/>
    <w:rsid w:val="000D1E7A"/>
    <w:rsid w:val="000D4155"/>
    <w:rsid w:val="000E24B1"/>
    <w:rsid w:val="000E2735"/>
    <w:rsid w:val="000E32D6"/>
    <w:rsid w:val="000E4CB0"/>
    <w:rsid w:val="000E57F2"/>
    <w:rsid w:val="000E72A7"/>
    <w:rsid w:val="000E7C27"/>
    <w:rsid w:val="000F1162"/>
    <w:rsid w:val="000F3467"/>
    <w:rsid w:val="000F38DE"/>
    <w:rsid w:val="000F4CB2"/>
    <w:rsid w:val="000F532A"/>
    <w:rsid w:val="000F5D6C"/>
    <w:rsid w:val="000F743A"/>
    <w:rsid w:val="00102642"/>
    <w:rsid w:val="00106532"/>
    <w:rsid w:val="00106852"/>
    <w:rsid w:val="00107877"/>
    <w:rsid w:val="00110F9D"/>
    <w:rsid w:val="00114A67"/>
    <w:rsid w:val="0011703F"/>
    <w:rsid w:val="00117666"/>
    <w:rsid w:val="001203C9"/>
    <w:rsid w:val="00120BAE"/>
    <w:rsid w:val="001253B6"/>
    <w:rsid w:val="001262C3"/>
    <w:rsid w:val="00126F41"/>
    <w:rsid w:val="00127320"/>
    <w:rsid w:val="00127456"/>
    <w:rsid w:val="001312D8"/>
    <w:rsid w:val="0013137B"/>
    <w:rsid w:val="00133D8E"/>
    <w:rsid w:val="0014142D"/>
    <w:rsid w:val="0015118B"/>
    <w:rsid w:val="001519CE"/>
    <w:rsid w:val="00156D3E"/>
    <w:rsid w:val="00161CF3"/>
    <w:rsid w:val="00162C00"/>
    <w:rsid w:val="00163081"/>
    <w:rsid w:val="001639EF"/>
    <w:rsid w:val="0016589F"/>
    <w:rsid w:val="001712CF"/>
    <w:rsid w:val="0017171F"/>
    <w:rsid w:val="0017769A"/>
    <w:rsid w:val="00183DFC"/>
    <w:rsid w:val="00184384"/>
    <w:rsid w:val="00186717"/>
    <w:rsid w:val="00187FFC"/>
    <w:rsid w:val="0019203F"/>
    <w:rsid w:val="0019391C"/>
    <w:rsid w:val="001945AE"/>
    <w:rsid w:val="00196350"/>
    <w:rsid w:val="00197B43"/>
    <w:rsid w:val="001A1618"/>
    <w:rsid w:val="001A2018"/>
    <w:rsid w:val="001A2207"/>
    <w:rsid w:val="001A328F"/>
    <w:rsid w:val="001B2C39"/>
    <w:rsid w:val="001B3675"/>
    <w:rsid w:val="001B5E10"/>
    <w:rsid w:val="001B6AB3"/>
    <w:rsid w:val="001B71A6"/>
    <w:rsid w:val="001B723F"/>
    <w:rsid w:val="001B73D5"/>
    <w:rsid w:val="001B75A6"/>
    <w:rsid w:val="001C0681"/>
    <w:rsid w:val="001C0F54"/>
    <w:rsid w:val="001C2B07"/>
    <w:rsid w:val="001C3D4A"/>
    <w:rsid w:val="001C4658"/>
    <w:rsid w:val="001C62B3"/>
    <w:rsid w:val="001C7C8C"/>
    <w:rsid w:val="001D0D6A"/>
    <w:rsid w:val="001D0F28"/>
    <w:rsid w:val="001D20A4"/>
    <w:rsid w:val="001D76CC"/>
    <w:rsid w:val="001D7F6E"/>
    <w:rsid w:val="001E00D1"/>
    <w:rsid w:val="001E0E58"/>
    <w:rsid w:val="001E14F3"/>
    <w:rsid w:val="001E15ED"/>
    <w:rsid w:val="001E61AA"/>
    <w:rsid w:val="00201CB6"/>
    <w:rsid w:val="0020297F"/>
    <w:rsid w:val="00202DF1"/>
    <w:rsid w:val="0020309E"/>
    <w:rsid w:val="00204C29"/>
    <w:rsid w:val="00210B58"/>
    <w:rsid w:val="00214F2F"/>
    <w:rsid w:val="00215AB1"/>
    <w:rsid w:val="00221795"/>
    <w:rsid w:val="00222423"/>
    <w:rsid w:val="00225ADC"/>
    <w:rsid w:val="00225B28"/>
    <w:rsid w:val="00226891"/>
    <w:rsid w:val="00230D9B"/>
    <w:rsid w:val="002313AC"/>
    <w:rsid w:val="0023543F"/>
    <w:rsid w:val="002355FB"/>
    <w:rsid w:val="00235FB2"/>
    <w:rsid w:val="00237BC1"/>
    <w:rsid w:val="00237E11"/>
    <w:rsid w:val="002430B4"/>
    <w:rsid w:val="002447D0"/>
    <w:rsid w:val="002454C5"/>
    <w:rsid w:val="00245E19"/>
    <w:rsid w:val="00246AEB"/>
    <w:rsid w:val="00246E16"/>
    <w:rsid w:val="00250005"/>
    <w:rsid w:val="0025254F"/>
    <w:rsid w:val="0025566D"/>
    <w:rsid w:val="0025595C"/>
    <w:rsid w:val="0025660E"/>
    <w:rsid w:val="00257149"/>
    <w:rsid w:val="002576E7"/>
    <w:rsid w:val="00260357"/>
    <w:rsid w:val="00264F04"/>
    <w:rsid w:val="00267554"/>
    <w:rsid w:val="00271E48"/>
    <w:rsid w:val="0027781F"/>
    <w:rsid w:val="00281DA8"/>
    <w:rsid w:val="0028338F"/>
    <w:rsid w:val="002876FC"/>
    <w:rsid w:val="002915C4"/>
    <w:rsid w:val="00297E6B"/>
    <w:rsid w:val="002A1D1C"/>
    <w:rsid w:val="002A214B"/>
    <w:rsid w:val="002A4D64"/>
    <w:rsid w:val="002B4969"/>
    <w:rsid w:val="002B6554"/>
    <w:rsid w:val="002C3241"/>
    <w:rsid w:val="002C4641"/>
    <w:rsid w:val="002C76A1"/>
    <w:rsid w:val="002C7949"/>
    <w:rsid w:val="002D05F0"/>
    <w:rsid w:val="002D0C95"/>
    <w:rsid w:val="002D2829"/>
    <w:rsid w:val="002D7D4A"/>
    <w:rsid w:val="002E14DD"/>
    <w:rsid w:val="002E2363"/>
    <w:rsid w:val="002E3846"/>
    <w:rsid w:val="002E3F78"/>
    <w:rsid w:val="002E4D3C"/>
    <w:rsid w:val="002E7B0D"/>
    <w:rsid w:val="002F07A5"/>
    <w:rsid w:val="002F39F5"/>
    <w:rsid w:val="002F400C"/>
    <w:rsid w:val="002F4D76"/>
    <w:rsid w:val="002F6D26"/>
    <w:rsid w:val="0030198D"/>
    <w:rsid w:val="0030231E"/>
    <w:rsid w:val="003040FC"/>
    <w:rsid w:val="003042C4"/>
    <w:rsid w:val="00304CB4"/>
    <w:rsid w:val="00313F37"/>
    <w:rsid w:val="003141D0"/>
    <w:rsid w:val="003168C1"/>
    <w:rsid w:val="0032286C"/>
    <w:rsid w:val="00322FBE"/>
    <w:rsid w:val="00325632"/>
    <w:rsid w:val="00327549"/>
    <w:rsid w:val="00331140"/>
    <w:rsid w:val="0033333E"/>
    <w:rsid w:val="003342A5"/>
    <w:rsid w:val="00334616"/>
    <w:rsid w:val="00336C36"/>
    <w:rsid w:val="003373E3"/>
    <w:rsid w:val="00343815"/>
    <w:rsid w:val="00343CEB"/>
    <w:rsid w:val="00350FC8"/>
    <w:rsid w:val="003522BB"/>
    <w:rsid w:val="00352910"/>
    <w:rsid w:val="00352F6C"/>
    <w:rsid w:val="003535AE"/>
    <w:rsid w:val="003556EA"/>
    <w:rsid w:val="0036337C"/>
    <w:rsid w:val="00365CEE"/>
    <w:rsid w:val="00367CD3"/>
    <w:rsid w:val="00372BEC"/>
    <w:rsid w:val="00373582"/>
    <w:rsid w:val="00385509"/>
    <w:rsid w:val="00386FC7"/>
    <w:rsid w:val="00390A32"/>
    <w:rsid w:val="00393273"/>
    <w:rsid w:val="003A08E0"/>
    <w:rsid w:val="003A1E91"/>
    <w:rsid w:val="003A2C83"/>
    <w:rsid w:val="003A40F2"/>
    <w:rsid w:val="003A50D1"/>
    <w:rsid w:val="003A64E6"/>
    <w:rsid w:val="003A7B36"/>
    <w:rsid w:val="003B196D"/>
    <w:rsid w:val="003B2710"/>
    <w:rsid w:val="003B2F6F"/>
    <w:rsid w:val="003B4608"/>
    <w:rsid w:val="003B76F7"/>
    <w:rsid w:val="003C2392"/>
    <w:rsid w:val="003C5174"/>
    <w:rsid w:val="003C5240"/>
    <w:rsid w:val="003C76E6"/>
    <w:rsid w:val="003D02B9"/>
    <w:rsid w:val="003D14E0"/>
    <w:rsid w:val="003D1EA5"/>
    <w:rsid w:val="003D3348"/>
    <w:rsid w:val="003D3F28"/>
    <w:rsid w:val="003D4E63"/>
    <w:rsid w:val="003D6822"/>
    <w:rsid w:val="003D724C"/>
    <w:rsid w:val="003E0CE2"/>
    <w:rsid w:val="003E2510"/>
    <w:rsid w:val="003F2851"/>
    <w:rsid w:val="003F2D40"/>
    <w:rsid w:val="003F49E4"/>
    <w:rsid w:val="003F4D2F"/>
    <w:rsid w:val="003F5E32"/>
    <w:rsid w:val="003F6CEB"/>
    <w:rsid w:val="003F75F6"/>
    <w:rsid w:val="00404670"/>
    <w:rsid w:val="004110EC"/>
    <w:rsid w:val="00414CA0"/>
    <w:rsid w:val="00422F54"/>
    <w:rsid w:val="0042410A"/>
    <w:rsid w:val="00431516"/>
    <w:rsid w:val="004355BA"/>
    <w:rsid w:val="004361B3"/>
    <w:rsid w:val="00437DB3"/>
    <w:rsid w:val="0044249D"/>
    <w:rsid w:val="00442883"/>
    <w:rsid w:val="0044379F"/>
    <w:rsid w:val="00444FCC"/>
    <w:rsid w:val="00446B9E"/>
    <w:rsid w:val="00446FB1"/>
    <w:rsid w:val="00452753"/>
    <w:rsid w:val="00457B0F"/>
    <w:rsid w:val="00457E6F"/>
    <w:rsid w:val="00460284"/>
    <w:rsid w:val="0046078F"/>
    <w:rsid w:val="00462726"/>
    <w:rsid w:val="00463214"/>
    <w:rsid w:val="00463FE1"/>
    <w:rsid w:val="0046434D"/>
    <w:rsid w:val="004656FA"/>
    <w:rsid w:val="00466F1F"/>
    <w:rsid w:val="00467E87"/>
    <w:rsid w:val="00471D77"/>
    <w:rsid w:val="0047300C"/>
    <w:rsid w:val="00474B7D"/>
    <w:rsid w:val="00475587"/>
    <w:rsid w:val="00476BD2"/>
    <w:rsid w:val="00477AA4"/>
    <w:rsid w:val="00480BC2"/>
    <w:rsid w:val="00482719"/>
    <w:rsid w:val="004845C3"/>
    <w:rsid w:val="00486BDE"/>
    <w:rsid w:val="00490653"/>
    <w:rsid w:val="004929C2"/>
    <w:rsid w:val="00493FDD"/>
    <w:rsid w:val="0049586B"/>
    <w:rsid w:val="00497BE0"/>
    <w:rsid w:val="004A2E14"/>
    <w:rsid w:val="004A3E44"/>
    <w:rsid w:val="004A5E15"/>
    <w:rsid w:val="004A7A5A"/>
    <w:rsid w:val="004B2018"/>
    <w:rsid w:val="004B2896"/>
    <w:rsid w:val="004B38E9"/>
    <w:rsid w:val="004B3FBA"/>
    <w:rsid w:val="004B6599"/>
    <w:rsid w:val="004B6FC0"/>
    <w:rsid w:val="004B77D5"/>
    <w:rsid w:val="004C458B"/>
    <w:rsid w:val="004C6CA7"/>
    <w:rsid w:val="004D0B14"/>
    <w:rsid w:val="004D4357"/>
    <w:rsid w:val="004D4950"/>
    <w:rsid w:val="004D4A9D"/>
    <w:rsid w:val="004D7E93"/>
    <w:rsid w:val="004E2393"/>
    <w:rsid w:val="004E3745"/>
    <w:rsid w:val="004E42BE"/>
    <w:rsid w:val="004E47F2"/>
    <w:rsid w:val="004E4F42"/>
    <w:rsid w:val="004E63D5"/>
    <w:rsid w:val="004F03FD"/>
    <w:rsid w:val="004F13AF"/>
    <w:rsid w:val="004F52F0"/>
    <w:rsid w:val="004F6250"/>
    <w:rsid w:val="004F677C"/>
    <w:rsid w:val="004F6824"/>
    <w:rsid w:val="004F6B1C"/>
    <w:rsid w:val="004F6D8F"/>
    <w:rsid w:val="00500C9E"/>
    <w:rsid w:val="00505503"/>
    <w:rsid w:val="0051107B"/>
    <w:rsid w:val="00512F9C"/>
    <w:rsid w:val="00515B7F"/>
    <w:rsid w:val="00522541"/>
    <w:rsid w:val="00527CDB"/>
    <w:rsid w:val="00534000"/>
    <w:rsid w:val="005341C9"/>
    <w:rsid w:val="0053489F"/>
    <w:rsid w:val="005369CA"/>
    <w:rsid w:val="00536DE9"/>
    <w:rsid w:val="00536E09"/>
    <w:rsid w:val="00541E08"/>
    <w:rsid w:val="0055092A"/>
    <w:rsid w:val="00553463"/>
    <w:rsid w:val="00554FE0"/>
    <w:rsid w:val="0055789A"/>
    <w:rsid w:val="0055797C"/>
    <w:rsid w:val="00560952"/>
    <w:rsid w:val="005652D1"/>
    <w:rsid w:val="00565E11"/>
    <w:rsid w:val="005660A0"/>
    <w:rsid w:val="00566A4F"/>
    <w:rsid w:val="00567D64"/>
    <w:rsid w:val="00571B0F"/>
    <w:rsid w:val="00582D93"/>
    <w:rsid w:val="00583F04"/>
    <w:rsid w:val="005862C7"/>
    <w:rsid w:val="005866D2"/>
    <w:rsid w:val="005978D4"/>
    <w:rsid w:val="005A23FA"/>
    <w:rsid w:val="005B03E9"/>
    <w:rsid w:val="005B2A67"/>
    <w:rsid w:val="005B3DCD"/>
    <w:rsid w:val="005B4AD4"/>
    <w:rsid w:val="005B777B"/>
    <w:rsid w:val="005C013A"/>
    <w:rsid w:val="005C0D36"/>
    <w:rsid w:val="005C277B"/>
    <w:rsid w:val="005C2798"/>
    <w:rsid w:val="005C36C3"/>
    <w:rsid w:val="005C38DF"/>
    <w:rsid w:val="005C56EE"/>
    <w:rsid w:val="005C74A5"/>
    <w:rsid w:val="005C798D"/>
    <w:rsid w:val="005D1714"/>
    <w:rsid w:val="005D5F09"/>
    <w:rsid w:val="005D7638"/>
    <w:rsid w:val="005E003B"/>
    <w:rsid w:val="005E08C6"/>
    <w:rsid w:val="005E144A"/>
    <w:rsid w:val="005E2391"/>
    <w:rsid w:val="005E4DE9"/>
    <w:rsid w:val="005F12F5"/>
    <w:rsid w:val="005F1305"/>
    <w:rsid w:val="005F2A12"/>
    <w:rsid w:val="005F7C7D"/>
    <w:rsid w:val="00600C03"/>
    <w:rsid w:val="00601D86"/>
    <w:rsid w:val="00603B81"/>
    <w:rsid w:val="006044B7"/>
    <w:rsid w:val="006047CA"/>
    <w:rsid w:val="006071CE"/>
    <w:rsid w:val="006075B5"/>
    <w:rsid w:val="0061018C"/>
    <w:rsid w:val="0061094E"/>
    <w:rsid w:val="00611F22"/>
    <w:rsid w:val="00613440"/>
    <w:rsid w:val="00613BE3"/>
    <w:rsid w:val="006200A6"/>
    <w:rsid w:val="0062327B"/>
    <w:rsid w:val="00626C0B"/>
    <w:rsid w:val="0063233A"/>
    <w:rsid w:val="00632777"/>
    <w:rsid w:val="00633750"/>
    <w:rsid w:val="00634491"/>
    <w:rsid w:val="0063679C"/>
    <w:rsid w:val="00637055"/>
    <w:rsid w:val="00640D8F"/>
    <w:rsid w:val="00641679"/>
    <w:rsid w:val="00641D59"/>
    <w:rsid w:val="00644507"/>
    <w:rsid w:val="00646880"/>
    <w:rsid w:val="00647D2A"/>
    <w:rsid w:val="00650B8D"/>
    <w:rsid w:val="006537BB"/>
    <w:rsid w:val="0065643E"/>
    <w:rsid w:val="00662C47"/>
    <w:rsid w:val="00664BE6"/>
    <w:rsid w:val="00667E07"/>
    <w:rsid w:val="00671785"/>
    <w:rsid w:val="00672729"/>
    <w:rsid w:val="00672BA9"/>
    <w:rsid w:val="00673005"/>
    <w:rsid w:val="00673142"/>
    <w:rsid w:val="00674671"/>
    <w:rsid w:val="006760C5"/>
    <w:rsid w:val="006766D7"/>
    <w:rsid w:val="00677B81"/>
    <w:rsid w:val="006804BE"/>
    <w:rsid w:val="006838D2"/>
    <w:rsid w:val="0068434A"/>
    <w:rsid w:val="0069008E"/>
    <w:rsid w:val="0069087E"/>
    <w:rsid w:val="006925C4"/>
    <w:rsid w:val="006A02B7"/>
    <w:rsid w:val="006A0CD3"/>
    <w:rsid w:val="006A14B9"/>
    <w:rsid w:val="006A479A"/>
    <w:rsid w:val="006A7019"/>
    <w:rsid w:val="006B225D"/>
    <w:rsid w:val="006B22D9"/>
    <w:rsid w:val="006B287B"/>
    <w:rsid w:val="006B3B04"/>
    <w:rsid w:val="006B46D5"/>
    <w:rsid w:val="006B46F4"/>
    <w:rsid w:val="006B6D4F"/>
    <w:rsid w:val="006C3A12"/>
    <w:rsid w:val="006C416D"/>
    <w:rsid w:val="006C7AF3"/>
    <w:rsid w:val="006D0B9D"/>
    <w:rsid w:val="006D23F5"/>
    <w:rsid w:val="006D6548"/>
    <w:rsid w:val="006E0E20"/>
    <w:rsid w:val="006E0FE7"/>
    <w:rsid w:val="006E4256"/>
    <w:rsid w:val="006E43C9"/>
    <w:rsid w:val="006E4BBA"/>
    <w:rsid w:val="006E5F43"/>
    <w:rsid w:val="006E60A6"/>
    <w:rsid w:val="006E6246"/>
    <w:rsid w:val="006E7F4E"/>
    <w:rsid w:val="006F0F69"/>
    <w:rsid w:val="006F116B"/>
    <w:rsid w:val="006F117F"/>
    <w:rsid w:val="006F13DF"/>
    <w:rsid w:val="006F23B3"/>
    <w:rsid w:val="006F2780"/>
    <w:rsid w:val="006F341F"/>
    <w:rsid w:val="00700AD2"/>
    <w:rsid w:val="00702F26"/>
    <w:rsid w:val="0070313E"/>
    <w:rsid w:val="007034F3"/>
    <w:rsid w:val="00703799"/>
    <w:rsid w:val="0070393A"/>
    <w:rsid w:val="00705C5C"/>
    <w:rsid w:val="00706659"/>
    <w:rsid w:val="00706714"/>
    <w:rsid w:val="007072D3"/>
    <w:rsid w:val="00711475"/>
    <w:rsid w:val="00715F50"/>
    <w:rsid w:val="00723D89"/>
    <w:rsid w:val="00724DCE"/>
    <w:rsid w:val="0072548A"/>
    <w:rsid w:val="007277A6"/>
    <w:rsid w:val="00727C46"/>
    <w:rsid w:val="00727D61"/>
    <w:rsid w:val="007300AD"/>
    <w:rsid w:val="00737403"/>
    <w:rsid w:val="007437AB"/>
    <w:rsid w:val="00745425"/>
    <w:rsid w:val="007534F8"/>
    <w:rsid w:val="007545AD"/>
    <w:rsid w:val="00761E3A"/>
    <w:rsid w:val="00762C3B"/>
    <w:rsid w:val="00763722"/>
    <w:rsid w:val="00764BC1"/>
    <w:rsid w:val="007667E8"/>
    <w:rsid w:val="00770869"/>
    <w:rsid w:val="007738AA"/>
    <w:rsid w:val="00780298"/>
    <w:rsid w:val="00780A62"/>
    <w:rsid w:val="007823CD"/>
    <w:rsid w:val="00782BFF"/>
    <w:rsid w:val="00783241"/>
    <w:rsid w:val="00783F65"/>
    <w:rsid w:val="00784BDC"/>
    <w:rsid w:val="00791067"/>
    <w:rsid w:val="00792F28"/>
    <w:rsid w:val="007935CA"/>
    <w:rsid w:val="0079543F"/>
    <w:rsid w:val="00795880"/>
    <w:rsid w:val="00796EEB"/>
    <w:rsid w:val="007A3036"/>
    <w:rsid w:val="007A4152"/>
    <w:rsid w:val="007A4367"/>
    <w:rsid w:val="007A4A92"/>
    <w:rsid w:val="007A594C"/>
    <w:rsid w:val="007A7089"/>
    <w:rsid w:val="007B0867"/>
    <w:rsid w:val="007B1AC1"/>
    <w:rsid w:val="007B1AC9"/>
    <w:rsid w:val="007B2E88"/>
    <w:rsid w:val="007B5A08"/>
    <w:rsid w:val="007B693D"/>
    <w:rsid w:val="007B7140"/>
    <w:rsid w:val="007C1385"/>
    <w:rsid w:val="007C252E"/>
    <w:rsid w:val="007C2B93"/>
    <w:rsid w:val="007C2C41"/>
    <w:rsid w:val="007C4CDC"/>
    <w:rsid w:val="007D2C90"/>
    <w:rsid w:val="007D5891"/>
    <w:rsid w:val="007D7A09"/>
    <w:rsid w:val="007E041B"/>
    <w:rsid w:val="007E199A"/>
    <w:rsid w:val="007E1AED"/>
    <w:rsid w:val="007E2415"/>
    <w:rsid w:val="007E39F3"/>
    <w:rsid w:val="007E405E"/>
    <w:rsid w:val="007E68F4"/>
    <w:rsid w:val="007E6DE2"/>
    <w:rsid w:val="007F1970"/>
    <w:rsid w:val="007F31BA"/>
    <w:rsid w:val="007F4078"/>
    <w:rsid w:val="007F4A4A"/>
    <w:rsid w:val="007F7943"/>
    <w:rsid w:val="0080014B"/>
    <w:rsid w:val="008004B2"/>
    <w:rsid w:val="00801793"/>
    <w:rsid w:val="00802ED3"/>
    <w:rsid w:val="00803503"/>
    <w:rsid w:val="00803642"/>
    <w:rsid w:val="008045E1"/>
    <w:rsid w:val="008059A4"/>
    <w:rsid w:val="00806EA2"/>
    <w:rsid w:val="00810E4B"/>
    <w:rsid w:val="00812A2B"/>
    <w:rsid w:val="00814A4C"/>
    <w:rsid w:val="00831AAB"/>
    <w:rsid w:val="00833BCD"/>
    <w:rsid w:val="00834B82"/>
    <w:rsid w:val="0083574E"/>
    <w:rsid w:val="0083591F"/>
    <w:rsid w:val="0083640C"/>
    <w:rsid w:val="008374E3"/>
    <w:rsid w:val="0084081A"/>
    <w:rsid w:val="0084157B"/>
    <w:rsid w:val="00842490"/>
    <w:rsid w:val="00842BFB"/>
    <w:rsid w:val="00845BBA"/>
    <w:rsid w:val="00846B85"/>
    <w:rsid w:val="00847DC3"/>
    <w:rsid w:val="00847F49"/>
    <w:rsid w:val="008535C5"/>
    <w:rsid w:val="00853765"/>
    <w:rsid w:val="0085516F"/>
    <w:rsid w:val="00860A46"/>
    <w:rsid w:val="00867186"/>
    <w:rsid w:val="00870AF6"/>
    <w:rsid w:val="00877452"/>
    <w:rsid w:val="00881268"/>
    <w:rsid w:val="0088394A"/>
    <w:rsid w:val="008860BD"/>
    <w:rsid w:val="00887399"/>
    <w:rsid w:val="0088779E"/>
    <w:rsid w:val="008912AF"/>
    <w:rsid w:val="00892114"/>
    <w:rsid w:val="0089224C"/>
    <w:rsid w:val="00892CB9"/>
    <w:rsid w:val="008935CB"/>
    <w:rsid w:val="00896C4A"/>
    <w:rsid w:val="008A0285"/>
    <w:rsid w:val="008A0668"/>
    <w:rsid w:val="008A12B5"/>
    <w:rsid w:val="008B0E7E"/>
    <w:rsid w:val="008B65BD"/>
    <w:rsid w:val="008B7900"/>
    <w:rsid w:val="008C6681"/>
    <w:rsid w:val="008C71BF"/>
    <w:rsid w:val="008C7FE0"/>
    <w:rsid w:val="008D217D"/>
    <w:rsid w:val="008D334F"/>
    <w:rsid w:val="008D5717"/>
    <w:rsid w:val="008D634B"/>
    <w:rsid w:val="008E0A42"/>
    <w:rsid w:val="008E223D"/>
    <w:rsid w:val="008E37E6"/>
    <w:rsid w:val="008E44A9"/>
    <w:rsid w:val="008E6B4D"/>
    <w:rsid w:val="008E6BFF"/>
    <w:rsid w:val="008F21AF"/>
    <w:rsid w:val="008F2400"/>
    <w:rsid w:val="008F61BA"/>
    <w:rsid w:val="008F6E3C"/>
    <w:rsid w:val="008F7C55"/>
    <w:rsid w:val="00901B78"/>
    <w:rsid w:val="00901E47"/>
    <w:rsid w:val="00904B9A"/>
    <w:rsid w:val="009054D5"/>
    <w:rsid w:val="009057D3"/>
    <w:rsid w:val="0090710E"/>
    <w:rsid w:val="00907F84"/>
    <w:rsid w:val="00911D2F"/>
    <w:rsid w:val="00914A23"/>
    <w:rsid w:val="00920119"/>
    <w:rsid w:val="00923B08"/>
    <w:rsid w:val="00927879"/>
    <w:rsid w:val="00930754"/>
    <w:rsid w:val="00931A39"/>
    <w:rsid w:val="00934F68"/>
    <w:rsid w:val="009355AC"/>
    <w:rsid w:val="00935F38"/>
    <w:rsid w:val="00937586"/>
    <w:rsid w:val="00937CEA"/>
    <w:rsid w:val="00942F94"/>
    <w:rsid w:val="00947889"/>
    <w:rsid w:val="009478BD"/>
    <w:rsid w:val="00960E98"/>
    <w:rsid w:val="00963A82"/>
    <w:rsid w:val="00965570"/>
    <w:rsid w:val="00972912"/>
    <w:rsid w:val="00972DE8"/>
    <w:rsid w:val="00973BFC"/>
    <w:rsid w:val="00974737"/>
    <w:rsid w:val="00975B8A"/>
    <w:rsid w:val="00976D1F"/>
    <w:rsid w:val="00977876"/>
    <w:rsid w:val="00981C81"/>
    <w:rsid w:val="00983FDF"/>
    <w:rsid w:val="009916E7"/>
    <w:rsid w:val="00993DCA"/>
    <w:rsid w:val="009A1546"/>
    <w:rsid w:val="009A2D24"/>
    <w:rsid w:val="009A2EBD"/>
    <w:rsid w:val="009A456C"/>
    <w:rsid w:val="009B00E0"/>
    <w:rsid w:val="009B1F57"/>
    <w:rsid w:val="009B292A"/>
    <w:rsid w:val="009B2CE4"/>
    <w:rsid w:val="009B76D5"/>
    <w:rsid w:val="009C165D"/>
    <w:rsid w:val="009C3CEA"/>
    <w:rsid w:val="009C3ECD"/>
    <w:rsid w:val="009C583D"/>
    <w:rsid w:val="009C69DA"/>
    <w:rsid w:val="009D2611"/>
    <w:rsid w:val="009D5372"/>
    <w:rsid w:val="009D694F"/>
    <w:rsid w:val="009D79D2"/>
    <w:rsid w:val="009E247C"/>
    <w:rsid w:val="009E31BA"/>
    <w:rsid w:val="009E4155"/>
    <w:rsid w:val="009E7DED"/>
    <w:rsid w:val="009F0528"/>
    <w:rsid w:val="009F0806"/>
    <w:rsid w:val="009F233B"/>
    <w:rsid w:val="009F3D3E"/>
    <w:rsid w:val="00A00F37"/>
    <w:rsid w:val="00A05D16"/>
    <w:rsid w:val="00A0659F"/>
    <w:rsid w:val="00A079BA"/>
    <w:rsid w:val="00A14E8C"/>
    <w:rsid w:val="00A17724"/>
    <w:rsid w:val="00A20C70"/>
    <w:rsid w:val="00A2239D"/>
    <w:rsid w:val="00A309D8"/>
    <w:rsid w:val="00A33227"/>
    <w:rsid w:val="00A33486"/>
    <w:rsid w:val="00A33875"/>
    <w:rsid w:val="00A360A1"/>
    <w:rsid w:val="00A402B3"/>
    <w:rsid w:val="00A407BD"/>
    <w:rsid w:val="00A46AB2"/>
    <w:rsid w:val="00A544B7"/>
    <w:rsid w:val="00A56D88"/>
    <w:rsid w:val="00A6102D"/>
    <w:rsid w:val="00A618CF"/>
    <w:rsid w:val="00A61F5C"/>
    <w:rsid w:val="00A62770"/>
    <w:rsid w:val="00A62EEB"/>
    <w:rsid w:val="00A65858"/>
    <w:rsid w:val="00A660FF"/>
    <w:rsid w:val="00A73395"/>
    <w:rsid w:val="00A771E3"/>
    <w:rsid w:val="00A8277A"/>
    <w:rsid w:val="00A82B4C"/>
    <w:rsid w:val="00A84F0E"/>
    <w:rsid w:val="00A91D55"/>
    <w:rsid w:val="00A93A4C"/>
    <w:rsid w:val="00A94D5D"/>
    <w:rsid w:val="00A94F3B"/>
    <w:rsid w:val="00AA1D9B"/>
    <w:rsid w:val="00AA253F"/>
    <w:rsid w:val="00AA2543"/>
    <w:rsid w:val="00AA3804"/>
    <w:rsid w:val="00AA55C2"/>
    <w:rsid w:val="00AA74DD"/>
    <w:rsid w:val="00AB0ACA"/>
    <w:rsid w:val="00AB1202"/>
    <w:rsid w:val="00AB1D41"/>
    <w:rsid w:val="00AC0683"/>
    <w:rsid w:val="00AC28B3"/>
    <w:rsid w:val="00AC32BD"/>
    <w:rsid w:val="00AC5E9A"/>
    <w:rsid w:val="00AC704B"/>
    <w:rsid w:val="00AD553E"/>
    <w:rsid w:val="00AD561B"/>
    <w:rsid w:val="00AD5848"/>
    <w:rsid w:val="00AD5DFE"/>
    <w:rsid w:val="00AD7ECB"/>
    <w:rsid w:val="00AE1513"/>
    <w:rsid w:val="00AE2588"/>
    <w:rsid w:val="00AE5ADA"/>
    <w:rsid w:val="00AF6145"/>
    <w:rsid w:val="00AF650B"/>
    <w:rsid w:val="00AF789D"/>
    <w:rsid w:val="00B0035F"/>
    <w:rsid w:val="00B01386"/>
    <w:rsid w:val="00B01915"/>
    <w:rsid w:val="00B01BB5"/>
    <w:rsid w:val="00B026CC"/>
    <w:rsid w:val="00B04AF4"/>
    <w:rsid w:val="00B051D1"/>
    <w:rsid w:val="00B05214"/>
    <w:rsid w:val="00B06314"/>
    <w:rsid w:val="00B07021"/>
    <w:rsid w:val="00B12C9A"/>
    <w:rsid w:val="00B1605A"/>
    <w:rsid w:val="00B212AD"/>
    <w:rsid w:val="00B21BA8"/>
    <w:rsid w:val="00B25240"/>
    <w:rsid w:val="00B30D97"/>
    <w:rsid w:val="00B31074"/>
    <w:rsid w:val="00B3181A"/>
    <w:rsid w:val="00B32774"/>
    <w:rsid w:val="00B35A7C"/>
    <w:rsid w:val="00B3719B"/>
    <w:rsid w:val="00B40066"/>
    <w:rsid w:val="00B44ECD"/>
    <w:rsid w:val="00B450D1"/>
    <w:rsid w:val="00B45EB9"/>
    <w:rsid w:val="00B50533"/>
    <w:rsid w:val="00B51346"/>
    <w:rsid w:val="00B5279B"/>
    <w:rsid w:val="00B53D47"/>
    <w:rsid w:val="00B54761"/>
    <w:rsid w:val="00B54A25"/>
    <w:rsid w:val="00B618C3"/>
    <w:rsid w:val="00B63652"/>
    <w:rsid w:val="00B6393C"/>
    <w:rsid w:val="00B645EE"/>
    <w:rsid w:val="00B668B0"/>
    <w:rsid w:val="00B70F5C"/>
    <w:rsid w:val="00B71873"/>
    <w:rsid w:val="00B7324B"/>
    <w:rsid w:val="00B75AE5"/>
    <w:rsid w:val="00B800C0"/>
    <w:rsid w:val="00B81253"/>
    <w:rsid w:val="00B8132B"/>
    <w:rsid w:val="00B81EF5"/>
    <w:rsid w:val="00B8269E"/>
    <w:rsid w:val="00B84C5A"/>
    <w:rsid w:val="00B858F5"/>
    <w:rsid w:val="00B905EB"/>
    <w:rsid w:val="00B93668"/>
    <w:rsid w:val="00BA06A0"/>
    <w:rsid w:val="00BA1636"/>
    <w:rsid w:val="00BA2283"/>
    <w:rsid w:val="00BA39EB"/>
    <w:rsid w:val="00BA68C6"/>
    <w:rsid w:val="00BA7E86"/>
    <w:rsid w:val="00BB12F1"/>
    <w:rsid w:val="00BB276E"/>
    <w:rsid w:val="00BB3FEE"/>
    <w:rsid w:val="00BB5EB0"/>
    <w:rsid w:val="00BB7EB3"/>
    <w:rsid w:val="00BC245A"/>
    <w:rsid w:val="00BC6FE0"/>
    <w:rsid w:val="00BD16FA"/>
    <w:rsid w:val="00BD1C8F"/>
    <w:rsid w:val="00BD41C3"/>
    <w:rsid w:val="00BD488B"/>
    <w:rsid w:val="00BD7CCC"/>
    <w:rsid w:val="00BE002A"/>
    <w:rsid w:val="00BE0283"/>
    <w:rsid w:val="00BE1BC9"/>
    <w:rsid w:val="00BE295C"/>
    <w:rsid w:val="00BE5CDA"/>
    <w:rsid w:val="00BE608F"/>
    <w:rsid w:val="00BF01B9"/>
    <w:rsid w:val="00BF23BB"/>
    <w:rsid w:val="00BF276D"/>
    <w:rsid w:val="00BF33DD"/>
    <w:rsid w:val="00BF3865"/>
    <w:rsid w:val="00BF5755"/>
    <w:rsid w:val="00BF684B"/>
    <w:rsid w:val="00C00650"/>
    <w:rsid w:val="00C016F3"/>
    <w:rsid w:val="00C024A3"/>
    <w:rsid w:val="00C15193"/>
    <w:rsid w:val="00C15609"/>
    <w:rsid w:val="00C15F6A"/>
    <w:rsid w:val="00C1679A"/>
    <w:rsid w:val="00C217B3"/>
    <w:rsid w:val="00C23EA7"/>
    <w:rsid w:val="00C256F3"/>
    <w:rsid w:val="00C2648E"/>
    <w:rsid w:val="00C270A2"/>
    <w:rsid w:val="00C315B5"/>
    <w:rsid w:val="00C35E28"/>
    <w:rsid w:val="00C37740"/>
    <w:rsid w:val="00C426AF"/>
    <w:rsid w:val="00C44138"/>
    <w:rsid w:val="00C469C1"/>
    <w:rsid w:val="00C46E88"/>
    <w:rsid w:val="00C50659"/>
    <w:rsid w:val="00C51B39"/>
    <w:rsid w:val="00C5338A"/>
    <w:rsid w:val="00C54EF9"/>
    <w:rsid w:val="00C558C8"/>
    <w:rsid w:val="00C56BBF"/>
    <w:rsid w:val="00C572AA"/>
    <w:rsid w:val="00C57A9A"/>
    <w:rsid w:val="00C6016A"/>
    <w:rsid w:val="00C60737"/>
    <w:rsid w:val="00C60B3F"/>
    <w:rsid w:val="00C623EB"/>
    <w:rsid w:val="00C647C7"/>
    <w:rsid w:val="00C64C6B"/>
    <w:rsid w:val="00C65925"/>
    <w:rsid w:val="00C66F2E"/>
    <w:rsid w:val="00C6785C"/>
    <w:rsid w:val="00C70FD1"/>
    <w:rsid w:val="00C710FB"/>
    <w:rsid w:val="00C72B76"/>
    <w:rsid w:val="00C733AA"/>
    <w:rsid w:val="00C7352A"/>
    <w:rsid w:val="00C763E8"/>
    <w:rsid w:val="00C83027"/>
    <w:rsid w:val="00C84B8A"/>
    <w:rsid w:val="00C85E65"/>
    <w:rsid w:val="00C86849"/>
    <w:rsid w:val="00C87CA1"/>
    <w:rsid w:val="00C906F8"/>
    <w:rsid w:val="00C90809"/>
    <w:rsid w:val="00C911B4"/>
    <w:rsid w:val="00C91B3B"/>
    <w:rsid w:val="00C94262"/>
    <w:rsid w:val="00C976E1"/>
    <w:rsid w:val="00CA04BC"/>
    <w:rsid w:val="00CA148E"/>
    <w:rsid w:val="00CA3A9A"/>
    <w:rsid w:val="00CB20B8"/>
    <w:rsid w:val="00CB349E"/>
    <w:rsid w:val="00CB6BC1"/>
    <w:rsid w:val="00CB7021"/>
    <w:rsid w:val="00CC46B2"/>
    <w:rsid w:val="00CD13AA"/>
    <w:rsid w:val="00CD1FC4"/>
    <w:rsid w:val="00CD3294"/>
    <w:rsid w:val="00CD4524"/>
    <w:rsid w:val="00CD5675"/>
    <w:rsid w:val="00CD784D"/>
    <w:rsid w:val="00CE4925"/>
    <w:rsid w:val="00CE73E0"/>
    <w:rsid w:val="00CF1D3C"/>
    <w:rsid w:val="00CF3A1C"/>
    <w:rsid w:val="00CF3D50"/>
    <w:rsid w:val="00CF40F8"/>
    <w:rsid w:val="00CF4D7F"/>
    <w:rsid w:val="00CF7244"/>
    <w:rsid w:val="00D008DA"/>
    <w:rsid w:val="00D012EC"/>
    <w:rsid w:val="00D0416F"/>
    <w:rsid w:val="00D05851"/>
    <w:rsid w:val="00D05DC5"/>
    <w:rsid w:val="00D10FED"/>
    <w:rsid w:val="00D11316"/>
    <w:rsid w:val="00D11736"/>
    <w:rsid w:val="00D123FA"/>
    <w:rsid w:val="00D12EE8"/>
    <w:rsid w:val="00D14CDF"/>
    <w:rsid w:val="00D15FF1"/>
    <w:rsid w:val="00D167F4"/>
    <w:rsid w:val="00D2092A"/>
    <w:rsid w:val="00D2216D"/>
    <w:rsid w:val="00D24585"/>
    <w:rsid w:val="00D31A6F"/>
    <w:rsid w:val="00D33707"/>
    <w:rsid w:val="00D353D1"/>
    <w:rsid w:val="00D367DB"/>
    <w:rsid w:val="00D36E05"/>
    <w:rsid w:val="00D44A2A"/>
    <w:rsid w:val="00D44F27"/>
    <w:rsid w:val="00D45304"/>
    <w:rsid w:val="00D45A30"/>
    <w:rsid w:val="00D46165"/>
    <w:rsid w:val="00D461C7"/>
    <w:rsid w:val="00D50424"/>
    <w:rsid w:val="00D525C9"/>
    <w:rsid w:val="00D54A40"/>
    <w:rsid w:val="00D55E63"/>
    <w:rsid w:val="00D5742D"/>
    <w:rsid w:val="00D57D3E"/>
    <w:rsid w:val="00D700BB"/>
    <w:rsid w:val="00D76249"/>
    <w:rsid w:val="00D76439"/>
    <w:rsid w:val="00D7735A"/>
    <w:rsid w:val="00D80A44"/>
    <w:rsid w:val="00D82031"/>
    <w:rsid w:val="00D8534D"/>
    <w:rsid w:val="00D869E8"/>
    <w:rsid w:val="00D9037C"/>
    <w:rsid w:val="00D9376C"/>
    <w:rsid w:val="00D945E6"/>
    <w:rsid w:val="00DA0950"/>
    <w:rsid w:val="00DA41CB"/>
    <w:rsid w:val="00DA5F6F"/>
    <w:rsid w:val="00DA7D12"/>
    <w:rsid w:val="00DB0834"/>
    <w:rsid w:val="00DB1E90"/>
    <w:rsid w:val="00DB7722"/>
    <w:rsid w:val="00DC23CF"/>
    <w:rsid w:val="00DC3CEA"/>
    <w:rsid w:val="00DC6562"/>
    <w:rsid w:val="00DD342F"/>
    <w:rsid w:val="00DE0350"/>
    <w:rsid w:val="00DE07F9"/>
    <w:rsid w:val="00DE130D"/>
    <w:rsid w:val="00DE24CF"/>
    <w:rsid w:val="00DE3844"/>
    <w:rsid w:val="00DE407C"/>
    <w:rsid w:val="00DE78D3"/>
    <w:rsid w:val="00DE7C7D"/>
    <w:rsid w:val="00DF2017"/>
    <w:rsid w:val="00DF2992"/>
    <w:rsid w:val="00DF2D0C"/>
    <w:rsid w:val="00DF58D4"/>
    <w:rsid w:val="00DF6883"/>
    <w:rsid w:val="00E00058"/>
    <w:rsid w:val="00E01B9D"/>
    <w:rsid w:val="00E024C5"/>
    <w:rsid w:val="00E0468F"/>
    <w:rsid w:val="00E04A77"/>
    <w:rsid w:val="00E04F5E"/>
    <w:rsid w:val="00E0522E"/>
    <w:rsid w:val="00E064F2"/>
    <w:rsid w:val="00E10A1E"/>
    <w:rsid w:val="00E120F4"/>
    <w:rsid w:val="00E130C8"/>
    <w:rsid w:val="00E13730"/>
    <w:rsid w:val="00E17172"/>
    <w:rsid w:val="00E23482"/>
    <w:rsid w:val="00E24A10"/>
    <w:rsid w:val="00E3181C"/>
    <w:rsid w:val="00E3280A"/>
    <w:rsid w:val="00E372AF"/>
    <w:rsid w:val="00E37D68"/>
    <w:rsid w:val="00E40587"/>
    <w:rsid w:val="00E40EAE"/>
    <w:rsid w:val="00E42078"/>
    <w:rsid w:val="00E428AE"/>
    <w:rsid w:val="00E436AC"/>
    <w:rsid w:val="00E44F7A"/>
    <w:rsid w:val="00E44FF8"/>
    <w:rsid w:val="00E5066A"/>
    <w:rsid w:val="00E52CF9"/>
    <w:rsid w:val="00E56883"/>
    <w:rsid w:val="00E60147"/>
    <w:rsid w:val="00E63F34"/>
    <w:rsid w:val="00E63F6C"/>
    <w:rsid w:val="00E63FEA"/>
    <w:rsid w:val="00E666C4"/>
    <w:rsid w:val="00E6715A"/>
    <w:rsid w:val="00E701CF"/>
    <w:rsid w:val="00E70422"/>
    <w:rsid w:val="00E713A3"/>
    <w:rsid w:val="00E75DC9"/>
    <w:rsid w:val="00E76205"/>
    <w:rsid w:val="00E81610"/>
    <w:rsid w:val="00E84910"/>
    <w:rsid w:val="00E85247"/>
    <w:rsid w:val="00E85B28"/>
    <w:rsid w:val="00E91976"/>
    <w:rsid w:val="00E947A6"/>
    <w:rsid w:val="00E94972"/>
    <w:rsid w:val="00E96447"/>
    <w:rsid w:val="00E97FC7"/>
    <w:rsid w:val="00EA0690"/>
    <w:rsid w:val="00EA3956"/>
    <w:rsid w:val="00EA3A42"/>
    <w:rsid w:val="00EA7136"/>
    <w:rsid w:val="00EB325A"/>
    <w:rsid w:val="00EC02A5"/>
    <w:rsid w:val="00EC176B"/>
    <w:rsid w:val="00EC33CD"/>
    <w:rsid w:val="00EC532F"/>
    <w:rsid w:val="00EC5BE5"/>
    <w:rsid w:val="00ED2650"/>
    <w:rsid w:val="00ED6336"/>
    <w:rsid w:val="00ED721A"/>
    <w:rsid w:val="00EE21A4"/>
    <w:rsid w:val="00EE32A7"/>
    <w:rsid w:val="00EE393D"/>
    <w:rsid w:val="00EF01CF"/>
    <w:rsid w:val="00EF5546"/>
    <w:rsid w:val="00EF6A47"/>
    <w:rsid w:val="00EF7AF9"/>
    <w:rsid w:val="00F00952"/>
    <w:rsid w:val="00F01495"/>
    <w:rsid w:val="00F06077"/>
    <w:rsid w:val="00F07025"/>
    <w:rsid w:val="00F10138"/>
    <w:rsid w:val="00F12D04"/>
    <w:rsid w:val="00F13F92"/>
    <w:rsid w:val="00F145C3"/>
    <w:rsid w:val="00F21F76"/>
    <w:rsid w:val="00F22ECA"/>
    <w:rsid w:val="00F23D12"/>
    <w:rsid w:val="00F240E8"/>
    <w:rsid w:val="00F244FA"/>
    <w:rsid w:val="00F261FC"/>
    <w:rsid w:val="00F3331A"/>
    <w:rsid w:val="00F34F29"/>
    <w:rsid w:val="00F366A2"/>
    <w:rsid w:val="00F4060C"/>
    <w:rsid w:val="00F445ED"/>
    <w:rsid w:val="00F44F43"/>
    <w:rsid w:val="00F450E1"/>
    <w:rsid w:val="00F5080E"/>
    <w:rsid w:val="00F50DF4"/>
    <w:rsid w:val="00F51B53"/>
    <w:rsid w:val="00F57AFE"/>
    <w:rsid w:val="00F6041D"/>
    <w:rsid w:val="00F6278E"/>
    <w:rsid w:val="00F63C41"/>
    <w:rsid w:val="00F63E42"/>
    <w:rsid w:val="00F63E96"/>
    <w:rsid w:val="00F701E3"/>
    <w:rsid w:val="00F71008"/>
    <w:rsid w:val="00F71F8C"/>
    <w:rsid w:val="00F735F3"/>
    <w:rsid w:val="00F77258"/>
    <w:rsid w:val="00F86AD4"/>
    <w:rsid w:val="00F875C7"/>
    <w:rsid w:val="00F97BEA"/>
    <w:rsid w:val="00FA0113"/>
    <w:rsid w:val="00FA12B2"/>
    <w:rsid w:val="00FA7610"/>
    <w:rsid w:val="00FB02BD"/>
    <w:rsid w:val="00FB398F"/>
    <w:rsid w:val="00FB3A1B"/>
    <w:rsid w:val="00FB4EF8"/>
    <w:rsid w:val="00FB54AE"/>
    <w:rsid w:val="00FB709A"/>
    <w:rsid w:val="00FB78DD"/>
    <w:rsid w:val="00FC3EF3"/>
    <w:rsid w:val="00FC5D35"/>
    <w:rsid w:val="00FD2049"/>
    <w:rsid w:val="00FD2140"/>
    <w:rsid w:val="00FD5B5F"/>
    <w:rsid w:val="00FD5BDE"/>
    <w:rsid w:val="00FD63A1"/>
    <w:rsid w:val="00FD68EC"/>
    <w:rsid w:val="00FD79F9"/>
    <w:rsid w:val="00FE24A5"/>
    <w:rsid w:val="00FE31E5"/>
    <w:rsid w:val="00FE549F"/>
    <w:rsid w:val="00FE64F8"/>
    <w:rsid w:val="00FF0AD9"/>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E90"/>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UnresolvedMention">
    <w:name w:val="Unresolved Mention"/>
    <w:uiPriority w:val="99"/>
    <w:semiHidden/>
    <w:unhideWhenUsed/>
    <w:rsid w:val="00E428AE"/>
    <w:rPr>
      <w:color w:val="605E5C"/>
      <w:shd w:val="clear" w:color="auto" w:fill="E1DFDD"/>
    </w:rPr>
  </w:style>
  <w:style w:type="character" w:styleId="FollowedHyperlink">
    <w:name w:val="FollowedHyperlink"/>
    <w:uiPriority w:val="99"/>
    <w:semiHidden/>
    <w:unhideWhenUsed/>
    <w:rsid w:val="00E428AE"/>
    <w:rPr>
      <w:color w:val="954F72"/>
      <w:u w:val="single"/>
    </w:rPr>
  </w:style>
  <w:style w:type="character" w:styleId="Strong">
    <w:name w:val="Strong"/>
    <w:uiPriority w:val="22"/>
    <w:qFormat/>
    <w:rsid w:val="00E428AE"/>
    <w:rPr>
      <w:b/>
      <w:bCs/>
    </w:rPr>
  </w:style>
  <w:style w:type="paragraph" w:styleId="Revision">
    <w:name w:val="Revision"/>
    <w:hidden/>
    <w:uiPriority w:val="99"/>
    <w:semiHidden/>
    <w:rsid w:val="0084249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4457">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44249733">
      <w:bodyDiv w:val="1"/>
      <w:marLeft w:val="0"/>
      <w:marRight w:val="0"/>
      <w:marTop w:val="0"/>
      <w:marBottom w:val="0"/>
      <w:divBdr>
        <w:top w:val="none" w:sz="0" w:space="0" w:color="auto"/>
        <w:left w:val="none" w:sz="0" w:space="0" w:color="auto"/>
        <w:bottom w:val="none" w:sz="0" w:space="0" w:color="auto"/>
        <w:right w:val="none" w:sz="0" w:space="0" w:color="auto"/>
      </w:divBdr>
    </w:div>
    <w:div w:id="243345465">
      <w:bodyDiv w:val="1"/>
      <w:marLeft w:val="0"/>
      <w:marRight w:val="0"/>
      <w:marTop w:val="0"/>
      <w:marBottom w:val="0"/>
      <w:divBdr>
        <w:top w:val="none" w:sz="0" w:space="0" w:color="auto"/>
        <w:left w:val="none" w:sz="0" w:space="0" w:color="auto"/>
        <w:bottom w:val="none" w:sz="0" w:space="0" w:color="auto"/>
        <w:right w:val="none" w:sz="0" w:space="0" w:color="auto"/>
      </w:divBdr>
    </w:div>
    <w:div w:id="392003222">
      <w:bodyDiv w:val="1"/>
      <w:marLeft w:val="0"/>
      <w:marRight w:val="0"/>
      <w:marTop w:val="0"/>
      <w:marBottom w:val="0"/>
      <w:divBdr>
        <w:top w:val="none" w:sz="0" w:space="0" w:color="auto"/>
        <w:left w:val="none" w:sz="0" w:space="0" w:color="auto"/>
        <w:bottom w:val="none" w:sz="0" w:space="0" w:color="auto"/>
        <w:right w:val="none" w:sz="0" w:space="0" w:color="auto"/>
      </w:divBdr>
    </w:div>
    <w:div w:id="42292216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38009461">
      <w:bodyDiv w:val="1"/>
      <w:marLeft w:val="0"/>
      <w:marRight w:val="0"/>
      <w:marTop w:val="0"/>
      <w:marBottom w:val="0"/>
      <w:divBdr>
        <w:top w:val="none" w:sz="0" w:space="0" w:color="auto"/>
        <w:left w:val="none" w:sz="0" w:space="0" w:color="auto"/>
        <w:bottom w:val="none" w:sz="0" w:space="0" w:color="auto"/>
        <w:right w:val="none" w:sz="0" w:space="0" w:color="auto"/>
      </w:divBdr>
    </w:div>
    <w:div w:id="585844588">
      <w:bodyDiv w:val="1"/>
      <w:marLeft w:val="0"/>
      <w:marRight w:val="0"/>
      <w:marTop w:val="0"/>
      <w:marBottom w:val="0"/>
      <w:divBdr>
        <w:top w:val="none" w:sz="0" w:space="0" w:color="auto"/>
        <w:left w:val="none" w:sz="0" w:space="0" w:color="auto"/>
        <w:bottom w:val="none" w:sz="0" w:space="0" w:color="auto"/>
        <w:right w:val="none" w:sz="0" w:space="0" w:color="auto"/>
      </w:divBdr>
    </w:div>
    <w:div w:id="628903727">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37366222">
      <w:bodyDiv w:val="1"/>
      <w:marLeft w:val="0"/>
      <w:marRight w:val="0"/>
      <w:marTop w:val="0"/>
      <w:marBottom w:val="0"/>
      <w:divBdr>
        <w:top w:val="none" w:sz="0" w:space="0" w:color="auto"/>
        <w:left w:val="none" w:sz="0" w:space="0" w:color="auto"/>
        <w:bottom w:val="none" w:sz="0" w:space="0" w:color="auto"/>
        <w:right w:val="none" w:sz="0" w:space="0" w:color="auto"/>
      </w:divBdr>
    </w:div>
    <w:div w:id="86895753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10180229">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57977258">
      <w:bodyDiv w:val="1"/>
      <w:marLeft w:val="0"/>
      <w:marRight w:val="0"/>
      <w:marTop w:val="0"/>
      <w:marBottom w:val="0"/>
      <w:divBdr>
        <w:top w:val="none" w:sz="0" w:space="0" w:color="auto"/>
        <w:left w:val="none" w:sz="0" w:space="0" w:color="auto"/>
        <w:bottom w:val="none" w:sz="0" w:space="0" w:color="auto"/>
        <w:right w:val="none" w:sz="0" w:space="0" w:color="auto"/>
      </w:divBdr>
    </w:div>
    <w:div w:id="1263565884">
      <w:bodyDiv w:val="1"/>
      <w:marLeft w:val="0"/>
      <w:marRight w:val="0"/>
      <w:marTop w:val="0"/>
      <w:marBottom w:val="0"/>
      <w:divBdr>
        <w:top w:val="none" w:sz="0" w:space="0" w:color="auto"/>
        <w:left w:val="none" w:sz="0" w:space="0" w:color="auto"/>
        <w:bottom w:val="none" w:sz="0" w:space="0" w:color="auto"/>
        <w:right w:val="none" w:sz="0" w:space="0" w:color="auto"/>
      </w:divBdr>
    </w:div>
    <w:div w:id="1265919364">
      <w:bodyDiv w:val="1"/>
      <w:marLeft w:val="0"/>
      <w:marRight w:val="0"/>
      <w:marTop w:val="0"/>
      <w:marBottom w:val="0"/>
      <w:divBdr>
        <w:top w:val="none" w:sz="0" w:space="0" w:color="auto"/>
        <w:left w:val="none" w:sz="0" w:space="0" w:color="auto"/>
        <w:bottom w:val="none" w:sz="0" w:space="0" w:color="auto"/>
        <w:right w:val="none" w:sz="0" w:space="0" w:color="auto"/>
      </w:divBdr>
    </w:div>
    <w:div w:id="146534553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cystat.gov.cy/el/SubthemeStatistics?id=4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ystat.gov.cy/el/MethodologicalDetails?m=2313"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cystatdb20.cystat.gov.cy/cystatd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mailto:konisiforou@cystat.mof.gov.cy"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cystatdb.cystat.gov.cy/pxweb/el/8.CYSTAT-DB/8.CYSTAT-DB__Population__6.Population%20Census__"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lmakri@cystat.mof.gov.cy"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png"/><Relationship Id="rId1" Type="http://schemas.openxmlformats.org/officeDocument/2006/relationships/image" Target="media/image10.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el-GR" sz="900" b="1">
                <a:latin typeface="Verdana" panose="020B0604030504040204" pitchFamily="34" charset="0"/>
                <a:ea typeface="Verdana" panose="020B0604030504040204" pitchFamily="34" charset="0"/>
              </a:rPr>
              <a:t>Διάγραμμα</a:t>
            </a:r>
            <a:r>
              <a:rPr lang="el-GR" sz="900" b="1" baseline="0">
                <a:latin typeface="Verdana" panose="020B0604030504040204" pitchFamily="34" charset="0"/>
                <a:ea typeface="Verdana" panose="020B0604030504040204" pitchFamily="34" charset="0"/>
              </a:rPr>
              <a:t> </a:t>
            </a:r>
            <a:r>
              <a:rPr lang="en-US" sz="900" b="1" baseline="0">
                <a:latin typeface="Verdana" panose="020B0604030504040204" pitchFamily="34" charset="0"/>
                <a:ea typeface="Verdana" panose="020B0604030504040204" pitchFamily="34" charset="0"/>
              </a:rPr>
              <a:t>6</a:t>
            </a:r>
            <a:r>
              <a:rPr lang="el-GR" sz="900" b="1" baseline="0">
                <a:latin typeface="Verdana" panose="020B0604030504040204" pitchFamily="34" charset="0"/>
                <a:ea typeface="Verdana" panose="020B0604030504040204" pitchFamily="34" charset="0"/>
              </a:rPr>
              <a:t>: Ποσοστιαία Κατανομή Κατοικιών κατά Επαρχία, 1.10.2021</a:t>
            </a:r>
            <a:endParaRPr lang="en-CY" sz="900" b="1">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CY"/>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2500000000000001E-2"/>
          <c:y val="0.21078521434820643"/>
          <c:w val="0.9"/>
          <c:h val="0.63497995042286393"/>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934-464E-A1C7-1BFA5D1C2AE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934-464E-A1C7-1BFA5D1C2AE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934-464E-A1C7-1BFA5D1C2AE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934-464E-A1C7-1BFA5D1C2AE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934-464E-A1C7-1BFA5D1C2AE6}"/>
              </c:ext>
            </c:extLst>
          </c:dPt>
          <c:dLbls>
            <c:dLbl>
              <c:idx val="0"/>
              <c:tx>
                <c:rich>
                  <a:bodyPr/>
                  <a:lstStyle/>
                  <a:p>
                    <a:fld id="{D33DFEB9-A8BE-4826-9EC1-0EDDB161D803}" type="CATEGORYNAME">
                      <a:rPr lang="el-GR"/>
                      <a:pPr/>
                      <a:t>[CATEGORY NAME]</a:t>
                    </a:fld>
                    <a:r>
                      <a:rPr lang="el-GR" baseline="0"/>
                      <a:t>  </a:t>
                    </a:r>
                  </a:p>
                  <a:p>
                    <a:r>
                      <a:rPr lang="el-GR" baseline="0"/>
                      <a:t> </a:t>
                    </a:r>
                    <a:fld id="{A0E0C5D6-33B2-4345-B3C7-C37CF4DC62D8}" type="VALUE">
                      <a:rPr lang="el-GR" baseline="0"/>
                      <a:pPr/>
                      <a:t>[VALUE]</a:t>
                    </a:fld>
                    <a:endParaRPr lang="el-GR"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934-464E-A1C7-1BFA5D1C2AE6}"/>
                </c:ext>
              </c:extLst>
            </c:dLbl>
            <c:dLbl>
              <c:idx val="1"/>
              <c:tx>
                <c:rich>
                  <a:bodyPr/>
                  <a:lstStyle/>
                  <a:p>
                    <a:fld id="{1C6BA707-6CCF-4F8B-8A84-E1B51FE21A12}" type="CATEGORYNAME">
                      <a:rPr lang="el-GR"/>
                      <a:pPr/>
                      <a:t>[CATEGORY NAME]</a:t>
                    </a:fld>
                    <a:r>
                      <a:rPr lang="el-GR" baseline="0"/>
                      <a:t> </a:t>
                    </a:r>
                  </a:p>
                  <a:p>
                    <a:r>
                      <a:rPr lang="el-GR" baseline="0"/>
                      <a:t> </a:t>
                    </a:r>
                    <a:fld id="{8AA97FFE-802A-46A4-8651-ADAEF298A9B0}" type="VALUE">
                      <a:rPr lang="el-GR" baseline="0"/>
                      <a:pPr/>
                      <a:t>[VALUE]</a:t>
                    </a:fld>
                    <a:endParaRPr lang="el-GR"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934-464E-A1C7-1BFA5D1C2AE6}"/>
                </c:ext>
              </c:extLst>
            </c:dLbl>
            <c:dLbl>
              <c:idx val="2"/>
              <c:tx>
                <c:rich>
                  <a:bodyPr/>
                  <a:lstStyle/>
                  <a:p>
                    <a:fld id="{25CCCE90-6C2A-44A5-A6E1-502F558E3A67}" type="CATEGORYNAME">
                      <a:rPr lang="el-GR"/>
                      <a:pPr/>
                      <a:t>[CATEGORY NAME]</a:t>
                    </a:fld>
                    <a:r>
                      <a:rPr lang="el-GR"/>
                      <a:t>  </a:t>
                    </a:r>
                  </a:p>
                  <a:p>
                    <a:r>
                      <a:rPr lang="el-GR" baseline="0"/>
                      <a:t> </a:t>
                    </a:r>
                    <a:fld id="{DBB6BD41-F741-4B0B-837C-0C5949B31812}" type="VALUE">
                      <a:rPr lang="el-GR" baseline="0"/>
                      <a:pPr/>
                      <a:t>[VALUE]</a:t>
                    </a:fld>
                    <a:endParaRPr lang="el-GR"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934-464E-A1C7-1BFA5D1C2AE6}"/>
                </c:ext>
              </c:extLst>
            </c:dLbl>
            <c:dLbl>
              <c:idx val="3"/>
              <c:tx>
                <c:rich>
                  <a:bodyPr/>
                  <a:lstStyle/>
                  <a:p>
                    <a:fld id="{4F202F59-EE8B-44AD-8871-8B64557A4E28}" type="CATEGORYNAME">
                      <a:rPr lang="el-GR"/>
                      <a:pPr/>
                      <a:t>[CATEGORY NAME]</a:t>
                    </a:fld>
                    <a:r>
                      <a:rPr lang="el-GR" baseline="0"/>
                      <a:t>  </a:t>
                    </a:r>
                  </a:p>
                  <a:p>
                    <a:r>
                      <a:rPr lang="el-GR" baseline="0"/>
                      <a:t> </a:t>
                    </a:r>
                    <a:fld id="{D73E9D86-47B8-442B-B006-582DB1DEC183}" type="VALUE">
                      <a:rPr lang="el-GR" baseline="0"/>
                      <a:pPr/>
                      <a:t>[VALUE]</a:t>
                    </a:fld>
                    <a:endParaRPr lang="el-GR"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934-464E-A1C7-1BFA5D1C2AE6}"/>
                </c:ext>
              </c:extLst>
            </c:dLbl>
            <c:dLbl>
              <c:idx val="4"/>
              <c:tx>
                <c:rich>
                  <a:bodyPr/>
                  <a:lstStyle/>
                  <a:p>
                    <a:fld id="{B298FE5F-63C0-438F-90DA-92DB5E062DEE}" type="CATEGORYNAME">
                      <a:rPr lang="el-GR"/>
                      <a:pPr/>
                      <a:t>[CATEGORY NAME]</a:t>
                    </a:fld>
                    <a:r>
                      <a:rPr lang="el-GR" baseline="0"/>
                      <a:t>  </a:t>
                    </a:r>
                  </a:p>
                  <a:p>
                    <a:r>
                      <a:rPr lang="el-GR" baseline="0"/>
                      <a:t> </a:t>
                    </a:r>
                    <a:fld id="{C0122EB5-ACD5-4A7A-9FDA-704290EE0210}" type="VALUE">
                      <a:rPr lang="el-GR" baseline="0"/>
                      <a:pPr/>
                      <a:t>[VALUE]</a:t>
                    </a:fld>
                    <a:endParaRPr lang="el-GR"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5934-464E-A1C7-1BFA5D1C2A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Y"/>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 6_EL_NEW'!$A$12:$A$16</c:f>
              <c:strCache>
                <c:ptCount val="5"/>
                <c:pt idx="0">
                  <c:v>Λευκωσία</c:v>
                </c:pt>
                <c:pt idx="1">
                  <c:v>Αμμόχωστος</c:v>
                </c:pt>
                <c:pt idx="2">
                  <c:v>Λάρνακα</c:v>
                </c:pt>
                <c:pt idx="3">
                  <c:v>Λεμεσός</c:v>
                </c:pt>
                <c:pt idx="4">
                  <c:v>Πάφος</c:v>
                </c:pt>
              </c:strCache>
            </c:strRef>
          </c:cat>
          <c:val>
            <c:numRef>
              <c:f>'chart 6_EL_NEW'!$B$12:$B$16</c:f>
              <c:numCache>
                <c:formatCode>0.0%</c:formatCode>
                <c:ptCount val="5"/>
                <c:pt idx="0">
                  <c:v>0.33138512286709498</c:v>
                </c:pt>
                <c:pt idx="1">
                  <c:v>8.1674717151082002E-2</c:v>
                </c:pt>
                <c:pt idx="2">
                  <c:v>0.16690774165146846</c:v>
                </c:pt>
                <c:pt idx="3">
                  <c:v>0.26895042105284511</c:v>
                </c:pt>
                <c:pt idx="4">
                  <c:v>0.15108199727750943</c:v>
                </c:pt>
              </c:numCache>
            </c:numRef>
          </c:val>
          <c:extLst>
            <c:ext xmlns:c16="http://schemas.microsoft.com/office/drawing/2014/chart" uri="{C3380CC4-5D6E-409C-BE32-E72D297353CC}">
              <c16:uniqueId val="{0000000A-5934-464E-A1C7-1BFA5D1C2AE6}"/>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Y"/>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9</Pages>
  <Words>2821</Words>
  <Characters>16084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18868</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21</cp:revision>
  <cp:lastPrinted>2024-08-08T11:45:00Z</cp:lastPrinted>
  <dcterms:created xsi:type="dcterms:W3CDTF">2024-08-07T07:49:00Z</dcterms:created>
  <dcterms:modified xsi:type="dcterms:W3CDTF">2024-08-08T12:52:00Z</dcterms:modified>
</cp:coreProperties>
</file>