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F7F2C" w14:textId="0A3690D3" w:rsidR="00CA2410" w:rsidRDefault="00CA2410" w:rsidP="00CA2410">
      <w:pPr>
        <w:jc w:val="center"/>
        <w:rPr>
          <w:rFonts w:ascii="Verdana" w:hAnsi="Verdana" w:cs="Arial"/>
          <w:sz w:val="18"/>
          <w:szCs w:val="18"/>
        </w:rPr>
      </w:pPr>
      <w:r>
        <w:rPr>
          <w:noProof/>
        </w:rPr>
        <w:drawing>
          <wp:inline distT="0" distB="0" distL="0" distR="0" wp14:anchorId="65C179A5" wp14:editId="490A6A62">
            <wp:extent cx="1072515" cy="1107831"/>
            <wp:effectExtent l="0" t="0" r="0" b="0"/>
            <wp:docPr id="14127438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660" cy="1123475"/>
                    </a:xfrm>
                    <a:prstGeom prst="rect">
                      <a:avLst/>
                    </a:prstGeom>
                    <a:noFill/>
                    <a:ln>
                      <a:noFill/>
                    </a:ln>
                  </pic:spPr>
                </pic:pic>
              </a:graphicData>
            </a:graphic>
          </wp:inline>
        </w:drawing>
      </w:r>
    </w:p>
    <w:p w14:paraId="2440DE14" w14:textId="06CD2F4F" w:rsidR="00666A7F" w:rsidRPr="009F145E" w:rsidRDefault="00666A7F" w:rsidP="00666A7F">
      <w:pPr>
        <w:ind w:left="7200" w:firstLine="720"/>
        <w:jc w:val="center"/>
        <w:rPr>
          <w:rFonts w:ascii="Verdana" w:eastAsia="Malgun Gothic" w:hAnsi="Verdana" w:cs="Arial"/>
          <w:sz w:val="18"/>
          <w:szCs w:val="18"/>
        </w:rPr>
      </w:pPr>
      <w:r w:rsidRPr="009F145E">
        <w:rPr>
          <w:rFonts w:ascii="Verdana" w:hAnsi="Verdana" w:cs="Arial"/>
          <w:sz w:val="18"/>
          <w:szCs w:val="18"/>
        </w:rPr>
        <w:t>August 9</w:t>
      </w:r>
      <w:r w:rsidRPr="009F145E">
        <w:rPr>
          <w:rFonts w:ascii="Verdana" w:eastAsia="Malgun Gothic" w:hAnsi="Verdana" w:cs="Arial"/>
          <w:sz w:val="18"/>
          <w:szCs w:val="18"/>
        </w:rPr>
        <w:t>, 2024</w:t>
      </w:r>
    </w:p>
    <w:p w14:paraId="6794700B" w14:textId="77777777" w:rsidR="00666A7F" w:rsidRPr="009F145E" w:rsidRDefault="00666A7F" w:rsidP="00666A7F">
      <w:pPr>
        <w:jc w:val="both"/>
        <w:rPr>
          <w:rFonts w:ascii="Verdana" w:eastAsia="Malgun Gothic" w:hAnsi="Verdana" w:cs="Arial"/>
          <w:sz w:val="18"/>
          <w:szCs w:val="18"/>
        </w:rPr>
      </w:pPr>
    </w:p>
    <w:p w14:paraId="4FB6D65F" w14:textId="77777777" w:rsidR="00666A7F" w:rsidRPr="009F145E" w:rsidRDefault="00666A7F" w:rsidP="00666A7F">
      <w:pPr>
        <w:tabs>
          <w:tab w:val="left" w:pos="945"/>
        </w:tabs>
        <w:jc w:val="center"/>
        <w:rPr>
          <w:rFonts w:ascii="Verdana" w:hAnsi="Verdana" w:cs="Calibri"/>
          <w:b/>
          <w:sz w:val="24"/>
          <w:szCs w:val="24"/>
        </w:rPr>
      </w:pPr>
      <w:r w:rsidRPr="009F145E">
        <w:rPr>
          <w:rFonts w:ascii="Verdana" w:hAnsi="Verdana" w:cs="Calibri"/>
          <w:b/>
          <w:sz w:val="24"/>
          <w:szCs w:val="24"/>
        </w:rPr>
        <w:t>PRESS RELEASE</w:t>
      </w:r>
    </w:p>
    <w:p w14:paraId="344AD793" w14:textId="77777777" w:rsidR="00666A7F" w:rsidRPr="009F145E" w:rsidRDefault="00666A7F" w:rsidP="00666A7F">
      <w:pPr>
        <w:tabs>
          <w:tab w:val="left" w:pos="945"/>
        </w:tabs>
        <w:jc w:val="center"/>
        <w:rPr>
          <w:rFonts w:ascii="Verdana" w:hAnsi="Verdana" w:cs="Calibri"/>
          <w:bCs/>
          <w:sz w:val="18"/>
          <w:szCs w:val="18"/>
        </w:rPr>
      </w:pPr>
    </w:p>
    <w:p w14:paraId="363CECCF" w14:textId="77777777" w:rsidR="00666A7F" w:rsidRPr="003910CA" w:rsidRDefault="00666A7F" w:rsidP="00666A7F">
      <w:pPr>
        <w:tabs>
          <w:tab w:val="left" w:pos="945"/>
        </w:tabs>
        <w:jc w:val="center"/>
        <w:rPr>
          <w:rFonts w:ascii="Verdana" w:hAnsi="Verdana" w:cs="Calibri"/>
          <w:b/>
          <w:u w:val="single"/>
          <w:lang w:val="en-GB"/>
        </w:rPr>
      </w:pPr>
      <w:r w:rsidRPr="009F145E">
        <w:rPr>
          <w:rFonts w:ascii="Verdana" w:hAnsi="Verdana" w:cs="Calibri"/>
          <w:b/>
          <w:u w:val="single"/>
        </w:rPr>
        <w:t>CENSUS OF POPULATION AND HOUSING 2021</w:t>
      </w:r>
    </w:p>
    <w:p w14:paraId="2859D221" w14:textId="524BFA73" w:rsidR="003910CA" w:rsidRPr="003910CA" w:rsidRDefault="003910CA" w:rsidP="00666A7F">
      <w:pPr>
        <w:tabs>
          <w:tab w:val="left" w:pos="945"/>
        </w:tabs>
        <w:jc w:val="center"/>
        <w:rPr>
          <w:rFonts w:ascii="Verdana" w:hAnsi="Verdana" w:cs="Calibri"/>
          <w:b/>
          <w:u w:val="single"/>
          <w:lang w:val="en-GB"/>
        </w:rPr>
      </w:pPr>
      <w:r>
        <w:rPr>
          <w:rFonts w:ascii="Verdana" w:hAnsi="Verdana" w:cs="Calibri"/>
          <w:b/>
          <w:u w:val="single"/>
          <w:lang w:val="en-GB"/>
        </w:rPr>
        <w:t>FINAL RESULTS</w:t>
      </w:r>
    </w:p>
    <w:p w14:paraId="1D892A14" w14:textId="77777777" w:rsidR="00666A7F" w:rsidRDefault="00666A7F" w:rsidP="00F90671">
      <w:pPr>
        <w:suppressAutoHyphens/>
        <w:jc w:val="both"/>
        <w:rPr>
          <w:rFonts w:ascii="Verdana" w:hAnsi="Verdana" w:cs="Calibri"/>
          <w:b/>
          <w:sz w:val="18"/>
          <w:szCs w:val="18"/>
        </w:rPr>
      </w:pPr>
    </w:p>
    <w:p w14:paraId="7E91742F" w14:textId="77777777" w:rsidR="00F94F3F" w:rsidRPr="009F145E" w:rsidRDefault="00F94F3F" w:rsidP="00F90671">
      <w:pPr>
        <w:suppressAutoHyphens/>
        <w:jc w:val="both"/>
        <w:rPr>
          <w:rFonts w:ascii="Verdana" w:hAnsi="Verdana" w:cs="Calibri"/>
          <w:b/>
          <w:sz w:val="18"/>
          <w:szCs w:val="18"/>
        </w:rPr>
      </w:pPr>
    </w:p>
    <w:p w14:paraId="32200F0B" w14:textId="017110EC" w:rsidR="00666A7F" w:rsidRPr="009F145E" w:rsidRDefault="00666A7F" w:rsidP="00F90671">
      <w:pPr>
        <w:suppressAutoHyphens/>
        <w:jc w:val="both"/>
        <w:rPr>
          <w:rFonts w:ascii="Verdana" w:hAnsi="Verdana" w:cs="Calibri"/>
          <w:sz w:val="18"/>
          <w:szCs w:val="18"/>
        </w:rPr>
      </w:pPr>
      <w:r w:rsidRPr="009F145E">
        <w:rPr>
          <w:rFonts w:ascii="Verdana" w:hAnsi="Verdana" w:cs="Calibri"/>
          <w:sz w:val="18"/>
          <w:szCs w:val="18"/>
        </w:rPr>
        <w:t>The Statistical Service announces the final</w:t>
      </w:r>
      <w:r w:rsidR="0044376E" w:rsidRPr="009F145E">
        <w:rPr>
          <w:rFonts w:ascii="Verdana" w:hAnsi="Verdana" w:cs="Calibri"/>
          <w:sz w:val="18"/>
          <w:szCs w:val="18"/>
        </w:rPr>
        <w:t xml:space="preserve"> </w:t>
      </w:r>
      <w:r w:rsidRPr="009F145E">
        <w:rPr>
          <w:rFonts w:ascii="Verdana" w:hAnsi="Verdana" w:cs="Calibri"/>
          <w:sz w:val="18"/>
          <w:szCs w:val="18"/>
        </w:rPr>
        <w:t>results of the Census of Population and Housing 2021, which was conducted in the Government</w:t>
      </w:r>
      <w:r w:rsidR="00353510" w:rsidRPr="00353510">
        <w:rPr>
          <w:rFonts w:ascii="Verdana" w:hAnsi="Verdana" w:cs="Calibri"/>
          <w:sz w:val="18"/>
          <w:szCs w:val="18"/>
          <w:lang w:val="en-GB"/>
        </w:rPr>
        <w:t xml:space="preserve"> </w:t>
      </w:r>
      <w:r w:rsidRPr="009F145E">
        <w:rPr>
          <w:rFonts w:ascii="Verdana" w:hAnsi="Verdana" w:cs="Calibri"/>
          <w:sz w:val="18"/>
          <w:szCs w:val="18"/>
        </w:rPr>
        <w:t>controlled areas of Cyprus.</w:t>
      </w:r>
    </w:p>
    <w:p w14:paraId="12EDE14E" w14:textId="77777777" w:rsidR="00666A7F" w:rsidRPr="009F145E" w:rsidRDefault="00666A7F" w:rsidP="00F90671">
      <w:pPr>
        <w:suppressAutoHyphens/>
        <w:jc w:val="both"/>
        <w:rPr>
          <w:rFonts w:ascii="Verdana" w:hAnsi="Verdana" w:cs="Calibri"/>
          <w:sz w:val="18"/>
          <w:szCs w:val="18"/>
        </w:rPr>
      </w:pPr>
    </w:p>
    <w:p w14:paraId="4AE92BAD" w14:textId="7C342B4C" w:rsidR="00666A7F" w:rsidRPr="009F145E" w:rsidRDefault="00666A7F" w:rsidP="00F90671">
      <w:pPr>
        <w:jc w:val="both"/>
        <w:rPr>
          <w:rFonts w:ascii="Verdana" w:hAnsi="Verdana" w:cs="Calibri"/>
          <w:b/>
          <w:bCs/>
          <w:sz w:val="18"/>
          <w:szCs w:val="18"/>
          <w:u w:val="single"/>
        </w:rPr>
      </w:pPr>
      <w:r w:rsidRPr="009F145E">
        <w:rPr>
          <w:rFonts w:ascii="Verdana" w:hAnsi="Verdana" w:cs="Calibri"/>
          <w:b/>
          <w:bCs/>
          <w:sz w:val="18"/>
          <w:szCs w:val="18"/>
          <w:u w:val="single"/>
        </w:rPr>
        <w:t xml:space="preserve">Population by </w:t>
      </w:r>
      <w:r w:rsidR="00F90671">
        <w:rPr>
          <w:rFonts w:ascii="Verdana" w:hAnsi="Verdana" w:cs="Calibri"/>
          <w:b/>
          <w:bCs/>
          <w:sz w:val="18"/>
          <w:szCs w:val="18"/>
          <w:u w:val="single"/>
        </w:rPr>
        <w:t>S</w:t>
      </w:r>
      <w:r w:rsidR="008E64DE" w:rsidRPr="009F145E">
        <w:rPr>
          <w:rFonts w:ascii="Verdana" w:hAnsi="Verdana" w:cs="Calibri"/>
          <w:b/>
          <w:bCs/>
          <w:sz w:val="18"/>
          <w:szCs w:val="18"/>
          <w:u w:val="single"/>
        </w:rPr>
        <w:t xml:space="preserve">ex, </w:t>
      </w:r>
      <w:r w:rsidR="00F90671">
        <w:rPr>
          <w:rFonts w:ascii="Verdana" w:hAnsi="Verdana" w:cs="Calibri"/>
          <w:b/>
          <w:bCs/>
          <w:sz w:val="18"/>
          <w:szCs w:val="18"/>
          <w:u w:val="single"/>
        </w:rPr>
        <w:t>G</w:t>
      </w:r>
      <w:r w:rsidRPr="009F145E">
        <w:rPr>
          <w:rFonts w:ascii="Verdana" w:hAnsi="Verdana" w:cs="Calibri"/>
          <w:b/>
          <w:bCs/>
          <w:sz w:val="18"/>
          <w:szCs w:val="18"/>
          <w:u w:val="single"/>
        </w:rPr>
        <w:t xml:space="preserve">eographical </w:t>
      </w:r>
      <w:r w:rsidR="00F90671">
        <w:rPr>
          <w:rFonts w:ascii="Verdana" w:hAnsi="Verdana" w:cs="Calibri"/>
          <w:b/>
          <w:bCs/>
          <w:sz w:val="18"/>
          <w:szCs w:val="18"/>
          <w:u w:val="single"/>
        </w:rPr>
        <w:t>D</w:t>
      </w:r>
      <w:r w:rsidRPr="009F145E">
        <w:rPr>
          <w:rFonts w:ascii="Verdana" w:hAnsi="Verdana" w:cs="Calibri"/>
          <w:b/>
          <w:bCs/>
          <w:sz w:val="18"/>
          <w:szCs w:val="18"/>
          <w:u w:val="single"/>
        </w:rPr>
        <w:t>istribution</w:t>
      </w:r>
      <w:r w:rsidR="008E64DE" w:rsidRPr="009F145E">
        <w:rPr>
          <w:rFonts w:ascii="Verdana" w:hAnsi="Verdana" w:cs="Calibri"/>
          <w:b/>
          <w:bCs/>
          <w:sz w:val="18"/>
          <w:szCs w:val="18"/>
          <w:u w:val="single"/>
        </w:rPr>
        <w:t xml:space="preserve"> and </w:t>
      </w:r>
      <w:r w:rsidR="00F90671">
        <w:rPr>
          <w:rFonts w:ascii="Verdana" w:hAnsi="Verdana" w:cs="Calibri"/>
          <w:b/>
          <w:bCs/>
          <w:sz w:val="18"/>
          <w:szCs w:val="18"/>
          <w:u w:val="single"/>
        </w:rPr>
        <w:t>A</w:t>
      </w:r>
      <w:r w:rsidR="008E64DE" w:rsidRPr="009F145E">
        <w:rPr>
          <w:rFonts w:ascii="Verdana" w:hAnsi="Verdana" w:cs="Calibri"/>
          <w:b/>
          <w:bCs/>
          <w:sz w:val="18"/>
          <w:szCs w:val="18"/>
          <w:u w:val="single"/>
        </w:rPr>
        <w:t>ge</w:t>
      </w:r>
    </w:p>
    <w:p w14:paraId="6E3D6A7B" w14:textId="77777777" w:rsidR="00666A7F" w:rsidRPr="009F145E" w:rsidRDefault="00666A7F" w:rsidP="00F90671">
      <w:pPr>
        <w:jc w:val="both"/>
        <w:rPr>
          <w:rFonts w:ascii="Verdana" w:hAnsi="Verdana" w:cs="Calibri"/>
          <w:b/>
          <w:bCs/>
          <w:sz w:val="18"/>
          <w:szCs w:val="18"/>
        </w:rPr>
      </w:pPr>
    </w:p>
    <w:p w14:paraId="452ADA55" w14:textId="0AB65EB9" w:rsidR="00666A7F" w:rsidRPr="009F145E" w:rsidRDefault="00666A7F" w:rsidP="00F90671">
      <w:pPr>
        <w:jc w:val="both"/>
        <w:rPr>
          <w:rFonts w:ascii="Verdana" w:hAnsi="Verdana" w:cs="Calibri"/>
          <w:sz w:val="18"/>
          <w:szCs w:val="18"/>
        </w:rPr>
      </w:pPr>
      <w:r w:rsidRPr="009F145E">
        <w:rPr>
          <w:rFonts w:ascii="Verdana" w:hAnsi="Verdana" w:cs="Calibri"/>
          <w:sz w:val="18"/>
          <w:szCs w:val="18"/>
        </w:rPr>
        <w:t>According to the results of the Census of Population and Housing 2021, the total population in the Government</w:t>
      </w:r>
      <w:r w:rsidR="00BD326F" w:rsidRPr="00BD326F">
        <w:rPr>
          <w:rFonts w:ascii="Verdana" w:hAnsi="Verdana" w:cs="Calibri"/>
          <w:sz w:val="18"/>
          <w:szCs w:val="18"/>
          <w:lang w:val="en-GB"/>
        </w:rPr>
        <w:t xml:space="preserve"> </w:t>
      </w:r>
      <w:r w:rsidRPr="009F145E">
        <w:rPr>
          <w:rFonts w:ascii="Verdana" w:hAnsi="Verdana" w:cs="Calibri"/>
          <w:sz w:val="18"/>
          <w:szCs w:val="18"/>
        </w:rPr>
        <w:t>controlled areas of Cyprus on October 1</w:t>
      </w:r>
      <w:r w:rsidRPr="009F145E">
        <w:rPr>
          <w:rFonts w:ascii="Verdana" w:hAnsi="Verdana" w:cs="Calibri"/>
          <w:sz w:val="18"/>
          <w:szCs w:val="18"/>
          <w:vertAlign w:val="superscript"/>
        </w:rPr>
        <w:t>st</w:t>
      </w:r>
      <w:r w:rsidRPr="009F145E">
        <w:rPr>
          <w:rFonts w:ascii="Verdana" w:hAnsi="Verdana" w:cs="Calibri"/>
          <w:sz w:val="18"/>
          <w:szCs w:val="18"/>
        </w:rPr>
        <w:t xml:space="preserve"> 2021 reached 923.381 persons, 449.708 males and 473.673 females, recording an increase of 9,9% compared to the results of the Census of Population and Housing 2011 in which 840.407 persons were enumerated, 408.780 males and 431.627 females. </w:t>
      </w:r>
    </w:p>
    <w:p w14:paraId="1806CD37" w14:textId="77777777" w:rsidR="00666A7F" w:rsidRPr="009F145E" w:rsidRDefault="00666A7F" w:rsidP="00F90671">
      <w:pPr>
        <w:jc w:val="both"/>
        <w:rPr>
          <w:rFonts w:ascii="Verdana" w:hAnsi="Verdana" w:cs="Calibri"/>
          <w:sz w:val="18"/>
          <w:szCs w:val="18"/>
        </w:rPr>
      </w:pPr>
    </w:p>
    <w:p w14:paraId="57FB84C1" w14:textId="4BF2307A" w:rsidR="00666A7F" w:rsidRPr="009F145E" w:rsidRDefault="00F846D1" w:rsidP="00F90671">
      <w:pPr>
        <w:jc w:val="both"/>
        <w:rPr>
          <w:rFonts w:ascii="Verdana" w:hAnsi="Verdana" w:cs="Calibri"/>
          <w:sz w:val="18"/>
          <w:szCs w:val="18"/>
        </w:rPr>
      </w:pPr>
      <w:r w:rsidRPr="009F145E">
        <w:rPr>
          <w:rFonts w:ascii="Verdana" w:hAnsi="Verdana" w:cs="Calibri"/>
          <w:sz w:val="18"/>
          <w:szCs w:val="18"/>
        </w:rPr>
        <w:t>A proportion of</w:t>
      </w:r>
      <w:r w:rsidR="00666A7F" w:rsidRPr="009F145E">
        <w:rPr>
          <w:rFonts w:ascii="Verdana" w:hAnsi="Verdana" w:cs="Calibri"/>
          <w:sz w:val="18"/>
          <w:szCs w:val="18"/>
        </w:rPr>
        <w:t xml:space="preserve"> 66,7% of the population enumerated </w:t>
      </w:r>
      <w:r w:rsidRPr="009F145E">
        <w:rPr>
          <w:rFonts w:ascii="Verdana" w:hAnsi="Verdana" w:cs="Calibri"/>
          <w:sz w:val="18"/>
          <w:szCs w:val="18"/>
        </w:rPr>
        <w:t>(615.603</w:t>
      </w:r>
      <w:r w:rsidR="00BB0612">
        <w:rPr>
          <w:rFonts w:ascii="Verdana" w:hAnsi="Verdana" w:cs="Calibri"/>
          <w:sz w:val="18"/>
          <w:szCs w:val="18"/>
        </w:rPr>
        <w:t xml:space="preserve"> persons</w:t>
      </w:r>
      <w:r w:rsidRPr="009F145E">
        <w:rPr>
          <w:rFonts w:ascii="Verdana" w:hAnsi="Verdana" w:cs="Calibri"/>
          <w:sz w:val="18"/>
          <w:szCs w:val="18"/>
        </w:rPr>
        <w:t xml:space="preserve">) </w:t>
      </w:r>
      <w:r w:rsidR="00666A7F" w:rsidRPr="009F145E">
        <w:rPr>
          <w:rFonts w:ascii="Verdana" w:hAnsi="Verdana" w:cs="Calibri"/>
          <w:sz w:val="18"/>
          <w:szCs w:val="18"/>
        </w:rPr>
        <w:t xml:space="preserve">resided in urban areas, whereas 33,3% </w:t>
      </w:r>
      <w:r w:rsidRPr="009F145E">
        <w:rPr>
          <w:rFonts w:ascii="Verdana" w:hAnsi="Verdana" w:cs="Calibri"/>
          <w:sz w:val="18"/>
          <w:szCs w:val="18"/>
        </w:rPr>
        <w:t xml:space="preserve">(307.778 persons) </w:t>
      </w:r>
      <w:r w:rsidR="00666A7F" w:rsidRPr="009F145E">
        <w:rPr>
          <w:rFonts w:ascii="Verdana" w:hAnsi="Verdana" w:cs="Calibri"/>
          <w:sz w:val="18"/>
          <w:szCs w:val="18"/>
        </w:rPr>
        <w:t>resided in rural areas</w:t>
      </w:r>
      <w:r w:rsidRPr="009F145E">
        <w:rPr>
          <w:rFonts w:ascii="Verdana" w:hAnsi="Verdana" w:cs="Calibri"/>
          <w:sz w:val="18"/>
          <w:szCs w:val="18"/>
        </w:rPr>
        <w:t xml:space="preserve">. The corresponding percentages in the 2011 Census of Population were </w:t>
      </w:r>
      <w:r w:rsidR="00666A7F" w:rsidRPr="009F145E">
        <w:rPr>
          <w:rFonts w:ascii="Verdana" w:hAnsi="Verdana" w:cs="Calibri"/>
          <w:sz w:val="18"/>
          <w:szCs w:val="18"/>
        </w:rPr>
        <w:t>67,4%</w:t>
      </w:r>
      <w:r w:rsidRPr="009F145E">
        <w:rPr>
          <w:rFonts w:ascii="Verdana" w:hAnsi="Verdana" w:cs="Calibri"/>
          <w:sz w:val="18"/>
          <w:szCs w:val="18"/>
        </w:rPr>
        <w:t xml:space="preserve"> (566.191)</w:t>
      </w:r>
      <w:r w:rsidR="00666A7F" w:rsidRPr="009F145E">
        <w:rPr>
          <w:rFonts w:ascii="Verdana" w:hAnsi="Verdana" w:cs="Calibri"/>
          <w:sz w:val="18"/>
          <w:szCs w:val="18"/>
        </w:rPr>
        <w:t xml:space="preserve"> and 32,6%</w:t>
      </w:r>
      <w:r w:rsidRPr="009F145E">
        <w:rPr>
          <w:rFonts w:ascii="Verdana" w:hAnsi="Verdana" w:cs="Calibri"/>
          <w:sz w:val="18"/>
          <w:szCs w:val="18"/>
        </w:rPr>
        <w:t xml:space="preserve"> (274.216)</w:t>
      </w:r>
      <w:r w:rsidR="00666A7F" w:rsidRPr="009F145E">
        <w:rPr>
          <w:rFonts w:ascii="Verdana" w:hAnsi="Verdana" w:cs="Calibri"/>
          <w:sz w:val="18"/>
          <w:szCs w:val="18"/>
        </w:rPr>
        <w:t xml:space="preserve"> respectively</w:t>
      </w:r>
      <w:r w:rsidRPr="009F145E">
        <w:rPr>
          <w:rFonts w:ascii="Verdana" w:hAnsi="Verdana" w:cs="Calibri"/>
          <w:sz w:val="18"/>
          <w:szCs w:val="18"/>
        </w:rPr>
        <w:t xml:space="preserve">, thus indicating that a decrease in the population of rural areas was not observed, even though in some </w:t>
      </w:r>
      <w:r w:rsidR="00417F0B" w:rsidRPr="009F145E">
        <w:rPr>
          <w:rFonts w:ascii="Verdana" w:hAnsi="Verdana" w:cs="Calibri"/>
          <w:sz w:val="18"/>
          <w:szCs w:val="18"/>
        </w:rPr>
        <w:t>remote</w:t>
      </w:r>
      <w:r w:rsidRPr="009F145E">
        <w:rPr>
          <w:rFonts w:ascii="Verdana" w:hAnsi="Verdana" w:cs="Calibri"/>
          <w:sz w:val="18"/>
          <w:szCs w:val="18"/>
        </w:rPr>
        <w:t xml:space="preserve"> or </w:t>
      </w:r>
      <w:r w:rsidR="00BD326F">
        <w:rPr>
          <w:rFonts w:ascii="Verdana" w:hAnsi="Verdana" w:cs="Calibri"/>
          <w:sz w:val="18"/>
          <w:szCs w:val="18"/>
          <w:lang w:val="en-GB"/>
        </w:rPr>
        <w:t>mountainous</w:t>
      </w:r>
      <w:r w:rsidRPr="009F145E">
        <w:rPr>
          <w:rFonts w:ascii="Verdana" w:hAnsi="Verdana" w:cs="Calibri"/>
          <w:sz w:val="18"/>
          <w:szCs w:val="18"/>
        </w:rPr>
        <w:t xml:space="preserve"> communities some decrease in the number of residents was observed.</w:t>
      </w:r>
    </w:p>
    <w:p w14:paraId="6720CEC8" w14:textId="77777777" w:rsidR="00666A7F" w:rsidRPr="009F145E" w:rsidRDefault="00666A7F" w:rsidP="00F90671">
      <w:pPr>
        <w:jc w:val="both"/>
        <w:rPr>
          <w:rFonts w:ascii="Verdana" w:hAnsi="Verdana" w:cs="Calibri"/>
          <w:sz w:val="18"/>
          <w:szCs w:val="18"/>
        </w:rPr>
      </w:pPr>
    </w:p>
    <w:p w14:paraId="290304A9" w14:textId="47D3E525" w:rsidR="00952918" w:rsidRPr="009F145E" w:rsidRDefault="00BD326F" w:rsidP="00F90671">
      <w:pPr>
        <w:jc w:val="both"/>
        <w:rPr>
          <w:rFonts w:ascii="Verdana" w:hAnsi="Verdana" w:cs="Calibri"/>
          <w:sz w:val="18"/>
          <w:szCs w:val="18"/>
        </w:rPr>
      </w:pPr>
      <w:r>
        <w:rPr>
          <w:rFonts w:ascii="Verdana" w:hAnsi="Verdana" w:cs="Calibri"/>
          <w:sz w:val="18"/>
          <w:szCs w:val="18"/>
          <w:lang w:val="el-GR"/>
        </w:rPr>
        <w:t>Τ</w:t>
      </w:r>
      <w:r w:rsidR="00666A7F" w:rsidRPr="009F145E">
        <w:rPr>
          <w:rFonts w:ascii="Verdana" w:hAnsi="Verdana" w:cs="Calibri"/>
          <w:sz w:val="18"/>
          <w:szCs w:val="18"/>
        </w:rPr>
        <w:t xml:space="preserve">he population distribution by district was as follows: 350.035 persons or 37,9% resided in </w:t>
      </w:r>
      <w:proofErr w:type="spellStart"/>
      <w:r w:rsidR="00666A7F" w:rsidRPr="009F145E">
        <w:rPr>
          <w:rFonts w:ascii="Verdana" w:hAnsi="Verdana" w:cs="Calibri"/>
          <w:sz w:val="18"/>
          <w:szCs w:val="18"/>
        </w:rPr>
        <w:t>Lefkosia</w:t>
      </w:r>
      <w:proofErr w:type="spellEnd"/>
      <w:r w:rsidR="00666A7F" w:rsidRPr="009F145E">
        <w:rPr>
          <w:rFonts w:ascii="Verdana" w:hAnsi="Verdana" w:cs="Calibri"/>
          <w:sz w:val="18"/>
          <w:szCs w:val="18"/>
        </w:rPr>
        <w:t xml:space="preserve"> district, 262.157 (28,4%) resided in </w:t>
      </w:r>
      <w:proofErr w:type="spellStart"/>
      <w:r w:rsidR="00666A7F" w:rsidRPr="009F145E">
        <w:rPr>
          <w:rFonts w:ascii="Verdana" w:hAnsi="Verdana" w:cs="Calibri"/>
          <w:sz w:val="18"/>
          <w:szCs w:val="18"/>
        </w:rPr>
        <w:t>Lemesos</w:t>
      </w:r>
      <w:proofErr w:type="spellEnd"/>
      <w:r w:rsidR="00666A7F" w:rsidRPr="009F145E">
        <w:rPr>
          <w:rFonts w:ascii="Verdana" w:hAnsi="Verdana" w:cs="Calibri"/>
          <w:sz w:val="18"/>
          <w:szCs w:val="18"/>
        </w:rPr>
        <w:t xml:space="preserve"> district, 155.765 (16,9%) in Larnaka district, 101.106 (10,9%) in </w:t>
      </w:r>
      <w:proofErr w:type="spellStart"/>
      <w:r w:rsidR="00666A7F" w:rsidRPr="009F145E">
        <w:rPr>
          <w:rFonts w:ascii="Verdana" w:hAnsi="Verdana" w:cs="Calibri"/>
          <w:sz w:val="18"/>
          <w:szCs w:val="18"/>
        </w:rPr>
        <w:t>Pafos</w:t>
      </w:r>
      <w:proofErr w:type="spellEnd"/>
      <w:r w:rsidR="00666A7F" w:rsidRPr="009F145E">
        <w:rPr>
          <w:rFonts w:ascii="Verdana" w:hAnsi="Verdana" w:cs="Calibri"/>
          <w:sz w:val="18"/>
          <w:szCs w:val="18"/>
        </w:rPr>
        <w:t xml:space="preserve"> district and 54.318 (5,9%) in </w:t>
      </w:r>
      <w:proofErr w:type="spellStart"/>
      <w:r w:rsidR="00666A7F" w:rsidRPr="009F145E">
        <w:rPr>
          <w:rFonts w:ascii="Verdana" w:hAnsi="Verdana" w:cs="Calibri"/>
          <w:sz w:val="18"/>
          <w:szCs w:val="18"/>
        </w:rPr>
        <w:t>Ammochostos</w:t>
      </w:r>
      <w:proofErr w:type="spellEnd"/>
      <w:r w:rsidR="00666A7F" w:rsidRPr="009F145E">
        <w:rPr>
          <w:rFonts w:ascii="Verdana" w:hAnsi="Verdana" w:cs="Calibri"/>
          <w:sz w:val="18"/>
          <w:szCs w:val="18"/>
        </w:rPr>
        <w:t xml:space="preserve"> district. </w:t>
      </w:r>
    </w:p>
    <w:p w14:paraId="0AF1981D" w14:textId="77777777" w:rsidR="00952918" w:rsidRPr="009F145E" w:rsidRDefault="00952918" w:rsidP="00F90671">
      <w:pPr>
        <w:jc w:val="both"/>
        <w:rPr>
          <w:rFonts w:ascii="Verdana" w:hAnsi="Verdana" w:cs="Calibri"/>
          <w:sz w:val="18"/>
          <w:szCs w:val="18"/>
        </w:rPr>
      </w:pPr>
    </w:p>
    <w:p w14:paraId="0171BCBB" w14:textId="7EC297D5" w:rsidR="00C63F9F" w:rsidRPr="009F145E" w:rsidRDefault="00F94F3F" w:rsidP="006848CD">
      <w:pPr>
        <w:jc w:val="center"/>
        <w:rPr>
          <w:rFonts w:ascii="Verdana" w:hAnsi="Verdana" w:cs="Calibri"/>
          <w:sz w:val="18"/>
          <w:szCs w:val="18"/>
        </w:rPr>
      </w:pPr>
      <w:r>
        <w:rPr>
          <w:rFonts w:ascii="Verdana" w:hAnsi="Verdana" w:cs="Calibri"/>
          <w:noProof/>
          <w:sz w:val="18"/>
          <w:szCs w:val="18"/>
        </w:rPr>
        <w:drawing>
          <wp:inline distT="0" distB="0" distL="0" distR="0" wp14:anchorId="64B7D360" wp14:editId="0B70BB00">
            <wp:extent cx="6066155" cy="2981325"/>
            <wp:effectExtent l="0" t="0" r="0" b="9525"/>
            <wp:docPr id="10450088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6155" cy="2981325"/>
                    </a:xfrm>
                    <a:prstGeom prst="rect">
                      <a:avLst/>
                    </a:prstGeom>
                    <a:noFill/>
                  </pic:spPr>
                </pic:pic>
              </a:graphicData>
            </a:graphic>
          </wp:inline>
        </w:drawing>
      </w:r>
    </w:p>
    <w:p w14:paraId="341295D0" w14:textId="3F229A2E" w:rsidR="00666A7F" w:rsidRPr="009F145E" w:rsidRDefault="00666A7F" w:rsidP="00F90671">
      <w:pPr>
        <w:jc w:val="both"/>
        <w:rPr>
          <w:rFonts w:ascii="Verdana" w:hAnsi="Verdana" w:cs="Calibri"/>
          <w:sz w:val="18"/>
          <w:szCs w:val="18"/>
        </w:rPr>
      </w:pPr>
    </w:p>
    <w:p w14:paraId="484BF4DB" w14:textId="1E57A912" w:rsidR="00952918" w:rsidRPr="009F145E" w:rsidRDefault="00952918" w:rsidP="00F90671">
      <w:pPr>
        <w:jc w:val="both"/>
        <w:rPr>
          <w:rFonts w:ascii="Verdana" w:hAnsi="Verdana" w:cs="Calibri"/>
          <w:sz w:val="18"/>
          <w:szCs w:val="18"/>
        </w:rPr>
      </w:pPr>
      <w:r w:rsidRPr="009F145E">
        <w:rPr>
          <w:rFonts w:ascii="Verdana" w:hAnsi="Verdana" w:cs="Calibri"/>
          <w:sz w:val="18"/>
          <w:szCs w:val="18"/>
        </w:rPr>
        <w:t xml:space="preserve">Compared to the results of the 2011 Population Census, the largest </w:t>
      </w:r>
      <w:r w:rsidR="002672DE">
        <w:rPr>
          <w:rFonts w:ascii="Verdana" w:hAnsi="Verdana" w:cs="Calibri"/>
          <w:sz w:val="18"/>
          <w:szCs w:val="18"/>
        </w:rPr>
        <w:t xml:space="preserve">percentage </w:t>
      </w:r>
      <w:r w:rsidRPr="009F145E">
        <w:rPr>
          <w:rFonts w:ascii="Verdana" w:hAnsi="Verdana" w:cs="Calibri"/>
          <w:sz w:val="18"/>
          <w:szCs w:val="18"/>
        </w:rPr>
        <w:t xml:space="preserve">population increase (16,5%) was recorded in </w:t>
      </w:r>
      <w:proofErr w:type="spellStart"/>
      <w:r w:rsidRPr="009F145E">
        <w:rPr>
          <w:rFonts w:ascii="Verdana" w:hAnsi="Verdana" w:cs="Calibri"/>
          <w:sz w:val="18"/>
          <w:szCs w:val="18"/>
        </w:rPr>
        <w:t>Ammochostos</w:t>
      </w:r>
      <w:proofErr w:type="spellEnd"/>
      <w:r w:rsidRPr="009F145E">
        <w:rPr>
          <w:rFonts w:ascii="Verdana" w:hAnsi="Verdana" w:cs="Calibri"/>
          <w:sz w:val="18"/>
          <w:szCs w:val="18"/>
        </w:rPr>
        <w:t xml:space="preserve"> district, followed by the districts of </w:t>
      </w:r>
      <w:proofErr w:type="spellStart"/>
      <w:r w:rsidRPr="009F145E">
        <w:rPr>
          <w:rFonts w:ascii="Verdana" w:hAnsi="Verdana" w:cs="Calibri"/>
          <w:sz w:val="18"/>
          <w:szCs w:val="18"/>
        </w:rPr>
        <w:t>Pafos</w:t>
      </w:r>
      <w:proofErr w:type="spellEnd"/>
      <w:r w:rsidRPr="009F145E">
        <w:rPr>
          <w:rFonts w:ascii="Verdana" w:hAnsi="Verdana" w:cs="Calibri"/>
          <w:sz w:val="18"/>
          <w:szCs w:val="18"/>
        </w:rPr>
        <w:t xml:space="preserve"> (14,5%) and </w:t>
      </w:r>
      <w:proofErr w:type="spellStart"/>
      <w:r w:rsidRPr="009F145E">
        <w:rPr>
          <w:rFonts w:ascii="Verdana" w:hAnsi="Verdana" w:cs="Calibri"/>
          <w:sz w:val="18"/>
          <w:szCs w:val="18"/>
        </w:rPr>
        <w:t>Lemesos</w:t>
      </w:r>
      <w:proofErr w:type="spellEnd"/>
      <w:r w:rsidRPr="009F145E">
        <w:rPr>
          <w:rFonts w:ascii="Verdana" w:hAnsi="Verdana" w:cs="Calibri"/>
          <w:sz w:val="18"/>
          <w:szCs w:val="18"/>
        </w:rPr>
        <w:t xml:space="preserve"> (11,4%).</w:t>
      </w:r>
    </w:p>
    <w:p w14:paraId="480A0B5A" w14:textId="77777777" w:rsidR="00666A7F" w:rsidRPr="00F90671" w:rsidRDefault="00666A7F" w:rsidP="00F90671">
      <w:pPr>
        <w:jc w:val="both"/>
        <w:rPr>
          <w:rFonts w:ascii="Verdana" w:hAnsi="Verdana" w:cs="Calibri"/>
          <w:sz w:val="18"/>
          <w:szCs w:val="18"/>
        </w:rPr>
      </w:pPr>
    </w:p>
    <w:p w14:paraId="0D128599" w14:textId="77777777" w:rsidR="00666A7F" w:rsidRPr="00F90671" w:rsidRDefault="00666A7F" w:rsidP="00F90671">
      <w:pPr>
        <w:jc w:val="both"/>
        <w:rPr>
          <w:rFonts w:ascii="Verdana" w:hAnsi="Verdana" w:cs="Calibri"/>
          <w:sz w:val="18"/>
          <w:szCs w:val="18"/>
        </w:rPr>
      </w:pPr>
    </w:p>
    <w:p w14:paraId="220A5117" w14:textId="77777777" w:rsidR="00666A7F" w:rsidRPr="00F90671" w:rsidRDefault="00666A7F" w:rsidP="00F90671">
      <w:pPr>
        <w:jc w:val="both"/>
        <w:rPr>
          <w:rFonts w:ascii="Verdana" w:hAnsi="Verdana" w:cs="Calibri"/>
          <w:sz w:val="18"/>
          <w:szCs w:val="18"/>
        </w:rPr>
      </w:pPr>
    </w:p>
    <w:tbl>
      <w:tblPr>
        <w:tblW w:w="7925" w:type="dxa"/>
        <w:jc w:val="center"/>
        <w:tblLook w:val="04A0" w:firstRow="1" w:lastRow="0" w:firstColumn="1" w:lastColumn="0" w:noHBand="0" w:noVBand="1"/>
      </w:tblPr>
      <w:tblGrid>
        <w:gridCol w:w="1981"/>
        <w:gridCol w:w="1981"/>
        <w:gridCol w:w="1981"/>
        <w:gridCol w:w="1982"/>
      </w:tblGrid>
      <w:tr w:rsidR="00F94F3F" w:rsidRPr="00F94F3F" w14:paraId="57E89A2A" w14:textId="77777777" w:rsidTr="00F94F3F">
        <w:trPr>
          <w:trHeight w:val="297"/>
          <w:jc w:val="center"/>
        </w:trPr>
        <w:tc>
          <w:tcPr>
            <w:tcW w:w="1981" w:type="dxa"/>
            <w:tcBorders>
              <w:top w:val="nil"/>
              <w:left w:val="nil"/>
              <w:bottom w:val="single" w:sz="8" w:space="0" w:color="2F5496"/>
              <w:right w:val="nil"/>
            </w:tcBorders>
            <w:shd w:val="clear" w:color="auto" w:fill="auto"/>
            <w:vAlign w:val="center"/>
            <w:hideMark/>
          </w:tcPr>
          <w:p w14:paraId="4271C2D6" w14:textId="7CB1D912" w:rsidR="00ED239D" w:rsidRPr="00F94F3F" w:rsidRDefault="00ED239D" w:rsidP="009D7C28">
            <w:pPr>
              <w:rPr>
                <w:rFonts w:ascii="Verdana" w:eastAsia="Times New Roman" w:hAnsi="Verdana" w:cs="Calibri"/>
                <w:b/>
                <w:bCs/>
                <w:color w:val="365F91" w:themeColor="accent1" w:themeShade="BF"/>
                <w:sz w:val="18"/>
                <w:szCs w:val="18"/>
              </w:rPr>
            </w:pPr>
            <w:r w:rsidRPr="00F94F3F">
              <w:rPr>
                <w:rFonts w:ascii="Verdana" w:eastAsia="Times New Roman" w:hAnsi="Verdana" w:cs="Calibri"/>
                <w:b/>
                <w:bCs/>
                <w:color w:val="365F91" w:themeColor="accent1" w:themeShade="BF"/>
                <w:sz w:val="18"/>
                <w:szCs w:val="18"/>
              </w:rPr>
              <w:t>Table 1</w:t>
            </w:r>
          </w:p>
        </w:tc>
        <w:tc>
          <w:tcPr>
            <w:tcW w:w="1981" w:type="dxa"/>
            <w:tcBorders>
              <w:top w:val="nil"/>
              <w:left w:val="nil"/>
              <w:bottom w:val="single" w:sz="8" w:space="0" w:color="2F5496"/>
              <w:right w:val="nil"/>
            </w:tcBorders>
            <w:shd w:val="clear" w:color="auto" w:fill="auto"/>
            <w:vAlign w:val="center"/>
            <w:hideMark/>
          </w:tcPr>
          <w:p w14:paraId="214C5A45" w14:textId="77777777" w:rsidR="00ED239D" w:rsidRPr="00F94F3F" w:rsidRDefault="00ED239D" w:rsidP="009D7C28">
            <w:pPr>
              <w:rPr>
                <w:rFonts w:ascii="Verdana" w:eastAsia="Times New Roman" w:hAnsi="Verdana" w:cs="Calibri"/>
                <w:b/>
                <w:bCs/>
                <w:color w:val="365F91" w:themeColor="accent1" w:themeShade="BF"/>
                <w:sz w:val="18"/>
                <w:szCs w:val="18"/>
              </w:rPr>
            </w:pPr>
            <w:r w:rsidRPr="00F94F3F">
              <w:rPr>
                <w:rFonts w:ascii="Verdana" w:eastAsia="Times New Roman" w:hAnsi="Verdana" w:cs="Calibri"/>
                <w:b/>
                <w:bCs/>
                <w:color w:val="365F91" w:themeColor="accent1" w:themeShade="BF"/>
                <w:sz w:val="18"/>
                <w:szCs w:val="18"/>
              </w:rPr>
              <w:t> </w:t>
            </w:r>
          </w:p>
        </w:tc>
        <w:tc>
          <w:tcPr>
            <w:tcW w:w="1981" w:type="dxa"/>
            <w:tcBorders>
              <w:top w:val="nil"/>
              <w:left w:val="nil"/>
              <w:bottom w:val="single" w:sz="8" w:space="0" w:color="2F5496"/>
              <w:right w:val="nil"/>
            </w:tcBorders>
            <w:shd w:val="clear" w:color="auto" w:fill="auto"/>
            <w:vAlign w:val="center"/>
            <w:hideMark/>
          </w:tcPr>
          <w:p w14:paraId="092FD5CC" w14:textId="77777777" w:rsidR="00ED239D" w:rsidRPr="00F94F3F" w:rsidRDefault="00ED239D" w:rsidP="009D7C28">
            <w:pPr>
              <w:rPr>
                <w:rFonts w:ascii="Verdana" w:eastAsia="Times New Roman" w:hAnsi="Verdana" w:cs="Calibri"/>
                <w:b/>
                <w:bCs/>
                <w:color w:val="365F91" w:themeColor="accent1" w:themeShade="BF"/>
                <w:sz w:val="18"/>
                <w:szCs w:val="18"/>
              </w:rPr>
            </w:pPr>
            <w:r w:rsidRPr="00F94F3F">
              <w:rPr>
                <w:rFonts w:ascii="Verdana" w:eastAsia="Times New Roman" w:hAnsi="Verdana" w:cs="Calibri"/>
                <w:b/>
                <w:bCs/>
                <w:color w:val="365F91" w:themeColor="accent1" w:themeShade="BF"/>
                <w:sz w:val="18"/>
                <w:szCs w:val="18"/>
              </w:rPr>
              <w:t> </w:t>
            </w:r>
          </w:p>
        </w:tc>
        <w:tc>
          <w:tcPr>
            <w:tcW w:w="1982" w:type="dxa"/>
            <w:tcBorders>
              <w:top w:val="nil"/>
              <w:left w:val="nil"/>
              <w:bottom w:val="single" w:sz="8" w:space="0" w:color="2F5496"/>
              <w:right w:val="nil"/>
            </w:tcBorders>
            <w:shd w:val="clear" w:color="auto" w:fill="auto"/>
            <w:vAlign w:val="center"/>
            <w:hideMark/>
          </w:tcPr>
          <w:p w14:paraId="0B29A697" w14:textId="77777777" w:rsidR="00ED239D" w:rsidRPr="00F94F3F" w:rsidRDefault="00ED239D" w:rsidP="009D7C28">
            <w:pPr>
              <w:rPr>
                <w:rFonts w:ascii="Verdana" w:eastAsia="Times New Roman" w:hAnsi="Verdana" w:cs="Calibri"/>
                <w:b/>
                <w:bCs/>
                <w:color w:val="365F91" w:themeColor="accent1" w:themeShade="BF"/>
                <w:sz w:val="18"/>
                <w:szCs w:val="18"/>
              </w:rPr>
            </w:pPr>
            <w:r w:rsidRPr="00F94F3F">
              <w:rPr>
                <w:rFonts w:ascii="Verdana" w:eastAsia="Times New Roman" w:hAnsi="Verdana" w:cs="Calibri"/>
                <w:b/>
                <w:bCs/>
                <w:color w:val="365F91" w:themeColor="accent1" w:themeShade="BF"/>
                <w:sz w:val="18"/>
                <w:szCs w:val="18"/>
              </w:rPr>
              <w:t> </w:t>
            </w:r>
          </w:p>
        </w:tc>
      </w:tr>
      <w:tr w:rsidR="00F94F3F" w:rsidRPr="00F94F3F" w14:paraId="2D1BA929" w14:textId="77777777" w:rsidTr="00F94F3F">
        <w:trPr>
          <w:trHeight w:val="297"/>
          <w:jc w:val="center"/>
        </w:trPr>
        <w:tc>
          <w:tcPr>
            <w:tcW w:w="1981" w:type="dxa"/>
            <w:vMerge w:val="restart"/>
            <w:tcBorders>
              <w:top w:val="nil"/>
              <w:left w:val="nil"/>
              <w:bottom w:val="single" w:sz="8" w:space="0" w:color="2F5496"/>
              <w:right w:val="nil"/>
            </w:tcBorders>
            <w:shd w:val="clear" w:color="auto" w:fill="auto"/>
            <w:vAlign w:val="center"/>
            <w:hideMark/>
          </w:tcPr>
          <w:p w14:paraId="116F16A7" w14:textId="2E31236C" w:rsidR="00ED239D" w:rsidRPr="00F94F3F" w:rsidRDefault="00ED239D" w:rsidP="009D7C28">
            <w:pPr>
              <w:rPr>
                <w:rFonts w:ascii="Verdana" w:eastAsia="Times New Roman" w:hAnsi="Verdana" w:cs="Calibri"/>
                <w:b/>
                <w:bCs/>
                <w:color w:val="365F91" w:themeColor="accent1" w:themeShade="BF"/>
                <w:sz w:val="18"/>
                <w:szCs w:val="18"/>
              </w:rPr>
            </w:pPr>
            <w:r w:rsidRPr="00F94F3F">
              <w:rPr>
                <w:rFonts w:ascii="Verdana" w:eastAsia="Times New Roman" w:hAnsi="Verdana" w:cs="Calibri"/>
                <w:b/>
                <w:bCs/>
                <w:color w:val="365F91" w:themeColor="accent1" w:themeShade="BF"/>
                <w:sz w:val="18"/>
                <w:szCs w:val="18"/>
              </w:rPr>
              <w:t>District</w:t>
            </w:r>
          </w:p>
        </w:tc>
        <w:tc>
          <w:tcPr>
            <w:tcW w:w="5944" w:type="dxa"/>
            <w:gridSpan w:val="3"/>
            <w:tcBorders>
              <w:top w:val="single" w:sz="8" w:space="0" w:color="2F5496"/>
              <w:left w:val="nil"/>
              <w:bottom w:val="single" w:sz="8" w:space="0" w:color="2F5496"/>
              <w:right w:val="nil"/>
            </w:tcBorders>
            <w:shd w:val="clear" w:color="auto" w:fill="auto"/>
            <w:vAlign w:val="center"/>
            <w:hideMark/>
          </w:tcPr>
          <w:p w14:paraId="6DC4AC87" w14:textId="15BF7536" w:rsidR="00ED239D" w:rsidRPr="00F94F3F" w:rsidRDefault="00ED239D" w:rsidP="009D7C28">
            <w:pPr>
              <w:jc w:val="center"/>
              <w:rPr>
                <w:rFonts w:ascii="Verdana" w:eastAsia="Times New Roman" w:hAnsi="Verdana" w:cs="Calibri"/>
                <w:b/>
                <w:bCs/>
                <w:color w:val="365F91" w:themeColor="accent1" w:themeShade="BF"/>
                <w:sz w:val="18"/>
                <w:szCs w:val="18"/>
              </w:rPr>
            </w:pPr>
            <w:r w:rsidRPr="00F94F3F">
              <w:rPr>
                <w:rFonts w:ascii="Verdana" w:eastAsia="Times New Roman" w:hAnsi="Verdana" w:cs="Calibri"/>
                <w:b/>
                <w:bCs/>
                <w:color w:val="365F91" w:themeColor="accent1" w:themeShade="BF"/>
                <w:sz w:val="18"/>
                <w:szCs w:val="18"/>
              </w:rPr>
              <w:t>Population</w:t>
            </w:r>
          </w:p>
        </w:tc>
      </w:tr>
      <w:tr w:rsidR="00F94F3F" w:rsidRPr="00F94F3F" w14:paraId="61F09349" w14:textId="77777777" w:rsidTr="00F94F3F">
        <w:trPr>
          <w:trHeight w:val="464"/>
          <w:jc w:val="center"/>
        </w:trPr>
        <w:tc>
          <w:tcPr>
            <w:tcW w:w="1981" w:type="dxa"/>
            <w:vMerge/>
            <w:tcBorders>
              <w:top w:val="nil"/>
              <w:left w:val="nil"/>
              <w:bottom w:val="single" w:sz="8" w:space="0" w:color="2F5496"/>
              <w:right w:val="nil"/>
            </w:tcBorders>
            <w:vAlign w:val="center"/>
            <w:hideMark/>
          </w:tcPr>
          <w:p w14:paraId="193555F3" w14:textId="77777777" w:rsidR="00ED239D" w:rsidRPr="00F94F3F" w:rsidRDefault="00ED239D" w:rsidP="009D7C28">
            <w:pPr>
              <w:rPr>
                <w:rFonts w:ascii="Verdana" w:eastAsia="Times New Roman" w:hAnsi="Verdana" w:cs="Calibri"/>
                <w:b/>
                <w:bCs/>
                <w:color w:val="365F91" w:themeColor="accent1" w:themeShade="BF"/>
                <w:sz w:val="18"/>
                <w:szCs w:val="18"/>
              </w:rPr>
            </w:pPr>
          </w:p>
        </w:tc>
        <w:tc>
          <w:tcPr>
            <w:tcW w:w="1981" w:type="dxa"/>
            <w:tcBorders>
              <w:top w:val="nil"/>
              <w:left w:val="nil"/>
              <w:bottom w:val="single" w:sz="8" w:space="0" w:color="2F5496"/>
              <w:right w:val="nil"/>
            </w:tcBorders>
            <w:shd w:val="clear" w:color="auto" w:fill="auto"/>
            <w:vAlign w:val="center"/>
            <w:hideMark/>
          </w:tcPr>
          <w:p w14:paraId="2E2F0CC4" w14:textId="77777777" w:rsidR="00ED239D" w:rsidRPr="00F94F3F" w:rsidRDefault="00ED239D" w:rsidP="009D7C28">
            <w:pPr>
              <w:jc w:val="center"/>
              <w:rPr>
                <w:rFonts w:ascii="Verdana" w:eastAsia="Times New Roman" w:hAnsi="Verdana" w:cs="Calibri"/>
                <w:b/>
                <w:bCs/>
                <w:color w:val="365F91" w:themeColor="accent1" w:themeShade="BF"/>
                <w:sz w:val="18"/>
                <w:szCs w:val="18"/>
              </w:rPr>
            </w:pPr>
            <w:r w:rsidRPr="00F94F3F">
              <w:rPr>
                <w:rFonts w:ascii="Verdana" w:eastAsia="Times New Roman" w:hAnsi="Verdana" w:cs="Calibri"/>
                <w:b/>
                <w:bCs/>
                <w:color w:val="365F91" w:themeColor="accent1" w:themeShade="BF"/>
                <w:sz w:val="18"/>
                <w:szCs w:val="18"/>
              </w:rPr>
              <w:t>1</w:t>
            </w:r>
            <w:r w:rsidRPr="00F94F3F">
              <w:rPr>
                <w:rFonts w:ascii="Verdana" w:eastAsia="Times New Roman" w:hAnsi="Verdana" w:cs="Calibri"/>
                <w:b/>
                <w:bCs/>
                <w:color w:val="365F91" w:themeColor="accent1" w:themeShade="BF"/>
                <w:sz w:val="18"/>
                <w:szCs w:val="18"/>
                <w:lang w:val="el-GR"/>
              </w:rPr>
              <w:t>.</w:t>
            </w:r>
            <w:r w:rsidRPr="00F94F3F">
              <w:rPr>
                <w:rFonts w:ascii="Verdana" w:eastAsia="Times New Roman" w:hAnsi="Verdana" w:cs="Calibri"/>
                <w:b/>
                <w:bCs/>
                <w:color w:val="365F91" w:themeColor="accent1" w:themeShade="BF"/>
                <w:sz w:val="18"/>
                <w:szCs w:val="18"/>
              </w:rPr>
              <w:t>10</w:t>
            </w:r>
            <w:r w:rsidRPr="00F94F3F">
              <w:rPr>
                <w:rFonts w:ascii="Verdana" w:eastAsia="Times New Roman" w:hAnsi="Verdana" w:cs="Calibri"/>
                <w:b/>
                <w:bCs/>
                <w:color w:val="365F91" w:themeColor="accent1" w:themeShade="BF"/>
                <w:sz w:val="18"/>
                <w:szCs w:val="18"/>
                <w:lang w:val="el-GR"/>
              </w:rPr>
              <w:t>.</w:t>
            </w:r>
            <w:r w:rsidRPr="00F94F3F">
              <w:rPr>
                <w:rFonts w:ascii="Verdana" w:eastAsia="Times New Roman" w:hAnsi="Verdana" w:cs="Calibri"/>
                <w:b/>
                <w:bCs/>
                <w:color w:val="365F91" w:themeColor="accent1" w:themeShade="BF"/>
                <w:sz w:val="18"/>
                <w:szCs w:val="18"/>
              </w:rPr>
              <w:t>2021</w:t>
            </w:r>
          </w:p>
        </w:tc>
        <w:tc>
          <w:tcPr>
            <w:tcW w:w="1981" w:type="dxa"/>
            <w:tcBorders>
              <w:top w:val="nil"/>
              <w:left w:val="nil"/>
              <w:bottom w:val="single" w:sz="8" w:space="0" w:color="2F5496"/>
              <w:right w:val="nil"/>
            </w:tcBorders>
            <w:shd w:val="clear" w:color="auto" w:fill="auto"/>
            <w:vAlign w:val="center"/>
            <w:hideMark/>
          </w:tcPr>
          <w:p w14:paraId="5E098B9A" w14:textId="77777777" w:rsidR="00ED239D" w:rsidRPr="00F94F3F" w:rsidRDefault="00ED239D" w:rsidP="009D7C28">
            <w:pPr>
              <w:jc w:val="center"/>
              <w:rPr>
                <w:rFonts w:ascii="Verdana" w:eastAsia="Times New Roman" w:hAnsi="Verdana" w:cs="Calibri"/>
                <w:b/>
                <w:bCs/>
                <w:color w:val="365F91" w:themeColor="accent1" w:themeShade="BF"/>
                <w:sz w:val="18"/>
                <w:szCs w:val="18"/>
              </w:rPr>
            </w:pPr>
            <w:r w:rsidRPr="00F94F3F">
              <w:rPr>
                <w:rFonts w:ascii="Verdana" w:eastAsia="Times New Roman" w:hAnsi="Verdana" w:cs="Calibri"/>
                <w:b/>
                <w:bCs/>
                <w:color w:val="365F91" w:themeColor="accent1" w:themeShade="BF"/>
                <w:sz w:val="18"/>
                <w:szCs w:val="18"/>
              </w:rPr>
              <w:t>1</w:t>
            </w:r>
            <w:r w:rsidRPr="00F94F3F">
              <w:rPr>
                <w:rFonts w:ascii="Verdana" w:eastAsia="Times New Roman" w:hAnsi="Verdana" w:cs="Calibri"/>
                <w:b/>
                <w:bCs/>
                <w:color w:val="365F91" w:themeColor="accent1" w:themeShade="BF"/>
                <w:sz w:val="18"/>
                <w:szCs w:val="18"/>
                <w:lang w:val="el-GR"/>
              </w:rPr>
              <w:t>.</w:t>
            </w:r>
            <w:r w:rsidRPr="00F94F3F">
              <w:rPr>
                <w:rFonts w:ascii="Verdana" w:eastAsia="Times New Roman" w:hAnsi="Verdana" w:cs="Calibri"/>
                <w:b/>
                <w:bCs/>
                <w:color w:val="365F91" w:themeColor="accent1" w:themeShade="BF"/>
                <w:sz w:val="18"/>
                <w:szCs w:val="18"/>
              </w:rPr>
              <w:t>10</w:t>
            </w:r>
            <w:r w:rsidRPr="00F94F3F">
              <w:rPr>
                <w:rFonts w:ascii="Verdana" w:eastAsia="Times New Roman" w:hAnsi="Verdana" w:cs="Calibri"/>
                <w:b/>
                <w:bCs/>
                <w:color w:val="365F91" w:themeColor="accent1" w:themeShade="BF"/>
                <w:sz w:val="18"/>
                <w:szCs w:val="18"/>
                <w:lang w:val="el-GR"/>
              </w:rPr>
              <w:t>.</w:t>
            </w:r>
            <w:r w:rsidRPr="00F94F3F">
              <w:rPr>
                <w:rFonts w:ascii="Verdana" w:eastAsia="Times New Roman" w:hAnsi="Verdana" w:cs="Calibri"/>
                <w:b/>
                <w:bCs/>
                <w:color w:val="365F91" w:themeColor="accent1" w:themeShade="BF"/>
                <w:sz w:val="18"/>
                <w:szCs w:val="18"/>
              </w:rPr>
              <w:t>2011</w:t>
            </w:r>
          </w:p>
        </w:tc>
        <w:tc>
          <w:tcPr>
            <w:tcW w:w="1982" w:type="dxa"/>
            <w:tcBorders>
              <w:top w:val="nil"/>
              <w:left w:val="nil"/>
              <w:bottom w:val="single" w:sz="8" w:space="0" w:color="2F5496"/>
              <w:right w:val="nil"/>
            </w:tcBorders>
            <w:shd w:val="clear" w:color="auto" w:fill="auto"/>
            <w:vAlign w:val="center"/>
            <w:hideMark/>
          </w:tcPr>
          <w:p w14:paraId="2F3D68F7" w14:textId="2F2BA949" w:rsidR="00ED239D" w:rsidRPr="00F94F3F" w:rsidRDefault="00ED239D" w:rsidP="009D7C28">
            <w:pPr>
              <w:jc w:val="center"/>
              <w:rPr>
                <w:rFonts w:ascii="Verdana" w:eastAsia="Times New Roman" w:hAnsi="Verdana" w:cs="Calibri"/>
                <w:b/>
                <w:bCs/>
                <w:color w:val="365F91" w:themeColor="accent1" w:themeShade="BF"/>
                <w:sz w:val="18"/>
                <w:szCs w:val="18"/>
              </w:rPr>
            </w:pPr>
            <w:r w:rsidRPr="00F94F3F">
              <w:rPr>
                <w:rFonts w:ascii="Verdana" w:eastAsia="Times New Roman" w:hAnsi="Verdana" w:cs="Calibri"/>
                <w:b/>
                <w:bCs/>
                <w:color w:val="365F91" w:themeColor="accent1" w:themeShade="BF"/>
                <w:sz w:val="18"/>
                <w:szCs w:val="18"/>
              </w:rPr>
              <w:t>% Increase 2021/2011</w:t>
            </w:r>
          </w:p>
        </w:tc>
      </w:tr>
      <w:tr w:rsidR="00F94F3F" w:rsidRPr="00F94F3F" w14:paraId="5C80B012" w14:textId="77777777" w:rsidTr="00F94F3F">
        <w:trPr>
          <w:trHeight w:val="285"/>
          <w:jc w:val="center"/>
        </w:trPr>
        <w:tc>
          <w:tcPr>
            <w:tcW w:w="1981" w:type="dxa"/>
            <w:tcBorders>
              <w:top w:val="nil"/>
              <w:left w:val="nil"/>
              <w:bottom w:val="nil"/>
              <w:right w:val="nil"/>
            </w:tcBorders>
            <w:shd w:val="clear" w:color="auto" w:fill="auto"/>
            <w:vAlign w:val="center"/>
            <w:hideMark/>
          </w:tcPr>
          <w:p w14:paraId="654F4344" w14:textId="21F1E77E" w:rsidR="00ED239D" w:rsidRPr="00F94F3F" w:rsidRDefault="00ED239D" w:rsidP="00ED239D">
            <w:pPr>
              <w:rPr>
                <w:rFonts w:ascii="Verdana" w:eastAsia="Times New Roman" w:hAnsi="Verdana" w:cs="Calibri"/>
                <w:color w:val="365F91" w:themeColor="accent1" w:themeShade="BF"/>
                <w:sz w:val="18"/>
                <w:szCs w:val="18"/>
              </w:rPr>
            </w:pPr>
            <w:proofErr w:type="spellStart"/>
            <w:r w:rsidRPr="00F94F3F">
              <w:rPr>
                <w:rFonts w:ascii="Verdana" w:eastAsia="Times New Roman" w:hAnsi="Verdana" w:cs="Calibri"/>
                <w:color w:val="365F91" w:themeColor="accent1" w:themeShade="BF"/>
                <w:sz w:val="18"/>
                <w:szCs w:val="18"/>
              </w:rPr>
              <w:t>Lefkosia</w:t>
            </w:r>
            <w:proofErr w:type="spellEnd"/>
          </w:p>
        </w:tc>
        <w:tc>
          <w:tcPr>
            <w:tcW w:w="1981" w:type="dxa"/>
            <w:tcBorders>
              <w:top w:val="nil"/>
              <w:left w:val="nil"/>
              <w:bottom w:val="nil"/>
              <w:right w:val="nil"/>
            </w:tcBorders>
            <w:shd w:val="clear" w:color="auto" w:fill="auto"/>
            <w:vAlign w:val="center"/>
            <w:hideMark/>
          </w:tcPr>
          <w:p w14:paraId="2CD46930" w14:textId="77777777" w:rsidR="00ED239D" w:rsidRPr="00F94F3F" w:rsidRDefault="00ED239D" w:rsidP="00F94F3F">
            <w:pPr>
              <w:ind w:right="454"/>
              <w:jc w:val="right"/>
              <w:rPr>
                <w:rFonts w:ascii="Verdana" w:eastAsia="Times New Roman" w:hAnsi="Verdana" w:cs="Calibri"/>
                <w:color w:val="365F91" w:themeColor="accent1" w:themeShade="BF"/>
                <w:sz w:val="18"/>
                <w:szCs w:val="18"/>
              </w:rPr>
            </w:pPr>
            <w:r w:rsidRPr="00F94F3F">
              <w:rPr>
                <w:rFonts w:ascii="Verdana" w:eastAsia="Times New Roman" w:hAnsi="Verdana" w:cs="Calibri"/>
                <w:color w:val="365F91" w:themeColor="accent1" w:themeShade="BF"/>
                <w:sz w:val="18"/>
                <w:szCs w:val="18"/>
              </w:rPr>
              <w:t>350.035</w:t>
            </w:r>
          </w:p>
        </w:tc>
        <w:tc>
          <w:tcPr>
            <w:tcW w:w="1981" w:type="dxa"/>
            <w:tcBorders>
              <w:top w:val="nil"/>
              <w:left w:val="nil"/>
              <w:bottom w:val="nil"/>
              <w:right w:val="nil"/>
            </w:tcBorders>
            <w:shd w:val="clear" w:color="auto" w:fill="auto"/>
            <w:vAlign w:val="center"/>
            <w:hideMark/>
          </w:tcPr>
          <w:p w14:paraId="6BD415F9" w14:textId="77777777" w:rsidR="00ED239D" w:rsidRPr="00F94F3F" w:rsidRDefault="00ED239D" w:rsidP="00F94F3F">
            <w:pPr>
              <w:ind w:right="454"/>
              <w:jc w:val="right"/>
              <w:rPr>
                <w:rFonts w:ascii="Verdana" w:eastAsia="Times New Roman" w:hAnsi="Verdana" w:cs="Calibri"/>
                <w:color w:val="365F91" w:themeColor="accent1" w:themeShade="BF"/>
                <w:sz w:val="18"/>
                <w:szCs w:val="18"/>
              </w:rPr>
            </w:pPr>
            <w:r w:rsidRPr="00F94F3F">
              <w:rPr>
                <w:rFonts w:ascii="Verdana" w:eastAsia="Times New Roman" w:hAnsi="Verdana" w:cs="Calibri"/>
                <w:color w:val="365F91" w:themeColor="accent1" w:themeShade="BF"/>
                <w:sz w:val="18"/>
                <w:szCs w:val="18"/>
              </w:rPr>
              <w:t>326.980</w:t>
            </w:r>
          </w:p>
        </w:tc>
        <w:tc>
          <w:tcPr>
            <w:tcW w:w="1982" w:type="dxa"/>
            <w:tcBorders>
              <w:top w:val="nil"/>
              <w:left w:val="nil"/>
              <w:bottom w:val="nil"/>
              <w:right w:val="nil"/>
            </w:tcBorders>
            <w:shd w:val="clear" w:color="auto" w:fill="auto"/>
            <w:vAlign w:val="center"/>
            <w:hideMark/>
          </w:tcPr>
          <w:p w14:paraId="425BF2DC" w14:textId="77777777" w:rsidR="00ED239D" w:rsidRPr="00F94F3F" w:rsidRDefault="00ED239D" w:rsidP="00F94F3F">
            <w:pPr>
              <w:ind w:right="680"/>
              <w:jc w:val="right"/>
              <w:rPr>
                <w:rFonts w:ascii="Verdana" w:eastAsia="Times New Roman" w:hAnsi="Verdana" w:cs="Calibri"/>
                <w:color w:val="365F91" w:themeColor="accent1" w:themeShade="BF"/>
                <w:sz w:val="18"/>
                <w:szCs w:val="18"/>
              </w:rPr>
            </w:pPr>
            <w:r w:rsidRPr="00F94F3F">
              <w:rPr>
                <w:rFonts w:ascii="Verdana" w:eastAsia="Times New Roman" w:hAnsi="Verdana" w:cs="Calibri"/>
                <w:color w:val="365F91" w:themeColor="accent1" w:themeShade="BF"/>
                <w:sz w:val="18"/>
                <w:szCs w:val="18"/>
              </w:rPr>
              <w:t>7,1</w:t>
            </w:r>
          </w:p>
        </w:tc>
      </w:tr>
      <w:tr w:rsidR="00F94F3F" w:rsidRPr="00F94F3F" w14:paraId="0DA63721" w14:textId="77777777" w:rsidTr="00F94F3F">
        <w:trPr>
          <w:trHeight w:val="297"/>
          <w:jc w:val="center"/>
        </w:trPr>
        <w:tc>
          <w:tcPr>
            <w:tcW w:w="1981" w:type="dxa"/>
            <w:tcBorders>
              <w:top w:val="nil"/>
              <w:left w:val="nil"/>
              <w:bottom w:val="nil"/>
              <w:right w:val="nil"/>
            </w:tcBorders>
            <w:shd w:val="clear" w:color="auto" w:fill="auto"/>
            <w:vAlign w:val="center"/>
            <w:hideMark/>
          </w:tcPr>
          <w:p w14:paraId="4FEF8DB0" w14:textId="3ED055C8" w:rsidR="00ED239D" w:rsidRPr="00F94F3F" w:rsidRDefault="00ED239D" w:rsidP="00ED239D">
            <w:pPr>
              <w:rPr>
                <w:rFonts w:ascii="Verdana" w:eastAsia="Times New Roman" w:hAnsi="Verdana" w:cs="Calibri"/>
                <w:color w:val="365F91" w:themeColor="accent1" w:themeShade="BF"/>
                <w:sz w:val="18"/>
                <w:szCs w:val="18"/>
              </w:rPr>
            </w:pPr>
            <w:proofErr w:type="spellStart"/>
            <w:r w:rsidRPr="00F94F3F">
              <w:rPr>
                <w:rFonts w:ascii="Verdana" w:eastAsia="Times New Roman" w:hAnsi="Verdana" w:cs="Calibri"/>
                <w:color w:val="365F91" w:themeColor="accent1" w:themeShade="BF"/>
                <w:sz w:val="18"/>
                <w:szCs w:val="18"/>
              </w:rPr>
              <w:t>Ammochostos</w:t>
            </w:r>
            <w:proofErr w:type="spellEnd"/>
          </w:p>
        </w:tc>
        <w:tc>
          <w:tcPr>
            <w:tcW w:w="1981" w:type="dxa"/>
            <w:tcBorders>
              <w:top w:val="nil"/>
              <w:left w:val="nil"/>
              <w:bottom w:val="nil"/>
              <w:right w:val="nil"/>
            </w:tcBorders>
            <w:shd w:val="clear" w:color="auto" w:fill="auto"/>
            <w:vAlign w:val="center"/>
            <w:hideMark/>
          </w:tcPr>
          <w:p w14:paraId="341B6909" w14:textId="77777777" w:rsidR="00ED239D" w:rsidRPr="00F94F3F" w:rsidRDefault="00ED239D" w:rsidP="00F94F3F">
            <w:pPr>
              <w:ind w:right="454"/>
              <w:jc w:val="right"/>
              <w:rPr>
                <w:rFonts w:ascii="Verdana" w:eastAsia="Times New Roman" w:hAnsi="Verdana" w:cs="Calibri"/>
                <w:color w:val="365F91" w:themeColor="accent1" w:themeShade="BF"/>
                <w:sz w:val="18"/>
                <w:szCs w:val="18"/>
              </w:rPr>
            </w:pPr>
            <w:r w:rsidRPr="00F94F3F">
              <w:rPr>
                <w:rFonts w:ascii="Verdana" w:eastAsia="Times New Roman" w:hAnsi="Verdana" w:cs="Calibri"/>
                <w:color w:val="365F91" w:themeColor="accent1" w:themeShade="BF"/>
                <w:sz w:val="18"/>
                <w:szCs w:val="18"/>
              </w:rPr>
              <w:t>54.318</w:t>
            </w:r>
          </w:p>
        </w:tc>
        <w:tc>
          <w:tcPr>
            <w:tcW w:w="1981" w:type="dxa"/>
            <w:tcBorders>
              <w:top w:val="nil"/>
              <w:left w:val="nil"/>
              <w:bottom w:val="nil"/>
              <w:right w:val="nil"/>
            </w:tcBorders>
            <w:shd w:val="clear" w:color="auto" w:fill="auto"/>
            <w:vAlign w:val="center"/>
            <w:hideMark/>
          </w:tcPr>
          <w:p w14:paraId="1A995EC8" w14:textId="77777777" w:rsidR="00ED239D" w:rsidRPr="00F94F3F" w:rsidRDefault="00ED239D" w:rsidP="00F94F3F">
            <w:pPr>
              <w:ind w:right="454"/>
              <w:jc w:val="right"/>
              <w:rPr>
                <w:rFonts w:ascii="Verdana" w:eastAsia="Times New Roman" w:hAnsi="Verdana" w:cs="Calibri"/>
                <w:color w:val="365F91" w:themeColor="accent1" w:themeShade="BF"/>
                <w:sz w:val="18"/>
                <w:szCs w:val="18"/>
              </w:rPr>
            </w:pPr>
            <w:r w:rsidRPr="00F94F3F">
              <w:rPr>
                <w:rFonts w:ascii="Verdana" w:eastAsia="Times New Roman" w:hAnsi="Verdana" w:cs="Calibri"/>
                <w:color w:val="365F91" w:themeColor="accent1" w:themeShade="BF"/>
                <w:sz w:val="18"/>
                <w:szCs w:val="18"/>
              </w:rPr>
              <w:t>46.629</w:t>
            </w:r>
          </w:p>
        </w:tc>
        <w:tc>
          <w:tcPr>
            <w:tcW w:w="1982" w:type="dxa"/>
            <w:tcBorders>
              <w:top w:val="nil"/>
              <w:left w:val="nil"/>
              <w:bottom w:val="nil"/>
              <w:right w:val="nil"/>
            </w:tcBorders>
            <w:shd w:val="clear" w:color="auto" w:fill="auto"/>
            <w:vAlign w:val="center"/>
            <w:hideMark/>
          </w:tcPr>
          <w:p w14:paraId="08D5D056" w14:textId="77777777" w:rsidR="00ED239D" w:rsidRPr="00F94F3F" w:rsidRDefault="00ED239D" w:rsidP="00F94F3F">
            <w:pPr>
              <w:ind w:right="680"/>
              <w:jc w:val="right"/>
              <w:rPr>
                <w:rFonts w:ascii="Verdana" w:eastAsia="Times New Roman" w:hAnsi="Verdana" w:cs="Calibri"/>
                <w:color w:val="365F91" w:themeColor="accent1" w:themeShade="BF"/>
                <w:sz w:val="18"/>
                <w:szCs w:val="18"/>
              </w:rPr>
            </w:pPr>
            <w:r w:rsidRPr="00F94F3F">
              <w:rPr>
                <w:rFonts w:ascii="Verdana" w:eastAsia="Times New Roman" w:hAnsi="Verdana" w:cs="Calibri"/>
                <w:color w:val="365F91" w:themeColor="accent1" w:themeShade="BF"/>
                <w:sz w:val="18"/>
                <w:szCs w:val="18"/>
              </w:rPr>
              <w:t>16,5</w:t>
            </w:r>
          </w:p>
        </w:tc>
      </w:tr>
      <w:tr w:rsidR="00F94F3F" w:rsidRPr="00F94F3F" w14:paraId="7D2829DB" w14:textId="77777777" w:rsidTr="00F94F3F">
        <w:trPr>
          <w:trHeight w:val="285"/>
          <w:jc w:val="center"/>
        </w:trPr>
        <w:tc>
          <w:tcPr>
            <w:tcW w:w="1981" w:type="dxa"/>
            <w:tcBorders>
              <w:top w:val="nil"/>
              <w:left w:val="nil"/>
              <w:bottom w:val="nil"/>
              <w:right w:val="nil"/>
            </w:tcBorders>
            <w:shd w:val="clear" w:color="auto" w:fill="auto"/>
            <w:vAlign w:val="center"/>
            <w:hideMark/>
          </w:tcPr>
          <w:p w14:paraId="3C9DB632" w14:textId="60B21ADC" w:rsidR="00ED239D" w:rsidRPr="00F94F3F" w:rsidRDefault="00ED239D" w:rsidP="00ED239D">
            <w:pPr>
              <w:rPr>
                <w:rFonts w:ascii="Verdana" w:eastAsia="Times New Roman" w:hAnsi="Verdana" w:cs="Calibri"/>
                <w:color w:val="365F91" w:themeColor="accent1" w:themeShade="BF"/>
                <w:sz w:val="18"/>
                <w:szCs w:val="18"/>
              </w:rPr>
            </w:pPr>
            <w:proofErr w:type="spellStart"/>
            <w:r w:rsidRPr="00F94F3F">
              <w:rPr>
                <w:rFonts w:ascii="Verdana" w:eastAsia="Times New Roman" w:hAnsi="Verdana" w:cs="Calibri"/>
                <w:color w:val="365F91" w:themeColor="accent1" w:themeShade="BF"/>
                <w:sz w:val="18"/>
                <w:szCs w:val="18"/>
              </w:rPr>
              <w:t>Larnaka</w:t>
            </w:r>
            <w:proofErr w:type="spellEnd"/>
          </w:p>
        </w:tc>
        <w:tc>
          <w:tcPr>
            <w:tcW w:w="1981" w:type="dxa"/>
            <w:tcBorders>
              <w:top w:val="nil"/>
              <w:left w:val="nil"/>
              <w:bottom w:val="nil"/>
              <w:right w:val="nil"/>
            </w:tcBorders>
            <w:shd w:val="clear" w:color="auto" w:fill="auto"/>
            <w:vAlign w:val="center"/>
            <w:hideMark/>
          </w:tcPr>
          <w:p w14:paraId="09636167" w14:textId="77777777" w:rsidR="00ED239D" w:rsidRPr="00F94F3F" w:rsidRDefault="00ED239D" w:rsidP="00F94F3F">
            <w:pPr>
              <w:ind w:right="454"/>
              <w:jc w:val="right"/>
              <w:rPr>
                <w:rFonts w:ascii="Verdana" w:eastAsia="Times New Roman" w:hAnsi="Verdana" w:cs="Calibri"/>
                <w:color w:val="365F91" w:themeColor="accent1" w:themeShade="BF"/>
                <w:sz w:val="18"/>
                <w:szCs w:val="18"/>
              </w:rPr>
            </w:pPr>
            <w:r w:rsidRPr="00F94F3F">
              <w:rPr>
                <w:rFonts w:ascii="Verdana" w:eastAsia="Times New Roman" w:hAnsi="Verdana" w:cs="Calibri"/>
                <w:color w:val="365F91" w:themeColor="accent1" w:themeShade="BF"/>
                <w:sz w:val="18"/>
                <w:szCs w:val="18"/>
              </w:rPr>
              <w:t>155.765</w:t>
            </w:r>
          </w:p>
        </w:tc>
        <w:tc>
          <w:tcPr>
            <w:tcW w:w="1981" w:type="dxa"/>
            <w:tcBorders>
              <w:top w:val="nil"/>
              <w:left w:val="nil"/>
              <w:bottom w:val="nil"/>
              <w:right w:val="nil"/>
            </w:tcBorders>
            <w:shd w:val="clear" w:color="auto" w:fill="auto"/>
            <w:vAlign w:val="center"/>
            <w:hideMark/>
          </w:tcPr>
          <w:p w14:paraId="449C599A" w14:textId="77777777" w:rsidR="00ED239D" w:rsidRPr="00F94F3F" w:rsidRDefault="00ED239D" w:rsidP="00F94F3F">
            <w:pPr>
              <w:ind w:right="454"/>
              <w:jc w:val="right"/>
              <w:rPr>
                <w:rFonts w:ascii="Verdana" w:eastAsia="Times New Roman" w:hAnsi="Verdana" w:cs="Calibri"/>
                <w:color w:val="365F91" w:themeColor="accent1" w:themeShade="BF"/>
                <w:sz w:val="18"/>
                <w:szCs w:val="18"/>
              </w:rPr>
            </w:pPr>
            <w:r w:rsidRPr="00F94F3F">
              <w:rPr>
                <w:rFonts w:ascii="Verdana" w:eastAsia="Times New Roman" w:hAnsi="Verdana" w:cs="Calibri"/>
                <w:color w:val="365F91" w:themeColor="accent1" w:themeShade="BF"/>
                <w:sz w:val="18"/>
                <w:szCs w:val="18"/>
              </w:rPr>
              <w:t>143.192</w:t>
            </w:r>
          </w:p>
        </w:tc>
        <w:tc>
          <w:tcPr>
            <w:tcW w:w="1982" w:type="dxa"/>
            <w:tcBorders>
              <w:top w:val="nil"/>
              <w:left w:val="nil"/>
              <w:bottom w:val="nil"/>
              <w:right w:val="nil"/>
            </w:tcBorders>
            <w:shd w:val="clear" w:color="auto" w:fill="auto"/>
            <w:vAlign w:val="center"/>
            <w:hideMark/>
          </w:tcPr>
          <w:p w14:paraId="3D2630BA" w14:textId="77777777" w:rsidR="00ED239D" w:rsidRPr="00F94F3F" w:rsidRDefault="00ED239D" w:rsidP="00F94F3F">
            <w:pPr>
              <w:ind w:right="680"/>
              <w:jc w:val="right"/>
              <w:rPr>
                <w:rFonts w:ascii="Verdana" w:eastAsia="Times New Roman" w:hAnsi="Verdana" w:cs="Calibri"/>
                <w:color w:val="365F91" w:themeColor="accent1" w:themeShade="BF"/>
                <w:sz w:val="18"/>
                <w:szCs w:val="18"/>
              </w:rPr>
            </w:pPr>
            <w:r w:rsidRPr="00F94F3F">
              <w:rPr>
                <w:rFonts w:ascii="Verdana" w:eastAsia="Times New Roman" w:hAnsi="Verdana" w:cs="Calibri"/>
                <w:color w:val="365F91" w:themeColor="accent1" w:themeShade="BF"/>
                <w:sz w:val="18"/>
                <w:szCs w:val="18"/>
              </w:rPr>
              <w:t>8,8</w:t>
            </w:r>
          </w:p>
        </w:tc>
      </w:tr>
      <w:tr w:rsidR="00F94F3F" w:rsidRPr="00F94F3F" w14:paraId="3AB6F8A7" w14:textId="77777777" w:rsidTr="00F94F3F">
        <w:trPr>
          <w:trHeight w:val="285"/>
          <w:jc w:val="center"/>
        </w:trPr>
        <w:tc>
          <w:tcPr>
            <w:tcW w:w="1981" w:type="dxa"/>
            <w:tcBorders>
              <w:top w:val="nil"/>
              <w:left w:val="nil"/>
              <w:bottom w:val="nil"/>
              <w:right w:val="nil"/>
            </w:tcBorders>
            <w:shd w:val="clear" w:color="auto" w:fill="auto"/>
            <w:vAlign w:val="center"/>
            <w:hideMark/>
          </w:tcPr>
          <w:p w14:paraId="08DAB20B" w14:textId="17225E69" w:rsidR="00ED239D" w:rsidRPr="00F94F3F" w:rsidRDefault="00ED239D" w:rsidP="00ED239D">
            <w:pPr>
              <w:rPr>
                <w:rFonts w:ascii="Verdana" w:eastAsia="Times New Roman" w:hAnsi="Verdana" w:cs="Calibri"/>
                <w:color w:val="365F91" w:themeColor="accent1" w:themeShade="BF"/>
                <w:sz w:val="18"/>
                <w:szCs w:val="18"/>
              </w:rPr>
            </w:pPr>
            <w:proofErr w:type="spellStart"/>
            <w:r w:rsidRPr="00F94F3F">
              <w:rPr>
                <w:rFonts w:ascii="Verdana" w:eastAsia="Times New Roman" w:hAnsi="Verdana" w:cs="Calibri"/>
                <w:color w:val="365F91" w:themeColor="accent1" w:themeShade="BF"/>
                <w:sz w:val="18"/>
                <w:szCs w:val="18"/>
              </w:rPr>
              <w:t>Lemesos</w:t>
            </w:r>
            <w:proofErr w:type="spellEnd"/>
          </w:p>
        </w:tc>
        <w:tc>
          <w:tcPr>
            <w:tcW w:w="1981" w:type="dxa"/>
            <w:tcBorders>
              <w:top w:val="nil"/>
              <w:left w:val="nil"/>
              <w:bottom w:val="nil"/>
              <w:right w:val="nil"/>
            </w:tcBorders>
            <w:shd w:val="clear" w:color="auto" w:fill="auto"/>
            <w:vAlign w:val="center"/>
            <w:hideMark/>
          </w:tcPr>
          <w:p w14:paraId="48ED10A9" w14:textId="77777777" w:rsidR="00ED239D" w:rsidRPr="00F94F3F" w:rsidRDefault="00ED239D" w:rsidP="00F94F3F">
            <w:pPr>
              <w:ind w:right="454"/>
              <w:jc w:val="right"/>
              <w:rPr>
                <w:rFonts w:ascii="Verdana" w:eastAsia="Times New Roman" w:hAnsi="Verdana" w:cs="Calibri"/>
                <w:color w:val="365F91" w:themeColor="accent1" w:themeShade="BF"/>
                <w:sz w:val="18"/>
                <w:szCs w:val="18"/>
              </w:rPr>
            </w:pPr>
            <w:r w:rsidRPr="00F94F3F">
              <w:rPr>
                <w:rFonts w:ascii="Verdana" w:eastAsia="Times New Roman" w:hAnsi="Verdana" w:cs="Calibri"/>
                <w:color w:val="365F91" w:themeColor="accent1" w:themeShade="BF"/>
                <w:sz w:val="18"/>
                <w:szCs w:val="18"/>
              </w:rPr>
              <w:t>262.157</w:t>
            </w:r>
          </w:p>
        </w:tc>
        <w:tc>
          <w:tcPr>
            <w:tcW w:w="1981" w:type="dxa"/>
            <w:tcBorders>
              <w:top w:val="nil"/>
              <w:left w:val="nil"/>
              <w:bottom w:val="nil"/>
              <w:right w:val="nil"/>
            </w:tcBorders>
            <w:shd w:val="clear" w:color="auto" w:fill="auto"/>
            <w:vAlign w:val="center"/>
            <w:hideMark/>
          </w:tcPr>
          <w:p w14:paraId="49A4F3DE" w14:textId="77777777" w:rsidR="00ED239D" w:rsidRPr="00F94F3F" w:rsidRDefault="00ED239D" w:rsidP="00F94F3F">
            <w:pPr>
              <w:ind w:right="454"/>
              <w:jc w:val="right"/>
              <w:rPr>
                <w:rFonts w:ascii="Verdana" w:eastAsia="Times New Roman" w:hAnsi="Verdana" w:cs="Calibri"/>
                <w:color w:val="365F91" w:themeColor="accent1" w:themeShade="BF"/>
                <w:sz w:val="18"/>
                <w:szCs w:val="18"/>
              </w:rPr>
            </w:pPr>
            <w:r w:rsidRPr="00F94F3F">
              <w:rPr>
                <w:rFonts w:ascii="Verdana" w:eastAsia="Times New Roman" w:hAnsi="Verdana" w:cs="Calibri"/>
                <w:color w:val="365F91" w:themeColor="accent1" w:themeShade="BF"/>
                <w:sz w:val="18"/>
                <w:szCs w:val="18"/>
              </w:rPr>
              <w:t>235.330</w:t>
            </w:r>
          </w:p>
        </w:tc>
        <w:tc>
          <w:tcPr>
            <w:tcW w:w="1982" w:type="dxa"/>
            <w:tcBorders>
              <w:top w:val="nil"/>
              <w:left w:val="nil"/>
              <w:bottom w:val="nil"/>
              <w:right w:val="nil"/>
            </w:tcBorders>
            <w:shd w:val="clear" w:color="auto" w:fill="auto"/>
            <w:vAlign w:val="center"/>
            <w:hideMark/>
          </w:tcPr>
          <w:p w14:paraId="582C68A2" w14:textId="77777777" w:rsidR="00ED239D" w:rsidRPr="00F94F3F" w:rsidRDefault="00ED239D" w:rsidP="00F94F3F">
            <w:pPr>
              <w:ind w:right="680"/>
              <w:jc w:val="right"/>
              <w:rPr>
                <w:rFonts w:ascii="Verdana" w:eastAsia="Times New Roman" w:hAnsi="Verdana" w:cs="Calibri"/>
                <w:color w:val="365F91" w:themeColor="accent1" w:themeShade="BF"/>
                <w:sz w:val="18"/>
                <w:szCs w:val="18"/>
              </w:rPr>
            </w:pPr>
            <w:r w:rsidRPr="00F94F3F">
              <w:rPr>
                <w:rFonts w:ascii="Verdana" w:eastAsia="Times New Roman" w:hAnsi="Verdana" w:cs="Calibri"/>
                <w:color w:val="365F91" w:themeColor="accent1" w:themeShade="BF"/>
                <w:sz w:val="18"/>
                <w:szCs w:val="18"/>
              </w:rPr>
              <w:t>11,4</w:t>
            </w:r>
          </w:p>
        </w:tc>
      </w:tr>
      <w:tr w:rsidR="00F94F3F" w:rsidRPr="00F94F3F" w14:paraId="61F707F0" w14:textId="77777777" w:rsidTr="00F94F3F">
        <w:trPr>
          <w:trHeight w:val="297"/>
          <w:jc w:val="center"/>
        </w:trPr>
        <w:tc>
          <w:tcPr>
            <w:tcW w:w="1981" w:type="dxa"/>
            <w:tcBorders>
              <w:top w:val="nil"/>
              <w:left w:val="nil"/>
              <w:bottom w:val="single" w:sz="8" w:space="0" w:color="2F5496"/>
              <w:right w:val="nil"/>
            </w:tcBorders>
            <w:shd w:val="clear" w:color="auto" w:fill="auto"/>
            <w:vAlign w:val="center"/>
            <w:hideMark/>
          </w:tcPr>
          <w:p w14:paraId="186DE46E" w14:textId="5AB06B46" w:rsidR="00ED239D" w:rsidRPr="00F94F3F" w:rsidRDefault="00ED239D" w:rsidP="00ED239D">
            <w:pPr>
              <w:rPr>
                <w:rFonts w:ascii="Verdana" w:eastAsia="Times New Roman" w:hAnsi="Verdana" w:cs="Calibri"/>
                <w:color w:val="365F91" w:themeColor="accent1" w:themeShade="BF"/>
                <w:sz w:val="18"/>
                <w:szCs w:val="18"/>
              </w:rPr>
            </w:pPr>
            <w:proofErr w:type="spellStart"/>
            <w:r w:rsidRPr="00F94F3F">
              <w:rPr>
                <w:rFonts w:ascii="Verdana" w:eastAsia="Times New Roman" w:hAnsi="Verdana" w:cs="Calibri"/>
                <w:color w:val="365F91" w:themeColor="accent1" w:themeShade="BF"/>
                <w:sz w:val="18"/>
                <w:szCs w:val="18"/>
              </w:rPr>
              <w:t>Pafos</w:t>
            </w:r>
            <w:proofErr w:type="spellEnd"/>
          </w:p>
        </w:tc>
        <w:tc>
          <w:tcPr>
            <w:tcW w:w="1981" w:type="dxa"/>
            <w:tcBorders>
              <w:top w:val="nil"/>
              <w:left w:val="nil"/>
              <w:bottom w:val="single" w:sz="8" w:space="0" w:color="2F5496"/>
              <w:right w:val="nil"/>
            </w:tcBorders>
            <w:shd w:val="clear" w:color="auto" w:fill="auto"/>
            <w:vAlign w:val="center"/>
            <w:hideMark/>
          </w:tcPr>
          <w:p w14:paraId="4AE1078F" w14:textId="77777777" w:rsidR="00ED239D" w:rsidRPr="00F94F3F" w:rsidRDefault="00ED239D" w:rsidP="00F94F3F">
            <w:pPr>
              <w:ind w:right="454"/>
              <w:jc w:val="right"/>
              <w:rPr>
                <w:rFonts w:ascii="Verdana" w:eastAsia="Times New Roman" w:hAnsi="Verdana" w:cs="Calibri"/>
                <w:color w:val="365F91" w:themeColor="accent1" w:themeShade="BF"/>
                <w:sz w:val="18"/>
                <w:szCs w:val="18"/>
              </w:rPr>
            </w:pPr>
            <w:r w:rsidRPr="00F94F3F">
              <w:rPr>
                <w:rFonts w:ascii="Verdana" w:eastAsia="Times New Roman" w:hAnsi="Verdana" w:cs="Calibri"/>
                <w:color w:val="365F91" w:themeColor="accent1" w:themeShade="BF"/>
                <w:sz w:val="18"/>
                <w:szCs w:val="18"/>
              </w:rPr>
              <w:t>101.106</w:t>
            </w:r>
          </w:p>
        </w:tc>
        <w:tc>
          <w:tcPr>
            <w:tcW w:w="1981" w:type="dxa"/>
            <w:tcBorders>
              <w:top w:val="nil"/>
              <w:left w:val="nil"/>
              <w:bottom w:val="single" w:sz="8" w:space="0" w:color="2F5496"/>
              <w:right w:val="nil"/>
            </w:tcBorders>
            <w:shd w:val="clear" w:color="auto" w:fill="auto"/>
            <w:vAlign w:val="center"/>
            <w:hideMark/>
          </w:tcPr>
          <w:p w14:paraId="35EBCA3F" w14:textId="77777777" w:rsidR="00ED239D" w:rsidRPr="00F94F3F" w:rsidRDefault="00ED239D" w:rsidP="00F94F3F">
            <w:pPr>
              <w:ind w:right="454"/>
              <w:jc w:val="right"/>
              <w:rPr>
                <w:rFonts w:ascii="Verdana" w:eastAsia="Times New Roman" w:hAnsi="Verdana" w:cs="Calibri"/>
                <w:color w:val="365F91" w:themeColor="accent1" w:themeShade="BF"/>
                <w:sz w:val="18"/>
                <w:szCs w:val="18"/>
              </w:rPr>
            </w:pPr>
            <w:r w:rsidRPr="00F94F3F">
              <w:rPr>
                <w:rFonts w:ascii="Verdana" w:eastAsia="Times New Roman" w:hAnsi="Verdana" w:cs="Calibri"/>
                <w:color w:val="365F91" w:themeColor="accent1" w:themeShade="BF"/>
                <w:sz w:val="18"/>
                <w:szCs w:val="18"/>
              </w:rPr>
              <w:t>88.276</w:t>
            </w:r>
          </w:p>
        </w:tc>
        <w:tc>
          <w:tcPr>
            <w:tcW w:w="1982" w:type="dxa"/>
            <w:tcBorders>
              <w:top w:val="nil"/>
              <w:left w:val="nil"/>
              <w:bottom w:val="single" w:sz="8" w:space="0" w:color="2F5496"/>
              <w:right w:val="nil"/>
            </w:tcBorders>
            <w:shd w:val="clear" w:color="auto" w:fill="auto"/>
            <w:vAlign w:val="center"/>
            <w:hideMark/>
          </w:tcPr>
          <w:p w14:paraId="31BAAFCD" w14:textId="77777777" w:rsidR="00ED239D" w:rsidRPr="00F94F3F" w:rsidRDefault="00ED239D" w:rsidP="00F94F3F">
            <w:pPr>
              <w:ind w:right="680"/>
              <w:jc w:val="right"/>
              <w:rPr>
                <w:rFonts w:ascii="Verdana" w:eastAsia="Times New Roman" w:hAnsi="Verdana" w:cs="Calibri"/>
                <w:color w:val="365F91" w:themeColor="accent1" w:themeShade="BF"/>
                <w:sz w:val="18"/>
                <w:szCs w:val="18"/>
              </w:rPr>
            </w:pPr>
            <w:r w:rsidRPr="00F94F3F">
              <w:rPr>
                <w:rFonts w:ascii="Verdana" w:eastAsia="Times New Roman" w:hAnsi="Verdana" w:cs="Calibri"/>
                <w:color w:val="365F91" w:themeColor="accent1" w:themeShade="BF"/>
                <w:sz w:val="18"/>
                <w:szCs w:val="18"/>
              </w:rPr>
              <w:t>14,5</w:t>
            </w:r>
          </w:p>
        </w:tc>
      </w:tr>
      <w:tr w:rsidR="00F94F3F" w:rsidRPr="00F94F3F" w14:paraId="5E59CCBE" w14:textId="77777777" w:rsidTr="00F94F3F">
        <w:trPr>
          <w:trHeight w:val="297"/>
          <w:jc w:val="center"/>
        </w:trPr>
        <w:tc>
          <w:tcPr>
            <w:tcW w:w="1981" w:type="dxa"/>
            <w:tcBorders>
              <w:top w:val="nil"/>
              <w:left w:val="nil"/>
              <w:bottom w:val="single" w:sz="8" w:space="0" w:color="2F5496"/>
              <w:right w:val="nil"/>
            </w:tcBorders>
            <w:shd w:val="clear" w:color="auto" w:fill="auto"/>
            <w:vAlign w:val="center"/>
            <w:hideMark/>
          </w:tcPr>
          <w:p w14:paraId="5CF8726E" w14:textId="34772A4A" w:rsidR="00ED239D" w:rsidRPr="00F94F3F" w:rsidRDefault="00ED239D" w:rsidP="00ED239D">
            <w:pPr>
              <w:rPr>
                <w:rFonts w:ascii="Verdana" w:eastAsia="Times New Roman" w:hAnsi="Verdana" w:cs="Calibri"/>
                <w:b/>
                <w:bCs/>
                <w:color w:val="365F91" w:themeColor="accent1" w:themeShade="BF"/>
                <w:sz w:val="18"/>
                <w:szCs w:val="18"/>
              </w:rPr>
            </w:pPr>
            <w:r w:rsidRPr="00F94F3F">
              <w:rPr>
                <w:rFonts w:ascii="Verdana" w:eastAsia="Times New Roman" w:hAnsi="Verdana" w:cs="Calibri"/>
                <w:b/>
                <w:bCs/>
                <w:color w:val="365F91" w:themeColor="accent1" w:themeShade="BF"/>
                <w:sz w:val="18"/>
                <w:szCs w:val="18"/>
              </w:rPr>
              <w:t>Total</w:t>
            </w:r>
          </w:p>
        </w:tc>
        <w:tc>
          <w:tcPr>
            <w:tcW w:w="1981" w:type="dxa"/>
            <w:tcBorders>
              <w:top w:val="nil"/>
              <w:left w:val="nil"/>
              <w:bottom w:val="single" w:sz="8" w:space="0" w:color="2F5496"/>
              <w:right w:val="nil"/>
            </w:tcBorders>
            <w:shd w:val="clear" w:color="auto" w:fill="auto"/>
            <w:vAlign w:val="center"/>
            <w:hideMark/>
          </w:tcPr>
          <w:p w14:paraId="424AC38C" w14:textId="77777777" w:rsidR="00ED239D" w:rsidRPr="00F94F3F" w:rsidRDefault="00ED239D" w:rsidP="00F94F3F">
            <w:pPr>
              <w:ind w:right="454"/>
              <w:jc w:val="right"/>
              <w:rPr>
                <w:rFonts w:ascii="Verdana" w:eastAsia="Times New Roman" w:hAnsi="Verdana" w:cs="Calibri"/>
                <w:b/>
                <w:bCs/>
                <w:color w:val="365F91" w:themeColor="accent1" w:themeShade="BF"/>
                <w:sz w:val="18"/>
                <w:szCs w:val="18"/>
              </w:rPr>
            </w:pPr>
            <w:r w:rsidRPr="00F94F3F">
              <w:rPr>
                <w:rFonts w:ascii="Verdana" w:eastAsia="Times New Roman" w:hAnsi="Verdana" w:cs="Calibri"/>
                <w:b/>
                <w:bCs/>
                <w:color w:val="365F91" w:themeColor="accent1" w:themeShade="BF"/>
                <w:sz w:val="18"/>
                <w:szCs w:val="18"/>
              </w:rPr>
              <w:t>923.381</w:t>
            </w:r>
          </w:p>
        </w:tc>
        <w:tc>
          <w:tcPr>
            <w:tcW w:w="1981" w:type="dxa"/>
            <w:tcBorders>
              <w:top w:val="nil"/>
              <w:left w:val="nil"/>
              <w:bottom w:val="single" w:sz="8" w:space="0" w:color="2F5496"/>
              <w:right w:val="nil"/>
            </w:tcBorders>
            <w:shd w:val="clear" w:color="auto" w:fill="auto"/>
            <w:vAlign w:val="center"/>
            <w:hideMark/>
          </w:tcPr>
          <w:p w14:paraId="493CA6AE" w14:textId="77777777" w:rsidR="00ED239D" w:rsidRPr="00F94F3F" w:rsidRDefault="00ED239D" w:rsidP="00F94F3F">
            <w:pPr>
              <w:ind w:right="454"/>
              <w:jc w:val="right"/>
              <w:rPr>
                <w:rFonts w:ascii="Verdana" w:eastAsia="Times New Roman" w:hAnsi="Verdana" w:cs="Calibri"/>
                <w:b/>
                <w:bCs/>
                <w:color w:val="365F91" w:themeColor="accent1" w:themeShade="BF"/>
                <w:sz w:val="18"/>
                <w:szCs w:val="18"/>
              </w:rPr>
            </w:pPr>
            <w:r w:rsidRPr="00F94F3F">
              <w:rPr>
                <w:rFonts w:ascii="Verdana" w:eastAsia="Times New Roman" w:hAnsi="Verdana" w:cs="Calibri"/>
                <w:b/>
                <w:bCs/>
                <w:color w:val="365F91" w:themeColor="accent1" w:themeShade="BF"/>
                <w:sz w:val="18"/>
                <w:szCs w:val="18"/>
              </w:rPr>
              <w:t>840.407</w:t>
            </w:r>
          </w:p>
        </w:tc>
        <w:tc>
          <w:tcPr>
            <w:tcW w:w="1982" w:type="dxa"/>
            <w:tcBorders>
              <w:top w:val="nil"/>
              <w:left w:val="nil"/>
              <w:bottom w:val="single" w:sz="8" w:space="0" w:color="2F5496"/>
              <w:right w:val="nil"/>
            </w:tcBorders>
            <w:shd w:val="clear" w:color="auto" w:fill="auto"/>
            <w:vAlign w:val="center"/>
            <w:hideMark/>
          </w:tcPr>
          <w:p w14:paraId="36D32C5D" w14:textId="77777777" w:rsidR="00ED239D" w:rsidRPr="00F94F3F" w:rsidRDefault="00ED239D" w:rsidP="00F94F3F">
            <w:pPr>
              <w:ind w:right="680"/>
              <w:jc w:val="right"/>
              <w:rPr>
                <w:rFonts w:ascii="Verdana" w:eastAsia="Times New Roman" w:hAnsi="Verdana" w:cs="Calibri"/>
                <w:b/>
                <w:bCs/>
                <w:color w:val="365F91" w:themeColor="accent1" w:themeShade="BF"/>
                <w:sz w:val="18"/>
                <w:szCs w:val="18"/>
              </w:rPr>
            </w:pPr>
            <w:r w:rsidRPr="00F94F3F">
              <w:rPr>
                <w:rFonts w:ascii="Verdana" w:eastAsia="Times New Roman" w:hAnsi="Verdana" w:cs="Calibri"/>
                <w:b/>
                <w:bCs/>
                <w:color w:val="365F91" w:themeColor="accent1" w:themeShade="BF"/>
                <w:sz w:val="18"/>
                <w:szCs w:val="18"/>
              </w:rPr>
              <w:t>9,9</w:t>
            </w:r>
          </w:p>
        </w:tc>
      </w:tr>
    </w:tbl>
    <w:p w14:paraId="00F497D7" w14:textId="77777777" w:rsidR="00ED239D" w:rsidRPr="00F90671" w:rsidRDefault="00ED239D" w:rsidP="00666A7F">
      <w:pPr>
        <w:ind w:right="-1"/>
        <w:jc w:val="both"/>
        <w:rPr>
          <w:rFonts w:ascii="Verdana" w:hAnsi="Verdana" w:cs="Calibri"/>
          <w:sz w:val="18"/>
          <w:szCs w:val="18"/>
        </w:rPr>
      </w:pPr>
    </w:p>
    <w:p w14:paraId="56EA2C8A" w14:textId="77777777" w:rsidR="00ED239D" w:rsidRPr="00F90671" w:rsidRDefault="00ED239D" w:rsidP="00666A7F">
      <w:pPr>
        <w:ind w:right="-1"/>
        <w:jc w:val="both"/>
        <w:rPr>
          <w:rFonts w:ascii="Verdana" w:hAnsi="Verdana" w:cs="Calibri"/>
          <w:sz w:val="18"/>
          <w:szCs w:val="18"/>
        </w:rPr>
      </w:pPr>
    </w:p>
    <w:p w14:paraId="6F14736A" w14:textId="349463D1" w:rsidR="00666A7F" w:rsidRPr="00F90671" w:rsidRDefault="00666A7F" w:rsidP="00666A7F">
      <w:pPr>
        <w:ind w:right="-1"/>
        <w:jc w:val="both"/>
        <w:rPr>
          <w:rFonts w:ascii="Verdana" w:hAnsi="Verdana" w:cs="Calibri"/>
          <w:sz w:val="18"/>
          <w:szCs w:val="18"/>
          <w:lang w:val="en-GB"/>
        </w:rPr>
      </w:pPr>
      <w:r w:rsidRPr="00F90671">
        <w:rPr>
          <w:rFonts w:ascii="Verdana" w:hAnsi="Verdana" w:cs="Calibri"/>
          <w:sz w:val="18"/>
          <w:szCs w:val="18"/>
        </w:rPr>
        <w:t>The percentage of persons aged less than 15 years</w:t>
      </w:r>
      <w:r w:rsidR="00B16FC6" w:rsidRPr="00F90671">
        <w:rPr>
          <w:rFonts w:ascii="Verdana" w:hAnsi="Verdana" w:cs="Calibri"/>
          <w:sz w:val="18"/>
          <w:szCs w:val="18"/>
        </w:rPr>
        <w:t xml:space="preserve"> reached</w:t>
      </w:r>
      <w:r w:rsidRPr="00F90671">
        <w:rPr>
          <w:rFonts w:ascii="Verdana" w:hAnsi="Verdana" w:cs="Calibri"/>
          <w:sz w:val="18"/>
          <w:szCs w:val="18"/>
        </w:rPr>
        <w:t xml:space="preserve"> 15,4%, the percentage of persons in the age group 15-64 years reached 67,3% and the percentage of persons aged 65 years and over reached 17,2%. </w:t>
      </w:r>
      <w:r w:rsidR="00B123A9" w:rsidRPr="00F90671">
        <w:rPr>
          <w:rFonts w:ascii="Verdana" w:hAnsi="Verdana" w:cs="Calibri"/>
          <w:sz w:val="18"/>
          <w:szCs w:val="18"/>
        </w:rPr>
        <w:t>The percentage of persons aged 65 years and over has exceeded the percentage of persons aged less than 15 years, indicative of the ag</w:t>
      </w:r>
      <w:r w:rsidR="008607DA" w:rsidRPr="00F90671">
        <w:rPr>
          <w:rFonts w:ascii="Verdana" w:hAnsi="Verdana" w:cs="Calibri"/>
          <w:sz w:val="18"/>
          <w:szCs w:val="18"/>
        </w:rPr>
        <w:t>e</w:t>
      </w:r>
      <w:r w:rsidR="00B123A9" w:rsidRPr="00F90671">
        <w:rPr>
          <w:rFonts w:ascii="Verdana" w:hAnsi="Verdana" w:cs="Calibri"/>
          <w:sz w:val="18"/>
          <w:szCs w:val="18"/>
        </w:rPr>
        <w:t>ing of the population.</w:t>
      </w:r>
      <w:r w:rsidR="00941203" w:rsidRPr="00F90671">
        <w:rPr>
          <w:rFonts w:ascii="Verdana" w:hAnsi="Verdana" w:cs="Calibri"/>
          <w:sz w:val="18"/>
          <w:szCs w:val="18"/>
        </w:rPr>
        <w:t xml:space="preserve"> </w:t>
      </w:r>
      <w:r w:rsidRPr="00F90671">
        <w:rPr>
          <w:rFonts w:ascii="Verdana" w:hAnsi="Verdana" w:cs="Calibri"/>
          <w:sz w:val="18"/>
          <w:szCs w:val="18"/>
        </w:rPr>
        <w:t>The phenomenon of population ag</w:t>
      </w:r>
      <w:r w:rsidR="008607DA" w:rsidRPr="00F90671">
        <w:rPr>
          <w:rFonts w:ascii="Verdana" w:hAnsi="Verdana" w:cs="Calibri"/>
          <w:sz w:val="18"/>
          <w:szCs w:val="18"/>
        </w:rPr>
        <w:t>e</w:t>
      </w:r>
      <w:r w:rsidRPr="00F90671">
        <w:rPr>
          <w:rFonts w:ascii="Verdana" w:hAnsi="Verdana" w:cs="Calibri"/>
          <w:sz w:val="18"/>
          <w:szCs w:val="18"/>
        </w:rPr>
        <w:t>ing is observed in most European countries.</w:t>
      </w:r>
    </w:p>
    <w:p w14:paraId="43B7EA11" w14:textId="77777777" w:rsidR="00FD1DF7" w:rsidRPr="00F90671" w:rsidRDefault="00FD1DF7" w:rsidP="00666A7F">
      <w:pPr>
        <w:ind w:right="-1"/>
        <w:jc w:val="both"/>
        <w:rPr>
          <w:rFonts w:ascii="Verdana" w:hAnsi="Verdana" w:cs="Calibri"/>
          <w:sz w:val="18"/>
          <w:szCs w:val="18"/>
        </w:rPr>
      </w:pPr>
    </w:p>
    <w:p w14:paraId="3FAAAD61" w14:textId="4B5D2103" w:rsidR="00FD1DF7" w:rsidRPr="00F90671" w:rsidRDefault="00FD1DF7" w:rsidP="00666A7F">
      <w:pPr>
        <w:ind w:right="-1"/>
        <w:jc w:val="both"/>
        <w:rPr>
          <w:rFonts w:ascii="Verdana" w:hAnsi="Verdana" w:cs="Calibri"/>
          <w:sz w:val="18"/>
          <w:szCs w:val="18"/>
          <w:lang w:val="en-GB"/>
        </w:rPr>
      </w:pPr>
      <w:r w:rsidRPr="00F90671">
        <w:rPr>
          <w:rFonts w:ascii="Verdana" w:hAnsi="Verdana" w:cs="Calibri"/>
          <w:sz w:val="18"/>
          <w:szCs w:val="18"/>
          <w:lang w:val="en-GB"/>
        </w:rPr>
        <w:t xml:space="preserve">In the following </w:t>
      </w:r>
      <w:r w:rsidR="00DD3DAC" w:rsidRPr="00F90671">
        <w:rPr>
          <w:rFonts w:ascii="Verdana" w:hAnsi="Verdana" w:cs="Calibri"/>
          <w:sz w:val="18"/>
          <w:szCs w:val="18"/>
          <w:lang w:val="en-GB"/>
        </w:rPr>
        <w:t>figure</w:t>
      </w:r>
      <w:r w:rsidRPr="00F90671">
        <w:rPr>
          <w:rFonts w:ascii="Verdana" w:hAnsi="Verdana" w:cs="Calibri"/>
          <w:sz w:val="18"/>
          <w:szCs w:val="18"/>
          <w:lang w:val="en-GB"/>
        </w:rPr>
        <w:t xml:space="preserve">, the age composition of the population during the last two Censuses is presented. The results display </w:t>
      </w:r>
      <w:r w:rsidR="008607DA" w:rsidRPr="00F90671">
        <w:rPr>
          <w:rFonts w:ascii="Verdana" w:hAnsi="Verdana" w:cs="Calibri"/>
          <w:sz w:val="18"/>
          <w:szCs w:val="18"/>
          <w:lang w:val="en-GB"/>
        </w:rPr>
        <w:t xml:space="preserve">that </w:t>
      </w:r>
      <w:r w:rsidRPr="00F90671">
        <w:rPr>
          <w:rFonts w:ascii="Verdana" w:hAnsi="Verdana" w:cs="Calibri"/>
          <w:sz w:val="18"/>
          <w:szCs w:val="18"/>
          <w:lang w:val="en-GB"/>
        </w:rPr>
        <w:t>the percentage of children (aged less than 15 years) has decreased from 16,1% in 2011 to 15,4% in 2021 and the percentage of persons aged 65 years and over has increased from 13,3% in 2011 to 17,2% in 2021.</w:t>
      </w:r>
    </w:p>
    <w:p w14:paraId="7E9CAA15" w14:textId="77777777" w:rsidR="00666A7F" w:rsidRPr="00F90671" w:rsidRDefault="00666A7F" w:rsidP="00666A7F">
      <w:pPr>
        <w:ind w:right="-1"/>
        <w:jc w:val="both"/>
        <w:rPr>
          <w:rFonts w:ascii="Verdana" w:hAnsi="Verdana" w:cs="Calibri"/>
          <w:sz w:val="18"/>
          <w:szCs w:val="18"/>
        </w:rPr>
      </w:pPr>
    </w:p>
    <w:p w14:paraId="5B35DC24" w14:textId="3E3E0DE1" w:rsidR="00666A7F" w:rsidRPr="009F145E" w:rsidRDefault="00B0234F" w:rsidP="006848CD">
      <w:pPr>
        <w:ind w:right="-1"/>
        <w:jc w:val="center"/>
        <w:rPr>
          <w:rFonts w:ascii="Verdana" w:hAnsi="Verdana" w:cs="Calibri"/>
          <w:sz w:val="18"/>
          <w:szCs w:val="18"/>
        </w:rPr>
      </w:pPr>
      <w:r>
        <w:rPr>
          <w:rFonts w:ascii="Verdana" w:hAnsi="Verdana" w:cs="Calibri"/>
          <w:noProof/>
          <w:sz w:val="18"/>
          <w:szCs w:val="18"/>
        </w:rPr>
        <w:drawing>
          <wp:inline distT="0" distB="0" distL="0" distR="0" wp14:anchorId="73D71D34" wp14:editId="6D78616A">
            <wp:extent cx="6066155" cy="3291840"/>
            <wp:effectExtent l="0" t="0" r="0" b="3810"/>
            <wp:docPr id="17012461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66155" cy="3291840"/>
                    </a:xfrm>
                    <a:prstGeom prst="rect">
                      <a:avLst/>
                    </a:prstGeom>
                    <a:noFill/>
                  </pic:spPr>
                </pic:pic>
              </a:graphicData>
            </a:graphic>
          </wp:inline>
        </w:drawing>
      </w:r>
    </w:p>
    <w:p w14:paraId="3C4B3C4D" w14:textId="77777777" w:rsidR="00666A7F" w:rsidRPr="009F145E" w:rsidRDefault="00666A7F" w:rsidP="00F90671">
      <w:pPr>
        <w:jc w:val="both"/>
        <w:rPr>
          <w:rFonts w:ascii="Verdana" w:hAnsi="Verdana" w:cs="Calibri"/>
          <w:sz w:val="18"/>
          <w:szCs w:val="18"/>
        </w:rPr>
      </w:pPr>
    </w:p>
    <w:p w14:paraId="37ADB505" w14:textId="77777777" w:rsidR="00666A7F" w:rsidRPr="009F145E" w:rsidRDefault="00666A7F" w:rsidP="00F90671">
      <w:pPr>
        <w:jc w:val="both"/>
        <w:rPr>
          <w:rFonts w:ascii="Verdana" w:hAnsi="Verdana" w:cs="Calibri"/>
          <w:sz w:val="18"/>
          <w:szCs w:val="18"/>
          <w:lang w:val="el-GR"/>
        </w:rPr>
      </w:pPr>
    </w:p>
    <w:p w14:paraId="1E06593C" w14:textId="5745C117" w:rsidR="00666A7F" w:rsidRPr="009F145E" w:rsidRDefault="00666A7F" w:rsidP="00F90671">
      <w:pPr>
        <w:jc w:val="both"/>
        <w:rPr>
          <w:rFonts w:ascii="Verdana" w:hAnsi="Verdana" w:cs="Calibri"/>
          <w:sz w:val="18"/>
          <w:szCs w:val="18"/>
        </w:rPr>
      </w:pPr>
      <w:r w:rsidRPr="009F145E">
        <w:rPr>
          <w:rFonts w:ascii="Verdana" w:hAnsi="Verdana" w:cs="Calibri"/>
          <w:b/>
          <w:bCs/>
          <w:sz w:val="18"/>
          <w:szCs w:val="18"/>
          <w:u w:val="single"/>
        </w:rPr>
        <w:t xml:space="preserve">Population by </w:t>
      </w:r>
      <w:r w:rsidR="00AE1C9D">
        <w:rPr>
          <w:rFonts w:ascii="Verdana" w:hAnsi="Verdana" w:cs="Calibri"/>
          <w:b/>
          <w:bCs/>
          <w:sz w:val="18"/>
          <w:szCs w:val="18"/>
          <w:u w:val="single"/>
        </w:rPr>
        <w:t>C</w:t>
      </w:r>
      <w:r w:rsidRPr="009F145E">
        <w:rPr>
          <w:rFonts w:ascii="Verdana" w:hAnsi="Verdana" w:cs="Calibri"/>
          <w:b/>
          <w:bCs/>
          <w:sz w:val="18"/>
          <w:szCs w:val="18"/>
          <w:u w:val="single"/>
        </w:rPr>
        <w:t xml:space="preserve">itizenship and </w:t>
      </w:r>
      <w:r w:rsidR="00AE1C9D">
        <w:rPr>
          <w:rFonts w:ascii="Verdana" w:hAnsi="Verdana" w:cs="Calibri"/>
          <w:b/>
          <w:bCs/>
          <w:sz w:val="18"/>
          <w:szCs w:val="18"/>
          <w:u w:val="single"/>
        </w:rPr>
        <w:t>C</w:t>
      </w:r>
      <w:r w:rsidRPr="009F145E">
        <w:rPr>
          <w:rFonts w:ascii="Verdana" w:hAnsi="Verdana" w:cs="Calibri"/>
          <w:b/>
          <w:bCs/>
          <w:sz w:val="18"/>
          <w:szCs w:val="18"/>
          <w:u w:val="single"/>
        </w:rPr>
        <w:t xml:space="preserve">ountry of </w:t>
      </w:r>
      <w:r w:rsidR="00AE1C9D">
        <w:rPr>
          <w:rFonts w:ascii="Verdana" w:hAnsi="Verdana" w:cs="Calibri"/>
          <w:b/>
          <w:bCs/>
          <w:sz w:val="18"/>
          <w:szCs w:val="18"/>
          <w:u w:val="single"/>
        </w:rPr>
        <w:t>B</w:t>
      </w:r>
      <w:r w:rsidRPr="009F145E">
        <w:rPr>
          <w:rFonts w:ascii="Verdana" w:hAnsi="Verdana" w:cs="Calibri"/>
          <w:b/>
          <w:bCs/>
          <w:sz w:val="18"/>
          <w:szCs w:val="18"/>
          <w:u w:val="single"/>
        </w:rPr>
        <w:t>irth</w:t>
      </w:r>
    </w:p>
    <w:p w14:paraId="749A1328" w14:textId="77777777" w:rsidR="00666A7F" w:rsidRPr="009F145E" w:rsidRDefault="00666A7F" w:rsidP="00F90671">
      <w:pPr>
        <w:jc w:val="both"/>
        <w:rPr>
          <w:rFonts w:ascii="Verdana" w:hAnsi="Verdana" w:cs="Calibri"/>
          <w:sz w:val="18"/>
          <w:szCs w:val="18"/>
        </w:rPr>
      </w:pPr>
    </w:p>
    <w:p w14:paraId="55DDE6DB" w14:textId="0763988E" w:rsidR="00666A7F" w:rsidRPr="009F145E" w:rsidRDefault="00666A7F" w:rsidP="00F90671">
      <w:pPr>
        <w:jc w:val="both"/>
        <w:rPr>
          <w:rFonts w:ascii="Verdana" w:hAnsi="Verdana" w:cs="Calibri"/>
          <w:sz w:val="18"/>
          <w:szCs w:val="18"/>
        </w:rPr>
      </w:pPr>
      <w:r w:rsidRPr="009F145E">
        <w:rPr>
          <w:rFonts w:ascii="Verdana" w:hAnsi="Verdana" w:cs="Calibri"/>
          <w:sz w:val="18"/>
          <w:szCs w:val="18"/>
        </w:rPr>
        <w:t xml:space="preserve">As regards the population enumerated by citizenship, 719.252 persons or 77,9% were Cypriots, 93.540 (10,1%) were </w:t>
      </w:r>
      <w:r w:rsidR="005B58D7">
        <w:rPr>
          <w:rFonts w:ascii="Verdana" w:hAnsi="Verdana" w:cs="Calibri"/>
          <w:sz w:val="18"/>
          <w:szCs w:val="18"/>
        </w:rPr>
        <w:t>European Union (</w:t>
      </w:r>
      <w:r w:rsidRPr="009F145E">
        <w:rPr>
          <w:rFonts w:ascii="Verdana" w:hAnsi="Verdana" w:cs="Calibri"/>
          <w:sz w:val="18"/>
          <w:szCs w:val="18"/>
        </w:rPr>
        <w:t>EU</w:t>
      </w:r>
      <w:r w:rsidR="005B58D7">
        <w:rPr>
          <w:rFonts w:ascii="Verdana" w:hAnsi="Verdana" w:cs="Calibri"/>
          <w:sz w:val="18"/>
          <w:szCs w:val="18"/>
        </w:rPr>
        <w:t xml:space="preserve">) </w:t>
      </w:r>
      <w:r w:rsidRPr="009F145E">
        <w:rPr>
          <w:rFonts w:ascii="Verdana" w:hAnsi="Verdana" w:cs="Calibri"/>
          <w:sz w:val="18"/>
          <w:szCs w:val="18"/>
        </w:rPr>
        <w:t>citizens</w:t>
      </w:r>
      <w:r w:rsidR="003910CA" w:rsidRPr="003910CA">
        <w:rPr>
          <w:rFonts w:ascii="Verdana" w:hAnsi="Verdana" w:cs="Calibri"/>
          <w:sz w:val="18"/>
          <w:szCs w:val="18"/>
          <w:lang w:val="en-GB"/>
        </w:rPr>
        <w:t xml:space="preserve"> (</w:t>
      </w:r>
      <w:r w:rsidR="003910CA">
        <w:rPr>
          <w:rFonts w:ascii="Verdana" w:hAnsi="Verdana" w:cs="Calibri"/>
          <w:sz w:val="18"/>
          <w:szCs w:val="18"/>
          <w:lang w:val="en-GB"/>
        </w:rPr>
        <w:t>except Cypriots)</w:t>
      </w:r>
      <w:r w:rsidRPr="009F145E">
        <w:rPr>
          <w:rFonts w:ascii="Verdana" w:hAnsi="Verdana" w:cs="Calibri"/>
          <w:sz w:val="18"/>
          <w:szCs w:val="18"/>
        </w:rPr>
        <w:t xml:space="preserve">, mainly from Greece (4,7%), Romania (2,2%) and Bulgaria (1,8%), while 107.168 persons (11,6%) were non-EU citizens, mainly from the United Kingdom (2,0%), Syria (1,4%) and Russia (1,3%). The largest proportion of foreign citizens to the total population of the district is observed in </w:t>
      </w:r>
      <w:proofErr w:type="spellStart"/>
      <w:r w:rsidRPr="009F145E">
        <w:rPr>
          <w:rFonts w:ascii="Verdana" w:hAnsi="Verdana" w:cs="Calibri"/>
          <w:sz w:val="18"/>
          <w:szCs w:val="18"/>
        </w:rPr>
        <w:t>Pafos</w:t>
      </w:r>
      <w:proofErr w:type="spellEnd"/>
      <w:r w:rsidRPr="009F145E">
        <w:rPr>
          <w:rFonts w:ascii="Verdana" w:hAnsi="Verdana" w:cs="Calibri"/>
          <w:sz w:val="18"/>
          <w:szCs w:val="18"/>
        </w:rPr>
        <w:t xml:space="preserve"> district (40,0%), the second largest in </w:t>
      </w:r>
      <w:proofErr w:type="spellStart"/>
      <w:r w:rsidRPr="009F145E">
        <w:rPr>
          <w:rFonts w:ascii="Verdana" w:hAnsi="Verdana" w:cs="Calibri"/>
          <w:sz w:val="18"/>
          <w:szCs w:val="18"/>
        </w:rPr>
        <w:t>Ammochostos</w:t>
      </w:r>
      <w:proofErr w:type="spellEnd"/>
      <w:r w:rsidRPr="009F145E">
        <w:rPr>
          <w:rFonts w:ascii="Verdana" w:hAnsi="Verdana" w:cs="Calibri"/>
          <w:sz w:val="18"/>
          <w:szCs w:val="18"/>
        </w:rPr>
        <w:t xml:space="preserve"> district (23,6%), followed by </w:t>
      </w:r>
      <w:proofErr w:type="spellStart"/>
      <w:r w:rsidRPr="009F145E">
        <w:rPr>
          <w:rFonts w:ascii="Verdana" w:hAnsi="Verdana" w:cs="Calibri"/>
          <w:sz w:val="18"/>
          <w:szCs w:val="18"/>
        </w:rPr>
        <w:t>Lemesos</w:t>
      </w:r>
      <w:proofErr w:type="spellEnd"/>
      <w:r w:rsidRPr="009F145E">
        <w:rPr>
          <w:rFonts w:ascii="Verdana" w:hAnsi="Verdana" w:cs="Calibri"/>
          <w:sz w:val="18"/>
          <w:szCs w:val="18"/>
        </w:rPr>
        <w:t xml:space="preserve"> district (21,7%), </w:t>
      </w:r>
      <w:proofErr w:type="spellStart"/>
      <w:r w:rsidRPr="009F145E">
        <w:rPr>
          <w:rFonts w:ascii="Verdana" w:hAnsi="Verdana" w:cs="Calibri"/>
          <w:sz w:val="18"/>
          <w:szCs w:val="18"/>
        </w:rPr>
        <w:t>Larnaka</w:t>
      </w:r>
      <w:proofErr w:type="spellEnd"/>
      <w:r w:rsidRPr="009F145E">
        <w:rPr>
          <w:rFonts w:ascii="Verdana" w:hAnsi="Verdana" w:cs="Calibri"/>
          <w:sz w:val="18"/>
          <w:szCs w:val="18"/>
        </w:rPr>
        <w:t xml:space="preserve"> district (19,2%) and finally </w:t>
      </w:r>
      <w:proofErr w:type="spellStart"/>
      <w:r w:rsidRPr="009F145E">
        <w:rPr>
          <w:rFonts w:ascii="Verdana" w:hAnsi="Verdana" w:cs="Calibri"/>
          <w:sz w:val="18"/>
          <w:szCs w:val="18"/>
        </w:rPr>
        <w:t>Lefkosia</w:t>
      </w:r>
      <w:proofErr w:type="spellEnd"/>
      <w:r w:rsidRPr="009F145E">
        <w:rPr>
          <w:rFonts w:ascii="Verdana" w:hAnsi="Verdana" w:cs="Calibri"/>
          <w:sz w:val="18"/>
          <w:szCs w:val="18"/>
        </w:rPr>
        <w:t xml:space="preserve"> district (17,3%).</w:t>
      </w:r>
    </w:p>
    <w:p w14:paraId="3CEE4D2E" w14:textId="77777777" w:rsidR="00666A7F" w:rsidRPr="009F145E" w:rsidRDefault="00666A7F" w:rsidP="00F90671">
      <w:pPr>
        <w:jc w:val="both"/>
        <w:rPr>
          <w:rFonts w:ascii="Verdana" w:hAnsi="Verdana" w:cs="Calibri"/>
          <w:sz w:val="18"/>
          <w:szCs w:val="18"/>
        </w:rPr>
      </w:pPr>
    </w:p>
    <w:p w14:paraId="63C25C60" w14:textId="0BADC72C" w:rsidR="006848CD" w:rsidRPr="009F145E" w:rsidRDefault="00A271C4" w:rsidP="006848CD">
      <w:pPr>
        <w:jc w:val="center"/>
        <w:rPr>
          <w:rFonts w:ascii="Verdana" w:hAnsi="Verdana" w:cs="Calibri"/>
          <w:sz w:val="18"/>
          <w:szCs w:val="18"/>
        </w:rPr>
      </w:pPr>
      <w:r>
        <w:rPr>
          <w:rFonts w:ascii="Verdana" w:hAnsi="Verdana" w:cs="Calibri"/>
          <w:noProof/>
          <w:sz w:val="18"/>
          <w:szCs w:val="18"/>
        </w:rPr>
        <w:lastRenderedPageBreak/>
        <w:drawing>
          <wp:inline distT="0" distB="0" distL="0" distR="0" wp14:anchorId="2BB961BD" wp14:editId="2701D0A3">
            <wp:extent cx="6066155" cy="4822190"/>
            <wp:effectExtent l="0" t="0" r="0" b="0"/>
            <wp:docPr id="10689610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66155" cy="4822190"/>
                    </a:xfrm>
                    <a:prstGeom prst="rect">
                      <a:avLst/>
                    </a:prstGeom>
                    <a:noFill/>
                  </pic:spPr>
                </pic:pic>
              </a:graphicData>
            </a:graphic>
          </wp:inline>
        </w:drawing>
      </w:r>
    </w:p>
    <w:p w14:paraId="2170C020" w14:textId="77777777" w:rsidR="00666A7F" w:rsidRPr="009F145E" w:rsidRDefault="00666A7F" w:rsidP="00F90671">
      <w:pPr>
        <w:jc w:val="both"/>
        <w:rPr>
          <w:rFonts w:ascii="Verdana" w:hAnsi="Verdana" w:cs="Calibri"/>
          <w:sz w:val="18"/>
          <w:szCs w:val="18"/>
        </w:rPr>
      </w:pPr>
    </w:p>
    <w:p w14:paraId="7D874E62" w14:textId="77777777" w:rsidR="00666A7F" w:rsidRPr="009F145E" w:rsidRDefault="00666A7F" w:rsidP="00F90671">
      <w:pPr>
        <w:jc w:val="both"/>
        <w:rPr>
          <w:rFonts w:ascii="Verdana" w:hAnsi="Verdana" w:cs="Calibri"/>
          <w:sz w:val="18"/>
          <w:szCs w:val="18"/>
        </w:rPr>
      </w:pPr>
    </w:p>
    <w:p w14:paraId="4AD6FFBC" w14:textId="42115B0F" w:rsidR="00666A7F" w:rsidRPr="009F145E" w:rsidRDefault="00666A7F" w:rsidP="00F90671">
      <w:pPr>
        <w:jc w:val="both"/>
        <w:rPr>
          <w:rFonts w:ascii="Verdana" w:hAnsi="Verdana" w:cs="Calibri"/>
          <w:sz w:val="18"/>
          <w:szCs w:val="18"/>
        </w:rPr>
      </w:pPr>
      <w:r w:rsidRPr="009F145E">
        <w:rPr>
          <w:rFonts w:ascii="Verdana" w:hAnsi="Verdana" w:cs="Calibri"/>
          <w:sz w:val="18"/>
          <w:szCs w:val="18"/>
        </w:rPr>
        <w:t xml:space="preserve">Of the total population enumerated, 688.844 persons or 74,6% were born in Cyprus, 86.026 or 9,3% were born in </w:t>
      </w:r>
      <w:r w:rsidR="00183921">
        <w:rPr>
          <w:rFonts w:ascii="Verdana" w:hAnsi="Verdana" w:cs="Calibri"/>
          <w:sz w:val="18"/>
          <w:szCs w:val="18"/>
          <w:lang w:val="en-GB"/>
        </w:rPr>
        <w:t xml:space="preserve">other </w:t>
      </w:r>
      <w:r w:rsidRPr="009F145E">
        <w:rPr>
          <w:rFonts w:ascii="Verdana" w:hAnsi="Verdana" w:cs="Calibri"/>
          <w:sz w:val="18"/>
          <w:szCs w:val="18"/>
        </w:rPr>
        <w:t>EU</w:t>
      </w:r>
      <w:r w:rsidR="005B58D7">
        <w:rPr>
          <w:rFonts w:ascii="Verdana" w:hAnsi="Verdana" w:cs="Calibri"/>
          <w:sz w:val="18"/>
          <w:szCs w:val="18"/>
        </w:rPr>
        <w:t xml:space="preserve"> </w:t>
      </w:r>
      <w:r w:rsidRPr="009F145E">
        <w:rPr>
          <w:rFonts w:ascii="Verdana" w:hAnsi="Verdana" w:cs="Calibri"/>
          <w:sz w:val="18"/>
          <w:szCs w:val="18"/>
        </w:rPr>
        <w:t>countries, mainly Greece (3,8%), Romania (2,1%) and Bulgaria (1,8%), while 142.5</w:t>
      </w:r>
      <w:r w:rsidR="00D21073" w:rsidRPr="00D21073">
        <w:rPr>
          <w:rFonts w:ascii="Verdana" w:hAnsi="Verdana" w:cs="Calibri"/>
          <w:sz w:val="18"/>
          <w:szCs w:val="18"/>
        </w:rPr>
        <w:t>1</w:t>
      </w:r>
      <w:r w:rsidRPr="009F145E">
        <w:rPr>
          <w:rFonts w:ascii="Verdana" w:hAnsi="Verdana" w:cs="Calibri"/>
          <w:sz w:val="18"/>
          <w:szCs w:val="18"/>
        </w:rPr>
        <w:t xml:space="preserve">4 or 15,4% were born in non-EU countries, mainly the United Kingdom (3,0%), Russia (1,8%) and Syria (1,3%). </w:t>
      </w:r>
    </w:p>
    <w:p w14:paraId="351DAC22" w14:textId="77777777" w:rsidR="00666A7F" w:rsidRPr="009F145E" w:rsidRDefault="00666A7F" w:rsidP="00F90671">
      <w:pPr>
        <w:jc w:val="both"/>
        <w:rPr>
          <w:rFonts w:ascii="Verdana" w:hAnsi="Verdana" w:cs="Calibri"/>
          <w:sz w:val="18"/>
          <w:szCs w:val="18"/>
        </w:rPr>
      </w:pPr>
    </w:p>
    <w:p w14:paraId="4E617037" w14:textId="39C480BE" w:rsidR="00666A7F" w:rsidRPr="009F145E" w:rsidRDefault="006848CD" w:rsidP="006848CD">
      <w:pPr>
        <w:jc w:val="center"/>
        <w:rPr>
          <w:rFonts w:ascii="Verdana" w:hAnsi="Verdana" w:cs="Calibri"/>
          <w:sz w:val="18"/>
          <w:szCs w:val="18"/>
        </w:rPr>
      </w:pPr>
      <w:r>
        <w:rPr>
          <w:rFonts w:ascii="Verdana" w:hAnsi="Verdana" w:cs="Calibri"/>
          <w:noProof/>
          <w:sz w:val="18"/>
          <w:szCs w:val="18"/>
        </w:rPr>
        <w:drawing>
          <wp:inline distT="0" distB="0" distL="0" distR="0" wp14:anchorId="3ADD1EF9" wp14:editId="044081E9">
            <wp:extent cx="6071870" cy="3237230"/>
            <wp:effectExtent l="0" t="0" r="5080" b="1270"/>
            <wp:docPr id="475185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1870" cy="3237230"/>
                    </a:xfrm>
                    <a:prstGeom prst="rect">
                      <a:avLst/>
                    </a:prstGeom>
                    <a:noFill/>
                  </pic:spPr>
                </pic:pic>
              </a:graphicData>
            </a:graphic>
          </wp:inline>
        </w:drawing>
      </w:r>
    </w:p>
    <w:p w14:paraId="0B1ABBFC" w14:textId="77777777" w:rsidR="00666A7F" w:rsidRPr="009F145E" w:rsidRDefault="00666A7F" w:rsidP="00F90671">
      <w:pPr>
        <w:jc w:val="both"/>
        <w:rPr>
          <w:rFonts w:ascii="Verdana" w:hAnsi="Verdana" w:cs="Calibri"/>
          <w:sz w:val="18"/>
          <w:szCs w:val="18"/>
        </w:rPr>
      </w:pPr>
    </w:p>
    <w:p w14:paraId="1BAA6966" w14:textId="77777777" w:rsidR="00666A7F" w:rsidRPr="009F145E" w:rsidRDefault="00666A7F" w:rsidP="00F90671">
      <w:pPr>
        <w:jc w:val="both"/>
        <w:rPr>
          <w:rFonts w:ascii="Verdana" w:hAnsi="Verdana" w:cs="Calibri"/>
          <w:sz w:val="18"/>
          <w:szCs w:val="18"/>
        </w:rPr>
      </w:pPr>
    </w:p>
    <w:p w14:paraId="739A2007" w14:textId="77777777" w:rsidR="00666A7F" w:rsidRPr="009F145E" w:rsidRDefault="00666A7F" w:rsidP="00F90671">
      <w:pPr>
        <w:jc w:val="both"/>
        <w:rPr>
          <w:rFonts w:ascii="Verdana" w:hAnsi="Verdana" w:cs="Calibri"/>
          <w:b/>
          <w:bCs/>
          <w:sz w:val="18"/>
          <w:szCs w:val="18"/>
          <w:u w:val="single"/>
        </w:rPr>
      </w:pPr>
    </w:p>
    <w:p w14:paraId="2C7B4196" w14:textId="23C564AF" w:rsidR="00666A7F" w:rsidRPr="009F145E" w:rsidRDefault="00666A7F" w:rsidP="00F90671">
      <w:pPr>
        <w:jc w:val="both"/>
        <w:rPr>
          <w:rFonts w:ascii="Verdana" w:hAnsi="Verdana" w:cs="Calibri"/>
          <w:b/>
          <w:bCs/>
          <w:sz w:val="18"/>
          <w:szCs w:val="18"/>
          <w:u w:val="single"/>
        </w:rPr>
      </w:pPr>
      <w:r w:rsidRPr="009F145E">
        <w:rPr>
          <w:rFonts w:ascii="Verdana" w:hAnsi="Verdana" w:cs="Calibri"/>
          <w:b/>
          <w:bCs/>
          <w:sz w:val="18"/>
          <w:szCs w:val="18"/>
          <w:u w:val="single"/>
        </w:rPr>
        <w:lastRenderedPageBreak/>
        <w:t xml:space="preserve">Population by </w:t>
      </w:r>
      <w:r w:rsidR="006848CD">
        <w:rPr>
          <w:rFonts w:ascii="Verdana" w:hAnsi="Verdana" w:cs="Calibri"/>
          <w:b/>
          <w:bCs/>
          <w:sz w:val="18"/>
          <w:szCs w:val="18"/>
          <w:u w:val="single"/>
        </w:rPr>
        <w:t>E</w:t>
      </w:r>
      <w:r w:rsidRPr="009F145E">
        <w:rPr>
          <w:rFonts w:ascii="Verdana" w:hAnsi="Verdana" w:cs="Calibri"/>
          <w:b/>
          <w:bCs/>
          <w:sz w:val="18"/>
          <w:szCs w:val="18"/>
          <w:u w:val="single"/>
        </w:rPr>
        <w:t xml:space="preserve">ducational </w:t>
      </w:r>
      <w:r w:rsidR="006848CD">
        <w:rPr>
          <w:rFonts w:ascii="Verdana" w:hAnsi="Verdana" w:cs="Calibri"/>
          <w:b/>
          <w:bCs/>
          <w:sz w:val="18"/>
          <w:szCs w:val="18"/>
          <w:u w:val="single"/>
        </w:rPr>
        <w:t>A</w:t>
      </w:r>
      <w:r w:rsidRPr="009F145E">
        <w:rPr>
          <w:rFonts w:ascii="Verdana" w:hAnsi="Verdana" w:cs="Calibri"/>
          <w:b/>
          <w:bCs/>
          <w:sz w:val="18"/>
          <w:szCs w:val="18"/>
          <w:u w:val="single"/>
        </w:rPr>
        <w:t>ttainment</w:t>
      </w:r>
    </w:p>
    <w:p w14:paraId="0F8FD77C" w14:textId="77777777" w:rsidR="00666A7F" w:rsidRPr="009F145E" w:rsidRDefault="00666A7F" w:rsidP="00F90671">
      <w:pPr>
        <w:jc w:val="both"/>
        <w:rPr>
          <w:rFonts w:ascii="Verdana" w:hAnsi="Verdana" w:cs="Calibri"/>
          <w:b/>
          <w:bCs/>
          <w:sz w:val="18"/>
          <w:szCs w:val="18"/>
          <w:u w:val="single"/>
        </w:rPr>
      </w:pPr>
    </w:p>
    <w:p w14:paraId="1C4A682C" w14:textId="2523E87B" w:rsidR="00666A7F" w:rsidRPr="009F145E" w:rsidRDefault="00666A7F" w:rsidP="00F90671">
      <w:pPr>
        <w:jc w:val="both"/>
        <w:rPr>
          <w:rFonts w:ascii="Verdana" w:hAnsi="Verdana" w:cs="Calibri"/>
          <w:sz w:val="18"/>
          <w:szCs w:val="18"/>
        </w:rPr>
      </w:pPr>
      <w:r w:rsidRPr="009F145E">
        <w:rPr>
          <w:rFonts w:ascii="Verdana" w:hAnsi="Verdana" w:cs="Calibri"/>
          <w:sz w:val="18"/>
          <w:szCs w:val="18"/>
        </w:rPr>
        <w:t xml:space="preserve">The educational attainment of the population aged 15 years and over, which </w:t>
      </w:r>
      <w:r w:rsidR="00FC550F">
        <w:rPr>
          <w:rFonts w:ascii="Verdana" w:hAnsi="Verdana" w:cs="Calibri"/>
          <w:sz w:val="18"/>
          <w:szCs w:val="18"/>
        </w:rPr>
        <w:t>numbered</w:t>
      </w:r>
      <w:r w:rsidRPr="009F145E">
        <w:rPr>
          <w:rFonts w:ascii="Verdana" w:hAnsi="Verdana" w:cs="Calibri"/>
          <w:sz w:val="18"/>
          <w:szCs w:val="18"/>
        </w:rPr>
        <w:t xml:space="preserve"> 780.770 persons</w:t>
      </w:r>
      <w:r w:rsidR="00ED3722">
        <w:rPr>
          <w:rFonts w:ascii="Verdana" w:hAnsi="Verdana" w:cs="Calibri"/>
          <w:sz w:val="18"/>
          <w:szCs w:val="18"/>
        </w:rPr>
        <w:t>,</w:t>
      </w:r>
      <w:r w:rsidRPr="009F145E">
        <w:rPr>
          <w:rFonts w:ascii="Verdana" w:hAnsi="Verdana" w:cs="Calibri"/>
          <w:sz w:val="18"/>
          <w:szCs w:val="18"/>
        </w:rPr>
        <w:t xml:space="preserve"> was distributed as follows: 2,0% had not completed primary education, 11,6% had completed primary education, 9,7% had completed lower secondary education (Gymnasium), 36,6% had completed upper secondary education (Lyceum/Technical), 3,4% post-secondary non-tertiary, 6,0% tertiary level non-university and 27,6% tertiary </w:t>
      </w:r>
      <w:r w:rsidR="00C74E9E" w:rsidRPr="009F145E">
        <w:rPr>
          <w:rFonts w:ascii="Verdana" w:hAnsi="Verdana" w:cs="Calibri"/>
          <w:sz w:val="18"/>
          <w:szCs w:val="18"/>
        </w:rPr>
        <w:t xml:space="preserve">- </w:t>
      </w:r>
      <w:r w:rsidRPr="009F145E">
        <w:rPr>
          <w:rFonts w:ascii="Verdana" w:hAnsi="Verdana" w:cs="Calibri"/>
          <w:sz w:val="18"/>
          <w:szCs w:val="18"/>
        </w:rPr>
        <w:t>university level</w:t>
      </w:r>
      <w:r w:rsidR="00C74E9E" w:rsidRPr="009F145E">
        <w:rPr>
          <w:rFonts w:ascii="Verdana" w:hAnsi="Verdana" w:cs="Calibri"/>
          <w:sz w:val="18"/>
          <w:szCs w:val="18"/>
        </w:rPr>
        <w:t xml:space="preserve"> (19,8% </w:t>
      </w:r>
      <w:r w:rsidR="00315527" w:rsidRPr="009F145E">
        <w:rPr>
          <w:rFonts w:ascii="Verdana" w:hAnsi="Verdana" w:cs="Calibri"/>
          <w:sz w:val="18"/>
          <w:szCs w:val="18"/>
        </w:rPr>
        <w:t>first</w:t>
      </w:r>
      <w:r w:rsidR="00C74E9E" w:rsidRPr="009F145E">
        <w:rPr>
          <w:rFonts w:ascii="Verdana" w:hAnsi="Verdana" w:cs="Calibri"/>
          <w:sz w:val="18"/>
          <w:szCs w:val="18"/>
        </w:rPr>
        <w:t xml:space="preserve"> degree, 7,1%</w:t>
      </w:r>
      <w:r w:rsidR="00315527" w:rsidRPr="009F145E">
        <w:rPr>
          <w:rFonts w:ascii="Verdana" w:hAnsi="Verdana" w:cs="Calibri"/>
          <w:sz w:val="18"/>
          <w:szCs w:val="18"/>
        </w:rPr>
        <w:t xml:space="preserve"> post-graduate degree and 0</w:t>
      </w:r>
      <w:r w:rsidR="0005664D" w:rsidRPr="009F145E">
        <w:rPr>
          <w:rFonts w:ascii="Verdana" w:hAnsi="Verdana" w:cs="Calibri"/>
          <w:sz w:val="18"/>
          <w:szCs w:val="18"/>
        </w:rPr>
        <w:t>,</w:t>
      </w:r>
      <w:r w:rsidR="00315527" w:rsidRPr="009F145E">
        <w:rPr>
          <w:rFonts w:ascii="Verdana" w:hAnsi="Verdana" w:cs="Calibri"/>
          <w:sz w:val="18"/>
          <w:szCs w:val="18"/>
        </w:rPr>
        <w:t>7% doctorate)</w:t>
      </w:r>
      <w:r w:rsidRPr="009F145E">
        <w:rPr>
          <w:rFonts w:ascii="Verdana" w:hAnsi="Verdana" w:cs="Calibri"/>
          <w:sz w:val="18"/>
          <w:szCs w:val="18"/>
        </w:rPr>
        <w:t xml:space="preserve">. </w:t>
      </w:r>
    </w:p>
    <w:p w14:paraId="6D8B1555" w14:textId="77777777" w:rsidR="00666A7F" w:rsidRPr="009F145E" w:rsidRDefault="00666A7F" w:rsidP="00F90671">
      <w:pPr>
        <w:jc w:val="both"/>
        <w:rPr>
          <w:rFonts w:ascii="Verdana" w:hAnsi="Verdana" w:cs="Calibri"/>
          <w:sz w:val="18"/>
          <w:szCs w:val="18"/>
        </w:rPr>
      </w:pPr>
    </w:p>
    <w:p w14:paraId="0BBE444F" w14:textId="3DA888C0" w:rsidR="00666A7F" w:rsidRPr="009F145E" w:rsidRDefault="00666A7F" w:rsidP="00F90671">
      <w:pPr>
        <w:jc w:val="both"/>
        <w:rPr>
          <w:rFonts w:ascii="Verdana" w:hAnsi="Verdana" w:cs="Calibri"/>
          <w:sz w:val="18"/>
          <w:szCs w:val="18"/>
        </w:rPr>
      </w:pPr>
      <w:r w:rsidRPr="009F145E">
        <w:rPr>
          <w:rFonts w:ascii="Verdana" w:hAnsi="Verdana" w:cs="Calibri"/>
          <w:sz w:val="18"/>
          <w:szCs w:val="18"/>
        </w:rPr>
        <w:t xml:space="preserve">The percentage of the population aged 15 and over with tertiary education (university level) has increased significantly. Specifically, this percentage has increased from 20,2% in 2011 to 27,6% in 2021. The percentage of females who have completed tertiary education (university level) is </w:t>
      </w:r>
      <w:r w:rsidR="00D16CA4" w:rsidRPr="009F145E">
        <w:rPr>
          <w:rFonts w:ascii="Verdana" w:hAnsi="Verdana" w:cs="Calibri"/>
          <w:sz w:val="18"/>
          <w:szCs w:val="18"/>
        </w:rPr>
        <w:t xml:space="preserve">slightly </w:t>
      </w:r>
      <w:r w:rsidRPr="009F145E">
        <w:rPr>
          <w:rFonts w:ascii="Verdana" w:hAnsi="Verdana" w:cs="Calibri"/>
          <w:sz w:val="18"/>
          <w:szCs w:val="18"/>
        </w:rPr>
        <w:t>higher (28,1%) than the corresponding percentage of males (27,1%). The corresponding percentages in 2011 were 20,2% for females and 20,3% for males.</w:t>
      </w:r>
    </w:p>
    <w:p w14:paraId="1D4F49DE" w14:textId="77777777" w:rsidR="00666A7F" w:rsidRPr="009F145E" w:rsidRDefault="00666A7F" w:rsidP="00F90671">
      <w:pPr>
        <w:jc w:val="both"/>
        <w:rPr>
          <w:rFonts w:ascii="Verdana" w:hAnsi="Verdana" w:cs="Calibri"/>
          <w:sz w:val="18"/>
          <w:szCs w:val="18"/>
        </w:rPr>
      </w:pPr>
    </w:p>
    <w:p w14:paraId="05D181D9" w14:textId="35A86B03" w:rsidR="00666A7F" w:rsidRPr="009F145E" w:rsidRDefault="005E04FA" w:rsidP="006848CD">
      <w:pPr>
        <w:ind w:right="-1"/>
        <w:jc w:val="center"/>
        <w:rPr>
          <w:rFonts w:ascii="Verdana" w:hAnsi="Verdana" w:cs="Calibri"/>
          <w:sz w:val="18"/>
          <w:szCs w:val="18"/>
        </w:rPr>
      </w:pPr>
      <w:r>
        <w:rPr>
          <w:rFonts w:ascii="Verdana" w:hAnsi="Verdana" w:cs="Calibri"/>
          <w:noProof/>
          <w:sz w:val="18"/>
          <w:szCs w:val="18"/>
        </w:rPr>
        <w:drawing>
          <wp:inline distT="0" distB="0" distL="0" distR="0" wp14:anchorId="16B62D5D" wp14:editId="27319EDE">
            <wp:extent cx="6071870" cy="3237230"/>
            <wp:effectExtent l="0" t="0" r="5080" b="1270"/>
            <wp:docPr id="7312792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71870" cy="3237230"/>
                    </a:xfrm>
                    <a:prstGeom prst="rect">
                      <a:avLst/>
                    </a:prstGeom>
                    <a:noFill/>
                  </pic:spPr>
                </pic:pic>
              </a:graphicData>
            </a:graphic>
          </wp:inline>
        </w:drawing>
      </w:r>
    </w:p>
    <w:p w14:paraId="516F1E26" w14:textId="77777777" w:rsidR="00666A7F" w:rsidRPr="009F145E" w:rsidRDefault="00666A7F" w:rsidP="00F90671">
      <w:pPr>
        <w:jc w:val="both"/>
        <w:rPr>
          <w:rFonts w:ascii="Verdana" w:hAnsi="Verdana" w:cs="Calibri"/>
          <w:sz w:val="18"/>
          <w:szCs w:val="18"/>
        </w:rPr>
      </w:pPr>
    </w:p>
    <w:p w14:paraId="25A06CB5" w14:textId="40C517ED" w:rsidR="00666A7F" w:rsidRPr="009F145E" w:rsidRDefault="001A5BA4" w:rsidP="00F90671">
      <w:pPr>
        <w:jc w:val="both"/>
        <w:rPr>
          <w:rFonts w:ascii="Verdana" w:hAnsi="Verdana" w:cs="Calibri"/>
          <w:b/>
          <w:bCs/>
          <w:sz w:val="18"/>
          <w:szCs w:val="18"/>
          <w:u w:val="single"/>
        </w:rPr>
      </w:pPr>
      <w:r w:rsidRPr="009F145E">
        <w:rPr>
          <w:rFonts w:ascii="Verdana" w:hAnsi="Verdana" w:cs="Calibri"/>
          <w:b/>
          <w:bCs/>
          <w:sz w:val="18"/>
          <w:szCs w:val="18"/>
          <w:u w:val="single"/>
        </w:rPr>
        <w:t xml:space="preserve">Housing </w:t>
      </w:r>
      <w:r w:rsidR="006848CD">
        <w:rPr>
          <w:rFonts w:ascii="Verdana" w:hAnsi="Verdana" w:cs="Calibri"/>
          <w:b/>
          <w:bCs/>
          <w:sz w:val="18"/>
          <w:szCs w:val="18"/>
          <w:u w:val="single"/>
        </w:rPr>
        <w:t>U</w:t>
      </w:r>
      <w:r w:rsidR="00C20EF5" w:rsidRPr="009F145E">
        <w:rPr>
          <w:rFonts w:ascii="Verdana" w:hAnsi="Verdana" w:cs="Calibri"/>
          <w:b/>
          <w:bCs/>
          <w:sz w:val="18"/>
          <w:szCs w:val="18"/>
          <w:u w:val="single"/>
        </w:rPr>
        <w:t>nits</w:t>
      </w:r>
      <w:r w:rsidR="00666A7F" w:rsidRPr="009F145E">
        <w:rPr>
          <w:rFonts w:ascii="Verdana" w:hAnsi="Verdana" w:cs="Calibri"/>
          <w:b/>
          <w:bCs/>
          <w:sz w:val="18"/>
          <w:szCs w:val="18"/>
          <w:u w:val="single"/>
        </w:rPr>
        <w:t xml:space="preserve"> </w:t>
      </w:r>
    </w:p>
    <w:p w14:paraId="16770F75" w14:textId="77777777" w:rsidR="00666A7F" w:rsidRPr="009F145E" w:rsidRDefault="00666A7F" w:rsidP="00F90671">
      <w:pPr>
        <w:jc w:val="both"/>
        <w:rPr>
          <w:rFonts w:ascii="Verdana" w:hAnsi="Verdana" w:cs="Calibri"/>
          <w:sz w:val="18"/>
          <w:szCs w:val="18"/>
        </w:rPr>
      </w:pPr>
    </w:p>
    <w:p w14:paraId="7098BBB7" w14:textId="5BCBA68E" w:rsidR="00666A7F" w:rsidRPr="009F145E" w:rsidRDefault="00666A7F" w:rsidP="00F90671">
      <w:pPr>
        <w:jc w:val="both"/>
        <w:rPr>
          <w:rFonts w:ascii="Verdana" w:hAnsi="Verdana" w:cs="Calibri"/>
          <w:sz w:val="18"/>
          <w:szCs w:val="18"/>
        </w:rPr>
      </w:pPr>
      <w:r w:rsidRPr="009F145E">
        <w:rPr>
          <w:rFonts w:ascii="Verdana" w:hAnsi="Verdana" w:cs="Calibri"/>
          <w:sz w:val="18"/>
          <w:szCs w:val="18"/>
        </w:rPr>
        <w:t xml:space="preserve">Of the 492.931 </w:t>
      </w:r>
      <w:r w:rsidR="00C20EF5" w:rsidRPr="009F145E">
        <w:rPr>
          <w:rFonts w:ascii="Verdana" w:hAnsi="Verdana" w:cs="Calibri"/>
          <w:sz w:val="18"/>
          <w:szCs w:val="18"/>
        </w:rPr>
        <w:t>housing units</w:t>
      </w:r>
      <w:r w:rsidRPr="009F145E">
        <w:rPr>
          <w:rFonts w:ascii="Verdana" w:hAnsi="Verdana" w:cs="Calibri"/>
          <w:sz w:val="18"/>
          <w:szCs w:val="18"/>
        </w:rPr>
        <w:t xml:space="preserve"> enumerated, 354.818 were of usual residence while 138.113 were vacant or of temporary residence. </w:t>
      </w:r>
    </w:p>
    <w:p w14:paraId="2E664EDF" w14:textId="77777777" w:rsidR="00666A7F" w:rsidRPr="009F145E" w:rsidRDefault="00666A7F" w:rsidP="00F90671">
      <w:pPr>
        <w:jc w:val="both"/>
        <w:rPr>
          <w:rFonts w:ascii="Verdana" w:hAnsi="Verdana" w:cs="Calibri"/>
          <w:sz w:val="18"/>
          <w:szCs w:val="18"/>
        </w:rPr>
      </w:pPr>
    </w:p>
    <w:p w14:paraId="60E597B1" w14:textId="2E728E7C" w:rsidR="003F4948" w:rsidRPr="009F145E" w:rsidRDefault="00666A7F" w:rsidP="00F90671">
      <w:pPr>
        <w:jc w:val="both"/>
        <w:rPr>
          <w:rFonts w:ascii="Verdana" w:hAnsi="Verdana" w:cs="Calibri"/>
          <w:sz w:val="18"/>
          <w:szCs w:val="18"/>
        </w:rPr>
      </w:pPr>
      <w:r w:rsidRPr="009F145E">
        <w:rPr>
          <w:rFonts w:ascii="Verdana" w:hAnsi="Verdana" w:cs="Calibri"/>
          <w:sz w:val="18"/>
          <w:szCs w:val="18"/>
        </w:rPr>
        <w:t xml:space="preserve">Regarding the geographical distribution of </w:t>
      </w:r>
      <w:r w:rsidR="00C20EF5" w:rsidRPr="009F145E">
        <w:rPr>
          <w:rFonts w:ascii="Verdana" w:hAnsi="Verdana" w:cs="Calibri"/>
          <w:sz w:val="18"/>
          <w:szCs w:val="18"/>
        </w:rPr>
        <w:t>housing units</w:t>
      </w:r>
      <w:r w:rsidRPr="009F145E">
        <w:rPr>
          <w:rFonts w:ascii="Verdana" w:hAnsi="Verdana" w:cs="Calibri"/>
          <w:sz w:val="18"/>
          <w:szCs w:val="18"/>
        </w:rPr>
        <w:t xml:space="preserve">, 298.020 (60,5%) were enumerated in urban areas and 194.911 (39,5%) in rural areas. A total of 163.350 (33,1%) were recorded in </w:t>
      </w:r>
      <w:proofErr w:type="spellStart"/>
      <w:r w:rsidRPr="009F145E">
        <w:rPr>
          <w:rFonts w:ascii="Verdana" w:hAnsi="Verdana" w:cs="Calibri"/>
          <w:sz w:val="18"/>
          <w:szCs w:val="18"/>
        </w:rPr>
        <w:t>Lefkosia</w:t>
      </w:r>
      <w:proofErr w:type="spellEnd"/>
      <w:r w:rsidRPr="009F145E">
        <w:rPr>
          <w:rFonts w:ascii="Verdana" w:hAnsi="Verdana" w:cs="Calibri"/>
          <w:sz w:val="18"/>
          <w:szCs w:val="18"/>
        </w:rPr>
        <w:t xml:space="preserve"> district, 132.574 (26,9%) in </w:t>
      </w:r>
      <w:proofErr w:type="spellStart"/>
      <w:r w:rsidRPr="009F145E">
        <w:rPr>
          <w:rFonts w:ascii="Verdana" w:hAnsi="Verdana" w:cs="Calibri"/>
          <w:sz w:val="18"/>
          <w:szCs w:val="18"/>
        </w:rPr>
        <w:t>Lemesos</w:t>
      </w:r>
      <w:proofErr w:type="spellEnd"/>
      <w:r w:rsidRPr="009F145E">
        <w:rPr>
          <w:rFonts w:ascii="Verdana" w:hAnsi="Verdana" w:cs="Calibri"/>
          <w:sz w:val="18"/>
          <w:szCs w:val="18"/>
        </w:rPr>
        <w:t xml:space="preserve"> district, 82.274 (16,7%) in Larnaka district, 74.473 (15,1%) in </w:t>
      </w:r>
      <w:proofErr w:type="spellStart"/>
      <w:r w:rsidRPr="009F145E">
        <w:rPr>
          <w:rFonts w:ascii="Verdana" w:hAnsi="Verdana" w:cs="Calibri"/>
          <w:sz w:val="18"/>
          <w:szCs w:val="18"/>
        </w:rPr>
        <w:t>Pafos</w:t>
      </w:r>
      <w:proofErr w:type="spellEnd"/>
      <w:r w:rsidRPr="009F145E">
        <w:rPr>
          <w:rFonts w:ascii="Verdana" w:hAnsi="Verdana" w:cs="Calibri"/>
          <w:sz w:val="18"/>
          <w:szCs w:val="18"/>
        </w:rPr>
        <w:t xml:space="preserve"> district, and 40.260 (8,2%) in </w:t>
      </w:r>
      <w:proofErr w:type="spellStart"/>
      <w:r w:rsidRPr="009F145E">
        <w:rPr>
          <w:rFonts w:ascii="Verdana" w:hAnsi="Verdana" w:cs="Calibri"/>
          <w:sz w:val="18"/>
          <w:szCs w:val="18"/>
        </w:rPr>
        <w:t>Ammochostos</w:t>
      </w:r>
      <w:proofErr w:type="spellEnd"/>
      <w:r w:rsidRPr="009F145E">
        <w:rPr>
          <w:rFonts w:ascii="Verdana" w:hAnsi="Verdana" w:cs="Calibri"/>
          <w:sz w:val="18"/>
          <w:szCs w:val="18"/>
        </w:rPr>
        <w:t xml:space="preserve"> district. </w:t>
      </w:r>
    </w:p>
    <w:p w14:paraId="5A66B883" w14:textId="77777777" w:rsidR="00EA3B11" w:rsidRPr="009F145E" w:rsidRDefault="00EA3B11" w:rsidP="00F90671">
      <w:pPr>
        <w:jc w:val="both"/>
        <w:rPr>
          <w:rFonts w:ascii="Verdana" w:hAnsi="Verdana" w:cs="Calibri"/>
          <w:sz w:val="18"/>
          <w:szCs w:val="18"/>
        </w:rPr>
      </w:pPr>
    </w:p>
    <w:p w14:paraId="6470492D" w14:textId="26FBABB0" w:rsidR="00EA3B11" w:rsidRPr="009F145E" w:rsidRDefault="006848CD" w:rsidP="006848CD">
      <w:pPr>
        <w:jc w:val="center"/>
        <w:rPr>
          <w:rFonts w:ascii="Verdana" w:hAnsi="Verdana" w:cs="Calibri"/>
          <w:sz w:val="18"/>
          <w:szCs w:val="18"/>
        </w:rPr>
      </w:pPr>
      <w:r>
        <w:rPr>
          <w:rFonts w:ascii="Verdana" w:hAnsi="Verdana" w:cs="Calibri"/>
          <w:noProof/>
          <w:sz w:val="18"/>
          <w:szCs w:val="18"/>
        </w:rPr>
        <w:drawing>
          <wp:inline distT="0" distB="0" distL="0" distR="0" wp14:anchorId="578A391D" wp14:editId="18AC59BF">
            <wp:extent cx="6066155" cy="2639695"/>
            <wp:effectExtent l="0" t="0" r="0" b="8255"/>
            <wp:docPr id="136308059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66155" cy="2639695"/>
                    </a:xfrm>
                    <a:prstGeom prst="rect">
                      <a:avLst/>
                    </a:prstGeom>
                    <a:noFill/>
                  </pic:spPr>
                </pic:pic>
              </a:graphicData>
            </a:graphic>
          </wp:inline>
        </w:drawing>
      </w:r>
    </w:p>
    <w:p w14:paraId="78B8B58B" w14:textId="77777777" w:rsidR="00666A7F" w:rsidRPr="009F145E" w:rsidRDefault="00666A7F" w:rsidP="00F90671">
      <w:pPr>
        <w:jc w:val="both"/>
        <w:rPr>
          <w:rFonts w:ascii="Verdana" w:hAnsi="Verdana" w:cs="Calibri"/>
          <w:sz w:val="18"/>
          <w:szCs w:val="18"/>
        </w:rPr>
      </w:pPr>
    </w:p>
    <w:p w14:paraId="4E23F435" w14:textId="68DF2D07" w:rsidR="003F4948" w:rsidRPr="009F145E" w:rsidRDefault="003F4948" w:rsidP="00F90671">
      <w:pPr>
        <w:rPr>
          <w:rFonts w:ascii="Verdana" w:hAnsi="Verdana" w:cs="Calibri"/>
          <w:sz w:val="18"/>
          <w:szCs w:val="18"/>
        </w:rPr>
      </w:pPr>
      <w:r w:rsidRPr="009F145E">
        <w:rPr>
          <w:rFonts w:ascii="Verdana" w:hAnsi="Verdana" w:cs="Calibri"/>
          <w:sz w:val="18"/>
          <w:szCs w:val="18"/>
        </w:rPr>
        <w:t xml:space="preserve">Compared to the results of the 2011 Census, </w:t>
      </w:r>
      <w:proofErr w:type="spellStart"/>
      <w:r w:rsidRPr="009F145E">
        <w:rPr>
          <w:rFonts w:ascii="Verdana" w:hAnsi="Verdana" w:cs="Calibri"/>
          <w:sz w:val="18"/>
          <w:szCs w:val="18"/>
        </w:rPr>
        <w:t>Ammochostos</w:t>
      </w:r>
      <w:proofErr w:type="spellEnd"/>
      <w:r w:rsidRPr="009F145E">
        <w:rPr>
          <w:rFonts w:ascii="Verdana" w:hAnsi="Verdana" w:cs="Calibri"/>
          <w:sz w:val="18"/>
          <w:szCs w:val="18"/>
        </w:rPr>
        <w:t xml:space="preserve"> district displays the largest increase in the number of </w:t>
      </w:r>
      <w:r w:rsidR="00F37B15" w:rsidRPr="009F145E">
        <w:rPr>
          <w:rFonts w:ascii="Verdana" w:hAnsi="Verdana" w:cs="Calibri"/>
          <w:sz w:val="18"/>
          <w:szCs w:val="18"/>
        </w:rPr>
        <w:t>housing units</w:t>
      </w:r>
      <w:r w:rsidRPr="009F145E">
        <w:rPr>
          <w:rFonts w:ascii="Verdana" w:hAnsi="Verdana" w:cs="Calibri"/>
          <w:sz w:val="18"/>
          <w:szCs w:val="18"/>
        </w:rPr>
        <w:t xml:space="preserve"> (17,9%) followed by </w:t>
      </w:r>
      <w:proofErr w:type="spellStart"/>
      <w:r w:rsidRPr="009F145E">
        <w:rPr>
          <w:rFonts w:ascii="Verdana" w:hAnsi="Verdana" w:cs="Calibri"/>
          <w:sz w:val="18"/>
          <w:szCs w:val="18"/>
        </w:rPr>
        <w:t>Lemesos</w:t>
      </w:r>
      <w:proofErr w:type="spellEnd"/>
      <w:r w:rsidRPr="009F145E">
        <w:rPr>
          <w:rFonts w:ascii="Verdana" w:hAnsi="Verdana" w:cs="Calibri"/>
          <w:sz w:val="18"/>
          <w:szCs w:val="18"/>
        </w:rPr>
        <w:t xml:space="preserve"> district (15,6%) and </w:t>
      </w:r>
      <w:proofErr w:type="spellStart"/>
      <w:r w:rsidRPr="009F145E">
        <w:rPr>
          <w:rFonts w:ascii="Verdana" w:hAnsi="Verdana" w:cs="Calibri"/>
          <w:sz w:val="18"/>
          <w:szCs w:val="18"/>
        </w:rPr>
        <w:t>Lefkosia</w:t>
      </w:r>
      <w:proofErr w:type="spellEnd"/>
      <w:r w:rsidRPr="009F145E">
        <w:rPr>
          <w:rFonts w:ascii="Verdana" w:hAnsi="Verdana" w:cs="Calibri"/>
          <w:sz w:val="18"/>
          <w:szCs w:val="18"/>
        </w:rPr>
        <w:t xml:space="preserve"> district (13,0%). </w:t>
      </w:r>
    </w:p>
    <w:p w14:paraId="611988E2" w14:textId="77777777" w:rsidR="00666A7F" w:rsidRPr="009F145E" w:rsidRDefault="00666A7F" w:rsidP="00F90671">
      <w:pPr>
        <w:jc w:val="both"/>
        <w:rPr>
          <w:rFonts w:ascii="Verdana" w:hAnsi="Verdana" w:cs="Calibri"/>
          <w:sz w:val="18"/>
          <w:szCs w:val="18"/>
        </w:rPr>
      </w:pPr>
    </w:p>
    <w:p w14:paraId="2BA53BD1" w14:textId="77777777" w:rsidR="00666A7F" w:rsidRPr="009F145E" w:rsidRDefault="00666A7F" w:rsidP="00F90671">
      <w:pPr>
        <w:jc w:val="both"/>
        <w:rPr>
          <w:rFonts w:ascii="Verdana" w:hAnsi="Verdana" w:cs="Calibri"/>
          <w:sz w:val="18"/>
          <w:szCs w:val="18"/>
        </w:rPr>
      </w:pPr>
    </w:p>
    <w:tbl>
      <w:tblPr>
        <w:tblW w:w="8700" w:type="dxa"/>
        <w:jc w:val="center"/>
        <w:tblLook w:val="04A0" w:firstRow="1" w:lastRow="0" w:firstColumn="1" w:lastColumn="0" w:noHBand="0" w:noVBand="1"/>
      </w:tblPr>
      <w:tblGrid>
        <w:gridCol w:w="2175"/>
        <w:gridCol w:w="2175"/>
        <w:gridCol w:w="2175"/>
        <w:gridCol w:w="2175"/>
      </w:tblGrid>
      <w:tr w:rsidR="006848CD" w:rsidRPr="006848CD" w14:paraId="066E23A8" w14:textId="77777777" w:rsidTr="00ED239D">
        <w:trPr>
          <w:trHeight w:val="310"/>
          <w:jc w:val="center"/>
        </w:trPr>
        <w:tc>
          <w:tcPr>
            <w:tcW w:w="2175" w:type="dxa"/>
            <w:tcBorders>
              <w:top w:val="nil"/>
              <w:left w:val="nil"/>
              <w:bottom w:val="single" w:sz="8" w:space="0" w:color="2F5496"/>
              <w:right w:val="nil"/>
            </w:tcBorders>
            <w:shd w:val="clear" w:color="auto" w:fill="auto"/>
            <w:vAlign w:val="center"/>
            <w:hideMark/>
          </w:tcPr>
          <w:p w14:paraId="3DFC9816" w14:textId="353DC0DB" w:rsidR="00ED239D" w:rsidRPr="006848CD" w:rsidRDefault="00ED239D" w:rsidP="00F90671">
            <w:pPr>
              <w:rPr>
                <w:rFonts w:ascii="Verdana" w:eastAsia="Times New Roman" w:hAnsi="Verdana" w:cs="Calibri"/>
                <w:b/>
                <w:bCs/>
                <w:color w:val="365F91" w:themeColor="accent1" w:themeShade="BF"/>
                <w:sz w:val="18"/>
                <w:szCs w:val="18"/>
              </w:rPr>
            </w:pPr>
            <w:r w:rsidRPr="006848CD">
              <w:rPr>
                <w:rFonts w:ascii="Verdana" w:eastAsia="Times New Roman" w:hAnsi="Verdana" w:cs="Calibri"/>
                <w:b/>
                <w:bCs/>
                <w:color w:val="365F91" w:themeColor="accent1" w:themeShade="BF"/>
                <w:sz w:val="18"/>
                <w:szCs w:val="18"/>
              </w:rPr>
              <w:t>Table 2</w:t>
            </w:r>
          </w:p>
        </w:tc>
        <w:tc>
          <w:tcPr>
            <w:tcW w:w="2175" w:type="dxa"/>
            <w:tcBorders>
              <w:top w:val="nil"/>
              <w:left w:val="nil"/>
              <w:bottom w:val="single" w:sz="8" w:space="0" w:color="2F5496"/>
              <w:right w:val="nil"/>
            </w:tcBorders>
            <w:shd w:val="clear" w:color="auto" w:fill="auto"/>
            <w:vAlign w:val="center"/>
            <w:hideMark/>
          </w:tcPr>
          <w:p w14:paraId="1E63501F" w14:textId="77777777" w:rsidR="00ED239D" w:rsidRPr="006848CD" w:rsidRDefault="00ED239D" w:rsidP="00F90671">
            <w:pPr>
              <w:rPr>
                <w:rFonts w:ascii="Verdana" w:eastAsia="Times New Roman" w:hAnsi="Verdana" w:cs="Calibri"/>
                <w:b/>
                <w:bCs/>
                <w:color w:val="365F91" w:themeColor="accent1" w:themeShade="BF"/>
                <w:sz w:val="18"/>
                <w:szCs w:val="18"/>
              </w:rPr>
            </w:pPr>
            <w:r w:rsidRPr="006848CD">
              <w:rPr>
                <w:rFonts w:ascii="Verdana" w:eastAsia="Times New Roman" w:hAnsi="Verdana" w:cs="Calibri"/>
                <w:b/>
                <w:bCs/>
                <w:color w:val="365F91" w:themeColor="accent1" w:themeShade="BF"/>
                <w:sz w:val="18"/>
                <w:szCs w:val="18"/>
              </w:rPr>
              <w:t> </w:t>
            </w:r>
          </w:p>
        </w:tc>
        <w:tc>
          <w:tcPr>
            <w:tcW w:w="2175" w:type="dxa"/>
            <w:tcBorders>
              <w:top w:val="nil"/>
              <w:left w:val="nil"/>
              <w:bottom w:val="single" w:sz="8" w:space="0" w:color="2F5496"/>
              <w:right w:val="nil"/>
            </w:tcBorders>
            <w:shd w:val="clear" w:color="auto" w:fill="auto"/>
            <w:vAlign w:val="center"/>
            <w:hideMark/>
          </w:tcPr>
          <w:p w14:paraId="63057DB7" w14:textId="77777777" w:rsidR="00ED239D" w:rsidRPr="006848CD" w:rsidRDefault="00ED239D" w:rsidP="00F90671">
            <w:pPr>
              <w:rPr>
                <w:rFonts w:ascii="Verdana" w:eastAsia="Times New Roman" w:hAnsi="Verdana" w:cs="Calibri"/>
                <w:b/>
                <w:bCs/>
                <w:color w:val="365F91" w:themeColor="accent1" w:themeShade="BF"/>
                <w:sz w:val="18"/>
                <w:szCs w:val="18"/>
              </w:rPr>
            </w:pPr>
            <w:r w:rsidRPr="006848CD">
              <w:rPr>
                <w:rFonts w:ascii="Verdana" w:eastAsia="Times New Roman" w:hAnsi="Verdana" w:cs="Calibri"/>
                <w:b/>
                <w:bCs/>
                <w:color w:val="365F91" w:themeColor="accent1" w:themeShade="BF"/>
                <w:sz w:val="18"/>
                <w:szCs w:val="18"/>
              </w:rPr>
              <w:t> </w:t>
            </w:r>
          </w:p>
        </w:tc>
        <w:tc>
          <w:tcPr>
            <w:tcW w:w="2175" w:type="dxa"/>
            <w:tcBorders>
              <w:top w:val="nil"/>
              <w:left w:val="nil"/>
              <w:bottom w:val="single" w:sz="8" w:space="0" w:color="2F5496"/>
              <w:right w:val="nil"/>
            </w:tcBorders>
            <w:shd w:val="clear" w:color="auto" w:fill="auto"/>
            <w:vAlign w:val="center"/>
            <w:hideMark/>
          </w:tcPr>
          <w:p w14:paraId="64B4C81E" w14:textId="77777777" w:rsidR="00ED239D" w:rsidRPr="006848CD" w:rsidRDefault="00ED239D" w:rsidP="00F90671">
            <w:pPr>
              <w:rPr>
                <w:rFonts w:ascii="Verdana" w:eastAsia="Times New Roman" w:hAnsi="Verdana" w:cs="Calibri"/>
                <w:b/>
                <w:bCs/>
                <w:color w:val="365F91" w:themeColor="accent1" w:themeShade="BF"/>
                <w:sz w:val="18"/>
                <w:szCs w:val="18"/>
              </w:rPr>
            </w:pPr>
            <w:r w:rsidRPr="006848CD">
              <w:rPr>
                <w:rFonts w:ascii="Verdana" w:eastAsia="Times New Roman" w:hAnsi="Verdana" w:cs="Calibri"/>
                <w:b/>
                <w:bCs/>
                <w:color w:val="365F91" w:themeColor="accent1" w:themeShade="BF"/>
                <w:sz w:val="18"/>
                <w:szCs w:val="18"/>
              </w:rPr>
              <w:t> </w:t>
            </w:r>
          </w:p>
        </w:tc>
      </w:tr>
      <w:tr w:rsidR="006848CD" w:rsidRPr="006848CD" w14:paraId="5F97E5C7" w14:textId="77777777" w:rsidTr="00ED239D">
        <w:trPr>
          <w:trHeight w:val="310"/>
          <w:jc w:val="center"/>
        </w:trPr>
        <w:tc>
          <w:tcPr>
            <w:tcW w:w="2175" w:type="dxa"/>
            <w:vMerge w:val="restart"/>
            <w:tcBorders>
              <w:top w:val="nil"/>
              <w:left w:val="nil"/>
              <w:bottom w:val="single" w:sz="8" w:space="0" w:color="2F5496"/>
              <w:right w:val="nil"/>
            </w:tcBorders>
            <w:shd w:val="clear" w:color="auto" w:fill="auto"/>
            <w:vAlign w:val="center"/>
            <w:hideMark/>
          </w:tcPr>
          <w:p w14:paraId="4A5AA811" w14:textId="67C5DBE7" w:rsidR="00ED239D" w:rsidRPr="006848CD" w:rsidRDefault="00ED239D" w:rsidP="00F90671">
            <w:pPr>
              <w:rPr>
                <w:rFonts w:ascii="Verdana" w:eastAsia="Times New Roman" w:hAnsi="Verdana" w:cs="Calibri"/>
                <w:b/>
                <w:bCs/>
                <w:color w:val="365F91" w:themeColor="accent1" w:themeShade="BF"/>
                <w:sz w:val="18"/>
                <w:szCs w:val="18"/>
              </w:rPr>
            </w:pPr>
            <w:r w:rsidRPr="006848CD">
              <w:rPr>
                <w:rFonts w:ascii="Verdana" w:eastAsia="Times New Roman" w:hAnsi="Verdana" w:cs="Calibri"/>
                <w:b/>
                <w:bCs/>
                <w:color w:val="365F91" w:themeColor="accent1" w:themeShade="BF"/>
                <w:sz w:val="18"/>
                <w:szCs w:val="18"/>
              </w:rPr>
              <w:t>District</w:t>
            </w:r>
          </w:p>
        </w:tc>
        <w:tc>
          <w:tcPr>
            <w:tcW w:w="6525" w:type="dxa"/>
            <w:gridSpan w:val="3"/>
            <w:tcBorders>
              <w:top w:val="single" w:sz="8" w:space="0" w:color="2F5496"/>
              <w:left w:val="nil"/>
              <w:bottom w:val="single" w:sz="8" w:space="0" w:color="2F5496"/>
              <w:right w:val="nil"/>
            </w:tcBorders>
            <w:shd w:val="clear" w:color="auto" w:fill="auto"/>
            <w:vAlign w:val="center"/>
            <w:hideMark/>
          </w:tcPr>
          <w:p w14:paraId="12EE6B52" w14:textId="7647F6FE" w:rsidR="00ED239D" w:rsidRPr="006848CD" w:rsidRDefault="00ED239D" w:rsidP="00F90671">
            <w:pPr>
              <w:jc w:val="center"/>
              <w:rPr>
                <w:rFonts w:ascii="Verdana" w:eastAsia="Times New Roman" w:hAnsi="Verdana" w:cs="Calibri"/>
                <w:b/>
                <w:bCs/>
                <w:color w:val="365F91" w:themeColor="accent1" w:themeShade="BF"/>
                <w:sz w:val="18"/>
                <w:szCs w:val="18"/>
              </w:rPr>
            </w:pPr>
            <w:r w:rsidRPr="006848CD">
              <w:rPr>
                <w:rFonts w:ascii="Verdana" w:eastAsia="Times New Roman" w:hAnsi="Verdana" w:cs="Calibri"/>
                <w:b/>
                <w:bCs/>
                <w:color w:val="365F91" w:themeColor="accent1" w:themeShade="BF"/>
                <w:sz w:val="18"/>
                <w:szCs w:val="18"/>
              </w:rPr>
              <w:t>Housing Units</w:t>
            </w:r>
          </w:p>
        </w:tc>
      </w:tr>
      <w:tr w:rsidR="006848CD" w:rsidRPr="006848CD" w14:paraId="47A80113" w14:textId="77777777" w:rsidTr="00ED239D">
        <w:trPr>
          <w:trHeight w:val="484"/>
          <w:jc w:val="center"/>
        </w:trPr>
        <w:tc>
          <w:tcPr>
            <w:tcW w:w="2175" w:type="dxa"/>
            <w:vMerge/>
            <w:tcBorders>
              <w:top w:val="nil"/>
              <w:left w:val="nil"/>
              <w:bottom w:val="single" w:sz="8" w:space="0" w:color="2F5496"/>
              <w:right w:val="nil"/>
            </w:tcBorders>
            <w:vAlign w:val="center"/>
            <w:hideMark/>
          </w:tcPr>
          <w:p w14:paraId="6156FDF3" w14:textId="77777777" w:rsidR="00ED239D" w:rsidRPr="006848CD" w:rsidRDefault="00ED239D" w:rsidP="00F90671">
            <w:pPr>
              <w:rPr>
                <w:rFonts w:ascii="Verdana" w:eastAsia="Times New Roman" w:hAnsi="Verdana" w:cs="Calibri"/>
                <w:b/>
                <w:bCs/>
                <w:color w:val="365F91" w:themeColor="accent1" w:themeShade="BF"/>
                <w:sz w:val="18"/>
                <w:szCs w:val="18"/>
              </w:rPr>
            </w:pPr>
          </w:p>
        </w:tc>
        <w:tc>
          <w:tcPr>
            <w:tcW w:w="2175" w:type="dxa"/>
            <w:tcBorders>
              <w:top w:val="nil"/>
              <w:left w:val="nil"/>
              <w:bottom w:val="single" w:sz="8" w:space="0" w:color="2F5496"/>
              <w:right w:val="nil"/>
            </w:tcBorders>
            <w:shd w:val="clear" w:color="auto" w:fill="auto"/>
            <w:vAlign w:val="center"/>
            <w:hideMark/>
          </w:tcPr>
          <w:p w14:paraId="61593A61" w14:textId="77777777" w:rsidR="00ED239D" w:rsidRPr="006848CD" w:rsidRDefault="00ED239D" w:rsidP="00F90671">
            <w:pPr>
              <w:jc w:val="center"/>
              <w:rPr>
                <w:rFonts w:ascii="Verdana" w:eastAsia="Times New Roman" w:hAnsi="Verdana" w:cs="Calibri"/>
                <w:b/>
                <w:bCs/>
                <w:color w:val="365F91" w:themeColor="accent1" w:themeShade="BF"/>
                <w:sz w:val="18"/>
                <w:szCs w:val="18"/>
              </w:rPr>
            </w:pPr>
            <w:r w:rsidRPr="006848CD">
              <w:rPr>
                <w:rFonts w:ascii="Verdana" w:eastAsia="Times New Roman" w:hAnsi="Verdana" w:cs="Calibri"/>
                <w:b/>
                <w:bCs/>
                <w:color w:val="365F91" w:themeColor="accent1" w:themeShade="BF"/>
                <w:sz w:val="18"/>
                <w:szCs w:val="18"/>
              </w:rPr>
              <w:t>1</w:t>
            </w:r>
            <w:r w:rsidRPr="006848CD">
              <w:rPr>
                <w:rFonts w:ascii="Verdana" w:eastAsia="Times New Roman" w:hAnsi="Verdana" w:cs="Calibri"/>
                <w:b/>
                <w:bCs/>
                <w:color w:val="365F91" w:themeColor="accent1" w:themeShade="BF"/>
                <w:sz w:val="18"/>
                <w:szCs w:val="18"/>
                <w:lang w:val="el-GR"/>
              </w:rPr>
              <w:t>.</w:t>
            </w:r>
            <w:r w:rsidRPr="006848CD">
              <w:rPr>
                <w:rFonts w:ascii="Verdana" w:eastAsia="Times New Roman" w:hAnsi="Verdana" w:cs="Calibri"/>
                <w:b/>
                <w:bCs/>
                <w:color w:val="365F91" w:themeColor="accent1" w:themeShade="BF"/>
                <w:sz w:val="18"/>
                <w:szCs w:val="18"/>
              </w:rPr>
              <w:t>10</w:t>
            </w:r>
            <w:r w:rsidRPr="006848CD">
              <w:rPr>
                <w:rFonts w:ascii="Verdana" w:eastAsia="Times New Roman" w:hAnsi="Verdana" w:cs="Calibri"/>
                <w:b/>
                <w:bCs/>
                <w:color w:val="365F91" w:themeColor="accent1" w:themeShade="BF"/>
                <w:sz w:val="18"/>
                <w:szCs w:val="18"/>
                <w:lang w:val="el-GR"/>
              </w:rPr>
              <w:t>.</w:t>
            </w:r>
            <w:r w:rsidRPr="006848CD">
              <w:rPr>
                <w:rFonts w:ascii="Verdana" w:eastAsia="Times New Roman" w:hAnsi="Verdana" w:cs="Calibri"/>
                <w:b/>
                <w:bCs/>
                <w:color w:val="365F91" w:themeColor="accent1" w:themeShade="BF"/>
                <w:sz w:val="18"/>
                <w:szCs w:val="18"/>
              </w:rPr>
              <w:t>2021</w:t>
            </w:r>
          </w:p>
        </w:tc>
        <w:tc>
          <w:tcPr>
            <w:tcW w:w="2175" w:type="dxa"/>
            <w:tcBorders>
              <w:top w:val="nil"/>
              <w:left w:val="nil"/>
              <w:bottom w:val="single" w:sz="8" w:space="0" w:color="2F5496"/>
              <w:right w:val="nil"/>
            </w:tcBorders>
            <w:shd w:val="clear" w:color="auto" w:fill="auto"/>
            <w:vAlign w:val="center"/>
            <w:hideMark/>
          </w:tcPr>
          <w:p w14:paraId="372172AE" w14:textId="77777777" w:rsidR="00ED239D" w:rsidRPr="006848CD" w:rsidRDefault="00ED239D" w:rsidP="00F90671">
            <w:pPr>
              <w:jc w:val="center"/>
              <w:rPr>
                <w:rFonts w:ascii="Verdana" w:eastAsia="Times New Roman" w:hAnsi="Verdana" w:cs="Calibri"/>
                <w:b/>
                <w:bCs/>
                <w:color w:val="365F91" w:themeColor="accent1" w:themeShade="BF"/>
                <w:sz w:val="18"/>
                <w:szCs w:val="18"/>
              </w:rPr>
            </w:pPr>
            <w:r w:rsidRPr="006848CD">
              <w:rPr>
                <w:rFonts w:ascii="Verdana" w:eastAsia="Times New Roman" w:hAnsi="Verdana" w:cs="Calibri"/>
                <w:b/>
                <w:bCs/>
                <w:color w:val="365F91" w:themeColor="accent1" w:themeShade="BF"/>
                <w:sz w:val="18"/>
                <w:szCs w:val="18"/>
              </w:rPr>
              <w:t>1</w:t>
            </w:r>
            <w:r w:rsidRPr="006848CD">
              <w:rPr>
                <w:rFonts w:ascii="Verdana" w:eastAsia="Times New Roman" w:hAnsi="Verdana" w:cs="Calibri"/>
                <w:b/>
                <w:bCs/>
                <w:color w:val="365F91" w:themeColor="accent1" w:themeShade="BF"/>
                <w:sz w:val="18"/>
                <w:szCs w:val="18"/>
                <w:lang w:val="el-GR"/>
              </w:rPr>
              <w:t>.</w:t>
            </w:r>
            <w:r w:rsidRPr="006848CD">
              <w:rPr>
                <w:rFonts w:ascii="Verdana" w:eastAsia="Times New Roman" w:hAnsi="Verdana" w:cs="Calibri"/>
                <w:b/>
                <w:bCs/>
                <w:color w:val="365F91" w:themeColor="accent1" w:themeShade="BF"/>
                <w:sz w:val="18"/>
                <w:szCs w:val="18"/>
              </w:rPr>
              <w:t>10</w:t>
            </w:r>
            <w:r w:rsidRPr="006848CD">
              <w:rPr>
                <w:rFonts w:ascii="Verdana" w:eastAsia="Times New Roman" w:hAnsi="Verdana" w:cs="Calibri"/>
                <w:b/>
                <w:bCs/>
                <w:color w:val="365F91" w:themeColor="accent1" w:themeShade="BF"/>
                <w:sz w:val="18"/>
                <w:szCs w:val="18"/>
                <w:lang w:val="el-GR"/>
              </w:rPr>
              <w:t>.</w:t>
            </w:r>
            <w:r w:rsidRPr="006848CD">
              <w:rPr>
                <w:rFonts w:ascii="Verdana" w:eastAsia="Times New Roman" w:hAnsi="Verdana" w:cs="Calibri"/>
                <w:b/>
                <w:bCs/>
                <w:color w:val="365F91" w:themeColor="accent1" w:themeShade="BF"/>
                <w:sz w:val="18"/>
                <w:szCs w:val="18"/>
              </w:rPr>
              <w:t>2011</w:t>
            </w:r>
          </w:p>
        </w:tc>
        <w:tc>
          <w:tcPr>
            <w:tcW w:w="2175" w:type="dxa"/>
            <w:tcBorders>
              <w:top w:val="nil"/>
              <w:left w:val="nil"/>
              <w:bottom w:val="single" w:sz="8" w:space="0" w:color="2F5496"/>
              <w:right w:val="nil"/>
            </w:tcBorders>
            <w:shd w:val="clear" w:color="auto" w:fill="auto"/>
            <w:vAlign w:val="center"/>
            <w:hideMark/>
          </w:tcPr>
          <w:p w14:paraId="19395614" w14:textId="7F33C69E" w:rsidR="00ED239D" w:rsidRPr="006848CD" w:rsidRDefault="00ED239D" w:rsidP="00F90671">
            <w:pPr>
              <w:jc w:val="center"/>
              <w:rPr>
                <w:rFonts w:ascii="Verdana" w:eastAsia="Times New Roman" w:hAnsi="Verdana" w:cs="Calibri"/>
                <w:b/>
                <w:bCs/>
                <w:color w:val="365F91" w:themeColor="accent1" w:themeShade="BF"/>
                <w:sz w:val="18"/>
                <w:szCs w:val="18"/>
              </w:rPr>
            </w:pPr>
            <w:r w:rsidRPr="006848CD">
              <w:rPr>
                <w:rFonts w:ascii="Verdana" w:eastAsia="Times New Roman" w:hAnsi="Verdana" w:cs="Calibri"/>
                <w:b/>
                <w:bCs/>
                <w:color w:val="365F91" w:themeColor="accent1" w:themeShade="BF"/>
                <w:sz w:val="18"/>
                <w:szCs w:val="18"/>
              </w:rPr>
              <w:t>% Increase 2021/2011</w:t>
            </w:r>
          </w:p>
        </w:tc>
      </w:tr>
      <w:tr w:rsidR="006848CD" w:rsidRPr="006848CD" w14:paraId="0EDA5683" w14:textId="77777777" w:rsidTr="006848CD">
        <w:trPr>
          <w:trHeight w:val="298"/>
          <w:jc w:val="center"/>
        </w:trPr>
        <w:tc>
          <w:tcPr>
            <w:tcW w:w="2175" w:type="dxa"/>
            <w:tcBorders>
              <w:top w:val="nil"/>
              <w:left w:val="nil"/>
              <w:bottom w:val="nil"/>
              <w:right w:val="nil"/>
            </w:tcBorders>
            <w:shd w:val="clear" w:color="auto" w:fill="auto"/>
            <w:vAlign w:val="center"/>
            <w:hideMark/>
          </w:tcPr>
          <w:p w14:paraId="133E1E81" w14:textId="7E91FEA1" w:rsidR="00ED239D" w:rsidRPr="006848CD" w:rsidRDefault="00ED239D" w:rsidP="00F90671">
            <w:pPr>
              <w:rPr>
                <w:rFonts w:ascii="Verdana" w:eastAsia="Times New Roman" w:hAnsi="Verdana" w:cs="Calibri"/>
                <w:color w:val="365F91" w:themeColor="accent1" w:themeShade="BF"/>
                <w:sz w:val="18"/>
                <w:szCs w:val="18"/>
              </w:rPr>
            </w:pPr>
            <w:proofErr w:type="spellStart"/>
            <w:r w:rsidRPr="006848CD">
              <w:rPr>
                <w:rFonts w:ascii="Verdana" w:eastAsia="Times New Roman" w:hAnsi="Verdana" w:cs="Calibri"/>
                <w:color w:val="365F91" w:themeColor="accent1" w:themeShade="BF"/>
                <w:sz w:val="18"/>
                <w:szCs w:val="18"/>
              </w:rPr>
              <w:t>Lefkosia</w:t>
            </w:r>
            <w:proofErr w:type="spellEnd"/>
          </w:p>
        </w:tc>
        <w:tc>
          <w:tcPr>
            <w:tcW w:w="2175" w:type="dxa"/>
            <w:tcBorders>
              <w:top w:val="nil"/>
              <w:left w:val="nil"/>
              <w:bottom w:val="nil"/>
              <w:right w:val="nil"/>
            </w:tcBorders>
            <w:shd w:val="clear" w:color="auto" w:fill="auto"/>
            <w:vAlign w:val="center"/>
            <w:hideMark/>
          </w:tcPr>
          <w:p w14:paraId="51250438" w14:textId="77777777" w:rsidR="00ED239D" w:rsidRPr="006848CD" w:rsidRDefault="00ED239D" w:rsidP="006848CD">
            <w:pPr>
              <w:ind w:right="567"/>
              <w:jc w:val="right"/>
              <w:rPr>
                <w:rFonts w:ascii="Verdana" w:eastAsia="Times New Roman" w:hAnsi="Verdana" w:cs="Calibri"/>
                <w:color w:val="365F91" w:themeColor="accent1" w:themeShade="BF"/>
                <w:sz w:val="18"/>
                <w:szCs w:val="18"/>
              </w:rPr>
            </w:pPr>
            <w:r w:rsidRPr="006848CD">
              <w:rPr>
                <w:rFonts w:ascii="Verdana" w:eastAsia="Times New Roman" w:hAnsi="Verdana" w:cs="Calibri"/>
                <w:color w:val="365F91" w:themeColor="accent1" w:themeShade="BF"/>
                <w:sz w:val="18"/>
                <w:szCs w:val="18"/>
              </w:rPr>
              <w:t>163.350</w:t>
            </w:r>
          </w:p>
        </w:tc>
        <w:tc>
          <w:tcPr>
            <w:tcW w:w="2175" w:type="dxa"/>
            <w:tcBorders>
              <w:top w:val="nil"/>
              <w:left w:val="nil"/>
              <w:bottom w:val="nil"/>
              <w:right w:val="nil"/>
            </w:tcBorders>
            <w:shd w:val="clear" w:color="auto" w:fill="auto"/>
            <w:vAlign w:val="center"/>
            <w:hideMark/>
          </w:tcPr>
          <w:p w14:paraId="141FAB84" w14:textId="77777777" w:rsidR="00ED239D" w:rsidRPr="006848CD" w:rsidRDefault="00ED239D" w:rsidP="006848CD">
            <w:pPr>
              <w:ind w:right="567"/>
              <w:jc w:val="right"/>
              <w:rPr>
                <w:rFonts w:ascii="Verdana" w:eastAsia="Times New Roman" w:hAnsi="Verdana" w:cs="Calibri"/>
                <w:color w:val="365F91" w:themeColor="accent1" w:themeShade="BF"/>
                <w:sz w:val="18"/>
                <w:szCs w:val="18"/>
              </w:rPr>
            </w:pPr>
            <w:r w:rsidRPr="006848CD">
              <w:rPr>
                <w:rFonts w:ascii="Verdana" w:eastAsia="Times New Roman" w:hAnsi="Verdana" w:cs="Calibri"/>
                <w:color w:val="365F91" w:themeColor="accent1" w:themeShade="BF"/>
                <w:sz w:val="18"/>
                <w:szCs w:val="18"/>
              </w:rPr>
              <w:t>144.556</w:t>
            </w:r>
          </w:p>
        </w:tc>
        <w:tc>
          <w:tcPr>
            <w:tcW w:w="2175" w:type="dxa"/>
            <w:tcBorders>
              <w:top w:val="nil"/>
              <w:left w:val="nil"/>
              <w:bottom w:val="nil"/>
              <w:right w:val="nil"/>
            </w:tcBorders>
            <w:shd w:val="clear" w:color="auto" w:fill="auto"/>
            <w:vAlign w:val="center"/>
            <w:hideMark/>
          </w:tcPr>
          <w:p w14:paraId="1E03B242" w14:textId="77777777" w:rsidR="00ED239D" w:rsidRPr="006848CD" w:rsidRDefault="00ED239D" w:rsidP="00F90671">
            <w:pPr>
              <w:jc w:val="center"/>
              <w:rPr>
                <w:rFonts w:ascii="Verdana" w:eastAsia="Times New Roman" w:hAnsi="Verdana" w:cs="Calibri"/>
                <w:color w:val="365F91" w:themeColor="accent1" w:themeShade="BF"/>
                <w:sz w:val="18"/>
                <w:szCs w:val="18"/>
              </w:rPr>
            </w:pPr>
            <w:r w:rsidRPr="006848CD">
              <w:rPr>
                <w:rFonts w:ascii="Verdana" w:eastAsia="Times New Roman" w:hAnsi="Verdana" w:cs="Calibri"/>
                <w:color w:val="365F91" w:themeColor="accent1" w:themeShade="BF"/>
                <w:sz w:val="18"/>
                <w:szCs w:val="18"/>
              </w:rPr>
              <w:t>13,0</w:t>
            </w:r>
          </w:p>
        </w:tc>
      </w:tr>
      <w:tr w:rsidR="006848CD" w:rsidRPr="006848CD" w14:paraId="4E932E1B" w14:textId="77777777" w:rsidTr="006848CD">
        <w:trPr>
          <w:trHeight w:val="298"/>
          <w:jc w:val="center"/>
        </w:trPr>
        <w:tc>
          <w:tcPr>
            <w:tcW w:w="2175" w:type="dxa"/>
            <w:tcBorders>
              <w:top w:val="nil"/>
              <w:left w:val="nil"/>
              <w:bottom w:val="nil"/>
              <w:right w:val="nil"/>
            </w:tcBorders>
            <w:shd w:val="clear" w:color="auto" w:fill="auto"/>
            <w:vAlign w:val="center"/>
            <w:hideMark/>
          </w:tcPr>
          <w:p w14:paraId="69358C78" w14:textId="2276C97C" w:rsidR="00ED239D" w:rsidRPr="006848CD" w:rsidRDefault="00ED239D" w:rsidP="00F90671">
            <w:pPr>
              <w:rPr>
                <w:rFonts w:ascii="Verdana" w:eastAsia="Times New Roman" w:hAnsi="Verdana" w:cs="Calibri"/>
                <w:color w:val="365F91" w:themeColor="accent1" w:themeShade="BF"/>
                <w:sz w:val="18"/>
                <w:szCs w:val="18"/>
              </w:rPr>
            </w:pPr>
            <w:proofErr w:type="spellStart"/>
            <w:r w:rsidRPr="006848CD">
              <w:rPr>
                <w:rFonts w:ascii="Verdana" w:eastAsia="Times New Roman" w:hAnsi="Verdana" w:cs="Calibri"/>
                <w:color w:val="365F91" w:themeColor="accent1" w:themeShade="BF"/>
                <w:sz w:val="18"/>
                <w:szCs w:val="18"/>
              </w:rPr>
              <w:t>Ammochostos</w:t>
            </w:r>
            <w:proofErr w:type="spellEnd"/>
          </w:p>
        </w:tc>
        <w:tc>
          <w:tcPr>
            <w:tcW w:w="2175" w:type="dxa"/>
            <w:tcBorders>
              <w:top w:val="nil"/>
              <w:left w:val="nil"/>
              <w:bottom w:val="nil"/>
              <w:right w:val="nil"/>
            </w:tcBorders>
            <w:shd w:val="clear" w:color="auto" w:fill="auto"/>
            <w:vAlign w:val="center"/>
            <w:hideMark/>
          </w:tcPr>
          <w:p w14:paraId="465AD03A" w14:textId="77777777" w:rsidR="00ED239D" w:rsidRPr="006848CD" w:rsidRDefault="00ED239D" w:rsidP="006848CD">
            <w:pPr>
              <w:ind w:right="567"/>
              <w:jc w:val="right"/>
              <w:rPr>
                <w:rFonts w:ascii="Verdana" w:eastAsia="Times New Roman" w:hAnsi="Verdana" w:cs="Calibri"/>
                <w:color w:val="365F91" w:themeColor="accent1" w:themeShade="BF"/>
                <w:sz w:val="18"/>
                <w:szCs w:val="18"/>
              </w:rPr>
            </w:pPr>
            <w:r w:rsidRPr="006848CD">
              <w:rPr>
                <w:rFonts w:ascii="Verdana" w:eastAsia="Times New Roman" w:hAnsi="Verdana" w:cs="Calibri"/>
                <w:color w:val="365F91" w:themeColor="accent1" w:themeShade="BF"/>
                <w:sz w:val="18"/>
                <w:szCs w:val="18"/>
              </w:rPr>
              <w:t>40.260</w:t>
            </w:r>
          </w:p>
        </w:tc>
        <w:tc>
          <w:tcPr>
            <w:tcW w:w="2175" w:type="dxa"/>
            <w:tcBorders>
              <w:top w:val="nil"/>
              <w:left w:val="nil"/>
              <w:bottom w:val="nil"/>
              <w:right w:val="nil"/>
            </w:tcBorders>
            <w:shd w:val="clear" w:color="auto" w:fill="auto"/>
            <w:vAlign w:val="center"/>
            <w:hideMark/>
          </w:tcPr>
          <w:p w14:paraId="24F32BD8" w14:textId="77777777" w:rsidR="00ED239D" w:rsidRPr="006848CD" w:rsidRDefault="00ED239D" w:rsidP="006848CD">
            <w:pPr>
              <w:ind w:right="567"/>
              <w:jc w:val="right"/>
              <w:rPr>
                <w:rFonts w:ascii="Verdana" w:eastAsia="Times New Roman" w:hAnsi="Verdana" w:cs="Calibri"/>
                <w:color w:val="365F91" w:themeColor="accent1" w:themeShade="BF"/>
                <w:sz w:val="18"/>
                <w:szCs w:val="18"/>
              </w:rPr>
            </w:pPr>
            <w:r w:rsidRPr="006848CD">
              <w:rPr>
                <w:rFonts w:ascii="Verdana" w:eastAsia="Times New Roman" w:hAnsi="Verdana" w:cs="Calibri"/>
                <w:color w:val="365F91" w:themeColor="accent1" w:themeShade="BF"/>
                <w:sz w:val="18"/>
                <w:szCs w:val="18"/>
              </w:rPr>
              <w:t>34.150</w:t>
            </w:r>
          </w:p>
        </w:tc>
        <w:tc>
          <w:tcPr>
            <w:tcW w:w="2175" w:type="dxa"/>
            <w:tcBorders>
              <w:top w:val="nil"/>
              <w:left w:val="nil"/>
              <w:bottom w:val="nil"/>
              <w:right w:val="nil"/>
            </w:tcBorders>
            <w:shd w:val="clear" w:color="auto" w:fill="auto"/>
            <w:vAlign w:val="center"/>
            <w:hideMark/>
          </w:tcPr>
          <w:p w14:paraId="1FE5D117" w14:textId="77777777" w:rsidR="00ED239D" w:rsidRPr="006848CD" w:rsidRDefault="00ED239D" w:rsidP="00F90671">
            <w:pPr>
              <w:jc w:val="center"/>
              <w:rPr>
                <w:rFonts w:ascii="Verdana" w:eastAsia="Times New Roman" w:hAnsi="Verdana" w:cs="Calibri"/>
                <w:color w:val="365F91" w:themeColor="accent1" w:themeShade="BF"/>
                <w:sz w:val="18"/>
                <w:szCs w:val="18"/>
              </w:rPr>
            </w:pPr>
            <w:r w:rsidRPr="006848CD">
              <w:rPr>
                <w:rFonts w:ascii="Verdana" w:eastAsia="Times New Roman" w:hAnsi="Verdana" w:cs="Calibri"/>
                <w:color w:val="365F91" w:themeColor="accent1" w:themeShade="BF"/>
                <w:sz w:val="18"/>
                <w:szCs w:val="18"/>
              </w:rPr>
              <w:t>17,9</w:t>
            </w:r>
          </w:p>
        </w:tc>
      </w:tr>
      <w:tr w:rsidR="006848CD" w:rsidRPr="006848CD" w14:paraId="5ECC5C08" w14:textId="77777777" w:rsidTr="006848CD">
        <w:trPr>
          <w:trHeight w:val="298"/>
          <w:jc w:val="center"/>
        </w:trPr>
        <w:tc>
          <w:tcPr>
            <w:tcW w:w="2175" w:type="dxa"/>
            <w:tcBorders>
              <w:top w:val="nil"/>
              <w:left w:val="nil"/>
              <w:bottom w:val="nil"/>
              <w:right w:val="nil"/>
            </w:tcBorders>
            <w:shd w:val="clear" w:color="auto" w:fill="auto"/>
            <w:vAlign w:val="center"/>
            <w:hideMark/>
          </w:tcPr>
          <w:p w14:paraId="7F5C97F9" w14:textId="564F1764" w:rsidR="00ED239D" w:rsidRPr="006848CD" w:rsidRDefault="00ED239D" w:rsidP="00F90671">
            <w:pPr>
              <w:rPr>
                <w:rFonts w:ascii="Verdana" w:eastAsia="Times New Roman" w:hAnsi="Verdana" w:cs="Calibri"/>
                <w:color w:val="365F91" w:themeColor="accent1" w:themeShade="BF"/>
                <w:sz w:val="18"/>
                <w:szCs w:val="18"/>
              </w:rPr>
            </w:pPr>
            <w:proofErr w:type="spellStart"/>
            <w:r w:rsidRPr="006848CD">
              <w:rPr>
                <w:rFonts w:ascii="Verdana" w:eastAsia="Times New Roman" w:hAnsi="Verdana" w:cs="Calibri"/>
                <w:color w:val="365F91" w:themeColor="accent1" w:themeShade="BF"/>
                <w:sz w:val="18"/>
                <w:szCs w:val="18"/>
              </w:rPr>
              <w:t>Larnaka</w:t>
            </w:r>
            <w:proofErr w:type="spellEnd"/>
          </w:p>
        </w:tc>
        <w:tc>
          <w:tcPr>
            <w:tcW w:w="2175" w:type="dxa"/>
            <w:tcBorders>
              <w:top w:val="nil"/>
              <w:left w:val="nil"/>
              <w:bottom w:val="nil"/>
              <w:right w:val="nil"/>
            </w:tcBorders>
            <w:shd w:val="clear" w:color="auto" w:fill="auto"/>
            <w:vAlign w:val="center"/>
            <w:hideMark/>
          </w:tcPr>
          <w:p w14:paraId="1E3F2751" w14:textId="77777777" w:rsidR="00ED239D" w:rsidRPr="006848CD" w:rsidRDefault="00ED239D" w:rsidP="006848CD">
            <w:pPr>
              <w:ind w:right="567"/>
              <w:jc w:val="right"/>
              <w:rPr>
                <w:rFonts w:ascii="Verdana" w:eastAsia="Times New Roman" w:hAnsi="Verdana" w:cs="Calibri"/>
                <w:color w:val="365F91" w:themeColor="accent1" w:themeShade="BF"/>
                <w:sz w:val="18"/>
                <w:szCs w:val="18"/>
              </w:rPr>
            </w:pPr>
            <w:r w:rsidRPr="006848CD">
              <w:rPr>
                <w:rFonts w:ascii="Verdana" w:eastAsia="Times New Roman" w:hAnsi="Verdana" w:cs="Calibri"/>
                <w:color w:val="365F91" w:themeColor="accent1" w:themeShade="BF"/>
                <w:sz w:val="18"/>
                <w:szCs w:val="18"/>
              </w:rPr>
              <w:t>82.274</w:t>
            </w:r>
          </w:p>
        </w:tc>
        <w:tc>
          <w:tcPr>
            <w:tcW w:w="2175" w:type="dxa"/>
            <w:tcBorders>
              <w:top w:val="nil"/>
              <w:left w:val="nil"/>
              <w:bottom w:val="nil"/>
              <w:right w:val="nil"/>
            </w:tcBorders>
            <w:shd w:val="clear" w:color="auto" w:fill="auto"/>
            <w:vAlign w:val="center"/>
            <w:hideMark/>
          </w:tcPr>
          <w:p w14:paraId="77D40BA4" w14:textId="77777777" w:rsidR="00ED239D" w:rsidRPr="006848CD" w:rsidRDefault="00ED239D" w:rsidP="006848CD">
            <w:pPr>
              <w:ind w:right="567"/>
              <w:jc w:val="right"/>
              <w:rPr>
                <w:rFonts w:ascii="Verdana" w:eastAsia="Times New Roman" w:hAnsi="Verdana" w:cs="Calibri"/>
                <w:color w:val="365F91" w:themeColor="accent1" w:themeShade="BF"/>
                <w:sz w:val="18"/>
                <w:szCs w:val="18"/>
              </w:rPr>
            </w:pPr>
            <w:r w:rsidRPr="006848CD">
              <w:rPr>
                <w:rFonts w:ascii="Verdana" w:eastAsia="Times New Roman" w:hAnsi="Verdana" w:cs="Calibri"/>
                <w:color w:val="365F91" w:themeColor="accent1" w:themeShade="BF"/>
                <w:sz w:val="18"/>
                <w:szCs w:val="18"/>
              </w:rPr>
              <w:t>73.676</w:t>
            </w:r>
          </w:p>
        </w:tc>
        <w:tc>
          <w:tcPr>
            <w:tcW w:w="2175" w:type="dxa"/>
            <w:tcBorders>
              <w:top w:val="nil"/>
              <w:left w:val="nil"/>
              <w:bottom w:val="nil"/>
              <w:right w:val="nil"/>
            </w:tcBorders>
            <w:shd w:val="clear" w:color="auto" w:fill="auto"/>
            <w:vAlign w:val="center"/>
            <w:hideMark/>
          </w:tcPr>
          <w:p w14:paraId="1CCF7BC8" w14:textId="77777777" w:rsidR="00ED239D" w:rsidRPr="006848CD" w:rsidRDefault="00ED239D" w:rsidP="00F90671">
            <w:pPr>
              <w:jc w:val="center"/>
              <w:rPr>
                <w:rFonts w:ascii="Verdana" w:eastAsia="Times New Roman" w:hAnsi="Verdana" w:cs="Calibri"/>
                <w:color w:val="365F91" w:themeColor="accent1" w:themeShade="BF"/>
                <w:sz w:val="18"/>
                <w:szCs w:val="18"/>
              </w:rPr>
            </w:pPr>
            <w:r w:rsidRPr="006848CD">
              <w:rPr>
                <w:rFonts w:ascii="Verdana" w:eastAsia="Times New Roman" w:hAnsi="Verdana" w:cs="Calibri"/>
                <w:color w:val="365F91" w:themeColor="accent1" w:themeShade="BF"/>
                <w:sz w:val="18"/>
                <w:szCs w:val="18"/>
              </w:rPr>
              <w:t>11,7</w:t>
            </w:r>
          </w:p>
        </w:tc>
      </w:tr>
      <w:tr w:rsidR="006848CD" w:rsidRPr="006848CD" w14:paraId="2B606E5C" w14:textId="77777777" w:rsidTr="006848CD">
        <w:trPr>
          <w:trHeight w:val="298"/>
          <w:jc w:val="center"/>
        </w:trPr>
        <w:tc>
          <w:tcPr>
            <w:tcW w:w="2175" w:type="dxa"/>
            <w:tcBorders>
              <w:top w:val="nil"/>
              <w:left w:val="nil"/>
              <w:bottom w:val="nil"/>
              <w:right w:val="nil"/>
            </w:tcBorders>
            <w:shd w:val="clear" w:color="auto" w:fill="auto"/>
            <w:vAlign w:val="center"/>
            <w:hideMark/>
          </w:tcPr>
          <w:p w14:paraId="60F37778" w14:textId="65DA3DDF" w:rsidR="00ED239D" w:rsidRPr="006848CD" w:rsidRDefault="00ED239D" w:rsidP="00F90671">
            <w:pPr>
              <w:rPr>
                <w:rFonts w:ascii="Verdana" w:eastAsia="Times New Roman" w:hAnsi="Verdana" w:cs="Calibri"/>
                <w:color w:val="365F91" w:themeColor="accent1" w:themeShade="BF"/>
                <w:sz w:val="18"/>
                <w:szCs w:val="18"/>
              </w:rPr>
            </w:pPr>
            <w:proofErr w:type="spellStart"/>
            <w:r w:rsidRPr="006848CD">
              <w:rPr>
                <w:rFonts w:ascii="Verdana" w:eastAsia="Times New Roman" w:hAnsi="Verdana" w:cs="Calibri"/>
                <w:color w:val="365F91" w:themeColor="accent1" w:themeShade="BF"/>
                <w:sz w:val="18"/>
                <w:szCs w:val="18"/>
              </w:rPr>
              <w:t>Lemesos</w:t>
            </w:r>
            <w:proofErr w:type="spellEnd"/>
          </w:p>
        </w:tc>
        <w:tc>
          <w:tcPr>
            <w:tcW w:w="2175" w:type="dxa"/>
            <w:tcBorders>
              <w:top w:val="nil"/>
              <w:left w:val="nil"/>
              <w:bottom w:val="nil"/>
              <w:right w:val="nil"/>
            </w:tcBorders>
            <w:shd w:val="clear" w:color="auto" w:fill="auto"/>
            <w:vAlign w:val="center"/>
            <w:hideMark/>
          </w:tcPr>
          <w:p w14:paraId="773B2B41" w14:textId="77777777" w:rsidR="00ED239D" w:rsidRPr="006848CD" w:rsidRDefault="00ED239D" w:rsidP="006848CD">
            <w:pPr>
              <w:ind w:right="567"/>
              <w:jc w:val="right"/>
              <w:rPr>
                <w:rFonts w:ascii="Verdana" w:eastAsia="Times New Roman" w:hAnsi="Verdana" w:cs="Calibri"/>
                <w:color w:val="365F91" w:themeColor="accent1" w:themeShade="BF"/>
                <w:sz w:val="18"/>
                <w:szCs w:val="18"/>
              </w:rPr>
            </w:pPr>
            <w:r w:rsidRPr="006848CD">
              <w:rPr>
                <w:rFonts w:ascii="Verdana" w:eastAsia="Times New Roman" w:hAnsi="Verdana" w:cs="Calibri"/>
                <w:color w:val="365F91" w:themeColor="accent1" w:themeShade="BF"/>
                <w:sz w:val="18"/>
                <w:szCs w:val="18"/>
              </w:rPr>
              <w:t>132.574</w:t>
            </w:r>
          </w:p>
        </w:tc>
        <w:tc>
          <w:tcPr>
            <w:tcW w:w="2175" w:type="dxa"/>
            <w:tcBorders>
              <w:top w:val="nil"/>
              <w:left w:val="nil"/>
              <w:bottom w:val="nil"/>
              <w:right w:val="nil"/>
            </w:tcBorders>
            <w:shd w:val="clear" w:color="auto" w:fill="auto"/>
            <w:vAlign w:val="center"/>
            <w:hideMark/>
          </w:tcPr>
          <w:p w14:paraId="33F755B3" w14:textId="77777777" w:rsidR="00ED239D" w:rsidRPr="006848CD" w:rsidRDefault="00ED239D" w:rsidP="006848CD">
            <w:pPr>
              <w:ind w:right="567"/>
              <w:jc w:val="right"/>
              <w:rPr>
                <w:rFonts w:ascii="Verdana" w:eastAsia="Times New Roman" w:hAnsi="Verdana" w:cs="Calibri"/>
                <w:color w:val="365F91" w:themeColor="accent1" w:themeShade="BF"/>
                <w:sz w:val="18"/>
                <w:szCs w:val="18"/>
              </w:rPr>
            </w:pPr>
            <w:r w:rsidRPr="006848CD">
              <w:rPr>
                <w:rFonts w:ascii="Verdana" w:eastAsia="Times New Roman" w:hAnsi="Verdana" w:cs="Calibri"/>
                <w:color w:val="365F91" w:themeColor="accent1" w:themeShade="BF"/>
                <w:sz w:val="18"/>
                <w:szCs w:val="18"/>
              </w:rPr>
              <w:t>114.662</w:t>
            </w:r>
          </w:p>
        </w:tc>
        <w:tc>
          <w:tcPr>
            <w:tcW w:w="2175" w:type="dxa"/>
            <w:tcBorders>
              <w:top w:val="nil"/>
              <w:left w:val="nil"/>
              <w:bottom w:val="nil"/>
              <w:right w:val="nil"/>
            </w:tcBorders>
            <w:shd w:val="clear" w:color="auto" w:fill="auto"/>
            <w:vAlign w:val="center"/>
            <w:hideMark/>
          </w:tcPr>
          <w:p w14:paraId="329F7BE2" w14:textId="77777777" w:rsidR="00ED239D" w:rsidRPr="006848CD" w:rsidRDefault="00ED239D" w:rsidP="00F90671">
            <w:pPr>
              <w:jc w:val="center"/>
              <w:rPr>
                <w:rFonts w:ascii="Verdana" w:eastAsia="Times New Roman" w:hAnsi="Verdana" w:cs="Calibri"/>
                <w:color w:val="365F91" w:themeColor="accent1" w:themeShade="BF"/>
                <w:sz w:val="18"/>
                <w:szCs w:val="18"/>
              </w:rPr>
            </w:pPr>
            <w:r w:rsidRPr="006848CD">
              <w:rPr>
                <w:rFonts w:ascii="Verdana" w:eastAsia="Times New Roman" w:hAnsi="Verdana" w:cs="Calibri"/>
                <w:color w:val="365F91" w:themeColor="accent1" w:themeShade="BF"/>
                <w:sz w:val="18"/>
                <w:szCs w:val="18"/>
              </w:rPr>
              <w:t>15,6</w:t>
            </w:r>
          </w:p>
        </w:tc>
      </w:tr>
      <w:tr w:rsidR="006848CD" w:rsidRPr="006848CD" w14:paraId="798E1DDA" w14:textId="77777777" w:rsidTr="006848CD">
        <w:trPr>
          <w:trHeight w:val="310"/>
          <w:jc w:val="center"/>
        </w:trPr>
        <w:tc>
          <w:tcPr>
            <w:tcW w:w="2175" w:type="dxa"/>
            <w:tcBorders>
              <w:top w:val="nil"/>
              <w:left w:val="nil"/>
              <w:bottom w:val="single" w:sz="8" w:space="0" w:color="2F5496"/>
              <w:right w:val="nil"/>
            </w:tcBorders>
            <w:shd w:val="clear" w:color="auto" w:fill="auto"/>
            <w:vAlign w:val="center"/>
            <w:hideMark/>
          </w:tcPr>
          <w:p w14:paraId="2D76906C" w14:textId="7500E426" w:rsidR="00ED239D" w:rsidRPr="006848CD" w:rsidRDefault="00ED239D" w:rsidP="00F90671">
            <w:pPr>
              <w:rPr>
                <w:rFonts w:ascii="Verdana" w:eastAsia="Times New Roman" w:hAnsi="Verdana" w:cs="Calibri"/>
                <w:color w:val="365F91" w:themeColor="accent1" w:themeShade="BF"/>
                <w:sz w:val="18"/>
                <w:szCs w:val="18"/>
              </w:rPr>
            </w:pPr>
            <w:proofErr w:type="spellStart"/>
            <w:r w:rsidRPr="006848CD">
              <w:rPr>
                <w:rFonts w:ascii="Verdana" w:eastAsia="Times New Roman" w:hAnsi="Verdana" w:cs="Calibri"/>
                <w:color w:val="365F91" w:themeColor="accent1" w:themeShade="BF"/>
                <w:sz w:val="18"/>
                <w:szCs w:val="18"/>
              </w:rPr>
              <w:t>Pafos</w:t>
            </w:r>
            <w:proofErr w:type="spellEnd"/>
          </w:p>
        </w:tc>
        <w:tc>
          <w:tcPr>
            <w:tcW w:w="2175" w:type="dxa"/>
            <w:tcBorders>
              <w:top w:val="nil"/>
              <w:left w:val="nil"/>
              <w:bottom w:val="single" w:sz="8" w:space="0" w:color="2F5496"/>
              <w:right w:val="nil"/>
            </w:tcBorders>
            <w:shd w:val="clear" w:color="auto" w:fill="auto"/>
            <w:vAlign w:val="center"/>
            <w:hideMark/>
          </w:tcPr>
          <w:p w14:paraId="388F4046" w14:textId="77777777" w:rsidR="00ED239D" w:rsidRPr="006848CD" w:rsidRDefault="00ED239D" w:rsidP="006848CD">
            <w:pPr>
              <w:ind w:right="567"/>
              <w:jc w:val="right"/>
              <w:rPr>
                <w:rFonts w:ascii="Verdana" w:eastAsia="Times New Roman" w:hAnsi="Verdana" w:cs="Calibri"/>
                <w:color w:val="365F91" w:themeColor="accent1" w:themeShade="BF"/>
                <w:sz w:val="18"/>
                <w:szCs w:val="18"/>
              </w:rPr>
            </w:pPr>
            <w:r w:rsidRPr="006848CD">
              <w:rPr>
                <w:rFonts w:ascii="Verdana" w:eastAsia="Times New Roman" w:hAnsi="Verdana" w:cs="Calibri"/>
                <w:color w:val="365F91" w:themeColor="accent1" w:themeShade="BF"/>
                <w:sz w:val="18"/>
                <w:szCs w:val="18"/>
              </w:rPr>
              <w:t>74.473</w:t>
            </w:r>
          </w:p>
        </w:tc>
        <w:tc>
          <w:tcPr>
            <w:tcW w:w="2175" w:type="dxa"/>
            <w:tcBorders>
              <w:top w:val="nil"/>
              <w:left w:val="nil"/>
              <w:bottom w:val="single" w:sz="8" w:space="0" w:color="2F5496"/>
              <w:right w:val="nil"/>
            </w:tcBorders>
            <w:shd w:val="clear" w:color="auto" w:fill="auto"/>
            <w:vAlign w:val="center"/>
            <w:hideMark/>
          </w:tcPr>
          <w:p w14:paraId="6AA18A61" w14:textId="77777777" w:rsidR="00ED239D" w:rsidRPr="006848CD" w:rsidRDefault="00ED239D" w:rsidP="006848CD">
            <w:pPr>
              <w:ind w:right="567"/>
              <w:jc w:val="right"/>
              <w:rPr>
                <w:rFonts w:ascii="Verdana" w:eastAsia="Times New Roman" w:hAnsi="Verdana" w:cs="Calibri"/>
                <w:color w:val="365F91" w:themeColor="accent1" w:themeShade="BF"/>
                <w:sz w:val="18"/>
                <w:szCs w:val="18"/>
              </w:rPr>
            </w:pPr>
            <w:r w:rsidRPr="006848CD">
              <w:rPr>
                <w:rFonts w:ascii="Verdana" w:eastAsia="Times New Roman" w:hAnsi="Verdana" w:cs="Calibri"/>
                <w:color w:val="365F91" w:themeColor="accent1" w:themeShade="BF"/>
                <w:sz w:val="18"/>
                <w:szCs w:val="18"/>
              </w:rPr>
              <w:t>66.168</w:t>
            </w:r>
          </w:p>
        </w:tc>
        <w:tc>
          <w:tcPr>
            <w:tcW w:w="2175" w:type="dxa"/>
            <w:tcBorders>
              <w:top w:val="nil"/>
              <w:left w:val="nil"/>
              <w:bottom w:val="single" w:sz="8" w:space="0" w:color="2F5496"/>
              <w:right w:val="nil"/>
            </w:tcBorders>
            <w:shd w:val="clear" w:color="auto" w:fill="auto"/>
            <w:vAlign w:val="center"/>
            <w:hideMark/>
          </w:tcPr>
          <w:p w14:paraId="524699FB" w14:textId="77777777" w:rsidR="00ED239D" w:rsidRPr="006848CD" w:rsidRDefault="00ED239D" w:rsidP="00F90671">
            <w:pPr>
              <w:jc w:val="center"/>
              <w:rPr>
                <w:rFonts w:ascii="Verdana" w:eastAsia="Times New Roman" w:hAnsi="Verdana" w:cs="Calibri"/>
                <w:color w:val="365F91" w:themeColor="accent1" w:themeShade="BF"/>
                <w:sz w:val="18"/>
                <w:szCs w:val="18"/>
              </w:rPr>
            </w:pPr>
            <w:r w:rsidRPr="006848CD">
              <w:rPr>
                <w:rFonts w:ascii="Verdana" w:eastAsia="Times New Roman" w:hAnsi="Verdana" w:cs="Calibri"/>
                <w:color w:val="365F91" w:themeColor="accent1" w:themeShade="BF"/>
                <w:sz w:val="18"/>
                <w:szCs w:val="18"/>
              </w:rPr>
              <w:t>12,6</w:t>
            </w:r>
          </w:p>
        </w:tc>
      </w:tr>
      <w:tr w:rsidR="006848CD" w:rsidRPr="006848CD" w14:paraId="37D7B25E" w14:textId="77777777" w:rsidTr="006848CD">
        <w:trPr>
          <w:trHeight w:val="310"/>
          <w:jc w:val="center"/>
        </w:trPr>
        <w:tc>
          <w:tcPr>
            <w:tcW w:w="2175" w:type="dxa"/>
            <w:tcBorders>
              <w:top w:val="nil"/>
              <w:left w:val="nil"/>
              <w:bottom w:val="single" w:sz="8" w:space="0" w:color="2F5496"/>
              <w:right w:val="nil"/>
            </w:tcBorders>
            <w:shd w:val="clear" w:color="auto" w:fill="auto"/>
            <w:vAlign w:val="center"/>
            <w:hideMark/>
          </w:tcPr>
          <w:p w14:paraId="5C1C3512" w14:textId="551AA82D" w:rsidR="00ED239D" w:rsidRPr="006848CD" w:rsidRDefault="00ED239D" w:rsidP="00F90671">
            <w:pPr>
              <w:rPr>
                <w:rFonts w:ascii="Verdana" w:eastAsia="Times New Roman" w:hAnsi="Verdana" w:cs="Calibri"/>
                <w:b/>
                <w:bCs/>
                <w:color w:val="365F91" w:themeColor="accent1" w:themeShade="BF"/>
                <w:sz w:val="18"/>
                <w:szCs w:val="18"/>
              </w:rPr>
            </w:pPr>
            <w:r w:rsidRPr="006848CD">
              <w:rPr>
                <w:rFonts w:ascii="Verdana" w:eastAsia="Times New Roman" w:hAnsi="Verdana" w:cs="Calibri"/>
                <w:b/>
                <w:bCs/>
                <w:color w:val="365F91" w:themeColor="accent1" w:themeShade="BF"/>
                <w:sz w:val="18"/>
                <w:szCs w:val="18"/>
              </w:rPr>
              <w:t>Total</w:t>
            </w:r>
          </w:p>
        </w:tc>
        <w:tc>
          <w:tcPr>
            <w:tcW w:w="2175" w:type="dxa"/>
            <w:tcBorders>
              <w:top w:val="nil"/>
              <w:left w:val="nil"/>
              <w:bottom w:val="single" w:sz="8" w:space="0" w:color="2F5496"/>
              <w:right w:val="nil"/>
            </w:tcBorders>
            <w:shd w:val="clear" w:color="auto" w:fill="auto"/>
            <w:vAlign w:val="center"/>
            <w:hideMark/>
          </w:tcPr>
          <w:p w14:paraId="412CDD90" w14:textId="77777777" w:rsidR="00ED239D" w:rsidRPr="006848CD" w:rsidRDefault="00ED239D" w:rsidP="006848CD">
            <w:pPr>
              <w:ind w:right="567"/>
              <w:jc w:val="right"/>
              <w:rPr>
                <w:rFonts w:ascii="Verdana" w:eastAsia="Times New Roman" w:hAnsi="Verdana" w:cs="Calibri"/>
                <w:b/>
                <w:bCs/>
                <w:color w:val="365F91" w:themeColor="accent1" w:themeShade="BF"/>
                <w:sz w:val="18"/>
                <w:szCs w:val="18"/>
              </w:rPr>
            </w:pPr>
            <w:r w:rsidRPr="006848CD">
              <w:rPr>
                <w:rFonts w:ascii="Verdana" w:eastAsia="Times New Roman" w:hAnsi="Verdana" w:cs="Calibri"/>
                <w:b/>
                <w:bCs/>
                <w:color w:val="365F91" w:themeColor="accent1" w:themeShade="BF"/>
                <w:sz w:val="18"/>
                <w:szCs w:val="18"/>
              </w:rPr>
              <w:t>492.931</w:t>
            </w:r>
          </w:p>
        </w:tc>
        <w:tc>
          <w:tcPr>
            <w:tcW w:w="2175" w:type="dxa"/>
            <w:tcBorders>
              <w:top w:val="nil"/>
              <w:left w:val="nil"/>
              <w:bottom w:val="single" w:sz="8" w:space="0" w:color="2F5496"/>
              <w:right w:val="nil"/>
            </w:tcBorders>
            <w:shd w:val="clear" w:color="auto" w:fill="auto"/>
            <w:vAlign w:val="center"/>
            <w:hideMark/>
          </w:tcPr>
          <w:p w14:paraId="713CB7F9" w14:textId="77777777" w:rsidR="00ED239D" w:rsidRPr="006848CD" w:rsidRDefault="00ED239D" w:rsidP="006848CD">
            <w:pPr>
              <w:ind w:right="567"/>
              <w:jc w:val="right"/>
              <w:rPr>
                <w:rFonts w:ascii="Verdana" w:eastAsia="Times New Roman" w:hAnsi="Verdana" w:cs="Calibri"/>
                <w:b/>
                <w:bCs/>
                <w:color w:val="365F91" w:themeColor="accent1" w:themeShade="BF"/>
                <w:sz w:val="18"/>
                <w:szCs w:val="18"/>
              </w:rPr>
            </w:pPr>
            <w:r w:rsidRPr="006848CD">
              <w:rPr>
                <w:rFonts w:ascii="Verdana" w:eastAsia="Times New Roman" w:hAnsi="Verdana" w:cs="Calibri"/>
                <w:b/>
                <w:bCs/>
                <w:color w:val="365F91" w:themeColor="accent1" w:themeShade="BF"/>
                <w:sz w:val="18"/>
                <w:szCs w:val="18"/>
              </w:rPr>
              <w:t>433.212</w:t>
            </w:r>
          </w:p>
        </w:tc>
        <w:tc>
          <w:tcPr>
            <w:tcW w:w="2175" w:type="dxa"/>
            <w:tcBorders>
              <w:top w:val="nil"/>
              <w:left w:val="nil"/>
              <w:bottom w:val="single" w:sz="8" w:space="0" w:color="2F5496"/>
              <w:right w:val="nil"/>
            </w:tcBorders>
            <w:shd w:val="clear" w:color="auto" w:fill="auto"/>
            <w:vAlign w:val="center"/>
            <w:hideMark/>
          </w:tcPr>
          <w:p w14:paraId="416AC36B" w14:textId="77777777" w:rsidR="00ED239D" w:rsidRPr="006848CD" w:rsidRDefault="00ED239D" w:rsidP="00F90671">
            <w:pPr>
              <w:jc w:val="center"/>
              <w:rPr>
                <w:rFonts w:ascii="Verdana" w:eastAsia="Times New Roman" w:hAnsi="Verdana" w:cs="Calibri"/>
                <w:b/>
                <w:bCs/>
                <w:color w:val="365F91" w:themeColor="accent1" w:themeShade="BF"/>
                <w:sz w:val="18"/>
                <w:szCs w:val="18"/>
              </w:rPr>
            </w:pPr>
            <w:r w:rsidRPr="006848CD">
              <w:rPr>
                <w:rFonts w:ascii="Verdana" w:eastAsia="Times New Roman" w:hAnsi="Verdana" w:cs="Calibri"/>
                <w:b/>
                <w:bCs/>
                <w:color w:val="365F91" w:themeColor="accent1" w:themeShade="BF"/>
                <w:sz w:val="18"/>
                <w:szCs w:val="18"/>
              </w:rPr>
              <w:t>13,8</w:t>
            </w:r>
          </w:p>
        </w:tc>
      </w:tr>
    </w:tbl>
    <w:p w14:paraId="601A0128" w14:textId="77777777" w:rsidR="00666A7F" w:rsidRDefault="00666A7F" w:rsidP="00F90671">
      <w:pPr>
        <w:jc w:val="both"/>
        <w:rPr>
          <w:rFonts w:ascii="Verdana" w:hAnsi="Verdana" w:cs="Calibri"/>
          <w:sz w:val="18"/>
          <w:szCs w:val="18"/>
        </w:rPr>
      </w:pPr>
    </w:p>
    <w:p w14:paraId="7E0D3D32" w14:textId="77777777" w:rsidR="006848CD" w:rsidRPr="009F145E" w:rsidRDefault="006848CD" w:rsidP="00F90671">
      <w:pPr>
        <w:jc w:val="both"/>
        <w:rPr>
          <w:rFonts w:ascii="Verdana" w:hAnsi="Verdana" w:cs="Calibri"/>
          <w:sz w:val="18"/>
          <w:szCs w:val="18"/>
        </w:rPr>
      </w:pPr>
    </w:p>
    <w:p w14:paraId="60AB5104" w14:textId="2F24A67E" w:rsidR="00666A7F" w:rsidRPr="009F145E" w:rsidRDefault="003F4948" w:rsidP="00F90671">
      <w:pPr>
        <w:jc w:val="both"/>
        <w:rPr>
          <w:rFonts w:ascii="Verdana" w:hAnsi="Verdana" w:cs="Calibri"/>
          <w:sz w:val="18"/>
          <w:szCs w:val="18"/>
        </w:rPr>
      </w:pPr>
      <w:r w:rsidRPr="009F145E">
        <w:rPr>
          <w:rFonts w:ascii="Verdana" w:hAnsi="Verdana" w:cs="Calibri"/>
          <w:sz w:val="18"/>
          <w:szCs w:val="18"/>
        </w:rPr>
        <w:t xml:space="preserve">The following </w:t>
      </w:r>
      <w:r w:rsidR="00147799">
        <w:rPr>
          <w:rFonts w:ascii="Verdana" w:hAnsi="Verdana" w:cs="Calibri"/>
          <w:sz w:val="18"/>
          <w:szCs w:val="18"/>
        </w:rPr>
        <w:t>figure</w:t>
      </w:r>
      <w:r w:rsidRPr="009F145E">
        <w:rPr>
          <w:rFonts w:ascii="Verdana" w:hAnsi="Verdana" w:cs="Calibri"/>
          <w:sz w:val="18"/>
          <w:szCs w:val="18"/>
        </w:rPr>
        <w:t xml:space="preserve"> displays the percentage distribution of </w:t>
      </w:r>
      <w:r w:rsidR="00F37B15" w:rsidRPr="009F145E">
        <w:rPr>
          <w:rFonts w:ascii="Verdana" w:hAnsi="Verdana" w:cs="Calibri"/>
          <w:sz w:val="18"/>
          <w:szCs w:val="18"/>
        </w:rPr>
        <w:t>housing units</w:t>
      </w:r>
      <w:r w:rsidRPr="009F145E">
        <w:rPr>
          <w:rFonts w:ascii="Verdana" w:hAnsi="Verdana" w:cs="Calibri"/>
          <w:sz w:val="18"/>
          <w:szCs w:val="18"/>
        </w:rPr>
        <w:t xml:space="preserve"> by district and urban/rural area.</w:t>
      </w:r>
    </w:p>
    <w:p w14:paraId="65ACCAD0" w14:textId="77777777" w:rsidR="00F37B15" w:rsidRPr="009F145E" w:rsidRDefault="00F37B15" w:rsidP="00F90671">
      <w:pPr>
        <w:jc w:val="both"/>
        <w:rPr>
          <w:rFonts w:ascii="Verdana" w:hAnsi="Verdana" w:cs="Calibri"/>
          <w:sz w:val="18"/>
          <w:szCs w:val="18"/>
        </w:rPr>
      </w:pPr>
    </w:p>
    <w:p w14:paraId="2256618B" w14:textId="7CE08FEC" w:rsidR="00F37B15" w:rsidRPr="009F145E" w:rsidRDefault="002320B2" w:rsidP="002320B2">
      <w:pPr>
        <w:jc w:val="center"/>
        <w:rPr>
          <w:rFonts w:ascii="Verdana" w:hAnsi="Verdana" w:cs="Calibri"/>
          <w:sz w:val="18"/>
          <w:szCs w:val="18"/>
        </w:rPr>
      </w:pPr>
      <w:r>
        <w:rPr>
          <w:rFonts w:ascii="Verdana" w:hAnsi="Verdana" w:cs="Calibri"/>
          <w:noProof/>
          <w:sz w:val="18"/>
          <w:szCs w:val="18"/>
        </w:rPr>
        <w:drawing>
          <wp:inline distT="0" distB="0" distL="0" distR="0" wp14:anchorId="68D8DEB4" wp14:editId="5971C6B2">
            <wp:extent cx="6066155" cy="3743325"/>
            <wp:effectExtent l="0" t="0" r="0" b="9525"/>
            <wp:docPr id="137298084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66155" cy="3743325"/>
                    </a:xfrm>
                    <a:prstGeom prst="rect">
                      <a:avLst/>
                    </a:prstGeom>
                    <a:noFill/>
                  </pic:spPr>
                </pic:pic>
              </a:graphicData>
            </a:graphic>
          </wp:inline>
        </w:drawing>
      </w:r>
    </w:p>
    <w:p w14:paraId="3B1F3062" w14:textId="77777777" w:rsidR="006848CD" w:rsidRDefault="006848CD" w:rsidP="00F90671">
      <w:pPr>
        <w:jc w:val="both"/>
        <w:rPr>
          <w:rFonts w:ascii="Verdana" w:hAnsi="Verdana" w:cs="Calibri"/>
          <w:sz w:val="18"/>
          <w:szCs w:val="18"/>
        </w:rPr>
      </w:pPr>
    </w:p>
    <w:p w14:paraId="3FCA896B" w14:textId="094DBB06" w:rsidR="00666A7F" w:rsidRPr="009F145E" w:rsidRDefault="00666A7F" w:rsidP="00F90671">
      <w:pPr>
        <w:jc w:val="both"/>
        <w:rPr>
          <w:rFonts w:ascii="Verdana" w:hAnsi="Verdana" w:cs="Calibri"/>
          <w:sz w:val="18"/>
          <w:szCs w:val="18"/>
        </w:rPr>
      </w:pPr>
      <w:r w:rsidRPr="009F145E">
        <w:rPr>
          <w:rFonts w:ascii="Verdana" w:hAnsi="Verdana" w:cs="Calibri"/>
          <w:sz w:val="18"/>
          <w:szCs w:val="18"/>
        </w:rPr>
        <w:t xml:space="preserve">Of the 492.931 </w:t>
      </w:r>
      <w:r w:rsidR="00C20EF5" w:rsidRPr="009F145E">
        <w:rPr>
          <w:rFonts w:ascii="Verdana" w:hAnsi="Verdana" w:cs="Calibri"/>
          <w:sz w:val="18"/>
          <w:szCs w:val="18"/>
        </w:rPr>
        <w:t>housing un</w:t>
      </w:r>
      <w:r w:rsidR="00C84564" w:rsidRPr="009F145E">
        <w:rPr>
          <w:rFonts w:ascii="Verdana" w:hAnsi="Verdana" w:cs="Calibri"/>
          <w:sz w:val="18"/>
          <w:szCs w:val="18"/>
        </w:rPr>
        <w:t>i</w:t>
      </w:r>
      <w:r w:rsidR="00C20EF5" w:rsidRPr="009F145E">
        <w:rPr>
          <w:rFonts w:ascii="Verdana" w:hAnsi="Verdana" w:cs="Calibri"/>
          <w:sz w:val="18"/>
          <w:szCs w:val="18"/>
        </w:rPr>
        <w:t>ts</w:t>
      </w:r>
      <w:r w:rsidRPr="009F145E">
        <w:rPr>
          <w:rFonts w:ascii="Verdana" w:hAnsi="Verdana" w:cs="Calibri"/>
          <w:sz w:val="18"/>
          <w:szCs w:val="18"/>
        </w:rPr>
        <w:t xml:space="preserve"> enumerated, 491.545 were conventional dwellings, meaning that they were constructed for habitation, while 1.386 were non-conventional dwellings, meaning that they were not built for habitation, however they were used as a place of residence by one or more persons (e.g. a commercial store that was used for habitation). Of the 491.545 conventional dwellings, 353.432 were occupied, of which 247.019 (69,9%) were owner-occupied, 74.809 (21,2%) were rented</w:t>
      </w:r>
      <w:r w:rsidR="009442AB" w:rsidRPr="009442AB">
        <w:rPr>
          <w:rFonts w:ascii="Verdana" w:hAnsi="Verdana" w:cs="Calibri"/>
          <w:sz w:val="18"/>
          <w:szCs w:val="18"/>
          <w:lang w:val="en-GB"/>
        </w:rPr>
        <w:t xml:space="preserve"> </w:t>
      </w:r>
      <w:r w:rsidR="009442AB">
        <w:rPr>
          <w:rFonts w:ascii="Verdana" w:hAnsi="Verdana" w:cs="Calibri"/>
          <w:sz w:val="18"/>
          <w:szCs w:val="18"/>
          <w:lang w:val="en-GB"/>
        </w:rPr>
        <w:t>and</w:t>
      </w:r>
      <w:r w:rsidRPr="009F145E">
        <w:rPr>
          <w:rFonts w:ascii="Verdana" w:hAnsi="Verdana" w:cs="Calibri"/>
          <w:sz w:val="18"/>
          <w:szCs w:val="18"/>
        </w:rPr>
        <w:t xml:space="preserve"> 17.890 were provided for free (5,1%), while 12.397 (3,5%) had </w:t>
      </w:r>
      <w:r w:rsidR="00833688" w:rsidRPr="009F145E">
        <w:rPr>
          <w:rFonts w:ascii="Verdana" w:hAnsi="Verdana" w:cs="Calibri"/>
          <w:sz w:val="18"/>
          <w:szCs w:val="18"/>
        </w:rPr>
        <w:t>a different</w:t>
      </w:r>
      <w:r w:rsidRPr="009F145E">
        <w:rPr>
          <w:rFonts w:ascii="Verdana" w:hAnsi="Verdana" w:cs="Calibri"/>
          <w:sz w:val="18"/>
          <w:szCs w:val="18"/>
        </w:rPr>
        <w:t xml:space="preserve"> tenure status. </w:t>
      </w:r>
    </w:p>
    <w:p w14:paraId="5806926E" w14:textId="77777777" w:rsidR="00666A7F" w:rsidRPr="009F145E" w:rsidRDefault="00666A7F" w:rsidP="00F90671">
      <w:pPr>
        <w:jc w:val="both"/>
        <w:rPr>
          <w:rFonts w:ascii="Verdana" w:hAnsi="Verdana" w:cs="Calibri"/>
          <w:sz w:val="18"/>
          <w:szCs w:val="18"/>
        </w:rPr>
      </w:pPr>
    </w:p>
    <w:p w14:paraId="07E2B57F" w14:textId="1183CCAA" w:rsidR="00353008" w:rsidRDefault="002320B2" w:rsidP="00F90671">
      <w:pPr>
        <w:jc w:val="both"/>
        <w:rPr>
          <w:rFonts w:ascii="Verdana" w:hAnsi="Verdana" w:cs="Calibri"/>
          <w:sz w:val="18"/>
          <w:szCs w:val="18"/>
        </w:rPr>
      </w:pPr>
      <w:r>
        <w:rPr>
          <w:rFonts w:ascii="Verdana" w:hAnsi="Verdana" w:cs="Calibri"/>
          <w:noProof/>
          <w:sz w:val="18"/>
          <w:szCs w:val="18"/>
        </w:rPr>
        <w:lastRenderedPageBreak/>
        <w:drawing>
          <wp:inline distT="0" distB="0" distL="0" distR="0" wp14:anchorId="6B01F454" wp14:editId="6E216099">
            <wp:extent cx="6071870" cy="3237230"/>
            <wp:effectExtent l="0" t="0" r="5080" b="1270"/>
            <wp:docPr id="55904336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1870" cy="3237230"/>
                    </a:xfrm>
                    <a:prstGeom prst="rect">
                      <a:avLst/>
                    </a:prstGeom>
                    <a:noFill/>
                  </pic:spPr>
                </pic:pic>
              </a:graphicData>
            </a:graphic>
          </wp:inline>
        </w:drawing>
      </w:r>
    </w:p>
    <w:p w14:paraId="65155054" w14:textId="77777777" w:rsidR="002320B2" w:rsidRDefault="002320B2" w:rsidP="00F90671">
      <w:pPr>
        <w:jc w:val="both"/>
        <w:rPr>
          <w:rFonts w:ascii="Verdana" w:hAnsi="Verdana" w:cs="Calibri"/>
          <w:sz w:val="18"/>
          <w:szCs w:val="18"/>
        </w:rPr>
      </w:pPr>
    </w:p>
    <w:p w14:paraId="1C0050DF" w14:textId="77777777" w:rsidR="002320B2" w:rsidRDefault="002320B2" w:rsidP="00F90671">
      <w:pPr>
        <w:jc w:val="both"/>
        <w:rPr>
          <w:rFonts w:ascii="Verdana" w:hAnsi="Verdana" w:cs="Calibri"/>
          <w:sz w:val="18"/>
          <w:szCs w:val="18"/>
        </w:rPr>
      </w:pPr>
    </w:p>
    <w:p w14:paraId="5BD9432C" w14:textId="77777777" w:rsidR="00666A7F" w:rsidRPr="009F145E" w:rsidRDefault="00666A7F" w:rsidP="00F90671">
      <w:pPr>
        <w:jc w:val="both"/>
        <w:rPr>
          <w:rFonts w:ascii="Verdana" w:hAnsi="Verdana" w:cs="Calibri"/>
          <w:b/>
          <w:bCs/>
          <w:sz w:val="18"/>
          <w:szCs w:val="18"/>
          <w:u w:val="single"/>
        </w:rPr>
      </w:pPr>
      <w:r w:rsidRPr="009F145E">
        <w:rPr>
          <w:rFonts w:ascii="Verdana" w:hAnsi="Verdana" w:cs="Calibri"/>
          <w:b/>
          <w:bCs/>
          <w:sz w:val="18"/>
          <w:szCs w:val="18"/>
          <w:u w:val="single"/>
        </w:rPr>
        <w:t>Households</w:t>
      </w:r>
    </w:p>
    <w:p w14:paraId="38F2DF4D" w14:textId="77777777" w:rsidR="00666A7F" w:rsidRPr="009F145E" w:rsidRDefault="00666A7F" w:rsidP="00F90671">
      <w:pPr>
        <w:jc w:val="both"/>
        <w:rPr>
          <w:rFonts w:ascii="Verdana" w:hAnsi="Verdana" w:cs="Calibri"/>
          <w:sz w:val="18"/>
          <w:szCs w:val="18"/>
        </w:rPr>
      </w:pPr>
    </w:p>
    <w:p w14:paraId="586D7186" w14:textId="1B2406F8" w:rsidR="00666A7F" w:rsidRPr="009F145E" w:rsidRDefault="00666A7F" w:rsidP="00F90671">
      <w:pPr>
        <w:jc w:val="both"/>
        <w:rPr>
          <w:rFonts w:ascii="Verdana" w:hAnsi="Verdana" w:cs="Calibri"/>
          <w:sz w:val="18"/>
          <w:szCs w:val="18"/>
        </w:rPr>
      </w:pPr>
      <w:r w:rsidRPr="009F145E">
        <w:rPr>
          <w:rFonts w:ascii="Verdana" w:hAnsi="Verdana" w:cs="Calibri"/>
          <w:sz w:val="18"/>
          <w:szCs w:val="18"/>
        </w:rPr>
        <w:t xml:space="preserve">A total of 357.858 households were enumerated </w:t>
      </w:r>
      <w:r w:rsidR="009442AB">
        <w:rPr>
          <w:rFonts w:ascii="Verdana" w:hAnsi="Verdana" w:cs="Calibri"/>
          <w:sz w:val="18"/>
          <w:szCs w:val="18"/>
          <w:lang w:val="en-GB"/>
        </w:rPr>
        <w:t xml:space="preserve">in 2021 </w:t>
      </w:r>
      <w:r w:rsidRPr="009F145E">
        <w:rPr>
          <w:rFonts w:ascii="Verdana" w:hAnsi="Verdana" w:cs="Calibri"/>
          <w:sz w:val="18"/>
          <w:szCs w:val="18"/>
        </w:rPr>
        <w:t xml:space="preserve">(compared to 303.242 in 2011), with average household size of 2,57 persons (2,76 in 2011), 2,51 in urban areas (2,70 in 2011) and 2,68 in rural areas (2,88 in 2011). </w:t>
      </w:r>
      <w:proofErr w:type="spellStart"/>
      <w:r w:rsidRPr="009F145E">
        <w:rPr>
          <w:rFonts w:ascii="Verdana" w:hAnsi="Verdana" w:cs="Calibri"/>
          <w:sz w:val="18"/>
          <w:szCs w:val="18"/>
        </w:rPr>
        <w:t>Ammochostos</w:t>
      </w:r>
      <w:proofErr w:type="spellEnd"/>
      <w:r w:rsidRPr="009F145E">
        <w:rPr>
          <w:rFonts w:ascii="Verdana" w:hAnsi="Verdana" w:cs="Calibri"/>
          <w:sz w:val="18"/>
          <w:szCs w:val="18"/>
        </w:rPr>
        <w:t xml:space="preserve"> was the district with the largest average household size (2,66) whereas </w:t>
      </w:r>
      <w:proofErr w:type="spellStart"/>
      <w:r w:rsidRPr="009F145E">
        <w:rPr>
          <w:rFonts w:ascii="Verdana" w:hAnsi="Verdana" w:cs="Calibri"/>
          <w:sz w:val="18"/>
          <w:szCs w:val="18"/>
        </w:rPr>
        <w:t>Lefkosia</w:t>
      </w:r>
      <w:proofErr w:type="spellEnd"/>
      <w:r w:rsidRPr="009F145E">
        <w:rPr>
          <w:rFonts w:ascii="Verdana" w:hAnsi="Verdana" w:cs="Calibri"/>
          <w:sz w:val="18"/>
          <w:szCs w:val="18"/>
        </w:rPr>
        <w:t xml:space="preserve"> was the district with the smallest (2,51). </w:t>
      </w:r>
    </w:p>
    <w:p w14:paraId="496B0D6B" w14:textId="77777777" w:rsidR="00461293" w:rsidRPr="009F145E" w:rsidRDefault="00461293" w:rsidP="00F90671">
      <w:pPr>
        <w:jc w:val="both"/>
        <w:rPr>
          <w:rFonts w:ascii="Verdana" w:hAnsi="Verdana" w:cs="Calibri"/>
          <w:sz w:val="18"/>
          <w:szCs w:val="18"/>
        </w:rPr>
      </w:pPr>
    </w:p>
    <w:p w14:paraId="1E822AAC" w14:textId="5394BEB4" w:rsidR="00461293" w:rsidRPr="009F145E" w:rsidRDefault="00F96691" w:rsidP="00F90671">
      <w:pPr>
        <w:jc w:val="both"/>
        <w:rPr>
          <w:rFonts w:ascii="Verdana" w:hAnsi="Verdana" w:cs="Calibri"/>
          <w:sz w:val="18"/>
          <w:szCs w:val="18"/>
        </w:rPr>
      </w:pPr>
      <w:r w:rsidRPr="009F145E">
        <w:rPr>
          <w:rFonts w:ascii="Verdana" w:hAnsi="Verdana" w:cs="Calibri"/>
          <w:sz w:val="18"/>
          <w:szCs w:val="18"/>
        </w:rPr>
        <w:t xml:space="preserve">The largest increase in the number of households, compared to the 2011 Census, is </w:t>
      </w:r>
      <w:r w:rsidR="00147799">
        <w:rPr>
          <w:rFonts w:ascii="Verdana" w:hAnsi="Verdana" w:cs="Calibri"/>
          <w:sz w:val="18"/>
          <w:szCs w:val="18"/>
        </w:rPr>
        <w:t>recorded</w:t>
      </w:r>
      <w:r w:rsidRPr="009F145E">
        <w:rPr>
          <w:rFonts w:ascii="Verdana" w:hAnsi="Verdana" w:cs="Calibri"/>
          <w:sz w:val="18"/>
          <w:szCs w:val="18"/>
        </w:rPr>
        <w:t xml:space="preserve"> in </w:t>
      </w:r>
      <w:proofErr w:type="spellStart"/>
      <w:r w:rsidRPr="009F145E">
        <w:rPr>
          <w:rFonts w:ascii="Verdana" w:hAnsi="Verdana" w:cs="Calibri"/>
          <w:sz w:val="18"/>
          <w:szCs w:val="18"/>
        </w:rPr>
        <w:t>Ammochostos</w:t>
      </w:r>
      <w:proofErr w:type="spellEnd"/>
      <w:r w:rsidRPr="009F145E">
        <w:rPr>
          <w:rFonts w:ascii="Verdana" w:hAnsi="Verdana" w:cs="Calibri"/>
          <w:sz w:val="18"/>
          <w:szCs w:val="18"/>
        </w:rPr>
        <w:t xml:space="preserve"> district (29,1%), followed by </w:t>
      </w:r>
      <w:proofErr w:type="spellStart"/>
      <w:r w:rsidRPr="009F145E">
        <w:rPr>
          <w:rFonts w:ascii="Verdana" w:hAnsi="Verdana" w:cs="Calibri"/>
          <w:sz w:val="18"/>
          <w:szCs w:val="18"/>
        </w:rPr>
        <w:t>Pafos</w:t>
      </w:r>
      <w:proofErr w:type="spellEnd"/>
      <w:r w:rsidRPr="009F145E">
        <w:rPr>
          <w:rFonts w:ascii="Verdana" w:hAnsi="Verdana" w:cs="Calibri"/>
          <w:sz w:val="18"/>
          <w:szCs w:val="18"/>
        </w:rPr>
        <w:t xml:space="preserve"> district (20,0%).</w:t>
      </w:r>
    </w:p>
    <w:p w14:paraId="79A918BD" w14:textId="77777777" w:rsidR="00666A7F" w:rsidRPr="009F145E" w:rsidRDefault="00666A7F" w:rsidP="00F90671">
      <w:pPr>
        <w:jc w:val="both"/>
        <w:rPr>
          <w:rFonts w:ascii="Verdana" w:hAnsi="Verdana" w:cs="Calibri"/>
          <w:sz w:val="18"/>
          <w:szCs w:val="18"/>
        </w:rPr>
      </w:pPr>
    </w:p>
    <w:p w14:paraId="5DB38AA8" w14:textId="77777777" w:rsidR="00666A7F" w:rsidRPr="009F145E" w:rsidRDefault="00666A7F" w:rsidP="00F90671">
      <w:pPr>
        <w:jc w:val="both"/>
        <w:rPr>
          <w:rFonts w:ascii="Verdana" w:hAnsi="Verdana" w:cs="Calibri"/>
          <w:sz w:val="18"/>
          <w:szCs w:val="18"/>
        </w:rPr>
      </w:pPr>
    </w:p>
    <w:tbl>
      <w:tblPr>
        <w:tblW w:w="9240" w:type="dxa"/>
        <w:jc w:val="center"/>
        <w:tblLook w:val="04A0" w:firstRow="1" w:lastRow="0" w:firstColumn="1" w:lastColumn="0" w:noHBand="0" w:noVBand="1"/>
      </w:tblPr>
      <w:tblGrid>
        <w:gridCol w:w="1540"/>
        <w:gridCol w:w="1540"/>
        <w:gridCol w:w="1540"/>
        <w:gridCol w:w="1540"/>
        <w:gridCol w:w="1540"/>
        <w:gridCol w:w="1540"/>
      </w:tblGrid>
      <w:tr w:rsidR="002320B2" w:rsidRPr="002320B2" w14:paraId="33A43470" w14:textId="77777777" w:rsidTr="00ED239D">
        <w:trPr>
          <w:trHeight w:val="300"/>
          <w:jc w:val="center"/>
        </w:trPr>
        <w:tc>
          <w:tcPr>
            <w:tcW w:w="1540" w:type="dxa"/>
            <w:tcBorders>
              <w:top w:val="nil"/>
              <w:left w:val="nil"/>
              <w:bottom w:val="single" w:sz="8" w:space="0" w:color="2F5496"/>
              <w:right w:val="nil"/>
            </w:tcBorders>
            <w:shd w:val="clear" w:color="auto" w:fill="auto"/>
            <w:vAlign w:val="center"/>
            <w:hideMark/>
          </w:tcPr>
          <w:p w14:paraId="24BCD705" w14:textId="77777777" w:rsidR="00B17A6C" w:rsidRPr="002320B2" w:rsidRDefault="00B17A6C" w:rsidP="00F90671">
            <w:pPr>
              <w:rPr>
                <w:rFonts w:ascii="Verdana" w:eastAsia="Times New Roman" w:hAnsi="Verdana" w:cs="Calibri"/>
                <w:b/>
                <w:bCs/>
                <w:color w:val="365F91" w:themeColor="accent1" w:themeShade="BF"/>
                <w:sz w:val="18"/>
                <w:szCs w:val="18"/>
              </w:rPr>
            </w:pPr>
            <w:r w:rsidRPr="002320B2">
              <w:rPr>
                <w:rFonts w:ascii="Verdana" w:eastAsia="Times New Roman" w:hAnsi="Verdana" w:cs="Calibri"/>
                <w:b/>
                <w:bCs/>
                <w:color w:val="365F91" w:themeColor="accent1" w:themeShade="BF"/>
                <w:sz w:val="18"/>
                <w:szCs w:val="18"/>
              </w:rPr>
              <w:t>Table 3</w:t>
            </w:r>
          </w:p>
        </w:tc>
        <w:tc>
          <w:tcPr>
            <w:tcW w:w="1540" w:type="dxa"/>
            <w:tcBorders>
              <w:top w:val="nil"/>
              <w:left w:val="nil"/>
              <w:bottom w:val="single" w:sz="8" w:space="0" w:color="2F5496"/>
              <w:right w:val="nil"/>
            </w:tcBorders>
            <w:shd w:val="clear" w:color="auto" w:fill="auto"/>
            <w:vAlign w:val="center"/>
            <w:hideMark/>
          </w:tcPr>
          <w:p w14:paraId="7B91940F" w14:textId="77777777" w:rsidR="00B17A6C" w:rsidRPr="002320B2" w:rsidRDefault="00B17A6C" w:rsidP="00F90671">
            <w:pPr>
              <w:rPr>
                <w:rFonts w:ascii="Verdana" w:eastAsia="Times New Roman" w:hAnsi="Verdana" w:cs="Calibri"/>
                <w:b/>
                <w:bCs/>
                <w:color w:val="365F91" w:themeColor="accent1" w:themeShade="BF"/>
                <w:sz w:val="18"/>
                <w:szCs w:val="18"/>
              </w:rPr>
            </w:pPr>
            <w:r w:rsidRPr="002320B2">
              <w:rPr>
                <w:rFonts w:ascii="Verdana" w:eastAsia="Times New Roman" w:hAnsi="Verdana" w:cs="Calibri"/>
                <w:b/>
                <w:bCs/>
                <w:color w:val="365F91" w:themeColor="accent1" w:themeShade="BF"/>
                <w:sz w:val="18"/>
                <w:szCs w:val="18"/>
              </w:rPr>
              <w:t> </w:t>
            </w:r>
          </w:p>
        </w:tc>
        <w:tc>
          <w:tcPr>
            <w:tcW w:w="1540" w:type="dxa"/>
            <w:tcBorders>
              <w:top w:val="nil"/>
              <w:left w:val="nil"/>
              <w:bottom w:val="single" w:sz="8" w:space="0" w:color="2F5496"/>
              <w:right w:val="nil"/>
            </w:tcBorders>
            <w:shd w:val="clear" w:color="auto" w:fill="auto"/>
            <w:vAlign w:val="center"/>
            <w:hideMark/>
          </w:tcPr>
          <w:p w14:paraId="1AE9FAF6" w14:textId="77777777" w:rsidR="00B17A6C" w:rsidRPr="002320B2" w:rsidRDefault="00B17A6C" w:rsidP="00F90671">
            <w:pPr>
              <w:rPr>
                <w:rFonts w:ascii="Verdana" w:eastAsia="Times New Roman" w:hAnsi="Verdana" w:cs="Calibri"/>
                <w:b/>
                <w:bCs/>
                <w:color w:val="365F91" w:themeColor="accent1" w:themeShade="BF"/>
                <w:sz w:val="18"/>
                <w:szCs w:val="18"/>
              </w:rPr>
            </w:pPr>
            <w:r w:rsidRPr="002320B2">
              <w:rPr>
                <w:rFonts w:ascii="Verdana" w:eastAsia="Times New Roman" w:hAnsi="Verdana" w:cs="Calibri"/>
                <w:b/>
                <w:bCs/>
                <w:color w:val="365F91" w:themeColor="accent1" w:themeShade="BF"/>
                <w:sz w:val="18"/>
                <w:szCs w:val="18"/>
              </w:rPr>
              <w:t> </w:t>
            </w:r>
          </w:p>
        </w:tc>
        <w:tc>
          <w:tcPr>
            <w:tcW w:w="1540" w:type="dxa"/>
            <w:tcBorders>
              <w:top w:val="nil"/>
              <w:left w:val="nil"/>
              <w:bottom w:val="single" w:sz="8" w:space="0" w:color="2F5496"/>
              <w:right w:val="nil"/>
            </w:tcBorders>
            <w:shd w:val="clear" w:color="auto" w:fill="auto"/>
            <w:vAlign w:val="center"/>
            <w:hideMark/>
          </w:tcPr>
          <w:p w14:paraId="1D4D7E6B" w14:textId="77777777" w:rsidR="00B17A6C" w:rsidRPr="002320B2" w:rsidRDefault="00B17A6C" w:rsidP="00F90671">
            <w:pPr>
              <w:rPr>
                <w:rFonts w:ascii="Verdana" w:eastAsia="Times New Roman" w:hAnsi="Verdana" w:cs="Calibri"/>
                <w:b/>
                <w:bCs/>
                <w:color w:val="365F91" w:themeColor="accent1" w:themeShade="BF"/>
                <w:sz w:val="18"/>
                <w:szCs w:val="18"/>
              </w:rPr>
            </w:pPr>
            <w:r w:rsidRPr="002320B2">
              <w:rPr>
                <w:rFonts w:ascii="Verdana" w:eastAsia="Times New Roman" w:hAnsi="Verdana" w:cs="Calibri"/>
                <w:b/>
                <w:bCs/>
                <w:color w:val="365F91" w:themeColor="accent1" w:themeShade="BF"/>
                <w:sz w:val="18"/>
                <w:szCs w:val="18"/>
              </w:rPr>
              <w:t> </w:t>
            </w:r>
          </w:p>
        </w:tc>
        <w:tc>
          <w:tcPr>
            <w:tcW w:w="1540" w:type="dxa"/>
            <w:tcBorders>
              <w:top w:val="nil"/>
              <w:left w:val="nil"/>
              <w:bottom w:val="single" w:sz="8" w:space="0" w:color="2F5496"/>
              <w:right w:val="nil"/>
            </w:tcBorders>
            <w:shd w:val="clear" w:color="auto" w:fill="auto"/>
            <w:vAlign w:val="center"/>
            <w:hideMark/>
          </w:tcPr>
          <w:p w14:paraId="40F79A8D" w14:textId="77777777" w:rsidR="00B17A6C" w:rsidRPr="002320B2" w:rsidRDefault="00B17A6C" w:rsidP="00F90671">
            <w:pPr>
              <w:rPr>
                <w:rFonts w:ascii="Verdana" w:eastAsia="Times New Roman" w:hAnsi="Verdana" w:cs="Calibri"/>
                <w:b/>
                <w:bCs/>
                <w:color w:val="365F91" w:themeColor="accent1" w:themeShade="BF"/>
                <w:sz w:val="18"/>
                <w:szCs w:val="18"/>
              </w:rPr>
            </w:pPr>
            <w:r w:rsidRPr="002320B2">
              <w:rPr>
                <w:rFonts w:ascii="Verdana" w:eastAsia="Times New Roman" w:hAnsi="Verdana" w:cs="Calibri"/>
                <w:b/>
                <w:bCs/>
                <w:color w:val="365F91" w:themeColor="accent1" w:themeShade="BF"/>
                <w:sz w:val="18"/>
                <w:szCs w:val="18"/>
              </w:rPr>
              <w:t> </w:t>
            </w:r>
          </w:p>
        </w:tc>
        <w:tc>
          <w:tcPr>
            <w:tcW w:w="1540" w:type="dxa"/>
            <w:tcBorders>
              <w:top w:val="nil"/>
              <w:left w:val="nil"/>
              <w:bottom w:val="single" w:sz="8" w:space="0" w:color="2F5496"/>
              <w:right w:val="nil"/>
            </w:tcBorders>
            <w:shd w:val="clear" w:color="auto" w:fill="auto"/>
            <w:vAlign w:val="center"/>
            <w:hideMark/>
          </w:tcPr>
          <w:p w14:paraId="75F0D83B" w14:textId="77777777" w:rsidR="00B17A6C" w:rsidRPr="002320B2" w:rsidRDefault="00B17A6C" w:rsidP="00F90671">
            <w:pPr>
              <w:rPr>
                <w:rFonts w:ascii="Verdana" w:eastAsia="Times New Roman" w:hAnsi="Verdana" w:cs="Calibri"/>
                <w:b/>
                <w:bCs/>
                <w:color w:val="365F91" w:themeColor="accent1" w:themeShade="BF"/>
                <w:sz w:val="18"/>
                <w:szCs w:val="18"/>
              </w:rPr>
            </w:pPr>
            <w:r w:rsidRPr="002320B2">
              <w:rPr>
                <w:rFonts w:ascii="Verdana" w:eastAsia="Times New Roman" w:hAnsi="Verdana" w:cs="Calibri"/>
                <w:b/>
                <w:bCs/>
                <w:color w:val="365F91" w:themeColor="accent1" w:themeShade="BF"/>
                <w:sz w:val="18"/>
                <w:szCs w:val="18"/>
              </w:rPr>
              <w:t> </w:t>
            </w:r>
          </w:p>
        </w:tc>
      </w:tr>
      <w:tr w:rsidR="002320B2" w:rsidRPr="002320B2" w14:paraId="50BD682E" w14:textId="77777777" w:rsidTr="00ED239D">
        <w:trPr>
          <w:trHeight w:val="288"/>
          <w:jc w:val="center"/>
        </w:trPr>
        <w:tc>
          <w:tcPr>
            <w:tcW w:w="1540" w:type="dxa"/>
            <w:vMerge w:val="restart"/>
            <w:tcBorders>
              <w:top w:val="nil"/>
              <w:left w:val="nil"/>
              <w:bottom w:val="single" w:sz="8" w:space="0" w:color="2F5496"/>
              <w:right w:val="nil"/>
            </w:tcBorders>
            <w:shd w:val="clear" w:color="auto" w:fill="auto"/>
            <w:vAlign w:val="center"/>
            <w:hideMark/>
          </w:tcPr>
          <w:p w14:paraId="3D7C80D5" w14:textId="77777777" w:rsidR="00B17A6C" w:rsidRPr="002320B2" w:rsidRDefault="00B17A6C" w:rsidP="00F90671">
            <w:pPr>
              <w:rPr>
                <w:rFonts w:ascii="Verdana" w:eastAsia="Times New Roman" w:hAnsi="Verdana" w:cs="Calibri"/>
                <w:b/>
                <w:bCs/>
                <w:color w:val="365F91" w:themeColor="accent1" w:themeShade="BF"/>
                <w:sz w:val="18"/>
                <w:szCs w:val="18"/>
              </w:rPr>
            </w:pPr>
            <w:r w:rsidRPr="002320B2">
              <w:rPr>
                <w:rFonts w:ascii="Verdana" w:eastAsia="Times New Roman" w:hAnsi="Verdana" w:cs="Calibri"/>
                <w:b/>
                <w:bCs/>
                <w:color w:val="365F91" w:themeColor="accent1" w:themeShade="BF"/>
                <w:sz w:val="18"/>
                <w:szCs w:val="18"/>
              </w:rPr>
              <w:t xml:space="preserve">District </w:t>
            </w:r>
          </w:p>
        </w:tc>
        <w:tc>
          <w:tcPr>
            <w:tcW w:w="7700" w:type="dxa"/>
            <w:gridSpan w:val="5"/>
            <w:tcBorders>
              <w:top w:val="nil"/>
              <w:left w:val="nil"/>
              <w:bottom w:val="nil"/>
              <w:right w:val="nil"/>
            </w:tcBorders>
            <w:shd w:val="clear" w:color="auto" w:fill="auto"/>
            <w:vAlign w:val="center"/>
            <w:hideMark/>
          </w:tcPr>
          <w:p w14:paraId="6C67448B" w14:textId="77777777" w:rsidR="00B17A6C" w:rsidRPr="002320B2" w:rsidRDefault="00B17A6C" w:rsidP="00F90671">
            <w:pPr>
              <w:jc w:val="center"/>
              <w:rPr>
                <w:rFonts w:ascii="Verdana" w:eastAsia="Times New Roman" w:hAnsi="Verdana" w:cs="Calibri"/>
                <w:b/>
                <w:bCs/>
                <w:color w:val="365F91" w:themeColor="accent1" w:themeShade="BF"/>
                <w:sz w:val="18"/>
                <w:szCs w:val="18"/>
              </w:rPr>
            </w:pPr>
            <w:r w:rsidRPr="002320B2">
              <w:rPr>
                <w:rFonts w:ascii="Verdana" w:eastAsia="Times New Roman" w:hAnsi="Verdana" w:cs="Calibri"/>
                <w:b/>
                <w:bCs/>
                <w:color w:val="365F91" w:themeColor="accent1" w:themeShade="BF"/>
                <w:sz w:val="18"/>
                <w:szCs w:val="18"/>
              </w:rPr>
              <w:t>Households</w:t>
            </w:r>
          </w:p>
        </w:tc>
      </w:tr>
      <w:tr w:rsidR="002320B2" w:rsidRPr="002320B2" w14:paraId="35AD389E" w14:textId="77777777" w:rsidTr="00ED239D">
        <w:trPr>
          <w:trHeight w:val="984"/>
          <w:jc w:val="center"/>
        </w:trPr>
        <w:tc>
          <w:tcPr>
            <w:tcW w:w="1540" w:type="dxa"/>
            <w:vMerge/>
            <w:tcBorders>
              <w:top w:val="nil"/>
              <w:left w:val="nil"/>
              <w:bottom w:val="single" w:sz="8" w:space="0" w:color="2F5496"/>
              <w:right w:val="nil"/>
            </w:tcBorders>
            <w:vAlign w:val="center"/>
            <w:hideMark/>
          </w:tcPr>
          <w:p w14:paraId="0D5284E8" w14:textId="77777777" w:rsidR="00B17A6C" w:rsidRPr="002320B2" w:rsidRDefault="00B17A6C" w:rsidP="00F90671">
            <w:pPr>
              <w:rPr>
                <w:rFonts w:ascii="Verdana" w:eastAsia="Times New Roman" w:hAnsi="Verdana" w:cs="Calibri"/>
                <w:b/>
                <w:bCs/>
                <w:color w:val="365F91" w:themeColor="accent1" w:themeShade="BF"/>
                <w:sz w:val="18"/>
                <w:szCs w:val="18"/>
              </w:rPr>
            </w:pPr>
          </w:p>
        </w:tc>
        <w:tc>
          <w:tcPr>
            <w:tcW w:w="1540" w:type="dxa"/>
            <w:tcBorders>
              <w:top w:val="nil"/>
              <w:left w:val="nil"/>
              <w:bottom w:val="single" w:sz="8" w:space="0" w:color="2F5496"/>
              <w:right w:val="nil"/>
            </w:tcBorders>
            <w:shd w:val="clear" w:color="auto" w:fill="auto"/>
            <w:vAlign w:val="center"/>
            <w:hideMark/>
          </w:tcPr>
          <w:p w14:paraId="31C163BE" w14:textId="77777777" w:rsidR="00B17A6C" w:rsidRPr="002320B2" w:rsidRDefault="00B17A6C" w:rsidP="00F90671">
            <w:pPr>
              <w:jc w:val="center"/>
              <w:rPr>
                <w:rFonts w:ascii="Verdana" w:eastAsia="Times New Roman" w:hAnsi="Verdana" w:cs="Calibri"/>
                <w:b/>
                <w:bCs/>
                <w:color w:val="365F91" w:themeColor="accent1" w:themeShade="BF"/>
                <w:sz w:val="18"/>
                <w:szCs w:val="18"/>
              </w:rPr>
            </w:pPr>
            <w:r w:rsidRPr="002320B2">
              <w:rPr>
                <w:rFonts w:ascii="Verdana" w:eastAsia="Times New Roman" w:hAnsi="Verdana" w:cs="Calibri"/>
                <w:b/>
                <w:bCs/>
                <w:color w:val="365F91" w:themeColor="accent1" w:themeShade="BF"/>
                <w:sz w:val="18"/>
                <w:szCs w:val="18"/>
              </w:rPr>
              <w:t>1.10.2021</w:t>
            </w:r>
          </w:p>
        </w:tc>
        <w:tc>
          <w:tcPr>
            <w:tcW w:w="1540" w:type="dxa"/>
            <w:tcBorders>
              <w:top w:val="nil"/>
              <w:left w:val="nil"/>
              <w:bottom w:val="single" w:sz="8" w:space="0" w:color="2F5496"/>
              <w:right w:val="nil"/>
            </w:tcBorders>
            <w:shd w:val="clear" w:color="auto" w:fill="auto"/>
            <w:vAlign w:val="center"/>
            <w:hideMark/>
          </w:tcPr>
          <w:p w14:paraId="631C30FC" w14:textId="77777777" w:rsidR="00B17A6C" w:rsidRPr="002320B2" w:rsidRDefault="00B17A6C" w:rsidP="00F90671">
            <w:pPr>
              <w:jc w:val="center"/>
              <w:rPr>
                <w:rFonts w:ascii="Verdana" w:eastAsia="Times New Roman" w:hAnsi="Verdana" w:cs="Calibri"/>
                <w:b/>
                <w:bCs/>
                <w:color w:val="365F91" w:themeColor="accent1" w:themeShade="BF"/>
                <w:sz w:val="18"/>
                <w:szCs w:val="18"/>
              </w:rPr>
            </w:pPr>
            <w:r w:rsidRPr="002320B2">
              <w:rPr>
                <w:rFonts w:ascii="Verdana" w:eastAsia="Times New Roman" w:hAnsi="Verdana" w:cs="Calibri"/>
                <w:b/>
                <w:bCs/>
                <w:color w:val="365F91" w:themeColor="accent1" w:themeShade="BF"/>
                <w:sz w:val="18"/>
                <w:szCs w:val="18"/>
              </w:rPr>
              <w:t>1.10.2011</w:t>
            </w:r>
          </w:p>
        </w:tc>
        <w:tc>
          <w:tcPr>
            <w:tcW w:w="1540" w:type="dxa"/>
            <w:tcBorders>
              <w:top w:val="nil"/>
              <w:left w:val="nil"/>
              <w:bottom w:val="single" w:sz="8" w:space="0" w:color="2F5496"/>
              <w:right w:val="nil"/>
            </w:tcBorders>
            <w:shd w:val="clear" w:color="auto" w:fill="auto"/>
            <w:vAlign w:val="center"/>
            <w:hideMark/>
          </w:tcPr>
          <w:p w14:paraId="4B901FE5" w14:textId="77777777" w:rsidR="00B17A6C" w:rsidRPr="002320B2" w:rsidRDefault="00B17A6C" w:rsidP="00F90671">
            <w:pPr>
              <w:jc w:val="center"/>
              <w:rPr>
                <w:rFonts w:ascii="Verdana" w:eastAsia="Times New Roman" w:hAnsi="Verdana" w:cs="Calibri"/>
                <w:b/>
                <w:bCs/>
                <w:color w:val="365F91" w:themeColor="accent1" w:themeShade="BF"/>
                <w:sz w:val="18"/>
                <w:szCs w:val="18"/>
              </w:rPr>
            </w:pPr>
            <w:r w:rsidRPr="002320B2">
              <w:rPr>
                <w:rFonts w:ascii="Verdana" w:eastAsia="Times New Roman" w:hAnsi="Verdana" w:cs="Calibri"/>
                <w:b/>
                <w:bCs/>
                <w:color w:val="365F91" w:themeColor="accent1" w:themeShade="BF"/>
                <w:sz w:val="18"/>
                <w:szCs w:val="18"/>
              </w:rPr>
              <w:t>% Increase 2021/2011</w:t>
            </w:r>
          </w:p>
        </w:tc>
        <w:tc>
          <w:tcPr>
            <w:tcW w:w="1540" w:type="dxa"/>
            <w:tcBorders>
              <w:top w:val="nil"/>
              <w:left w:val="nil"/>
              <w:bottom w:val="single" w:sz="8" w:space="0" w:color="2F5496"/>
              <w:right w:val="nil"/>
            </w:tcBorders>
            <w:shd w:val="clear" w:color="auto" w:fill="auto"/>
            <w:vAlign w:val="center"/>
            <w:hideMark/>
          </w:tcPr>
          <w:p w14:paraId="732460B1" w14:textId="77777777" w:rsidR="00B17A6C" w:rsidRPr="002320B2" w:rsidRDefault="00B17A6C" w:rsidP="00F90671">
            <w:pPr>
              <w:jc w:val="center"/>
              <w:rPr>
                <w:rFonts w:ascii="Verdana" w:eastAsia="Times New Roman" w:hAnsi="Verdana" w:cs="Calibri"/>
                <w:b/>
                <w:bCs/>
                <w:color w:val="365F91" w:themeColor="accent1" w:themeShade="BF"/>
                <w:sz w:val="18"/>
                <w:szCs w:val="18"/>
              </w:rPr>
            </w:pPr>
            <w:r w:rsidRPr="002320B2">
              <w:rPr>
                <w:rFonts w:ascii="Verdana" w:eastAsia="Times New Roman" w:hAnsi="Verdana" w:cs="Calibri"/>
                <w:b/>
                <w:bCs/>
                <w:color w:val="365F91" w:themeColor="accent1" w:themeShade="BF"/>
                <w:sz w:val="18"/>
                <w:szCs w:val="18"/>
              </w:rPr>
              <w:t xml:space="preserve">Average Household </w:t>
            </w:r>
            <w:proofErr w:type="gramStart"/>
            <w:r w:rsidRPr="002320B2">
              <w:rPr>
                <w:rFonts w:ascii="Verdana" w:eastAsia="Times New Roman" w:hAnsi="Verdana" w:cs="Calibri"/>
                <w:b/>
                <w:bCs/>
                <w:color w:val="365F91" w:themeColor="accent1" w:themeShade="BF"/>
                <w:sz w:val="18"/>
                <w:szCs w:val="18"/>
              </w:rPr>
              <w:t>Size  1</w:t>
            </w:r>
            <w:proofErr w:type="gramEnd"/>
            <w:r w:rsidRPr="002320B2">
              <w:rPr>
                <w:rFonts w:ascii="Verdana" w:eastAsia="Times New Roman" w:hAnsi="Verdana" w:cs="Calibri"/>
                <w:b/>
                <w:bCs/>
                <w:color w:val="365F91" w:themeColor="accent1" w:themeShade="BF"/>
                <w:sz w:val="18"/>
                <w:szCs w:val="18"/>
              </w:rPr>
              <w:t>.10.2021</w:t>
            </w:r>
          </w:p>
        </w:tc>
        <w:tc>
          <w:tcPr>
            <w:tcW w:w="1540" w:type="dxa"/>
            <w:tcBorders>
              <w:top w:val="nil"/>
              <w:left w:val="nil"/>
              <w:bottom w:val="single" w:sz="8" w:space="0" w:color="2F5496"/>
              <w:right w:val="nil"/>
            </w:tcBorders>
            <w:shd w:val="clear" w:color="auto" w:fill="auto"/>
            <w:vAlign w:val="center"/>
            <w:hideMark/>
          </w:tcPr>
          <w:p w14:paraId="559E5199" w14:textId="77777777" w:rsidR="00B17A6C" w:rsidRPr="002320B2" w:rsidRDefault="00B17A6C" w:rsidP="00F90671">
            <w:pPr>
              <w:jc w:val="center"/>
              <w:rPr>
                <w:rFonts w:ascii="Verdana" w:eastAsia="Times New Roman" w:hAnsi="Verdana" w:cs="Calibri"/>
                <w:b/>
                <w:bCs/>
                <w:color w:val="365F91" w:themeColor="accent1" w:themeShade="BF"/>
                <w:sz w:val="18"/>
                <w:szCs w:val="18"/>
              </w:rPr>
            </w:pPr>
            <w:r w:rsidRPr="002320B2">
              <w:rPr>
                <w:rFonts w:ascii="Verdana" w:eastAsia="Times New Roman" w:hAnsi="Verdana" w:cs="Calibri"/>
                <w:b/>
                <w:bCs/>
                <w:color w:val="365F91" w:themeColor="accent1" w:themeShade="BF"/>
                <w:sz w:val="18"/>
                <w:szCs w:val="18"/>
              </w:rPr>
              <w:t>Average Household Size 1.10.2011</w:t>
            </w:r>
          </w:p>
        </w:tc>
      </w:tr>
      <w:tr w:rsidR="002320B2" w:rsidRPr="002320B2" w14:paraId="21C661B4" w14:textId="77777777" w:rsidTr="002320B2">
        <w:trPr>
          <w:trHeight w:val="288"/>
          <w:jc w:val="center"/>
        </w:trPr>
        <w:tc>
          <w:tcPr>
            <w:tcW w:w="1540" w:type="dxa"/>
            <w:tcBorders>
              <w:top w:val="nil"/>
              <w:left w:val="nil"/>
              <w:bottom w:val="nil"/>
              <w:right w:val="nil"/>
            </w:tcBorders>
            <w:shd w:val="clear" w:color="auto" w:fill="auto"/>
            <w:vAlign w:val="center"/>
            <w:hideMark/>
          </w:tcPr>
          <w:p w14:paraId="5161DDAA" w14:textId="77777777" w:rsidR="00B17A6C" w:rsidRPr="002320B2" w:rsidRDefault="00B17A6C" w:rsidP="00F90671">
            <w:pPr>
              <w:rPr>
                <w:rFonts w:ascii="Verdana" w:eastAsia="Times New Roman" w:hAnsi="Verdana" w:cs="Calibri"/>
                <w:color w:val="365F91" w:themeColor="accent1" w:themeShade="BF"/>
                <w:sz w:val="18"/>
                <w:szCs w:val="18"/>
              </w:rPr>
            </w:pPr>
            <w:proofErr w:type="spellStart"/>
            <w:r w:rsidRPr="002320B2">
              <w:rPr>
                <w:rFonts w:ascii="Verdana" w:eastAsia="Times New Roman" w:hAnsi="Verdana" w:cs="Calibri"/>
                <w:color w:val="365F91" w:themeColor="accent1" w:themeShade="BF"/>
                <w:sz w:val="18"/>
                <w:szCs w:val="18"/>
              </w:rPr>
              <w:t>Lefkosia</w:t>
            </w:r>
            <w:proofErr w:type="spellEnd"/>
          </w:p>
        </w:tc>
        <w:tc>
          <w:tcPr>
            <w:tcW w:w="1540" w:type="dxa"/>
            <w:tcBorders>
              <w:top w:val="nil"/>
              <w:left w:val="nil"/>
              <w:bottom w:val="nil"/>
              <w:right w:val="nil"/>
            </w:tcBorders>
            <w:shd w:val="clear" w:color="auto" w:fill="auto"/>
            <w:vAlign w:val="center"/>
            <w:hideMark/>
          </w:tcPr>
          <w:p w14:paraId="32819B8D" w14:textId="77777777" w:rsidR="00B17A6C" w:rsidRPr="002320B2" w:rsidRDefault="00B17A6C" w:rsidP="002320B2">
            <w:pPr>
              <w:ind w:right="284"/>
              <w:jc w:val="right"/>
              <w:rPr>
                <w:rFonts w:ascii="Verdana" w:eastAsia="Times New Roman" w:hAnsi="Verdana" w:cs="Calibri"/>
                <w:color w:val="365F91" w:themeColor="accent1" w:themeShade="BF"/>
                <w:sz w:val="18"/>
                <w:szCs w:val="18"/>
              </w:rPr>
            </w:pPr>
            <w:r w:rsidRPr="002320B2">
              <w:rPr>
                <w:rFonts w:ascii="Verdana" w:eastAsia="Times New Roman" w:hAnsi="Verdana" w:cs="Calibri"/>
                <w:color w:val="365F91" w:themeColor="accent1" w:themeShade="BF"/>
                <w:sz w:val="18"/>
                <w:szCs w:val="18"/>
              </w:rPr>
              <w:t>137.805</w:t>
            </w:r>
          </w:p>
        </w:tc>
        <w:tc>
          <w:tcPr>
            <w:tcW w:w="1540" w:type="dxa"/>
            <w:tcBorders>
              <w:top w:val="nil"/>
              <w:left w:val="nil"/>
              <w:bottom w:val="nil"/>
              <w:right w:val="nil"/>
            </w:tcBorders>
            <w:shd w:val="clear" w:color="auto" w:fill="auto"/>
            <w:vAlign w:val="center"/>
            <w:hideMark/>
          </w:tcPr>
          <w:p w14:paraId="31392D11" w14:textId="77777777" w:rsidR="00B17A6C" w:rsidRPr="002320B2" w:rsidRDefault="00B17A6C" w:rsidP="002320B2">
            <w:pPr>
              <w:ind w:right="284"/>
              <w:jc w:val="right"/>
              <w:rPr>
                <w:rFonts w:ascii="Verdana" w:eastAsia="Times New Roman" w:hAnsi="Verdana" w:cs="Calibri"/>
                <w:color w:val="365F91" w:themeColor="accent1" w:themeShade="BF"/>
                <w:sz w:val="18"/>
                <w:szCs w:val="18"/>
              </w:rPr>
            </w:pPr>
            <w:r w:rsidRPr="002320B2">
              <w:rPr>
                <w:rFonts w:ascii="Verdana" w:eastAsia="Times New Roman" w:hAnsi="Verdana" w:cs="Calibri"/>
                <w:color w:val="365F91" w:themeColor="accent1" w:themeShade="BF"/>
                <w:sz w:val="18"/>
                <w:szCs w:val="18"/>
              </w:rPr>
              <w:t>119.203</w:t>
            </w:r>
          </w:p>
        </w:tc>
        <w:tc>
          <w:tcPr>
            <w:tcW w:w="1540" w:type="dxa"/>
            <w:tcBorders>
              <w:top w:val="nil"/>
              <w:left w:val="nil"/>
              <w:bottom w:val="nil"/>
              <w:right w:val="nil"/>
            </w:tcBorders>
            <w:shd w:val="clear" w:color="auto" w:fill="auto"/>
            <w:vAlign w:val="center"/>
            <w:hideMark/>
          </w:tcPr>
          <w:p w14:paraId="7982AB88" w14:textId="77777777" w:rsidR="00B17A6C" w:rsidRPr="002320B2" w:rsidRDefault="00B17A6C" w:rsidP="00F90671">
            <w:pPr>
              <w:jc w:val="center"/>
              <w:rPr>
                <w:rFonts w:ascii="Verdana" w:eastAsia="Times New Roman" w:hAnsi="Verdana" w:cs="Calibri"/>
                <w:color w:val="365F91" w:themeColor="accent1" w:themeShade="BF"/>
                <w:sz w:val="18"/>
                <w:szCs w:val="18"/>
              </w:rPr>
            </w:pPr>
            <w:r w:rsidRPr="002320B2">
              <w:rPr>
                <w:rFonts w:ascii="Verdana" w:eastAsia="Times New Roman" w:hAnsi="Verdana" w:cs="Calibri"/>
                <w:color w:val="365F91" w:themeColor="accent1" w:themeShade="BF"/>
                <w:sz w:val="18"/>
                <w:szCs w:val="18"/>
              </w:rPr>
              <w:t>15,6</w:t>
            </w:r>
          </w:p>
        </w:tc>
        <w:tc>
          <w:tcPr>
            <w:tcW w:w="1540" w:type="dxa"/>
            <w:tcBorders>
              <w:top w:val="nil"/>
              <w:left w:val="nil"/>
              <w:bottom w:val="nil"/>
              <w:right w:val="nil"/>
            </w:tcBorders>
            <w:shd w:val="clear" w:color="auto" w:fill="auto"/>
            <w:vAlign w:val="center"/>
            <w:hideMark/>
          </w:tcPr>
          <w:p w14:paraId="24FB6FC0" w14:textId="77777777" w:rsidR="00B17A6C" w:rsidRPr="002320B2" w:rsidRDefault="00B17A6C" w:rsidP="00F90671">
            <w:pPr>
              <w:jc w:val="center"/>
              <w:rPr>
                <w:rFonts w:ascii="Verdana" w:eastAsia="Times New Roman" w:hAnsi="Verdana" w:cs="Calibri"/>
                <w:color w:val="365F91" w:themeColor="accent1" w:themeShade="BF"/>
                <w:sz w:val="18"/>
                <w:szCs w:val="18"/>
              </w:rPr>
            </w:pPr>
            <w:r w:rsidRPr="002320B2">
              <w:rPr>
                <w:rFonts w:ascii="Verdana" w:eastAsia="Times New Roman" w:hAnsi="Verdana" w:cs="Calibri"/>
                <w:color w:val="365F91" w:themeColor="accent1" w:themeShade="BF"/>
                <w:sz w:val="18"/>
                <w:szCs w:val="18"/>
              </w:rPr>
              <w:t>2,51</w:t>
            </w:r>
          </w:p>
        </w:tc>
        <w:tc>
          <w:tcPr>
            <w:tcW w:w="1540" w:type="dxa"/>
            <w:tcBorders>
              <w:top w:val="nil"/>
              <w:left w:val="nil"/>
              <w:bottom w:val="nil"/>
              <w:right w:val="nil"/>
            </w:tcBorders>
            <w:shd w:val="clear" w:color="auto" w:fill="auto"/>
            <w:vAlign w:val="center"/>
            <w:hideMark/>
          </w:tcPr>
          <w:p w14:paraId="5CFAEF97" w14:textId="77777777" w:rsidR="00B17A6C" w:rsidRPr="002320B2" w:rsidRDefault="00B17A6C" w:rsidP="00F90671">
            <w:pPr>
              <w:jc w:val="center"/>
              <w:rPr>
                <w:rFonts w:ascii="Verdana" w:eastAsia="Times New Roman" w:hAnsi="Verdana" w:cs="Calibri"/>
                <w:color w:val="365F91" w:themeColor="accent1" w:themeShade="BF"/>
                <w:sz w:val="18"/>
                <w:szCs w:val="18"/>
              </w:rPr>
            </w:pPr>
            <w:r w:rsidRPr="002320B2">
              <w:rPr>
                <w:rFonts w:ascii="Verdana" w:eastAsia="Times New Roman" w:hAnsi="Verdana" w:cs="Calibri"/>
                <w:color w:val="365F91" w:themeColor="accent1" w:themeShade="BF"/>
                <w:sz w:val="18"/>
                <w:szCs w:val="18"/>
              </w:rPr>
              <w:t>2,73</w:t>
            </w:r>
          </w:p>
        </w:tc>
      </w:tr>
      <w:tr w:rsidR="002320B2" w:rsidRPr="002320B2" w14:paraId="7587D579" w14:textId="77777777" w:rsidTr="002320B2">
        <w:trPr>
          <w:trHeight w:val="288"/>
          <w:jc w:val="center"/>
        </w:trPr>
        <w:tc>
          <w:tcPr>
            <w:tcW w:w="1540" w:type="dxa"/>
            <w:tcBorders>
              <w:top w:val="nil"/>
              <w:left w:val="nil"/>
              <w:bottom w:val="nil"/>
              <w:right w:val="nil"/>
            </w:tcBorders>
            <w:shd w:val="clear" w:color="auto" w:fill="auto"/>
            <w:vAlign w:val="center"/>
            <w:hideMark/>
          </w:tcPr>
          <w:p w14:paraId="529EF4CE" w14:textId="77777777" w:rsidR="00B17A6C" w:rsidRPr="002320B2" w:rsidRDefault="00B17A6C" w:rsidP="00F90671">
            <w:pPr>
              <w:rPr>
                <w:rFonts w:ascii="Verdana" w:eastAsia="Times New Roman" w:hAnsi="Verdana" w:cs="Calibri"/>
                <w:color w:val="365F91" w:themeColor="accent1" w:themeShade="BF"/>
                <w:sz w:val="18"/>
                <w:szCs w:val="18"/>
              </w:rPr>
            </w:pPr>
            <w:proofErr w:type="spellStart"/>
            <w:r w:rsidRPr="002320B2">
              <w:rPr>
                <w:rFonts w:ascii="Verdana" w:eastAsia="Times New Roman" w:hAnsi="Verdana" w:cs="Calibri"/>
                <w:color w:val="365F91" w:themeColor="accent1" w:themeShade="BF"/>
                <w:sz w:val="18"/>
                <w:szCs w:val="18"/>
              </w:rPr>
              <w:t>Ammochostos</w:t>
            </w:r>
            <w:proofErr w:type="spellEnd"/>
          </w:p>
        </w:tc>
        <w:tc>
          <w:tcPr>
            <w:tcW w:w="1540" w:type="dxa"/>
            <w:tcBorders>
              <w:top w:val="nil"/>
              <w:left w:val="nil"/>
              <w:bottom w:val="nil"/>
              <w:right w:val="nil"/>
            </w:tcBorders>
            <w:shd w:val="clear" w:color="auto" w:fill="auto"/>
            <w:vAlign w:val="center"/>
            <w:hideMark/>
          </w:tcPr>
          <w:p w14:paraId="37226871" w14:textId="77777777" w:rsidR="00B17A6C" w:rsidRPr="002320B2" w:rsidRDefault="00B17A6C" w:rsidP="002320B2">
            <w:pPr>
              <w:ind w:right="284"/>
              <w:jc w:val="right"/>
              <w:rPr>
                <w:rFonts w:ascii="Verdana" w:eastAsia="Times New Roman" w:hAnsi="Verdana" w:cs="Calibri"/>
                <w:color w:val="365F91" w:themeColor="accent1" w:themeShade="BF"/>
                <w:sz w:val="18"/>
                <w:szCs w:val="18"/>
              </w:rPr>
            </w:pPr>
            <w:r w:rsidRPr="002320B2">
              <w:rPr>
                <w:rFonts w:ascii="Verdana" w:eastAsia="Times New Roman" w:hAnsi="Verdana" w:cs="Calibri"/>
                <w:color w:val="365F91" w:themeColor="accent1" w:themeShade="BF"/>
                <w:sz w:val="18"/>
                <w:szCs w:val="18"/>
              </w:rPr>
              <w:t>20.424</w:t>
            </w:r>
          </w:p>
        </w:tc>
        <w:tc>
          <w:tcPr>
            <w:tcW w:w="1540" w:type="dxa"/>
            <w:tcBorders>
              <w:top w:val="nil"/>
              <w:left w:val="nil"/>
              <w:bottom w:val="nil"/>
              <w:right w:val="nil"/>
            </w:tcBorders>
            <w:shd w:val="clear" w:color="auto" w:fill="auto"/>
            <w:vAlign w:val="center"/>
            <w:hideMark/>
          </w:tcPr>
          <w:p w14:paraId="3E0D7637" w14:textId="77777777" w:rsidR="00B17A6C" w:rsidRPr="002320B2" w:rsidRDefault="00B17A6C" w:rsidP="002320B2">
            <w:pPr>
              <w:ind w:right="284"/>
              <w:jc w:val="right"/>
              <w:rPr>
                <w:rFonts w:ascii="Verdana" w:eastAsia="Times New Roman" w:hAnsi="Verdana" w:cs="Calibri"/>
                <w:color w:val="365F91" w:themeColor="accent1" w:themeShade="BF"/>
                <w:sz w:val="18"/>
                <w:szCs w:val="18"/>
              </w:rPr>
            </w:pPr>
            <w:r w:rsidRPr="002320B2">
              <w:rPr>
                <w:rFonts w:ascii="Verdana" w:eastAsia="Times New Roman" w:hAnsi="Verdana" w:cs="Calibri"/>
                <w:color w:val="365F91" w:themeColor="accent1" w:themeShade="BF"/>
                <w:sz w:val="18"/>
                <w:szCs w:val="18"/>
              </w:rPr>
              <w:t>15.826</w:t>
            </w:r>
          </w:p>
        </w:tc>
        <w:tc>
          <w:tcPr>
            <w:tcW w:w="1540" w:type="dxa"/>
            <w:tcBorders>
              <w:top w:val="nil"/>
              <w:left w:val="nil"/>
              <w:bottom w:val="nil"/>
              <w:right w:val="nil"/>
            </w:tcBorders>
            <w:shd w:val="clear" w:color="auto" w:fill="auto"/>
            <w:vAlign w:val="center"/>
            <w:hideMark/>
          </w:tcPr>
          <w:p w14:paraId="257CFA8B" w14:textId="77777777" w:rsidR="00B17A6C" w:rsidRPr="002320B2" w:rsidRDefault="00B17A6C" w:rsidP="00F90671">
            <w:pPr>
              <w:jc w:val="center"/>
              <w:rPr>
                <w:rFonts w:ascii="Verdana" w:eastAsia="Times New Roman" w:hAnsi="Verdana" w:cs="Calibri"/>
                <w:color w:val="365F91" w:themeColor="accent1" w:themeShade="BF"/>
                <w:sz w:val="18"/>
                <w:szCs w:val="18"/>
              </w:rPr>
            </w:pPr>
            <w:r w:rsidRPr="002320B2">
              <w:rPr>
                <w:rFonts w:ascii="Verdana" w:eastAsia="Times New Roman" w:hAnsi="Verdana" w:cs="Calibri"/>
                <w:color w:val="365F91" w:themeColor="accent1" w:themeShade="BF"/>
                <w:sz w:val="18"/>
                <w:szCs w:val="18"/>
              </w:rPr>
              <w:t>29,1</w:t>
            </w:r>
          </w:p>
        </w:tc>
        <w:tc>
          <w:tcPr>
            <w:tcW w:w="1540" w:type="dxa"/>
            <w:tcBorders>
              <w:top w:val="nil"/>
              <w:left w:val="nil"/>
              <w:bottom w:val="nil"/>
              <w:right w:val="nil"/>
            </w:tcBorders>
            <w:shd w:val="clear" w:color="auto" w:fill="auto"/>
            <w:vAlign w:val="center"/>
            <w:hideMark/>
          </w:tcPr>
          <w:p w14:paraId="46A462D0" w14:textId="77777777" w:rsidR="00B17A6C" w:rsidRPr="002320B2" w:rsidRDefault="00B17A6C" w:rsidP="00F90671">
            <w:pPr>
              <w:jc w:val="center"/>
              <w:rPr>
                <w:rFonts w:ascii="Verdana" w:eastAsia="Times New Roman" w:hAnsi="Verdana" w:cs="Calibri"/>
                <w:color w:val="365F91" w:themeColor="accent1" w:themeShade="BF"/>
                <w:sz w:val="18"/>
                <w:szCs w:val="18"/>
              </w:rPr>
            </w:pPr>
            <w:r w:rsidRPr="002320B2">
              <w:rPr>
                <w:rFonts w:ascii="Verdana" w:eastAsia="Times New Roman" w:hAnsi="Verdana" w:cs="Calibri"/>
                <w:color w:val="365F91" w:themeColor="accent1" w:themeShade="BF"/>
                <w:sz w:val="18"/>
                <w:szCs w:val="18"/>
              </w:rPr>
              <w:t>2,66</w:t>
            </w:r>
          </w:p>
        </w:tc>
        <w:tc>
          <w:tcPr>
            <w:tcW w:w="1540" w:type="dxa"/>
            <w:tcBorders>
              <w:top w:val="nil"/>
              <w:left w:val="nil"/>
              <w:bottom w:val="nil"/>
              <w:right w:val="nil"/>
            </w:tcBorders>
            <w:shd w:val="clear" w:color="auto" w:fill="auto"/>
            <w:vAlign w:val="center"/>
            <w:hideMark/>
          </w:tcPr>
          <w:p w14:paraId="2B6FA7DF" w14:textId="77777777" w:rsidR="00B17A6C" w:rsidRPr="002320B2" w:rsidRDefault="00B17A6C" w:rsidP="00F90671">
            <w:pPr>
              <w:jc w:val="center"/>
              <w:rPr>
                <w:rFonts w:ascii="Verdana" w:eastAsia="Times New Roman" w:hAnsi="Verdana" w:cs="Calibri"/>
                <w:color w:val="365F91" w:themeColor="accent1" w:themeShade="BF"/>
                <w:sz w:val="18"/>
                <w:szCs w:val="18"/>
              </w:rPr>
            </w:pPr>
            <w:r w:rsidRPr="002320B2">
              <w:rPr>
                <w:rFonts w:ascii="Verdana" w:eastAsia="Times New Roman" w:hAnsi="Verdana" w:cs="Calibri"/>
                <w:color w:val="365F91" w:themeColor="accent1" w:themeShade="BF"/>
                <w:sz w:val="18"/>
                <w:szCs w:val="18"/>
              </w:rPr>
              <w:t>2,94</w:t>
            </w:r>
          </w:p>
        </w:tc>
      </w:tr>
      <w:tr w:rsidR="002320B2" w:rsidRPr="002320B2" w14:paraId="29FAB88A" w14:textId="77777777" w:rsidTr="002320B2">
        <w:trPr>
          <w:trHeight w:val="288"/>
          <w:jc w:val="center"/>
        </w:trPr>
        <w:tc>
          <w:tcPr>
            <w:tcW w:w="1540" w:type="dxa"/>
            <w:tcBorders>
              <w:top w:val="nil"/>
              <w:left w:val="nil"/>
              <w:bottom w:val="nil"/>
              <w:right w:val="nil"/>
            </w:tcBorders>
            <w:shd w:val="clear" w:color="auto" w:fill="auto"/>
            <w:vAlign w:val="center"/>
            <w:hideMark/>
          </w:tcPr>
          <w:p w14:paraId="77157D63" w14:textId="77777777" w:rsidR="00B17A6C" w:rsidRPr="002320B2" w:rsidRDefault="00B17A6C" w:rsidP="00F90671">
            <w:pPr>
              <w:rPr>
                <w:rFonts w:ascii="Verdana" w:eastAsia="Times New Roman" w:hAnsi="Verdana" w:cs="Calibri"/>
                <w:color w:val="365F91" w:themeColor="accent1" w:themeShade="BF"/>
                <w:sz w:val="18"/>
                <w:szCs w:val="18"/>
              </w:rPr>
            </w:pPr>
            <w:proofErr w:type="spellStart"/>
            <w:r w:rsidRPr="002320B2">
              <w:rPr>
                <w:rFonts w:ascii="Verdana" w:eastAsia="Times New Roman" w:hAnsi="Verdana" w:cs="Calibri"/>
                <w:color w:val="365F91" w:themeColor="accent1" w:themeShade="BF"/>
                <w:sz w:val="18"/>
                <w:szCs w:val="18"/>
              </w:rPr>
              <w:t>Larnaka</w:t>
            </w:r>
            <w:proofErr w:type="spellEnd"/>
          </w:p>
        </w:tc>
        <w:tc>
          <w:tcPr>
            <w:tcW w:w="1540" w:type="dxa"/>
            <w:tcBorders>
              <w:top w:val="nil"/>
              <w:left w:val="nil"/>
              <w:bottom w:val="nil"/>
              <w:right w:val="nil"/>
            </w:tcBorders>
            <w:shd w:val="clear" w:color="auto" w:fill="auto"/>
            <w:vAlign w:val="center"/>
            <w:hideMark/>
          </w:tcPr>
          <w:p w14:paraId="0E7837AD" w14:textId="77777777" w:rsidR="00B17A6C" w:rsidRPr="002320B2" w:rsidRDefault="00B17A6C" w:rsidP="002320B2">
            <w:pPr>
              <w:ind w:right="284"/>
              <w:jc w:val="right"/>
              <w:rPr>
                <w:rFonts w:ascii="Verdana" w:eastAsia="Times New Roman" w:hAnsi="Verdana" w:cs="Calibri"/>
                <w:color w:val="365F91" w:themeColor="accent1" w:themeShade="BF"/>
                <w:sz w:val="18"/>
                <w:szCs w:val="18"/>
              </w:rPr>
            </w:pPr>
            <w:r w:rsidRPr="002320B2">
              <w:rPr>
                <w:rFonts w:ascii="Verdana" w:eastAsia="Times New Roman" w:hAnsi="Verdana" w:cs="Calibri"/>
                <w:color w:val="365F91" w:themeColor="accent1" w:themeShade="BF"/>
                <w:sz w:val="18"/>
                <w:szCs w:val="18"/>
              </w:rPr>
              <w:t>59.226</w:t>
            </w:r>
          </w:p>
        </w:tc>
        <w:tc>
          <w:tcPr>
            <w:tcW w:w="1540" w:type="dxa"/>
            <w:tcBorders>
              <w:top w:val="nil"/>
              <w:left w:val="nil"/>
              <w:bottom w:val="nil"/>
              <w:right w:val="nil"/>
            </w:tcBorders>
            <w:shd w:val="clear" w:color="auto" w:fill="auto"/>
            <w:vAlign w:val="center"/>
            <w:hideMark/>
          </w:tcPr>
          <w:p w14:paraId="34FCB34D" w14:textId="77777777" w:rsidR="00B17A6C" w:rsidRPr="002320B2" w:rsidRDefault="00B17A6C" w:rsidP="002320B2">
            <w:pPr>
              <w:ind w:right="284"/>
              <w:jc w:val="right"/>
              <w:rPr>
                <w:rFonts w:ascii="Verdana" w:eastAsia="Times New Roman" w:hAnsi="Verdana" w:cs="Calibri"/>
                <w:color w:val="365F91" w:themeColor="accent1" w:themeShade="BF"/>
                <w:sz w:val="18"/>
                <w:szCs w:val="18"/>
              </w:rPr>
            </w:pPr>
            <w:r w:rsidRPr="002320B2">
              <w:rPr>
                <w:rFonts w:ascii="Verdana" w:eastAsia="Times New Roman" w:hAnsi="Verdana" w:cs="Calibri"/>
                <w:color w:val="365F91" w:themeColor="accent1" w:themeShade="BF"/>
                <w:sz w:val="18"/>
                <w:szCs w:val="18"/>
              </w:rPr>
              <w:t>50.038</w:t>
            </w:r>
          </w:p>
        </w:tc>
        <w:tc>
          <w:tcPr>
            <w:tcW w:w="1540" w:type="dxa"/>
            <w:tcBorders>
              <w:top w:val="nil"/>
              <w:left w:val="nil"/>
              <w:bottom w:val="nil"/>
              <w:right w:val="nil"/>
            </w:tcBorders>
            <w:shd w:val="clear" w:color="auto" w:fill="auto"/>
            <w:vAlign w:val="center"/>
            <w:hideMark/>
          </w:tcPr>
          <w:p w14:paraId="5D776770" w14:textId="77777777" w:rsidR="00B17A6C" w:rsidRPr="002320B2" w:rsidRDefault="00B17A6C" w:rsidP="00F90671">
            <w:pPr>
              <w:jc w:val="center"/>
              <w:rPr>
                <w:rFonts w:ascii="Verdana" w:eastAsia="Times New Roman" w:hAnsi="Verdana" w:cs="Calibri"/>
                <w:color w:val="365F91" w:themeColor="accent1" w:themeShade="BF"/>
                <w:sz w:val="18"/>
                <w:szCs w:val="18"/>
              </w:rPr>
            </w:pPr>
            <w:r w:rsidRPr="002320B2">
              <w:rPr>
                <w:rFonts w:ascii="Verdana" w:eastAsia="Times New Roman" w:hAnsi="Verdana" w:cs="Calibri"/>
                <w:color w:val="365F91" w:themeColor="accent1" w:themeShade="BF"/>
                <w:sz w:val="18"/>
                <w:szCs w:val="18"/>
              </w:rPr>
              <w:t>18,4</w:t>
            </w:r>
          </w:p>
        </w:tc>
        <w:tc>
          <w:tcPr>
            <w:tcW w:w="1540" w:type="dxa"/>
            <w:tcBorders>
              <w:top w:val="nil"/>
              <w:left w:val="nil"/>
              <w:bottom w:val="nil"/>
              <w:right w:val="nil"/>
            </w:tcBorders>
            <w:shd w:val="clear" w:color="auto" w:fill="auto"/>
            <w:vAlign w:val="center"/>
            <w:hideMark/>
          </w:tcPr>
          <w:p w14:paraId="48C8250E" w14:textId="77777777" w:rsidR="00B17A6C" w:rsidRPr="002320B2" w:rsidRDefault="00B17A6C" w:rsidP="00F90671">
            <w:pPr>
              <w:jc w:val="center"/>
              <w:rPr>
                <w:rFonts w:ascii="Verdana" w:eastAsia="Times New Roman" w:hAnsi="Verdana" w:cs="Calibri"/>
                <w:color w:val="365F91" w:themeColor="accent1" w:themeShade="BF"/>
                <w:sz w:val="18"/>
                <w:szCs w:val="18"/>
              </w:rPr>
            </w:pPr>
            <w:r w:rsidRPr="002320B2">
              <w:rPr>
                <w:rFonts w:ascii="Verdana" w:eastAsia="Times New Roman" w:hAnsi="Verdana" w:cs="Calibri"/>
                <w:color w:val="365F91" w:themeColor="accent1" w:themeShade="BF"/>
                <w:sz w:val="18"/>
                <w:szCs w:val="18"/>
              </w:rPr>
              <w:t>2,62</w:t>
            </w:r>
          </w:p>
        </w:tc>
        <w:tc>
          <w:tcPr>
            <w:tcW w:w="1540" w:type="dxa"/>
            <w:tcBorders>
              <w:top w:val="nil"/>
              <w:left w:val="nil"/>
              <w:bottom w:val="nil"/>
              <w:right w:val="nil"/>
            </w:tcBorders>
            <w:shd w:val="clear" w:color="auto" w:fill="auto"/>
            <w:vAlign w:val="center"/>
            <w:hideMark/>
          </w:tcPr>
          <w:p w14:paraId="41425D1B" w14:textId="77777777" w:rsidR="00B17A6C" w:rsidRPr="002320B2" w:rsidRDefault="00B17A6C" w:rsidP="00F90671">
            <w:pPr>
              <w:jc w:val="center"/>
              <w:rPr>
                <w:rFonts w:ascii="Verdana" w:eastAsia="Times New Roman" w:hAnsi="Verdana" w:cs="Calibri"/>
                <w:color w:val="365F91" w:themeColor="accent1" w:themeShade="BF"/>
                <w:sz w:val="18"/>
                <w:szCs w:val="18"/>
              </w:rPr>
            </w:pPr>
            <w:r w:rsidRPr="002320B2">
              <w:rPr>
                <w:rFonts w:ascii="Verdana" w:eastAsia="Times New Roman" w:hAnsi="Verdana" w:cs="Calibri"/>
                <w:color w:val="365F91" w:themeColor="accent1" w:themeShade="BF"/>
                <w:sz w:val="18"/>
                <w:szCs w:val="18"/>
              </w:rPr>
              <w:t>2,85</w:t>
            </w:r>
          </w:p>
        </w:tc>
      </w:tr>
      <w:tr w:rsidR="002320B2" w:rsidRPr="002320B2" w14:paraId="32C14EC4" w14:textId="77777777" w:rsidTr="002320B2">
        <w:trPr>
          <w:trHeight w:val="288"/>
          <w:jc w:val="center"/>
        </w:trPr>
        <w:tc>
          <w:tcPr>
            <w:tcW w:w="1540" w:type="dxa"/>
            <w:tcBorders>
              <w:top w:val="nil"/>
              <w:left w:val="nil"/>
              <w:bottom w:val="nil"/>
              <w:right w:val="nil"/>
            </w:tcBorders>
            <w:shd w:val="clear" w:color="auto" w:fill="auto"/>
            <w:vAlign w:val="center"/>
            <w:hideMark/>
          </w:tcPr>
          <w:p w14:paraId="128656E9" w14:textId="77777777" w:rsidR="00B17A6C" w:rsidRPr="002320B2" w:rsidRDefault="00B17A6C" w:rsidP="00F90671">
            <w:pPr>
              <w:rPr>
                <w:rFonts w:ascii="Verdana" w:eastAsia="Times New Roman" w:hAnsi="Verdana" w:cs="Calibri"/>
                <w:color w:val="365F91" w:themeColor="accent1" w:themeShade="BF"/>
                <w:sz w:val="18"/>
                <w:szCs w:val="18"/>
              </w:rPr>
            </w:pPr>
            <w:proofErr w:type="spellStart"/>
            <w:r w:rsidRPr="002320B2">
              <w:rPr>
                <w:rFonts w:ascii="Verdana" w:eastAsia="Times New Roman" w:hAnsi="Verdana" w:cs="Calibri"/>
                <w:color w:val="365F91" w:themeColor="accent1" w:themeShade="BF"/>
                <w:sz w:val="18"/>
                <w:szCs w:val="18"/>
              </w:rPr>
              <w:t>Lemesos</w:t>
            </w:r>
            <w:proofErr w:type="spellEnd"/>
          </w:p>
        </w:tc>
        <w:tc>
          <w:tcPr>
            <w:tcW w:w="1540" w:type="dxa"/>
            <w:tcBorders>
              <w:top w:val="nil"/>
              <w:left w:val="nil"/>
              <w:bottom w:val="nil"/>
              <w:right w:val="nil"/>
            </w:tcBorders>
            <w:shd w:val="clear" w:color="auto" w:fill="auto"/>
            <w:vAlign w:val="center"/>
            <w:hideMark/>
          </w:tcPr>
          <w:p w14:paraId="46C0D4C7" w14:textId="77777777" w:rsidR="00B17A6C" w:rsidRPr="002320B2" w:rsidRDefault="00B17A6C" w:rsidP="002320B2">
            <w:pPr>
              <w:ind w:right="284"/>
              <w:jc w:val="right"/>
              <w:rPr>
                <w:rFonts w:ascii="Verdana" w:eastAsia="Times New Roman" w:hAnsi="Verdana" w:cs="Calibri"/>
                <w:color w:val="365F91" w:themeColor="accent1" w:themeShade="BF"/>
                <w:sz w:val="18"/>
                <w:szCs w:val="18"/>
              </w:rPr>
            </w:pPr>
            <w:r w:rsidRPr="002320B2">
              <w:rPr>
                <w:rFonts w:ascii="Verdana" w:eastAsia="Times New Roman" w:hAnsi="Verdana" w:cs="Calibri"/>
                <w:color w:val="365F91" w:themeColor="accent1" w:themeShade="BF"/>
                <w:sz w:val="18"/>
                <w:szCs w:val="18"/>
              </w:rPr>
              <w:t>100.806</w:t>
            </w:r>
          </w:p>
        </w:tc>
        <w:tc>
          <w:tcPr>
            <w:tcW w:w="1540" w:type="dxa"/>
            <w:tcBorders>
              <w:top w:val="nil"/>
              <w:left w:val="nil"/>
              <w:bottom w:val="nil"/>
              <w:right w:val="nil"/>
            </w:tcBorders>
            <w:shd w:val="clear" w:color="auto" w:fill="auto"/>
            <w:vAlign w:val="center"/>
            <w:hideMark/>
          </w:tcPr>
          <w:p w14:paraId="6EAFAF9B" w14:textId="77777777" w:rsidR="00B17A6C" w:rsidRPr="002320B2" w:rsidRDefault="00B17A6C" w:rsidP="002320B2">
            <w:pPr>
              <w:ind w:right="284"/>
              <w:jc w:val="right"/>
              <w:rPr>
                <w:rFonts w:ascii="Verdana" w:eastAsia="Times New Roman" w:hAnsi="Verdana" w:cs="Calibri"/>
                <w:color w:val="365F91" w:themeColor="accent1" w:themeShade="BF"/>
                <w:sz w:val="18"/>
                <w:szCs w:val="18"/>
              </w:rPr>
            </w:pPr>
            <w:r w:rsidRPr="002320B2">
              <w:rPr>
                <w:rFonts w:ascii="Verdana" w:eastAsia="Times New Roman" w:hAnsi="Verdana" w:cs="Calibri"/>
                <w:color w:val="365F91" w:themeColor="accent1" w:themeShade="BF"/>
                <w:sz w:val="18"/>
                <w:szCs w:val="18"/>
              </w:rPr>
              <w:t>85.171</w:t>
            </w:r>
          </w:p>
        </w:tc>
        <w:tc>
          <w:tcPr>
            <w:tcW w:w="1540" w:type="dxa"/>
            <w:tcBorders>
              <w:top w:val="nil"/>
              <w:left w:val="nil"/>
              <w:bottom w:val="nil"/>
              <w:right w:val="nil"/>
            </w:tcBorders>
            <w:shd w:val="clear" w:color="auto" w:fill="auto"/>
            <w:vAlign w:val="center"/>
            <w:hideMark/>
          </w:tcPr>
          <w:p w14:paraId="64F0BAED" w14:textId="77777777" w:rsidR="00B17A6C" w:rsidRPr="002320B2" w:rsidRDefault="00B17A6C" w:rsidP="00F90671">
            <w:pPr>
              <w:jc w:val="center"/>
              <w:rPr>
                <w:rFonts w:ascii="Verdana" w:eastAsia="Times New Roman" w:hAnsi="Verdana" w:cs="Calibri"/>
                <w:color w:val="365F91" w:themeColor="accent1" w:themeShade="BF"/>
                <w:sz w:val="18"/>
                <w:szCs w:val="18"/>
              </w:rPr>
            </w:pPr>
            <w:r w:rsidRPr="002320B2">
              <w:rPr>
                <w:rFonts w:ascii="Verdana" w:eastAsia="Times New Roman" w:hAnsi="Verdana" w:cs="Calibri"/>
                <w:color w:val="365F91" w:themeColor="accent1" w:themeShade="BF"/>
                <w:sz w:val="18"/>
                <w:szCs w:val="18"/>
              </w:rPr>
              <w:t>18,4</w:t>
            </w:r>
          </w:p>
        </w:tc>
        <w:tc>
          <w:tcPr>
            <w:tcW w:w="1540" w:type="dxa"/>
            <w:tcBorders>
              <w:top w:val="nil"/>
              <w:left w:val="nil"/>
              <w:bottom w:val="nil"/>
              <w:right w:val="nil"/>
            </w:tcBorders>
            <w:shd w:val="clear" w:color="auto" w:fill="auto"/>
            <w:vAlign w:val="center"/>
            <w:hideMark/>
          </w:tcPr>
          <w:p w14:paraId="02400C6A" w14:textId="77777777" w:rsidR="00B17A6C" w:rsidRPr="002320B2" w:rsidRDefault="00B17A6C" w:rsidP="00F90671">
            <w:pPr>
              <w:jc w:val="center"/>
              <w:rPr>
                <w:rFonts w:ascii="Verdana" w:eastAsia="Times New Roman" w:hAnsi="Verdana" w:cs="Calibri"/>
                <w:color w:val="365F91" w:themeColor="accent1" w:themeShade="BF"/>
                <w:sz w:val="18"/>
                <w:szCs w:val="18"/>
              </w:rPr>
            </w:pPr>
            <w:r w:rsidRPr="002320B2">
              <w:rPr>
                <w:rFonts w:ascii="Verdana" w:eastAsia="Times New Roman" w:hAnsi="Verdana" w:cs="Calibri"/>
                <w:color w:val="365F91" w:themeColor="accent1" w:themeShade="BF"/>
                <w:sz w:val="18"/>
                <w:szCs w:val="18"/>
              </w:rPr>
              <w:t>2,59</w:t>
            </w:r>
          </w:p>
        </w:tc>
        <w:tc>
          <w:tcPr>
            <w:tcW w:w="1540" w:type="dxa"/>
            <w:tcBorders>
              <w:top w:val="nil"/>
              <w:left w:val="nil"/>
              <w:bottom w:val="nil"/>
              <w:right w:val="nil"/>
            </w:tcBorders>
            <w:shd w:val="clear" w:color="auto" w:fill="auto"/>
            <w:vAlign w:val="center"/>
            <w:hideMark/>
          </w:tcPr>
          <w:p w14:paraId="6E28EAB7" w14:textId="77777777" w:rsidR="00B17A6C" w:rsidRPr="002320B2" w:rsidRDefault="00B17A6C" w:rsidP="00F90671">
            <w:pPr>
              <w:jc w:val="center"/>
              <w:rPr>
                <w:rFonts w:ascii="Verdana" w:eastAsia="Times New Roman" w:hAnsi="Verdana" w:cs="Calibri"/>
                <w:color w:val="365F91" w:themeColor="accent1" w:themeShade="BF"/>
                <w:sz w:val="18"/>
                <w:szCs w:val="18"/>
              </w:rPr>
            </w:pPr>
            <w:r w:rsidRPr="002320B2">
              <w:rPr>
                <w:rFonts w:ascii="Verdana" w:eastAsia="Times New Roman" w:hAnsi="Verdana" w:cs="Calibri"/>
                <w:color w:val="365F91" w:themeColor="accent1" w:themeShade="BF"/>
                <w:sz w:val="18"/>
                <w:szCs w:val="18"/>
              </w:rPr>
              <w:t>2,75</w:t>
            </w:r>
          </w:p>
        </w:tc>
      </w:tr>
      <w:tr w:rsidR="002320B2" w:rsidRPr="002320B2" w14:paraId="7A125BF1" w14:textId="77777777" w:rsidTr="002320B2">
        <w:trPr>
          <w:trHeight w:val="300"/>
          <w:jc w:val="center"/>
        </w:trPr>
        <w:tc>
          <w:tcPr>
            <w:tcW w:w="1540" w:type="dxa"/>
            <w:tcBorders>
              <w:top w:val="nil"/>
              <w:left w:val="nil"/>
              <w:bottom w:val="single" w:sz="8" w:space="0" w:color="2F5496"/>
              <w:right w:val="nil"/>
            </w:tcBorders>
            <w:shd w:val="clear" w:color="auto" w:fill="auto"/>
            <w:vAlign w:val="center"/>
            <w:hideMark/>
          </w:tcPr>
          <w:p w14:paraId="3CF78F58" w14:textId="77777777" w:rsidR="00B17A6C" w:rsidRPr="002320B2" w:rsidRDefault="00B17A6C" w:rsidP="00F90671">
            <w:pPr>
              <w:rPr>
                <w:rFonts w:ascii="Verdana" w:eastAsia="Times New Roman" w:hAnsi="Verdana" w:cs="Calibri"/>
                <w:color w:val="365F91" w:themeColor="accent1" w:themeShade="BF"/>
                <w:sz w:val="18"/>
                <w:szCs w:val="18"/>
              </w:rPr>
            </w:pPr>
            <w:proofErr w:type="spellStart"/>
            <w:r w:rsidRPr="002320B2">
              <w:rPr>
                <w:rFonts w:ascii="Verdana" w:eastAsia="Times New Roman" w:hAnsi="Verdana" w:cs="Calibri"/>
                <w:color w:val="365F91" w:themeColor="accent1" w:themeShade="BF"/>
                <w:sz w:val="18"/>
                <w:szCs w:val="18"/>
              </w:rPr>
              <w:t>Pafos</w:t>
            </w:r>
            <w:proofErr w:type="spellEnd"/>
          </w:p>
        </w:tc>
        <w:tc>
          <w:tcPr>
            <w:tcW w:w="1540" w:type="dxa"/>
            <w:tcBorders>
              <w:top w:val="nil"/>
              <w:left w:val="nil"/>
              <w:bottom w:val="single" w:sz="8" w:space="0" w:color="2F5496"/>
              <w:right w:val="nil"/>
            </w:tcBorders>
            <w:shd w:val="clear" w:color="auto" w:fill="auto"/>
            <w:vAlign w:val="center"/>
            <w:hideMark/>
          </w:tcPr>
          <w:p w14:paraId="0042EA28" w14:textId="77777777" w:rsidR="00B17A6C" w:rsidRPr="002320B2" w:rsidRDefault="00B17A6C" w:rsidP="002320B2">
            <w:pPr>
              <w:ind w:right="284"/>
              <w:jc w:val="right"/>
              <w:rPr>
                <w:rFonts w:ascii="Verdana" w:eastAsia="Times New Roman" w:hAnsi="Verdana" w:cs="Calibri"/>
                <w:color w:val="365F91" w:themeColor="accent1" w:themeShade="BF"/>
                <w:sz w:val="18"/>
                <w:szCs w:val="18"/>
              </w:rPr>
            </w:pPr>
            <w:r w:rsidRPr="002320B2">
              <w:rPr>
                <w:rFonts w:ascii="Verdana" w:eastAsia="Times New Roman" w:hAnsi="Verdana" w:cs="Calibri"/>
                <w:color w:val="365F91" w:themeColor="accent1" w:themeShade="BF"/>
                <w:sz w:val="18"/>
                <w:szCs w:val="18"/>
              </w:rPr>
              <w:t>39.597</w:t>
            </w:r>
          </w:p>
        </w:tc>
        <w:tc>
          <w:tcPr>
            <w:tcW w:w="1540" w:type="dxa"/>
            <w:tcBorders>
              <w:top w:val="nil"/>
              <w:left w:val="nil"/>
              <w:bottom w:val="single" w:sz="8" w:space="0" w:color="2F5496"/>
              <w:right w:val="nil"/>
            </w:tcBorders>
            <w:shd w:val="clear" w:color="auto" w:fill="auto"/>
            <w:vAlign w:val="center"/>
            <w:hideMark/>
          </w:tcPr>
          <w:p w14:paraId="221DA313" w14:textId="77777777" w:rsidR="00B17A6C" w:rsidRPr="002320B2" w:rsidRDefault="00B17A6C" w:rsidP="002320B2">
            <w:pPr>
              <w:ind w:right="284"/>
              <w:jc w:val="right"/>
              <w:rPr>
                <w:rFonts w:ascii="Verdana" w:eastAsia="Times New Roman" w:hAnsi="Verdana" w:cs="Calibri"/>
                <w:color w:val="365F91" w:themeColor="accent1" w:themeShade="BF"/>
                <w:sz w:val="18"/>
                <w:szCs w:val="18"/>
              </w:rPr>
            </w:pPr>
            <w:r w:rsidRPr="002320B2">
              <w:rPr>
                <w:rFonts w:ascii="Verdana" w:eastAsia="Times New Roman" w:hAnsi="Verdana" w:cs="Calibri"/>
                <w:color w:val="365F91" w:themeColor="accent1" w:themeShade="BF"/>
                <w:sz w:val="18"/>
                <w:szCs w:val="18"/>
              </w:rPr>
              <w:t>33.004</w:t>
            </w:r>
          </w:p>
        </w:tc>
        <w:tc>
          <w:tcPr>
            <w:tcW w:w="1540" w:type="dxa"/>
            <w:tcBorders>
              <w:top w:val="nil"/>
              <w:left w:val="nil"/>
              <w:bottom w:val="single" w:sz="8" w:space="0" w:color="2F5496"/>
              <w:right w:val="nil"/>
            </w:tcBorders>
            <w:shd w:val="clear" w:color="auto" w:fill="auto"/>
            <w:vAlign w:val="center"/>
            <w:hideMark/>
          </w:tcPr>
          <w:p w14:paraId="6605DFA0" w14:textId="77777777" w:rsidR="00B17A6C" w:rsidRPr="002320B2" w:rsidRDefault="00B17A6C" w:rsidP="00F90671">
            <w:pPr>
              <w:jc w:val="center"/>
              <w:rPr>
                <w:rFonts w:ascii="Verdana" w:eastAsia="Times New Roman" w:hAnsi="Verdana" w:cs="Calibri"/>
                <w:color w:val="365F91" w:themeColor="accent1" w:themeShade="BF"/>
                <w:sz w:val="18"/>
                <w:szCs w:val="18"/>
              </w:rPr>
            </w:pPr>
            <w:r w:rsidRPr="002320B2">
              <w:rPr>
                <w:rFonts w:ascii="Verdana" w:eastAsia="Times New Roman" w:hAnsi="Verdana" w:cs="Calibri"/>
                <w:color w:val="365F91" w:themeColor="accent1" w:themeShade="BF"/>
                <w:sz w:val="18"/>
                <w:szCs w:val="18"/>
              </w:rPr>
              <w:t>20,0</w:t>
            </w:r>
          </w:p>
        </w:tc>
        <w:tc>
          <w:tcPr>
            <w:tcW w:w="1540" w:type="dxa"/>
            <w:tcBorders>
              <w:top w:val="nil"/>
              <w:left w:val="nil"/>
              <w:bottom w:val="single" w:sz="8" w:space="0" w:color="2F5496"/>
              <w:right w:val="nil"/>
            </w:tcBorders>
            <w:shd w:val="clear" w:color="auto" w:fill="auto"/>
            <w:vAlign w:val="center"/>
            <w:hideMark/>
          </w:tcPr>
          <w:p w14:paraId="0A60EF8B" w14:textId="77777777" w:rsidR="00B17A6C" w:rsidRPr="002320B2" w:rsidRDefault="00B17A6C" w:rsidP="00F90671">
            <w:pPr>
              <w:jc w:val="center"/>
              <w:rPr>
                <w:rFonts w:ascii="Verdana" w:eastAsia="Times New Roman" w:hAnsi="Verdana" w:cs="Calibri"/>
                <w:color w:val="365F91" w:themeColor="accent1" w:themeShade="BF"/>
                <w:sz w:val="18"/>
                <w:szCs w:val="18"/>
              </w:rPr>
            </w:pPr>
            <w:r w:rsidRPr="002320B2">
              <w:rPr>
                <w:rFonts w:ascii="Verdana" w:eastAsia="Times New Roman" w:hAnsi="Verdana" w:cs="Calibri"/>
                <w:color w:val="365F91" w:themeColor="accent1" w:themeShade="BF"/>
                <w:sz w:val="18"/>
                <w:szCs w:val="18"/>
              </w:rPr>
              <w:t>2,55</w:t>
            </w:r>
          </w:p>
        </w:tc>
        <w:tc>
          <w:tcPr>
            <w:tcW w:w="1540" w:type="dxa"/>
            <w:tcBorders>
              <w:top w:val="nil"/>
              <w:left w:val="nil"/>
              <w:bottom w:val="single" w:sz="8" w:space="0" w:color="2F5496"/>
              <w:right w:val="nil"/>
            </w:tcBorders>
            <w:shd w:val="clear" w:color="auto" w:fill="auto"/>
            <w:vAlign w:val="center"/>
            <w:hideMark/>
          </w:tcPr>
          <w:p w14:paraId="43D268FC" w14:textId="77777777" w:rsidR="00B17A6C" w:rsidRPr="002320B2" w:rsidRDefault="00B17A6C" w:rsidP="00F90671">
            <w:pPr>
              <w:jc w:val="center"/>
              <w:rPr>
                <w:rFonts w:ascii="Verdana" w:eastAsia="Times New Roman" w:hAnsi="Verdana" w:cs="Calibri"/>
                <w:color w:val="365F91" w:themeColor="accent1" w:themeShade="BF"/>
                <w:sz w:val="18"/>
                <w:szCs w:val="18"/>
              </w:rPr>
            </w:pPr>
            <w:r w:rsidRPr="002320B2">
              <w:rPr>
                <w:rFonts w:ascii="Verdana" w:eastAsia="Times New Roman" w:hAnsi="Verdana" w:cs="Calibri"/>
                <w:color w:val="365F91" w:themeColor="accent1" w:themeShade="BF"/>
                <w:sz w:val="18"/>
                <w:szCs w:val="18"/>
              </w:rPr>
              <w:t>2,67</w:t>
            </w:r>
          </w:p>
        </w:tc>
      </w:tr>
      <w:tr w:rsidR="002320B2" w:rsidRPr="002320B2" w14:paraId="2584EF38" w14:textId="77777777" w:rsidTr="002320B2">
        <w:trPr>
          <w:trHeight w:val="300"/>
          <w:jc w:val="center"/>
        </w:trPr>
        <w:tc>
          <w:tcPr>
            <w:tcW w:w="1540" w:type="dxa"/>
            <w:tcBorders>
              <w:top w:val="nil"/>
              <w:left w:val="nil"/>
              <w:bottom w:val="single" w:sz="8" w:space="0" w:color="2F5496"/>
              <w:right w:val="nil"/>
            </w:tcBorders>
            <w:shd w:val="clear" w:color="auto" w:fill="auto"/>
            <w:vAlign w:val="center"/>
            <w:hideMark/>
          </w:tcPr>
          <w:p w14:paraId="2D5E28EF" w14:textId="77777777" w:rsidR="00B17A6C" w:rsidRPr="002320B2" w:rsidRDefault="00B17A6C" w:rsidP="00F90671">
            <w:pPr>
              <w:rPr>
                <w:rFonts w:ascii="Verdana" w:eastAsia="Times New Roman" w:hAnsi="Verdana" w:cs="Calibri"/>
                <w:b/>
                <w:bCs/>
                <w:color w:val="365F91" w:themeColor="accent1" w:themeShade="BF"/>
                <w:sz w:val="18"/>
                <w:szCs w:val="18"/>
              </w:rPr>
            </w:pPr>
            <w:r w:rsidRPr="002320B2">
              <w:rPr>
                <w:rFonts w:ascii="Verdana" w:eastAsia="Times New Roman" w:hAnsi="Verdana" w:cs="Calibri"/>
                <w:b/>
                <w:bCs/>
                <w:color w:val="365F91" w:themeColor="accent1" w:themeShade="BF"/>
                <w:sz w:val="18"/>
                <w:szCs w:val="18"/>
              </w:rPr>
              <w:t>Total</w:t>
            </w:r>
          </w:p>
        </w:tc>
        <w:tc>
          <w:tcPr>
            <w:tcW w:w="1540" w:type="dxa"/>
            <w:tcBorders>
              <w:top w:val="nil"/>
              <w:left w:val="nil"/>
              <w:bottom w:val="single" w:sz="8" w:space="0" w:color="2F5496"/>
              <w:right w:val="nil"/>
            </w:tcBorders>
            <w:shd w:val="clear" w:color="auto" w:fill="auto"/>
            <w:vAlign w:val="center"/>
            <w:hideMark/>
          </w:tcPr>
          <w:p w14:paraId="10552062" w14:textId="77777777" w:rsidR="00B17A6C" w:rsidRPr="002320B2" w:rsidRDefault="00B17A6C" w:rsidP="002320B2">
            <w:pPr>
              <w:ind w:right="284"/>
              <w:jc w:val="right"/>
              <w:rPr>
                <w:rFonts w:ascii="Verdana" w:eastAsia="Times New Roman" w:hAnsi="Verdana" w:cs="Calibri"/>
                <w:b/>
                <w:bCs/>
                <w:color w:val="365F91" w:themeColor="accent1" w:themeShade="BF"/>
                <w:sz w:val="18"/>
                <w:szCs w:val="18"/>
              </w:rPr>
            </w:pPr>
            <w:r w:rsidRPr="002320B2">
              <w:rPr>
                <w:rFonts w:ascii="Verdana" w:eastAsia="Times New Roman" w:hAnsi="Verdana" w:cs="Calibri"/>
                <w:b/>
                <w:bCs/>
                <w:color w:val="365F91" w:themeColor="accent1" w:themeShade="BF"/>
                <w:sz w:val="18"/>
                <w:szCs w:val="18"/>
              </w:rPr>
              <w:t>357.858</w:t>
            </w:r>
          </w:p>
        </w:tc>
        <w:tc>
          <w:tcPr>
            <w:tcW w:w="1540" w:type="dxa"/>
            <w:tcBorders>
              <w:top w:val="nil"/>
              <w:left w:val="nil"/>
              <w:bottom w:val="single" w:sz="8" w:space="0" w:color="2F5496"/>
              <w:right w:val="nil"/>
            </w:tcBorders>
            <w:shd w:val="clear" w:color="auto" w:fill="auto"/>
            <w:vAlign w:val="center"/>
            <w:hideMark/>
          </w:tcPr>
          <w:p w14:paraId="2CC814FD" w14:textId="77777777" w:rsidR="00B17A6C" w:rsidRPr="002320B2" w:rsidRDefault="00B17A6C" w:rsidP="002320B2">
            <w:pPr>
              <w:ind w:right="284"/>
              <w:jc w:val="right"/>
              <w:rPr>
                <w:rFonts w:ascii="Verdana" w:eastAsia="Times New Roman" w:hAnsi="Verdana" w:cs="Calibri"/>
                <w:b/>
                <w:bCs/>
                <w:color w:val="365F91" w:themeColor="accent1" w:themeShade="BF"/>
                <w:sz w:val="18"/>
                <w:szCs w:val="18"/>
              </w:rPr>
            </w:pPr>
            <w:r w:rsidRPr="002320B2">
              <w:rPr>
                <w:rFonts w:ascii="Verdana" w:eastAsia="Times New Roman" w:hAnsi="Verdana" w:cs="Calibri"/>
                <w:b/>
                <w:bCs/>
                <w:color w:val="365F91" w:themeColor="accent1" w:themeShade="BF"/>
                <w:sz w:val="18"/>
                <w:szCs w:val="18"/>
              </w:rPr>
              <w:t>303.242</w:t>
            </w:r>
          </w:p>
        </w:tc>
        <w:tc>
          <w:tcPr>
            <w:tcW w:w="1540" w:type="dxa"/>
            <w:tcBorders>
              <w:top w:val="nil"/>
              <w:left w:val="nil"/>
              <w:bottom w:val="single" w:sz="8" w:space="0" w:color="2F5496"/>
              <w:right w:val="nil"/>
            </w:tcBorders>
            <w:shd w:val="clear" w:color="auto" w:fill="auto"/>
            <w:vAlign w:val="center"/>
            <w:hideMark/>
          </w:tcPr>
          <w:p w14:paraId="12D9E908" w14:textId="77777777" w:rsidR="00B17A6C" w:rsidRPr="002320B2" w:rsidRDefault="00B17A6C" w:rsidP="00F90671">
            <w:pPr>
              <w:jc w:val="center"/>
              <w:rPr>
                <w:rFonts w:ascii="Verdana" w:eastAsia="Times New Roman" w:hAnsi="Verdana" w:cs="Calibri"/>
                <w:b/>
                <w:bCs/>
                <w:color w:val="365F91" w:themeColor="accent1" w:themeShade="BF"/>
                <w:sz w:val="18"/>
                <w:szCs w:val="18"/>
              </w:rPr>
            </w:pPr>
            <w:r w:rsidRPr="002320B2">
              <w:rPr>
                <w:rFonts w:ascii="Verdana" w:eastAsia="Times New Roman" w:hAnsi="Verdana" w:cs="Calibri"/>
                <w:b/>
                <w:bCs/>
                <w:color w:val="365F91" w:themeColor="accent1" w:themeShade="BF"/>
                <w:sz w:val="18"/>
                <w:szCs w:val="18"/>
              </w:rPr>
              <w:t>18,0</w:t>
            </w:r>
          </w:p>
        </w:tc>
        <w:tc>
          <w:tcPr>
            <w:tcW w:w="1540" w:type="dxa"/>
            <w:tcBorders>
              <w:top w:val="nil"/>
              <w:left w:val="nil"/>
              <w:bottom w:val="single" w:sz="8" w:space="0" w:color="2F5496"/>
              <w:right w:val="nil"/>
            </w:tcBorders>
            <w:shd w:val="clear" w:color="auto" w:fill="auto"/>
            <w:vAlign w:val="center"/>
            <w:hideMark/>
          </w:tcPr>
          <w:p w14:paraId="4CCD9772" w14:textId="361DF04E" w:rsidR="00B17A6C" w:rsidRPr="002320B2" w:rsidRDefault="00B17A6C" w:rsidP="00F90671">
            <w:pPr>
              <w:jc w:val="center"/>
              <w:rPr>
                <w:rFonts w:ascii="Verdana" w:eastAsia="Times New Roman" w:hAnsi="Verdana" w:cs="Calibri"/>
                <w:b/>
                <w:bCs/>
                <w:color w:val="365F91" w:themeColor="accent1" w:themeShade="BF"/>
                <w:sz w:val="18"/>
                <w:szCs w:val="18"/>
              </w:rPr>
            </w:pPr>
            <w:r w:rsidRPr="002320B2">
              <w:rPr>
                <w:rFonts w:ascii="Verdana" w:eastAsia="Times New Roman" w:hAnsi="Verdana" w:cs="Calibri"/>
                <w:b/>
                <w:bCs/>
                <w:color w:val="365F91" w:themeColor="accent1" w:themeShade="BF"/>
                <w:sz w:val="18"/>
                <w:szCs w:val="18"/>
              </w:rPr>
              <w:t>2,</w:t>
            </w:r>
            <w:r w:rsidR="00DD3DAC" w:rsidRPr="002320B2">
              <w:rPr>
                <w:rFonts w:ascii="Verdana" w:eastAsia="Times New Roman" w:hAnsi="Verdana" w:cs="Calibri"/>
                <w:b/>
                <w:bCs/>
                <w:color w:val="365F91" w:themeColor="accent1" w:themeShade="BF"/>
                <w:sz w:val="18"/>
                <w:szCs w:val="18"/>
              </w:rPr>
              <w:t>57</w:t>
            </w:r>
          </w:p>
        </w:tc>
        <w:tc>
          <w:tcPr>
            <w:tcW w:w="1540" w:type="dxa"/>
            <w:tcBorders>
              <w:top w:val="nil"/>
              <w:left w:val="nil"/>
              <w:bottom w:val="single" w:sz="8" w:space="0" w:color="2F5496"/>
              <w:right w:val="nil"/>
            </w:tcBorders>
            <w:shd w:val="clear" w:color="auto" w:fill="auto"/>
            <w:vAlign w:val="center"/>
            <w:hideMark/>
          </w:tcPr>
          <w:p w14:paraId="0637CB75" w14:textId="768CBA29" w:rsidR="00B17A6C" w:rsidRPr="002320B2" w:rsidRDefault="00B17A6C" w:rsidP="00F90671">
            <w:pPr>
              <w:jc w:val="center"/>
              <w:rPr>
                <w:rFonts w:ascii="Verdana" w:eastAsia="Times New Roman" w:hAnsi="Verdana" w:cs="Calibri"/>
                <w:b/>
                <w:bCs/>
                <w:color w:val="365F91" w:themeColor="accent1" w:themeShade="BF"/>
                <w:sz w:val="18"/>
                <w:szCs w:val="18"/>
              </w:rPr>
            </w:pPr>
            <w:r w:rsidRPr="002320B2">
              <w:rPr>
                <w:rFonts w:ascii="Verdana" w:eastAsia="Times New Roman" w:hAnsi="Verdana" w:cs="Calibri"/>
                <w:b/>
                <w:bCs/>
                <w:color w:val="365F91" w:themeColor="accent1" w:themeShade="BF"/>
                <w:sz w:val="18"/>
                <w:szCs w:val="18"/>
              </w:rPr>
              <w:t>2,</w:t>
            </w:r>
            <w:r w:rsidR="00DD3DAC" w:rsidRPr="002320B2">
              <w:rPr>
                <w:rFonts w:ascii="Verdana" w:eastAsia="Times New Roman" w:hAnsi="Verdana" w:cs="Calibri"/>
                <w:b/>
                <w:bCs/>
                <w:color w:val="365F91" w:themeColor="accent1" w:themeShade="BF"/>
                <w:sz w:val="18"/>
                <w:szCs w:val="18"/>
              </w:rPr>
              <w:t>76</w:t>
            </w:r>
          </w:p>
        </w:tc>
      </w:tr>
    </w:tbl>
    <w:p w14:paraId="59BB9281" w14:textId="77777777" w:rsidR="00F93A02" w:rsidRPr="009F145E" w:rsidRDefault="00F93A02" w:rsidP="00F90671">
      <w:pPr>
        <w:jc w:val="both"/>
        <w:rPr>
          <w:rFonts w:ascii="Verdana" w:hAnsi="Verdana" w:cs="Calibri"/>
          <w:sz w:val="18"/>
          <w:szCs w:val="18"/>
        </w:rPr>
      </w:pPr>
    </w:p>
    <w:p w14:paraId="586A24CB" w14:textId="733CED4B" w:rsidR="00F90671" w:rsidRDefault="00461293" w:rsidP="00F90671">
      <w:pPr>
        <w:jc w:val="both"/>
        <w:rPr>
          <w:rFonts w:ascii="Verdana" w:hAnsi="Verdana" w:cs="Calibri"/>
          <w:sz w:val="18"/>
          <w:szCs w:val="18"/>
        </w:rPr>
      </w:pPr>
      <w:r w:rsidRPr="009F145E">
        <w:rPr>
          <w:rFonts w:ascii="Verdana" w:hAnsi="Verdana" w:cs="Calibri"/>
          <w:sz w:val="18"/>
          <w:szCs w:val="18"/>
        </w:rPr>
        <w:t>A total number of 112.305 households (31,4%) comprised non-family households, 237.936 households (66,5%) were households with one family nucleus and the remaining 7.617 (2,1%) were households with two or more families. The corresponding percentages in 2011 were 25,3% non-family households, 72,4% one-family households and 2,3% households with two or more families.</w:t>
      </w:r>
    </w:p>
    <w:p w14:paraId="3E56DFC7" w14:textId="6C035F41" w:rsidR="00B17A6C" w:rsidRDefault="00461293" w:rsidP="00F90671">
      <w:pPr>
        <w:jc w:val="both"/>
        <w:rPr>
          <w:rFonts w:ascii="Verdana" w:hAnsi="Verdana" w:cs="Calibri"/>
          <w:sz w:val="18"/>
          <w:szCs w:val="18"/>
        </w:rPr>
      </w:pPr>
      <w:r w:rsidRPr="009F145E">
        <w:rPr>
          <w:rFonts w:ascii="Verdana" w:hAnsi="Verdana" w:cs="Calibri"/>
          <w:sz w:val="18"/>
          <w:szCs w:val="18"/>
        </w:rPr>
        <w:t xml:space="preserve"> </w:t>
      </w:r>
    </w:p>
    <w:p w14:paraId="3A5E4630" w14:textId="77777777" w:rsidR="002320B2" w:rsidRDefault="002320B2" w:rsidP="00F90671">
      <w:pPr>
        <w:jc w:val="both"/>
        <w:rPr>
          <w:rFonts w:ascii="Verdana" w:hAnsi="Verdana" w:cs="Calibri"/>
          <w:sz w:val="18"/>
          <w:szCs w:val="18"/>
        </w:rPr>
      </w:pPr>
    </w:p>
    <w:p w14:paraId="1036472E" w14:textId="77777777" w:rsidR="002320B2" w:rsidRDefault="002320B2" w:rsidP="00F90671">
      <w:pPr>
        <w:jc w:val="both"/>
        <w:rPr>
          <w:rFonts w:ascii="Verdana" w:hAnsi="Verdana" w:cs="Calibri"/>
          <w:sz w:val="18"/>
          <w:szCs w:val="18"/>
        </w:rPr>
      </w:pPr>
    </w:p>
    <w:p w14:paraId="1ED984FA" w14:textId="77777777" w:rsidR="002320B2" w:rsidRDefault="002320B2" w:rsidP="00F90671">
      <w:pPr>
        <w:jc w:val="both"/>
        <w:rPr>
          <w:rFonts w:ascii="Verdana" w:hAnsi="Verdana" w:cs="Calibri"/>
          <w:sz w:val="18"/>
          <w:szCs w:val="18"/>
        </w:rPr>
      </w:pPr>
    </w:p>
    <w:p w14:paraId="39DB5A82" w14:textId="77777777" w:rsidR="002320B2" w:rsidRDefault="002320B2" w:rsidP="00F90671">
      <w:pPr>
        <w:jc w:val="both"/>
        <w:rPr>
          <w:rFonts w:ascii="Verdana" w:hAnsi="Verdana" w:cs="Calibri"/>
          <w:sz w:val="18"/>
          <w:szCs w:val="18"/>
        </w:rPr>
      </w:pPr>
    </w:p>
    <w:p w14:paraId="4352144D" w14:textId="77777777" w:rsidR="002320B2" w:rsidRDefault="002320B2" w:rsidP="00F90671">
      <w:pPr>
        <w:jc w:val="both"/>
        <w:rPr>
          <w:rFonts w:ascii="Verdana" w:hAnsi="Verdana" w:cs="Calibri"/>
          <w:sz w:val="18"/>
          <w:szCs w:val="18"/>
        </w:rPr>
      </w:pPr>
    </w:p>
    <w:p w14:paraId="726862CD" w14:textId="77777777" w:rsidR="002320B2" w:rsidRDefault="002320B2" w:rsidP="00F90671">
      <w:pPr>
        <w:jc w:val="both"/>
        <w:rPr>
          <w:rFonts w:ascii="Verdana" w:hAnsi="Verdana" w:cs="Calibri"/>
          <w:sz w:val="18"/>
          <w:szCs w:val="18"/>
        </w:rPr>
      </w:pPr>
    </w:p>
    <w:p w14:paraId="76A52B40" w14:textId="77777777" w:rsidR="002320B2" w:rsidRDefault="002320B2" w:rsidP="00F90671">
      <w:pPr>
        <w:jc w:val="both"/>
        <w:rPr>
          <w:rFonts w:ascii="Verdana" w:hAnsi="Verdana" w:cs="Calibri"/>
          <w:sz w:val="18"/>
          <w:szCs w:val="18"/>
        </w:rPr>
      </w:pPr>
    </w:p>
    <w:p w14:paraId="79EE74AD" w14:textId="77777777" w:rsidR="002320B2" w:rsidRDefault="002320B2" w:rsidP="00F90671">
      <w:pPr>
        <w:jc w:val="both"/>
        <w:rPr>
          <w:rFonts w:ascii="Verdana" w:hAnsi="Verdana" w:cs="Calibri"/>
          <w:sz w:val="18"/>
          <w:szCs w:val="18"/>
        </w:rPr>
      </w:pPr>
    </w:p>
    <w:p w14:paraId="10FC2B8B" w14:textId="77777777" w:rsidR="002320B2" w:rsidRDefault="002320B2" w:rsidP="00F90671">
      <w:pPr>
        <w:jc w:val="both"/>
        <w:rPr>
          <w:rFonts w:ascii="Verdana" w:hAnsi="Verdana" w:cs="Calibri"/>
          <w:sz w:val="18"/>
          <w:szCs w:val="18"/>
        </w:rPr>
      </w:pPr>
    </w:p>
    <w:p w14:paraId="06D393E2" w14:textId="77777777" w:rsidR="002320B2" w:rsidRPr="009F145E" w:rsidRDefault="002320B2" w:rsidP="00F90671">
      <w:pPr>
        <w:jc w:val="both"/>
        <w:rPr>
          <w:rFonts w:ascii="Verdana" w:hAnsi="Verdana" w:cs="Calibri"/>
          <w:sz w:val="18"/>
          <w:szCs w:val="18"/>
        </w:rPr>
      </w:pPr>
    </w:p>
    <w:p w14:paraId="27ABEC78" w14:textId="77777777" w:rsidR="00982724" w:rsidRPr="009F145E" w:rsidRDefault="00982724" w:rsidP="008E07F0">
      <w:pPr>
        <w:ind w:right="-1"/>
        <w:jc w:val="center"/>
        <w:rPr>
          <w:rFonts w:ascii="Verdana" w:hAnsi="Verdana" w:cs="Calibri"/>
          <w:b/>
          <w:bCs/>
          <w:u w:val="single"/>
        </w:rPr>
      </w:pPr>
      <w:r w:rsidRPr="009F145E">
        <w:rPr>
          <w:rFonts w:ascii="Verdana" w:hAnsi="Verdana" w:cs="Calibri"/>
          <w:b/>
          <w:bCs/>
          <w:u w:val="single"/>
        </w:rPr>
        <w:lastRenderedPageBreak/>
        <w:t>METHODOLOGICAL INFORMATION</w:t>
      </w:r>
    </w:p>
    <w:p w14:paraId="099B81C7" w14:textId="77777777" w:rsidR="00982724" w:rsidRPr="009F145E" w:rsidRDefault="00982724" w:rsidP="008E07F0">
      <w:pPr>
        <w:suppressAutoHyphens/>
        <w:jc w:val="both"/>
        <w:rPr>
          <w:rFonts w:ascii="Verdana" w:hAnsi="Verdana" w:cs="Calibri"/>
          <w:sz w:val="18"/>
          <w:szCs w:val="18"/>
        </w:rPr>
      </w:pPr>
    </w:p>
    <w:p w14:paraId="2DCE5C07" w14:textId="3233091D" w:rsidR="00982724" w:rsidRPr="00F90671" w:rsidRDefault="00982724" w:rsidP="00F90671">
      <w:pPr>
        <w:jc w:val="both"/>
        <w:rPr>
          <w:rFonts w:ascii="Verdana" w:hAnsi="Verdana" w:cs="Calibri"/>
          <w:sz w:val="18"/>
          <w:szCs w:val="18"/>
          <w:u w:val="single"/>
        </w:rPr>
      </w:pPr>
      <w:r w:rsidRPr="00F90671">
        <w:rPr>
          <w:rFonts w:ascii="Verdana" w:hAnsi="Verdana" w:cs="Calibri"/>
          <w:sz w:val="18"/>
          <w:szCs w:val="18"/>
        </w:rPr>
        <w:t xml:space="preserve">The purpose of the Census of Population and Housing 2021 was the complete and accurate geographical coverage of </w:t>
      </w:r>
      <w:r w:rsidR="00377F9C" w:rsidRPr="00F90671">
        <w:rPr>
          <w:rFonts w:ascii="Verdana" w:hAnsi="Verdana" w:cs="Calibri"/>
          <w:sz w:val="18"/>
          <w:szCs w:val="18"/>
        </w:rPr>
        <w:t>housing units</w:t>
      </w:r>
      <w:r w:rsidRPr="00F90671">
        <w:rPr>
          <w:rFonts w:ascii="Verdana" w:hAnsi="Verdana" w:cs="Calibri"/>
          <w:sz w:val="18"/>
          <w:szCs w:val="18"/>
        </w:rPr>
        <w:t xml:space="preserve">, institutions, households and individuals, Cypriot and foreign nationals, who had their usual residence in the Government controlled areas </w:t>
      </w:r>
      <w:r w:rsidR="0042413F">
        <w:rPr>
          <w:rFonts w:ascii="Verdana" w:hAnsi="Verdana" w:cs="Calibri"/>
          <w:sz w:val="18"/>
          <w:szCs w:val="18"/>
          <w:lang w:val="en-GB"/>
        </w:rPr>
        <w:t xml:space="preserve">of Cyprus </w:t>
      </w:r>
      <w:r w:rsidRPr="00F90671">
        <w:rPr>
          <w:rFonts w:ascii="Verdana" w:hAnsi="Verdana" w:cs="Calibri"/>
          <w:sz w:val="18"/>
          <w:szCs w:val="18"/>
        </w:rPr>
        <w:t xml:space="preserve">on the </w:t>
      </w:r>
      <w:r w:rsidRPr="00F90671">
        <w:rPr>
          <w:rFonts w:ascii="Verdana" w:hAnsi="Verdana" w:cs="Calibri"/>
          <w:sz w:val="18"/>
          <w:szCs w:val="18"/>
          <w:u w:val="single"/>
        </w:rPr>
        <w:t>1</w:t>
      </w:r>
      <w:r w:rsidRPr="00F90671">
        <w:rPr>
          <w:rFonts w:ascii="Verdana" w:hAnsi="Verdana" w:cs="Calibri"/>
          <w:sz w:val="18"/>
          <w:szCs w:val="18"/>
          <w:u w:val="single"/>
          <w:vertAlign w:val="superscript"/>
        </w:rPr>
        <w:t>st</w:t>
      </w:r>
      <w:r w:rsidRPr="00F90671">
        <w:rPr>
          <w:rFonts w:ascii="Verdana" w:hAnsi="Verdana" w:cs="Calibri"/>
          <w:sz w:val="18"/>
          <w:szCs w:val="18"/>
          <w:u w:val="single"/>
        </w:rPr>
        <w:t xml:space="preserve"> of October 2021.</w:t>
      </w:r>
    </w:p>
    <w:p w14:paraId="20116A27" w14:textId="77777777" w:rsidR="00280E3E" w:rsidRPr="00F90671" w:rsidRDefault="00280E3E" w:rsidP="00F90671">
      <w:pPr>
        <w:jc w:val="both"/>
        <w:rPr>
          <w:rFonts w:ascii="Verdana" w:hAnsi="Verdana" w:cs="Calibri"/>
          <w:sz w:val="18"/>
          <w:szCs w:val="18"/>
        </w:rPr>
      </w:pPr>
    </w:p>
    <w:p w14:paraId="60AD3CE0" w14:textId="7C0D1071" w:rsidR="00982724" w:rsidRPr="00F90671" w:rsidRDefault="00982724" w:rsidP="00F90671">
      <w:pPr>
        <w:jc w:val="both"/>
        <w:rPr>
          <w:rFonts w:ascii="Verdana" w:hAnsi="Verdana" w:cs="Calibri"/>
          <w:sz w:val="18"/>
          <w:szCs w:val="18"/>
        </w:rPr>
      </w:pPr>
      <w:r w:rsidRPr="00F90671">
        <w:rPr>
          <w:rFonts w:ascii="Verdana" w:hAnsi="Verdana" w:cs="Calibri"/>
          <w:sz w:val="18"/>
          <w:szCs w:val="18"/>
        </w:rPr>
        <w:t xml:space="preserve">The Census </w:t>
      </w:r>
      <w:r w:rsidR="00FB4D57" w:rsidRPr="00F90671">
        <w:rPr>
          <w:rFonts w:ascii="Verdana" w:hAnsi="Verdana" w:cs="Calibri"/>
          <w:sz w:val="18"/>
          <w:szCs w:val="18"/>
        </w:rPr>
        <w:t>constitutes a main</w:t>
      </w:r>
      <w:r w:rsidRPr="00F90671">
        <w:rPr>
          <w:rFonts w:ascii="Verdana" w:hAnsi="Verdana" w:cs="Calibri"/>
          <w:sz w:val="18"/>
          <w:szCs w:val="18"/>
        </w:rPr>
        <w:t xml:space="preserve"> source of information and of statistical data and is usually conducted </w:t>
      </w:r>
      <w:r w:rsidR="00FB4D57" w:rsidRPr="00F90671">
        <w:rPr>
          <w:rFonts w:ascii="Verdana" w:hAnsi="Verdana" w:cs="Calibri"/>
          <w:sz w:val="18"/>
          <w:szCs w:val="18"/>
        </w:rPr>
        <w:t xml:space="preserve">every </w:t>
      </w:r>
      <w:r w:rsidR="00673043" w:rsidRPr="00F90671">
        <w:rPr>
          <w:rFonts w:ascii="Verdana" w:hAnsi="Verdana" w:cs="Calibri"/>
          <w:sz w:val="18"/>
          <w:szCs w:val="18"/>
        </w:rPr>
        <w:t>10</w:t>
      </w:r>
      <w:r w:rsidRPr="00F90671">
        <w:rPr>
          <w:rFonts w:ascii="Verdana" w:hAnsi="Verdana" w:cs="Calibri"/>
          <w:sz w:val="18"/>
          <w:szCs w:val="18"/>
        </w:rPr>
        <w:t xml:space="preserve"> years. It is the most costly and demanding project </w:t>
      </w:r>
      <w:r w:rsidR="00FB4D57" w:rsidRPr="00F90671">
        <w:rPr>
          <w:rFonts w:ascii="Verdana" w:hAnsi="Verdana" w:cs="Calibri"/>
          <w:sz w:val="18"/>
          <w:szCs w:val="18"/>
        </w:rPr>
        <w:t>conducted</w:t>
      </w:r>
      <w:r w:rsidRPr="00F90671">
        <w:rPr>
          <w:rFonts w:ascii="Verdana" w:hAnsi="Verdana" w:cs="Calibri"/>
          <w:sz w:val="18"/>
          <w:szCs w:val="18"/>
        </w:rPr>
        <w:t xml:space="preserve"> by the Statistical Service. The </w:t>
      </w:r>
      <w:r w:rsidR="0042413F">
        <w:rPr>
          <w:rFonts w:ascii="Verdana" w:hAnsi="Verdana" w:cs="Calibri"/>
          <w:sz w:val="18"/>
          <w:szCs w:val="18"/>
        </w:rPr>
        <w:t>previous</w:t>
      </w:r>
      <w:r w:rsidRPr="00F90671">
        <w:rPr>
          <w:rFonts w:ascii="Verdana" w:hAnsi="Verdana" w:cs="Calibri"/>
          <w:sz w:val="18"/>
          <w:szCs w:val="18"/>
        </w:rPr>
        <w:t xml:space="preserve"> Census of Population was conducted in 2011.</w:t>
      </w:r>
    </w:p>
    <w:p w14:paraId="73E9DF32" w14:textId="77777777" w:rsidR="00982724" w:rsidRPr="00F90671" w:rsidRDefault="00982724" w:rsidP="00F90671">
      <w:pPr>
        <w:ind w:right="-1"/>
        <w:jc w:val="both"/>
        <w:rPr>
          <w:rFonts w:ascii="Verdana" w:hAnsi="Verdana" w:cs="Calibri"/>
          <w:sz w:val="18"/>
          <w:szCs w:val="18"/>
        </w:rPr>
      </w:pPr>
    </w:p>
    <w:p w14:paraId="6E247D78" w14:textId="77777777" w:rsidR="00982724" w:rsidRPr="00F90671" w:rsidRDefault="00982724" w:rsidP="00F90671">
      <w:pPr>
        <w:ind w:right="-1"/>
        <w:jc w:val="both"/>
        <w:rPr>
          <w:rFonts w:ascii="Verdana" w:hAnsi="Verdana" w:cs="Calibri"/>
          <w:b/>
          <w:bCs/>
          <w:sz w:val="18"/>
          <w:szCs w:val="18"/>
          <w:u w:val="single"/>
        </w:rPr>
      </w:pPr>
      <w:r w:rsidRPr="00F90671">
        <w:rPr>
          <w:rFonts w:ascii="Verdana" w:hAnsi="Verdana" w:cs="Calibri"/>
          <w:b/>
          <w:bCs/>
          <w:sz w:val="18"/>
          <w:szCs w:val="18"/>
          <w:u w:val="single"/>
        </w:rPr>
        <w:t>Data Collection Method</w:t>
      </w:r>
    </w:p>
    <w:p w14:paraId="08EE4BA0" w14:textId="77777777" w:rsidR="00982724" w:rsidRPr="00F90671" w:rsidRDefault="00982724" w:rsidP="00F90671">
      <w:pPr>
        <w:ind w:right="-1"/>
        <w:jc w:val="both"/>
        <w:rPr>
          <w:rFonts w:ascii="Verdana" w:hAnsi="Verdana" w:cs="Calibri"/>
          <w:b/>
          <w:bCs/>
          <w:sz w:val="18"/>
          <w:szCs w:val="18"/>
          <w:u w:val="single"/>
        </w:rPr>
      </w:pPr>
    </w:p>
    <w:p w14:paraId="38D7E34F" w14:textId="700865A8" w:rsidR="00982724" w:rsidRPr="00F90671" w:rsidRDefault="00982724" w:rsidP="00F90671">
      <w:pPr>
        <w:ind w:right="-1"/>
        <w:jc w:val="both"/>
        <w:rPr>
          <w:rFonts w:ascii="Verdana" w:hAnsi="Verdana" w:cs="Calibri"/>
          <w:sz w:val="18"/>
          <w:szCs w:val="18"/>
        </w:rPr>
      </w:pPr>
      <w:r w:rsidRPr="00F90671">
        <w:rPr>
          <w:rFonts w:ascii="Verdana" w:hAnsi="Verdana" w:cs="Calibri"/>
          <w:sz w:val="18"/>
          <w:szCs w:val="18"/>
        </w:rPr>
        <w:t xml:space="preserve">According to the original planning, the collection of data would </w:t>
      </w:r>
      <w:r w:rsidR="00D83851" w:rsidRPr="00F90671">
        <w:rPr>
          <w:rFonts w:ascii="Verdana" w:hAnsi="Verdana" w:cs="Calibri"/>
          <w:sz w:val="18"/>
          <w:szCs w:val="18"/>
        </w:rPr>
        <w:t>have been</w:t>
      </w:r>
      <w:r w:rsidRPr="00F90671">
        <w:rPr>
          <w:rFonts w:ascii="Verdana" w:hAnsi="Verdana" w:cs="Calibri"/>
          <w:sz w:val="18"/>
          <w:szCs w:val="18"/>
        </w:rPr>
        <w:t xml:space="preserve"> carried </w:t>
      </w:r>
      <w:r w:rsidRPr="00ED3722">
        <w:rPr>
          <w:rFonts w:ascii="Verdana" w:hAnsi="Verdana" w:cs="Calibri"/>
          <w:sz w:val="18"/>
          <w:szCs w:val="18"/>
        </w:rPr>
        <w:t xml:space="preserve">out through personal or telephone interviews </w:t>
      </w:r>
      <w:r w:rsidR="00ED3722">
        <w:rPr>
          <w:rFonts w:ascii="Verdana" w:hAnsi="Verdana" w:cs="Calibri"/>
          <w:sz w:val="18"/>
          <w:szCs w:val="18"/>
        </w:rPr>
        <w:t>with</w:t>
      </w:r>
      <w:r w:rsidR="00ED3722" w:rsidRPr="00ED3722">
        <w:rPr>
          <w:rFonts w:ascii="Verdana" w:hAnsi="Verdana" w:cs="Calibri"/>
          <w:sz w:val="18"/>
          <w:szCs w:val="18"/>
          <w:lang w:val="en-GB"/>
        </w:rPr>
        <w:t xml:space="preserve"> households </w:t>
      </w:r>
      <w:r w:rsidRPr="00ED3722">
        <w:rPr>
          <w:rFonts w:ascii="Verdana" w:hAnsi="Verdana" w:cs="Calibri"/>
          <w:sz w:val="18"/>
          <w:szCs w:val="18"/>
        </w:rPr>
        <w:t>(traditional method), with the use of tablets, or with the completion of paper questionnaires by the respondents themselves.</w:t>
      </w:r>
    </w:p>
    <w:p w14:paraId="4D3831A7" w14:textId="77777777" w:rsidR="00982724" w:rsidRPr="00F90671" w:rsidRDefault="00982724" w:rsidP="00F90671">
      <w:pPr>
        <w:ind w:right="-1"/>
        <w:jc w:val="both"/>
        <w:rPr>
          <w:rFonts w:ascii="Verdana" w:hAnsi="Verdana" w:cs="Calibri"/>
          <w:sz w:val="18"/>
          <w:szCs w:val="18"/>
        </w:rPr>
      </w:pPr>
    </w:p>
    <w:p w14:paraId="7FD5B958" w14:textId="38B43F0C" w:rsidR="00982724" w:rsidRPr="00F90671" w:rsidRDefault="00982724" w:rsidP="00F90671">
      <w:pPr>
        <w:ind w:right="-1"/>
        <w:jc w:val="both"/>
        <w:rPr>
          <w:rFonts w:ascii="Verdana" w:hAnsi="Verdana" w:cs="Calibri"/>
          <w:sz w:val="18"/>
          <w:szCs w:val="18"/>
        </w:rPr>
      </w:pPr>
      <w:r w:rsidRPr="00F90671">
        <w:rPr>
          <w:rFonts w:ascii="Verdana" w:hAnsi="Verdana" w:cs="Calibri"/>
          <w:sz w:val="18"/>
          <w:szCs w:val="18"/>
        </w:rPr>
        <w:t xml:space="preserve">A total of 1.000 enumerators would be responsible for the collection of data in all districts. Due to the fact that there was not enough interest from candidates, a much lower number of enumerators was employed, having a negative impact on the timeframe of the Census. </w:t>
      </w:r>
      <w:r w:rsidR="00D83851" w:rsidRPr="00F90671">
        <w:rPr>
          <w:rFonts w:ascii="Verdana" w:hAnsi="Verdana" w:cs="Calibri"/>
          <w:sz w:val="18"/>
          <w:szCs w:val="18"/>
        </w:rPr>
        <w:t>Furthermore</w:t>
      </w:r>
      <w:r w:rsidRPr="00F90671">
        <w:rPr>
          <w:rFonts w:ascii="Verdana" w:hAnsi="Verdana" w:cs="Calibri"/>
          <w:sz w:val="18"/>
          <w:szCs w:val="18"/>
        </w:rPr>
        <w:t xml:space="preserve">, the exceptional conditions and the restrictions that were in place </w:t>
      </w:r>
      <w:r w:rsidR="00261CFE" w:rsidRPr="00F90671">
        <w:rPr>
          <w:rFonts w:ascii="Verdana" w:hAnsi="Verdana" w:cs="Calibri"/>
          <w:sz w:val="18"/>
          <w:szCs w:val="18"/>
        </w:rPr>
        <w:t xml:space="preserve">during autumn 2021 </w:t>
      </w:r>
      <w:r w:rsidRPr="00F90671">
        <w:rPr>
          <w:rFonts w:ascii="Verdana" w:hAnsi="Verdana" w:cs="Calibri"/>
          <w:sz w:val="18"/>
          <w:szCs w:val="18"/>
        </w:rPr>
        <w:t xml:space="preserve">due to the coronavirus pandemic (COVID-19) constituted another factor that inhibited the smooth development of the project, thus setting the completion of the Census outside the initially planned deadline (end of December 2021). </w:t>
      </w:r>
    </w:p>
    <w:p w14:paraId="45345177" w14:textId="77777777" w:rsidR="00982724" w:rsidRPr="00F90671" w:rsidRDefault="00982724" w:rsidP="00F90671">
      <w:pPr>
        <w:ind w:right="-1"/>
        <w:jc w:val="both"/>
        <w:rPr>
          <w:rFonts w:ascii="Verdana" w:hAnsi="Verdana" w:cs="Calibri"/>
          <w:sz w:val="18"/>
          <w:szCs w:val="18"/>
        </w:rPr>
      </w:pPr>
    </w:p>
    <w:p w14:paraId="03261CAC" w14:textId="77777777" w:rsidR="00982724" w:rsidRPr="00F90671" w:rsidRDefault="00982724" w:rsidP="00F90671">
      <w:pPr>
        <w:ind w:right="-1"/>
        <w:jc w:val="both"/>
        <w:rPr>
          <w:rFonts w:ascii="Verdana" w:hAnsi="Verdana" w:cs="Calibri"/>
          <w:sz w:val="18"/>
          <w:szCs w:val="18"/>
        </w:rPr>
      </w:pPr>
      <w:r w:rsidRPr="00F90671">
        <w:rPr>
          <w:rFonts w:ascii="Verdana" w:hAnsi="Verdana" w:cs="Calibri"/>
          <w:sz w:val="18"/>
          <w:szCs w:val="18"/>
        </w:rPr>
        <w:t>In order to complete the project, it was therefore necessary to modify the initial method of data collection. In particular, the new methods adopted involved the use of administrative data as additional sources of information as well as the use of modern technology. The administrative sources used for this purpose, following the approval by the Commissioner for Personal Data Protection, provided information on the main demographic characteristics of the population, such as the place of residence, sex, age, citizenship etc. These sources mainly included the Health Insurance Organisation Beneficiaries data base, the Births Register, the Deaths Register as well as the Population Register.</w:t>
      </w:r>
    </w:p>
    <w:p w14:paraId="6826AF2D" w14:textId="77777777" w:rsidR="00982724" w:rsidRPr="00F90671" w:rsidRDefault="00982724" w:rsidP="00F90671">
      <w:pPr>
        <w:ind w:right="-1"/>
        <w:jc w:val="both"/>
        <w:rPr>
          <w:rFonts w:ascii="Verdana" w:hAnsi="Verdana" w:cs="Calibri"/>
          <w:sz w:val="18"/>
          <w:szCs w:val="18"/>
        </w:rPr>
      </w:pPr>
    </w:p>
    <w:p w14:paraId="2F1B3023" w14:textId="5A9D3496" w:rsidR="00982724" w:rsidRPr="00F90671" w:rsidRDefault="00982724" w:rsidP="00F90671">
      <w:pPr>
        <w:ind w:right="-1"/>
        <w:jc w:val="both"/>
        <w:rPr>
          <w:rFonts w:ascii="Verdana" w:hAnsi="Verdana" w:cs="Calibri"/>
          <w:sz w:val="18"/>
          <w:szCs w:val="18"/>
        </w:rPr>
      </w:pPr>
      <w:r w:rsidRPr="00F90671">
        <w:rPr>
          <w:rFonts w:ascii="Verdana" w:hAnsi="Verdana" w:cs="Calibri"/>
          <w:sz w:val="18"/>
          <w:szCs w:val="18"/>
        </w:rPr>
        <w:t xml:space="preserve">The results were obtained both from the collection of data using the traditional method (achieving a coverage of </w:t>
      </w:r>
      <w:r w:rsidR="002B6DE8" w:rsidRPr="00F90671">
        <w:rPr>
          <w:rFonts w:ascii="Verdana" w:hAnsi="Verdana" w:cs="Calibri"/>
          <w:sz w:val="18"/>
          <w:szCs w:val="18"/>
        </w:rPr>
        <w:t>80</w:t>
      </w:r>
      <w:r w:rsidRPr="00F90671">
        <w:rPr>
          <w:rFonts w:ascii="Verdana" w:hAnsi="Verdana" w:cs="Calibri"/>
          <w:sz w:val="18"/>
          <w:szCs w:val="18"/>
        </w:rPr>
        <w:t>%</w:t>
      </w:r>
      <w:r w:rsidR="002B6DE8" w:rsidRPr="00F90671">
        <w:rPr>
          <w:rFonts w:ascii="Verdana" w:hAnsi="Verdana" w:cs="Calibri"/>
          <w:sz w:val="18"/>
          <w:szCs w:val="18"/>
        </w:rPr>
        <w:t xml:space="preserve"> of the population</w:t>
      </w:r>
      <w:r w:rsidRPr="00F90671">
        <w:rPr>
          <w:rFonts w:ascii="Verdana" w:hAnsi="Verdana" w:cs="Calibri"/>
          <w:sz w:val="18"/>
          <w:szCs w:val="18"/>
        </w:rPr>
        <w:t>) and from administrative sources (to cover the remaining population).</w:t>
      </w:r>
      <w:r w:rsidR="009934B0" w:rsidRPr="00F90671">
        <w:rPr>
          <w:rFonts w:ascii="Verdana" w:hAnsi="Verdana" w:cs="Calibri"/>
          <w:sz w:val="18"/>
          <w:szCs w:val="18"/>
        </w:rPr>
        <w:t xml:space="preserve"> With the use of administrative sources, full population coverage was achieved. </w:t>
      </w:r>
      <w:r w:rsidR="00C20EF5" w:rsidRPr="00F90671">
        <w:rPr>
          <w:rFonts w:ascii="Verdana" w:hAnsi="Verdana" w:cs="Calibri"/>
          <w:sz w:val="18"/>
          <w:szCs w:val="18"/>
        </w:rPr>
        <w:t>In order to complete the missing information for certain</w:t>
      </w:r>
      <w:r w:rsidR="009934B0" w:rsidRPr="00F90671">
        <w:rPr>
          <w:rFonts w:ascii="Verdana" w:hAnsi="Verdana"/>
          <w:sz w:val="18"/>
          <w:szCs w:val="18"/>
        </w:rPr>
        <w:t xml:space="preserve"> variables, the statistical method of item imputation was employed.</w:t>
      </w:r>
    </w:p>
    <w:p w14:paraId="2B893C2D" w14:textId="77777777" w:rsidR="009934B0" w:rsidRPr="00F90671" w:rsidRDefault="009934B0" w:rsidP="00F90671">
      <w:pPr>
        <w:ind w:right="-1"/>
        <w:jc w:val="both"/>
        <w:rPr>
          <w:rFonts w:ascii="Verdana" w:hAnsi="Verdana" w:cs="Calibri"/>
          <w:sz w:val="18"/>
          <w:szCs w:val="18"/>
        </w:rPr>
      </w:pPr>
    </w:p>
    <w:p w14:paraId="7B75AAA4" w14:textId="5B19FE15" w:rsidR="00982724" w:rsidRPr="00F90671" w:rsidRDefault="00982724" w:rsidP="00F90671">
      <w:pPr>
        <w:jc w:val="both"/>
        <w:rPr>
          <w:rFonts w:ascii="Verdana" w:hAnsi="Verdana" w:cs="Calibri"/>
          <w:sz w:val="18"/>
          <w:szCs w:val="18"/>
        </w:rPr>
      </w:pPr>
      <w:r w:rsidRPr="00F90671">
        <w:rPr>
          <w:rFonts w:ascii="Verdana" w:hAnsi="Verdana" w:cs="Calibri"/>
          <w:sz w:val="18"/>
          <w:szCs w:val="18"/>
        </w:rPr>
        <w:t xml:space="preserve">The use of administrative sources for the purpose of </w:t>
      </w:r>
      <w:r w:rsidR="0016120C" w:rsidRPr="00F90671">
        <w:rPr>
          <w:rFonts w:ascii="Verdana" w:hAnsi="Verdana" w:cs="Calibri"/>
          <w:sz w:val="18"/>
          <w:szCs w:val="18"/>
        </w:rPr>
        <w:t xml:space="preserve">conducting </w:t>
      </w:r>
      <w:r w:rsidRPr="00F90671">
        <w:rPr>
          <w:rFonts w:ascii="Verdana" w:hAnsi="Verdana" w:cs="Calibri"/>
          <w:sz w:val="18"/>
          <w:szCs w:val="18"/>
        </w:rPr>
        <w:t xml:space="preserve">the Population Census is a methodological approach broadly used in many European countries for some years now. According to the latest information available, a proportion of 38% of EU countries has chosen to conduct the Census of Population 2021 exclusively from administrative sources, whereas an equally significant proportion of countries (35%) has chosen to use both the traditional Census and the use of administrative sources (combined Census). The traditional method of data collection with interviews is still used by 27% of EU countries. </w:t>
      </w:r>
    </w:p>
    <w:p w14:paraId="6C203D5A" w14:textId="77777777" w:rsidR="00982724" w:rsidRPr="00F90671" w:rsidRDefault="00982724" w:rsidP="00F90671">
      <w:pPr>
        <w:jc w:val="both"/>
        <w:rPr>
          <w:rFonts w:ascii="Verdana" w:hAnsi="Verdana" w:cs="Calibri"/>
          <w:sz w:val="18"/>
          <w:szCs w:val="18"/>
        </w:rPr>
      </w:pPr>
      <w:r w:rsidRPr="00F90671">
        <w:rPr>
          <w:rFonts w:ascii="Verdana" w:hAnsi="Verdana" w:cs="Calibri"/>
          <w:sz w:val="18"/>
          <w:szCs w:val="18"/>
        </w:rPr>
        <w:t xml:space="preserve"> </w:t>
      </w:r>
    </w:p>
    <w:p w14:paraId="129975B1" w14:textId="3398A8E8" w:rsidR="00377E68" w:rsidRPr="00F90671" w:rsidRDefault="00982724" w:rsidP="00F90671">
      <w:pPr>
        <w:jc w:val="both"/>
        <w:rPr>
          <w:rFonts w:ascii="Verdana" w:hAnsi="Verdana" w:cs="Calibri"/>
          <w:sz w:val="18"/>
          <w:szCs w:val="18"/>
        </w:rPr>
      </w:pPr>
      <w:r w:rsidRPr="00F90671">
        <w:rPr>
          <w:rFonts w:ascii="Verdana" w:hAnsi="Verdana" w:cs="Calibri"/>
          <w:sz w:val="18"/>
          <w:szCs w:val="18"/>
        </w:rPr>
        <w:t xml:space="preserve">The aim </w:t>
      </w:r>
      <w:r w:rsidR="0092068E" w:rsidRPr="00F90671">
        <w:rPr>
          <w:rFonts w:ascii="Verdana" w:hAnsi="Verdana" w:cs="Calibri"/>
          <w:sz w:val="18"/>
          <w:szCs w:val="18"/>
        </w:rPr>
        <w:t xml:space="preserve">of the Statistical Service </w:t>
      </w:r>
      <w:r w:rsidRPr="00F90671">
        <w:rPr>
          <w:rFonts w:ascii="Verdana" w:hAnsi="Verdana" w:cs="Calibri"/>
          <w:sz w:val="18"/>
          <w:szCs w:val="18"/>
        </w:rPr>
        <w:t xml:space="preserve">is that the </w:t>
      </w:r>
      <w:r w:rsidR="00491681" w:rsidRPr="00F90671">
        <w:rPr>
          <w:rFonts w:ascii="Verdana" w:hAnsi="Verdana" w:cs="Calibri"/>
          <w:sz w:val="18"/>
          <w:szCs w:val="18"/>
        </w:rPr>
        <w:t>database which has</w:t>
      </w:r>
      <w:r w:rsidRPr="00F90671">
        <w:rPr>
          <w:rFonts w:ascii="Verdana" w:hAnsi="Verdana" w:cs="Calibri"/>
          <w:sz w:val="18"/>
          <w:szCs w:val="18"/>
        </w:rPr>
        <w:t xml:space="preserve"> </w:t>
      </w:r>
      <w:r w:rsidR="00491681" w:rsidRPr="00F90671">
        <w:rPr>
          <w:rFonts w:ascii="Verdana" w:hAnsi="Verdana" w:cs="Calibri"/>
          <w:sz w:val="18"/>
          <w:szCs w:val="18"/>
        </w:rPr>
        <w:t xml:space="preserve">resulted </w:t>
      </w:r>
      <w:r w:rsidRPr="00F90671">
        <w:rPr>
          <w:rFonts w:ascii="Verdana" w:hAnsi="Verdana" w:cs="Calibri"/>
          <w:sz w:val="18"/>
          <w:szCs w:val="18"/>
        </w:rPr>
        <w:t xml:space="preserve">from the Census of Population </w:t>
      </w:r>
      <w:r w:rsidR="0063175B" w:rsidRPr="00F90671">
        <w:rPr>
          <w:rFonts w:ascii="Verdana" w:hAnsi="Verdana" w:cs="Calibri"/>
          <w:sz w:val="18"/>
          <w:szCs w:val="18"/>
        </w:rPr>
        <w:t xml:space="preserve">and Housing </w:t>
      </w:r>
      <w:r w:rsidR="004C2EB0">
        <w:rPr>
          <w:rFonts w:ascii="Verdana" w:hAnsi="Verdana" w:cs="Calibri"/>
          <w:sz w:val="18"/>
          <w:szCs w:val="18"/>
        </w:rPr>
        <w:t xml:space="preserve">2021 </w:t>
      </w:r>
      <w:r w:rsidR="000E5566">
        <w:rPr>
          <w:rFonts w:ascii="Verdana" w:hAnsi="Verdana" w:cs="Calibri"/>
          <w:sz w:val="18"/>
          <w:szCs w:val="18"/>
        </w:rPr>
        <w:t xml:space="preserve">develops into </w:t>
      </w:r>
      <w:r w:rsidRPr="00F90671">
        <w:rPr>
          <w:rFonts w:ascii="Verdana" w:hAnsi="Verdana" w:cs="Calibri"/>
          <w:sz w:val="18"/>
          <w:szCs w:val="18"/>
        </w:rPr>
        <w:t>a Dynamic Statistical Population</w:t>
      </w:r>
      <w:r w:rsidR="0053544D" w:rsidRPr="00F90671">
        <w:rPr>
          <w:rFonts w:ascii="Verdana" w:hAnsi="Verdana" w:cs="Calibri"/>
          <w:sz w:val="18"/>
          <w:szCs w:val="18"/>
        </w:rPr>
        <w:t xml:space="preserve"> and Housing</w:t>
      </w:r>
      <w:r w:rsidRPr="00F90671">
        <w:rPr>
          <w:rFonts w:ascii="Verdana" w:hAnsi="Verdana" w:cs="Calibri"/>
          <w:sz w:val="18"/>
          <w:szCs w:val="18"/>
        </w:rPr>
        <w:t xml:space="preserve"> Register</w:t>
      </w:r>
      <w:r w:rsidR="004C2EB0">
        <w:rPr>
          <w:rFonts w:ascii="Verdana" w:hAnsi="Verdana" w:cs="Calibri"/>
          <w:sz w:val="18"/>
          <w:szCs w:val="18"/>
        </w:rPr>
        <w:t>,</w:t>
      </w:r>
      <w:r w:rsidRPr="00F90671">
        <w:rPr>
          <w:rFonts w:ascii="Verdana" w:hAnsi="Verdana" w:cs="Calibri"/>
          <w:sz w:val="18"/>
          <w:szCs w:val="18"/>
        </w:rPr>
        <w:t xml:space="preserve"> which will be updated on an ongoing basis from various administrative sources. As a result, it will no longer be necessary to conduct a door-to-door Population Census, </w:t>
      </w:r>
      <w:r w:rsidR="0063175B" w:rsidRPr="00F90671">
        <w:rPr>
          <w:rFonts w:ascii="Verdana" w:hAnsi="Verdana" w:cs="Calibri"/>
          <w:sz w:val="18"/>
          <w:szCs w:val="18"/>
        </w:rPr>
        <w:t>covering the</w:t>
      </w:r>
      <w:r w:rsidR="0053544D" w:rsidRPr="00F90671">
        <w:rPr>
          <w:rFonts w:ascii="Verdana" w:hAnsi="Verdana" w:cs="Calibri"/>
          <w:sz w:val="18"/>
          <w:szCs w:val="18"/>
        </w:rPr>
        <w:t xml:space="preserve"> </w:t>
      </w:r>
      <w:r w:rsidR="009848FA" w:rsidRPr="00F90671">
        <w:rPr>
          <w:rFonts w:ascii="Verdana" w:hAnsi="Verdana" w:cs="Calibri"/>
          <w:sz w:val="18"/>
          <w:szCs w:val="18"/>
        </w:rPr>
        <w:t xml:space="preserve">total </w:t>
      </w:r>
      <w:r w:rsidRPr="00F90671">
        <w:rPr>
          <w:rFonts w:ascii="Verdana" w:hAnsi="Verdana" w:cs="Calibri"/>
          <w:sz w:val="18"/>
          <w:szCs w:val="18"/>
        </w:rPr>
        <w:t xml:space="preserve">population. The Dynamic Statistical Population </w:t>
      </w:r>
      <w:r w:rsidR="00EA783E" w:rsidRPr="00F90671">
        <w:rPr>
          <w:rFonts w:ascii="Verdana" w:hAnsi="Verdana" w:cs="Calibri"/>
          <w:sz w:val="18"/>
          <w:szCs w:val="18"/>
        </w:rPr>
        <w:t xml:space="preserve">and Housing </w:t>
      </w:r>
      <w:r w:rsidRPr="00F90671">
        <w:rPr>
          <w:rFonts w:ascii="Verdana" w:hAnsi="Verdana" w:cs="Calibri"/>
          <w:sz w:val="18"/>
          <w:szCs w:val="18"/>
        </w:rPr>
        <w:t>Register will be the basis for the production of annual population data and demographic indicators, providing timely information that will facilitate state policy and planning.</w:t>
      </w:r>
    </w:p>
    <w:p w14:paraId="2BDE9591" w14:textId="14155CE5" w:rsidR="00982724" w:rsidRPr="00F90671" w:rsidRDefault="00982724" w:rsidP="00F90671">
      <w:pPr>
        <w:jc w:val="both"/>
        <w:rPr>
          <w:rFonts w:ascii="Verdana" w:hAnsi="Verdana" w:cs="Calibri"/>
          <w:sz w:val="18"/>
          <w:szCs w:val="18"/>
        </w:rPr>
      </w:pPr>
      <w:r w:rsidRPr="00F90671">
        <w:rPr>
          <w:rFonts w:ascii="Verdana" w:hAnsi="Verdana" w:cs="Calibri"/>
          <w:sz w:val="18"/>
          <w:szCs w:val="18"/>
        </w:rPr>
        <w:t xml:space="preserve"> </w:t>
      </w:r>
    </w:p>
    <w:p w14:paraId="151C967F" w14:textId="77777777" w:rsidR="00982724" w:rsidRPr="00F90671" w:rsidRDefault="00982724" w:rsidP="00F90671">
      <w:pPr>
        <w:jc w:val="both"/>
        <w:rPr>
          <w:rFonts w:ascii="Verdana" w:hAnsi="Verdana" w:cs="Calibri"/>
          <w:b/>
          <w:bCs/>
          <w:sz w:val="18"/>
          <w:szCs w:val="18"/>
          <w:u w:val="single"/>
        </w:rPr>
      </w:pPr>
      <w:r w:rsidRPr="00F90671">
        <w:rPr>
          <w:rFonts w:ascii="Verdana" w:hAnsi="Verdana" w:cs="Calibri"/>
          <w:b/>
          <w:bCs/>
          <w:sz w:val="18"/>
          <w:szCs w:val="18"/>
          <w:u w:val="single"/>
        </w:rPr>
        <w:t>Legal Framework and Data Protection</w:t>
      </w:r>
    </w:p>
    <w:p w14:paraId="04C6502B" w14:textId="77777777" w:rsidR="00982724" w:rsidRPr="00F90671" w:rsidRDefault="00982724" w:rsidP="00F90671">
      <w:pPr>
        <w:jc w:val="both"/>
        <w:rPr>
          <w:rFonts w:ascii="Verdana" w:hAnsi="Verdana" w:cs="Calibri"/>
          <w:b/>
          <w:bCs/>
          <w:sz w:val="18"/>
          <w:szCs w:val="18"/>
          <w:u w:val="single"/>
        </w:rPr>
      </w:pPr>
    </w:p>
    <w:p w14:paraId="46FE46C8" w14:textId="5565256F" w:rsidR="00982724" w:rsidRPr="00F90671" w:rsidRDefault="00982724" w:rsidP="00F90671">
      <w:pPr>
        <w:jc w:val="both"/>
        <w:rPr>
          <w:rFonts w:ascii="Verdana" w:hAnsi="Verdana" w:cstheme="minorHAnsi"/>
          <w:sz w:val="18"/>
          <w:szCs w:val="18"/>
          <w:shd w:val="clear" w:color="auto" w:fill="FFFFFF"/>
        </w:rPr>
      </w:pPr>
      <w:r w:rsidRPr="00F90671">
        <w:rPr>
          <w:rFonts w:ascii="Verdana" w:hAnsi="Verdana" w:cstheme="minorHAnsi"/>
          <w:sz w:val="18"/>
          <w:szCs w:val="18"/>
        </w:rPr>
        <w:t xml:space="preserve">The Census of Population 2021 </w:t>
      </w:r>
      <w:r w:rsidR="00261CFE" w:rsidRPr="00F90671">
        <w:rPr>
          <w:rFonts w:ascii="Verdana" w:hAnsi="Verdana" w:cstheme="minorHAnsi"/>
          <w:sz w:val="18"/>
          <w:szCs w:val="18"/>
        </w:rPr>
        <w:t>was</w:t>
      </w:r>
      <w:r w:rsidRPr="00F90671">
        <w:rPr>
          <w:rFonts w:ascii="Verdana" w:hAnsi="Verdana" w:cstheme="minorHAnsi"/>
          <w:sz w:val="18"/>
          <w:szCs w:val="18"/>
        </w:rPr>
        <w:t xml:space="preserve"> conducted in all EU Member States, f</w:t>
      </w:r>
      <w:r w:rsidRPr="00F90671">
        <w:rPr>
          <w:rFonts w:ascii="Verdana" w:hAnsi="Verdana" w:cstheme="minorHAnsi"/>
          <w:sz w:val="18"/>
          <w:szCs w:val="18"/>
          <w:shd w:val="clear" w:color="auto" w:fill="FFFFFF"/>
        </w:rPr>
        <w:t>ollowing common concepts and definitions, under Regulation (EC) No. 763/2008 of the European Parliament and of the Council of 9 July 2008 on population and housing censuses.</w:t>
      </w:r>
    </w:p>
    <w:p w14:paraId="23EE333C" w14:textId="77777777" w:rsidR="00982724" w:rsidRPr="00F90671" w:rsidRDefault="00982724" w:rsidP="00F90671">
      <w:pPr>
        <w:jc w:val="both"/>
        <w:rPr>
          <w:rFonts w:ascii="Verdana" w:hAnsi="Verdana" w:cs="Calibri"/>
          <w:sz w:val="18"/>
          <w:szCs w:val="18"/>
        </w:rPr>
      </w:pPr>
    </w:p>
    <w:p w14:paraId="043050B4" w14:textId="46D9F64E" w:rsidR="00982724" w:rsidRPr="00F90671" w:rsidRDefault="00982724" w:rsidP="00F90671">
      <w:pPr>
        <w:jc w:val="both"/>
        <w:rPr>
          <w:rFonts w:ascii="Verdana" w:hAnsi="Verdana" w:cstheme="minorHAnsi"/>
          <w:sz w:val="18"/>
          <w:szCs w:val="18"/>
          <w:shd w:val="clear" w:color="auto" w:fill="FFFFFF"/>
        </w:rPr>
      </w:pPr>
      <w:r w:rsidRPr="00F90671">
        <w:rPr>
          <w:rFonts w:ascii="Verdana" w:hAnsi="Verdana" w:cstheme="minorHAnsi"/>
          <w:sz w:val="18"/>
          <w:szCs w:val="18"/>
          <w:shd w:val="clear" w:color="auto" w:fill="FFFFFF"/>
        </w:rPr>
        <w:t xml:space="preserve">The Census in Cyprus </w:t>
      </w:r>
      <w:r w:rsidR="00261CFE" w:rsidRPr="00F90671">
        <w:rPr>
          <w:rFonts w:ascii="Verdana" w:hAnsi="Verdana" w:cstheme="minorHAnsi"/>
          <w:sz w:val="18"/>
          <w:szCs w:val="18"/>
          <w:shd w:val="clear" w:color="auto" w:fill="FFFFFF"/>
        </w:rPr>
        <w:t>was</w:t>
      </w:r>
      <w:r w:rsidRPr="00F90671">
        <w:rPr>
          <w:rFonts w:ascii="Verdana" w:hAnsi="Verdana" w:cstheme="minorHAnsi"/>
          <w:sz w:val="18"/>
          <w:szCs w:val="18"/>
          <w:shd w:val="clear" w:color="auto" w:fill="FFFFFF"/>
        </w:rPr>
        <w:t xml:space="preserve"> also conducted in accordance to the Official Statistics Law of 2021 (Law No. 25(Ι)/2021). Based on the provisions of the Law, the data collected are </w:t>
      </w:r>
      <w:r w:rsidRPr="00F90671">
        <w:rPr>
          <w:rFonts w:ascii="Verdana" w:hAnsi="Verdana" w:cstheme="minorHAnsi"/>
          <w:b/>
          <w:bCs/>
          <w:sz w:val="18"/>
          <w:szCs w:val="18"/>
          <w:shd w:val="clear" w:color="auto" w:fill="FFFFFF"/>
        </w:rPr>
        <w:t>treated as confidential and are used solely for statistical purposes.</w:t>
      </w:r>
    </w:p>
    <w:p w14:paraId="4C94BCF1" w14:textId="77777777" w:rsidR="00982724" w:rsidRPr="00F90671" w:rsidRDefault="00982724" w:rsidP="00F90671">
      <w:pPr>
        <w:ind w:right="-1"/>
        <w:jc w:val="both"/>
        <w:rPr>
          <w:rFonts w:ascii="Verdana" w:hAnsi="Verdana" w:cs="Calibri"/>
          <w:sz w:val="18"/>
          <w:szCs w:val="18"/>
        </w:rPr>
      </w:pPr>
    </w:p>
    <w:p w14:paraId="01214232" w14:textId="227BCBFD" w:rsidR="00982724" w:rsidRPr="00F90671" w:rsidRDefault="00982724" w:rsidP="00F90671">
      <w:pPr>
        <w:shd w:val="clear" w:color="auto" w:fill="FFFFFF"/>
        <w:jc w:val="both"/>
        <w:rPr>
          <w:rFonts w:ascii="Verdana" w:hAnsi="Verdana" w:cstheme="minorHAnsi"/>
          <w:sz w:val="18"/>
          <w:szCs w:val="18"/>
          <w:shd w:val="clear" w:color="auto" w:fill="FFFFFF"/>
        </w:rPr>
      </w:pPr>
      <w:r w:rsidRPr="00F90671">
        <w:rPr>
          <w:rFonts w:ascii="Verdana" w:hAnsi="Verdana" w:cstheme="minorHAnsi"/>
          <w:sz w:val="18"/>
          <w:szCs w:val="18"/>
          <w:shd w:val="clear" w:color="auto" w:fill="FFFFFF"/>
        </w:rPr>
        <w:t>Statistical confidentiality is strictly applied by the Statistical Service. The internal procedures resulting from the application of statistical confidentiality fully cover the provisions of the General Data Protection Regulation (GDPR)</w:t>
      </w:r>
      <w:r w:rsidR="00945EAB" w:rsidRPr="00945EAB">
        <w:rPr>
          <w:rFonts w:ascii="Verdana" w:hAnsi="Verdana" w:cstheme="minorHAnsi"/>
          <w:sz w:val="18"/>
          <w:szCs w:val="18"/>
          <w:shd w:val="clear" w:color="auto" w:fill="FFFFFF"/>
          <w:lang w:val="en-GB"/>
        </w:rPr>
        <w:t xml:space="preserve"> </w:t>
      </w:r>
      <w:r w:rsidR="00945EAB">
        <w:rPr>
          <w:rFonts w:ascii="Verdana" w:hAnsi="Verdana" w:cstheme="minorHAnsi"/>
          <w:sz w:val="18"/>
          <w:szCs w:val="18"/>
          <w:shd w:val="clear" w:color="auto" w:fill="FFFFFF"/>
          <w:lang w:val="en-GB"/>
        </w:rPr>
        <w:t>of the EU</w:t>
      </w:r>
      <w:r w:rsidRPr="00F90671">
        <w:rPr>
          <w:rFonts w:ascii="Verdana" w:hAnsi="Verdana" w:cstheme="minorHAnsi"/>
          <w:sz w:val="18"/>
          <w:szCs w:val="18"/>
          <w:shd w:val="clear" w:color="auto" w:fill="FFFFFF"/>
        </w:rPr>
        <w:t xml:space="preserve">, ensuring the protection of data at every stage, from collection to publication. All data collected </w:t>
      </w:r>
      <w:r w:rsidR="00EA783E" w:rsidRPr="00F90671">
        <w:rPr>
          <w:rFonts w:ascii="Verdana" w:hAnsi="Verdana" w:cstheme="minorHAnsi"/>
          <w:sz w:val="18"/>
          <w:szCs w:val="18"/>
          <w:shd w:val="clear" w:color="auto" w:fill="FFFFFF"/>
        </w:rPr>
        <w:t>are</w:t>
      </w:r>
      <w:r w:rsidRPr="00F90671">
        <w:rPr>
          <w:rFonts w:ascii="Verdana" w:hAnsi="Verdana" w:cstheme="minorHAnsi"/>
          <w:sz w:val="18"/>
          <w:szCs w:val="18"/>
          <w:shd w:val="clear" w:color="auto" w:fill="FFFFFF"/>
        </w:rPr>
        <w:t xml:space="preserve"> aggregated and disseminated without directly or indirectly revealing the identity of the persons who provided the data.</w:t>
      </w:r>
    </w:p>
    <w:p w14:paraId="7EADE9A6" w14:textId="77777777" w:rsidR="00362BA3" w:rsidRDefault="00362BA3" w:rsidP="00F90671">
      <w:pPr>
        <w:shd w:val="clear" w:color="auto" w:fill="FFFFFF"/>
        <w:jc w:val="both"/>
        <w:rPr>
          <w:rFonts w:ascii="Verdana" w:hAnsi="Verdana" w:cstheme="minorHAnsi"/>
          <w:sz w:val="18"/>
          <w:szCs w:val="18"/>
          <w:shd w:val="clear" w:color="auto" w:fill="FFFFFF"/>
        </w:rPr>
      </w:pPr>
    </w:p>
    <w:p w14:paraId="60F71D39" w14:textId="77777777" w:rsidR="00C8561B" w:rsidRDefault="00C8561B" w:rsidP="00F90671">
      <w:pPr>
        <w:shd w:val="clear" w:color="auto" w:fill="FFFFFF"/>
        <w:jc w:val="both"/>
        <w:rPr>
          <w:rFonts w:ascii="Verdana" w:hAnsi="Verdana" w:cstheme="minorHAnsi"/>
          <w:sz w:val="18"/>
          <w:szCs w:val="18"/>
          <w:shd w:val="clear" w:color="auto" w:fill="FFFFFF"/>
        </w:rPr>
      </w:pPr>
    </w:p>
    <w:p w14:paraId="559AF51B" w14:textId="77777777" w:rsidR="00C8561B" w:rsidRPr="00F90671" w:rsidRDefault="00C8561B" w:rsidP="00F90671">
      <w:pPr>
        <w:shd w:val="clear" w:color="auto" w:fill="FFFFFF"/>
        <w:jc w:val="both"/>
        <w:rPr>
          <w:rFonts w:ascii="Verdana" w:hAnsi="Verdana" w:cstheme="minorHAnsi"/>
          <w:sz w:val="18"/>
          <w:szCs w:val="18"/>
          <w:shd w:val="clear" w:color="auto" w:fill="FFFFFF"/>
        </w:rPr>
      </w:pPr>
    </w:p>
    <w:p w14:paraId="4BD5C567" w14:textId="11EA9F41" w:rsidR="00362BA3" w:rsidRPr="00F90671" w:rsidRDefault="00362BA3" w:rsidP="00F90671">
      <w:pPr>
        <w:shd w:val="clear" w:color="auto" w:fill="FFFFFF"/>
        <w:jc w:val="both"/>
        <w:rPr>
          <w:rFonts w:ascii="Verdana" w:hAnsi="Verdana" w:cstheme="minorHAnsi"/>
          <w:b/>
          <w:bCs/>
          <w:sz w:val="18"/>
          <w:szCs w:val="18"/>
          <w:u w:val="single"/>
          <w:shd w:val="clear" w:color="auto" w:fill="FFFFFF"/>
        </w:rPr>
      </w:pPr>
      <w:bookmarkStart w:id="0" w:name="_Hlk173883931"/>
      <w:r w:rsidRPr="00F90671">
        <w:rPr>
          <w:rFonts w:ascii="Verdana" w:hAnsi="Verdana" w:cstheme="minorHAnsi"/>
          <w:b/>
          <w:bCs/>
          <w:sz w:val="18"/>
          <w:szCs w:val="18"/>
          <w:u w:val="single"/>
          <w:shd w:val="clear" w:color="auto" w:fill="FFFFFF"/>
        </w:rPr>
        <w:lastRenderedPageBreak/>
        <w:t>Definitions</w:t>
      </w:r>
    </w:p>
    <w:p w14:paraId="05EDD354" w14:textId="77777777" w:rsidR="007D05F2" w:rsidRPr="00F90671" w:rsidRDefault="007D05F2" w:rsidP="00F90671">
      <w:pPr>
        <w:jc w:val="both"/>
        <w:rPr>
          <w:rFonts w:ascii="Verdana" w:hAnsi="Verdana" w:cs="Arial"/>
          <w:sz w:val="18"/>
          <w:szCs w:val="18"/>
        </w:rPr>
      </w:pPr>
    </w:p>
    <w:p w14:paraId="1DC3F18E" w14:textId="3CA57990" w:rsidR="002A48EA" w:rsidRPr="00F90671" w:rsidRDefault="00EB016F" w:rsidP="00F90671">
      <w:pPr>
        <w:spacing w:after="120" w:line="259" w:lineRule="auto"/>
        <w:ind w:right="-187"/>
        <w:contextualSpacing/>
        <w:jc w:val="both"/>
        <w:rPr>
          <w:rFonts w:ascii="Verdana" w:hAnsi="Verdana" w:cs="Calibri"/>
          <w:bCs/>
          <w:sz w:val="18"/>
          <w:szCs w:val="18"/>
        </w:rPr>
      </w:pPr>
      <w:r w:rsidRPr="00F90671">
        <w:rPr>
          <w:rFonts w:ascii="Verdana" w:hAnsi="Verdana" w:cs="Calibri"/>
          <w:bCs/>
          <w:sz w:val="18"/>
          <w:szCs w:val="18"/>
          <w:u w:val="single"/>
        </w:rPr>
        <w:t>Population:</w:t>
      </w:r>
      <w:r w:rsidRPr="00F90671">
        <w:rPr>
          <w:rFonts w:ascii="Verdana" w:hAnsi="Verdana" w:cs="Calibri"/>
          <w:bCs/>
          <w:sz w:val="18"/>
          <w:szCs w:val="18"/>
        </w:rPr>
        <w:t xml:space="preserve"> </w:t>
      </w:r>
      <w:r w:rsidR="002A48EA" w:rsidRPr="00F90671">
        <w:rPr>
          <w:rFonts w:ascii="Verdana" w:hAnsi="Verdana" w:cs="Calibri"/>
          <w:bCs/>
          <w:sz w:val="18"/>
          <w:szCs w:val="18"/>
          <w:lang w:val="en-GB"/>
        </w:rPr>
        <w:t>Persons who had their usual residence in Cyprus on 1</w:t>
      </w:r>
      <w:r w:rsidR="002A48EA" w:rsidRPr="00F90671">
        <w:rPr>
          <w:rFonts w:ascii="Verdana" w:hAnsi="Verdana" w:cs="Calibri"/>
          <w:bCs/>
          <w:sz w:val="18"/>
          <w:szCs w:val="18"/>
          <w:vertAlign w:val="superscript"/>
          <w:lang w:val="en-GB"/>
        </w:rPr>
        <w:t>st</w:t>
      </w:r>
      <w:r w:rsidR="002A48EA" w:rsidRPr="00F90671">
        <w:rPr>
          <w:rFonts w:ascii="Verdana" w:hAnsi="Verdana" w:cs="Calibri"/>
          <w:bCs/>
          <w:sz w:val="18"/>
          <w:szCs w:val="18"/>
          <w:lang w:val="en-GB"/>
        </w:rPr>
        <w:t xml:space="preserve"> October 20</w:t>
      </w:r>
      <w:r w:rsidR="00A74F18" w:rsidRPr="00F90671">
        <w:rPr>
          <w:rFonts w:ascii="Verdana" w:hAnsi="Verdana" w:cs="Calibri"/>
          <w:bCs/>
          <w:sz w:val="18"/>
          <w:szCs w:val="18"/>
          <w:lang w:val="en-GB"/>
        </w:rPr>
        <w:t>2</w:t>
      </w:r>
      <w:r w:rsidR="002A48EA" w:rsidRPr="00F90671">
        <w:rPr>
          <w:rFonts w:ascii="Verdana" w:hAnsi="Verdana" w:cs="Calibri"/>
          <w:bCs/>
          <w:sz w:val="18"/>
          <w:szCs w:val="18"/>
          <w:lang w:val="en-GB"/>
        </w:rPr>
        <w:t xml:space="preserve">1, i.e. persons who resided permanently in Cyprus for one year or longer, or persons who had come to Cyprus during the last twelve months (prior to the reference date of the Census) with the intention of residing in Cyprus for a period of at least one year. </w:t>
      </w:r>
    </w:p>
    <w:p w14:paraId="1730595E" w14:textId="77777777" w:rsidR="00EB016F" w:rsidRPr="00F90671" w:rsidRDefault="00EB016F" w:rsidP="00F90671">
      <w:pPr>
        <w:spacing w:after="120" w:line="259" w:lineRule="auto"/>
        <w:ind w:right="-187"/>
        <w:contextualSpacing/>
        <w:jc w:val="both"/>
        <w:rPr>
          <w:rFonts w:ascii="Verdana" w:hAnsi="Verdana" w:cs="Calibri"/>
          <w:bCs/>
          <w:sz w:val="18"/>
          <w:szCs w:val="18"/>
        </w:rPr>
      </w:pPr>
    </w:p>
    <w:p w14:paraId="43B68ABE" w14:textId="5BF7363B" w:rsidR="0050085D" w:rsidRPr="00F90671" w:rsidRDefault="0050085D" w:rsidP="00F90671">
      <w:pPr>
        <w:spacing w:after="120" w:line="259" w:lineRule="auto"/>
        <w:ind w:right="-187"/>
        <w:contextualSpacing/>
        <w:jc w:val="both"/>
        <w:rPr>
          <w:rFonts w:ascii="Verdana" w:hAnsi="Verdana" w:cs="Calibri"/>
          <w:bCs/>
          <w:sz w:val="18"/>
          <w:szCs w:val="18"/>
          <w:lang w:val="en-GB"/>
        </w:rPr>
      </w:pPr>
      <w:r w:rsidRPr="00F90671">
        <w:rPr>
          <w:rFonts w:ascii="Verdana" w:hAnsi="Verdana" w:cs="Calibri"/>
          <w:sz w:val="18"/>
          <w:szCs w:val="18"/>
          <w:u w:val="single"/>
          <w:lang w:val="en-GB"/>
        </w:rPr>
        <w:t>Housing Unit</w:t>
      </w:r>
      <w:r w:rsidRPr="00F90671">
        <w:rPr>
          <w:rFonts w:ascii="Verdana" w:hAnsi="Verdana" w:cs="Calibri"/>
          <w:sz w:val="18"/>
          <w:szCs w:val="18"/>
          <w:u w:val="single"/>
        </w:rPr>
        <w:t>:</w:t>
      </w:r>
      <w:r w:rsidRPr="00F90671">
        <w:rPr>
          <w:rFonts w:ascii="Verdana" w:hAnsi="Verdana" w:cs="Calibri"/>
          <w:bCs/>
          <w:sz w:val="18"/>
          <w:szCs w:val="18"/>
        </w:rPr>
        <w:t xml:space="preserve"> </w:t>
      </w:r>
      <w:r w:rsidRPr="00F90671">
        <w:rPr>
          <w:rFonts w:ascii="Verdana" w:hAnsi="Verdana" w:cs="Calibri"/>
          <w:bCs/>
          <w:sz w:val="18"/>
          <w:szCs w:val="18"/>
          <w:lang w:val="en-GB"/>
        </w:rPr>
        <w:t>A</w:t>
      </w:r>
      <w:r w:rsidRPr="00F90671">
        <w:rPr>
          <w:rFonts w:ascii="Verdana" w:hAnsi="Verdana" w:cs="Calibri"/>
          <w:bCs/>
          <w:sz w:val="18"/>
          <w:szCs w:val="18"/>
        </w:rPr>
        <w:t xml:space="preserve"> </w:t>
      </w:r>
      <w:r w:rsidRPr="00F90671">
        <w:rPr>
          <w:rFonts w:ascii="Verdana" w:hAnsi="Verdana" w:cs="Calibri"/>
          <w:bCs/>
          <w:sz w:val="18"/>
          <w:szCs w:val="18"/>
          <w:lang w:val="en-GB"/>
        </w:rPr>
        <w:t>housing</w:t>
      </w:r>
      <w:r w:rsidRPr="00F90671">
        <w:rPr>
          <w:rFonts w:ascii="Verdana" w:hAnsi="Verdana" w:cs="Calibri"/>
          <w:bCs/>
          <w:sz w:val="18"/>
          <w:szCs w:val="18"/>
        </w:rPr>
        <w:t xml:space="preserve"> </w:t>
      </w:r>
      <w:r w:rsidRPr="00F90671">
        <w:rPr>
          <w:rFonts w:ascii="Verdana" w:hAnsi="Verdana" w:cs="Calibri"/>
          <w:bCs/>
          <w:sz w:val="18"/>
          <w:szCs w:val="18"/>
          <w:lang w:val="en-GB"/>
        </w:rPr>
        <w:t>unit</w:t>
      </w:r>
      <w:r w:rsidRPr="00F90671">
        <w:rPr>
          <w:rFonts w:ascii="Verdana" w:hAnsi="Verdana" w:cs="Calibri"/>
          <w:bCs/>
          <w:sz w:val="18"/>
          <w:szCs w:val="18"/>
        </w:rPr>
        <w:t xml:space="preserve"> </w:t>
      </w:r>
      <w:r w:rsidRPr="00F90671">
        <w:rPr>
          <w:rFonts w:ascii="Verdana" w:hAnsi="Verdana" w:cs="Calibri"/>
          <w:bCs/>
          <w:sz w:val="18"/>
          <w:szCs w:val="18"/>
          <w:lang w:val="en-GB"/>
        </w:rPr>
        <w:t>is</w:t>
      </w:r>
      <w:r w:rsidRPr="00F90671">
        <w:rPr>
          <w:rFonts w:ascii="Verdana" w:hAnsi="Verdana" w:cs="Calibri"/>
          <w:bCs/>
          <w:sz w:val="18"/>
          <w:szCs w:val="18"/>
        </w:rPr>
        <w:t xml:space="preserve"> </w:t>
      </w:r>
      <w:r w:rsidRPr="00F90671">
        <w:rPr>
          <w:rFonts w:ascii="Verdana" w:hAnsi="Verdana" w:cs="Calibri"/>
          <w:bCs/>
          <w:sz w:val="18"/>
          <w:szCs w:val="18"/>
          <w:lang w:val="en-GB"/>
        </w:rPr>
        <w:t xml:space="preserve">separate and independent, and it has been built/rebuilt/converted with the intention to be used as the usual residence of one or more households, or if it was not originally intended for habitation, it was in fact used for that purpose on the reference date of the Census, e.g. a shop which was used by someone as his/her usual residence. Dwellings which were originally intended for habitation, yet on the reference date of the Census were used exclusively for other purposes and not for habitation, e.g. a conventional dwelling which was used as a company’s office, a laboratory etc., were </w:t>
      </w:r>
      <w:r w:rsidRPr="00F90671">
        <w:rPr>
          <w:rFonts w:ascii="Verdana" w:hAnsi="Verdana" w:cs="Calibri"/>
          <w:bCs/>
          <w:sz w:val="18"/>
          <w:szCs w:val="18"/>
          <w:u w:val="single"/>
          <w:lang w:val="en-GB"/>
        </w:rPr>
        <w:t>no</w:t>
      </w:r>
      <w:r w:rsidRPr="00F90671">
        <w:rPr>
          <w:rFonts w:ascii="Verdana" w:hAnsi="Verdana" w:cs="Calibri"/>
          <w:bCs/>
          <w:sz w:val="18"/>
          <w:szCs w:val="18"/>
          <w:lang w:val="en-GB"/>
        </w:rPr>
        <w:t>t considered as housing units and were not enumerated.</w:t>
      </w:r>
    </w:p>
    <w:p w14:paraId="79B4370E" w14:textId="77777777" w:rsidR="009F145E" w:rsidRPr="00F90671" w:rsidRDefault="009F145E" w:rsidP="00F90671">
      <w:pPr>
        <w:spacing w:after="120" w:line="259" w:lineRule="auto"/>
        <w:ind w:right="-187"/>
        <w:contextualSpacing/>
        <w:jc w:val="both"/>
        <w:rPr>
          <w:rFonts w:ascii="Verdana" w:hAnsi="Verdana" w:cs="Calibri"/>
          <w:bCs/>
          <w:sz w:val="18"/>
          <w:szCs w:val="18"/>
          <w:lang w:val="en-GB"/>
        </w:rPr>
      </w:pPr>
    </w:p>
    <w:p w14:paraId="1D27EA47" w14:textId="77777777" w:rsidR="009F145E" w:rsidRPr="00F90671" w:rsidRDefault="009F145E" w:rsidP="00F90671">
      <w:pPr>
        <w:spacing w:after="200" w:line="276" w:lineRule="auto"/>
        <w:contextualSpacing/>
        <w:jc w:val="both"/>
        <w:rPr>
          <w:rFonts w:ascii="Verdana" w:hAnsi="Verdana" w:cs="Calibri"/>
          <w:bCs/>
          <w:i/>
          <w:sz w:val="18"/>
          <w:szCs w:val="18"/>
          <w:u w:val="single"/>
        </w:rPr>
      </w:pPr>
      <w:r w:rsidRPr="00F90671">
        <w:rPr>
          <w:rFonts w:ascii="Verdana" w:hAnsi="Verdana" w:cs="Calibri"/>
          <w:bCs/>
          <w:sz w:val="18"/>
          <w:szCs w:val="18"/>
          <w:u w:val="single"/>
          <w:lang w:val="en-GB"/>
        </w:rPr>
        <w:t>Conventional</w:t>
      </w:r>
      <w:r w:rsidRPr="00F90671">
        <w:rPr>
          <w:rFonts w:ascii="Verdana" w:hAnsi="Verdana" w:cs="Calibri"/>
          <w:bCs/>
          <w:sz w:val="18"/>
          <w:szCs w:val="18"/>
          <w:u w:val="single"/>
        </w:rPr>
        <w:t xml:space="preserve"> </w:t>
      </w:r>
      <w:r w:rsidRPr="00F90671">
        <w:rPr>
          <w:rFonts w:ascii="Verdana" w:hAnsi="Verdana" w:cs="Calibri"/>
          <w:bCs/>
          <w:sz w:val="18"/>
          <w:szCs w:val="18"/>
          <w:u w:val="single"/>
          <w:lang w:val="en-GB"/>
        </w:rPr>
        <w:t>Dwelling</w:t>
      </w:r>
      <w:r w:rsidRPr="00F90671">
        <w:rPr>
          <w:rFonts w:ascii="Verdana" w:hAnsi="Verdana" w:cs="Calibri"/>
          <w:bCs/>
          <w:sz w:val="18"/>
          <w:szCs w:val="18"/>
        </w:rPr>
        <w:t xml:space="preserve"> </w:t>
      </w:r>
      <w:r w:rsidRPr="00F90671">
        <w:rPr>
          <w:rFonts w:ascii="Verdana" w:hAnsi="Verdana" w:cs="Calibri"/>
          <w:bCs/>
          <w:sz w:val="18"/>
          <w:szCs w:val="18"/>
          <w:lang w:val="en-GB"/>
        </w:rPr>
        <w:t xml:space="preserve">is defined as a room or suite of rooms in a permanent building which, by the way it has been built/rebuilt/converted, is designed for habitation by one or more households all the year round and is not, at the time of the Census, used wholly for non-residential purposes. It should have direct access to the street, either via a garden or grounds or a common space within the building (staircase, passage, gallery etc.) </w:t>
      </w:r>
      <w:r w:rsidRPr="00F90671">
        <w:rPr>
          <w:rFonts w:ascii="Verdana" w:hAnsi="Verdana" w:cs="Calibri"/>
          <w:bCs/>
          <w:i/>
          <w:sz w:val="18"/>
          <w:szCs w:val="18"/>
          <w:lang w:val="en-GB"/>
        </w:rPr>
        <w:t xml:space="preserve">The conventional dwellings were enumerated regardless of whether or not they were occupied on the reference date of the Census, (unless they were used for non-residential purposes, in which case they were not enumerated). </w:t>
      </w:r>
    </w:p>
    <w:p w14:paraId="1F537332" w14:textId="77777777" w:rsidR="009F145E" w:rsidRPr="00F90671" w:rsidRDefault="009F145E" w:rsidP="00F90671">
      <w:pPr>
        <w:spacing w:after="200" w:line="276" w:lineRule="auto"/>
        <w:contextualSpacing/>
        <w:jc w:val="both"/>
        <w:rPr>
          <w:rFonts w:ascii="Verdana" w:hAnsi="Verdana" w:cs="Calibri"/>
          <w:bCs/>
          <w:sz w:val="18"/>
          <w:szCs w:val="18"/>
          <w:u w:val="single"/>
          <w:lang w:val="en-GB"/>
        </w:rPr>
      </w:pPr>
    </w:p>
    <w:p w14:paraId="5F7710FD" w14:textId="326750D3" w:rsidR="009F145E" w:rsidRPr="00F90671" w:rsidRDefault="009F145E" w:rsidP="00F90671">
      <w:pPr>
        <w:spacing w:after="200" w:line="276" w:lineRule="auto"/>
        <w:contextualSpacing/>
        <w:jc w:val="both"/>
        <w:rPr>
          <w:rFonts w:ascii="Verdana" w:hAnsi="Verdana" w:cs="Calibri"/>
          <w:b/>
          <w:sz w:val="18"/>
          <w:szCs w:val="18"/>
          <w:u w:val="single"/>
        </w:rPr>
      </w:pPr>
      <w:r w:rsidRPr="00F90671">
        <w:rPr>
          <w:rFonts w:ascii="Verdana" w:hAnsi="Verdana" w:cs="Calibri"/>
          <w:bCs/>
          <w:sz w:val="18"/>
          <w:szCs w:val="18"/>
          <w:u w:val="single"/>
          <w:lang w:val="en-GB"/>
        </w:rPr>
        <w:t>Non</w:t>
      </w:r>
      <w:r w:rsidRPr="00F90671">
        <w:rPr>
          <w:rFonts w:ascii="Verdana" w:hAnsi="Verdana" w:cs="Calibri"/>
          <w:bCs/>
          <w:sz w:val="18"/>
          <w:szCs w:val="18"/>
          <w:u w:val="single"/>
        </w:rPr>
        <w:t>-</w:t>
      </w:r>
      <w:r w:rsidRPr="00F90671">
        <w:rPr>
          <w:rFonts w:ascii="Verdana" w:hAnsi="Verdana" w:cs="Calibri"/>
          <w:bCs/>
          <w:sz w:val="18"/>
          <w:szCs w:val="18"/>
          <w:u w:val="single"/>
          <w:lang w:val="en-GB"/>
        </w:rPr>
        <w:t>Conventional</w:t>
      </w:r>
      <w:r w:rsidRPr="00F90671">
        <w:rPr>
          <w:rFonts w:ascii="Verdana" w:hAnsi="Verdana" w:cs="Calibri"/>
          <w:bCs/>
          <w:sz w:val="18"/>
          <w:szCs w:val="18"/>
          <w:u w:val="single"/>
        </w:rPr>
        <w:t xml:space="preserve"> </w:t>
      </w:r>
      <w:r w:rsidRPr="00F90671">
        <w:rPr>
          <w:rFonts w:ascii="Verdana" w:hAnsi="Verdana" w:cs="Calibri"/>
          <w:bCs/>
          <w:sz w:val="18"/>
          <w:szCs w:val="18"/>
          <w:u w:val="single"/>
          <w:lang w:val="en-GB"/>
        </w:rPr>
        <w:t>Dwelling</w:t>
      </w:r>
      <w:r w:rsidRPr="00F90671">
        <w:rPr>
          <w:rFonts w:ascii="Verdana" w:hAnsi="Verdana" w:cs="Calibri"/>
          <w:bCs/>
          <w:sz w:val="18"/>
          <w:szCs w:val="18"/>
          <w:u w:val="single"/>
        </w:rPr>
        <w:t>:</w:t>
      </w:r>
      <w:r w:rsidRPr="00F90671">
        <w:rPr>
          <w:rFonts w:ascii="Verdana" w:hAnsi="Verdana" w:cs="Calibri"/>
          <w:bCs/>
          <w:sz w:val="18"/>
          <w:szCs w:val="18"/>
        </w:rPr>
        <w:t xml:space="preserve">  </w:t>
      </w:r>
      <w:r w:rsidRPr="00F90671">
        <w:rPr>
          <w:rFonts w:ascii="Verdana" w:hAnsi="Verdana" w:cs="Calibri"/>
          <w:bCs/>
          <w:sz w:val="18"/>
          <w:szCs w:val="18"/>
          <w:lang w:val="en-GB"/>
        </w:rPr>
        <w:t>This</w:t>
      </w:r>
      <w:r w:rsidRPr="00F90671">
        <w:rPr>
          <w:rFonts w:ascii="Verdana" w:hAnsi="Verdana" w:cs="Calibri"/>
          <w:bCs/>
          <w:sz w:val="18"/>
          <w:szCs w:val="18"/>
        </w:rPr>
        <w:t xml:space="preserve"> </w:t>
      </w:r>
      <w:r w:rsidRPr="00F90671">
        <w:rPr>
          <w:rFonts w:ascii="Verdana" w:hAnsi="Verdana" w:cs="Calibri"/>
          <w:bCs/>
          <w:sz w:val="18"/>
          <w:szCs w:val="18"/>
          <w:lang w:val="en-GB"/>
        </w:rPr>
        <w:t>is</w:t>
      </w:r>
      <w:r w:rsidRPr="00F90671">
        <w:rPr>
          <w:rFonts w:ascii="Verdana" w:hAnsi="Verdana" w:cs="Calibri"/>
          <w:bCs/>
          <w:sz w:val="18"/>
          <w:szCs w:val="18"/>
        </w:rPr>
        <w:t xml:space="preserve"> </w:t>
      </w:r>
      <w:r w:rsidRPr="00F90671">
        <w:rPr>
          <w:rFonts w:ascii="Verdana" w:hAnsi="Verdana" w:cs="Calibri"/>
          <w:bCs/>
          <w:sz w:val="18"/>
          <w:szCs w:val="18"/>
          <w:lang w:val="en-GB"/>
        </w:rPr>
        <w:t>a</w:t>
      </w:r>
      <w:r w:rsidRPr="00F90671">
        <w:rPr>
          <w:rFonts w:ascii="Verdana" w:hAnsi="Verdana" w:cs="Calibri"/>
          <w:bCs/>
          <w:sz w:val="18"/>
          <w:szCs w:val="18"/>
        </w:rPr>
        <w:t xml:space="preserve"> </w:t>
      </w:r>
      <w:r w:rsidRPr="00F90671">
        <w:rPr>
          <w:rFonts w:ascii="Verdana" w:hAnsi="Verdana" w:cs="Calibri"/>
          <w:bCs/>
          <w:sz w:val="18"/>
          <w:szCs w:val="18"/>
          <w:lang w:val="en-GB"/>
        </w:rPr>
        <w:t>housing</w:t>
      </w:r>
      <w:r w:rsidRPr="00F90671">
        <w:rPr>
          <w:rFonts w:ascii="Verdana" w:hAnsi="Verdana" w:cs="Calibri"/>
          <w:bCs/>
          <w:sz w:val="18"/>
          <w:szCs w:val="18"/>
        </w:rPr>
        <w:t xml:space="preserve"> </w:t>
      </w:r>
      <w:r w:rsidRPr="00F90671">
        <w:rPr>
          <w:rFonts w:ascii="Verdana" w:hAnsi="Verdana" w:cs="Calibri"/>
          <w:bCs/>
          <w:sz w:val="18"/>
          <w:szCs w:val="18"/>
          <w:lang w:val="en-GB"/>
        </w:rPr>
        <w:t>unit</w:t>
      </w:r>
      <w:r w:rsidRPr="00F90671">
        <w:rPr>
          <w:rFonts w:ascii="Verdana" w:hAnsi="Verdana" w:cs="Calibri"/>
          <w:bCs/>
          <w:sz w:val="18"/>
          <w:szCs w:val="18"/>
        </w:rPr>
        <w:t xml:space="preserve"> </w:t>
      </w:r>
      <w:r w:rsidRPr="00F90671">
        <w:rPr>
          <w:rFonts w:ascii="Verdana" w:hAnsi="Verdana" w:cs="Calibri"/>
          <w:bCs/>
          <w:sz w:val="18"/>
          <w:szCs w:val="18"/>
          <w:lang w:val="en-GB"/>
        </w:rPr>
        <w:t>which</w:t>
      </w:r>
      <w:r w:rsidRPr="00F90671">
        <w:rPr>
          <w:rFonts w:ascii="Verdana" w:hAnsi="Verdana" w:cs="Calibri"/>
          <w:bCs/>
          <w:sz w:val="18"/>
          <w:szCs w:val="18"/>
        </w:rPr>
        <w:t xml:space="preserve"> </w:t>
      </w:r>
      <w:r w:rsidRPr="00F90671">
        <w:rPr>
          <w:rFonts w:ascii="Verdana" w:hAnsi="Verdana" w:cs="Calibri"/>
          <w:bCs/>
          <w:sz w:val="18"/>
          <w:szCs w:val="18"/>
          <w:lang w:val="en-GB"/>
        </w:rPr>
        <w:t>was</w:t>
      </w:r>
      <w:r w:rsidRPr="00F90671">
        <w:rPr>
          <w:rFonts w:ascii="Verdana" w:hAnsi="Verdana" w:cs="Calibri"/>
          <w:bCs/>
          <w:sz w:val="18"/>
          <w:szCs w:val="18"/>
        </w:rPr>
        <w:t xml:space="preserve"> </w:t>
      </w:r>
      <w:r w:rsidRPr="00F90671">
        <w:rPr>
          <w:rFonts w:ascii="Verdana" w:hAnsi="Verdana" w:cs="Calibri"/>
          <w:bCs/>
          <w:sz w:val="18"/>
          <w:szCs w:val="18"/>
          <w:lang w:val="en-GB"/>
        </w:rPr>
        <w:t>either</w:t>
      </w:r>
      <w:r w:rsidRPr="00F90671">
        <w:rPr>
          <w:rFonts w:ascii="Verdana" w:hAnsi="Verdana" w:cs="Calibri"/>
          <w:bCs/>
          <w:sz w:val="18"/>
          <w:szCs w:val="18"/>
        </w:rPr>
        <w:t xml:space="preserve"> </w:t>
      </w:r>
      <w:r w:rsidRPr="00F90671">
        <w:rPr>
          <w:rFonts w:ascii="Verdana" w:hAnsi="Verdana" w:cs="Calibri"/>
          <w:bCs/>
          <w:sz w:val="18"/>
          <w:szCs w:val="18"/>
          <w:lang w:val="en-GB"/>
        </w:rPr>
        <w:t>built</w:t>
      </w:r>
      <w:r w:rsidRPr="00F90671">
        <w:rPr>
          <w:rFonts w:ascii="Verdana" w:hAnsi="Verdana" w:cs="Calibri"/>
          <w:bCs/>
          <w:sz w:val="18"/>
          <w:szCs w:val="18"/>
        </w:rPr>
        <w:t xml:space="preserve"> </w:t>
      </w:r>
      <w:r w:rsidRPr="00F90671">
        <w:rPr>
          <w:rFonts w:ascii="Verdana" w:hAnsi="Verdana" w:cs="Calibri"/>
          <w:bCs/>
          <w:sz w:val="18"/>
          <w:szCs w:val="18"/>
          <w:lang w:val="en-GB"/>
        </w:rPr>
        <w:t>with</w:t>
      </w:r>
      <w:r w:rsidRPr="00F90671">
        <w:rPr>
          <w:rFonts w:ascii="Verdana" w:hAnsi="Verdana" w:cs="Calibri"/>
          <w:bCs/>
          <w:sz w:val="18"/>
          <w:szCs w:val="18"/>
        </w:rPr>
        <w:t xml:space="preserve"> </w:t>
      </w:r>
      <w:r w:rsidRPr="00F90671">
        <w:rPr>
          <w:rFonts w:ascii="Verdana" w:hAnsi="Verdana" w:cs="Calibri"/>
          <w:bCs/>
          <w:sz w:val="18"/>
          <w:szCs w:val="18"/>
          <w:lang w:val="en-GB"/>
        </w:rPr>
        <w:t>the</w:t>
      </w:r>
      <w:r w:rsidRPr="00F90671">
        <w:rPr>
          <w:rFonts w:ascii="Verdana" w:hAnsi="Verdana" w:cs="Calibri"/>
          <w:bCs/>
          <w:sz w:val="18"/>
          <w:szCs w:val="18"/>
        </w:rPr>
        <w:t xml:space="preserve"> </w:t>
      </w:r>
      <w:r w:rsidRPr="00F90671">
        <w:rPr>
          <w:rFonts w:ascii="Verdana" w:hAnsi="Verdana" w:cs="Calibri"/>
          <w:bCs/>
          <w:sz w:val="18"/>
          <w:szCs w:val="18"/>
          <w:lang w:val="en-GB"/>
        </w:rPr>
        <w:t>intention</w:t>
      </w:r>
      <w:r w:rsidRPr="00F90671">
        <w:rPr>
          <w:rFonts w:ascii="Verdana" w:hAnsi="Verdana" w:cs="Calibri"/>
          <w:bCs/>
          <w:sz w:val="18"/>
          <w:szCs w:val="18"/>
        </w:rPr>
        <w:t xml:space="preserve"> </w:t>
      </w:r>
      <w:r w:rsidRPr="00F90671">
        <w:rPr>
          <w:rFonts w:ascii="Verdana" w:hAnsi="Verdana" w:cs="Calibri"/>
          <w:bCs/>
          <w:sz w:val="18"/>
          <w:szCs w:val="18"/>
          <w:lang w:val="en-GB"/>
        </w:rPr>
        <w:t>of</w:t>
      </w:r>
      <w:r w:rsidRPr="00F90671">
        <w:rPr>
          <w:rFonts w:ascii="Verdana" w:hAnsi="Verdana" w:cs="Calibri"/>
          <w:bCs/>
          <w:sz w:val="18"/>
          <w:szCs w:val="18"/>
        </w:rPr>
        <w:t xml:space="preserve"> </w:t>
      </w:r>
      <w:r w:rsidRPr="00F90671">
        <w:rPr>
          <w:rFonts w:ascii="Verdana" w:hAnsi="Verdana" w:cs="Calibri"/>
          <w:bCs/>
          <w:sz w:val="18"/>
          <w:szCs w:val="18"/>
          <w:lang w:val="en-GB"/>
        </w:rPr>
        <w:t>habitation</w:t>
      </w:r>
      <w:r w:rsidRPr="00F90671">
        <w:rPr>
          <w:rFonts w:ascii="Verdana" w:hAnsi="Verdana" w:cs="Calibri"/>
          <w:bCs/>
          <w:sz w:val="18"/>
          <w:szCs w:val="18"/>
        </w:rPr>
        <w:t>,</w:t>
      </w:r>
      <w:r w:rsidRPr="00F90671">
        <w:rPr>
          <w:rFonts w:ascii="Verdana" w:hAnsi="Verdana" w:cs="Calibri"/>
          <w:sz w:val="18"/>
          <w:szCs w:val="18"/>
        </w:rPr>
        <w:t xml:space="preserve"> </w:t>
      </w:r>
      <w:r w:rsidRPr="00F90671">
        <w:rPr>
          <w:rFonts w:ascii="Verdana" w:hAnsi="Verdana" w:cs="Calibri"/>
          <w:sz w:val="18"/>
          <w:szCs w:val="18"/>
          <w:lang w:val="en-GB"/>
        </w:rPr>
        <w:t>however</w:t>
      </w:r>
      <w:r w:rsidRPr="00F90671">
        <w:rPr>
          <w:rFonts w:ascii="Verdana" w:hAnsi="Verdana" w:cs="Calibri"/>
          <w:sz w:val="18"/>
          <w:szCs w:val="18"/>
        </w:rPr>
        <w:t xml:space="preserve"> </w:t>
      </w:r>
      <w:r w:rsidRPr="00F90671">
        <w:rPr>
          <w:rFonts w:ascii="Verdana" w:hAnsi="Verdana" w:cs="Calibri"/>
          <w:sz w:val="18"/>
          <w:szCs w:val="18"/>
          <w:lang w:val="en-GB"/>
        </w:rPr>
        <w:t>it</w:t>
      </w:r>
      <w:r w:rsidRPr="00F90671">
        <w:rPr>
          <w:rFonts w:ascii="Verdana" w:hAnsi="Verdana" w:cs="Calibri"/>
          <w:sz w:val="18"/>
          <w:szCs w:val="18"/>
        </w:rPr>
        <w:t xml:space="preserve"> </w:t>
      </w:r>
      <w:r w:rsidRPr="00F90671">
        <w:rPr>
          <w:rFonts w:ascii="Verdana" w:hAnsi="Verdana" w:cs="Calibri"/>
          <w:sz w:val="18"/>
          <w:szCs w:val="18"/>
          <w:lang w:val="en-GB"/>
        </w:rPr>
        <w:t>was</w:t>
      </w:r>
      <w:r w:rsidRPr="00F90671">
        <w:rPr>
          <w:rFonts w:ascii="Verdana" w:hAnsi="Verdana" w:cs="Calibri"/>
          <w:sz w:val="18"/>
          <w:szCs w:val="18"/>
        </w:rPr>
        <w:t xml:space="preserve"> </w:t>
      </w:r>
      <w:r w:rsidRPr="00F90671">
        <w:rPr>
          <w:rFonts w:ascii="Verdana" w:hAnsi="Verdana" w:cs="Calibri"/>
          <w:sz w:val="18"/>
          <w:szCs w:val="18"/>
          <w:lang w:val="en-GB"/>
        </w:rPr>
        <w:t>built</w:t>
      </w:r>
      <w:r w:rsidRPr="00F90671">
        <w:rPr>
          <w:rFonts w:ascii="Verdana" w:hAnsi="Verdana" w:cs="Calibri"/>
          <w:sz w:val="18"/>
          <w:szCs w:val="18"/>
        </w:rPr>
        <w:t xml:space="preserve"> </w:t>
      </w:r>
      <w:r w:rsidRPr="00F90671">
        <w:rPr>
          <w:rFonts w:ascii="Verdana" w:hAnsi="Verdana" w:cs="Calibri"/>
          <w:sz w:val="18"/>
          <w:szCs w:val="18"/>
          <w:lang w:val="en-GB"/>
        </w:rPr>
        <w:t>out</w:t>
      </w:r>
      <w:r w:rsidRPr="00F90671">
        <w:rPr>
          <w:rFonts w:ascii="Verdana" w:hAnsi="Verdana" w:cs="Calibri"/>
          <w:sz w:val="18"/>
          <w:szCs w:val="18"/>
        </w:rPr>
        <w:t xml:space="preserve"> </w:t>
      </w:r>
      <w:r w:rsidRPr="00F90671">
        <w:rPr>
          <w:rFonts w:ascii="Verdana" w:hAnsi="Verdana" w:cs="Calibri"/>
          <w:sz w:val="18"/>
          <w:szCs w:val="18"/>
          <w:lang w:val="en-GB"/>
        </w:rPr>
        <w:t>of</w:t>
      </w:r>
      <w:r w:rsidRPr="00F90671">
        <w:rPr>
          <w:rFonts w:ascii="Verdana" w:hAnsi="Verdana" w:cs="Calibri"/>
          <w:sz w:val="18"/>
          <w:szCs w:val="18"/>
        </w:rPr>
        <w:t xml:space="preserve"> </w:t>
      </w:r>
      <w:r w:rsidRPr="00F90671">
        <w:rPr>
          <w:rFonts w:ascii="Verdana" w:hAnsi="Verdana" w:cs="Calibri"/>
          <w:sz w:val="18"/>
          <w:szCs w:val="18"/>
          <w:lang w:val="en-GB"/>
        </w:rPr>
        <w:t>crude</w:t>
      </w:r>
      <w:r w:rsidRPr="00F90671">
        <w:rPr>
          <w:rFonts w:ascii="Verdana" w:hAnsi="Verdana" w:cs="Calibri"/>
          <w:sz w:val="18"/>
          <w:szCs w:val="18"/>
        </w:rPr>
        <w:t xml:space="preserve"> </w:t>
      </w:r>
      <w:r w:rsidRPr="00F90671">
        <w:rPr>
          <w:rFonts w:ascii="Verdana" w:hAnsi="Verdana" w:cs="Calibri"/>
          <w:sz w:val="18"/>
          <w:szCs w:val="18"/>
          <w:lang w:val="en-GB"/>
        </w:rPr>
        <w:t>materials</w:t>
      </w:r>
      <w:r w:rsidRPr="00F90671">
        <w:rPr>
          <w:rFonts w:ascii="Verdana" w:hAnsi="Verdana" w:cs="Calibri"/>
          <w:sz w:val="18"/>
          <w:szCs w:val="18"/>
        </w:rPr>
        <w:t xml:space="preserve"> (and </w:t>
      </w:r>
      <w:r w:rsidRPr="00F90671">
        <w:rPr>
          <w:rFonts w:ascii="Verdana" w:hAnsi="Verdana" w:cs="Calibri"/>
          <w:sz w:val="18"/>
          <w:szCs w:val="18"/>
          <w:lang w:val="en-GB"/>
        </w:rPr>
        <w:t>consequently</w:t>
      </w:r>
      <w:r w:rsidRPr="00F90671">
        <w:rPr>
          <w:rFonts w:ascii="Verdana" w:hAnsi="Verdana" w:cs="Calibri"/>
          <w:sz w:val="18"/>
          <w:szCs w:val="18"/>
        </w:rPr>
        <w:t xml:space="preserve"> </w:t>
      </w:r>
      <w:r w:rsidRPr="00F90671">
        <w:rPr>
          <w:rFonts w:ascii="Verdana" w:hAnsi="Verdana" w:cs="Calibri"/>
          <w:sz w:val="18"/>
          <w:szCs w:val="18"/>
          <w:lang w:val="en-GB"/>
        </w:rPr>
        <w:t>is</w:t>
      </w:r>
      <w:r w:rsidRPr="00F90671">
        <w:rPr>
          <w:rFonts w:ascii="Verdana" w:hAnsi="Verdana" w:cs="Calibri"/>
          <w:sz w:val="18"/>
          <w:szCs w:val="18"/>
        </w:rPr>
        <w:t xml:space="preserve"> </w:t>
      </w:r>
      <w:r w:rsidRPr="00F90671">
        <w:rPr>
          <w:rFonts w:ascii="Verdana" w:hAnsi="Verdana" w:cs="Calibri"/>
          <w:sz w:val="18"/>
          <w:szCs w:val="18"/>
          <w:lang w:val="en-GB"/>
        </w:rPr>
        <w:t>not</w:t>
      </w:r>
      <w:r w:rsidRPr="00F90671">
        <w:rPr>
          <w:rFonts w:ascii="Verdana" w:hAnsi="Verdana" w:cs="Calibri"/>
          <w:sz w:val="18"/>
          <w:szCs w:val="18"/>
        </w:rPr>
        <w:t xml:space="preserve"> </w:t>
      </w:r>
      <w:r w:rsidRPr="00F90671">
        <w:rPr>
          <w:rFonts w:ascii="Verdana" w:hAnsi="Verdana" w:cs="Calibri"/>
          <w:sz w:val="18"/>
          <w:szCs w:val="18"/>
          <w:lang w:val="en-GB"/>
        </w:rPr>
        <w:t>included</w:t>
      </w:r>
      <w:r w:rsidRPr="00F90671">
        <w:rPr>
          <w:rFonts w:ascii="Verdana" w:hAnsi="Verdana" w:cs="Calibri"/>
          <w:sz w:val="18"/>
          <w:szCs w:val="18"/>
        </w:rPr>
        <w:t xml:space="preserve"> </w:t>
      </w:r>
      <w:r w:rsidRPr="00F90671">
        <w:rPr>
          <w:rFonts w:ascii="Verdana" w:hAnsi="Verdana" w:cs="Calibri"/>
          <w:sz w:val="18"/>
          <w:szCs w:val="18"/>
          <w:lang w:val="en-GB"/>
        </w:rPr>
        <w:t>in</w:t>
      </w:r>
      <w:r w:rsidRPr="00F90671">
        <w:rPr>
          <w:rFonts w:ascii="Verdana" w:hAnsi="Verdana" w:cs="Calibri"/>
          <w:sz w:val="18"/>
          <w:szCs w:val="18"/>
        </w:rPr>
        <w:t xml:space="preserve"> </w:t>
      </w:r>
      <w:r w:rsidRPr="00F90671">
        <w:rPr>
          <w:rFonts w:ascii="Verdana" w:hAnsi="Verdana" w:cs="Calibri"/>
          <w:sz w:val="18"/>
          <w:szCs w:val="18"/>
          <w:lang w:val="en-GB"/>
        </w:rPr>
        <w:t>the</w:t>
      </w:r>
      <w:r w:rsidRPr="00F90671">
        <w:rPr>
          <w:rFonts w:ascii="Verdana" w:hAnsi="Verdana" w:cs="Calibri"/>
          <w:sz w:val="18"/>
          <w:szCs w:val="18"/>
        </w:rPr>
        <w:t xml:space="preserve"> </w:t>
      </w:r>
      <w:r w:rsidRPr="00F90671">
        <w:rPr>
          <w:rFonts w:ascii="Verdana" w:hAnsi="Verdana" w:cs="Calibri"/>
          <w:sz w:val="18"/>
          <w:szCs w:val="18"/>
          <w:lang w:val="en-GB"/>
        </w:rPr>
        <w:t>category</w:t>
      </w:r>
      <w:r w:rsidRPr="00F90671">
        <w:rPr>
          <w:rFonts w:ascii="Verdana" w:hAnsi="Verdana" w:cs="Calibri"/>
          <w:sz w:val="18"/>
          <w:szCs w:val="18"/>
        </w:rPr>
        <w:t xml:space="preserve"> </w:t>
      </w:r>
      <w:r w:rsidRPr="00F90671">
        <w:rPr>
          <w:rFonts w:ascii="Verdana" w:hAnsi="Verdana" w:cs="Calibri"/>
          <w:sz w:val="18"/>
          <w:szCs w:val="18"/>
          <w:lang w:val="en-GB"/>
        </w:rPr>
        <w:t>of</w:t>
      </w:r>
      <w:r w:rsidRPr="00F90671">
        <w:rPr>
          <w:rFonts w:ascii="Verdana" w:hAnsi="Verdana" w:cs="Calibri"/>
          <w:sz w:val="18"/>
          <w:szCs w:val="18"/>
        </w:rPr>
        <w:t xml:space="preserve"> </w:t>
      </w:r>
      <w:r w:rsidRPr="00F90671">
        <w:rPr>
          <w:rFonts w:ascii="Verdana" w:hAnsi="Verdana" w:cs="Calibri"/>
          <w:sz w:val="18"/>
          <w:szCs w:val="18"/>
          <w:lang w:val="en-GB"/>
        </w:rPr>
        <w:t>conventional</w:t>
      </w:r>
      <w:r w:rsidRPr="00F90671">
        <w:rPr>
          <w:rFonts w:ascii="Verdana" w:hAnsi="Verdana" w:cs="Calibri"/>
          <w:sz w:val="18"/>
          <w:szCs w:val="18"/>
        </w:rPr>
        <w:t xml:space="preserve"> </w:t>
      </w:r>
      <w:r w:rsidRPr="00F90671">
        <w:rPr>
          <w:rFonts w:ascii="Verdana" w:hAnsi="Verdana" w:cs="Calibri"/>
          <w:sz w:val="18"/>
          <w:szCs w:val="18"/>
          <w:lang w:val="en-GB"/>
        </w:rPr>
        <w:t>dwellings</w:t>
      </w:r>
      <w:r w:rsidRPr="00F90671">
        <w:rPr>
          <w:rFonts w:ascii="Verdana" w:hAnsi="Verdana" w:cs="Calibri"/>
          <w:sz w:val="18"/>
          <w:szCs w:val="18"/>
        </w:rPr>
        <w:t xml:space="preserve">), </w:t>
      </w:r>
      <w:r w:rsidRPr="00F90671">
        <w:rPr>
          <w:rFonts w:ascii="Verdana" w:hAnsi="Verdana" w:cs="Calibri"/>
          <w:sz w:val="18"/>
          <w:szCs w:val="18"/>
          <w:lang w:val="en-GB"/>
        </w:rPr>
        <w:t>or</w:t>
      </w:r>
      <w:r w:rsidRPr="00F90671">
        <w:rPr>
          <w:rFonts w:ascii="Verdana" w:hAnsi="Verdana" w:cs="Calibri"/>
          <w:sz w:val="18"/>
          <w:szCs w:val="18"/>
        </w:rPr>
        <w:t xml:space="preserve"> </w:t>
      </w:r>
      <w:r w:rsidRPr="00F90671">
        <w:rPr>
          <w:rFonts w:ascii="Verdana" w:hAnsi="Verdana" w:cs="Calibri"/>
          <w:sz w:val="18"/>
          <w:szCs w:val="18"/>
          <w:lang w:val="en-GB"/>
        </w:rPr>
        <w:t>it</w:t>
      </w:r>
      <w:r w:rsidRPr="00F90671">
        <w:rPr>
          <w:rFonts w:ascii="Verdana" w:hAnsi="Verdana" w:cs="Calibri"/>
          <w:sz w:val="18"/>
          <w:szCs w:val="18"/>
        </w:rPr>
        <w:t xml:space="preserve"> </w:t>
      </w:r>
      <w:r w:rsidRPr="00F90671">
        <w:rPr>
          <w:rFonts w:ascii="Verdana" w:hAnsi="Verdana" w:cs="Calibri"/>
          <w:sz w:val="18"/>
          <w:szCs w:val="18"/>
          <w:lang w:val="en-GB"/>
        </w:rPr>
        <w:t>was</w:t>
      </w:r>
      <w:r w:rsidRPr="00F90671">
        <w:rPr>
          <w:rFonts w:ascii="Verdana" w:hAnsi="Verdana" w:cs="Calibri"/>
          <w:sz w:val="18"/>
          <w:szCs w:val="18"/>
        </w:rPr>
        <w:t xml:space="preserve"> </w:t>
      </w:r>
      <w:r w:rsidRPr="00F90671">
        <w:rPr>
          <w:rFonts w:ascii="Verdana" w:hAnsi="Verdana" w:cs="Calibri"/>
          <w:sz w:val="18"/>
          <w:szCs w:val="18"/>
          <w:lang w:val="en-GB"/>
        </w:rPr>
        <w:t>not</w:t>
      </w:r>
      <w:r w:rsidRPr="00F90671">
        <w:rPr>
          <w:rFonts w:ascii="Verdana" w:hAnsi="Verdana" w:cs="Calibri"/>
          <w:sz w:val="18"/>
          <w:szCs w:val="18"/>
        </w:rPr>
        <w:t xml:space="preserve"> </w:t>
      </w:r>
      <w:r w:rsidRPr="00F90671">
        <w:rPr>
          <w:rFonts w:ascii="Verdana" w:hAnsi="Verdana" w:cs="Calibri"/>
          <w:sz w:val="18"/>
          <w:szCs w:val="18"/>
          <w:lang w:val="en-GB"/>
        </w:rPr>
        <w:t>originally</w:t>
      </w:r>
      <w:r w:rsidRPr="00F90671">
        <w:rPr>
          <w:rFonts w:ascii="Verdana" w:hAnsi="Verdana" w:cs="Calibri"/>
          <w:sz w:val="18"/>
          <w:szCs w:val="18"/>
        </w:rPr>
        <w:t xml:space="preserve"> </w:t>
      </w:r>
      <w:r w:rsidRPr="00F90671">
        <w:rPr>
          <w:rFonts w:ascii="Verdana" w:hAnsi="Verdana" w:cs="Calibri"/>
          <w:sz w:val="18"/>
          <w:szCs w:val="18"/>
          <w:lang w:val="en-GB"/>
        </w:rPr>
        <w:t>intended</w:t>
      </w:r>
      <w:r w:rsidRPr="00F90671">
        <w:rPr>
          <w:rFonts w:ascii="Verdana" w:hAnsi="Verdana" w:cs="Calibri"/>
          <w:sz w:val="18"/>
          <w:szCs w:val="18"/>
        </w:rPr>
        <w:t xml:space="preserve"> </w:t>
      </w:r>
      <w:r w:rsidRPr="00F90671">
        <w:rPr>
          <w:rFonts w:ascii="Verdana" w:hAnsi="Verdana" w:cs="Calibri"/>
          <w:sz w:val="18"/>
          <w:szCs w:val="18"/>
          <w:lang w:val="en-GB"/>
        </w:rPr>
        <w:t>for</w:t>
      </w:r>
      <w:r w:rsidRPr="00F90671">
        <w:rPr>
          <w:rFonts w:ascii="Verdana" w:hAnsi="Verdana" w:cs="Calibri"/>
          <w:sz w:val="18"/>
          <w:szCs w:val="18"/>
        </w:rPr>
        <w:t xml:space="preserve"> </w:t>
      </w:r>
      <w:r w:rsidRPr="00F90671">
        <w:rPr>
          <w:rFonts w:ascii="Verdana" w:hAnsi="Verdana" w:cs="Calibri"/>
          <w:sz w:val="18"/>
          <w:szCs w:val="18"/>
          <w:lang w:val="en-GB"/>
        </w:rPr>
        <w:t>habitation</w:t>
      </w:r>
      <w:r w:rsidRPr="00F90671">
        <w:rPr>
          <w:rFonts w:ascii="Verdana" w:hAnsi="Verdana" w:cs="Calibri"/>
          <w:sz w:val="18"/>
          <w:szCs w:val="18"/>
        </w:rPr>
        <w:t xml:space="preserve"> </w:t>
      </w:r>
      <w:r w:rsidRPr="00F90671">
        <w:rPr>
          <w:rFonts w:ascii="Verdana" w:hAnsi="Verdana" w:cs="Calibri"/>
          <w:sz w:val="18"/>
          <w:szCs w:val="18"/>
          <w:lang w:val="en-GB"/>
        </w:rPr>
        <w:t>but</w:t>
      </w:r>
      <w:r w:rsidRPr="00F90671">
        <w:rPr>
          <w:rFonts w:ascii="Verdana" w:hAnsi="Verdana" w:cs="Calibri"/>
          <w:sz w:val="18"/>
          <w:szCs w:val="18"/>
        </w:rPr>
        <w:t xml:space="preserve"> </w:t>
      </w:r>
      <w:r w:rsidRPr="00F90671">
        <w:rPr>
          <w:rFonts w:ascii="Verdana" w:hAnsi="Verdana" w:cs="Calibri"/>
          <w:sz w:val="18"/>
          <w:szCs w:val="18"/>
          <w:lang w:val="en-GB"/>
        </w:rPr>
        <w:t>it</w:t>
      </w:r>
      <w:r w:rsidRPr="00F90671">
        <w:rPr>
          <w:rFonts w:ascii="Verdana" w:hAnsi="Verdana" w:cs="Calibri"/>
          <w:sz w:val="18"/>
          <w:szCs w:val="18"/>
        </w:rPr>
        <w:t xml:space="preserve"> </w:t>
      </w:r>
      <w:r w:rsidRPr="00F90671">
        <w:rPr>
          <w:rFonts w:ascii="Verdana" w:hAnsi="Verdana" w:cs="Calibri"/>
          <w:sz w:val="18"/>
          <w:szCs w:val="18"/>
          <w:lang w:val="en-GB"/>
        </w:rPr>
        <w:t>was</w:t>
      </w:r>
      <w:r w:rsidRPr="00F90671">
        <w:rPr>
          <w:rFonts w:ascii="Verdana" w:hAnsi="Verdana" w:cs="Calibri"/>
          <w:sz w:val="18"/>
          <w:szCs w:val="18"/>
        </w:rPr>
        <w:t xml:space="preserve"> </w:t>
      </w:r>
      <w:r w:rsidRPr="00F90671">
        <w:rPr>
          <w:rFonts w:ascii="Verdana" w:hAnsi="Verdana" w:cs="Calibri"/>
          <w:sz w:val="18"/>
          <w:szCs w:val="18"/>
          <w:lang w:val="en-GB"/>
        </w:rPr>
        <w:t>nevertheless</w:t>
      </w:r>
      <w:r w:rsidRPr="00F90671">
        <w:rPr>
          <w:rFonts w:ascii="Verdana" w:hAnsi="Verdana" w:cs="Calibri"/>
          <w:sz w:val="18"/>
          <w:szCs w:val="18"/>
        </w:rPr>
        <w:t xml:space="preserve"> </w:t>
      </w:r>
      <w:r w:rsidRPr="00F90671">
        <w:rPr>
          <w:rFonts w:ascii="Verdana" w:hAnsi="Verdana" w:cs="Calibri"/>
          <w:sz w:val="18"/>
          <w:szCs w:val="18"/>
          <w:lang w:val="en-GB"/>
        </w:rPr>
        <w:t>used</w:t>
      </w:r>
      <w:r w:rsidRPr="00F90671">
        <w:rPr>
          <w:rFonts w:ascii="Verdana" w:hAnsi="Verdana" w:cs="Calibri"/>
          <w:sz w:val="18"/>
          <w:szCs w:val="18"/>
        </w:rPr>
        <w:t xml:space="preserve"> </w:t>
      </w:r>
      <w:r w:rsidRPr="00F90671">
        <w:rPr>
          <w:rFonts w:ascii="Verdana" w:hAnsi="Verdana" w:cs="Calibri"/>
          <w:sz w:val="18"/>
          <w:szCs w:val="18"/>
          <w:lang w:val="en-GB"/>
        </w:rPr>
        <w:t>for</w:t>
      </w:r>
      <w:r w:rsidRPr="00F90671">
        <w:rPr>
          <w:rFonts w:ascii="Verdana" w:hAnsi="Verdana" w:cs="Calibri"/>
          <w:sz w:val="18"/>
          <w:szCs w:val="18"/>
        </w:rPr>
        <w:t xml:space="preserve"> </w:t>
      </w:r>
      <w:r w:rsidRPr="00F90671">
        <w:rPr>
          <w:rFonts w:ascii="Verdana" w:hAnsi="Verdana" w:cs="Calibri"/>
          <w:sz w:val="18"/>
          <w:szCs w:val="18"/>
          <w:lang w:val="en-GB"/>
        </w:rPr>
        <w:t>this</w:t>
      </w:r>
      <w:r w:rsidRPr="00F90671">
        <w:rPr>
          <w:rFonts w:ascii="Verdana" w:hAnsi="Verdana" w:cs="Calibri"/>
          <w:sz w:val="18"/>
          <w:szCs w:val="18"/>
        </w:rPr>
        <w:t xml:space="preserve"> </w:t>
      </w:r>
      <w:r w:rsidRPr="00F90671">
        <w:rPr>
          <w:rFonts w:ascii="Verdana" w:hAnsi="Verdana" w:cs="Calibri"/>
          <w:sz w:val="18"/>
          <w:szCs w:val="18"/>
          <w:lang w:val="en-GB"/>
        </w:rPr>
        <w:t>purpose</w:t>
      </w:r>
      <w:r w:rsidRPr="00F90671">
        <w:rPr>
          <w:rFonts w:ascii="Verdana" w:hAnsi="Verdana" w:cs="Calibri"/>
          <w:sz w:val="18"/>
          <w:szCs w:val="18"/>
        </w:rPr>
        <w:t xml:space="preserve"> </w:t>
      </w:r>
      <w:r w:rsidRPr="00F90671">
        <w:rPr>
          <w:rFonts w:ascii="Verdana" w:hAnsi="Verdana" w:cs="Calibri"/>
          <w:sz w:val="18"/>
          <w:szCs w:val="18"/>
          <w:lang w:val="en-GB"/>
        </w:rPr>
        <w:t>on</w:t>
      </w:r>
      <w:r w:rsidRPr="00F90671">
        <w:rPr>
          <w:rFonts w:ascii="Verdana" w:hAnsi="Verdana" w:cs="Calibri"/>
          <w:sz w:val="18"/>
          <w:szCs w:val="18"/>
        </w:rPr>
        <w:t xml:space="preserve"> </w:t>
      </w:r>
      <w:r w:rsidRPr="00F90671">
        <w:rPr>
          <w:rFonts w:ascii="Verdana" w:hAnsi="Verdana" w:cs="Calibri"/>
          <w:sz w:val="18"/>
          <w:szCs w:val="18"/>
          <w:lang w:val="en-GB"/>
        </w:rPr>
        <w:t>the</w:t>
      </w:r>
      <w:r w:rsidRPr="00F90671">
        <w:rPr>
          <w:rFonts w:ascii="Verdana" w:hAnsi="Verdana" w:cs="Calibri"/>
          <w:sz w:val="18"/>
          <w:szCs w:val="18"/>
        </w:rPr>
        <w:t xml:space="preserve"> </w:t>
      </w:r>
      <w:r w:rsidRPr="00F90671">
        <w:rPr>
          <w:rFonts w:ascii="Verdana" w:hAnsi="Verdana" w:cs="Calibri"/>
          <w:sz w:val="18"/>
          <w:szCs w:val="18"/>
          <w:lang w:val="en-GB"/>
        </w:rPr>
        <w:t>reference</w:t>
      </w:r>
      <w:r w:rsidRPr="00F90671">
        <w:rPr>
          <w:rFonts w:ascii="Verdana" w:hAnsi="Verdana" w:cs="Calibri"/>
          <w:sz w:val="18"/>
          <w:szCs w:val="18"/>
        </w:rPr>
        <w:t xml:space="preserve"> </w:t>
      </w:r>
      <w:r w:rsidRPr="00F90671">
        <w:rPr>
          <w:rFonts w:ascii="Verdana" w:hAnsi="Verdana" w:cs="Calibri"/>
          <w:sz w:val="18"/>
          <w:szCs w:val="18"/>
          <w:lang w:val="en-GB"/>
        </w:rPr>
        <w:t>date</w:t>
      </w:r>
      <w:r w:rsidRPr="00F90671">
        <w:rPr>
          <w:rFonts w:ascii="Verdana" w:hAnsi="Verdana" w:cs="Calibri"/>
          <w:sz w:val="18"/>
          <w:szCs w:val="18"/>
        </w:rPr>
        <w:t xml:space="preserve"> </w:t>
      </w:r>
      <w:r w:rsidRPr="00F90671">
        <w:rPr>
          <w:rFonts w:ascii="Verdana" w:hAnsi="Verdana" w:cs="Calibri"/>
          <w:sz w:val="18"/>
          <w:szCs w:val="18"/>
          <w:lang w:val="en-GB"/>
        </w:rPr>
        <w:t>of</w:t>
      </w:r>
      <w:r w:rsidRPr="00F90671">
        <w:rPr>
          <w:rFonts w:ascii="Verdana" w:hAnsi="Verdana" w:cs="Calibri"/>
          <w:sz w:val="18"/>
          <w:szCs w:val="18"/>
        </w:rPr>
        <w:t xml:space="preserve"> </w:t>
      </w:r>
      <w:r w:rsidRPr="00F90671">
        <w:rPr>
          <w:rFonts w:ascii="Verdana" w:hAnsi="Verdana" w:cs="Calibri"/>
          <w:sz w:val="18"/>
          <w:szCs w:val="18"/>
          <w:lang w:val="en-GB"/>
        </w:rPr>
        <w:t>the</w:t>
      </w:r>
      <w:r w:rsidRPr="00F90671">
        <w:rPr>
          <w:rFonts w:ascii="Verdana" w:hAnsi="Verdana" w:cs="Calibri"/>
          <w:sz w:val="18"/>
          <w:szCs w:val="18"/>
        </w:rPr>
        <w:t xml:space="preserve"> </w:t>
      </w:r>
      <w:r w:rsidRPr="00F90671">
        <w:rPr>
          <w:rFonts w:ascii="Verdana" w:hAnsi="Verdana" w:cs="Calibri"/>
          <w:sz w:val="18"/>
          <w:szCs w:val="18"/>
          <w:lang w:val="en-GB"/>
        </w:rPr>
        <w:t>Census</w:t>
      </w:r>
      <w:r w:rsidRPr="00F90671">
        <w:rPr>
          <w:rFonts w:ascii="Verdana" w:hAnsi="Verdana" w:cs="Calibri"/>
          <w:sz w:val="18"/>
          <w:szCs w:val="18"/>
        </w:rPr>
        <w:t xml:space="preserve"> (</w:t>
      </w:r>
      <w:r w:rsidRPr="00F90671">
        <w:rPr>
          <w:rFonts w:ascii="Verdana" w:hAnsi="Verdana" w:cs="Calibri"/>
          <w:sz w:val="18"/>
          <w:szCs w:val="18"/>
          <w:lang w:val="en-GB"/>
        </w:rPr>
        <w:t>e</w:t>
      </w:r>
      <w:r w:rsidRPr="00F90671">
        <w:rPr>
          <w:rFonts w:ascii="Verdana" w:hAnsi="Verdana" w:cs="Calibri"/>
          <w:sz w:val="18"/>
          <w:szCs w:val="18"/>
        </w:rPr>
        <w:t>.</w:t>
      </w:r>
      <w:r w:rsidRPr="00F90671">
        <w:rPr>
          <w:rFonts w:ascii="Verdana" w:hAnsi="Verdana" w:cs="Calibri"/>
          <w:sz w:val="18"/>
          <w:szCs w:val="18"/>
          <w:lang w:val="en-GB"/>
        </w:rPr>
        <w:t>g</w:t>
      </w:r>
      <w:r w:rsidRPr="00F90671">
        <w:rPr>
          <w:rFonts w:ascii="Verdana" w:hAnsi="Verdana" w:cs="Calibri"/>
          <w:sz w:val="18"/>
          <w:szCs w:val="18"/>
        </w:rPr>
        <w:t xml:space="preserve">. </w:t>
      </w:r>
      <w:r w:rsidRPr="00F90671">
        <w:rPr>
          <w:rFonts w:ascii="Verdana" w:hAnsi="Verdana" w:cs="Calibri"/>
          <w:sz w:val="18"/>
          <w:szCs w:val="18"/>
          <w:lang w:val="en-GB"/>
        </w:rPr>
        <w:t xml:space="preserve">a shop which was used by someone for habitation). The non-conventional dwellings were enumerated only if they were inhabited (as a place of usual residence by one or more persons) on the reference date of the Census. </w:t>
      </w:r>
    </w:p>
    <w:p w14:paraId="75FC3F7F" w14:textId="77777777" w:rsidR="0050085D" w:rsidRPr="00F90671" w:rsidRDefault="0050085D" w:rsidP="00F90671">
      <w:pPr>
        <w:spacing w:after="120" w:line="259" w:lineRule="auto"/>
        <w:ind w:right="-187"/>
        <w:contextualSpacing/>
        <w:jc w:val="both"/>
        <w:rPr>
          <w:rFonts w:ascii="Verdana" w:hAnsi="Verdana" w:cs="Calibri"/>
          <w:bCs/>
          <w:sz w:val="18"/>
          <w:szCs w:val="18"/>
          <w:lang w:val="en-GB"/>
        </w:rPr>
      </w:pPr>
    </w:p>
    <w:p w14:paraId="223A7B5B" w14:textId="77777777" w:rsidR="004F7D99" w:rsidRPr="00F90671" w:rsidRDefault="004F7D99" w:rsidP="00F90671">
      <w:pPr>
        <w:spacing w:after="120" w:line="259" w:lineRule="auto"/>
        <w:ind w:right="-187"/>
        <w:contextualSpacing/>
        <w:jc w:val="both"/>
        <w:rPr>
          <w:rFonts w:ascii="Verdana" w:hAnsi="Verdana" w:cs="Calibri"/>
          <w:b/>
          <w:bCs/>
          <w:sz w:val="18"/>
          <w:szCs w:val="18"/>
          <w:u w:val="single"/>
        </w:rPr>
      </w:pPr>
      <w:r w:rsidRPr="00F90671">
        <w:rPr>
          <w:rFonts w:ascii="Verdana" w:hAnsi="Verdana" w:cs="Calibri"/>
          <w:sz w:val="18"/>
          <w:szCs w:val="18"/>
          <w:u w:val="single"/>
          <w:lang w:val="en-GB"/>
        </w:rPr>
        <w:t>Household</w:t>
      </w:r>
      <w:r w:rsidRPr="00F90671">
        <w:rPr>
          <w:rFonts w:ascii="Verdana" w:hAnsi="Verdana" w:cs="Calibri"/>
          <w:sz w:val="18"/>
          <w:szCs w:val="18"/>
          <w:u w:val="single"/>
        </w:rPr>
        <w:t>:</w:t>
      </w:r>
      <w:r w:rsidRPr="00F90671">
        <w:rPr>
          <w:rFonts w:ascii="Verdana" w:hAnsi="Verdana" w:cs="Calibri"/>
          <w:sz w:val="18"/>
          <w:szCs w:val="18"/>
        </w:rPr>
        <w:t xml:space="preserve"> </w:t>
      </w:r>
      <w:r w:rsidRPr="00F90671">
        <w:rPr>
          <w:rFonts w:ascii="Verdana" w:hAnsi="Verdana" w:cs="Calibri"/>
          <w:sz w:val="18"/>
          <w:szCs w:val="18"/>
          <w:lang w:val="en-GB"/>
        </w:rPr>
        <w:t>A household</w:t>
      </w:r>
      <w:r w:rsidRPr="00F90671">
        <w:rPr>
          <w:rFonts w:ascii="Verdana" w:hAnsi="Verdana" w:cs="Calibri"/>
          <w:bCs/>
          <w:sz w:val="18"/>
          <w:szCs w:val="18"/>
          <w:lang w:val="en-GB"/>
        </w:rPr>
        <w:t xml:space="preserve"> comprises one or more persons, irrespective of relationship, who live together in the same housing unit, have common catering arrangements and share at least one main meal a day. A</w:t>
      </w:r>
      <w:r w:rsidRPr="00F90671">
        <w:rPr>
          <w:rFonts w:ascii="Verdana" w:hAnsi="Verdana" w:cs="Calibri"/>
          <w:bCs/>
          <w:sz w:val="18"/>
          <w:szCs w:val="18"/>
        </w:rPr>
        <w:t xml:space="preserve"> </w:t>
      </w:r>
      <w:r w:rsidRPr="00F90671">
        <w:rPr>
          <w:rFonts w:ascii="Verdana" w:hAnsi="Verdana" w:cs="Calibri"/>
          <w:bCs/>
          <w:sz w:val="18"/>
          <w:szCs w:val="18"/>
          <w:lang w:val="en-GB"/>
        </w:rPr>
        <w:t>household</w:t>
      </w:r>
      <w:r w:rsidRPr="00F90671">
        <w:rPr>
          <w:rFonts w:ascii="Verdana" w:hAnsi="Verdana" w:cs="Calibri"/>
          <w:bCs/>
          <w:sz w:val="18"/>
          <w:szCs w:val="18"/>
        </w:rPr>
        <w:t xml:space="preserve"> </w:t>
      </w:r>
      <w:r w:rsidRPr="00F90671">
        <w:rPr>
          <w:rFonts w:ascii="Verdana" w:hAnsi="Verdana" w:cs="Calibri"/>
          <w:bCs/>
          <w:sz w:val="18"/>
          <w:szCs w:val="18"/>
          <w:lang w:val="en-GB"/>
        </w:rPr>
        <w:t>could</w:t>
      </w:r>
      <w:r w:rsidRPr="00F90671">
        <w:rPr>
          <w:rFonts w:ascii="Verdana" w:hAnsi="Verdana" w:cs="Calibri"/>
          <w:bCs/>
          <w:sz w:val="18"/>
          <w:szCs w:val="18"/>
        </w:rPr>
        <w:t xml:space="preserve"> </w:t>
      </w:r>
      <w:r w:rsidRPr="00F90671">
        <w:rPr>
          <w:rFonts w:ascii="Verdana" w:hAnsi="Verdana" w:cs="Calibri"/>
          <w:bCs/>
          <w:sz w:val="18"/>
          <w:szCs w:val="18"/>
          <w:lang w:val="en-GB"/>
        </w:rPr>
        <w:t>fall</w:t>
      </w:r>
      <w:r w:rsidRPr="00F90671">
        <w:rPr>
          <w:rFonts w:ascii="Verdana" w:hAnsi="Verdana" w:cs="Calibri"/>
          <w:bCs/>
          <w:sz w:val="18"/>
          <w:szCs w:val="18"/>
        </w:rPr>
        <w:t xml:space="preserve"> </w:t>
      </w:r>
      <w:r w:rsidRPr="00F90671">
        <w:rPr>
          <w:rFonts w:ascii="Verdana" w:hAnsi="Verdana" w:cs="Calibri"/>
          <w:bCs/>
          <w:sz w:val="18"/>
          <w:szCs w:val="18"/>
          <w:lang w:val="en-GB"/>
        </w:rPr>
        <w:t>under</w:t>
      </w:r>
      <w:r w:rsidRPr="00F90671">
        <w:rPr>
          <w:rFonts w:ascii="Verdana" w:hAnsi="Verdana" w:cs="Calibri"/>
          <w:bCs/>
          <w:sz w:val="18"/>
          <w:szCs w:val="18"/>
        </w:rPr>
        <w:t xml:space="preserve"> </w:t>
      </w:r>
      <w:r w:rsidRPr="00F90671">
        <w:rPr>
          <w:rFonts w:ascii="Verdana" w:hAnsi="Verdana" w:cs="Calibri"/>
          <w:bCs/>
          <w:sz w:val="18"/>
          <w:szCs w:val="18"/>
          <w:lang w:val="en-GB"/>
        </w:rPr>
        <w:t>one</w:t>
      </w:r>
      <w:r w:rsidRPr="00F90671">
        <w:rPr>
          <w:rFonts w:ascii="Verdana" w:hAnsi="Verdana" w:cs="Calibri"/>
          <w:bCs/>
          <w:sz w:val="18"/>
          <w:szCs w:val="18"/>
        </w:rPr>
        <w:t xml:space="preserve"> </w:t>
      </w:r>
      <w:r w:rsidRPr="00F90671">
        <w:rPr>
          <w:rFonts w:ascii="Verdana" w:hAnsi="Verdana" w:cs="Calibri"/>
          <w:bCs/>
          <w:sz w:val="18"/>
          <w:szCs w:val="18"/>
          <w:lang w:val="en-GB"/>
        </w:rPr>
        <w:t>of</w:t>
      </w:r>
      <w:r w:rsidRPr="00F90671">
        <w:rPr>
          <w:rFonts w:ascii="Verdana" w:hAnsi="Verdana" w:cs="Calibri"/>
          <w:bCs/>
          <w:sz w:val="18"/>
          <w:szCs w:val="18"/>
        </w:rPr>
        <w:t xml:space="preserve"> </w:t>
      </w:r>
      <w:r w:rsidRPr="00F90671">
        <w:rPr>
          <w:rFonts w:ascii="Verdana" w:hAnsi="Verdana" w:cs="Calibri"/>
          <w:bCs/>
          <w:sz w:val="18"/>
          <w:szCs w:val="18"/>
          <w:lang w:val="en-GB"/>
        </w:rPr>
        <w:t>the</w:t>
      </w:r>
      <w:r w:rsidRPr="00F90671">
        <w:rPr>
          <w:rFonts w:ascii="Verdana" w:hAnsi="Verdana" w:cs="Calibri"/>
          <w:bCs/>
          <w:sz w:val="18"/>
          <w:szCs w:val="18"/>
        </w:rPr>
        <w:t xml:space="preserve"> </w:t>
      </w:r>
      <w:r w:rsidRPr="00F90671">
        <w:rPr>
          <w:rFonts w:ascii="Verdana" w:hAnsi="Verdana" w:cs="Calibri"/>
          <w:bCs/>
          <w:sz w:val="18"/>
          <w:szCs w:val="18"/>
          <w:lang w:val="en-GB"/>
        </w:rPr>
        <w:t>following</w:t>
      </w:r>
      <w:r w:rsidRPr="00F90671">
        <w:rPr>
          <w:rFonts w:ascii="Verdana" w:hAnsi="Verdana" w:cs="Calibri"/>
          <w:bCs/>
          <w:sz w:val="18"/>
          <w:szCs w:val="18"/>
        </w:rPr>
        <w:t xml:space="preserve"> </w:t>
      </w:r>
      <w:r w:rsidRPr="00F90671">
        <w:rPr>
          <w:rFonts w:ascii="Verdana" w:hAnsi="Verdana" w:cs="Calibri"/>
          <w:bCs/>
          <w:sz w:val="18"/>
          <w:szCs w:val="18"/>
          <w:lang w:val="en-GB"/>
        </w:rPr>
        <w:t>two</w:t>
      </w:r>
      <w:r w:rsidRPr="00F90671">
        <w:rPr>
          <w:rFonts w:ascii="Verdana" w:hAnsi="Verdana" w:cs="Calibri"/>
          <w:bCs/>
          <w:sz w:val="18"/>
          <w:szCs w:val="18"/>
        </w:rPr>
        <w:t xml:space="preserve"> </w:t>
      </w:r>
      <w:r w:rsidRPr="00F90671">
        <w:rPr>
          <w:rFonts w:ascii="Verdana" w:hAnsi="Verdana" w:cs="Calibri"/>
          <w:bCs/>
          <w:sz w:val="18"/>
          <w:szCs w:val="18"/>
          <w:lang w:val="en-GB"/>
        </w:rPr>
        <w:t>cases</w:t>
      </w:r>
      <w:r w:rsidRPr="00F90671">
        <w:rPr>
          <w:rFonts w:ascii="Verdana" w:hAnsi="Verdana" w:cs="Calibri"/>
          <w:bCs/>
          <w:sz w:val="18"/>
          <w:szCs w:val="18"/>
        </w:rPr>
        <w:t>:</w:t>
      </w:r>
    </w:p>
    <w:p w14:paraId="389B083C" w14:textId="77777777" w:rsidR="004F7D99" w:rsidRPr="00F90671" w:rsidRDefault="004F7D99" w:rsidP="00F90671">
      <w:pPr>
        <w:spacing w:after="120" w:line="259" w:lineRule="auto"/>
        <w:ind w:right="-187"/>
        <w:contextualSpacing/>
        <w:jc w:val="both"/>
        <w:rPr>
          <w:rFonts w:ascii="Verdana" w:hAnsi="Verdana" w:cs="Calibri"/>
          <w:bCs/>
          <w:sz w:val="18"/>
          <w:szCs w:val="18"/>
        </w:rPr>
      </w:pPr>
      <w:r w:rsidRPr="00F90671">
        <w:rPr>
          <w:rFonts w:ascii="Verdana" w:hAnsi="Verdana" w:cs="Calibri"/>
          <w:bCs/>
          <w:sz w:val="18"/>
          <w:szCs w:val="18"/>
        </w:rPr>
        <w:t>(</w:t>
      </w:r>
      <w:r w:rsidRPr="00F90671">
        <w:rPr>
          <w:rFonts w:ascii="Verdana" w:hAnsi="Verdana" w:cs="Calibri"/>
          <w:bCs/>
          <w:sz w:val="18"/>
          <w:szCs w:val="18"/>
          <w:lang w:val="en-GB"/>
        </w:rPr>
        <w:t>a</w:t>
      </w:r>
      <w:r w:rsidRPr="00F90671">
        <w:rPr>
          <w:rFonts w:ascii="Verdana" w:hAnsi="Verdana" w:cs="Calibri"/>
          <w:bCs/>
          <w:sz w:val="18"/>
          <w:szCs w:val="18"/>
        </w:rPr>
        <w:t>)</w:t>
      </w:r>
      <w:r w:rsidRPr="00F90671">
        <w:rPr>
          <w:rFonts w:ascii="Verdana" w:hAnsi="Verdana" w:cs="Calibri"/>
          <w:bCs/>
          <w:sz w:val="18"/>
          <w:szCs w:val="18"/>
          <w:lang w:val="en-GB"/>
        </w:rPr>
        <w:t xml:space="preserve"> Two or more persons living together, who have common catering arrangements and share at least one main meal a day. A household may comprise only members who are related to each other, or only members who are not related to each other, or by a combination of these two cases. </w:t>
      </w:r>
      <w:r w:rsidRPr="00F90671">
        <w:rPr>
          <w:rFonts w:ascii="Verdana" w:hAnsi="Verdana" w:cs="Calibri"/>
          <w:bCs/>
          <w:sz w:val="18"/>
          <w:szCs w:val="18"/>
        </w:rPr>
        <w:t xml:space="preserve"> </w:t>
      </w:r>
    </w:p>
    <w:p w14:paraId="2E97A5C9" w14:textId="77777777" w:rsidR="004F7D99" w:rsidRPr="00F90671" w:rsidRDefault="004F7D99" w:rsidP="00F90671">
      <w:pPr>
        <w:spacing w:after="120" w:line="259" w:lineRule="auto"/>
        <w:ind w:right="-187"/>
        <w:contextualSpacing/>
        <w:jc w:val="both"/>
        <w:rPr>
          <w:rFonts w:ascii="Verdana" w:hAnsi="Verdana" w:cs="Calibri"/>
          <w:bCs/>
          <w:sz w:val="18"/>
          <w:szCs w:val="18"/>
          <w:lang w:val="en-GB"/>
        </w:rPr>
      </w:pPr>
      <w:r w:rsidRPr="00F90671">
        <w:rPr>
          <w:rFonts w:ascii="Verdana" w:hAnsi="Verdana" w:cs="Calibri"/>
          <w:bCs/>
          <w:sz w:val="18"/>
          <w:szCs w:val="18"/>
        </w:rPr>
        <w:t>(</w:t>
      </w:r>
      <w:r w:rsidRPr="00F90671">
        <w:rPr>
          <w:rFonts w:ascii="Verdana" w:hAnsi="Verdana" w:cs="Calibri"/>
          <w:bCs/>
          <w:sz w:val="18"/>
          <w:szCs w:val="18"/>
          <w:lang w:val="en-GB"/>
        </w:rPr>
        <w:t>b</w:t>
      </w:r>
      <w:r w:rsidRPr="00F90671">
        <w:rPr>
          <w:rFonts w:ascii="Verdana" w:hAnsi="Verdana" w:cs="Calibri"/>
          <w:bCs/>
          <w:sz w:val="18"/>
          <w:szCs w:val="18"/>
        </w:rPr>
        <w:t xml:space="preserve">) </w:t>
      </w:r>
      <w:r w:rsidRPr="00F90671">
        <w:rPr>
          <w:rFonts w:ascii="Verdana" w:hAnsi="Verdana" w:cs="Calibri"/>
          <w:bCs/>
          <w:sz w:val="18"/>
          <w:szCs w:val="18"/>
          <w:lang w:val="en-GB"/>
        </w:rPr>
        <w:t xml:space="preserve">Every person who resides alone in a separate housing unit, or who resides with other persons in a housing unit but who is not related to them, i.e. does not share meals with them, so as to be considered as a member of their household. </w:t>
      </w:r>
    </w:p>
    <w:p w14:paraId="0ABFEE82" w14:textId="77777777" w:rsidR="004F7D99" w:rsidRPr="00F90671" w:rsidRDefault="004F7D99" w:rsidP="00F90671">
      <w:pPr>
        <w:spacing w:after="120" w:line="259" w:lineRule="auto"/>
        <w:ind w:right="-187"/>
        <w:contextualSpacing/>
        <w:jc w:val="both"/>
        <w:rPr>
          <w:rFonts w:ascii="Verdana" w:hAnsi="Verdana" w:cs="Calibri"/>
          <w:bCs/>
          <w:sz w:val="18"/>
          <w:szCs w:val="18"/>
          <w:lang w:val="en-GB"/>
        </w:rPr>
      </w:pPr>
      <w:r w:rsidRPr="00F90671">
        <w:rPr>
          <w:rFonts w:ascii="Verdana" w:hAnsi="Verdana" w:cs="Calibri"/>
          <w:bCs/>
          <w:sz w:val="18"/>
          <w:szCs w:val="18"/>
          <w:lang w:val="en-GB"/>
        </w:rPr>
        <w:t>In</w:t>
      </w:r>
      <w:r w:rsidRPr="00F90671">
        <w:rPr>
          <w:rFonts w:ascii="Verdana" w:hAnsi="Verdana" w:cs="Calibri"/>
          <w:bCs/>
          <w:sz w:val="18"/>
          <w:szCs w:val="18"/>
        </w:rPr>
        <w:t xml:space="preserve"> </w:t>
      </w:r>
      <w:r w:rsidRPr="00F90671">
        <w:rPr>
          <w:rFonts w:ascii="Verdana" w:hAnsi="Verdana" w:cs="Calibri"/>
          <w:bCs/>
          <w:sz w:val="18"/>
          <w:szCs w:val="18"/>
          <w:lang w:val="en-GB"/>
        </w:rPr>
        <w:t>the</w:t>
      </w:r>
      <w:r w:rsidRPr="00F90671">
        <w:rPr>
          <w:rFonts w:ascii="Verdana" w:hAnsi="Verdana" w:cs="Calibri"/>
          <w:bCs/>
          <w:sz w:val="18"/>
          <w:szCs w:val="18"/>
        </w:rPr>
        <w:t xml:space="preserve"> </w:t>
      </w:r>
      <w:r w:rsidRPr="00F90671">
        <w:rPr>
          <w:rFonts w:ascii="Verdana" w:hAnsi="Verdana" w:cs="Calibri"/>
          <w:bCs/>
          <w:sz w:val="18"/>
          <w:szCs w:val="18"/>
          <w:lang w:val="en-GB"/>
        </w:rPr>
        <w:t>majority</w:t>
      </w:r>
      <w:r w:rsidRPr="00F90671">
        <w:rPr>
          <w:rFonts w:ascii="Verdana" w:hAnsi="Verdana" w:cs="Calibri"/>
          <w:bCs/>
          <w:sz w:val="18"/>
          <w:szCs w:val="18"/>
        </w:rPr>
        <w:t xml:space="preserve"> </w:t>
      </w:r>
      <w:r w:rsidRPr="00F90671">
        <w:rPr>
          <w:rFonts w:ascii="Verdana" w:hAnsi="Verdana" w:cs="Calibri"/>
          <w:bCs/>
          <w:sz w:val="18"/>
          <w:szCs w:val="18"/>
          <w:lang w:val="en-GB"/>
        </w:rPr>
        <w:t>of</w:t>
      </w:r>
      <w:r w:rsidRPr="00F90671">
        <w:rPr>
          <w:rFonts w:ascii="Verdana" w:hAnsi="Verdana" w:cs="Calibri"/>
          <w:bCs/>
          <w:sz w:val="18"/>
          <w:szCs w:val="18"/>
        </w:rPr>
        <w:t xml:space="preserve"> </w:t>
      </w:r>
      <w:r w:rsidRPr="00F90671">
        <w:rPr>
          <w:rFonts w:ascii="Verdana" w:hAnsi="Verdana" w:cs="Calibri"/>
          <w:bCs/>
          <w:sz w:val="18"/>
          <w:szCs w:val="18"/>
          <w:lang w:val="en-GB"/>
        </w:rPr>
        <w:t>cases</w:t>
      </w:r>
      <w:r w:rsidRPr="00F90671">
        <w:rPr>
          <w:rFonts w:ascii="Verdana" w:hAnsi="Verdana" w:cs="Calibri"/>
          <w:bCs/>
          <w:sz w:val="18"/>
          <w:szCs w:val="18"/>
        </w:rPr>
        <w:t xml:space="preserve">, </w:t>
      </w:r>
      <w:r w:rsidRPr="00F90671">
        <w:rPr>
          <w:rFonts w:ascii="Verdana" w:hAnsi="Verdana" w:cs="Calibri"/>
          <w:bCs/>
          <w:sz w:val="18"/>
          <w:szCs w:val="18"/>
          <w:lang w:val="en-GB"/>
        </w:rPr>
        <w:t>the</w:t>
      </w:r>
      <w:r w:rsidRPr="00F90671">
        <w:rPr>
          <w:rFonts w:ascii="Verdana" w:hAnsi="Verdana" w:cs="Calibri"/>
          <w:bCs/>
          <w:sz w:val="18"/>
          <w:szCs w:val="18"/>
        </w:rPr>
        <w:t xml:space="preserve"> </w:t>
      </w:r>
      <w:r w:rsidRPr="00F90671">
        <w:rPr>
          <w:rFonts w:ascii="Verdana" w:hAnsi="Verdana" w:cs="Calibri"/>
          <w:bCs/>
          <w:sz w:val="18"/>
          <w:szCs w:val="18"/>
          <w:lang w:val="en-GB"/>
        </w:rPr>
        <w:t>terms</w:t>
      </w:r>
      <w:r w:rsidRPr="00F90671">
        <w:rPr>
          <w:rFonts w:ascii="Verdana" w:hAnsi="Verdana" w:cs="Calibri"/>
          <w:bCs/>
          <w:sz w:val="18"/>
          <w:szCs w:val="18"/>
        </w:rPr>
        <w:t xml:space="preserve"> </w:t>
      </w:r>
      <w:r w:rsidRPr="00F90671">
        <w:rPr>
          <w:rFonts w:ascii="Verdana" w:hAnsi="Verdana" w:cs="Calibri"/>
          <w:bCs/>
          <w:sz w:val="18"/>
          <w:szCs w:val="18"/>
          <w:lang w:val="en-GB"/>
        </w:rPr>
        <w:t>household</w:t>
      </w:r>
      <w:r w:rsidRPr="00F90671">
        <w:rPr>
          <w:rFonts w:ascii="Verdana" w:hAnsi="Verdana" w:cs="Calibri"/>
          <w:bCs/>
          <w:sz w:val="18"/>
          <w:szCs w:val="18"/>
        </w:rPr>
        <w:t xml:space="preserve"> </w:t>
      </w:r>
      <w:r w:rsidRPr="00F90671">
        <w:rPr>
          <w:rFonts w:ascii="Verdana" w:hAnsi="Verdana" w:cs="Calibri"/>
          <w:bCs/>
          <w:sz w:val="18"/>
          <w:szCs w:val="18"/>
          <w:lang w:val="en-GB"/>
        </w:rPr>
        <w:t>and</w:t>
      </w:r>
      <w:r w:rsidRPr="00F90671">
        <w:rPr>
          <w:rFonts w:ascii="Verdana" w:hAnsi="Verdana" w:cs="Calibri"/>
          <w:bCs/>
          <w:sz w:val="18"/>
          <w:szCs w:val="18"/>
        </w:rPr>
        <w:t xml:space="preserve"> </w:t>
      </w:r>
      <w:r w:rsidRPr="00F90671">
        <w:rPr>
          <w:rFonts w:ascii="Verdana" w:hAnsi="Verdana" w:cs="Calibri"/>
          <w:bCs/>
          <w:sz w:val="18"/>
          <w:szCs w:val="18"/>
          <w:lang w:val="en-GB"/>
        </w:rPr>
        <w:t>family</w:t>
      </w:r>
      <w:r w:rsidRPr="00F90671">
        <w:rPr>
          <w:rFonts w:ascii="Verdana" w:hAnsi="Verdana" w:cs="Calibri"/>
          <w:bCs/>
          <w:sz w:val="18"/>
          <w:szCs w:val="18"/>
        </w:rPr>
        <w:t xml:space="preserve"> (</w:t>
      </w:r>
      <w:r w:rsidRPr="00F90671">
        <w:rPr>
          <w:rFonts w:ascii="Verdana" w:hAnsi="Verdana" w:cs="Calibri"/>
          <w:bCs/>
          <w:sz w:val="18"/>
          <w:szCs w:val="18"/>
          <w:lang w:val="en-GB"/>
        </w:rPr>
        <w:t>or</w:t>
      </w:r>
      <w:r w:rsidRPr="00F90671">
        <w:rPr>
          <w:rFonts w:ascii="Verdana" w:hAnsi="Verdana" w:cs="Calibri"/>
          <w:bCs/>
          <w:sz w:val="18"/>
          <w:szCs w:val="18"/>
        </w:rPr>
        <w:t xml:space="preserve"> </w:t>
      </w:r>
      <w:r w:rsidRPr="00F90671">
        <w:rPr>
          <w:rFonts w:ascii="Verdana" w:hAnsi="Verdana" w:cs="Calibri"/>
          <w:bCs/>
          <w:sz w:val="18"/>
          <w:szCs w:val="18"/>
          <w:lang w:val="en-GB"/>
        </w:rPr>
        <w:t>family</w:t>
      </w:r>
      <w:r w:rsidRPr="00F90671">
        <w:rPr>
          <w:rFonts w:ascii="Verdana" w:hAnsi="Verdana" w:cs="Calibri"/>
          <w:bCs/>
          <w:sz w:val="18"/>
          <w:szCs w:val="18"/>
        </w:rPr>
        <w:t xml:space="preserve"> </w:t>
      </w:r>
      <w:r w:rsidRPr="00F90671">
        <w:rPr>
          <w:rFonts w:ascii="Verdana" w:hAnsi="Verdana" w:cs="Calibri"/>
          <w:bCs/>
          <w:sz w:val="18"/>
          <w:szCs w:val="18"/>
          <w:lang w:val="en-GB"/>
        </w:rPr>
        <w:t>nucleus</w:t>
      </w:r>
      <w:r w:rsidRPr="00F90671">
        <w:rPr>
          <w:rFonts w:ascii="Verdana" w:hAnsi="Verdana" w:cs="Calibri"/>
          <w:bCs/>
          <w:sz w:val="18"/>
          <w:szCs w:val="18"/>
        </w:rPr>
        <w:t xml:space="preserve">) </w:t>
      </w:r>
      <w:r w:rsidRPr="00F90671">
        <w:rPr>
          <w:rFonts w:ascii="Verdana" w:hAnsi="Verdana" w:cs="Calibri"/>
          <w:bCs/>
          <w:sz w:val="18"/>
          <w:szCs w:val="18"/>
          <w:lang w:val="en-GB"/>
        </w:rPr>
        <w:t>are</w:t>
      </w:r>
      <w:r w:rsidRPr="00F90671">
        <w:rPr>
          <w:rFonts w:ascii="Verdana" w:hAnsi="Verdana" w:cs="Calibri"/>
          <w:bCs/>
          <w:sz w:val="18"/>
          <w:szCs w:val="18"/>
        </w:rPr>
        <w:t xml:space="preserve"> </w:t>
      </w:r>
      <w:r w:rsidRPr="00F90671">
        <w:rPr>
          <w:rFonts w:ascii="Verdana" w:hAnsi="Verdana" w:cs="Calibri"/>
          <w:bCs/>
          <w:sz w:val="18"/>
          <w:szCs w:val="18"/>
          <w:lang w:val="en-GB"/>
        </w:rPr>
        <w:t>identical</w:t>
      </w:r>
      <w:r w:rsidRPr="00F90671">
        <w:rPr>
          <w:rFonts w:ascii="Verdana" w:hAnsi="Verdana" w:cs="Calibri"/>
          <w:bCs/>
          <w:sz w:val="18"/>
          <w:szCs w:val="18"/>
        </w:rPr>
        <w:t xml:space="preserve">, </w:t>
      </w:r>
      <w:proofErr w:type="spellStart"/>
      <w:r w:rsidRPr="00F90671">
        <w:rPr>
          <w:rFonts w:ascii="Verdana" w:hAnsi="Verdana" w:cs="Calibri"/>
          <w:bCs/>
          <w:sz w:val="18"/>
          <w:szCs w:val="18"/>
          <w:lang w:val="en-GB"/>
        </w:rPr>
        <w:t>i</w:t>
      </w:r>
      <w:proofErr w:type="spellEnd"/>
      <w:r w:rsidRPr="00F90671">
        <w:rPr>
          <w:rFonts w:ascii="Verdana" w:hAnsi="Verdana" w:cs="Calibri"/>
          <w:bCs/>
          <w:sz w:val="18"/>
          <w:szCs w:val="18"/>
        </w:rPr>
        <w:t>.</w:t>
      </w:r>
      <w:r w:rsidRPr="00F90671">
        <w:rPr>
          <w:rFonts w:ascii="Verdana" w:hAnsi="Verdana" w:cs="Calibri"/>
          <w:bCs/>
          <w:sz w:val="18"/>
          <w:szCs w:val="18"/>
          <w:lang w:val="en-GB"/>
        </w:rPr>
        <w:t>e</w:t>
      </w:r>
      <w:r w:rsidRPr="00F90671">
        <w:rPr>
          <w:rFonts w:ascii="Verdana" w:hAnsi="Verdana" w:cs="Calibri"/>
          <w:bCs/>
          <w:sz w:val="18"/>
          <w:szCs w:val="18"/>
        </w:rPr>
        <w:t xml:space="preserve">. </w:t>
      </w:r>
      <w:r w:rsidRPr="00F90671">
        <w:rPr>
          <w:rFonts w:ascii="Verdana" w:hAnsi="Verdana" w:cs="Calibri"/>
          <w:bCs/>
          <w:sz w:val="18"/>
          <w:szCs w:val="18"/>
          <w:lang w:val="en-GB"/>
        </w:rPr>
        <w:t>a household comprises one family. There</w:t>
      </w:r>
      <w:r w:rsidRPr="00F90671">
        <w:rPr>
          <w:rFonts w:ascii="Verdana" w:hAnsi="Verdana" w:cs="Calibri"/>
          <w:bCs/>
          <w:sz w:val="18"/>
          <w:szCs w:val="18"/>
        </w:rPr>
        <w:t xml:space="preserve"> </w:t>
      </w:r>
      <w:r w:rsidRPr="00F90671">
        <w:rPr>
          <w:rFonts w:ascii="Verdana" w:hAnsi="Verdana" w:cs="Calibri"/>
          <w:bCs/>
          <w:sz w:val="18"/>
          <w:szCs w:val="18"/>
          <w:lang w:val="en-GB"/>
        </w:rPr>
        <w:t>are</w:t>
      </w:r>
      <w:r w:rsidRPr="00F90671">
        <w:rPr>
          <w:rFonts w:ascii="Verdana" w:hAnsi="Verdana" w:cs="Calibri"/>
          <w:bCs/>
          <w:sz w:val="18"/>
          <w:szCs w:val="18"/>
        </w:rPr>
        <w:t xml:space="preserve"> </w:t>
      </w:r>
      <w:r w:rsidRPr="00F90671">
        <w:rPr>
          <w:rFonts w:ascii="Verdana" w:hAnsi="Verdana" w:cs="Calibri"/>
          <w:bCs/>
          <w:sz w:val="18"/>
          <w:szCs w:val="18"/>
          <w:lang w:val="en-GB"/>
        </w:rPr>
        <w:t>cases</w:t>
      </w:r>
      <w:r w:rsidRPr="00F90671">
        <w:rPr>
          <w:rFonts w:ascii="Verdana" w:hAnsi="Verdana" w:cs="Calibri"/>
          <w:bCs/>
          <w:sz w:val="18"/>
          <w:szCs w:val="18"/>
        </w:rPr>
        <w:t xml:space="preserve">, </w:t>
      </w:r>
      <w:r w:rsidRPr="00F90671">
        <w:rPr>
          <w:rFonts w:ascii="Verdana" w:hAnsi="Verdana" w:cs="Calibri"/>
          <w:bCs/>
          <w:sz w:val="18"/>
          <w:szCs w:val="18"/>
          <w:lang w:val="en-GB"/>
        </w:rPr>
        <w:t>however</w:t>
      </w:r>
      <w:r w:rsidRPr="00F90671">
        <w:rPr>
          <w:rFonts w:ascii="Verdana" w:hAnsi="Verdana" w:cs="Calibri"/>
          <w:bCs/>
          <w:sz w:val="18"/>
          <w:szCs w:val="18"/>
        </w:rPr>
        <w:t xml:space="preserve">, </w:t>
      </w:r>
      <w:r w:rsidRPr="00F90671">
        <w:rPr>
          <w:rFonts w:ascii="Verdana" w:hAnsi="Verdana" w:cs="Calibri"/>
          <w:bCs/>
          <w:sz w:val="18"/>
          <w:szCs w:val="18"/>
          <w:lang w:val="en-GB"/>
        </w:rPr>
        <w:t>in</w:t>
      </w:r>
      <w:r w:rsidRPr="00F90671">
        <w:rPr>
          <w:rFonts w:ascii="Verdana" w:hAnsi="Verdana" w:cs="Calibri"/>
          <w:bCs/>
          <w:sz w:val="18"/>
          <w:szCs w:val="18"/>
        </w:rPr>
        <w:t xml:space="preserve"> </w:t>
      </w:r>
      <w:r w:rsidRPr="00F90671">
        <w:rPr>
          <w:rFonts w:ascii="Verdana" w:hAnsi="Verdana" w:cs="Calibri"/>
          <w:bCs/>
          <w:sz w:val="18"/>
          <w:szCs w:val="18"/>
          <w:lang w:val="en-GB"/>
        </w:rPr>
        <w:t>which</w:t>
      </w:r>
      <w:r w:rsidRPr="00F90671">
        <w:rPr>
          <w:rFonts w:ascii="Verdana" w:hAnsi="Verdana" w:cs="Calibri"/>
          <w:bCs/>
          <w:sz w:val="18"/>
          <w:szCs w:val="18"/>
        </w:rPr>
        <w:t xml:space="preserve"> </w:t>
      </w:r>
      <w:r w:rsidRPr="00F90671">
        <w:rPr>
          <w:rFonts w:ascii="Verdana" w:hAnsi="Verdana" w:cs="Calibri"/>
          <w:bCs/>
          <w:sz w:val="18"/>
          <w:szCs w:val="18"/>
          <w:lang w:val="en-GB"/>
        </w:rPr>
        <w:t>the</w:t>
      </w:r>
      <w:r w:rsidRPr="00F90671">
        <w:rPr>
          <w:rFonts w:ascii="Verdana" w:hAnsi="Verdana" w:cs="Calibri"/>
          <w:bCs/>
          <w:sz w:val="18"/>
          <w:szCs w:val="18"/>
        </w:rPr>
        <w:t xml:space="preserve"> </w:t>
      </w:r>
      <w:r w:rsidRPr="00F90671">
        <w:rPr>
          <w:rFonts w:ascii="Verdana" w:hAnsi="Verdana" w:cs="Calibri"/>
          <w:bCs/>
          <w:sz w:val="18"/>
          <w:szCs w:val="18"/>
          <w:lang w:val="en-GB"/>
        </w:rPr>
        <w:t>definition</w:t>
      </w:r>
      <w:r w:rsidRPr="00F90671">
        <w:rPr>
          <w:rFonts w:ascii="Verdana" w:hAnsi="Verdana" w:cs="Calibri"/>
          <w:bCs/>
          <w:sz w:val="18"/>
          <w:szCs w:val="18"/>
        </w:rPr>
        <w:t xml:space="preserve"> </w:t>
      </w:r>
      <w:r w:rsidRPr="00F90671">
        <w:rPr>
          <w:rFonts w:ascii="Verdana" w:hAnsi="Verdana" w:cs="Calibri"/>
          <w:bCs/>
          <w:sz w:val="18"/>
          <w:szCs w:val="18"/>
          <w:lang w:val="en-GB"/>
        </w:rPr>
        <w:t>of</w:t>
      </w:r>
      <w:r w:rsidRPr="00F90671">
        <w:rPr>
          <w:rFonts w:ascii="Verdana" w:hAnsi="Verdana" w:cs="Calibri"/>
          <w:bCs/>
          <w:sz w:val="18"/>
          <w:szCs w:val="18"/>
        </w:rPr>
        <w:t xml:space="preserve"> </w:t>
      </w:r>
      <w:r w:rsidRPr="00F90671">
        <w:rPr>
          <w:rFonts w:ascii="Verdana" w:hAnsi="Verdana" w:cs="Calibri"/>
          <w:bCs/>
          <w:sz w:val="18"/>
          <w:szCs w:val="18"/>
          <w:lang w:val="en-GB"/>
        </w:rPr>
        <w:t>a</w:t>
      </w:r>
      <w:r w:rsidRPr="00F90671">
        <w:rPr>
          <w:rFonts w:ascii="Verdana" w:hAnsi="Verdana" w:cs="Calibri"/>
          <w:bCs/>
          <w:sz w:val="18"/>
          <w:szCs w:val="18"/>
        </w:rPr>
        <w:t xml:space="preserve"> </w:t>
      </w:r>
      <w:r w:rsidRPr="00F90671">
        <w:rPr>
          <w:rFonts w:ascii="Verdana" w:hAnsi="Verdana" w:cs="Calibri"/>
          <w:bCs/>
          <w:sz w:val="18"/>
          <w:szCs w:val="18"/>
          <w:lang w:val="en-GB"/>
        </w:rPr>
        <w:t>household</w:t>
      </w:r>
      <w:r w:rsidRPr="00F90671">
        <w:rPr>
          <w:rFonts w:ascii="Verdana" w:hAnsi="Verdana" w:cs="Calibri"/>
          <w:bCs/>
          <w:sz w:val="18"/>
          <w:szCs w:val="18"/>
        </w:rPr>
        <w:t xml:space="preserve"> </w:t>
      </w:r>
      <w:r w:rsidRPr="00F90671">
        <w:rPr>
          <w:rFonts w:ascii="Verdana" w:hAnsi="Verdana" w:cs="Calibri"/>
          <w:bCs/>
          <w:sz w:val="18"/>
          <w:szCs w:val="18"/>
          <w:lang w:val="en-GB"/>
        </w:rPr>
        <w:t>is</w:t>
      </w:r>
      <w:r w:rsidRPr="00F90671">
        <w:rPr>
          <w:rFonts w:ascii="Verdana" w:hAnsi="Verdana" w:cs="Calibri"/>
          <w:bCs/>
          <w:sz w:val="18"/>
          <w:szCs w:val="18"/>
        </w:rPr>
        <w:t xml:space="preserve"> </w:t>
      </w:r>
      <w:r w:rsidRPr="00F90671">
        <w:rPr>
          <w:rFonts w:ascii="Verdana" w:hAnsi="Verdana" w:cs="Calibri"/>
          <w:bCs/>
          <w:sz w:val="18"/>
          <w:szCs w:val="18"/>
          <w:lang w:val="en-GB"/>
        </w:rPr>
        <w:t>broader</w:t>
      </w:r>
      <w:r w:rsidRPr="00F90671">
        <w:rPr>
          <w:rFonts w:ascii="Verdana" w:hAnsi="Verdana" w:cs="Calibri"/>
          <w:bCs/>
          <w:sz w:val="18"/>
          <w:szCs w:val="18"/>
        </w:rPr>
        <w:t xml:space="preserve"> </w:t>
      </w:r>
      <w:r w:rsidRPr="00F90671">
        <w:rPr>
          <w:rFonts w:ascii="Verdana" w:hAnsi="Verdana" w:cs="Calibri"/>
          <w:bCs/>
          <w:sz w:val="18"/>
          <w:szCs w:val="18"/>
          <w:lang w:val="en-GB"/>
        </w:rPr>
        <w:t>than</w:t>
      </w:r>
      <w:r w:rsidRPr="00F90671">
        <w:rPr>
          <w:rFonts w:ascii="Verdana" w:hAnsi="Verdana" w:cs="Calibri"/>
          <w:bCs/>
          <w:sz w:val="18"/>
          <w:szCs w:val="18"/>
        </w:rPr>
        <w:t xml:space="preserve"> </w:t>
      </w:r>
      <w:r w:rsidRPr="00F90671">
        <w:rPr>
          <w:rFonts w:ascii="Verdana" w:hAnsi="Verdana" w:cs="Calibri"/>
          <w:bCs/>
          <w:sz w:val="18"/>
          <w:szCs w:val="18"/>
          <w:lang w:val="en-GB"/>
        </w:rPr>
        <w:t>that</w:t>
      </w:r>
      <w:r w:rsidRPr="00F90671">
        <w:rPr>
          <w:rFonts w:ascii="Verdana" w:hAnsi="Verdana" w:cs="Calibri"/>
          <w:bCs/>
          <w:sz w:val="18"/>
          <w:szCs w:val="18"/>
        </w:rPr>
        <w:t xml:space="preserve"> </w:t>
      </w:r>
      <w:r w:rsidRPr="00F90671">
        <w:rPr>
          <w:rFonts w:ascii="Verdana" w:hAnsi="Verdana" w:cs="Calibri"/>
          <w:bCs/>
          <w:sz w:val="18"/>
          <w:szCs w:val="18"/>
          <w:lang w:val="en-GB"/>
        </w:rPr>
        <w:t>of</w:t>
      </w:r>
      <w:r w:rsidRPr="00F90671">
        <w:rPr>
          <w:rFonts w:ascii="Verdana" w:hAnsi="Verdana" w:cs="Calibri"/>
          <w:bCs/>
          <w:sz w:val="18"/>
          <w:szCs w:val="18"/>
        </w:rPr>
        <w:t xml:space="preserve"> </w:t>
      </w:r>
      <w:r w:rsidRPr="00F90671">
        <w:rPr>
          <w:rFonts w:ascii="Verdana" w:hAnsi="Verdana" w:cs="Calibri"/>
          <w:bCs/>
          <w:sz w:val="18"/>
          <w:szCs w:val="18"/>
          <w:lang w:val="en-GB"/>
        </w:rPr>
        <w:t>the</w:t>
      </w:r>
      <w:r w:rsidRPr="00F90671">
        <w:rPr>
          <w:rFonts w:ascii="Verdana" w:hAnsi="Verdana" w:cs="Calibri"/>
          <w:bCs/>
          <w:sz w:val="18"/>
          <w:szCs w:val="18"/>
        </w:rPr>
        <w:t xml:space="preserve"> </w:t>
      </w:r>
      <w:r w:rsidRPr="00F90671">
        <w:rPr>
          <w:rFonts w:ascii="Verdana" w:hAnsi="Verdana" w:cs="Calibri"/>
          <w:bCs/>
          <w:sz w:val="18"/>
          <w:szCs w:val="18"/>
          <w:lang w:val="en-GB"/>
        </w:rPr>
        <w:t>family</w:t>
      </w:r>
      <w:r w:rsidRPr="00F90671">
        <w:rPr>
          <w:rFonts w:ascii="Verdana" w:hAnsi="Verdana" w:cs="Calibri"/>
          <w:bCs/>
          <w:sz w:val="18"/>
          <w:szCs w:val="18"/>
        </w:rPr>
        <w:t xml:space="preserve"> (</w:t>
      </w:r>
      <w:r w:rsidRPr="00F90671">
        <w:rPr>
          <w:rFonts w:ascii="Verdana" w:hAnsi="Verdana" w:cs="Calibri"/>
          <w:bCs/>
          <w:sz w:val="18"/>
          <w:szCs w:val="18"/>
          <w:lang w:val="en-GB"/>
        </w:rPr>
        <w:t>e</w:t>
      </w:r>
      <w:r w:rsidRPr="00F90671">
        <w:rPr>
          <w:rFonts w:ascii="Verdana" w:hAnsi="Verdana" w:cs="Calibri"/>
          <w:bCs/>
          <w:sz w:val="18"/>
          <w:szCs w:val="18"/>
        </w:rPr>
        <w:t>.</w:t>
      </w:r>
      <w:r w:rsidRPr="00F90671">
        <w:rPr>
          <w:rFonts w:ascii="Verdana" w:hAnsi="Verdana" w:cs="Calibri"/>
          <w:bCs/>
          <w:sz w:val="18"/>
          <w:szCs w:val="18"/>
          <w:lang w:val="en-GB"/>
        </w:rPr>
        <w:t>g</w:t>
      </w:r>
      <w:r w:rsidRPr="00F90671">
        <w:rPr>
          <w:rFonts w:ascii="Verdana" w:hAnsi="Verdana" w:cs="Calibri"/>
          <w:bCs/>
          <w:sz w:val="18"/>
          <w:szCs w:val="18"/>
        </w:rPr>
        <w:t xml:space="preserve">. </w:t>
      </w:r>
      <w:r w:rsidRPr="00F90671">
        <w:rPr>
          <w:rFonts w:ascii="Verdana" w:hAnsi="Verdana" w:cs="Calibri"/>
          <w:bCs/>
          <w:sz w:val="18"/>
          <w:szCs w:val="18"/>
          <w:lang w:val="en-GB"/>
        </w:rPr>
        <w:t xml:space="preserve">a household may comprise a father, mother, children and grand-parents).  </w:t>
      </w:r>
    </w:p>
    <w:p w14:paraId="77D42FCB" w14:textId="77777777" w:rsidR="004F7D99" w:rsidRPr="00F90671" w:rsidRDefault="004F7D99" w:rsidP="00F90671">
      <w:pPr>
        <w:spacing w:after="120" w:line="259" w:lineRule="auto"/>
        <w:ind w:right="-187"/>
        <w:contextualSpacing/>
        <w:jc w:val="both"/>
        <w:rPr>
          <w:rFonts w:ascii="Verdana" w:hAnsi="Verdana" w:cs="Calibri"/>
          <w:bCs/>
          <w:sz w:val="18"/>
          <w:szCs w:val="18"/>
          <w:lang w:val="en-GB"/>
        </w:rPr>
      </w:pPr>
    </w:p>
    <w:p w14:paraId="414140EE" w14:textId="77777777" w:rsidR="00025FBF" w:rsidRPr="00F90671" w:rsidRDefault="00025FBF" w:rsidP="00F90671">
      <w:pPr>
        <w:spacing w:after="120" w:line="259" w:lineRule="auto"/>
        <w:ind w:right="-187"/>
        <w:contextualSpacing/>
        <w:jc w:val="both"/>
        <w:rPr>
          <w:rFonts w:ascii="Verdana" w:hAnsi="Verdana" w:cs="Calibri"/>
          <w:bCs/>
          <w:sz w:val="18"/>
          <w:szCs w:val="18"/>
        </w:rPr>
      </w:pPr>
      <w:r w:rsidRPr="00F90671">
        <w:rPr>
          <w:rFonts w:ascii="Verdana" w:hAnsi="Verdana" w:cs="Calibri"/>
          <w:bCs/>
          <w:sz w:val="18"/>
          <w:szCs w:val="18"/>
          <w:u w:val="single"/>
          <w:lang w:val="en-GB"/>
        </w:rPr>
        <w:t>Tenure</w:t>
      </w:r>
      <w:r w:rsidRPr="00F90671">
        <w:rPr>
          <w:rFonts w:ascii="Verdana" w:hAnsi="Verdana" w:cs="Calibri"/>
          <w:bCs/>
          <w:sz w:val="18"/>
          <w:szCs w:val="18"/>
          <w:u w:val="single"/>
        </w:rPr>
        <w:t xml:space="preserve"> </w:t>
      </w:r>
      <w:r w:rsidRPr="00F90671">
        <w:rPr>
          <w:rFonts w:ascii="Verdana" w:hAnsi="Verdana" w:cs="Calibri"/>
          <w:bCs/>
          <w:sz w:val="18"/>
          <w:szCs w:val="18"/>
          <w:u w:val="single"/>
          <w:lang w:val="en-GB"/>
        </w:rPr>
        <w:t>Status</w:t>
      </w:r>
      <w:r w:rsidRPr="00F90671">
        <w:rPr>
          <w:rFonts w:ascii="Verdana" w:hAnsi="Verdana" w:cs="Calibri"/>
          <w:bCs/>
          <w:sz w:val="18"/>
          <w:szCs w:val="18"/>
        </w:rPr>
        <w:t xml:space="preserve">: </w:t>
      </w:r>
      <w:r w:rsidRPr="00F90671">
        <w:rPr>
          <w:rFonts w:ascii="Verdana" w:hAnsi="Verdana" w:cs="Calibri"/>
          <w:bCs/>
          <w:sz w:val="18"/>
          <w:szCs w:val="18"/>
          <w:lang w:val="en-GB"/>
        </w:rPr>
        <w:t>This</w:t>
      </w:r>
      <w:r w:rsidRPr="00F90671">
        <w:rPr>
          <w:rFonts w:ascii="Verdana" w:hAnsi="Verdana" w:cs="Calibri"/>
          <w:bCs/>
          <w:sz w:val="18"/>
          <w:szCs w:val="18"/>
        </w:rPr>
        <w:t xml:space="preserve"> </w:t>
      </w:r>
      <w:r w:rsidRPr="00F90671">
        <w:rPr>
          <w:rFonts w:ascii="Verdana" w:hAnsi="Verdana" w:cs="Calibri"/>
          <w:bCs/>
          <w:sz w:val="18"/>
          <w:szCs w:val="18"/>
          <w:lang w:val="en-GB"/>
        </w:rPr>
        <w:t>refers</w:t>
      </w:r>
      <w:r w:rsidRPr="00F90671">
        <w:rPr>
          <w:rFonts w:ascii="Verdana" w:hAnsi="Verdana" w:cs="Calibri"/>
          <w:bCs/>
          <w:sz w:val="18"/>
          <w:szCs w:val="18"/>
        </w:rPr>
        <w:t xml:space="preserve"> </w:t>
      </w:r>
      <w:r w:rsidRPr="00F90671">
        <w:rPr>
          <w:rFonts w:ascii="Verdana" w:hAnsi="Verdana" w:cs="Calibri"/>
          <w:bCs/>
          <w:sz w:val="18"/>
          <w:szCs w:val="18"/>
          <w:lang w:val="en-GB"/>
        </w:rPr>
        <w:t>to</w:t>
      </w:r>
      <w:r w:rsidRPr="00F90671">
        <w:rPr>
          <w:rFonts w:ascii="Verdana" w:hAnsi="Verdana" w:cs="Calibri"/>
          <w:bCs/>
          <w:sz w:val="18"/>
          <w:szCs w:val="18"/>
        </w:rPr>
        <w:t xml:space="preserve"> </w:t>
      </w:r>
      <w:r w:rsidRPr="00F90671">
        <w:rPr>
          <w:rFonts w:ascii="Verdana" w:hAnsi="Verdana" w:cs="Calibri"/>
          <w:bCs/>
          <w:sz w:val="18"/>
          <w:szCs w:val="18"/>
          <w:lang w:val="en-GB"/>
        </w:rPr>
        <w:t>whether</w:t>
      </w:r>
      <w:r w:rsidRPr="00F90671">
        <w:rPr>
          <w:rFonts w:ascii="Verdana" w:hAnsi="Verdana" w:cs="Calibri"/>
          <w:bCs/>
          <w:sz w:val="18"/>
          <w:szCs w:val="18"/>
        </w:rPr>
        <w:t xml:space="preserve"> </w:t>
      </w:r>
      <w:r w:rsidRPr="00F90671">
        <w:rPr>
          <w:rFonts w:ascii="Verdana" w:hAnsi="Verdana" w:cs="Calibri"/>
          <w:bCs/>
          <w:sz w:val="18"/>
          <w:szCs w:val="18"/>
          <w:lang w:val="en-GB"/>
        </w:rPr>
        <w:t>the</w:t>
      </w:r>
      <w:r w:rsidRPr="00F90671">
        <w:rPr>
          <w:rFonts w:ascii="Verdana" w:hAnsi="Verdana" w:cs="Calibri"/>
          <w:bCs/>
          <w:sz w:val="18"/>
          <w:szCs w:val="18"/>
        </w:rPr>
        <w:t xml:space="preserve"> </w:t>
      </w:r>
      <w:r w:rsidRPr="00F90671">
        <w:rPr>
          <w:rFonts w:ascii="Verdana" w:hAnsi="Verdana" w:cs="Calibri"/>
          <w:bCs/>
          <w:sz w:val="18"/>
          <w:szCs w:val="18"/>
          <w:lang w:val="en-GB"/>
        </w:rPr>
        <w:t>housing</w:t>
      </w:r>
      <w:r w:rsidRPr="00F90671">
        <w:rPr>
          <w:rFonts w:ascii="Verdana" w:hAnsi="Verdana" w:cs="Calibri"/>
          <w:bCs/>
          <w:sz w:val="18"/>
          <w:szCs w:val="18"/>
        </w:rPr>
        <w:t xml:space="preserve"> </w:t>
      </w:r>
      <w:r w:rsidRPr="00F90671">
        <w:rPr>
          <w:rFonts w:ascii="Verdana" w:hAnsi="Verdana" w:cs="Calibri"/>
          <w:bCs/>
          <w:sz w:val="18"/>
          <w:szCs w:val="18"/>
          <w:lang w:val="en-GB"/>
        </w:rPr>
        <w:t>unit</w:t>
      </w:r>
      <w:r w:rsidRPr="00F90671">
        <w:rPr>
          <w:rFonts w:ascii="Verdana" w:hAnsi="Verdana" w:cs="Calibri"/>
          <w:bCs/>
          <w:sz w:val="18"/>
          <w:szCs w:val="18"/>
        </w:rPr>
        <w:t xml:space="preserve"> </w:t>
      </w:r>
      <w:r w:rsidRPr="00F90671">
        <w:rPr>
          <w:rFonts w:ascii="Verdana" w:hAnsi="Verdana" w:cs="Calibri"/>
          <w:bCs/>
          <w:sz w:val="18"/>
          <w:szCs w:val="18"/>
          <w:lang w:val="en-GB"/>
        </w:rPr>
        <w:t>is</w:t>
      </w:r>
      <w:r w:rsidRPr="00F90671">
        <w:rPr>
          <w:rFonts w:ascii="Verdana" w:hAnsi="Verdana" w:cs="Calibri"/>
          <w:bCs/>
          <w:sz w:val="18"/>
          <w:szCs w:val="18"/>
        </w:rPr>
        <w:t xml:space="preserve"> </w:t>
      </w:r>
      <w:r w:rsidRPr="00F90671">
        <w:rPr>
          <w:rFonts w:ascii="Verdana" w:hAnsi="Verdana" w:cs="Calibri"/>
          <w:bCs/>
          <w:sz w:val="18"/>
          <w:szCs w:val="18"/>
          <w:lang w:val="en-GB"/>
        </w:rPr>
        <w:t>owner</w:t>
      </w:r>
      <w:r w:rsidRPr="00F90671">
        <w:rPr>
          <w:rFonts w:ascii="Verdana" w:hAnsi="Verdana" w:cs="Calibri"/>
          <w:bCs/>
          <w:sz w:val="18"/>
          <w:szCs w:val="18"/>
        </w:rPr>
        <w:t>-</w:t>
      </w:r>
      <w:r w:rsidRPr="00F90671">
        <w:rPr>
          <w:rFonts w:ascii="Verdana" w:hAnsi="Verdana" w:cs="Calibri"/>
          <w:bCs/>
          <w:sz w:val="18"/>
          <w:szCs w:val="18"/>
          <w:lang w:val="en-GB"/>
        </w:rPr>
        <w:t>occupied</w:t>
      </w:r>
      <w:r w:rsidRPr="00F90671">
        <w:rPr>
          <w:rFonts w:ascii="Verdana" w:hAnsi="Verdana" w:cs="Calibri"/>
          <w:bCs/>
          <w:sz w:val="18"/>
          <w:szCs w:val="18"/>
        </w:rPr>
        <w:t xml:space="preserve">, </w:t>
      </w:r>
      <w:r w:rsidRPr="00F90671">
        <w:rPr>
          <w:rFonts w:ascii="Verdana" w:hAnsi="Verdana" w:cs="Calibri"/>
          <w:bCs/>
          <w:sz w:val="18"/>
          <w:szCs w:val="18"/>
          <w:lang w:val="en-GB"/>
        </w:rPr>
        <w:t>rented, of free lodging or if another form of tenure status applies.</w:t>
      </w:r>
    </w:p>
    <w:p w14:paraId="7F64B131" w14:textId="77777777" w:rsidR="00025FBF" w:rsidRPr="00F90671" w:rsidRDefault="00025FBF" w:rsidP="00F90671">
      <w:pPr>
        <w:spacing w:after="120" w:line="259" w:lineRule="auto"/>
        <w:ind w:right="-187"/>
        <w:contextualSpacing/>
        <w:jc w:val="both"/>
        <w:rPr>
          <w:rFonts w:ascii="Verdana" w:hAnsi="Verdana" w:cs="Calibri"/>
          <w:bCs/>
          <w:sz w:val="18"/>
          <w:szCs w:val="18"/>
        </w:rPr>
      </w:pPr>
    </w:p>
    <w:p w14:paraId="54EE909F" w14:textId="77777777" w:rsidR="00025FBF" w:rsidRPr="00F90671" w:rsidRDefault="00025FBF" w:rsidP="00F90671">
      <w:pPr>
        <w:spacing w:after="120" w:line="259" w:lineRule="auto"/>
        <w:ind w:right="-187"/>
        <w:contextualSpacing/>
        <w:jc w:val="both"/>
        <w:rPr>
          <w:rFonts w:ascii="Verdana" w:hAnsi="Verdana" w:cs="Calibri"/>
          <w:bCs/>
          <w:sz w:val="18"/>
          <w:szCs w:val="18"/>
        </w:rPr>
      </w:pPr>
      <w:r w:rsidRPr="00F90671">
        <w:rPr>
          <w:rFonts w:ascii="Verdana" w:hAnsi="Verdana" w:cs="Calibri"/>
          <w:bCs/>
          <w:sz w:val="18"/>
          <w:szCs w:val="18"/>
          <w:lang w:val="en-GB"/>
        </w:rPr>
        <w:t>a</w:t>
      </w:r>
      <w:r w:rsidRPr="00F90671">
        <w:rPr>
          <w:rFonts w:ascii="Verdana" w:hAnsi="Verdana" w:cs="Calibri"/>
          <w:bCs/>
          <w:sz w:val="18"/>
          <w:szCs w:val="18"/>
        </w:rPr>
        <w:t xml:space="preserve">) </w:t>
      </w:r>
      <w:r w:rsidRPr="00F90671">
        <w:rPr>
          <w:rFonts w:ascii="Verdana" w:hAnsi="Verdana" w:cs="Calibri"/>
          <w:bCs/>
          <w:sz w:val="18"/>
          <w:szCs w:val="18"/>
          <w:u w:val="single"/>
          <w:lang w:val="en-GB"/>
        </w:rPr>
        <w:t>Owner-occupied</w:t>
      </w:r>
      <w:r w:rsidRPr="00F90671">
        <w:rPr>
          <w:rFonts w:ascii="Verdana" w:hAnsi="Verdana" w:cs="Calibri"/>
          <w:bCs/>
          <w:sz w:val="18"/>
          <w:szCs w:val="18"/>
        </w:rPr>
        <w:t xml:space="preserve">: </w:t>
      </w:r>
      <w:r w:rsidRPr="00F90671">
        <w:rPr>
          <w:rFonts w:ascii="Verdana" w:hAnsi="Verdana" w:cs="Calibri"/>
          <w:bCs/>
          <w:sz w:val="18"/>
          <w:szCs w:val="18"/>
          <w:lang w:val="en-GB"/>
        </w:rPr>
        <w:t xml:space="preserve">The housing unit belongs to one of the members of the household. </w:t>
      </w:r>
    </w:p>
    <w:p w14:paraId="5F2F0C49" w14:textId="77777777" w:rsidR="00025FBF" w:rsidRPr="00F90671" w:rsidRDefault="00025FBF" w:rsidP="00F90671">
      <w:pPr>
        <w:spacing w:after="120" w:line="259" w:lineRule="auto"/>
        <w:ind w:right="-187"/>
        <w:contextualSpacing/>
        <w:jc w:val="both"/>
        <w:rPr>
          <w:rFonts w:ascii="Verdana" w:hAnsi="Verdana" w:cs="Calibri"/>
          <w:bCs/>
          <w:sz w:val="18"/>
          <w:szCs w:val="18"/>
        </w:rPr>
      </w:pPr>
    </w:p>
    <w:p w14:paraId="2AF73545" w14:textId="77777777" w:rsidR="00025FBF" w:rsidRPr="00F90671" w:rsidRDefault="00025FBF" w:rsidP="00F90671">
      <w:pPr>
        <w:spacing w:after="120" w:line="259" w:lineRule="auto"/>
        <w:ind w:right="-187"/>
        <w:contextualSpacing/>
        <w:jc w:val="both"/>
        <w:rPr>
          <w:rFonts w:ascii="Verdana" w:hAnsi="Verdana" w:cs="Calibri"/>
          <w:bCs/>
          <w:sz w:val="18"/>
          <w:szCs w:val="18"/>
          <w:lang w:val="en-GB"/>
        </w:rPr>
      </w:pPr>
      <w:r w:rsidRPr="00F90671">
        <w:rPr>
          <w:rFonts w:ascii="Verdana" w:hAnsi="Verdana" w:cs="Calibri"/>
          <w:bCs/>
          <w:sz w:val="18"/>
          <w:szCs w:val="18"/>
          <w:lang w:val="en-GB"/>
        </w:rPr>
        <w:t>b</w:t>
      </w:r>
      <w:r w:rsidRPr="00F90671">
        <w:rPr>
          <w:rFonts w:ascii="Verdana" w:hAnsi="Verdana" w:cs="Calibri"/>
          <w:bCs/>
          <w:sz w:val="18"/>
          <w:szCs w:val="18"/>
        </w:rPr>
        <w:t xml:space="preserve">) </w:t>
      </w:r>
      <w:r w:rsidRPr="00F90671">
        <w:rPr>
          <w:rFonts w:ascii="Verdana" w:hAnsi="Verdana" w:cs="Calibri"/>
          <w:bCs/>
          <w:sz w:val="18"/>
          <w:szCs w:val="18"/>
          <w:u w:val="single"/>
          <w:lang w:val="en-GB"/>
        </w:rPr>
        <w:t>Rented</w:t>
      </w:r>
      <w:r w:rsidRPr="00F90671">
        <w:rPr>
          <w:rFonts w:ascii="Verdana" w:hAnsi="Verdana" w:cs="Calibri"/>
          <w:bCs/>
          <w:sz w:val="18"/>
          <w:szCs w:val="18"/>
        </w:rPr>
        <w:t xml:space="preserve">: </w:t>
      </w:r>
      <w:r w:rsidRPr="00F90671">
        <w:rPr>
          <w:rFonts w:ascii="Verdana" w:hAnsi="Verdana" w:cs="Calibri"/>
          <w:bCs/>
          <w:sz w:val="18"/>
          <w:szCs w:val="18"/>
          <w:lang w:val="en-GB"/>
        </w:rPr>
        <w:t>The</w:t>
      </w:r>
      <w:r w:rsidRPr="00F90671">
        <w:rPr>
          <w:rFonts w:ascii="Verdana" w:hAnsi="Verdana" w:cs="Calibri"/>
          <w:bCs/>
          <w:sz w:val="18"/>
          <w:szCs w:val="18"/>
        </w:rPr>
        <w:t xml:space="preserve"> </w:t>
      </w:r>
      <w:r w:rsidRPr="00F90671">
        <w:rPr>
          <w:rFonts w:ascii="Verdana" w:hAnsi="Verdana" w:cs="Calibri"/>
          <w:bCs/>
          <w:sz w:val="18"/>
          <w:szCs w:val="18"/>
          <w:lang w:val="en-GB"/>
        </w:rPr>
        <w:t>tenant</w:t>
      </w:r>
      <w:r w:rsidRPr="00F90671">
        <w:rPr>
          <w:rFonts w:ascii="Verdana" w:hAnsi="Verdana" w:cs="Calibri"/>
          <w:bCs/>
          <w:sz w:val="18"/>
          <w:szCs w:val="18"/>
        </w:rPr>
        <w:t xml:space="preserve"> </w:t>
      </w:r>
      <w:r w:rsidRPr="00F90671">
        <w:rPr>
          <w:rFonts w:ascii="Verdana" w:hAnsi="Verdana" w:cs="Calibri"/>
          <w:bCs/>
          <w:sz w:val="18"/>
          <w:szCs w:val="18"/>
          <w:lang w:val="en-GB"/>
        </w:rPr>
        <w:t>of</w:t>
      </w:r>
      <w:r w:rsidRPr="00F90671">
        <w:rPr>
          <w:rFonts w:ascii="Verdana" w:hAnsi="Verdana" w:cs="Calibri"/>
          <w:bCs/>
          <w:sz w:val="18"/>
          <w:szCs w:val="18"/>
        </w:rPr>
        <w:t xml:space="preserve"> </w:t>
      </w:r>
      <w:r w:rsidRPr="00F90671">
        <w:rPr>
          <w:rFonts w:ascii="Verdana" w:hAnsi="Verdana" w:cs="Calibri"/>
          <w:bCs/>
          <w:sz w:val="18"/>
          <w:szCs w:val="18"/>
          <w:lang w:val="en-GB"/>
        </w:rPr>
        <w:t>the</w:t>
      </w:r>
      <w:r w:rsidRPr="00F90671">
        <w:rPr>
          <w:rFonts w:ascii="Verdana" w:hAnsi="Verdana" w:cs="Calibri"/>
          <w:bCs/>
          <w:sz w:val="18"/>
          <w:szCs w:val="18"/>
        </w:rPr>
        <w:t xml:space="preserve"> </w:t>
      </w:r>
      <w:r w:rsidRPr="00F90671">
        <w:rPr>
          <w:rFonts w:ascii="Verdana" w:hAnsi="Verdana" w:cs="Calibri"/>
          <w:bCs/>
          <w:sz w:val="18"/>
          <w:szCs w:val="18"/>
          <w:lang w:val="en-GB"/>
        </w:rPr>
        <w:t>housing</w:t>
      </w:r>
      <w:r w:rsidRPr="00F90671">
        <w:rPr>
          <w:rFonts w:ascii="Verdana" w:hAnsi="Verdana" w:cs="Calibri"/>
          <w:bCs/>
          <w:sz w:val="18"/>
          <w:szCs w:val="18"/>
        </w:rPr>
        <w:t xml:space="preserve"> </w:t>
      </w:r>
      <w:r w:rsidRPr="00F90671">
        <w:rPr>
          <w:rFonts w:ascii="Verdana" w:hAnsi="Verdana" w:cs="Calibri"/>
          <w:bCs/>
          <w:sz w:val="18"/>
          <w:szCs w:val="18"/>
          <w:lang w:val="en-GB"/>
        </w:rPr>
        <w:t>unit</w:t>
      </w:r>
      <w:r w:rsidRPr="00F90671">
        <w:rPr>
          <w:rFonts w:ascii="Verdana" w:hAnsi="Verdana" w:cs="Calibri"/>
          <w:bCs/>
          <w:sz w:val="18"/>
          <w:szCs w:val="18"/>
        </w:rPr>
        <w:t xml:space="preserve"> (</w:t>
      </w:r>
      <w:r w:rsidRPr="00F90671">
        <w:rPr>
          <w:rFonts w:ascii="Verdana" w:hAnsi="Verdana" w:cs="Calibri"/>
          <w:bCs/>
          <w:sz w:val="18"/>
          <w:szCs w:val="18"/>
          <w:lang w:val="en-GB"/>
        </w:rPr>
        <w:t>or</w:t>
      </w:r>
      <w:r w:rsidRPr="00F90671">
        <w:rPr>
          <w:rFonts w:ascii="Verdana" w:hAnsi="Verdana" w:cs="Calibri"/>
          <w:bCs/>
          <w:sz w:val="18"/>
          <w:szCs w:val="18"/>
        </w:rPr>
        <w:t xml:space="preserve"> </w:t>
      </w:r>
      <w:r w:rsidRPr="00F90671">
        <w:rPr>
          <w:rFonts w:ascii="Verdana" w:hAnsi="Verdana" w:cs="Calibri"/>
          <w:bCs/>
          <w:sz w:val="18"/>
          <w:szCs w:val="18"/>
          <w:lang w:val="en-GB"/>
        </w:rPr>
        <w:t>some</w:t>
      </w:r>
      <w:r w:rsidRPr="00F90671">
        <w:rPr>
          <w:rFonts w:ascii="Verdana" w:hAnsi="Verdana" w:cs="Calibri"/>
          <w:bCs/>
          <w:sz w:val="18"/>
          <w:szCs w:val="18"/>
        </w:rPr>
        <w:t xml:space="preserve"> </w:t>
      </w:r>
      <w:r w:rsidRPr="00F90671">
        <w:rPr>
          <w:rFonts w:ascii="Verdana" w:hAnsi="Verdana" w:cs="Calibri"/>
          <w:bCs/>
          <w:sz w:val="18"/>
          <w:szCs w:val="18"/>
          <w:lang w:val="en-GB"/>
        </w:rPr>
        <w:t>other</w:t>
      </w:r>
      <w:r w:rsidRPr="00F90671">
        <w:rPr>
          <w:rFonts w:ascii="Verdana" w:hAnsi="Verdana" w:cs="Calibri"/>
          <w:bCs/>
          <w:sz w:val="18"/>
          <w:szCs w:val="18"/>
        </w:rPr>
        <w:t xml:space="preserve"> </w:t>
      </w:r>
      <w:r w:rsidRPr="00F90671">
        <w:rPr>
          <w:rFonts w:ascii="Verdana" w:hAnsi="Verdana" w:cs="Calibri"/>
          <w:bCs/>
          <w:sz w:val="18"/>
          <w:szCs w:val="18"/>
          <w:lang w:val="en-GB"/>
        </w:rPr>
        <w:t>person</w:t>
      </w:r>
      <w:r w:rsidRPr="00F90671">
        <w:rPr>
          <w:rFonts w:ascii="Verdana" w:hAnsi="Verdana" w:cs="Calibri"/>
          <w:bCs/>
          <w:sz w:val="18"/>
          <w:szCs w:val="18"/>
        </w:rPr>
        <w:t xml:space="preserve"> </w:t>
      </w:r>
      <w:r w:rsidRPr="00F90671">
        <w:rPr>
          <w:rFonts w:ascii="Verdana" w:hAnsi="Verdana" w:cs="Calibri"/>
          <w:bCs/>
          <w:sz w:val="18"/>
          <w:szCs w:val="18"/>
          <w:lang w:val="en-GB"/>
        </w:rPr>
        <w:t>or</w:t>
      </w:r>
      <w:r w:rsidRPr="00F90671">
        <w:rPr>
          <w:rFonts w:ascii="Verdana" w:hAnsi="Verdana" w:cs="Calibri"/>
          <w:bCs/>
          <w:sz w:val="18"/>
          <w:szCs w:val="18"/>
        </w:rPr>
        <w:t xml:space="preserve"> </w:t>
      </w:r>
      <w:r w:rsidRPr="00F90671">
        <w:rPr>
          <w:rFonts w:ascii="Verdana" w:hAnsi="Verdana" w:cs="Calibri"/>
          <w:bCs/>
          <w:sz w:val="18"/>
          <w:szCs w:val="18"/>
          <w:lang w:val="en-GB"/>
        </w:rPr>
        <w:t>company</w:t>
      </w:r>
      <w:r w:rsidRPr="00F90671">
        <w:rPr>
          <w:rFonts w:ascii="Verdana" w:hAnsi="Verdana" w:cs="Calibri"/>
          <w:bCs/>
          <w:sz w:val="18"/>
          <w:szCs w:val="18"/>
        </w:rPr>
        <w:t xml:space="preserve"> </w:t>
      </w:r>
      <w:r w:rsidRPr="00F90671">
        <w:rPr>
          <w:rFonts w:ascii="Verdana" w:hAnsi="Verdana" w:cs="Calibri"/>
          <w:bCs/>
          <w:sz w:val="18"/>
          <w:szCs w:val="18"/>
          <w:lang w:val="en-GB"/>
        </w:rPr>
        <w:t>etc</w:t>
      </w:r>
      <w:r w:rsidRPr="00F90671">
        <w:rPr>
          <w:rFonts w:ascii="Verdana" w:hAnsi="Verdana" w:cs="Calibri"/>
          <w:bCs/>
          <w:sz w:val="18"/>
          <w:szCs w:val="18"/>
        </w:rPr>
        <w:t xml:space="preserve">.) </w:t>
      </w:r>
      <w:r w:rsidRPr="00F90671">
        <w:rPr>
          <w:rFonts w:ascii="Verdana" w:hAnsi="Verdana" w:cs="Calibri"/>
          <w:bCs/>
          <w:sz w:val="18"/>
          <w:szCs w:val="18"/>
          <w:lang w:val="en-GB"/>
        </w:rPr>
        <w:t xml:space="preserve">pays rent to the owner of the housing unit. </w:t>
      </w:r>
    </w:p>
    <w:p w14:paraId="68C36F5B" w14:textId="77777777" w:rsidR="00025FBF" w:rsidRPr="00F90671" w:rsidRDefault="00025FBF" w:rsidP="00F90671">
      <w:pPr>
        <w:spacing w:after="120" w:line="259" w:lineRule="auto"/>
        <w:ind w:right="-187"/>
        <w:contextualSpacing/>
        <w:jc w:val="both"/>
        <w:rPr>
          <w:rFonts w:ascii="Verdana" w:hAnsi="Verdana" w:cs="Calibri"/>
          <w:bCs/>
          <w:sz w:val="18"/>
          <w:szCs w:val="18"/>
        </w:rPr>
      </w:pPr>
    </w:p>
    <w:p w14:paraId="2C93E75A" w14:textId="534C5045" w:rsidR="00025FBF" w:rsidRPr="00F90671" w:rsidRDefault="00025FBF" w:rsidP="00F90671">
      <w:pPr>
        <w:spacing w:after="120" w:line="259" w:lineRule="auto"/>
        <w:ind w:right="-187"/>
        <w:contextualSpacing/>
        <w:jc w:val="both"/>
        <w:rPr>
          <w:rFonts w:ascii="Verdana" w:hAnsi="Verdana" w:cs="Calibri"/>
          <w:bCs/>
          <w:sz w:val="18"/>
          <w:szCs w:val="18"/>
        </w:rPr>
      </w:pPr>
      <w:r w:rsidRPr="00F90671">
        <w:rPr>
          <w:rFonts w:ascii="Verdana" w:hAnsi="Verdana" w:cs="Calibri"/>
          <w:bCs/>
          <w:sz w:val="18"/>
          <w:szCs w:val="18"/>
          <w:lang w:val="en-GB"/>
        </w:rPr>
        <w:t>c</w:t>
      </w:r>
      <w:r w:rsidRPr="00F90671">
        <w:rPr>
          <w:rFonts w:ascii="Verdana" w:hAnsi="Verdana" w:cs="Calibri"/>
          <w:bCs/>
          <w:sz w:val="18"/>
          <w:szCs w:val="18"/>
        </w:rPr>
        <w:t xml:space="preserve">) </w:t>
      </w:r>
      <w:r w:rsidR="0031769B" w:rsidRPr="00F90671">
        <w:rPr>
          <w:rFonts w:ascii="Verdana" w:hAnsi="Verdana" w:cs="Calibri"/>
          <w:bCs/>
          <w:sz w:val="18"/>
          <w:szCs w:val="18"/>
          <w:u w:val="single"/>
        </w:rPr>
        <w:t>Provided for f</w:t>
      </w:r>
      <w:r w:rsidRPr="00F90671">
        <w:rPr>
          <w:rFonts w:ascii="Verdana" w:hAnsi="Verdana" w:cs="Calibri"/>
          <w:bCs/>
          <w:sz w:val="18"/>
          <w:szCs w:val="18"/>
          <w:u w:val="single"/>
          <w:lang w:val="en-GB"/>
        </w:rPr>
        <w:t>ree</w:t>
      </w:r>
      <w:r w:rsidRPr="00F90671">
        <w:rPr>
          <w:rFonts w:ascii="Verdana" w:hAnsi="Verdana" w:cs="Calibri"/>
          <w:bCs/>
          <w:sz w:val="18"/>
          <w:szCs w:val="18"/>
        </w:rPr>
        <w:t xml:space="preserve">: </w:t>
      </w:r>
      <w:r w:rsidRPr="00F90671">
        <w:rPr>
          <w:rFonts w:ascii="Verdana" w:hAnsi="Verdana" w:cs="Calibri"/>
          <w:bCs/>
          <w:sz w:val="18"/>
          <w:szCs w:val="18"/>
          <w:lang w:val="en-GB"/>
        </w:rPr>
        <w:t>This refers to the case where the housing unit is offered for free lodging to relatives or other persons (without the person residing in the housing unit having to pay rent to the owner).</w:t>
      </w:r>
    </w:p>
    <w:p w14:paraId="411F33BF" w14:textId="77777777" w:rsidR="00025FBF" w:rsidRPr="00F90671" w:rsidRDefault="00025FBF" w:rsidP="00F90671">
      <w:pPr>
        <w:spacing w:after="120" w:line="259" w:lineRule="auto"/>
        <w:ind w:right="-187"/>
        <w:contextualSpacing/>
        <w:jc w:val="both"/>
        <w:rPr>
          <w:rFonts w:ascii="Verdana" w:hAnsi="Verdana" w:cs="Calibri"/>
          <w:bCs/>
          <w:sz w:val="18"/>
          <w:szCs w:val="18"/>
        </w:rPr>
      </w:pPr>
    </w:p>
    <w:p w14:paraId="65110E3C" w14:textId="08C2A5F7" w:rsidR="00025FBF" w:rsidRPr="00F90671" w:rsidRDefault="00025FBF" w:rsidP="00F90671">
      <w:pPr>
        <w:spacing w:after="120" w:line="259" w:lineRule="auto"/>
        <w:ind w:right="-187"/>
        <w:contextualSpacing/>
        <w:jc w:val="both"/>
        <w:rPr>
          <w:rFonts w:ascii="Verdana" w:hAnsi="Verdana" w:cs="Calibri"/>
          <w:bCs/>
          <w:sz w:val="18"/>
          <w:szCs w:val="18"/>
        </w:rPr>
      </w:pPr>
      <w:r w:rsidRPr="00F90671">
        <w:rPr>
          <w:rFonts w:ascii="Verdana" w:hAnsi="Verdana" w:cs="Calibri"/>
          <w:bCs/>
          <w:sz w:val="18"/>
          <w:szCs w:val="18"/>
          <w:lang w:val="en-GB"/>
        </w:rPr>
        <w:t>d</w:t>
      </w:r>
      <w:r w:rsidRPr="00F90671">
        <w:rPr>
          <w:rFonts w:ascii="Verdana" w:hAnsi="Verdana" w:cs="Calibri"/>
          <w:bCs/>
          <w:sz w:val="18"/>
          <w:szCs w:val="18"/>
        </w:rPr>
        <w:t>)</w:t>
      </w:r>
      <w:r w:rsidRPr="00F90671">
        <w:rPr>
          <w:rFonts w:ascii="Verdana" w:hAnsi="Verdana" w:cs="Calibri"/>
          <w:bCs/>
          <w:sz w:val="18"/>
          <w:szCs w:val="18"/>
          <w:lang w:val="en-GB"/>
        </w:rPr>
        <w:t xml:space="preserve"> </w:t>
      </w:r>
      <w:proofErr w:type="gramStart"/>
      <w:r w:rsidRPr="00F90671">
        <w:rPr>
          <w:rFonts w:ascii="Verdana" w:hAnsi="Verdana" w:cs="Calibri"/>
          <w:bCs/>
          <w:sz w:val="18"/>
          <w:szCs w:val="18"/>
          <w:u w:val="single"/>
          <w:lang w:val="en-GB"/>
        </w:rPr>
        <w:t>Other</w:t>
      </w:r>
      <w:proofErr w:type="gramEnd"/>
      <w:r w:rsidR="0061153A" w:rsidRPr="00F90671">
        <w:rPr>
          <w:rFonts w:ascii="Verdana" w:hAnsi="Verdana" w:cs="Calibri"/>
          <w:bCs/>
          <w:sz w:val="18"/>
          <w:szCs w:val="18"/>
          <w:u w:val="single"/>
          <w:lang w:val="en-GB"/>
        </w:rPr>
        <w:t xml:space="preserve"> </w:t>
      </w:r>
      <w:r w:rsidRPr="00F90671">
        <w:rPr>
          <w:rFonts w:ascii="Verdana" w:hAnsi="Verdana" w:cs="Calibri"/>
          <w:bCs/>
          <w:sz w:val="18"/>
          <w:szCs w:val="18"/>
          <w:u w:val="single"/>
          <w:lang w:val="en-GB"/>
        </w:rPr>
        <w:t>tenure status</w:t>
      </w:r>
      <w:r w:rsidRPr="00F90671">
        <w:rPr>
          <w:rFonts w:ascii="Verdana" w:hAnsi="Verdana" w:cs="Calibri"/>
          <w:bCs/>
          <w:sz w:val="18"/>
          <w:szCs w:val="18"/>
        </w:rPr>
        <w:t xml:space="preserve">: </w:t>
      </w:r>
      <w:r w:rsidRPr="00F90671">
        <w:rPr>
          <w:rFonts w:ascii="Verdana" w:hAnsi="Verdana" w:cs="Calibri"/>
          <w:bCs/>
          <w:sz w:val="18"/>
          <w:szCs w:val="18"/>
          <w:lang w:val="en-GB"/>
        </w:rPr>
        <w:t>This refers to the cases where the tenure status cannot be described by one of the previous categories.</w:t>
      </w:r>
    </w:p>
    <w:p w14:paraId="402FBF8F" w14:textId="77777777" w:rsidR="00025FBF" w:rsidRPr="00F90671" w:rsidRDefault="00025FBF" w:rsidP="00F90671">
      <w:pPr>
        <w:spacing w:after="120" w:line="259" w:lineRule="auto"/>
        <w:ind w:right="-187"/>
        <w:contextualSpacing/>
        <w:jc w:val="both"/>
        <w:rPr>
          <w:rFonts w:ascii="Verdana" w:hAnsi="Verdana" w:cs="Calibri"/>
          <w:bCs/>
          <w:sz w:val="18"/>
          <w:szCs w:val="18"/>
          <w:u w:val="single"/>
        </w:rPr>
      </w:pPr>
    </w:p>
    <w:p w14:paraId="4F232535" w14:textId="77777777" w:rsidR="00025FBF" w:rsidRPr="00F90671" w:rsidRDefault="00025FBF" w:rsidP="00F90671">
      <w:pPr>
        <w:spacing w:after="200" w:line="276" w:lineRule="auto"/>
        <w:contextualSpacing/>
        <w:jc w:val="both"/>
        <w:rPr>
          <w:rFonts w:ascii="Verdana" w:hAnsi="Verdana" w:cs="Calibri"/>
          <w:bCs/>
          <w:sz w:val="18"/>
          <w:szCs w:val="18"/>
          <w:u w:val="single"/>
        </w:rPr>
      </w:pPr>
      <w:r w:rsidRPr="00F90671">
        <w:rPr>
          <w:rFonts w:ascii="Verdana" w:hAnsi="Verdana" w:cs="Calibri"/>
          <w:bCs/>
          <w:sz w:val="18"/>
          <w:szCs w:val="18"/>
          <w:u w:val="single"/>
          <w:lang w:val="en-GB"/>
        </w:rPr>
        <w:t>Country</w:t>
      </w:r>
      <w:r w:rsidRPr="00F90671">
        <w:rPr>
          <w:rFonts w:ascii="Verdana" w:hAnsi="Verdana" w:cs="Calibri"/>
          <w:bCs/>
          <w:sz w:val="18"/>
          <w:szCs w:val="18"/>
          <w:u w:val="single"/>
        </w:rPr>
        <w:t xml:space="preserve"> </w:t>
      </w:r>
      <w:r w:rsidRPr="00F90671">
        <w:rPr>
          <w:rFonts w:ascii="Verdana" w:hAnsi="Verdana" w:cs="Calibri"/>
          <w:bCs/>
          <w:sz w:val="18"/>
          <w:szCs w:val="18"/>
          <w:u w:val="single"/>
          <w:lang w:val="en-GB"/>
        </w:rPr>
        <w:t>of</w:t>
      </w:r>
      <w:r w:rsidRPr="00F90671">
        <w:rPr>
          <w:rFonts w:ascii="Verdana" w:hAnsi="Verdana" w:cs="Calibri"/>
          <w:bCs/>
          <w:sz w:val="18"/>
          <w:szCs w:val="18"/>
          <w:u w:val="single"/>
        </w:rPr>
        <w:t xml:space="preserve"> </w:t>
      </w:r>
      <w:r w:rsidRPr="00F90671">
        <w:rPr>
          <w:rFonts w:ascii="Verdana" w:hAnsi="Verdana" w:cs="Calibri"/>
          <w:bCs/>
          <w:sz w:val="18"/>
          <w:szCs w:val="18"/>
          <w:u w:val="single"/>
          <w:lang w:val="en-GB"/>
        </w:rPr>
        <w:t>birth</w:t>
      </w:r>
      <w:r w:rsidRPr="00F90671">
        <w:rPr>
          <w:rFonts w:ascii="Verdana" w:hAnsi="Verdana" w:cs="Calibri"/>
          <w:bCs/>
          <w:sz w:val="18"/>
          <w:szCs w:val="18"/>
          <w:u w:val="single"/>
        </w:rPr>
        <w:t>:</w:t>
      </w:r>
      <w:r w:rsidRPr="00F90671">
        <w:rPr>
          <w:rFonts w:ascii="Verdana" w:hAnsi="Verdana" w:cs="Calibri"/>
          <w:bCs/>
          <w:sz w:val="18"/>
          <w:szCs w:val="18"/>
        </w:rPr>
        <w:t xml:space="preserve"> </w:t>
      </w:r>
      <w:r w:rsidRPr="00F90671">
        <w:rPr>
          <w:rFonts w:ascii="Verdana" w:hAnsi="Verdana" w:cs="Calibri"/>
          <w:bCs/>
          <w:sz w:val="18"/>
          <w:szCs w:val="18"/>
          <w:lang w:val="en-GB"/>
        </w:rPr>
        <w:t>The country in which the respondent’s mother had her usual residence when she gave birth to him/her was recorded as the respondent’s country of birth. The</w:t>
      </w:r>
      <w:r w:rsidRPr="00F90671">
        <w:rPr>
          <w:rFonts w:ascii="Verdana" w:hAnsi="Verdana" w:cs="Calibri"/>
          <w:bCs/>
          <w:sz w:val="18"/>
          <w:szCs w:val="18"/>
        </w:rPr>
        <w:t xml:space="preserve"> </w:t>
      </w:r>
      <w:r w:rsidRPr="00F90671">
        <w:rPr>
          <w:rFonts w:ascii="Verdana" w:hAnsi="Verdana" w:cs="Calibri"/>
          <w:bCs/>
          <w:sz w:val="18"/>
          <w:szCs w:val="18"/>
          <w:lang w:val="en-GB"/>
        </w:rPr>
        <w:t>same</w:t>
      </w:r>
      <w:r w:rsidRPr="00F90671">
        <w:rPr>
          <w:rFonts w:ascii="Verdana" w:hAnsi="Verdana" w:cs="Calibri"/>
          <w:bCs/>
          <w:sz w:val="18"/>
          <w:szCs w:val="18"/>
        </w:rPr>
        <w:t xml:space="preserve"> </w:t>
      </w:r>
      <w:r w:rsidRPr="00F90671">
        <w:rPr>
          <w:rFonts w:ascii="Verdana" w:hAnsi="Verdana" w:cs="Calibri"/>
          <w:bCs/>
          <w:sz w:val="18"/>
          <w:szCs w:val="18"/>
          <w:lang w:val="en-GB"/>
        </w:rPr>
        <w:t>definition</w:t>
      </w:r>
      <w:r w:rsidRPr="00F90671">
        <w:rPr>
          <w:rFonts w:ascii="Verdana" w:hAnsi="Verdana" w:cs="Calibri"/>
          <w:bCs/>
          <w:sz w:val="18"/>
          <w:szCs w:val="18"/>
        </w:rPr>
        <w:t xml:space="preserve"> </w:t>
      </w:r>
      <w:r w:rsidRPr="00F90671">
        <w:rPr>
          <w:rFonts w:ascii="Verdana" w:hAnsi="Verdana" w:cs="Calibri"/>
          <w:bCs/>
          <w:sz w:val="18"/>
          <w:szCs w:val="18"/>
          <w:lang w:val="en-GB"/>
        </w:rPr>
        <w:t>applied</w:t>
      </w:r>
      <w:r w:rsidRPr="00F90671">
        <w:rPr>
          <w:rFonts w:ascii="Verdana" w:hAnsi="Verdana" w:cs="Calibri"/>
          <w:bCs/>
          <w:sz w:val="18"/>
          <w:szCs w:val="18"/>
        </w:rPr>
        <w:t xml:space="preserve"> </w:t>
      </w:r>
      <w:r w:rsidRPr="00F90671">
        <w:rPr>
          <w:rFonts w:ascii="Verdana" w:hAnsi="Verdana" w:cs="Calibri"/>
          <w:bCs/>
          <w:sz w:val="18"/>
          <w:szCs w:val="18"/>
          <w:lang w:val="en-GB"/>
        </w:rPr>
        <w:t>for the country of birth of the father and of the mother of the respondent.</w:t>
      </w:r>
    </w:p>
    <w:p w14:paraId="12574097" w14:textId="77777777" w:rsidR="00025FBF" w:rsidRPr="00F90671" w:rsidRDefault="00025FBF" w:rsidP="00F90671">
      <w:pPr>
        <w:spacing w:after="200" w:line="276" w:lineRule="auto"/>
        <w:contextualSpacing/>
        <w:jc w:val="both"/>
        <w:rPr>
          <w:rFonts w:ascii="Verdana" w:hAnsi="Verdana" w:cs="Calibri"/>
          <w:bCs/>
          <w:sz w:val="18"/>
          <w:szCs w:val="18"/>
          <w:u w:val="single"/>
        </w:rPr>
      </w:pPr>
    </w:p>
    <w:p w14:paraId="3855AEA2" w14:textId="7F62F567" w:rsidR="00025FBF" w:rsidRPr="00F90671" w:rsidRDefault="00025FBF" w:rsidP="00F90671">
      <w:pPr>
        <w:spacing w:after="200" w:line="276" w:lineRule="auto"/>
        <w:contextualSpacing/>
        <w:jc w:val="both"/>
        <w:rPr>
          <w:rFonts w:ascii="Verdana" w:hAnsi="Verdana" w:cs="Calibri"/>
          <w:sz w:val="18"/>
          <w:szCs w:val="18"/>
          <w:lang w:val="en-GB"/>
        </w:rPr>
      </w:pPr>
      <w:bookmarkStart w:id="1" w:name="_Hlk173942122"/>
      <w:r w:rsidRPr="00F90671">
        <w:rPr>
          <w:rFonts w:ascii="Verdana" w:hAnsi="Verdana" w:cs="Calibri"/>
          <w:bCs/>
          <w:sz w:val="18"/>
          <w:szCs w:val="18"/>
          <w:u w:val="single"/>
          <w:lang w:val="en-GB"/>
        </w:rPr>
        <w:lastRenderedPageBreak/>
        <w:t>Citizenship</w:t>
      </w:r>
      <w:r w:rsidRPr="00F90671">
        <w:rPr>
          <w:rFonts w:ascii="Verdana" w:hAnsi="Verdana" w:cs="Calibri"/>
          <w:bCs/>
          <w:sz w:val="18"/>
          <w:szCs w:val="18"/>
          <w:u w:val="single"/>
        </w:rPr>
        <w:t>:</w:t>
      </w:r>
      <w:r w:rsidRPr="00F90671">
        <w:rPr>
          <w:rFonts w:ascii="Verdana" w:hAnsi="Verdana" w:cs="Calibri"/>
          <w:bCs/>
          <w:sz w:val="18"/>
          <w:szCs w:val="18"/>
        </w:rPr>
        <w:t xml:space="preserve"> </w:t>
      </w:r>
      <w:r w:rsidRPr="00F90671">
        <w:rPr>
          <w:rFonts w:ascii="Verdana" w:hAnsi="Verdana" w:cs="Calibri"/>
          <w:bCs/>
          <w:sz w:val="18"/>
          <w:szCs w:val="18"/>
          <w:lang w:val="en-GB"/>
        </w:rPr>
        <w:t xml:space="preserve">The respondent was asked of his first and second citizenship (if this applied). The persons who had stated the Cypriot citizenship as either their first or second citizenship </w:t>
      </w:r>
      <w:r w:rsidR="0081397E" w:rsidRPr="00F90671">
        <w:rPr>
          <w:rFonts w:ascii="Verdana" w:hAnsi="Verdana" w:cs="Calibri"/>
          <w:bCs/>
          <w:sz w:val="18"/>
          <w:szCs w:val="18"/>
          <w:lang w:val="en-GB"/>
        </w:rPr>
        <w:t>are presented</w:t>
      </w:r>
      <w:r w:rsidRPr="00F90671">
        <w:rPr>
          <w:rFonts w:ascii="Verdana" w:hAnsi="Verdana" w:cs="Calibri"/>
          <w:bCs/>
          <w:sz w:val="18"/>
          <w:szCs w:val="18"/>
          <w:lang w:val="en-GB"/>
        </w:rPr>
        <w:t xml:space="preserve"> in the relevant tables as Cypriots</w:t>
      </w:r>
      <w:r w:rsidRPr="00F90671">
        <w:rPr>
          <w:rFonts w:ascii="Verdana" w:hAnsi="Verdana" w:cs="Calibri"/>
          <w:sz w:val="18"/>
          <w:szCs w:val="18"/>
          <w:lang w:val="en-GB"/>
        </w:rPr>
        <w:t xml:space="preserve">. </w:t>
      </w:r>
      <w:r w:rsidR="00584D27" w:rsidRPr="00F90671">
        <w:rPr>
          <w:rFonts w:ascii="Verdana" w:hAnsi="Verdana" w:cs="Calibri"/>
          <w:sz w:val="18"/>
          <w:szCs w:val="18"/>
          <w:lang w:val="en-GB"/>
        </w:rPr>
        <w:t>The persons who had stated</w:t>
      </w:r>
      <w:r w:rsidR="0081397E" w:rsidRPr="00F90671">
        <w:rPr>
          <w:rFonts w:ascii="Verdana" w:hAnsi="Verdana" w:cs="Calibri"/>
          <w:sz w:val="18"/>
          <w:szCs w:val="18"/>
          <w:lang w:val="en-GB"/>
        </w:rPr>
        <w:t xml:space="preserve"> two citizenships, one of an EU country (except Cyprus) and the other of a non-EU country, are presented in the relevant tables as EU citizens.</w:t>
      </w:r>
    </w:p>
    <w:bookmarkEnd w:id="1"/>
    <w:p w14:paraId="7F952028" w14:textId="77777777" w:rsidR="0081397E" w:rsidRPr="00F90671" w:rsidRDefault="0081397E" w:rsidP="00F90671">
      <w:pPr>
        <w:spacing w:after="200" w:line="276" w:lineRule="auto"/>
        <w:contextualSpacing/>
        <w:jc w:val="both"/>
        <w:rPr>
          <w:rFonts w:ascii="Verdana" w:hAnsi="Verdana" w:cs="Calibri"/>
          <w:sz w:val="18"/>
          <w:szCs w:val="18"/>
          <w:lang w:val="en-GB"/>
        </w:rPr>
      </w:pPr>
    </w:p>
    <w:p w14:paraId="1DEBCE13" w14:textId="77777777" w:rsidR="0081397E" w:rsidRPr="00F90671" w:rsidRDefault="0081397E" w:rsidP="00F90671">
      <w:pPr>
        <w:spacing w:after="200" w:line="276" w:lineRule="auto"/>
        <w:contextualSpacing/>
        <w:jc w:val="both"/>
        <w:rPr>
          <w:rFonts w:ascii="Verdana" w:hAnsi="Verdana" w:cs="Calibri"/>
          <w:bCs/>
          <w:sz w:val="18"/>
          <w:szCs w:val="18"/>
        </w:rPr>
      </w:pPr>
      <w:r w:rsidRPr="00F90671">
        <w:rPr>
          <w:rFonts w:ascii="Verdana" w:hAnsi="Verdana" w:cs="Calibri"/>
          <w:bCs/>
          <w:sz w:val="18"/>
          <w:szCs w:val="18"/>
          <w:u w:val="single"/>
        </w:rPr>
        <w:t>Educational Attainment</w:t>
      </w:r>
      <w:r w:rsidRPr="00F90671">
        <w:rPr>
          <w:rFonts w:ascii="Verdana" w:hAnsi="Verdana" w:cs="Calibri"/>
          <w:bCs/>
          <w:sz w:val="18"/>
          <w:szCs w:val="18"/>
        </w:rPr>
        <w:t xml:space="preserve">: </w:t>
      </w:r>
      <w:r w:rsidRPr="00F90671">
        <w:rPr>
          <w:rFonts w:ascii="Verdana" w:hAnsi="Verdana" w:cs="Calibri"/>
          <w:bCs/>
          <w:sz w:val="18"/>
          <w:szCs w:val="18"/>
          <w:lang w:val="en-GB"/>
        </w:rPr>
        <w:t>For</w:t>
      </w:r>
      <w:r w:rsidRPr="00F90671">
        <w:rPr>
          <w:rFonts w:ascii="Verdana" w:hAnsi="Verdana" w:cs="Calibri"/>
          <w:bCs/>
          <w:sz w:val="18"/>
          <w:szCs w:val="18"/>
        </w:rPr>
        <w:t xml:space="preserve"> </w:t>
      </w:r>
      <w:r w:rsidRPr="00F90671">
        <w:rPr>
          <w:rFonts w:ascii="Verdana" w:hAnsi="Verdana" w:cs="Calibri"/>
          <w:bCs/>
          <w:sz w:val="18"/>
          <w:szCs w:val="18"/>
          <w:lang w:val="en-GB"/>
        </w:rPr>
        <w:t>each</w:t>
      </w:r>
      <w:r w:rsidRPr="00F90671">
        <w:rPr>
          <w:rFonts w:ascii="Verdana" w:hAnsi="Verdana" w:cs="Calibri"/>
          <w:bCs/>
          <w:sz w:val="18"/>
          <w:szCs w:val="18"/>
        </w:rPr>
        <w:t xml:space="preserve"> </w:t>
      </w:r>
      <w:r w:rsidRPr="00F90671">
        <w:rPr>
          <w:rFonts w:ascii="Verdana" w:hAnsi="Verdana" w:cs="Calibri"/>
          <w:bCs/>
          <w:sz w:val="18"/>
          <w:szCs w:val="18"/>
          <w:lang w:val="en-GB"/>
        </w:rPr>
        <w:t>respondent</w:t>
      </w:r>
      <w:r w:rsidRPr="00F90671">
        <w:rPr>
          <w:rFonts w:ascii="Verdana" w:hAnsi="Verdana" w:cs="Calibri"/>
          <w:bCs/>
          <w:sz w:val="18"/>
          <w:szCs w:val="18"/>
        </w:rPr>
        <w:t xml:space="preserve"> </w:t>
      </w:r>
      <w:r w:rsidRPr="00F90671">
        <w:rPr>
          <w:rFonts w:ascii="Verdana" w:hAnsi="Verdana" w:cs="Calibri"/>
          <w:bCs/>
          <w:sz w:val="18"/>
          <w:szCs w:val="18"/>
          <w:lang w:val="en-GB"/>
        </w:rPr>
        <w:t>who</w:t>
      </w:r>
      <w:r w:rsidRPr="00F90671">
        <w:rPr>
          <w:rFonts w:ascii="Verdana" w:hAnsi="Verdana" w:cs="Calibri"/>
          <w:bCs/>
          <w:sz w:val="18"/>
          <w:szCs w:val="18"/>
        </w:rPr>
        <w:t xml:space="preserve"> </w:t>
      </w:r>
      <w:r w:rsidRPr="00F90671">
        <w:rPr>
          <w:rFonts w:ascii="Verdana" w:hAnsi="Verdana" w:cs="Calibri"/>
          <w:bCs/>
          <w:sz w:val="18"/>
          <w:szCs w:val="18"/>
          <w:lang w:val="en-GB"/>
        </w:rPr>
        <w:t>was</w:t>
      </w:r>
      <w:r w:rsidRPr="00F90671">
        <w:rPr>
          <w:rFonts w:ascii="Verdana" w:hAnsi="Verdana" w:cs="Calibri"/>
          <w:bCs/>
          <w:sz w:val="18"/>
          <w:szCs w:val="18"/>
        </w:rPr>
        <w:t xml:space="preserve"> 15 </w:t>
      </w:r>
      <w:r w:rsidRPr="00F90671">
        <w:rPr>
          <w:rFonts w:ascii="Verdana" w:hAnsi="Verdana" w:cs="Calibri"/>
          <w:bCs/>
          <w:sz w:val="18"/>
          <w:szCs w:val="18"/>
          <w:lang w:val="en-GB"/>
        </w:rPr>
        <w:t>years</w:t>
      </w:r>
      <w:r w:rsidRPr="00F90671">
        <w:rPr>
          <w:rFonts w:ascii="Verdana" w:hAnsi="Verdana" w:cs="Calibri"/>
          <w:bCs/>
          <w:sz w:val="18"/>
          <w:szCs w:val="18"/>
        </w:rPr>
        <w:t xml:space="preserve"> </w:t>
      </w:r>
      <w:r w:rsidRPr="00F90671">
        <w:rPr>
          <w:rFonts w:ascii="Verdana" w:hAnsi="Verdana" w:cs="Calibri"/>
          <w:bCs/>
          <w:sz w:val="18"/>
          <w:szCs w:val="18"/>
          <w:lang w:val="en-GB"/>
        </w:rPr>
        <w:t>of</w:t>
      </w:r>
      <w:r w:rsidRPr="00F90671">
        <w:rPr>
          <w:rFonts w:ascii="Verdana" w:hAnsi="Verdana" w:cs="Calibri"/>
          <w:bCs/>
          <w:sz w:val="18"/>
          <w:szCs w:val="18"/>
        </w:rPr>
        <w:t xml:space="preserve"> </w:t>
      </w:r>
      <w:r w:rsidRPr="00F90671">
        <w:rPr>
          <w:rFonts w:ascii="Verdana" w:hAnsi="Verdana" w:cs="Calibri"/>
          <w:bCs/>
          <w:sz w:val="18"/>
          <w:szCs w:val="18"/>
          <w:lang w:val="en-GB"/>
        </w:rPr>
        <w:t>age</w:t>
      </w:r>
      <w:r w:rsidRPr="00F90671">
        <w:rPr>
          <w:rFonts w:ascii="Verdana" w:hAnsi="Verdana" w:cs="Calibri"/>
          <w:bCs/>
          <w:sz w:val="18"/>
          <w:szCs w:val="18"/>
        </w:rPr>
        <w:t xml:space="preserve"> </w:t>
      </w:r>
      <w:r w:rsidRPr="00F90671">
        <w:rPr>
          <w:rFonts w:ascii="Verdana" w:hAnsi="Verdana" w:cs="Calibri"/>
          <w:bCs/>
          <w:sz w:val="18"/>
          <w:szCs w:val="18"/>
          <w:lang w:val="en-GB"/>
        </w:rPr>
        <w:t>or</w:t>
      </w:r>
      <w:r w:rsidRPr="00F90671">
        <w:rPr>
          <w:rFonts w:ascii="Verdana" w:hAnsi="Verdana" w:cs="Calibri"/>
          <w:bCs/>
          <w:sz w:val="18"/>
          <w:szCs w:val="18"/>
        </w:rPr>
        <w:t xml:space="preserve"> </w:t>
      </w:r>
      <w:r w:rsidRPr="00F90671">
        <w:rPr>
          <w:rFonts w:ascii="Verdana" w:hAnsi="Verdana" w:cs="Calibri"/>
          <w:bCs/>
          <w:sz w:val="18"/>
          <w:szCs w:val="18"/>
          <w:lang w:val="en-GB"/>
        </w:rPr>
        <w:t xml:space="preserve">older, the highest level of education which s/he had </w:t>
      </w:r>
      <w:r w:rsidRPr="00F90671">
        <w:rPr>
          <w:rFonts w:ascii="Verdana" w:hAnsi="Verdana" w:cs="Calibri"/>
          <w:bCs/>
          <w:i/>
          <w:sz w:val="18"/>
          <w:szCs w:val="18"/>
          <w:lang w:val="en-GB"/>
        </w:rPr>
        <w:t>completed</w:t>
      </w:r>
      <w:r w:rsidRPr="00F90671">
        <w:rPr>
          <w:rFonts w:ascii="Verdana" w:hAnsi="Verdana" w:cs="Calibri"/>
          <w:bCs/>
          <w:sz w:val="18"/>
          <w:szCs w:val="18"/>
          <w:lang w:val="en-GB"/>
        </w:rPr>
        <w:t xml:space="preserve"> </w:t>
      </w:r>
      <w:r w:rsidRPr="00F90671">
        <w:rPr>
          <w:rFonts w:ascii="Verdana" w:hAnsi="Verdana" w:cs="Calibri"/>
          <w:bCs/>
          <w:sz w:val="18"/>
          <w:szCs w:val="18"/>
        </w:rPr>
        <w:t xml:space="preserve">on the reference date of the Census, was recorded. </w:t>
      </w:r>
    </w:p>
    <w:p w14:paraId="0DBAC576" w14:textId="77777777" w:rsidR="0081397E" w:rsidRPr="00F90671" w:rsidRDefault="0081397E" w:rsidP="00F90671">
      <w:pPr>
        <w:spacing w:after="200" w:line="276" w:lineRule="auto"/>
        <w:contextualSpacing/>
        <w:jc w:val="both"/>
        <w:rPr>
          <w:rFonts w:ascii="Verdana" w:hAnsi="Verdana" w:cs="Calibri"/>
          <w:sz w:val="18"/>
          <w:szCs w:val="18"/>
          <w:lang w:val="en-GB"/>
        </w:rPr>
      </w:pPr>
    </w:p>
    <w:p w14:paraId="3A52279E" w14:textId="77777777" w:rsidR="0031769B" w:rsidRPr="00F90671" w:rsidRDefault="0031769B" w:rsidP="00F90671">
      <w:pPr>
        <w:spacing w:after="200" w:line="276" w:lineRule="auto"/>
        <w:contextualSpacing/>
        <w:jc w:val="both"/>
        <w:rPr>
          <w:rFonts w:ascii="Verdana" w:hAnsi="Verdana" w:cs="Calibri"/>
          <w:b/>
          <w:bCs/>
          <w:sz w:val="18"/>
          <w:szCs w:val="18"/>
        </w:rPr>
      </w:pPr>
      <w:r w:rsidRPr="00F90671">
        <w:rPr>
          <w:rFonts w:ascii="Verdana" w:hAnsi="Verdana" w:cs="Calibri"/>
          <w:sz w:val="18"/>
          <w:szCs w:val="18"/>
          <w:u w:val="single"/>
          <w:lang w:val="en-GB"/>
        </w:rPr>
        <w:t>Family Nucleus</w:t>
      </w:r>
      <w:r w:rsidRPr="00F90671">
        <w:rPr>
          <w:rFonts w:ascii="Verdana" w:hAnsi="Verdana" w:cs="Calibri"/>
          <w:bCs/>
          <w:sz w:val="18"/>
          <w:szCs w:val="18"/>
        </w:rPr>
        <w:t xml:space="preserve"> </w:t>
      </w:r>
      <w:r w:rsidRPr="00F90671">
        <w:rPr>
          <w:rFonts w:ascii="Verdana" w:hAnsi="Verdana" w:cs="Calibri"/>
          <w:bCs/>
          <w:sz w:val="18"/>
          <w:szCs w:val="18"/>
          <w:lang w:val="en-GB"/>
        </w:rPr>
        <w:t>is defined as two or more persons within a household who are related as husband and wife, as cohabiting partners, or as parent and child. Thus, a family nucleus comprises a couple without children, a couple with one or more children, or a lone-parent family (a lone-parent with one or more children).</w:t>
      </w:r>
      <w:r w:rsidRPr="00F90671">
        <w:rPr>
          <w:rFonts w:ascii="Verdana" w:hAnsi="Verdana" w:cs="Calibri"/>
          <w:bCs/>
          <w:sz w:val="18"/>
          <w:szCs w:val="18"/>
        </w:rPr>
        <w:t xml:space="preserve"> </w:t>
      </w:r>
    </w:p>
    <w:p w14:paraId="7C335EDD" w14:textId="77777777" w:rsidR="00280E3E" w:rsidRPr="00F90671" w:rsidRDefault="00280E3E" w:rsidP="00F90671">
      <w:pPr>
        <w:jc w:val="both"/>
        <w:rPr>
          <w:rFonts w:ascii="Verdana" w:hAnsi="Verdana" w:cs="Arial"/>
          <w:bCs/>
          <w:iCs/>
          <w:sz w:val="18"/>
          <w:szCs w:val="18"/>
          <w:lang w:val="en-GB"/>
        </w:rPr>
      </w:pPr>
    </w:p>
    <w:bookmarkEnd w:id="0"/>
    <w:p w14:paraId="4D873A13" w14:textId="77777777" w:rsidR="00FB0754" w:rsidRPr="00F90671" w:rsidRDefault="00FB0754" w:rsidP="00F90671">
      <w:pPr>
        <w:jc w:val="both"/>
        <w:rPr>
          <w:rFonts w:ascii="Verdana" w:hAnsi="Verdana" w:cs="Arial"/>
          <w:bCs/>
          <w:iCs/>
          <w:sz w:val="18"/>
          <w:szCs w:val="18"/>
        </w:rPr>
      </w:pPr>
    </w:p>
    <w:p w14:paraId="4A600468" w14:textId="108B5D4E" w:rsidR="00261CFE" w:rsidRPr="00F90671" w:rsidRDefault="00261CFE" w:rsidP="00F90671">
      <w:pPr>
        <w:jc w:val="both"/>
        <w:rPr>
          <w:rFonts w:ascii="Verdana" w:hAnsi="Verdana" w:cs="Arial"/>
          <w:b/>
          <w:i/>
          <w:sz w:val="18"/>
          <w:szCs w:val="18"/>
        </w:rPr>
      </w:pPr>
      <w:r w:rsidRPr="00F90671">
        <w:rPr>
          <w:rFonts w:ascii="Verdana" w:hAnsi="Verdana" w:cs="Arial"/>
          <w:b/>
          <w:i/>
          <w:sz w:val="18"/>
          <w:szCs w:val="18"/>
        </w:rPr>
        <w:t>For further information:</w:t>
      </w:r>
    </w:p>
    <w:p w14:paraId="59C65969" w14:textId="670C2BA8" w:rsidR="002F4072" w:rsidRPr="001E0609" w:rsidRDefault="002F4072" w:rsidP="00F90671">
      <w:pPr>
        <w:ind w:right="-79"/>
        <w:jc w:val="both"/>
        <w:rPr>
          <w:rFonts w:ascii="Verdana" w:eastAsia="Malgun Gothic" w:hAnsi="Verdana" w:cs="Arial"/>
          <w:sz w:val="18"/>
          <w:szCs w:val="18"/>
        </w:rPr>
      </w:pPr>
      <w:r w:rsidRPr="001E0609">
        <w:rPr>
          <w:rFonts w:ascii="Verdana" w:eastAsia="Malgun Gothic" w:hAnsi="Verdana" w:cs="Arial"/>
          <w:sz w:val="18"/>
          <w:szCs w:val="18"/>
        </w:rPr>
        <w:t xml:space="preserve">CYSTAT Portal, theme </w:t>
      </w:r>
      <w:hyperlink r:id="rId17" w:tooltip="Population" w:history="1">
        <w:r w:rsidRPr="001E0609">
          <w:rPr>
            <w:rStyle w:val="Hyperlink"/>
            <w:rFonts w:ascii="Verdana" w:eastAsia="Malgun Gothic" w:hAnsi="Verdana" w:cs="Arial"/>
            <w:sz w:val="18"/>
            <w:szCs w:val="18"/>
          </w:rPr>
          <w:t>Population</w:t>
        </w:r>
      </w:hyperlink>
    </w:p>
    <w:p w14:paraId="2960F2C7" w14:textId="2AC9313B" w:rsidR="002F4072" w:rsidRPr="001E0609" w:rsidRDefault="00000000" w:rsidP="00F90671">
      <w:pPr>
        <w:ind w:right="-79"/>
        <w:jc w:val="both"/>
        <w:rPr>
          <w:rFonts w:ascii="Verdana" w:eastAsia="Malgun Gothic" w:hAnsi="Verdana" w:cs="Arial"/>
          <w:sz w:val="18"/>
          <w:szCs w:val="18"/>
        </w:rPr>
      </w:pPr>
      <w:hyperlink r:id="rId18" w:tooltip="CYSTAT-DB" w:history="1">
        <w:r w:rsidR="002F4072" w:rsidRPr="001E0609">
          <w:rPr>
            <w:rStyle w:val="Hyperlink"/>
            <w:rFonts w:ascii="Verdana" w:eastAsia="Malgun Gothic" w:hAnsi="Verdana" w:cs="Arial"/>
            <w:sz w:val="18"/>
            <w:szCs w:val="18"/>
          </w:rPr>
          <w:t>CYSTAT-DB</w:t>
        </w:r>
      </w:hyperlink>
      <w:r w:rsidR="002F4072" w:rsidRPr="001E0609">
        <w:rPr>
          <w:rFonts w:ascii="Verdana" w:eastAsia="Malgun Gothic" w:hAnsi="Verdana" w:cs="Arial"/>
          <w:sz w:val="18"/>
          <w:szCs w:val="18"/>
        </w:rPr>
        <w:t xml:space="preserve"> (Online Database) </w:t>
      </w:r>
    </w:p>
    <w:p w14:paraId="489C66A4" w14:textId="292F036A" w:rsidR="00261CFE" w:rsidRPr="001E0609" w:rsidRDefault="00000000" w:rsidP="00F90671">
      <w:pPr>
        <w:ind w:right="-79"/>
        <w:jc w:val="both"/>
        <w:rPr>
          <w:rFonts w:ascii="Verdana" w:eastAsia="Malgun Gothic" w:hAnsi="Verdana" w:cs="Arial"/>
          <w:sz w:val="18"/>
          <w:szCs w:val="18"/>
        </w:rPr>
      </w:pPr>
      <w:hyperlink r:id="rId19" w:history="1">
        <w:r w:rsidR="002F4072" w:rsidRPr="001E0609">
          <w:rPr>
            <w:rStyle w:val="Hyperlink"/>
            <w:rFonts w:ascii="Verdana" w:eastAsia="Malgun Gothic" w:hAnsi="Verdana" w:cs="Arial"/>
            <w:sz w:val="18"/>
            <w:szCs w:val="18"/>
          </w:rPr>
          <w:t>Predefined Tables</w:t>
        </w:r>
      </w:hyperlink>
    </w:p>
    <w:p w14:paraId="40B90E55" w14:textId="4856C2D8" w:rsidR="001546BA" w:rsidRPr="00F90671" w:rsidRDefault="00000000" w:rsidP="00F90671">
      <w:pPr>
        <w:ind w:right="-79"/>
        <w:jc w:val="both"/>
        <w:rPr>
          <w:rFonts w:ascii="Verdana" w:eastAsia="Malgun Gothic" w:hAnsi="Verdana" w:cs="Arial"/>
          <w:sz w:val="18"/>
          <w:szCs w:val="18"/>
        </w:rPr>
      </w:pPr>
      <w:hyperlink r:id="rId20" w:tooltip="Methodological Information of the Census of Population and Housing 2021" w:history="1">
        <w:r w:rsidR="001546BA" w:rsidRPr="001E0609">
          <w:rPr>
            <w:rStyle w:val="Hyperlink"/>
            <w:rFonts w:ascii="Verdana" w:eastAsia="Malgun Gothic" w:hAnsi="Verdana" w:cs="Arial"/>
            <w:sz w:val="18"/>
            <w:szCs w:val="18"/>
          </w:rPr>
          <w:t xml:space="preserve">Methodological </w:t>
        </w:r>
        <w:r w:rsidR="001E0609" w:rsidRPr="001E0609">
          <w:rPr>
            <w:rStyle w:val="Hyperlink"/>
            <w:rFonts w:ascii="Verdana" w:eastAsia="Malgun Gothic" w:hAnsi="Verdana" w:cs="Arial"/>
            <w:sz w:val="18"/>
            <w:szCs w:val="18"/>
          </w:rPr>
          <w:t>I</w:t>
        </w:r>
        <w:r w:rsidR="001546BA" w:rsidRPr="001E0609">
          <w:rPr>
            <w:rStyle w:val="Hyperlink"/>
            <w:rFonts w:ascii="Verdana" w:eastAsia="Malgun Gothic" w:hAnsi="Verdana" w:cs="Arial"/>
            <w:sz w:val="18"/>
            <w:szCs w:val="18"/>
          </w:rPr>
          <w:t>nformation</w:t>
        </w:r>
      </w:hyperlink>
    </w:p>
    <w:p w14:paraId="315B479C" w14:textId="77777777" w:rsidR="002F4072" w:rsidRPr="00F90671" w:rsidRDefault="002F4072" w:rsidP="00F90671">
      <w:pPr>
        <w:ind w:right="-79"/>
        <w:jc w:val="both"/>
        <w:rPr>
          <w:rFonts w:ascii="Verdana" w:eastAsia="Malgun Gothic" w:hAnsi="Verdana" w:cs="Arial"/>
          <w:sz w:val="18"/>
          <w:szCs w:val="18"/>
        </w:rPr>
      </w:pPr>
    </w:p>
    <w:p w14:paraId="331A70A1" w14:textId="77777777" w:rsidR="00261CFE" w:rsidRPr="00F90671" w:rsidRDefault="00261CFE" w:rsidP="00F90671">
      <w:pPr>
        <w:ind w:right="-79"/>
        <w:jc w:val="both"/>
        <w:rPr>
          <w:rFonts w:ascii="Verdana" w:eastAsia="Malgun Gothic" w:hAnsi="Verdana" w:cs="Arial"/>
          <w:i/>
          <w:sz w:val="18"/>
          <w:szCs w:val="18"/>
        </w:rPr>
      </w:pPr>
      <w:r w:rsidRPr="00F90671">
        <w:rPr>
          <w:rFonts w:ascii="Verdana" w:eastAsia="Malgun Gothic" w:hAnsi="Verdana" w:cs="Arial"/>
          <w:i/>
          <w:sz w:val="18"/>
          <w:szCs w:val="18"/>
          <w:u w:val="single"/>
        </w:rPr>
        <w:t>Contact</w:t>
      </w:r>
      <w:r w:rsidRPr="00F90671">
        <w:rPr>
          <w:rFonts w:ascii="Verdana" w:eastAsia="Malgun Gothic" w:hAnsi="Verdana" w:cs="Arial"/>
          <w:i/>
          <w:sz w:val="18"/>
          <w:szCs w:val="18"/>
        </w:rPr>
        <w:t xml:space="preserve"> </w:t>
      </w:r>
    </w:p>
    <w:p w14:paraId="166EE35D" w14:textId="08CB1AD4" w:rsidR="00E81827" w:rsidRPr="00F90671" w:rsidRDefault="00E81827" w:rsidP="00F90671">
      <w:pPr>
        <w:jc w:val="both"/>
        <w:rPr>
          <w:rFonts w:ascii="Verdana" w:hAnsi="Verdana" w:cs="Arial"/>
          <w:sz w:val="18"/>
          <w:szCs w:val="18"/>
        </w:rPr>
      </w:pPr>
      <w:r w:rsidRPr="00F90671">
        <w:rPr>
          <w:rFonts w:ascii="Verdana" w:hAnsi="Verdana" w:cs="Arial"/>
          <w:sz w:val="18"/>
          <w:szCs w:val="18"/>
        </w:rPr>
        <w:t xml:space="preserve">Georgia Ioannou: Tel.: +35722602144, Email: </w:t>
      </w:r>
      <w:hyperlink r:id="rId21" w:history="1">
        <w:r w:rsidRPr="00F90671">
          <w:rPr>
            <w:rStyle w:val="Hyperlink"/>
            <w:rFonts w:ascii="Verdana" w:hAnsi="Verdana" w:cs="Arial"/>
            <w:sz w:val="18"/>
            <w:szCs w:val="18"/>
          </w:rPr>
          <w:t>gioannou@cystat.mof.gov.cy</w:t>
        </w:r>
      </w:hyperlink>
      <w:r w:rsidRPr="00F90671">
        <w:rPr>
          <w:rFonts w:ascii="Verdana" w:hAnsi="Verdana" w:cs="Arial"/>
          <w:sz w:val="18"/>
          <w:szCs w:val="18"/>
        </w:rPr>
        <w:t xml:space="preserve"> </w:t>
      </w:r>
    </w:p>
    <w:p w14:paraId="43A87C1D" w14:textId="4A2C0955" w:rsidR="00377E68" w:rsidRPr="00F90671" w:rsidRDefault="00261CFE" w:rsidP="00F90671">
      <w:pPr>
        <w:jc w:val="both"/>
        <w:rPr>
          <w:rFonts w:ascii="Verdana" w:hAnsi="Verdana" w:cs="Arial"/>
          <w:sz w:val="18"/>
          <w:szCs w:val="18"/>
        </w:rPr>
      </w:pPr>
      <w:r w:rsidRPr="00F90671">
        <w:rPr>
          <w:rFonts w:ascii="Verdana" w:hAnsi="Verdana" w:cs="Arial"/>
          <w:sz w:val="18"/>
          <w:szCs w:val="18"/>
        </w:rPr>
        <w:t xml:space="preserve">Loukia </w:t>
      </w:r>
      <w:r w:rsidR="007D05F2" w:rsidRPr="00F90671">
        <w:rPr>
          <w:rFonts w:ascii="Verdana" w:hAnsi="Verdana" w:cs="Arial"/>
          <w:sz w:val="18"/>
          <w:szCs w:val="18"/>
        </w:rPr>
        <w:t>Makri</w:t>
      </w:r>
      <w:r w:rsidRPr="00F90671">
        <w:rPr>
          <w:rFonts w:ascii="Verdana" w:hAnsi="Verdana" w:cs="Arial"/>
          <w:sz w:val="18"/>
          <w:szCs w:val="18"/>
        </w:rPr>
        <w:t>: Tel.: +357226021</w:t>
      </w:r>
      <w:r w:rsidR="007D05F2" w:rsidRPr="00F90671">
        <w:rPr>
          <w:rFonts w:ascii="Verdana" w:hAnsi="Verdana" w:cs="Arial"/>
          <w:sz w:val="18"/>
          <w:szCs w:val="18"/>
        </w:rPr>
        <w:t>50</w:t>
      </w:r>
      <w:r w:rsidRPr="00F90671">
        <w:rPr>
          <w:rFonts w:ascii="Verdana" w:hAnsi="Verdana" w:cs="Arial"/>
          <w:sz w:val="18"/>
          <w:szCs w:val="18"/>
        </w:rPr>
        <w:t>, Email:</w:t>
      </w:r>
      <w:r w:rsidR="00377E68" w:rsidRPr="00F90671">
        <w:rPr>
          <w:rFonts w:ascii="Verdana" w:hAnsi="Verdana"/>
          <w:sz w:val="18"/>
          <w:szCs w:val="18"/>
        </w:rPr>
        <w:t xml:space="preserve"> </w:t>
      </w:r>
      <w:hyperlink r:id="rId22" w:history="1">
        <w:r w:rsidR="00377E68" w:rsidRPr="00F90671">
          <w:rPr>
            <w:rStyle w:val="Hyperlink"/>
            <w:rFonts w:ascii="Verdana" w:hAnsi="Verdana" w:cs="Arial"/>
            <w:sz w:val="18"/>
            <w:szCs w:val="18"/>
          </w:rPr>
          <w:t>lmakri@cystat.mof.gov.cy</w:t>
        </w:r>
      </w:hyperlink>
    </w:p>
    <w:p w14:paraId="6A828290" w14:textId="5607F3B5" w:rsidR="00377E68" w:rsidRPr="00F90671" w:rsidRDefault="007D05F2" w:rsidP="00F90671">
      <w:pPr>
        <w:jc w:val="both"/>
        <w:rPr>
          <w:rFonts w:ascii="Verdana" w:hAnsi="Verdana" w:cs="Arial"/>
          <w:sz w:val="18"/>
          <w:szCs w:val="18"/>
        </w:rPr>
      </w:pPr>
      <w:proofErr w:type="spellStart"/>
      <w:r w:rsidRPr="00F90671">
        <w:rPr>
          <w:rFonts w:ascii="Verdana" w:hAnsi="Verdana" w:cs="Arial"/>
          <w:sz w:val="18"/>
          <w:szCs w:val="18"/>
        </w:rPr>
        <w:t>Koulia</w:t>
      </w:r>
      <w:proofErr w:type="spellEnd"/>
      <w:r w:rsidRPr="00F90671">
        <w:rPr>
          <w:rFonts w:ascii="Verdana" w:hAnsi="Verdana" w:cs="Arial"/>
          <w:sz w:val="18"/>
          <w:szCs w:val="18"/>
        </w:rPr>
        <w:t xml:space="preserve"> </w:t>
      </w:r>
      <w:proofErr w:type="spellStart"/>
      <w:r w:rsidRPr="00F90671">
        <w:rPr>
          <w:rFonts w:ascii="Verdana" w:hAnsi="Verdana" w:cs="Arial"/>
          <w:sz w:val="18"/>
          <w:szCs w:val="18"/>
        </w:rPr>
        <w:t>Onisiforou</w:t>
      </w:r>
      <w:proofErr w:type="spellEnd"/>
      <w:r w:rsidR="00261CFE" w:rsidRPr="00F90671">
        <w:rPr>
          <w:rFonts w:ascii="Verdana" w:hAnsi="Verdana" w:cs="Arial"/>
          <w:sz w:val="18"/>
          <w:szCs w:val="18"/>
        </w:rPr>
        <w:t>: Tel: +357226021</w:t>
      </w:r>
      <w:r w:rsidRPr="00F90671">
        <w:rPr>
          <w:rFonts w:ascii="Verdana" w:hAnsi="Verdana" w:cs="Arial"/>
          <w:sz w:val="18"/>
          <w:szCs w:val="18"/>
        </w:rPr>
        <w:t>39</w:t>
      </w:r>
      <w:r w:rsidR="00261CFE" w:rsidRPr="00F90671">
        <w:rPr>
          <w:rFonts w:ascii="Verdana" w:hAnsi="Verdana" w:cs="Arial"/>
          <w:sz w:val="18"/>
          <w:szCs w:val="18"/>
        </w:rPr>
        <w:t>, Email:</w:t>
      </w:r>
      <w:r w:rsidR="00377E68" w:rsidRPr="00F90671">
        <w:rPr>
          <w:rFonts w:ascii="Verdana" w:hAnsi="Verdana"/>
          <w:sz w:val="18"/>
          <w:szCs w:val="18"/>
        </w:rPr>
        <w:t xml:space="preserve"> </w:t>
      </w:r>
      <w:hyperlink r:id="rId23" w:history="1">
        <w:r w:rsidR="00377E68" w:rsidRPr="00F90671">
          <w:rPr>
            <w:rStyle w:val="Hyperlink"/>
            <w:rFonts w:ascii="Verdana" w:hAnsi="Verdana" w:cs="Arial"/>
            <w:sz w:val="18"/>
            <w:szCs w:val="18"/>
          </w:rPr>
          <w:t>konisiforou@cystat.mof.gov.cy</w:t>
        </w:r>
      </w:hyperlink>
    </w:p>
    <w:sectPr w:rsidR="00377E68" w:rsidRPr="00F90671" w:rsidSect="00377E68">
      <w:headerReference w:type="default" r:id="rId24"/>
      <w:footerReference w:type="default" r:id="rId25"/>
      <w:headerReference w:type="first" r:id="rId26"/>
      <w:footerReference w:type="first" r:id="rId27"/>
      <w:pgSz w:w="11907" w:h="16840" w:code="9"/>
      <w:pgMar w:top="851" w:right="1134" w:bottom="1021"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E175D" w14:textId="77777777" w:rsidR="008C765C" w:rsidRDefault="008C765C" w:rsidP="00FB398F">
      <w:r>
        <w:separator/>
      </w:r>
    </w:p>
  </w:endnote>
  <w:endnote w:type="continuationSeparator" w:id="0">
    <w:p w14:paraId="67847E42" w14:textId="77777777" w:rsidR="008C765C" w:rsidRDefault="008C765C"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D39A1" w14:textId="77777777" w:rsidR="004E4F42" w:rsidRPr="000A1A88" w:rsidRDefault="004E4F42" w:rsidP="00763722">
    <w:pPr>
      <w:pStyle w:val="Footer"/>
      <w:tabs>
        <w:tab w:val="left" w:pos="3375"/>
        <w:tab w:val="left" w:pos="4500"/>
        <w:tab w:val="center" w:pos="4723"/>
      </w:tabs>
    </w:pPr>
    <w:r>
      <w:tab/>
    </w:r>
    <w:r>
      <w:tab/>
    </w:r>
    <w:r>
      <w:tab/>
    </w:r>
    <w:r>
      <w:tab/>
      <w:t>-</w:t>
    </w:r>
    <w:r w:rsidR="00334ED2">
      <w:fldChar w:fldCharType="begin"/>
    </w:r>
    <w:r w:rsidR="004D4950">
      <w:instrText xml:space="preserve"> PAGE   \* MERGEFORMAT </w:instrText>
    </w:r>
    <w:r w:rsidR="00334ED2">
      <w:fldChar w:fldCharType="separate"/>
    </w:r>
    <w:r w:rsidR="00B9493B">
      <w:rPr>
        <w:noProof/>
      </w:rPr>
      <w:t>2</w:t>
    </w:r>
    <w:r w:rsidR="00334ED2">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152E3" w14:textId="77777777" w:rsidR="0060256A" w:rsidRPr="00122143" w:rsidRDefault="0060256A" w:rsidP="0060256A">
    <w:pPr>
      <w:pStyle w:val="Footer"/>
      <w:pBdr>
        <w:top w:val="single" w:sz="4" w:space="1" w:color="auto"/>
      </w:pBdr>
      <w:tabs>
        <w:tab w:val="left" w:pos="4500"/>
      </w:tabs>
      <w:jc w:val="center"/>
      <w:rPr>
        <w:rFonts w:ascii="Arial" w:hAnsi="Arial" w:cs="Arial"/>
        <w:i/>
        <w:iCs/>
        <w:sz w:val="16"/>
        <w:szCs w:val="16"/>
      </w:rPr>
    </w:pPr>
    <w:r w:rsidRPr="00122143">
      <w:rPr>
        <w:rFonts w:ascii="Arial" w:hAnsi="Arial" w:cs="Arial"/>
        <w:i/>
        <w:iCs/>
        <w:sz w:val="16"/>
        <w:szCs w:val="16"/>
      </w:rPr>
      <w:t>Address:  Micha</w:t>
    </w:r>
    <w:r w:rsidR="00EF6A66">
      <w:rPr>
        <w:rFonts w:ascii="Arial" w:hAnsi="Arial" w:cs="Arial"/>
        <w:i/>
        <w:iCs/>
        <w:sz w:val="16"/>
        <w:szCs w:val="16"/>
      </w:rPr>
      <w:t>el</w:t>
    </w:r>
    <w:r w:rsidRPr="00122143">
      <w:rPr>
        <w:rFonts w:ascii="Arial" w:hAnsi="Arial" w:cs="Arial"/>
        <w:i/>
        <w:iCs/>
        <w:sz w:val="16"/>
        <w:szCs w:val="16"/>
      </w:rPr>
      <w:t xml:space="preserve"> </w:t>
    </w:r>
    <w:proofErr w:type="spellStart"/>
    <w:r w:rsidRPr="00122143">
      <w:rPr>
        <w:rFonts w:ascii="Arial" w:hAnsi="Arial" w:cs="Arial"/>
        <w:i/>
        <w:iCs/>
        <w:sz w:val="16"/>
        <w:szCs w:val="16"/>
      </w:rPr>
      <w:t>Karaoli</w:t>
    </w:r>
    <w:proofErr w:type="spellEnd"/>
    <w:r w:rsidRPr="00122143">
      <w:rPr>
        <w:rFonts w:ascii="Arial" w:hAnsi="Arial" w:cs="Arial"/>
        <w:i/>
        <w:iCs/>
        <w:sz w:val="16"/>
        <w:szCs w:val="16"/>
      </w:rPr>
      <w:t xml:space="preserve"> Str., 1444 Nicosia, Cyprus</w:t>
    </w:r>
  </w:p>
  <w:p w14:paraId="02C5ACBB" w14:textId="4C273D10" w:rsidR="0060256A" w:rsidRPr="003D46D6" w:rsidRDefault="00122143" w:rsidP="0060256A">
    <w:pPr>
      <w:pStyle w:val="Footer"/>
      <w:tabs>
        <w:tab w:val="left" w:pos="4500"/>
      </w:tabs>
      <w:jc w:val="center"/>
      <w:rPr>
        <w:rFonts w:ascii="Arial" w:hAnsi="Arial" w:cs="Arial"/>
        <w:i/>
        <w:iCs/>
        <w:sz w:val="16"/>
        <w:szCs w:val="16"/>
        <w:lang w:val="pt-PT"/>
      </w:rPr>
    </w:pPr>
    <w:r w:rsidRPr="003D46D6">
      <w:rPr>
        <w:rFonts w:ascii="Arial" w:hAnsi="Arial" w:cs="Arial"/>
        <w:i/>
        <w:iCs/>
        <w:sz w:val="16"/>
        <w:szCs w:val="16"/>
        <w:lang w:val="pt-PT"/>
      </w:rPr>
      <w:t xml:space="preserve">Tel.:  22 602129, </w:t>
    </w:r>
    <w:r w:rsidR="0060256A" w:rsidRPr="003D46D6">
      <w:rPr>
        <w:rFonts w:ascii="Arial" w:hAnsi="Arial" w:cs="Arial"/>
        <w:i/>
        <w:iCs/>
        <w:sz w:val="16"/>
        <w:szCs w:val="16"/>
        <w:lang w:val="pt-PT"/>
      </w:rPr>
      <w:t>E-mail:  enquiries@cystat.mof.gov.cy</w:t>
    </w:r>
  </w:p>
  <w:p w14:paraId="74802260" w14:textId="77777777" w:rsidR="004E4F42" w:rsidRPr="00122143" w:rsidRDefault="0060256A" w:rsidP="0060256A">
    <w:pPr>
      <w:pStyle w:val="Footer"/>
      <w:tabs>
        <w:tab w:val="left" w:pos="4500"/>
      </w:tabs>
      <w:jc w:val="center"/>
      <w:rPr>
        <w:rFonts w:ascii="Arial" w:hAnsi="Arial" w:cs="Arial"/>
        <w:sz w:val="16"/>
        <w:szCs w:val="16"/>
      </w:rPr>
    </w:pPr>
    <w:r w:rsidRPr="00122143">
      <w:rPr>
        <w:rFonts w:ascii="Arial" w:hAnsi="Arial" w:cs="Arial"/>
        <w:i/>
        <w:iCs/>
        <w:sz w:val="16"/>
        <w:szCs w:val="16"/>
      </w:rPr>
      <w:t xml:space="preserve">Web site: </w:t>
    </w:r>
    <w:hyperlink r:id="rId1" w:history="1">
      <w:r w:rsidRPr="00122143">
        <w:rPr>
          <w:rStyle w:val="Hyperlink"/>
          <w:rFonts w:ascii="Arial" w:hAnsi="Arial" w:cs="Arial"/>
          <w:i/>
          <w:iCs/>
          <w:sz w:val="16"/>
          <w:szCs w:val="16"/>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A5358" w14:textId="77777777" w:rsidR="008C765C" w:rsidRDefault="008C765C" w:rsidP="00FB398F">
      <w:r>
        <w:separator/>
      </w:r>
    </w:p>
  </w:footnote>
  <w:footnote w:type="continuationSeparator" w:id="0">
    <w:p w14:paraId="5A327197" w14:textId="77777777" w:rsidR="008C765C" w:rsidRDefault="008C765C"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C17F1"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282D5" w14:textId="52B111F3" w:rsidR="004E4F42" w:rsidRPr="002A5D4A" w:rsidRDefault="001B3E68"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mc:AlternateContent>
        <mc:Choice Requires="wps">
          <w:drawing>
            <wp:anchor distT="0" distB="0" distL="114300" distR="114300" simplePos="0" relativeHeight="251657216" behindDoc="0" locked="0" layoutInCell="1" allowOverlap="1" wp14:anchorId="75B11363" wp14:editId="6E0A8B6A">
              <wp:simplePos x="0" y="0"/>
              <wp:positionH relativeFrom="column">
                <wp:posOffset>4480560</wp:posOffset>
              </wp:positionH>
              <wp:positionV relativeFrom="paragraph">
                <wp:posOffset>-21590</wp:posOffset>
              </wp:positionV>
              <wp:extent cx="1297940" cy="866775"/>
              <wp:effectExtent l="0" t="0" r="17145" b="2857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866775"/>
                      </a:xfrm>
                      <a:prstGeom prst="rect">
                        <a:avLst/>
                      </a:prstGeom>
                      <a:solidFill>
                        <a:srgbClr val="FFFFFF"/>
                      </a:solidFill>
                      <a:ln w="9525">
                        <a:solidFill>
                          <a:srgbClr val="FFFFFF"/>
                        </a:solidFill>
                        <a:miter lim="800000"/>
                        <a:headEnd/>
                        <a:tailEnd/>
                      </a:ln>
                    </wps:spPr>
                    <wps:txbx>
                      <w:txbxContent>
                        <w:p w14:paraId="68BEE773" w14:textId="77777777" w:rsidR="004E4F42" w:rsidRDefault="005B6F7B" w:rsidP="000932CF">
                          <w:r>
                            <w:rPr>
                              <w:noProof/>
                              <w:lang w:val="el-GR" w:eastAsia="el-GR"/>
                            </w:rPr>
                            <w:drawing>
                              <wp:inline distT="0" distB="0" distL="0" distR="0" wp14:anchorId="3F08C8CA" wp14:editId="4F0BC024">
                                <wp:extent cx="1095375" cy="790575"/>
                                <wp:effectExtent l="0" t="0" r="9525" b="9525"/>
                                <wp:docPr id="1103077750" name="Picture 1103077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11363" id="_x0000_t202" coordsize="21600,21600" o:spt="202" path="m,l,21600r21600,l21600,xe">
              <v:stroke joinstyle="miter"/>
              <v:path gradientshapeok="t" o:connecttype="rect"/>
            </v:shapetype>
            <v:shape id="Text Box 14" o:spid="_x0000_s1026" type="#_x0000_t202" style="position:absolute;left:0;text-align:left;margin-left:352.8pt;margin-top:-1.7pt;width:102.2pt;height:6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" strokecolor="white">
              <v:textbox>
                <w:txbxContent>
                  <w:p w14:paraId="68BEE773" w14:textId="77777777" w:rsidR="004E4F42" w:rsidRDefault="005B6F7B" w:rsidP="000932CF">
                    <w:r>
                      <w:rPr>
                        <w:noProof/>
                        <w:lang w:val="el-GR" w:eastAsia="el-GR"/>
                      </w:rPr>
                      <w:drawing>
                        <wp:inline distT="0" distB="0" distL="0" distR="0" wp14:anchorId="3F08C8CA" wp14:editId="4F0BC024">
                          <wp:extent cx="1095375" cy="790575"/>
                          <wp:effectExtent l="0" t="0" r="9525" b="9525"/>
                          <wp:docPr id="1103077750" name="Picture 1103077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005B6F7B">
      <w:rPr>
        <w:rFonts w:ascii="Arial" w:hAnsi="Arial" w:cs="Arial"/>
        <w:bCs/>
        <w:noProof/>
        <w:sz w:val="18"/>
        <w:szCs w:val="18"/>
      </w:rPr>
      <w:drawing>
        <wp:anchor distT="0" distB="0" distL="114300" distR="114300" simplePos="0" relativeHeight="251656192" behindDoc="0" locked="0" layoutInCell="1" allowOverlap="1" wp14:anchorId="6FCC9FE1" wp14:editId="5A4A6CF6">
          <wp:simplePos x="0" y="0"/>
          <wp:positionH relativeFrom="column">
            <wp:posOffset>523875</wp:posOffset>
          </wp:positionH>
          <wp:positionV relativeFrom="paragraph">
            <wp:posOffset>168910</wp:posOffset>
          </wp:positionV>
          <wp:extent cx="676275" cy="676275"/>
          <wp:effectExtent l="0" t="0" r="9525" b="9525"/>
          <wp:wrapNone/>
          <wp:docPr id="1303178678" name="Picture 1303178678"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797A12">
      <w:rPr>
        <w:rFonts w:ascii="Arial" w:hAnsi="Arial" w:cs="Arial"/>
        <w:bCs/>
        <w:sz w:val="18"/>
        <w:szCs w:val="18"/>
        <w:lang w:val="en-US"/>
      </w:rPr>
      <w:t xml:space="preserve">                                                                                                                        </w:t>
    </w:r>
    <w:r w:rsidR="00797A12" w:rsidRPr="00B96284">
      <w:rPr>
        <w:noProof/>
      </w:rPr>
      <w:drawing>
        <wp:inline distT="0" distB="0" distL="0" distR="0" wp14:anchorId="502BBD32" wp14:editId="3906196E">
          <wp:extent cx="904875" cy="742950"/>
          <wp:effectExtent l="0" t="0" r="9525" b="0"/>
          <wp:docPr id="1365920864" name="Picture 1365920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07049" cy="744735"/>
                  </a:xfrm>
                  <a:prstGeom prst="rect">
                    <a:avLst/>
                  </a:prstGeom>
                  <a:noFill/>
                  <a:ln>
                    <a:noFill/>
                  </a:ln>
                </pic:spPr>
              </pic:pic>
            </a:graphicData>
          </a:graphic>
        </wp:inline>
      </w:drawing>
    </w:r>
    <w:r w:rsidR="00797A12">
      <w:rPr>
        <w:rFonts w:ascii="Arial" w:hAnsi="Arial" w:cs="Arial"/>
        <w:bCs/>
        <w:sz w:val="18"/>
        <w:szCs w:val="18"/>
        <w:lang w:val="en-US"/>
      </w:rPr>
      <w:t xml:space="preserve">                        </w:t>
    </w:r>
  </w:p>
  <w:p w14:paraId="630DA3CC" w14:textId="6BB609CD" w:rsidR="00797A12" w:rsidRPr="00797A12" w:rsidRDefault="00797A12" w:rsidP="00797A12">
    <w:pPr>
      <w:pStyle w:val="Header"/>
      <w:tabs>
        <w:tab w:val="clear" w:pos="4153"/>
        <w:tab w:val="clear" w:pos="8306"/>
        <w:tab w:val="center" w:pos="1620"/>
        <w:tab w:val="left" w:pos="6315"/>
      </w:tabs>
      <w:spacing w:line="360" w:lineRule="auto"/>
      <w:rPr>
        <w:rFonts w:ascii="Arial" w:hAnsi="Arial" w:cs="Arial"/>
        <w:bCs/>
        <w:sz w:val="18"/>
        <w:szCs w:val="18"/>
        <w:lang w:val="en-US"/>
      </w:rPr>
    </w:pPr>
    <w:r>
      <w:rPr>
        <w:rFonts w:ascii="Arial" w:hAnsi="Arial" w:cs="Arial"/>
        <w:bCs/>
        <w:noProof/>
        <w:sz w:val="18"/>
        <w:szCs w:val="18"/>
      </w:rPr>
      <mc:AlternateContent>
        <mc:Choice Requires="wps">
          <w:drawing>
            <wp:anchor distT="0" distB="0" distL="114300" distR="114300" simplePos="0" relativeHeight="251658240" behindDoc="0" locked="0" layoutInCell="1" allowOverlap="1" wp14:anchorId="635C8CEF" wp14:editId="5CF7FCDF">
              <wp:simplePos x="0" y="0"/>
              <wp:positionH relativeFrom="column">
                <wp:posOffset>4242435</wp:posOffset>
              </wp:positionH>
              <wp:positionV relativeFrom="paragraph">
                <wp:posOffset>14606</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7997BA44" w14:textId="77777777" w:rsidR="0060256A" w:rsidRPr="00BA5A5E" w:rsidRDefault="0060256A" w:rsidP="0060256A">
                          <w:pPr>
                            <w:jc w:val="center"/>
                            <w:rPr>
                              <w:rFonts w:ascii="Arial" w:hAnsi="Arial" w:cs="Arial"/>
                              <w:b/>
                              <w:sz w:val="20"/>
                              <w:szCs w:val="20"/>
                            </w:rPr>
                          </w:pPr>
                          <w:r w:rsidRPr="00BA5A5E">
                            <w:rPr>
                              <w:rFonts w:ascii="Arial" w:hAnsi="Arial" w:cs="Arial"/>
                              <w:b/>
                              <w:sz w:val="20"/>
                              <w:szCs w:val="20"/>
                            </w:rPr>
                            <w:t>STATISTICAL SERVICE</w:t>
                          </w:r>
                        </w:p>
                        <w:p w14:paraId="25491A60" w14:textId="7A6C62CF" w:rsidR="0060256A" w:rsidRPr="00435025" w:rsidRDefault="0060256A" w:rsidP="0060256A">
                          <w:pPr>
                            <w:jc w:val="center"/>
                            <w:rPr>
                              <w:rFonts w:ascii="Arial" w:hAnsi="Arial" w:cs="Arial"/>
                              <w:sz w:val="20"/>
                              <w:szCs w:val="20"/>
                            </w:rPr>
                          </w:pPr>
                          <w:r w:rsidRPr="00435025">
                            <w:rPr>
                              <w:rFonts w:ascii="Arial" w:hAnsi="Arial" w:cs="Arial"/>
                              <w:sz w:val="20"/>
                              <w:szCs w:val="20"/>
                            </w:rPr>
                            <w:t xml:space="preserve">1444 </w:t>
                          </w:r>
                          <w:r w:rsidR="005F1BF4">
                            <w:rPr>
                              <w:rFonts w:ascii="Arial" w:hAnsi="Arial" w:cs="Arial"/>
                              <w:sz w:val="20"/>
                              <w:szCs w:val="20"/>
                            </w:rPr>
                            <w:t>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C8CEF" id="Text Box 21" o:spid="_x0000_s1027" type="#_x0000_t202" style="position:absolute;margin-left:334.05pt;margin-top:1.15pt;width:2in;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c1S9A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" stroked="f">
              <v:textbox>
                <w:txbxContent>
                  <w:p w14:paraId="7997BA44" w14:textId="77777777" w:rsidR="0060256A" w:rsidRPr="00BA5A5E" w:rsidRDefault="0060256A" w:rsidP="0060256A">
                    <w:pPr>
                      <w:jc w:val="center"/>
                      <w:rPr>
                        <w:rFonts w:ascii="Arial" w:hAnsi="Arial" w:cs="Arial"/>
                        <w:b/>
                        <w:sz w:val="20"/>
                        <w:szCs w:val="20"/>
                      </w:rPr>
                    </w:pPr>
                    <w:r w:rsidRPr="00BA5A5E">
                      <w:rPr>
                        <w:rFonts w:ascii="Arial" w:hAnsi="Arial" w:cs="Arial"/>
                        <w:b/>
                        <w:sz w:val="20"/>
                        <w:szCs w:val="20"/>
                      </w:rPr>
                      <w:t>STATISTICAL SERVICE</w:t>
                    </w:r>
                  </w:p>
                  <w:p w14:paraId="25491A60" w14:textId="7A6C62CF" w:rsidR="0060256A" w:rsidRPr="00435025" w:rsidRDefault="0060256A" w:rsidP="0060256A">
                    <w:pPr>
                      <w:jc w:val="center"/>
                      <w:rPr>
                        <w:rFonts w:ascii="Arial" w:hAnsi="Arial" w:cs="Arial"/>
                        <w:sz w:val="20"/>
                        <w:szCs w:val="20"/>
                      </w:rPr>
                    </w:pPr>
                    <w:r w:rsidRPr="00435025">
                      <w:rPr>
                        <w:rFonts w:ascii="Arial" w:hAnsi="Arial" w:cs="Arial"/>
                        <w:sz w:val="20"/>
                        <w:szCs w:val="20"/>
                      </w:rPr>
                      <w:t xml:space="preserve">1444 </w:t>
                    </w:r>
                    <w:r w:rsidR="005F1BF4">
                      <w:rPr>
                        <w:rFonts w:ascii="Arial" w:hAnsi="Arial" w:cs="Arial"/>
                        <w:sz w:val="20"/>
                        <w:szCs w:val="20"/>
                      </w:rPr>
                      <w:t>NICOSIA</w:t>
                    </w:r>
                  </w:p>
                </w:txbxContent>
              </v:textbox>
            </v:shape>
          </w:pict>
        </mc:Fallback>
      </mc:AlternateContent>
    </w:r>
    <w:r w:rsidR="004E4F42">
      <w:rPr>
        <w:rFonts w:ascii="Arial" w:hAnsi="Arial" w:cs="Arial"/>
        <w:bCs/>
        <w:sz w:val="18"/>
        <w:szCs w:val="18"/>
      </w:rPr>
      <w:tab/>
    </w:r>
    <w:r>
      <w:rPr>
        <w:rFonts w:ascii="Arial" w:hAnsi="Arial" w:cs="Arial"/>
        <w:bCs/>
        <w:sz w:val="18"/>
        <w:szCs w:val="18"/>
        <w:lang w:val="en-US"/>
      </w:rPr>
      <w:t xml:space="preserve">                                                                                                                        </w:t>
    </w:r>
  </w:p>
  <w:p w14:paraId="102C91E2" w14:textId="76C89316" w:rsidR="00364377" w:rsidRPr="00AC704B" w:rsidRDefault="004E4F42" w:rsidP="00797A12">
    <w:pPr>
      <w:pStyle w:val="Header"/>
      <w:tabs>
        <w:tab w:val="clear" w:pos="4153"/>
        <w:tab w:val="clear" w:pos="8306"/>
        <w:tab w:val="center" w:pos="1620"/>
        <w:tab w:val="left" w:pos="6315"/>
      </w:tabs>
      <w:spacing w:line="360" w:lineRule="auto"/>
      <w:rPr>
        <w:rFonts w:ascii="Arial" w:hAnsi="Arial"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00364377" w:rsidRPr="007C1520">
      <w:rPr>
        <w:rFonts w:ascii="Arial" w:hAnsi="Arial" w:cs="Arial"/>
        <w:bCs/>
        <w:sz w:val="18"/>
        <w:szCs w:val="18"/>
        <w:lang w:val="en-US"/>
      </w:rPr>
      <w:t>REPUBLIC OF CYPRUS</w:t>
    </w:r>
    <w:r w:rsidR="00364377" w:rsidRPr="00AC704B">
      <w:rPr>
        <w:b/>
        <w:bCs/>
        <w:sz w:val="20"/>
        <w:szCs w:val="20"/>
        <w:lang w:val="en-US"/>
      </w:rPr>
      <w:t xml:space="preserve"> </w:t>
    </w:r>
    <w:r w:rsidR="00364377" w:rsidRPr="00AC704B">
      <w:rPr>
        <w:b/>
        <w:bCs/>
        <w:sz w:val="20"/>
        <w:szCs w:val="20"/>
        <w:lang w:val="en-US"/>
      </w:rPr>
      <w:tab/>
    </w:r>
  </w:p>
  <w:p w14:paraId="2E6A9C42" w14:textId="328ED26E" w:rsidR="004E4F42" w:rsidRPr="0060256A" w:rsidRDefault="0060256A" w:rsidP="00797A12">
    <w:pPr>
      <w:pStyle w:val="Header"/>
      <w:tabs>
        <w:tab w:val="clear" w:pos="4153"/>
        <w:tab w:val="center" w:pos="1620"/>
        <w:tab w:val="left" w:pos="2160"/>
        <w:tab w:val="center" w:pos="7655"/>
      </w:tabs>
      <w:spacing w:line="360" w:lineRule="auto"/>
      <w:rPr>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D71B83"/>
    <w:multiLevelType w:val="hybridMultilevel"/>
    <w:tmpl w:val="560C8650"/>
    <w:lvl w:ilvl="0" w:tplc="4C98BB9C">
      <w:start w:val="1"/>
      <w:numFmt w:val="decimal"/>
      <w:lvlText w:val="%1."/>
      <w:lvlJc w:val="left"/>
      <w:pPr>
        <w:ind w:left="1080" w:hanging="360"/>
      </w:pPr>
      <w:rPr>
        <w:rFonts w:cs="Times New Roman" w:hint="default"/>
        <w:b/>
        <w:i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399478443">
    <w:abstractNumId w:val="5"/>
  </w:num>
  <w:num w:numId="2" w16cid:durableId="1234465717">
    <w:abstractNumId w:val="1"/>
  </w:num>
  <w:num w:numId="3" w16cid:durableId="1745761997">
    <w:abstractNumId w:val="2"/>
  </w:num>
  <w:num w:numId="4" w16cid:durableId="920025658">
    <w:abstractNumId w:val="3"/>
  </w:num>
  <w:num w:numId="5" w16cid:durableId="305013414">
    <w:abstractNumId w:val="0"/>
  </w:num>
  <w:num w:numId="6" w16cid:durableId="165941787">
    <w:abstractNumId w:val="6"/>
  </w:num>
  <w:num w:numId="7" w16cid:durableId="1139616827">
    <w:abstractNumId w:val="8"/>
  </w:num>
  <w:num w:numId="8" w16cid:durableId="86779349">
    <w:abstractNumId w:val="4"/>
  </w:num>
  <w:num w:numId="9" w16cid:durableId="8990954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9D8"/>
    <w:rsid w:val="000014C3"/>
    <w:rsid w:val="00001773"/>
    <w:rsid w:val="00004F86"/>
    <w:rsid w:val="0000542E"/>
    <w:rsid w:val="00013E40"/>
    <w:rsid w:val="0001493F"/>
    <w:rsid w:val="00014F9D"/>
    <w:rsid w:val="000152BF"/>
    <w:rsid w:val="000161B1"/>
    <w:rsid w:val="00017BED"/>
    <w:rsid w:val="00025A39"/>
    <w:rsid w:val="00025FBF"/>
    <w:rsid w:val="00027853"/>
    <w:rsid w:val="00030E18"/>
    <w:rsid w:val="00031D32"/>
    <w:rsid w:val="000335A0"/>
    <w:rsid w:val="0003448B"/>
    <w:rsid w:val="00034B02"/>
    <w:rsid w:val="0003603D"/>
    <w:rsid w:val="00036FA9"/>
    <w:rsid w:val="000370C3"/>
    <w:rsid w:val="0004059B"/>
    <w:rsid w:val="00044F9C"/>
    <w:rsid w:val="00045088"/>
    <w:rsid w:val="00045A06"/>
    <w:rsid w:val="00050391"/>
    <w:rsid w:val="00052304"/>
    <w:rsid w:val="00053A9D"/>
    <w:rsid w:val="00055291"/>
    <w:rsid w:val="000563D3"/>
    <w:rsid w:val="0005664D"/>
    <w:rsid w:val="00057E44"/>
    <w:rsid w:val="00061299"/>
    <w:rsid w:val="00067D80"/>
    <w:rsid w:val="0007018B"/>
    <w:rsid w:val="00070576"/>
    <w:rsid w:val="0007081E"/>
    <w:rsid w:val="00070E05"/>
    <w:rsid w:val="00072754"/>
    <w:rsid w:val="000752BB"/>
    <w:rsid w:val="00081ADF"/>
    <w:rsid w:val="00082F37"/>
    <w:rsid w:val="00084A02"/>
    <w:rsid w:val="00084BF7"/>
    <w:rsid w:val="000864BF"/>
    <w:rsid w:val="000870E9"/>
    <w:rsid w:val="000878E1"/>
    <w:rsid w:val="000932CF"/>
    <w:rsid w:val="00096ED8"/>
    <w:rsid w:val="00097D62"/>
    <w:rsid w:val="000A1A88"/>
    <w:rsid w:val="000A2B5C"/>
    <w:rsid w:val="000A3601"/>
    <w:rsid w:val="000A4B82"/>
    <w:rsid w:val="000A6FA8"/>
    <w:rsid w:val="000B1360"/>
    <w:rsid w:val="000B6F3B"/>
    <w:rsid w:val="000C4E72"/>
    <w:rsid w:val="000D009F"/>
    <w:rsid w:val="000D18BE"/>
    <w:rsid w:val="000D1E7A"/>
    <w:rsid w:val="000D52FD"/>
    <w:rsid w:val="000E24B1"/>
    <w:rsid w:val="000E2735"/>
    <w:rsid w:val="000E32D6"/>
    <w:rsid w:val="000E4454"/>
    <w:rsid w:val="000E5566"/>
    <w:rsid w:val="000E57F2"/>
    <w:rsid w:val="000E5965"/>
    <w:rsid w:val="000E6F84"/>
    <w:rsid w:val="000E72A7"/>
    <w:rsid w:val="000F1162"/>
    <w:rsid w:val="000F18AB"/>
    <w:rsid w:val="000F3467"/>
    <w:rsid w:val="000F3549"/>
    <w:rsid w:val="000F38DE"/>
    <w:rsid w:val="000F5D6C"/>
    <w:rsid w:val="000F6A60"/>
    <w:rsid w:val="00106852"/>
    <w:rsid w:val="00107719"/>
    <w:rsid w:val="00110F9D"/>
    <w:rsid w:val="001135C7"/>
    <w:rsid w:val="00114A67"/>
    <w:rsid w:val="0012048F"/>
    <w:rsid w:val="00122143"/>
    <w:rsid w:val="001246F2"/>
    <w:rsid w:val="001248CD"/>
    <w:rsid w:val="001253B6"/>
    <w:rsid w:val="00127320"/>
    <w:rsid w:val="00127456"/>
    <w:rsid w:val="00127C16"/>
    <w:rsid w:val="001312D8"/>
    <w:rsid w:val="0013137B"/>
    <w:rsid w:val="0013327C"/>
    <w:rsid w:val="00133B45"/>
    <w:rsid w:val="00135D7B"/>
    <w:rsid w:val="00137032"/>
    <w:rsid w:val="0013709C"/>
    <w:rsid w:val="00145386"/>
    <w:rsid w:val="00147799"/>
    <w:rsid w:val="0015118B"/>
    <w:rsid w:val="001514DD"/>
    <w:rsid w:val="001516AB"/>
    <w:rsid w:val="001519CE"/>
    <w:rsid w:val="00151F67"/>
    <w:rsid w:val="00153C0C"/>
    <w:rsid w:val="001546BA"/>
    <w:rsid w:val="00157260"/>
    <w:rsid w:val="0016120C"/>
    <w:rsid w:val="00161CF3"/>
    <w:rsid w:val="00162C00"/>
    <w:rsid w:val="001633B2"/>
    <w:rsid w:val="001639EF"/>
    <w:rsid w:val="0016589F"/>
    <w:rsid w:val="001664F9"/>
    <w:rsid w:val="00166D90"/>
    <w:rsid w:val="00166FC4"/>
    <w:rsid w:val="0016723D"/>
    <w:rsid w:val="00172175"/>
    <w:rsid w:val="0017333B"/>
    <w:rsid w:val="00176558"/>
    <w:rsid w:val="0017756A"/>
    <w:rsid w:val="0017769A"/>
    <w:rsid w:val="001817CA"/>
    <w:rsid w:val="00183921"/>
    <w:rsid w:val="00183DFC"/>
    <w:rsid w:val="00184384"/>
    <w:rsid w:val="00186717"/>
    <w:rsid w:val="00187FFC"/>
    <w:rsid w:val="001955C0"/>
    <w:rsid w:val="001A2018"/>
    <w:rsid w:val="001A3DD4"/>
    <w:rsid w:val="001A5402"/>
    <w:rsid w:val="001A5BA4"/>
    <w:rsid w:val="001B184E"/>
    <w:rsid w:val="001B2C39"/>
    <w:rsid w:val="001B3675"/>
    <w:rsid w:val="001B3E68"/>
    <w:rsid w:val="001B54AB"/>
    <w:rsid w:val="001B5E10"/>
    <w:rsid w:val="001B6AB3"/>
    <w:rsid w:val="001B73D5"/>
    <w:rsid w:val="001C0681"/>
    <w:rsid w:val="001C14B9"/>
    <w:rsid w:val="001C4DAE"/>
    <w:rsid w:val="001C62B3"/>
    <w:rsid w:val="001C7336"/>
    <w:rsid w:val="001C7C8C"/>
    <w:rsid w:val="001C7FAB"/>
    <w:rsid w:val="001D0D6A"/>
    <w:rsid w:val="001D20A4"/>
    <w:rsid w:val="001D699E"/>
    <w:rsid w:val="001E00D1"/>
    <w:rsid w:val="001E0609"/>
    <w:rsid w:val="001E08CD"/>
    <w:rsid w:val="001E0E58"/>
    <w:rsid w:val="001E14F3"/>
    <w:rsid w:val="001E15ED"/>
    <w:rsid w:val="001E5245"/>
    <w:rsid w:val="001E61AA"/>
    <w:rsid w:val="001F3FD3"/>
    <w:rsid w:val="001F7847"/>
    <w:rsid w:val="0020309E"/>
    <w:rsid w:val="00203DFB"/>
    <w:rsid w:val="00205BA0"/>
    <w:rsid w:val="0020614E"/>
    <w:rsid w:val="00206234"/>
    <w:rsid w:val="00206BBB"/>
    <w:rsid w:val="00210B58"/>
    <w:rsid w:val="00212C75"/>
    <w:rsid w:val="0021313E"/>
    <w:rsid w:val="002145B2"/>
    <w:rsid w:val="0021577E"/>
    <w:rsid w:val="00215ACC"/>
    <w:rsid w:val="00222423"/>
    <w:rsid w:val="0022480B"/>
    <w:rsid w:val="0022573B"/>
    <w:rsid w:val="00225B28"/>
    <w:rsid w:val="00227E98"/>
    <w:rsid w:val="002313AC"/>
    <w:rsid w:val="00231818"/>
    <w:rsid w:val="002320B2"/>
    <w:rsid w:val="00235FB2"/>
    <w:rsid w:val="00236577"/>
    <w:rsid w:val="00237BC1"/>
    <w:rsid w:val="00240C0A"/>
    <w:rsid w:val="002430B4"/>
    <w:rsid w:val="002447D0"/>
    <w:rsid w:val="002454C5"/>
    <w:rsid w:val="00245E19"/>
    <w:rsid w:val="00246AEB"/>
    <w:rsid w:val="00250005"/>
    <w:rsid w:val="0025254F"/>
    <w:rsid w:val="00254951"/>
    <w:rsid w:val="00255665"/>
    <w:rsid w:val="0025566D"/>
    <w:rsid w:val="0025595C"/>
    <w:rsid w:val="00256C08"/>
    <w:rsid w:val="00257149"/>
    <w:rsid w:val="002576E7"/>
    <w:rsid w:val="00260357"/>
    <w:rsid w:val="0026119F"/>
    <w:rsid w:val="002615C3"/>
    <w:rsid w:val="00261CFE"/>
    <w:rsid w:val="00263E75"/>
    <w:rsid w:val="00264F04"/>
    <w:rsid w:val="002652BC"/>
    <w:rsid w:val="00266A5A"/>
    <w:rsid w:val="002672DE"/>
    <w:rsid w:val="00267554"/>
    <w:rsid w:val="0027122D"/>
    <w:rsid w:val="002715EE"/>
    <w:rsid w:val="0027301C"/>
    <w:rsid w:val="00276433"/>
    <w:rsid w:val="00276743"/>
    <w:rsid w:val="002777FD"/>
    <w:rsid w:val="00280E3E"/>
    <w:rsid w:val="00282FA4"/>
    <w:rsid w:val="002830AC"/>
    <w:rsid w:val="0028338F"/>
    <w:rsid w:val="00284B38"/>
    <w:rsid w:val="00285C24"/>
    <w:rsid w:val="00290328"/>
    <w:rsid w:val="002915C4"/>
    <w:rsid w:val="00291A1B"/>
    <w:rsid w:val="002A0DCE"/>
    <w:rsid w:val="002A1D1C"/>
    <w:rsid w:val="002A2651"/>
    <w:rsid w:val="002A48EA"/>
    <w:rsid w:val="002A4D64"/>
    <w:rsid w:val="002A5D4A"/>
    <w:rsid w:val="002A63B0"/>
    <w:rsid w:val="002B0FB8"/>
    <w:rsid w:val="002B2F8B"/>
    <w:rsid w:val="002B6554"/>
    <w:rsid w:val="002B6DE8"/>
    <w:rsid w:val="002B7018"/>
    <w:rsid w:val="002C36DA"/>
    <w:rsid w:val="002C3D54"/>
    <w:rsid w:val="002C6B66"/>
    <w:rsid w:val="002D05F0"/>
    <w:rsid w:val="002D1585"/>
    <w:rsid w:val="002D5665"/>
    <w:rsid w:val="002D7D4A"/>
    <w:rsid w:val="002E1906"/>
    <w:rsid w:val="002E2603"/>
    <w:rsid w:val="002E2720"/>
    <w:rsid w:val="002E3846"/>
    <w:rsid w:val="002E3F78"/>
    <w:rsid w:val="002E753A"/>
    <w:rsid w:val="002F400C"/>
    <w:rsid w:val="002F4072"/>
    <w:rsid w:val="002F4A5C"/>
    <w:rsid w:val="002F4B7D"/>
    <w:rsid w:val="002F4D76"/>
    <w:rsid w:val="002F6D26"/>
    <w:rsid w:val="002F701D"/>
    <w:rsid w:val="0030018D"/>
    <w:rsid w:val="00300272"/>
    <w:rsid w:val="0030231E"/>
    <w:rsid w:val="003042C4"/>
    <w:rsid w:val="00304CB4"/>
    <w:rsid w:val="00313F37"/>
    <w:rsid w:val="003141D0"/>
    <w:rsid w:val="00315527"/>
    <w:rsid w:val="003168C1"/>
    <w:rsid w:val="0031769B"/>
    <w:rsid w:val="00322FBE"/>
    <w:rsid w:val="00325632"/>
    <w:rsid w:val="00326C81"/>
    <w:rsid w:val="00327549"/>
    <w:rsid w:val="003303F6"/>
    <w:rsid w:val="003342A5"/>
    <w:rsid w:val="00334ED2"/>
    <w:rsid w:val="00336C36"/>
    <w:rsid w:val="00341FE1"/>
    <w:rsid w:val="00343815"/>
    <w:rsid w:val="00343EED"/>
    <w:rsid w:val="00346805"/>
    <w:rsid w:val="00347CCB"/>
    <w:rsid w:val="003522BB"/>
    <w:rsid w:val="00352F6C"/>
    <w:rsid w:val="00353008"/>
    <w:rsid w:val="00353510"/>
    <w:rsid w:val="003556EA"/>
    <w:rsid w:val="00362BA3"/>
    <w:rsid w:val="00364377"/>
    <w:rsid w:val="00365B8C"/>
    <w:rsid w:val="0037203F"/>
    <w:rsid w:val="00377ABB"/>
    <w:rsid w:val="00377E68"/>
    <w:rsid w:val="00377F9C"/>
    <w:rsid w:val="00384E69"/>
    <w:rsid w:val="003863AB"/>
    <w:rsid w:val="00386FC7"/>
    <w:rsid w:val="00387BA5"/>
    <w:rsid w:val="00390A32"/>
    <w:rsid w:val="003910CA"/>
    <w:rsid w:val="00391F0D"/>
    <w:rsid w:val="003933DC"/>
    <w:rsid w:val="00394BE6"/>
    <w:rsid w:val="00396C89"/>
    <w:rsid w:val="0039732B"/>
    <w:rsid w:val="003A40F2"/>
    <w:rsid w:val="003A50D1"/>
    <w:rsid w:val="003B196D"/>
    <w:rsid w:val="003B2710"/>
    <w:rsid w:val="003B4608"/>
    <w:rsid w:val="003B70A4"/>
    <w:rsid w:val="003C1B8E"/>
    <w:rsid w:val="003C2392"/>
    <w:rsid w:val="003C371D"/>
    <w:rsid w:val="003C5174"/>
    <w:rsid w:val="003C5240"/>
    <w:rsid w:val="003C7906"/>
    <w:rsid w:val="003D14E0"/>
    <w:rsid w:val="003D1EA5"/>
    <w:rsid w:val="003D3348"/>
    <w:rsid w:val="003D38BC"/>
    <w:rsid w:val="003D3D8E"/>
    <w:rsid w:val="003D40E4"/>
    <w:rsid w:val="003D46D6"/>
    <w:rsid w:val="003D5672"/>
    <w:rsid w:val="003D6822"/>
    <w:rsid w:val="003D724C"/>
    <w:rsid w:val="003E0CE2"/>
    <w:rsid w:val="003E4C35"/>
    <w:rsid w:val="003F23C0"/>
    <w:rsid w:val="003F41C8"/>
    <w:rsid w:val="003F4948"/>
    <w:rsid w:val="003F49E4"/>
    <w:rsid w:val="003F4D2F"/>
    <w:rsid w:val="003F5858"/>
    <w:rsid w:val="003F5E32"/>
    <w:rsid w:val="003F6A0E"/>
    <w:rsid w:val="003F6EBB"/>
    <w:rsid w:val="003F75F6"/>
    <w:rsid w:val="0040144B"/>
    <w:rsid w:val="004045C6"/>
    <w:rsid w:val="00404670"/>
    <w:rsid w:val="00405D5E"/>
    <w:rsid w:val="00411D67"/>
    <w:rsid w:val="00414CA0"/>
    <w:rsid w:val="00417F0B"/>
    <w:rsid w:val="004213B9"/>
    <w:rsid w:val="00421D7B"/>
    <w:rsid w:val="00422F54"/>
    <w:rsid w:val="0042413F"/>
    <w:rsid w:val="0042446E"/>
    <w:rsid w:val="004301DF"/>
    <w:rsid w:val="00431516"/>
    <w:rsid w:val="004361B3"/>
    <w:rsid w:val="0044249D"/>
    <w:rsid w:val="00442FFE"/>
    <w:rsid w:val="0044376E"/>
    <w:rsid w:val="0044379F"/>
    <w:rsid w:val="004446F9"/>
    <w:rsid w:val="00445E7A"/>
    <w:rsid w:val="00446FB1"/>
    <w:rsid w:val="00447767"/>
    <w:rsid w:val="004479D6"/>
    <w:rsid w:val="00447AFB"/>
    <w:rsid w:val="00452504"/>
    <w:rsid w:val="00457B04"/>
    <w:rsid w:val="00460335"/>
    <w:rsid w:val="0046078F"/>
    <w:rsid w:val="00461293"/>
    <w:rsid w:val="004623F1"/>
    <w:rsid w:val="00463214"/>
    <w:rsid w:val="0046434D"/>
    <w:rsid w:val="004656FA"/>
    <w:rsid w:val="004710C2"/>
    <w:rsid w:val="00471D77"/>
    <w:rsid w:val="00475587"/>
    <w:rsid w:val="0047665D"/>
    <w:rsid w:val="00480247"/>
    <w:rsid w:val="00480BC2"/>
    <w:rsid w:val="0048294D"/>
    <w:rsid w:val="00482A99"/>
    <w:rsid w:val="00491681"/>
    <w:rsid w:val="004929C2"/>
    <w:rsid w:val="00493FDD"/>
    <w:rsid w:val="0049586B"/>
    <w:rsid w:val="00497A65"/>
    <w:rsid w:val="004A172E"/>
    <w:rsid w:val="004A3E44"/>
    <w:rsid w:val="004A41CD"/>
    <w:rsid w:val="004A7983"/>
    <w:rsid w:val="004B1A5E"/>
    <w:rsid w:val="004B2896"/>
    <w:rsid w:val="004B38E9"/>
    <w:rsid w:val="004B3FBA"/>
    <w:rsid w:val="004B4D74"/>
    <w:rsid w:val="004B556F"/>
    <w:rsid w:val="004B6599"/>
    <w:rsid w:val="004B77D5"/>
    <w:rsid w:val="004B7864"/>
    <w:rsid w:val="004C2EB0"/>
    <w:rsid w:val="004C37E4"/>
    <w:rsid w:val="004C6CA7"/>
    <w:rsid w:val="004D2EEA"/>
    <w:rsid w:val="004D4357"/>
    <w:rsid w:val="004D4950"/>
    <w:rsid w:val="004D66F3"/>
    <w:rsid w:val="004E1F0D"/>
    <w:rsid w:val="004E2393"/>
    <w:rsid w:val="004E27EC"/>
    <w:rsid w:val="004E3745"/>
    <w:rsid w:val="004E4119"/>
    <w:rsid w:val="004E42BE"/>
    <w:rsid w:val="004E4F42"/>
    <w:rsid w:val="004E527F"/>
    <w:rsid w:val="004E63D5"/>
    <w:rsid w:val="004E7336"/>
    <w:rsid w:val="004F03FD"/>
    <w:rsid w:val="004F17D5"/>
    <w:rsid w:val="004F4DC9"/>
    <w:rsid w:val="004F52F0"/>
    <w:rsid w:val="004F5ED2"/>
    <w:rsid w:val="004F6250"/>
    <w:rsid w:val="004F677C"/>
    <w:rsid w:val="004F6D8F"/>
    <w:rsid w:val="004F7D99"/>
    <w:rsid w:val="0050085D"/>
    <w:rsid w:val="00505503"/>
    <w:rsid w:val="0051107B"/>
    <w:rsid w:val="00512F9C"/>
    <w:rsid w:val="00521120"/>
    <w:rsid w:val="00521D34"/>
    <w:rsid w:val="00524E1E"/>
    <w:rsid w:val="00524F55"/>
    <w:rsid w:val="005266C1"/>
    <w:rsid w:val="00527CDB"/>
    <w:rsid w:val="0053003B"/>
    <w:rsid w:val="005317FB"/>
    <w:rsid w:val="005341C9"/>
    <w:rsid w:val="0053544D"/>
    <w:rsid w:val="005366FA"/>
    <w:rsid w:val="005369CA"/>
    <w:rsid w:val="00536DE9"/>
    <w:rsid w:val="00537CF8"/>
    <w:rsid w:val="00541E08"/>
    <w:rsid w:val="005468C5"/>
    <w:rsid w:val="005504A3"/>
    <w:rsid w:val="005512DA"/>
    <w:rsid w:val="00551C9E"/>
    <w:rsid w:val="00553BC2"/>
    <w:rsid w:val="0055789A"/>
    <w:rsid w:val="00562136"/>
    <w:rsid w:val="00564FE6"/>
    <w:rsid w:val="005652D1"/>
    <w:rsid w:val="005660A0"/>
    <w:rsid w:val="00566A4F"/>
    <w:rsid w:val="00567D64"/>
    <w:rsid w:val="00574B1A"/>
    <w:rsid w:val="00575645"/>
    <w:rsid w:val="00576D6D"/>
    <w:rsid w:val="00577D5D"/>
    <w:rsid w:val="005815BD"/>
    <w:rsid w:val="00583DCE"/>
    <w:rsid w:val="00584D27"/>
    <w:rsid w:val="00590E33"/>
    <w:rsid w:val="005918D6"/>
    <w:rsid w:val="00591F53"/>
    <w:rsid w:val="0059474A"/>
    <w:rsid w:val="0059478C"/>
    <w:rsid w:val="005978D4"/>
    <w:rsid w:val="005A77D5"/>
    <w:rsid w:val="005A77D9"/>
    <w:rsid w:val="005B2A67"/>
    <w:rsid w:val="005B3DCD"/>
    <w:rsid w:val="005B4AD4"/>
    <w:rsid w:val="005B58D7"/>
    <w:rsid w:val="005B5ACB"/>
    <w:rsid w:val="005B5CC7"/>
    <w:rsid w:val="005B6F7B"/>
    <w:rsid w:val="005C265A"/>
    <w:rsid w:val="005C2798"/>
    <w:rsid w:val="005C2A14"/>
    <w:rsid w:val="005C36C3"/>
    <w:rsid w:val="005C56EE"/>
    <w:rsid w:val="005C5D4B"/>
    <w:rsid w:val="005C7253"/>
    <w:rsid w:val="005D1714"/>
    <w:rsid w:val="005D2CA4"/>
    <w:rsid w:val="005D2D39"/>
    <w:rsid w:val="005D7638"/>
    <w:rsid w:val="005D7B71"/>
    <w:rsid w:val="005E04FA"/>
    <w:rsid w:val="005E1656"/>
    <w:rsid w:val="005E1E8E"/>
    <w:rsid w:val="005E70D4"/>
    <w:rsid w:val="005E7187"/>
    <w:rsid w:val="005F12F5"/>
    <w:rsid w:val="005F1BF4"/>
    <w:rsid w:val="005F380D"/>
    <w:rsid w:val="005F4B4F"/>
    <w:rsid w:val="005F7C7D"/>
    <w:rsid w:val="0060256A"/>
    <w:rsid w:val="00602D97"/>
    <w:rsid w:val="006044B7"/>
    <w:rsid w:val="006071CE"/>
    <w:rsid w:val="006072C0"/>
    <w:rsid w:val="006075B5"/>
    <w:rsid w:val="006076FA"/>
    <w:rsid w:val="0061018C"/>
    <w:rsid w:val="0061094E"/>
    <w:rsid w:val="0061153A"/>
    <w:rsid w:val="00613440"/>
    <w:rsid w:val="00613BE3"/>
    <w:rsid w:val="00613EF1"/>
    <w:rsid w:val="00614A70"/>
    <w:rsid w:val="0062327B"/>
    <w:rsid w:val="00631738"/>
    <w:rsid w:val="0063175B"/>
    <w:rsid w:val="00632777"/>
    <w:rsid w:val="00633750"/>
    <w:rsid w:val="00634491"/>
    <w:rsid w:val="0063679C"/>
    <w:rsid w:val="00637055"/>
    <w:rsid w:val="00641D59"/>
    <w:rsid w:val="00642D91"/>
    <w:rsid w:val="00643E6C"/>
    <w:rsid w:val="00644507"/>
    <w:rsid w:val="00646880"/>
    <w:rsid w:val="00647D2A"/>
    <w:rsid w:val="006518CF"/>
    <w:rsid w:val="006537BB"/>
    <w:rsid w:val="00653937"/>
    <w:rsid w:val="0065711B"/>
    <w:rsid w:val="006600BF"/>
    <w:rsid w:val="006633E3"/>
    <w:rsid w:val="00666A6C"/>
    <w:rsid w:val="00666A7F"/>
    <w:rsid w:val="00671785"/>
    <w:rsid w:val="00671814"/>
    <w:rsid w:val="00672BA9"/>
    <w:rsid w:val="00673005"/>
    <w:rsid w:val="00673043"/>
    <w:rsid w:val="00674893"/>
    <w:rsid w:val="00675854"/>
    <w:rsid w:val="006804BE"/>
    <w:rsid w:val="0068414F"/>
    <w:rsid w:val="006846A2"/>
    <w:rsid w:val="006848CD"/>
    <w:rsid w:val="00685ADD"/>
    <w:rsid w:val="006863C8"/>
    <w:rsid w:val="0069008E"/>
    <w:rsid w:val="0069087E"/>
    <w:rsid w:val="00691191"/>
    <w:rsid w:val="00691677"/>
    <w:rsid w:val="00691793"/>
    <w:rsid w:val="00691833"/>
    <w:rsid w:val="006918B1"/>
    <w:rsid w:val="006925C4"/>
    <w:rsid w:val="00692C2A"/>
    <w:rsid w:val="0069309C"/>
    <w:rsid w:val="006945BE"/>
    <w:rsid w:val="00694AAA"/>
    <w:rsid w:val="0069792A"/>
    <w:rsid w:val="006A02B7"/>
    <w:rsid w:val="006B036F"/>
    <w:rsid w:val="006B04B2"/>
    <w:rsid w:val="006B46D5"/>
    <w:rsid w:val="006B46F4"/>
    <w:rsid w:val="006B754A"/>
    <w:rsid w:val="006C0783"/>
    <w:rsid w:val="006C323E"/>
    <w:rsid w:val="006C755E"/>
    <w:rsid w:val="006C7AF3"/>
    <w:rsid w:val="006D358C"/>
    <w:rsid w:val="006D6548"/>
    <w:rsid w:val="006E0E20"/>
    <w:rsid w:val="006E1D0C"/>
    <w:rsid w:val="006E3610"/>
    <w:rsid w:val="006E4256"/>
    <w:rsid w:val="006E4BBA"/>
    <w:rsid w:val="006E5F43"/>
    <w:rsid w:val="006E60A6"/>
    <w:rsid w:val="006E6868"/>
    <w:rsid w:val="006F0F69"/>
    <w:rsid w:val="006F116B"/>
    <w:rsid w:val="006F117F"/>
    <w:rsid w:val="006F13DF"/>
    <w:rsid w:val="006F3718"/>
    <w:rsid w:val="006F3971"/>
    <w:rsid w:val="006F46BC"/>
    <w:rsid w:val="006F6495"/>
    <w:rsid w:val="00702F26"/>
    <w:rsid w:val="0070313E"/>
    <w:rsid w:val="00703799"/>
    <w:rsid w:val="00704E11"/>
    <w:rsid w:val="00704E7A"/>
    <w:rsid w:val="00705C5C"/>
    <w:rsid w:val="00711475"/>
    <w:rsid w:val="00714CD4"/>
    <w:rsid w:val="0071501C"/>
    <w:rsid w:val="00716C0F"/>
    <w:rsid w:val="00720290"/>
    <w:rsid w:val="00724DCE"/>
    <w:rsid w:val="00724E52"/>
    <w:rsid w:val="0072548A"/>
    <w:rsid w:val="007277A6"/>
    <w:rsid w:val="00732A6B"/>
    <w:rsid w:val="00732E4D"/>
    <w:rsid w:val="00741AF0"/>
    <w:rsid w:val="00741BBE"/>
    <w:rsid w:val="007437AB"/>
    <w:rsid w:val="00746311"/>
    <w:rsid w:val="007534F8"/>
    <w:rsid w:val="007545AD"/>
    <w:rsid w:val="00756CD4"/>
    <w:rsid w:val="00762446"/>
    <w:rsid w:val="00763722"/>
    <w:rsid w:val="00764BC1"/>
    <w:rsid w:val="00766D92"/>
    <w:rsid w:val="00770869"/>
    <w:rsid w:val="00770E6B"/>
    <w:rsid w:val="0077107C"/>
    <w:rsid w:val="007738AA"/>
    <w:rsid w:val="00774EA3"/>
    <w:rsid w:val="00780A62"/>
    <w:rsid w:val="00783241"/>
    <w:rsid w:val="00784BDC"/>
    <w:rsid w:val="00791335"/>
    <w:rsid w:val="00792249"/>
    <w:rsid w:val="007927A7"/>
    <w:rsid w:val="0079282A"/>
    <w:rsid w:val="00792F28"/>
    <w:rsid w:val="00794D5A"/>
    <w:rsid w:val="0079543F"/>
    <w:rsid w:val="00795880"/>
    <w:rsid w:val="00796949"/>
    <w:rsid w:val="00797A12"/>
    <w:rsid w:val="007A03BE"/>
    <w:rsid w:val="007A4367"/>
    <w:rsid w:val="007B0867"/>
    <w:rsid w:val="007B1AC1"/>
    <w:rsid w:val="007B5A08"/>
    <w:rsid w:val="007B6508"/>
    <w:rsid w:val="007B693D"/>
    <w:rsid w:val="007C094D"/>
    <w:rsid w:val="007C0CCC"/>
    <w:rsid w:val="007C227D"/>
    <w:rsid w:val="007C4958"/>
    <w:rsid w:val="007D05F2"/>
    <w:rsid w:val="007D3252"/>
    <w:rsid w:val="007D46AC"/>
    <w:rsid w:val="007D5D35"/>
    <w:rsid w:val="007E041B"/>
    <w:rsid w:val="007E199A"/>
    <w:rsid w:val="007E2415"/>
    <w:rsid w:val="007E39F3"/>
    <w:rsid w:val="007E3B41"/>
    <w:rsid w:val="007E68F4"/>
    <w:rsid w:val="007F06B4"/>
    <w:rsid w:val="007F134D"/>
    <w:rsid w:val="007F31BA"/>
    <w:rsid w:val="007F4078"/>
    <w:rsid w:val="007F5170"/>
    <w:rsid w:val="007F56F9"/>
    <w:rsid w:val="007F77C9"/>
    <w:rsid w:val="007F77F6"/>
    <w:rsid w:val="0080014B"/>
    <w:rsid w:val="00801716"/>
    <w:rsid w:val="00801793"/>
    <w:rsid w:val="00803642"/>
    <w:rsid w:val="00806EA2"/>
    <w:rsid w:val="0081158C"/>
    <w:rsid w:val="00812A2B"/>
    <w:rsid w:val="0081397E"/>
    <w:rsid w:val="00813A5F"/>
    <w:rsid w:val="00814A4C"/>
    <w:rsid w:val="008153DE"/>
    <w:rsid w:val="00816B97"/>
    <w:rsid w:val="0082560F"/>
    <w:rsid w:val="00830641"/>
    <w:rsid w:val="00831AAB"/>
    <w:rsid w:val="0083361E"/>
    <w:rsid w:val="00833688"/>
    <w:rsid w:val="00834444"/>
    <w:rsid w:val="0083574E"/>
    <w:rsid w:val="0083640C"/>
    <w:rsid w:val="0084157B"/>
    <w:rsid w:val="00842BFB"/>
    <w:rsid w:val="00846B85"/>
    <w:rsid w:val="00847DC3"/>
    <w:rsid w:val="00847F49"/>
    <w:rsid w:val="0085253C"/>
    <w:rsid w:val="00852DBE"/>
    <w:rsid w:val="008535C5"/>
    <w:rsid w:val="00853765"/>
    <w:rsid w:val="00853B2A"/>
    <w:rsid w:val="0085516F"/>
    <w:rsid w:val="00860453"/>
    <w:rsid w:val="008607DA"/>
    <w:rsid w:val="00861278"/>
    <w:rsid w:val="00865F30"/>
    <w:rsid w:val="00867186"/>
    <w:rsid w:val="0086731B"/>
    <w:rsid w:val="00870AF6"/>
    <w:rsid w:val="00881268"/>
    <w:rsid w:val="00882614"/>
    <w:rsid w:val="0088394A"/>
    <w:rsid w:val="008860BD"/>
    <w:rsid w:val="00887399"/>
    <w:rsid w:val="0088779E"/>
    <w:rsid w:val="00890DBB"/>
    <w:rsid w:val="008912AF"/>
    <w:rsid w:val="00892114"/>
    <w:rsid w:val="00892CB9"/>
    <w:rsid w:val="008935CB"/>
    <w:rsid w:val="0089370B"/>
    <w:rsid w:val="00896AE4"/>
    <w:rsid w:val="0089777B"/>
    <w:rsid w:val="00897895"/>
    <w:rsid w:val="008A2812"/>
    <w:rsid w:val="008A5CCD"/>
    <w:rsid w:val="008B0E7E"/>
    <w:rsid w:val="008B285C"/>
    <w:rsid w:val="008B2EAE"/>
    <w:rsid w:val="008B4E41"/>
    <w:rsid w:val="008B4EEE"/>
    <w:rsid w:val="008B5FF0"/>
    <w:rsid w:val="008B65BD"/>
    <w:rsid w:val="008B7900"/>
    <w:rsid w:val="008C3F6F"/>
    <w:rsid w:val="008C5A61"/>
    <w:rsid w:val="008C71BF"/>
    <w:rsid w:val="008C765C"/>
    <w:rsid w:val="008C7FE0"/>
    <w:rsid w:val="008D0424"/>
    <w:rsid w:val="008D3C5A"/>
    <w:rsid w:val="008D553A"/>
    <w:rsid w:val="008D5717"/>
    <w:rsid w:val="008D5F44"/>
    <w:rsid w:val="008E07F0"/>
    <w:rsid w:val="008E1EF1"/>
    <w:rsid w:val="008E2965"/>
    <w:rsid w:val="008E44A9"/>
    <w:rsid w:val="008E64DE"/>
    <w:rsid w:val="008E6B4D"/>
    <w:rsid w:val="008E6BFF"/>
    <w:rsid w:val="008F1878"/>
    <w:rsid w:val="008F21AF"/>
    <w:rsid w:val="008F2400"/>
    <w:rsid w:val="008F61BA"/>
    <w:rsid w:val="008F6E3C"/>
    <w:rsid w:val="008F7C55"/>
    <w:rsid w:val="00900410"/>
    <w:rsid w:val="00900978"/>
    <w:rsid w:val="0090338C"/>
    <w:rsid w:val="009054D5"/>
    <w:rsid w:val="0090570A"/>
    <w:rsid w:val="009121E9"/>
    <w:rsid w:val="00914A23"/>
    <w:rsid w:val="009160EB"/>
    <w:rsid w:val="00916426"/>
    <w:rsid w:val="0092068E"/>
    <w:rsid w:val="00924AE0"/>
    <w:rsid w:val="0092555B"/>
    <w:rsid w:val="00930754"/>
    <w:rsid w:val="00931164"/>
    <w:rsid w:val="00934F68"/>
    <w:rsid w:val="009355AC"/>
    <w:rsid w:val="00935994"/>
    <w:rsid w:val="00935F38"/>
    <w:rsid w:val="00937586"/>
    <w:rsid w:val="00937EEE"/>
    <w:rsid w:val="00941203"/>
    <w:rsid w:val="009442AB"/>
    <w:rsid w:val="009459D5"/>
    <w:rsid w:val="00945EAB"/>
    <w:rsid w:val="00946C4D"/>
    <w:rsid w:val="00947889"/>
    <w:rsid w:val="00952918"/>
    <w:rsid w:val="00960E98"/>
    <w:rsid w:val="00963A82"/>
    <w:rsid w:val="00966829"/>
    <w:rsid w:val="00970392"/>
    <w:rsid w:val="00970856"/>
    <w:rsid w:val="00972912"/>
    <w:rsid w:val="00972CA0"/>
    <w:rsid w:val="009742BE"/>
    <w:rsid w:val="009759EA"/>
    <w:rsid w:val="00976D1F"/>
    <w:rsid w:val="00981C81"/>
    <w:rsid w:val="00982724"/>
    <w:rsid w:val="009848FA"/>
    <w:rsid w:val="00992209"/>
    <w:rsid w:val="009934B0"/>
    <w:rsid w:val="009A0533"/>
    <w:rsid w:val="009A2D24"/>
    <w:rsid w:val="009A366D"/>
    <w:rsid w:val="009A39F8"/>
    <w:rsid w:val="009A456C"/>
    <w:rsid w:val="009A4B24"/>
    <w:rsid w:val="009A545B"/>
    <w:rsid w:val="009A6052"/>
    <w:rsid w:val="009A789B"/>
    <w:rsid w:val="009B00E0"/>
    <w:rsid w:val="009B0814"/>
    <w:rsid w:val="009B292A"/>
    <w:rsid w:val="009B76D5"/>
    <w:rsid w:val="009C165D"/>
    <w:rsid w:val="009C37F7"/>
    <w:rsid w:val="009C3CEA"/>
    <w:rsid w:val="009C583D"/>
    <w:rsid w:val="009C6BA9"/>
    <w:rsid w:val="009D2611"/>
    <w:rsid w:val="009D2A68"/>
    <w:rsid w:val="009D33E7"/>
    <w:rsid w:val="009D3410"/>
    <w:rsid w:val="009D79D2"/>
    <w:rsid w:val="009E0E20"/>
    <w:rsid w:val="009E247C"/>
    <w:rsid w:val="009E31BA"/>
    <w:rsid w:val="009E7226"/>
    <w:rsid w:val="009E7FCD"/>
    <w:rsid w:val="009F0528"/>
    <w:rsid w:val="009F0806"/>
    <w:rsid w:val="009F0B47"/>
    <w:rsid w:val="009F145E"/>
    <w:rsid w:val="009F233B"/>
    <w:rsid w:val="009F5913"/>
    <w:rsid w:val="00A03A17"/>
    <w:rsid w:val="00A05AD5"/>
    <w:rsid w:val="00A05D16"/>
    <w:rsid w:val="00A0659F"/>
    <w:rsid w:val="00A079BA"/>
    <w:rsid w:val="00A21C9A"/>
    <w:rsid w:val="00A2239D"/>
    <w:rsid w:val="00A2435B"/>
    <w:rsid w:val="00A271C4"/>
    <w:rsid w:val="00A33875"/>
    <w:rsid w:val="00A360A1"/>
    <w:rsid w:val="00A402B3"/>
    <w:rsid w:val="00A437EE"/>
    <w:rsid w:val="00A44971"/>
    <w:rsid w:val="00A544B7"/>
    <w:rsid w:val="00A54F16"/>
    <w:rsid w:val="00A618CF"/>
    <w:rsid w:val="00A62770"/>
    <w:rsid w:val="00A629B8"/>
    <w:rsid w:val="00A62EEB"/>
    <w:rsid w:val="00A660FF"/>
    <w:rsid w:val="00A6625A"/>
    <w:rsid w:val="00A729F3"/>
    <w:rsid w:val="00A73395"/>
    <w:rsid w:val="00A74F18"/>
    <w:rsid w:val="00A82B4C"/>
    <w:rsid w:val="00A859AF"/>
    <w:rsid w:val="00A90BA4"/>
    <w:rsid w:val="00A93A4C"/>
    <w:rsid w:val="00A94D5D"/>
    <w:rsid w:val="00AA1D9B"/>
    <w:rsid w:val="00AA2543"/>
    <w:rsid w:val="00AA3804"/>
    <w:rsid w:val="00AA3EC6"/>
    <w:rsid w:val="00AA55C2"/>
    <w:rsid w:val="00AB0ACA"/>
    <w:rsid w:val="00AB1D41"/>
    <w:rsid w:val="00AB514B"/>
    <w:rsid w:val="00AB5A7B"/>
    <w:rsid w:val="00AB5FD2"/>
    <w:rsid w:val="00AC0462"/>
    <w:rsid w:val="00AC11D1"/>
    <w:rsid w:val="00AC5E9A"/>
    <w:rsid w:val="00AC704B"/>
    <w:rsid w:val="00AD5390"/>
    <w:rsid w:val="00AD553E"/>
    <w:rsid w:val="00AD5848"/>
    <w:rsid w:val="00AD69A9"/>
    <w:rsid w:val="00AD7D00"/>
    <w:rsid w:val="00AE13E0"/>
    <w:rsid w:val="00AE1C9D"/>
    <w:rsid w:val="00AE2795"/>
    <w:rsid w:val="00AE5ADA"/>
    <w:rsid w:val="00AE7B1D"/>
    <w:rsid w:val="00AF012E"/>
    <w:rsid w:val="00AF1568"/>
    <w:rsid w:val="00AF6145"/>
    <w:rsid w:val="00AF691A"/>
    <w:rsid w:val="00B01386"/>
    <w:rsid w:val="00B01BB5"/>
    <w:rsid w:val="00B0234F"/>
    <w:rsid w:val="00B04AF4"/>
    <w:rsid w:val="00B05214"/>
    <w:rsid w:val="00B06F20"/>
    <w:rsid w:val="00B073AB"/>
    <w:rsid w:val="00B07AC1"/>
    <w:rsid w:val="00B10C7B"/>
    <w:rsid w:val="00B123A9"/>
    <w:rsid w:val="00B1544A"/>
    <w:rsid w:val="00B159A7"/>
    <w:rsid w:val="00B16FC6"/>
    <w:rsid w:val="00B17A6C"/>
    <w:rsid w:val="00B211D7"/>
    <w:rsid w:val="00B23229"/>
    <w:rsid w:val="00B26FEE"/>
    <w:rsid w:val="00B30D97"/>
    <w:rsid w:val="00B31738"/>
    <w:rsid w:val="00B3181A"/>
    <w:rsid w:val="00B35A7C"/>
    <w:rsid w:val="00B35B76"/>
    <w:rsid w:val="00B4061C"/>
    <w:rsid w:val="00B428BD"/>
    <w:rsid w:val="00B450D1"/>
    <w:rsid w:val="00B451DE"/>
    <w:rsid w:val="00B46EA6"/>
    <w:rsid w:val="00B50D0A"/>
    <w:rsid w:val="00B518AF"/>
    <w:rsid w:val="00B53D47"/>
    <w:rsid w:val="00B54A25"/>
    <w:rsid w:val="00B601DF"/>
    <w:rsid w:val="00B618C3"/>
    <w:rsid w:val="00B63652"/>
    <w:rsid w:val="00B65B0A"/>
    <w:rsid w:val="00B66218"/>
    <w:rsid w:val="00B668B0"/>
    <w:rsid w:val="00B67CBC"/>
    <w:rsid w:val="00B70F5C"/>
    <w:rsid w:val="00B71873"/>
    <w:rsid w:val="00B75AE5"/>
    <w:rsid w:val="00B800C0"/>
    <w:rsid w:val="00B8132B"/>
    <w:rsid w:val="00B81A4B"/>
    <w:rsid w:val="00B831F2"/>
    <w:rsid w:val="00B84C5A"/>
    <w:rsid w:val="00B858F5"/>
    <w:rsid w:val="00B85ADA"/>
    <w:rsid w:val="00B85F0D"/>
    <w:rsid w:val="00B90D2B"/>
    <w:rsid w:val="00B93668"/>
    <w:rsid w:val="00B9493B"/>
    <w:rsid w:val="00B94CB9"/>
    <w:rsid w:val="00B9751E"/>
    <w:rsid w:val="00BA459A"/>
    <w:rsid w:val="00BA6008"/>
    <w:rsid w:val="00BA68C6"/>
    <w:rsid w:val="00BB0612"/>
    <w:rsid w:val="00BB1028"/>
    <w:rsid w:val="00BB12F1"/>
    <w:rsid w:val="00BB276E"/>
    <w:rsid w:val="00BB3351"/>
    <w:rsid w:val="00BB3CF2"/>
    <w:rsid w:val="00BB3FEE"/>
    <w:rsid w:val="00BB5EB0"/>
    <w:rsid w:val="00BB7A27"/>
    <w:rsid w:val="00BC0B7E"/>
    <w:rsid w:val="00BC245A"/>
    <w:rsid w:val="00BC48E7"/>
    <w:rsid w:val="00BC5288"/>
    <w:rsid w:val="00BD16FA"/>
    <w:rsid w:val="00BD326F"/>
    <w:rsid w:val="00BD41C3"/>
    <w:rsid w:val="00BD488B"/>
    <w:rsid w:val="00BD507B"/>
    <w:rsid w:val="00BD5B6A"/>
    <w:rsid w:val="00BD7443"/>
    <w:rsid w:val="00BD7711"/>
    <w:rsid w:val="00BD7CCC"/>
    <w:rsid w:val="00BE002A"/>
    <w:rsid w:val="00BE1BC9"/>
    <w:rsid w:val="00BE5CDA"/>
    <w:rsid w:val="00BE608F"/>
    <w:rsid w:val="00BF23BB"/>
    <w:rsid w:val="00BF33DD"/>
    <w:rsid w:val="00BF4445"/>
    <w:rsid w:val="00BF5755"/>
    <w:rsid w:val="00BF684B"/>
    <w:rsid w:val="00BF6950"/>
    <w:rsid w:val="00C016F3"/>
    <w:rsid w:val="00C102C8"/>
    <w:rsid w:val="00C11070"/>
    <w:rsid w:val="00C133D7"/>
    <w:rsid w:val="00C13A6C"/>
    <w:rsid w:val="00C14270"/>
    <w:rsid w:val="00C15193"/>
    <w:rsid w:val="00C15609"/>
    <w:rsid w:val="00C15F6A"/>
    <w:rsid w:val="00C15F70"/>
    <w:rsid w:val="00C20EF5"/>
    <w:rsid w:val="00C23EA7"/>
    <w:rsid w:val="00C256F3"/>
    <w:rsid w:val="00C270A2"/>
    <w:rsid w:val="00C27332"/>
    <w:rsid w:val="00C315B5"/>
    <w:rsid w:val="00C32D3A"/>
    <w:rsid w:val="00C35E28"/>
    <w:rsid w:val="00C426AF"/>
    <w:rsid w:val="00C43FF9"/>
    <w:rsid w:val="00C469A4"/>
    <w:rsid w:val="00C469C1"/>
    <w:rsid w:val="00C4781E"/>
    <w:rsid w:val="00C50659"/>
    <w:rsid w:val="00C51B39"/>
    <w:rsid w:val="00C51F07"/>
    <w:rsid w:val="00C525B0"/>
    <w:rsid w:val="00C5338A"/>
    <w:rsid w:val="00C54EF9"/>
    <w:rsid w:val="00C56BBF"/>
    <w:rsid w:val="00C5722E"/>
    <w:rsid w:val="00C572AA"/>
    <w:rsid w:val="00C57A9A"/>
    <w:rsid w:val="00C57FCA"/>
    <w:rsid w:val="00C6016A"/>
    <w:rsid w:val="00C60B3F"/>
    <w:rsid w:val="00C623EB"/>
    <w:rsid w:val="00C6258A"/>
    <w:rsid w:val="00C639E6"/>
    <w:rsid w:val="00C63F9F"/>
    <w:rsid w:val="00C64C6B"/>
    <w:rsid w:val="00C65138"/>
    <w:rsid w:val="00C65925"/>
    <w:rsid w:val="00C66F2E"/>
    <w:rsid w:val="00C6785C"/>
    <w:rsid w:val="00C67DC0"/>
    <w:rsid w:val="00C70FD1"/>
    <w:rsid w:val="00C733AA"/>
    <w:rsid w:val="00C74E9E"/>
    <w:rsid w:val="00C75ADD"/>
    <w:rsid w:val="00C80EC5"/>
    <w:rsid w:val="00C825DF"/>
    <w:rsid w:val="00C83027"/>
    <w:rsid w:val="00C83EDC"/>
    <w:rsid w:val="00C84564"/>
    <w:rsid w:val="00C84B8A"/>
    <w:rsid w:val="00C8561B"/>
    <w:rsid w:val="00C85E65"/>
    <w:rsid w:val="00C87CA1"/>
    <w:rsid w:val="00C911B4"/>
    <w:rsid w:val="00C91B3B"/>
    <w:rsid w:val="00C92D6E"/>
    <w:rsid w:val="00C94262"/>
    <w:rsid w:val="00C9446F"/>
    <w:rsid w:val="00C976E1"/>
    <w:rsid w:val="00CA148E"/>
    <w:rsid w:val="00CA2410"/>
    <w:rsid w:val="00CA3A9A"/>
    <w:rsid w:val="00CA6CD1"/>
    <w:rsid w:val="00CB1ECF"/>
    <w:rsid w:val="00CB66A7"/>
    <w:rsid w:val="00CB6BC1"/>
    <w:rsid w:val="00CB7021"/>
    <w:rsid w:val="00CD06D5"/>
    <w:rsid w:val="00CD0CEF"/>
    <w:rsid w:val="00CD2A83"/>
    <w:rsid w:val="00CD3294"/>
    <w:rsid w:val="00CD37D6"/>
    <w:rsid w:val="00CD4524"/>
    <w:rsid w:val="00CD6FF7"/>
    <w:rsid w:val="00CD784D"/>
    <w:rsid w:val="00CE5A97"/>
    <w:rsid w:val="00CF40F8"/>
    <w:rsid w:val="00CF7DB7"/>
    <w:rsid w:val="00D008DA"/>
    <w:rsid w:val="00D03245"/>
    <w:rsid w:val="00D0416F"/>
    <w:rsid w:val="00D05851"/>
    <w:rsid w:val="00D10FED"/>
    <w:rsid w:val="00D11736"/>
    <w:rsid w:val="00D12EE8"/>
    <w:rsid w:val="00D15FF1"/>
    <w:rsid w:val="00D16652"/>
    <w:rsid w:val="00D167F4"/>
    <w:rsid w:val="00D16CA4"/>
    <w:rsid w:val="00D2092A"/>
    <w:rsid w:val="00D21073"/>
    <w:rsid w:val="00D2216D"/>
    <w:rsid w:val="00D22864"/>
    <w:rsid w:val="00D23C35"/>
    <w:rsid w:val="00D31A6F"/>
    <w:rsid w:val="00D33293"/>
    <w:rsid w:val="00D353D1"/>
    <w:rsid w:val="00D367DB"/>
    <w:rsid w:val="00D36E05"/>
    <w:rsid w:val="00D37FB2"/>
    <w:rsid w:val="00D44F27"/>
    <w:rsid w:val="00D45304"/>
    <w:rsid w:val="00D45E6C"/>
    <w:rsid w:val="00D461C7"/>
    <w:rsid w:val="00D46410"/>
    <w:rsid w:val="00D50424"/>
    <w:rsid w:val="00D51D26"/>
    <w:rsid w:val="00D53796"/>
    <w:rsid w:val="00D55566"/>
    <w:rsid w:val="00D57D3E"/>
    <w:rsid w:val="00D63EA5"/>
    <w:rsid w:val="00D643F4"/>
    <w:rsid w:val="00D65152"/>
    <w:rsid w:val="00D65357"/>
    <w:rsid w:val="00D65428"/>
    <w:rsid w:val="00D776DC"/>
    <w:rsid w:val="00D80077"/>
    <w:rsid w:val="00D80DAF"/>
    <w:rsid w:val="00D83851"/>
    <w:rsid w:val="00D843F4"/>
    <w:rsid w:val="00D9020B"/>
    <w:rsid w:val="00D90A4D"/>
    <w:rsid w:val="00DA1E87"/>
    <w:rsid w:val="00DB04BE"/>
    <w:rsid w:val="00DB33FC"/>
    <w:rsid w:val="00DB6B78"/>
    <w:rsid w:val="00DB7722"/>
    <w:rsid w:val="00DC11C1"/>
    <w:rsid w:val="00DC1BD8"/>
    <w:rsid w:val="00DC23CF"/>
    <w:rsid w:val="00DC3A86"/>
    <w:rsid w:val="00DC4A75"/>
    <w:rsid w:val="00DC6562"/>
    <w:rsid w:val="00DD3BC6"/>
    <w:rsid w:val="00DD3DAC"/>
    <w:rsid w:val="00DE130D"/>
    <w:rsid w:val="00DE24CF"/>
    <w:rsid w:val="00DE407C"/>
    <w:rsid w:val="00DE6761"/>
    <w:rsid w:val="00DE7C7D"/>
    <w:rsid w:val="00DF135D"/>
    <w:rsid w:val="00DF1AE3"/>
    <w:rsid w:val="00DF2992"/>
    <w:rsid w:val="00DF2D0C"/>
    <w:rsid w:val="00DF3313"/>
    <w:rsid w:val="00DF7F1E"/>
    <w:rsid w:val="00E01B9D"/>
    <w:rsid w:val="00E04F5E"/>
    <w:rsid w:val="00E0522E"/>
    <w:rsid w:val="00E054B3"/>
    <w:rsid w:val="00E115B6"/>
    <w:rsid w:val="00E120F4"/>
    <w:rsid w:val="00E155F9"/>
    <w:rsid w:val="00E17172"/>
    <w:rsid w:val="00E25070"/>
    <w:rsid w:val="00E3181C"/>
    <w:rsid w:val="00E3280A"/>
    <w:rsid w:val="00E3372D"/>
    <w:rsid w:val="00E33797"/>
    <w:rsid w:val="00E34612"/>
    <w:rsid w:val="00E35883"/>
    <w:rsid w:val="00E36076"/>
    <w:rsid w:val="00E372AF"/>
    <w:rsid w:val="00E37D68"/>
    <w:rsid w:val="00E40EAE"/>
    <w:rsid w:val="00E436AC"/>
    <w:rsid w:val="00E43D62"/>
    <w:rsid w:val="00E44FF8"/>
    <w:rsid w:val="00E4550C"/>
    <w:rsid w:val="00E462F5"/>
    <w:rsid w:val="00E5066A"/>
    <w:rsid w:val="00E52BF2"/>
    <w:rsid w:val="00E52CF9"/>
    <w:rsid w:val="00E52EAE"/>
    <w:rsid w:val="00E53434"/>
    <w:rsid w:val="00E5761D"/>
    <w:rsid w:val="00E61541"/>
    <w:rsid w:val="00E63F34"/>
    <w:rsid w:val="00E66D60"/>
    <w:rsid w:val="00E6715A"/>
    <w:rsid w:val="00E70FCC"/>
    <w:rsid w:val="00E75C1D"/>
    <w:rsid w:val="00E75DC9"/>
    <w:rsid w:val="00E8120B"/>
    <w:rsid w:val="00E81610"/>
    <w:rsid w:val="00E816D0"/>
    <w:rsid w:val="00E81827"/>
    <w:rsid w:val="00E829D8"/>
    <w:rsid w:val="00E846FA"/>
    <w:rsid w:val="00E84910"/>
    <w:rsid w:val="00E85B28"/>
    <w:rsid w:val="00E914DE"/>
    <w:rsid w:val="00E91976"/>
    <w:rsid w:val="00E91B06"/>
    <w:rsid w:val="00E947A6"/>
    <w:rsid w:val="00E96242"/>
    <w:rsid w:val="00E97FC7"/>
    <w:rsid w:val="00EA0295"/>
    <w:rsid w:val="00EA0690"/>
    <w:rsid w:val="00EA0E54"/>
    <w:rsid w:val="00EA231C"/>
    <w:rsid w:val="00EA3956"/>
    <w:rsid w:val="00EA3B11"/>
    <w:rsid w:val="00EA543A"/>
    <w:rsid w:val="00EA5571"/>
    <w:rsid w:val="00EA783E"/>
    <w:rsid w:val="00EB016F"/>
    <w:rsid w:val="00EB20AC"/>
    <w:rsid w:val="00EB2855"/>
    <w:rsid w:val="00EB48FC"/>
    <w:rsid w:val="00EC02A5"/>
    <w:rsid w:val="00EC176B"/>
    <w:rsid w:val="00EC33CD"/>
    <w:rsid w:val="00EC5BE5"/>
    <w:rsid w:val="00ED239D"/>
    <w:rsid w:val="00ED2650"/>
    <w:rsid w:val="00ED3722"/>
    <w:rsid w:val="00ED4F12"/>
    <w:rsid w:val="00ED721A"/>
    <w:rsid w:val="00ED7BDE"/>
    <w:rsid w:val="00EE393D"/>
    <w:rsid w:val="00EF01CF"/>
    <w:rsid w:val="00EF315A"/>
    <w:rsid w:val="00EF48B8"/>
    <w:rsid w:val="00EF6143"/>
    <w:rsid w:val="00EF6A66"/>
    <w:rsid w:val="00EF7AF9"/>
    <w:rsid w:val="00F01495"/>
    <w:rsid w:val="00F01EE6"/>
    <w:rsid w:val="00F03C20"/>
    <w:rsid w:val="00F10138"/>
    <w:rsid w:val="00F13F92"/>
    <w:rsid w:val="00F15918"/>
    <w:rsid w:val="00F22ECA"/>
    <w:rsid w:val="00F240E8"/>
    <w:rsid w:val="00F24247"/>
    <w:rsid w:val="00F244FA"/>
    <w:rsid w:val="00F24657"/>
    <w:rsid w:val="00F279AA"/>
    <w:rsid w:val="00F302E6"/>
    <w:rsid w:val="00F31FD5"/>
    <w:rsid w:val="00F32530"/>
    <w:rsid w:val="00F3363A"/>
    <w:rsid w:val="00F3513A"/>
    <w:rsid w:val="00F363A4"/>
    <w:rsid w:val="00F366A2"/>
    <w:rsid w:val="00F37B15"/>
    <w:rsid w:val="00F42E07"/>
    <w:rsid w:val="00F44F43"/>
    <w:rsid w:val="00F450E1"/>
    <w:rsid w:val="00F4702C"/>
    <w:rsid w:val="00F50DF4"/>
    <w:rsid w:val="00F57AFE"/>
    <w:rsid w:val="00F57DB2"/>
    <w:rsid w:val="00F6278E"/>
    <w:rsid w:val="00F63C41"/>
    <w:rsid w:val="00F63E96"/>
    <w:rsid w:val="00F64D64"/>
    <w:rsid w:val="00F701E3"/>
    <w:rsid w:val="00F71F8C"/>
    <w:rsid w:val="00F72BEB"/>
    <w:rsid w:val="00F77499"/>
    <w:rsid w:val="00F80362"/>
    <w:rsid w:val="00F8143B"/>
    <w:rsid w:val="00F8354B"/>
    <w:rsid w:val="00F846D1"/>
    <w:rsid w:val="00F86AD4"/>
    <w:rsid w:val="00F87DAB"/>
    <w:rsid w:val="00F90671"/>
    <w:rsid w:val="00F92EE4"/>
    <w:rsid w:val="00F939D4"/>
    <w:rsid w:val="00F93A02"/>
    <w:rsid w:val="00F94F3F"/>
    <w:rsid w:val="00F96691"/>
    <w:rsid w:val="00FA0113"/>
    <w:rsid w:val="00FA06B0"/>
    <w:rsid w:val="00FA12B2"/>
    <w:rsid w:val="00FA178C"/>
    <w:rsid w:val="00FA7610"/>
    <w:rsid w:val="00FB02BD"/>
    <w:rsid w:val="00FB0754"/>
    <w:rsid w:val="00FB0827"/>
    <w:rsid w:val="00FB1A15"/>
    <w:rsid w:val="00FB398F"/>
    <w:rsid w:val="00FB4D57"/>
    <w:rsid w:val="00FB4EF8"/>
    <w:rsid w:val="00FB6692"/>
    <w:rsid w:val="00FB78DD"/>
    <w:rsid w:val="00FC0D38"/>
    <w:rsid w:val="00FC125E"/>
    <w:rsid w:val="00FC1A2B"/>
    <w:rsid w:val="00FC3EF3"/>
    <w:rsid w:val="00FC40AA"/>
    <w:rsid w:val="00FC550F"/>
    <w:rsid w:val="00FD1DF7"/>
    <w:rsid w:val="00FD2049"/>
    <w:rsid w:val="00FD2140"/>
    <w:rsid w:val="00FD2FAF"/>
    <w:rsid w:val="00FD5BDE"/>
    <w:rsid w:val="00FD68EC"/>
    <w:rsid w:val="00FE0476"/>
    <w:rsid w:val="00FE24A5"/>
    <w:rsid w:val="00FE2618"/>
    <w:rsid w:val="00FE31E5"/>
    <w:rsid w:val="00FE6912"/>
    <w:rsid w:val="00FF18EC"/>
    <w:rsid w:val="00FF19AD"/>
    <w:rsid w:val="00FF1EB5"/>
    <w:rsid w:val="00FF292D"/>
    <w:rsid w:val="00FF298D"/>
    <w:rsid w:val="00FF3334"/>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366E6"/>
  <w15:docId w15:val="{7F4A9A51-622D-4EF8-AEAD-AE4169AD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uiPriority w:val="99"/>
    <w:semiHidden/>
    <w:unhideWhenUsed/>
    <w:rsid w:val="00300272"/>
    <w:rPr>
      <w:color w:val="605E5C"/>
      <w:shd w:val="clear" w:color="auto" w:fill="E1DFDD"/>
    </w:rPr>
  </w:style>
  <w:style w:type="paragraph" w:styleId="BodyText">
    <w:name w:val="Body Text"/>
    <w:basedOn w:val="Normal"/>
    <w:link w:val="BodyTextChar"/>
    <w:rsid w:val="00460335"/>
    <w:pPr>
      <w:jc w:val="both"/>
    </w:pPr>
    <w:rPr>
      <w:rFonts w:ascii="Arial" w:eastAsia="Times New Roman" w:hAnsi="Arial"/>
      <w:sz w:val="20"/>
      <w:szCs w:val="20"/>
      <w:lang w:val="el-GR"/>
    </w:rPr>
  </w:style>
  <w:style w:type="character" w:customStyle="1" w:styleId="BodyTextChar">
    <w:name w:val="Body Text Char"/>
    <w:link w:val="BodyText"/>
    <w:rsid w:val="00460335"/>
    <w:rPr>
      <w:rFonts w:ascii="Arial" w:eastAsia="Times New Roman" w:hAnsi="Arial"/>
      <w:lang w:val="el-GR"/>
    </w:rPr>
  </w:style>
  <w:style w:type="paragraph" w:styleId="HTMLPreformatted">
    <w:name w:val="HTML Preformatted"/>
    <w:basedOn w:val="Normal"/>
    <w:link w:val="HTMLPreformattedChar"/>
    <w:uiPriority w:val="99"/>
    <w:semiHidden/>
    <w:unhideWhenUsed/>
    <w:rsid w:val="00AD6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l-GR" w:eastAsia="el-GR"/>
    </w:rPr>
  </w:style>
  <w:style w:type="character" w:customStyle="1" w:styleId="HTMLPreformattedChar">
    <w:name w:val="HTML Preformatted Char"/>
    <w:basedOn w:val="DefaultParagraphFont"/>
    <w:link w:val="HTMLPreformatted"/>
    <w:uiPriority w:val="99"/>
    <w:semiHidden/>
    <w:rsid w:val="00AD69A9"/>
    <w:rPr>
      <w:rFonts w:ascii="Courier New" w:eastAsia="Times New Roman" w:hAnsi="Courier New" w:cs="Courier New"/>
    </w:rPr>
  </w:style>
  <w:style w:type="character" w:customStyle="1" w:styleId="y2iqfc">
    <w:name w:val="y2iqfc"/>
    <w:basedOn w:val="DefaultParagraphFont"/>
    <w:rsid w:val="00AD69A9"/>
  </w:style>
  <w:style w:type="character" w:styleId="UnresolvedMention">
    <w:name w:val="Unresolved Mention"/>
    <w:basedOn w:val="DefaultParagraphFont"/>
    <w:uiPriority w:val="99"/>
    <w:semiHidden/>
    <w:unhideWhenUsed/>
    <w:rsid w:val="007D0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0323502">
      <w:bodyDiv w:val="1"/>
      <w:marLeft w:val="0"/>
      <w:marRight w:val="0"/>
      <w:marTop w:val="0"/>
      <w:marBottom w:val="0"/>
      <w:divBdr>
        <w:top w:val="none" w:sz="0" w:space="0" w:color="auto"/>
        <w:left w:val="none" w:sz="0" w:space="0" w:color="auto"/>
        <w:bottom w:val="none" w:sz="0" w:space="0" w:color="auto"/>
        <w:right w:val="none" w:sz="0" w:space="0" w:color="auto"/>
      </w:divBdr>
      <w:divsChild>
        <w:div w:id="745031222">
          <w:marLeft w:val="0"/>
          <w:marRight w:val="0"/>
          <w:marTop w:val="0"/>
          <w:marBottom w:val="0"/>
          <w:divBdr>
            <w:top w:val="none" w:sz="0" w:space="0" w:color="auto"/>
            <w:left w:val="none" w:sz="0" w:space="0" w:color="auto"/>
            <w:bottom w:val="none" w:sz="0" w:space="0" w:color="auto"/>
            <w:right w:val="none" w:sz="0" w:space="0" w:color="auto"/>
          </w:divBdr>
        </w:div>
      </w:divsChild>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07432590">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198135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980572342">
      <w:bodyDiv w:val="1"/>
      <w:marLeft w:val="0"/>
      <w:marRight w:val="0"/>
      <w:marTop w:val="0"/>
      <w:marBottom w:val="0"/>
      <w:divBdr>
        <w:top w:val="none" w:sz="0" w:space="0" w:color="auto"/>
        <w:left w:val="none" w:sz="0" w:space="0" w:color="auto"/>
        <w:bottom w:val="none" w:sz="0" w:space="0" w:color="auto"/>
        <w:right w:val="none" w:sz="0" w:space="0" w:color="auto"/>
      </w:divBdr>
    </w:div>
    <w:div w:id="2105804062">
      <w:bodyDiv w:val="1"/>
      <w:marLeft w:val="0"/>
      <w:marRight w:val="0"/>
      <w:marTop w:val="0"/>
      <w:marBottom w:val="0"/>
      <w:divBdr>
        <w:top w:val="none" w:sz="0" w:space="0" w:color="auto"/>
        <w:left w:val="none" w:sz="0" w:space="0" w:color="auto"/>
        <w:bottom w:val="none" w:sz="0" w:space="0" w:color="auto"/>
        <w:right w:val="none" w:sz="0" w:space="0" w:color="auto"/>
      </w:divBdr>
    </w:div>
    <w:div w:id="213551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cystatdb.cystat.gov.cy/pxweb/en/8.CYSTAT-DB/8.CYSTAT-DB__Population__6.Population%20Census__"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gioannou@cystat.mof.gov.cy"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cystat.gov.cy/en/SubthemeStatistics?id=4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cystat.gov.cy/en/MethodologicalDetails?m=231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mailto:konisiforou@cystat.mof.gov.cy"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cystatdb20.cystat.gov.cy/en/cystatdb"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mailto:lmakri@cystat.mof.gov.cy"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ystat.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0.emf"/><Relationship Id="rId1" Type="http://schemas.openxmlformats.org/officeDocument/2006/relationships/image" Target="media/image10.emf"/><Relationship Id="rId4" Type="http://schemas.openxmlformats.org/officeDocument/2006/relationships/image" Target="media/image1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190799-30DE-4B74-91C7-ED544E35A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9</Pages>
  <Words>2782</Words>
  <Characters>15863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18608</CharactersWithSpaces>
  <SharedDoc>false</SharedDoc>
  <HLinks>
    <vt:vector size="30" baseType="variant">
      <vt:variant>
        <vt:i4>4718717</vt:i4>
      </vt:variant>
      <vt:variant>
        <vt:i4>3</vt:i4>
      </vt:variant>
      <vt:variant>
        <vt:i4>0</vt:i4>
      </vt:variant>
      <vt:variant>
        <vt:i4>5</vt:i4>
      </vt:variant>
      <vt:variant>
        <vt:lpwstr>mailto:lpanagidou@cystat.mof.gov.cy</vt:lpwstr>
      </vt:variant>
      <vt:variant>
        <vt:lpwstr/>
      </vt:variant>
      <vt:variant>
        <vt:i4>5308487</vt:i4>
      </vt:variant>
      <vt:variant>
        <vt:i4>0</vt:i4>
      </vt:variant>
      <vt:variant>
        <vt:i4>0</vt:i4>
      </vt:variant>
      <vt:variant>
        <vt:i4>5</vt:i4>
      </vt:variant>
      <vt:variant>
        <vt:lpwstr>http://www.cystat.gov.cy/mof/cystat/statistics.nsf/services_71main_en/services_71main_en?OpenForm&amp;sub=1&amp;sel=2</vt:lpwstr>
      </vt:variant>
      <vt:variant>
        <vt:lpwstr/>
      </vt:variant>
      <vt:variant>
        <vt:i4>4980827</vt:i4>
      </vt:variant>
      <vt:variant>
        <vt:i4>3</vt:i4>
      </vt:variant>
      <vt:variant>
        <vt:i4>0</vt:i4>
      </vt:variant>
      <vt:variant>
        <vt:i4>5</vt:i4>
      </vt:variant>
      <vt:variant>
        <vt:lpwstr>http://www.cystat.gov.cy/</vt:lpwstr>
      </vt:variant>
      <vt:variant>
        <vt:lpwstr/>
      </vt:variant>
      <vt:variant>
        <vt:i4>3014706</vt:i4>
      </vt:variant>
      <vt:variant>
        <vt:i4>0</vt:i4>
      </vt:variant>
      <vt:variant>
        <vt:i4>0</vt:i4>
      </vt:variant>
      <vt:variant>
        <vt:i4>5</vt:i4>
      </vt:variant>
      <vt:variant>
        <vt:lpwstr>https://www.census2021.cystat.gov.cy/en</vt:lpwstr>
      </vt:variant>
      <vt:variant>
        <vt:lpwstr/>
      </vt:variant>
      <vt:variant>
        <vt:i4>3014706</vt:i4>
      </vt:variant>
      <vt:variant>
        <vt:i4>-1</vt:i4>
      </vt:variant>
      <vt:variant>
        <vt:i4>1026</vt:i4>
      </vt:variant>
      <vt:variant>
        <vt:i4>4</vt:i4>
      </vt:variant>
      <vt:variant>
        <vt:lpwstr>https://www.census2021.cystat.gov.cy/en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Theodoulou  George</cp:lastModifiedBy>
  <cp:revision>21</cp:revision>
  <cp:lastPrinted>2024-08-08T11:44:00Z</cp:lastPrinted>
  <dcterms:created xsi:type="dcterms:W3CDTF">2024-08-08T08:31:00Z</dcterms:created>
  <dcterms:modified xsi:type="dcterms:W3CDTF">2024-08-09T07:27:00Z</dcterms:modified>
</cp:coreProperties>
</file>