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5E1A" w14:textId="77777777" w:rsidR="009C3ECD" w:rsidRPr="00AC32BD" w:rsidRDefault="009C3ECD" w:rsidP="00AC32BD">
      <w:pPr>
        <w:jc w:val="right"/>
        <w:rPr>
          <w:rFonts w:ascii="Verdana" w:hAnsi="Verdana" w:cs="Arial"/>
          <w:sz w:val="18"/>
          <w:szCs w:val="18"/>
          <w:lang w:val="el-GR"/>
        </w:rPr>
      </w:pPr>
    </w:p>
    <w:p w14:paraId="17E7DCCC" w14:textId="424F5D6C" w:rsidR="00E428AE" w:rsidRPr="00AC32BD" w:rsidRDefault="00904B9A" w:rsidP="00AC32BD">
      <w:pPr>
        <w:jc w:val="right"/>
        <w:rPr>
          <w:rFonts w:ascii="Verdana" w:eastAsia="Malgun Gothic" w:hAnsi="Verdana" w:cs="Arial"/>
          <w:sz w:val="18"/>
          <w:szCs w:val="18"/>
          <w:lang w:val="el-GR"/>
        </w:rPr>
      </w:pPr>
      <w:r w:rsidRPr="00AC32BD">
        <w:rPr>
          <w:rFonts w:ascii="Verdana" w:hAnsi="Verdana" w:cs="Arial"/>
          <w:sz w:val="18"/>
          <w:szCs w:val="18"/>
          <w:lang w:val="el-GR"/>
        </w:rPr>
        <w:t>4</w:t>
      </w:r>
      <w:r w:rsidR="00E428AE" w:rsidRPr="00AC32BD">
        <w:rPr>
          <w:rFonts w:ascii="Verdana" w:hAnsi="Verdana" w:cs="Arial"/>
          <w:sz w:val="18"/>
          <w:szCs w:val="18"/>
          <w:lang w:val="el-GR"/>
        </w:rPr>
        <w:t xml:space="preserve"> </w:t>
      </w:r>
      <w:r w:rsidRPr="00AC32BD">
        <w:rPr>
          <w:rFonts w:ascii="Verdana" w:hAnsi="Verdana" w:cs="Arial"/>
          <w:sz w:val="18"/>
          <w:szCs w:val="18"/>
          <w:lang w:val="el-GR"/>
        </w:rPr>
        <w:t>Αυγούστου</w:t>
      </w:r>
      <w:r w:rsidR="00E428AE" w:rsidRPr="00AC32BD">
        <w:rPr>
          <w:rFonts w:ascii="Verdana" w:eastAsia="Malgun Gothic" w:hAnsi="Verdana" w:cs="Arial"/>
          <w:sz w:val="18"/>
          <w:szCs w:val="18"/>
          <w:lang w:val="el-GR"/>
        </w:rPr>
        <w:t>, 2023</w:t>
      </w:r>
    </w:p>
    <w:p w14:paraId="350E36D5" w14:textId="65216E1F" w:rsidR="00E428AE" w:rsidRPr="00AC32BD" w:rsidRDefault="00E428AE" w:rsidP="00D123FA">
      <w:pPr>
        <w:jc w:val="both"/>
        <w:rPr>
          <w:rFonts w:ascii="Verdana" w:eastAsia="Malgun Gothic" w:hAnsi="Verdana" w:cs="Arial"/>
          <w:sz w:val="18"/>
          <w:szCs w:val="18"/>
          <w:lang w:val="el-GR"/>
        </w:rPr>
      </w:pPr>
    </w:p>
    <w:p w14:paraId="3D775C6B" w14:textId="61D9166D" w:rsidR="006B6D4F" w:rsidRPr="00AC32BD" w:rsidRDefault="006B6D4F" w:rsidP="00D123FA">
      <w:pPr>
        <w:jc w:val="both"/>
        <w:rPr>
          <w:rFonts w:ascii="Verdana" w:eastAsia="Malgun Gothic" w:hAnsi="Verdana" w:cs="Arial"/>
          <w:sz w:val="18"/>
          <w:szCs w:val="18"/>
          <w:lang w:val="el-GR"/>
        </w:rPr>
      </w:pPr>
    </w:p>
    <w:p w14:paraId="0ADAE328" w14:textId="538E1A0A" w:rsidR="00601D86" w:rsidRPr="00AC32BD" w:rsidRDefault="00601D86" w:rsidP="00D123FA">
      <w:pPr>
        <w:jc w:val="both"/>
        <w:rPr>
          <w:rFonts w:ascii="Verdana" w:eastAsia="Malgun Gothic" w:hAnsi="Verdana" w:cs="Arial"/>
          <w:sz w:val="18"/>
          <w:szCs w:val="18"/>
          <w:lang w:val="el-GR"/>
        </w:rPr>
      </w:pPr>
    </w:p>
    <w:p w14:paraId="1ADB90DF" w14:textId="77777777" w:rsidR="007A4152" w:rsidRPr="00AC32BD" w:rsidRDefault="007A4152" w:rsidP="00AC32BD">
      <w:pPr>
        <w:tabs>
          <w:tab w:val="left" w:pos="945"/>
        </w:tabs>
        <w:jc w:val="center"/>
        <w:rPr>
          <w:rFonts w:ascii="Verdana" w:hAnsi="Verdana" w:cs="Calibri"/>
          <w:b/>
          <w:sz w:val="24"/>
          <w:szCs w:val="24"/>
          <w:lang w:val="el-GR"/>
        </w:rPr>
      </w:pPr>
      <w:r w:rsidRPr="00AC32BD">
        <w:rPr>
          <w:rFonts w:ascii="Verdana" w:hAnsi="Verdana" w:cs="Calibri"/>
          <w:b/>
          <w:sz w:val="24"/>
          <w:szCs w:val="24"/>
          <w:lang w:val="el-GR"/>
        </w:rPr>
        <w:t>ΔΕΛΤΙΟ ΤΥΠΟΥ</w:t>
      </w:r>
    </w:p>
    <w:p w14:paraId="74517334" w14:textId="77777777" w:rsidR="007A4152" w:rsidRDefault="007A4152" w:rsidP="00AC32BD">
      <w:pPr>
        <w:tabs>
          <w:tab w:val="left" w:pos="945"/>
        </w:tabs>
        <w:jc w:val="center"/>
        <w:rPr>
          <w:rFonts w:ascii="Verdana" w:hAnsi="Verdana" w:cs="Calibri"/>
          <w:bCs/>
          <w:sz w:val="18"/>
          <w:szCs w:val="18"/>
          <w:lang w:val="el-GR"/>
        </w:rPr>
      </w:pPr>
    </w:p>
    <w:p w14:paraId="15C13569" w14:textId="77777777" w:rsidR="0070393A" w:rsidRPr="00AC32BD" w:rsidRDefault="0070393A" w:rsidP="00AC32BD">
      <w:pPr>
        <w:tabs>
          <w:tab w:val="left" w:pos="945"/>
        </w:tabs>
        <w:jc w:val="center"/>
        <w:rPr>
          <w:rFonts w:ascii="Verdana" w:hAnsi="Verdana" w:cs="Calibri"/>
          <w:bCs/>
          <w:sz w:val="18"/>
          <w:szCs w:val="18"/>
          <w:lang w:val="el-GR"/>
        </w:rPr>
      </w:pPr>
    </w:p>
    <w:p w14:paraId="76E7A8C2" w14:textId="3B664E25" w:rsidR="007A4152" w:rsidRPr="00AC32BD" w:rsidRDefault="007A4152" w:rsidP="0070393A">
      <w:pPr>
        <w:tabs>
          <w:tab w:val="left" w:pos="945"/>
        </w:tabs>
        <w:rPr>
          <w:rFonts w:ascii="Verdana" w:hAnsi="Verdana" w:cs="Calibri"/>
          <w:b/>
          <w:u w:val="single"/>
          <w:lang w:val="el-GR"/>
        </w:rPr>
      </w:pPr>
      <w:r w:rsidRPr="00AC32BD">
        <w:rPr>
          <w:rFonts w:ascii="Verdana" w:hAnsi="Verdana" w:cs="Calibri"/>
          <w:bCs/>
          <w:u w:val="single"/>
          <w:lang w:val="el-GR"/>
        </w:rPr>
        <w:t>ΑΠΟΓΡΑΦΗ ΠΛΗΘΥΣΜΟΥ ΚΑΙ ΚΑΤΟΙΚΙΩΝ 2021</w:t>
      </w:r>
      <w:r w:rsidR="0070393A" w:rsidRPr="0070393A">
        <w:rPr>
          <w:rFonts w:ascii="Verdana" w:hAnsi="Verdana" w:cs="Calibri"/>
          <w:bCs/>
          <w:u w:val="single"/>
          <w:lang w:val="el-GR"/>
        </w:rPr>
        <w:t>:</w:t>
      </w:r>
      <w:r w:rsidRPr="00AC32BD">
        <w:rPr>
          <w:rFonts w:ascii="Verdana" w:hAnsi="Verdana" w:cs="Calibri"/>
          <w:b/>
          <w:u w:val="single"/>
          <w:lang w:val="el-GR"/>
        </w:rPr>
        <w:t xml:space="preserve">ΠΡΟΚΑΤΑΡΚΤΙΚΑ ΑΠΟΤΕΛΕΣΜΑΤΑ </w:t>
      </w:r>
      <w:r w:rsidR="00A84F0E" w:rsidRPr="00AC32BD">
        <w:rPr>
          <w:rFonts w:ascii="Verdana" w:hAnsi="Verdana" w:cs="Calibri"/>
          <w:b/>
          <w:u w:val="single"/>
          <w:lang w:val="el-GR"/>
        </w:rPr>
        <w:t>ΚΑΤΑ ΕΠΑΡΧΙΑ</w:t>
      </w:r>
      <w:r w:rsidR="00B81EF5" w:rsidRPr="00B81EF5">
        <w:rPr>
          <w:rFonts w:ascii="Verdana" w:hAnsi="Verdana" w:cs="Calibri"/>
          <w:b/>
          <w:u w:val="single"/>
          <w:lang w:val="el-GR"/>
        </w:rPr>
        <w:t xml:space="preserve"> </w:t>
      </w:r>
      <w:r w:rsidR="00B81EF5">
        <w:rPr>
          <w:rFonts w:ascii="Verdana" w:hAnsi="Verdana" w:cs="Calibri"/>
          <w:b/>
          <w:u w:val="single"/>
        </w:rPr>
        <w:t>KAI</w:t>
      </w:r>
      <w:r w:rsidR="00A84F0E" w:rsidRPr="00AC32BD">
        <w:rPr>
          <w:rFonts w:ascii="Verdana" w:hAnsi="Verdana" w:cs="Calibri"/>
          <w:b/>
          <w:u w:val="single"/>
          <w:lang w:val="el-GR"/>
        </w:rPr>
        <w:t xml:space="preserve"> ΔΗΜΟ/ΚΟΙΝΟΤΗΤΑ</w:t>
      </w:r>
    </w:p>
    <w:p w14:paraId="304217C2" w14:textId="77777777" w:rsidR="007A4152" w:rsidRPr="00AC32BD" w:rsidRDefault="007A4152" w:rsidP="00AC32BD">
      <w:pPr>
        <w:suppressAutoHyphens/>
        <w:rPr>
          <w:rFonts w:ascii="Verdana" w:hAnsi="Verdana" w:cs="Calibri"/>
          <w:sz w:val="18"/>
          <w:szCs w:val="18"/>
          <w:lang w:val="el-GR"/>
        </w:rPr>
      </w:pPr>
    </w:p>
    <w:p w14:paraId="049BE7DD" w14:textId="00503416" w:rsidR="00E428AE" w:rsidRPr="00AC32BD" w:rsidRDefault="00E428AE" w:rsidP="00AC32BD">
      <w:pPr>
        <w:jc w:val="both"/>
        <w:rPr>
          <w:rFonts w:ascii="Verdana" w:hAnsi="Verdana"/>
          <w:b/>
          <w:bCs/>
          <w:sz w:val="18"/>
          <w:szCs w:val="18"/>
          <w:lang w:val="el-GR"/>
        </w:rPr>
      </w:pPr>
    </w:p>
    <w:p w14:paraId="42932B8E" w14:textId="19ED122A" w:rsidR="009F3D3E" w:rsidRPr="009F3D3E" w:rsidRDefault="009F3D3E" w:rsidP="009F3D3E">
      <w:pPr>
        <w:suppressAutoHyphens/>
        <w:jc w:val="both"/>
        <w:rPr>
          <w:rFonts w:ascii="Verdana" w:hAnsi="Verdana" w:cs="Calibri"/>
          <w:sz w:val="18"/>
          <w:szCs w:val="18"/>
          <w:lang w:val="el-GR"/>
        </w:rPr>
      </w:pPr>
      <w:r w:rsidRPr="009F3D3E">
        <w:rPr>
          <w:rFonts w:ascii="Verdana" w:hAnsi="Verdana" w:cs="Calibri"/>
          <w:sz w:val="18"/>
          <w:szCs w:val="18"/>
          <w:lang w:val="el-GR"/>
        </w:rPr>
        <w:t xml:space="preserve">Η Στατιστική Υπηρεσία ανακοινώνει τα προκαταρκτικά αποτελέσματα της Απογραφής Πληθυσμού και Κατοικιών 2021 κατά </w:t>
      </w:r>
      <w:r w:rsidR="007B2E88">
        <w:rPr>
          <w:rFonts w:ascii="Verdana" w:hAnsi="Verdana" w:cs="Calibri"/>
          <w:sz w:val="18"/>
          <w:szCs w:val="18"/>
          <w:lang w:val="el-GR"/>
        </w:rPr>
        <w:t>ε</w:t>
      </w:r>
      <w:r w:rsidRPr="009F3D3E">
        <w:rPr>
          <w:rFonts w:ascii="Verdana" w:hAnsi="Verdana" w:cs="Calibri"/>
          <w:sz w:val="18"/>
          <w:szCs w:val="18"/>
          <w:lang w:val="el-GR"/>
        </w:rPr>
        <w:t>παρχία</w:t>
      </w:r>
      <w:r w:rsidR="007B2E88">
        <w:rPr>
          <w:rFonts w:ascii="Verdana" w:hAnsi="Verdana" w:cs="Calibri"/>
          <w:sz w:val="18"/>
          <w:szCs w:val="18"/>
          <w:lang w:val="el-GR"/>
        </w:rPr>
        <w:t xml:space="preserve"> και δ</w:t>
      </w:r>
      <w:r w:rsidRPr="009F3D3E">
        <w:rPr>
          <w:rFonts w:ascii="Verdana" w:hAnsi="Verdana" w:cs="Calibri"/>
          <w:sz w:val="18"/>
          <w:szCs w:val="18"/>
          <w:lang w:val="el-GR"/>
        </w:rPr>
        <w:t>ήμο/</w:t>
      </w:r>
      <w:r w:rsidR="007B2E88">
        <w:rPr>
          <w:rFonts w:ascii="Verdana" w:hAnsi="Verdana" w:cs="Calibri"/>
          <w:sz w:val="18"/>
          <w:szCs w:val="18"/>
          <w:lang w:val="el-GR"/>
        </w:rPr>
        <w:t>κ</w:t>
      </w:r>
      <w:r w:rsidRPr="009F3D3E">
        <w:rPr>
          <w:rFonts w:ascii="Verdana" w:hAnsi="Verdana" w:cs="Calibri"/>
          <w:sz w:val="18"/>
          <w:szCs w:val="18"/>
          <w:lang w:val="el-GR"/>
        </w:rPr>
        <w:t xml:space="preserve">οινότητα. </w:t>
      </w:r>
    </w:p>
    <w:p w14:paraId="22FAB0B1" w14:textId="77777777" w:rsidR="009F3D3E" w:rsidRPr="009F3D3E" w:rsidRDefault="009F3D3E" w:rsidP="009F3D3E">
      <w:pPr>
        <w:ind w:right="-1"/>
        <w:jc w:val="both"/>
        <w:rPr>
          <w:rFonts w:ascii="Verdana" w:hAnsi="Verdana" w:cs="Calibri"/>
          <w:sz w:val="18"/>
          <w:szCs w:val="18"/>
          <w:lang w:val="el-GR"/>
        </w:rPr>
      </w:pPr>
    </w:p>
    <w:p w14:paraId="0659426F" w14:textId="7AA6FEBA" w:rsidR="009F3D3E" w:rsidRPr="009F3D3E" w:rsidRDefault="009F3D3E" w:rsidP="009F3D3E">
      <w:pPr>
        <w:ind w:right="-1"/>
        <w:jc w:val="both"/>
        <w:rPr>
          <w:rFonts w:ascii="Verdana" w:hAnsi="Verdana" w:cs="Calibri"/>
          <w:sz w:val="18"/>
          <w:szCs w:val="18"/>
          <w:lang w:val="el-GR"/>
        </w:rPr>
      </w:pPr>
      <w:r w:rsidRPr="009F3D3E">
        <w:rPr>
          <w:rFonts w:ascii="Verdana" w:hAnsi="Verdana" w:cs="Calibri"/>
          <w:sz w:val="18"/>
          <w:szCs w:val="18"/>
          <w:lang w:val="el-GR"/>
        </w:rPr>
        <w:t>Σύμφωνα με τα προκαταρκτικά αποτελέσματα, ο συνολικός πληθυσμός στις ελεγχόμενες από το Κράτος περιοχές της Κύπρου κατά την 1</w:t>
      </w:r>
      <w:r w:rsidRPr="009F3D3E">
        <w:rPr>
          <w:rFonts w:ascii="Verdana" w:hAnsi="Verdana" w:cs="Calibri"/>
          <w:sz w:val="18"/>
          <w:szCs w:val="18"/>
          <w:vertAlign w:val="superscript"/>
          <w:lang w:val="el-GR"/>
        </w:rPr>
        <w:t>η</w:t>
      </w:r>
      <w:r w:rsidRPr="009F3D3E">
        <w:rPr>
          <w:rFonts w:ascii="Verdana" w:hAnsi="Verdana" w:cs="Calibri"/>
          <w:sz w:val="18"/>
          <w:szCs w:val="18"/>
          <w:lang w:val="el-GR"/>
        </w:rPr>
        <w:t xml:space="preserve"> Οκτωβρίου 2021 ανήλθε στις 923.272, ενώ ο αντίστοιχος συνολικός αριθμός για τις κατοικίες ήταν 492.555. Ο συνολικός πληθυσμός παρουσιάζει αύξηση της τάξεως του 9,9% σε σύγκριση με τα αποτελέσματα της Απογραφής Πληθυσμού και Κατοικιών 2011 (840.407), ενώ </w:t>
      </w:r>
      <w:r w:rsidR="007B2E88">
        <w:rPr>
          <w:rFonts w:ascii="Verdana" w:hAnsi="Verdana" w:cs="Calibri"/>
          <w:sz w:val="18"/>
          <w:szCs w:val="18"/>
          <w:lang w:val="el-GR"/>
        </w:rPr>
        <w:t>σ</w:t>
      </w:r>
      <w:r w:rsidRPr="009F3D3E">
        <w:rPr>
          <w:rFonts w:ascii="Verdana" w:hAnsi="Verdana" w:cs="Calibri"/>
          <w:sz w:val="18"/>
          <w:szCs w:val="18"/>
          <w:lang w:val="el-GR"/>
        </w:rPr>
        <w:t>τις κατοικίες η ποσοστιαία αύξηση είναι 13,7% (433.212).</w:t>
      </w:r>
    </w:p>
    <w:p w14:paraId="29563E6B" w14:textId="77777777" w:rsidR="009F3D3E" w:rsidRPr="009F3D3E" w:rsidRDefault="009F3D3E" w:rsidP="009F3D3E">
      <w:pPr>
        <w:ind w:right="-1"/>
        <w:jc w:val="both"/>
        <w:rPr>
          <w:rFonts w:ascii="Verdana" w:hAnsi="Verdana" w:cs="Calibri"/>
          <w:sz w:val="18"/>
          <w:szCs w:val="18"/>
          <w:lang w:val="el-GR"/>
        </w:rPr>
      </w:pPr>
    </w:p>
    <w:p w14:paraId="6CA55B25" w14:textId="46108A7C" w:rsidR="009F3D3E" w:rsidRPr="009F3D3E" w:rsidRDefault="009F3D3E" w:rsidP="009F3D3E">
      <w:pPr>
        <w:ind w:right="-1"/>
        <w:jc w:val="both"/>
        <w:rPr>
          <w:rFonts w:ascii="Verdana" w:hAnsi="Verdana" w:cs="Calibri"/>
          <w:b/>
          <w:bCs/>
          <w:sz w:val="18"/>
          <w:szCs w:val="18"/>
          <w:u w:val="single"/>
          <w:lang w:val="el-GR"/>
        </w:rPr>
      </w:pPr>
      <w:r w:rsidRPr="009F3D3E">
        <w:rPr>
          <w:rFonts w:ascii="Verdana" w:hAnsi="Verdana" w:cs="Calibri"/>
          <w:b/>
          <w:bCs/>
          <w:sz w:val="18"/>
          <w:szCs w:val="18"/>
          <w:u w:val="single"/>
          <w:lang w:val="el-GR"/>
        </w:rPr>
        <w:t xml:space="preserve">Κατοικίες και Πληθυσμός κατά Επαρχία και Αστική/Αγροτική </w:t>
      </w:r>
      <w:r>
        <w:rPr>
          <w:rFonts w:ascii="Verdana" w:hAnsi="Verdana" w:cs="Calibri"/>
          <w:b/>
          <w:bCs/>
          <w:sz w:val="18"/>
          <w:szCs w:val="18"/>
          <w:u w:val="single"/>
          <w:lang w:val="el-GR"/>
        </w:rPr>
        <w:t>Π</w:t>
      </w:r>
      <w:r w:rsidRPr="009F3D3E">
        <w:rPr>
          <w:rFonts w:ascii="Verdana" w:hAnsi="Verdana" w:cs="Calibri"/>
          <w:b/>
          <w:bCs/>
          <w:sz w:val="18"/>
          <w:szCs w:val="18"/>
          <w:u w:val="single"/>
          <w:lang w:val="el-GR"/>
        </w:rPr>
        <w:t>εριοχή</w:t>
      </w:r>
    </w:p>
    <w:p w14:paraId="1EA69733" w14:textId="77777777" w:rsidR="009F3D3E" w:rsidRPr="009F3D3E" w:rsidRDefault="009F3D3E" w:rsidP="009F3D3E">
      <w:pPr>
        <w:ind w:right="-1"/>
        <w:jc w:val="both"/>
        <w:rPr>
          <w:rFonts w:ascii="Verdana" w:hAnsi="Verdana" w:cs="Calibri"/>
          <w:sz w:val="18"/>
          <w:szCs w:val="18"/>
          <w:lang w:val="el-GR"/>
        </w:rPr>
      </w:pPr>
    </w:p>
    <w:p w14:paraId="780343A2" w14:textId="77777777" w:rsidR="009F3D3E" w:rsidRPr="009F3D3E" w:rsidRDefault="009F3D3E" w:rsidP="009F3D3E">
      <w:pPr>
        <w:ind w:right="-1"/>
        <w:jc w:val="both"/>
        <w:rPr>
          <w:rFonts w:ascii="Verdana" w:hAnsi="Verdana" w:cs="Calibri"/>
          <w:sz w:val="18"/>
          <w:szCs w:val="18"/>
          <w:lang w:val="el-GR"/>
        </w:rPr>
      </w:pPr>
      <w:r w:rsidRPr="009F3D3E">
        <w:rPr>
          <w:rFonts w:ascii="Verdana" w:hAnsi="Verdana" w:cs="Calibri"/>
          <w:sz w:val="18"/>
          <w:szCs w:val="18"/>
          <w:lang w:val="el-GR"/>
        </w:rPr>
        <w:t>Στην επαρχία Λευκωσίας καταγράφηκαν 163.239 κατοικίες και πληθυσμός 350.824 άτομα, με  αντίστοιχα ποσοστά στο σύνολο της Κύπρου 33,1% και 38,0%. Στην επαρχία Λεμεσού καταγράφηκαν 132.305 (26,9%) κατοικίες και 262.236 (28,4%) άτομα, στην επαρχία Λάρνακας 82.233 (16,7%) κατοικίες και  155.753 (16,9%) άτομα, στην επαρχία Πάφου 74.498 (15,1%) κατοικίες και 100.175 (10,8%) άτομα και τέλος στην επαρχία Αμμοχώστου 40.280 (8,2%) κατοικίες και 54.282 (5,9%) άτομα.</w:t>
      </w:r>
    </w:p>
    <w:p w14:paraId="3046A253" w14:textId="77777777" w:rsidR="009F3D3E" w:rsidRPr="009F3D3E" w:rsidRDefault="009F3D3E" w:rsidP="009F3D3E">
      <w:pPr>
        <w:ind w:right="-1"/>
        <w:jc w:val="both"/>
        <w:rPr>
          <w:rFonts w:ascii="Verdana" w:hAnsi="Verdana" w:cs="Calibri"/>
          <w:sz w:val="18"/>
          <w:szCs w:val="18"/>
          <w:lang w:val="el-GR"/>
        </w:rPr>
      </w:pPr>
    </w:p>
    <w:p w14:paraId="20CE2963" w14:textId="77777777" w:rsidR="009F3D3E" w:rsidRPr="00CF3D50" w:rsidRDefault="009F3D3E" w:rsidP="009F3D3E">
      <w:pPr>
        <w:ind w:right="-1"/>
        <w:jc w:val="both"/>
        <w:rPr>
          <w:rFonts w:ascii="Verdana" w:hAnsi="Verdana" w:cs="Calibri"/>
          <w:sz w:val="18"/>
          <w:szCs w:val="18"/>
          <w:lang w:val="el-GR"/>
        </w:rPr>
      </w:pPr>
      <w:r w:rsidRPr="009F3D3E">
        <w:rPr>
          <w:rFonts w:ascii="Verdana" w:hAnsi="Verdana" w:cs="Calibri"/>
          <w:sz w:val="18"/>
          <w:szCs w:val="18"/>
          <w:lang w:val="el-GR"/>
        </w:rPr>
        <w:t xml:space="preserve">Στα διαγράμματα που ακολουθούν παρουσιάζεται η ποσοστιαία κατανομή των κατοικιών και του πληθυσμού κατά επαρχία. </w:t>
      </w:r>
    </w:p>
    <w:p w14:paraId="6734AF91" w14:textId="1C990481" w:rsidR="00DE3844" w:rsidRDefault="00DE3844" w:rsidP="00AC32BD">
      <w:pPr>
        <w:ind w:right="-1"/>
        <w:rPr>
          <w:rFonts w:ascii="Verdana" w:hAnsi="Verdana" w:cs="Calibri"/>
          <w:sz w:val="18"/>
          <w:szCs w:val="18"/>
          <w:lang w:val="el-GR"/>
        </w:rPr>
      </w:pPr>
    </w:p>
    <w:p w14:paraId="78CF574A" w14:textId="2048C6EB" w:rsidR="00965570" w:rsidRDefault="00CF3D50" w:rsidP="00AC32BD">
      <w:pPr>
        <w:ind w:right="-1"/>
        <w:rPr>
          <w:rFonts w:ascii="Verdana" w:hAnsi="Verdana" w:cs="Calibri"/>
          <w:sz w:val="18"/>
          <w:szCs w:val="18"/>
          <w:lang w:val="el-GR"/>
        </w:rPr>
      </w:pPr>
      <w:r>
        <w:rPr>
          <w:rFonts w:ascii="Verdana" w:hAnsi="Verdana" w:cs="Calibri"/>
          <w:sz w:val="18"/>
          <w:szCs w:val="18"/>
          <w:lang w:val="el-GR"/>
        </w:rPr>
        <w:t xml:space="preserve"> </w:t>
      </w:r>
      <w:r w:rsidR="006B3B04">
        <w:rPr>
          <w:rFonts w:ascii="Verdana" w:hAnsi="Verdana" w:cs="Calibri"/>
          <w:noProof/>
          <w:sz w:val="18"/>
          <w:szCs w:val="18"/>
          <w:lang w:val="el-GR"/>
        </w:rPr>
        <w:drawing>
          <wp:inline distT="0" distB="0" distL="0" distR="0" wp14:anchorId="09FB2F5F" wp14:editId="30A98755">
            <wp:extent cx="2993390" cy="3243580"/>
            <wp:effectExtent l="0" t="0" r="0" b="0"/>
            <wp:docPr id="3436790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3390" cy="3243580"/>
                    </a:xfrm>
                    <a:prstGeom prst="rect">
                      <a:avLst/>
                    </a:prstGeom>
                    <a:noFill/>
                  </pic:spPr>
                </pic:pic>
              </a:graphicData>
            </a:graphic>
          </wp:inline>
        </w:drawing>
      </w:r>
      <w:r>
        <w:rPr>
          <w:rFonts w:ascii="Verdana" w:hAnsi="Verdana" w:cs="Calibri"/>
          <w:sz w:val="18"/>
          <w:szCs w:val="18"/>
          <w:lang w:val="el-GR"/>
        </w:rPr>
        <w:t xml:space="preserve">  </w:t>
      </w:r>
      <w:r w:rsidR="006B3B04">
        <w:rPr>
          <w:rFonts w:ascii="Verdana" w:hAnsi="Verdana" w:cs="Calibri"/>
          <w:noProof/>
          <w:sz w:val="18"/>
          <w:szCs w:val="18"/>
          <w:lang w:val="el-GR"/>
        </w:rPr>
        <w:drawing>
          <wp:inline distT="0" distB="0" distL="0" distR="0" wp14:anchorId="6B4D27DA" wp14:editId="30EA1C34">
            <wp:extent cx="2974975" cy="3255645"/>
            <wp:effectExtent l="0" t="0" r="0" b="1905"/>
            <wp:docPr id="17695940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975" cy="3255645"/>
                    </a:xfrm>
                    <a:prstGeom prst="rect">
                      <a:avLst/>
                    </a:prstGeom>
                    <a:noFill/>
                  </pic:spPr>
                </pic:pic>
              </a:graphicData>
            </a:graphic>
          </wp:inline>
        </w:drawing>
      </w:r>
    </w:p>
    <w:p w14:paraId="63F7ABFD" w14:textId="2B67565E" w:rsidR="006B3B04" w:rsidRDefault="006B3B04">
      <w:pPr>
        <w:rPr>
          <w:rFonts w:ascii="Verdana" w:hAnsi="Verdana" w:cs="Calibri"/>
          <w:sz w:val="18"/>
          <w:szCs w:val="18"/>
          <w:lang w:val="el-GR"/>
        </w:rPr>
      </w:pPr>
      <w:r>
        <w:rPr>
          <w:rFonts w:ascii="Verdana" w:hAnsi="Verdana" w:cs="Calibri"/>
          <w:sz w:val="18"/>
          <w:szCs w:val="18"/>
          <w:lang w:val="el-GR"/>
        </w:rPr>
        <w:br w:type="page"/>
      </w:r>
    </w:p>
    <w:p w14:paraId="36692A51" w14:textId="77777777" w:rsidR="00965570" w:rsidRPr="00AC32BD" w:rsidRDefault="00965570" w:rsidP="00AC32BD">
      <w:pPr>
        <w:ind w:right="-1"/>
        <w:rPr>
          <w:rFonts w:ascii="Verdana" w:hAnsi="Verdana" w:cs="Calibri"/>
          <w:sz w:val="18"/>
          <w:szCs w:val="18"/>
          <w:lang w:val="el-GR"/>
        </w:rPr>
      </w:pPr>
    </w:p>
    <w:p w14:paraId="32645B85" w14:textId="048826FF" w:rsidR="009F3D3E" w:rsidRPr="009F3D3E" w:rsidRDefault="009F3D3E" w:rsidP="009F3D3E">
      <w:pPr>
        <w:ind w:right="-1"/>
        <w:jc w:val="both"/>
        <w:rPr>
          <w:rFonts w:ascii="Verdana" w:hAnsi="Verdana" w:cs="Calibri"/>
          <w:sz w:val="18"/>
          <w:szCs w:val="18"/>
          <w:lang w:val="el-GR"/>
        </w:rPr>
      </w:pPr>
      <w:r w:rsidRPr="009F3D3E">
        <w:rPr>
          <w:rFonts w:ascii="Verdana" w:hAnsi="Verdana" w:cs="Calibri"/>
          <w:sz w:val="18"/>
          <w:szCs w:val="18"/>
          <w:lang w:val="el-GR"/>
        </w:rPr>
        <w:t>Συγκριτικά με τα αποτελέσματα της Απογραφής του 2011, η μεγαλύτερη ποσοστιαία αύξηση</w:t>
      </w:r>
      <w:r w:rsidR="007B2E88">
        <w:rPr>
          <w:rFonts w:ascii="Verdana" w:hAnsi="Verdana" w:cs="Calibri"/>
          <w:sz w:val="18"/>
          <w:szCs w:val="18"/>
          <w:lang w:val="el-GR"/>
        </w:rPr>
        <w:t>,</w:t>
      </w:r>
      <w:r w:rsidR="00BA06A0">
        <w:rPr>
          <w:rFonts w:ascii="Verdana" w:hAnsi="Verdana" w:cs="Calibri"/>
          <w:sz w:val="18"/>
          <w:szCs w:val="18"/>
          <w:lang w:val="el-GR"/>
        </w:rPr>
        <w:t xml:space="preserve"> </w:t>
      </w:r>
      <w:r w:rsidRPr="009F3D3E">
        <w:rPr>
          <w:rFonts w:ascii="Verdana" w:hAnsi="Verdana" w:cs="Calibri"/>
          <w:sz w:val="18"/>
          <w:szCs w:val="18"/>
          <w:lang w:val="el-GR"/>
        </w:rPr>
        <w:t xml:space="preserve"> τόσο στις κατοικίες (18,0%) όσο και στον πληθυσμό (16,4%)</w:t>
      </w:r>
      <w:r w:rsidR="00BA06A0">
        <w:rPr>
          <w:rFonts w:ascii="Verdana" w:hAnsi="Verdana" w:cs="Calibri"/>
          <w:sz w:val="18"/>
          <w:szCs w:val="18"/>
          <w:lang w:val="el-GR"/>
        </w:rPr>
        <w:t>,</w:t>
      </w:r>
      <w:r w:rsidRPr="009F3D3E">
        <w:rPr>
          <w:rFonts w:ascii="Verdana" w:hAnsi="Verdana" w:cs="Calibri"/>
          <w:sz w:val="18"/>
          <w:szCs w:val="18"/>
          <w:lang w:val="el-GR"/>
        </w:rPr>
        <w:t xml:space="preserve"> παρουσιάζεται στην επαρχία Αμμοχώστου. Η δεύτερη μεγαλύτερη ποσοστιαία πληθυσμιακή αύξηση παρουσιάζεται στην Πάφο (13,5%), ενώ η δεύτερη μεγαλύτερη ποσοστιαία αύξηση σε κατοικίες καταγράφεται στη Λεμεσό (15,4%)</w:t>
      </w:r>
      <w:r w:rsidR="00D123FA" w:rsidRPr="00D123FA">
        <w:rPr>
          <w:rFonts w:ascii="Verdana" w:hAnsi="Verdana" w:cs="Calibri"/>
          <w:sz w:val="18"/>
          <w:szCs w:val="18"/>
          <w:lang w:val="el-GR"/>
        </w:rPr>
        <w:t>.</w:t>
      </w:r>
      <w:r w:rsidRPr="009F3D3E">
        <w:rPr>
          <w:rFonts w:ascii="Verdana" w:hAnsi="Verdana" w:cs="Calibri"/>
          <w:sz w:val="18"/>
          <w:szCs w:val="18"/>
          <w:lang w:val="el-GR"/>
        </w:rPr>
        <w:t xml:space="preserve"> </w:t>
      </w:r>
    </w:p>
    <w:p w14:paraId="7961EECD" w14:textId="77777777" w:rsidR="00D82031" w:rsidRPr="00AC32BD" w:rsidRDefault="00D82031" w:rsidP="00AC32BD">
      <w:pPr>
        <w:ind w:right="-1"/>
        <w:jc w:val="both"/>
        <w:rPr>
          <w:rFonts w:ascii="Verdana" w:hAnsi="Verdana" w:cs="Calibri"/>
          <w:sz w:val="18"/>
          <w:szCs w:val="18"/>
          <w:lang w:val="el-GR"/>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360"/>
        <w:gridCol w:w="1360"/>
        <w:gridCol w:w="1472"/>
        <w:gridCol w:w="236"/>
        <w:gridCol w:w="1360"/>
        <w:gridCol w:w="1360"/>
        <w:gridCol w:w="1472"/>
      </w:tblGrid>
      <w:tr w:rsidR="00126F41" w:rsidRPr="00126F41" w14:paraId="35F083AE" w14:textId="77777777" w:rsidTr="00B21BA8">
        <w:trPr>
          <w:trHeight w:val="284"/>
          <w:jc w:val="center"/>
        </w:trPr>
        <w:tc>
          <w:tcPr>
            <w:tcW w:w="1359" w:type="dxa"/>
            <w:tcBorders>
              <w:top w:val="nil"/>
              <w:left w:val="nil"/>
              <w:bottom w:val="single" w:sz="4" w:space="0" w:color="2F5496" w:themeColor="accent1" w:themeShade="BF"/>
              <w:right w:val="nil"/>
            </w:tcBorders>
            <w:shd w:val="clear" w:color="auto" w:fill="auto"/>
            <w:vAlign w:val="center"/>
          </w:tcPr>
          <w:p w14:paraId="036D5C2D" w14:textId="046254F1" w:rsidR="00AD7ECB" w:rsidRPr="00B21BA8" w:rsidRDefault="00B21BA8" w:rsidP="00B21BA8">
            <w:pPr>
              <w:ind w:right="-1"/>
              <w:rPr>
                <w:rFonts w:ascii="Verdana" w:hAnsi="Verdana" w:cs="Calibri"/>
                <w:b/>
                <w:bCs/>
                <w:color w:val="2F5496" w:themeColor="accent1" w:themeShade="BF"/>
                <w:sz w:val="18"/>
                <w:szCs w:val="18"/>
                <w:lang w:val="el-GR"/>
              </w:rPr>
            </w:pPr>
            <w:r>
              <w:rPr>
                <w:rFonts w:ascii="Verdana" w:hAnsi="Verdana" w:cs="Calibri"/>
                <w:b/>
                <w:bCs/>
                <w:color w:val="2F5496" w:themeColor="accent1" w:themeShade="BF"/>
                <w:sz w:val="18"/>
                <w:szCs w:val="18"/>
                <w:lang w:val="el-GR"/>
              </w:rPr>
              <w:t>Πίνακας</w:t>
            </w:r>
          </w:p>
        </w:tc>
        <w:tc>
          <w:tcPr>
            <w:tcW w:w="1360" w:type="dxa"/>
            <w:tcBorders>
              <w:top w:val="nil"/>
              <w:left w:val="nil"/>
              <w:bottom w:val="single" w:sz="4" w:space="0" w:color="2F5496" w:themeColor="accent1" w:themeShade="BF"/>
              <w:right w:val="nil"/>
            </w:tcBorders>
            <w:shd w:val="clear" w:color="auto" w:fill="auto"/>
            <w:vAlign w:val="center"/>
          </w:tcPr>
          <w:p w14:paraId="1575EE3C" w14:textId="77777777" w:rsidR="00AD7ECB" w:rsidRPr="00126F41" w:rsidRDefault="00AD7ECB" w:rsidP="00B21BA8">
            <w:pPr>
              <w:rPr>
                <w:rFonts w:ascii="Verdana" w:eastAsia="Malgun Gothic" w:hAnsi="Verdana" w:cs="Arial"/>
                <w:b/>
                <w:bCs/>
                <w:color w:val="2F5496" w:themeColor="accent1" w:themeShade="BF"/>
                <w:sz w:val="18"/>
                <w:szCs w:val="18"/>
              </w:rPr>
            </w:pPr>
          </w:p>
        </w:tc>
        <w:tc>
          <w:tcPr>
            <w:tcW w:w="1360" w:type="dxa"/>
            <w:tcBorders>
              <w:top w:val="nil"/>
              <w:left w:val="nil"/>
              <w:bottom w:val="single" w:sz="4" w:space="0" w:color="2F5496" w:themeColor="accent1" w:themeShade="BF"/>
              <w:right w:val="nil"/>
            </w:tcBorders>
            <w:shd w:val="clear" w:color="auto" w:fill="auto"/>
            <w:vAlign w:val="center"/>
          </w:tcPr>
          <w:p w14:paraId="68413D00" w14:textId="77777777" w:rsidR="00AD7ECB" w:rsidRPr="00126F41" w:rsidRDefault="00AD7ECB" w:rsidP="00B21BA8">
            <w:pPr>
              <w:ind w:right="-1"/>
              <w:rPr>
                <w:rFonts w:ascii="Verdana" w:hAnsi="Verdana" w:cs="Calibri"/>
                <w:b/>
                <w:bCs/>
                <w:color w:val="2F5496" w:themeColor="accent1" w:themeShade="BF"/>
                <w:sz w:val="18"/>
                <w:szCs w:val="18"/>
                <w:lang w:val="el-GR"/>
              </w:rPr>
            </w:pPr>
          </w:p>
        </w:tc>
        <w:tc>
          <w:tcPr>
            <w:tcW w:w="1472" w:type="dxa"/>
            <w:tcBorders>
              <w:top w:val="nil"/>
              <w:left w:val="nil"/>
              <w:bottom w:val="single" w:sz="4" w:space="0" w:color="2F5496" w:themeColor="accent1" w:themeShade="BF"/>
              <w:right w:val="nil"/>
            </w:tcBorders>
            <w:vAlign w:val="center"/>
          </w:tcPr>
          <w:p w14:paraId="29CE1499" w14:textId="77777777" w:rsidR="00AD7ECB" w:rsidRPr="00126F41" w:rsidRDefault="00AD7ECB" w:rsidP="00B21BA8">
            <w:pPr>
              <w:ind w:right="-1"/>
              <w:rPr>
                <w:rFonts w:ascii="Verdana" w:hAnsi="Verdana" w:cs="Calibri"/>
                <w:b/>
                <w:bCs/>
                <w:color w:val="2F5496" w:themeColor="accent1" w:themeShade="BF"/>
                <w:sz w:val="18"/>
                <w:szCs w:val="18"/>
                <w:lang w:val="el-GR"/>
              </w:rPr>
            </w:pPr>
          </w:p>
        </w:tc>
        <w:tc>
          <w:tcPr>
            <w:tcW w:w="236" w:type="dxa"/>
            <w:tcBorders>
              <w:top w:val="nil"/>
              <w:left w:val="nil"/>
              <w:bottom w:val="single" w:sz="4" w:space="0" w:color="2F5496" w:themeColor="accent1" w:themeShade="BF"/>
              <w:right w:val="nil"/>
            </w:tcBorders>
            <w:vAlign w:val="center"/>
          </w:tcPr>
          <w:p w14:paraId="535D90E6" w14:textId="77777777" w:rsidR="00AD7ECB" w:rsidRPr="00126F41" w:rsidRDefault="00AD7ECB" w:rsidP="00B21BA8">
            <w:pPr>
              <w:ind w:right="-1"/>
              <w:rPr>
                <w:rFonts w:ascii="Verdana" w:hAnsi="Verdana" w:cs="Calibri"/>
                <w:b/>
                <w:bCs/>
                <w:color w:val="2F5496" w:themeColor="accent1" w:themeShade="BF"/>
                <w:sz w:val="18"/>
                <w:szCs w:val="18"/>
                <w:lang w:val="el-GR"/>
              </w:rPr>
            </w:pPr>
          </w:p>
        </w:tc>
        <w:tc>
          <w:tcPr>
            <w:tcW w:w="1360" w:type="dxa"/>
            <w:tcBorders>
              <w:top w:val="nil"/>
              <w:left w:val="nil"/>
              <w:bottom w:val="single" w:sz="4" w:space="0" w:color="2F5496" w:themeColor="accent1" w:themeShade="BF"/>
              <w:right w:val="nil"/>
            </w:tcBorders>
            <w:vAlign w:val="center"/>
          </w:tcPr>
          <w:p w14:paraId="61F90520" w14:textId="56E6126C" w:rsidR="00AD7ECB" w:rsidRPr="00126F41" w:rsidRDefault="00AD7ECB" w:rsidP="00B21BA8">
            <w:pPr>
              <w:ind w:right="-1"/>
              <w:rPr>
                <w:rFonts w:ascii="Verdana" w:hAnsi="Verdana" w:cs="Calibri"/>
                <w:b/>
                <w:bCs/>
                <w:color w:val="2F5496" w:themeColor="accent1" w:themeShade="BF"/>
                <w:sz w:val="18"/>
                <w:szCs w:val="18"/>
                <w:lang w:val="el-GR"/>
              </w:rPr>
            </w:pPr>
          </w:p>
        </w:tc>
        <w:tc>
          <w:tcPr>
            <w:tcW w:w="1360" w:type="dxa"/>
            <w:tcBorders>
              <w:top w:val="nil"/>
              <w:left w:val="nil"/>
              <w:bottom w:val="single" w:sz="4" w:space="0" w:color="2F5496" w:themeColor="accent1" w:themeShade="BF"/>
              <w:right w:val="nil"/>
            </w:tcBorders>
            <w:vAlign w:val="center"/>
          </w:tcPr>
          <w:p w14:paraId="29468AC5" w14:textId="77777777" w:rsidR="00AD7ECB" w:rsidRPr="00126F41" w:rsidRDefault="00AD7ECB" w:rsidP="00B21BA8">
            <w:pPr>
              <w:ind w:right="-1"/>
              <w:rPr>
                <w:rFonts w:ascii="Verdana" w:hAnsi="Verdana" w:cs="Calibri"/>
                <w:b/>
                <w:bCs/>
                <w:color w:val="2F5496" w:themeColor="accent1" w:themeShade="BF"/>
                <w:sz w:val="18"/>
                <w:szCs w:val="18"/>
                <w:lang w:val="el-GR"/>
              </w:rPr>
            </w:pPr>
          </w:p>
        </w:tc>
        <w:tc>
          <w:tcPr>
            <w:tcW w:w="1472" w:type="dxa"/>
            <w:tcBorders>
              <w:top w:val="nil"/>
              <w:left w:val="nil"/>
              <w:bottom w:val="single" w:sz="4" w:space="0" w:color="2F5496" w:themeColor="accent1" w:themeShade="BF"/>
              <w:right w:val="nil"/>
            </w:tcBorders>
            <w:shd w:val="clear" w:color="auto" w:fill="auto"/>
            <w:vAlign w:val="center"/>
          </w:tcPr>
          <w:p w14:paraId="124681DC" w14:textId="77777777" w:rsidR="00AD7ECB" w:rsidRPr="00126F41" w:rsidRDefault="00AD7ECB" w:rsidP="00B21BA8">
            <w:pPr>
              <w:rPr>
                <w:rFonts w:ascii="Verdana" w:hAnsi="Verdana" w:cs="Calibri"/>
                <w:b/>
                <w:bCs/>
                <w:color w:val="2F5496" w:themeColor="accent1" w:themeShade="BF"/>
                <w:sz w:val="18"/>
                <w:szCs w:val="18"/>
              </w:rPr>
            </w:pPr>
          </w:p>
        </w:tc>
      </w:tr>
      <w:tr w:rsidR="00B21BA8" w:rsidRPr="00126F41" w14:paraId="2FFF461D" w14:textId="77777777" w:rsidTr="00B21BA8">
        <w:trPr>
          <w:trHeight w:val="397"/>
          <w:jc w:val="center"/>
        </w:trPr>
        <w:tc>
          <w:tcPr>
            <w:tcW w:w="1359" w:type="dxa"/>
            <w:vMerge w:val="restart"/>
            <w:tcBorders>
              <w:top w:val="single" w:sz="4" w:space="0" w:color="2F5496" w:themeColor="accent1" w:themeShade="BF"/>
              <w:left w:val="nil"/>
              <w:right w:val="nil"/>
            </w:tcBorders>
            <w:shd w:val="clear" w:color="auto" w:fill="auto"/>
            <w:vAlign w:val="center"/>
          </w:tcPr>
          <w:p w14:paraId="47DEBE6A" w14:textId="3CA8A6CF" w:rsidR="00B21BA8" w:rsidRPr="00126F41" w:rsidRDefault="00B21BA8" w:rsidP="006B3B04">
            <w:pPr>
              <w:ind w:right="-1"/>
              <w:rPr>
                <w:rFonts w:ascii="Verdana" w:hAnsi="Verdana" w:cs="Calibri"/>
                <w:b/>
                <w:bCs/>
                <w:color w:val="2F5496" w:themeColor="accent1" w:themeShade="BF"/>
                <w:sz w:val="18"/>
                <w:szCs w:val="18"/>
                <w:lang w:val="el-GR"/>
              </w:rPr>
            </w:pPr>
            <w:r w:rsidRPr="00126F41">
              <w:rPr>
                <w:rFonts w:ascii="Verdana" w:hAnsi="Verdana" w:cs="Calibri"/>
                <w:b/>
                <w:bCs/>
                <w:color w:val="2F5496" w:themeColor="accent1" w:themeShade="BF"/>
                <w:sz w:val="18"/>
                <w:szCs w:val="18"/>
                <w:lang w:val="el-GR"/>
              </w:rPr>
              <w:t>Επαρχία</w:t>
            </w:r>
          </w:p>
        </w:tc>
        <w:tc>
          <w:tcPr>
            <w:tcW w:w="4192" w:type="dxa"/>
            <w:gridSpan w:val="3"/>
            <w:tcBorders>
              <w:top w:val="single" w:sz="4" w:space="0" w:color="2F5496" w:themeColor="accent1" w:themeShade="BF"/>
              <w:left w:val="nil"/>
              <w:bottom w:val="single" w:sz="4" w:space="0" w:color="2F5496" w:themeColor="accent1" w:themeShade="BF"/>
              <w:right w:val="nil"/>
            </w:tcBorders>
            <w:shd w:val="clear" w:color="auto" w:fill="auto"/>
            <w:vAlign w:val="center"/>
          </w:tcPr>
          <w:p w14:paraId="70881AEF" w14:textId="011715CB" w:rsidR="00B21BA8" w:rsidRPr="00126F41" w:rsidRDefault="00B21BA8" w:rsidP="00B21BA8">
            <w:pPr>
              <w:ind w:right="-1"/>
              <w:jc w:val="center"/>
              <w:rPr>
                <w:rFonts w:ascii="Verdana" w:hAnsi="Verdana" w:cs="Calibri"/>
                <w:b/>
                <w:bCs/>
                <w:color w:val="2F5496" w:themeColor="accent1" w:themeShade="BF"/>
                <w:sz w:val="18"/>
                <w:szCs w:val="18"/>
                <w:lang w:val="el-GR"/>
              </w:rPr>
            </w:pPr>
            <w:r w:rsidRPr="00126F41">
              <w:rPr>
                <w:rFonts w:ascii="Verdana" w:eastAsia="Malgun Gothic" w:hAnsi="Verdana" w:cs="Arial"/>
                <w:b/>
                <w:bCs/>
                <w:color w:val="2F5496" w:themeColor="accent1" w:themeShade="BF"/>
                <w:sz w:val="18"/>
                <w:szCs w:val="18"/>
                <w:lang w:val="el-GR"/>
              </w:rPr>
              <w:t>Κατοικίες</w:t>
            </w:r>
          </w:p>
        </w:tc>
        <w:tc>
          <w:tcPr>
            <w:tcW w:w="236" w:type="dxa"/>
            <w:tcBorders>
              <w:top w:val="single" w:sz="4" w:space="0" w:color="2F5496" w:themeColor="accent1" w:themeShade="BF"/>
              <w:left w:val="nil"/>
              <w:bottom w:val="nil"/>
              <w:right w:val="nil"/>
            </w:tcBorders>
            <w:vAlign w:val="center"/>
          </w:tcPr>
          <w:p w14:paraId="7C150EF6" w14:textId="77777777" w:rsidR="00B21BA8" w:rsidRPr="00126F41" w:rsidRDefault="00B21BA8" w:rsidP="00B21BA8">
            <w:pPr>
              <w:ind w:right="-1"/>
              <w:jc w:val="center"/>
              <w:rPr>
                <w:rFonts w:ascii="Verdana" w:hAnsi="Verdana" w:cs="Calibri"/>
                <w:b/>
                <w:bCs/>
                <w:color w:val="2F5496" w:themeColor="accent1" w:themeShade="BF"/>
                <w:sz w:val="18"/>
                <w:szCs w:val="18"/>
                <w:lang w:val="el-GR"/>
              </w:rPr>
            </w:pPr>
          </w:p>
        </w:tc>
        <w:tc>
          <w:tcPr>
            <w:tcW w:w="4192" w:type="dxa"/>
            <w:gridSpan w:val="3"/>
            <w:tcBorders>
              <w:top w:val="single" w:sz="4" w:space="0" w:color="2F5496" w:themeColor="accent1" w:themeShade="BF"/>
              <w:left w:val="nil"/>
              <w:bottom w:val="single" w:sz="4" w:space="0" w:color="2F5496" w:themeColor="accent1" w:themeShade="BF"/>
              <w:right w:val="nil"/>
            </w:tcBorders>
            <w:vAlign w:val="center"/>
          </w:tcPr>
          <w:p w14:paraId="22584943" w14:textId="60364E9D" w:rsidR="00B21BA8" w:rsidRPr="00126F41" w:rsidRDefault="00B21BA8" w:rsidP="00B21BA8">
            <w:pPr>
              <w:jc w:val="center"/>
              <w:rPr>
                <w:rFonts w:ascii="Verdana" w:hAnsi="Verdana" w:cs="Calibri"/>
                <w:b/>
                <w:bCs/>
                <w:color w:val="2F5496" w:themeColor="accent1" w:themeShade="BF"/>
                <w:sz w:val="18"/>
                <w:szCs w:val="18"/>
              </w:rPr>
            </w:pPr>
            <w:r w:rsidRPr="00126F41">
              <w:rPr>
                <w:rFonts w:ascii="Verdana" w:hAnsi="Verdana" w:cs="Calibri"/>
                <w:b/>
                <w:bCs/>
                <w:color w:val="2F5496" w:themeColor="accent1" w:themeShade="BF"/>
                <w:sz w:val="18"/>
                <w:szCs w:val="18"/>
                <w:lang w:val="el-GR"/>
              </w:rPr>
              <w:t>Πληθυσμός</w:t>
            </w:r>
          </w:p>
        </w:tc>
      </w:tr>
      <w:tr w:rsidR="00B21BA8" w:rsidRPr="00126F41" w14:paraId="5A37A49D" w14:textId="77777777" w:rsidTr="00B21BA8">
        <w:trPr>
          <w:trHeight w:val="567"/>
          <w:jc w:val="center"/>
        </w:trPr>
        <w:tc>
          <w:tcPr>
            <w:tcW w:w="1359" w:type="dxa"/>
            <w:vMerge/>
            <w:tcBorders>
              <w:left w:val="nil"/>
              <w:bottom w:val="single" w:sz="4" w:space="0" w:color="2F5496" w:themeColor="accent1" w:themeShade="BF"/>
              <w:right w:val="nil"/>
            </w:tcBorders>
            <w:shd w:val="clear" w:color="auto" w:fill="auto"/>
            <w:vAlign w:val="center"/>
          </w:tcPr>
          <w:p w14:paraId="4406EE6C" w14:textId="59EB8DB8" w:rsidR="00B21BA8" w:rsidRPr="00126F41" w:rsidRDefault="00B21BA8" w:rsidP="00126F41">
            <w:pPr>
              <w:ind w:right="-1"/>
              <w:jc w:val="center"/>
              <w:rPr>
                <w:rFonts w:ascii="Verdana" w:hAnsi="Verdana" w:cs="Calibri"/>
                <w:b/>
                <w:bCs/>
                <w:color w:val="2F5496" w:themeColor="accent1" w:themeShade="BF"/>
                <w:sz w:val="18"/>
                <w:szCs w:val="18"/>
                <w:lang w:val="el-GR"/>
              </w:rPr>
            </w:pPr>
          </w:p>
        </w:tc>
        <w:tc>
          <w:tcPr>
            <w:tcW w:w="1360" w:type="dxa"/>
            <w:tcBorders>
              <w:top w:val="single" w:sz="4" w:space="0" w:color="2F5496" w:themeColor="accent1" w:themeShade="BF"/>
              <w:left w:val="nil"/>
              <w:bottom w:val="single" w:sz="4" w:space="0" w:color="2F5496" w:themeColor="accent1" w:themeShade="BF"/>
              <w:right w:val="nil"/>
            </w:tcBorders>
            <w:shd w:val="clear" w:color="auto" w:fill="auto"/>
            <w:vAlign w:val="center"/>
          </w:tcPr>
          <w:p w14:paraId="5E2CC128" w14:textId="77777777" w:rsidR="00B21BA8" w:rsidRPr="00126F41" w:rsidRDefault="00B21BA8" w:rsidP="00126F41">
            <w:pPr>
              <w:jc w:val="center"/>
              <w:rPr>
                <w:rFonts w:ascii="Verdana" w:eastAsia="Malgun Gothic" w:hAnsi="Verdana" w:cs="Arial"/>
                <w:b/>
                <w:bCs/>
                <w:color w:val="2F5496" w:themeColor="accent1" w:themeShade="BF"/>
                <w:sz w:val="18"/>
                <w:szCs w:val="18"/>
              </w:rPr>
            </w:pPr>
            <w:r w:rsidRPr="00126F41">
              <w:rPr>
                <w:rFonts w:ascii="Verdana" w:eastAsia="Malgun Gothic" w:hAnsi="Verdana" w:cs="Arial"/>
                <w:b/>
                <w:bCs/>
                <w:color w:val="2F5496" w:themeColor="accent1" w:themeShade="BF"/>
                <w:sz w:val="18"/>
                <w:szCs w:val="18"/>
              </w:rPr>
              <w:t>1/10/2021</w:t>
            </w:r>
          </w:p>
        </w:tc>
        <w:tc>
          <w:tcPr>
            <w:tcW w:w="1360" w:type="dxa"/>
            <w:tcBorders>
              <w:top w:val="single" w:sz="4" w:space="0" w:color="2F5496" w:themeColor="accent1" w:themeShade="BF"/>
              <w:left w:val="nil"/>
              <w:bottom w:val="single" w:sz="4" w:space="0" w:color="2F5496" w:themeColor="accent1" w:themeShade="BF"/>
              <w:right w:val="nil"/>
            </w:tcBorders>
            <w:shd w:val="clear" w:color="auto" w:fill="auto"/>
            <w:vAlign w:val="center"/>
          </w:tcPr>
          <w:p w14:paraId="3B86A270" w14:textId="77777777" w:rsidR="00B21BA8" w:rsidRPr="00126F41" w:rsidRDefault="00B21BA8" w:rsidP="00126F41">
            <w:pPr>
              <w:ind w:right="-1"/>
              <w:jc w:val="center"/>
              <w:rPr>
                <w:rFonts w:ascii="Verdana" w:hAnsi="Verdana" w:cs="Calibri"/>
                <w:b/>
                <w:bCs/>
                <w:color w:val="2F5496" w:themeColor="accent1" w:themeShade="BF"/>
                <w:sz w:val="18"/>
                <w:szCs w:val="18"/>
                <w:lang w:val="el-GR"/>
              </w:rPr>
            </w:pPr>
            <w:r w:rsidRPr="00126F41">
              <w:rPr>
                <w:rFonts w:ascii="Verdana" w:hAnsi="Verdana" w:cs="Calibri"/>
                <w:b/>
                <w:bCs/>
                <w:color w:val="2F5496" w:themeColor="accent1" w:themeShade="BF"/>
                <w:sz w:val="18"/>
                <w:szCs w:val="18"/>
                <w:lang w:val="el-GR"/>
              </w:rPr>
              <w:t>1/10/2011</w:t>
            </w:r>
          </w:p>
        </w:tc>
        <w:tc>
          <w:tcPr>
            <w:tcW w:w="1472" w:type="dxa"/>
            <w:tcBorders>
              <w:top w:val="single" w:sz="4" w:space="0" w:color="2F5496" w:themeColor="accent1" w:themeShade="BF"/>
              <w:left w:val="nil"/>
              <w:bottom w:val="single" w:sz="4" w:space="0" w:color="2F5496" w:themeColor="accent1" w:themeShade="BF"/>
              <w:right w:val="nil"/>
            </w:tcBorders>
            <w:vAlign w:val="center"/>
          </w:tcPr>
          <w:p w14:paraId="4032C155" w14:textId="6AC2E780" w:rsidR="00B21BA8" w:rsidRPr="00126F41" w:rsidRDefault="00B21BA8" w:rsidP="00126F41">
            <w:pPr>
              <w:ind w:right="-1"/>
              <w:jc w:val="center"/>
              <w:rPr>
                <w:rFonts w:ascii="Verdana" w:hAnsi="Verdana" w:cs="Calibri"/>
                <w:b/>
                <w:bCs/>
                <w:color w:val="2F5496" w:themeColor="accent1" w:themeShade="BF"/>
                <w:sz w:val="18"/>
                <w:szCs w:val="18"/>
                <w:lang w:val="el-GR"/>
              </w:rPr>
            </w:pPr>
            <w:r w:rsidRPr="00126F41">
              <w:rPr>
                <w:rFonts w:ascii="Verdana" w:hAnsi="Verdana" w:cs="Calibri"/>
                <w:b/>
                <w:bCs/>
                <w:color w:val="2F5496" w:themeColor="accent1" w:themeShade="BF"/>
                <w:sz w:val="18"/>
                <w:szCs w:val="18"/>
              </w:rPr>
              <w:t xml:space="preserve">% </w:t>
            </w:r>
            <w:r w:rsidRPr="00126F41">
              <w:rPr>
                <w:rFonts w:ascii="Verdana" w:hAnsi="Verdana" w:cs="Calibri"/>
                <w:b/>
                <w:bCs/>
                <w:color w:val="2F5496" w:themeColor="accent1" w:themeShade="BF"/>
                <w:sz w:val="18"/>
                <w:szCs w:val="18"/>
                <w:lang w:val="el-GR"/>
              </w:rPr>
              <w:t>Αύξηση 2021/2011</w:t>
            </w:r>
          </w:p>
        </w:tc>
        <w:tc>
          <w:tcPr>
            <w:tcW w:w="236" w:type="dxa"/>
            <w:tcBorders>
              <w:top w:val="nil"/>
              <w:left w:val="nil"/>
              <w:bottom w:val="single" w:sz="4" w:space="0" w:color="2F5496" w:themeColor="accent1" w:themeShade="BF"/>
              <w:right w:val="nil"/>
            </w:tcBorders>
          </w:tcPr>
          <w:p w14:paraId="498DA095" w14:textId="77777777" w:rsidR="00B21BA8" w:rsidRPr="00126F41" w:rsidRDefault="00B21BA8" w:rsidP="00126F41">
            <w:pPr>
              <w:ind w:right="-1"/>
              <w:jc w:val="center"/>
              <w:rPr>
                <w:rFonts w:ascii="Verdana" w:hAnsi="Verdana" w:cs="Calibri"/>
                <w:b/>
                <w:bCs/>
                <w:color w:val="2F5496" w:themeColor="accent1" w:themeShade="BF"/>
                <w:sz w:val="18"/>
                <w:szCs w:val="18"/>
                <w:lang w:val="el-GR"/>
              </w:rPr>
            </w:pPr>
          </w:p>
        </w:tc>
        <w:tc>
          <w:tcPr>
            <w:tcW w:w="1360" w:type="dxa"/>
            <w:tcBorders>
              <w:top w:val="single" w:sz="4" w:space="0" w:color="2F5496" w:themeColor="accent1" w:themeShade="BF"/>
              <w:left w:val="nil"/>
              <w:bottom w:val="single" w:sz="4" w:space="0" w:color="2F5496" w:themeColor="accent1" w:themeShade="BF"/>
              <w:right w:val="nil"/>
            </w:tcBorders>
            <w:shd w:val="clear" w:color="auto" w:fill="auto"/>
            <w:vAlign w:val="center"/>
          </w:tcPr>
          <w:p w14:paraId="3C352C28" w14:textId="03943DE6" w:rsidR="00B21BA8" w:rsidRPr="00126F41" w:rsidRDefault="00B21BA8" w:rsidP="00126F41">
            <w:pPr>
              <w:ind w:right="-1"/>
              <w:jc w:val="center"/>
              <w:rPr>
                <w:rFonts w:ascii="Verdana" w:hAnsi="Verdana" w:cs="Calibri"/>
                <w:b/>
                <w:bCs/>
                <w:color w:val="2F5496" w:themeColor="accent1" w:themeShade="BF"/>
                <w:sz w:val="18"/>
                <w:szCs w:val="18"/>
                <w:lang w:val="el-GR"/>
              </w:rPr>
            </w:pPr>
            <w:r w:rsidRPr="00126F41">
              <w:rPr>
                <w:rFonts w:ascii="Verdana" w:eastAsia="Malgun Gothic" w:hAnsi="Verdana" w:cs="Arial"/>
                <w:b/>
                <w:bCs/>
                <w:color w:val="2F5496" w:themeColor="accent1" w:themeShade="BF"/>
                <w:sz w:val="18"/>
                <w:szCs w:val="18"/>
              </w:rPr>
              <w:t>1/10/2021</w:t>
            </w:r>
          </w:p>
        </w:tc>
        <w:tc>
          <w:tcPr>
            <w:tcW w:w="1360" w:type="dxa"/>
            <w:tcBorders>
              <w:top w:val="single" w:sz="4" w:space="0" w:color="2F5496" w:themeColor="accent1" w:themeShade="BF"/>
              <w:left w:val="nil"/>
              <w:bottom w:val="single" w:sz="4" w:space="0" w:color="2F5496" w:themeColor="accent1" w:themeShade="BF"/>
              <w:right w:val="nil"/>
            </w:tcBorders>
            <w:shd w:val="clear" w:color="auto" w:fill="auto"/>
            <w:vAlign w:val="center"/>
          </w:tcPr>
          <w:p w14:paraId="424ABE4C" w14:textId="6917529B" w:rsidR="00B21BA8" w:rsidRPr="00126F41" w:rsidRDefault="00B21BA8" w:rsidP="00126F41">
            <w:pPr>
              <w:ind w:right="-1"/>
              <w:jc w:val="center"/>
              <w:rPr>
                <w:rFonts w:ascii="Verdana" w:hAnsi="Verdana" w:cs="Calibri"/>
                <w:b/>
                <w:bCs/>
                <w:color w:val="2F5496" w:themeColor="accent1" w:themeShade="BF"/>
                <w:sz w:val="18"/>
                <w:szCs w:val="18"/>
                <w:lang w:val="el-GR"/>
              </w:rPr>
            </w:pPr>
            <w:r w:rsidRPr="00126F41">
              <w:rPr>
                <w:rFonts w:ascii="Verdana" w:hAnsi="Verdana" w:cs="Calibri"/>
                <w:b/>
                <w:bCs/>
                <w:color w:val="2F5496" w:themeColor="accent1" w:themeShade="BF"/>
                <w:sz w:val="18"/>
                <w:szCs w:val="18"/>
                <w:lang w:val="el-GR"/>
              </w:rPr>
              <w:t>1/10/2011</w:t>
            </w:r>
          </w:p>
        </w:tc>
        <w:tc>
          <w:tcPr>
            <w:tcW w:w="1472" w:type="dxa"/>
            <w:tcBorders>
              <w:top w:val="single" w:sz="4" w:space="0" w:color="2F5496" w:themeColor="accent1" w:themeShade="BF"/>
              <w:left w:val="nil"/>
              <w:bottom w:val="single" w:sz="4" w:space="0" w:color="2F5496" w:themeColor="accent1" w:themeShade="BF"/>
              <w:right w:val="nil"/>
            </w:tcBorders>
            <w:shd w:val="clear" w:color="auto" w:fill="auto"/>
            <w:vAlign w:val="center"/>
          </w:tcPr>
          <w:p w14:paraId="371275A2" w14:textId="4106739F" w:rsidR="00B21BA8" w:rsidRPr="00126F41" w:rsidRDefault="00B21BA8" w:rsidP="00126F41">
            <w:pPr>
              <w:jc w:val="center"/>
              <w:rPr>
                <w:rFonts w:ascii="Verdana" w:hAnsi="Verdana" w:cs="Calibri"/>
                <w:b/>
                <w:bCs/>
                <w:color w:val="2F5496" w:themeColor="accent1" w:themeShade="BF"/>
                <w:sz w:val="18"/>
                <w:szCs w:val="18"/>
                <w:lang w:val="el-GR"/>
              </w:rPr>
            </w:pPr>
            <w:r w:rsidRPr="00126F41">
              <w:rPr>
                <w:rFonts w:ascii="Verdana" w:hAnsi="Verdana" w:cs="Calibri"/>
                <w:b/>
                <w:bCs/>
                <w:color w:val="2F5496" w:themeColor="accent1" w:themeShade="BF"/>
                <w:sz w:val="18"/>
                <w:szCs w:val="18"/>
              </w:rPr>
              <w:t xml:space="preserve">% </w:t>
            </w:r>
            <w:r w:rsidRPr="00126F41">
              <w:rPr>
                <w:rFonts w:ascii="Verdana" w:hAnsi="Verdana" w:cs="Calibri"/>
                <w:b/>
                <w:bCs/>
                <w:color w:val="2F5496" w:themeColor="accent1" w:themeShade="BF"/>
                <w:sz w:val="18"/>
                <w:szCs w:val="18"/>
                <w:lang w:val="el-GR"/>
              </w:rPr>
              <w:t>Αύξηση 2021/2011</w:t>
            </w:r>
          </w:p>
        </w:tc>
      </w:tr>
      <w:tr w:rsidR="00126F41" w:rsidRPr="00126F41" w14:paraId="1C7CD339" w14:textId="77777777" w:rsidTr="00126F41">
        <w:trPr>
          <w:trHeight w:val="340"/>
          <w:jc w:val="center"/>
        </w:trPr>
        <w:tc>
          <w:tcPr>
            <w:tcW w:w="1359" w:type="dxa"/>
            <w:tcBorders>
              <w:top w:val="single" w:sz="4" w:space="0" w:color="2F5496" w:themeColor="accent1" w:themeShade="BF"/>
              <w:left w:val="nil"/>
              <w:bottom w:val="nil"/>
              <w:right w:val="nil"/>
            </w:tcBorders>
            <w:shd w:val="clear" w:color="auto" w:fill="auto"/>
            <w:tcMar>
              <w:left w:w="28" w:type="dxa"/>
              <w:right w:w="28" w:type="dxa"/>
            </w:tcMar>
            <w:vAlign w:val="center"/>
          </w:tcPr>
          <w:p w14:paraId="23B2EFEE" w14:textId="77777777" w:rsidR="00126F41" w:rsidRPr="00126F41" w:rsidRDefault="00126F41" w:rsidP="00126F41">
            <w:pPr>
              <w:ind w:right="144"/>
              <w:rPr>
                <w:rFonts w:ascii="Verdana" w:hAnsi="Verdana" w:cs="Calibri"/>
                <w:color w:val="2F5496" w:themeColor="accent1" w:themeShade="BF"/>
                <w:sz w:val="18"/>
                <w:szCs w:val="18"/>
                <w:lang w:val="el-GR"/>
              </w:rPr>
            </w:pPr>
            <w:r w:rsidRPr="00126F41">
              <w:rPr>
                <w:rFonts w:ascii="Verdana" w:eastAsia="Malgun Gothic" w:hAnsi="Verdana" w:cs="Arial"/>
                <w:color w:val="2F5496" w:themeColor="accent1" w:themeShade="BF"/>
                <w:sz w:val="18"/>
                <w:szCs w:val="18"/>
                <w:lang w:val="el-GR"/>
              </w:rPr>
              <w:t>Λευκωσία</w:t>
            </w:r>
          </w:p>
        </w:tc>
        <w:tc>
          <w:tcPr>
            <w:tcW w:w="1360" w:type="dxa"/>
            <w:tcBorders>
              <w:top w:val="single" w:sz="4" w:space="0" w:color="2F5496" w:themeColor="accent1" w:themeShade="BF"/>
              <w:left w:val="nil"/>
              <w:bottom w:val="nil"/>
              <w:right w:val="nil"/>
            </w:tcBorders>
            <w:shd w:val="clear" w:color="auto" w:fill="auto"/>
            <w:vAlign w:val="center"/>
          </w:tcPr>
          <w:p w14:paraId="22AB4F96" w14:textId="2C928D10" w:rsidR="00126F41" w:rsidRPr="00126F41" w:rsidRDefault="00126F41" w:rsidP="00126F41">
            <w:pPr>
              <w:ind w:right="113"/>
              <w:jc w:val="right"/>
              <w:rPr>
                <w:rFonts w:ascii="Verdana" w:eastAsia="Malgun Gothic" w:hAnsi="Verdana" w:cs="Arial"/>
                <w:color w:val="2F5496" w:themeColor="accent1" w:themeShade="BF"/>
                <w:sz w:val="18"/>
                <w:szCs w:val="18"/>
                <w:lang w:val="el-GR"/>
              </w:rPr>
            </w:pPr>
            <w:r w:rsidRPr="00126F41">
              <w:rPr>
                <w:rFonts w:ascii="Verdana" w:hAnsi="Verdana"/>
                <w:color w:val="2F5496" w:themeColor="accent1" w:themeShade="BF"/>
                <w:sz w:val="18"/>
                <w:szCs w:val="18"/>
              </w:rPr>
              <w:t>163.239</w:t>
            </w:r>
          </w:p>
        </w:tc>
        <w:tc>
          <w:tcPr>
            <w:tcW w:w="1360" w:type="dxa"/>
            <w:tcBorders>
              <w:top w:val="single" w:sz="4" w:space="0" w:color="2F5496" w:themeColor="accent1" w:themeShade="BF"/>
              <w:left w:val="nil"/>
              <w:bottom w:val="nil"/>
              <w:right w:val="nil"/>
            </w:tcBorders>
            <w:shd w:val="clear" w:color="auto" w:fill="auto"/>
            <w:vAlign w:val="center"/>
          </w:tcPr>
          <w:p w14:paraId="2118E3F8" w14:textId="16A9768D" w:rsidR="00126F41" w:rsidRPr="00126F41" w:rsidRDefault="00126F41" w:rsidP="00126F41">
            <w:pPr>
              <w:ind w:right="113"/>
              <w:jc w:val="right"/>
              <w:rPr>
                <w:rFonts w:ascii="Verdana" w:eastAsia="Malgun Gothic" w:hAnsi="Verdana" w:cs="Arial"/>
                <w:color w:val="2F5496" w:themeColor="accent1" w:themeShade="BF"/>
                <w:sz w:val="18"/>
                <w:szCs w:val="18"/>
              </w:rPr>
            </w:pPr>
            <w:r w:rsidRPr="00126F41">
              <w:rPr>
                <w:rFonts w:ascii="Verdana" w:hAnsi="Verdana"/>
                <w:color w:val="2F5496" w:themeColor="accent1" w:themeShade="BF"/>
                <w:sz w:val="18"/>
                <w:szCs w:val="18"/>
              </w:rPr>
              <w:t>144.556</w:t>
            </w:r>
          </w:p>
        </w:tc>
        <w:tc>
          <w:tcPr>
            <w:tcW w:w="1472" w:type="dxa"/>
            <w:tcBorders>
              <w:top w:val="single" w:sz="4" w:space="0" w:color="2F5496" w:themeColor="accent1" w:themeShade="BF"/>
              <w:left w:val="nil"/>
              <w:bottom w:val="nil"/>
              <w:right w:val="nil"/>
            </w:tcBorders>
            <w:vAlign w:val="center"/>
          </w:tcPr>
          <w:p w14:paraId="1C1D4D67" w14:textId="7E35B83D" w:rsidR="00126F41" w:rsidRPr="00126F41" w:rsidRDefault="00126F41" w:rsidP="00126F41">
            <w:pPr>
              <w:ind w:right="397"/>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12,9</w:t>
            </w:r>
          </w:p>
        </w:tc>
        <w:tc>
          <w:tcPr>
            <w:tcW w:w="236" w:type="dxa"/>
            <w:tcBorders>
              <w:top w:val="single" w:sz="4" w:space="0" w:color="2F5496" w:themeColor="accent1" w:themeShade="BF"/>
              <w:left w:val="nil"/>
              <w:bottom w:val="nil"/>
              <w:right w:val="nil"/>
            </w:tcBorders>
            <w:vAlign w:val="center"/>
          </w:tcPr>
          <w:p w14:paraId="61417A83" w14:textId="77777777" w:rsidR="00126F41" w:rsidRPr="00126F41" w:rsidRDefault="00126F41" w:rsidP="00126F41">
            <w:pPr>
              <w:ind w:right="907"/>
              <w:jc w:val="right"/>
              <w:rPr>
                <w:rFonts w:ascii="Verdana" w:hAnsi="Verdana" w:cs="Calibri"/>
                <w:color w:val="2F5496" w:themeColor="accent1" w:themeShade="BF"/>
                <w:sz w:val="18"/>
                <w:szCs w:val="18"/>
              </w:rPr>
            </w:pPr>
          </w:p>
        </w:tc>
        <w:tc>
          <w:tcPr>
            <w:tcW w:w="1360" w:type="dxa"/>
            <w:tcBorders>
              <w:top w:val="single" w:sz="4" w:space="0" w:color="2F5496" w:themeColor="accent1" w:themeShade="BF"/>
              <w:left w:val="nil"/>
              <w:bottom w:val="nil"/>
              <w:right w:val="nil"/>
            </w:tcBorders>
            <w:vAlign w:val="center"/>
          </w:tcPr>
          <w:p w14:paraId="16A6E48D" w14:textId="00C9B64D" w:rsidR="00126F41" w:rsidRPr="00126F41" w:rsidRDefault="00126F41" w:rsidP="00126F41">
            <w:pPr>
              <w:ind w:right="113"/>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350.824</w:t>
            </w:r>
          </w:p>
        </w:tc>
        <w:tc>
          <w:tcPr>
            <w:tcW w:w="1360" w:type="dxa"/>
            <w:tcBorders>
              <w:top w:val="single" w:sz="4" w:space="0" w:color="2F5496" w:themeColor="accent1" w:themeShade="BF"/>
              <w:left w:val="nil"/>
              <w:bottom w:val="nil"/>
              <w:right w:val="nil"/>
            </w:tcBorders>
            <w:vAlign w:val="center"/>
          </w:tcPr>
          <w:p w14:paraId="0AB86FE4" w14:textId="556351DB" w:rsidR="00126F41" w:rsidRPr="00126F41" w:rsidRDefault="00126F41" w:rsidP="00126F41">
            <w:pPr>
              <w:ind w:right="113"/>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326.980</w:t>
            </w:r>
          </w:p>
        </w:tc>
        <w:tc>
          <w:tcPr>
            <w:tcW w:w="1472" w:type="dxa"/>
            <w:tcBorders>
              <w:top w:val="single" w:sz="4" w:space="0" w:color="2F5496" w:themeColor="accent1" w:themeShade="BF"/>
              <w:left w:val="nil"/>
              <w:bottom w:val="nil"/>
              <w:right w:val="nil"/>
            </w:tcBorders>
            <w:shd w:val="clear" w:color="auto" w:fill="auto"/>
            <w:vAlign w:val="center"/>
          </w:tcPr>
          <w:p w14:paraId="52EE5697" w14:textId="11F35AA1" w:rsidR="00126F41" w:rsidRPr="00126F41" w:rsidRDefault="00126F41" w:rsidP="00126F41">
            <w:pPr>
              <w:ind w:right="397"/>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7,3</w:t>
            </w:r>
          </w:p>
        </w:tc>
      </w:tr>
      <w:tr w:rsidR="00126F41" w:rsidRPr="00126F41" w14:paraId="1B2098B8" w14:textId="77777777" w:rsidTr="00126F41">
        <w:trPr>
          <w:trHeight w:val="340"/>
          <w:jc w:val="center"/>
        </w:trPr>
        <w:tc>
          <w:tcPr>
            <w:tcW w:w="1359" w:type="dxa"/>
            <w:tcBorders>
              <w:top w:val="nil"/>
              <w:left w:val="nil"/>
              <w:bottom w:val="nil"/>
              <w:right w:val="nil"/>
            </w:tcBorders>
            <w:shd w:val="clear" w:color="auto" w:fill="auto"/>
            <w:tcMar>
              <w:left w:w="28" w:type="dxa"/>
              <w:right w:w="28" w:type="dxa"/>
            </w:tcMar>
            <w:vAlign w:val="center"/>
          </w:tcPr>
          <w:p w14:paraId="7BBFE88D" w14:textId="77777777" w:rsidR="00126F41" w:rsidRPr="00126F41" w:rsidRDefault="00126F41" w:rsidP="00126F41">
            <w:pPr>
              <w:ind w:right="-1"/>
              <w:rPr>
                <w:rFonts w:ascii="Verdana" w:hAnsi="Verdana" w:cs="Calibri"/>
                <w:color w:val="2F5496" w:themeColor="accent1" w:themeShade="BF"/>
                <w:sz w:val="18"/>
                <w:szCs w:val="18"/>
              </w:rPr>
            </w:pPr>
            <w:r w:rsidRPr="00126F41">
              <w:rPr>
                <w:rFonts w:ascii="Verdana" w:hAnsi="Verdana" w:cs="Calibri"/>
                <w:color w:val="2F5496" w:themeColor="accent1" w:themeShade="BF"/>
                <w:sz w:val="18"/>
                <w:szCs w:val="18"/>
                <w:lang w:val="el-GR"/>
              </w:rPr>
              <w:t>Αμμόχωστος</w:t>
            </w:r>
          </w:p>
        </w:tc>
        <w:tc>
          <w:tcPr>
            <w:tcW w:w="1360" w:type="dxa"/>
            <w:tcBorders>
              <w:top w:val="nil"/>
              <w:left w:val="nil"/>
              <w:bottom w:val="nil"/>
              <w:right w:val="nil"/>
            </w:tcBorders>
            <w:shd w:val="clear" w:color="auto" w:fill="auto"/>
            <w:vAlign w:val="center"/>
          </w:tcPr>
          <w:p w14:paraId="0C4967EE" w14:textId="45D39E53" w:rsidR="00126F41" w:rsidRPr="00126F41" w:rsidRDefault="00126F41" w:rsidP="00126F41">
            <w:pPr>
              <w:ind w:right="113"/>
              <w:jc w:val="right"/>
              <w:rPr>
                <w:rFonts w:ascii="Verdana" w:eastAsia="Malgun Gothic" w:hAnsi="Verdana" w:cs="Arial"/>
                <w:color w:val="2F5496" w:themeColor="accent1" w:themeShade="BF"/>
                <w:sz w:val="18"/>
                <w:szCs w:val="18"/>
              </w:rPr>
            </w:pPr>
            <w:r w:rsidRPr="00126F41">
              <w:rPr>
                <w:rFonts w:ascii="Verdana" w:hAnsi="Verdana"/>
                <w:color w:val="2F5496" w:themeColor="accent1" w:themeShade="BF"/>
                <w:sz w:val="18"/>
                <w:szCs w:val="18"/>
              </w:rPr>
              <w:t>40.280</w:t>
            </w:r>
          </w:p>
        </w:tc>
        <w:tc>
          <w:tcPr>
            <w:tcW w:w="1360" w:type="dxa"/>
            <w:tcBorders>
              <w:top w:val="nil"/>
              <w:left w:val="nil"/>
              <w:bottom w:val="nil"/>
              <w:right w:val="nil"/>
            </w:tcBorders>
            <w:shd w:val="clear" w:color="auto" w:fill="auto"/>
            <w:vAlign w:val="center"/>
          </w:tcPr>
          <w:p w14:paraId="7724CEEE" w14:textId="27725903" w:rsidR="00126F41" w:rsidRPr="00126F41" w:rsidRDefault="00126F41" w:rsidP="00126F41">
            <w:pPr>
              <w:ind w:right="113"/>
              <w:jc w:val="right"/>
              <w:rPr>
                <w:rFonts w:ascii="Verdana" w:eastAsia="Malgun Gothic" w:hAnsi="Verdana" w:cs="Arial"/>
                <w:color w:val="2F5496" w:themeColor="accent1" w:themeShade="BF"/>
                <w:sz w:val="18"/>
                <w:szCs w:val="18"/>
              </w:rPr>
            </w:pPr>
            <w:r w:rsidRPr="00126F41">
              <w:rPr>
                <w:rFonts w:ascii="Verdana" w:hAnsi="Verdana"/>
                <w:color w:val="2F5496" w:themeColor="accent1" w:themeShade="BF"/>
                <w:sz w:val="18"/>
                <w:szCs w:val="18"/>
              </w:rPr>
              <w:t>34.150</w:t>
            </w:r>
          </w:p>
        </w:tc>
        <w:tc>
          <w:tcPr>
            <w:tcW w:w="1472" w:type="dxa"/>
            <w:tcBorders>
              <w:top w:val="nil"/>
              <w:left w:val="nil"/>
              <w:bottom w:val="nil"/>
              <w:right w:val="nil"/>
            </w:tcBorders>
            <w:vAlign w:val="center"/>
          </w:tcPr>
          <w:p w14:paraId="4A116912" w14:textId="68CD99AF" w:rsidR="00126F41" w:rsidRPr="00126F41" w:rsidRDefault="00126F41" w:rsidP="00126F41">
            <w:pPr>
              <w:ind w:right="397"/>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18,0</w:t>
            </w:r>
          </w:p>
        </w:tc>
        <w:tc>
          <w:tcPr>
            <w:tcW w:w="236" w:type="dxa"/>
            <w:tcBorders>
              <w:top w:val="nil"/>
              <w:left w:val="nil"/>
              <w:bottom w:val="nil"/>
              <w:right w:val="nil"/>
            </w:tcBorders>
            <w:vAlign w:val="center"/>
          </w:tcPr>
          <w:p w14:paraId="02B21A9C" w14:textId="77777777" w:rsidR="00126F41" w:rsidRPr="00126F41" w:rsidRDefault="00126F41" w:rsidP="00126F41">
            <w:pPr>
              <w:ind w:right="907"/>
              <w:jc w:val="right"/>
              <w:rPr>
                <w:rFonts w:ascii="Verdana" w:hAnsi="Verdana" w:cs="Calibri"/>
                <w:color w:val="2F5496" w:themeColor="accent1" w:themeShade="BF"/>
                <w:sz w:val="18"/>
                <w:szCs w:val="18"/>
              </w:rPr>
            </w:pPr>
          </w:p>
        </w:tc>
        <w:tc>
          <w:tcPr>
            <w:tcW w:w="1360" w:type="dxa"/>
            <w:tcBorders>
              <w:top w:val="nil"/>
              <w:left w:val="nil"/>
              <w:bottom w:val="nil"/>
              <w:right w:val="nil"/>
            </w:tcBorders>
            <w:vAlign w:val="center"/>
          </w:tcPr>
          <w:p w14:paraId="18AB1CAA" w14:textId="3FE88F1B" w:rsidR="00126F41" w:rsidRPr="00126F41" w:rsidRDefault="00126F41" w:rsidP="00126F41">
            <w:pPr>
              <w:ind w:right="113"/>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54.282</w:t>
            </w:r>
          </w:p>
        </w:tc>
        <w:tc>
          <w:tcPr>
            <w:tcW w:w="1360" w:type="dxa"/>
            <w:tcBorders>
              <w:top w:val="nil"/>
              <w:left w:val="nil"/>
              <w:bottom w:val="nil"/>
              <w:right w:val="nil"/>
            </w:tcBorders>
            <w:vAlign w:val="center"/>
          </w:tcPr>
          <w:p w14:paraId="554E3516" w14:textId="57C6D6A0" w:rsidR="00126F41" w:rsidRPr="00126F41" w:rsidRDefault="00126F41" w:rsidP="00126F41">
            <w:pPr>
              <w:ind w:right="113"/>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46.629</w:t>
            </w:r>
          </w:p>
        </w:tc>
        <w:tc>
          <w:tcPr>
            <w:tcW w:w="1472" w:type="dxa"/>
            <w:tcBorders>
              <w:top w:val="nil"/>
              <w:left w:val="nil"/>
              <w:bottom w:val="nil"/>
              <w:right w:val="nil"/>
            </w:tcBorders>
            <w:shd w:val="clear" w:color="auto" w:fill="auto"/>
            <w:vAlign w:val="center"/>
          </w:tcPr>
          <w:p w14:paraId="5A236683" w14:textId="4F540A29" w:rsidR="00126F41" w:rsidRPr="00126F41" w:rsidRDefault="00126F41" w:rsidP="00126F41">
            <w:pPr>
              <w:ind w:right="397"/>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16,4</w:t>
            </w:r>
          </w:p>
        </w:tc>
      </w:tr>
      <w:tr w:rsidR="00126F41" w:rsidRPr="00126F41" w14:paraId="67A948C1" w14:textId="77777777" w:rsidTr="00126F41">
        <w:trPr>
          <w:trHeight w:val="340"/>
          <w:jc w:val="center"/>
        </w:trPr>
        <w:tc>
          <w:tcPr>
            <w:tcW w:w="1359" w:type="dxa"/>
            <w:tcBorders>
              <w:top w:val="nil"/>
              <w:left w:val="nil"/>
              <w:bottom w:val="nil"/>
              <w:right w:val="nil"/>
            </w:tcBorders>
            <w:shd w:val="clear" w:color="auto" w:fill="auto"/>
            <w:tcMar>
              <w:left w:w="28" w:type="dxa"/>
              <w:right w:w="28" w:type="dxa"/>
            </w:tcMar>
            <w:vAlign w:val="center"/>
          </w:tcPr>
          <w:p w14:paraId="4C8F7840" w14:textId="77777777" w:rsidR="00126F41" w:rsidRPr="00126F41" w:rsidRDefault="00126F41" w:rsidP="00126F41">
            <w:pPr>
              <w:ind w:right="-1"/>
              <w:rPr>
                <w:rFonts w:ascii="Verdana" w:hAnsi="Verdana" w:cs="Calibri"/>
                <w:color w:val="2F5496" w:themeColor="accent1" w:themeShade="BF"/>
                <w:sz w:val="18"/>
                <w:szCs w:val="18"/>
                <w:lang w:val="el-GR"/>
              </w:rPr>
            </w:pPr>
            <w:r w:rsidRPr="00126F41">
              <w:rPr>
                <w:rFonts w:ascii="Verdana" w:hAnsi="Verdana" w:cs="Calibri"/>
                <w:color w:val="2F5496" w:themeColor="accent1" w:themeShade="BF"/>
                <w:sz w:val="18"/>
                <w:szCs w:val="18"/>
                <w:lang w:val="el-GR"/>
              </w:rPr>
              <w:t>Λάρνακα</w:t>
            </w:r>
          </w:p>
        </w:tc>
        <w:tc>
          <w:tcPr>
            <w:tcW w:w="1360" w:type="dxa"/>
            <w:tcBorders>
              <w:top w:val="nil"/>
              <w:left w:val="nil"/>
              <w:bottom w:val="nil"/>
              <w:right w:val="nil"/>
            </w:tcBorders>
            <w:shd w:val="clear" w:color="auto" w:fill="auto"/>
            <w:vAlign w:val="center"/>
          </w:tcPr>
          <w:p w14:paraId="37050BF0" w14:textId="0425E6C6" w:rsidR="00126F41" w:rsidRPr="00126F41" w:rsidRDefault="00126F41" w:rsidP="00126F41">
            <w:pPr>
              <w:ind w:right="113"/>
              <w:jc w:val="right"/>
              <w:rPr>
                <w:rFonts w:ascii="Verdana" w:eastAsia="Malgun Gothic" w:hAnsi="Verdana" w:cs="Arial"/>
                <w:color w:val="2F5496" w:themeColor="accent1" w:themeShade="BF"/>
                <w:sz w:val="18"/>
                <w:szCs w:val="18"/>
              </w:rPr>
            </w:pPr>
            <w:r w:rsidRPr="00126F41">
              <w:rPr>
                <w:rFonts w:ascii="Verdana" w:hAnsi="Verdana"/>
                <w:color w:val="2F5496" w:themeColor="accent1" w:themeShade="BF"/>
                <w:sz w:val="18"/>
                <w:szCs w:val="18"/>
              </w:rPr>
              <w:t>82.233</w:t>
            </w:r>
          </w:p>
        </w:tc>
        <w:tc>
          <w:tcPr>
            <w:tcW w:w="1360" w:type="dxa"/>
            <w:tcBorders>
              <w:top w:val="nil"/>
              <w:left w:val="nil"/>
              <w:bottom w:val="nil"/>
              <w:right w:val="nil"/>
            </w:tcBorders>
            <w:shd w:val="clear" w:color="auto" w:fill="auto"/>
            <w:vAlign w:val="center"/>
          </w:tcPr>
          <w:p w14:paraId="57A7C41D" w14:textId="17FFB96A" w:rsidR="00126F41" w:rsidRPr="00126F41" w:rsidRDefault="00126F41" w:rsidP="00126F41">
            <w:pPr>
              <w:ind w:right="113"/>
              <w:jc w:val="right"/>
              <w:rPr>
                <w:rFonts w:ascii="Verdana" w:eastAsia="Malgun Gothic" w:hAnsi="Verdana" w:cs="Arial"/>
                <w:color w:val="2F5496" w:themeColor="accent1" w:themeShade="BF"/>
                <w:sz w:val="18"/>
                <w:szCs w:val="18"/>
              </w:rPr>
            </w:pPr>
            <w:r w:rsidRPr="00126F41">
              <w:rPr>
                <w:rFonts w:ascii="Verdana" w:hAnsi="Verdana"/>
                <w:color w:val="2F5496" w:themeColor="accent1" w:themeShade="BF"/>
                <w:sz w:val="18"/>
                <w:szCs w:val="18"/>
              </w:rPr>
              <w:t>73.676</w:t>
            </w:r>
          </w:p>
        </w:tc>
        <w:tc>
          <w:tcPr>
            <w:tcW w:w="1472" w:type="dxa"/>
            <w:tcBorders>
              <w:top w:val="nil"/>
              <w:left w:val="nil"/>
              <w:bottom w:val="nil"/>
              <w:right w:val="nil"/>
            </w:tcBorders>
            <w:vAlign w:val="center"/>
          </w:tcPr>
          <w:p w14:paraId="15E7FCDD" w14:textId="4878E6A2" w:rsidR="00126F41" w:rsidRPr="00126F41" w:rsidRDefault="00126F41" w:rsidP="00126F41">
            <w:pPr>
              <w:ind w:right="397"/>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11,6</w:t>
            </w:r>
          </w:p>
        </w:tc>
        <w:tc>
          <w:tcPr>
            <w:tcW w:w="236" w:type="dxa"/>
            <w:tcBorders>
              <w:top w:val="nil"/>
              <w:left w:val="nil"/>
              <w:bottom w:val="nil"/>
              <w:right w:val="nil"/>
            </w:tcBorders>
            <w:vAlign w:val="center"/>
          </w:tcPr>
          <w:p w14:paraId="532B519B" w14:textId="77777777" w:rsidR="00126F41" w:rsidRPr="00126F41" w:rsidRDefault="00126F41" w:rsidP="00126F41">
            <w:pPr>
              <w:ind w:right="907"/>
              <w:jc w:val="right"/>
              <w:rPr>
                <w:rFonts w:ascii="Verdana" w:hAnsi="Verdana" w:cs="Calibri"/>
                <w:color w:val="2F5496" w:themeColor="accent1" w:themeShade="BF"/>
                <w:sz w:val="18"/>
                <w:szCs w:val="18"/>
              </w:rPr>
            </w:pPr>
          </w:p>
        </w:tc>
        <w:tc>
          <w:tcPr>
            <w:tcW w:w="1360" w:type="dxa"/>
            <w:tcBorders>
              <w:top w:val="nil"/>
              <w:left w:val="nil"/>
              <w:bottom w:val="nil"/>
              <w:right w:val="nil"/>
            </w:tcBorders>
            <w:vAlign w:val="center"/>
          </w:tcPr>
          <w:p w14:paraId="3C7E383D" w14:textId="6616B15E" w:rsidR="00126F41" w:rsidRPr="00126F41" w:rsidRDefault="00126F41" w:rsidP="00126F41">
            <w:pPr>
              <w:ind w:right="113"/>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155.753</w:t>
            </w:r>
          </w:p>
        </w:tc>
        <w:tc>
          <w:tcPr>
            <w:tcW w:w="1360" w:type="dxa"/>
            <w:tcBorders>
              <w:top w:val="nil"/>
              <w:left w:val="nil"/>
              <w:bottom w:val="nil"/>
              <w:right w:val="nil"/>
            </w:tcBorders>
            <w:vAlign w:val="center"/>
          </w:tcPr>
          <w:p w14:paraId="18476899" w14:textId="0F9F5844" w:rsidR="00126F41" w:rsidRPr="00126F41" w:rsidRDefault="00126F41" w:rsidP="00126F41">
            <w:pPr>
              <w:ind w:right="113"/>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143.192</w:t>
            </w:r>
          </w:p>
        </w:tc>
        <w:tc>
          <w:tcPr>
            <w:tcW w:w="1472" w:type="dxa"/>
            <w:tcBorders>
              <w:top w:val="nil"/>
              <w:left w:val="nil"/>
              <w:bottom w:val="nil"/>
              <w:right w:val="nil"/>
            </w:tcBorders>
            <w:shd w:val="clear" w:color="auto" w:fill="auto"/>
            <w:vAlign w:val="center"/>
          </w:tcPr>
          <w:p w14:paraId="5A1B62C7" w14:textId="67C3C8B8" w:rsidR="00126F41" w:rsidRPr="00126F41" w:rsidRDefault="00126F41" w:rsidP="00126F41">
            <w:pPr>
              <w:ind w:right="397"/>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8,8</w:t>
            </w:r>
          </w:p>
        </w:tc>
      </w:tr>
      <w:tr w:rsidR="00126F41" w:rsidRPr="00126F41" w14:paraId="57AA005B" w14:textId="77777777" w:rsidTr="00126F41">
        <w:trPr>
          <w:trHeight w:val="340"/>
          <w:jc w:val="center"/>
        </w:trPr>
        <w:tc>
          <w:tcPr>
            <w:tcW w:w="1359" w:type="dxa"/>
            <w:tcBorders>
              <w:top w:val="nil"/>
              <w:left w:val="nil"/>
              <w:bottom w:val="nil"/>
              <w:right w:val="nil"/>
            </w:tcBorders>
            <w:shd w:val="clear" w:color="auto" w:fill="auto"/>
            <w:tcMar>
              <w:left w:w="28" w:type="dxa"/>
              <w:right w:w="28" w:type="dxa"/>
            </w:tcMar>
            <w:vAlign w:val="center"/>
          </w:tcPr>
          <w:p w14:paraId="6458F37F" w14:textId="77777777" w:rsidR="00126F41" w:rsidRPr="00126F41" w:rsidRDefault="00126F41" w:rsidP="00126F41">
            <w:pPr>
              <w:ind w:right="-1"/>
              <w:rPr>
                <w:rFonts w:ascii="Verdana" w:hAnsi="Verdana" w:cs="Calibri"/>
                <w:color w:val="2F5496" w:themeColor="accent1" w:themeShade="BF"/>
                <w:sz w:val="18"/>
                <w:szCs w:val="18"/>
                <w:lang w:val="el-GR"/>
              </w:rPr>
            </w:pPr>
            <w:r w:rsidRPr="00126F41">
              <w:rPr>
                <w:rFonts w:ascii="Verdana" w:hAnsi="Verdana" w:cs="Calibri"/>
                <w:color w:val="2F5496" w:themeColor="accent1" w:themeShade="BF"/>
                <w:sz w:val="18"/>
                <w:szCs w:val="18"/>
                <w:lang w:val="el-GR"/>
              </w:rPr>
              <w:t>Λεμεσός</w:t>
            </w:r>
          </w:p>
        </w:tc>
        <w:tc>
          <w:tcPr>
            <w:tcW w:w="1360" w:type="dxa"/>
            <w:tcBorders>
              <w:top w:val="nil"/>
              <w:left w:val="nil"/>
              <w:bottom w:val="nil"/>
              <w:right w:val="nil"/>
            </w:tcBorders>
            <w:shd w:val="clear" w:color="auto" w:fill="auto"/>
            <w:vAlign w:val="center"/>
          </w:tcPr>
          <w:p w14:paraId="438231BE" w14:textId="3C0A9A63" w:rsidR="00126F41" w:rsidRPr="00126F41" w:rsidRDefault="00126F41" w:rsidP="00126F41">
            <w:pPr>
              <w:ind w:right="113"/>
              <w:jc w:val="right"/>
              <w:rPr>
                <w:rFonts w:ascii="Verdana" w:eastAsia="Malgun Gothic" w:hAnsi="Verdana" w:cs="Arial"/>
                <w:color w:val="2F5496" w:themeColor="accent1" w:themeShade="BF"/>
                <w:sz w:val="18"/>
                <w:szCs w:val="18"/>
              </w:rPr>
            </w:pPr>
            <w:r w:rsidRPr="00126F41">
              <w:rPr>
                <w:rFonts w:ascii="Verdana" w:hAnsi="Verdana"/>
                <w:color w:val="2F5496" w:themeColor="accent1" w:themeShade="BF"/>
                <w:sz w:val="18"/>
                <w:szCs w:val="18"/>
              </w:rPr>
              <w:t>132.305</w:t>
            </w:r>
          </w:p>
        </w:tc>
        <w:tc>
          <w:tcPr>
            <w:tcW w:w="1360" w:type="dxa"/>
            <w:tcBorders>
              <w:top w:val="nil"/>
              <w:left w:val="nil"/>
              <w:bottom w:val="nil"/>
              <w:right w:val="nil"/>
            </w:tcBorders>
            <w:shd w:val="clear" w:color="auto" w:fill="auto"/>
            <w:vAlign w:val="center"/>
          </w:tcPr>
          <w:p w14:paraId="74BB215C" w14:textId="6FF3D997" w:rsidR="00126F41" w:rsidRPr="00126F41" w:rsidRDefault="00126F41" w:rsidP="00126F41">
            <w:pPr>
              <w:ind w:right="113"/>
              <w:jc w:val="right"/>
              <w:rPr>
                <w:rFonts w:ascii="Verdana" w:eastAsia="Malgun Gothic" w:hAnsi="Verdana" w:cs="Arial"/>
                <w:color w:val="2F5496" w:themeColor="accent1" w:themeShade="BF"/>
                <w:sz w:val="18"/>
                <w:szCs w:val="18"/>
              </w:rPr>
            </w:pPr>
            <w:r w:rsidRPr="00126F41">
              <w:rPr>
                <w:rFonts w:ascii="Verdana" w:hAnsi="Verdana"/>
                <w:color w:val="2F5496" w:themeColor="accent1" w:themeShade="BF"/>
                <w:sz w:val="18"/>
                <w:szCs w:val="18"/>
              </w:rPr>
              <w:t>114.662</w:t>
            </w:r>
          </w:p>
        </w:tc>
        <w:tc>
          <w:tcPr>
            <w:tcW w:w="1472" w:type="dxa"/>
            <w:tcBorders>
              <w:top w:val="nil"/>
              <w:left w:val="nil"/>
              <w:bottom w:val="nil"/>
              <w:right w:val="nil"/>
            </w:tcBorders>
            <w:vAlign w:val="center"/>
          </w:tcPr>
          <w:p w14:paraId="4644B9A5" w14:textId="78EF60C6" w:rsidR="00126F41" w:rsidRPr="00126F41" w:rsidRDefault="00126F41" w:rsidP="00126F41">
            <w:pPr>
              <w:ind w:right="397"/>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15,4</w:t>
            </w:r>
          </w:p>
        </w:tc>
        <w:tc>
          <w:tcPr>
            <w:tcW w:w="236" w:type="dxa"/>
            <w:tcBorders>
              <w:top w:val="nil"/>
              <w:left w:val="nil"/>
              <w:bottom w:val="nil"/>
              <w:right w:val="nil"/>
            </w:tcBorders>
            <w:vAlign w:val="center"/>
          </w:tcPr>
          <w:p w14:paraId="0CF4566E" w14:textId="77777777" w:rsidR="00126F41" w:rsidRPr="00126F41" w:rsidRDefault="00126F41" w:rsidP="00126F41">
            <w:pPr>
              <w:ind w:right="907"/>
              <w:jc w:val="right"/>
              <w:rPr>
                <w:rFonts w:ascii="Verdana" w:hAnsi="Verdana" w:cs="Calibri"/>
                <w:color w:val="2F5496" w:themeColor="accent1" w:themeShade="BF"/>
                <w:sz w:val="18"/>
                <w:szCs w:val="18"/>
              </w:rPr>
            </w:pPr>
          </w:p>
        </w:tc>
        <w:tc>
          <w:tcPr>
            <w:tcW w:w="1360" w:type="dxa"/>
            <w:tcBorders>
              <w:top w:val="nil"/>
              <w:left w:val="nil"/>
              <w:bottom w:val="nil"/>
              <w:right w:val="nil"/>
            </w:tcBorders>
            <w:vAlign w:val="center"/>
          </w:tcPr>
          <w:p w14:paraId="2D9FFF1F" w14:textId="5CF81E6C" w:rsidR="00126F41" w:rsidRPr="00126F41" w:rsidRDefault="00126F41" w:rsidP="00126F41">
            <w:pPr>
              <w:ind w:right="113"/>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262.238</w:t>
            </w:r>
          </w:p>
        </w:tc>
        <w:tc>
          <w:tcPr>
            <w:tcW w:w="1360" w:type="dxa"/>
            <w:tcBorders>
              <w:top w:val="nil"/>
              <w:left w:val="nil"/>
              <w:bottom w:val="nil"/>
              <w:right w:val="nil"/>
            </w:tcBorders>
            <w:vAlign w:val="center"/>
          </w:tcPr>
          <w:p w14:paraId="2071999D" w14:textId="35B3FE6F" w:rsidR="00126F41" w:rsidRPr="00126F41" w:rsidRDefault="00126F41" w:rsidP="00126F41">
            <w:pPr>
              <w:ind w:right="113"/>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235.330</w:t>
            </w:r>
          </w:p>
        </w:tc>
        <w:tc>
          <w:tcPr>
            <w:tcW w:w="1472" w:type="dxa"/>
            <w:tcBorders>
              <w:top w:val="nil"/>
              <w:left w:val="nil"/>
              <w:bottom w:val="nil"/>
              <w:right w:val="nil"/>
            </w:tcBorders>
            <w:shd w:val="clear" w:color="auto" w:fill="auto"/>
            <w:vAlign w:val="center"/>
          </w:tcPr>
          <w:p w14:paraId="49FBB05F" w14:textId="642C1560" w:rsidR="00126F41" w:rsidRPr="00126F41" w:rsidRDefault="00126F41" w:rsidP="00126F41">
            <w:pPr>
              <w:ind w:right="397"/>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11,4</w:t>
            </w:r>
          </w:p>
        </w:tc>
      </w:tr>
      <w:tr w:rsidR="00126F41" w:rsidRPr="00126F41" w14:paraId="6DA505CF" w14:textId="77777777" w:rsidTr="00126F41">
        <w:trPr>
          <w:trHeight w:val="340"/>
          <w:jc w:val="center"/>
        </w:trPr>
        <w:tc>
          <w:tcPr>
            <w:tcW w:w="1359" w:type="dxa"/>
            <w:tcBorders>
              <w:top w:val="nil"/>
              <w:left w:val="nil"/>
              <w:bottom w:val="single" w:sz="4" w:space="0" w:color="2F5496" w:themeColor="accent1" w:themeShade="BF"/>
              <w:right w:val="nil"/>
            </w:tcBorders>
            <w:shd w:val="clear" w:color="auto" w:fill="auto"/>
            <w:tcMar>
              <w:left w:w="28" w:type="dxa"/>
              <w:right w:w="28" w:type="dxa"/>
            </w:tcMar>
            <w:vAlign w:val="center"/>
          </w:tcPr>
          <w:p w14:paraId="2FDC86B7" w14:textId="77777777" w:rsidR="00126F41" w:rsidRPr="00126F41" w:rsidRDefault="00126F41" w:rsidP="00126F41">
            <w:pPr>
              <w:ind w:right="144"/>
              <w:rPr>
                <w:rFonts w:ascii="Verdana" w:hAnsi="Verdana" w:cs="Calibri"/>
                <w:color w:val="2F5496" w:themeColor="accent1" w:themeShade="BF"/>
                <w:sz w:val="18"/>
                <w:szCs w:val="18"/>
                <w:lang w:val="el-GR"/>
              </w:rPr>
            </w:pPr>
            <w:proofErr w:type="spellStart"/>
            <w:r w:rsidRPr="00126F41">
              <w:rPr>
                <w:rFonts w:ascii="Verdana" w:eastAsia="Malgun Gothic" w:hAnsi="Verdana" w:cs="Arial"/>
                <w:color w:val="2F5496" w:themeColor="accent1" w:themeShade="BF"/>
                <w:sz w:val="18"/>
                <w:szCs w:val="18"/>
              </w:rPr>
              <w:t>Πάφος</w:t>
            </w:r>
            <w:proofErr w:type="spellEnd"/>
          </w:p>
        </w:tc>
        <w:tc>
          <w:tcPr>
            <w:tcW w:w="1360" w:type="dxa"/>
            <w:tcBorders>
              <w:top w:val="nil"/>
              <w:left w:val="nil"/>
              <w:bottom w:val="single" w:sz="4" w:space="0" w:color="2F5496" w:themeColor="accent1" w:themeShade="BF"/>
              <w:right w:val="nil"/>
            </w:tcBorders>
            <w:shd w:val="clear" w:color="auto" w:fill="auto"/>
            <w:vAlign w:val="center"/>
          </w:tcPr>
          <w:p w14:paraId="3A28E449" w14:textId="1E17B8A7" w:rsidR="00126F41" w:rsidRPr="00126F41" w:rsidRDefault="00126F41" w:rsidP="00126F41">
            <w:pPr>
              <w:ind w:right="113"/>
              <w:jc w:val="right"/>
              <w:rPr>
                <w:rFonts w:ascii="Verdana" w:eastAsia="Malgun Gothic" w:hAnsi="Verdana" w:cs="Arial"/>
                <w:color w:val="2F5496" w:themeColor="accent1" w:themeShade="BF"/>
                <w:sz w:val="18"/>
                <w:szCs w:val="18"/>
              </w:rPr>
            </w:pPr>
            <w:r w:rsidRPr="00126F41">
              <w:rPr>
                <w:rFonts w:ascii="Verdana" w:hAnsi="Verdana"/>
                <w:color w:val="2F5496" w:themeColor="accent1" w:themeShade="BF"/>
                <w:sz w:val="18"/>
                <w:szCs w:val="18"/>
              </w:rPr>
              <w:t>74.498</w:t>
            </w:r>
          </w:p>
        </w:tc>
        <w:tc>
          <w:tcPr>
            <w:tcW w:w="1360" w:type="dxa"/>
            <w:tcBorders>
              <w:top w:val="nil"/>
              <w:left w:val="nil"/>
              <w:bottom w:val="single" w:sz="4" w:space="0" w:color="2F5496" w:themeColor="accent1" w:themeShade="BF"/>
              <w:right w:val="nil"/>
            </w:tcBorders>
            <w:shd w:val="clear" w:color="auto" w:fill="auto"/>
            <w:vAlign w:val="center"/>
          </w:tcPr>
          <w:p w14:paraId="4DCA9B23" w14:textId="7CD7873D" w:rsidR="00126F41" w:rsidRPr="00126F41" w:rsidRDefault="00126F41" w:rsidP="00126F41">
            <w:pPr>
              <w:ind w:right="113"/>
              <w:jc w:val="right"/>
              <w:rPr>
                <w:rFonts w:ascii="Verdana" w:eastAsia="Malgun Gothic" w:hAnsi="Verdana" w:cs="Arial"/>
                <w:color w:val="2F5496" w:themeColor="accent1" w:themeShade="BF"/>
                <w:sz w:val="18"/>
                <w:szCs w:val="18"/>
              </w:rPr>
            </w:pPr>
            <w:r w:rsidRPr="00126F41">
              <w:rPr>
                <w:rFonts w:ascii="Verdana" w:hAnsi="Verdana"/>
                <w:color w:val="2F5496" w:themeColor="accent1" w:themeShade="BF"/>
                <w:sz w:val="18"/>
                <w:szCs w:val="18"/>
              </w:rPr>
              <w:t>66.168</w:t>
            </w:r>
          </w:p>
        </w:tc>
        <w:tc>
          <w:tcPr>
            <w:tcW w:w="1472" w:type="dxa"/>
            <w:tcBorders>
              <w:top w:val="nil"/>
              <w:left w:val="nil"/>
              <w:bottom w:val="single" w:sz="4" w:space="0" w:color="2F5496" w:themeColor="accent1" w:themeShade="BF"/>
              <w:right w:val="nil"/>
            </w:tcBorders>
            <w:vAlign w:val="center"/>
          </w:tcPr>
          <w:p w14:paraId="7E18D0B3" w14:textId="736C3308" w:rsidR="00126F41" w:rsidRPr="00126F41" w:rsidRDefault="00126F41" w:rsidP="00126F41">
            <w:pPr>
              <w:ind w:right="397"/>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12,6</w:t>
            </w:r>
          </w:p>
        </w:tc>
        <w:tc>
          <w:tcPr>
            <w:tcW w:w="236" w:type="dxa"/>
            <w:tcBorders>
              <w:top w:val="nil"/>
              <w:left w:val="nil"/>
              <w:bottom w:val="single" w:sz="4" w:space="0" w:color="2F5496" w:themeColor="accent1" w:themeShade="BF"/>
              <w:right w:val="nil"/>
            </w:tcBorders>
            <w:vAlign w:val="center"/>
          </w:tcPr>
          <w:p w14:paraId="014107CC" w14:textId="77777777" w:rsidR="00126F41" w:rsidRPr="00126F41" w:rsidRDefault="00126F41" w:rsidP="00126F41">
            <w:pPr>
              <w:ind w:right="907"/>
              <w:jc w:val="right"/>
              <w:rPr>
                <w:rFonts w:ascii="Verdana" w:hAnsi="Verdana" w:cs="Calibri"/>
                <w:color w:val="2F5496" w:themeColor="accent1" w:themeShade="BF"/>
                <w:sz w:val="18"/>
                <w:szCs w:val="18"/>
              </w:rPr>
            </w:pPr>
          </w:p>
        </w:tc>
        <w:tc>
          <w:tcPr>
            <w:tcW w:w="1360" w:type="dxa"/>
            <w:tcBorders>
              <w:top w:val="nil"/>
              <w:left w:val="nil"/>
              <w:bottom w:val="single" w:sz="4" w:space="0" w:color="2F5496" w:themeColor="accent1" w:themeShade="BF"/>
              <w:right w:val="nil"/>
            </w:tcBorders>
            <w:vAlign w:val="center"/>
          </w:tcPr>
          <w:p w14:paraId="37C7038E" w14:textId="0A3CF88B" w:rsidR="00126F41" w:rsidRPr="00126F41" w:rsidRDefault="00126F41" w:rsidP="00126F41">
            <w:pPr>
              <w:ind w:right="113"/>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100.175</w:t>
            </w:r>
          </w:p>
        </w:tc>
        <w:tc>
          <w:tcPr>
            <w:tcW w:w="1360" w:type="dxa"/>
            <w:tcBorders>
              <w:top w:val="nil"/>
              <w:left w:val="nil"/>
              <w:bottom w:val="single" w:sz="4" w:space="0" w:color="2F5496" w:themeColor="accent1" w:themeShade="BF"/>
              <w:right w:val="nil"/>
            </w:tcBorders>
            <w:vAlign w:val="center"/>
          </w:tcPr>
          <w:p w14:paraId="5B278B6B" w14:textId="601798DA" w:rsidR="00126F41" w:rsidRPr="00126F41" w:rsidRDefault="00126F41" w:rsidP="00126F41">
            <w:pPr>
              <w:ind w:right="113"/>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88.276</w:t>
            </w:r>
          </w:p>
        </w:tc>
        <w:tc>
          <w:tcPr>
            <w:tcW w:w="1472" w:type="dxa"/>
            <w:tcBorders>
              <w:top w:val="nil"/>
              <w:left w:val="nil"/>
              <w:bottom w:val="single" w:sz="4" w:space="0" w:color="2F5496" w:themeColor="accent1" w:themeShade="BF"/>
              <w:right w:val="nil"/>
            </w:tcBorders>
            <w:shd w:val="clear" w:color="auto" w:fill="auto"/>
            <w:vAlign w:val="center"/>
          </w:tcPr>
          <w:p w14:paraId="70AE66A7" w14:textId="0521B0C5" w:rsidR="00126F41" w:rsidRPr="00126F41" w:rsidRDefault="00126F41" w:rsidP="00126F41">
            <w:pPr>
              <w:ind w:right="397"/>
              <w:jc w:val="right"/>
              <w:rPr>
                <w:rFonts w:ascii="Verdana" w:hAnsi="Verdana" w:cs="Calibri"/>
                <w:color w:val="2F5496" w:themeColor="accent1" w:themeShade="BF"/>
                <w:sz w:val="18"/>
                <w:szCs w:val="18"/>
              </w:rPr>
            </w:pPr>
            <w:r w:rsidRPr="00126F41">
              <w:rPr>
                <w:rFonts w:ascii="Verdana" w:hAnsi="Verdana"/>
                <w:color w:val="2F5496" w:themeColor="accent1" w:themeShade="BF"/>
                <w:sz w:val="18"/>
                <w:szCs w:val="18"/>
              </w:rPr>
              <w:t>13,5</w:t>
            </w:r>
          </w:p>
        </w:tc>
      </w:tr>
      <w:tr w:rsidR="00126F41" w:rsidRPr="00126F41" w14:paraId="0F9FEC18" w14:textId="77777777" w:rsidTr="00126F41">
        <w:trPr>
          <w:trHeight w:val="397"/>
          <w:jc w:val="center"/>
        </w:trPr>
        <w:tc>
          <w:tcPr>
            <w:tcW w:w="1359" w:type="dxa"/>
            <w:tcBorders>
              <w:top w:val="single" w:sz="4" w:space="0" w:color="2F5496" w:themeColor="accent1" w:themeShade="BF"/>
              <w:left w:val="nil"/>
              <w:bottom w:val="single" w:sz="4" w:space="0" w:color="2F5496" w:themeColor="accent1" w:themeShade="BF"/>
              <w:right w:val="nil"/>
            </w:tcBorders>
            <w:shd w:val="clear" w:color="auto" w:fill="auto"/>
            <w:tcMar>
              <w:left w:w="28" w:type="dxa"/>
              <w:right w:w="28" w:type="dxa"/>
            </w:tcMar>
            <w:vAlign w:val="center"/>
          </w:tcPr>
          <w:p w14:paraId="6EDCBAD3" w14:textId="77777777" w:rsidR="00126F41" w:rsidRPr="00126F41" w:rsidRDefault="00126F41" w:rsidP="00126F41">
            <w:pPr>
              <w:ind w:right="-1"/>
              <w:rPr>
                <w:rFonts w:ascii="Verdana" w:hAnsi="Verdana" w:cs="Calibri"/>
                <w:b/>
                <w:bCs/>
                <w:color w:val="2F5496" w:themeColor="accent1" w:themeShade="BF"/>
                <w:sz w:val="18"/>
                <w:szCs w:val="18"/>
                <w:lang w:val="el-GR"/>
              </w:rPr>
            </w:pPr>
            <w:r w:rsidRPr="00126F41">
              <w:rPr>
                <w:rFonts w:ascii="Verdana" w:hAnsi="Verdana" w:cs="Calibri"/>
                <w:b/>
                <w:bCs/>
                <w:color w:val="2F5496" w:themeColor="accent1" w:themeShade="BF"/>
                <w:sz w:val="18"/>
                <w:szCs w:val="18"/>
                <w:lang w:val="el-GR"/>
              </w:rPr>
              <w:t>Σύνολο</w:t>
            </w:r>
          </w:p>
        </w:tc>
        <w:tc>
          <w:tcPr>
            <w:tcW w:w="1360" w:type="dxa"/>
            <w:tcBorders>
              <w:top w:val="single" w:sz="4" w:space="0" w:color="2F5496" w:themeColor="accent1" w:themeShade="BF"/>
              <w:left w:val="nil"/>
              <w:bottom w:val="single" w:sz="4" w:space="0" w:color="2F5496" w:themeColor="accent1" w:themeShade="BF"/>
              <w:right w:val="nil"/>
            </w:tcBorders>
            <w:shd w:val="clear" w:color="auto" w:fill="auto"/>
            <w:vAlign w:val="center"/>
          </w:tcPr>
          <w:p w14:paraId="24F82EC2" w14:textId="179AAA9D" w:rsidR="00126F41" w:rsidRPr="00126F41" w:rsidRDefault="00126F41" w:rsidP="00126F41">
            <w:pPr>
              <w:ind w:right="113"/>
              <w:jc w:val="right"/>
              <w:rPr>
                <w:rFonts w:ascii="Verdana" w:eastAsia="Malgun Gothic" w:hAnsi="Verdana" w:cs="Arial"/>
                <w:b/>
                <w:bCs/>
                <w:color w:val="2F5496" w:themeColor="accent1" w:themeShade="BF"/>
                <w:sz w:val="18"/>
                <w:szCs w:val="18"/>
              </w:rPr>
            </w:pPr>
            <w:r w:rsidRPr="00126F41">
              <w:rPr>
                <w:rFonts w:ascii="Verdana" w:hAnsi="Verdana"/>
                <w:b/>
                <w:bCs/>
                <w:color w:val="2F5496" w:themeColor="accent1" w:themeShade="BF"/>
                <w:sz w:val="18"/>
                <w:szCs w:val="18"/>
              </w:rPr>
              <w:t>492.555</w:t>
            </w:r>
          </w:p>
        </w:tc>
        <w:tc>
          <w:tcPr>
            <w:tcW w:w="1360" w:type="dxa"/>
            <w:tcBorders>
              <w:top w:val="single" w:sz="4" w:space="0" w:color="2F5496" w:themeColor="accent1" w:themeShade="BF"/>
              <w:left w:val="nil"/>
              <w:bottom w:val="single" w:sz="4" w:space="0" w:color="2F5496" w:themeColor="accent1" w:themeShade="BF"/>
              <w:right w:val="nil"/>
            </w:tcBorders>
            <w:shd w:val="clear" w:color="auto" w:fill="auto"/>
            <w:vAlign w:val="center"/>
          </w:tcPr>
          <w:p w14:paraId="602696ED" w14:textId="67E50798" w:rsidR="00126F41" w:rsidRPr="00126F41" w:rsidRDefault="00126F41" w:rsidP="00126F41">
            <w:pPr>
              <w:ind w:right="113"/>
              <w:jc w:val="right"/>
              <w:rPr>
                <w:rFonts w:ascii="Verdana" w:eastAsia="Malgun Gothic" w:hAnsi="Verdana" w:cs="Arial"/>
                <w:b/>
                <w:bCs/>
                <w:color w:val="2F5496" w:themeColor="accent1" w:themeShade="BF"/>
                <w:sz w:val="18"/>
                <w:szCs w:val="18"/>
              </w:rPr>
            </w:pPr>
            <w:r w:rsidRPr="00126F41">
              <w:rPr>
                <w:rFonts w:ascii="Verdana" w:hAnsi="Verdana"/>
                <w:b/>
                <w:bCs/>
                <w:color w:val="2F5496" w:themeColor="accent1" w:themeShade="BF"/>
                <w:sz w:val="18"/>
                <w:szCs w:val="18"/>
              </w:rPr>
              <w:t>433.212</w:t>
            </w:r>
          </w:p>
        </w:tc>
        <w:tc>
          <w:tcPr>
            <w:tcW w:w="1472" w:type="dxa"/>
            <w:tcBorders>
              <w:top w:val="single" w:sz="4" w:space="0" w:color="2F5496" w:themeColor="accent1" w:themeShade="BF"/>
              <w:left w:val="nil"/>
              <w:bottom w:val="single" w:sz="4" w:space="0" w:color="2F5496" w:themeColor="accent1" w:themeShade="BF"/>
              <w:right w:val="nil"/>
            </w:tcBorders>
            <w:vAlign w:val="center"/>
          </w:tcPr>
          <w:p w14:paraId="6540DC4C" w14:textId="586138B8" w:rsidR="00126F41" w:rsidRPr="00126F41" w:rsidRDefault="00126F41" w:rsidP="00126F41">
            <w:pPr>
              <w:ind w:right="397"/>
              <w:jc w:val="right"/>
              <w:rPr>
                <w:rFonts w:ascii="Verdana" w:hAnsi="Verdana" w:cs="Calibri"/>
                <w:b/>
                <w:bCs/>
                <w:color w:val="2F5496" w:themeColor="accent1" w:themeShade="BF"/>
                <w:sz w:val="18"/>
                <w:szCs w:val="18"/>
                <w:lang w:val="el-GR"/>
              </w:rPr>
            </w:pPr>
            <w:r w:rsidRPr="00126F41">
              <w:rPr>
                <w:rFonts w:ascii="Verdana" w:hAnsi="Verdana"/>
                <w:b/>
                <w:bCs/>
                <w:color w:val="2F5496" w:themeColor="accent1" w:themeShade="BF"/>
                <w:sz w:val="18"/>
                <w:szCs w:val="18"/>
              </w:rPr>
              <w:t>13,7</w:t>
            </w:r>
          </w:p>
        </w:tc>
        <w:tc>
          <w:tcPr>
            <w:tcW w:w="236" w:type="dxa"/>
            <w:tcBorders>
              <w:top w:val="single" w:sz="4" w:space="0" w:color="2F5496" w:themeColor="accent1" w:themeShade="BF"/>
              <w:left w:val="nil"/>
              <w:bottom w:val="single" w:sz="4" w:space="0" w:color="2F5496" w:themeColor="accent1" w:themeShade="BF"/>
              <w:right w:val="nil"/>
            </w:tcBorders>
            <w:vAlign w:val="center"/>
          </w:tcPr>
          <w:p w14:paraId="1D195EC1" w14:textId="77777777" w:rsidR="00126F41" w:rsidRPr="00126F41" w:rsidRDefault="00126F41" w:rsidP="00126F41">
            <w:pPr>
              <w:ind w:right="907"/>
              <w:jc w:val="right"/>
              <w:rPr>
                <w:rFonts w:ascii="Verdana" w:hAnsi="Verdana" w:cs="Calibri"/>
                <w:b/>
                <w:bCs/>
                <w:color w:val="2F5496" w:themeColor="accent1" w:themeShade="BF"/>
                <w:sz w:val="18"/>
                <w:szCs w:val="18"/>
                <w:lang w:val="el-GR"/>
              </w:rPr>
            </w:pPr>
          </w:p>
        </w:tc>
        <w:tc>
          <w:tcPr>
            <w:tcW w:w="1360" w:type="dxa"/>
            <w:tcBorders>
              <w:top w:val="single" w:sz="4" w:space="0" w:color="2F5496" w:themeColor="accent1" w:themeShade="BF"/>
              <w:left w:val="nil"/>
              <w:bottom w:val="single" w:sz="4" w:space="0" w:color="2F5496" w:themeColor="accent1" w:themeShade="BF"/>
              <w:right w:val="nil"/>
            </w:tcBorders>
            <w:vAlign w:val="center"/>
          </w:tcPr>
          <w:p w14:paraId="7C350707" w14:textId="78872033" w:rsidR="00126F41" w:rsidRPr="00126F41" w:rsidRDefault="00126F41" w:rsidP="00126F41">
            <w:pPr>
              <w:ind w:right="113"/>
              <w:jc w:val="right"/>
              <w:rPr>
                <w:rFonts w:ascii="Verdana" w:hAnsi="Verdana" w:cs="Calibri"/>
                <w:b/>
                <w:bCs/>
                <w:color w:val="2F5496" w:themeColor="accent1" w:themeShade="BF"/>
                <w:sz w:val="18"/>
                <w:szCs w:val="18"/>
                <w:lang w:val="el-GR"/>
              </w:rPr>
            </w:pPr>
            <w:r w:rsidRPr="00126F41">
              <w:rPr>
                <w:rFonts w:ascii="Verdana" w:hAnsi="Verdana"/>
                <w:b/>
                <w:bCs/>
                <w:color w:val="2F5496" w:themeColor="accent1" w:themeShade="BF"/>
                <w:sz w:val="18"/>
                <w:szCs w:val="18"/>
              </w:rPr>
              <w:t>923.272</w:t>
            </w:r>
          </w:p>
        </w:tc>
        <w:tc>
          <w:tcPr>
            <w:tcW w:w="1360" w:type="dxa"/>
            <w:tcBorders>
              <w:top w:val="single" w:sz="4" w:space="0" w:color="2F5496" w:themeColor="accent1" w:themeShade="BF"/>
              <w:left w:val="nil"/>
              <w:bottom w:val="single" w:sz="4" w:space="0" w:color="2F5496" w:themeColor="accent1" w:themeShade="BF"/>
              <w:right w:val="nil"/>
            </w:tcBorders>
            <w:vAlign w:val="center"/>
          </w:tcPr>
          <w:p w14:paraId="37812D6B" w14:textId="72EB2BED" w:rsidR="00126F41" w:rsidRPr="00126F41" w:rsidRDefault="00126F41" w:rsidP="00126F41">
            <w:pPr>
              <w:ind w:right="113"/>
              <w:jc w:val="right"/>
              <w:rPr>
                <w:rFonts w:ascii="Verdana" w:hAnsi="Verdana" w:cs="Calibri"/>
                <w:b/>
                <w:bCs/>
                <w:color w:val="2F5496" w:themeColor="accent1" w:themeShade="BF"/>
                <w:sz w:val="18"/>
                <w:szCs w:val="18"/>
                <w:lang w:val="el-GR"/>
              </w:rPr>
            </w:pPr>
            <w:r w:rsidRPr="00126F41">
              <w:rPr>
                <w:rFonts w:ascii="Verdana" w:hAnsi="Verdana"/>
                <w:b/>
                <w:bCs/>
                <w:color w:val="2F5496" w:themeColor="accent1" w:themeShade="BF"/>
                <w:sz w:val="18"/>
                <w:szCs w:val="18"/>
              </w:rPr>
              <w:t>840.407</w:t>
            </w:r>
          </w:p>
        </w:tc>
        <w:tc>
          <w:tcPr>
            <w:tcW w:w="1472" w:type="dxa"/>
            <w:tcBorders>
              <w:top w:val="single" w:sz="4" w:space="0" w:color="2F5496" w:themeColor="accent1" w:themeShade="BF"/>
              <w:left w:val="nil"/>
              <w:bottom w:val="single" w:sz="4" w:space="0" w:color="2F5496" w:themeColor="accent1" w:themeShade="BF"/>
              <w:right w:val="nil"/>
            </w:tcBorders>
            <w:shd w:val="clear" w:color="auto" w:fill="auto"/>
            <w:vAlign w:val="center"/>
          </w:tcPr>
          <w:p w14:paraId="4378E2C1" w14:textId="1BC5A8F7" w:rsidR="00126F41" w:rsidRPr="00126F41" w:rsidRDefault="00126F41" w:rsidP="00126F41">
            <w:pPr>
              <w:ind w:right="397"/>
              <w:jc w:val="right"/>
              <w:rPr>
                <w:rFonts w:ascii="Verdana" w:hAnsi="Verdana" w:cs="Calibri"/>
                <w:b/>
                <w:bCs/>
                <w:color w:val="2F5496" w:themeColor="accent1" w:themeShade="BF"/>
                <w:sz w:val="18"/>
                <w:szCs w:val="18"/>
                <w:lang w:val="el-GR"/>
              </w:rPr>
            </w:pPr>
            <w:r w:rsidRPr="00126F41">
              <w:rPr>
                <w:rFonts w:ascii="Verdana" w:hAnsi="Verdana"/>
                <w:b/>
                <w:bCs/>
                <w:color w:val="2F5496" w:themeColor="accent1" w:themeShade="BF"/>
                <w:sz w:val="18"/>
                <w:szCs w:val="18"/>
              </w:rPr>
              <w:t>9,9</w:t>
            </w:r>
          </w:p>
        </w:tc>
      </w:tr>
    </w:tbl>
    <w:p w14:paraId="31C51605" w14:textId="77777777" w:rsidR="004E47F2" w:rsidRPr="00B21BA8" w:rsidRDefault="004E47F2" w:rsidP="00AC32BD">
      <w:pPr>
        <w:ind w:right="-1"/>
        <w:jc w:val="both"/>
        <w:rPr>
          <w:rFonts w:ascii="Verdana" w:hAnsi="Verdana" w:cs="Calibri"/>
          <w:sz w:val="18"/>
          <w:szCs w:val="18"/>
        </w:rPr>
      </w:pPr>
    </w:p>
    <w:p w14:paraId="51054C88" w14:textId="47453F6A" w:rsidR="009F3D3E" w:rsidRPr="00CA04BC" w:rsidRDefault="009F3D3E" w:rsidP="009F3D3E">
      <w:pPr>
        <w:ind w:right="-1"/>
        <w:jc w:val="both"/>
        <w:rPr>
          <w:rFonts w:ascii="Verdana" w:hAnsi="Verdana" w:cs="Calibri"/>
          <w:sz w:val="18"/>
          <w:szCs w:val="18"/>
          <w:lang w:val="el-GR"/>
        </w:rPr>
      </w:pPr>
      <w:r>
        <w:rPr>
          <w:rFonts w:ascii="Verdana" w:hAnsi="Verdana" w:cs="Calibri"/>
          <w:sz w:val="18"/>
          <w:szCs w:val="18"/>
          <w:lang w:val="el-GR"/>
        </w:rPr>
        <w:t>Σύμφωνα με τα προκαταρκτικά αποτελέσματα της Απογραφής 2021, 615.731 (66,7% ) άτομα διέμεναν στις αστικές περιοχές και 307.541 (33,3%) στις αγροτικές περιοχές. Τα αντίστοιχα ποσοστά της Απογραφής 2011 ήταν 67,4% (566.191) και 32,6% (274.216</w:t>
      </w:r>
      <w:bookmarkStart w:id="0" w:name="_Hlk141960507"/>
      <w:r>
        <w:rPr>
          <w:rFonts w:ascii="Verdana" w:hAnsi="Verdana" w:cs="Calibri"/>
          <w:sz w:val="18"/>
          <w:szCs w:val="18"/>
          <w:lang w:val="el-GR"/>
        </w:rPr>
        <w:t>)</w:t>
      </w:r>
      <w:r w:rsidR="00BA06A0">
        <w:rPr>
          <w:rFonts w:ascii="Verdana" w:hAnsi="Verdana" w:cs="Calibri"/>
          <w:sz w:val="18"/>
          <w:szCs w:val="18"/>
          <w:lang w:val="el-GR"/>
        </w:rPr>
        <w:t>.</w:t>
      </w:r>
      <w:r>
        <w:rPr>
          <w:rFonts w:ascii="Verdana" w:hAnsi="Verdana" w:cs="Calibri"/>
          <w:sz w:val="18"/>
          <w:szCs w:val="18"/>
          <w:lang w:val="el-GR"/>
        </w:rPr>
        <w:t xml:space="preserve"> </w:t>
      </w:r>
      <w:r w:rsidR="00BA06A0">
        <w:rPr>
          <w:rFonts w:ascii="Verdana" w:hAnsi="Verdana" w:cs="Calibri"/>
          <w:sz w:val="18"/>
          <w:szCs w:val="18"/>
          <w:lang w:val="el-GR"/>
        </w:rPr>
        <w:t>Ε</w:t>
      </w:r>
      <w:r>
        <w:rPr>
          <w:rFonts w:ascii="Verdana" w:hAnsi="Verdana" w:cs="Calibri"/>
          <w:sz w:val="18"/>
          <w:szCs w:val="18"/>
          <w:lang w:val="el-GR"/>
        </w:rPr>
        <w:t>πομένως</w:t>
      </w:r>
      <w:r w:rsidR="00B32774" w:rsidRPr="00107877">
        <w:rPr>
          <w:rFonts w:ascii="Verdana" w:hAnsi="Verdana" w:cs="Calibri"/>
          <w:sz w:val="18"/>
          <w:szCs w:val="18"/>
          <w:lang w:val="el-GR"/>
        </w:rPr>
        <w:t>,</w:t>
      </w:r>
      <w:r>
        <w:rPr>
          <w:rFonts w:ascii="Verdana" w:hAnsi="Verdana" w:cs="Calibri"/>
          <w:sz w:val="18"/>
          <w:szCs w:val="18"/>
          <w:lang w:val="el-GR"/>
        </w:rPr>
        <w:t xml:space="preserve"> ο πληθυσμός δεν παρουσίασε μείωση στο σύνολο των αγροτικών περιοχών, αν και σε απομακρυσμένες ή ορεινές κοινότητες υπήρξε κάποια μείωση στον αριθμό των κατοίκων. </w:t>
      </w:r>
      <w:bookmarkEnd w:id="0"/>
      <w:r>
        <w:rPr>
          <w:rFonts w:ascii="Verdana" w:hAnsi="Verdana" w:cs="Calibri"/>
          <w:sz w:val="18"/>
          <w:szCs w:val="18"/>
          <w:lang w:val="el-GR"/>
        </w:rPr>
        <w:t>Περαιτέρω, η συνολική πληθυσμιακή αύξηση που παρατηρήθηκε στις αστικές περιοχές σε σχέση με το 2011 ήταν 8,7% και στις αγροτικές περιοχές 12,2%. Αναφορικά με τις κατοικίες, ποσοστό 60,5% (297.805) βρίσκονται στις αστικές περιοχές και 39,5% (194.750) στις αγροτικές. Σε σύγκριση με το 2011, σημειώθηκε στις αστικές περιοχές αύξηση 12,8% και στις αγροτικές περιοχές 15,1%.</w:t>
      </w:r>
    </w:p>
    <w:p w14:paraId="31C689A4" w14:textId="77777777" w:rsidR="003A08E0" w:rsidRDefault="003A08E0" w:rsidP="00AC32BD">
      <w:pPr>
        <w:ind w:right="-1"/>
        <w:jc w:val="both"/>
        <w:rPr>
          <w:rFonts w:ascii="Verdana" w:hAnsi="Verdana" w:cs="Calibri"/>
          <w:sz w:val="18"/>
          <w:szCs w:val="18"/>
          <w:lang w:val="el-GR"/>
        </w:rPr>
      </w:pPr>
    </w:p>
    <w:p w14:paraId="0025F293" w14:textId="08B59EB1" w:rsidR="008D634B" w:rsidRDefault="0009782C" w:rsidP="00AC32BD">
      <w:pPr>
        <w:ind w:right="-1"/>
        <w:jc w:val="both"/>
        <w:rPr>
          <w:rFonts w:ascii="Verdana" w:hAnsi="Verdana" w:cs="Calibri"/>
          <w:sz w:val="18"/>
          <w:szCs w:val="18"/>
          <w:lang w:val="el-GR"/>
        </w:rPr>
      </w:pPr>
      <w:r>
        <w:rPr>
          <w:rFonts w:ascii="Verdana" w:hAnsi="Verdana" w:cs="Calibri"/>
          <w:noProof/>
          <w:sz w:val="18"/>
          <w:szCs w:val="18"/>
          <w:lang w:val="el-GR"/>
        </w:rPr>
        <w:drawing>
          <wp:inline distT="0" distB="0" distL="0" distR="0" wp14:anchorId="7781AF87" wp14:editId="57DE5D7E">
            <wp:extent cx="2993390" cy="3401695"/>
            <wp:effectExtent l="0" t="0" r="0" b="8255"/>
            <wp:docPr id="1123734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3390" cy="3401695"/>
                    </a:xfrm>
                    <a:prstGeom prst="rect">
                      <a:avLst/>
                    </a:prstGeom>
                    <a:noFill/>
                  </pic:spPr>
                </pic:pic>
              </a:graphicData>
            </a:graphic>
          </wp:inline>
        </w:drawing>
      </w:r>
      <w:r w:rsidR="008D634B">
        <w:rPr>
          <w:rFonts w:ascii="Verdana" w:hAnsi="Verdana" w:cs="Calibri"/>
          <w:sz w:val="18"/>
          <w:szCs w:val="18"/>
          <w:lang w:val="el-GR"/>
        </w:rPr>
        <w:t xml:space="preserve">   </w:t>
      </w:r>
      <w:r w:rsidR="00CD5675">
        <w:rPr>
          <w:rFonts w:ascii="Verdana" w:hAnsi="Verdana" w:cs="Calibri"/>
          <w:noProof/>
          <w:sz w:val="18"/>
          <w:szCs w:val="18"/>
          <w:lang w:val="el-GR"/>
        </w:rPr>
        <w:drawing>
          <wp:inline distT="0" distB="0" distL="0" distR="0" wp14:anchorId="19A8857E" wp14:editId="2B30E273">
            <wp:extent cx="2987040" cy="3405505"/>
            <wp:effectExtent l="0" t="0" r="3810" b="4445"/>
            <wp:docPr id="11556578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7040" cy="3405505"/>
                    </a:xfrm>
                    <a:prstGeom prst="rect">
                      <a:avLst/>
                    </a:prstGeom>
                    <a:noFill/>
                  </pic:spPr>
                </pic:pic>
              </a:graphicData>
            </a:graphic>
          </wp:inline>
        </w:drawing>
      </w:r>
    </w:p>
    <w:p w14:paraId="53A0AA65" w14:textId="77777777" w:rsidR="008D634B" w:rsidRDefault="008D634B" w:rsidP="00AC32BD">
      <w:pPr>
        <w:ind w:right="-1"/>
        <w:jc w:val="both"/>
        <w:rPr>
          <w:rFonts w:ascii="Verdana" w:hAnsi="Verdana" w:cs="Calibri"/>
          <w:sz w:val="18"/>
          <w:szCs w:val="18"/>
          <w:lang w:val="el-GR"/>
        </w:rPr>
      </w:pPr>
    </w:p>
    <w:p w14:paraId="3ACDF3E4" w14:textId="77777777" w:rsidR="008D634B" w:rsidRDefault="008D634B" w:rsidP="00AC32BD">
      <w:pPr>
        <w:ind w:right="-1"/>
        <w:jc w:val="both"/>
        <w:rPr>
          <w:rFonts w:ascii="Verdana" w:hAnsi="Verdana" w:cs="Calibri"/>
          <w:sz w:val="18"/>
          <w:szCs w:val="18"/>
          <w:lang w:val="el-GR"/>
        </w:rPr>
      </w:pPr>
    </w:p>
    <w:p w14:paraId="08E07738" w14:textId="77777777" w:rsidR="008D634B" w:rsidRPr="00AC32BD" w:rsidRDefault="008D634B" w:rsidP="008D634B">
      <w:pPr>
        <w:ind w:right="-1"/>
        <w:jc w:val="both"/>
        <w:rPr>
          <w:rFonts w:ascii="Verdana" w:hAnsi="Verdana" w:cs="Calibri"/>
          <w:b/>
          <w:bCs/>
          <w:sz w:val="18"/>
          <w:szCs w:val="18"/>
          <w:u w:val="single"/>
          <w:lang w:val="el-GR"/>
        </w:rPr>
      </w:pPr>
      <w:r w:rsidRPr="00AC32BD">
        <w:rPr>
          <w:rFonts w:ascii="Verdana" w:hAnsi="Verdana" w:cs="Calibri"/>
          <w:b/>
          <w:bCs/>
          <w:sz w:val="18"/>
          <w:szCs w:val="18"/>
          <w:u w:val="single"/>
          <w:lang w:val="el-GR"/>
        </w:rPr>
        <w:t>Πληθυσμός και Κατοικίες κατά Δήμο/Κοινότητα</w:t>
      </w:r>
    </w:p>
    <w:p w14:paraId="264A6747" w14:textId="77777777" w:rsidR="008D634B" w:rsidRPr="00AC32BD" w:rsidRDefault="008D634B" w:rsidP="008D634B">
      <w:pPr>
        <w:ind w:right="-1"/>
        <w:jc w:val="both"/>
        <w:rPr>
          <w:rFonts w:ascii="Verdana" w:hAnsi="Verdana" w:cs="Calibri"/>
          <w:b/>
          <w:bCs/>
          <w:sz w:val="18"/>
          <w:szCs w:val="18"/>
          <w:u w:val="single"/>
          <w:lang w:val="el-GR"/>
        </w:rPr>
      </w:pPr>
    </w:p>
    <w:p w14:paraId="0F68D0A9" w14:textId="42DCFB4B" w:rsidR="008D634B" w:rsidRDefault="008D634B" w:rsidP="008D634B">
      <w:pPr>
        <w:ind w:right="-1"/>
        <w:jc w:val="both"/>
        <w:rPr>
          <w:rFonts w:ascii="Verdana" w:hAnsi="Verdana" w:cs="Calibri"/>
          <w:sz w:val="18"/>
          <w:szCs w:val="18"/>
          <w:lang w:val="el-GR"/>
        </w:rPr>
      </w:pPr>
      <w:r>
        <w:rPr>
          <w:rFonts w:ascii="Verdana" w:hAnsi="Verdana" w:cs="Calibri"/>
          <w:sz w:val="18"/>
          <w:szCs w:val="18"/>
          <w:lang w:val="el-GR"/>
        </w:rPr>
        <w:t xml:space="preserve">Σύμφωνα με τα προκαταρκτικά αποτελέσματα της Απογραφής 2021, ο μεγαλύτερος Δήμος στις ελεγχόμενες από το Κράτος περιοχές είναι ο Δήμος Λεμεσού με πληθυσμό 108.105 άτομα (54,4% του συνόλου της αστικής Λεμεσού) και 50.183 κατοικίες (55,8% του συνόλου της αστικής Λεμεσού). Ακολουθούν, ο Δήμος </w:t>
      </w:r>
      <w:proofErr w:type="spellStart"/>
      <w:r>
        <w:rPr>
          <w:rFonts w:ascii="Verdana" w:hAnsi="Verdana" w:cs="Calibri"/>
          <w:sz w:val="18"/>
          <w:szCs w:val="18"/>
          <w:lang w:val="el-GR"/>
        </w:rPr>
        <w:t>Στροβόλου</w:t>
      </w:r>
      <w:proofErr w:type="spellEnd"/>
      <w:r>
        <w:rPr>
          <w:rFonts w:ascii="Verdana" w:hAnsi="Verdana" w:cs="Calibri"/>
          <w:sz w:val="18"/>
          <w:szCs w:val="18"/>
          <w:lang w:val="el-GR"/>
        </w:rPr>
        <w:t xml:space="preserve"> με 71.123 άτομα (27,8% του συνόλου της αστικής Λευκωσίας) και 32.585 κατοικίες (27,3% του συνόλου της αστικής Λευκωσίας) και ο Δήμος Λευκωσίας με 56.848 άτομα (22,2% του συνόλου της αστικής Λευκωσίας) και 30.145 κατοικίες (25,3% του συνόλου της αστικής Λευκωσίας). Η κατάταξη </w:t>
      </w:r>
      <w:r w:rsidR="00BA06A0">
        <w:rPr>
          <w:rFonts w:ascii="Verdana" w:hAnsi="Verdana" w:cs="Calibri"/>
          <w:sz w:val="18"/>
          <w:szCs w:val="18"/>
          <w:lang w:val="el-GR"/>
        </w:rPr>
        <w:t xml:space="preserve">των τριών μεγαλύτερων Δήμων </w:t>
      </w:r>
      <w:r>
        <w:rPr>
          <w:rFonts w:ascii="Verdana" w:hAnsi="Verdana" w:cs="Calibri"/>
          <w:sz w:val="18"/>
          <w:szCs w:val="18"/>
          <w:lang w:val="el-GR"/>
        </w:rPr>
        <w:t>παρέμεινε όπως και στην Απογραφή 2011.</w:t>
      </w:r>
    </w:p>
    <w:p w14:paraId="77197CE4" w14:textId="77777777" w:rsidR="008D634B" w:rsidRPr="00AC32BD" w:rsidRDefault="008D634B" w:rsidP="00AC32BD">
      <w:pPr>
        <w:ind w:right="-1"/>
        <w:jc w:val="both"/>
        <w:rPr>
          <w:rFonts w:ascii="Verdana" w:hAnsi="Verdana" w:cs="Calibri"/>
          <w:sz w:val="18"/>
          <w:szCs w:val="18"/>
          <w:lang w:val="el-GR"/>
        </w:rPr>
      </w:pPr>
    </w:p>
    <w:p w14:paraId="620465E8" w14:textId="6B960746" w:rsidR="003A08E0" w:rsidRPr="00AC32BD" w:rsidRDefault="003A08E0" w:rsidP="00AC32BD">
      <w:pPr>
        <w:ind w:right="-1"/>
        <w:jc w:val="both"/>
        <w:rPr>
          <w:rFonts w:ascii="Verdana" w:hAnsi="Verdana" w:cs="Calibri"/>
          <w:sz w:val="18"/>
          <w:szCs w:val="18"/>
          <w:lang w:val="el-GR"/>
        </w:rPr>
      </w:pPr>
    </w:p>
    <w:p w14:paraId="29F8B88B" w14:textId="1AE368BE" w:rsidR="009F3D3E" w:rsidRDefault="009F3D3E" w:rsidP="009F3D3E">
      <w:pPr>
        <w:ind w:right="-1"/>
        <w:jc w:val="both"/>
        <w:rPr>
          <w:rFonts w:ascii="Verdana" w:hAnsi="Verdana" w:cs="Calibri"/>
          <w:sz w:val="18"/>
          <w:szCs w:val="18"/>
          <w:lang w:val="el-GR"/>
        </w:rPr>
      </w:pPr>
      <w:r>
        <w:rPr>
          <w:rFonts w:ascii="Verdana" w:hAnsi="Verdana" w:cs="Calibri"/>
          <w:sz w:val="18"/>
          <w:szCs w:val="18"/>
          <w:lang w:val="el-GR"/>
        </w:rPr>
        <w:t xml:space="preserve">Εστιάζοντας στους Δήμους με πληθυσμό 20.000 </w:t>
      </w:r>
      <w:r w:rsidR="00BA06A0">
        <w:rPr>
          <w:rFonts w:ascii="Verdana" w:hAnsi="Verdana" w:cs="Calibri"/>
          <w:sz w:val="18"/>
          <w:szCs w:val="18"/>
          <w:lang w:val="el-GR"/>
        </w:rPr>
        <w:t xml:space="preserve">άτομα </w:t>
      </w:r>
      <w:r>
        <w:rPr>
          <w:rFonts w:ascii="Verdana" w:hAnsi="Verdana" w:cs="Calibri"/>
          <w:sz w:val="18"/>
          <w:szCs w:val="18"/>
          <w:lang w:val="el-GR"/>
        </w:rPr>
        <w:t>και άνω (αφορά δήμους μόνο στις αστικές περιοχές), φαίνεται ότι την τελευταία δεκαετία τη μεγαλύτερη ποσοστιαία αύξηση</w:t>
      </w:r>
      <w:r w:rsidR="00BA06A0">
        <w:rPr>
          <w:rFonts w:ascii="Verdana" w:hAnsi="Verdana" w:cs="Calibri"/>
          <w:sz w:val="18"/>
          <w:szCs w:val="18"/>
          <w:lang w:val="el-GR"/>
        </w:rPr>
        <w:t>,</w:t>
      </w:r>
      <w:r>
        <w:rPr>
          <w:rFonts w:ascii="Verdana" w:hAnsi="Verdana" w:cs="Calibri"/>
          <w:sz w:val="18"/>
          <w:szCs w:val="18"/>
          <w:lang w:val="el-GR"/>
        </w:rPr>
        <w:t xml:space="preserve"> τόσο σε κατοικίες όσο και σε πληθυσμό</w:t>
      </w:r>
      <w:r w:rsidR="00BA06A0">
        <w:rPr>
          <w:rFonts w:ascii="Verdana" w:hAnsi="Verdana" w:cs="Calibri"/>
          <w:sz w:val="18"/>
          <w:szCs w:val="18"/>
          <w:lang w:val="el-GR"/>
        </w:rPr>
        <w:t>,</w:t>
      </w:r>
      <w:r>
        <w:rPr>
          <w:rFonts w:ascii="Verdana" w:hAnsi="Verdana" w:cs="Calibri"/>
          <w:sz w:val="18"/>
          <w:szCs w:val="18"/>
          <w:lang w:val="el-GR"/>
        </w:rPr>
        <w:t xml:space="preserve"> είχε ο Δήμος </w:t>
      </w:r>
      <w:proofErr w:type="spellStart"/>
      <w:r>
        <w:rPr>
          <w:rFonts w:ascii="Verdana" w:hAnsi="Verdana" w:cs="Calibri"/>
          <w:sz w:val="18"/>
          <w:szCs w:val="18"/>
          <w:lang w:val="el-GR"/>
        </w:rPr>
        <w:t>Αραδίππου</w:t>
      </w:r>
      <w:proofErr w:type="spellEnd"/>
      <w:r>
        <w:rPr>
          <w:rFonts w:ascii="Verdana" w:hAnsi="Verdana" w:cs="Calibri"/>
          <w:sz w:val="18"/>
          <w:szCs w:val="18"/>
          <w:lang w:val="el-GR"/>
        </w:rPr>
        <w:t xml:space="preserve"> με 19,6% και 19,</w:t>
      </w:r>
      <w:r w:rsidRPr="00D55E63">
        <w:rPr>
          <w:rFonts w:ascii="Verdana" w:hAnsi="Verdana" w:cs="Calibri"/>
          <w:sz w:val="18"/>
          <w:szCs w:val="18"/>
          <w:lang w:val="el-GR"/>
        </w:rPr>
        <w:t>3</w:t>
      </w:r>
      <w:r>
        <w:rPr>
          <w:rFonts w:ascii="Verdana" w:hAnsi="Verdana" w:cs="Calibri"/>
          <w:sz w:val="18"/>
          <w:szCs w:val="18"/>
          <w:lang w:val="el-GR"/>
        </w:rPr>
        <w:t xml:space="preserve">% αντίστοιχα. Τη δεύτερη μεγαλύτερη ποσοστιαία πληθυσμιακή αύξηση σε σχέση με την Απογραφή 2011 είχε ο Δήμος </w:t>
      </w:r>
      <w:proofErr w:type="spellStart"/>
      <w:r>
        <w:rPr>
          <w:rFonts w:ascii="Verdana" w:hAnsi="Verdana" w:cs="Calibri"/>
          <w:sz w:val="18"/>
          <w:szCs w:val="18"/>
          <w:lang w:val="el-GR"/>
        </w:rPr>
        <w:t>Έγκωμης</w:t>
      </w:r>
      <w:proofErr w:type="spellEnd"/>
      <w:r>
        <w:rPr>
          <w:rFonts w:ascii="Verdana" w:hAnsi="Verdana" w:cs="Calibri"/>
          <w:sz w:val="18"/>
          <w:szCs w:val="18"/>
          <w:lang w:val="el-GR"/>
        </w:rPr>
        <w:t xml:space="preserve"> με ποσοστό 13,8% και </w:t>
      </w:r>
      <w:r w:rsidR="00B07021">
        <w:rPr>
          <w:rFonts w:ascii="Verdana" w:hAnsi="Verdana" w:cs="Calibri"/>
          <w:sz w:val="18"/>
          <w:szCs w:val="18"/>
          <w:lang w:val="el-GR"/>
        </w:rPr>
        <w:t>ακολούθησε</w:t>
      </w:r>
      <w:r>
        <w:rPr>
          <w:rFonts w:ascii="Verdana" w:hAnsi="Verdana" w:cs="Calibri"/>
          <w:sz w:val="18"/>
          <w:szCs w:val="18"/>
          <w:lang w:val="el-GR"/>
        </w:rPr>
        <w:t xml:space="preserve"> ο Δήμος Πάφου με 13,4%.</w:t>
      </w:r>
    </w:p>
    <w:p w14:paraId="45CC849D" w14:textId="77777777" w:rsidR="009F3D3E" w:rsidRDefault="009F3D3E" w:rsidP="009F3D3E">
      <w:pPr>
        <w:ind w:right="-1"/>
        <w:jc w:val="both"/>
        <w:rPr>
          <w:rFonts w:ascii="Verdana" w:hAnsi="Verdana" w:cs="Calibri"/>
          <w:sz w:val="18"/>
          <w:szCs w:val="18"/>
          <w:lang w:val="el-GR"/>
        </w:rPr>
      </w:pPr>
    </w:p>
    <w:p w14:paraId="520845E3" w14:textId="6B41ECED" w:rsidR="009F3D3E" w:rsidRDefault="009F3D3E" w:rsidP="009F3D3E">
      <w:pPr>
        <w:ind w:right="-1"/>
        <w:jc w:val="both"/>
        <w:rPr>
          <w:rFonts w:ascii="Verdana" w:hAnsi="Verdana" w:cs="Calibri"/>
          <w:sz w:val="18"/>
          <w:szCs w:val="18"/>
          <w:lang w:val="el-GR"/>
        </w:rPr>
      </w:pPr>
      <w:r>
        <w:rPr>
          <w:rFonts w:ascii="Verdana" w:hAnsi="Verdana" w:cs="Calibri"/>
          <w:sz w:val="18"/>
          <w:szCs w:val="18"/>
          <w:lang w:val="el-GR"/>
        </w:rPr>
        <w:t>Στις αγροτικές περιοχές</w:t>
      </w:r>
      <w:r w:rsidR="006B3B04" w:rsidRPr="006B3B04">
        <w:rPr>
          <w:rFonts w:ascii="Verdana" w:hAnsi="Verdana" w:cs="Calibri"/>
          <w:sz w:val="18"/>
          <w:szCs w:val="18"/>
          <w:lang w:val="el-GR"/>
        </w:rPr>
        <w:t>,</w:t>
      </w:r>
      <w:r>
        <w:rPr>
          <w:rFonts w:ascii="Verdana" w:hAnsi="Verdana" w:cs="Calibri"/>
          <w:sz w:val="18"/>
          <w:szCs w:val="18"/>
          <w:lang w:val="el-GR"/>
        </w:rPr>
        <w:t xml:space="preserve"> ο μεγαλύτερος Δήμος είναι ο Δήμος Παραλιμνίου με 20.450 κατοικίες (+13,3%, σε σχέση με το 2011) και πληθυσμό 19.035 άτομα (+27,2%) και ακολουθεί ο Δήμος </w:t>
      </w:r>
      <w:proofErr w:type="spellStart"/>
      <w:r>
        <w:rPr>
          <w:rFonts w:ascii="Verdana" w:hAnsi="Verdana" w:cs="Calibri"/>
          <w:sz w:val="18"/>
          <w:szCs w:val="18"/>
          <w:lang w:val="el-GR"/>
        </w:rPr>
        <w:t>Ιδαλίου</w:t>
      </w:r>
      <w:proofErr w:type="spellEnd"/>
      <w:r>
        <w:rPr>
          <w:rFonts w:ascii="Verdana" w:hAnsi="Verdana" w:cs="Calibri"/>
          <w:sz w:val="18"/>
          <w:szCs w:val="18"/>
          <w:lang w:val="el-GR"/>
        </w:rPr>
        <w:t xml:space="preserve"> με 4.391 κατοικίες (+20,9%) και 12.350 άτομα (+18,0%).</w:t>
      </w:r>
    </w:p>
    <w:p w14:paraId="226E00EA" w14:textId="77777777" w:rsidR="009F3D3E" w:rsidRDefault="009F3D3E" w:rsidP="009F3D3E">
      <w:pPr>
        <w:ind w:right="-1"/>
        <w:jc w:val="both"/>
        <w:rPr>
          <w:rFonts w:ascii="Verdana" w:hAnsi="Verdana" w:cs="Calibri"/>
          <w:sz w:val="18"/>
          <w:szCs w:val="18"/>
          <w:lang w:val="el-GR"/>
        </w:rPr>
      </w:pPr>
    </w:p>
    <w:p w14:paraId="7125D69D" w14:textId="209E4916" w:rsidR="009F3D3E" w:rsidRDefault="009F3D3E" w:rsidP="009F3D3E">
      <w:pPr>
        <w:ind w:right="-1"/>
        <w:jc w:val="both"/>
        <w:rPr>
          <w:rFonts w:ascii="Verdana" w:hAnsi="Verdana" w:cs="Calibri"/>
          <w:sz w:val="18"/>
          <w:szCs w:val="18"/>
          <w:lang w:val="el-GR"/>
        </w:rPr>
      </w:pPr>
      <w:r>
        <w:rPr>
          <w:rFonts w:ascii="Verdana" w:hAnsi="Verdana" w:cs="Calibri"/>
          <w:sz w:val="18"/>
          <w:szCs w:val="18"/>
          <w:lang w:val="el-GR"/>
        </w:rPr>
        <w:t>Στις αστικές περιοχές Λευκωσίας</w:t>
      </w:r>
      <w:r w:rsidR="00F12D04">
        <w:rPr>
          <w:rFonts w:ascii="Verdana" w:hAnsi="Verdana" w:cs="Calibri"/>
          <w:sz w:val="18"/>
          <w:szCs w:val="18"/>
          <w:lang w:val="el-GR"/>
        </w:rPr>
        <w:t>,</w:t>
      </w:r>
      <w:r>
        <w:rPr>
          <w:rFonts w:ascii="Verdana" w:hAnsi="Verdana" w:cs="Calibri"/>
          <w:sz w:val="18"/>
          <w:szCs w:val="18"/>
          <w:lang w:val="el-GR"/>
        </w:rPr>
        <w:t xml:space="preserve"> τα τελευταία 10 χρόνια ο Δήμος με τη μεγαλύτερη ποσοστιαία αύξηση τόσο στις κατοικίες όσο και στον πληθυσμό είναι ο Δήμος </w:t>
      </w:r>
      <w:proofErr w:type="spellStart"/>
      <w:r>
        <w:rPr>
          <w:rFonts w:ascii="Verdana" w:hAnsi="Verdana" w:cs="Calibri"/>
          <w:sz w:val="18"/>
          <w:szCs w:val="18"/>
          <w:lang w:val="el-GR"/>
        </w:rPr>
        <w:t>Γερίου</w:t>
      </w:r>
      <w:proofErr w:type="spellEnd"/>
      <w:r>
        <w:rPr>
          <w:rFonts w:ascii="Verdana" w:hAnsi="Verdana" w:cs="Calibri"/>
          <w:sz w:val="18"/>
          <w:szCs w:val="18"/>
          <w:lang w:val="el-GR"/>
        </w:rPr>
        <w:t xml:space="preserve"> με ποσοστά 19,4% και 17,2% αντίστοιχα (σύνολο κατοικιών 3.644 και πληθυσμού 9.651 άτομα).</w:t>
      </w:r>
    </w:p>
    <w:p w14:paraId="53A73B6C" w14:textId="77777777" w:rsidR="009F3D3E" w:rsidRDefault="009F3D3E" w:rsidP="009F3D3E">
      <w:pPr>
        <w:ind w:right="-1"/>
        <w:jc w:val="both"/>
        <w:rPr>
          <w:rFonts w:ascii="Verdana" w:hAnsi="Verdana" w:cs="Calibri"/>
          <w:sz w:val="18"/>
          <w:szCs w:val="18"/>
          <w:lang w:val="el-GR"/>
        </w:rPr>
      </w:pPr>
    </w:p>
    <w:p w14:paraId="519F77C6" w14:textId="77777777" w:rsidR="009F3D3E" w:rsidRDefault="009F3D3E" w:rsidP="009F3D3E">
      <w:pPr>
        <w:ind w:right="-1"/>
        <w:jc w:val="both"/>
        <w:rPr>
          <w:rFonts w:ascii="Verdana" w:hAnsi="Verdana" w:cs="Calibri"/>
          <w:sz w:val="18"/>
          <w:szCs w:val="18"/>
          <w:lang w:val="el-GR"/>
        </w:rPr>
      </w:pPr>
      <w:r>
        <w:rPr>
          <w:rFonts w:ascii="Verdana" w:hAnsi="Verdana" w:cs="Calibri"/>
          <w:sz w:val="18"/>
          <w:szCs w:val="18"/>
          <w:lang w:val="el-GR"/>
        </w:rPr>
        <w:t xml:space="preserve">Στις αστικές περιοχές Λεμεσού, ο Δήμος με τη μεγαλύτερη ποσοστιαία αύξηση σε σχέση με το 2011 είναι ο Δήμος </w:t>
      </w:r>
      <w:proofErr w:type="spellStart"/>
      <w:r>
        <w:rPr>
          <w:rFonts w:ascii="Verdana" w:hAnsi="Verdana" w:cs="Calibri"/>
          <w:sz w:val="18"/>
          <w:szCs w:val="18"/>
          <w:lang w:val="el-GR"/>
        </w:rPr>
        <w:t>Γερμασόγειας</w:t>
      </w:r>
      <w:proofErr w:type="spellEnd"/>
      <w:r>
        <w:rPr>
          <w:rFonts w:ascii="Verdana" w:hAnsi="Verdana" w:cs="Calibri"/>
          <w:sz w:val="18"/>
          <w:szCs w:val="18"/>
          <w:lang w:val="el-GR"/>
        </w:rPr>
        <w:t xml:space="preserve"> τόσο σε κατοικίες όσο και σε πληθυσμό με ποσοστά 35,6% και 29,1% αντίστοιχα (σύνολο κατοικιών 11.254 και πληθυσμού 17.325 άτομα). Σημαντική αύξηση στην αστική Λεμεσού σημείωσε και ο Δήμος Ύψωνα με 31,5% στις κατοικίες και 25,6% στον πληθυσμό (σύνολο κατοικιών 4.968 και πληθυσμού 13.966 άτομα).</w:t>
      </w:r>
    </w:p>
    <w:p w14:paraId="6DC2C317" w14:textId="77777777" w:rsidR="009F3D3E" w:rsidRDefault="009F3D3E" w:rsidP="009F3D3E">
      <w:pPr>
        <w:ind w:right="-1"/>
        <w:jc w:val="both"/>
        <w:rPr>
          <w:rFonts w:ascii="Verdana" w:hAnsi="Verdana" w:cs="Calibri"/>
          <w:sz w:val="18"/>
          <w:szCs w:val="18"/>
          <w:lang w:val="el-GR"/>
        </w:rPr>
      </w:pPr>
    </w:p>
    <w:p w14:paraId="63C3333A" w14:textId="04D9990A" w:rsidR="009F3D3E" w:rsidRDefault="009F3D3E" w:rsidP="009F3D3E">
      <w:pPr>
        <w:ind w:right="-1"/>
        <w:jc w:val="both"/>
        <w:rPr>
          <w:rFonts w:ascii="Verdana" w:hAnsi="Verdana" w:cs="Calibri"/>
          <w:sz w:val="18"/>
          <w:szCs w:val="18"/>
          <w:lang w:val="el-GR"/>
        </w:rPr>
      </w:pPr>
      <w:r>
        <w:rPr>
          <w:rFonts w:ascii="Verdana" w:hAnsi="Verdana" w:cs="Calibri"/>
          <w:sz w:val="18"/>
          <w:szCs w:val="18"/>
          <w:lang w:val="el-GR"/>
        </w:rPr>
        <w:t>Στην επαρχία Λάρνακας</w:t>
      </w:r>
      <w:r w:rsidR="00A65858" w:rsidRPr="00A65858">
        <w:rPr>
          <w:rFonts w:ascii="Verdana" w:hAnsi="Verdana" w:cs="Calibri"/>
          <w:sz w:val="18"/>
          <w:szCs w:val="18"/>
          <w:lang w:val="el-GR"/>
        </w:rPr>
        <w:t>,</w:t>
      </w:r>
      <w:r>
        <w:rPr>
          <w:rFonts w:ascii="Verdana" w:hAnsi="Verdana" w:cs="Calibri"/>
          <w:sz w:val="18"/>
          <w:szCs w:val="18"/>
          <w:lang w:val="el-GR"/>
        </w:rPr>
        <w:t xml:space="preserve"> σύμφωνα με την Απογραφή 2021</w:t>
      </w:r>
      <w:r w:rsidR="00A65858" w:rsidRPr="00A65858">
        <w:rPr>
          <w:rFonts w:ascii="Verdana" w:hAnsi="Verdana" w:cs="Calibri"/>
          <w:sz w:val="18"/>
          <w:szCs w:val="18"/>
          <w:lang w:val="el-GR"/>
        </w:rPr>
        <w:t>,</w:t>
      </w:r>
      <w:r>
        <w:rPr>
          <w:rFonts w:ascii="Verdana" w:hAnsi="Verdana" w:cs="Calibri"/>
          <w:sz w:val="18"/>
          <w:szCs w:val="18"/>
          <w:lang w:val="el-GR"/>
        </w:rPr>
        <w:t xml:space="preserve"> ο μεγαλύτερος Δήμος είναι ο Δήμος Λάρνακας με 29.545 κατοικίες και </w:t>
      </w:r>
      <w:r w:rsidR="00A61F5C">
        <w:rPr>
          <w:rFonts w:ascii="Verdana" w:hAnsi="Verdana" w:cs="Calibri"/>
          <w:sz w:val="18"/>
          <w:szCs w:val="18"/>
          <w:lang w:val="el-GR"/>
        </w:rPr>
        <w:t xml:space="preserve">πληθυσμό </w:t>
      </w:r>
      <w:r>
        <w:rPr>
          <w:rFonts w:ascii="Verdana" w:hAnsi="Verdana" w:cs="Calibri"/>
          <w:sz w:val="18"/>
          <w:szCs w:val="18"/>
          <w:lang w:val="el-GR"/>
        </w:rPr>
        <w:t>52.038. Επομένως, ο Δήμος Λάρνακας αποτελεί το 66,3% του συνόλου των κατοικιών στις αστικές περιοχές Λάρνακας και το 57,</w:t>
      </w:r>
      <w:r w:rsidRPr="00D55E63">
        <w:rPr>
          <w:rFonts w:ascii="Verdana" w:hAnsi="Verdana" w:cs="Calibri"/>
          <w:sz w:val="18"/>
          <w:szCs w:val="18"/>
          <w:lang w:val="el-GR"/>
        </w:rPr>
        <w:t>6</w:t>
      </w:r>
      <w:r>
        <w:rPr>
          <w:rFonts w:ascii="Verdana" w:hAnsi="Verdana" w:cs="Calibri"/>
          <w:sz w:val="18"/>
          <w:szCs w:val="18"/>
          <w:lang w:val="el-GR"/>
        </w:rPr>
        <w:t xml:space="preserve">% του αντίστοιχου πληθυσμού. </w:t>
      </w:r>
    </w:p>
    <w:p w14:paraId="52912B3C" w14:textId="77777777" w:rsidR="009F3D3E" w:rsidRDefault="009F3D3E" w:rsidP="009F3D3E">
      <w:pPr>
        <w:ind w:right="-1"/>
        <w:jc w:val="both"/>
        <w:rPr>
          <w:rFonts w:ascii="Verdana" w:hAnsi="Verdana" w:cs="Calibri"/>
          <w:sz w:val="18"/>
          <w:szCs w:val="18"/>
          <w:lang w:val="el-GR"/>
        </w:rPr>
      </w:pPr>
    </w:p>
    <w:p w14:paraId="26347D9B" w14:textId="77777777" w:rsidR="009F3D3E" w:rsidRDefault="009F3D3E" w:rsidP="009F3D3E">
      <w:pPr>
        <w:ind w:right="-1"/>
        <w:jc w:val="both"/>
        <w:rPr>
          <w:rFonts w:ascii="Verdana" w:hAnsi="Verdana" w:cs="Calibri"/>
          <w:sz w:val="18"/>
          <w:szCs w:val="18"/>
          <w:lang w:val="el-GR"/>
        </w:rPr>
      </w:pPr>
      <w:r>
        <w:rPr>
          <w:rFonts w:ascii="Verdana" w:hAnsi="Verdana" w:cs="Calibri"/>
          <w:sz w:val="18"/>
          <w:szCs w:val="18"/>
          <w:lang w:val="el-GR"/>
        </w:rPr>
        <w:t>Ο Δήμος Πάφου, ο μεγαλύτερος Δήμος της επαρχίας Πάφου με αριθμό κατοικιών 24.003 και πληθυσμό 37.297 άτομα, αποτελεί το 54,</w:t>
      </w:r>
      <w:r w:rsidRPr="00D55E63">
        <w:rPr>
          <w:rFonts w:ascii="Verdana" w:hAnsi="Verdana" w:cs="Calibri"/>
          <w:sz w:val="18"/>
          <w:szCs w:val="18"/>
          <w:lang w:val="el-GR"/>
        </w:rPr>
        <w:t>4</w:t>
      </w:r>
      <w:r>
        <w:rPr>
          <w:rFonts w:ascii="Verdana" w:hAnsi="Verdana" w:cs="Calibri"/>
          <w:sz w:val="18"/>
          <w:szCs w:val="18"/>
          <w:lang w:val="el-GR"/>
        </w:rPr>
        <w:t>% του συνολικού αριθμού των κατοικιών και το 5</w:t>
      </w:r>
      <w:r w:rsidRPr="00D55E63">
        <w:rPr>
          <w:rFonts w:ascii="Verdana" w:hAnsi="Verdana" w:cs="Calibri"/>
          <w:sz w:val="18"/>
          <w:szCs w:val="18"/>
          <w:lang w:val="el-GR"/>
        </w:rPr>
        <w:t>2</w:t>
      </w:r>
      <w:r>
        <w:rPr>
          <w:rFonts w:ascii="Verdana" w:hAnsi="Verdana" w:cs="Calibri"/>
          <w:sz w:val="18"/>
          <w:szCs w:val="18"/>
          <w:lang w:val="el-GR"/>
        </w:rPr>
        <w:t>,</w:t>
      </w:r>
      <w:r w:rsidRPr="00D55E63">
        <w:rPr>
          <w:rFonts w:ascii="Verdana" w:hAnsi="Verdana" w:cs="Calibri"/>
          <w:sz w:val="18"/>
          <w:szCs w:val="18"/>
          <w:lang w:val="el-GR"/>
        </w:rPr>
        <w:t>8</w:t>
      </w:r>
      <w:r>
        <w:rPr>
          <w:rFonts w:ascii="Verdana" w:hAnsi="Verdana" w:cs="Calibri"/>
          <w:sz w:val="18"/>
          <w:szCs w:val="18"/>
          <w:lang w:val="el-GR"/>
        </w:rPr>
        <w:t>% του συνολικού πληθυσμού των αστικών περιοχών Πάφου.</w:t>
      </w:r>
    </w:p>
    <w:p w14:paraId="46C370DC" w14:textId="77777777" w:rsidR="009F3D3E" w:rsidRDefault="009F3D3E" w:rsidP="009F3D3E">
      <w:pPr>
        <w:ind w:right="-1"/>
        <w:jc w:val="both"/>
        <w:rPr>
          <w:rFonts w:ascii="Verdana" w:hAnsi="Verdana" w:cs="Calibri"/>
          <w:sz w:val="18"/>
          <w:szCs w:val="18"/>
          <w:lang w:val="el-GR"/>
        </w:rPr>
      </w:pPr>
    </w:p>
    <w:p w14:paraId="52CD81AF" w14:textId="5B2B2C71" w:rsidR="009F3D3E" w:rsidRDefault="009F3D3E" w:rsidP="009F3D3E">
      <w:pPr>
        <w:ind w:right="-1"/>
        <w:jc w:val="both"/>
        <w:rPr>
          <w:rFonts w:ascii="Verdana" w:hAnsi="Verdana" w:cs="Calibri"/>
          <w:sz w:val="18"/>
          <w:szCs w:val="18"/>
          <w:lang w:val="el-GR"/>
        </w:rPr>
      </w:pPr>
      <w:r>
        <w:rPr>
          <w:rFonts w:ascii="Verdana" w:hAnsi="Verdana" w:cs="Calibri"/>
          <w:sz w:val="18"/>
          <w:szCs w:val="18"/>
          <w:lang w:val="el-GR"/>
        </w:rPr>
        <w:t>Στην επαρχία Αμμοχώστου</w:t>
      </w:r>
      <w:r w:rsidR="006B3B04" w:rsidRPr="006B3B04">
        <w:rPr>
          <w:rFonts w:ascii="Verdana" w:hAnsi="Verdana" w:cs="Calibri"/>
          <w:sz w:val="18"/>
          <w:szCs w:val="18"/>
          <w:lang w:val="el-GR"/>
        </w:rPr>
        <w:t>,</w:t>
      </w:r>
      <w:r>
        <w:rPr>
          <w:rFonts w:ascii="Verdana" w:hAnsi="Verdana" w:cs="Calibri"/>
          <w:sz w:val="18"/>
          <w:szCs w:val="18"/>
          <w:lang w:val="el-GR"/>
        </w:rPr>
        <w:t xml:space="preserve"> ο Δήμος Παραλιμνίου με 20.45</w:t>
      </w:r>
      <w:r w:rsidRPr="00D55E63">
        <w:rPr>
          <w:rFonts w:ascii="Verdana" w:hAnsi="Verdana" w:cs="Calibri"/>
          <w:sz w:val="18"/>
          <w:szCs w:val="18"/>
          <w:lang w:val="el-GR"/>
        </w:rPr>
        <w:t>0</w:t>
      </w:r>
      <w:r>
        <w:rPr>
          <w:rFonts w:ascii="Verdana" w:hAnsi="Verdana" w:cs="Calibri"/>
          <w:sz w:val="18"/>
          <w:szCs w:val="18"/>
          <w:lang w:val="el-GR"/>
        </w:rPr>
        <w:t xml:space="preserve"> κατοικίες και </w:t>
      </w:r>
      <w:r w:rsidR="00A61F5C">
        <w:rPr>
          <w:rFonts w:ascii="Verdana" w:hAnsi="Verdana" w:cs="Calibri"/>
          <w:sz w:val="18"/>
          <w:szCs w:val="18"/>
          <w:lang w:val="el-GR"/>
        </w:rPr>
        <w:t xml:space="preserve">πληθυσμό </w:t>
      </w:r>
      <w:r>
        <w:rPr>
          <w:rFonts w:ascii="Verdana" w:hAnsi="Verdana" w:cs="Calibri"/>
          <w:sz w:val="18"/>
          <w:szCs w:val="18"/>
          <w:lang w:val="el-GR"/>
        </w:rPr>
        <w:t>19.035 αποτελεί το 50,8% των κατοικιών και το 35,1% του πληθυσμού της επαρχίας.</w:t>
      </w:r>
    </w:p>
    <w:p w14:paraId="30F507A4" w14:textId="77777777" w:rsidR="009F3D3E" w:rsidRDefault="009F3D3E" w:rsidP="009F3D3E">
      <w:pPr>
        <w:ind w:right="-1"/>
        <w:jc w:val="both"/>
        <w:rPr>
          <w:rFonts w:ascii="Verdana" w:hAnsi="Verdana" w:cs="Calibri"/>
          <w:sz w:val="18"/>
          <w:szCs w:val="18"/>
          <w:lang w:val="el-GR"/>
        </w:rPr>
      </w:pPr>
    </w:p>
    <w:p w14:paraId="4332FC17" w14:textId="77777777" w:rsidR="009F3D3E" w:rsidRDefault="009F3D3E" w:rsidP="009F3D3E">
      <w:pPr>
        <w:ind w:right="-1"/>
        <w:jc w:val="both"/>
        <w:rPr>
          <w:rFonts w:ascii="Verdana" w:hAnsi="Verdana" w:cs="Calibri"/>
          <w:sz w:val="18"/>
          <w:szCs w:val="18"/>
          <w:lang w:val="el-GR"/>
        </w:rPr>
      </w:pPr>
      <w:r>
        <w:rPr>
          <w:rFonts w:ascii="Verdana" w:hAnsi="Verdana" w:cs="Calibri"/>
          <w:sz w:val="18"/>
          <w:szCs w:val="18"/>
          <w:lang w:val="el-GR"/>
        </w:rPr>
        <w:t xml:space="preserve">Σημαντικές θετικές μεταβολές κατά το 2021 παρουσίασαν και άλλοι Δήμοι/Κοινότητες όπως οι Δήμοι </w:t>
      </w:r>
      <w:proofErr w:type="spellStart"/>
      <w:r>
        <w:rPr>
          <w:rFonts w:ascii="Verdana" w:hAnsi="Verdana" w:cs="Calibri"/>
          <w:sz w:val="18"/>
          <w:szCs w:val="18"/>
          <w:lang w:val="el-GR"/>
        </w:rPr>
        <w:t>Πέγειας</w:t>
      </w:r>
      <w:proofErr w:type="spellEnd"/>
      <w:r>
        <w:rPr>
          <w:rFonts w:ascii="Verdana" w:hAnsi="Verdana" w:cs="Calibri"/>
          <w:sz w:val="18"/>
          <w:szCs w:val="18"/>
          <w:lang w:val="el-GR"/>
        </w:rPr>
        <w:t xml:space="preserve">, Αγίας Νάπας και οι κοινότητες </w:t>
      </w:r>
      <w:proofErr w:type="spellStart"/>
      <w:r>
        <w:rPr>
          <w:rFonts w:ascii="Verdana" w:hAnsi="Verdana" w:cs="Calibri"/>
          <w:sz w:val="18"/>
          <w:szCs w:val="18"/>
          <w:lang w:val="el-GR"/>
        </w:rPr>
        <w:t>Πύλας</w:t>
      </w:r>
      <w:proofErr w:type="spellEnd"/>
      <w:r>
        <w:rPr>
          <w:rFonts w:ascii="Verdana" w:hAnsi="Verdana" w:cs="Calibri"/>
          <w:sz w:val="18"/>
          <w:szCs w:val="18"/>
          <w:lang w:val="el-GR"/>
        </w:rPr>
        <w:t xml:space="preserve">, </w:t>
      </w:r>
      <w:proofErr w:type="spellStart"/>
      <w:r>
        <w:rPr>
          <w:rFonts w:ascii="Verdana" w:hAnsi="Verdana" w:cs="Calibri"/>
          <w:sz w:val="18"/>
          <w:szCs w:val="18"/>
          <w:lang w:val="el-GR"/>
        </w:rPr>
        <w:t>Βορόκλινης</w:t>
      </w:r>
      <w:proofErr w:type="spellEnd"/>
      <w:r>
        <w:rPr>
          <w:rFonts w:ascii="Verdana" w:hAnsi="Verdana" w:cs="Calibri"/>
          <w:sz w:val="18"/>
          <w:szCs w:val="18"/>
          <w:lang w:val="el-GR"/>
        </w:rPr>
        <w:t xml:space="preserve"> και </w:t>
      </w:r>
      <w:proofErr w:type="spellStart"/>
      <w:r>
        <w:rPr>
          <w:rFonts w:ascii="Verdana" w:hAnsi="Verdana" w:cs="Calibri"/>
          <w:sz w:val="18"/>
          <w:szCs w:val="18"/>
          <w:lang w:val="el-GR"/>
        </w:rPr>
        <w:t>Χλώρακας</w:t>
      </w:r>
      <w:proofErr w:type="spellEnd"/>
      <w:r>
        <w:rPr>
          <w:rFonts w:ascii="Verdana" w:hAnsi="Verdana" w:cs="Calibri"/>
          <w:sz w:val="18"/>
          <w:szCs w:val="18"/>
          <w:lang w:val="el-GR"/>
        </w:rPr>
        <w:t>.</w:t>
      </w:r>
    </w:p>
    <w:p w14:paraId="15FDCC35" w14:textId="77777777" w:rsidR="009F3D3E" w:rsidRDefault="009F3D3E" w:rsidP="009F3D3E">
      <w:pPr>
        <w:ind w:right="-1"/>
        <w:jc w:val="both"/>
        <w:rPr>
          <w:rFonts w:ascii="Verdana" w:hAnsi="Verdana" w:cs="Calibri"/>
          <w:sz w:val="18"/>
          <w:szCs w:val="18"/>
          <w:lang w:val="el-GR"/>
        </w:rPr>
      </w:pPr>
    </w:p>
    <w:p w14:paraId="448FDC87" w14:textId="77777777" w:rsidR="009F3D3E" w:rsidRDefault="009F3D3E" w:rsidP="009F3D3E">
      <w:pPr>
        <w:ind w:right="-1"/>
        <w:jc w:val="both"/>
        <w:rPr>
          <w:rFonts w:ascii="Verdana" w:hAnsi="Verdana" w:cs="Calibri"/>
          <w:sz w:val="18"/>
          <w:szCs w:val="18"/>
          <w:lang w:val="el-GR"/>
        </w:rPr>
      </w:pPr>
    </w:p>
    <w:p w14:paraId="5E0C07A0" w14:textId="456654E1" w:rsidR="009F3D3E" w:rsidRPr="00F078EC" w:rsidRDefault="009F3D3E" w:rsidP="009F3D3E">
      <w:pPr>
        <w:ind w:right="-1"/>
        <w:jc w:val="both"/>
        <w:rPr>
          <w:rFonts w:ascii="Verdana" w:hAnsi="Verdana" w:cs="Calibri"/>
          <w:sz w:val="18"/>
          <w:szCs w:val="18"/>
          <w:lang w:val="el-GR"/>
        </w:rPr>
      </w:pPr>
      <w:r w:rsidRPr="00F078EC">
        <w:rPr>
          <w:rFonts w:ascii="Verdana" w:hAnsi="Verdana" w:cs="Calibri"/>
          <w:sz w:val="18"/>
          <w:szCs w:val="18"/>
          <w:lang w:val="el-GR"/>
        </w:rPr>
        <w:t xml:space="preserve">Η Στατιστική Υπηρεσία θα είναι σε θέση να δώσει πιο αναλυτικές πληροφορίες σε μεταγενέστερο στάδιο. Τα </w:t>
      </w:r>
      <w:r>
        <w:rPr>
          <w:rFonts w:ascii="Verdana" w:hAnsi="Verdana" w:cs="Calibri"/>
          <w:sz w:val="18"/>
          <w:szCs w:val="18"/>
          <w:lang w:val="el-GR"/>
        </w:rPr>
        <w:t xml:space="preserve">περαιτέρω </w:t>
      </w:r>
      <w:r w:rsidRPr="00F078EC">
        <w:rPr>
          <w:rFonts w:ascii="Verdana" w:hAnsi="Verdana" w:cs="Calibri"/>
          <w:sz w:val="18"/>
          <w:szCs w:val="18"/>
          <w:lang w:val="el-GR"/>
        </w:rPr>
        <w:t xml:space="preserve">στοιχεία που θα καταρτίζονται θα </w:t>
      </w:r>
      <w:r>
        <w:rPr>
          <w:rFonts w:ascii="Verdana" w:hAnsi="Verdana" w:cs="Calibri"/>
          <w:sz w:val="18"/>
          <w:szCs w:val="18"/>
          <w:lang w:val="el-GR"/>
        </w:rPr>
        <w:t xml:space="preserve">ανακοινώνονται και θα </w:t>
      </w:r>
      <w:r w:rsidRPr="00F078EC">
        <w:rPr>
          <w:rFonts w:ascii="Verdana" w:hAnsi="Verdana" w:cs="Calibri"/>
          <w:sz w:val="18"/>
          <w:szCs w:val="18"/>
          <w:lang w:val="el-GR"/>
        </w:rPr>
        <w:t xml:space="preserve">δημοσιεύονται στην </w:t>
      </w:r>
      <w:r>
        <w:rPr>
          <w:rFonts w:ascii="Verdana" w:hAnsi="Verdana" w:cs="Calibri"/>
          <w:sz w:val="18"/>
          <w:szCs w:val="18"/>
          <w:lang w:val="el-GR"/>
        </w:rPr>
        <w:t>Πύλη</w:t>
      </w:r>
      <w:r w:rsidRPr="00F078EC">
        <w:rPr>
          <w:rFonts w:ascii="Verdana" w:hAnsi="Verdana" w:cs="Calibri"/>
          <w:sz w:val="18"/>
          <w:szCs w:val="18"/>
          <w:lang w:val="el-GR"/>
        </w:rPr>
        <w:t xml:space="preserve"> της </w:t>
      </w:r>
      <w:r>
        <w:rPr>
          <w:rFonts w:ascii="Verdana" w:hAnsi="Verdana" w:cs="Calibri"/>
          <w:sz w:val="18"/>
          <w:szCs w:val="18"/>
          <w:lang w:val="el-GR"/>
        </w:rPr>
        <w:t xml:space="preserve">Στατιστικής </w:t>
      </w:r>
      <w:r w:rsidRPr="00F078EC">
        <w:rPr>
          <w:rFonts w:ascii="Verdana" w:hAnsi="Verdana" w:cs="Calibri"/>
          <w:sz w:val="18"/>
          <w:szCs w:val="18"/>
          <w:lang w:val="el-GR"/>
        </w:rPr>
        <w:t>Υπηρεσίας.</w:t>
      </w:r>
    </w:p>
    <w:p w14:paraId="6147527A" w14:textId="77777777" w:rsidR="009F3D3E" w:rsidRDefault="009F3D3E" w:rsidP="009F3D3E">
      <w:pPr>
        <w:ind w:right="-1"/>
        <w:jc w:val="both"/>
        <w:rPr>
          <w:rFonts w:ascii="Verdana" w:hAnsi="Verdana" w:cs="Calibri"/>
          <w:sz w:val="18"/>
          <w:szCs w:val="18"/>
          <w:lang w:val="el-GR"/>
        </w:rPr>
      </w:pPr>
    </w:p>
    <w:p w14:paraId="6DCDF01C" w14:textId="77777777" w:rsidR="00965570" w:rsidRDefault="00965570" w:rsidP="009F3D3E">
      <w:pPr>
        <w:ind w:right="-1"/>
        <w:jc w:val="both"/>
        <w:rPr>
          <w:rFonts w:ascii="Verdana" w:hAnsi="Verdana" w:cs="Calibri"/>
          <w:sz w:val="18"/>
          <w:szCs w:val="18"/>
          <w:lang w:val="el-GR"/>
        </w:rPr>
      </w:pPr>
    </w:p>
    <w:p w14:paraId="18956E30" w14:textId="77777777" w:rsidR="00965570" w:rsidRDefault="00965570" w:rsidP="00965570">
      <w:pPr>
        <w:ind w:right="-1"/>
        <w:jc w:val="both"/>
        <w:rPr>
          <w:rFonts w:ascii="Verdana" w:hAnsi="Verdana" w:cs="Calibri"/>
          <w:b/>
          <w:bCs/>
          <w:i/>
          <w:iCs/>
          <w:sz w:val="18"/>
          <w:szCs w:val="18"/>
          <w:lang w:val="el-GR"/>
        </w:rPr>
      </w:pPr>
      <w:r w:rsidRPr="00F078EC">
        <w:rPr>
          <w:rFonts w:ascii="Verdana" w:hAnsi="Verdana" w:cs="Calibri"/>
          <w:b/>
          <w:bCs/>
          <w:i/>
          <w:iCs/>
          <w:sz w:val="18"/>
          <w:szCs w:val="18"/>
          <w:lang w:val="el-GR"/>
        </w:rPr>
        <w:t>Η Στατιστική Υπηρεσία εκφράζει θερμές ευχαριστίες προς όλους τους πολίτες για την παροχή των στοιχείων που τους ζητήθηκαν και διαβεβαιώνει ότι όλες οι πληροφορίες που καταγράφηκαν στα ερωτηματολόγια καθώς και οι πληροφορίες που αξιοποιήθηκαν από τις διοικητικές πηγές, θα τηρηθούν εμπιστευτικές και θα χρησιμοποιηθούν αποκλειστικά για στατιστικούς σκοπούς.</w:t>
      </w:r>
    </w:p>
    <w:p w14:paraId="2843EACE" w14:textId="77777777" w:rsidR="00965570" w:rsidRDefault="00965570" w:rsidP="00965570">
      <w:pPr>
        <w:ind w:right="-1"/>
        <w:jc w:val="both"/>
        <w:rPr>
          <w:rFonts w:ascii="Verdana" w:hAnsi="Verdana" w:cs="Calibri"/>
          <w:sz w:val="18"/>
          <w:szCs w:val="18"/>
          <w:lang w:val="el-GR"/>
        </w:rPr>
      </w:pPr>
    </w:p>
    <w:p w14:paraId="4E703064" w14:textId="77777777" w:rsidR="00965570" w:rsidRDefault="00965570" w:rsidP="00965570">
      <w:pPr>
        <w:ind w:right="-1"/>
        <w:jc w:val="both"/>
        <w:rPr>
          <w:rFonts w:ascii="Verdana" w:hAnsi="Verdana" w:cs="Calibri"/>
          <w:sz w:val="18"/>
          <w:szCs w:val="18"/>
          <w:lang w:val="el-GR"/>
        </w:rPr>
      </w:pPr>
    </w:p>
    <w:p w14:paraId="4ECA592E" w14:textId="77777777" w:rsidR="00965570" w:rsidRDefault="00965570" w:rsidP="00965570">
      <w:pPr>
        <w:ind w:right="-1"/>
        <w:jc w:val="both"/>
        <w:rPr>
          <w:rFonts w:ascii="Verdana" w:hAnsi="Verdana" w:cs="Calibri"/>
          <w:sz w:val="18"/>
          <w:szCs w:val="18"/>
          <w:lang w:val="el-GR"/>
        </w:rPr>
      </w:pPr>
    </w:p>
    <w:p w14:paraId="0A331613" w14:textId="77777777" w:rsidR="00965570" w:rsidRDefault="00965570" w:rsidP="00965570">
      <w:pPr>
        <w:ind w:right="-1"/>
        <w:jc w:val="both"/>
        <w:rPr>
          <w:rFonts w:ascii="Verdana" w:hAnsi="Verdana" w:cs="Calibri"/>
          <w:sz w:val="18"/>
          <w:szCs w:val="18"/>
          <w:lang w:val="el-GR"/>
        </w:rPr>
      </w:pPr>
    </w:p>
    <w:p w14:paraId="63398D85" w14:textId="77777777" w:rsidR="00965570" w:rsidRDefault="00965570" w:rsidP="00965570">
      <w:pPr>
        <w:ind w:right="-1"/>
        <w:jc w:val="both"/>
        <w:rPr>
          <w:rFonts w:ascii="Verdana" w:hAnsi="Verdana" w:cs="Calibri"/>
          <w:sz w:val="18"/>
          <w:szCs w:val="18"/>
          <w:lang w:val="el-GR"/>
        </w:rPr>
      </w:pPr>
    </w:p>
    <w:p w14:paraId="6D21FF9F" w14:textId="77777777" w:rsidR="00965570" w:rsidRDefault="00965570" w:rsidP="00965570">
      <w:pPr>
        <w:ind w:right="-1"/>
        <w:jc w:val="both"/>
        <w:rPr>
          <w:rFonts w:ascii="Verdana" w:hAnsi="Verdana" w:cs="Calibri"/>
          <w:sz w:val="18"/>
          <w:szCs w:val="18"/>
          <w:lang w:val="el-GR"/>
        </w:rPr>
      </w:pPr>
    </w:p>
    <w:p w14:paraId="772C66D2" w14:textId="77777777" w:rsidR="00965570" w:rsidRDefault="00965570" w:rsidP="00965570">
      <w:pPr>
        <w:ind w:right="-1"/>
        <w:jc w:val="both"/>
        <w:rPr>
          <w:rFonts w:ascii="Verdana" w:hAnsi="Verdana" w:cs="Calibri"/>
          <w:sz w:val="18"/>
          <w:szCs w:val="18"/>
          <w:lang w:val="el-GR"/>
        </w:rPr>
      </w:pPr>
    </w:p>
    <w:p w14:paraId="038FAC26" w14:textId="77777777" w:rsidR="00965570" w:rsidRDefault="00965570" w:rsidP="00965570">
      <w:pPr>
        <w:ind w:right="-1"/>
        <w:jc w:val="both"/>
        <w:rPr>
          <w:rFonts w:ascii="Verdana" w:hAnsi="Verdana" w:cs="Calibri"/>
          <w:sz w:val="18"/>
          <w:szCs w:val="18"/>
          <w:lang w:val="el-GR"/>
        </w:rPr>
      </w:pPr>
    </w:p>
    <w:p w14:paraId="5BCDED00" w14:textId="77777777" w:rsidR="00965570" w:rsidRDefault="00965570" w:rsidP="00965570">
      <w:pPr>
        <w:ind w:right="-1"/>
        <w:jc w:val="both"/>
        <w:rPr>
          <w:rFonts w:ascii="Verdana" w:hAnsi="Verdana" w:cs="Calibri"/>
          <w:sz w:val="18"/>
          <w:szCs w:val="18"/>
          <w:lang w:val="el-GR"/>
        </w:rPr>
      </w:pPr>
    </w:p>
    <w:p w14:paraId="4B000260" w14:textId="77777777" w:rsidR="00965570" w:rsidRDefault="00965570" w:rsidP="00965570">
      <w:pPr>
        <w:ind w:right="-1"/>
        <w:jc w:val="both"/>
        <w:rPr>
          <w:rFonts w:ascii="Verdana" w:hAnsi="Verdana" w:cs="Calibri"/>
          <w:sz w:val="18"/>
          <w:szCs w:val="18"/>
          <w:lang w:val="el-GR"/>
        </w:rPr>
      </w:pPr>
    </w:p>
    <w:p w14:paraId="612B9F41" w14:textId="77777777" w:rsidR="00965570" w:rsidRDefault="00965570" w:rsidP="00965570">
      <w:pPr>
        <w:ind w:right="-1"/>
        <w:jc w:val="both"/>
        <w:rPr>
          <w:rFonts w:ascii="Verdana" w:hAnsi="Verdana" w:cs="Calibri"/>
          <w:sz w:val="18"/>
          <w:szCs w:val="18"/>
          <w:lang w:val="el-GR"/>
        </w:rPr>
      </w:pPr>
    </w:p>
    <w:p w14:paraId="70A1804E" w14:textId="77777777" w:rsidR="00965570" w:rsidRDefault="00965570" w:rsidP="00965570">
      <w:pPr>
        <w:ind w:right="-1"/>
        <w:jc w:val="both"/>
        <w:rPr>
          <w:rFonts w:ascii="Verdana" w:hAnsi="Verdana" w:cs="Calibri"/>
          <w:sz w:val="18"/>
          <w:szCs w:val="18"/>
          <w:lang w:val="el-GR"/>
        </w:rPr>
      </w:pPr>
    </w:p>
    <w:p w14:paraId="46957ABE" w14:textId="77777777" w:rsidR="00965570" w:rsidRDefault="00965570" w:rsidP="00965570">
      <w:pPr>
        <w:ind w:right="-1"/>
        <w:jc w:val="both"/>
        <w:rPr>
          <w:rFonts w:ascii="Verdana" w:hAnsi="Verdana" w:cs="Calibri"/>
          <w:sz w:val="18"/>
          <w:szCs w:val="18"/>
          <w:lang w:val="el-GR"/>
        </w:rPr>
      </w:pPr>
    </w:p>
    <w:p w14:paraId="68EAF706" w14:textId="77777777" w:rsidR="00965570" w:rsidRDefault="00965570" w:rsidP="00965570">
      <w:pPr>
        <w:ind w:right="-1"/>
        <w:jc w:val="both"/>
        <w:rPr>
          <w:rFonts w:ascii="Verdana" w:hAnsi="Verdana" w:cs="Calibri"/>
          <w:sz w:val="18"/>
          <w:szCs w:val="18"/>
          <w:lang w:val="el-GR"/>
        </w:rPr>
      </w:pPr>
    </w:p>
    <w:p w14:paraId="1CD32FF0" w14:textId="77777777" w:rsidR="00965570" w:rsidRDefault="00965570" w:rsidP="00965570">
      <w:pPr>
        <w:ind w:right="-1"/>
        <w:jc w:val="both"/>
        <w:rPr>
          <w:rFonts w:ascii="Verdana" w:hAnsi="Verdana" w:cs="Calibri"/>
          <w:sz w:val="18"/>
          <w:szCs w:val="18"/>
          <w:lang w:val="el-GR"/>
        </w:rPr>
      </w:pPr>
    </w:p>
    <w:p w14:paraId="52F1A4A7" w14:textId="77777777" w:rsidR="00965570" w:rsidRDefault="00965570" w:rsidP="00965570">
      <w:pPr>
        <w:ind w:right="-1"/>
        <w:jc w:val="both"/>
        <w:rPr>
          <w:rFonts w:ascii="Verdana" w:hAnsi="Verdana" w:cs="Calibri"/>
          <w:sz w:val="18"/>
          <w:szCs w:val="18"/>
          <w:lang w:val="el-GR"/>
        </w:rPr>
      </w:pPr>
    </w:p>
    <w:p w14:paraId="7843F8A8" w14:textId="77777777" w:rsidR="00965570" w:rsidRDefault="00965570" w:rsidP="00965570">
      <w:pPr>
        <w:ind w:right="-1"/>
        <w:jc w:val="both"/>
        <w:rPr>
          <w:rFonts w:ascii="Verdana" w:hAnsi="Verdana" w:cs="Calibri"/>
          <w:sz w:val="18"/>
          <w:szCs w:val="18"/>
          <w:lang w:val="el-GR"/>
        </w:rPr>
      </w:pPr>
    </w:p>
    <w:p w14:paraId="42D6460C" w14:textId="77777777" w:rsidR="00965570" w:rsidRDefault="00965570" w:rsidP="00965570">
      <w:pPr>
        <w:ind w:right="-1"/>
        <w:jc w:val="both"/>
        <w:rPr>
          <w:rFonts w:ascii="Verdana" w:hAnsi="Verdana" w:cs="Calibri"/>
          <w:sz w:val="18"/>
          <w:szCs w:val="18"/>
          <w:lang w:val="el-GR"/>
        </w:rPr>
      </w:pPr>
    </w:p>
    <w:p w14:paraId="03D004DD" w14:textId="77777777" w:rsidR="00965570" w:rsidRDefault="00965570" w:rsidP="00965570">
      <w:pPr>
        <w:ind w:right="-1"/>
        <w:jc w:val="both"/>
        <w:rPr>
          <w:rFonts w:ascii="Verdana" w:hAnsi="Verdana" w:cs="Calibri"/>
          <w:sz w:val="18"/>
          <w:szCs w:val="18"/>
          <w:lang w:val="el-GR"/>
        </w:rPr>
      </w:pPr>
    </w:p>
    <w:p w14:paraId="56A02A0D" w14:textId="77777777" w:rsidR="00965570" w:rsidRDefault="00965570" w:rsidP="00965570">
      <w:pPr>
        <w:ind w:right="-1"/>
        <w:jc w:val="both"/>
        <w:rPr>
          <w:rFonts w:ascii="Verdana" w:hAnsi="Verdana" w:cs="Calibri"/>
          <w:sz w:val="18"/>
          <w:szCs w:val="18"/>
          <w:lang w:val="el-GR"/>
        </w:rPr>
      </w:pPr>
    </w:p>
    <w:p w14:paraId="3D593BC8" w14:textId="77777777" w:rsidR="00965570" w:rsidRDefault="00965570" w:rsidP="00965570">
      <w:pPr>
        <w:ind w:right="-1"/>
        <w:jc w:val="both"/>
        <w:rPr>
          <w:rFonts w:ascii="Verdana" w:hAnsi="Verdana" w:cs="Calibri"/>
          <w:sz w:val="18"/>
          <w:szCs w:val="18"/>
          <w:lang w:val="el-GR"/>
        </w:rPr>
      </w:pPr>
    </w:p>
    <w:p w14:paraId="66DA06E6" w14:textId="77777777" w:rsidR="00965570" w:rsidRDefault="00965570" w:rsidP="00965570">
      <w:pPr>
        <w:ind w:right="-1"/>
        <w:jc w:val="both"/>
        <w:rPr>
          <w:rFonts w:ascii="Verdana" w:hAnsi="Verdana" w:cs="Calibri"/>
          <w:sz w:val="18"/>
          <w:szCs w:val="18"/>
          <w:lang w:val="el-GR"/>
        </w:rPr>
      </w:pPr>
    </w:p>
    <w:p w14:paraId="15277407" w14:textId="77777777" w:rsidR="008D634B" w:rsidRDefault="008D634B" w:rsidP="00965570">
      <w:pPr>
        <w:ind w:right="-1"/>
        <w:jc w:val="both"/>
        <w:rPr>
          <w:rFonts w:ascii="Verdana" w:hAnsi="Verdana" w:cs="Calibri"/>
          <w:sz w:val="18"/>
          <w:szCs w:val="18"/>
          <w:lang w:val="el-GR"/>
        </w:rPr>
      </w:pPr>
    </w:p>
    <w:p w14:paraId="37644406" w14:textId="77777777" w:rsidR="00965570" w:rsidRPr="00965570" w:rsidRDefault="00965570" w:rsidP="00965570">
      <w:pPr>
        <w:ind w:right="-1"/>
        <w:jc w:val="both"/>
        <w:rPr>
          <w:rFonts w:ascii="Verdana" w:hAnsi="Verdana" w:cs="Calibri"/>
          <w:sz w:val="18"/>
          <w:szCs w:val="18"/>
          <w:lang w:val="el-GR"/>
        </w:rPr>
      </w:pPr>
    </w:p>
    <w:p w14:paraId="36133A2A" w14:textId="77777777" w:rsidR="00DE3844" w:rsidRPr="008059A4" w:rsidRDefault="00DE3844" w:rsidP="00AC32BD">
      <w:pPr>
        <w:jc w:val="center"/>
        <w:rPr>
          <w:rFonts w:ascii="Verdana" w:hAnsi="Verdana" w:cs="Calibri"/>
          <w:b/>
          <w:bCs/>
          <w:u w:val="single"/>
          <w:lang w:val="el-GR"/>
        </w:rPr>
      </w:pPr>
      <w:r w:rsidRPr="008059A4">
        <w:rPr>
          <w:rFonts w:ascii="Verdana" w:hAnsi="Verdana" w:cs="Calibri"/>
          <w:b/>
          <w:bCs/>
          <w:u w:val="single"/>
          <w:lang w:val="el-GR"/>
        </w:rPr>
        <w:t>ΜΕΘΟΔΟΛΟΓΙΚΕΣ ΠΛΗΡΟΦΟΡΙΕΣ</w:t>
      </w:r>
    </w:p>
    <w:p w14:paraId="1AAB3FF1" w14:textId="77777777" w:rsidR="00DE3844" w:rsidRPr="00AC32BD" w:rsidRDefault="00DE3844" w:rsidP="00AC32BD">
      <w:pPr>
        <w:suppressAutoHyphens/>
        <w:jc w:val="both"/>
        <w:rPr>
          <w:rFonts w:ascii="Verdana" w:hAnsi="Verdana" w:cs="Calibri"/>
          <w:sz w:val="18"/>
          <w:szCs w:val="18"/>
          <w:lang w:val="el-GR"/>
        </w:rPr>
      </w:pPr>
    </w:p>
    <w:p w14:paraId="78114A83" w14:textId="77777777" w:rsidR="00965570" w:rsidRPr="00965570" w:rsidRDefault="00965570" w:rsidP="00965570">
      <w:pPr>
        <w:suppressAutoHyphens/>
        <w:jc w:val="both"/>
        <w:rPr>
          <w:rFonts w:ascii="Verdana" w:hAnsi="Verdana" w:cs="Calibri"/>
          <w:sz w:val="18"/>
          <w:szCs w:val="18"/>
          <w:lang w:val="el-GR"/>
        </w:rPr>
      </w:pPr>
      <w:r w:rsidRPr="00965570">
        <w:rPr>
          <w:rFonts w:ascii="Verdana" w:hAnsi="Verdana" w:cs="Calibri"/>
          <w:sz w:val="18"/>
          <w:szCs w:val="18"/>
          <w:lang w:val="el-GR"/>
        </w:rPr>
        <w:t xml:space="preserve">Η Απογραφή Πληθυσμού και Κατοικιών 2021, είχε σκοπό την πλήρη και ακριβή γεωγραφική κάλυψη των κατοικιών, των ιδρυμάτων, των νοικοκυριών και των ατόμων, Κυπρίων και ξένων υπηκόων, που είχαν τη συνήθη διαμονή τους στις ελεγχόμενες από το Κράτος περιοχές κατά την </w:t>
      </w:r>
      <w:r w:rsidRPr="00965570">
        <w:rPr>
          <w:rFonts w:ascii="Verdana" w:hAnsi="Verdana" w:cs="Calibri"/>
          <w:sz w:val="18"/>
          <w:szCs w:val="18"/>
          <w:u w:val="single"/>
          <w:lang w:val="el-GR"/>
        </w:rPr>
        <w:t>1</w:t>
      </w:r>
      <w:r w:rsidRPr="00965570">
        <w:rPr>
          <w:rFonts w:ascii="Verdana" w:hAnsi="Verdana" w:cs="Calibri"/>
          <w:sz w:val="18"/>
          <w:szCs w:val="18"/>
          <w:u w:val="single"/>
          <w:vertAlign w:val="superscript"/>
          <w:lang w:val="el-GR"/>
        </w:rPr>
        <w:t>η</w:t>
      </w:r>
      <w:r w:rsidRPr="00965570">
        <w:rPr>
          <w:rFonts w:ascii="Verdana" w:hAnsi="Verdana" w:cs="Calibri"/>
          <w:sz w:val="18"/>
          <w:szCs w:val="18"/>
          <w:u w:val="single"/>
          <w:lang w:val="el-GR"/>
        </w:rPr>
        <w:t xml:space="preserve"> Οκτωβρίου 2021</w:t>
      </w:r>
      <w:r w:rsidRPr="00965570">
        <w:rPr>
          <w:rFonts w:ascii="Verdana" w:hAnsi="Verdana" w:cs="Calibri"/>
          <w:sz w:val="18"/>
          <w:szCs w:val="18"/>
          <w:lang w:val="el-GR"/>
        </w:rPr>
        <w:t xml:space="preserve">. </w:t>
      </w:r>
    </w:p>
    <w:p w14:paraId="4A64764E" w14:textId="77777777" w:rsidR="00965570" w:rsidRPr="00965570" w:rsidRDefault="00965570" w:rsidP="00965570">
      <w:pPr>
        <w:suppressAutoHyphens/>
        <w:jc w:val="both"/>
        <w:rPr>
          <w:rFonts w:ascii="Verdana" w:hAnsi="Verdana" w:cs="Calibri"/>
          <w:sz w:val="18"/>
          <w:szCs w:val="18"/>
          <w:lang w:val="el-GR"/>
        </w:rPr>
      </w:pPr>
    </w:p>
    <w:p w14:paraId="0B1B6BC6" w14:textId="77777777" w:rsidR="00965570" w:rsidRPr="00965570" w:rsidRDefault="00965570" w:rsidP="00965570">
      <w:pPr>
        <w:jc w:val="both"/>
        <w:rPr>
          <w:rFonts w:ascii="Verdana" w:hAnsi="Verdana" w:cs="Calibri"/>
          <w:sz w:val="18"/>
          <w:szCs w:val="18"/>
          <w:lang w:val="el-GR"/>
        </w:rPr>
      </w:pPr>
      <w:r w:rsidRPr="00965570">
        <w:rPr>
          <w:rFonts w:ascii="Verdana" w:hAnsi="Verdana" w:cs="Calibri"/>
          <w:sz w:val="18"/>
          <w:szCs w:val="18"/>
          <w:lang w:val="el-GR"/>
        </w:rPr>
        <w:t xml:space="preserve">Η Απογραφή αποτελεί βασική πηγή πληροφοριών και στατιστικών δεδομένων και διεξάγεται συνήθως σε τακτά διαστήματα 10 χρόνων. Αποτελεί το πιο πολυδάπανο και απαιτητικό έργο που διεξάγεται από τη Στατιστική Υπηρεσία. Η τελευταία Απογραφή Πληθυσμού πραγματοποιήθηκε το 2011. </w:t>
      </w:r>
    </w:p>
    <w:p w14:paraId="360251D0" w14:textId="77777777" w:rsidR="00965570" w:rsidRPr="00965570" w:rsidRDefault="00965570" w:rsidP="00965570">
      <w:pPr>
        <w:jc w:val="both"/>
        <w:rPr>
          <w:rFonts w:ascii="Verdana" w:hAnsi="Verdana" w:cs="Calibri"/>
          <w:sz w:val="18"/>
          <w:szCs w:val="18"/>
          <w:lang w:val="el-GR"/>
        </w:rPr>
      </w:pPr>
    </w:p>
    <w:p w14:paraId="12096BF6" w14:textId="77777777" w:rsidR="00965570" w:rsidRPr="00965570" w:rsidRDefault="00965570" w:rsidP="00965570">
      <w:pPr>
        <w:jc w:val="both"/>
        <w:rPr>
          <w:rFonts w:ascii="Verdana" w:hAnsi="Verdana" w:cs="Calibri"/>
          <w:sz w:val="18"/>
          <w:szCs w:val="18"/>
          <w:lang w:val="el-GR"/>
        </w:rPr>
      </w:pPr>
      <w:r w:rsidRPr="00965570">
        <w:rPr>
          <w:rFonts w:ascii="Verdana" w:hAnsi="Verdana" w:cs="Calibri"/>
          <w:sz w:val="18"/>
          <w:szCs w:val="18"/>
          <w:lang w:val="el-GR"/>
        </w:rPr>
        <w:t xml:space="preserve">Οι πίνακες που παρουσιάζονται στο παρόν δελτίο τύπου αφορούν προκαταρκτικά αποτελέσματα τα οποία ενδεχομένως να διαφοροποιηθούν ελαφρώς μετά την ολοκλήρωση του έργου και των διαδικασιών ελέγχου, οι οποίες αποσκοπούν στη διασφάλιση της ποιότητας των στοιχείων. </w:t>
      </w:r>
    </w:p>
    <w:p w14:paraId="0E7F7637" w14:textId="77777777" w:rsidR="00965570" w:rsidRPr="00965570" w:rsidRDefault="00965570" w:rsidP="00965570">
      <w:pPr>
        <w:jc w:val="both"/>
        <w:rPr>
          <w:rFonts w:ascii="Verdana" w:hAnsi="Verdana" w:cs="Calibri"/>
          <w:sz w:val="18"/>
          <w:szCs w:val="18"/>
          <w:lang w:val="el-GR"/>
        </w:rPr>
      </w:pPr>
    </w:p>
    <w:p w14:paraId="4AE6D826" w14:textId="77777777" w:rsidR="00965570" w:rsidRPr="00965570" w:rsidRDefault="00965570" w:rsidP="00965570">
      <w:pPr>
        <w:jc w:val="both"/>
        <w:rPr>
          <w:rFonts w:ascii="Verdana" w:hAnsi="Verdana" w:cs="Calibri"/>
          <w:sz w:val="18"/>
          <w:szCs w:val="18"/>
          <w:u w:val="single"/>
          <w:lang w:val="el-GR"/>
        </w:rPr>
      </w:pPr>
      <w:r w:rsidRPr="00965570">
        <w:rPr>
          <w:rFonts w:ascii="Verdana" w:hAnsi="Verdana" w:cs="Calibri"/>
          <w:b/>
          <w:bCs/>
          <w:sz w:val="18"/>
          <w:szCs w:val="18"/>
          <w:u w:val="single"/>
          <w:lang w:val="el-GR"/>
        </w:rPr>
        <w:t>Μέθοδος Συλλογής Στοιχείων</w:t>
      </w:r>
    </w:p>
    <w:p w14:paraId="14FEFE2D" w14:textId="77777777" w:rsidR="00965570" w:rsidRPr="00965570" w:rsidRDefault="00965570" w:rsidP="00965570">
      <w:pPr>
        <w:jc w:val="both"/>
        <w:rPr>
          <w:rFonts w:ascii="Verdana" w:hAnsi="Verdana" w:cs="Calibri"/>
          <w:sz w:val="18"/>
          <w:szCs w:val="18"/>
          <w:lang w:val="el-GR"/>
        </w:rPr>
      </w:pPr>
    </w:p>
    <w:p w14:paraId="1569CC0F" w14:textId="77777777" w:rsidR="00965570" w:rsidRPr="00965570" w:rsidRDefault="00965570" w:rsidP="00965570">
      <w:pPr>
        <w:jc w:val="both"/>
        <w:rPr>
          <w:rFonts w:ascii="Verdana" w:hAnsi="Verdana" w:cs="Calibri"/>
          <w:sz w:val="18"/>
          <w:szCs w:val="18"/>
          <w:lang w:val="el-GR"/>
        </w:rPr>
      </w:pPr>
      <w:r w:rsidRPr="00965570">
        <w:rPr>
          <w:rFonts w:ascii="Verdana" w:hAnsi="Verdana" w:cs="Calibri"/>
          <w:sz w:val="18"/>
          <w:szCs w:val="18"/>
          <w:lang w:val="el-GR"/>
        </w:rPr>
        <w:t xml:space="preserve">Σύμφωνα με τον αρχικό προγραμματισμό, τα στοιχεία θα συλλέγονταν με τη διενέργεια προσωπικών ή τηλεφωνικών συνεντεύξεων (παραδοσιακή μέθοδος) με τη χρήση φορητού υπολογιστή ή με τη συμπλήρωση έντυπου ερωτηματολογίου από τους ίδιους τους απογραφόμενους. </w:t>
      </w:r>
    </w:p>
    <w:p w14:paraId="16C60869" w14:textId="77777777" w:rsidR="00965570" w:rsidRPr="00965570" w:rsidRDefault="00965570" w:rsidP="00965570">
      <w:pPr>
        <w:jc w:val="both"/>
        <w:rPr>
          <w:rFonts w:ascii="Verdana" w:hAnsi="Verdana" w:cs="Calibri"/>
          <w:sz w:val="18"/>
          <w:szCs w:val="18"/>
          <w:lang w:val="el-GR"/>
        </w:rPr>
      </w:pPr>
    </w:p>
    <w:p w14:paraId="463D5705" w14:textId="77777777" w:rsidR="00965570" w:rsidRPr="00965570" w:rsidRDefault="00965570" w:rsidP="00965570">
      <w:pPr>
        <w:jc w:val="both"/>
        <w:rPr>
          <w:rFonts w:ascii="Verdana" w:hAnsi="Verdana" w:cs="Calibri"/>
          <w:sz w:val="18"/>
          <w:szCs w:val="18"/>
          <w:lang w:val="el-GR"/>
        </w:rPr>
      </w:pPr>
      <w:r w:rsidRPr="00965570">
        <w:rPr>
          <w:rFonts w:ascii="Verdana" w:hAnsi="Verdana" w:cs="Calibri"/>
          <w:sz w:val="18"/>
          <w:szCs w:val="18"/>
          <w:lang w:val="el-GR"/>
        </w:rPr>
        <w:t xml:space="preserve">Για τη διεκπεραίωση του έργου θα απασχολούνταν περίπου 1.000 απογραφείς </w:t>
      </w:r>
      <w:proofErr w:type="spellStart"/>
      <w:r w:rsidRPr="00965570">
        <w:rPr>
          <w:rFonts w:ascii="Verdana" w:hAnsi="Verdana" w:cs="Calibri"/>
          <w:sz w:val="18"/>
          <w:szCs w:val="18"/>
          <w:lang w:val="el-GR"/>
        </w:rPr>
        <w:t>παγκύπρια</w:t>
      </w:r>
      <w:proofErr w:type="spellEnd"/>
      <w:r w:rsidRPr="00965570">
        <w:rPr>
          <w:rFonts w:ascii="Verdana" w:hAnsi="Verdana" w:cs="Calibri"/>
          <w:sz w:val="18"/>
          <w:szCs w:val="18"/>
          <w:lang w:val="el-GR"/>
        </w:rPr>
        <w:t xml:space="preserve">. Λόγω του ότι δεν υπήρξε το αναμενόμενο ενδιαφέρον από υποψηφίους, στο έργο απασχολήθηκε πολύ μικρότερος αριθμός </w:t>
      </w:r>
      <w:proofErr w:type="spellStart"/>
      <w:r w:rsidRPr="00965570">
        <w:rPr>
          <w:rFonts w:ascii="Verdana" w:hAnsi="Verdana" w:cs="Calibri"/>
          <w:sz w:val="18"/>
          <w:szCs w:val="18"/>
          <w:lang w:val="el-GR"/>
        </w:rPr>
        <w:t>απογραφέων</w:t>
      </w:r>
      <w:proofErr w:type="spellEnd"/>
      <w:r w:rsidRPr="00965570">
        <w:rPr>
          <w:rFonts w:ascii="Verdana" w:hAnsi="Verdana" w:cs="Calibri"/>
          <w:sz w:val="18"/>
          <w:szCs w:val="18"/>
          <w:lang w:val="el-GR"/>
        </w:rPr>
        <w:t xml:space="preserve">, έχοντας επιπτώσεις στο χρονοδιάγραμμα διεκπεραίωσής του. Επιπρόσθετα, οι ιδιαίτερες συνθήκες που επικρατούσαν το φθινόπωρο του 2021 λόγω της έξαρσης της νόσου του </w:t>
      </w:r>
      <w:proofErr w:type="spellStart"/>
      <w:r w:rsidRPr="00965570">
        <w:rPr>
          <w:rFonts w:ascii="Verdana" w:hAnsi="Verdana" w:cs="Calibri"/>
          <w:sz w:val="18"/>
          <w:szCs w:val="18"/>
          <w:lang w:val="el-GR"/>
        </w:rPr>
        <w:t>κορωνοϊού</w:t>
      </w:r>
      <w:proofErr w:type="spellEnd"/>
      <w:r w:rsidRPr="00965570">
        <w:rPr>
          <w:rFonts w:ascii="Verdana" w:hAnsi="Verdana" w:cs="Calibri"/>
          <w:sz w:val="18"/>
          <w:szCs w:val="18"/>
          <w:lang w:val="el-GR"/>
        </w:rPr>
        <w:t xml:space="preserve"> (</w:t>
      </w:r>
      <w:r w:rsidRPr="00965570">
        <w:rPr>
          <w:rFonts w:ascii="Verdana" w:hAnsi="Verdana" w:cs="Calibri"/>
          <w:sz w:val="18"/>
          <w:szCs w:val="18"/>
        </w:rPr>
        <w:t>COVID</w:t>
      </w:r>
      <w:r w:rsidRPr="00965570">
        <w:rPr>
          <w:rFonts w:ascii="Verdana" w:hAnsi="Verdana" w:cs="Calibri"/>
          <w:sz w:val="18"/>
          <w:szCs w:val="18"/>
          <w:lang w:val="el-GR"/>
        </w:rPr>
        <w:t>-19), αποτέλεσαν ακόμη έναν ανασταλτικό παράγοντα στην εξέλιξη του έργου θέτοντας την ολοκλήρωση της Απογραφής εκτός του αρχικού προγραμματισμού (τέλος Δεκεμβρίου 2021).</w:t>
      </w:r>
    </w:p>
    <w:p w14:paraId="3A404178" w14:textId="77777777" w:rsidR="00965570" w:rsidRPr="00965570" w:rsidRDefault="00965570" w:rsidP="00965570">
      <w:pPr>
        <w:jc w:val="both"/>
        <w:rPr>
          <w:rFonts w:ascii="Verdana" w:hAnsi="Verdana" w:cs="Calibri"/>
          <w:sz w:val="18"/>
          <w:szCs w:val="18"/>
          <w:lang w:val="el-GR"/>
        </w:rPr>
      </w:pPr>
    </w:p>
    <w:p w14:paraId="4E1C6C96" w14:textId="77777777" w:rsidR="00965570" w:rsidRPr="00965570" w:rsidRDefault="00965570" w:rsidP="00965570">
      <w:pPr>
        <w:jc w:val="both"/>
        <w:rPr>
          <w:rFonts w:ascii="Verdana" w:hAnsi="Verdana" w:cs="Calibri"/>
          <w:sz w:val="18"/>
          <w:szCs w:val="18"/>
          <w:lang w:val="el-GR"/>
        </w:rPr>
      </w:pPr>
      <w:r w:rsidRPr="00965570">
        <w:rPr>
          <w:rFonts w:ascii="Verdana" w:hAnsi="Verdana" w:cs="Calibri"/>
          <w:sz w:val="18"/>
          <w:szCs w:val="18"/>
          <w:lang w:val="el-GR"/>
        </w:rPr>
        <w:t>Ως εκ τούτου για την ολοκλήρωση του έργου κρίθηκε αναγκαία η τροποποίηση της αρχικής μεθόδου συλλογής στοιχείων. Συγκεκριμένα, υιοθετήθηκαν νέες μέθοδοι, οι οποίες αφορούσαν στην αξιοποίηση διοικητικών αρχείων ως συμπληρωματικές πηγές πληροφόρησης καθώς και στη χρήση σύγχρονης τεχνολογίας. Οι διοικητικές πηγές, οι οποίες αξιοποιήθηκαν από τη Στατιστική Υπηρεσία για τον σκοπό αυτό μετά από έγκριση της Επιτρόπου Προστασίας Δεδομένων Προσωπικού Χαρακτήρα, χρησιμοποιήθηκαν για τη συμπλήρωση κύριων δημογραφικών χαρακτηριστικών του πληθυσμού, όπως τόπο διαμονής, φύλο, ηλικία, υπηκοότητα κλπ. Οι πηγές αυτές αφορούσαν κυρίως το Αρχείο Δικαιούχων του Οργανισμού Ασφάλισης Υγείας, το Αρχείο Γεννήσεων, το Αρχείο Θανάτων καθώς και το Αρχείο Πληθυσμού.</w:t>
      </w:r>
    </w:p>
    <w:p w14:paraId="337EA816" w14:textId="77777777" w:rsidR="00965570" w:rsidRPr="00965570" w:rsidRDefault="00965570" w:rsidP="00965570">
      <w:pPr>
        <w:jc w:val="both"/>
        <w:rPr>
          <w:rFonts w:ascii="Verdana" w:hAnsi="Verdana" w:cs="Calibri"/>
          <w:sz w:val="18"/>
          <w:szCs w:val="18"/>
          <w:lang w:val="el-GR"/>
        </w:rPr>
      </w:pPr>
    </w:p>
    <w:p w14:paraId="1D03158F" w14:textId="77777777" w:rsidR="00965570" w:rsidRPr="00965570" w:rsidRDefault="00965570" w:rsidP="00965570">
      <w:pPr>
        <w:jc w:val="both"/>
        <w:rPr>
          <w:rFonts w:ascii="Verdana" w:hAnsi="Verdana" w:cs="Calibri"/>
          <w:sz w:val="18"/>
          <w:szCs w:val="18"/>
          <w:lang w:val="el-GR"/>
        </w:rPr>
      </w:pPr>
      <w:r w:rsidRPr="00965570">
        <w:rPr>
          <w:rFonts w:ascii="Verdana" w:hAnsi="Verdana" w:cs="Calibri"/>
          <w:sz w:val="18"/>
          <w:szCs w:val="18"/>
          <w:lang w:val="el-GR"/>
        </w:rPr>
        <w:t xml:space="preserve">Τα προκαταρκτικά αποτελέσματα προέκυψαν, τόσο από τη συλλογή στοιχείων με την παραδοσιακή μέθοδο (όπου επιτεύχθηκε κάλυψη για το 80% του πληθυσμού) όσο και από διοικητικές πηγές (για την κάλυψη του  υπόλοιπου πληθυσμού). Στη συνέχεια και για την ολοκλήρωση του έργου θα γίνεται έλεγχος και συμπλήρωση δεδομένων, είτε με προσωπικές/τηλεφωνικές συνεντεύξεις είτε με την περαιτέρω επεξεργασία των διαθέσιμων διοικητικών πηγών. </w:t>
      </w:r>
    </w:p>
    <w:p w14:paraId="1A5EBFF4" w14:textId="77777777" w:rsidR="00965570" w:rsidRPr="00965570" w:rsidRDefault="00965570" w:rsidP="00965570">
      <w:pPr>
        <w:jc w:val="both"/>
        <w:rPr>
          <w:rFonts w:ascii="Verdana" w:hAnsi="Verdana" w:cs="Calibri"/>
          <w:sz w:val="18"/>
          <w:szCs w:val="18"/>
          <w:lang w:val="el-GR"/>
        </w:rPr>
      </w:pPr>
    </w:p>
    <w:p w14:paraId="3FF6C58A" w14:textId="77777777" w:rsidR="00965570" w:rsidRPr="00965570" w:rsidRDefault="00965570" w:rsidP="00965570">
      <w:pPr>
        <w:jc w:val="both"/>
        <w:rPr>
          <w:rFonts w:ascii="Verdana" w:hAnsi="Verdana" w:cs="Calibri"/>
          <w:sz w:val="18"/>
          <w:szCs w:val="18"/>
          <w:lang w:val="el-GR"/>
        </w:rPr>
      </w:pPr>
      <w:r w:rsidRPr="00965570">
        <w:rPr>
          <w:rFonts w:ascii="Verdana" w:hAnsi="Verdana" w:cs="Calibri"/>
          <w:sz w:val="18"/>
          <w:szCs w:val="18"/>
          <w:lang w:val="el-GR"/>
        </w:rPr>
        <w:t>Η χρήση διοικητικών πηγών για σκοπούς διενέργειας της Απογραφής Πληθυσμού είναι μία πρακτική που παρατηρείται σε πολλές ευρωπαϊκές χώρες εδώ και καιρό. Σύμφωνα με τις τελευταίες διαθέσιμες πληροφορίες, ποσοστό 38% περίπου των χωρών της ΕΕ επέλεξε να διεκπεραιώσει την Απογραφή Πληθυσμού 2021 με την αποκλειστική χρήση διοικητικών πηγών, ενώ ένα επίσης σημαντικό ποσοστό της τάξης του 35% επέλεξε τον συνδυασμό της παραδοσιακής Απογραφής με τη χρήση διοικητικών πηγών (</w:t>
      </w:r>
      <w:r w:rsidRPr="00965570">
        <w:rPr>
          <w:rFonts w:ascii="Verdana" w:hAnsi="Verdana" w:cs="Calibri"/>
          <w:sz w:val="18"/>
          <w:szCs w:val="18"/>
        </w:rPr>
        <w:t>combined</w:t>
      </w:r>
      <w:r w:rsidRPr="00965570">
        <w:rPr>
          <w:rFonts w:ascii="Verdana" w:hAnsi="Verdana" w:cs="Calibri"/>
          <w:sz w:val="18"/>
          <w:szCs w:val="18"/>
          <w:lang w:val="el-GR"/>
        </w:rPr>
        <w:t xml:space="preserve"> </w:t>
      </w:r>
      <w:r w:rsidRPr="00965570">
        <w:rPr>
          <w:rFonts w:ascii="Verdana" w:hAnsi="Verdana" w:cs="Calibri"/>
          <w:sz w:val="18"/>
          <w:szCs w:val="18"/>
        </w:rPr>
        <w:t>Census</w:t>
      </w:r>
      <w:r w:rsidRPr="00965570">
        <w:rPr>
          <w:rFonts w:ascii="Verdana" w:hAnsi="Verdana" w:cs="Calibri"/>
          <w:sz w:val="18"/>
          <w:szCs w:val="18"/>
          <w:lang w:val="el-GR"/>
        </w:rPr>
        <w:t>). Την παραδοσιακή μέθοδο συλλογής στοιχείων με συνεντεύξεις επέλεξε το 27% των χωρών της ΕΕ.</w:t>
      </w:r>
    </w:p>
    <w:p w14:paraId="79050710" w14:textId="77777777" w:rsidR="00965570" w:rsidRPr="00965570" w:rsidRDefault="00965570" w:rsidP="00965570">
      <w:pPr>
        <w:jc w:val="both"/>
        <w:rPr>
          <w:rFonts w:ascii="Verdana" w:hAnsi="Verdana" w:cs="Calibri"/>
          <w:sz w:val="18"/>
          <w:szCs w:val="18"/>
          <w:lang w:val="el-GR"/>
        </w:rPr>
      </w:pPr>
    </w:p>
    <w:p w14:paraId="50ECD909" w14:textId="77777777" w:rsidR="00965570" w:rsidRPr="00965570" w:rsidRDefault="00965570" w:rsidP="00965570">
      <w:pPr>
        <w:jc w:val="both"/>
        <w:rPr>
          <w:rFonts w:ascii="Verdana" w:hAnsi="Verdana" w:cs="Calibri"/>
          <w:bCs/>
          <w:sz w:val="18"/>
          <w:szCs w:val="18"/>
          <w:lang w:val="el-GR"/>
        </w:rPr>
      </w:pPr>
      <w:r w:rsidRPr="00965570">
        <w:rPr>
          <w:rFonts w:ascii="Verdana" w:hAnsi="Verdana" w:cs="Calibri"/>
          <w:sz w:val="18"/>
          <w:szCs w:val="18"/>
          <w:lang w:val="el-GR"/>
        </w:rPr>
        <w:t xml:space="preserve">Επιδίωξη είναι το πλαίσιο που θα προκύψει από την Απογραφή Πληθυσμού να αποτελέσει ένα Δυναμικό Στατιστικό Μητρώο Πληθυσμού </w:t>
      </w:r>
      <w:r w:rsidRPr="00965570">
        <w:rPr>
          <w:rFonts w:ascii="Verdana" w:hAnsi="Verdana" w:cs="Calibri"/>
          <w:bCs/>
          <w:sz w:val="18"/>
          <w:szCs w:val="18"/>
          <w:lang w:val="el-GR"/>
        </w:rPr>
        <w:t>το οποίο στο εξής θα ενημερώνεται σε συνεχή βάση από διάφορες διοικητικές πηγές. Ως αποτέλεσμα, δεν θα υφίσταται πλέον η ανάγκη διεξαγωγής της Απογραφής Πληθυσμού από πόρτα σε πόρτα στο σύνολο του πληθυσμού. Το Δυναμικό Στατιστικό Μητρώο Πληθυσμού θα αποτελέσει τη βάση για την παραγωγή πληθυσμιακών στοιχείων και δημογραφικών δεικτών ετησίως, με στόχο την άμεση πληροφόρηση και την υποβοήθηση χάραξης πολιτικής.</w:t>
      </w:r>
    </w:p>
    <w:p w14:paraId="294F2196" w14:textId="77777777" w:rsidR="00965570" w:rsidRPr="00965570" w:rsidRDefault="00965570" w:rsidP="00965570">
      <w:pPr>
        <w:jc w:val="both"/>
        <w:rPr>
          <w:rFonts w:ascii="Verdana" w:hAnsi="Verdana" w:cs="Calibri"/>
          <w:bCs/>
          <w:sz w:val="18"/>
          <w:szCs w:val="18"/>
          <w:lang w:val="el-GR"/>
        </w:rPr>
      </w:pPr>
      <w:r w:rsidRPr="00965570">
        <w:rPr>
          <w:rFonts w:ascii="Verdana" w:hAnsi="Verdana" w:cs="Calibri"/>
          <w:bCs/>
          <w:sz w:val="18"/>
          <w:szCs w:val="18"/>
          <w:lang w:val="el-GR"/>
        </w:rPr>
        <w:t xml:space="preserve"> </w:t>
      </w:r>
    </w:p>
    <w:p w14:paraId="5BC83FDF" w14:textId="77777777" w:rsidR="00965570" w:rsidRPr="00965570" w:rsidRDefault="00965570" w:rsidP="00965570">
      <w:pPr>
        <w:jc w:val="both"/>
        <w:rPr>
          <w:rFonts w:ascii="Verdana" w:hAnsi="Verdana" w:cs="Calibri"/>
          <w:sz w:val="18"/>
          <w:szCs w:val="18"/>
          <w:u w:val="single"/>
          <w:lang w:val="el-GR"/>
        </w:rPr>
      </w:pPr>
      <w:r w:rsidRPr="00965570">
        <w:rPr>
          <w:rFonts w:ascii="Verdana" w:hAnsi="Verdana" w:cs="Calibri"/>
          <w:b/>
          <w:bCs/>
          <w:sz w:val="18"/>
          <w:szCs w:val="18"/>
          <w:u w:val="single"/>
          <w:lang w:val="el-GR"/>
        </w:rPr>
        <w:t>Νομικό Πλαίσιο και Προστασία Δεδομένων</w:t>
      </w:r>
    </w:p>
    <w:p w14:paraId="2C4739AF" w14:textId="77777777" w:rsidR="00965570" w:rsidRPr="00965570" w:rsidRDefault="00965570" w:rsidP="00965570">
      <w:pPr>
        <w:jc w:val="both"/>
        <w:rPr>
          <w:rFonts w:ascii="Verdana" w:hAnsi="Verdana" w:cs="Calibri"/>
          <w:sz w:val="18"/>
          <w:szCs w:val="18"/>
          <w:lang w:val="el-GR"/>
        </w:rPr>
      </w:pPr>
    </w:p>
    <w:p w14:paraId="437CC916" w14:textId="77777777" w:rsidR="00965570" w:rsidRPr="00965570" w:rsidRDefault="00965570" w:rsidP="00965570">
      <w:pPr>
        <w:jc w:val="both"/>
        <w:rPr>
          <w:rFonts w:ascii="Verdana" w:hAnsi="Verdana" w:cs="Calibri"/>
          <w:b/>
          <w:bCs/>
          <w:sz w:val="18"/>
          <w:szCs w:val="18"/>
          <w:u w:val="single"/>
          <w:lang w:val="el-GR"/>
        </w:rPr>
      </w:pPr>
      <w:r w:rsidRPr="00965570">
        <w:rPr>
          <w:rFonts w:ascii="Verdana" w:hAnsi="Verdana" w:cs="Calibri"/>
          <w:sz w:val="18"/>
          <w:szCs w:val="18"/>
          <w:lang w:val="el-GR"/>
        </w:rPr>
        <w:t>Η Απογραφή Πληθυσμού 2021 διενεργήθηκε σε όλα τα Κράτη Μέλη της ΕΕ, ακολουθώντας κοινές έννοιες και ορισμούς, βάσει του Κανονισμού (ΕΚ) αριθ. 763/2008 του Ευρωπαϊκού Κοινοβουλίου και του Συμβουλίου της 9</w:t>
      </w:r>
      <w:r w:rsidRPr="00965570">
        <w:rPr>
          <w:rFonts w:ascii="Verdana" w:hAnsi="Verdana" w:cs="Calibri"/>
          <w:sz w:val="18"/>
          <w:szCs w:val="18"/>
          <w:vertAlign w:val="superscript"/>
          <w:lang w:val="el-GR"/>
        </w:rPr>
        <w:t>ης</w:t>
      </w:r>
      <w:r w:rsidRPr="00965570">
        <w:rPr>
          <w:rFonts w:ascii="Verdana" w:hAnsi="Verdana" w:cs="Calibri"/>
          <w:sz w:val="18"/>
          <w:szCs w:val="18"/>
          <w:lang w:val="el-GR"/>
        </w:rPr>
        <w:t xml:space="preserve"> Ιουλίου 2008 σχετικά με τις απογραφές πληθυσμού και στέγασης.</w:t>
      </w:r>
    </w:p>
    <w:p w14:paraId="253B3B05" w14:textId="77777777" w:rsidR="00965570" w:rsidRPr="00965570" w:rsidRDefault="00965570" w:rsidP="00965570">
      <w:pPr>
        <w:jc w:val="both"/>
        <w:rPr>
          <w:rFonts w:ascii="Verdana" w:hAnsi="Verdana" w:cs="Calibri"/>
          <w:sz w:val="18"/>
          <w:szCs w:val="18"/>
          <w:lang w:val="el-GR"/>
        </w:rPr>
      </w:pPr>
    </w:p>
    <w:p w14:paraId="6C53E31D" w14:textId="34146F9B" w:rsidR="006B3B04" w:rsidRDefault="00965570" w:rsidP="00965570">
      <w:pPr>
        <w:jc w:val="both"/>
        <w:rPr>
          <w:rFonts w:ascii="Verdana" w:hAnsi="Verdana" w:cs="Calibri"/>
          <w:b/>
          <w:bCs/>
          <w:sz w:val="18"/>
          <w:szCs w:val="18"/>
          <w:lang w:val="el-GR"/>
        </w:rPr>
      </w:pPr>
      <w:r w:rsidRPr="00965570">
        <w:rPr>
          <w:rFonts w:ascii="Verdana" w:hAnsi="Verdana" w:cs="Calibri"/>
          <w:sz w:val="18"/>
          <w:szCs w:val="18"/>
          <w:lang w:val="el-GR"/>
        </w:rPr>
        <w:t xml:space="preserve">Η διενέργεια της Απογραφής στην Κύπρο </w:t>
      </w:r>
      <w:proofErr w:type="spellStart"/>
      <w:r w:rsidRPr="00965570">
        <w:rPr>
          <w:rFonts w:ascii="Verdana" w:hAnsi="Verdana" w:cs="Calibri"/>
          <w:sz w:val="18"/>
          <w:szCs w:val="18"/>
          <w:lang w:val="el-GR"/>
        </w:rPr>
        <w:t>διέπετο</w:t>
      </w:r>
      <w:proofErr w:type="spellEnd"/>
      <w:r w:rsidRPr="00965570">
        <w:rPr>
          <w:rFonts w:ascii="Verdana" w:hAnsi="Verdana" w:cs="Calibri"/>
          <w:sz w:val="18"/>
          <w:szCs w:val="18"/>
          <w:lang w:val="el-GR"/>
        </w:rPr>
        <w:t xml:space="preserve"> επίσης από τον περί Επίσημων Στατιστικών Νόμο του 2021 (Ν. 25(Ι)/2021). Σύμφωνα με τον εν λόγω Νόμο, τα στοιχεία που συλλέχθηκαν </w:t>
      </w:r>
      <w:r w:rsidRPr="00457B0F">
        <w:rPr>
          <w:rFonts w:ascii="Verdana" w:hAnsi="Verdana" w:cs="Calibri"/>
          <w:b/>
          <w:bCs/>
          <w:sz w:val="18"/>
          <w:szCs w:val="18"/>
          <w:lang w:val="el-GR"/>
        </w:rPr>
        <w:t>τηρούνται</w:t>
      </w:r>
      <w:r w:rsidRPr="00965570">
        <w:rPr>
          <w:rFonts w:ascii="Verdana" w:hAnsi="Verdana" w:cs="Calibri"/>
          <w:sz w:val="18"/>
          <w:szCs w:val="18"/>
          <w:lang w:val="el-GR"/>
        </w:rPr>
        <w:t xml:space="preserve"> </w:t>
      </w:r>
      <w:r w:rsidRPr="00965570">
        <w:rPr>
          <w:rFonts w:ascii="Verdana" w:hAnsi="Verdana" w:cs="Calibri"/>
          <w:b/>
          <w:bCs/>
          <w:sz w:val="18"/>
          <w:szCs w:val="18"/>
          <w:lang w:val="el-GR"/>
        </w:rPr>
        <w:t>ως εμπιστευτικά και χρησιμοποιούνται αποκλειστικά και μόνο για στατιστικούς σκοπούς.</w:t>
      </w:r>
    </w:p>
    <w:p w14:paraId="0F0A6C2C" w14:textId="77777777" w:rsidR="006B3B04" w:rsidRDefault="006B3B04">
      <w:pPr>
        <w:rPr>
          <w:rFonts w:ascii="Verdana" w:hAnsi="Verdana" w:cs="Calibri"/>
          <w:b/>
          <w:bCs/>
          <w:sz w:val="18"/>
          <w:szCs w:val="18"/>
          <w:lang w:val="el-GR"/>
        </w:rPr>
      </w:pPr>
      <w:r>
        <w:rPr>
          <w:rFonts w:ascii="Verdana" w:hAnsi="Verdana" w:cs="Calibri"/>
          <w:b/>
          <w:bCs/>
          <w:sz w:val="18"/>
          <w:szCs w:val="18"/>
          <w:lang w:val="el-GR"/>
        </w:rPr>
        <w:br w:type="page"/>
      </w:r>
    </w:p>
    <w:p w14:paraId="693CC77E" w14:textId="77777777" w:rsidR="00965570" w:rsidRPr="00965570" w:rsidRDefault="00965570" w:rsidP="00965570">
      <w:pPr>
        <w:jc w:val="both"/>
        <w:rPr>
          <w:rFonts w:ascii="Verdana" w:hAnsi="Verdana" w:cs="Calibri"/>
          <w:sz w:val="18"/>
          <w:szCs w:val="18"/>
          <w:lang w:val="el-GR"/>
        </w:rPr>
      </w:pPr>
    </w:p>
    <w:p w14:paraId="5BBE25A2" w14:textId="77777777" w:rsidR="00965570" w:rsidRPr="00965570" w:rsidRDefault="00965570" w:rsidP="00965570">
      <w:pPr>
        <w:shd w:val="clear" w:color="auto" w:fill="FFFFFF"/>
        <w:jc w:val="both"/>
        <w:rPr>
          <w:rFonts w:ascii="Verdana" w:hAnsi="Verdana" w:cs="Calibri"/>
          <w:sz w:val="18"/>
          <w:szCs w:val="18"/>
          <w:lang w:val="el-GR"/>
        </w:rPr>
      </w:pPr>
      <w:r w:rsidRPr="00965570">
        <w:rPr>
          <w:rFonts w:ascii="Verdana" w:hAnsi="Verdana" w:cs="Calibri"/>
          <w:sz w:val="18"/>
          <w:szCs w:val="18"/>
          <w:lang w:val="el-GR"/>
        </w:rPr>
        <w:t>Η Στατιστική Υπηρεσία εφαρμόζει αυστηρά το στατιστικό απόρρητο. Οι εσωτερικές διαδικασίες που απορρέουν από την εφαρμογή του στατιστικού απορρήτου, καλύπτουν πλήρως τις πρόνοιες του Γενικού Κανονισμού για την Προστασία Δεδομένων (ΕΕ) 2016/679 (ΓΚΠΔ), διασφαλίζοντας την προστασία των δεδομένων σε κάθε στάδιο, από τη συλλογή έως και τη δημοσίευση. Τα στοιχεία που παράγονται δημοσιοποιούνται πάντοτε σε συγκεντρωτική μορφή ώστε να μην μπορεί να αποκαλυφθεί άμεσα ή έμμεσα η ταυτότητα οποιωνδήποτε προσώπων.</w:t>
      </w:r>
    </w:p>
    <w:p w14:paraId="041517BE" w14:textId="77777777" w:rsidR="00463FE1" w:rsidRPr="00965570" w:rsidRDefault="00463FE1" w:rsidP="00AC32BD">
      <w:pPr>
        <w:jc w:val="both"/>
        <w:rPr>
          <w:rFonts w:ascii="Verdana" w:eastAsia="Malgun Gothic" w:hAnsi="Verdana" w:cs="Calibri"/>
          <w:b/>
          <w:sz w:val="18"/>
          <w:szCs w:val="18"/>
          <w:u w:val="single"/>
          <w:lang w:val="el-GR"/>
        </w:rPr>
      </w:pPr>
    </w:p>
    <w:p w14:paraId="5540AC56" w14:textId="77777777" w:rsidR="00463FE1" w:rsidRPr="00965570" w:rsidRDefault="00463FE1" w:rsidP="00AC32BD">
      <w:pPr>
        <w:jc w:val="both"/>
        <w:rPr>
          <w:rFonts w:ascii="Verdana" w:eastAsia="Malgun Gothic" w:hAnsi="Verdana" w:cs="Calibri"/>
          <w:b/>
          <w:sz w:val="18"/>
          <w:szCs w:val="18"/>
          <w:u w:val="single"/>
          <w:lang w:val="el-GR"/>
        </w:rPr>
      </w:pPr>
    </w:p>
    <w:p w14:paraId="383C75E4" w14:textId="77777777" w:rsidR="00463FE1" w:rsidRPr="00965570" w:rsidRDefault="00463FE1" w:rsidP="00AC32BD">
      <w:pPr>
        <w:rPr>
          <w:rFonts w:ascii="Verdana" w:hAnsi="Verdana"/>
          <w:i/>
          <w:sz w:val="18"/>
          <w:szCs w:val="18"/>
          <w:lang w:val="el-GR"/>
        </w:rPr>
      </w:pPr>
      <w:r w:rsidRPr="00965570">
        <w:rPr>
          <w:rFonts w:ascii="Verdana" w:hAnsi="Verdana"/>
          <w:b/>
          <w:i/>
          <w:sz w:val="18"/>
          <w:szCs w:val="18"/>
          <w:lang w:val="el-GR"/>
        </w:rPr>
        <w:t>Για περισσότερες πληροφορίες:</w:t>
      </w:r>
      <w:r w:rsidRPr="00965570">
        <w:rPr>
          <w:rFonts w:ascii="Verdana" w:hAnsi="Verdana"/>
          <w:i/>
          <w:sz w:val="18"/>
          <w:szCs w:val="18"/>
          <w:lang w:val="el-GR"/>
        </w:rPr>
        <w:t xml:space="preserve"> </w:t>
      </w:r>
    </w:p>
    <w:p w14:paraId="31077DDA" w14:textId="245F7664" w:rsidR="00204C29" w:rsidRPr="00204C29" w:rsidRDefault="00204C29" w:rsidP="00204C29">
      <w:pPr>
        <w:ind w:right="-79"/>
        <w:jc w:val="both"/>
        <w:rPr>
          <w:rFonts w:ascii="Verdana" w:eastAsia="Malgun Gothic" w:hAnsi="Verdana" w:cs="Arial"/>
          <w:sz w:val="18"/>
          <w:szCs w:val="18"/>
          <w:lang w:val="el-GR"/>
        </w:rPr>
      </w:pPr>
      <w:r w:rsidRPr="00204C29">
        <w:rPr>
          <w:rFonts w:ascii="Verdana" w:eastAsia="Malgun Gothic" w:hAnsi="Verdana" w:cs="Arial"/>
          <w:sz w:val="18"/>
          <w:szCs w:val="18"/>
          <w:lang w:val="el-GR"/>
        </w:rPr>
        <w:t xml:space="preserve">Πύλη Στατιστικής Υπηρεσίας, υπόθεμα </w:t>
      </w:r>
      <w:hyperlink r:id="rId12" w:tooltip="Πληθυσμός" w:history="1">
        <w:r w:rsidRPr="00204C29">
          <w:rPr>
            <w:rStyle w:val="Hyperlink"/>
            <w:rFonts w:ascii="Verdana" w:eastAsia="Malgun Gothic" w:hAnsi="Verdana" w:cs="Arial"/>
            <w:sz w:val="18"/>
            <w:szCs w:val="18"/>
            <w:lang w:val="el-GR"/>
          </w:rPr>
          <w:t>Πληθυσμός</w:t>
        </w:r>
      </w:hyperlink>
    </w:p>
    <w:p w14:paraId="0773D995" w14:textId="47718B62" w:rsidR="00204C29" w:rsidRPr="00204C29" w:rsidRDefault="00000000" w:rsidP="00204C29">
      <w:pPr>
        <w:ind w:right="-79"/>
        <w:jc w:val="both"/>
        <w:rPr>
          <w:rFonts w:ascii="Verdana" w:eastAsia="Malgun Gothic" w:hAnsi="Verdana" w:cs="Arial"/>
          <w:sz w:val="18"/>
          <w:szCs w:val="18"/>
          <w:lang w:val="el-GR"/>
        </w:rPr>
      </w:pPr>
      <w:hyperlink r:id="rId13" w:history="1">
        <w:r w:rsidR="00204C29" w:rsidRPr="00204C29">
          <w:rPr>
            <w:rStyle w:val="Hyperlink"/>
            <w:rFonts w:ascii="Verdana" w:eastAsia="Malgun Gothic" w:hAnsi="Verdana" w:cs="Arial"/>
            <w:sz w:val="18"/>
            <w:szCs w:val="18"/>
            <w:lang w:val="el-GR"/>
          </w:rPr>
          <w:t>CYSTAT-DB</w:t>
        </w:r>
      </w:hyperlink>
      <w:r w:rsidR="00204C29" w:rsidRPr="00204C29">
        <w:rPr>
          <w:rFonts w:ascii="Verdana" w:eastAsia="Malgun Gothic" w:hAnsi="Verdana" w:cs="Arial"/>
          <w:sz w:val="18"/>
          <w:szCs w:val="18"/>
          <w:lang w:val="el-GR"/>
        </w:rPr>
        <w:t xml:space="preserve"> (Βάση Δεδομένων)</w:t>
      </w:r>
    </w:p>
    <w:p w14:paraId="026EEFC1" w14:textId="796BAA5D" w:rsidR="00204C29" w:rsidRPr="00204C29" w:rsidRDefault="00000000" w:rsidP="00204C29">
      <w:pPr>
        <w:ind w:right="-79"/>
        <w:jc w:val="both"/>
        <w:rPr>
          <w:rFonts w:ascii="Verdana" w:eastAsia="Malgun Gothic" w:hAnsi="Verdana" w:cs="Arial"/>
          <w:sz w:val="18"/>
          <w:szCs w:val="18"/>
          <w:lang w:val="el-GR"/>
        </w:rPr>
      </w:pPr>
      <w:hyperlink r:id="rId14" w:history="1">
        <w:r w:rsidR="00204C29" w:rsidRPr="00204C29">
          <w:rPr>
            <w:rStyle w:val="Hyperlink"/>
            <w:rFonts w:ascii="Verdana" w:eastAsia="Malgun Gothic" w:hAnsi="Verdana" w:cs="Arial"/>
            <w:sz w:val="18"/>
            <w:szCs w:val="18"/>
            <w:lang w:val="el-GR"/>
          </w:rPr>
          <w:t>Προκαθορισμένοι Πίνακες</w:t>
        </w:r>
      </w:hyperlink>
      <w:r w:rsidR="00204C29" w:rsidRPr="00204C29">
        <w:rPr>
          <w:rFonts w:ascii="Verdana" w:eastAsia="Malgun Gothic" w:hAnsi="Verdana" w:cs="Arial"/>
          <w:sz w:val="18"/>
          <w:szCs w:val="18"/>
          <w:lang w:val="el-GR"/>
        </w:rPr>
        <w:t xml:space="preserve"> (Excel)</w:t>
      </w:r>
    </w:p>
    <w:p w14:paraId="2E96E98D" w14:textId="77777777" w:rsidR="00204C29" w:rsidRPr="00AC32BD" w:rsidRDefault="00204C29" w:rsidP="00204C29">
      <w:pPr>
        <w:ind w:right="-79"/>
        <w:jc w:val="both"/>
        <w:rPr>
          <w:rFonts w:ascii="Verdana" w:eastAsia="Malgun Gothic" w:hAnsi="Verdana" w:cs="Arial"/>
          <w:sz w:val="18"/>
          <w:szCs w:val="18"/>
          <w:highlight w:val="yellow"/>
          <w:lang w:val="el-GR"/>
        </w:rPr>
      </w:pPr>
    </w:p>
    <w:p w14:paraId="71EEFAD7" w14:textId="77777777" w:rsidR="00463FE1" w:rsidRPr="00965570" w:rsidRDefault="00463FE1" w:rsidP="00AC32BD">
      <w:pPr>
        <w:jc w:val="both"/>
        <w:rPr>
          <w:rFonts w:ascii="Verdana" w:eastAsia="Malgun Gothic" w:hAnsi="Verdana" w:cs="Arial"/>
          <w:i/>
          <w:sz w:val="18"/>
          <w:szCs w:val="18"/>
          <w:u w:val="single"/>
          <w:lang w:val="el-GR"/>
        </w:rPr>
      </w:pPr>
      <w:r w:rsidRPr="00965570">
        <w:rPr>
          <w:rFonts w:ascii="Verdana" w:eastAsia="Malgun Gothic" w:hAnsi="Verdana" w:cs="Arial"/>
          <w:i/>
          <w:sz w:val="18"/>
          <w:szCs w:val="18"/>
          <w:u w:val="single"/>
          <w:lang w:val="el-GR"/>
        </w:rPr>
        <w:t>Επικοινωνία</w:t>
      </w:r>
    </w:p>
    <w:p w14:paraId="0AA9DF90" w14:textId="6B8DAB11" w:rsidR="00965570" w:rsidRPr="00107877" w:rsidRDefault="00965570" w:rsidP="00965570">
      <w:pPr>
        <w:jc w:val="both"/>
        <w:rPr>
          <w:rFonts w:ascii="Verdana" w:hAnsi="Verdana"/>
          <w:sz w:val="18"/>
          <w:szCs w:val="18"/>
          <w:lang w:val="el-GR"/>
        </w:rPr>
      </w:pPr>
      <w:r w:rsidRPr="00DD1BBD">
        <w:rPr>
          <w:rFonts w:ascii="Verdana" w:eastAsia="Malgun Gothic" w:hAnsi="Verdana" w:cs="Arial"/>
          <w:sz w:val="18"/>
          <w:szCs w:val="18"/>
          <w:lang w:val="el-GR"/>
        </w:rPr>
        <w:t xml:space="preserve">Λουκία Μακρή : </w:t>
      </w:r>
      <w:proofErr w:type="spellStart"/>
      <w:r w:rsidRPr="00DD1BBD">
        <w:rPr>
          <w:rFonts w:ascii="Verdana" w:eastAsia="Malgun Gothic" w:hAnsi="Verdana" w:cs="Arial"/>
          <w:sz w:val="18"/>
          <w:szCs w:val="18"/>
          <w:lang w:val="el-GR"/>
        </w:rPr>
        <w:t>Τηλ</w:t>
      </w:r>
      <w:proofErr w:type="spellEnd"/>
      <w:r w:rsidRPr="00DD1BBD">
        <w:rPr>
          <w:rFonts w:ascii="Verdana" w:eastAsia="Malgun Gothic" w:hAnsi="Verdana" w:cs="Arial"/>
          <w:sz w:val="18"/>
          <w:szCs w:val="18"/>
          <w:lang w:val="el-GR"/>
        </w:rPr>
        <w:t xml:space="preserve">.: +35722602150, </w:t>
      </w:r>
      <w:proofErr w:type="spellStart"/>
      <w:r w:rsidRPr="00DD1BBD">
        <w:rPr>
          <w:rFonts w:ascii="Verdana" w:eastAsia="Malgun Gothic" w:hAnsi="Verdana" w:cs="Arial"/>
          <w:sz w:val="18"/>
          <w:szCs w:val="18"/>
          <w:lang w:val="el-GR"/>
        </w:rPr>
        <w:t>Ηλ</w:t>
      </w:r>
      <w:proofErr w:type="spellEnd"/>
      <w:r w:rsidRPr="00DD1BBD">
        <w:rPr>
          <w:rFonts w:ascii="Verdana" w:eastAsia="Malgun Gothic" w:hAnsi="Verdana" w:cs="Arial"/>
          <w:sz w:val="18"/>
          <w:szCs w:val="18"/>
          <w:lang w:val="el-GR"/>
        </w:rPr>
        <w:t xml:space="preserve">. </w:t>
      </w:r>
      <w:proofErr w:type="spellStart"/>
      <w:r w:rsidRPr="00DD1BBD">
        <w:rPr>
          <w:rFonts w:ascii="Verdana" w:eastAsia="Malgun Gothic" w:hAnsi="Verdana" w:cs="Arial"/>
          <w:sz w:val="18"/>
          <w:szCs w:val="18"/>
          <w:lang w:val="el-GR"/>
        </w:rPr>
        <w:t>Ταχ</w:t>
      </w:r>
      <w:proofErr w:type="spellEnd"/>
      <w:r w:rsidRPr="00DD1BBD">
        <w:rPr>
          <w:rFonts w:ascii="Verdana" w:eastAsia="Malgun Gothic" w:hAnsi="Verdana" w:cs="Arial"/>
          <w:sz w:val="18"/>
          <w:szCs w:val="18"/>
          <w:lang w:val="el-GR"/>
        </w:rPr>
        <w:t xml:space="preserve">.: </w:t>
      </w:r>
      <w:hyperlink r:id="rId15" w:history="1">
        <w:r w:rsidR="00107877" w:rsidRPr="00377612">
          <w:rPr>
            <w:rStyle w:val="Hyperlink"/>
            <w:rFonts w:ascii="Verdana" w:eastAsia="Malgun Gothic" w:hAnsi="Verdana" w:cs="Arial"/>
            <w:sz w:val="18"/>
            <w:szCs w:val="18"/>
            <w:lang w:val="en-GB"/>
          </w:rPr>
          <w:t>lmakri</w:t>
        </w:r>
        <w:r w:rsidR="00107877" w:rsidRPr="00377612">
          <w:rPr>
            <w:rStyle w:val="Hyperlink"/>
            <w:rFonts w:ascii="Verdana" w:hAnsi="Verdana"/>
            <w:sz w:val="18"/>
            <w:szCs w:val="18"/>
            <w:lang w:val="el-GR"/>
          </w:rPr>
          <w:t>@</w:t>
        </w:r>
        <w:r w:rsidR="00107877" w:rsidRPr="00377612">
          <w:rPr>
            <w:rStyle w:val="Hyperlink"/>
            <w:rFonts w:ascii="Verdana" w:hAnsi="Verdana"/>
            <w:sz w:val="18"/>
            <w:szCs w:val="18"/>
          </w:rPr>
          <w:t>cystat</w:t>
        </w:r>
        <w:r w:rsidR="00107877" w:rsidRPr="00377612">
          <w:rPr>
            <w:rStyle w:val="Hyperlink"/>
            <w:rFonts w:ascii="Verdana" w:hAnsi="Verdana"/>
            <w:sz w:val="18"/>
            <w:szCs w:val="18"/>
            <w:lang w:val="el-GR"/>
          </w:rPr>
          <w:t>.</w:t>
        </w:r>
        <w:r w:rsidR="00107877" w:rsidRPr="00377612">
          <w:rPr>
            <w:rStyle w:val="Hyperlink"/>
            <w:rFonts w:ascii="Verdana" w:hAnsi="Verdana"/>
            <w:sz w:val="18"/>
            <w:szCs w:val="18"/>
            <w:lang w:val="en-GB"/>
          </w:rPr>
          <w:t>mof</w:t>
        </w:r>
        <w:r w:rsidR="00107877" w:rsidRPr="00377612">
          <w:rPr>
            <w:rStyle w:val="Hyperlink"/>
            <w:rFonts w:ascii="Verdana" w:hAnsi="Verdana"/>
            <w:sz w:val="18"/>
            <w:szCs w:val="18"/>
            <w:lang w:val="el-GR"/>
          </w:rPr>
          <w:t>.</w:t>
        </w:r>
        <w:r w:rsidR="00107877" w:rsidRPr="00377612">
          <w:rPr>
            <w:rStyle w:val="Hyperlink"/>
            <w:rFonts w:ascii="Verdana" w:hAnsi="Verdana"/>
            <w:sz w:val="18"/>
            <w:szCs w:val="18"/>
            <w:lang w:val="en-GB"/>
          </w:rPr>
          <w:t>gov</w:t>
        </w:r>
        <w:r w:rsidR="00107877" w:rsidRPr="00377612">
          <w:rPr>
            <w:rStyle w:val="Hyperlink"/>
            <w:rFonts w:ascii="Verdana" w:hAnsi="Verdana"/>
            <w:sz w:val="18"/>
            <w:szCs w:val="18"/>
            <w:lang w:val="el-GR"/>
          </w:rPr>
          <w:t>.</w:t>
        </w:r>
        <w:r w:rsidR="00107877" w:rsidRPr="00377612">
          <w:rPr>
            <w:rStyle w:val="Hyperlink"/>
            <w:rFonts w:ascii="Verdana" w:hAnsi="Verdana"/>
            <w:sz w:val="18"/>
            <w:szCs w:val="18"/>
            <w:lang w:val="en-GB"/>
          </w:rPr>
          <w:t>cy</w:t>
        </w:r>
      </w:hyperlink>
    </w:p>
    <w:p w14:paraId="00D65A1D" w14:textId="68507435" w:rsidR="001712CF" w:rsidRPr="00107877" w:rsidRDefault="00965570" w:rsidP="00AC32BD">
      <w:pPr>
        <w:jc w:val="both"/>
        <w:rPr>
          <w:lang w:val="el-GR"/>
        </w:rPr>
      </w:pPr>
      <w:proofErr w:type="spellStart"/>
      <w:r w:rsidRPr="00DD1BBD">
        <w:rPr>
          <w:rFonts w:ascii="Verdana" w:eastAsia="Malgun Gothic" w:hAnsi="Verdana" w:cs="Arial"/>
          <w:sz w:val="18"/>
          <w:szCs w:val="18"/>
          <w:lang w:val="el-GR"/>
        </w:rPr>
        <w:t>Κούλια</w:t>
      </w:r>
      <w:proofErr w:type="spellEnd"/>
      <w:r w:rsidRPr="00DD1BBD">
        <w:rPr>
          <w:rFonts w:ascii="Verdana" w:eastAsia="Malgun Gothic" w:hAnsi="Verdana" w:cs="Arial"/>
          <w:sz w:val="18"/>
          <w:szCs w:val="18"/>
          <w:lang w:val="el-GR"/>
        </w:rPr>
        <w:t xml:space="preserve"> </w:t>
      </w:r>
      <w:proofErr w:type="spellStart"/>
      <w:r w:rsidRPr="00DD1BBD">
        <w:rPr>
          <w:rFonts w:ascii="Verdana" w:eastAsia="Malgun Gothic" w:hAnsi="Verdana" w:cs="Arial"/>
          <w:sz w:val="18"/>
          <w:szCs w:val="18"/>
          <w:lang w:val="el-GR"/>
        </w:rPr>
        <w:t>Ονησιφόρου</w:t>
      </w:r>
      <w:proofErr w:type="spellEnd"/>
      <w:r w:rsidRPr="00DD1BBD">
        <w:rPr>
          <w:rFonts w:ascii="Verdana" w:eastAsia="Malgun Gothic" w:hAnsi="Verdana" w:cs="Arial"/>
          <w:sz w:val="18"/>
          <w:szCs w:val="18"/>
          <w:lang w:val="el-GR"/>
        </w:rPr>
        <w:t xml:space="preserve"> : </w:t>
      </w:r>
      <w:proofErr w:type="spellStart"/>
      <w:r w:rsidRPr="00DD1BBD">
        <w:rPr>
          <w:rFonts w:ascii="Verdana" w:eastAsia="Malgun Gothic" w:hAnsi="Verdana" w:cs="Arial"/>
          <w:sz w:val="18"/>
          <w:szCs w:val="18"/>
          <w:lang w:val="el-GR"/>
        </w:rPr>
        <w:t>Τηλ</w:t>
      </w:r>
      <w:proofErr w:type="spellEnd"/>
      <w:r w:rsidRPr="00DD1BBD">
        <w:rPr>
          <w:rFonts w:ascii="Verdana" w:eastAsia="Malgun Gothic" w:hAnsi="Verdana" w:cs="Arial"/>
          <w:sz w:val="18"/>
          <w:szCs w:val="18"/>
          <w:lang w:val="el-GR"/>
        </w:rPr>
        <w:t xml:space="preserve">.: +35722602139, </w:t>
      </w:r>
      <w:proofErr w:type="spellStart"/>
      <w:r w:rsidRPr="00DD1BBD">
        <w:rPr>
          <w:rFonts w:ascii="Verdana" w:eastAsia="Malgun Gothic" w:hAnsi="Verdana" w:cs="Arial"/>
          <w:sz w:val="18"/>
          <w:szCs w:val="18"/>
          <w:lang w:val="el-GR"/>
        </w:rPr>
        <w:t>Ηλ</w:t>
      </w:r>
      <w:proofErr w:type="spellEnd"/>
      <w:r w:rsidRPr="00DD1BBD">
        <w:rPr>
          <w:rFonts w:ascii="Verdana" w:eastAsia="Malgun Gothic" w:hAnsi="Verdana" w:cs="Arial"/>
          <w:sz w:val="18"/>
          <w:szCs w:val="18"/>
          <w:lang w:val="el-GR"/>
        </w:rPr>
        <w:t xml:space="preserve">. </w:t>
      </w:r>
      <w:proofErr w:type="spellStart"/>
      <w:r w:rsidRPr="00DD1BBD">
        <w:rPr>
          <w:rFonts w:ascii="Verdana" w:eastAsia="Malgun Gothic" w:hAnsi="Verdana" w:cs="Arial"/>
          <w:sz w:val="18"/>
          <w:szCs w:val="18"/>
          <w:lang w:val="el-GR"/>
        </w:rPr>
        <w:t>Ταχ</w:t>
      </w:r>
      <w:proofErr w:type="spellEnd"/>
      <w:r w:rsidRPr="00DD1BBD">
        <w:rPr>
          <w:rFonts w:ascii="Verdana" w:eastAsia="Malgun Gothic" w:hAnsi="Verdana" w:cs="Arial"/>
          <w:sz w:val="18"/>
          <w:szCs w:val="18"/>
          <w:lang w:val="el-GR"/>
        </w:rPr>
        <w:t xml:space="preserve">.: </w:t>
      </w:r>
      <w:hyperlink r:id="rId16" w:history="1">
        <w:r w:rsidR="00107877" w:rsidRPr="00377612">
          <w:rPr>
            <w:rStyle w:val="Hyperlink"/>
            <w:rFonts w:ascii="Verdana" w:eastAsia="Malgun Gothic" w:hAnsi="Verdana" w:cs="Arial"/>
            <w:sz w:val="18"/>
            <w:szCs w:val="18"/>
            <w:lang w:val="en-GB"/>
          </w:rPr>
          <w:t>konisiforou</w:t>
        </w:r>
        <w:r w:rsidR="00107877" w:rsidRPr="00377612">
          <w:rPr>
            <w:rStyle w:val="Hyperlink"/>
            <w:lang w:val="el-GR"/>
          </w:rPr>
          <w:t>@</w:t>
        </w:r>
        <w:r w:rsidR="00107877" w:rsidRPr="00377612">
          <w:rPr>
            <w:rStyle w:val="Hyperlink"/>
            <w:lang w:val="en-GB"/>
          </w:rPr>
          <w:t>cystat</w:t>
        </w:r>
        <w:r w:rsidR="00107877" w:rsidRPr="00377612">
          <w:rPr>
            <w:rStyle w:val="Hyperlink"/>
            <w:lang w:val="el-GR"/>
          </w:rPr>
          <w:t>.</w:t>
        </w:r>
        <w:r w:rsidR="00107877" w:rsidRPr="00377612">
          <w:rPr>
            <w:rStyle w:val="Hyperlink"/>
            <w:lang w:val="en-GB"/>
          </w:rPr>
          <w:t>mof</w:t>
        </w:r>
        <w:r w:rsidR="00107877" w:rsidRPr="00377612">
          <w:rPr>
            <w:rStyle w:val="Hyperlink"/>
            <w:lang w:val="el-GR"/>
          </w:rPr>
          <w:t>.</w:t>
        </w:r>
        <w:r w:rsidR="00107877" w:rsidRPr="00377612">
          <w:rPr>
            <w:rStyle w:val="Hyperlink"/>
            <w:lang w:val="en-GB"/>
          </w:rPr>
          <w:t>gov</w:t>
        </w:r>
        <w:r w:rsidR="00107877" w:rsidRPr="00377612">
          <w:rPr>
            <w:rStyle w:val="Hyperlink"/>
            <w:lang w:val="el-GR"/>
          </w:rPr>
          <w:t>.</w:t>
        </w:r>
        <w:r w:rsidR="00107877" w:rsidRPr="00377612">
          <w:rPr>
            <w:rStyle w:val="Hyperlink"/>
            <w:lang w:val="en-GB"/>
          </w:rPr>
          <w:t>cy</w:t>
        </w:r>
      </w:hyperlink>
    </w:p>
    <w:p w14:paraId="61ABDC81" w14:textId="77777777" w:rsidR="00107877" w:rsidRPr="00107877" w:rsidRDefault="00107877" w:rsidP="00AC32BD">
      <w:pPr>
        <w:jc w:val="both"/>
        <w:rPr>
          <w:rFonts w:ascii="Verdana" w:hAnsi="Verdana" w:cs="Arial"/>
          <w:sz w:val="18"/>
          <w:szCs w:val="18"/>
          <w:lang w:val="el-GR"/>
        </w:rPr>
      </w:pPr>
    </w:p>
    <w:sectPr w:rsidR="00107877" w:rsidRPr="00107877" w:rsidSect="007E1AED">
      <w:headerReference w:type="default" r:id="rId17"/>
      <w:footerReference w:type="default" r:id="rId18"/>
      <w:headerReference w:type="first" r:id="rId19"/>
      <w:footerReference w:type="first" r:id="rId20"/>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D6B5" w14:textId="77777777" w:rsidR="00D9376C" w:rsidRDefault="00D9376C" w:rsidP="00FB398F">
      <w:r>
        <w:separator/>
      </w:r>
    </w:p>
  </w:endnote>
  <w:endnote w:type="continuationSeparator" w:id="0">
    <w:p w14:paraId="484CDBE9" w14:textId="77777777" w:rsidR="00D9376C" w:rsidRDefault="00D9376C"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B81EF5">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w:t>
    </w:r>
    <w:proofErr w:type="spellStart"/>
    <w:r w:rsidRPr="00233FBF">
      <w:rPr>
        <w:rFonts w:ascii="Arial" w:hAnsi="Arial" w:cs="Arial"/>
        <w:i/>
        <w:iCs/>
        <w:sz w:val="16"/>
        <w:szCs w:val="16"/>
        <w:lang w:val="de-DE"/>
      </w:rPr>
      <w:t>E-mail</w:t>
    </w:r>
    <w:proofErr w:type="spellEnd"/>
    <w:r w:rsidRPr="00233FBF">
      <w:rPr>
        <w:rFonts w:ascii="Arial" w:hAnsi="Arial" w:cs="Arial"/>
        <w:i/>
        <w:iCs/>
        <w:sz w:val="16"/>
        <w:szCs w:val="16"/>
        <w:lang w:val="de-DE"/>
      </w:rPr>
      <w:t xml:space="preserve">: </w:t>
    </w:r>
    <w:r w:rsidR="00000000">
      <w:fldChar w:fldCharType="begin"/>
    </w:r>
    <w:r w:rsidR="00000000">
      <w:instrText>HYPERLINK</w:instrText>
    </w:r>
    <w:r w:rsidR="00000000" w:rsidRPr="00A65858">
      <w:rPr>
        <w:lang w:val="el-GR"/>
      </w:rPr>
      <w:instrText xml:space="preserve"> "</w:instrText>
    </w:r>
    <w:r w:rsidR="00000000">
      <w:instrText>mailto</w:instrText>
    </w:r>
    <w:r w:rsidR="00000000" w:rsidRPr="00A65858">
      <w:rPr>
        <w:lang w:val="el-GR"/>
      </w:rPr>
      <w:instrText>:</w:instrText>
    </w:r>
    <w:r w:rsidR="00000000">
      <w:instrText>enquiries</w:instrText>
    </w:r>
    <w:r w:rsidR="00000000" w:rsidRPr="00A65858">
      <w:rPr>
        <w:lang w:val="el-GR"/>
      </w:rPr>
      <w:instrText>@</w:instrText>
    </w:r>
    <w:r w:rsidR="00000000">
      <w:instrText>cystat</w:instrText>
    </w:r>
    <w:r w:rsidR="00000000" w:rsidRPr="00A65858">
      <w:rPr>
        <w:lang w:val="el-GR"/>
      </w:rPr>
      <w:instrText>.</w:instrText>
    </w:r>
    <w:r w:rsidR="00000000">
      <w:instrText>mof</w:instrText>
    </w:r>
    <w:r w:rsidR="00000000" w:rsidRPr="00A65858">
      <w:rPr>
        <w:lang w:val="el-GR"/>
      </w:rPr>
      <w:instrText>.</w:instrText>
    </w:r>
    <w:r w:rsidR="00000000">
      <w:instrText>gov</w:instrText>
    </w:r>
    <w:r w:rsidR="00000000" w:rsidRPr="00A65858">
      <w:rPr>
        <w:lang w:val="el-GR"/>
      </w:rPr>
      <w:instrText>.</w:instrText>
    </w:r>
    <w:r w:rsidR="00000000">
      <w:instrText>cy</w:instrText>
    </w:r>
    <w:r w:rsidR="00000000" w:rsidRPr="00A65858">
      <w:rPr>
        <w:lang w:val="el-GR"/>
      </w:rPr>
      <w:instrText>"</w:instrText>
    </w:r>
    <w:r w:rsidR="00000000">
      <w:fldChar w:fldCharType="separate"/>
    </w:r>
    <w:r w:rsidRPr="00233FBF">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74BA" w14:textId="77777777" w:rsidR="00D9376C" w:rsidRDefault="00D9376C" w:rsidP="00FB398F">
      <w:r>
        <w:separator/>
      </w:r>
    </w:p>
  </w:footnote>
  <w:footnote w:type="continuationSeparator" w:id="0">
    <w:p w14:paraId="2F02182B" w14:textId="77777777" w:rsidR="00D9376C" w:rsidRDefault="00D9376C"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04F9BEE0" w:rsidR="004E4F42" w:rsidRDefault="006B3B04"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sidRPr="00B96284">
      <w:rPr>
        <w:noProof/>
      </w:rPr>
      <w:drawing>
        <wp:anchor distT="0" distB="0" distL="114300" distR="114300" simplePos="0" relativeHeight="251661312" behindDoc="1" locked="0" layoutInCell="1" allowOverlap="1" wp14:anchorId="094BECC3" wp14:editId="3F567F1B">
          <wp:simplePos x="0" y="0"/>
          <wp:positionH relativeFrom="column">
            <wp:posOffset>3191786</wp:posOffset>
          </wp:positionH>
          <wp:positionV relativeFrom="paragraph">
            <wp:posOffset>86995</wp:posOffset>
          </wp:positionV>
          <wp:extent cx="1276350" cy="100965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A2A">
      <w:rPr>
        <w:rFonts w:ascii="Arial" w:hAnsi="Arial" w:cs="Arial"/>
        <w:bCs/>
        <w:noProof/>
        <w:sz w:val="18"/>
        <w:szCs w:val="18"/>
      </w:rPr>
      <w:drawing>
        <wp:anchor distT="0" distB="0" distL="114300" distR="114300" simplePos="0" relativeHeight="251660288" behindDoc="0" locked="0" layoutInCell="1" allowOverlap="1" wp14:anchorId="349FB04C" wp14:editId="5791117F">
          <wp:simplePos x="0" y="0"/>
          <wp:positionH relativeFrom="column">
            <wp:posOffset>1199156</wp:posOffset>
          </wp:positionH>
          <wp:positionV relativeFrom="paragraph">
            <wp:posOffset>9111</wp:posOffset>
          </wp:positionV>
          <wp:extent cx="2438400" cy="1200785"/>
          <wp:effectExtent l="0" t="0" r="0" b="0"/>
          <wp:wrapNone/>
          <wp:docPr id="1371939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1200785"/>
                  </a:xfrm>
                  <a:prstGeom prst="rect">
                    <a:avLst/>
                  </a:prstGeom>
                  <a:noFill/>
                </pic:spPr>
              </pic:pic>
            </a:graphicData>
          </a:graphic>
        </wp:anchor>
      </w:drawing>
    </w:r>
    <w:r w:rsidR="001712CF">
      <w:rPr>
        <w:rFonts w:ascii="Arial" w:hAnsi="Arial" w:cs="Arial"/>
        <w:bCs/>
        <w:noProof/>
        <w:sz w:val="18"/>
        <w:szCs w:val="18"/>
      </w:rPr>
      <w:drawing>
        <wp:anchor distT="0" distB="0" distL="114300" distR="114300" simplePos="0" relativeHeight="251656192" behindDoc="0" locked="0" layoutInCell="1" allowOverlap="1" wp14:anchorId="3290AC8A" wp14:editId="7CA35C5D">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607B8" w14:textId="7C1C4753" w:rsidR="004E4F42" w:rsidRDefault="006B3B04" w:rsidP="000932CF">
    <w:pPr>
      <w:pStyle w:val="Header"/>
      <w:tabs>
        <w:tab w:val="clear" w:pos="4153"/>
        <w:tab w:val="clear" w:pos="8306"/>
        <w:tab w:val="center" w:pos="1620"/>
        <w:tab w:val="left" w:pos="6315"/>
      </w:tabs>
      <w:spacing w:line="360" w:lineRule="auto"/>
      <w:rPr>
        <w:rFonts w:ascii="Arial" w:hAnsi="Arial" w:cs="Arial"/>
        <w:bCs/>
        <w:sz w:val="18"/>
        <w:szCs w:val="18"/>
      </w:rPr>
    </w:pPr>
    <w:r w:rsidRPr="00B96284">
      <w:rPr>
        <w:noProof/>
      </w:rPr>
      <w:drawing>
        <wp:anchor distT="0" distB="0" distL="114300" distR="114300" simplePos="0" relativeHeight="251662336" behindDoc="1" locked="0" layoutInCell="1" allowOverlap="1" wp14:anchorId="0C428F49" wp14:editId="516FEE84">
          <wp:simplePos x="0" y="0"/>
          <wp:positionH relativeFrom="column">
            <wp:posOffset>4631138</wp:posOffset>
          </wp:positionH>
          <wp:positionV relativeFrom="paragraph">
            <wp:posOffset>9718</wp:posOffset>
          </wp:positionV>
          <wp:extent cx="1095375" cy="790575"/>
          <wp:effectExtent l="0" t="0" r="9525" b="952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42">
      <w:rPr>
        <w:rFonts w:ascii="Arial" w:hAnsi="Arial" w:cs="Arial"/>
        <w:bCs/>
        <w:sz w:val="18"/>
        <w:szCs w:val="18"/>
      </w:rPr>
      <w:tab/>
    </w:r>
  </w:p>
  <w:p w14:paraId="3A7322B1" w14:textId="48561B20"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3B189F36"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39953036">
              <wp:simplePos x="0" y="0"/>
              <wp:positionH relativeFrom="margin">
                <wp:align>right</wp:align>
              </wp:positionH>
              <wp:positionV relativeFrom="paragraph">
                <wp:posOffset>101710</wp:posOffset>
              </wp:positionV>
              <wp:extent cx="1758343"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43"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35A09" id="_x0000_t202" coordsize="21600,21600" o:spt="202" path="m,l,21600r21600,l21600,xe">
              <v:stroke joinstyle="miter"/>
              <v:path gradientshapeok="t" o:connecttype="rect"/>
            </v:shapetype>
            <v:shape id="Text Box 16" o:spid="_x0000_s1026" type="#_x0000_t202" style="position:absolute;margin-left:87.25pt;margin-top:8pt;width:138.45pt;height: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w10:wrap anchorx="margin"/>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483BC0B8"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45137"/>
    <w:multiLevelType w:val="hybridMultilevel"/>
    <w:tmpl w:val="E46E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056DD"/>
    <w:multiLevelType w:val="hybridMultilevel"/>
    <w:tmpl w:val="530C7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2F50A3"/>
    <w:multiLevelType w:val="hybridMultilevel"/>
    <w:tmpl w:val="697C5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7685F4A"/>
    <w:multiLevelType w:val="hybridMultilevel"/>
    <w:tmpl w:val="D8DE5E5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450CE"/>
    <w:multiLevelType w:val="hybridMultilevel"/>
    <w:tmpl w:val="7A1E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9554438">
    <w:abstractNumId w:val="7"/>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8"/>
  </w:num>
  <w:num w:numId="7" w16cid:durableId="919943222">
    <w:abstractNumId w:val="4"/>
  </w:num>
  <w:num w:numId="8" w16cid:durableId="941959603">
    <w:abstractNumId w:val="9"/>
  </w:num>
  <w:num w:numId="9" w16cid:durableId="54865397">
    <w:abstractNumId w:val="5"/>
  </w:num>
  <w:num w:numId="10" w16cid:durableId="1189639067">
    <w:abstractNumId w:val="6"/>
  </w:num>
  <w:num w:numId="11" w16cid:durableId="16078083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2E1E"/>
    <w:rsid w:val="0000542E"/>
    <w:rsid w:val="00013E40"/>
    <w:rsid w:val="000161B1"/>
    <w:rsid w:val="000247AA"/>
    <w:rsid w:val="00025A39"/>
    <w:rsid w:val="00027853"/>
    <w:rsid w:val="000303A5"/>
    <w:rsid w:val="00030E18"/>
    <w:rsid w:val="00031D32"/>
    <w:rsid w:val="0003603D"/>
    <w:rsid w:val="00045088"/>
    <w:rsid w:val="00045A06"/>
    <w:rsid w:val="00050391"/>
    <w:rsid w:val="00055291"/>
    <w:rsid w:val="000563D3"/>
    <w:rsid w:val="00057E44"/>
    <w:rsid w:val="00061299"/>
    <w:rsid w:val="00065C50"/>
    <w:rsid w:val="000662F9"/>
    <w:rsid w:val="00070576"/>
    <w:rsid w:val="000752BB"/>
    <w:rsid w:val="00081ADF"/>
    <w:rsid w:val="00084A02"/>
    <w:rsid w:val="00084BF7"/>
    <w:rsid w:val="000870E9"/>
    <w:rsid w:val="000911F9"/>
    <w:rsid w:val="000919A0"/>
    <w:rsid w:val="000932CF"/>
    <w:rsid w:val="00096ED8"/>
    <w:rsid w:val="0009782C"/>
    <w:rsid w:val="000A1A88"/>
    <w:rsid w:val="000A2B5C"/>
    <w:rsid w:val="000A3601"/>
    <w:rsid w:val="000A6FA8"/>
    <w:rsid w:val="000B1F41"/>
    <w:rsid w:val="000C1070"/>
    <w:rsid w:val="000C4E72"/>
    <w:rsid w:val="000D1E7A"/>
    <w:rsid w:val="000E24B1"/>
    <w:rsid w:val="000E2735"/>
    <w:rsid w:val="000E32D6"/>
    <w:rsid w:val="000E4CB0"/>
    <w:rsid w:val="000E57F2"/>
    <w:rsid w:val="000E72A7"/>
    <w:rsid w:val="000F1162"/>
    <w:rsid w:val="000F3467"/>
    <w:rsid w:val="000F38DE"/>
    <w:rsid w:val="000F532A"/>
    <w:rsid w:val="000F5D6C"/>
    <w:rsid w:val="00106852"/>
    <w:rsid w:val="00107877"/>
    <w:rsid w:val="00110F9D"/>
    <w:rsid w:val="00114A67"/>
    <w:rsid w:val="001203C9"/>
    <w:rsid w:val="001253B6"/>
    <w:rsid w:val="001262C3"/>
    <w:rsid w:val="00126F41"/>
    <w:rsid w:val="00127320"/>
    <w:rsid w:val="00127456"/>
    <w:rsid w:val="001312D8"/>
    <w:rsid w:val="0013137B"/>
    <w:rsid w:val="0015118B"/>
    <w:rsid w:val="001519CE"/>
    <w:rsid w:val="00161CF3"/>
    <w:rsid w:val="00162C00"/>
    <w:rsid w:val="001639EF"/>
    <w:rsid w:val="0016589F"/>
    <w:rsid w:val="001712CF"/>
    <w:rsid w:val="0017769A"/>
    <w:rsid w:val="00183DFC"/>
    <w:rsid w:val="00184384"/>
    <w:rsid w:val="00186717"/>
    <w:rsid w:val="00187FFC"/>
    <w:rsid w:val="0019391C"/>
    <w:rsid w:val="001A2018"/>
    <w:rsid w:val="001A2207"/>
    <w:rsid w:val="001A328F"/>
    <w:rsid w:val="001B2C39"/>
    <w:rsid w:val="001B3675"/>
    <w:rsid w:val="001B5E10"/>
    <w:rsid w:val="001B6AB3"/>
    <w:rsid w:val="001B723F"/>
    <w:rsid w:val="001B73D5"/>
    <w:rsid w:val="001C0681"/>
    <w:rsid w:val="001C0F54"/>
    <w:rsid w:val="001C62B3"/>
    <w:rsid w:val="001C7C8C"/>
    <w:rsid w:val="001D0D6A"/>
    <w:rsid w:val="001D20A4"/>
    <w:rsid w:val="001E00D1"/>
    <w:rsid w:val="001E0E58"/>
    <w:rsid w:val="001E14F3"/>
    <w:rsid w:val="001E15ED"/>
    <w:rsid w:val="001E61AA"/>
    <w:rsid w:val="0020309E"/>
    <w:rsid w:val="00204C29"/>
    <w:rsid w:val="00210B58"/>
    <w:rsid w:val="00221795"/>
    <w:rsid w:val="00222423"/>
    <w:rsid w:val="00225ADC"/>
    <w:rsid w:val="00225B28"/>
    <w:rsid w:val="00226891"/>
    <w:rsid w:val="00230D9B"/>
    <w:rsid w:val="002313AC"/>
    <w:rsid w:val="002355FB"/>
    <w:rsid w:val="00235FB2"/>
    <w:rsid w:val="00237BC1"/>
    <w:rsid w:val="00237E11"/>
    <w:rsid w:val="002430B4"/>
    <w:rsid w:val="002447D0"/>
    <w:rsid w:val="002454C5"/>
    <w:rsid w:val="00245E19"/>
    <w:rsid w:val="00246AEB"/>
    <w:rsid w:val="00246E16"/>
    <w:rsid w:val="00250005"/>
    <w:rsid w:val="0025254F"/>
    <w:rsid w:val="0025566D"/>
    <w:rsid w:val="0025595C"/>
    <w:rsid w:val="0025660E"/>
    <w:rsid w:val="00257149"/>
    <w:rsid w:val="002576E7"/>
    <w:rsid w:val="00260357"/>
    <w:rsid w:val="00264F04"/>
    <w:rsid w:val="00267554"/>
    <w:rsid w:val="0028338F"/>
    <w:rsid w:val="002915C4"/>
    <w:rsid w:val="00297E6B"/>
    <w:rsid w:val="002A1D1C"/>
    <w:rsid w:val="002A214B"/>
    <w:rsid w:val="002A4D64"/>
    <w:rsid w:val="002B4969"/>
    <w:rsid w:val="002B6554"/>
    <w:rsid w:val="002C76A1"/>
    <w:rsid w:val="002C7949"/>
    <w:rsid w:val="002D05F0"/>
    <w:rsid w:val="002D2829"/>
    <w:rsid w:val="002D7D4A"/>
    <w:rsid w:val="002E3846"/>
    <w:rsid w:val="002E3F78"/>
    <w:rsid w:val="002E7B0D"/>
    <w:rsid w:val="002F07A5"/>
    <w:rsid w:val="002F400C"/>
    <w:rsid w:val="002F4D76"/>
    <w:rsid w:val="002F6D26"/>
    <w:rsid w:val="0030198D"/>
    <w:rsid w:val="0030231E"/>
    <w:rsid w:val="003040FC"/>
    <w:rsid w:val="003042C4"/>
    <w:rsid w:val="00304CB4"/>
    <w:rsid w:val="00313F37"/>
    <w:rsid w:val="003141D0"/>
    <w:rsid w:val="003168C1"/>
    <w:rsid w:val="00322FBE"/>
    <w:rsid w:val="00325632"/>
    <w:rsid w:val="00327549"/>
    <w:rsid w:val="003342A5"/>
    <w:rsid w:val="00334616"/>
    <w:rsid w:val="00336C36"/>
    <w:rsid w:val="00343815"/>
    <w:rsid w:val="00350FC8"/>
    <w:rsid w:val="003522BB"/>
    <w:rsid w:val="00352F6C"/>
    <w:rsid w:val="003556EA"/>
    <w:rsid w:val="0036337C"/>
    <w:rsid w:val="00386FC7"/>
    <w:rsid w:val="00390A32"/>
    <w:rsid w:val="003A08E0"/>
    <w:rsid w:val="003A1E91"/>
    <w:rsid w:val="003A2C83"/>
    <w:rsid w:val="003A40F2"/>
    <w:rsid w:val="003A50D1"/>
    <w:rsid w:val="003A7B36"/>
    <w:rsid w:val="003B196D"/>
    <w:rsid w:val="003B2710"/>
    <w:rsid w:val="003B2F6F"/>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6CEB"/>
    <w:rsid w:val="003F75F6"/>
    <w:rsid w:val="00404670"/>
    <w:rsid w:val="00414CA0"/>
    <w:rsid w:val="00422F54"/>
    <w:rsid w:val="00431516"/>
    <w:rsid w:val="004361B3"/>
    <w:rsid w:val="0044249D"/>
    <w:rsid w:val="00442883"/>
    <w:rsid w:val="0044379F"/>
    <w:rsid w:val="00444FCC"/>
    <w:rsid w:val="00446B9E"/>
    <w:rsid w:val="00446FB1"/>
    <w:rsid w:val="00452753"/>
    <w:rsid w:val="00457B0F"/>
    <w:rsid w:val="0046078F"/>
    <w:rsid w:val="00463214"/>
    <w:rsid w:val="00463FE1"/>
    <w:rsid w:val="0046434D"/>
    <w:rsid w:val="004656FA"/>
    <w:rsid w:val="00471D77"/>
    <w:rsid w:val="00475587"/>
    <w:rsid w:val="00480BC2"/>
    <w:rsid w:val="004845C3"/>
    <w:rsid w:val="00486BDE"/>
    <w:rsid w:val="004929C2"/>
    <w:rsid w:val="00493FDD"/>
    <w:rsid w:val="0049586B"/>
    <w:rsid w:val="00497BE0"/>
    <w:rsid w:val="004A3E44"/>
    <w:rsid w:val="004A5E15"/>
    <w:rsid w:val="004B2018"/>
    <w:rsid w:val="004B2896"/>
    <w:rsid w:val="004B38E9"/>
    <w:rsid w:val="004B3FBA"/>
    <w:rsid w:val="004B6599"/>
    <w:rsid w:val="004C458B"/>
    <w:rsid w:val="004C6CA7"/>
    <w:rsid w:val="004D4357"/>
    <w:rsid w:val="004D4950"/>
    <w:rsid w:val="004E2393"/>
    <w:rsid w:val="004E3745"/>
    <w:rsid w:val="004E42BE"/>
    <w:rsid w:val="004E47F2"/>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092A"/>
    <w:rsid w:val="00554FE0"/>
    <w:rsid w:val="0055789A"/>
    <w:rsid w:val="00560952"/>
    <w:rsid w:val="005652D1"/>
    <w:rsid w:val="005660A0"/>
    <w:rsid w:val="00566A4F"/>
    <w:rsid w:val="00567D64"/>
    <w:rsid w:val="005978D4"/>
    <w:rsid w:val="005A23FA"/>
    <w:rsid w:val="005B2A67"/>
    <w:rsid w:val="005B3DCD"/>
    <w:rsid w:val="005B4AD4"/>
    <w:rsid w:val="005C2798"/>
    <w:rsid w:val="005C36C3"/>
    <w:rsid w:val="005C38DF"/>
    <w:rsid w:val="005C56EE"/>
    <w:rsid w:val="005D1714"/>
    <w:rsid w:val="005D7638"/>
    <w:rsid w:val="005F12F5"/>
    <w:rsid w:val="005F2A12"/>
    <w:rsid w:val="005F7C7D"/>
    <w:rsid w:val="00601D86"/>
    <w:rsid w:val="006044B7"/>
    <w:rsid w:val="006047CA"/>
    <w:rsid w:val="006071CE"/>
    <w:rsid w:val="006075B5"/>
    <w:rsid w:val="0061018C"/>
    <w:rsid w:val="0061094E"/>
    <w:rsid w:val="00613440"/>
    <w:rsid w:val="00613BE3"/>
    <w:rsid w:val="0062327B"/>
    <w:rsid w:val="00632777"/>
    <w:rsid w:val="00633750"/>
    <w:rsid w:val="00634491"/>
    <w:rsid w:val="0063679C"/>
    <w:rsid w:val="00637055"/>
    <w:rsid w:val="00641679"/>
    <w:rsid w:val="00641D59"/>
    <w:rsid w:val="00644507"/>
    <w:rsid w:val="00646880"/>
    <w:rsid w:val="00647D2A"/>
    <w:rsid w:val="006537BB"/>
    <w:rsid w:val="0065643E"/>
    <w:rsid w:val="00667E07"/>
    <w:rsid w:val="00671785"/>
    <w:rsid w:val="00672BA9"/>
    <w:rsid w:val="00673005"/>
    <w:rsid w:val="00674671"/>
    <w:rsid w:val="00677B81"/>
    <w:rsid w:val="006804BE"/>
    <w:rsid w:val="0068434A"/>
    <w:rsid w:val="0069008E"/>
    <w:rsid w:val="0069087E"/>
    <w:rsid w:val="006925C4"/>
    <w:rsid w:val="006A02B7"/>
    <w:rsid w:val="006A7019"/>
    <w:rsid w:val="006B3B04"/>
    <w:rsid w:val="006B46D5"/>
    <w:rsid w:val="006B46F4"/>
    <w:rsid w:val="006B6D4F"/>
    <w:rsid w:val="006C3A12"/>
    <w:rsid w:val="006C7AF3"/>
    <w:rsid w:val="006D0B9D"/>
    <w:rsid w:val="006D6548"/>
    <w:rsid w:val="006E0E20"/>
    <w:rsid w:val="006E4256"/>
    <w:rsid w:val="006E4BBA"/>
    <w:rsid w:val="006E5F43"/>
    <w:rsid w:val="006E60A6"/>
    <w:rsid w:val="006F0F69"/>
    <w:rsid w:val="006F116B"/>
    <w:rsid w:val="006F117F"/>
    <w:rsid w:val="006F13DF"/>
    <w:rsid w:val="006F2780"/>
    <w:rsid w:val="006F341F"/>
    <w:rsid w:val="00702F26"/>
    <w:rsid w:val="0070313E"/>
    <w:rsid w:val="00703799"/>
    <w:rsid w:val="0070393A"/>
    <w:rsid w:val="00705C5C"/>
    <w:rsid w:val="00711475"/>
    <w:rsid w:val="00723D89"/>
    <w:rsid w:val="0072548A"/>
    <w:rsid w:val="007277A6"/>
    <w:rsid w:val="007437AB"/>
    <w:rsid w:val="00745425"/>
    <w:rsid w:val="007534F8"/>
    <w:rsid w:val="007545AD"/>
    <w:rsid w:val="00761E3A"/>
    <w:rsid w:val="00762C3B"/>
    <w:rsid w:val="00763722"/>
    <w:rsid w:val="00764BC1"/>
    <w:rsid w:val="00770869"/>
    <w:rsid w:val="007738AA"/>
    <w:rsid w:val="00780A62"/>
    <w:rsid w:val="00783241"/>
    <w:rsid w:val="00784BDC"/>
    <w:rsid w:val="00792F28"/>
    <w:rsid w:val="007935CA"/>
    <w:rsid w:val="0079543F"/>
    <w:rsid w:val="00795880"/>
    <w:rsid w:val="007A3036"/>
    <w:rsid w:val="007A4152"/>
    <w:rsid w:val="007A4367"/>
    <w:rsid w:val="007B0867"/>
    <w:rsid w:val="007B1AC1"/>
    <w:rsid w:val="007B2E88"/>
    <w:rsid w:val="007B5A08"/>
    <w:rsid w:val="007B693D"/>
    <w:rsid w:val="007C252E"/>
    <w:rsid w:val="007C2C41"/>
    <w:rsid w:val="007C4CDC"/>
    <w:rsid w:val="007D2C90"/>
    <w:rsid w:val="007D7A09"/>
    <w:rsid w:val="007E041B"/>
    <w:rsid w:val="007E199A"/>
    <w:rsid w:val="007E1AED"/>
    <w:rsid w:val="007E2415"/>
    <w:rsid w:val="007E39F3"/>
    <w:rsid w:val="007E405E"/>
    <w:rsid w:val="007E68F4"/>
    <w:rsid w:val="007E6DE2"/>
    <w:rsid w:val="007F1970"/>
    <w:rsid w:val="007F31BA"/>
    <w:rsid w:val="007F4078"/>
    <w:rsid w:val="007F4A4A"/>
    <w:rsid w:val="0080014B"/>
    <w:rsid w:val="00801793"/>
    <w:rsid w:val="00803642"/>
    <w:rsid w:val="008059A4"/>
    <w:rsid w:val="00806EA2"/>
    <w:rsid w:val="00812A2B"/>
    <w:rsid w:val="00814A4C"/>
    <w:rsid w:val="00831AAB"/>
    <w:rsid w:val="00833BCD"/>
    <w:rsid w:val="00834B82"/>
    <w:rsid w:val="0083574E"/>
    <w:rsid w:val="0083640C"/>
    <w:rsid w:val="008374E3"/>
    <w:rsid w:val="0084081A"/>
    <w:rsid w:val="0084157B"/>
    <w:rsid w:val="00842BFB"/>
    <w:rsid w:val="00846B85"/>
    <w:rsid w:val="00847DC3"/>
    <w:rsid w:val="00847F49"/>
    <w:rsid w:val="008535C5"/>
    <w:rsid w:val="00853765"/>
    <w:rsid w:val="0085516F"/>
    <w:rsid w:val="00860A46"/>
    <w:rsid w:val="00867186"/>
    <w:rsid w:val="00870AF6"/>
    <w:rsid w:val="00877452"/>
    <w:rsid w:val="00881268"/>
    <w:rsid w:val="0088394A"/>
    <w:rsid w:val="008860BD"/>
    <w:rsid w:val="00887399"/>
    <w:rsid w:val="0088779E"/>
    <w:rsid w:val="008912AF"/>
    <w:rsid w:val="00892114"/>
    <w:rsid w:val="00892CB9"/>
    <w:rsid w:val="008935CB"/>
    <w:rsid w:val="008B0E7E"/>
    <w:rsid w:val="008B65BD"/>
    <w:rsid w:val="008B7900"/>
    <w:rsid w:val="008C71BF"/>
    <w:rsid w:val="008C7FE0"/>
    <w:rsid w:val="008D5717"/>
    <w:rsid w:val="008D634B"/>
    <w:rsid w:val="008E223D"/>
    <w:rsid w:val="008E44A9"/>
    <w:rsid w:val="008E6B4D"/>
    <w:rsid w:val="008E6BFF"/>
    <w:rsid w:val="008F21AF"/>
    <w:rsid w:val="008F2400"/>
    <w:rsid w:val="008F61BA"/>
    <w:rsid w:val="008F6E3C"/>
    <w:rsid w:val="008F7C55"/>
    <w:rsid w:val="00901B78"/>
    <w:rsid w:val="00904B9A"/>
    <w:rsid w:val="009057D3"/>
    <w:rsid w:val="00914A23"/>
    <w:rsid w:val="00920119"/>
    <w:rsid w:val="00923B08"/>
    <w:rsid w:val="00930754"/>
    <w:rsid w:val="00931A39"/>
    <w:rsid w:val="00934F68"/>
    <w:rsid w:val="009355AC"/>
    <w:rsid w:val="00935F38"/>
    <w:rsid w:val="00937586"/>
    <w:rsid w:val="00947889"/>
    <w:rsid w:val="009478BD"/>
    <w:rsid w:val="00960E98"/>
    <w:rsid w:val="00963A82"/>
    <w:rsid w:val="00965570"/>
    <w:rsid w:val="00972912"/>
    <w:rsid w:val="00973BFC"/>
    <w:rsid w:val="00976D1F"/>
    <w:rsid w:val="00977876"/>
    <w:rsid w:val="00981C81"/>
    <w:rsid w:val="00983FDF"/>
    <w:rsid w:val="009916E7"/>
    <w:rsid w:val="00993DCA"/>
    <w:rsid w:val="009A2D24"/>
    <w:rsid w:val="009A456C"/>
    <w:rsid w:val="009B00E0"/>
    <w:rsid w:val="009B292A"/>
    <w:rsid w:val="009B2CE4"/>
    <w:rsid w:val="009B76D5"/>
    <w:rsid w:val="009C165D"/>
    <w:rsid w:val="009C3CEA"/>
    <w:rsid w:val="009C3ECD"/>
    <w:rsid w:val="009C583D"/>
    <w:rsid w:val="009D2611"/>
    <w:rsid w:val="009D79D2"/>
    <w:rsid w:val="009E247C"/>
    <w:rsid w:val="009E31BA"/>
    <w:rsid w:val="009F0528"/>
    <w:rsid w:val="009F0806"/>
    <w:rsid w:val="009F233B"/>
    <w:rsid w:val="009F3D3E"/>
    <w:rsid w:val="00A05D16"/>
    <w:rsid w:val="00A0659F"/>
    <w:rsid w:val="00A079BA"/>
    <w:rsid w:val="00A14E8C"/>
    <w:rsid w:val="00A17724"/>
    <w:rsid w:val="00A20C70"/>
    <w:rsid w:val="00A33227"/>
    <w:rsid w:val="00A33875"/>
    <w:rsid w:val="00A360A1"/>
    <w:rsid w:val="00A402B3"/>
    <w:rsid w:val="00A544B7"/>
    <w:rsid w:val="00A618CF"/>
    <w:rsid w:val="00A61F5C"/>
    <w:rsid w:val="00A62770"/>
    <w:rsid w:val="00A62EEB"/>
    <w:rsid w:val="00A65858"/>
    <w:rsid w:val="00A660FF"/>
    <w:rsid w:val="00A73395"/>
    <w:rsid w:val="00A771E3"/>
    <w:rsid w:val="00A8277A"/>
    <w:rsid w:val="00A82B4C"/>
    <w:rsid w:val="00A84F0E"/>
    <w:rsid w:val="00A93A4C"/>
    <w:rsid w:val="00A94D5D"/>
    <w:rsid w:val="00AA1D9B"/>
    <w:rsid w:val="00AA2543"/>
    <w:rsid w:val="00AA3804"/>
    <w:rsid w:val="00AA55C2"/>
    <w:rsid w:val="00AB0ACA"/>
    <w:rsid w:val="00AB1202"/>
    <w:rsid w:val="00AB1D41"/>
    <w:rsid w:val="00AC32BD"/>
    <w:rsid w:val="00AC5E9A"/>
    <w:rsid w:val="00AC704B"/>
    <w:rsid w:val="00AD553E"/>
    <w:rsid w:val="00AD5848"/>
    <w:rsid w:val="00AD7ECB"/>
    <w:rsid w:val="00AE5ADA"/>
    <w:rsid w:val="00AF6145"/>
    <w:rsid w:val="00AF789D"/>
    <w:rsid w:val="00B01386"/>
    <w:rsid w:val="00B01915"/>
    <w:rsid w:val="00B01BB5"/>
    <w:rsid w:val="00B026CC"/>
    <w:rsid w:val="00B04AF4"/>
    <w:rsid w:val="00B051D1"/>
    <w:rsid w:val="00B05214"/>
    <w:rsid w:val="00B07021"/>
    <w:rsid w:val="00B21BA8"/>
    <w:rsid w:val="00B25240"/>
    <w:rsid w:val="00B30D97"/>
    <w:rsid w:val="00B31074"/>
    <w:rsid w:val="00B3181A"/>
    <w:rsid w:val="00B32774"/>
    <w:rsid w:val="00B35A7C"/>
    <w:rsid w:val="00B44ECD"/>
    <w:rsid w:val="00B450D1"/>
    <w:rsid w:val="00B5279B"/>
    <w:rsid w:val="00B53D47"/>
    <w:rsid w:val="00B54A25"/>
    <w:rsid w:val="00B618C3"/>
    <w:rsid w:val="00B63652"/>
    <w:rsid w:val="00B668B0"/>
    <w:rsid w:val="00B70F5C"/>
    <w:rsid w:val="00B71873"/>
    <w:rsid w:val="00B75AE5"/>
    <w:rsid w:val="00B800C0"/>
    <w:rsid w:val="00B8132B"/>
    <w:rsid w:val="00B81EF5"/>
    <w:rsid w:val="00B84C5A"/>
    <w:rsid w:val="00B858F5"/>
    <w:rsid w:val="00B93668"/>
    <w:rsid w:val="00BA06A0"/>
    <w:rsid w:val="00BA1636"/>
    <w:rsid w:val="00BA2283"/>
    <w:rsid w:val="00BA68C6"/>
    <w:rsid w:val="00BB12F1"/>
    <w:rsid w:val="00BB276E"/>
    <w:rsid w:val="00BB3FEE"/>
    <w:rsid w:val="00BB5EB0"/>
    <w:rsid w:val="00BC245A"/>
    <w:rsid w:val="00BD16FA"/>
    <w:rsid w:val="00BD1C8F"/>
    <w:rsid w:val="00BD41C3"/>
    <w:rsid w:val="00BD488B"/>
    <w:rsid w:val="00BD7CCC"/>
    <w:rsid w:val="00BE002A"/>
    <w:rsid w:val="00BE0283"/>
    <w:rsid w:val="00BE1BC9"/>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58C8"/>
    <w:rsid w:val="00C56BBF"/>
    <w:rsid w:val="00C572AA"/>
    <w:rsid w:val="00C57A9A"/>
    <w:rsid w:val="00C6016A"/>
    <w:rsid w:val="00C60737"/>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4262"/>
    <w:rsid w:val="00C976E1"/>
    <w:rsid w:val="00CA04BC"/>
    <w:rsid w:val="00CA148E"/>
    <w:rsid w:val="00CA3A9A"/>
    <w:rsid w:val="00CB20B8"/>
    <w:rsid w:val="00CB6BC1"/>
    <w:rsid w:val="00CB7021"/>
    <w:rsid w:val="00CD3294"/>
    <w:rsid w:val="00CD4524"/>
    <w:rsid w:val="00CD5675"/>
    <w:rsid w:val="00CD784D"/>
    <w:rsid w:val="00CE73E0"/>
    <w:rsid w:val="00CF3A1C"/>
    <w:rsid w:val="00CF3D50"/>
    <w:rsid w:val="00CF40F8"/>
    <w:rsid w:val="00D008DA"/>
    <w:rsid w:val="00D0416F"/>
    <w:rsid w:val="00D05851"/>
    <w:rsid w:val="00D05DC5"/>
    <w:rsid w:val="00D10FED"/>
    <w:rsid w:val="00D11736"/>
    <w:rsid w:val="00D123FA"/>
    <w:rsid w:val="00D12EE8"/>
    <w:rsid w:val="00D14CDF"/>
    <w:rsid w:val="00D15FF1"/>
    <w:rsid w:val="00D167F4"/>
    <w:rsid w:val="00D2092A"/>
    <w:rsid w:val="00D2216D"/>
    <w:rsid w:val="00D24585"/>
    <w:rsid w:val="00D31A6F"/>
    <w:rsid w:val="00D353D1"/>
    <w:rsid w:val="00D367DB"/>
    <w:rsid w:val="00D36E05"/>
    <w:rsid w:val="00D44A2A"/>
    <w:rsid w:val="00D44F27"/>
    <w:rsid w:val="00D45304"/>
    <w:rsid w:val="00D45A30"/>
    <w:rsid w:val="00D46165"/>
    <w:rsid w:val="00D461C7"/>
    <w:rsid w:val="00D50424"/>
    <w:rsid w:val="00D525C9"/>
    <w:rsid w:val="00D55E63"/>
    <w:rsid w:val="00D57D3E"/>
    <w:rsid w:val="00D76249"/>
    <w:rsid w:val="00D82031"/>
    <w:rsid w:val="00D9037C"/>
    <w:rsid w:val="00D9376C"/>
    <w:rsid w:val="00DA7D12"/>
    <w:rsid w:val="00DC23CF"/>
    <w:rsid w:val="00DC6562"/>
    <w:rsid w:val="00DE130D"/>
    <w:rsid w:val="00DE24CF"/>
    <w:rsid w:val="00DE3844"/>
    <w:rsid w:val="00DE407C"/>
    <w:rsid w:val="00DE7C7D"/>
    <w:rsid w:val="00DF2017"/>
    <w:rsid w:val="00DF2992"/>
    <w:rsid w:val="00DF2D0C"/>
    <w:rsid w:val="00DF58D4"/>
    <w:rsid w:val="00E00058"/>
    <w:rsid w:val="00E01B9D"/>
    <w:rsid w:val="00E0468F"/>
    <w:rsid w:val="00E04F5E"/>
    <w:rsid w:val="00E0522E"/>
    <w:rsid w:val="00E120F4"/>
    <w:rsid w:val="00E17172"/>
    <w:rsid w:val="00E3181C"/>
    <w:rsid w:val="00E3280A"/>
    <w:rsid w:val="00E372AF"/>
    <w:rsid w:val="00E37D68"/>
    <w:rsid w:val="00E40EAE"/>
    <w:rsid w:val="00E428AE"/>
    <w:rsid w:val="00E436AC"/>
    <w:rsid w:val="00E44F7A"/>
    <w:rsid w:val="00E44FF8"/>
    <w:rsid w:val="00E5066A"/>
    <w:rsid w:val="00E52CF9"/>
    <w:rsid w:val="00E60147"/>
    <w:rsid w:val="00E63F34"/>
    <w:rsid w:val="00E63FEA"/>
    <w:rsid w:val="00E6715A"/>
    <w:rsid w:val="00E75DC9"/>
    <w:rsid w:val="00E81610"/>
    <w:rsid w:val="00E84910"/>
    <w:rsid w:val="00E85B28"/>
    <w:rsid w:val="00E91976"/>
    <w:rsid w:val="00E947A6"/>
    <w:rsid w:val="00E96447"/>
    <w:rsid w:val="00E97FC7"/>
    <w:rsid w:val="00EA0690"/>
    <w:rsid w:val="00EA3956"/>
    <w:rsid w:val="00EA7136"/>
    <w:rsid w:val="00EB325A"/>
    <w:rsid w:val="00EC02A5"/>
    <w:rsid w:val="00EC176B"/>
    <w:rsid w:val="00EC33CD"/>
    <w:rsid w:val="00EC5BE5"/>
    <w:rsid w:val="00ED2650"/>
    <w:rsid w:val="00ED721A"/>
    <w:rsid w:val="00EE393D"/>
    <w:rsid w:val="00EF01CF"/>
    <w:rsid w:val="00EF6A47"/>
    <w:rsid w:val="00EF7AF9"/>
    <w:rsid w:val="00F00952"/>
    <w:rsid w:val="00F01495"/>
    <w:rsid w:val="00F10138"/>
    <w:rsid w:val="00F12D04"/>
    <w:rsid w:val="00F13F92"/>
    <w:rsid w:val="00F22ECA"/>
    <w:rsid w:val="00F240E8"/>
    <w:rsid w:val="00F244FA"/>
    <w:rsid w:val="00F261FC"/>
    <w:rsid w:val="00F366A2"/>
    <w:rsid w:val="00F445ED"/>
    <w:rsid w:val="00F44F43"/>
    <w:rsid w:val="00F450E1"/>
    <w:rsid w:val="00F50DF4"/>
    <w:rsid w:val="00F57AFE"/>
    <w:rsid w:val="00F6041D"/>
    <w:rsid w:val="00F6278E"/>
    <w:rsid w:val="00F63C41"/>
    <w:rsid w:val="00F63E42"/>
    <w:rsid w:val="00F63E96"/>
    <w:rsid w:val="00F701E3"/>
    <w:rsid w:val="00F71008"/>
    <w:rsid w:val="00F71F8C"/>
    <w:rsid w:val="00F77258"/>
    <w:rsid w:val="00F86AD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E549F"/>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UnresolvedMention">
    <w:name w:val="Unresolved Mention"/>
    <w:uiPriority w:val="99"/>
    <w:semiHidden/>
    <w:unhideWhenUsed/>
    <w:rsid w:val="00E428AE"/>
    <w:rPr>
      <w:color w:val="605E5C"/>
      <w:shd w:val="clear" w:color="auto" w:fill="E1DFDD"/>
    </w:rPr>
  </w:style>
  <w:style w:type="character" w:styleId="FollowedHyperlink">
    <w:name w:val="FollowedHyperlink"/>
    <w:uiPriority w:val="99"/>
    <w:semiHidden/>
    <w:unhideWhenUsed/>
    <w:rsid w:val="00E428AE"/>
    <w:rPr>
      <w:color w:val="954F72"/>
      <w:u w:val="single"/>
    </w:rPr>
  </w:style>
  <w:style w:type="character" w:styleId="Strong">
    <w:name w:val="Strong"/>
    <w:uiPriority w:val="22"/>
    <w:qFormat/>
    <w:rsid w:val="00E42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243345465">
      <w:bodyDiv w:val="1"/>
      <w:marLeft w:val="0"/>
      <w:marRight w:val="0"/>
      <w:marTop w:val="0"/>
      <w:marBottom w:val="0"/>
      <w:divBdr>
        <w:top w:val="none" w:sz="0" w:space="0" w:color="auto"/>
        <w:left w:val="none" w:sz="0" w:space="0" w:color="auto"/>
        <w:bottom w:val="none" w:sz="0" w:space="0" w:color="auto"/>
        <w:right w:val="none" w:sz="0" w:space="0" w:color="auto"/>
      </w:divBdr>
    </w:div>
    <w:div w:id="392003222">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585844588">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868957531">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25797725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025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ystatdb.cystat.gov.cy/pxweb/el/8.CYSTAT-DB/8.CYSTAT-DB__Population__6.Population%20Census_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ystat.gov.cy/el/SubthemeStatistics?id=4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onisiforou@cystat.mof.gov.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makri@cystat.mof.gov.cy"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ystat.gov.cy/el/KeyFiguresList?s=46"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emf"/><Relationship Id="rId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12125</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Ester Sophocleous</cp:lastModifiedBy>
  <cp:revision>25</cp:revision>
  <cp:lastPrinted>2023-08-03T06:47:00Z</cp:lastPrinted>
  <dcterms:created xsi:type="dcterms:W3CDTF">2023-08-03T06:53:00Z</dcterms:created>
  <dcterms:modified xsi:type="dcterms:W3CDTF">2023-08-04T07:05:00Z</dcterms:modified>
</cp:coreProperties>
</file>