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398F" w14:textId="77777777" w:rsidR="003C371D" w:rsidRPr="008E07F0" w:rsidRDefault="003C371D" w:rsidP="008E07F0">
      <w:pPr>
        <w:rPr>
          <w:rFonts w:ascii="Verdana" w:hAnsi="Verdana" w:cs="Arial"/>
          <w:sz w:val="18"/>
          <w:szCs w:val="18"/>
          <w:lang w:val="el-GR"/>
        </w:rPr>
      </w:pPr>
    </w:p>
    <w:p w14:paraId="6AAFCA0A" w14:textId="7032B898" w:rsidR="00797A12" w:rsidRPr="008E07F0" w:rsidRDefault="00797A12" w:rsidP="008E07F0">
      <w:pPr>
        <w:jc w:val="right"/>
        <w:rPr>
          <w:rFonts w:ascii="Verdana" w:eastAsia="Malgun Gothic" w:hAnsi="Verdana" w:cs="Arial"/>
          <w:sz w:val="18"/>
          <w:szCs w:val="18"/>
        </w:rPr>
      </w:pPr>
      <w:r w:rsidRPr="008E07F0">
        <w:rPr>
          <w:rFonts w:ascii="Verdana" w:hAnsi="Verdana" w:cs="Arial"/>
          <w:sz w:val="18"/>
          <w:szCs w:val="18"/>
        </w:rPr>
        <w:t xml:space="preserve">4 </w:t>
      </w:r>
      <w:r w:rsidR="009A39F8" w:rsidRPr="008E07F0">
        <w:rPr>
          <w:rFonts w:ascii="Verdana" w:hAnsi="Verdana" w:cs="Arial"/>
          <w:sz w:val="18"/>
          <w:szCs w:val="18"/>
        </w:rPr>
        <w:t>August</w:t>
      </w:r>
      <w:r w:rsidRPr="008E07F0">
        <w:rPr>
          <w:rFonts w:ascii="Verdana" w:eastAsia="Malgun Gothic" w:hAnsi="Verdana" w:cs="Arial"/>
          <w:sz w:val="18"/>
          <w:szCs w:val="18"/>
        </w:rPr>
        <w:t>, 2023</w:t>
      </w:r>
    </w:p>
    <w:p w14:paraId="77ACCAAE" w14:textId="77777777" w:rsidR="008E07F0" w:rsidRPr="008E07F0" w:rsidRDefault="008E07F0" w:rsidP="008E07F0">
      <w:pPr>
        <w:jc w:val="both"/>
        <w:rPr>
          <w:rFonts w:ascii="Verdana" w:eastAsia="Malgun Gothic" w:hAnsi="Verdana" w:cs="Arial"/>
          <w:sz w:val="18"/>
          <w:szCs w:val="18"/>
        </w:rPr>
      </w:pPr>
    </w:p>
    <w:p w14:paraId="7C3C1629" w14:textId="77777777" w:rsidR="00797A12" w:rsidRDefault="00797A12" w:rsidP="008E07F0">
      <w:pPr>
        <w:jc w:val="both"/>
        <w:rPr>
          <w:rFonts w:ascii="Verdana" w:eastAsia="Malgun Gothic" w:hAnsi="Verdana" w:cs="Arial"/>
          <w:sz w:val="18"/>
          <w:szCs w:val="18"/>
        </w:rPr>
      </w:pPr>
    </w:p>
    <w:p w14:paraId="4D649C3E" w14:textId="77777777" w:rsidR="00377E68" w:rsidRPr="008E07F0" w:rsidRDefault="00377E68" w:rsidP="008E07F0">
      <w:pPr>
        <w:jc w:val="both"/>
        <w:rPr>
          <w:rFonts w:ascii="Verdana" w:eastAsia="Malgun Gothic" w:hAnsi="Verdana" w:cs="Arial"/>
          <w:sz w:val="18"/>
          <w:szCs w:val="18"/>
        </w:rPr>
      </w:pPr>
    </w:p>
    <w:p w14:paraId="282B2DD0" w14:textId="35E8605D" w:rsidR="00797A12" w:rsidRPr="008E07F0" w:rsidRDefault="001F3FD3" w:rsidP="008E07F0">
      <w:pPr>
        <w:tabs>
          <w:tab w:val="left" w:pos="945"/>
        </w:tabs>
        <w:jc w:val="center"/>
        <w:rPr>
          <w:rFonts w:ascii="Verdana" w:hAnsi="Verdana" w:cs="Calibri"/>
          <w:b/>
          <w:sz w:val="24"/>
          <w:szCs w:val="24"/>
        </w:rPr>
      </w:pPr>
      <w:r w:rsidRPr="008E07F0">
        <w:rPr>
          <w:rFonts w:ascii="Verdana" w:hAnsi="Verdana" w:cs="Calibri"/>
          <w:b/>
          <w:sz w:val="24"/>
          <w:szCs w:val="24"/>
        </w:rPr>
        <w:t>PRESS RELEASE</w:t>
      </w:r>
    </w:p>
    <w:p w14:paraId="1B89556A" w14:textId="77777777" w:rsidR="00797A12" w:rsidRPr="008E07F0" w:rsidRDefault="00797A12" w:rsidP="008E07F0">
      <w:pPr>
        <w:tabs>
          <w:tab w:val="left" w:pos="945"/>
        </w:tabs>
        <w:jc w:val="center"/>
        <w:rPr>
          <w:rFonts w:ascii="Verdana" w:hAnsi="Verdana" w:cs="Calibri"/>
          <w:bCs/>
          <w:sz w:val="18"/>
          <w:szCs w:val="18"/>
        </w:rPr>
      </w:pPr>
    </w:p>
    <w:p w14:paraId="48BBF35B" w14:textId="5A2CD6CB" w:rsidR="00797A12" w:rsidRPr="008E07F0" w:rsidRDefault="00F72BEB" w:rsidP="008E07F0">
      <w:pPr>
        <w:tabs>
          <w:tab w:val="left" w:pos="945"/>
        </w:tabs>
        <w:rPr>
          <w:rFonts w:ascii="Verdana" w:hAnsi="Verdana" w:cs="Calibri"/>
          <w:b/>
          <w:u w:val="single"/>
        </w:rPr>
      </w:pPr>
      <w:r w:rsidRPr="008E07F0">
        <w:rPr>
          <w:rFonts w:ascii="Verdana" w:hAnsi="Verdana" w:cs="Calibri"/>
          <w:bCs/>
          <w:u w:val="single"/>
        </w:rPr>
        <w:t>CENSUS OF POPULATION AND HOUSING</w:t>
      </w:r>
      <w:r w:rsidR="00797A12" w:rsidRPr="008E07F0">
        <w:rPr>
          <w:rFonts w:ascii="Verdana" w:hAnsi="Verdana" w:cs="Calibri"/>
          <w:bCs/>
          <w:u w:val="single"/>
        </w:rPr>
        <w:t xml:space="preserve"> 2021</w:t>
      </w:r>
      <w:r w:rsidR="008E07F0">
        <w:rPr>
          <w:rFonts w:ascii="Verdana" w:hAnsi="Verdana" w:cs="Calibri"/>
          <w:bCs/>
          <w:u w:val="single"/>
        </w:rPr>
        <w:t xml:space="preserve">: </w:t>
      </w:r>
      <w:r w:rsidRPr="008E07F0">
        <w:rPr>
          <w:rFonts w:ascii="Verdana" w:hAnsi="Verdana" w:cs="Calibri"/>
          <w:b/>
          <w:u w:val="single"/>
        </w:rPr>
        <w:t>PRELIMINARY RESULTS BY DISTRICT</w:t>
      </w:r>
      <w:r w:rsidR="00D9020B" w:rsidRPr="008E07F0">
        <w:rPr>
          <w:rFonts w:ascii="Verdana" w:hAnsi="Verdana" w:cs="Calibri"/>
          <w:b/>
          <w:u w:val="single"/>
        </w:rPr>
        <w:t xml:space="preserve"> AND</w:t>
      </w:r>
      <w:r w:rsidRPr="008E07F0">
        <w:rPr>
          <w:rFonts w:ascii="Verdana" w:hAnsi="Verdana" w:cs="Calibri"/>
          <w:b/>
          <w:u w:val="single"/>
        </w:rPr>
        <w:t xml:space="preserve"> MUNICIPALITY</w:t>
      </w:r>
      <w:r w:rsidR="00797A12" w:rsidRPr="008E07F0">
        <w:rPr>
          <w:rFonts w:ascii="Verdana" w:hAnsi="Verdana" w:cs="Calibri"/>
          <w:b/>
          <w:u w:val="single"/>
        </w:rPr>
        <w:t>/</w:t>
      </w:r>
      <w:r w:rsidRPr="008E07F0">
        <w:rPr>
          <w:rFonts w:ascii="Verdana" w:hAnsi="Verdana" w:cs="Calibri"/>
          <w:b/>
          <w:u w:val="single"/>
        </w:rPr>
        <w:t>COMMUNITY</w:t>
      </w:r>
    </w:p>
    <w:p w14:paraId="6D73BD60" w14:textId="77777777" w:rsidR="00797A12" w:rsidRPr="008E07F0" w:rsidRDefault="00797A12" w:rsidP="008E07F0">
      <w:pPr>
        <w:suppressAutoHyphens/>
        <w:rPr>
          <w:rFonts w:ascii="Verdana" w:hAnsi="Verdana" w:cs="Calibri"/>
          <w:sz w:val="18"/>
          <w:szCs w:val="18"/>
        </w:rPr>
      </w:pPr>
    </w:p>
    <w:p w14:paraId="0C350B7B" w14:textId="77777777" w:rsidR="00797A12" w:rsidRPr="008E07F0" w:rsidRDefault="00797A12" w:rsidP="008E07F0">
      <w:pPr>
        <w:jc w:val="both"/>
        <w:rPr>
          <w:rFonts w:ascii="Verdana" w:hAnsi="Verdana"/>
          <w:b/>
          <w:bCs/>
          <w:sz w:val="18"/>
          <w:szCs w:val="18"/>
        </w:rPr>
      </w:pPr>
    </w:p>
    <w:p w14:paraId="6A062E0B" w14:textId="63A13A05" w:rsidR="00797A12" w:rsidRPr="008E07F0" w:rsidRDefault="00F72BEB" w:rsidP="008E07F0">
      <w:pPr>
        <w:suppressAutoHyphens/>
        <w:jc w:val="both"/>
        <w:rPr>
          <w:rFonts w:ascii="Verdana" w:hAnsi="Verdana" w:cs="Calibri"/>
          <w:sz w:val="18"/>
          <w:szCs w:val="18"/>
        </w:rPr>
      </w:pPr>
      <w:r w:rsidRPr="008E07F0">
        <w:rPr>
          <w:rFonts w:ascii="Verdana" w:hAnsi="Verdana" w:cs="Calibri"/>
          <w:sz w:val="18"/>
          <w:szCs w:val="18"/>
        </w:rPr>
        <w:t xml:space="preserve">The Statistical Service announces the preliminary results of the Census of Population and Housing </w:t>
      </w:r>
      <w:r w:rsidR="009A39F8" w:rsidRPr="008E07F0">
        <w:rPr>
          <w:rFonts w:ascii="Verdana" w:hAnsi="Verdana" w:cs="Calibri"/>
          <w:sz w:val="18"/>
          <w:szCs w:val="18"/>
        </w:rPr>
        <w:t xml:space="preserve">2021 </w:t>
      </w:r>
      <w:r w:rsidRPr="008E07F0">
        <w:rPr>
          <w:rFonts w:ascii="Verdana" w:hAnsi="Verdana" w:cs="Calibri"/>
          <w:sz w:val="18"/>
          <w:szCs w:val="18"/>
        </w:rPr>
        <w:t xml:space="preserve">by </w:t>
      </w:r>
      <w:r w:rsidR="00497A65">
        <w:rPr>
          <w:rFonts w:ascii="Verdana" w:hAnsi="Verdana" w:cs="Calibri"/>
          <w:sz w:val="18"/>
          <w:szCs w:val="18"/>
        </w:rPr>
        <w:t>d</w:t>
      </w:r>
      <w:r w:rsidRPr="008E07F0">
        <w:rPr>
          <w:rFonts w:ascii="Verdana" w:hAnsi="Verdana" w:cs="Calibri"/>
          <w:sz w:val="18"/>
          <w:szCs w:val="18"/>
        </w:rPr>
        <w:t>istrict</w:t>
      </w:r>
      <w:r w:rsidR="00497A65">
        <w:rPr>
          <w:rFonts w:ascii="Verdana" w:hAnsi="Verdana" w:cs="Calibri"/>
          <w:sz w:val="18"/>
          <w:szCs w:val="18"/>
        </w:rPr>
        <w:t xml:space="preserve"> and m</w:t>
      </w:r>
      <w:r w:rsidRPr="008E07F0">
        <w:rPr>
          <w:rFonts w:ascii="Verdana" w:hAnsi="Verdana" w:cs="Calibri"/>
          <w:sz w:val="18"/>
          <w:szCs w:val="18"/>
        </w:rPr>
        <w:t>unicipality/</w:t>
      </w:r>
      <w:r w:rsidR="00497A65">
        <w:rPr>
          <w:rFonts w:ascii="Verdana" w:hAnsi="Verdana" w:cs="Calibri"/>
          <w:sz w:val="18"/>
          <w:szCs w:val="18"/>
        </w:rPr>
        <w:t>c</w:t>
      </w:r>
      <w:r w:rsidRPr="008E07F0">
        <w:rPr>
          <w:rFonts w:ascii="Verdana" w:hAnsi="Verdana" w:cs="Calibri"/>
          <w:sz w:val="18"/>
          <w:szCs w:val="18"/>
        </w:rPr>
        <w:t>ommunity.</w:t>
      </w:r>
    </w:p>
    <w:p w14:paraId="0A215D53" w14:textId="77777777" w:rsidR="00797A12" w:rsidRPr="008E07F0" w:rsidRDefault="00797A12" w:rsidP="008E07F0">
      <w:pPr>
        <w:ind w:right="-1"/>
        <w:jc w:val="both"/>
        <w:rPr>
          <w:rFonts w:ascii="Verdana" w:hAnsi="Verdana" w:cs="Calibri"/>
          <w:sz w:val="18"/>
          <w:szCs w:val="18"/>
        </w:rPr>
      </w:pPr>
    </w:p>
    <w:p w14:paraId="55B3C526" w14:textId="4C141A16" w:rsidR="00853B2A" w:rsidRPr="008E07F0" w:rsidRDefault="001817CA" w:rsidP="008E07F0">
      <w:pPr>
        <w:ind w:right="-1"/>
        <w:jc w:val="both"/>
        <w:rPr>
          <w:rFonts w:ascii="Verdana" w:hAnsi="Verdana" w:cs="Calibri"/>
          <w:sz w:val="18"/>
          <w:szCs w:val="18"/>
        </w:rPr>
      </w:pPr>
      <w:r w:rsidRPr="008E07F0">
        <w:rPr>
          <w:rFonts w:ascii="Verdana" w:hAnsi="Verdana" w:cs="Calibri"/>
          <w:sz w:val="18"/>
          <w:szCs w:val="18"/>
        </w:rPr>
        <w:t>According to the preliminary results, the total population in the Government</w:t>
      </w:r>
      <w:r w:rsidR="009A39F8" w:rsidRPr="008E07F0">
        <w:rPr>
          <w:rFonts w:ascii="Verdana" w:hAnsi="Verdana" w:cs="Calibri"/>
          <w:sz w:val="18"/>
          <w:szCs w:val="18"/>
        </w:rPr>
        <w:t xml:space="preserve"> </w:t>
      </w:r>
      <w:r w:rsidRPr="008E07F0">
        <w:rPr>
          <w:rFonts w:ascii="Verdana" w:hAnsi="Verdana" w:cs="Calibri"/>
          <w:sz w:val="18"/>
          <w:szCs w:val="18"/>
        </w:rPr>
        <w:t>controlled area</w:t>
      </w:r>
      <w:r w:rsidR="009A39F8" w:rsidRPr="008E07F0">
        <w:rPr>
          <w:rFonts w:ascii="Verdana" w:hAnsi="Verdana" w:cs="Calibri"/>
          <w:sz w:val="18"/>
          <w:szCs w:val="18"/>
        </w:rPr>
        <w:t>s</w:t>
      </w:r>
      <w:r w:rsidRPr="008E07F0">
        <w:rPr>
          <w:rFonts w:ascii="Verdana" w:hAnsi="Verdana" w:cs="Calibri"/>
          <w:sz w:val="18"/>
          <w:szCs w:val="18"/>
        </w:rPr>
        <w:t xml:space="preserve"> of Cyprus on the 1</w:t>
      </w:r>
      <w:r w:rsidRPr="008E07F0">
        <w:rPr>
          <w:rFonts w:ascii="Verdana" w:hAnsi="Verdana" w:cs="Calibri"/>
          <w:sz w:val="18"/>
          <w:szCs w:val="18"/>
          <w:vertAlign w:val="superscript"/>
        </w:rPr>
        <w:t>st</w:t>
      </w:r>
      <w:r w:rsidRPr="008E07F0">
        <w:rPr>
          <w:rFonts w:ascii="Verdana" w:hAnsi="Verdana" w:cs="Calibri"/>
          <w:sz w:val="18"/>
          <w:szCs w:val="18"/>
        </w:rPr>
        <w:t xml:space="preserve"> October 2021 was </w:t>
      </w:r>
      <w:r w:rsidR="00797A12" w:rsidRPr="008E07F0">
        <w:rPr>
          <w:rFonts w:ascii="Verdana" w:hAnsi="Verdana" w:cs="Calibri"/>
          <w:sz w:val="18"/>
          <w:szCs w:val="18"/>
        </w:rPr>
        <w:t>923.272</w:t>
      </w:r>
      <w:r w:rsidRPr="008E07F0">
        <w:rPr>
          <w:rFonts w:ascii="Verdana" w:hAnsi="Verdana" w:cs="Calibri"/>
          <w:sz w:val="18"/>
          <w:szCs w:val="18"/>
        </w:rPr>
        <w:t xml:space="preserve"> persons</w:t>
      </w:r>
      <w:r w:rsidR="00797A12" w:rsidRPr="008E07F0">
        <w:rPr>
          <w:rFonts w:ascii="Verdana" w:hAnsi="Verdana" w:cs="Calibri"/>
          <w:sz w:val="18"/>
          <w:szCs w:val="18"/>
        </w:rPr>
        <w:t>,</w:t>
      </w:r>
      <w:r w:rsidRPr="008E07F0">
        <w:rPr>
          <w:rFonts w:ascii="Verdana" w:hAnsi="Verdana" w:cs="Calibri"/>
          <w:sz w:val="18"/>
          <w:szCs w:val="18"/>
        </w:rPr>
        <w:t xml:space="preserve"> while the corresponding total number of housing units was 492.555. An increase of 9,9% was recorded in the total population </w:t>
      </w:r>
      <w:r w:rsidR="00853B2A" w:rsidRPr="008E07F0">
        <w:rPr>
          <w:rFonts w:ascii="Verdana" w:hAnsi="Verdana" w:cs="Calibri"/>
          <w:sz w:val="18"/>
          <w:szCs w:val="18"/>
        </w:rPr>
        <w:t>compared to the results of the 2011 Census of Population and Housing (840.407 persons), whereas the percentage increase in the housing units was 13,7% (433.212).</w:t>
      </w:r>
    </w:p>
    <w:p w14:paraId="7AB0BB8C" w14:textId="1E198FF1" w:rsidR="001817CA" w:rsidRPr="008E07F0" w:rsidRDefault="00797A12" w:rsidP="008E07F0">
      <w:pPr>
        <w:ind w:right="-1"/>
        <w:jc w:val="both"/>
        <w:rPr>
          <w:rFonts w:ascii="Verdana" w:hAnsi="Verdana" w:cs="Calibri"/>
          <w:sz w:val="18"/>
          <w:szCs w:val="18"/>
        </w:rPr>
      </w:pPr>
      <w:r w:rsidRPr="008E07F0">
        <w:rPr>
          <w:rFonts w:ascii="Verdana" w:hAnsi="Verdana" w:cs="Calibri"/>
          <w:sz w:val="18"/>
          <w:szCs w:val="18"/>
        </w:rPr>
        <w:t xml:space="preserve"> </w:t>
      </w:r>
    </w:p>
    <w:p w14:paraId="2C5D93A4" w14:textId="0D5B0EE4" w:rsidR="00797A12" w:rsidRPr="008E07F0" w:rsidRDefault="00916426" w:rsidP="008E07F0">
      <w:pPr>
        <w:ind w:right="-1"/>
        <w:jc w:val="both"/>
        <w:rPr>
          <w:rFonts w:ascii="Verdana" w:hAnsi="Verdana" w:cs="Calibri"/>
          <w:b/>
          <w:bCs/>
          <w:sz w:val="18"/>
          <w:szCs w:val="18"/>
          <w:u w:val="single"/>
        </w:rPr>
      </w:pPr>
      <w:r w:rsidRPr="008E07F0">
        <w:rPr>
          <w:rFonts w:ascii="Verdana" w:hAnsi="Verdana" w:cs="Calibri"/>
          <w:b/>
          <w:bCs/>
          <w:sz w:val="18"/>
          <w:szCs w:val="18"/>
          <w:u w:val="single"/>
        </w:rPr>
        <w:t xml:space="preserve">Housing Units and </w:t>
      </w:r>
      <w:r w:rsidR="00853B2A" w:rsidRPr="008E07F0">
        <w:rPr>
          <w:rFonts w:ascii="Verdana" w:hAnsi="Verdana" w:cs="Calibri"/>
          <w:b/>
          <w:bCs/>
          <w:sz w:val="18"/>
          <w:szCs w:val="18"/>
          <w:u w:val="single"/>
        </w:rPr>
        <w:t>Population by District and Urban/Rural Area</w:t>
      </w:r>
    </w:p>
    <w:p w14:paraId="1CF5B7DF" w14:textId="77777777" w:rsidR="00797A12" w:rsidRPr="008E07F0" w:rsidRDefault="00797A12" w:rsidP="008E07F0">
      <w:pPr>
        <w:ind w:right="-1"/>
        <w:jc w:val="both"/>
        <w:rPr>
          <w:rFonts w:ascii="Verdana" w:hAnsi="Verdana" w:cs="Calibri"/>
          <w:sz w:val="18"/>
          <w:szCs w:val="18"/>
        </w:rPr>
      </w:pPr>
    </w:p>
    <w:p w14:paraId="2E98C6DA" w14:textId="684B11DA" w:rsidR="006C755E" w:rsidRPr="008E07F0" w:rsidRDefault="006C755E" w:rsidP="008E07F0">
      <w:pPr>
        <w:ind w:right="-1"/>
        <w:jc w:val="both"/>
        <w:rPr>
          <w:rFonts w:ascii="Verdana" w:hAnsi="Verdana" w:cs="Calibri"/>
          <w:sz w:val="18"/>
          <w:szCs w:val="18"/>
        </w:rPr>
      </w:pPr>
      <w:r w:rsidRPr="008E07F0">
        <w:rPr>
          <w:rFonts w:ascii="Verdana" w:hAnsi="Verdana" w:cs="Calibri"/>
          <w:sz w:val="18"/>
          <w:szCs w:val="18"/>
        </w:rPr>
        <w:t xml:space="preserve">A total number of 163.239 housing units and 350.824 persons were enumerated in the district of </w:t>
      </w:r>
      <w:proofErr w:type="spellStart"/>
      <w:r w:rsidRPr="008E07F0">
        <w:rPr>
          <w:rFonts w:ascii="Verdana" w:hAnsi="Verdana" w:cs="Calibri"/>
          <w:sz w:val="18"/>
          <w:szCs w:val="18"/>
        </w:rPr>
        <w:t>Lefkosia</w:t>
      </w:r>
      <w:proofErr w:type="spellEnd"/>
      <w:r w:rsidRPr="008E07F0">
        <w:rPr>
          <w:rFonts w:ascii="Verdana" w:hAnsi="Verdana" w:cs="Calibri"/>
          <w:sz w:val="18"/>
          <w:szCs w:val="18"/>
        </w:rPr>
        <w:t>, corresponding to 33,1% and 38,0% respectively</w:t>
      </w:r>
      <w:r w:rsidR="00497A65">
        <w:rPr>
          <w:rFonts w:ascii="Verdana" w:hAnsi="Verdana" w:cs="Calibri"/>
          <w:sz w:val="18"/>
          <w:szCs w:val="18"/>
        </w:rPr>
        <w:t xml:space="preserve"> </w:t>
      </w:r>
      <w:r w:rsidRPr="008E07F0">
        <w:rPr>
          <w:rFonts w:ascii="Verdana" w:hAnsi="Verdana" w:cs="Calibri"/>
          <w:sz w:val="18"/>
          <w:szCs w:val="18"/>
        </w:rPr>
        <w:t xml:space="preserve">of the total for Cyprus.  In </w:t>
      </w:r>
      <w:proofErr w:type="spellStart"/>
      <w:r w:rsidRPr="008E07F0">
        <w:rPr>
          <w:rFonts w:ascii="Verdana" w:hAnsi="Verdana" w:cs="Calibri"/>
          <w:sz w:val="18"/>
          <w:szCs w:val="18"/>
        </w:rPr>
        <w:t>Lemesos</w:t>
      </w:r>
      <w:proofErr w:type="spellEnd"/>
      <w:r w:rsidRPr="008E07F0">
        <w:rPr>
          <w:rFonts w:ascii="Verdana" w:hAnsi="Verdana" w:cs="Calibri"/>
          <w:sz w:val="18"/>
          <w:szCs w:val="18"/>
        </w:rPr>
        <w:t xml:space="preserve"> district, 132.305 (26,9%) housing units and 262.236 (28,4%) persons were enumerated, in </w:t>
      </w:r>
      <w:proofErr w:type="spellStart"/>
      <w:r w:rsidRPr="008E07F0">
        <w:rPr>
          <w:rFonts w:ascii="Verdana" w:hAnsi="Verdana" w:cs="Calibri"/>
          <w:sz w:val="18"/>
          <w:szCs w:val="18"/>
        </w:rPr>
        <w:t>Larnaka</w:t>
      </w:r>
      <w:proofErr w:type="spellEnd"/>
      <w:r w:rsidRPr="008E07F0">
        <w:rPr>
          <w:rFonts w:ascii="Verdana" w:hAnsi="Verdana" w:cs="Calibri"/>
          <w:sz w:val="18"/>
          <w:szCs w:val="18"/>
        </w:rPr>
        <w:t xml:space="preserve"> district 82.233 (16,7%) housing units and 155.753 (16,9%) persons, in </w:t>
      </w:r>
      <w:proofErr w:type="spellStart"/>
      <w:r w:rsidRPr="008E07F0">
        <w:rPr>
          <w:rFonts w:ascii="Verdana" w:hAnsi="Verdana" w:cs="Calibri"/>
          <w:sz w:val="18"/>
          <w:szCs w:val="18"/>
        </w:rPr>
        <w:t>Pafos</w:t>
      </w:r>
      <w:proofErr w:type="spellEnd"/>
      <w:r w:rsidRPr="008E07F0">
        <w:rPr>
          <w:rFonts w:ascii="Verdana" w:hAnsi="Verdana" w:cs="Calibri"/>
          <w:sz w:val="18"/>
          <w:szCs w:val="18"/>
        </w:rPr>
        <w:t xml:space="preserve"> district 74.498 (15,1%) housing units and 100.175 (10,8%) persons and lastly in </w:t>
      </w:r>
      <w:proofErr w:type="spellStart"/>
      <w:r w:rsidRPr="008E07F0">
        <w:rPr>
          <w:rFonts w:ascii="Verdana" w:hAnsi="Verdana" w:cs="Calibri"/>
          <w:sz w:val="18"/>
          <w:szCs w:val="18"/>
        </w:rPr>
        <w:t>Ammochostos</w:t>
      </w:r>
      <w:proofErr w:type="spellEnd"/>
      <w:r w:rsidRPr="008E07F0">
        <w:rPr>
          <w:rFonts w:ascii="Verdana" w:hAnsi="Verdana" w:cs="Calibri"/>
          <w:sz w:val="18"/>
          <w:szCs w:val="18"/>
        </w:rPr>
        <w:t xml:space="preserve"> district, 40.280 (8,2%) housing units and 54.282 (5,9%) persons. </w:t>
      </w:r>
    </w:p>
    <w:p w14:paraId="04B4BB8C" w14:textId="77777777" w:rsidR="00797A12" w:rsidRPr="008E07F0" w:rsidRDefault="00797A12" w:rsidP="008E07F0">
      <w:pPr>
        <w:ind w:right="-1"/>
        <w:jc w:val="both"/>
        <w:rPr>
          <w:rFonts w:ascii="Verdana" w:hAnsi="Verdana" w:cs="Calibri"/>
          <w:sz w:val="18"/>
          <w:szCs w:val="18"/>
        </w:rPr>
      </w:pPr>
    </w:p>
    <w:p w14:paraId="3DFD8CB7" w14:textId="4CD12AE1" w:rsidR="006C755E" w:rsidRDefault="00896AE4" w:rsidP="008E07F0">
      <w:pPr>
        <w:ind w:right="-1"/>
        <w:jc w:val="both"/>
        <w:rPr>
          <w:rFonts w:ascii="Verdana" w:hAnsi="Verdana" w:cs="Calibri"/>
          <w:sz w:val="18"/>
          <w:szCs w:val="18"/>
        </w:rPr>
      </w:pPr>
      <w:r w:rsidRPr="008E07F0">
        <w:rPr>
          <w:rFonts w:ascii="Verdana" w:hAnsi="Verdana" w:cs="Calibri"/>
          <w:sz w:val="18"/>
          <w:szCs w:val="18"/>
        </w:rPr>
        <w:t>The diagrams below present</w:t>
      </w:r>
      <w:r w:rsidR="006C755E" w:rsidRPr="008E07F0">
        <w:rPr>
          <w:rFonts w:ascii="Verdana" w:hAnsi="Verdana" w:cs="Calibri"/>
          <w:sz w:val="18"/>
          <w:szCs w:val="18"/>
        </w:rPr>
        <w:t xml:space="preserve"> the percentage distribution of the housing units and population by district.</w:t>
      </w:r>
    </w:p>
    <w:p w14:paraId="03E982B3" w14:textId="77777777" w:rsidR="00B518AF" w:rsidRDefault="00B518AF" w:rsidP="008E07F0">
      <w:pPr>
        <w:ind w:right="-1"/>
        <w:jc w:val="both"/>
        <w:rPr>
          <w:rFonts w:ascii="Verdana" w:hAnsi="Verdana" w:cs="Calibri"/>
          <w:sz w:val="18"/>
          <w:szCs w:val="18"/>
        </w:rPr>
      </w:pPr>
    </w:p>
    <w:p w14:paraId="06D7C0B1" w14:textId="78B49EC8" w:rsidR="006518CF" w:rsidRDefault="00254951" w:rsidP="006518CF">
      <w:pPr>
        <w:ind w:right="-1"/>
        <w:jc w:val="both"/>
        <w:rPr>
          <w:rFonts w:ascii="Verdana" w:hAnsi="Verdana" w:cs="Calibri"/>
          <w:sz w:val="18"/>
          <w:szCs w:val="18"/>
        </w:rPr>
      </w:pPr>
      <w:r>
        <w:rPr>
          <w:rFonts w:ascii="Verdana" w:hAnsi="Verdana" w:cs="Calibri"/>
          <w:noProof/>
          <w:sz w:val="18"/>
          <w:szCs w:val="18"/>
        </w:rPr>
        <w:drawing>
          <wp:inline distT="0" distB="0" distL="0" distR="0" wp14:anchorId="73F8AD88" wp14:editId="7B1C1174">
            <wp:extent cx="2993390" cy="3249295"/>
            <wp:effectExtent l="0" t="0" r="0" b="8255"/>
            <wp:docPr id="1384131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3390" cy="3249295"/>
                    </a:xfrm>
                    <a:prstGeom prst="rect">
                      <a:avLst/>
                    </a:prstGeom>
                    <a:noFill/>
                  </pic:spPr>
                </pic:pic>
              </a:graphicData>
            </a:graphic>
          </wp:inline>
        </w:drawing>
      </w:r>
      <w:r w:rsidR="00B518AF">
        <w:rPr>
          <w:rFonts w:ascii="Verdana" w:hAnsi="Verdana" w:cs="Calibri"/>
          <w:sz w:val="18"/>
          <w:szCs w:val="18"/>
        </w:rPr>
        <w:t xml:space="preserve">    </w:t>
      </w:r>
      <w:r>
        <w:rPr>
          <w:rFonts w:ascii="Verdana" w:hAnsi="Verdana" w:cs="Calibri"/>
          <w:noProof/>
          <w:sz w:val="18"/>
          <w:szCs w:val="18"/>
        </w:rPr>
        <w:drawing>
          <wp:inline distT="0" distB="0" distL="0" distR="0" wp14:anchorId="06EDD4C9" wp14:editId="59B465DC">
            <wp:extent cx="2974975" cy="3249295"/>
            <wp:effectExtent l="0" t="0" r="0" b="8255"/>
            <wp:docPr id="1968291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4975" cy="3249295"/>
                    </a:xfrm>
                    <a:prstGeom prst="rect">
                      <a:avLst/>
                    </a:prstGeom>
                    <a:noFill/>
                  </pic:spPr>
                </pic:pic>
              </a:graphicData>
            </a:graphic>
          </wp:inline>
        </w:drawing>
      </w:r>
    </w:p>
    <w:p w14:paraId="31204ED2" w14:textId="77777777" w:rsidR="006518CF" w:rsidRDefault="006518CF" w:rsidP="006518CF">
      <w:pPr>
        <w:jc w:val="both"/>
        <w:rPr>
          <w:rFonts w:ascii="Verdana" w:hAnsi="Verdana" w:cs="Calibri"/>
          <w:sz w:val="18"/>
          <w:szCs w:val="18"/>
        </w:rPr>
      </w:pPr>
    </w:p>
    <w:p w14:paraId="5C94390E" w14:textId="40FAD357" w:rsidR="00254951" w:rsidRDefault="00254951">
      <w:pPr>
        <w:rPr>
          <w:rFonts w:ascii="Verdana" w:hAnsi="Verdana" w:cs="Calibri"/>
          <w:sz w:val="18"/>
          <w:szCs w:val="18"/>
        </w:rPr>
      </w:pPr>
      <w:r>
        <w:rPr>
          <w:rFonts w:ascii="Verdana" w:hAnsi="Verdana" w:cs="Calibri"/>
          <w:sz w:val="18"/>
          <w:szCs w:val="18"/>
        </w:rPr>
        <w:br w:type="page"/>
      </w:r>
    </w:p>
    <w:p w14:paraId="718A8B6A" w14:textId="77777777" w:rsidR="00377E68" w:rsidRDefault="00377E68" w:rsidP="006518CF">
      <w:pPr>
        <w:ind w:right="-1"/>
        <w:jc w:val="both"/>
        <w:rPr>
          <w:rFonts w:ascii="Verdana" w:hAnsi="Verdana" w:cs="Calibri"/>
          <w:sz w:val="18"/>
          <w:szCs w:val="18"/>
        </w:rPr>
      </w:pPr>
    </w:p>
    <w:p w14:paraId="56C1B75D" w14:textId="1974EA67" w:rsidR="006C755E" w:rsidRPr="006518CF" w:rsidRDefault="006C755E" w:rsidP="006518CF">
      <w:pPr>
        <w:ind w:right="-1"/>
        <w:jc w:val="both"/>
        <w:rPr>
          <w:rFonts w:ascii="Verdana" w:hAnsi="Verdana" w:cs="Calibri"/>
          <w:sz w:val="18"/>
          <w:szCs w:val="18"/>
        </w:rPr>
      </w:pPr>
      <w:r w:rsidRPr="006518CF">
        <w:rPr>
          <w:rFonts w:ascii="Verdana" w:hAnsi="Verdana" w:cs="Calibri"/>
          <w:sz w:val="18"/>
          <w:szCs w:val="18"/>
        </w:rPr>
        <w:t xml:space="preserve">Compared to the results of the 2011 Census of Population and Housing, the largest percentage increase in the number of housing units (18,0%) as well as in the population (16,4%) </w:t>
      </w:r>
      <w:r w:rsidR="0022480B" w:rsidRPr="006518CF">
        <w:rPr>
          <w:rFonts w:ascii="Verdana" w:hAnsi="Verdana" w:cs="Calibri"/>
          <w:sz w:val="18"/>
          <w:szCs w:val="18"/>
        </w:rPr>
        <w:t>was</w:t>
      </w:r>
      <w:r w:rsidRPr="006518CF">
        <w:rPr>
          <w:rFonts w:ascii="Verdana" w:hAnsi="Verdana" w:cs="Calibri"/>
          <w:sz w:val="18"/>
          <w:szCs w:val="18"/>
        </w:rPr>
        <w:t xml:space="preserve"> recorded in </w:t>
      </w:r>
      <w:proofErr w:type="spellStart"/>
      <w:r w:rsidRPr="006518CF">
        <w:rPr>
          <w:rFonts w:ascii="Verdana" w:hAnsi="Verdana" w:cs="Calibri"/>
          <w:sz w:val="18"/>
          <w:szCs w:val="18"/>
        </w:rPr>
        <w:t>Ammochostos</w:t>
      </w:r>
      <w:proofErr w:type="spellEnd"/>
      <w:r w:rsidRPr="006518CF">
        <w:rPr>
          <w:rFonts w:ascii="Verdana" w:hAnsi="Verdana" w:cs="Calibri"/>
          <w:sz w:val="18"/>
          <w:szCs w:val="18"/>
        </w:rPr>
        <w:t xml:space="preserve"> district. The second largest percentage increase in the population was recorded in </w:t>
      </w:r>
      <w:proofErr w:type="spellStart"/>
      <w:r w:rsidRPr="006518CF">
        <w:rPr>
          <w:rFonts w:ascii="Verdana" w:hAnsi="Verdana" w:cs="Calibri"/>
          <w:sz w:val="18"/>
          <w:szCs w:val="18"/>
        </w:rPr>
        <w:t>Pafos</w:t>
      </w:r>
      <w:proofErr w:type="spellEnd"/>
      <w:r w:rsidRPr="006518CF">
        <w:rPr>
          <w:rFonts w:ascii="Verdana" w:hAnsi="Verdana" w:cs="Calibri"/>
          <w:sz w:val="18"/>
          <w:szCs w:val="18"/>
        </w:rPr>
        <w:t xml:space="preserve"> district (13,5%), whereas the second largest </w:t>
      </w:r>
      <w:r w:rsidR="0022480B" w:rsidRPr="006518CF">
        <w:rPr>
          <w:rFonts w:ascii="Verdana" w:hAnsi="Verdana" w:cs="Calibri"/>
          <w:sz w:val="18"/>
          <w:szCs w:val="18"/>
        </w:rPr>
        <w:t xml:space="preserve">percentage increase in housing units was recorded in </w:t>
      </w:r>
      <w:proofErr w:type="spellStart"/>
      <w:r w:rsidR="0022480B" w:rsidRPr="006518CF">
        <w:rPr>
          <w:rFonts w:ascii="Verdana" w:hAnsi="Verdana" w:cs="Calibri"/>
          <w:sz w:val="18"/>
          <w:szCs w:val="18"/>
        </w:rPr>
        <w:t>Lemesos</w:t>
      </w:r>
      <w:proofErr w:type="spellEnd"/>
      <w:r w:rsidR="0022480B" w:rsidRPr="006518CF">
        <w:rPr>
          <w:rFonts w:ascii="Verdana" w:hAnsi="Verdana" w:cs="Calibri"/>
          <w:sz w:val="18"/>
          <w:szCs w:val="18"/>
        </w:rPr>
        <w:t xml:space="preserve"> district (15,4%)</w:t>
      </w:r>
      <w:r w:rsidR="006518CF">
        <w:rPr>
          <w:rFonts w:ascii="Verdana" w:hAnsi="Verdana" w:cs="Calibri"/>
          <w:sz w:val="18"/>
          <w:szCs w:val="18"/>
        </w:rPr>
        <w:t>.</w:t>
      </w:r>
      <w:r w:rsidR="0022480B" w:rsidRPr="006518CF">
        <w:rPr>
          <w:rFonts w:ascii="Verdana" w:hAnsi="Verdana" w:cs="Calibri"/>
          <w:sz w:val="18"/>
          <w:szCs w:val="18"/>
        </w:rPr>
        <w:t xml:space="preserve"> </w:t>
      </w:r>
    </w:p>
    <w:p w14:paraId="7C81109E" w14:textId="77777777" w:rsidR="00797A12" w:rsidRPr="006518CF" w:rsidRDefault="00797A12" w:rsidP="008E07F0">
      <w:pPr>
        <w:ind w:right="-1"/>
        <w:jc w:val="both"/>
        <w:rPr>
          <w:rFonts w:ascii="Verdana" w:hAnsi="Verdana" w:cs="Calibri"/>
          <w:sz w:val="18"/>
          <w:szCs w:val="18"/>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360"/>
        <w:gridCol w:w="1360"/>
        <w:gridCol w:w="1472"/>
        <w:gridCol w:w="236"/>
        <w:gridCol w:w="1360"/>
        <w:gridCol w:w="1360"/>
        <w:gridCol w:w="1472"/>
      </w:tblGrid>
      <w:tr w:rsidR="006518CF" w:rsidRPr="006518CF" w14:paraId="4B70AE8A" w14:textId="77777777" w:rsidTr="006518CF">
        <w:trPr>
          <w:trHeight w:val="284"/>
          <w:jc w:val="center"/>
        </w:trPr>
        <w:tc>
          <w:tcPr>
            <w:tcW w:w="1359" w:type="dxa"/>
            <w:tcBorders>
              <w:top w:val="nil"/>
              <w:left w:val="nil"/>
              <w:bottom w:val="single" w:sz="4" w:space="0" w:color="2F5496"/>
              <w:right w:val="nil"/>
            </w:tcBorders>
            <w:shd w:val="clear" w:color="auto" w:fill="auto"/>
            <w:vAlign w:val="center"/>
          </w:tcPr>
          <w:p w14:paraId="683D1A35" w14:textId="5F9FA9D6" w:rsidR="006518CF" w:rsidRPr="006518CF" w:rsidRDefault="006518CF" w:rsidP="006518CF">
            <w:pPr>
              <w:ind w:right="-1"/>
              <w:rPr>
                <w:rFonts w:ascii="Verdana" w:hAnsi="Verdana" w:cs="Calibri"/>
                <w:b/>
                <w:bCs/>
                <w:color w:val="2F5496"/>
                <w:sz w:val="18"/>
                <w:szCs w:val="18"/>
              </w:rPr>
            </w:pPr>
            <w:r>
              <w:rPr>
                <w:rFonts w:ascii="Verdana" w:hAnsi="Verdana" w:cs="Calibri"/>
                <w:b/>
                <w:bCs/>
                <w:color w:val="2F5496"/>
                <w:sz w:val="18"/>
                <w:szCs w:val="18"/>
              </w:rPr>
              <w:t>Table</w:t>
            </w:r>
          </w:p>
        </w:tc>
        <w:tc>
          <w:tcPr>
            <w:tcW w:w="1360" w:type="dxa"/>
            <w:tcBorders>
              <w:top w:val="nil"/>
              <w:left w:val="nil"/>
              <w:bottom w:val="single" w:sz="4" w:space="0" w:color="2F5496"/>
              <w:right w:val="nil"/>
            </w:tcBorders>
            <w:shd w:val="clear" w:color="auto" w:fill="auto"/>
            <w:vAlign w:val="center"/>
          </w:tcPr>
          <w:p w14:paraId="0B235A2B" w14:textId="77777777" w:rsidR="006518CF" w:rsidRPr="006518CF" w:rsidRDefault="006518CF" w:rsidP="006518CF">
            <w:pPr>
              <w:rPr>
                <w:rFonts w:ascii="Verdana" w:eastAsia="Malgun Gothic" w:hAnsi="Verdana" w:cs="Arial"/>
                <w:b/>
                <w:bCs/>
                <w:color w:val="2F5496"/>
                <w:sz w:val="18"/>
                <w:szCs w:val="18"/>
              </w:rPr>
            </w:pPr>
          </w:p>
        </w:tc>
        <w:tc>
          <w:tcPr>
            <w:tcW w:w="1360" w:type="dxa"/>
            <w:tcBorders>
              <w:top w:val="nil"/>
              <w:left w:val="nil"/>
              <w:bottom w:val="single" w:sz="4" w:space="0" w:color="2F5496"/>
              <w:right w:val="nil"/>
            </w:tcBorders>
            <w:shd w:val="clear" w:color="auto" w:fill="auto"/>
            <w:vAlign w:val="center"/>
          </w:tcPr>
          <w:p w14:paraId="6646E136" w14:textId="77777777" w:rsidR="006518CF" w:rsidRPr="006518CF" w:rsidRDefault="006518CF" w:rsidP="006518CF">
            <w:pPr>
              <w:ind w:right="-1"/>
              <w:rPr>
                <w:rFonts w:ascii="Verdana" w:hAnsi="Verdana" w:cs="Calibri"/>
                <w:b/>
                <w:bCs/>
                <w:color w:val="2F5496"/>
                <w:sz w:val="18"/>
                <w:szCs w:val="18"/>
                <w:lang w:val="el-GR"/>
              </w:rPr>
            </w:pPr>
          </w:p>
        </w:tc>
        <w:tc>
          <w:tcPr>
            <w:tcW w:w="1472" w:type="dxa"/>
            <w:tcBorders>
              <w:top w:val="nil"/>
              <w:left w:val="nil"/>
              <w:bottom w:val="single" w:sz="4" w:space="0" w:color="2F5496"/>
              <w:right w:val="nil"/>
            </w:tcBorders>
            <w:vAlign w:val="center"/>
          </w:tcPr>
          <w:p w14:paraId="483ABA4B" w14:textId="77777777" w:rsidR="006518CF" w:rsidRPr="006518CF" w:rsidRDefault="006518CF" w:rsidP="006518CF">
            <w:pPr>
              <w:ind w:right="-1"/>
              <w:rPr>
                <w:rFonts w:ascii="Verdana" w:hAnsi="Verdana" w:cs="Calibri"/>
                <w:b/>
                <w:bCs/>
                <w:color w:val="2F5496"/>
                <w:sz w:val="18"/>
                <w:szCs w:val="18"/>
                <w:lang w:val="el-GR"/>
              </w:rPr>
            </w:pPr>
          </w:p>
        </w:tc>
        <w:tc>
          <w:tcPr>
            <w:tcW w:w="236" w:type="dxa"/>
            <w:tcBorders>
              <w:top w:val="nil"/>
              <w:left w:val="nil"/>
              <w:bottom w:val="single" w:sz="4" w:space="0" w:color="2F5496"/>
              <w:right w:val="nil"/>
            </w:tcBorders>
            <w:vAlign w:val="center"/>
          </w:tcPr>
          <w:p w14:paraId="1009BBBF" w14:textId="77777777" w:rsidR="006518CF" w:rsidRPr="006518CF" w:rsidRDefault="006518CF" w:rsidP="006518CF">
            <w:pPr>
              <w:ind w:right="-1"/>
              <w:rPr>
                <w:rFonts w:ascii="Verdana" w:hAnsi="Verdana" w:cs="Calibri"/>
                <w:b/>
                <w:bCs/>
                <w:color w:val="2F5496"/>
                <w:sz w:val="18"/>
                <w:szCs w:val="18"/>
                <w:lang w:val="el-GR"/>
              </w:rPr>
            </w:pPr>
          </w:p>
        </w:tc>
        <w:tc>
          <w:tcPr>
            <w:tcW w:w="1360" w:type="dxa"/>
            <w:tcBorders>
              <w:top w:val="nil"/>
              <w:left w:val="nil"/>
              <w:bottom w:val="single" w:sz="4" w:space="0" w:color="2F5496"/>
              <w:right w:val="nil"/>
            </w:tcBorders>
            <w:vAlign w:val="center"/>
          </w:tcPr>
          <w:p w14:paraId="60744276" w14:textId="77777777" w:rsidR="006518CF" w:rsidRPr="006518CF" w:rsidRDefault="006518CF" w:rsidP="006518CF">
            <w:pPr>
              <w:ind w:right="-1"/>
              <w:rPr>
                <w:rFonts w:ascii="Verdana" w:hAnsi="Verdana" w:cs="Calibri"/>
                <w:b/>
                <w:bCs/>
                <w:color w:val="2F5496"/>
                <w:sz w:val="18"/>
                <w:szCs w:val="18"/>
                <w:lang w:val="el-GR"/>
              </w:rPr>
            </w:pPr>
          </w:p>
        </w:tc>
        <w:tc>
          <w:tcPr>
            <w:tcW w:w="1360" w:type="dxa"/>
            <w:tcBorders>
              <w:top w:val="nil"/>
              <w:left w:val="nil"/>
              <w:bottom w:val="single" w:sz="4" w:space="0" w:color="2F5496"/>
              <w:right w:val="nil"/>
            </w:tcBorders>
            <w:vAlign w:val="center"/>
          </w:tcPr>
          <w:p w14:paraId="67268BEC" w14:textId="77777777" w:rsidR="006518CF" w:rsidRPr="006518CF" w:rsidRDefault="006518CF" w:rsidP="006518CF">
            <w:pPr>
              <w:ind w:right="-1"/>
              <w:rPr>
                <w:rFonts w:ascii="Verdana" w:hAnsi="Verdana" w:cs="Calibri"/>
                <w:b/>
                <w:bCs/>
                <w:color w:val="2F5496"/>
                <w:sz w:val="18"/>
                <w:szCs w:val="18"/>
                <w:lang w:val="el-GR"/>
              </w:rPr>
            </w:pPr>
          </w:p>
        </w:tc>
        <w:tc>
          <w:tcPr>
            <w:tcW w:w="1472" w:type="dxa"/>
            <w:tcBorders>
              <w:top w:val="nil"/>
              <w:left w:val="nil"/>
              <w:bottom w:val="single" w:sz="4" w:space="0" w:color="2F5496"/>
              <w:right w:val="nil"/>
            </w:tcBorders>
            <w:shd w:val="clear" w:color="auto" w:fill="auto"/>
            <w:vAlign w:val="center"/>
          </w:tcPr>
          <w:p w14:paraId="4CD2BB85" w14:textId="77777777" w:rsidR="006518CF" w:rsidRPr="006518CF" w:rsidRDefault="006518CF" w:rsidP="006518CF">
            <w:pPr>
              <w:rPr>
                <w:rFonts w:ascii="Verdana" w:hAnsi="Verdana" w:cs="Calibri"/>
                <w:b/>
                <w:bCs/>
                <w:color w:val="2F5496"/>
                <w:sz w:val="18"/>
                <w:szCs w:val="18"/>
              </w:rPr>
            </w:pPr>
          </w:p>
        </w:tc>
      </w:tr>
      <w:tr w:rsidR="006518CF" w:rsidRPr="006518CF" w14:paraId="1A76D6CC" w14:textId="77777777" w:rsidTr="006518CF">
        <w:trPr>
          <w:trHeight w:val="397"/>
          <w:jc w:val="center"/>
        </w:trPr>
        <w:tc>
          <w:tcPr>
            <w:tcW w:w="1359" w:type="dxa"/>
            <w:vMerge w:val="restart"/>
            <w:tcBorders>
              <w:top w:val="single" w:sz="4" w:space="0" w:color="2F5496"/>
              <w:left w:val="nil"/>
              <w:right w:val="nil"/>
            </w:tcBorders>
            <w:shd w:val="clear" w:color="auto" w:fill="auto"/>
            <w:vAlign w:val="center"/>
          </w:tcPr>
          <w:p w14:paraId="3CE4BA13" w14:textId="2D4BDD48" w:rsidR="006518CF" w:rsidRPr="006518CF" w:rsidRDefault="006518CF" w:rsidP="006518CF">
            <w:pPr>
              <w:ind w:right="-1"/>
              <w:jc w:val="center"/>
              <w:rPr>
                <w:rFonts w:ascii="Verdana" w:hAnsi="Verdana" w:cs="Calibri"/>
                <w:b/>
                <w:bCs/>
                <w:color w:val="2F5496"/>
                <w:sz w:val="18"/>
                <w:szCs w:val="18"/>
                <w:lang w:val="el-GR"/>
              </w:rPr>
            </w:pPr>
            <w:r>
              <w:rPr>
                <w:rFonts w:ascii="Verdana" w:hAnsi="Verdana" w:cs="Calibri"/>
                <w:b/>
                <w:bCs/>
                <w:color w:val="2F5496"/>
                <w:sz w:val="18"/>
                <w:szCs w:val="18"/>
              </w:rPr>
              <w:t>District</w:t>
            </w:r>
          </w:p>
        </w:tc>
        <w:tc>
          <w:tcPr>
            <w:tcW w:w="4192" w:type="dxa"/>
            <w:gridSpan w:val="3"/>
            <w:tcBorders>
              <w:top w:val="single" w:sz="4" w:space="0" w:color="2F5496"/>
              <w:left w:val="nil"/>
              <w:bottom w:val="single" w:sz="4" w:space="0" w:color="2F5496"/>
              <w:right w:val="nil"/>
            </w:tcBorders>
            <w:shd w:val="clear" w:color="auto" w:fill="auto"/>
            <w:vAlign w:val="center"/>
          </w:tcPr>
          <w:p w14:paraId="2DC351DB" w14:textId="13C0F261" w:rsidR="006518CF" w:rsidRPr="006518CF" w:rsidRDefault="006518CF" w:rsidP="006518CF">
            <w:pPr>
              <w:ind w:right="-1"/>
              <w:jc w:val="center"/>
              <w:rPr>
                <w:rFonts w:ascii="Verdana" w:hAnsi="Verdana" w:cs="Calibri"/>
                <w:b/>
                <w:bCs/>
                <w:color w:val="2F5496"/>
                <w:sz w:val="18"/>
                <w:szCs w:val="18"/>
              </w:rPr>
            </w:pPr>
            <w:r>
              <w:rPr>
                <w:rFonts w:ascii="Verdana" w:eastAsia="Malgun Gothic" w:hAnsi="Verdana" w:cs="Arial"/>
                <w:b/>
                <w:bCs/>
                <w:color w:val="2F5496"/>
                <w:sz w:val="18"/>
                <w:szCs w:val="18"/>
              </w:rPr>
              <w:t>Housing Units</w:t>
            </w:r>
          </w:p>
        </w:tc>
        <w:tc>
          <w:tcPr>
            <w:tcW w:w="236" w:type="dxa"/>
            <w:tcBorders>
              <w:top w:val="single" w:sz="4" w:space="0" w:color="2F5496"/>
              <w:left w:val="nil"/>
              <w:bottom w:val="nil"/>
              <w:right w:val="nil"/>
            </w:tcBorders>
            <w:vAlign w:val="center"/>
          </w:tcPr>
          <w:p w14:paraId="39280810" w14:textId="77777777" w:rsidR="006518CF" w:rsidRPr="006518CF" w:rsidRDefault="006518CF" w:rsidP="006518CF">
            <w:pPr>
              <w:ind w:right="-1"/>
              <w:jc w:val="center"/>
              <w:rPr>
                <w:rFonts w:ascii="Verdana" w:hAnsi="Verdana" w:cs="Calibri"/>
                <w:b/>
                <w:bCs/>
                <w:color w:val="2F5496"/>
                <w:sz w:val="18"/>
                <w:szCs w:val="18"/>
                <w:lang w:val="el-GR"/>
              </w:rPr>
            </w:pPr>
          </w:p>
        </w:tc>
        <w:tc>
          <w:tcPr>
            <w:tcW w:w="4192" w:type="dxa"/>
            <w:gridSpan w:val="3"/>
            <w:tcBorders>
              <w:top w:val="single" w:sz="4" w:space="0" w:color="2F5496"/>
              <w:left w:val="nil"/>
              <w:bottom w:val="single" w:sz="4" w:space="0" w:color="2F5496"/>
              <w:right w:val="nil"/>
            </w:tcBorders>
            <w:vAlign w:val="center"/>
          </w:tcPr>
          <w:p w14:paraId="4FCA2EEB" w14:textId="31641646" w:rsidR="006518CF" w:rsidRPr="006518CF" w:rsidRDefault="006518CF" w:rsidP="006518CF">
            <w:pPr>
              <w:jc w:val="center"/>
              <w:rPr>
                <w:rFonts w:ascii="Verdana" w:hAnsi="Verdana" w:cs="Calibri"/>
                <w:b/>
                <w:bCs/>
                <w:color w:val="2F5496"/>
                <w:sz w:val="18"/>
                <w:szCs w:val="18"/>
              </w:rPr>
            </w:pPr>
            <w:r>
              <w:rPr>
                <w:rFonts w:ascii="Verdana" w:hAnsi="Verdana" w:cs="Calibri"/>
                <w:b/>
                <w:bCs/>
                <w:color w:val="2F5496"/>
                <w:sz w:val="18"/>
                <w:szCs w:val="18"/>
              </w:rPr>
              <w:t>Population</w:t>
            </w:r>
          </w:p>
        </w:tc>
      </w:tr>
      <w:tr w:rsidR="006518CF" w:rsidRPr="006518CF" w14:paraId="47666D69" w14:textId="77777777" w:rsidTr="006518CF">
        <w:trPr>
          <w:trHeight w:val="567"/>
          <w:jc w:val="center"/>
        </w:trPr>
        <w:tc>
          <w:tcPr>
            <w:tcW w:w="1359" w:type="dxa"/>
            <w:vMerge/>
            <w:tcBorders>
              <w:left w:val="nil"/>
              <w:bottom w:val="single" w:sz="4" w:space="0" w:color="2F5496"/>
              <w:right w:val="nil"/>
            </w:tcBorders>
            <w:shd w:val="clear" w:color="auto" w:fill="auto"/>
            <w:vAlign w:val="center"/>
          </w:tcPr>
          <w:p w14:paraId="5C1B1963" w14:textId="77777777" w:rsidR="006518CF" w:rsidRPr="006518CF" w:rsidRDefault="006518CF" w:rsidP="006518CF">
            <w:pPr>
              <w:ind w:right="-1"/>
              <w:jc w:val="center"/>
              <w:rPr>
                <w:rFonts w:ascii="Verdana" w:hAnsi="Verdana" w:cs="Calibri"/>
                <w:b/>
                <w:bCs/>
                <w:color w:val="2F5496"/>
                <w:sz w:val="18"/>
                <w:szCs w:val="18"/>
                <w:lang w:val="el-GR"/>
              </w:rPr>
            </w:pPr>
          </w:p>
        </w:tc>
        <w:tc>
          <w:tcPr>
            <w:tcW w:w="1360" w:type="dxa"/>
            <w:tcBorders>
              <w:top w:val="single" w:sz="4" w:space="0" w:color="2F5496"/>
              <w:left w:val="nil"/>
              <w:bottom w:val="single" w:sz="4" w:space="0" w:color="2F5496"/>
              <w:right w:val="nil"/>
            </w:tcBorders>
            <w:shd w:val="clear" w:color="auto" w:fill="auto"/>
            <w:vAlign w:val="center"/>
          </w:tcPr>
          <w:p w14:paraId="16A9DD88" w14:textId="77777777" w:rsidR="006518CF" w:rsidRPr="006518CF" w:rsidRDefault="006518CF" w:rsidP="006518CF">
            <w:pPr>
              <w:jc w:val="center"/>
              <w:rPr>
                <w:rFonts w:ascii="Verdana" w:eastAsia="Malgun Gothic" w:hAnsi="Verdana" w:cs="Arial"/>
                <w:b/>
                <w:bCs/>
                <w:color w:val="2F5496"/>
                <w:sz w:val="18"/>
                <w:szCs w:val="18"/>
              </w:rPr>
            </w:pPr>
            <w:r w:rsidRPr="006518CF">
              <w:rPr>
                <w:rFonts w:ascii="Verdana" w:eastAsia="Malgun Gothic" w:hAnsi="Verdana" w:cs="Arial"/>
                <w:b/>
                <w:bCs/>
                <w:color w:val="2F5496"/>
                <w:sz w:val="18"/>
                <w:szCs w:val="18"/>
              </w:rPr>
              <w:t>1/10/2021</w:t>
            </w:r>
          </w:p>
        </w:tc>
        <w:tc>
          <w:tcPr>
            <w:tcW w:w="1360" w:type="dxa"/>
            <w:tcBorders>
              <w:top w:val="single" w:sz="4" w:space="0" w:color="2F5496"/>
              <w:left w:val="nil"/>
              <w:bottom w:val="single" w:sz="4" w:space="0" w:color="2F5496"/>
              <w:right w:val="nil"/>
            </w:tcBorders>
            <w:shd w:val="clear" w:color="auto" w:fill="auto"/>
            <w:vAlign w:val="center"/>
          </w:tcPr>
          <w:p w14:paraId="0DA479D5" w14:textId="77777777" w:rsidR="006518CF" w:rsidRPr="006518CF" w:rsidRDefault="006518CF" w:rsidP="006518CF">
            <w:pPr>
              <w:ind w:right="-1"/>
              <w:jc w:val="center"/>
              <w:rPr>
                <w:rFonts w:ascii="Verdana" w:hAnsi="Verdana" w:cs="Calibri"/>
                <w:b/>
                <w:bCs/>
                <w:color w:val="2F5496"/>
                <w:sz w:val="18"/>
                <w:szCs w:val="18"/>
                <w:lang w:val="el-GR"/>
              </w:rPr>
            </w:pPr>
            <w:r w:rsidRPr="006518CF">
              <w:rPr>
                <w:rFonts w:ascii="Verdana" w:hAnsi="Verdana" w:cs="Calibri"/>
                <w:b/>
                <w:bCs/>
                <w:color w:val="2F5496"/>
                <w:sz w:val="18"/>
                <w:szCs w:val="18"/>
                <w:lang w:val="el-GR"/>
              </w:rPr>
              <w:t>1/10/2011</w:t>
            </w:r>
          </w:p>
        </w:tc>
        <w:tc>
          <w:tcPr>
            <w:tcW w:w="1472" w:type="dxa"/>
            <w:tcBorders>
              <w:top w:val="single" w:sz="4" w:space="0" w:color="2F5496"/>
              <w:left w:val="nil"/>
              <w:bottom w:val="single" w:sz="4" w:space="0" w:color="2F5496"/>
              <w:right w:val="nil"/>
            </w:tcBorders>
            <w:vAlign w:val="center"/>
          </w:tcPr>
          <w:p w14:paraId="79E2A888" w14:textId="0ABC562B" w:rsidR="006518CF" w:rsidRPr="006518CF" w:rsidRDefault="006518CF" w:rsidP="006518CF">
            <w:pPr>
              <w:ind w:right="-1"/>
              <w:jc w:val="center"/>
              <w:rPr>
                <w:rFonts w:ascii="Verdana" w:hAnsi="Verdana" w:cs="Calibri"/>
                <w:b/>
                <w:bCs/>
                <w:color w:val="2F5496"/>
                <w:sz w:val="18"/>
                <w:szCs w:val="18"/>
                <w:lang w:val="el-GR"/>
              </w:rPr>
            </w:pPr>
            <w:r w:rsidRPr="006518CF">
              <w:rPr>
                <w:rFonts w:ascii="Verdana" w:hAnsi="Verdana" w:cs="Calibri"/>
                <w:b/>
                <w:bCs/>
                <w:color w:val="2F5496"/>
                <w:sz w:val="18"/>
                <w:szCs w:val="18"/>
              </w:rPr>
              <w:t xml:space="preserve">% </w:t>
            </w:r>
            <w:r>
              <w:rPr>
                <w:rFonts w:ascii="Verdana" w:hAnsi="Verdana" w:cs="Calibri"/>
                <w:b/>
                <w:bCs/>
                <w:color w:val="2F5496"/>
                <w:sz w:val="18"/>
                <w:szCs w:val="18"/>
              </w:rPr>
              <w:t>Increase</w:t>
            </w:r>
            <w:r w:rsidRPr="006518CF">
              <w:rPr>
                <w:rFonts w:ascii="Verdana" w:hAnsi="Verdana" w:cs="Calibri"/>
                <w:b/>
                <w:bCs/>
                <w:color w:val="2F5496"/>
                <w:sz w:val="18"/>
                <w:szCs w:val="18"/>
                <w:lang w:val="el-GR"/>
              </w:rPr>
              <w:t xml:space="preserve"> 2021/2011</w:t>
            </w:r>
          </w:p>
        </w:tc>
        <w:tc>
          <w:tcPr>
            <w:tcW w:w="236" w:type="dxa"/>
            <w:tcBorders>
              <w:top w:val="nil"/>
              <w:left w:val="nil"/>
              <w:bottom w:val="single" w:sz="4" w:space="0" w:color="2F5496"/>
              <w:right w:val="nil"/>
            </w:tcBorders>
          </w:tcPr>
          <w:p w14:paraId="0768668A" w14:textId="77777777" w:rsidR="006518CF" w:rsidRPr="006518CF" w:rsidRDefault="006518CF" w:rsidP="006518CF">
            <w:pPr>
              <w:ind w:right="-1"/>
              <w:jc w:val="center"/>
              <w:rPr>
                <w:rFonts w:ascii="Verdana" w:hAnsi="Verdana" w:cs="Calibri"/>
                <w:b/>
                <w:bCs/>
                <w:color w:val="2F5496"/>
                <w:sz w:val="18"/>
                <w:szCs w:val="18"/>
                <w:lang w:val="el-GR"/>
              </w:rPr>
            </w:pPr>
          </w:p>
        </w:tc>
        <w:tc>
          <w:tcPr>
            <w:tcW w:w="1360" w:type="dxa"/>
            <w:tcBorders>
              <w:top w:val="single" w:sz="4" w:space="0" w:color="2F5496"/>
              <w:left w:val="nil"/>
              <w:bottom w:val="single" w:sz="4" w:space="0" w:color="2F5496"/>
              <w:right w:val="nil"/>
            </w:tcBorders>
            <w:shd w:val="clear" w:color="auto" w:fill="auto"/>
            <w:vAlign w:val="center"/>
          </w:tcPr>
          <w:p w14:paraId="4B327CCC" w14:textId="77777777" w:rsidR="006518CF" w:rsidRPr="006518CF" w:rsidRDefault="006518CF" w:rsidP="006518CF">
            <w:pPr>
              <w:ind w:right="-1"/>
              <w:jc w:val="center"/>
              <w:rPr>
                <w:rFonts w:ascii="Verdana" w:hAnsi="Verdana" w:cs="Calibri"/>
                <w:b/>
                <w:bCs/>
                <w:color w:val="2F5496"/>
                <w:sz w:val="18"/>
                <w:szCs w:val="18"/>
                <w:lang w:val="el-GR"/>
              </w:rPr>
            </w:pPr>
            <w:r w:rsidRPr="006518CF">
              <w:rPr>
                <w:rFonts w:ascii="Verdana" w:eastAsia="Malgun Gothic" w:hAnsi="Verdana" w:cs="Arial"/>
                <w:b/>
                <w:bCs/>
                <w:color w:val="2F5496"/>
                <w:sz w:val="18"/>
                <w:szCs w:val="18"/>
              </w:rPr>
              <w:t>1/10/2021</w:t>
            </w:r>
          </w:p>
        </w:tc>
        <w:tc>
          <w:tcPr>
            <w:tcW w:w="1360" w:type="dxa"/>
            <w:tcBorders>
              <w:top w:val="single" w:sz="4" w:space="0" w:color="2F5496"/>
              <w:left w:val="nil"/>
              <w:bottom w:val="single" w:sz="4" w:space="0" w:color="2F5496"/>
              <w:right w:val="nil"/>
            </w:tcBorders>
            <w:shd w:val="clear" w:color="auto" w:fill="auto"/>
            <w:vAlign w:val="center"/>
          </w:tcPr>
          <w:p w14:paraId="6AEA6E94" w14:textId="77777777" w:rsidR="006518CF" w:rsidRPr="006518CF" w:rsidRDefault="006518CF" w:rsidP="006518CF">
            <w:pPr>
              <w:ind w:right="-1"/>
              <w:jc w:val="center"/>
              <w:rPr>
                <w:rFonts w:ascii="Verdana" w:hAnsi="Verdana" w:cs="Calibri"/>
                <w:b/>
                <w:bCs/>
                <w:color w:val="2F5496"/>
                <w:sz w:val="18"/>
                <w:szCs w:val="18"/>
                <w:lang w:val="el-GR"/>
              </w:rPr>
            </w:pPr>
            <w:r w:rsidRPr="006518CF">
              <w:rPr>
                <w:rFonts w:ascii="Verdana" w:hAnsi="Verdana" w:cs="Calibri"/>
                <w:b/>
                <w:bCs/>
                <w:color w:val="2F5496"/>
                <w:sz w:val="18"/>
                <w:szCs w:val="18"/>
                <w:lang w:val="el-GR"/>
              </w:rPr>
              <w:t>1/10/2011</w:t>
            </w:r>
          </w:p>
        </w:tc>
        <w:tc>
          <w:tcPr>
            <w:tcW w:w="1472" w:type="dxa"/>
            <w:tcBorders>
              <w:top w:val="single" w:sz="4" w:space="0" w:color="2F5496"/>
              <w:left w:val="nil"/>
              <w:bottom w:val="single" w:sz="4" w:space="0" w:color="2F5496"/>
              <w:right w:val="nil"/>
            </w:tcBorders>
            <w:shd w:val="clear" w:color="auto" w:fill="auto"/>
            <w:vAlign w:val="center"/>
          </w:tcPr>
          <w:p w14:paraId="3EA1271E" w14:textId="28BD8983" w:rsidR="006518CF" w:rsidRPr="006518CF" w:rsidRDefault="006518CF" w:rsidP="006518CF">
            <w:pPr>
              <w:jc w:val="center"/>
              <w:rPr>
                <w:rFonts w:ascii="Verdana" w:hAnsi="Verdana" w:cs="Calibri"/>
                <w:b/>
                <w:bCs/>
                <w:color w:val="2F5496"/>
                <w:sz w:val="18"/>
                <w:szCs w:val="18"/>
                <w:lang w:val="el-GR"/>
              </w:rPr>
            </w:pPr>
            <w:r w:rsidRPr="006518CF">
              <w:rPr>
                <w:rFonts w:ascii="Verdana" w:hAnsi="Verdana" w:cs="Calibri"/>
                <w:b/>
                <w:bCs/>
                <w:color w:val="2F5496"/>
                <w:sz w:val="18"/>
                <w:szCs w:val="18"/>
              </w:rPr>
              <w:t xml:space="preserve">% </w:t>
            </w:r>
            <w:r>
              <w:rPr>
                <w:rFonts w:ascii="Verdana" w:hAnsi="Verdana" w:cs="Calibri"/>
                <w:b/>
                <w:bCs/>
                <w:color w:val="2F5496"/>
                <w:sz w:val="18"/>
                <w:szCs w:val="18"/>
              </w:rPr>
              <w:t>Increase</w:t>
            </w:r>
            <w:r w:rsidRPr="006518CF">
              <w:rPr>
                <w:rFonts w:ascii="Verdana" w:hAnsi="Verdana" w:cs="Calibri"/>
                <w:b/>
                <w:bCs/>
                <w:color w:val="2F5496"/>
                <w:sz w:val="18"/>
                <w:szCs w:val="18"/>
                <w:lang w:val="el-GR"/>
              </w:rPr>
              <w:t xml:space="preserve"> 2021/2011</w:t>
            </w:r>
          </w:p>
        </w:tc>
      </w:tr>
      <w:tr w:rsidR="006518CF" w:rsidRPr="006518CF" w14:paraId="59D02783" w14:textId="77777777" w:rsidTr="006518CF">
        <w:trPr>
          <w:trHeight w:val="340"/>
          <w:jc w:val="center"/>
        </w:trPr>
        <w:tc>
          <w:tcPr>
            <w:tcW w:w="1359" w:type="dxa"/>
            <w:tcBorders>
              <w:top w:val="single" w:sz="4" w:space="0" w:color="2F5496"/>
              <w:left w:val="nil"/>
              <w:bottom w:val="nil"/>
              <w:right w:val="nil"/>
            </w:tcBorders>
            <w:shd w:val="clear" w:color="auto" w:fill="auto"/>
            <w:tcMar>
              <w:left w:w="28" w:type="dxa"/>
              <w:right w:w="28" w:type="dxa"/>
            </w:tcMar>
            <w:vAlign w:val="center"/>
          </w:tcPr>
          <w:p w14:paraId="3F8021DF" w14:textId="50B597B4" w:rsidR="006518CF" w:rsidRPr="006518CF" w:rsidRDefault="006518CF" w:rsidP="006518CF">
            <w:pPr>
              <w:ind w:right="144"/>
              <w:rPr>
                <w:rFonts w:ascii="Verdana" w:hAnsi="Verdana" w:cs="Calibri"/>
                <w:color w:val="2F5496"/>
                <w:sz w:val="18"/>
                <w:szCs w:val="18"/>
              </w:rPr>
            </w:pPr>
            <w:proofErr w:type="spellStart"/>
            <w:r>
              <w:rPr>
                <w:rFonts w:ascii="Verdana" w:eastAsia="Malgun Gothic" w:hAnsi="Verdana" w:cs="Arial"/>
                <w:color w:val="2F5496"/>
                <w:sz w:val="18"/>
                <w:szCs w:val="18"/>
              </w:rPr>
              <w:t>Lefkosia</w:t>
            </w:r>
            <w:proofErr w:type="spellEnd"/>
          </w:p>
        </w:tc>
        <w:tc>
          <w:tcPr>
            <w:tcW w:w="1360" w:type="dxa"/>
            <w:tcBorders>
              <w:top w:val="single" w:sz="4" w:space="0" w:color="2F5496"/>
              <w:left w:val="nil"/>
              <w:bottom w:val="nil"/>
              <w:right w:val="nil"/>
            </w:tcBorders>
            <w:shd w:val="clear" w:color="auto" w:fill="auto"/>
            <w:vAlign w:val="center"/>
          </w:tcPr>
          <w:p w14:paraId="31A041DA" w14:textId="77777777" w:rsidR="006518CF" w:rsidRPr="006518CF" w:rsidRDefault="006518CF" w:rsidP="006518CF">
            <w:pPr>
              <w:ind w:right="113"/>
              <w:jc w:val="right"/>
              <w:rPr>
                <w:rFonts w:ascii="Verdana" w:eastAsia="Malgun Gothic" w:hAnsi="Verdana" w:cs="Arial"/>
                <w:color w:val="2F5496"/>
                <w:sz w:val="18"/>
                <w:szCs w:val="18"/>
                <w:lang w:val="el-GR"/>
              </w:rPr>
            </w:pPr>
            <w:r w:rsidRPr="006518CF">
              <w:rPr>
                <w:rFonts w:ascii="Verdana" w:hAnsi="Verdana"/>
                <w:color w:val="2F5496"/>
                <w:sz w:val="18"/>
                <w:szCs w:val="18"/>
              </w:rPr>
              <w:t>163.239</w:t>
            </w:r>
          </w:p>
        </w:tc>
        <w:tc>
          <w:tcPr>
            <w:tcW w:w="1360" w:type="dxa"/>
            <w:tcBorders>
              <w:top w:val="single" w:sz="4" w:space="0" w:color="2F5496"/>
              <w:left w:val="nil"/>
              <w:bottom w:val="nil"/>
              <w:right w:val="nil"/>
            </w:tcBorders>
            <w:shd w:val="clear" w:color="auto" w:fill="auto"/>
            <w:vAlign w:val="center"/>
          </w:tcPr>
          <w:p w14:paraId="6C0B19DD" w14:textId="77777777" w:rsidR="006518CF" w:rsidRPr="006518CF" w:rsidRDefault="006518CF" w:rsidP="006518CF">
            <w:pPr>
              <w:ind w:right="113"/>
              <w:jc w:val="right"/>
              <w:rPr>
                <w:rFonts w:ascii="Verdana" w:eastAsia="Malgun Gothic" w:hAnsi="Verdana" w:cs="Arial"/>
                <w:color w:val="2F5496"/>
                <w:sz w:val="18"/>
                <w:szCs w:val="18"/>
              </w:rPr>
            </w:pPr>
            <w:r w:rsidRPr="006518CF">
              <w:rPr>
                <w:rFonts w:ascii="Verdana" w:hAnsi="Verdana"/>
                <w:color w:val="2F5496"/>
                <w:sz w:val="18"/>
                <w:szCs w:val="18"/>
              </w:rPr>
              <w:t>144.556</w:t>
            </w:r>
          </w:p>
        </w:tc>
        <w:tc>
          <w:tcPr>
            <w:tcW w:w="1472" w:type="dxa"/>
            <w:tcBorders>
              <w:top w:val="single" w:sz="4" w:space="0" w:color="2F5496"/>
              <w:left w:val="nil"/>
              <w:bottom w:val="nil"/>
              <w:right w:val="nil"/>
            </w:tcBorders>
            <w:vAlign w:val="center"/>
          </w:tcPr>
          <w:p w14:paraId="00EC330B" w14:textId="77777777" w:rsidR="006518CF" w:rsidRPr="006518CF" w:rsidRDefault="006518CF" w:rsidP="006518CF">
            <w:pPr>
              <w:ind w:right="397"/>
              <w:jc w:val="right"/>
              <w:rPr>
                <w:rFonts w:ascii="Verdana" w:hAnsi="Verdana" w:cs="Calibri"/>
                <w:color w:val="2F5496"/>
                <w:sz w:val="18"/>
                <w:szCs w:val="18"/>
              </w:rPr>
            </w:pPr>
            <w:r w:rsidRPr="006518CF">
              <w:rPr>
                <w:rFonts w:ascii="Verdana" w:hAnsi="Verdana"/>
                <w:color w:val="2F5496"/>
                <w:sz w:val="18"/>
                <w:szCs w:val="18"/>
              </w:rPr>
              <w:t>12,9</w:t>
            </w:r>
          </w:p>
        </w:tc>
        <w:tc>
          <w:tcPr>
            <w:tcW w:w="236" w:type="dxa"/>
            <w:tcBorders>
              <w:top w:val="single" w:sz="4" w:space="0" w:color="2F5496"/>
              <w:left w:val="nil"/>
              <w:bottom w:val="nil"/>
              <w:right w:val="nil"/>
            </w:tcBorders>
            <w:vAlign w:val="center"/>
          </w:tcPr>
          <w:p w14:paraId="006ED4F0" w14:textId="77777777" w:rsidR="006518CF" w:rsidRPr="006518CF" w:rsidRDefault="006518CF" w:rsidP="006518CF">
            <w:pPr>
              <w:ind w:right="907"/>
              <w:jc w:val="right"/>
              <w:rPr>
                <w:rFonts w:ascii="Verdana" w:hAnsi="Verdana" w:cs="Calibri"/>
                <w:color w:val="2F5496"/>
                <w:sz w:val="18"/>
                <w:szCs w:val="18"/>
              </w:rPr>
            </w:pPr>
          </w:p>
        </w:tc>
        <w:tc>
          <w:tcPr>
            <w:tcW w:w="1360" w:type="dxa"/>
            <w:tcBorders>
              <w:top w:val="single" w:sz="4" w:space="0" w:color="2F5496"/>
              <w:left w:val="nil"/>
              <w:bottom w:val="nil"/>
              <w:right w:val="nil"/>
            </w:tcBorders>
            <w:vAlign w:val="center"/>
          </w:tcPr>
          <w:p w14:paraId="36EBA78C" w14:textId="77777777" w:rsidR="006518CF" w:rsidRPr="006518CF" w:rsidRDefault="006518CF" w:rsidP="006518CF">
            <w:pPr>
              <w:ind w:right="113"/>
              <w:jc w:val="right"/>
              <w:rPr>
                <w:rFonts w:ascii="Verdana" w:hAnsi="Verdana" w:cs="Calibri"/>
                <w:color w:val="2F5496"/>
                <w:sz w:val="18"/>
                <w:szCs w:val="18"/>
              </w:rPr>
            </w:pPr>
            <w:r w:rsidRPr="006518CF">
              <w:rPr>
                <w:rFonts w:ascii="Verdana" w:hAnsi="Verdana"/>
                <w:color w:val="2F5496"/>
                <w:sz w:val="18"/>
                <w:szCs w:val="18"/>
              </w:rPr>
              <w:t>350.824</w:t>
            </w:r>
          </w:p>
        </w:tc>
        <w:tc>
          <w:tcPr>
            <w:tcW w:w="1360" w:type="dxa"/>
            <w:tcBorders>
              <w:top w:val="single" w:sz="4" w:space="0" w:color="2F5496"/>
              <w:left w:val="nil"/>
              <w:bottom w:val="nil"/>
              <w:right w:val="nil"/>
            </w:tcBorders>
            <w:vAlign w:val="center"/>
          </w:tcPr>
          <w:p w14:paraId="09877938" w14:textId="77777777" w:rsidR="006518CF" w:rsidRPr="006518CF" w:rsidRDefault="006518CF" w:rsidP="006518CF">
            <w:pPr>
              <w:ind w:right="113"/>
              <w:jc w:val="right"/>
              <w:rPr>
                <w:rFonts w:ascii="Verdana" w:hAnsi="Verdana" w:cs="Calibri"/>
                <w:color w:val="2F5496"/>
                <w:sz w:val="18"/>
                <w:szCs w:val="18"/>
              </w:rPr>
            </w:pPr>
            <w:r w:rsidRPr="006518CF">
              <w:rPr>
                <w:rFonts w:ascii="Verdana" w:hAnsi="Verdana"/>
                <w:color w:val="2F5496"/>
                <w:sz w:val="18"/>
                <w:szCs w:val="18"/>
              </w:rPr>
              <w:t>326.980</w:t>
            </w:r>
          </w:p>
        </w:tc>
        <w:tc>
          <w:tcPr>
            <w:tcW w:w="1472" w:type="dxa"/>
            <w:tcBorders>
              <w:top w:val="single" w:sz="4" w:space="0" w:color="2F5496"/>
              <w:left w:val="nil"/>
              <w:bottom w:val="nil"/>
              <w:right w:val="nil"/>
            </w:tcBorders>
            <w:shd w:val="clear" w:color="auto" w:fill="auto"/>
            <w:vAlign w:val="center"/>
          </w:tcPr>
          <w:p w14:paraId="2D420BEC" w14:textId="77777777" w:rsidR="006518CF" w:rsidRPr="006518CF" w:rsidRDefault="006518CF" w:rsidP="006518CF">
            <w:pPr>
              <w:ind w:right="397"/>
              <w:jc w:val="right"/>
              <w:rPr>
                <w:rFonts w:ascii="Verdana" w:hAnsi="Verdana" w:cs="Calibri"/>
                <w:color w:val="2F5496"/>
                <w:sz w:val="18"/>
                <w:szCs w:val="18"/>
              </w:rPr>
            </w:pPr>
            <w:r w:rsidRPr="006518CF">
              <w:rPr>
                <w:rFonts w:ascii="Verdana" w:hAnsi="Verdana"/>
                <w:color w:val="2F5496"/>
                <w:sz w:val="18"/>
                <w:szCs w:val="18"/>
              </w:rPr>
              <w:t>7,3</w:t>
            </w:r>
          </w:p>
        </w:tc>
      </w:tr>
      <w:tr w:rsidR="006518CF" w:rsidRPr="006518CF" w14:paraId="033096C5" w14:textId="77777777" w:rsidTr="00F22A57">
        <w:trPr>
          <w:trHeight w:val="340"/>
          <w:jc w:val="center"/>
        </w:trPr>
        <w:tc>
          <w:tcPr>
            <w:tcW w:w="1359" w:type="dxa"/>
            <w:tcBorders>
              <w:top w:val="nil"/>
              <w:left w:val="nil"/>
              <w:bottom w:val="nil"/>
              <w:right w:val="nil"/>
            </w:tcBorders>
            <w:shd w:val="clear" w:color="auto" w:fill="auto"/>
            <w:tcMar>
              <w:left w:w="28" w:type="dxa"/>
              <w:right w:w="28" w:type="dxa"/>
            </w:tcMar>
            <w:vAlign w:val="center"/>
          </w:tcPr>
          <w:p w14:paraId="2188B112" w14:textId="10F85880" w:rsidR="006518CF" w:rsidRPr="006518CF" w:rsidRDefault="006518CF" w:rsidP="006518CF">
            <w:pPr>
              <w:ind w:right="-1"/>
              <w:rPr>
                <w:rFonts w:ascii="Verdana" w:hAnsi="Verdana" w:cs="Calibri"/>
                <w:color w:val="2F5496"/>
                <w:sz w:val="18"/>
                <w:szCs w:val="18"/>
              </w:rPr>
            </w:pPr>
            <w:proofErr w:type="spellStart"/>
            <w:r>
              <w:rPr>
                <w:rFonts w:ascii="Verdana" w:hAnsi="Verdana" w:cs="Calibri"/>
                <w:color w:val="2F5496"/>
                <w:sz w:val="18"/>
                <w:szCs w:val="18"/>
              </w:rPr>
              <w:t>Ammochostos</w:t>
            </w:r>
            <w:proofErr w:type="spellEnd"/>
          </w:p>
        </w:tc>
        <w:tc>
          <w:tcPr>
            <w:tcW w:w="1360" w:type="dxa"/>
            <w:tcBorders>
              <w:top w:val="nil"/>
              <w:left w:val="nil"/>
              <w:bottom w:val="nil"/>
              <w:right w:val="nil"/>
            </w:tcBorders>
            <w:shd w:val="clear" w:color="auto" w:fill="auto"/>
            <w:vAlign w:val="center"/>
          </w:tcPr>
          <w:p w14:paraId="13FDC946" w14:textId="77777777" w:rsidR="006518CF" w:rsidRPr="006518CF" w:rsidRDefault="006518CF" w:rsidP="006518CF">
            <w:pPr>
              <w:ind w:right="113"/>
              <w:jc w:val="right"/>
              <w:rPr>
                <w:rFonts w:ascii="Verdana" w:eastAsia="Malgun Gothic" w:hAnsi="Verdana" w:cs="Arial"/>
                <w:color w:val="2F5496"/>
                <w:sz w:val="18"/>
                <w:szCs w:val="18"/>
              </w:rPr>
            </w:pPr>
            <w:r w:rsidRPr="006518CF">
              <w:rPr>
                <w:rFonts w:ascii="Verdana" w:hAnsi="Verdana"/>
                <w:color w:val="2F5496"/>
                <w:sz w:val="18"/>
                <w:szCs w:val="18"/>
              </w:rPr>
              <w:t>40.280</w:t>
            </w:r>
          </w:p>
        </w:tc>
        <w:tc>
          <w:tcPr>
            <w:tcW w:w="1360" w:type="dxa"/>
            <w:tcBorders>
              <w:top w:val="nil"/>
              <w:left w:val="nil"/>
              <w:bottom w:val="nil"/>
              <w:right w:val="nil"/>
            </w:tcBorders>
            <w:shd w:val="clear" w:color="auto" w:fill="auto"/>
            <w:vAlign w:val="center"/>
          </w:tcPr>
          <w:p w14:paraId="0A1F2BB8" w14:textId="77777777" w:rsidR="006518CF" w:rsidRPr="006518CF" w:rsidRDefault="006518CF" w:rsidP="006518CF">
            <w:pPr>
              <w:ind w:right="113"/>
              <w:jc w:val="right"/>
              <w:rPr>
                <w:rFonts w:ascii="Verdana" w:eastAsia="Malgun Gothic" w:hAnsi="Verdana" w:cs="Arial"/>
                <w:color w:val="2F5496"/>
                <w:sz w:val="18"/>
                <w:szCs w:val="18"/>
              </w:rPr>
            </w:pPr>
            <w:r w:rsidRPr="006518CF">
              <w:rPr>
                <w:rFonts w:ascii="Verdana" w:hAnsi="Verdana"/>
                <w:color w:val="2F5496"/>
                <w:sz w:val="18"/>
                <w:szCs w:val="18"/>
              </w:rPr>
              <w:t>34.150</w:t>
            </w:r>
          </w:p>
        </w:tc>
        <w:tc>
          <w:tcPr>
            <w:tcW w:w="1472" w:type="dxa"/>
            <w:tcBorders>
              <w:top w:val="nil"/>
              <w:left w:val="nil"/>
              <w:bottom w:val="nil"/>
              <w:right w:val="nil"/>
            </w:tcBorders>
            <w:vAlign w:val="center"/>
          </w:tcPr>
          <w:p w14:paraId="68DCE88A" w14:textId="77777777" w:rsidR="006518CF" w:rsidRPr="006518CF" w:rsidRDefault="006518CF" w:rsidP="006518CF">
            <w:pPr>
              <w:ind w:right="397"/>
              <w:jc w:val="right"/>
              <w:rPr>
                <w:rFonts w:ascii="Verdana" w:hAnsi="Verdana" w:cs="Calibri"/>
                <w:color w:val="2F5496"/>
                <w:sz w:val="18"/>
                <w:szCs w:val="18"/>
              </w:rPr>
            </w:pPr>
            <w:r w:rsidRPr="006518CF">
              <w:rPr>
                <w:rFonts w:ascii="Verdana" w:hAnsi="Verdana"/>
                <w:color w:val="2F5496"/>
                <w:sz w:val="18"/>
                <w:szCs w:val="18"/>
              </w:rPr>
              <w:t>18,0</w:t>
            </w:r>
          </w:p>
        </w:tc>
        <w:tc>
          <w:tcPr>
            <w:tcW w:w="236" w:type="dxa"/>
            <w:tcBorders>
              <w:top w:val="nil"/>
              <w:left w:val="nil"/>
              <w:bottom w:val="nil"/>
              <w:right w:val="nil"/>
            </w:tcBorders>
            <w:vAlign w:val="center"/>
          </w:tcPr>
          <w:p w14:paraId="7DD1E6E5" w14:textId="77777777" w:rsidR="006518CF" w:rsidRPr="006518CF" w:rsidRDefault="006518CF" w:rsidP="006518CF">
            <w:pPr>
              <w:ind w:right="907"/>
              <w:jc w:val="right"/>
              <w:rPr>
                <w:rFonts w:ascii="Verdana" w:hAnsi="Verdana" w:cs="Calibri"/>
                <w:color w:val="2F5496"/>
                <w:sz w:val="18"/>
                <w:szCs w:val="18"/>
              </w:rPr>
            </w:pPr>
          </w:p>
        </w:tc>
        <w:tc>
          <w:tcPr>
            <w:tcW w:w="1360" w:type="dxa"/>
            <w:tcBorders>
              <w:top w:val="nil"/>
              <w:left w:val="nil"/>
              <w:bottom w:val="nil"/>
              <w:right w:val="nil"/>
            </w:tcBorders>
            <w:vAlign w:val="center"/>
          </w:tcPr>
          <w:p w14:paraId="7893ED8D" w14:textId="77777777" w:rsidR="006518CF" w:rsidRPr="006518CF" w:rsidRDefault="006518CF" w:rsidP="006518CF">
            <w:pPr>
              <w:ind w:right="113"/>
              <w:jc w:val="right"/>
              <w:rPr>
                <w:rFonts w:ascii="Verdana" w:hAnsi="Verdana" w:cs="Calibri"/>
                <w:color w:val="2F5496"/>
                <w:sz w:val="18"/>
                <w:szCs w:val="18"/>
              </w:rPr>
            </w:pPr>
            <w:r w:rsidRPr="006518CF">
              <w:rPr>
                <w:rFonts w:ascii="Verdana" w:hAnsi="Verdana"/>
                <w:color w:val="2F5496"/>
                <w:sz w:val="18"/>
                <w:szCs w:val="18"/>
              </w:rPr>
              <w:t>54.282</w:t>
            </w:r>
          </w:p>
        </w:tc>
        <w:tc>
          <w:tcPr>
            <w:tcW w:w="1360" w:type="dxa"/>
            <w:tcBorders>
              <w:top w:val="nil"/>
              <w:left w:val="nil"/>
              <w:bottom w:val="nil"/>
              <w:right w:val="nil"/>
            </w:tcBorders>
            <w:vAlign w:val="center"/>
          </w:tcPr>
          <w:p w14:paraId="5E0D3EEB" w14:textId="77777777" w:rsidR="006518CF" w:rsidRPr="006518CF" w:rsidRDefault="006518CF" w:rsidP="006518CF">
            <w:pPr>
              <w:ind w:right="113"/>
              <w:jc w:val="right"/>
              <w:rPr>
                <w:rFonts w:ascii="Verdana" w:hAnsi="Verdana" w:cs="Calibri"/>
                <w:color w:val="2F5496"/>
                <w:sz w:val="18"/>
                <w:szCs w:val="18"/>
              </w:rPr>
            </w:pPr>
            <w:r w:rsidRPr="006518CF">
              <w:rPr>
                <w:rFonts w:ascii="Verdana" w:hAnsi="Verdana"/>
                <w:color w:val="2F5496"/>
                <w:sz w:val="18"/>
                <w:szCs w:val="18"/>
              </w:rPr>
              <w:t>46.629</w:t>
            </w:r>
          </w:p>
        </w:tc>
        <w:tc>
          <w:tcPr>
            <w:tcW w:w="1472" w:type="dxa"/>
            <w:tcBorders>
              <w:top w:val="nil"/>
              <w:left w:val="nil"/>
              <w:bottom w:val="nil"/>
              <w:right w:val="nil"/>
            </w:tcBorders>
            <w:shd w:val="clear" w:color="auto" w:fill="auto"/>
            <w:vAlign w:val="center"/>
          </w:tcPr>
          <w:p w14:paraId="3D33B196" w14:textId="77777777" w:rsidR="006518CF" w:rsidRPr="006518CF" w:rsidRDefault="006518CF" w:rsidP="006518CF">
            <w:pPr>
              <w:ind w:right="397"/>
              <w:jc w:val="right"/>
              <w:rPr>
                <w:rFonts w:ascii="Verdana" w:hAnsi="Verdana" w:cs="Calibri"/>
                <w:color w:val="2F5496"/>
                <w:sz w:val="18"/>
                <w:szCs w:val="18"/>
              </w:rPr>
            </w:pPr>
            <w:r w:rsidRPr="006518CF">
              <w:rPr>
                <w:rFonts w:ascii="Verdana" w:hAnsi="Verdana"/>
                <w:color w:val="2F5496"/>
                <w:sz w:val="18"/>
                <w:szCs w:val="18"/>
              </w:rPr>
              <w:t>16,4</w:t>
            </w:r>
          </w:p>
        </w:tc>
      </w:tr>
      <w:tr w:rsidR="006518CF" w:rsidRPr="006518CF" w14:paraId="504273EC" w14:textId="77777777" w:rsidTr="00F22A57">
        <w:trPr>
          <w:trHeight w:val="340"/>
          <w:jc w:val="center"/>
        </w:trPr>
        <w:tc>
          <w:tcPr>
            <w:tcW w:w="1359" w:type="dxa"/>
            <w:tcBorders>
              <w:top w:val="nil"/>
              <w:left w:val="nil"/>
              <w:bottom w:val="nil"/>
              <w:right w:val="nil"/>
            </w:tcBorders>
            <w:shd w:val="clear" w:color="auto" w:fill="auto"/>
            <w:tcMar>
              <w:left w:w="28" w:type="dxa"/>
              <w:right w:w="28" w:type="dxa"/>
            </w:tcMar>
            <w:vAlign w:val="center"/>
          </w:tcPr>
          <w:p w14:paraId="7A14BDC8" w14:textId="588A3142" w:rsidR="006518CF" w:rsidRPr="006518CF" w:rsidRDefault="006518CF" w:rsidP="006518CF">
            <w:pPr>
              <w:ind w:right="-1"/>
              <w:rPr>
                <w:rFonts w:ascii="Verdana" w:hAnsi="Verdana" w:cs="Calibri"/>
                <w:color w:val="2F5496"/>
                <w:sz w:val="18"/>
                <w:szCs w:val="18"/>
              </w:rPr>
            </w:pPr>
            <w:r>
              <w:rPr>
                <w:rFonts w:ascii="Verdana" w:hAnsi="Verdana" w:cs="Calibri"/>
                <w:color w:val="2F5496"/>
                <w:sz w:val="18"/>
                <w:szCs w:val="18"/>
              </w:rPr>
              <w:t>Larnaca</w:t>
            </w:r>
          </w:p>
        </w:tc>
        <w:tc>
          <w:tcPr>
            <w:tcW w:w="1360" w:type="dxa"/>
            <w:tcBorders>
              <w:top w:val="nil"/>
              <w:left w:val="nil"/>
              <w:bottom w:val="nil"/>
              <w:right w:val="nil"/>
            </w:tcBorders>
            <w:shd w:val="clear" w:color="auto" w:fill="auto"/>
            <w:vAlign w:val="center"/>
          </w:tcPr>
          <w:p w14:paraId="08C1A709" w14:textId="77777777" w:rsidR="006518CF" w:rsidRPr="006518CF" w:rsidRDefault="006518CF" w:rsidP="006518CF">
            <w:pPr>
              <w:ind w:right="113"/>
              <w:jc w:val="right"/>
              <w:rPr>
                <w:rFonts w:ascii="Verdana" w:eastAsia="Malgun Gothic" w:hAnsi="Verdana" w:cs="Arial"/>
                <w:color w:val="2F5496"/>
                <w:sz w:val="18"/>
                <w:szCs w:val="18"/>
              </w:rPr>
            </w:pPr>
            <w:r w:rsidRPr="006518CF">
              <w:rPr>
                <w:rFonts w:ascii="Verdana" w:hAnsi="Verdana"/>
                <w:color w:val="2F5496"/>
                <w:sz w:val="18"/>
                <w:szCs w:val="18"/>
              </w:rPr>
              <w:t>82.233</w:t>
            </w:r>
          </w:p>
        </w:tc>
        <w:tc>
          <w:tcPr>
            <w:tcW w:w="1360" w:type="dxa"/>
            <w:tcBorders>
              <w:top w:val="nil"/>
              <w:left w:val="nil"/>
              <w:bottom w:val="nil"/>
              <w:right w:val="nil"/>
            </w:tcBorders>
            <w:shd w:val="clear" w:color="auto" w:fill="auto"/>
            <w:vAlign w:val="center"/>
          </w:tcPr>
          <w:p w14:paraId="0831B4C0" w14:textId="77777777" w:rsidR="006518CF" w:rsidRPr="006518CF" w:rsidRDefault="006518CF" w:rsidP="006518CF">
            <w:pPr>
              <w:ind w:right="113"/>
              <w:jc w:val="right"/>
              <w:rPr>
                <w:rFonts w:ascii="Verdana" w:eastAsia="Malgun Gothic" w:hAnsi="Verdana" w:cs="Arial"/>
                <w:color w:val="2F5496"/>
                <w:sz w:val="18"/>
                <w:szCs w:val="18"/>
              </w:rPr>
            </w:pPr>
            <w:r w:rsidRPr="006518CF">
              <w:rPr>
                <w:rFonts w:ascii="Verdana" w:hAnsi="Verdana"/>
                <w:color w:val="2F5496"/>
                <w:sz w:val="18"/>
                <w:szCs w:val="18"/>
              </w:rPr>
              <w:t>73.676</w:t>
            </w:r>
          </w:p>
        </w:tc>
        <w:tc>
          <w:tcPr>
            <w:tcW w:w="1472" w:type="dxa"/>
            <w:tcBorders>
              <w:top w:val="nil"/>
              <w:left w:val="nil"/>
              <w:bottom w:val="nil"/>
              <w:right w:val="nil"/>
            </w:tcBorders>
            <w:vAlign w:val="center"/>
          </w:tcPr>
          <w:p w14:paraId="75EFF13B" w14:textId="77777777" w:rsidR="006518CF" w:rsidRPr="006518CF" w:rsidRDefault="006518CF" w:rsidP="006518CF">
            <w:pPr>
              <w:ind w:right="397"/>
              <w:jc w:val="right"/>
              <w:rPr>
                <w:rFonts w:ascii="Verdana" w:hAnsi="Verdana" w:cs="Calibri"/>
                <w:color w:val="2F5496"/>
                <w:sz w:val="18"/>
                <w:szCs w:val="18"/>
              </w:rPr>
            </w:pPr>
            <w:r w:rsidRPr="006518CF">
              <w:rPr>
                <w:rFonts w:ascii="Verdana" w:hAnsi="Verdana"/>
                <w:color w:val="2F5496"/>
                <w:sz w:val="18"/>
                <w:szCs w:val="18"/>
              </w:rPr>
              <w:t>11,6</w:t>
            </w:r>
          </w:p>
        </w:tc>
        <w:tc>
          <w:tcPr>
            <w:tcW w:w="236" w:type="dxa"/>
            <w:tcBorders>
              <w:top w:val="nil"/>
              <w:left w:val="nil"/>
              <w:bottom w:val="nil"/>
              <w:right w:val="nil"/>
            </w:tcBorders>
            <w:vAlign w:val="center"/>
          </w:tcPr>
          <w:p w14:paraId="11064937" w14:textId="77777777" w:rsidR="006518CF" w:rsidRPr="006518CF" w:rsidRDefault="006518CF" w:rsidP="006518CF">
            <w:pPr>
              <w:ind w:right="907"/>
              <w:jc w:val="right"/>
              <w:rPr>
                <w:rFonts w:ascii="Verdana" w:hAnsi="Verdana" w:cs="Calibri"/>
                <w:color w:val="2F5496"/>
                <w:sz w:val="18"/>
                <w:szCs w:val="18"/>
              </w:rPr>
            </w:pPr>
          </w:p>
        </w:tc>
        <w:tc>
          <w:tcPr>
            <w:tcW w:w="1360" w:type="dxa"/>
            <w:tcBorders>
              <w:top w:val="nil"/>
              <w:left w:val="nil"/>
              <w:bottom w:val="nil"/>
              <w:right w:val="nil"/>
            </w:tcBorders>
            <w:vAlign w:val="center"/>
          </w:tcPr>
          <w:p w14:paraId="3933824C" w14:textId="77777777" w:rsidR="006518CF" w:rsidRPr="006518CF" w:rsidRDefault="006518CF" w:rsidP="006518CF">
            <w:pPr>
              <w:ind w:right="113"/>
              <w:jc w:val="right"/>
              <w:rPr>
                <w:rFonts w:ascii="Verdana" w:hAnsi="Verdana" w:cs="Calibri"/>
                <w:color w:val="2F5496"/>
                <w:sz w:val="18"/>
                <w:szCs w:val="18"/>
              </w:rPr>
            </w:pPr>
            <w:r w:rsidRPr="006518CF">
              <w:rPr>
                <w:rFonts w:ascii="Verdana" w:hAnsi="Verdana"/>
                <w:color w:val="2F5496"/>
                <w:sz w:val="18"/>
                <w:szCs w:val="18"/>
              </w:rPr>
              <w:t>155.753</w:t>
            </w:r>
          </w:p>
        </w:tc>
        <w:tc>
          <w:tcPr>
            <w:tcW w:w="1360" w:type="dxa"/>
            <w:tcBorders>
              <w:top w:val="nil"/>
              <w:left w:val="nil"/>
              <w:bottom w:val="nil"/>
              <w:right w:val="nil"/>
            </w:tcBorders>
            <w:vAlign w:val="center"/>
          </w:tcPr>
          <w:p w14:paraId="081A63BF" w14:textId="77777777" w:rsidR="006518CF" w:rsidRPr="006518CF" w:rsidRDefault="006518CF" w:rsidP="006518CF">
            <w:pPr>
              <w:ind w:right="113"/>
              <w:jc w:val="right"/>
              <w:rPr>
                <w:rFonts w:ascii="Verdana" w:hAnsi="Verdana" w:cs="Calibri"/>
                <w:color w:val="2F5496"/>
                <w:sz w:val="18"/>
                <w:szCs w:val="18"/>
              </w:rPr>
            </w:pPr>
            <w:r w:rsidRPr="006518CF">
              <w:rPr>
                <w:rFonts w:ascii="Verdana" w:hAnsi="Verdana"/>
                <w:color w:val="2F5496"/>
                <w:sz w:val="18"/>
                <w:szCs w:val="18"/>
              </w:rPr>
              <w:t>143.192</w:t>
            </w:r>
          </w:p>
        </w:tc>
        <w:tc>
          <w:tcPr>
            <w:tcW w:w="1472" w:type="dxa"/>
            <w:tcBorders>
              <w:top w:val="nil"/>
              <w:left w:val="nil"/>
              <w:bottom w:val="nil"/>
              <w:right w:val="nil"/>
            </w:tcBorders>
            <w:shd w:val="clear" w:color="auto" w:fill="auto"/>
            <w:vAlign w:val="center"/>
          </w:tcPr>
          <w:p w14:paraId="77714A75" w14:textId="77777777" w:rsidR="006518CF" w:rsidRPr="006518CF" w:rsidRDefault="006518CF" w:rsidP="006518CF">
            <w:pPr>
              <w:ind w:right="397"/>
              <w:jc w:val="right"/>
              <w:rPr>
                <w:rFonts w:ascii="Verdana" w:hAnsi="Verdana" w:cs="Calibri"/>
                <w:color w:val="2F5496"/>
                <w:sz w:val="18"/>
                <w:szCs w:val="18"/>
              </w:rPr>
            </w:pPr>
            <w:r w:rsidRPr="006518CF">
              <w:rPr>
                <w:rFonts w:ascii="Verdana" w:hAnsi="Verdana"/>
                <w:color w:val="2F5496"/>
                <w:sz w:val="18"/>
                <w:szCs w:val="18"/>
              </w:rPr>
              <w:t>8,8</w:t>
            </w:r>
          </w:p>
        </w:tc>
      </w:tr>
      <w:tr w:rsidR="006518CF" w:rsidRPr="006518CF" w14:paraId="23C3F121" w14:textId="77777777" w:rsidTr="00F22A57">
        <w:trPr>
          <w:trHeight w:val="340"/>
          <w:jc w:val="center"/>
        </w:trPr>
        <w:tc>
          <w:tcPr>
            <w:tcW w:w="1359" w:type="dxa"/>
            <w:tcBorders>
              <w:top w:val="nil"/>
              <w:left w:val="nil"/>
              <w:bottom w:val="nil"/>
              <w:right w:val="nil"/>
            </w:tcBorders>
            <w:shd w:val="clear" w:color="auto" w:fill="auto"/>
            <w:tcMar>
              <w:left w:w="28" w:type="dxa"/>
              <w:right w:w="28" w:type="dxa"/>
            </w:tcMar>
            <w:vAlign w:val="center"/>
          </w:tcPr>
          <w:p w14:paraId="206603AC" w14:textId="21B0FAC0" w:rsidR="006518CF" w:rsidRPr="006518CF" w:rsidRDefault="006518CF" w:rsidP="006518CF">
            <w:pPr>
              <w:ind w:right="-1"/>
              <w:rPr>
                <w:rFonts w:ascii="Verdana" w:hAnsi="Verdana" w:cs="Calibri"/>
                <w:color w:val="2F5496"/>
                <w:sz w:val="18"/>
                <w:szCs w:val="18"/>
              </w:rPr>
            </w:pPr>
            <w:proofErr w:type="spellStart"/>
            <w:r>
              <w:rPr>
                <w:rFonts w:ascii="Verdana" w:hAnsi="Verdana" w:cs="Calibri"/>
                <w:color w:val="2F5496"/>
                <w:sz w:val="18"/>
                <w:szCs w:val="18"/>
              </w:rPr>
              <w:t>Lemesos</w:t>
            </w:r>
            <w:proofErr w:type="spellEnd"/>
          </w:p>
        </w:tc>
        <w:tc>
          <w:tcPr>
            <w:tcW w:w="1360" w:type="dxa"/>
            <w:tcBorders>
              <w:top w:val="nil"/>
              <w:left w:val="nil"/>
              <w:bottom w:val="nil"/>
              <w:right w:val="nil"/>
            </w:tcBorders>
            <w:shd w:val="clear" w:color="auto" w:fill="auto"/>
            <w:vAlign w:val="center"/>
          </w:tcPr>
          <w:p w14:paraId="04A79649" w14:textId="77777777" w:rsidR="006518CF" w:rsidRPr="006518CF" w:rsidRDefault="006518CF" w:rsidP="006518CF">
            <w:pPr>
              <w:ind w:right="113"/>
              <w:jc w:val="right"/>
              <w:rPr>
                <w:rFonts w:ascii="Verdana" w:eastAsia="Malgun Gothic" w:hAnsi="Verdana" w:cs="Arial"/>
                <w:color w:val="2F5496"/>
                <w:sz w:val="18"/>
                <w:szCs w:val="18"/>
              </w:rPr>
            </w:pPr>
            <w:r w:rsidRPr="006518CF">
              <w:rPr>
                <w:rFonts w:ascii="Verdana" w:hAnsi="Verdana"/>
                <w:color w:val="2F5496"/>
                <w:sz w:val="18"/>
                <w:szCs w:val="18"/>
              </w:rPr>
              <w:t>132.305</w:t>
            </w:r>
          </w:p>
        </w:tc>
        <w:tc>
          <w:tcPr>
            <w:tcW w:w="1360" w:type="dxa"/>
            <w:tcBorders>
              <w:top w:val="nil"/>
              <w:left w:val="nil"/>
              <w:bottom w:val="nil"/>
              <w:right w:val="nil"/>
            </w:tcBorders>
            <w:shd w:val="clear" w:color="auto" w:fill="auto"/>
            <w:vAlign w:val="center"/>
          </w:tcPr>
          <w:p w14:paraId="2C3D15DC" w14:textId="77777777" w:rsidR="006518CF" w:rsidRPr="006518CF" w:rsidRDefault="006518CF" w:rsidP="006518CF">
            <w:pPr>
              <w:ind w:right="113"/>
              <w:jc w:val="right"/>
              <w:rPr>
                <w:rFonts w:ascii="Verdana" w:eastAsia="Malgun Gothic" w:hAnsi="Verdana" w:cs="Arial"/>
                <w:color w:val="2F5496"/>
                <w:sz w:val="18"/>
                <w:szCs w:val="18"/>
              </w:rPr>
            </w:pPr>
            <w:r w:rsidRPr="006518CF">
              <w:rPr>
                <w:rFonts w:ascii="Verdana" w:hAnsi="Verdana"/>
                <w:color w:val="2F5496"/>
                <w:sz w:val="18"/>
                <w:szCs w:val="18"/>
              </w:rPr>
              <w:t>114.662</w:t>
            </w:r>
          </w:p>
        </w:tc>
        <w:tc>
          <w:tcPr>
            <w:tcW w:w="1472" w:type="dxa"/>
            <w:tcBorders>
              <w:top w:val="nil"/>
              <w:left w:val="nil"/>
              <w:bottom w:val="nil"/>
              <w:right w:val="nil"/>
            </w:tcBorders>
            <w:vAlign w:val="center"/>
          </w:tcPr>
          <w:p w14:paraId="3E7C5A43" w14:textId="77777777" w:rsidR="006518CF" w:rsidRPr="006518CF" w:rsidRDefault="006518CF" w:rsidP="006518CF">
            <w:pPr>
              <w:ind w:right="397"/>
              <w:jc w:val="right"/>
              <w:rPr>
                <w:rFonts w:ascii="Verdana" w:hAnsi="Verdana" w:cs="Calibri"/>
                <w:color w:val="2F5496"/>
                <w:sz w:val="18"/>
                <w:szCs w:val="18"/>
              </w:rPr>
            </w:pPr>
            <w:r w:rsidRPr="006518CF">
              <w:rPr>
                <w:rFonts w:ascii="Verdana" w:hAnsi="Verdana"/>
                <w:color w:val="2F5496"/>
                <w:sz w:val="18"/>
                <w:szCs w:val="18"/>
              </w:rPr>
              <w:t>15,4</w:t>
            </w:r>
          </w:p>
        </w:tc>
        <w:tc>
          <w:tcPr>
            <w:tcW w:w="236" w:type="dxa"/>
            <w:tcBorders>
              <w:top w:val="nil"/>
              <w:left w:val="nil"/>
              <w:bottom w:val="nil"/>
              <w:right w:val="nil"/>
            </w:tcBorders>
            <w:vAlign w:val="center"/>
          </w:tcPr>
          <w:p w14:paraId="439F7ECD" w14:textId="77777777" w:rsidR="006518CF" w:rsidRPr="006518CF" w:rsidRDefault="006518CF" w:rsidP="006518CF">
            <w:pPr>
              <w:ind w:right="907"/>
              <w:jc w:val="right"/>
              <w:rPr>
                <w:rFonts w:ascii="Verdana" w:hAnsi="Verdana" w:cs="Calibri"/>
                <w:color w:val="2F5496"/>
                <w:sz w:val="18"/>
                <w:szCs w:val="18"/>
              </w:rPr>
            </w:pPr>
          </w:p>
        </w:tc>
        <w:tc>
          <w:tcPr>
            <w:tcW w:w="1360" w:type="dxa"/>
            <w:tcBorders>
              <w:top w:val="nil"/>
              <w:left w:val="nil"/>
              <w:bottom w:val="nil"/>
              <w:right w:val="nil"/>
            </w:tcBorders>
            <w:vAlign w:val="center"/>
          </w:tcPr>
          <w:p w14:paraId="58D05CBB" w14:textId="77777777" w:rsidR="006518CF" w:rsidRPr="006518CF" w:rsidRDefault="006518CF" w:rsidP="006518CF">
            <w:pPr>
              <w:ind w:right="113"/>
              <w:jc w:val="right"/>
              <w:rPr>
                <w:rFonts w:ascii="Verdana" w:hAnsi="Verdana" w:cs="Calibri"/>
                <w:color w:val="2F5496"/>
                <w:sz w:val="18"/>
                <w:szCs w:val="18"/>
              </w:rPr>
            </w:pPr>
            <w:r w:rsidRPr="006518CF">
              <w:rPr>
                <w:rFonts w:ascii="Verdana" w:hAnsi="Verdana"/>
                <w:color w:val="2F5496"/>
                <w:sz w:val="18"/>
                <w:szCs w:val="18"/>
              </w:rPr>
              <w:t>262.238</w:t>
            </w:r>
          </w:p>
        </w:tc>
        <w:tc>
          <w:tcPr>
            <w:tcW w:w="1360" w:type="dxa"/>
            <w:tcBorders>
              <w:top w:val="nil"/>
              <w:left w:val="nil"/>
              <w:bottom w:val="nil"/>
              <w:right w:val="nil"/>
            </w:tcBorders>
            <w:vAlign w:val="center"/>
          </w:tcPr>
          <w:p w14:paraId="4C825F1B" w14:textId="77777777" w:rsidR="006518CF" w:rsidRPr="006518CF" w:rsidRDefault="006518CF" w:rsidP="006518CF">
            <w:pPr>
              <w:ind w:right="113"/>
              <w:jc w:val="right"/>
              <w:rPr>
                <w:rFonts w:ascii="Verdana" w:hAnsi="Verdana" w:cs="Calibri"/>
                <w:color w:val="2F5496"/>
                <w:sz w:val="18"/>
                <w:szCs w:val="18"/>
              </w:rPr>
            </w:pPr>
            <w:r w:rsidRPr="006518CF">
              <w:rPr>
                <w:rFonts w:ascii="Verdana" w:hAnsi="Verdana"/>
                <w:color w:val="2F5496"/>
                <w:sz w:val="18"/>
                <w:szCs w:val="18"/>
              </w:rPr>
              <w:t>235.330</w:t>
            </w:r>
          </w:p>
        </w:tc>
        <w:tc>
          <w:tcPr>
            <w:tcW w:w="1472" w:type="dxa"/>
            <w:tcBorders>
              <w:top w:val="nil"/>
              <w:left w:val="nil"/>
              <w:bottom w:val="nil"/>
              <w:right w:val="nil"/>
            </w:tcBorders>
            <w:shd w:val="clear" w:color="auto" w:fill="auto"/>
            <w:vAlign w:val="center"/>
          </w:tcPr>
          <w:p w14:paraId="40875B3C" w14:textId="77777777" w:rsidR="006518CF" w:rsidRPr="006518CF" w:rsidRDefault="006518CF" w:rsidP="006518CF">
            <w:pPr>
              <w:ind w:right="397"/>
              <w:jc w:val="right"/>
              <w:rPr>
                <w:rFonts w:ascii="Verdana" w:hAnsi="Verdana" w:cs="Calibri"/>
                <w:color w:val="2F5496"/>
                <w:sz w:val="18"/>
                <w:szCs w:val="18"/>
              </w:rPr>
            </w:pPr>
            <w:r w:rsidRPr="006518CF">
              <w:rPr>
                <w:rFonts w:ascii="Verdana" w:hAnsi="Verdana"/>
                <w:color w:val="2F5496"/>
                <w:sz w:val="18"/>
                <w:szCs w:val="18"/>
              </w:rPr>
              <w:t>11,4</w:t>
            </w:r>
          </w:p>
        </w:tc>
      </w:tr>
      <w:tr w:rsidR="006518CF" w:rsidRPr="006518CF" w14:paraId="402B8CD3" w14:textId="77777777" w:rsidTr="006518CF">
        <w:trPr>
          <w:trHeight w:val="340"/>
          <w:jc w:val="center"/>
        </w:trPr>
        <w:tc>
          <w:tcPr>
            <w:tcW w:w="1359" w:type="dxa"/>
            <w:tcBorders>
              <w:top w:val="nil"/>
              <w:left w:val="nil"/>
              <w:bottom w:val="single" w:sz="4" w:space="0" w:color="2F5496"/>
              <w:right w:val="nil"/>
            </w:tcBorders>
            <w:shd w:val="clear" w:color="auto" w:fill="auto"/>
            <w:tcMar>
              <w:left w:w="28" w:type="dxa"/>
              <w:right w:w="28" w:type="dxa"/>
            </w:tcMar>
            <w:vAlign w:val="center"/>
          </w:tcPr>
          <w:p w14:paraId="2F063AC8" w14:textId="7181A36D" w:rsidR="006518CF" w:rsidRPr="006518CF" w:rsidRDefault="006518CF" w:rsidP="006518CF">
            <w:pPr>
              <w:ind w:right="144"/>
              <w:rPr>
                <w:rFonts w:ascii="Verdana" w:hAnsi="Verdana" w:cs="Calibri"/>
                <w:color w:val="2F5496"/>
                <w:sz w:val="18"/>
                <w:szCs w:val="18"/>
                <w:lang w:val="el-GR"/>
              </w:rPr>
            </w:pPr>
            <w:proofErr w:type="spellStart"/>
            <w:r>
              <w:rPr>
                <w:rFonts w:ascii="Verdana" w:eastAsia="Malgun Gothic" w:hAnsi="Verdana" w:cs="Arial"/>
                <w:color w:val="2F5496"/>
                <w:sz w:val="18"/>
                <w:szCs w:val="18"/>
              </w:rPr>
              <w:t>Pafos</w:t>
            </w:r>
            <w:proofErr w:type="spellEnd"/>
          </w:p>
        </w:tc>
        <w:tc>
          <w:tcPr>
            <w:tcW w:w="1360" w:type="dxa"/>
            <w:tcBorders>
              <w:top w:val="nil"/>
              <w:left w:val="nil"/>
              <w:bottom w:val="single" w:sz="4" w:space="0" w:color="2F5496"/>
              <w:right w:val="nil"/>
            </w:tcBorders>
            <w:shd w:val="clear" w:color="auto" w:fill="auto"/>
            <w:vAlign w:val="center"/>
          </w:tcPr>
          <w:p w14:paraId="1D09E28D" w14:textId="77777777" w:rsidR="006518CF" w:rsidRPr="006518CF" w:rsidRDefault="006518CF" w:rsidP="006518CF">
            <w:pPr>
              <w:ind w:right="113"/>
              <w:jc w:val="right"/>
              <w:rPr>
                <w:rFonts w:ascii="Verdana" w:eastAsia="Malgun Gothic" w:hAnsi="Verdana" w:cs="Arial"/>
                <w:color w:val="2F5496"/>
                <w:sz w:val="18"/>
                <w:szCs w:val="18"/>
              </w:rPr>
            </w:pPr>
            <w:r w:rsidRPr="006518CF">
              <w:rPr>
                <w:rFonts w:ascii="Verdana" w:hAnsi="Verdana"/>
                <w:color w:val="2F5496"/>
                <w:sz w:val="18"/>
                <w:szCs w:val="18"/>
              </w:rPr>
              <w:t>74.498</w:t>
            </w:r>
          </w:p>
        </w:tc>
        <w:tc>
          <w:tcPr>
            <w:tcW w:w="1360" w:type="dxa"/>
            <w:tcBorders>
              <w:top w:val="nil"/>
              <w:left w:val="nil"/>
              <w:bottom w:val="single" w:sz="4" w:space="0" w:color="2F5496"/>
              <w:right w:val="nil"/>
            </w:tcBorders>
            <w:shd w:val="clear" w:color="auto" w:fill="auto"/>
            <w:vAlign w:val="center"/>
          </w:tcPr>
          <w:p w14:paraId="1F44F12C" w14:textId="77777777" w:rsidR="006518CF" w:rsidRPr="006518CF" w:rsidRDefault="006518CF" w:rsidP="006518CF">
            <w:pPr>
              <w:ind w:right="113"/>
              <w:jc w:val="right"/>
              <w:rPr>
                <w:rFonts w:ascii="Verdana" w:eastAsia="Malgun Gothic" w:hAnsi="Verdana" w:cs="Arial"/>
                <w:color w:val="2F5496"/>
                <w:sz w:val="18"/>
                <w:szCs w:val="18"/>
              </w:rPr>
            </w:pPr>
            <w:r w:rsidRPr="006518CF">
              <w:rPr>
                <w:rFonts w:ascii="Verdana" w:hAnsi="Verdana"/>
                <w:color w:val="2F5496"/>
                <w:sz w:val="18"/>
                <w:szCs w:val="18"/>
              </w:rPr>
              <w:t>66.168</w:t>
            </w:r>
          </w:p>
        </w:tc>
        <w:tc>
          <w:tcPr>
            <w:tcW w:w="1472" w:type="dxa"/>
            <w:tcBorders>
              <w:top w:val="nil"/>
              <w:left w:val="nil"/>
              <w:bottom w:val="single" w:sz="4" w:space="0" w:color="2F5496"/>
              <w:right w:val="nil"/>
            </w:tcBorders>
            <w:vAlign w:val="center"/>
          </w:tcPr>
          <w:p w14:paraId="32E4F66F" w14:textId="77777777" w:rsidR="006518CF" w:rsidRPr="006518CF" w:rsidRDefault="006518CF" w:rsidP="006518CF">
            <w:pPr>
              <w:ind w:right="397"/>
              <w:jc w:val="right"/>
              <w:rPr>
                <w:rFonts w:ascii="Verdana" w:hAnsi="Verdana" w:cs="Calibri"/>
                <w:color w:val="2F5496"/>
                <w:sz w:val="18"/>
                <w:szCs w:val="18"/>
              </w:rPr>
            </w:pPr>
            <w:r w:rsidRPr="006518CF">
              <w:rPr>
                <w:rFonts w:ascii="Verdana" w:hAnsi="Verdana"/>
                <w:color w:val="2F5496"/>
                <w:sz w:val="18"/>
                <w:szCs w:val="18"/>
              </w:rPr>
              <w:t>12,6</w:t>
            </w:r>
          </w:p>
        </w:tc>
        <w:tc>
          <w:tcPr>
            <w:tcW w:w="236" w:type="dxa"/>
            <w:tcBorders>
              <w:top w:val="nil"/>
              <w:left w:val="nil"/>
              <w:bottom w:val="single" w:sz="4" w:space="0" w:color="2F5496"/>
              <w:right w:val="nil"/>
            </w:tcBorders>
            <w:vAlign w:val="center"/>
          </w:tcPr>
          <w:p w14:paraId="14CEC4D0" w14:textId="77777777" w:rsidR="006518CF" w:rsidRPr="006518CF" w:rsidRDefault="006518CF" w:rsidP="006518CF">
            <w:pPr>
              <w:ind w:right="907"/>
              <w:jc w:val="right"/>
              <w:rPr>
                <w:rFonts w:ascii="Verdana" w:hAnsi="Verdana" w:cs="Calibri"/>
                <w:color w:val="2F5496"/>
                <w:sz w:val="18"/>
                <w:szCs w:val="18"/>
              </w:rPr>
            </w:pPr>
          </w:p>
        </w:tc>
        <w:tc>
          <w:tcPr>
            <w:tcW w:w="1360" w:type="dxa"/>
            <w:tcBorders>
              <w:top w:val="nil"/>
              <w:left w:val="nil"/>
              <w:bottom w:val="single" w:sz="4" w:space="0" w:color="2F5496"/>
              <w:right w:val="nil"/>
            </w:tcBorders>
            <w:vAlign w:val="center"/>
          </w:tcPr>
          <w:p w14:paraId="5B6113C9" w14:textId="77777777" w:rsidR="006518CF" w:rsidRPr="006518CF" w:rsidRDefault="006518CF" w:rsidP="006518CF">
            <w:pPr>
              <w:ind w:right="113"/>
              <w:jc w:val="right"/>
              <w:rPr>
                <w:rFonts w:ascii="Verdana" w:hAnsi="Verdana" w:cs="Calibri"/>
                <w:color w:val="2F5496"/>
                <w:sz w:val="18"/>
                <w:szCs w:val="18"/>
              </w:rPr>
            </w:pPr>
            <w:r w:rsidRPr="006518CF">
              <w:rPr>
                <w:rFonts w:ascii="Verdana" w:hAnsi="Verdana"/>
                <w:color w:val="2F5496"/>
                <w:sz w:val="18"/>
                <w:szCs w:val="18"/>
              </w:rPr>
              <w:t>100.175</w:t>
            </w:r>
          </w:p>
        </w:tc>
        <w:tc>
          <w:tcPr>
            <w:tcW w:w="1360" w:type="dxa"/>
            <w:tcBorders>
              <w:top w:val="nil"/>
              <w:left w:val="nil"/>
              <w:bottom w:val="single" w:sz="4" w:space="0" w:color="2F5496"/>
              <w:right w:val="nil"/>
            </w:tcBorders>
            <w:vAlign w:val="center"/>
          </w:tcPr>
          <w:p w14:paraId="3640F703" w14:textId="77777777" w:rsidR="006518CF" w:rsidRPr="006518CF" w:rsidRDefault="006518CF" w:rsidP="006518CF">
            <w:pPr>
              <w:ind w:right="113"/>
              <w:jc w:val="right"/>
              <w:rPr>
                <w:rFonts w:ascii="Verdana" w:hAnsi="Verdana" w:cs="Calibri"/>
                <w:color w:val="2F5496"/>
                <w:sz w:val="18"/>
                <w:szCs w:val="18"/>
              </w:rPr>
            </w:pPr>
            <w:r w:rsidRPr="006518CF">
              <w:rPr>
                <w:rFonts w:ascii="Verdana" w:hAnsi="Verdana"/>
                <w:color w:val="2F5496"/>
                <w:sz w:val="18"/>
                <w:szCs w:val="18"/>
              </w:rPr>
              <w:t>88.276</w:t>
            </w:r>
          </w:p>
        </w:tc>
        <w:tc>
          <w:tcPr>
            <w:tcW w:w="1472" w:type="dxa"/>
            <w:tcBorders>
              <w:top w:val="nil"/>
              <w:left w:val="nil"/>
              <w:bottom w:val="single" w:sz="4" w:space="0" w:color="2F5496"/>
              <w:right w:val="nil"/>
            </w:tcBorders>
            <w:shd w:val="clear" w:color="auto" w:fill="auto"/>
            <w:vAlign w:val="center"/>
          </w:tcPr>
          <w:p w14:paraId="755104A1" w14:textId="77777777" w:rsidR="006518CF" w:rsidRPr="006518CF" w:rsidRDefault="006518CF" w:rsidP="006518CF">
            <w:pPr>
              <w:ind w:right="397"/>
              <w:jc w:val="right"/>
              <w:rPr>
                <w:rFonts w:ascii="Verdana" w:hAnsi="Verdana" w:cs="Calibri"/>
                <w:color w:val="2F5496"/>
                <w:sz w:val="18"/>
                <w:szCs w:val="18"/>
              </w:rPr>
            </w:pPr>
            <w:r w:rsidRPr="006518CF">
              <w:rPr>
                <w:rFonts w:ascii="Verdana" w:hAnsi="Verdana"/>
                <w:color w:val="2F5496"/>
                <w:sz w:val="18"/>
                <w:szCs w:val="18"/>
              </w:rPr>
              <w:t>13,5</w:t>
            </w:r>
          </w:p>
        </w:tc>
      </w:tr>
      <w:tr w:rsidR="006518CF" w:rsidRPr="006518CF" w14:paraId="309CF4C8" w14:textId="77777777" w:rsidTr="006518CF">
        <w:trPr>
          <w:trHeight w:val="397"/>
          <w:jc w:val="center"/>
        </w:trPr>
        <w:tc>
          <w:tcPr>
            <w:tcW w:w="1359" w:type="dxa"/>
            <w:tcBorders>
              <w:top w:val="single" w:sz="4" w:space="0" w:color="2F5496"/>
              <w:left w:val="nil"/>
              <w:bottom w:val="single" w:sz="4" w:space="0" w:color="2F5496"/>
              <w:right w:val="nil"/>
            </w:tcBorders>
            <w:shd w:val="clear" w:color="auto" w:fill="auto"/>
            <w:tcMar>
              <w:left w:w="28" w:type="dxa"/>
              <w:right w:w="28" w:type="dxa"/>
            </w:tcMar>
            <w:vAlign w:val="center"/>
          </w:tcPr>
          <w:p w14:paraId="61C649B3" w14:textId="0295151D" w:rsidR="006518CF" w:rsidRPr="006518CF" w:rsidRDefault="006518CF" w:rsidP="006518CF">
            <w:pPr>
              <w:ind w:right="-1"/>
              <w:rPr>
                <w:rFonts w:ascii="Verdana" w:hAnsi="Verdana" w:cs="Calibri"/>
                <w:b/>
                <w:bCs/>
                <w:color w:val="2F5496"/>
                <w:sz w:val="18"/>
                <w:szCs w:val="18"/>
              </w:rPr>
            </w:pPr>
            <w:r>
              <w:rPr>
                <w:rFonts w:ascii="Verdana" w:hAnsi="Verdana" w:cs="Calibri"/>
                <w:b/>
                <w:bCs/>
                <w:color w:val="2F5496"/>
                <w:sz w:val="18"/>
                <w:szCs w:val="18"/>
              </w:rPr>
              <w:t>Total</w:t>
            </w:r>
          </w:p>
        </w:tc>
        <w:tc>
          <w:tcPr>
            <w:tcW w:w="1360" w:type="dxa"/>
            <w:tcBorders>
              <w:top w:val="single" w:sz="4" w:space="0" w:color="2F5496"/>
              <w:left w:val="nil"/>
              <w:bottom w:val="single" w:sz="4" w:space="0" w:color="2F5496"/>
              <w:right w:val="nil"/>
            </w:tcBorders>
            <w:shd w:val="clear" w:color="auto" w:fill="auto"/>
            <w:vAlign w:val="center"/>
          </w:tcPr>
          <w:p w14:paraId="0F064A12" w14:textId="77777777" w:rsidR="006518CF" w:rsidRPr="006518CF" w:rsidRDefault="006518CF" w:rsidP="006518CF">
            <w:pPr>
              <w:ind w:right="113"/>
              <w:jc w:val="right"/>
              <w:rPr>
                <w:rFonts w:ascii="Verdana" w:eastAsia="Malgun Gothic" w:hAnsi="Verdana" w:cs="Arial"/>
                <w:b/>
                <w:bCs/>
                <w:color w:val="2F5496"/>
                <w:sz w:val="18"/>
                <w:szCs w:val="18"/>
              </w:rPr>
            </w:pPr>
            <w:r w:rsidRPr="006518CF">
              <w:rPr>
                <w:rFonts w:ascii="Verdana" w:hAnsi="Verdana"/>
                <w:b/>
                <w:bCs/>
                <w:color w:val="2F5496"/>
                <w:sz w:val="18"/>
                <w:szCs w:val="18"/>
              </w:rPr>
              <w:t>492.555</w:t>
            </w:r>
          </w:p>
        </w:tc>
        <w:tc>
          <w:tcPr>
            <w:tcW w:w="1360" w:type="dxa"/>
            <w:tcBorders>
              <w:top w:val="single" w:sz="4" w:space="0" w:color="2F5496"/>
              <w:left w:val="nil"/>
              <w:bottom w:val="single" w:sz="4" w:space="0" w:color="2F5496"/>
              <w:right w:val="nil"/>
            </w:tcBorders>
            <w:shd w:val="clear" w:color="auto" w:fill="auto"/>
            <w:vAlign w:val="center"/>
          </w:tcPr>
          <w:p w14:paraId="7F54598B" w14:textId="77777777" w:rsidR="006518CF" w:rsidRPr="006518CF" w:rsidRDefault="006518CF" w:rsidP="006518CF">
            <w:pPr>
              <w:ind w:right="113"/>
              <w:jc w:val="right"/>
              <w:rPr>
                <w:rFonts w:ascii="Verdana" w:eastAsia="Malgun Gothic" w:hAnsi="Verdana" w:cs="Arial"/>
                <w:b/>
                <w:bCs/>
                <w:color w:val="2F5496"/>
                <w:sz w:val="18"/>
                <w:szCs w:val="18"/>
              </w:rPr>
            </w:pPr>
            <w:r w:rsidRPr="006518CF">
              <w:rPr>
                <w:rFonts w:ascii="Verdana" w:hAnsi="Verdana"/>
                <w:b/>
                <w:bCs/>
                <w:color w:val="2F5496"/>
                <w:sz w:val="18"/>
                <w:szCs w:val="18"/>
              </w:rPr>
              <w:t>433.212</w:t>
            </w:r>
          </w:p>
        </w:tc>
        <w:tc>
          <w:tcPr>
            <w:tcW w:w="1472" w:type="dxa"/>
            <w:tcBorders>
              <w:top w:val="single" w:sz="4" w:space="0" w:color="2F5496"/>
              <w:left w:val="nil"/>
              <w:bottom w:val="single" w:sz="4" w:space="0" w:color="2F5496"/>
              <w:right w:val="nil"/>
            </w:tcBorders>
            <w:vAlign w:val="center"/>
          </w:tcPr>
          <w:p w14:paraId="61FC34DC" w14:textId="77777777" w:rsidR="006518CF" w:rsidRPr="006518CF" w:rsidRDefault="006518CF" w:rsidP="006518CF">
            <w:pPr>
              <w:ind w:right="397"/>
              <w:jc w:val="right"/>
              <w:rPr>
                <w:rFonts w:ascii="Verdana" w:hAnsi="Verdana" w:cs="Calibri"/>
                <w:b/>
                <w:bCs/>
                <w:color w:val="2F5496"/>
                <w:sz w:val="18"/>
                <w:szCs w:val="18"/>
                <w:lang w:val="el-GR"/>
              </w:rPr>
            </w:pPr>
            <w:r w:rsidRPr="006518CF">
              <w:rPr>
                <w:rFonts w:ascii="Verdana" w:hAnsi="Verdana"/>
                <w:b/>
                <w:bCs/>
                <w:color w:val="2F5496"/>
                <w:sz w:val="18"/>
                <w:szCs w:val="18"/>
              </w:rPr>
              <w:t>13,7</w:t>
            </w:r>
          </w:p>
        </w:tc>
        <w:tc>
          <w:tcPr>
            <w:tcW w:w="236" w:type="dxa"/>
            <w:tcBorders>
              <w:top w:val="single" w:sz="4" w:space="0" w:color="2F5496"/>
              <w:left w:val="nil"/>
              <w:bottom w:val="single" w:sz="4" w:space="0" w:color="2F5496"/>
              <w:right w:val="nil"/>
            </w:tcBorders>
            <w:vAlign w:val="center"/>
          </w:tcPr>
          <w:p w14:paraId="2384D66F" w14:textId="77777777" w:rsidR="006518CF" w:rsidRPr="006518CF" w:rsidRDefault="006518CF" w:rsidP="006518CF">
            <w:pPr>
              <w:ind w:right="907"/>
              <w:jc w:val="right"/>
              <w:rPr>
                <w:rFonts w:ascii="Verdana" w:hAnsi="Verdana" w:cs="Calibri"/>
                <w:b/>
                <w:bCs/>
                <w:color w:val="2F5496"/>
                <w:sz w:val="18"/>
                <w:szCs w:val="18"/>
                <w:lang w:val="el-GR"/>
              </w:rPr>
            </w:pPr>
          </w:p>
        </w:tc>
        <w:tc>
          <w:tcPr>
            <w:tcW w:w="1360" w:type="dxa"/>
            <w:tcBorders>
              <w:top w:val="single" w:sz="4" w:space="0" w:color="2F5496"/>
              <w:left w:val="nil"/>
              <w:bottom w:val="single" w:sz="4" w:space="0" w:color="2F5496"/>
              <w:right w:val="nil"/>
            </w:tcBorders>
            <w:vAlign w:val="center"/>
          </w:tcPr>
          <w:p w14:paraId="3A231320" w14:textId="77777777" w:rsidR="006518CF" w:rsidRPr="006518CF" w:rsidRDefault="006518CF" w:rsidP="006518CF">
            <w:pPr>
              <w:ind w:right="113"/>
              <w:jc w:val="right"/>
              <w:rPr>
                <w:rFonts w:ascii="Verdana" w:hAnsi="Verdana" w:cs="Calibri"/>
                <w:b/>
                <w:bCs/>
                <w:color w:val="2F5496"/>
                <w:sz w:val="18"/>
                <w:szCs w:val="18"/>
                <w:lang w:val="el-GR"/>
              </w:rPr>
            </w:pPr>
            <w:r w:rsidRPr="006518CF">
              <w:rPr>
                <w:rFonts w:ascii="Verdana" w:hAnsi="Verdana"/>
                <w:b/>
                <w:bCs/>
                <w:color w:val="2F5496"/>
                <w:sz w:val="18"/>
                <w:szCs w:val="18"/>
              </w:rPr>
              <w:t>923.272</w:t>
            </w:r>
          </w:p>
        </w:tc>
        <w:tc>
          <w:tcPr>
            <w:tcW w:w="1360" w:type="dxa"/>
            <w:tcBorders>
              <w:top w:val="single" w:sz="4" w:space="0" w:color="2F5496"/>
              <w:left w:val="nil"/>
              <w:bottom w:val="single" w:sz="4" w:space="0" w:color="2F5496"/>
              <w:right w:val="nil"/>
            </w:tcBorders>
            <w:vAlign w:val="center"/>
          </w:tcPr>
          <w:p w14:paraId="6EA1924E" w14:textId="77777777" w:rsidR="006518CF" w:rsidRPr="006518CF" w:rsidRDefault="006518CF" w:rsidP="006518CF">
            <w:pPr>
              <w:ind w:right="113"/>
              <w:jc w:val="right"/>
              <w:rPr>
                <w:rFonts w:ascii="Verdana" w:hAnsi="Verdana" w:cs="Calibri"/>
                <w:b/>
                <w:bCs/>
                <w:color w:val="2F5496"/>
                <w:sz w:val="18"/>
                <w:szCs w:val="18"/>
                <w:lang w:val="el-GR"/>
              </w:rPr>
            </w:pPr>
            <w:r w:rsidRPr="006518CF">
              <w:rPr>
                <w:rFonts w:ascii="Verdana" w:hAnsi="Verdana"/>
                <w:b/>
                <w:bCs/>
                <w:color w:val="2F5496"/>
                <w:sz w:val="18"/>
                <w:szCs w:val="18"/>
              </w:rPr>
              <w:t>840.407</w:t>
            </w:r>
          </w:p>
        </w:tc>
        <w:tc>
          <w:tcPr>
            <w:tcW w:w="1472" w:type="dxa"/>
            <w:tcBorders>
              <w:top w:val="single" w:sz="4" w:space="0" w:color="2F5496"/>
              <w:left w:val="nil"/>
              <w:bottom w:val="single" w:sz="4" w:space="0" w:color="2F5496"/>
              <w:right w:val="nil"/>
            </w:tcBorders>
            <w:shd w:val="clear" w:color="auto" w:fill="auto"/>
            <w:vAlign w:val="center"/>
          </w:tcPr>
          <w:p w14:paraId="4776B8D1" w14:textId="77777777" w:rsidR="006518CF" w:rsidRPr="006518CF" w:rsidRDefault="006518CF" w:rsidP="006518CF">
            <w:pPr>
              <w:ind w:right="397"/>
              <w:jc w:val="right"/>
              <w:rPr>
                <w:rFonts w:ascii="Verdana" w:hAnsi="Verdana" w:cs="Calibri"/>
                <w:b/>
                <w:bCs/>
                <w:color w:val="2F5496"/>
                <w:sz w:val="18"/>
                <w:szCs w:val="18"/>
                <w:lang w:val="el-GR"/>
              </w:rPr>
            </w:pPr>
            <w:r w:rsidRPr="006518CF">
              <w:rPr>
                <w:rFonts w:ascii="Verdana" w:hAnsi="Verdana"/>
                <w:b/>
                <w:bCs/>
                <w:color w:val="2F5496"/>
                <w:sz w:val="18"/>
                <w:szCs w:val="18"/>
              </w:rPr>
              <w:t>9,9</w:t>
            </w:r>
          </w:p>
        </w:tc>
      </w:tr>
    </w:tbl>
    <w:p w14:paraId="2E31A230" w14:textId="77777777" w:rsidR="006518CF" w:rsidRPr="008E07F0" w:rsidRDefault="006518CF" w:rsidP="008E07F0">
      <w:pPr>
        <w:ind w:right="-1"/>
        <w:jc w:val="both"/>
        <w:rPr>
          <w:rFonts w:ascii="Verdana" w:hAnsi="Verdana" w:cs="Calibri"/>
          <w:sz w:val="18"/>
          <w:szCs w:val="18"/>
          <w:lang w:val="el-GR"/>
        </w:rPr>
      </w:pPr>
    </w:p>
    <w:p w14:paraId="33C11B0A" w14:textId="671E7D32" w:rsidR="007F134D" w:rsidRPr="008E07F0" w:rsidRDefault="007F134D" w:rsidP="008E07F0">
      <w:pPr>
        <w:jc w:val="both"/>
        <w:rPr>
          <w:rFonts w:ascii="Verdana" w:hAnsi="Verdana" w:cs="Calibri"/>
          <w:sz w:val="18"/>
          <w:szCs w:val="18"/>
        </w:rPr>
      </w:pPr>
      <w:r w:rsidRPr="008E07F0">
        <w:rPr>
          <w:rFonts w:ascii="Verdana" w:hAnsi="Verdana" w:cs="Calibri"/>
          <w:sz w:val="18"/>
          <w:szCs w:val="18"/>
        </w:rPr>
        <w:t xml:space="preserve">According to the preliminary results of the 2021 Census, 615.731 (66,7%) persons resided in urban areas and 307.541 (33,3%) in rural areas. The corresponding percentages recorded in the 2011 Census were 67,4% (566.191 persons) and 32,6% (274.216 persons), </w:t>
      </w:r>
      <w:r w:rsidR="005512DA" w:rsidRPr="008E07F0">
        <w:rPr>
          <w:rFonts w:ascii="Verdana" w:hAnsi="Verdana" w:cs="Calibri"/>
          <w:sz w:val="18"/>
          <w:szCs w:val="18"/>
        </w:rPr>
        <w:t xml:space="preserve">thus showing that </w:t>
      </w:r>
      <w:r w:rsidR="00017BED">
        <w:rPr>
          <w:rFonts w:ascii="Verdana" w:hAnsi="Verdana" w:cs="Calibri"/>
          <w:sz w:val="18"/>
          <w:szCs w:val="18"/>
        </w:rPr>
        <w:t>overall,</w:t>
      </w:r>
      <w:r w:rsidR="00497A65">
        <w:rPr>
          <w:rFonts w:ascii="Verdana" w:hAnsi="Verdana" w:cs="Calibri"/>
          <w:sz w:val="18"/>
          <w:szCs w:val="18"/>
        </w:rPr>
        <w:t xml:space="preserve"> </w:t>
      </w:r>
      <w:r w:rsidR="005512DA" w:rsidRPr="008E07F0">
        <w:rPr>
          <w:rFonts w:ascii="Verdana" w:hAnsi="Verdana" w:cs="Calibri"/>
          <w:sz w:val="18"/>
          <w:szCs w:val="18"/>
        </w:rPr>
        <w:t xml:space="preserve">there was no reduction in the population of rural areas, even though in some distant or mountainous communities there was </w:t>
      </w:r>
      <w:r w:rsidR="00AB5A7B" w:rsidRPr="008E07F0">
        <w:rPr>
          <w:rFonts w:ascii="Verdana" w:hAnsi="Verdana" w:cs="Calibri"/>
          <w:sz w:val="18"/>
          <w:szCs w:val="18"/>
        </w:rPr>
        <w:t xml:space="preserve">a </w:t>
      </w:r>
      <w:r w:rsidR="005512DA" w:rsidRPr="008E07F0">
        <w:rPr>
          <w:rFonts w:ascii="Verdana" w:hAnsi="Verdana" w:cs="Calibri"/>
          <w:sz w:val="18"/>
          <w:szCs w:val="18"/>
        </w:rPr>
        <w:t>decrease in the number of residents.</w:t>
      </w:r>
      <w:r w:rsidR="005468C5" w:rsidRPr="008E07F0">
        <w:rPr>
          <w:rFonts w:ascii="Verdana" w:hAnsi="Verdana" w:cs="Calibri"/>
          <w:sz w:val="18"/>
          <w:szCs w:val="18"/>
        </w:rPr>
        <w:t xml:space="preserve"> Furthermore, the total population increase recorded in urban areas compared to the 2011 Census was 8,7% and in rural areas 12,2%. As regards housing units, a share of 60,5% (297.805 housing units) are in urban areas and 39,5% (194.750) in rural areas. Compared to 2011, an increase of 12,8% in the </w:t>
      </w:r>
      <w:r w:rsidR="00E96242" w:rsidRPr="008E07F0">
        <w:rPr>
          <w:rFonts w:ascii="Verdana" w:hAnsi="Verdana" w:cs="Calibri"/>
          <w:sz w:val="18"/>
          <w:szCs w:val="18"/>
        </w:rPr>
        <w:t xml:space="preserve">total </w:t>
      </w:r>
      <w:r w:rsidR="005468C5" w:rsidRPr="008E07F0">
        <w:rPr>
          <w:rFonts w:ascii="Verdana" w:hAnsi="Verdana" w:cs="Calibri"/>
          <w:sz w:val="18"/>
          <w:szCs w:val="18"/>
        </w:rPr>
        <w:t>number of housing units was recorded in urban areas and a corresponding increase of 15,1% in rural areas.</w:t>
      </w:r>
    </w:p>
    <w:p w14:paraId="43EFE1A8" w14:textId="77777777" w:rsidR="00C11070" w:rsidRDefault="00C11070" w:rsidP="008E07F0">
      <w:pPr>
        <w:ind w:right="-1"/>
        <w:jc w:val="both"/>
        <w:rPr>
          <w:rFonts w:ascii="Verdana" w:hAnsi="Verdana" w:cs="Calibri"/>
          <w:sz w:val="18"/>
          <w:szCs w:val="18"/>
        </w:rPr>
      </w:pPr>
    </w:p>
    <w:p w14:paraId="6D934575" w14:textId="4161A075" w:rsidR="00C11070" w:rsidRPr="00C11070" w:rsidRDefault="002A5D4A" w:rsidP="008E07F0">
      <w:pPr>
        <w:ind w:right="-1"/>
        <w:jc w:val="both"/>
        <w:rPr>
          <w:rFonts w:ascii="Verdana" w:hAnsi="Verdana" w:cs="Calibri"/>
          <w:sz w:val="18"/>
          <w:szCs w:val="18"/>
        </w:rPr>
      </w:pPr>
      <w:r>
        <w:rPr>
          <w:rFonts w:ascii="Verdana" w:hAnsi="Verdana" w:cs="Calibri"/>
          <w:noProof/>
          <w:sz w:val="18"/>
          <w:szCs w:val="18"/>
        </w:rPr>
        <w:drawing>
          <wp:inline distT="0" distB="0" distL="0" distR="0" wp14:anchorId="061BE8F9" wp14:editId="44FB9196">
            <wp:extent cx="2993390" cy="3401695"/>
            <wp:effectExtent l="0" t="0" r="0" b="8255"/>
            <wp:docPr id="1851652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3390" cy="3401695"/>
                    </a:xfrm>
                    <a:prstGeom prst="rect">
                      <a:avLst/>
                    </a:prstGeom>
                    <a:noFill/>
                  </pic:spPr>
                </pic:pic>
              </a:graphicData>
            </a:graphic>
          </wp:inline>
        </w:drawing>
      </w:r>
      <w:r w:rsidR="00C11070" w:rsidRPr="00C11070">
        <w:rPr>
          <w:rFonts w:ascii="Verdana" w:hAnsi="Verdana" w:cs="Calibri"/>
          <w:sz w:val="18"/>
          <w:szCs w:val="18"/>
        </w:rPr>
        <w:t xml:space="preserve">    </w:t>
      </w:r>
      <w:r>
        <w:rPr>
          <w:rFonts w:ascii="Verdana" w:hAnsi="Verdana" w:cs="Calibri"/>
          <w:noProof/>
          <w:sz w:val="18"/>
          <w:szCs w:val="18"/>
        </w:rPr>
        <w:drawing>
          <wp:inline distT="0" distB="0" distL="0" distR="0" wp14:anchorId="108B0FE2" wp14:editId="32BD231F">
            <wp:extent cx="2987040" cy="3405505"/>
            <wp:effectExtent l="0" t="0" r="3810" b="4445"/>
            <wp:docPr id="2081219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7040" cy="3405505"/>
                    </a:xfrm>
                    <a:prstGeom prst="rect">
                      <a:avLst/>
                    </a:prstGeom>
                    <a:noFill/>
                  </pic:spPr>
                </pic:pic>
              </a:graphicData>
            </a:graphic>
          </wp:inline>
        </w:drawing>
      </w:r>
    </w:p>
    <w:p w14:paraId="5A13CD04" w14:textId="0F0930E4" w:rsidR="00797A12" w:rsidRPr="008E07F0" w:rsidRDefault="00797A12" w:rsidP="008E07F0">
      <w:pPr>
        <w:ind w:right="-1"/>
        <w:jc w:val="both"/>
        <w:rPr>
          <w:rFonts w:ascii="Verdana" w:hAnsi="Verdana" w:cs="Calibri"/>
          <w:sz w:val="18"/>
          <w:szCs w:val="18"/>
        </w:rPr>
      </w:pPr>
    </w:p>
    <w:p w14:paraId="03965EF8" w14:textId="21552B0E" w:rsidR="00797A12" w:rsidRPr="008E07F0" w:rsidRDefault="005468C5" w:rsidP="008E07F0">
      <w:pPr>
        <w:ind w:right="-1"/>
        <w:jc w:val="both"/>
        <w:rPr>
          <w:rFonts w:ascii="Verdana" w:hAnsi="Verdana" w:cs="Calibri"/>
          <w:b/>
          <w:bCs/>
          <w:sz w:val="18"/>
          <w:szCs w:val="18"/>
          <w:u w:val="single"/>
        </w:rPr>
      </w:pPr>
      <w:r w:rsidRPr="008E07F0">
        <w:rPr>
          <w:rFonts w:ascii="Verdana" w:hAnsi="Verdana" w:cs="Calibri"/>
          <w:b/>
          <w:bCs/>
          <w:sz w:val="18"/>
          <w:szCs w:val="18"/>
          <w:u w:val="single"/>
        </w:rPr>
        <w:t>Population and Housing Units by Municipality/Community</w:t>
      </w:r>
    </w:p>
    <w:p w14:paraId="3AC60BD0" w14:textId="77777777" w:rsidR="00797A12" w:rsidRPr="008E07F0" w:rsidRDefault="00797A12" w:rsidP="008E07F0">
      <w:pPr>
        <w:ind w:right="-1"/>
        <w:jc w:val="both"/>
        <w:rPr>
          <w:rFonts w:ascii="Verdana" w:hAnsi="Verdana" w:cs="Calibri"/>
          <w:b/>
          <w:bCs/>
          <w:sz w:val="18"/>
          <w:szCs w:val="18"/>
          <w:u w:val="single"/>
        </w:rPr>
      </w:pPr>
    </w:p>
    <w:p w14:paraId="02D1C42F" w14:textId="7C051DDA" w:rsidR="00A90BA4" w:rsidRPr="008E07F0" w:rsidRDefault="00A90BA4" w:rsidP="008E07F0">
      <w:pPr>
        <w:ind w:right="-1"/>
        <w:jc w:val="both"/>
        <w:rPr>
          <w:rFonts w:ascii="Verdana" w:hAnsi="Verdana" w:cs="Calibri"/>
          <w:sz w:val="18"/>
          <w:szCs w:val="18"/>
        </w:rPr>
      </w:pPr>
      <w:r w:rsidRPr="008E07F0">
        <w:rPr>
          <w:rFonts w:ascii="Verdana" w:hAnsi="Verdana" w:cs="Calibri"/>
          <w:sz w:val="18"/>
          <w:szCs w:val="18"/>
        </w:rPr>
        <w:t>Based on the preliminary results of the 2021 Census, the largest municipality in the Government</w:t>
      </w:r>
      <w:r w:rsidR="005504A3" w:rsidRPr="008E07F0">
        <w:rPr>
          <w:rFonts w:ascii="Verdana" w:hAnsi="Verdana" w:cs="Calibri"/>
          <w:sz w:val="18"/>
          <w:szCs w:val="18"/>
          <w:lang w:val="en-GB"/>
        </w:rPr>
        <w:t xml:space="preserve"> </w:t>
      </w:r>
      <w:r w:rsidRPr="008E07F0">
        <w:rPr>
          <w:rFonts w:ascii="Verdana" w:hAnsi="Verdana" w:cs="Calibri"/>
          <w:sz w:val="18"/>
          <w:szCs w:val="18"/>
        </w:rPr>
        <w:t>controlled area</w:t>
      </w:r>
      <w:r w:rsidR="005504A3" w:rsidRPr="008E07F0">
        <w:rPr>
          <w:rFonts w:ascii="Verdana" w:hAnsi="Verdana" w:cs="Calibri"/>
          <w:sz w:val="18"/>
          <w:szCs w:val="18"/>
          <w:lang w:val="en-GB"/>
        </w:rPr>
        <w:t>s</w:t>
      </w:r>
      <w:r w:rsidRPr="008E07F0">
        <w:rPr>
          <w:rFonts w:ascii="Verdana" w:hAnsi="Verdana" w:cs="Calibri"/>
          <w:sz w:val="18"/>
          <w:szCs w:val="18"/>
        </w:rPr>
        <w:t xml:space="preserve"> is </w:t>
      </w:r>
      <w:proofErr w:type="spellStart"/>
      <w:r w:rsidRPr="008E07F0">
        <w:rPr>
          <w:rFonts w:ascii="Verdana" w:hAnsi="Verdana" w:cs="Calibri"/>
          <w:sz w:val="18"/>
          <w:szCs w:val="18"/>
        </w:rPr>
        <w:t>Lemesos</w:t>
      </w:r>
      <w:proofErr w:type="spellEnd"/>
      <w:r w:rsidRPr="008E07F0">
        <w:rPr>
          <w:rFonts w:ascii="Verdana" w:hAnsi="Verdana" w:cs="Calibri"/>
          <w:sz w:val="18"/>
          <w:szCs w:val="18"/>
        </w:rPr>
        <w:t xml:space="preserve"> Municipality with a total population of 108.105 persons (54,4% of the total population of urban </w:t>
      </w:r>
      <w:proofErr w:type="spellStart"/>
      <w:r w:rsidRPr="008E07F0">
        <w:rPr>
          <w:rFonts w:ascii="Verdana" w:hAnsi="Verdana" w:cs="Calibri"/>
          <w:sz w:val="18"/>
          <w:szCs w:val="18"/>
        </w:rPr>
        <w:t>Lemesos</w:t>
      </w:r>
      <w:proofErr w:type="spellEnd"/>
      <w:r w:rsidRPr="008E07F0">
        <w:rPr>
          <w:rFonts w:ascii="Verdana" w:hAnsi="Verdana" w:cs="Calibri"/>
          <w:sz w:val="18"/>
          <w:szCs w:val="18"/>
        </w:rPr>
        <w:t>) and 50.183 housing units (55,8%</w:t>
      </w:r>
      <w:r w:rsidR="002C3D54" w:rsidRPr="008E07F0">
        <w:rPr>
          <w:rFonts w:ascii="Verdana" w:hAnsi="Verdana" w:cs="Calibri"/>
          <w:sz w:val="18"/>
          <w:szCs w:val="18"/>
        </w:rPr>
        <w:t xml:space="preserve"> of the total housing units in urban </w:t>
      </w:r>
      <w:proofErr w:type="spellStart"/>
      <w:r w:rsidR="002C3D54" w:rsidRPr="008E07F0">
        <w:rPr>
          <w:rFonts w:ascii="Verdana" w:hAnsi="Verdana" w:cs="Calibri"/>
          <w:sz w:val="18"/>
          <w:szCs w:val="18"/>
        </w:rPr>
        <w:t>Lemesos</w:t>
      </w:r>
      <w:proofErr w:type="spellEnd"/>
      <w:r w:rsidR="002C3D54" w:rsidRPr="008E07F0">
        <w:rPr>
          <w:rFonts w:ascii="Verdana" w:hAnsi="Verdana" w:cs="Calibri"/>
          <w:sz w:val="18"/>
          <w:szCs w:val="18"/>
        </w:rPr>
        <w:t xml:space="preserve">). </w:t>
      </w:r>
      <w:r w:rsidR="00DF3313" w:rsidRPr="008E07F0">
        <w:rPr>
          <w:rFonts w:ascii="Verdana" w:hAnsi="Verdana" w:cs="Calibri"/>
          <w:sz w:val="18"/>
          <w:szCs w:val="18"/>
        </w:rPr>
        <w:t>It</w:t>
      </w:r>
      <w:r w:rsidR="002C3D54" w:rsidRPr="008E07F0">
        <w:rPr>
          <w:rFonts w:ascii="Verdana" w:hAnsi="Verdana" w:cs="Calibri"/>
          <w:sz w:val="18"/>
          <w:szCs w:val="18"/>
        </w:rPr>
        <w:t xml:space="preserve"> is </w:t>
      </w:r>
      <w:r w:rsidR="00DF3313" w:rsidRPr="008E07F0">
        <w:rPr>
          <w:rFonts w:ascii="Verdana" w:hAnsi="Verdana" w:cs="Calibri"/>
          <w:sz w:val="18"/>
          <w:szCs w:val="18"/>
        </w:rPr>
        <w:t>followed</w:t>
      </w:r>
      <w:r w:rsidR="002C3D54" w:rsidRPr="008E07F0">
        <w:rPr>
          <w:rFonts w:ascii="Verdana" w:hAnsi="Verdana" w:cs="Calibri"/>
          <w:sz w:val="18"/>
          <w:szCs w:val="18"/>
        </w:rPr>
        <w:t xml:space="preserve"> by </w:t>
      </w:r>
      <w:proofErr w:type="spellStart"/>
      <w:r w:rsidR="002C3D54" w:rsidRPr="008E07F0">
        <w:rPr>
          <w:rFonts w:ascii="Verdana" w:hAnsi="Verdana" w:cs="Calibri"/>
          <w:sz w:val="18"/>
          <w:szCs w:val="18"/>
        </w:rPr>
        <w:t>Strovolos</w:t>
      </w:r>
      <w:proofErr w:type="spellEnd"/>
      <w:r w:rsidR="002C3D54" w:rsidRPr="008E07F0">
        <w:rPr>
          <w:rFonts w:ascii="Verdana" w:hAnsi="Verdana" w:cs="Calibri"/>
          <w:sz w:val="18"/>
          <w:szCs w:val="18"/>
        </w:rPr>
        <w:t xml:space="preserve"> Municipality with a total of 71.123 persons enumerated (27,8% of the total population of urban </w:t>
      </w:r>
      <w:proofErr w:type="spellStart"/>
      <w:r w:rsidR="001C7FAB" w:rsidRPr="008E07F0">
        <w:rPr>
          <w:rFonts w:ascii="Verdana" w:hAnsi="Verdana" w:cs="Calibri"/>
          <w:sz w:val="18"/>
          <w:szCs w:val="18"/>
        </w:rPr>
        <w:t>Lefkosia</w:t>
      </w:r>
      <w:proofErr w:type="spellEnd"/>
      <w:r w:rsidR="001C7FAB" w:rsidRPr="008E07F0">
        <w:rPr>
          <w:rFonts w:ascii="Verdana" w:hAnsi="Verdana" w:cs="Calibri"/>
          <w:sz w:val="18"/>
          <w:szCs w:val="18"/>
        </w:rPr>
        <w:t>) and</w:t>
      </w:r>
      <w:r w:rsidR="002C3D54" w:rsidRPr="008E07F0">
        <w:rPr>
          <w:rFonts w:ascii="Verdana" w:hAnsi="Verdana" w:cs="Calibri"/>
          <w:sz w:val="18"/>
          <w:szCs w:val="18"/>
        </w:rPr>
        <w:t xml:space="preserve"> 32.585 housing units (27,3% of the total housing units in urban </w:t>
      </w:r>
      <w:proofErr w:type="spellStart"/>
      <w:r w:rsidR="002C3D54" w:rsidRPr="008E07F0">
        <w:rPr>
          <w:rFonts w:ascii="Verdana" w:hAnsi="Verdana" w:cs="Calibri"/>
          <w:sz w:val="18"/>
          <w:szCs w:val="18"/>
        </w:rPr>
        <w:t>Lefkosia</w:t>
      </w:r>
      <w:proofErr w:type="spellEnd"/>
      <w:r w:rsidR="002C3D54" w:rsidRPr="008E07F0">
        <w:rPr>
          <w:rFonts w:ascii="Verdana" w:hAnsi="Verdana" w:cs="Calibri"/>
          <w:sz w:val="18"/>
          <w:szCs w:val="18"/>
        </w:rPr>
        <w:t xml:space="preserve">) and </w:t>
      </w:r>
      <w:proofErr w:type="spellStart"/>
      <w:r w:rsidR="002C3D54" w:rsidRPr="008E07F0">
        <w:rPr>
          <w:rFonts w:ascii="Verdana" w:hAnsi="Verdana" w:cs="Calibri"/>
          <w:sz w:val="18"/>
          <w:szCs w:val="18"/>
        </w:rPr>
        <w:t>Lefkosia</w:t>
      </w:r>
      <w:proofErr w:type="spellEnd"/>
      <w:r w:rsidR="002C3D54" w:rsidRPr="008E07F0">
        <w:rPr>
          <w:rFonts w:ascii="Verdana" w:hAnsi="Verdana" w:cs="Calibri"/>
          <w:sz w:val="18"/>
          <w:szCs w:val="18"/>
        </w:rPr>
        <w:t xml:space="preserve"> Municipality </w:t>
      </w:r>
      <w:r w:rsidR="00631738" w:rsidRPr="008E07F0">
        <w:rPr>
          <w:rFonts w:ascii="Verdana" w:hAnsi="Verdana" w:cs="Calibri"/>
          <w:sz w:val="18"/>
          <w:szCs w:val="18"/>
        </w:rPr>
        <w:t>with 5</w:t>
      </w:r>
      <w:r w:rsidR="00263E75" w:rsidRPr="008E07F0">
        <w:rPr>
          <w:rFonts w:ascii="Verdana" w:hAnsi="Verdana" w:cs="Calibri"/>
          <w:sz w:val="18"/>
          <w:szCs w:val="18"/>
        </w:rPr>
        <w:t>6</w:t>
      </w:r>
      <w:r w:rsidR="00631738" w:rsidRPr="008E07F0">
        <w:rPr>
          <w:rFonts w:ascii="Verdana" w:hAnsi="Verdana" w:cs="Calibri"/>
          <w:sz w:val="18"/>
          <w:szCs w:val="18"/>
        </w:rPr>
        <w:t xml:space="preserve">.848 persons enumerated (22,2% of the total </w:t>
      </w:r>
      <w:r w:rsidR="00671814" w:rsidRPr="008E07F0">
        <w:rPr>
          <w:rFonts w:ascii="Verdana" w:hAnsi="Verdana" w:cs="Calibri"/>
          <w:sz w:val="18"/>
          <w:szCs w:val="18"/>
        </w:rPr>
        <w:t>in</w:t>
      </w:r>
      <w:r w:rsidR="00631738" w:rsidRPr="008E07F0">
        <w:rPr>
          <w:rFonts w:ascii="Verdana" w:hAnsi="Verdana" w:cs="Calibri"/>
          <w:sz w:val="18"/>
          <w:szCs w:val="18"/>
        </w:rPr>
        <w:t xml:space="preserve"> urban </w:t>
      </w:r>
      <w:proofErr w:type="spellStart"/>
      <w:r w:rsidR="00631738" w:rsidRPr="008E07F0">
        <w:rPr>
          <w:rFonts w:ascii="Verdana" w:hAnsi="Verdana" w:cs="Calibri"/>
          <w:sz w:val="18"/>
          <w:szCs w:val="18"/>
        </w:rPr>
        <w:t>Lefkosia</w:t>
      </w:r>
      <w:proofErr w:type="spellEnd"/>
      <w:r w:rsidR="00631738" w:rsidRPr="008E07F0">
        <w:rPr>
          <w:rFonts w:ascii="Verdana" w:hAnsi="Verdana" w:cs="Calibri"/>
          <w:sz w:val="18"/>
          <w:szCs w:val="18"/>
        </w:rPr>
        <w:t>)</w:t>
      </w:r>
      <w:r w:rsidR="00263E75" w:rsidRPr="008E07F0">
        <w:rPr>
          <w:rFonts w:ascii="Verdana" w:hAnsi="Verdana" w:cs="Calibri"/>
          <w:sz w:val="18"/>
          <w:szCs w:val="18"/>
        </w:rPr>
        <w:t xml:space="preserve"> and 30.145 housing units (25,3% of the total in urban </w:t>
      </w:r>
      <w:proofErr w:type="spellStart"/>
      <w:r w:rsidR="00263E75" w:rsidRPr="008E07F0">
        <w:rPr>
          <w:rFonts w:ascii="Verdana" w:hAnsi="Verdana" w:cs="Calibri"/>
          <w:sz w:val="18"/>
          <w:szCs w:val="18"/>
        </w:rPr>
        <w:t>Lefkosia</w:t>
      </w:r>
      <w:proofErr w:type="spellEnd"/>
      <w:r w:rsidR="00263E75" w:rsidRPr="008E07F0">
        <w:rPr>
          <w:rFonts w:ascii="Verdana" w:hAnsi="Verdana" w:cs="Calibri"/>
          <w:sz w:val="18"/>
          <w:szCs w:val="18"/>
        </w:rPr>
        <w:t>)</w:t>
      </w:r>
      <w:r w:rsidR="00631738" w:rsidRPr="008E07F0">
        <w:rPr>
          <w:rFonts w:ascii="Verdana" w:hAnsi="Verdana" w:cs="Calibri"/>
          <w:sz w:val="18"/>
          <w:szCs w:val="18"/>
        </w:rPr>
        <w:t xml:space="preserve">. The same ranking </w:t>
      </w:r>
      <w:r w:rsidR="00497A65">
        <w:rPr>
          <w:rFonts w:ascii="Verdana" w:hAnsi="Verdana" w:cs="Calibri"/>
          <w:sz w:val="18"/>
          <w:szCs w:val="18"/>
        </w:rPr>
        <w:t>among the three largest municipalities was</w:t>
      </w:r>
      <w:r w:rsidR="00631738" w:rsidRPr="008E07F0">
        <w:rPr>
          <w:rFonts w:ascii="Verdana" w:hAnsi="Verdana" w:cs="Calibri"/>
          <w:sz w:val="18"/>
          <w:szCs w:val="18"/>
        </w:rPr>
        <w:t xml:space="preserve"> also been observed in the results of the 2011 Census.</w:t>
      </w:r>
    </w:p>
    <w:p w14:paraId="121FA47C" w14:textId="77777777" w:rsidR="00797A12" w:rsidRPr="008E07F0" w:rsidRDefault="00797A12" w:rsidP="008E07F0">
      <w:pPr>
        <w:ind w:right="-1"/>
        <w:jc w:val="both"/>
        <w:rPr>
          <w:rFonts w:ascii="Verdana" w:hAnsi="Verdana" w:cs="Calibri"/>
          <w:sz w:val="18"/>
          <w:szCs w:val="18"/>
        </w:rPr>
      </w:pPr>
    </w:p>
    <w:p w14:paraId="058068CE" w14:textId="6E279D55" w:rsidR="00631738" w:rsidRPr="008E07F0" w:rsidRDefault="005504A3" w:rsidP="008E07F0">
      <w:pPr>
        <w:ind w:right="-1"/>
        <w:jc w:val="both"/>
        <w:rPr>
          <w:rFonts w:ascii="Verdana" w:hAnsi="Verdana" w:cs="Calibri"/>
          <w:sz w:val="18"/>
          <w:szCs w:val="18"/>
        </w:rPr>
      </w:pPr>
      <w:r w:rsidRPr="008E07F0">
        <w:rPr>
          <w:rFonts w:ascii="Verdana" w:hAnsi="Verdana" w:cs="Calibri"/>
          <w:sz w:val="18"/>
          <w:szCs w:val="18"/>
        </w:rPr>
        <w:t>Focusing our attention to</w:t>
      </w:r>
      <w:r w:rsidR="00631738" w:rsidRPr="008E07F0">
        <w:rPr>
          <w:rFonts w:ascii="Verdana" w:hAnsi="Verdana" w:cs="Calibri"/>
          <w:sz w:val="18"/>
          <w:szCs w:val="18"/>
        </w:rPr>
        <w:t xml:space="preserve"> the municipalities with a population of 20.000 </w:t>
      </w:r>
      <w:r w:rsidR="00694AAA">
        <w:rPr>
          <w:rFonts w:ascii="Verdana" w:hAnsi="Verdana" w:cs="Calibri"/>
          <w:sz w:val="18"/>
          <w:szCs w:val="18"/>
        </w:rPr>
        <w:t xml:space="preserve">persons </w:t>
      </w:r>
      <w:r w:rsidR="00631738" w:rsidRPr="008E07F0">
        <w:rPr>
          <w:rFonts w:ascii="Verdana" w:hAnsi="Verdana" w:cs="Calibri"/>
          <w:sz w:val="18"/>
          <w:szCs w:val="18"/>
        </w:rPr>
        <w:t>and above (this concerns municipalities only in urban areas), it is evident that in the last decade the largest percentage increase</w:t>
      </w:r>
      <w:r w:rsidR="00694AAA">
        <w:rPr>
          <w:rFonts w:ascii="Verdana" w:hAnsi="Verdana" w:cs="Calibri"/>
          <w:sz w:val="18"/>
          <w:szCs w:val="18"/>
        </w:rPr>
        <w:t xml:space="preserve">, </w:t>
      </w:r>
      <w:r w:rsidR="00631738" w:rsidRPr="008E07F0">
        <w:rPr>
          <w:rFonts w:ascii="Verdana" w:hAnsi="Verdana" w:cs="Calibri"/>
          <w:sz w:val="18"/>
          <w:szCs w:val="18"/>
        </w:rPr>
        <w:t>both in housing units and in population</w:t>
      </w:r>
      <w:r w:rsidR="003D46D6" w:rsidRPr="003D46D6">
        <w:rPr>
          <w:rFonts w:ascii="Verdana" w:hAnsi="Verdana" w:cs="Calibri"/>
          <w:sz w:val="18"/>
          <w:szCs w:val="18"/>
        </w:rPr>
        <w:t>,</w:t>
      </w:r>
      <w:r w:rsidR="00631738" w:rsidRPr="008E07F0">
        <w:rPr>
          <w:rFonts w:ascii="Verdana" w:hAnsi="Verdana" w:cs="Calibri"/>
          <w:sz w:val="18"/>
          <w:szCs w:val="18"/>
        </w:rPr>
        <w:t xml:space="preserve"> was documented in the </w:t>
      </w:r>
      <w:proofErr w:type="spellStart"/>
      <w:r w:rsidR="00631738" w:rsidRPr="008E07F0">
        <w:rPr>
          <w:rFonts w:ascii="Verdana" w:hAnsi="Verdana" w:cs="Calibri"/>
          <w:sz w:val="18"/>
          <w:szCs w:val="18"/>
        </w:rPr>
        <w:t>Aradippou</w:t>
      </w:r>
      <w:proofErr w:type="spellEnd"/>
      <w:r w:rsidR="00631738" w:rsidRPr="008E07F0">
        <w:rPr>
          <w:rFonts w:ascii="Verdana" w:hAnsi="Verdana" w:cs="Calibri"/>
          <w:sz w:val="18"/>
          <w:szCs w:val="18"/>
        </w:rPr>
        <w:t xml:space="preserve"> Municipality with 19,6% and 19,</w:t>
      </w:r>
      <w:r w:rsidR="00916426" w:rsidRPr="008E07F0">
        <w:rPr>
          <w:rFonts w:ascii="Verdana" w:hAnsi="Verdana" w:cs="Calibri"/>
          <w:sz w:val="18"/>
          <w:szCs w:val="18"/>
        </w:rPr>
        <w:t>3</w:t>
      </w:r>
      <w:r w:rsidR="00631738" w:rsidRPr="008E07F0">
        <w:rPr>
          <w:rFonts w:ascii="Verdana" w:hAnsi="Verdana" w:cs="Calibri"/>
          <w:sz w:val="18"/>
          <w:szCs w:val="18"/>
        </w:rPr>
        <w:t xml:space="preserve">% respectively. The second largest percentage increase in the population compared to the 2011 Census was recorded in </w:t>
      </w:r>
      <w:proofErr w:type="spellStart"/>
      <w:r w:rsidR="00631738" w:rsidRPr="008E07F0">
        <w:rPr>
          <w:rFonts w:ascii="Verdana" w:hAnsi="Verdana" w:cs="Calibri"/>
          <w:sz w:val="18"/>
          <w:szCs w:val="18"/>
        </w:rPr>
        <w:t>Egkomi</w:t>
      </w:r>
      <w:proofErr w:type="spellEnd"/>
      <w:r w:rsidR="00631738" w:rsidRPr="008E07F0">
        <w:rPr>
          <w:rFonts w:ascii="Verdana" w:hAnsi="Verdana" w:cs="Calibri"/>
          <w:sz w:val="18"/>
          <w:szCs w:val="18"/>
        </w:rPr>
        <w:t xml:space="preserve"> Municipality </w:t>
      </w:r>
      <w:r w:rsidR="00AB514B" w:rsidRPr="008E07F0">
        <w:rPr>
          <w:rFonts w:ascii="Verdana" w:hAnsi="Verdana" w:cs="Calibri"/>
          <w:sz w:val="18"/>
          <w:szCs w:val="18"/>
        </w:rPr>
        <w:t xml:space="preserve">with 13,8%, followed by </w:t>
      </w:r>
      <w:proofErr w:type="spellStart"/>
      <w:r w:rsidR="00AB514B" w:rsidRPr="008E07F0">
        <w:rPr>
          <w:rFonts w:ascii="Verdana" w:hAnsi="Verdana" w:cs="Calibri"/>
          <w:sz w:val="18"/>
          <w:szCs w:val="18"/>
        </w:rPr>
        <w:t>Pafos</w:t>
      </w:r>
      <w:proofErr w:type="spellEnd"/>
      <w:r w:rsidR="00AB514B" w:rsidRPr="008E07F0">
        <w:rPr>
          <w:rFonts w:ascii="Verdana" w:hAnsi="Verdana" w:cs="Calibri"/>
          <w:sz w:val="18"/>
          <w:szCs w:val="18"/>
        </w:rPr>
        <w:t xml:space="preserve"> Municipality </w:t>
      </w:r>
      <w:r w:rsidR="00CB66A7" w:rsidRPr="008E07F0">
        <w:rPr>
          <w:rFonts w:ascii="Verdana" w:hAnsi="Verdana" w:cs="Calibri"/>
          <w:sz w:val="18"/>
          <w:szCs w:val="18"/>
        </w:rPr>
        <w:t xml:space="preserve">with 13,4%. </w:t>
      </w:r>
    </w:p>
    <w:p w14:paraId="0BC9817C" w14:textId="77777777" w:rsidR="00797A12" w:rsidRPr="008E07F0" w:rsidRDefault="00797A12" w:rsidP="008E07F0">
      <w:pPr>
        <w:ind w:right="-1"/>
        <w:jc w:val="both"/>
        <w:rPr>
          <w:rFonts w:ascii="Verdana" w:hAnsi="Verdana" w:cs="Calibri"/>
          <w:sz w:val="18"/>
          <w:szCs w:val="18"/>
        </w:rPr>
      </w:pPr>
    </w:p>
    <w:p w14:paraId="14F57B4B" w14:textId="7C72C83F" w:rsidR="00CB66A7" w:rsidRPr="008E07F0" w:rsidRDefault="00CB66A7" w:rsidP="008E07F0">
      <w:pPr>
        <w:ind w:right="-1"/>
        <w:jc w:val="both"/>
        <w:rPr>
          <w:rFonts w:ascii="Verdana" w:hAnsi="Verdana" w:cs="Calibri"/>
          <w:sz w:val="18"/>
          <w:szCs w:val="18"/>
        </w:rPr>
      </w:pPr>
      <w:r w:rsidRPr="008E07F0">
        <w:rPr>
          <w:rFonts w:ascii="Verdana" w:hAnsi="Verdana" w:cs="Calibri"/>
          <w:sz w:val="18"/>
          <w:szCs w:val="18"/>
        </w:rPr>
        <w:t xml:space="preserve">In rural areas, </w:t>
      </w:r>
      <w:proofErr w:type="spellStart"/>
      <w:r w:rsidRPr="008E07F0">
        <w:rPr>
          <w:rFonts w:ascii="Verdana" w:hAnsi="Verdana" w:cs="Calibri"/>
          <w:sz w:val="18"/>
          <w:szCs w:val="18"/>
        </w:rPr>
        <w:t>Paralimni</w:t>
      </w:r>
      <w:proofErr w:type="spellEnd"/>
      <w:r w:rsidRPr="008E07F0">
        <w:rPr>
          <w:rFonts w:ascii="Verdana" w:hAnsi="Verdana" w:cs="Calibri"/>
          <w:sz w:val="18"/>
          <w:szCs w:val="18"/>
        </w:rPr>
        <w:t xml:space="preserve"> Municipality is the largest municipality with 20.450 housing units (+13,3% compared to 2011) and population 19.035 persons (+27,2%), followed by Dali Municipality with 4.391 housing units (+20,9%) and 12.350 persons (+18,0%). </w:t>
      </w:r>
    </w:p>
    <w:p w14:paraId="61D4927E" w14:textId="77777777" w:rsidR="00797A12" w:rsidRPr="008E07F0" w:rsidRDefault="00797A12" w:rsidP="008E07F0">
      <w:pPr>
        <w:ind w:right="-1"/>
        <w:jc w:val="both"/>
        <w:rPr>
          <w:rFonts w:ascii="Verdana" w:hAnsi="Verdana" w:cs="Calibri"/>
          <w:sz w:val="18"/>
          <w:szCs w:val="18"/>
        </w:rPr>
      </w:pPr>
    </w:p>
    <w:p w14:paraId="74AFE30F" w14:textId="515718C3" w:rsidR="00CB66A7" w:rsidRPr="008E07F0" w:rsidRDefault="00CB66A7" w:rsidP="008E07F0">
      <w:pPr>
        <w:ind w:right="-1"/>
        <w:jc w:val="both"/>
        <w:rPr>
          <w:rFonts w:ascii="Verdana" w:hAnsi="Verdana" w:cs="Calibri"/>
          <w:sz w:val="18"/>
          <w:szCs w:val="18"/>
        </w:rPr>
      </w:pPr>
      <w:r w:rsidRPr="008E07F0">
        <w:rPr>
          <w:rFonts w:ascii="Verdana" w:hAnsi="Verdana" w:cs="Calibri"/>
          <w:sz w:val="18"/>
          <w:szCs w:val="18"/>
        </w:rPr>
        <w:t xml:space="preserve">In the last decade, in urban </w:t>
      </w:r>
      <w:proofErr w:type="spellStart"/>
      <w:r w:rsidRPr="008E07F0">
        <w:rPr>
          <w:rFonts w:ascii="Verdana" w:hAnsi="Verdana" w:cs="Calibri"/>
          <w:sz w:val="18"/>
          <w:szCs w:val="18"/>
        </w:rPr>
        <w:t>Lefkosia</w:t>
      </w:r>
      <w:proofErr w:type="spellEnd"/>
      <w:r w:rsidRPr="008E07F0">
        <w:rPr>
          <w:rFonts w:ascii="Verdana" w:hAnsi="Verdana" w:cs="Calibri"/>
          <w:sz w:val="18"/>
          <w:szCs w:val="18"/>
        </w:rPr>
        <w:t xml:space="preserve">, the municipality with the largest percentage increase both in housing units and population was Geri Municipality with 19,4% and 17,2% respectively (3.644 housing units and 9.651 persons). </w:t>
      </w:r>
    </w:p>
    <w:p w14:paraId="17044ACE" w14:textId="77777777" w:rsidR="00CB66A7" w:rsidRPr="008E07F0" w:rsidRDefault="00CB66A7" w:rsidP="008E07F0">
      <w:pPr>
        <w:ind w:right="-1"/>
        <w:jc w:val="both"/>
        <w:rPr>
          <w:rFonts w:ascii="Verdana" w:hAnsi="Verdana" w:cs="Calibri"/>
          <w:sz w:val="18"/>
          <w:szCs w:val="18"/>
        </w:rPr>
      </w:pPr>
    </w:p>
    <w:p w14:paraId="3304D3ED" w14:textId="6A6AEEA0" w:rsidR="00797A12" w:rsidRPr="008E07F0" w:rsidRDefault="00CB66A7" w:rsidP="008E07F0">
      <w:pPr>
        <w:ind w:right="-1"/>
        <w:jc w:val="both"/>
        <w:rPr>
          <w:rFonts w:ascii="Verdana" w:hAnsi="Verdana" w:cs="Calibri"/>
          <w:sz w:val="18"/>
          <w:szCs w:val="18"/>
        </w:rPr>
      </w:pPr>
      <w:r w:rsidRPr="008E07F0">
        <w:rPr>
          <w:rFonts w:ascii="Verdana" w:hAnsi="Verdana" w:cs="Calibri"/>
          <w:sz w:val="18"/>
          <w:szCs w:val="18"/>
        </w:rPr>
        <w:t xml:space="preserve">In urban </w:t>
      </w:r>
      <w:proofErr w:type="spellStart"/>
      <w:r w:rsidRPr="008E07F0">
        <w:rPr>
          <w:rFonts w:ascii="Verdana" w:hAnsi="Verdana" w:cs="Calibri"/>
          <w:sz w:val="18"/>
          <w:szCs w:val="18"/>
        </w:rPr>
        <w:t>Lemesos</w:t>
      </w:r>
      <w:proofErr w:type="spellEnd"/>
      <w:r w:rsidRPr="008E07F0">
        <w:rPr>
          <w:rFonts w:ascii="Verdana" w:hAnsi="Verdana" w:cs="Calibri"/>
          <w:sz w:val="18"/>
          <w:szCs w:val="18"/>
        </w:rPr>
        <w:t xml:space="preserve">, the municipality with the largest percentage increase compared to 2011 was </w:t>
      </w:r>
      <w:proofErr w:type="spellStart"/>
      <w:r w:rsidRPr="008E07F0">
        <w:rPr>
          <w:rFonts w:ascii="Verdana" w:hAnsi="Verdana" w:cs="Calibri"/>
          <w:sz w:val="18"/>
          <w:szCs w:val="18"/>
        </w:rPr>
        <w:t>Germasogeia</w:t>
      </w:r>
      <w:proofErr w:type="spellEnd"/>
      <w:r w:rsidRPr="008E07F0">
        <w:rPr>
          <w:rFonts w:ascii="Verdana" w:hAnsi="Verdana" w:cs="Calibri"/>
          <w:sz w:val="18"/>
          <w:szCs w:val="18"/>
        </w:rPr>
        <w:t xml:space="preserve"> Municipality, both in housing units and population, with 35,6% and 29,1% respectively (11.254 housing units and 17.325 persons). A significant increase in urban </w:t>
      </w:r>
      <w:proofErr w:type="spellStart"/>
      <w:r w:rsidRPr="008E07F0">
        <w:rPr>
          <w:rFonts w:ascii="Verdana" w:hAnsi="Verdana" w:cs="Calibri"/>
          <w:sz w:val="18"/>
          <w:szCs w:val="18"/>
        </w:rPr>
        <w:t>Lemesos</w:t>
      </w:r>
      <w:proofErr w:type="spellEnd"/>
      <w:r w:rsidRPr="008E07F0">
        <w:rPr>
          <w:rFonts w:ascii="Verdana" w:hAnsi="Verdana" w:cs="Calibri"/>
          <w:sz w:val="18"/>
          <w:szCs w:val="18"/>
        </w:rPr>
        <w:t xml:space="preserve"> was </w:t>
      </w:r>
      <w:r w:rsidR="00261CFE" w:rsidRPr="008E07F0">
        <w:rPr>
          <w:rFonts w:ascii="Verdana" w:hAnsi="Verdana" w:cs="Calibri"/>
          <w:sz w:val="18"/>
          <w:szCs w:val="18"/>
        </w:rPr>
        <w:t xml:space="preserve">also </w:t>
      </w:r>
      <w:r w:rsidRPr="008E07F0">
        <w:rPr>
          <w:rFonts w:ascii="Verdana" w:hAnsi="Verdana" w:cs="Calibri"/>
          <w:sz w:val="18"/>
          <w:szCs w:val="18"/>
        </w:rPr>
        <w:t xml:space="preserve">recorded in </w:t>
      </w:r>
      <w:proofErr w:type="spellStart"/>
      <w:r w:rsidRPr="008E07F0">
        <w:rPr>
          <w:rFonts w:ascii="Verdana" w:hAnsi="Verdana" w:cs="Calibri"/>
          <w:sz w:val="18"/>
          <w:szCs w:val="18"/>
        </w:rPr>
        <w:t>Ypsonas</w:t>
      </w:r>
      <w:proofErr w:type="spellEnd"/>
      <w:r w:rsidRPr="008E07F0">
        <w:rPr>
          <w:rFonts w:ascii="Verdana" w:hAnsi="Verdana" w:cs="Calibri"/>
          <w:sz w:val="18"/>
          <w:szCs w:val="18"/>
        </w:rPr>
        <w:t xml:space="preserve"> Municipality with a 31,5% increase in housing units and a 25,6% increase in the population (4.968 housing units and 13.966 persons). </w:t>
      </w:r>
    </w:p>
    <w:p w14:paraId="5B42F101" w14:textId="77777777" w:rsidR="00797A12" w:rsidRPr="008E07F0" w:rsidRDefault="00797A12" w:rsidP="008E07F0">
      <w:pPr>
        <w:ind w:right="-1"/>
        <w:jc w:val="both"/>
        <w:rPr>
          <w:rFonts w:ascii="Verdana" w:hAnsi="Verdana" w:cs="Calibri"/>
          <w:sz w:val="18"/>
          <w:szCs w:val="18"/>
        </w:rPr>
      </w:pPr>
    </w:p>
    <w:p w14:paraId="32249F43" w14:textId="58E52BFF" w:rsidR="00797A12" w:rsidRPr="008E07F0" w:rsidRDefault="00CB66A7" w:rsidP="008E07F0">
      <w:pPr>
        <w:ind w:right="-1"/>
        <w:jc w:val="both"/>
        <w:rPr>
          <w:rFonts w:ascii="Verdana" w:hAnsi="Verdana" w:cs="Calibri"/>
          <w:sz w:val="18"/>
          <w:szCs w:val="18"/>
        </w:rPr>
      </w:pPr>
      <w:r w:rsidRPr="008E07F0">
        <w:rPr>
          <w:rFonts w:ascii="Verdana" w:hAnsi="Verdana" w:cs="Calibri"/>
          <w:sz w:val="18"/>
          <w:szCs w:val="18"/>
        </w:rPr>
        <w:t xml:space="preserve">In </w:t>
      </w:r>
      <w:proofErr w:type="spellStart"/>
      <w:r w:rsidRPr="008E07F0">
        <w:rPr>
          <w:rFonts w:ascii="Verdana" w:hAnsi="Verdana" w:cs="Calibri"/>
          <w:sz w:val="18"/>
          <w:szCs w:val="18"/>
        </w:rPr>
        <w:t>Larnaka</w:t>
      </w:r>
      <w:proofErr w:type="spellEnd"/>
      <w:r w:rsidRPr="008E07F0">
        <w:rPr>
          <w:rFonts w:ascii="Verdana" w:hAnsi="Verdana" w:cs="Calibri"/>
          <w:sz w:val="18"/>
          <w:szCs w:val="18"/>
        </w:rPr>
        <w:t xml:space="preserve"> district, the largest municipality according to the 2021 Census was </w:t>
      </w:r>
      <w:proofErr w:type="spellStart"/>
      <w:r w:rsidRPr="008E07F0">
        <w:rPr>
          <w:rFonts w:ascii="Verdana" w:hAnsi="Verdana" w:cs="Calibri"/>
          <w:sz w:val="18"/>
          <w:szCs w:val="18"/>
        </w:rPr>
        <w:t>Larnaka</w:t>
      </w:r>
      <w:proofErr w:type="spellEnd"/>
      <w:r w:rsidRPr="008E07F0">
        <w:rPr>
          <w:rFonts w:ascii="Verdana" w:hAnsi="Verdana" w:cs="Calibri"/>
          <w:sz w:val="18"/>
          <w:szCs w:val="18"/>
        </w:rPr>
        <w:t xml:space="preserve"> Municipality with 29.545 housing units and </w:t>
      </w:r>
      <w:r w:rsidR="00575645" w:rsidRPr="008E07F0">
        <w:rPr>
          <w:rFonts w:ascii="Verdana" w:hAnsi="Verdana" w:cs="Calibri"/>
          <w:sz w:val="18"/>
          <w:szCs w:val="18"/>
        </w:rPr>
        <w:t xml:space="preserve">a </w:t>
      </w:r>
      <w:r w:rsidRPr="008E07F0">
        <w:rPr>
          <w:rFonts w:ascii="Verdana" w:hAnsi="Verdana" w:cs="Calibri"/>
          <w:sz w:val="18"/>
          <w:szCs w:val="18"/>
        </w:rPr>
        <w:t>population</w:t>
      </w:r>
      <w:r w:rsidR="00575645" w:rsidRPr="008E07F0">
        <w:rPr>
          <w:rFonts w:ascii="Verdana" w:hAnsi="Verdana" w:cs="Calibri"/>
          <w:sz w:val="18"/>
          <w:szCs w:val="18"/>
        </w:rPr>
        <w:t xml:space="preserve"> of</w:t>
      </w:r>
      <w:r w:rsidRPr="008E07F0">
        <w:rPr>
          <w:rFonts w:ascii="Verdana" w:hAnsi="Verdana" w:cs="Calibri"/>
          <w:sz w:val="18"/>
          <w:szCs w:val="18"/>
        </w:rPr>
        <w:t xml:space="preserve"> 52.038 persons. Consequently, </w:t>
      </w:r>
      <w:proofErr w:type="spellStart"/>
      <w:r w:rsidRPr="008E07F0">
        <w:rPr>
          <w:rFonts w:ascii="Verdana" w:hAnsi="Verdana" w:cs="Calibri"/>
          <w:sz w:val="18"/>
          <w:szCs w:val="18"/>
        </w:rPr>
        <w:t>Larnaka</w:t>
      </w:r>
      <w:proofErr w:type="spellEnd"/>
      <w:r w:rsidRPr="008E07F0">
        <w:rPr>
          <w:rFonts w:ascii="Verdana" w:hAnsi="Verdana" w:cs="Calibri"/>
          <w:sz w:val="18"/>
          <w:szCs w:val="18"/>
        </w:rPr>
        <w:t xml:space="preserve"> </w:t>
      </w:r>
      <w:r w:rsidR="00774EA3" w:rsidRPr="008E07F0">
        <w:rPr>
          <w:rFonts w:ascii="Verdana" w:hAnsi="Verdana" w:cs="Calibri"/>
          <w:sz w:val="18"/>
          <w:szCs w:val="18"/>
        </w:rPr>
        <w:t xml:space="preserve">Municipality constitutes 66,3% of the total number of housing units in urban </w:t>
      </w:r>
      <w:proofErr w:type="spellStart"/>
      <w:r w:rsidR="00774EA3" w:rsidRPr="008E07F0">
        <w:rPr>
          <w:rFonts w:ascii="Verdana" w:hAnsi="Verdana" w:cs="Calibri"/>
          <w:sz w:val="18"/>
          <w:szCs w:val="18"/>
        </w:rPr>
        <w:t>Larnaka</w:t>
      </w:r>
      <w:proofErr w:type="spellEnd"/>
      <w:r w:rsidR="00774EA3" w:rsidRPr="008E07F0">
        <w:rPr>
          <w:rFonts w:ascii="Verdana" w:hAnsi="Verdana" w:cs="Calibri"/>
          <w:sz w:val="18"/>
          <w:szCs w:val="18"/>
        </w:rPr>
        <w:t xml:space="preserve"> and 57,</w:t>
      </w:r>
      <w:r w:rsidR="00916426" w:rsidRPr="008E07F0">
        <w:rPr>
          <w:rFonts w:ascii="Verdana" w:hAnsi="Verdana" w:cs="Calibri"/>
          <w:sz w:val="18"/>
          <w:szCs w:val="18"/>
        </w:rPr>
        <w:t>6</w:t>
      </w:r>
      <w:r w:rsidR="00774EA3" w:rsidRPr="008E07F0">
        <w:rPr>
          <w:rFonts w:ascii="Verdana" w:hAnsi="Verdana" w:cs="Calibri"/>
          <w:sz w:val="18"/>
          <w:szCs w:val="18"/>
        </w:rPr>
        <w:t>% of the corresponding population.</w:t>
      </w:r>
    </w:p>
    <w:p w14:paraId="41FE9665" w14:textId="77777777" w:rsidR="00797A12" w:rsidRPr="008E07F0" w:rsidRDefault="00797A12" w:rsidP="008E07F0">
      <w:pPr>
        <w:ind w:right="-1"/>
        <w:jc w:val="both"/>
        <w:rPr>
          <w:rFonts w:ascii="Verdana" w:hAnsi="Verdana" w:cs="Calibri"/>
          <w:sz w:val="18"/>
          <w:szCs w:val="18"/>
        </w:rPr>
      </w:pPr>
    </w:p>
    <w:p w14:paraId="4BE81E7B" w14:textId="60001D32" w:rsidR="00797A12" w:rsidRPr="008E07F0" w:rsidRDefault="007A03BE" w:rsidP="008E07F0">
      <w:pPr>
        <w:ind w:right="-1"/>
        <w:jc w:val="both"/>
        <w:rPr>
          <w:rFonts w:ascii="Verdana" w:hAnsi="Verdana" w:cs="Calibri"/>
          <w:sz w:val="18"/>
          <w:szCs w:val="18"/>
        </w:rPr>
      </w:pPr>
      <w:proofErr w:type="spellStart"/>
      <w:r w:rsidRPr="008E07F0">
        <w:rPr>
          <w:rFonts w:ascii="Verdana" w:hAnsi="Verdana" w:cs="Calibri"/>
          <w:sz w:val="18"/>
          <w:szCs w:val="18"/>
        </w:rPr>
        <w:t>Pafos</w:t>
      </w:r>
      <w:proofErr w:type="spellEnd"/>
      <w:r w:rsidRPr="008E07F0">
        <w:rPr>
          <w:rFonts w:ascii="Verdana" w:hAnsi="Verdana" w:cs="Calibri"/>
          <w:sz w:val="18"/>
          <w:szCs w:val="18"/>
        </w:rPr>
        <w:t xml:space="preserve"> Municipality is the largest municipality in </w:t>
      </w:r>
      <w:proofErr w:type="spellStart"/>
      <w:r w:rsidRPr="008E07F0">
        <w:rPr>
          <w:rFonts w:ascii="Verdana" w:hAnsi="Verdana" w:cs="Calibri"/>
          <w:sz w:val="18"/>
          <w:szCs w:val="18"/>
        </w:rPr>
        <w:t>Pafos</w:t>
      </w:r>
      <w:proofErr w:type="spellEnd"/>
      <w:r w:rsidRPr="008E07F0">
        <w:rPr>
          <w:rFonts w:ascii="Verdana" w:hAnsi="Verdana" w:cs="Calibri"/>
          <w:sz w:val="18"/>
          <w:szCs w:val="18"/>
        </w:rPr>
        <w:t xml:space="preserve"> district, with a total of 24.003 housing units and </w:t>
      </w:r>
      <w:r w:rsidR="00575645" w:rsidRPr="008E07F0">
        <w:rPr>
          <w:rFonts w:ascii="Verdana" w:hAnsi="Verdana" w:cs="Calibri"/>
          <w:sz w:val="18"/>
          <w:szCs w:val="18"/>
        </w:rPr>
        <w:t xml:space="preserve">a </w:t>
      </w:r>
      <w:r w:rsidRPr="008E07F0">
        <w:rPr>
          <w:rFonts w:ascii="Verdana" w:hAnsi="Verdana" w:cs="Calibri"/>
          <w:sz w:val="18"/>
          <w:szCs w:val="18"/>
        </w:rPr>
        <w:t>population</w:t>
      </w:r>
      <w:r w:rsidR="00575645" w:rsidRPr="008E07F0">
        <w:rPr>
          <w:rFonts w:ascii="Verdana" w:hAnsi="Verdana" w:cs="Calibri"/>
          <w:sz w:val="18"/>
          <w:szCs w:val="18"/>
        </w:rPr>
        <w:t xml:space="preserve"> of</w:t>
      </w:r>
      <w:r w:rsidRPr="008E07F0">
        <w:rPr>
          <w:rFonts w:ascii="Verdana" w:hAnsi="Verdana" w:cs="Calibri"/>
          <w:sz w:val="18"/>
          <w:szCs w:val="18"/>
        </w:rPr>
        <w:t xml:space="preserve"> 37.297 persons, which constitutes 54,</w:t>
      </w:r>
      <w:r w:rsidR="00916426" w:rsidRPr="008E07F0">
        <w:rPr>
          <w:rFonts w:ascii="Verdana" w:hAnsi="Verdana" w:cs="Calibri"/>
          <w:sz w:val="18"/>
          <w:szCs w:val="18"/>
        </w:rPr>
        <w:t>4</w:t>
      </w:r>
      <w:r w:rsidRPr="008E07F0">
        <w:rPr>
          <w:rFonts w:ascii="Verdana" w:hAnsi="Verdana" w:cs="Calibri"/>
          <w:sz w:val="18"/>
          <w:szCs w:val="18"/>
        </w:rPr>
        <w:t>% of the total number of housing units and 5</w:t>
      </w:r>
      <w:r w:rsidR="00916426" w:rsidRPr="008E07F0">
        <w:rPr>
          <w:rFonts w:ascii="Verdana" w:hAnsi="Verdana" w:cs="Calibri"/>
          <w:sz w:val="18"/>
          <w:szCs w:val="18"/>
        </w:rPr>
        <w:t>2</w:t>
      </w:r>
      <w:r w:rsidRPr="008E07F0">
        <w:rPr>
          <w:rFonts w:ascii="Verdana" w:hAnsi="Verdana" w:cs="Calibri"/>
          <w:sz w:val="18"/>
          <w:szCs w:val="18"/>
        </w:rPr>
        <w:t>,</w:t>
      </w:r>
      <w:r w:rsidR="00916426" w:rsidRPr="008E07F0">
        <w:rPr>
          <w:rFonts w:ascii="Verdana" w:hAnsi="Verdana" w:cs="Calibri"/>
          <w:sz w:val="18"/>
          <w:szCs w:val="18"/>
        </w:rPr>
        <w:t>8</w:t>
      </w:r>
      <w:r w:rsidRPr="008E07F0">
        <w:rPr>
          <w:rFonts w:ascii="Verdana" w:hAnsi="Verdana" w:cs="Calibri"/>
          <w:sz w:val="18"/>
          <w:szCs w:val="18"/>
        </w:rPr>
        <w:t xml:space="preserve">% of the total population in urban </w:t>
      </w:r>
      <w:proofErr w:type="spellStart"/>
      <w:r w:rsidRPr="008E07F0">
        <w:rPr>
          <w:rFonts w:ascii="Verdana" w:hAnsi="Verdana" w:cs="Calibri"/>
          <w:sz w:val="18"/>
          <w:szCs w:val="18"/>
        </w:rPr>
        <w:t>Pafos</w:t>
      </w:r>
      <w:proofErr w:type="spellEnd"/>
      <w:r w:rsidRPr="008E07F0">
        <w:rPr>
          <w:rFonts w:ascii="Verdana" w:hAnsi="Verdana" w:cs="Calibri"/>
          <w:sz w:val="18"/>
          <w:szCs w:val="18"/>
        </w:rPr>
        <w:t xml:space="preserve">. </w:t>
      </w:r>
    </w:p>
    <w:p w14:paraId="7681DA98" w14:textId="77777777" w:rsidR="00797A12" w:rsidRPr="008E07F0" w:rsidRDefault="00797A12" w:rsidP="008E07F0">
      <w:pPr>
        <w:ind w:right="-1"/>
        <w:jc w:val="both"/>
        <w:rPr>
          <w:rFonts w:ascii="Verdana" w:hAnsi="Verdana" w:cs="Calibri"/>
          <w:sz w:val="18"/>
          <w:szCs w:val="18"/>
        </w:rPr>
      </w:pPr>
    </w:p>
    <w:p w14:paraId="7CDD01F5" w14:textId="131705F7" w:rsidR="007A03BE" w:rsidRPr="008E07F0" w:rsidRDefault="007A03BE" w:rsidP="008E07F0">
      <w:pPr>
        <w:ind w:right="-1"/>
        <w:jc w:val="both"/>
        <w:rPr>
          <w:rFonts w:ascii="Verdana" w:hAnsi="Verdana" w:cs="Calibri"/>
          <w:sz w:val="18"/>
          <w:szCs w:val="18"/>
        </w:rPr>
      </w:pPr>
      <w:r w:rsidRPr="008E07F0">
        <w:rPr>
          <w:rFonts w:ascii="Verdana" w:hAnsi="Verdana" w:cs="Calibri"/>
          <w:sz w:val="18"/>
          <w:szCs w:val="18"/>
        </w:rPr>
        <w:t xml:space="preserve">In </w:t>
      </w:r>
      <w:proofErr w:type="spellStart"/>
      <w:r w:rsidRPr="008E07F0">
        <w:rPr>
          <w:rFonts w:ascii="Verdana" w:hAnsi="Verdana" w:cs="Calibri"/>
          <w:sz w:val="18"/>
          <w:szCs w:val="18"/>
        </w:rPr>
        <w:t>Ammochostos</w:t>
      </w:r>
      <w:proofErr w:type="spellEnd"/>
      <w:r w:rsidRPr="008E07F0">
        <w:rPr>
          <w:rFonts w:ascii="Verdana" w:hAnsi="Verdana" w:cs="Calibri"/>
          <w:sz w:val="18"/>
          <w:szCs w:val="18"/>
        </w:rPr>
        <w:t xml:space="preserve"> district, </w:t>
      </w:r>
      <w:proofErr w:type="spellStart"/>
      <w:r w:rsidRPr="008E07F0">
        <w:rPr>
          <w:rFonts w:ascii="Verdana" w:hAnsi="Verdana" w:cs="Calibri"/>
          <w:sz w:val="18"/>
          <w:szCs w:val="18"/>
        </w:rPr>
        <w:t>Paralimni</w:t>
      </w:r>
      <w:proofErr w:type="spellEnd"/>
      <w:r w:rsidRPr="008E07F0">
        <w:rPr>
          <w:rFonts w:ascii="Verdana" w:hAnsi="Verdana" w:cs="Calibri"/>
          <w:sz w:val="18"/>
          <w:szCs w:val="18"/>
        </w:rPr>
        <w:t xml:space="preserve"> Municipality with 20.45</w:t>
      </w:r>
      <w:r w:rsidR="00916426" w:rsidRPr="008E07F0">
        <w:rPr>
          <w:rFonts w:ascii="Verdana" w:hAnsi="Verdana" w:cs="Calibri"/>
          <w:sz w:val="18"/>
          <w:szCs w:val="18"/>
        </w:rPr>
        <w:t>0</w:t>
      </w:r>
      <w:r w:rsidRPr="008E07F0">
        <w:rPr>
          <w:rFonts w:ascii="Verdana" w:hAnsi="Verdana" w:cs="Calibri"/>
          <w:sz w:val="18"/>
          <w:szCs w:val="18"/>
        </w:rPr>
        <w:t xml:space="preserve"> housing units and 19.035 persons enumerated, constitutes 50,8% of the housing units and 35,1% of the population of the district. </w:t>
      </w:r>
    </w:p>
    <w:p w14:paraId="0F9F7B3B" w14:textId="77777777" w:rsidR="007A03BE" w:rsidRPr="008E07F0" w:rsidRDefault="007A03BE" w:rsidP="008E07F0">
      <w:pPr>
        <w:ind w:right="-1"/>
        <w:jc w:val="both"/>
        <w:rPr>
          <w:rFonts w:ascii="Verdana" w:hAnsi="Verdana" w:cs="Calibri"/>
          <w:sz w:val="18"/>
          <w:szCs w:val="18"/>
        </w:rPr>
      </w:pPr>
    </w:p>
    <w:p w14:paraId="53636813" w14:textId="2FE55261" w:rsidR="007A03BE" w:rsidRPr="008E07F0" w:rsidRDefault="007A03BE" w:rsidP="008E07F0">
      <w:pPr>
        <w:ind w:right="-1"/>
        <w:jc w:val="both"/>
        <w:rPr>
          <w:rFonts w:ascii="Verdana" w:hAnsi="Verdana" w:cs="Calibri"/>
          <w:sz w:val="18"/>
          <w:szCs w:val="18"/>
        </w:rPr>
      </w:pPr>
      <w:r w:rsidRPr="008E07F0">
        <w:rPr>
          <w:rFonts w:ascii="Verdana" w:hAnsi="Verdana" w:cs="Calibri"/>
          <w:sz w:val="18"/>
          <w:szCs w:val="18"/>
        </w:rPr>
        <w:t xml:space="preserve">Significant positive changes were recorded in other municipalities and communities in the 2021 Census, such as </w:t>
      </w:r>
      <w:proofErr w:type="spellStart"/>
      <w:r w:rsidRPr="008E07F0">
        <w:rPr>
          <w:rFonts w:ascii="Verdana" w:hAnsi="Verdana" w:cs="Calibri"/>
          <w:sz w:val="18"/>
          <w:szCs w:val="18"/>
        </w:rPr>
        <w:t>Pegeia</w:t>
      </w:r>
      <w:proofErr w:type="spellEnd"/>
      <w:r w:rsidRPr="008E07F0">
        <w:rPr>
          <w:rFonts w:ascii="Verdana" w:hAnsi="Verdana" w:cs="Calibri"/>
          <w:sz w:val="18"/>
          <w:szCs w:val="18"/>
        </w:rPr>
        <w:t xml:space="preserve"> Municipality, </w:t>
      </w:r>
      <w:proofErr w:type="spellStart"/>
      <w:r w:rsidRPr="008E07F0">
        <w:rPr>
          <w:rFonts w:ascii="Verdana" w:hAnsi="Verdana" w:cs="Calibri"/>
          <w:sz w:val="18"/>
          <w:szCs w:val="18"/>
        </w:rPr>
        <w:t>Agia</w:t>
      </w:r>
      <w:proofErr w:type="spellEnd"/>
      <w:r w:rsidRPr="008E07F0">
        <w:rPr>
          <w:rFonts w:ascii="Verdana" w:hAnsi="Verdana" w:cs="Calibri"/>
          <w:sz w:val="18"/>
          <w:szCs w:val="18"/>
        </w:rPr>
        <w:t xml:space="preserve"> Napa Municipality and the communities of </w:t>
      </w:r>
      <w:proofErr w:type="spellStart"/>
      <w:r w:rsidRPr="008E07F0">
        <w:rPr>
          <w:rFonts w:ascii="Verdana" w:hAnsi="Verdana" w:cs="Calibri"/>
          <w:sz w:val="18"/>
          <w:szCs w:val="18"/>
        </w:rPr>
        <w:t>Pyla</w:t>
      </w:r>
      <w:proofErr w:type="spellEnd"/>
      <w:r w:rsidRPr="008E07F0">
        <w:rPr>
          <w:rFonts w:ascii="Verdana" w:hAnsi="Verdana" w:cs="Calibri"/>
          <w:sz w:val="18"/>
          <w:szCs w:val="18"/>
        </w:rPr>
        <w:t xml:space="preserve">, </w:t>
      </w:r>
      <w:proofErr w:type="spellStart"/>
      <w:r w:rsidRPr="008E07F0">
        <w:rPr>
          <w:rFonts w:ascii="Verdana" w:hAnsi="Verdana" w:cs="Calibri"/>
          <w:sz w:val="18"/>
          <w:szCs w:val="18"/>
        </w:rPr>
        <w:t>Voroklini</w:t>
      </w:r>
      <w:proofErr w:type="spellEnd"/>
      <w:r w:rsidRPr="008E07F0">
        <w:rPr>
          <w:rFonts w:ascii="Verdana" w:hAnsi="Verdana" w:cs="Calibri"/>
          <w:sz w:val="18"/>
          <w:szCs w:val="18"/>
        </w:rPr>
        <w:t xml:space="preserve"> and Chlorakas. </w:t>
      </w:r>
    </w:p>
    <w:p w14:paraId="7EBF65F0" w14:textId="77777777" w:rsidR="00797A12" w:rsidRDefault="00797A12" w:rsidP="008E07F0">
      <w:pPr>
        <w:ind w:right="-1"/>
        <w:jc w:val="both"/>
        <w:rPr>
          <w:rFonts w:ascii="Verdana" w:hAnsi="Verdana" w:cs="Calibri"/>
          <w:sz w:val="18"/>
          <w:szCs w:val="18"/>
        </w:rPr>
      </w:pPr>
    </w:p>
    <w:p w14:paraId="41EA6DC9" w14:textId="77777777" w:rsidR="008E07F0" w:rsidRPr="008E07F0" w:rsidRDefault="008E07F0" w:rsidP="008E07F0">
      <w:pPr>
        <w:ind w:right="-1"/>
        <w:jc w:val="both"/>
        <w:rPr>
          <w:rFonts w:ascii="Verdana" w:hAnsi="Verdana" w:cs="Calibri"/>
          <w:sz w:val="18"/>
          <w:szCs w:val="18"/>
        </w:rPr>
      </w:pPr>
    </w:p>
    <w:p w14:paraId="628C709B" w14:textId="28D70F3E" w:rsidR="007A03BE" w:rsidRPr="008E07F0" w:rsidRDefault="007A03BE" w:rsidP="008E07F0">
      <w:pPr>
        <w:ind w:right="-1"/>
        <w:jc w:val="both"/>
        <w:rPr>
          <w:rFonts w:ascii="Verdana" w:hAnsi="Verdana" w:cs="Calibri"/>
          <w:sz w:val="18"/>
          <w:szCs w:val="18"/>
        </w:rPr>
      </w:pPr>
      <w:r w:rsidRPr="008E07F0">
        <w:rPr>
          <w:rFonts w:ascii="Verdana" w:hAnsi="Verdana" w:cs="Calibri"/>
          <w:sz w:val="18"/>
          <w:szCs w:val="18"/>
        </w:rPr>
        <w:t>The Statistical Service will be able to provide more detailed information at a later stage. The data which will be produced will be announced and published on the web</w:t>
      </w:r>
      <w:r w:rsidR="008E07F0">
        <w:rPr>
          <w:rFonts w:ascii="Verdana" w:hAnsi="Verdana" w:cs="Calibri"/>
          <w:sz w:val="18"/>
          <w:szCs w:val="18"/>
        </w:rPr>
        <w:t xml:space="preserve"> Portal</w:t>
      </w:r>
      <w:r w:rsidRPr="008E07F0">
        <w:rPr>
          <w:rFonts w:ascii="Verdana" w:hAnsi="Verdana" w:cs="Calibri"/>
          <w:sz w:val="18"/>
          <w:szCs w:val="18"/>
        </w:rPr>
        <w:t xml:space="preserve"> of the Statistical Service. </w:t>
      </w:r>
    </w:p>
    <w:p w14:paraId="6C0BD767" w14:textId="77777777" w:rsidR="00797A12" w:rsidRPr="008E07F0" w:rsidRDefault="00797A12" w:rsidP="008E07F0">
      <w:pPr>
        <w:ind w:right="-1"/>
        <w:jc w:val="both"/>
        <w:rPr>
          <w:rFonts w:ascii="Verdana" w:hAnsi="Verdana" w:cs="Calibri"/>
          <w:sz w:val="18"/>
          <w:szCs w:val="18"/>
        </w:rPr>
      </w:pPr>
    </w:p>
    <w:p w14:paraId="1D536A8E" w14:textId="77777777" w:rsidR="00797A12" w:rsidRPr="008E07F0" w:rsidRDefault="00797A12" w:rsidP="008E07F0">
      <w:pPr>
        <w:ind w:right="-1"/>
        <w:jc w:val="both"/>
        <w:rPr>
          <w:rFonts w:ascii="Verdana" w:hAnsi="Verdana" w:cs="Calibri"/>
          <w:sz w:val="18"/>
          <w:szCs w:val="18"/>
        </w:rPr>
      </w:pPr>
    </w:p>
    <w:p w14:paraId="0D8AE219" w14:textId="59BFB3A1" w:rsidR="007A03BE" w:rsidRPr="008E07F0" w:rsidRDefault="007A03BE" w:rsidP="008E07F0">
      <w:pPr>
        <w:ind w:right="-1"/>
        <w:jc w:val="both"/>
        <w:rPr>
          <w:rFonts w:ascii="Verdana" w:hAnsi="Verdana" w:cs="Calibri"/>
          <w:b/>
          <w:bCs/>
          <w:i/>
          <w:iCs/>
          <w:sz w:val="18"/>
          <w:szCs w:val="18"/>
        </w:rPr>
      </w:pPr>
      <w:r w:rsidRPr="008E07F0">
        <w:rPr>
          <w:rFonts w:ascii="Verdana" w:hAnsi="Verdana" w:cs="Calibri"/>
          <w:b/>
          <w:bCs/>
          <w:i/>
          <w:iCs/>
          <w:sz w:val="18"/>
          <w:szCs w:val="18"/>
        </w:rPr>
        <w:t xml:space="preserve">The Statistical Service would like to express its sincere appreciation to all citizens for providing the required information and would like to assure them that all data recorded in the questionnaires as well as the information processed from administrative sources, will be treated as confidential and will be used solely for statistical purposes. </w:t>
      </w:r>
    </w:p>
    <w:p w14:paraId="241084D8" w14:textId="77777777" w:rsidR="007A03BE" w:rsidRPr="008E07F0" w:rsidRDefault="007A03BE" w:rsidP="008E07F0">
      <w:pPr>
        <w:ind w:right="-1"/>
        <w:jc w:val="both"/>
        <w:rPr>
          <w:rFonts w:ascii="Verdana" w:hAnsi="Verdana" w:cs="Calibri"/>
          <w:b/>
          <w:bCs/>
          <w:i/>
          <w:iCs/>
          <w:sz w:val="18"/>
          <w:szCs w:val="18"/>
        </w:rPr>
      </w:pPr>
    </w:p>
    <w:p w14:paraId="02CA089C" w14:textId="77777777" w:rsidR="007A03BE" w:rsidRPr="008E07F0" w:rsidRDefault="007A03BE" w:rsidP="008E07F0">
      <w:pPr>
        <w:jc w:val="center"/>
        <w:rPr>
          <w:rFonts w:ascii="Verdana" w:hAnsi="Verdana" w:cs="Calibri"/>
          <w:b/>
          <w:bCs/>
          <w:sz w:val="18"/>
          <w:szCs w:val="18"/>
          <w:u w:val="single"/>
        </w:rPr>
      </w:pPr>
    </w:p>
    <w:p w14:paraId="4CFC5B79" w14:textId="77777777" w:rsidR="00982724" w:rsidRPr="008E07F0" w:rsidRDefault="00982724" w:rsidP="008E07F0">
      <w:pPr>
        <w:jc w:val="center"/>
        <w:rPr>
          <w:rFonts w:ascii="Verdana" w:hAnsi="Verdana" w:cs="Calibri"/>
          <w:b/>
          <w:bCs/>
          <w:sz w:val="18"/>
          <w:szCs w:val="18"/>
          <w:u w:val="single"/>
        </w:rPr>
      </w:pPr>
    </w:p>
    <w:p w14:paraId="355A21C6" w14:textId="77777777" w:rsidR="00982724" w:rsidRPr="008E07F0" w:rsidRDefault="00982724" w:rsidP="008E07F0">
      <w:pPr>
        <w:jc w:val="center"/>
        <w:rPr>
          <w:rFonts w:ascii="Verdana" w:hAnsi="Verdana" w:cs="Calibri"/>
          <w:b/>
          <w:bCs/>
          <w:sz w:val="18"/>
          <w:szCs w:val="18"/>
          <w:u w:val="single"/>
        </w:rPr>
      </w:pPr>
    </w:p>
    <w:p w14:paraId="548487DF" w14:textId="77777777" w:rsidR="00982724" w:rsidRPr="008E07F0" w:rsidRDefault="00982724" w:rsidP="008E07F0">
      <w:pPr>
        <w:jc w:val="center"/>
        <w:rPr>
          <w:rFonts w:ascii="Verdana" w:hAnsi="Verdana" w:cs="Calibri"/>
          <w:b/>
          <w:bCs/>
          <w:sz w:val="18"/>
          <w:szCs w:val="18"/>
          <w:u w:val="single"/>
        </w:rPr>
      </w:pPr>
    </w:p>
    <w:p w14:paraId="4493DDF7" w14:textId="77777777" w:rsidR="00982724" w:rsidRPr="008E07F0" w:rsidRDefault="00982724" w:rsidP="008E07F0">
      <w:pPr>
        <w:jc w:val="center"/>
        <w:rPr>
          <w:rFonts w:ascii="Verdana" w:hAnsi="Verdana" w:cs="Calibri"/>
          <w:b/>
          <w:bCs/>
          <w:sz w:val="18"/>
          <w:szCs w:val="18"/>
          <w:u w:val="single"/>
        </w:rPr>
      </w:pPr>
    </w:p>
    <w:p w14:paraId="4694D4A1" w14:textId="77777777" w:rsidR="00982724" w:rsidRPr="008E07F0" w:rsidRDefault="00982724" w:rsidP="008E07F0">
      <w:pPr>
        <w:jc w:val="center"/>
        <w:rPr>
          <w:rFonts w:ascii="Verdana" w:hAnsi="Verdana" w:cs="Calibri"/>
          <w:b/>
          <w:bCs/>
          <w:sz w:val="18"/>
          <w:szCs w:val="18"/>
          <w:u w:val="single"/>
        </w:rPr>
      </w:pPr>
    </w:p>
    <w:p w14:paraId="6950CD39" w14:textId="77777777" w:rsidR="00982724" w:rsidRPr="008E07F0" w:rsidRDefault="00982724" w:rsidP="008E07F0">
      <w:pPr>
        <w:jc w:val="center"/>
        <w:rPr>
          <w:rFonts w:ascii="Verdana" w:hAnsi="Verdana" w:cs="Calibri"/>
          <w:b/>
          <w:bCs/>
          <w:sz w:val="18"/>
          <w:szCs w:val="18"/>
          <w:u w:val="single"/>
        </w:rPr>
      </w:pPr>
    </w:p>
    <w:p w14:paraId="6DF5A293" w14:textId="77777777" w:rsidR="00982724" w:rsidRPr="008E07F0" w:rsidRDefault="00982724" w:rsidP="008E07F0">
      <w:pPr>
        <w:jc w:val="center"/>
        <w:rPr>
          <w:rFonts w:ascii="Verdana" w:hAnsi="Verdana" w:cs="Calibri"/>
          <w:b/>
          <w:bCs/>
          <w:sz w:val="18"/>
          <w:szCs w:val="18"/>
          <w:u w:val="single"/>
        </w:rPr>
      </w:pPr>
    </w:p>
    <w:p w14:paraId="346F5F4D" w14:textId="77777777" w:rsidR="00982724" w:rsidRPr="008E07F0" w:rsidRDefault="00982724" w:rsidP="008E07F0">
      <w:pPr>
        <w:jc w:val="center"/>
        <w:rPr>
          <w:rFonts w:ascii="Verdana" w:hAnsi="Verdana" w:cs="Calibri"/>
          <w:b/>
          <w:bCs/>
          <w:sz w:val="18"/>
          <w:szCs w:val="18"/>
          <w:u w:val="single"/>
        </w:rPr>
      </w:pPr>
    </w:p>
    <w:p w14:paraId="554642A4" w14:textId="77777777" w:rsidR="00982724" w:rsidRPr="008E07F0" w:rsidRDefault="00982724" w:rsidP="008E07F0">
      <w:pPr>
        <w:jc w:val="center"/>
        <w:rPr>
          <w:rFonts w:ascii="Verdana" w:hAnsi="Verdana" w:cs="Calibri"/>
          <w:b/>
          <w:bCs/>
          <w:sz w:val="18"/>
          <w:szCs w:val="18"/>
          <w:u w:val="single"/>
        </w:rPr>
      </w:pPr>
    </w:p>
    <w:p w14:paraId="194288F7" w14:textId="77777777" w:rsidR="00982724" w:rsidRPr="008E07F0" w:rsidRDefault="00982724" w:rsidP="008E07F0">
      <w:pPr>
        <w:jc w:val="center"/>
        <w:rPr>
          <w:rFonts w:ascii="Verdana" w:hAnsi="Verdana" w:cs="Calibri"/>
          <w:b/>
          <w:bCs/>
          <w:sz w:val="18"/>
          <w:szCs w:val="18"/>
          <w:u w:val="single"/>
        </w:rPr>
      </w:pPr>
    </w:p>
    <w:p w14:paraId="4A601580" w14:textId="77777777" w:rsidR="00982724" w:rsidRPr="008E07F0" w:rsidRDefault="00982724" w:rsidP="008E07F0">
      <w:pPr>
        <w:jc w:val="center"/>
        <w:rPr>
          <w:rFonts w:ascii="Verdana" w:hAnsi="Verdana" w:cs="Calibri"/>
          <w:b/>
          <w:bCs/>
          <w:sz w:val="18"/>
          <w:szCs w:val="18"/>
          <w:u w:val="single"/>
        </w:rPr>
      </w:pPr>
    </w:p>
    <w:p w14:paraId="38DB0963" w14:textId="77777777" w:rsidR="00982724" w:rsidRPr="008E07F0" w:rsidRDefault="00982724" w:rsidP="008E07F0">
      <w:pPr>
        <w:jc w:val="center"/>
        <w:rPr>
          <w:rFonts w:ascii="Verdana" w:hAnsi="Verdana" w:cs="Calibri"/>
          <w:b/>
          <w:bCs/>
          <w:sz w:val="18"/>
          <w:szCs w:val="18"/>
          <w:u w:val="single"/>
        </w:rPr>
      </w:pPr>
    </w:p>
    <w:p w14:paraId="20ADF631" w14:textId="77777777" w:rsidR="00982724" w:rsidRDefault="00982724" w:rsidP="008E07F0">
      <w:pPr>
        <w:jc w:val="center"/>
        <w:rPr>
          <w:rFonts w:ascii="Verdana" w:hAnsi="Verdana" w:cs="Calibri"/>
          <w:b/>
          <w:bCs/>
          <w:sz w:val="18"/>
          <w:szCs w:val="18"/>
          <w:u w:val="single"/>
        </w:rPr>
      </w:pPr>
    </w:p>
    <w:p w14:paraId="21EABB41" w14:textId="77777777" w:rsidR="00E53434" w:rsidRPr="008E07F0" w:rsidRDefault="00E53434" w:rsidP="008E07F0">
      <w:pPr>
        <w:jc w:val="center"/>
        <w:rPr>
          <w:rFonts w:ascii="Verdana" w:hAnsi="Verdana" w:cs="Calibri"/>
          <w:b/>
          <w:bCs/>
          <w:sz w:val="18"/>
          <w:szCs w:val="18"/>
          <w:u w:val="single"/>
        </w:rPr>
      </w:pPr>
    </w:p>
    <w:p w14:paraId="0E6BE0FE" w14:textId="77777777" w:rsidR="00982724" w:rsidRPr="008E07F0" w:rsidRDefault="00982724" w:rsidP="008E07F0">
      <w:pPr>
        <w:jc w:val="center"/>
        <w:rPr>
          <w:rFonts w:ascii="Verdana" w:hAnsi="Verdana" w:cs="Calibri"/>
          <w:b/>
          <w:bCs/>
          <w:sz w:val="18"/>
          <w:szCs w:val="18"/>
          <w:u w:val="single"/>
        </w:rPr>
      </w:pPr>
    </w:p>
    <w:p w14:paraId="1B9F79EF" w14:textId="77777777" w:rsidR="00982724" w:rsidRPr="008E07F0" w:rsidRDefault="00982724" w:rsidP="008E07F0">
      <w:pPr>
        <w:jc w:val="center"/>
        <w:rPr>
          <w:rFonts w:ascii="Verdana" w:hAnsi="Verdana" w:cs="Calibri"/>
          <w:b/>
          <w:bCs/>
          <w:sz w:val="18"/>
          <w:szCs w:val="18"/>
          <w:u w:val="single"/>
        </w:rPr>
      </w:pPr>
    </w:p>
    <w:p w14:paraId="66030C4D" w14:textId="77777777" w:rsidR="00982724" w:rsidRPr="008E07F0" w:rsidRDefault="00982724" w:rsidP="008E07F0">
      <w:pPr>
        <w:jc w:val="center"/>
        <w:rPr>
          <w:rFonts w:ascii="Verdana" w:hAnsi="Verdana" w:cs="Calibri"/>
          <w:b/>
          <w:bCs/>
          <w:sz w:val="18"/>
          <w:szCs w:val="18"/>
          <w:u w:val="single"/>
        </w:rPr>
      </w:pPr>
    </w:p>
    <w:p w14:paraId="6297CB14" w14:textId="77777777" w:rsidR="00982724" w:rsidRPr="008E07F0" w:rsidRDefault="00982724" w:rsidP="008E07F0">
      <w:pPr>
        <w:jc w:val="center"/>
        <w:rPr>
          <w:rFonts w:ascii="Verdana" w:hAnsi="Verdana" w:cs="Calibri"/>
          <w:b/>
          <w:bCs/>
          <w:sz w:val="18"/>
          <w:szCs w:val="18"/>
          <w:u w:val="single"/>
        </w:rPr>
      </w:pPr>
    </w:p>
    <w:p w14:paraId="241B1F0E" w14:textId="77777777" w:rsidR="007A03BE" w:rsidRDefault="007A03BE" w:rsidP="00377E68">
      <w:pPr>
        <w:jc w:val="both"/>
        <w:rPr>
          <w:rFonts w:ascii="Verdana" w:hAnsi="Verdana" w:cs="Calibri"/>
          <w:sz w:val="18"/>
          <w:szCs w:val="18"/>
        </w:rPr>
      </w:pPr>
    </w:p>
    <w:p w14:paraId="2BF8A254" w14:textId="77777777" w:rsidR="00377E68" w:rsidRDefault="00377E68" w:rsidP="00377E68">
      <w:pPr>
        <w:jc w:val="both"/>
        <w:rPr>
          <w:rFonts w:ascii="Verdana" w:hAnsi="Verdana" w:cs="Calibri"/>
          <w:sz w:val="18"/>
          <w:szCs w:val="18"/>
        </w:rPr>
      </w:pPr>
    </w:p>
    <w:p w14:paraId="2A739D24" w14:textId="77777777" w:rsidR="00377E68" w:rsidRDefault="00377E68" w:rsidP="00377E68">
      <w:pPr>
        <w:jc w:val="both"/>
        <w:rPr>
          <w:rFonts w:ascii="Verdana" w:hAnsi="Verdana" w:cs="Calibri"/>
          <w:sz w:val="18"/>
          <w:szCs w:val="18"/>
        </w:rPr>
      </w:pPr>
    </w:p>
    <w:p w14:paraId="78189B06" w14:textId="77777777" w:rsidR="00377E68" w:rsidRDefault="00377E68" w:rsidP="00377E68">
      <w:pPr>
        <w:jc w:val="both"/>
        <w:rPr>
          <w:rFonts w:ascii="Verdana" w:hAnsi="Verdana" w:cs="Calibri"/>
          <w:sz w:val="18"/>
          <w:szCs w:val="18"/>
        </w:rPr>
      </w:pPr>
    </w:p>
    <w:p w14:paraId="18D65051" w14:textId="77777777" w:rsidR="00377E68" w:rsidRPr="00377E68" w:rsidRDefault="00377E68" w:rsidP="00377E68">
      <w:pPr>
        <w:jc w:val="both"/>
        <w:rPr>
          <w:rFonts w:ascii="Verdana" w:hAnsi="Verdana" w:cs="Calibri"/>
          <w:sz w:val="18"/>
          <w:szCs w:val="18"/>
        </w:rPr>
      </w:pPr>
    </w:p>
    <w:p w14:paraId="27ABEC78" w14:textId="77777777" w:rsidR="00982724" w:rsidRPr="00377E68" w:rsidRDefault="00982724" w:rsidP="008E07F0">
      <w:pPr>
        <w:ind w:right="-1"/>
        <w:jc w:val="center"/>
        <w:rPr>
          <w:rFonts w:ascii="Verdana" w:hAnsi="Verdana" w:cs="Calibri"/>
          <w:b/>
          <w:bCs/>
          <w:u w:val="single"/>
        </w:rPr>
      </w:pPr>
      <w:r w:rsidRPr="00377E68">
        <w:rPr>
          <w:rFonts w:ascii="Verdana" w:hAnsi="Verdana" w:cs="Calibri"/>
          <w:b/>
          <w:bCs/>
          <w:u w:val="single"/>
        </w:rPr>
        <w:t>METHODOLOGICAL INFORMATION</w:t>
      </w:r>
    </w:p>
    <w:p w14:paraId="099B81C7" w14:textId="77777777" w:rsidR="00982724" w:rsidRPr="008E07F0" w:rsidRDefault="00982724" w:rsidP="008E07F0">
      <w:pPr>
        <w:suppressAutoHyphens/>
        <w:jc w:val="both"/>
        <w:rPr>
          <w:rFonts w:ascii="Verdana" w:hAnsi="Verdana" w:cs="Calibri"/>
          <w:sz w:val="18"/>
          <w:szCs w:val="18"/>
        </w:rPr>
      </w:pPr>
    </w:p>
    <w:p w14:paraId="2DCE5C07" w14:textId="7AFF0C81" w:rsidR="00982724" w:rsidRDefault="00982724" w:rsidP="008E07F0">
      <w:pPr>
        <w:jc w:val="both"/>
        <w:rPr>
          <w:rFonts w:ascii="Verdana" w:hAnsi="Verdana" w:cs="Calibri"/>
          <w:sz w:val="18"/>
          <w:szCs w:val="18"/>
          <w:u w:val="single"/>
        </w:rPr>
      </w:pPr>
      <w:r w:rsidRPr="008E07F0">
        <w:rPr>
          <w:rFonts w:ascii="Verdana" w:hAnsi="Verdana" w:cs="Calibri"/>
          <w:sz w:val="18"/>
          <w:szCs w:val="18"/>
        </w:rPr>
        <w:t xml:space="preserve">The purpose of the Census of Population and Housing 2021, was the complete and accurate geographical coverage of all housing units, institutions, households and individuals, Cypriot and foreign nationals, who had their usual residence in the Government controlled areas on the </w:t>
      </w:r>
      <w:r w:rsidRPr="008E07F0">
        <w:rPr>
          <w:rFonts w:ascii="Verdana" w:hAnsi="Verdana" w:cs="Calibri"/>
          <w:sz w:val="18"/>
          <w:szCs w:val="18"/>
          <w:u w:val="single"/>
        </w:rPr>
        <w:t>1</w:t>
      </w:r>
      <w:r w:rsidRPr="008E07F0">
        <w:rPr>
          <w:rFonts w:ascii="Verdana" w:hAnsi="Verdana" w:cs="Calibri"/>
          <w:sz w:val="18"/>
          <w:szCs w:val="18"/>
          <w:u w:val="single"/>
          <w:vertAlign w:val="superscript"/>
        </w:rPr>
        <w:t>st</w:t>
      </w:r>
      <w:r w:rsidRPr="008E07F0">
        <w:rPr>
          <w:rFonts w:ascii="Verdana" w:hAnsi="Verdana" w:cs="Calibri"/>
          <w:sz w:val="18"/>
          <w:szCs w:val="18"/>
          <w:u w:val="single"/>
        </w:rPr>
        <w:t xml:space="preserve"> of October 2021.</w:t>
      </w:r>
    </w:p>
    <w:p w14:paraId="20116A27" w14:textId="77777777" w:rsidR="00280E3E" w:rsidRPr="008E07F0" w:rsidRDefault="00280E3E" w:rsidP="008E07F0">
      <w:pPr>
        <w:jc w:val="both"/>
        <w:rPr>
          <w:rFonts w:ascii="Verdana" w:hAnsi="Verdana" w:cs="Calibri"/>
          <w:sz w:val="18"/>
          <w:szCs w:val="18"/>
        </w:rPr>
      </w:pPr>
    </w:p>
    <w:p w14:paraId="60AD3CE0" w14:textId="77777777" w:rsidR="00982724" w:rsidRDefault="00982724" w:rsidP="008E07F0">
      <w:pPr>
        <w:jc w:val="both"/>
        <w:rPr>
          <w:rFonts w:ascii="Verdana" w:hAnsi="Verdana" w:cs="Calibri"/>
          <w:sz w:val="18"/>
          <w:szCs w:val="18"/>
        </w:rPr>
      </w:pPr>
      <w:r w:rsidRPr="008E07F0">
        <w:rPr>
          <w:rFonts w:ascii="Verdana" w:hAnsi="Verdana" w:cs="Calibri"/>
          <w:sz w:val="18"/>
          <w:szCs w:val="18"/>
        </w:rPr>
        <w:t>The Census is an important source of information and of statistical data and is usually conducted at regular intervals of 10 years. It is the most costly and demanding project carried out by the Statistical Service. The last Census of Population was conducted in 2011.</w:t>
      </w:r>
    </w:p>
    <w:p w14:paraId="552F4E09" w14:textId="77777777" w:rsidR="00280E3E" w:rsidRPr="008E07F0" w:rsidRDefault="00280E3E" w:rsidP="008E07F0">
      <w:pPr>
        <w:jc w:val="both"/>
        <w:rPr>
          <w:rFonts w:ascii="Verdana" w:hAnsi="Verdana" w:cs="Calibri"/>
          <w:sz w:val="18"/>
          <w:szCs w:val="18"/>
        </w:rPr>
      </w:pPr>
    </w:p>
    <w:p w14:paraId="71055063" w14:textId="469B0CA7" w:rsidR="00982724" w:rsidRPr="008E07F0" w:rsidRDefault="00982724" w:rsidP="008E07F0">
      <w:pPr>
        <w:ind w:right="-1"/>
        <w:jc w:val="both"/>
        <w:rPr>
          <w:rFonts w:ascii="Verdana" w:hAnsi="Verdana" w:cs="Calibri"/>
          <w:sz w:val="18"/>
          <w:szCs w:val="18"/>
        </w:rPr>
      </w:pPr>
      <w:r w:rsidRPr="008E07F0">
        <w:rPr>
          <w:rFonts w:ascii="Verdana" w:hAnsi="Verdana" w:cs="Calibri"/>
          <w:sz w:val="18"/>
          <w:szCs w:val="18"/>
        </w:rPr>
        <w:t>Th</w:t>
      </w:r>
      <w:r w:rsidR="00261CFE" w:rsidRPr="008E07F0">
        <w:rPr>
          <w:rFonts w:ascii="Verdana" w:hAnsi="Verdana" w:cs="Calibri"/>
          <w:sz w:val="18"/>
          <w:szCs w:val="18"/>
        </w:rPr>
        <w:t>e present</w:t>
      </w:r>
      <w:r w:rsidRPr="008E07F0">
        <w:rPr>
          <w:rFonts w:ascii="Verdana" w:hAnsi="Verdana" w:cs="Calibri"/>
          <w:sz w:val="18"/>
          <w:szCs w:val="18"/>
        </w:rPr>
        <w:t xml:space="preserve"> press release presents provisional data which may be </w:t>
      </w:r>
      <w:r w:rsidR="002B6DE8" w:rsidRPr="008E07F0">
        <w:rPr>
          <w:rFonts w:ascii="Verdana" w:hAnsi="Verdana" w:cs="Calibri"/>
          <w:sz w:val="18"/>
          <w:szCs w:val="18"/>
        </w:rPr>
        <w:t>subject to minimal revisions</w:t>
      </w:r>
      <w:r w:rsidRPr="008E07F0">
        <w:rPr>
          <w:rFonts w:ascii="Verdana" w:hAnsi="Verdana" w:cs="Calibri"/>
          <w:sz w:val="18"/>
          <w:szCs w:val="18"/>
        </w:rPr>
        <w:t xml:space="preserve"> after the final processing and validation take place, procedures which are necessary for providing high-quality statistical information.</w:t>
      </w:r>
    </w:p>
    <w:p w14:paraId="73E9DF32" w14:textId="77777777" w:rsidR="00982724" w:rsidRPr="008E07F0" w:rsidRDefault="00982724" w:rsidP="008E07F0">
      <w:pPr>
        <w:ind w:right="-1"/>
        <w:jc w:val="both"/>
        <w:rPr>
          <w:rFonts w:ascii="Verdana" w:hAnsi="Verdana" w:cs="Calibri"/>
          <w:sz w:val="18"/>
          <w:szCs w:val="18"/>
        </w:rPr>
      </w:pPr>
    </w:p>
    <w:p w14:paraId="6E247D78" w14:textId="77777777" w:rsidR="00982724" w:rsidRPr="008E07F0" w:rsidRDefault="00982724" w:rsidP="008E07F0">
      <w:pPr>
        <w:ind w:right="-1"/>
        <w:jc w:val="both"/>
        <w:rPr>
          <w:rFonts w:ascii="Verdana" w:hAnsi="Verdana" w:cs="Calibri"/>
          <w:b/>
          <w:bCs/>
          <w:sz w:val="18"/>
          <w:szCs w:val="18"/>
          <w:u w:val="single"/>
        </w:rPr>
      </w:pPr>
      <w:r w:rsidRPr="008E07F0">
        <w:rPr>
          <w:rFonts w:ascii="Verdana" w:hAnsi="Verdana" w:cs="Calibri"/>
          <w:b/>
          <w:bCs/>
          <w:sz w:val="18"/>
          <w:szCs w:val="18"/>
          <w:u w:val="single"/>
        </w:rPr>
        <w:t>Data Collection Method</w:t>
      </w:r>
    </w:p>
    <w:p w14:paraId="08EE4BA0" w14:textId="77777777" w:rsidR="00982724" w:rsidRPr="008E07F0" w:rsidRDefault="00982724" w:rsidP="008E07F0">
      <w:pPr>
        <w:ind w:right="-1"/>
        <w:jc w:val="both"/>
        <w:rPr>
          <w:rFonts w:ascii="Verdana" w:hAnsi="Verdana" w:cs="Calibri"/>
          <w:b/>
          <w:bCs/>
          <w:sz w:val="18"/>
          <w:szCs w:val="18"/>
          <w:u w:val="single"/>
        </w:rPr>
      </w:pPr>
    </w:p>
    <w:p w14:paraId="38D7E34F" w14:textId="77777777" w:rsidR="00982724" w:rsidRPr="008E07F0" w:rsidRDefault="00982724" w:rsidP="008E07F0">
      <w:pPr>
        <w:ind w:right="-1"/>
        <w:jc w:val="both"/>
        <w:rPr>
          <w:rFonts w:ascii="Verdana" w:hAnsi="Verdana" w:cs="Calibri"/>
          <w:sz w:val="18"/>
          <w:szCs w:val="18"/>
        </w:rPr>
      </w:pPr>
      <w:r w:rsidRPr="008E07F0">
        <w:rPr>
          <w:rFonts w:ascii="Verdana" w:hAnsi="Verdana" w:cs="Calibri"/>
          <w:sz w:val="18"/>
          <w:szCs w:val="18"/>
        </w:rPr>
        <w:t>According to the original planning, the collection of data would be carried out through personal or telephone interviews (traditional method), with the use of tablets, or with the completion of paper questionnaires by the respondents themselves.</w:t>
      </w:r>
    </w:p>
    <w:p w14:paraId="4D3831A7" w14:textId="77777777" w:rsidR="00982724" w:rsidRPr="008E07F0" w:rsidRDefault="00982724" w:rsidP="008E07F0">
      <w:pPr>
        <w:ind w:right="-1"/>
        <w:jc w:val="both"/>
        <w:rPr>
          <w:rFonts w:ascii="Verdana" w:hAnsi="Verdana" w:cs="Calibri"/>
          <w:sz w:val="18"/>
          <w:szCs w:val="18"/>
        </w:rPr>
      </w:pPr>
    </w:p>
    <w:p w14:paraId="7FD5B958" w14:textId="6993E933" w:rsidR="00982724" w:rsidRPr="008E07F0" w:rsidRDefault="00982724" w:rsidP="008E07F0">
      <w:pPr>
        <w:ind w:right="-1"/>
        <w:jc w:val="both"/>
        <w:rPr>
          <w:rFonts w:ascii="Verdana" w:hAnsi="Verdana" w:cs="Calibri"/>
          <w:sz w:val="18"/>
          <w:szCs w:val="18"/>
        </w:rPr>
      </w:pPr>
      <w:r w:rsidRPr="008E07F0">
        <w:rPr>
          <w:rFonts w:ascii="Verdana" w:hAnsi="Verdana" w:cs="Calibri"/>
          <w:sz w:val="18"/>
          <w:szCs w:val="18"/>
        </w:rPr>
        <w:t xml:space="preserve">A total of 1.000 enumerators would be responsible for the collection of data in all districts. Due to the fact that there was not enough interest from candidates, a much lower number of enumerators was employed, having a negative impact on the timeframe of the Census. In addition to that, the exceptional conditions and the restrictions that were in place </w:t>
      </w:r>
      <w:r w:rsidR="00261CFE" w:rsidRPr="008E07F0">
        <w:rPr>
          <w:rFonts w:ascii="Verdana" w:hAnsi="Verdana" w:cs="Calibri"/>
          <w:sz w:val="18"/>
          <w:szCs w:val="18"/>
        </w:rPr>
        <w:t xml:space="preserve">during autumn 2021 </w:t>
      </w:r>
      <w:r w:rsidRPr="008E07F0">
        <w:rPr>
          <w:rFonts w:ascii="Verdana" w:hAnsi="Verdana" w:cs="Calibri"/>
          <w:sz w:val="18"/>
          <w:szCs w:val="18"/>
        </w:rPr>
        <w:t xml:space="preserve">due to the coronavirus pandemic (COVID-19) constituted another factor that inhibited the smooth development of the project, thus setting the completion of the Census outside the initially planned deadline (end of December 2021). </w:t>
      </w:r>
    </w:p>
    <w:p w14:paraId="45345177" w14:textId="77777777" w:rsidR="00982724" w:rsidRPr="008E07F0" w:rsidRDefault="00982724" w:rsidP="008E07F0">
      <w:pPr>
        <w:ind w:right="-1"/>
        <w:jc w:val="both"/>
        <w:rPr>
          <w:rFonts w:ascii="Verdana" w:hAnsi="Verdana" w:cs="Calibri"/>
          <w:sz w:val="18"/>
          <w:szCs w:val="18"/>
        </w:rPr>
      </w:pPr>
    </w:p>
    <w:p w14:paraId="03261CAC" w14:textId="77777777" w:rsidR="00982724" w:rsidRPr="008E07F0" w:rsidRDefault="00982724" w:rsidP="008E07F0">
      <w:pPr>
        <w:ind w:right="-1"/>
        <w:jc w:val="both"/>
        <w:rPr>
          <w:rFonts w:ascii="Verdana" w:hAnsi="Verdana" w:cs="Calibri"/>
          <w:sz w:val="18"/>
          <w:szCs w:val="18"/>
        </w:rPr>
      </w:pPr>
      <w:r w:rsidRPr="008E07F0">
        <w:rPr>
          <w:rFonts w:ascii="Verdana" w:hAnsi="Verdana" w:cs="Calibri"/>
          <w:sz w:val="18"/>
          <w:szCs w:val="18"/>
        </w:rPr>
        <w:t>In order to complete the project, it was therefore necessary to modify the initial method of data collection. In particular, the new methods adopted involved the use of administrative data as additional sources of information as well as the use of modern technology. The administrative sources used for this purpose, following the approval by the Commissioner for Personal Data Protection, provided information on the main demographic characteristics of the population, such as the place of residence, sex, age, citizenship etc. These sources mainly included the Health Insurance Organisation Beneficiaries data base, the Births Register, the Deaths Register as well as the Population Register.</w:t>
      </w:r>
    </w:p>
    <w:p w14:paraId="6826AF2D" w14:textId="77777777" w:rsidR="00982724" w:rsidRPr="008E07F0" w:rsidRDefault="00982724" w:rsidP="008E07F0">
      <w:pPr>
        <w:ind w:right="-1"/>
        <w:jc w:val="both"/>
        <w:rPr>
          <w:rFonts w:ascii="Verdana" w:hAnsi="Verdana" w:cs="Calibri"/>
          <w:sz w:val="18"/>
          <w:szCs w:val="18"/>
        </w:rPr>
      </w:pPr>
    </w:p>
    <w:p w14:paraId="2F1B3023" w14:textId="0F763E7A" w:rsidR="00982724" w:rsidRPr="008E07F0" w:rsidRDefault="00982724" w:rsidP="008E07F0">
      <w:pPr>
        <w:ind w:right="-1"/>
        <w:jc w:val="both"/>
        <w:rPr>
          <w:rFonts w:ascii="Verdana" w:hAnsi="Verdana" w:cs="Calibri"/>
          <w:sz w:val="18"/>
          <w:szCs w:val="18"/>
        </w:rPr>
      </w:pPr>
      <w:r w:rsidRPr="008E07F0">
        <w:rPr>
          <w:rFonts w:ascii="Verdana" w:hAnsi="Verdana" w:cs="Calibri"/>
          <w:sz w:val="18"/>
          <w:szCs w:val="18"/>
        </w:rPr>
        <w:t xml:space="preserve">The preliminary results were obtained both from the collection of data using the traditional method (achieving a coverage of </w:t>
      </w:r>
      <w:r w:rsidR="002B6DE8" w:rsidRPr="008E07F0">
        <w:rPr>
          <w:rFonts w:ascii="Verdana" w:hAnsi="Verdana" w:cs="Calibri"/>
          <w:sz w:val="18"/>
          <w:szCs w:val="18"/>
        </w:rPr>
        <w:t>80</w:t>
      </w:r>
      <w:r w:rsidRPr="008E07F0">
        <w:rPr>
          <w:rFonts w:ascii="Verdana" w:hAnsi="Verdana" w:cs="Calibri"/>
          <w:sz w:val="18"/>
          <w:szCs w:val="18"/>
        </w:rPr>
        <w:t>%</w:t>
      </w:r>
      <w:r w:rsidR="002B6DE8" w:rsidRPr="008E07F0">
        <w:rPr>
          <w:rFonts w:ascii="Verdana" w:hAnsi="Verdana" w:cs="Calibri"/>
          <w:sz w:val="18"/>
          <w:szCs w:val="18"/>
        </w:rPr>
        <w:t xml:space="preserve"> of the population</w:t>
      </w:r>
      <w:r w:rsidRPr="008E07F0">
        <w:rPr>
          <w:rFonts w:ascii="Verdana" w:hAnsi="Verdana" w:cs="Calibri"/>
          <w:sz w:val="18"/>
          <w:szCs w:val="18"/>
        </w:rPr>
        <w:t>) and from administrative sources (to cover the remaining population). Data collection and data validations will continue to take place, either through personal/telephone interviews or by further processing of the available administrative sources, in order to complete the Census.</w:t>
      </w:r>
    </w:p>
    <w:p w14:paraId="41127094" w14:textId="77777777" w:rsidR="00982724" w:rsidRPr="008E07F0" w:rsidRDefault="00982724" w:rsidP="008E07F0">
      <w:pPr>
        <w:ind w:right="-1"/>
        <w:jc w:val="both"/>
        <w:rPr>
          <w:rFonts w:ascii="Verdana" w:hAnsi="Verdana" w:cs="Calibri"/>
          <w:sz w:val="18"/>
          <w:szCs w:val="18"/>
        </w:rPr>
      </w:pPr>
    </w:p>
    <w:p w14:paraId="7B75AAA4" w14:textId="77777777" w:rsidR="00982724" w:rsidRPr="008E07F0" w:rsidRDefault="00982724" w:rsidP="008E07F0">
      <w:pPr>
        <w:jc w:val="both"/>
        <w:rPr>
          <w:rFonts w:ascii="Verdana" w:hAnsi="Verdana" w:cs="Calibri"/>
          <w:sz w:val="18"/>
          <w:szCs w:val="18"/>
        </w:rPr>
      </w:pPr>
      <w:r w:rsidRPr="008E07F0">
        <w:rPr>
          <w:rFonts w:ascii="Verdana" w:hAnsi="Verdana" w:cs="Calibri"/>
          <w:sz w:val="18"/>
          <w:szCs w:val="18"/>
        </w:rPr>
        <w:t xml:space="preserve">The use of administrative sources for the purpose of the Population Census is a methodological approach broadly used in many European countries for some years now. According to the latest information available, a proportion of 38% of EU countries has chosen to conduct the Census of Population 2021 exclusively from administrative sources, whereas an equally significant proportion of countries (35%) has chosen to use both the traditional Census and the use of administrative sources (combined Census). The traditional method of data collection with interviews is still used by 27% of EU countries. </w:t>
      </w:r>
    </w:p>
    <w:p w14:paraId="6C203D5A" w14:textId="77777777" w:rsidR="00982724" w:rsidRPr="008E07F0" w:rsidRDefault="00982724" w:rsidP="008E07F0">
      <w:pPr>
        <w:jc w:val="both"/>
        <w:rPr>
          <w:rFonts w:ascii="Verdana" w:hAnsi="Verdana" w:cs="Calibri"/>
          <w:sz w:val="18"/>
          <w:szCs w:val="18"/>
        </w:rPr>
      </w:pPr>
      <w:r w:rsidRPr="008E07F0">
        <w:rPr>
          <w:rFonts w:ascii="Verdana" w:hAnsi="Verdana" w:cs="Calibri"/>
          <w:sz w:val="18"/>
          <w:szCs w:val="18"/>
        </w:rPr>
        <w:t xml:space="preserve"> </w:t>
      </w:r>
    </w:p>
    <w:p w14:paraId="129975B1" w14:textId="77777777" w:rsidR="00377E68" w:rsidRDefault="00982724" w:rsidP="008E07F0">
      <w:pPr>
        <w:jc w:val="both"/>
        <w:rPr>
          <w:rFonts w:ascii="Verdana" w:hAnsi="Verdana" w:cs="Calibri"/>
          <w:sz w:val="18"/>
          <w:szCs w:val="18"/>
        </w:rPr>
      </w:pPr>
      <w:r w:rsidRPr="008E07F0">
        <w:rPr>
          <w:rFonts w:ascii="Verdana" w:hAnsi="Verdana" w:cs="Calibri"/>
          <w:sz w:val="18"/>
          <w:szCs w:val="18"/>
        </w:rPr>
        <w:t>The aim is that the framework that will result from the Census of Population will constitute a Dynamic Statistical Population Register which will be updated on an ongoing basis from various administrative sources. As a result, it will no longer be necessary to conduct a door-to-door Population Census, covering the total population. The Dynamic Statistical Population Register will be the basis for the production of annual population data and demographic indicators, providing timely information that will facilitate state policy and planning.</w:t>
      </w:r>
    </w:p>
    <w:p w14:paraId="2BDE9591" w14:textId="14155CE5" w:rsidR="00982724" w:rsidRPr="008E07F0" w:rsidRDefault="00982724" w:rsidP="008E07F0">
      <w:pPr>
        <w:jc w:val="both"/>
        <w:rPr>
          <w:rFonts w:ascii="Verdana" w:hAnsi="Verdana" w:cs="Calibri"/>
          <w:sz w:val="18"/>
          <w:szCs w:val="18"/>
        </w:rPr>
      </w:pPr>
      <w:r w:rsidRPr="008E07F0">
        <w:rPr>
          <w:rFonts w:ascii="Verdana" w:hAnsi="Verdana" w:cs="Calibri"/>
          <w:sz w:val="18"/>
          <w:szCs w:val="18"/>
        </w:rPr>
        <w:t xml:space="preserve"> </w:t>
      </w:r>
    </w:p>
    <w:p w14:paraId="151C967F" w14:textId="77777777" w:rsidR="00982724" w:rsidRPr="008E07F0" w:rsidRDefault="00982724" w:rsidP="008E07F0">
      <w:pPr>
        <w:jc w:val="both"/>
        <w:rPr>
          <w:rFonts w:ascii="Verdana" w:hAnsi="Verdana" w:cs="Calibri"/>
          <w:b/>
          <w:bCs/>
          <w:sz w:val="18"/>
          <w:szCs w:val="18"/>
          <w:u w:val="single"/>
        </w:rPr>
      </w:pPr>
      <w:r w:rsidRPr="008E07F0">
        <w:rPr>
          <w:rFonts w:ascii="Verdana" w:hAnsi="Verdana" w:cs="Calibri"/>
          <w:b/>
          <w:bCs/>
          <w:sz w:val="18"/>
          <w:szCs w:val="18"/>
          <w:u w:val="single"/>
        </w:rPr>
        <w:t>Legal Framework and Data Protection</w:t>
      </w:r>
    </w:p>
    <w:p w14:paraId="04C6502B" w14:textId="77777777" w:rsidR="00982724" w:rsidRPr="008E07F0" w:rsidRDefault="00982724" w:rsidP="008E07F0">
      <w:pPr>
        <w:jc w:val="both"/>
        <w:rPr>
          <w:rFonts w:ascii="Verdana" w:hAnsi="Verdana" w:cs="Calibri"/>
          <w:b/>
          <w:bCs/>
          <w:sz w:val="18"/>
          <w:szCs w:val="18"/>
          <w:u w:val="single"/>
        </w:rPr>
      </w:pPr>
    </w:p>
    <w:p w14:paraId="46FE46C8" w14:textId="5565256F" w:rsidR="00982724" w:rsidRPr="008E07F0" w:rsidRDefault="00982724" w:rsidP="008E07F0">
      <w:pPr>
        <w:jc w:val="both"/>
        <w:rPr>
          <w:rFonts w:ascii="Verdana" w:hAnsi="Verdana" w:cstheme="minorHAnsi"/>
          <w:sz w:val="18"/>
          <w:szCs w:val="18"/>
          <w:shd w:val="clear" w:color="auto" w:fill="FFFFFF"/>
        </w:rPr>
      </w:pPr>
      <w:r w:rsidRPr="008E07F0">
        <w:rPr>
          <w:rFonts w:ascii="Verdana" w:hAnsi="Verdana" w:cstheme="minorHAnsi"/>
          <w:sz w:val="18"/>
          <w:szCs w:val="18"/>
        </w:rPr>
        <w:t xml:space="preserve">The Census of Population 2021 </w:t>
      </w:r>
      <w:r w:rsidR="00261CFE" w:rsidRPr="008E07F0">
        <w:rPr>
          <w:rFonts w:ascii="Verdana" w:hAnsi="Verdana" w:cstheme="minorHAnsi"/>
          <w:sz w:val="18"/>
          <w:szCs w:val="18"/>
        </w:rPr>
        <w:t>was</w:t>
      </w:r>
      <w:r w:rsidRPr="008E07F0">
        <w:rPr>
          <w:rFonts w:ascii="Verdana" w:hAnsi="Verdana" w:cstheme="minorHAnsi"/>
          <w:sz w:val="18"/>
          <w:szCs w:val="18"/>
        </w:rPr>
        <w:t xml:space="preserve"> conducted in all EU Member States, f</w:t>
      </w:r>
      <w:r w:rsidRPr="008E07F0">
        <w:rPr>
          <w:rFonts w:ascii="Verdana" w:hAnsi="Verdana" w:cstheme="minorHAnsi"/>
          <w:sz w:val="18"/>
          <w:szCs w:val="18"/>
          <w:shd w:val="clear" w:color="auto" w:fill="FFFFFF"/>
        </w:rPr>
        <w:t>ollowing common concepts and definitions, under Regulation (EC) No. 763/2008 of the European Parliament and of the Council of 9 July 2008 on population and housing censuses.</w:t>
      </w:r>
    </w:p>
    <w:p w14:paraId="23EE333C" w14:textId="77777777" w:rsidR="00982724" w:rsidRPr="008E07F0" w:rsidRDefault="00982724" w:rsidP="008E07F0">
      <w:pPr>
        <w:jc w:val="both"/>
        <w:rPr>
          <w:rFonts w:ascii="Verdana" w:hAnsi="Verdana" w:cs="Calibri"/>
          <w:sz w:val="18"/>
          <w:szCs w:val="18"/>
        </w:rPr>
      </w:pPr>
    </w:p>
    <w:p w14:paraId="043050B4" w14:textId="46D9F64E" w:rsidR="00982724" w:rsidRPr="008E07F0" w:rsidRDefault="00982724" w:rsidP="008E07F0">
      <w:pPr>
        <w:jc w:val="both"/>
        <w:rPr>
          <w:rFonts w:ascii="Verdana" w:hAnsi="Verdana" w:cstheme="minorHAnsi"/>
          <w:sz w:val="18"/>
          <w:szCs w:val="18"/>
          <w:shd w:val="clear" w:color="auto" w:fill="FFFFFF"/>
        </w:rPr>
      </w:pPr>
      <w:r w:rsidRPr="008E07F0">
        <w:rPr>
          <w:rFonts w:ascii="Verdana" w:hAnsi="Verdana" w:cstheme="minorHAnsi"/>
          <w:sz w:val="18"/>
          <w:szCs w:val="18"/>
          <w:shd w:val="clear" w:color="auto" w:fill="FFFFFF"/>
        </w:rPr>
        <w:t xml:space="preserve">The Census in Cyprus </w:t>
      </w:r>
      <w:r w:rsidR="00261CFE" w:rsidRPr="008E07F0">
        <w:rPr>
          <w:rFonts w:ascii="Verdana" w:hAnsi="Verdana" w:cstheme="minorHAnsi"/>
          <w:sz w:val="18"/>
          <w:szCs w:val="18"/>
          <w:shd w:val="clear" w:color="auto" w:fill="FFFFFF"/>
        </w:rPr>
        <w:t>was</w:t>
      </w:r>
      <w:r w:rsidRPr="008E07F0">
        <w:rPr>
          <w:rFonts w:ascii="Verdana" w:hAnsi="Verdana" w:cstheme="minorHAnsi"/>
          <w:sz w:val="18"/>
          <w:szCs w:val="18"/>
          <w:shd w:val="clear" w:color="auto" w:fill="FFFFFF"/>
        </w:rPr>
        <w:t xml:space="preserve"> also conducted in accordance to the Official Statistics Law of 2021 (Law No. 25(Ι)/2021). Based on the provisions of the Law, the data collected are </w:t>
      </w:r>
      <w:r w:rsidRPr="00694AAA">
        <w:rPr>
          <w:rFonts w:ascii="Verdana" w:hAnsi="Verdana" w:cstheme="minorHAnsi"/>
          <w:b/>
          <w:bCs/>
          <w:sz w:val="18"/>
          <w:szCs w:val="18"/>
          <w:shd w:val="clear" w:color="auto" w:fill="FFFFFF"/>
        </w:rPr>
        <w:t>treated a</w:t>
      </w:r>
      <w:r w:rsidRPr="008E07F0">
        <w:rPr>
          <w:rFonts w:ascii="Verdana" w:hAnsi="Verdana" w:cstheme="minorHAnsi"/>
          <w:b/>
          <w:bCs/>
          <w:sz w:val="18"/>
          <w:szCs w:val="18"/>
          <w:shd w:val="clear" w:color="auto" w:fill="FFFFFF"/>
        </w:rPr>
        <w:t>s confidential and are used solely for statistical purposes.</w:t>
      </w:r>
    </w:p>
    <w:p w14:paraId="4C94BCF1" w14:textId="77777777" w:rsidR="00982724" w:rsidRPr="008E07F0" w:rsidRDefault="00982724" w:rsidP="008E07F0">
      <w:pPr>
        <w:ind w:right="-1"/>
        <w:jc w:val="both"/>
        <w:rPr>
          <w:rFonts w:ascii="Verdana" w:hAnsi="Verdana" w:cs="Calibri"/>
          <w:sz w:val="18"/>
          <w:szCs w:val="18"/>
        </w:rPr>
      </w:pPr>
    </w:p>
    <w:p w14:paraId="01214232" w14:textId="77777777" w:rsidR="00982724" w:rsidRPr="008E07F0" w:rsidRDefault="00982724" w:rsidP="008E07F0">
      <w:pPr>
        <w:shd w:val="clear" w:color="auto" w:fill="FFFFFF"/>
        <w:jc w:val="both"/>
        <w:rPr>
          <w:rFonts w:ascii="Verdana" w:hAnsi="Verdana" w:cstheme="minorHAnsi"/>
          <w:sz w:val="18"/>
          <w:szCs w:val="18"/>
          <w:shd w:val="clear" w:color="auto" w:fill="FFFFFF"/>
        </w:rPr>
      </w:pPr>
      <w:r w:rsidRPr="008E07F0">
        <w:rPr>
          <w:rFonts w:ascii="Verdana" w:hAnsi="Verdana" w:cstheme="minorHAnsi"/>
          <w:sz w:val="18"/>
          <w:szCs w:val="18"/>
          <w:shd w:val="clear" w:color="auto" w:fill="FFFFFF"/>
        </w:rPr>
        <w:t xml:space="preserve">Statistical confidentiality is strictly applied by the Statistical Service. The internal procedures resulting from the application of statistical confidentiality, fully cover the provisions of the General Data Protection </w:t>
      </w:r>
      <w:r w:rsidRPr="008E07F0">
        <w:rPr>
          <w:rFonts w:ascii="Verdana" w:hAnsi="Verdana" w:cstheme="minorHAnsi"/>
          <w:sz w:val="18"/>
          <w:szCs w:val="18"/>
          <w:shd w:val="clear" w:color="auto" w:fill="FFFFFF"/>
        </w:rPr>
        <w:lastRenderedPageBreak/>
        <w:t>Regulation (EU) 2016/679 (GDPR), ensuring the protection of data at every stage, from collection to publication. All data collected will be aggregated and disseminated without directly or indirectly revealing the identity of the persons who provided the data.</w:t>
      </w:r>
    </w:p>
    <w:p w14:paraId="05EDD354" w14:textId="77777777" w:rsidR="007D05F2" w:rsidRPr="008E07F0" w:rsidRDefault="007D05F2" w:rsidP="008E07F0">
      <w:pPr>
        <w:jc w:val="both"/>
        <w:rPr>
          <w:rFonts w:ascii="Verdana" w:hAnsi="Verdana" w:cs="Arial"/>
          <w:sz w:val="18"/>
          <w:szCs w:val="18"/>
        </w:rPr>
      </w:pPr>
    </w:p>
    <w:p w14:paraId="7C335EDD" w14:textId="77777777" w:rsidR="00280E3E" w:rsidRDefault="00280E3E" w:rsidP="008E07F0">
      <w:pPr>
        <w:jc w:val="both"/>
        <w:rPr>
          <w:rFonts w:ascii="Verdana" w:hAnsi="Verdana" w:cs="Arial"/>
          <w:b/>
          <w:i/>
          <w:sz w:val="18"/>
          <w:szCs w:val="18"/>
        </w:rPr>
      </w:pPr>
    </w:p>
    <w:p w14:paraId="4A600468" w14:textId="4EA71DE9" w:rsidR="00261CFE" w:rsidRPr="008E07F0" w:rsidRDefault="00261CFE" w:rsidP="008E07F0">
      <w:pPr>
        <w:jc w:val="both"/>
        <w:rPr>
          <w:rFonts w:ascii="Verdana" w:hAnsi="Verdana" w:cs="Arial"/>
          <w:b/>
          <w:i/>
          <w:sz w:val="18"/>
          <w:szCs w:val="18"/>
        </w:rPr>
      </w:pPr>
      <w:r w:rsidRPr="008E07F0">
        <w:rPr>
          <w:rFonts w:ascii="Verdana" w:hAnsi="Verdana" w:cs="Arial"/>
          <w:b/>
          <w:i/>
          <w:sz w:val="18"/>
          <w:szCs w:val="18"/>
        </w:rPr>
        <w:t>For further information:</w:t>
      </w:r>
    </w:p>
    <w:p w14:paraId="59C65969" w14:textId="50899F50" w:rsidR="002F4072" w:rsidRPr="002F4072" w:rsidRDefault="002F4072" w:rsidP="002F4072">
      <w:pPr>
        <w:ind w:right="-79"/>
        <w:jc w:val="both"/>
        <w:rPr>
          <w:rFonts w:ascii="Verdana" w:eastAsia="Malgun Gothic" w:hAnsi="Verdana" w:cs="Arial"/>
          <w:sz w:val="18"/>
          <w:szCs w:val="18"/>
        </w:rPr>
      </w:pPr>
      <w:r w:rsidRPr="002F4072">
        <w:rPr>
          <w:rFonts w:ascii="Verdana" w:eastAsia="Malgun Gothic" w:hAnsi="Verdana" w:cs="Arial"/>
          <w:sz w:val="18"/>
          <w:szCs w:val="18"/>
        </w:rPr>
        <w:t xml:space="preserve">CYSTAT Portal, subtheme </w:t>
      </w:r>
      <w:hyperlink r:id="rId12" w:tooltip="Population" w:history="1">
        <w:r w:rsidRPr="002F4072">
          <w:rPr>
            <w:rStyle w:val="Hyperlink"/>
            <w:rFonts w:ascii="Verdana" w:eastAsia="Malgun Gothic" w:hAnsi="Verdana" w:cs="Arial"/>
            <w:sz w:val="18"/>
            <w:szCs w:val="18"/>
          </w:rPr>
          <w:t>Population</w:t>
        </w:r>
      </w:hyperlink>
    </w:p>
    <w:p w14:paraId="2960F2C7" w14:textId="2AC9313B" w:rsidR="002F4072" w:rsidRPr="002F4072" w:rsidRDefault="00000000" w:rsidP="002F4072">
      <w:pPr>
        <w:ind w:right="-79"/>
        <w:jc w:val="both"/>
        <w:rPr>
          <w:rFonts w:ascii="Verdana" w:eastAsia="Malgun Gothic" w:hAnsi="Verdana" w:cs="Arial"/>
          <w:sz w:val="18"/>
          <w:szCs w:val="18"/>
        </w:rPr>
      </w:pPr>
      <w:hyperlink r:id="rId13" w:tooltip="CYSTAT-DB" w:history="1">
        <w:r w:rsidR="002F4072" w:rsidRPr="002F4072">
          <w:rPr>
            <w:rStyle w:val="Hyperlink"/>
            <w:rFonts w:ascii="Verdana" w:eastAsia="Malgun Gothic" w:hAnsi="Verdana" w:cs="Arial"/>
            <w:sz w:val="18"/>
            <w:szCs w:val="18"/>
          </w:rPr>
          <w:t>CYSTAT-DB</w:t>
        </w:r>
      </w:hyperlink>
      <w:r w:rsidR="002F4072" w:rsidRPr="002F4072">
        <w:rPr>
          <w:rFonts w:ascii="Verdana" w:eastAsia="Malgun Gothic" w:hAnsi="Verdana" w:cs="Arial"/>
          <w:sz w:val="18"/>
          <w:szCs w:val="18"/>
        </w:rPr>
        <w:t xml:space="preserve"> (Online Database) </w:t>
      </w:r>
    </w:p>
    <w:p w14:paraId="489C66A4" w14:textId="596423EA" w:rsidR="00261CFE" w:rsidRDefault="00000000" w:rsidP="002F4072">
      <w:pPr>
        <w:ind w:right="-79"/>
        <w:jc w:val="both"/>
        <w:rPr>
          <w:rFonts w:ascii="Verdana" w:eastAsia="Malgun Gothic" w:hAnsi="Verdana" w:cs="Arial"/>
          <w:sz w:val="18"/>
          <w:szCs w:val="18"/>
        </w:rPr>
      </w:pPr>
      <w:hyperlink r:id="rId14" w:history="1">
        <w:r w:rsidR="002F4072" w:rsidRPr="002F4072">
          <w:rPr>
            <w:rStyle w:val="Hyperlink"/>
            <w:rFonts w:ascii="Verdana" w:eastAsia="Malgun Gothic" w:hAnsi="Verdana" w:cs="Arial"/>
            <w:sz w:val="18"/>
            <w:szCs w:val="18"/>
          </w:rPr>
          <w:t>Predefined Tables</w:t>
        </w:r>
      </w:hyperlink>
      <w:r w:rsidR="002F4072" w:rsidRPr="002F4072">
        <w:rPr>
          <w:rFonts w:ascii="Verdana" w:eastAsia="Malgun Gothic" w:hAnsi="Verdana" w:cs="Arial"/>
          <w:sz w:val="18"/>
          <w:szCs w:val="18"/>
        </w:rPr>
        <w:t xml:space="preserve"> (Excel)</w:t>
      </w:r>
    </w:p>
    <w:p w14:paraId="315B479C" w14:textId="77777777" w:rsidR="002F4072" w:rsidRPr="008E07F0" w:rsidRDefault="002F4072" w:rsidP="002F4072">
      <w:pPr>
        <w:ind w:right="-79"/>
        <w:jc w:val="both"/>
        <w:rPr>
          <w:rFonts w:ascii="Verdana" w:eastAsia="Malgun Gothic" w:hAnsi="Verdana" w:cs="Arial"/>
          <w:sz w:val="18"/>
          <w:szCs w:val="18"/>
        </w:rPr>
      </w:pPr>
    </w:p>
    <w:p w14:paraId="331A70A1" w14:textId="77777777" w:rsidR="00261CFE" w:rsidRPr="008E07F0" w:rsidRDefault="00261CFE" w:rsidP="008E07F0">
      <w:pPr>
        <w:ind w:right="-79"/>
        <w:jc w:val="both"/>
        <w:rPr>
          <w:rFonts w:ascii="Verdana" w:eastAsia="Malgun Gothic" w:hAnsi="Verdana" w:cs="Arial"/>
          <w:i/>
          <w:sz w:val="18"/>
          <w:szCs w:val="18"/>
        </w:rPr>
      </w:pPr>
      <w:r w:rsidRPr="008E07F0">
        <w:rPr>
          <w:rFonts w:ascii="Verdana" w:eastAsia="Malgun Gothic" w:hAnsi="Verdana" w:cs="Arial"/>
          <w:i/>
          <w:sz w:val="18"/>
          <w:szCs w:val="18"/>
          <w:u w:val="single"/>
        </w:rPr>
        <w:t>Contact</w:t>
      </w:r>
      <w:r w:rsidRPr="008E07F0">
        <w:rPr>
          <w:rFonts w:ascii="Verdana" w:eastAsia="Malgun Gothic" w:hAnsi="Verdana" w:cs="Arial"/>
          <w:i/>
          <w:sz w:val="18"/>
          <w:szCs w:val="18"/>
        </w:rPr>
        <w:t xml:space="preserve"> </w:t>
      </w:r>
    </w:p>
    <w:p w14:paraId="43A87C1D" w14:textId="7F8EC44A" w:rsidR="00377E68" w:rsidRDefault="00261CFE" w:rsidP="008E07F0">
      <w:pPr>
        <w:jc w:val="both"/>
        <w:rPr>
          <w:rFonts w:ascii="Verdana" w:hAnsi="Verdana" w:cs="Arial"/>
          <w:sz w:val="18"/>
          <w:szCs w:val="18"/>
        </w:rPr>
      </w:pPr>
      <w:r w:rsidRPr="008E07F0">
        <w:rPr>
          <w:rFonts w:ascii="Verdana" w:hAnsi="Verdana" w:cs="Arial"/>
          <w:sz w:val="18"/>
          <w:szCs w:val="18"/>
        </w:rPr>
        <w:t xml:space="preserve">Loukia </w:t>
      </w:r>
      <w:r w:rsidR="007D05F2" w:rsidRPr="008E07F0">
        <w:rPr>
          <w:rFonts w:ascii="Verdana" w:hAnsi="Verdana" w:cs="Arial"/>
          <w:sz w:val="18"/>
          <w:szCs w:val="18"/>
        </w:rPr>
        <w:t>Makri</w:t>
      </w:r>
      <w:r w:rsidRPr="008E07F0">
        <w:rPr>
          <w:rFonts w:ascii="Verdana" w:hAnsi="Verdana" w:cs="Arial"/>
          <w:sz w:val="18"/>
          <w:szCs w:val="18"/>
        </w:rPr>
        <w:t>: Tel.: +357226021</w:t>
      </w:r>
      <w:r w:rsidR="007D05F2" w:rsidRPr="008E07F0">
        <w:rPr>
          <w:rFonts w:ascii="Verdana" w:hAnsi="Verdana" w:cs="Arial"/>
          <w:sz w:val="18"/>
          <w:szCs w:val="18"/>
        </w:rPr>
        <w:t>50</w:t>
      </w:r>
      <w:r w:rsidRPr="008E07F0">
        <w:rPr>
          <w:rFonts w:ascii="Verdana" w:hAnsi="Verdana" w:cs="Arial"/>
          <w:sz w:val="18"/>
          <w:szCs w:val="18"/>
        </w:rPr>
        <w:t>, Email:</w:t>
      </w:r>
      <w:r w:rsidR="00377E68" w:rsidRPr="00377E68">
        <w:t xml:space="preserve"> </w:t>
      </w:r>
      <w:hyperlink r:id="rId15" w:history="1">
        <w:r w:rsidR="00377E68" w:rsidRPr="00AD047E">
          <w:rPr>
            <w:rStyle w:val="Hyperlink"/>
            <w:rFonts w:ascii="Verdana" w:hAnsi="Verdana" w:cs="Arial"/>
            <w:sz w:val="18"/>
            <w:szCs w:val="18"/>
          </w:rPr>
          <w:t>lmakri@cystat.mof.gov.cy</w:t>
        </w:r>
      </w:hyperlink>
    </w:p>
    <w:p w14:paraId="6A828290" w14:textId="5607F3B5" w:rsidR="00377E68" w:rsidRDefault="007D05F2" w:rsidP="008E07F0">
      <w:pPr>
        <w:jc w:val="both"/>
        <w:rPr>
          <w:rFonts w:ascii="Verdana" w:hAnsi="Verdana" w:cs="Arial"/>
          <w:sz w:val="18"/>
          <w:szCs w:val="18"/>
        </w:rPr>
      </w:pPr>
      <w:proofErr w:type="spellStart"/>
      <w:r w:rsidRPr="008E07F0">
        <w:rPr>
          <w:rFonts w:ascii="Verdana" w:hAnsi="Verdana" w:cs="Arial"/>
          <w:sz w:val="18"/>
          <w:szCs w:val="18"/>
        </w:rPr>
        <w:t>Koulia</w:t>
      </w:r>
      <w:proofErr w:type="spellEnd"/>
      <w:r w:rsidRPr="008E07F0">
        <w:rPr>
          <w:rFonts w:ascii="Verdana" w:hAnsi="Verdana" w:cs="Arial"/>
          <w:sz w:val="18"/>
          <w:szCs w:val="18"/>
        </w:rPr>
        <w:t xml:space="preserve"> </w:t>
      </w:r>
      <w:proofErr w:type="spellStart"/>
      <w:r w:rsidRPr="008E07F0">
        <w:rPr>
          <w:rFonts w:ascii="Verdana" w:hAnsi="Verdana" w:cs="Arial"/>
          <w:sz w:val="18"/>
          <w:szCs w:val="18"/>
        </w:rPr>
        <w:t>Onisiforou</w:t>
      </w:r>
      <w:proofErr w:type="spellEnd"/>
      <w:r w:rsidR="00261CFE" w:rsidRPr="008E07F0">
        <w:rPr>
          <w:rFonts w:ascii="Verdana" w:hAnsi="Verdana" w:cs="Arial"/>
          <w:sz w:val="18"/>
          <w:szCs w:val="18"/>
        </w:rPr>
        <w:t>: Tel: +357226021</w:t>
      </w:r>
      <w:r w:rsidRPr="008E07F0">
        <w:rPr>
          <w:rFonts w:ascii="Verdana" w:hAnsi="Verdana" w:cs="Arial"/>
          <w:sz w:val="18"/>
          <w:szCs w:val="18"/>
        </w:rPr>
        <w:t>39</w:t>
      </w:r>
      <w:r w:rsidR="00261CFE" w:rsidRPr="008E07F0">
        <w:rPr>
          <w:rFonts w:ascii="Verdana" w:hAnsi="Verdana" w:cs="Arial"/>
          <w:sz w:val="18"/>
          <w:szCs w:val="18"/>
        </w:rPr>
        <w:t>, Email:</w:t>
      </w:r>
      <w:r w:rsidR="00377E68" w:rsidRPr="00377E68">
        <w:t xml:space="preserve"> </w:t>
      </w:r>
      <w:hyperlink r:id="rId16" w:history="1">
        <w:r w:rsidR="00377E68" w:rsidRPr="00AD047E">
          <w:rPr>
            <w:rStyle w:val="Hyperlink"/>
            <w:rFonts w:ascii="Verdana" w:hAnsi="Verdana" w:cs="Arial"/>
            <w:sz w:val="18"/>
            <w:szCs w:val="18"/>
          </w:rPr>
          <w:t>konisiforou@cystat.mof.gov.cy</w:t>
        </w:r>
      </w:hyperlink>
    </w:p>
    <w:sectPr w:rsidR="00377E68" w:rsidSect="00377E68">
      <w:headerReference w:type="default" r:id="rId17"/>
      <w:footerReference w:type="default" r:id="rId18"/>
      <w:headerReference w:type="first" r:id="rId19"/>
      <w:footerReference w:type="first" r:id="rId20"/>
      <w:pgSz w:w="11907" w:h="16840" w:code="9"/>
      <w:pgMar w:top="851" w:right="1134" w:bottom="1021"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5093" w14:textId="77777777" w:rsidR="00BB1028" w:rsidRDefault="00BB1028" w:rsidP="00FB398F">
      <w:r>
        <w:separator/>
      </w:r>
    </w:p>
  </w:endnote>
  <w:endnote w:type="continuationSeparator" w:id="0">
    <w:p w14:paraId="3CDA64FD" w14:textId="77777777" w:rsidR="00BB1028" w:rsidRDefault="00BB102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39A1" w14:textId="77777777" w:rsidR="004E4F42" w:rsidRPr="000A1A88" w:rsidRDefault="004E4F42" w:rsidP="00763722">
    <w:pPr>
      <w:pStyle w:val="Footer"/>
      <w:tabs>
        <w:tab w:val="left" w:pos="3375"/>
        <w:tab w:val="left" w:pos="4500"/>
        <w:tab w:val="center" w:pos="4723"/>
      </w:tabs>
    </w:pPr>
    <w:r>
      <w:tab/>
    </w:r>
    <w:r>
      <w:tab/>
    </w:r>
    <w:r>
      <w:tab/>
    </w:r>
    <w:r>
      <w:tab/>
      <w:t>-</w:t>
    </w:r>
    <w:r w:rsidR="00334ED2">
      <w:fldChar w:fldCharType="begin"/>
    </w:r>
    <w:r w:rsidR="004D4950">
      <w:instrText xml:space="preserve"> PAGE   \* MERGEFORMAT </w:instrText>
    </w:r>
    <w:r w:rsidR="00334ED2">
      <w:fldChar w:fldCharType="separate"/>
    </w:r>
    <w:r w:rsidR="00B9493B">
      <w:rPr>
        <w:noProof/>
      </w:rPr>
      <w:t>2</w:t>
    </w:r>
    <w:r w:rsidR="00334ED2">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2E3"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02C5ACBB" w14:textId="77777777" w:rsidR="0060256A" w:rsidRPr="003D46D6" w:rsidRDefault="00122143" w:rsidP="0060256A">
    <w:pPr>
      <w:pStyle w:val="Footer"/>
      <w:tabs>
        <w:tab w:val="left" w:pos="4500"/>
      </w:tabs>
      <w:jc w:val="center"/>
      <w:rPr>
        <w:rFonts w:ascii="Arial" w:hAnsi="Arial" w:cs="Arial"/>
        <w:i/>
        <w:iCs/>
        <w:sz w:val="16"/>
        <w:szCs w:val="16"/>
        <w:lang w:val="pt-PT"/>
      </w:rPr>
    </w:pPr>
    <w:r w:rsidRPr="003D46D6">
      <w:rPr>
        <w:rFonts w:ascii="Arial" w:hAnsi="Arial" w:cs="Arial"/>
        <w:i/>
        <w:iCs/>
        <w:sz w:val="16"/>
        <w:szCs w:val="16"/>
        <w:lang w:val="pt-PT"/>
      </w:rPr>
      <w:t xml:space="preserve">Tel.:  22 602129, </w:t>
    </w:r>
    <w:r w:rsidR="000335A0" w:rsidRPr="003D46D6">
      <w:rPr>
        <w:rFonts w:ascii="Arial" w:hAnsi="Arial" w:cs="Arial"/>
        <w:i/>
        <w:iCs/>
        <w:sz w:val="16"/>
        <w:szCs w:val="16"/>
        <w:lang w:val="pt-PT"/>
      </w:rPr>
      <w:t>Fax</w:t>
    </w:r>
    <w:r w:rsidR="0060256A" w:rsidRPr="003D46D6">
      <w:rPr>
        <w:rFonts w:ascii="Arial" w:hAnsi="Arial" w:cs="Arial"/>
        <w:i/>
        <w:iCs/>
        <w:sz w:val="16"/>
        <w:szCs w:val="16"/>
        <w:lang w:val="pt-PT"/>
      </w:rPr>
      <w:t>.: 22 661313, E-mail:  enquiries@cystat.mof.gov.cy</w:t>
    </w:r>
  </w:p>
  <w:p w14:paraId="74802260"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DD42" w14:textId="77777777" w:rsidR="00BB1028" w:rsidRDefault="00BB1028" w:rsidP="00FB398F">
      <w:r>
        <w:separator/>
      </w:r>
    </w:p>
  </w:footnote>
  <w:footnote w:type="continuationSeparator" w:id="0">
    <w:p w14:paraId="02144945" w14:textId="77777777" w:rsidR="00BB1028" w:rsidRDefault="00BB102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17F1"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82D5" w14:textId="41A2E09A" w:rsidR="004E4F42" w:rsidRPr="002A5D4A" w:rsidRDefault="002A5D4A"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rPr>
      <w:drawing>
        <wp:anchor distT="0" distB="0" distL="114300" distR="114300" simplePos="0" relativeHeight="251659264" behindDoc="0" locked="0" layoutInCell="1" allowOverlap="1" wp14:anchorId="6DB5C460" wp14:editId="61E29A04">
          <wp:simplePos x="0" y="0"/>
          <wp:positionH relativeFrom="column">
            <wp:posOffset>1604010</wp:posOffset>
          </wp:positionH>
          <wp:positionV relativeFrom="paragraph">
            <wp:posOffset>26035</wp:posOffset>
          </wp:positionV>
          <wp:extent cx="2124075" cy="1195070"/>
          <wp:effectExtent l="0" t="0" r="0" b="0"/>
          <wp:wrapNone/>
          <wp:docPr id="1228836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1195070"/>
                  </a:xfrm>
                  <a:prstGeom prst="rect">
                    <a:avLst/>
                  </a:prstGeom>
                  <a:noFill/>
                </pic:spPr>
              </pic:pic>
            </a:graphicData>
          </a:graphic>
        </wp:anchor>
      </w:drawing>
    </w:r>
    <w:r w:rsidR="001B3E68">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75B11363" wp14:editId="23B208C1">
              <wp:simplePos x="0" y="0"/>
              <wp:positionH relativeFrom="column">
                <wp:posOffset>4480560</wp:posOffset>
              </wp:positionH>
              <wp:positionV relativeFrom="paragraph">
                <wp:posOffset>-21590</wp:posOffset>
              </wp:positionV>
              <wp:extent cx="1297940" cy="866775"/>
              <wp:effectExtent l="0" t="0" r="17145" b="2857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866775"/>
                      </a:xfrm>
                      <a:prstGeom prst="rect">
                        <a:avLst/>
                      </a:prstGeom>
                      <a:solidFill>
                        <a:srgbClr val="FFFFFF"/>
                      </a:solidFill>
                      <a:ln w="9525">
                        <a:solidFill>
                          <a:srgbClr val="FFFFFF"/>
                        </a:solidFill>
                        <a:miter lim="800000"/>
                        <a:headEnd/>
                        <a:tailEnd/>
                      </a:ln>
                    </wps:spPr>
                    <wps:txbx>
                      <w:txbxContent>
                        <w:p w14:paraId="68BEE773" w14:textId="77777777" w:rsidR="004E4F42" w:rsidRDefault="005B6F7B" w:rsidP="000932CF">
                          <w:r>
                            <w:rPr>
                              <w:noProof/>
                              <w:lang w:val="el-GR" w:eastAsia="el-GR"/>
                            </w:rPr>
                            <w:drawing>
                              <wp:inline distT="0" distB="0" distL="0" distR="0" wp14:anchorId="3F08C8CA" wp14:editId="4F0BC024">
                                <wp:extent cx="1095375" cy="790575"/>
                                <wp:effectExtent l="0" t="0" r="9525" b="9525"/>
                                <wp:docPr id="1103077750" name="Picture 1103077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11363" id="_x0000_t202" coordsize="21600,21600" o:spt="202" path="m,l,21600r21600,l21600,xe">
              <v:stroke joinstyle="miter"/>
              <v:path gradientshapeok="t" o:connecttype="rect"/>
            </v:shapetype>
            <v:shape id="Text Box 14" o:spid="_x0000_s1026" type="#_x0000_t202" style="position:absolute;left:0;text-align:left;margin-left:352.8pt;margin-top:-1.7pt;width:102.2pt;height:6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" strokecolor="white">
              <v:textbox>
                <w:txbxContent>
                  <w:p w14:paraId="68BEE773" w14:textId="77777777" w:rsidR="004E4F42" w:rsidRDefault="005B6F7B" w:rsidP="000932CF">
                    <w:r>
                      <w:rPr>
                        <w:noProof/>
                        <w:lang w:val="el-GR" w:eastAsia="el-GR"/>
                      </w:rPr>
                      <w:drawing>
                        <wp:inline distT="0" distB="0" distL="0" distR="0" wp14:anchorId="3F08C8CA" wp14:editId="4F0BC024">
                          <wp:extent cx="1095375" cy="790575"/>
                          <wp:effectExtent l="0" t="0" r="9525" b="9525"/>
                          <wp:docPr id="1103077750" name="Picture 1103077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005B6F7B">
      <w:rPr>
        <w:rFonts w:ascii="Arial" w:hAnsi="Arial" w:cs="Arial"/>
        <w:bCs/>
        <w:noProof/>
        <w:sz w:val="18"/>
        <w:szCs w:val="18"/>
      </w:rPr>
      <w:drawing>
        <wp:anchor distT="0" distB="0" distL="114300" distR="114300" simplePos="0" relativeHeight="251656192" behindDoc="0" locked="0" layoutInCell="1" allowOverlap="1" wp14:anchorId="6FCC9FE1" wp14:editId="5A4A6CF6">
          <wp:simplePos x="0" y="0"/>
          <wp:positionH relativeFrom="column">
            <wp:posOffset>523875</wp:posOffset>
          </wp:positionH>
          <wp:positionV relativeFrom="paragraph">
            <wp:posOffset>168910</wp:posOffset>
          </wp:positionV>
          <wp:extent cx="676275" cy="676275"/>
          <wp:effectExtent l="0" t="0" r="9525" b="9525"/>
          <wp:wrapNone/>
          <wp:docPr id="1303178678" name="Picture 1303178678"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797A12">
      <w:rPr>
        <w:rFonts w:ascii="Arial" w:hAnsi="Arial" w:cs="Arial"/>
        <w:bCs/>
        <w:sz w:val="18"/>
        <w:szCs w:val="18"/>
        <w:lang w:val="en-US"/>
      </w:rPr>
      <w:t xml:space="preserve">                                                                                                                        </w:t>
    </w:r>
    <w:r w:rsidR="00797A12" w:rsidRPr="00B96284">
      <w:rPr>
        <w:noProof/>
      </w:rPr>
      <w:drawing>
        <wp:inline distT="0" distB="0" distL="0" distR="0" wp14:anchorId="502BBD32" wp14:editId="3906196E">
          <wp:extent cx="904875" cy="742950"/>
          <wp:effectExtent l="0" t="0" r="9525" b="0"/>
          <wp:docPr id="1365920864" name="Picture 136592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7049" cy="744735"/>
                  </a:xfrm>
                  <a:prstGeom prst="rect">
                    <a:avLst/>
                  </a:prstGeom>
                  <a:noFill/>
                  <a:ln>
                    <a:noFill/>
                  </a:ln>
                </pic:spPr>
              </pic:pic>
            </a:graphicData>
          </a:graphic>
        </wp:inline>
      </w:drawing>
    </w:r>
    <w:r w:rsidR="00797A12">
      <w:rPr>
        <w:rFonts w:ascii="Arial" w:hAnsi="Arial" w:cs="Arial"/>
        <w:bCs/>
        <w:sz w:val="18"/>
        <w:szCs w:val="18"/>
        <w:lang w:val="en-US"/>
      </w:rPr>
      <w:t xml:space="preserve">                        </w:t>
    </w:r>
  </w:p>
  <w:p w14:paraId="630DA3CC" w14:textId="6BB609CD" w:rsidR="00797A12" w:rsidRPr="00797A12" w:rsidRDefault="00797A12" w:rsidP="00797A12">
    <w:pPr>
      <w:pStyle w:val="Header"/>
      <w:tabs>
        <w:tab w:val="clear" w:pos="4153"/>
        <w:tab w:val="clear" w:pos="8306"/>
        <w:tab w:val="center" w:pos="1620"/>
        <w:tab w:val="left" w:pos="6315"/>
      </w:tabs>
      <w:spacing w:line="360" w:lineRule="auto"/>
      <w:rPr>
        <w:rFonts w:ascii="Arial" w:hAnsi="Arial" w:cs="Arial"/>
        <w:bCs/>
        <w:sz w:val="18"/>
        <w:szCs w:val="18"/>
        <w:lang w:val="en-US"/>
      </w:rPr>
    </w:pPr>
    <w:r>
      <w:rPr>
        <w:rFonts w:ascii="Arial" w:hAnsi="Arial" w:cs="Arial"/>
        <w:bCs/>
        <w:noProof/>
        <w:sz w:val="18"/>
        <w:szCs w:val="18"/>
      </w:rPr>
      <mc:AlternateContent>
        <mc:Choice Requires="wps">
          <w:drawing>
            <wp:anchor distT="0" distB="0" distL="114300" distR="114300" simplePos="0" relativeHeight="251658240" behindDoc="0" locked="0" layoutInCell="1" allowOverlap="1" wp14:anchorId="635C8CEF" wp14:editId="5CF7FCDF">
              <wp:simplePos x="0" y="0"/>
              <wp:positionH relativeFrom="column">
                <wp:posOffset>4242435</wp:posOffset>
              </wp:positionH>
              <wp:positionV relativeFrom="paragraph">
                <wp:posOffset>14606</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7997BA44"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5491A60" w14:textId="7A6C62CF" w:rsidR="0060256A" w:rsidRPr="00435025" w:rsidRDefault="0060256A" w:rsidP="0060256A">
                          <w:pPr>
                            <w:jc w:val="center"/>
                            <w:rPr>
                              <w:rFonts w:ascii="Arial" w:hAnsi="Arial" w:cs="Arial"/>
                              <w:sz w:val="20"/>
                              <w:szCs w:val="20"/>
                            </w:rPr>
                          </w:pPr>
                          <w:r w:rsidRPr="00435025">
                            <w:rPr>
                              <w:rFonts w:ascii="Arial" w:hAnsi="Arial" w:cs="Arial"/>
                              <w:sz w:val="20"/>
                              <w:szCs w:val="20"/>
                            </w:rPr>
                            <w:t xml:space="preserve">1444 </w:t>
                          </w:r>
                          <w:r w:rsidR="005F1BF4">
                            <w:rPr>
                              <w:rFonts w:ascii="Arial" w:hAnsi="Arial" w:cs="Arial"/>
                              <w:sz w:val="20"/>
                              <w:szCs w:val="20"/>
                            </w:rPr>
                            <w:t>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C8CEF" id="Text Box 21" o:spid="_x0000_s1027" type="#_x0000_t202" style="position:absolute;margin-left:334.05pt;margin-top:1.15pt;width:2in;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1S9A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" stroked="f">
              <v:textbox>
                <w:txbxContent>
                  <w:p w14:paraId="7997BA44"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5491A60" w14:textId="7A6C62CF" w:rsidR="0060256A" w:rsidRPr="00435025" w:rsidRDefault="0060256A" w:rsidP="0060256A">
                    <w:pPr>
                      <w:jc w:val="center"/>
                      <w:rPr>
                        <w:rFonts w:ascii="Arial" w:hAnsi="Arial" w:cs="Arial"/>
                        <w:sz w:val="20"/>
                        <w:szCs w:val="20"/>
                      </w:rPr>
                    </w:pPr>
                    <w:r w:rsidRPr="00435025">
                      <w:rPr>
                        <w:rFonts w:ascii="Arial" w:hAnsi="Arial" w:cs="Arial"/>
                        <w:sz w:val="20"/>
                        <w:szCs w:val="20"/>
                      </w:rPr>
                      <w:t xml:space="preserve">1444 </w:t>
                    </w:r>
                    <w:r w:rsidR="005F1BF4">
                      <w:rPr>
                        <w:rFonts w:ascii="Arial" w:hAnsi="Arial" w:cs="Arial"/>
                        <w:sz w:val="20"/>
                        <w:szCs w:val="20"/>
                      </w:rPr>
                      <w:t>NICOSIA</w:t>
                    </w:r>
                  </w:p>
                </w:txbxContent>
              </v:textbox>
            </v:shape>
          </w:pict>
        </mc:Fallback>
      </mc:AlternateContent>
    </w:r>
    <w:r w:rsidR="004E4F42">
      <w:rPr>
        <w:rFonts w:ascii="Arial" w:hAnsi="Arial" w:cs="Arial"/>
        <w:bCs/>
        <w:sz w:val="18"/>
        <w:szCs w:val="18"/>
      </w:rPr>
      <w:tab/>
    </w:r>
    <w:r>
      <w:rPr>
        <w:rFonts w:ascii="Arial" w:hAnsi="Arial" w:cs="Arial"/>
        <w:bCs/>
        <w:sz w:val="18"/>
        <w:szCs w:val="18"/>
        <w:lang w:val="en-US"/>
      </w:rPr>
      <w:t xml:space="preserve">                                                                                                                        </w:t>
    </w:r>
  </w:p>
  <w:p w14:paraId="102C91E2" w14:textId="76C89316" w:rsidR="00364377" w:rsidRPr="00AC704B" w:rsidRDefault="004E4F42" w:rsidP="00797A12">
    <w:pPr>
      <w:pStyle w:val="Header"/>
      <w:tabs>
        <w:tab w:val="clear" w:pos="4153"/>
        <w:tab w:val="clear" w:pos="8306"/>
        <w:tab w:val="center" w:pos="1620"/>
        <w:tab w:val="left" w:pos="631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2E6A9C42" w14:textId="328ED26E" w:rsidR="004E4F42" w:rsidRPr="0060256A" w:rsidRDefault="0060256A" w:rsidP="00797A12">
    <w:pPr>
      <w:pStyle w:val="Header"/>
      <w:tabs>
        <w:tab w:val="clear" w:pos="4153"/>
        <w:tab w:val="center" w:pos="1620"/>
        <w:tab w:val="left" w:pos="2160"/>
        <w:tab w:val="center" w:pos="7655"/>
      </w:tabs>
      <w:spacing w:line="360" w:lineRule="auto"/>
      <w:rPr>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399478443">
    <w:abstractNumId w:val="5"/>
  </w:num>
  <w:num w:numId="2" w16cid:durableId="1234465717">
    <w:abstractNumId w:val="1"/>
  </w:num>
  <w:num w:numId="3" w16cid:durableId="1745761997">
    <w:abstractNumId w:val="2"/>
  </w:num>
  <w:num w:numId="4" w16cid:durableId="920025658">
    <w:abstractNumId w:val="3"/>
  </w:num>
  <w:num w:numId="5" w16cid:durableId="305013414">
    <w:abstractNumId w:val="0"/>
  </w:num>
  <w:num w:numId="6" w16cid:durableId="165941787">
    <w:abstractNumId w:val="6"/>
  </w:num>
  <w:num w:numId="7" w16cid:durableId="1139616827">
    <w:abstractNumId w:val="7"/>
  </w:num>
  <w:num w:numId="8" w16cid:durableId="86779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9D8"/>
    <w:rsid w:val="000014C3"/>
    <w:rsid w:val="00001773"/>
    <w:rsid w:val="00004F86"/>
    <w:rsid w:val="0000542E"/>
    <w:rsid w:val="00013E40"/>
    <w:rsid w:val="0001493F"/>
    <w:rsid w:val="00014F9D"/>
    <w:rsid w:val="000152BF"/>
    <w:rsid w:val="000161B1"/>
    <w:rsid w:val="00017BED"/>
    <w:rsid w:val="00025A39"/>
    <w:rsid w:val="00027853"/>
    <w:rsid w:val="00030E18"/>
    <w:rsid w:val="00031D32"/>
    <w:rsid w:val="000335A0"/>
    <w:rsid w:val="0003448B"/>
    <w:rsid w:val="0003603D"/>
    <w:rsid w:val="00036FA9"/>
    <w:rsid w:val="000370C3"/>
    <w:rsid w:val="0004059B"/>
    <w:rsid w:val="00044F9C"/>
    <w:rsid w:val="00045088"/>
    <w:rsid w:val="00045A06"/>
    <w:rsid w:val="00050391"/>
    <w:rsid w:val="00052304"/>
    <w:rsid w:val="00053A9D"/>
    <w:rsid w:val="00055291"/>
    <w:rsid w:val="000563D3"/>
    <w:rsid w:val="00057E44"/>
    <w:rsid w:val="00061299"/>
    <w:rsid w:val="0007018B"/>
    <w:rsid w:val="00070576"/>
    <w:rsid w:val="0007081E"/>
    <w:rsid w:val="00070E05"/>
    <w:rsid w:val="00072754"/>
    <w:rsid w:val="000752BB"/>
    <w:rsid w:val="00081ADF"/>
    <w:rsid w:val="00082F37"/>
    <w:rsid w:val="00084A02"/>
    <w:rsid w:val="00084BF7"/>
    <w:rsid w:val="000864BF"/>
    <w:rsid w:val="000870E9"/>
    <w:rsid w:val="000932CF"/>
    <w:rsid w:val="00096ED8"/>
    <w:rsid w:val="00097D62"/>
    <w:rsid w:val="000A1A88"/>
    <w:rsid w:val="000A2B5C"/>
    <w:rsid w:val="000A3601"/>
    <w:rsid w:val="000A4B82"/>
    <w:rsid w:val="000A6FA8"/>
    <w:rsid w:val="000B1360"/>
    <w:rsid w:val="000B6F3B"/>
    <w:rsid w:val="000C4E72"/>
    <w:rsid w:val="000D009F"/>
    <w:rsid w:val="000D18BE"/>
    <w:rsid w:val="000D1E7A"/>
    <w:rsid w:val="000D52FD"/>
    <w:rsid w:val="000E24B1"/>
    <w:rsid w:val="000E2735"/>
    <w:rsid w:val="000E32D6"/>
    <w:rsid w:val="000E4454"/>
    <w:rsid w:val="000E57F2"/>
    <w:rsid w:val="000E5965"/>
    <w:rsid w:val="000E6F84"/>
    <w:rsid w:val="000E72A7"/>
    <w:rsid w:val="000F1162"/>
    <w:rsid w:val="000F18AB"/>
    <w:rsid w:val="000F3467"/>
    <w:rsid w:val="000F3549"/>
    <w:rsid w:val="000F38DE"/>
    <w:rsid w:val="000F5D6C"/>
    <w:rsid w:val="000F6A60"/>
    <w:rsid w:val="00106852"/>
    <w:rsid w:val="00110F9D"/>
    <w:rsid w:val="00114A67"/>
    <w:rsid w:val="0012048F"/>
    <w:rsid w:val="00122143"/>
    <w:rsid w:val="001246F2"/>
    <w:rsid w:val="001248CD"/>
    <w:rsid w:val="001253B6"/>
    <w:rsid w:val="00127320"/>
    <w:rsid w:val="00127456"/>
    <w:rsid w:val="00127C16"/>
    <w:rsid w:val="001312D8"/>
    <w:rsid w:val="0013137B"/>
    <w:rsid w:val="0013327C"/>
    <w:rsid w:val="00133B45"/>
    <w:rsid w:val="00135D7B"/>
    <w:rsid w:val="00137032"/>
    <w:rsid w:val="0013709C"/>
    <w:rsid w:val="00145386"/>
    <w:rsid w:val="0015118B"/>
    <w:rsid w:val="001516AB"/>
    <w:rsid w:val="001519CE"/>
    <w:rsid w:val="00153C0C"/>
    <w:rsid w:val="00157260"/>
    <w:rsid w:val="00161CF3"/>
    <w:rsid w:val="00162C00"/>
    <w:rsid w:val="001633B2"/>
    <w:rsid w:val="001639EF"/>
    <w:rsid w:val="0016589F"/>
    <w:rsid w:val="001664F9"/>
    <w:rsid w:val="00166D90"/>
    <w:rsid w:val="00166FC4"/>
    <w:rsid w:val="0016723D"/>
    <w:rsid w:val="00172175"/>
    <w:rsid w:val="0017333B"/>
    <w:rsid w:val="00176558"/>
    <w:rsid w:val="0017756A"/>
    <w:rsid w:val="0017769A"/>
    <w:rsid w:val="001817CA"/>
    <w:rsid w:val="00183DFC"/>
    <w:rsid w:val="00184384"/>
    <w:rsid w:val="00186717"/>
    <w:rsid w:val="00187FFC"/>
    <w:rsid w:val="001955C0"/>
    <w:rsid w:val="001A2018"/>
    <w:rsid w:val="001A3DD4"/>
    <w:rsid w:val="001B184E"/>
    <w:rsid w:val="001B2C39"/>
    <w:rsid w:val="001B3675"/>
    <w:rsid w:val="001B3E68"/>
    <w:rsid w:val="001B54AB"/>
    <w:rsid w:val="001B5E10"/>
    <w:rsid w:val="001B6AB3"/>
    <w:rsid w:val="001B73D5"/>
    <w:rsid w:val="001C0681"/>
    <w:rsid w:val="001C14B9"/>
    <w:rsid w:val="001C4DAE"/>
    <w:rsid w:val="001C62B3"/>
    <w:rsid w:val="001C7336"/>
    <w:rsid w:val="001C7C8C"/>
    <w:rsid w:val="001C7FAB"/>
    <w:rsid w:val="001D0D6A"/>
    <w:rsid w:val="001D20A4"/>
    <w:rsid w:val="001D699E"/>
    <w:rsid w:val="001E00D1"/>
    <w:rsid w:val="001E08CD"/>
    <w:rsid w:val="001E0E58"/>
    <w:rsid w:val="001E14F3"/>
    <w:rsid w:val="001E15ED"/>
    <w:rsid w:val="001E5245"/>
    <w:rsid w:val="001E61AA"/>
    <w:rsid w:val="001F3FD3"/>
    <w:rsid w:val="001F7847"/>
    <w:rsid w:val="0020309E"/>
    <w:rsid w:val="00203DFB"/>
    <w:rsid w:val="00205BA0"/>
    <w:rsid w:val="00206234"/>
    <w:rsid w:val="00206BBB"/>
    <w:rsid w:val="00210B58"/>
    <w:rsid w:val="00212C75"/>
    <w:rsid w:val="0021313E"/>
    <w:rsid w:val="002145B2"/>
    <w:rsid w:val="0021577E"/>
    <w:rsid w:val="00215ACC"/>
    <w:rsid w:val="00222423"/>
    <w:rsid w:val="0022480B"/>
    <w:rsid w:val="00225B28"/>
    <w:rsid w:val="00227E98"/>
    <w:rsid w:val="002313AC"/>
    <w:rsid w:val="00231818"/>
    <w:rsid w:val="00235FB2"/>
    <w:rsid w:val="00236577"/>
    <w:rsid w:val="00237BC1"/>
    <w:rsid w:val="00240C0A"/>
    <w:rsid w:val="002430B4"/>
    <w:rsid w:val="002447D0"/>
    <w:rsid w:val="002454C5"/>
    <w:rsid w:val="00245E19"/>
    <w:rsid w:val="00246AEB"/>
    <w:rsid w:val="00250005"/>
    <w:rsid w:val="0025254F"/>
    <w:rsid w:val="00254951"/>
    <w:rsid w:val="0025566D"/>
    <w:rsid w:val="0025595C"/>
    <w:rsid w:val="00256C08"/>
    <w:rsid w:val="00257149"/>
    <w:rsid w:val="002576E7"/>
    <w:rsid w:val="00260357"/>
    <w:rsid w:val="0026119F"/>
    <w:rsid w:val="002615C3"/>
    <w:rsid w:val="00261CFE"/>
    <w:rsid w:val="00263E75"/>
    <w:rsid w:val="00264F04"/>
    <w:rsid w:val="002652BC"/>
    <w:rsid w:val="00267554"/>
    <w:rsid w:val="0027122D"/>
    <w:rsid w:val="002715EE"/>
    <w:rsid w:val="0027301C"/>
    <w:rsid w:val="00276433"/>
    <w:rsid w:val="00276743"/>
    <w:rsid w:val="002777FD"/>
    <w:rsid w:val="00280E3E"/>
    <w:rsid w:val="00282FA4"/>
    <w:rsid w:val="002830AC"/>
    <w:rsid w:val="0028338F"/>
    <w:rsid w:val="00285C24"/>
    <w:rsid w:val="00290328"/>
    <w:rsid w:val="002915C4"/>
    <w:rsid w:val="00291A1B"/>
    <w:rsid w:val="002A0DCE"/>
    <w:rsid w:val="002A1D1C"/>
    <w:rsid w:val="002A2651"/>
    <w:rsid w:val="002A4D64"/>
    <w:rsid w:val="002A5D4A"/>
    <w:rsid w:val="002B0FB8"/>
    <w:rsid w:val="002B2F8B"/>
    <w:rsid w:val="002B6554"/>
    <w:rsid w:val="002B6DE8"/>
    <w:rsid w:val="002B7018"/>
    <w:rsid w:val="002C36DA"/>
    <w:rsid w:val="002C3D54"/>
    <w:rsid w:val="002C6B66"/>
    <w:rsid w:val="002D05F0"/>
    <w:rsid w:val="002D1585"/>
    <w:rsid w:val="002D5665"/>
    <w:rsid w:val="002D7D4A"/>
    <w:rsid w:val="002E1906"/>
    <w:rsid w:val="002E2603"/>
    <w:rsid w:val="002E2720"/>
    <w:rsid w:val="002E3846"/>
    <w:rsid w:val="002E3F78"/>
    <w:rsid w:val="002E753A"/>
    <w:rsid w:val="002F400C"/>
    <w:rsid w:val="002F4072"/>
    <w:rsid w:val="002F4A5C"/>
    <w:rsid w:val="002F4B7D"/>
    <w:rsid w:val="002F4D76"/>
    <w:rsid w:val="002F6D26"/>
    <w:rsid w:val="002F701D"/>
    <w:rsid w:val="0030018D"/>
    <w:rsid w:val="00300272"/>
    <w:rsid w:val="0030231E"/>
    <w:rsid w:val="003042C4"/>
    <w:rsid w:val="00304CB4"/>
    <w:rsid w:val="00313F37"/>
    <w:rsid w:val="003141D0"/>
    <w:rsid w:val="003168C1"/>
    <w:rsid w:val="00322FBE"/>
    <w:rsid w:val="00325632"/>
    <w:rsid w:val="00326C81"/>
    <w:rsid w:val="00327549"/>
    <w:rsid w:val="003303F6"/>
    <w:rsid w:val="003342A5"/>
    <w:rsid w:val="00334ED2"/>
    <w:rsid w:val="00336C36"/>
    <w:rsid w:val="00341FE1"/>
    <w:rsid w:val="00343815"/>
    <w:rsid w:val="00343EED"/>
    <w:rsid w:val="00346805"/>
    <w:rsid w:val="00347CCB"/>
    <w:rsid w:val="003522BB"/>
    <w:rsid w:val="00352F6C"/>
    <w:rsid w:val="003556EA"/>
    <w:rsid w:val="00364377"/>
    <w:rsid w:val="00365B8C"/>
    <w:rsid w:val="0037203F"/>
    <w:rsid w:val="00377ABB"/>
    <w:rsid w:val="00377E68"/>
    <w:rsid w:val="00384E69"/>
    <w:rsid w:val="003863AB"/>
    <w:rsid w:val="00386FC7"/>
    <w:rsid w:val="00390A32"/>
    <w:rsid w:val="00391F0D"/>
    <w:rsid w:val="003933DC"/>
    <w:rsid w:val="00394BE6"/>
    <w:rsid w:val="00396C89"/>
    <w:rsid w:val="0039732B"/>
    <w:rsid w:val="003A40F2"/>
    <w:rsid w:val="003A50D1"/>
    <w:rsid w:val="003B196D"/>
    <w:rsid w:val="003B2710"/>
    <w:rsid w:val="003B4608"/>
    <w:rsid w:val="003C1B8E"/>
    <w:rsid w:val="003C2392"/>
    <w:rsid w:val="003C371D"/>
    <w:rsid w:val="003C5174"/>
    <w:rsid w:val="003C5240"/>
    <w:rsid w:val="003C7906"/>
    <w:rsid w:val="003D14E0"/>
    <w:rsid w:val="003D1EA5"/>
    <w:rsid w:val="003D3348"/>
    <w:rsid w:val="003D38BC"/>
    <w:rsid w:val="003D3D8E"/>
    <w:rsid w:val="003D46D6"/>
    <w:rsid w:val="003D5672"/>
    <w:rsid w:val="003D6822"/>
    <w:rsid w:val="003D724C"/>
    <w:rsid w:val="003E0CE2"/>
    <w:rsid w:val="003E4C35"/>
    <w:rsid w:val="003F23C0"/>
    <w:rsid w:val="003F41C8"/>
    <w:rsid w:val="003F49E4"/>
    <w:rsid w:val="003F4D2F"/>
    <w:rsid w:val="003F5858"/>
    <w:rsid w:val="003F5E32"/>
    <w:rsid w:val="003F6A0E"/>
    <w:rsid w:val="003F6EBB"/>
    <w:rsid w:val="003F75F6"/>
    <w:rsid w:val="0040144B"/>
    <w:rsid w:val="004045C6"/>
    <w:rsid w:val="00404670"/>
    <w:rsid w:val="00405D5E"/>
    <w:rsid w:val="00411D67"/>
    <w:rsid w:val="00414CA0"/>
    <w:rsid w:val="004213B9"/>
    <w:rsid w:val="00422F54"/>
    <w:rsid w:val="0042446E"/>
    <w:rsid w:val="004301DF"/>
    <w:rsid w:val="00431516"/>
    <w:rsid w:val="004361B3"/>
    <w:rsid w:val="0044249D"/>
    <w:rsid w:val="00442FFE"/>
    <w:rsid w:val="0044379F"/>
    <w:rsid w:val="004446F9"/>
    <w:rsid w:val="00445E7A"/>
    <w:rsid w:val="00446FB1"/>
    <w:rsid w:val="00447767"/>
    <w:rsid w:val="004479D6"/>
    <w:rsid w:val="00447AFB"/>
    <w:rsid w:val="00452504"/>
    <w:rsid w:val="00457B04"/>
    <w:rsid w:val="00460335"/>
    <w:rsid w:val="0046078F"/>
    <w:rsid w:val="004623F1"/>
    <w:rsid w:val="00463214"/>
    <w:rsid w:val="0046434D"/>
    <w:rsid w:val="004656FA"/>
    <w:rsid w:val="00471D77"/>
    <w:rsid w:val="00475587"/>
    <w:rsid w:val="0047665D"/>
    <w:rsid w:val="00480247"/>
    <w:rsid w:val="00480BC2"/>
    <w:rsid w:val="0048294D"/>
    <w:rsid w:val="00482A99"/>
    <w:rsid w:val="004929C2"/>
    <w:rsid w:val="00493FDD"/>
    <w:rsid w:val="0049586B"/>
    <w:rsid w:val="00497A65"/>
    <w:rsid w:val="004A172E"/>
    <w:rsid w:val="004A3E44"/>
    <w:rsid w:val="004A7983"/>
    <w:rsid w:val="004B1A5E"/>
    <w:rsid w:val="004B2896"/>
    <w:rsid w:val="004B38E9"/>
    <w:rsid w:val="004B3FBA"/>
    <w:rsid w:val="004B4D74"/>
    <w:rsid w:val="004B556F"/>
    <w:rsid w:val="004B6599"/>
    <w:rsid w:val="004B7864"/>
    <w:rsid w:val="004C37E4"/>
    <w:rsid w:val="004C6CA7"/>
    <w:rsid w:val="004D2EEA"/>
    <w:rsid w:val="004D4357"/>
    <w:rsid w:val="004D4950"/>
    <w:rsid w:val="004D66F3"/>
    <w:rsid w:val="004E1F0D"/>
    <w:rsid w:val="004E2393"/>
    <w:rsid w:val="004E27EC"/>
    <w:rsid w:val="004E3745"/>
    <w:rsid w:val="004E4119"/>
    <w:rsid w:val="004E42BE"/>
    <w:rsid w:val="004E4F42"/>
    <w:rsid w:val="004E527F"/>
    <w:rsid w:val="004E63D5"/>
    <w:rsid w:val="004F03FD"/>
    <w:rsid w:val="004F17D5"/>
    <w:rsid w:val="004F4DC9"/>
    <w:rsid w:val="004F52F0"/>
    <w:rsid w:val="004F5ED2"/>
    <w:rsid w:val="004F6250"/>
    <w:rsid w:val="004F677C"/>
    <w:rsid w:val="004F6D8F"/>
    <w:rsid w:val="00505503"/>
    <w:rsid w:val="0051107B"/>
    <w:rsid w:val="00512F9C"/>
    <w:rsid w:val="00521120"/>
    <w:rsid w:val="00521D34"/>
    <w:rsid w:val="00524F55"/>
    <w:rsid w:val="00527CDB"/>
    <w:rsid w:val="0053003B"/>
    <w:rsid w:val="005317FB"/>
    <w:rsid w:val="005341C9"/>
    <w:rsid w:val="005366FA"/>
    <w:rsid w:val="005369CA"/>
    <w:rsid w:val="00536DE9"/>
    <w:rsid w:val="00541E08"/>
    <w:rsid w:val="005468C5"/>
    <w:rsid w:val="005504A3"/>
    <w:rsid w:val="005512DA"/>
    <w:rsid w:val="00551C9E"/>
    <w:rsid w:val="00553BC2"/>
    <w:rsid w:val="0055789A"/>
    <w:rsid w:val="00562136"/>
    <w:rsid w:val="00564FE6"/>
    <w:rsid w:val="005652D1"/>
    <w:rsid w:val="005660A0"/>
    <w:rsid w:val="00566A4F"/>
    <w:rsid w:val="00567D64"/>
    <w:rsid w:val="00574B1A"/>
    <w:rsid w:val="00575645"/>
    <w:rsid w:val="00576D6D"/>
    <w:rsid w:val="00577D5D"/>
    <w:rsid w:val="005815BD"/>
    <w:rsid w:val="00583DCE"/>
    <w:rsid w:val="00590E33"/>
    <w:rsid w:val="005918D6"/>
    <w:rsid w:val="00591F53"/>
    <w:rsid w:val="0059474A"/>
    <w:rsid w:val="0059478C"/>
    <w:rsid w:val="005978D4"/>
    <w:rsid w:val="005A77D5"/>
    <w:rsid w:val="005A77D9"/>
    <w:rsid w:val="005B2A67"/>
    <w:rsid w:val="005B3DCD"/>
    <w:rsid w:val="005B4AD4"/>
    <w:rsid w:val="005B5ACB"/>
    <w:rsid w:val="005B5CC7"/>
    <w:rsid w:val="005B6F7B"/>
    <w:rsid w:val="005C265A"/>
    <w:rsid w:val="005C2798"/>
    <w:rsid w:val="005C36C3"/>
    <w:rsid w:val="005C56EE"/>
    <w:rsid w:val="005C5D4B"/>
    <w:rsid w:val="005C7253"/>
    <w:rsid w:val="005D1714"/>
    <w:rsid w:val="005D2D39"/>
    <w:rsid w:val="005D7638"/>
    <w:rsid w:val="005D7B71"/>
    <w:rsid w:val="005E1E8E"/>
    <w:rsid w:val="005E70D4"/>
    <w:rsid w:val="005E7187"/>
    <w:rsid w:val="005F12F5"/>
    <w:rsid w:val="005F1BF4"/>
    <w:rsid w:val="005F380D"/>
    <w:rsid w:val="005F4B4F"/>
    <w:rsid w:val="005F7C7D"/>
    <w:rsid w:val="0060256A"/>
    <w:rsid w:val="00602D97"/>
    <w:rsid w:val="006044B7"/>
    <w:rsid w:val="006071CE"/>
    <w:rsid w:val="006072C0"/>
    <w:rsid w:val="006075B5"/>
    <w:rsid w:val="006076FA"/>
    <w:rsid w:val="0061018C"/>
    <w:rsid w:val="0061094E"/>
    <w:rsid w:val="00613440"/>
    <w:rsid w:val="00613BE3"/>
    <w:rsid w:val="00614A70"/>
    <w:rsid w:val="0062327B"/>
    <w:rsid w:val="00631738"/>
    <w:rsid w:val="00632777"/>
    <w:rsid w:val="00633750"/>
    <w:rsid w:val="00634491"/>
    <w:rsid w:val="0063679C"/>
    <w:rsid w:val="00637055"/>
    <w:rsid w:val="00641D59"/>
    <w:rsid w:val="00642D91"/>
    <w:rsid w:val="00643E6C"/>
    <w:rsid w:val="00644507"/>
    <w:rsid w:val="00646880"/>
    <w:rsid w:val="00647D2A"/>
    <w:rsid w:val="006518CF"/>
    <w:rsid w:val="006537BB"/>
    <w:rsid w:val="00653937"/>
    <w:rsid w:val="0065711B"/>
    <w:rsid w:val="006600BF"/>
    <w:rsid w:val="006633E3"/>
    <w:rsid w:val="00666A6C"/>
    <w:rsid w:val="00671785"/>
    <w:rsid w:val="00671814"/>
    <w:rsid w:val="00672BA9"/>
    <w:rsid w:val="00673005"/>
    <w:rsid w:val="00674893"/>
    <w:rsid w:val="006804BE"/>
    <w:rsid w:val="0068414F"/>
    <w:rsid w:val="006846A2"/>
    <w:rsid w:val="00685ADD"/>
    <w:rsid w:val="006863C8"/>
    <w:rsid w:val="0069008E"/>
    <w:rsid w:val="0069087E"/>
    <w:rsid w:val="00691191"/>
    <w:rsid w:val="00691677"/>
    <w:rsid w:val="00691793"/>
    <w:rsid w:val="006918B1"/>
    <w:rsid w:val="006925C4"/>
    <w:rsid w:val="0069309C"/>
    <w:rsid w:val="006945BE"/>
    <w:rsid w:val="00694AAA"/>
    <w:rsid w:val="0069792A"/>
    <w:rsid w:val="006A02B7"/>
    <w:rsid w:val="006B036F"/>
    <w:rsid w:val="006B04B2"/>
    <w:rsid w:val="006B46D5"/>
    <w:rsid w:val="006B46F4"/>
    <w:rsid w:val="006C323E"/>
    <w:rsid w:val="006C755E"/>
    <w:rsid w:val="006C7AF3"/>
    <w:rsid w:val="006D358C"/>
    <w:rsid w:val="006D6548"/>
    <w:rsid w:val="006E0E20"/>
    <w:rsid w:val="006E1D0C"/>
    <w:rsid w:val="006E3610"/>
    <w:rsid w:val="006E4256"/>
    <w:rsid w:val="006E4BBA"/>
    <w:rsid w:val="006E5F43"/>
    <w:rsid w:val="006E60A6"/>
    <w:rsid w:val="006E6868"/>
    <w:rsid w:val="006F0F69"/>
    <w:rsid w:val="006F116B"/>
    <w:rsid w:val="006F117F"/>
    <w:rsid w:val="006F13DF"/>
    <w:rsid w:val="006F3718"/>
    <w:rsid w:val="006F3971"/>
    <w:rsid w:val="006F46BC"/>
    <w:rsid w:val="006F6495"/>
    <w:rsid w:val="00702F26"/>
    <w:rsid w:val="0070313E"/>
    <w:rsid w:val="00703799"/>
    <w:rsid w:val="00704E11"/>
    <w:rsid w:val="00704E7A"/>
    <w:rsid w:val="00705C5C"/>
    <w:rsid w:val="00711475"/>
    <w:rsid w:val="00714CD4"/>
    <w:rsid w:val="0071501C"/>
    <w:rsid w:val="00716C0F"/>
    <w:rsid w:val="00720290"/>
    <w:rsid w:val="00724E52"/>
    <w:rsid w:val="0072548A"/>
    <w:rsid w:val="007277A6"/>
    <w:rsid w:val="00732A6B"/>
    <w:rsid w:val="00741AF0"/>
    <w:rsid w:val="00741BBE"/>
    <w:rsid w:val="007437AB"/>
    <w:rsid w:val="007534F8"/>
    <w:rsid w:val="007545AD"/>
    <w:rsid w:val="00756CD4"/>
    <w:rsid w:val="00762446"/>
    <w:rsid w:val="00763722"/>
    <w:rsid w:val="00764BC1"/>
    <w:rsid w:val="00766D92"/>
    <w:rsid w:val="00770869"/>
    <w:rsid w:val="00770E6B"/>
    <w:rsid w:val="0077107C"/>
    <w:rsid w:val="007738AA"/>
    <w:rsid w:val="00774EA3"/>
    <w:rsid w:val="00780A62"/>
    <w:rsid w:val="00783241"/>
    <w:rsid w:val="00784BDC"/>
    <w:rsid w:val="00791335"/>
    <w:rsid w:val="0079282A"/>
    <w:rsid w:val="00792F28"/>
    <w:rsid w:val="0079543F"/>
    <w:rsid w:val="00795880"/>
    <w:rsid w:val="00796949"/>
    <w:rsid w:val="00797A12"/>
    <w:rsid w:val="007A03BE"/>
    <w:rsid w:val="007A4367"/>
    <w:rsid w:val="007B0867"/>
    <w:rsid w:val="007B1AC1"/>
    <w:rsid w:val="007B5A08"/>
    <w:rsid w:val="007B6508"/>
    <w:rsid w:val="007B693D"/>
    <w:rsid w:val="007C0CCC"/>
    <w:rsid w:val="007D05F2"/>
    <w:rsid w:val="007D3252"/>
    <w:rsid w:val="007D5D35"/>
    <w:rsid w:val="007E041B"/>
    <w:rsid w:val="007E199A"/>
    <w:rsid w:val="007E2415"/>
    <w:rsid w:val="007E39F3"/>
    <w:rsid w:val="007E3B41"/>
    <w:rsid w:val="007E68F4"/>
    <w:rsid w:val="007F06B4"/>
    <w:rsid w:val="007F134D"/>
    <w:rsid w:val="007F31BA"/>
    <w:rsid w:val="007F4078"/>
    <w:rsid w:val="007F5170"/>
    <w:rsid w:val="007F56F9"/>
    <w:rsid w:val="007F77C9"/>
    <w:rsid w:val="007F77F6"/>
    <w:rsid w:val="0080014B"/>
    <w:rsid w:val="00801716"/>
    <w:rsid w:val="00801793"/>
    <w:rsid w:val="00803642"/>
    <w:rsid w:val="00806EA2"/>
    <w:rsid w:val="0081158C"/>
    <w:rsid w:val="00812A2B"/>
    <w:rsid w:val="00813A5F"/>
    <w:rsid w:val="00814A4C"/>
    <w:rsid w:val="008153DE"/>
    <w:rsid w:val="00816B97"/>
    <w:rsid w:val="0082560F"/>
    <w:rsid w:val="00830641"/>
    <w:rsid w:val="00831AAB"/>
    <w:rsid w:val="00834444"/>
    <w:rsid w:val="0083574E"/>
    <w:rsid w:val="0083640C"/>
    <w:rsid w:val="0084157B"/>
    <w:rsid w:val="00842BFB"/>
    <w:rsid w:val="00846B85"/>
    <w:rsid w:val="00847DC3"/>
    <w:rsid w:val="00847F49"/>
    <w:rsid w:val="0085253C"/>
    <w:rsid w:val="00852DBE"/>
    <w:rsid w:val="008535C5"/>
    <w:rsid w:val="00853765"/>
    <w:rsid w:val="00853B2A"/>
    <w:rsid w:val="0085516F"/>
    <w:rsid w:val="00860453"/>
    <w:rsid w:val="00861278"/>
    <w:rsid w:val="00867186"/>
    <w:rsid w:val="0086731B"/>
    <w:rsid w:val="00870AF6"/>
    <w:rsid w:val="00881268"/>
    <w:rsid w:val="00882614"/>
    <w:rsid w:val="0088394A"/>
    <w:rsid w:val="008860BD"/>
    <w:rsid w:val="00887399"/>
    <w:rsid w:val="0088779E"/>
    <w:rsid w:val="00890DBB"/>
    <w:rsid w:val="008912AF"/>
    <w:rsid w:val="00892114"/>
    <w:rsid w:val="00892CB9"/>
    <w:rsid w:val="008935CB"/>
    <w:rsid w:val="0089370B"/>
    <w:rsid w:val="00896AE4"/>
    <w:rsid w:val="0089777B"/>
    <w:rsid w:val="00897895"/>
    <w:rsid w:val="008A2812"/>
    <w:rsid w:val="008A5CCD"/>
    <w:rsid w:val="008B0E7E"/>
    <w:rsid w:val="008B2EAE"/>
    <w:rsid w:val="008B4E41"/>
    <w:rsid w:val="008B4EEE"/>
    <w:rsid w:val="008B5FF0"/>
    <w:rsid w:val="008B65BD"/>
    <w:rsid w:val="008B7900"/>
    <w:rsid w:val="008C3F6F"/>
    <w:rsid w:val="008C5A61"/>
    <w:rsid w:val="008C71BF"/>
    <w:rsid w:val="008C7FE0"/>
    <w:rsid w:val="008D0424"/>
    <w:rsid w:val="008D3C5A"/>
    <w:rsid w:val="008D553A"/>
    <w:rsid w:val="008D5717"/>
    <w:rsid w:val="008D5F44"/>
    <w:rsid w:val="008E07F0"/>
    <w:rsid w:val="008E2965"/>
    <w:rsid w:val="008E44A9"/>
    <w:rsid w:val="008E6B4D"/>
    <w:rsid w:val="008E6BFF"/>
    <w:rsid w:val="008F1878"/>
    <w:rsid w:val="008F21AF"/>
    <w:rsid w:val="008F2400"/>
    <w:rsid w:val="008F61BA"/>
    <w:rsid w:val="008F6E3C"/>
    <w:rsid w:val="008F7C55"/>
    <w:rsid w:val="00900978"/>
    <w:rsid w:val="0090338C"/>
    <w:rsid w:val="009121E9"/>
    <w:rsid w:val="00914A23"/>
    <w:rsid w:val="009160EB"/>
    <w:rsid w:val="00916426"/>
    <w:rsid w:val="00924AE0"/>
    <w:rsid w:val="0092555B"/>
    <w:rsid w:val="00930754"/>
    <w:rsid w:val="00931164"/>
    <w:rsid w:val="00934F68"/>
    <w:rsid w:val="009355AC"/>
    <w:rsid w:val="00935994"/>
    <w:rsid w:val="00935F38"/>
    <w:rsid w:val="00937586"/>
    <w:rsid w:val="009459D5"/>
    <w:rsid w:val="00946C4D"/>
    <w:rsid w:val="00947889"/>
    <w:rsid w:val="00960E98"/>
    <w:rsid w:val="00963A82"/>
    <w:rsid w:val="00966829"/>
    <w:rsid w:val="00970392"/>
    <w:rsid w:val="00970856"/>
    <w:rsid w:val="00972912"/>
    <w:rsid w:val="00972CA0"/>
    <w:rsid w:val="009759EA"/>
    <w:rsid w:val="00976D1F"/>
    <w:rsid w:val="00981C81"/>
    <w:rsid w:val="00982724"/>
    <w:rsid w:val="00992209"/>
    <w:rsid w:val="009A2D24"/>
    <w:rsid w:val="009A366D"/>
    <w:rsid w:val="009A39F8"/>
    <w:rsid w:val="009A456C"/>
    <w:rsid w:val="009A4B24"/>
    <w:rsid w:val="009A545B"/>
    <w:rsid w:val="009A6052"/>
    <w:rsid w:val="009A789B"/>
    <w:rsid w:val="009B00E0"/>
    <w:rsid w:val="009B0814"/>
    <w:rsid w:val="009B292A"/>
    <w:rsid w:val="009B76D5"/>
    <w:rsid w:val="009C165D"/>
    <w:rsid w:val="009C37F7"/>
    <w:rsid w:val="009C3CEA"/>
    <w:rsid w:val="009C583D"/>
    <w:rsid w:val="009C6BA9"/>
    <w:rsid w:val="009D2611"/>
    <w:rsid w:val="009D2A68"/>
    <w:rsid w:val="009D33E7"/>
    <w:rsid w:val="009D3410"/>
    <w:rsid w:val="009D79D2"/>
    <w:rsid w:val="009E0E20"/>
    <w:rsid w:val="009E247C"/>
    <w:rsid w:val="009E31BA"/>
    <w:rsid w:val="009E7226"/>
    <w:rsid w:val="009F0528"/>
    <w:rsid w:val="009F0806"/>
    <w:rsid w:val="009F0B47"/>
    <w:rsid w:val="009F233B"/>
    <w:rsid w:val="009F5913"/>
    <w:rsid w:val="00A03A17"/>
    <w:rsid w:val="00A05AD5"/>
    <w:rsid w:val="00A05D16"/>
    <w:rsid w:val="00A0659F"/>
    <w:rsid w:val="00A079BA"/>
    <w:rsid w:val="00A21C9A"/>
    <w:rsid w:val="00A2435B"/>
    <w:rsid w:val="00A33875"/>
    <w:rsid w:val="00A360A1"/>
    <w:rsid w:val="00A402B3"/>
    <w:rsid w:val="00A437EE"/>
    <w:rsid w:val="00A44971"/>
    <w:rsid w:val="00A544B7"/>
    <w:rsid w:val="00A54F16"/>
    <w:rsid w:val="00A618CF"/>
    <w:rsid w:val="00A62770"/>
    <w:rsid w:val="00A629B8"/>
    <w:rsid w:val="00A62EEB"/>
    <w:rsid w:val="00A660FF"/>
    <w:rsid w:val="00A6625A"/>
    <w:rsid w:val="00A729F3"/>
    <w:rsid w:val="00A73395"/>
    <w:rsid w:val="00A82B4C"/>
    <w:rsid w:val="00A90BA4"/>
    <w:rsid w:val="00A93A4C"/>
    <w:rsid w:val="00A94D5D"/>
    <w:rsid w:val="00AA1D9B"/>
    <w:rsid w:val="00AA2543"/>
    <w:rsid w:val="00AA3804"/>
    <w:rsid w:val="00AA3EC6"/>
    <w:rsid w:val="00AA55C2"/>
    <w:rsid w:val="00AB0ACA"/>
    <w:rsid w:val="00AB1D41"/>
    <w:rsid w:val="00AB514B"/>
    <w:rsid w:val="00AB5A7B"/>
    <w:rsid w:val="00AB5FD2"/>
    <w:rsid w:val="00AC0462"/>
    <w:rsid w:val="00AC11D1"/>
    <w:rsid w:val="00AC5E9A"/>
    <w:rsid w:val="00AC704B"/>
    <w:rsid w:val="00AD5390"/>
    <w:rsid w:val="00AD553E"/>
    <w:rsid w:val="00AD5848"/>
    <w:rsid w:val="00AD69A9"/>
    <w:rsid w:val="00AE13E0"/>
    <w:rsid w:val="00AE2795"/>
    <w:rsid w:val="00AE5ADA"/>
    <w:rsid w:val="00AE7B1D"/>
    <w:rsid w:val="00AF012E"/>
    <w:rsid w:val="00AF1568"/>
    <w:rsid w:val="00AF6145"/>
    <w:rsid w:val="00B01386"/>
    <w:rsid w:val="00B01BB5"/>
    <w:rsid w:val="00B04AF4"/>
    <w:rsid w:val="00B05214"/>
    <w:rsid w:val="00B06F20"/>
    <w:rsid w:val="00B073AB"/>
    <w:rsid w:val="00B07AC1"/>
    <w:rsid w:val="00B1544A"/>
    <w:rsid w:val="00B159A7"/>
    <w:rsid w:val="00B211D7"/>
    <w:rsid w:val="00B23229"/>
    <w:rsid w:val="00B26FEE"/>
    <w:rsid w:val="00B30D97"/>
    <w:rsid w:val="00B31738"/>
    <w:rsid w:val="00B3181A"/>
    <w:rsid w:val="00B35A7C"/>
    <w:rsid w:val="00B35B76"/>
    <w:rsid w:val="00B428BD"/>
    <w:rsid w:val="00B450D1"/>
    <w:rsid w:val="00B451DE"/>
    <w:rsid w:val="00B46EA6"/>
    <w:rsid w:val="00B50D0A"/>
    <w:rsid w:val="00B518AF"/>
    <w:rsid w:val="00B53D47"/>
    <w:rsid w:val="00B54A25"/>
    <w:rsid w:val="00B601DF"/>
    <w:rsid w:val="00B618C3"/>
    <w:rsid w:val="00B63652"/>
    <w:rsid w:val="00B65B0A"/>
    <w:rsid w:val="00B668B0"/>
    <w:rsid w:val="00B67CBC"/>
    <w:rsid w:val="00B70F5C"/>
    <w:rsid w:val="00B71873"/>
    <w:rsid w:val="00B75AE5"/>
    <w:rsid w:val="00B800C0"/>
    <w:rsid w:val="00B8132B"/>
    <w:rsid w:val="00B81A4B"/>
    <w:rsid w:val="00B831F2"/>
    <w:rsid w:val="00B84C5A"/>
    <w:rsid w:val="00B858F5"/>
    <w:rsid w:val="00B85ADA"/>
    <w:rsid w:val="00B85F0D"/>
    <w:rsid w:val="00B90D2B"/>
    <w:rsid w:val="00B93668"/>
    <w:rsid w:val="00B9493B"/>
    <w:rsid w:val="00B94CB9"/>
    <w:rsid w:val="00B9751E"/>
    <w:rsid w:val="00BA459A"/>
    <w:rsid w:val="00BA6008"/>
    <w:rsid w:val="00BA68C6"/>
    <w:rsid w:val="00BB1028"/>
    <w:rsid w:val="00BB12F1"/>
    <w:rsid w:val="00BB276E"/>
    <w:rsid w:val="00BB3351"/>
    <w:rsid w:val="00BB3CF2"/>
    <w:rsid w:val="00BB3FEE"/>
    <w:rsid w:val="00BB5EB0"/>
    <w:rsid w:val="00BB7A27"/>
    <w:rsid w:val="00BC0B7E"/>
    <w:rsid w:val="00BC245A"/>
    <w:rsid w:val="00BC48E7"/>
    <w:rsid w:val="00BD16FA"/>
    <w:rsid w:val="00BD41C3"/>
    <w:rsid w:val="00BD488B"/>
    <w:rsid w:val="00BD507B"/>
    <w:rsid w:val="00BD5B6A"/>
    <w:rsid w:val="00BD7443"/>
    <w:rsid w:val="00BD7711"/>
    <w:rsid w:val="00BD7CCC"/>
    <w:rsid w:val="00BE002A"/>
    <w:rsid w:val="00BE1BC9"/>
    <w:rsid w:val="00BE5CDA"/>
    <w:rsid w:val="00BE608F"/>
    <w:rsid w:val="00BF23BB"/>
    <w:rsid w:val="00BF33DD"/>
    <w:rsid w:val="00BF4445"/>
    <w:rsid w:val="00BF5755"/>
    <w:rsid w:val="00BF684B"/>
    <w:rsid w:val="00BF6950"/>
    <w:rsid w:val="00C016F3"/>
    <w:rsid w:val="00C102C8"/>
    <w:rsid w:val="00C11070"/>
    <w:rsid w:val="00C133D7"/>
    <w:rsid w:val="00C13A6C"/>
    <w:rsid w:val="00C14270"/>
    <w:rsid w:val="00C15193"/>
    <w:rsid w:val="00C15609"/>
    <w:rsid w:val="00C15F6A"/>
    <w:rsid w:val="00C15F70"/>
    <w:rsid w:val="00C23EA7"/>
    <w:rsid w:val="00C256F3"/>
    <w:rsid w:val="00C270A2"/>
    <w:rsid w:val="00C27332"/>
    <w:rsid w:val="00C315B5"/>
    <w:rsid w:val="00C32D3A"/>
    <w:rsid w:val="00C35E28"/>
    <w:rsid w:val="00C426AF"/>
    <w:rsid w:val="00C469A4"/>
    <w:rsid w:val="00C469C1"/>
    <w:rsid w:val="00C4781E"/>
    <w:rsid w:val="00C50659"/>
    <w:rsid w:val="00C51B39"/>
    <w:rsid w:val="00C51F07"/>
    <w:rsid w:val="00C525B0"/>
    <w:rsid w:val="00C5338A"/>
    <w:rsid w:val="00C54EF9"/>
    <w:rsid w:val="00C56BBF"/>
    <w:rsid w:val="00C5722E"/>
    <w:rsid w:val="00C572AA"/>
    <w:rsid w:val="00C57A9A"/>
    <w:rsid w:val="00C57FCA"/>
    <w:rsid w:val="00C6016A"/>
    <w:rsid w:val="00C60B3F"/>
    <w:rsid w:val="00C623EB"/>
    <w:rsid w:val="00C6258A"/>
    <w:rsid w:val="00C639E6"/>
    <w:rsid w:val="00C64C6B"/>
    <w:rsid w:val="00C65138"/>
    <w:rsid w:val="00C66F2E"/>
    <w:rsid w:val="00C6785C"/>
    <w:rsid w:val="00C67DC0"/>
    <w:rsid w:val="00C70FD1"/>
    <w:rsid w:val="00C733AA"/>
    <w:rsid w:val="00C80EC5"/>
    <w:rsid w:val="00C825DF"/>
    <w:rsid w:val="00C83027"/>
    <w:rsid w:val="00C83EDC"/>
    <w:rsid w:val="00C84B8A"/>
    <w:rsid w:val="00C85E65"/>
    <w:rsid w:val="00C87CA1"/>
    <w:rsid w:val="00C911B4"/>
    <w:rsid w:val="00C91B3B"/>
    <w:rsid w:val="00C92D6E"/>
    <w:rsid w:val="00C94262"/>
    <w:rsid w:val="00C9446F"/>
    <w:rsid w:val="00C976E1"/>
    <w:rsid w:val="00CA148E"/>
    <w:rsid w:val="00CA3A9A"/>
    <w:rsid w:val="00CA6CD1"/>
    <w:rsid w:val="00CB1ECF"/>
    <w:rsid w:val="00CB66A7"/>
    <w:rsid w:val="00CB6BC1"/>
    <w:rsid w:val="00CB7021"/>
    <w:rsid w:val="00CD06D5"/>
    <w:rsid w:val="00CD0CEF"/>
    <w:rsid w:val="00CD2A83"/>
    <w:rsid w:val="00CD3294"/>
    <w:rsid w:val="00CD4524"/>
    <w:rsid w:val="00CD6FF7"/>
    <w:rsid w:val="00CD784D"/>
    <w:rsid w:val="00CE5A97"/>
    <w:rsid w:val="00CF40F8"/>
    <w:rsid w:val="00CF7DB7"/>
    <w:rsid w:val="00D008DA"/>
    <w:rsid w:val="00D03245"/>
    <w:rsid w:val="00D0416F"/>
    <w:rsid w:val="00D05851"/>
    <w:rsid w:val="00D10FED"/>
    <w:rsid w:val="00D11736"/>
    <w:rsid w:val="00D12EE8"/>
    <w:rsid w:val="00D15FF1"/>
    <w:rsid w:val="00D16652"/>
    <w:rsid w:val="00D167F4"/>
    <w:rsid w:val="00D2092A"/>
    <w:rsid w:val="00D2216D"/>
    <w:rsid w:val="00D22864"/>
    <w:rsid w:val="00D23C35"/>
    <w:rsid w:val="00D31A6F"/>
    <w:rsid w:val="00D33293"/>
    <w:rsid w:val="00D353D1"/>
    <w:rsid w:val="00D367DB"/>
    <w:rsid w:val="00D36E05"/>
    <w:rsid w:val="00D37FB2"/>
    <w:rsid w:val="00D44F27"/>
    <w:rsid w:val="00D45304"/>
    <w:rsid w:val="00D45E6C"/>
    <w:rsid w:val="00D461C7"/>
    <w:rsid w:val="00D46410"/>
    <w:rsid w:val="00D50424"/>
    <w:rsid w:val="00D51D26"/>
    <w:rsid w:val="00D53796"/>
    <w:rsid w:val="00D55566"/>
    <w:rsid w:val="00D57D3E"/>
    <w:rsid w:val="00D63EA5"/>
    <w:rsid w:val="00D643F4"/>
    <w:rsid w:val="00D65357"/>
    <w:rsid w:val="00D65428"/>
    <w:rsid w:val="00D776DC"/>
    <w:rsid w:val="00D80077"/>
    <w:rsid w:val="00D80DAF"/>
    <w:rsid w:val="00D843F4"/>
    <w:rsid w:val="00D9020B"/>
    <w:rsid w:val="00D90A4D"/>
    <w:rsid w:val="00DB04BE"/>
    <w:rsid w:val="00DC1BD8"/>
    <w:rsid w:val="00DC23CF"/>
    <w:rsid w:val="00DC3A86"/>
    <w:rsid w:val="00DC4A75"/>
    <w:rsid w:val="00DC6562"/>
    <w:rsid w:val="00DD3BC6"/>
    <w:rsid w:val="00DE130D"/>
    <w:rsid w:val="00DE24CF"/>
    <w:rsid w:val="00DE407C"/>
    <w:rsid w:val="00DE6761"/>
    <w:rsid w:val="00DE7C7D"/>
    <w:rsid w:val="00DF135D"/>
    <w:rsid w:val="00DF1AE3"/>
    <w:rsid w:val="00DF2992"/>
    <w:rsid w:val="00DF2D0C"/>
    <w:rsid w:val="00DF3313"/>
    <w:rsid w:val="00DF7F1E"/>
    <w:rsid w:val="00E01B9D"/>
    <w:rsid w:val="00E04F5E"/>
    <w:rsid w:val="00E0522E"/>
    <w:rsid w:val="00E054B3"/>
    <w:rsid w:val="00E115B6"/>
    <w:rsid w:val="00E120F4"/>
    <w:rsid w:val="00E155F9"/>
    <w:rsid w:val="00E17172"/>
    <w:rsid w:val="00E25070"/>
    <w:rsid w:val="00E3181C"/>
    <w:rsid w:val="00E3280A"/>
    <w:rsid w:val="00E3372D"/>
    <w:rsid w:val="00E34612"/>
    <w:rsid w:val="00E35883"/>
    <w:rsid w:val="00E36076"/>
    <w:rsid w:val="00E372AF"/>
    <w:rsid w:val="00E37D68"/>
    <w:rsid w:val="00E40EAE"/>
    <w:rsid w:val="00E436AC"/>
    <w:rsid w:val="00E43D62"/>
    <w:rsid w:val="00E44FF8"/>
    <w:rsid w:val="00E4550C"/>
    <w:rsid w:val="00E462F5"/>
    <w:rsid w:val="00E5066A"/>
    <w:rsid w:val="00E52BF2"/>
    <w:rsid w:val="00E52CF9"/>
    <w:rsid w:val="00E52EAE"/>
    <w:rsid w:val="00E53434"/>
    <w:rsid w:val="00E5761D"/>
    <w:rsid w:val="00E61541"/>
    <w:rsid w:val="00E63F34"/>
    <w:rsid w:val="00E66D60"/>
    <w:rsid w:val="00E6715A"/>
    <w:rsid w:val="00E75C1D"/>
    <w:rsid w:val="00E75DC9"/>
    <w:rsid w:val="00E8120B"/>
    <w:rsid w:val="00E81610"/>
    <w:rsid w:val="00E816D0"/>
    <w:rsid w:val="00E829D8"/>
    <w:rsid w:val="00E846FA"/>
    <w:rsid w:val="00E84910"/>
    <w:rsid w:val="00E85B28"/>
    <w:rsid w:val="00E914DE"/>
    <w:rsid w:val="00E91976"/>
    <w:rsid w:val="00E91B06"/>
    <w:rsid w:val="00E947A6"/>
    <w:rsid w:val="00E96242"/>
    <w:rsid w:val="00E97FC7"/>
    <w:rsid w:val="00EA0295"/>
    <w:rsid w:val="00EA0690"/>
    <w:rsid w:val="00EA0E54"/>
    <w:rsid w:val="00EA231C"/>
    <w:rsid w:val="00EA3956"/>
    <w:rsid w:val="00EA543A"/>
    <w:rsid w:val="00EA5571"/>
    <w:rsid w:val="00EB20AC"/>
    <w:rsid w:val="00EC02A5"/>
    <w:rsid w:val="00EC176B"/>
    <w:rsid w:val="00EC33CD"/>
    <w:rsid w:val="00EC5BE5"/>
    <w:rsid w:val="00ED2650"/>
    <w:rsid w:val="00ED4F12"/>
    <w:rsid w:val="00ED721A"/>
    <w:rsid w:val="00ED7BDE"/>
    <w:rsid w:val="00EE393D"/>
    <w:rsid w:val="00EF01CF"/>
    <w:rsid w:val="00EF315A"/>
    <w:rsid w:val="00EF48B8"/>
    <w:rsid w:val="00EF6143"/>
    <w:rsid w:val="00EF6A66"/>
    <w:rsid w:val="00EF7AF9"/>
    <w:rsid w:val="00F01495"/>
    <w:rsid w:val="00F01EE6"/>
    <w:rsid w:val="00F03C20"/>
    <w:rsid w:val="00F10138"/>
    <w:rsid w:val="00F13F92"/>
    <w:rsid w:val="00F15918"/>
    <w:rsid w:val="00F22ECA"/>
    <w:rsid w:val="00F240E8"/>
    <w:rsid w:val="00F244FA"/>
    <w:rsid w:val="00F279AA"/>
    <w:rsid w:val="00F302E6"/>
    <w:rsid w:val="00F31FD5"/>
    <w:rsid w:val="00F3363A"/>
    <w:rsid w:val="00F3513A"/>
    <w:rsid w:val="00F363A4"/>
    <w:rsid w:val="00F366A2"/>
    <w:rsid w:val="00F42E07"/>
    <w:rsid w:val="00F44F43"/>
    <w:rsid w:val="00F450E1"/>
    <w:rsid w:val="00F4702C"/>
    <w:rsid w:val="00F50DF4"/>
    <w:rsid w:val="00F57AFE"/>
    <w:rsid w:val="00F6278E"/>
    <w:rsid w:val="00F63C41"/>
    <w:rsid w:val="00F63E96"/>
    <w:rsid w:val="00F64D64"/>
    <w:rsid w:val="00F701E3"/>
    <w:rsid w:val="00F71F8C"/>
    <w:rsid w:val="00F72BEB"/>
    <w:rsid w:val="00F80362"/>
    <w:rsid w:val="00F8143B"/>
    <w:rsid w:val="00F8354B"/>
    <w:rsid w:val="00F86AD4"/>
    <w:rsid w:val="00F92EE4"/>
    <w:rsid w:val="00F939D4"/>
    <w:rsid w:val="00FA0113"/>
    <w:rsid w:val="00FA06B0"/>
    <w:rsid w:val="00FA12B2"/>
    <w:rsid w:val="00FA178C"/>
    <w:rsid w:val="00FA7610"/>
    <w:rsid w:val="00FB02BD"/>
    <w:rsid w:val="00FB0827"/>
    <w:rsid w:val="00FB1A15"/>
    <w:rsid w:val="00FB398F"/>
    <w:rsid w:val="00FB4EF8"/>
    <w:rsid w:val="00FB6692"/>
    <w:rsid w:val="00FB78DD"/>
    <w:rsid w:val="00FC0D38"/>
    <w:rsid w:val="00FC125E"/>
    <w:rsid w:val="00FC1A2B"/>
    <w:rsid w:val="00FC3EF3"/>
    <w:rsid w:val="00FD2049"/>
    <w:rsid w:val="00FD2140"/>
    <w:rsid w:val="00FD2FAF"/>
    <w:rsid w:val="00FD5BDE"/>
    <w:rsid w:val="00FD68EC"/>
    <w:rsid w:val="00FE0476"/>
    <w:rsid w:val="00FE24A5"/>
    <w:rsid w:val="00FE2618"/>
    <w:rsid w:val="00FE31E5"/>
    <w:rsid w:val="00FE6912"/>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366E6"/>
  <w15:docId w15:val="{7F4A9A51-622D-4EF8-AEAD-AE4169AD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460335"/>
    <w:pPr>
      <w:jc w:val="both"/>
    </w:pPr>
    <w:rPr>
      <w:rFonts w:ascii="Arial" w:eastAsia="Times New Roman" w:hAnsi="Arial"/>
      <w:sz w:val="20"/>
      <w:szCs w:val="20"/>
      <w:lang w:val="el-GR"/>
    </w:rPr>
  </w:style>
  <w:style w:type="character" w:customStyle="1" w:styleId="BodyTextChar">
    <w:name w:val="Body Text Char"/>
    <w:link w:val="BodyText"/>
    <w:rsid w:val="00460335"/>
    <w:rPr>
      <w:rFonts w:ascii="Arial" w:eastAsia="Times New Roman" w:hAnsi="Arial"/>
      <w:lang w:val="el-GR"/>
    </w:rPr>
  </w:style>
  <w:style w:type="paragraph" w:styleId="HTMLPreformatted">
    <w:name w:val="HTML Preformatted"/>
    <w:basedOn w:val="Normal"/>
    <w:link w:val="HTMLPreformattedChar"/>
    <w:uiPriority w:val="99"/>
    <w:semiHidden/>
    <w:unhideWhenUsed/>
    <w:rsid w:val="00AD6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semiHidden/>
    <w:rsid w:val="00AD69A9"/>
    <w:rPr>
      <w:rFonts w:ascii="Courier New" w:eastAsia="Times New Roman" w:hAnsi="Courier New" w:cs="Courier New"/>
    </w:rPr>
  </w:style>
  <w:style w:type="character" w:customStyle="1" w:styleId="y2iqfc">
    <w:name w:val="y2iqfc"/>
    <w:basedOn w:val="DefaultParagraphFont"/>
    <w:rsid w:val="00AD69A9"/>
  </w:style>
  <w:style w:type="character" w:styleId="UnresolvedMention">
    <w:name w:val="Unresolved Mention"/>
    <w:basedOn w:val="DefaultParagraphFont"/>
    <w:uiPriority w:val="99"/>
    <w:semiHidden/>
    <w:unhideWhenUsed/>
    <w:rsid w:val="007D0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0323502">
      <w:bodyDiv w:val="1"/>
      <w:marLeft w:val="0"/>
      <w:marRight w:val="0"/>
      <w:marTop w:val="0"/>
      <w:marBottom w:val="0"/>
      <w:divBdr>
        <w:top w:val="none" w:sz="0" w:space="0" w:color="auto"/>
        <w:left w:val="none" w:sz="0" w:space="0" w:color="auto"/>
        <w:bottom w:val="none" w:sz="0" w:space="0" w:color="auto"/>
        <w:right w:val="none" w:sz="0" w:space="0" w:color="auto"/>
      </w:divBdr>
      <w:divsChild>
        <w:div w:id="745031222">
          <w:marLeft w:val="0"/>
          <w:marRight w:val="0"/>
          <w:marTop w:val="0"/>
          <w:marBottom w:val="0"/>
          <w:divBdr>
            <w:top w:val="none" w:sz="0" w:space="0" w:color="auto"/>
            <w:left w:val="none" w:sz="0" w:space="0" w:color="auto"/>
            <w:bottom w:val="none" w:sz="0" w:space="0" w:color="auto"/>
            <w:right w:val="none" w:sz="0" w:space="0" w:color="auto"/>
          </w:divBdr>
        </w:div>
      </w:divsChild>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ystatdb.cystat.gov.cy/pxweb/en/8.CYSTAT-DB/8.CYSTAT-DB__Population__6.Population%20Census__"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l/SubthemeStatistics?id=4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onisiforou@cystat.mof.gov.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lmakri@cystat.mof.gov.cy"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n/KeyFiguresList?s=46"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0.emf"/><Relationship Id="rId2" Type="http://schemas.openxmlformats.org/officeDocument/2006/relationships/image" Target="media/image6.emf"/><Relationship Id="rId1" Type="http://schemas.openxmlformats.org/officeDocument/2006/relationships/image" Target="media/image5.png"/><Relationship Id="rId5" Type="http://schemas.openxmlformats.org/officeDocument/2006/relationships/image" Target="media/image8.emf"/><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0799-30DE-4B74-91C7-ED544E35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12578</CharactersWithSpaces>
  <SharedDoc>false</SharedDoc>
  <HLinks>
    <vt:vector size="30" baseType="variant">
      <vt:variant>
        <vt:i4>4718717</vt:i4>
      </vt:variant>
      <vt:variant>
        <vt:i4>3</vt:i4>
      </vt:variant>
      <vt:variant>
        <vt:i4>0</vt:i4>
      </vt:variant>
      <vt:variant>
        <vt:i4>5</vt:i4>
      </vt:variant>
      <vt:variant>
        <vt:lpwstr>mailto:lpanagidou@cystat.mof.gov.cy</vt:lpwstr>
      </vt:variant>
      <vt:variant>
        <vt:lpwstr/>
      </vt:variant>
      <vt:variant>
        <vt:i4>5308487</vt:i4>
      </vt:variant>
      <vt:variant>
        <vt:i4>0</vt:i4>
      </vt:variant>
      <vt:variant>
        <vt:i4>0</vt:i4>
      </vt:variant>
      <vt:variant>
        <vt:i4>5</vt:i4>
      </vt:variant>
      <vt:variant>
        <vt:lpwstr>http://www.cystat.gov.cy/mof/cystat/statistics.nsf/services_71main_en/services_71main_en?OpenForm&amp;sub=1&amp;sel=2</vt:lpwstr>
      </vt:variant>
      <vt:variant>
        <vt:lpwstr/>
      </vt:variant>
      <vt:variant>
        <vt:i4>4980827</vt:i4>
      </vt:variant>
      <vt:variant>
        <vt:i4>3</vt:i4>
      </vt:variant>
      <vt:variant>
        <vt:i4>0</vt:i4>
      </vt:variant>
      <vt:variant>
        <vt:i4>5</vt:i4>
      </vt:variant>
      <vt:variant>
        <vt:lpwstr>http://www.cystat.gov.cy/</vt:lpwstr>
      </vt:variant>
      <vt:variant>
        <vt:lpwstr/>
      </vt:variant>
      <vt:variant>
        <vt:i4>3014706</vt:i4>
      </vt:variant>
      <vt:variant>
        <vt:i4>0</vt:i4>
      </vt:variant>
      <vt:variant>
        <vt:i4>0</vt:i4>
      </vt:variant>
      <vt:variant>
        <vt:i4>5</vt:i4>
      </vt:variant>
      <vt:variant>
        <vt:lpwstr>https://www.census2021.cystat.gov.cy/en</vt:lpwstr>
      </vt:variant>
      <vt:variant>
        <vt:lpwstr/>
      </vt:variant>
      <vt:variant>
        <vt:i4>3014706</vt:i4>
      </vt:variant>
      <vt:variant>
        <vt:i4>-1</vt:i4>
      </vt:variant>
      <vt:variant>
        <vt:i4>1026</vt:i4>
      </vt:variant>
      <vt:variant>
        <vt:i4>4</vt:i4>
      </vt:variant>
      <vt:variant>
        <vt:lpwstr>https://www.census2021.cystat.gov.cy/en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Ester Sophocleous</cp:lastModifiedBy>
  <cp:revision>45</cp:revision>
  <cp:lastPrinted>2023-08-03T08:45:00Z</cp:lastPrinted>
  <dcterms:created xsi:type="dcterms:W3CDTF">2023-08-03T07:31:00Z</dcterms:created>
  <dcterms:modified xsi:type="dcterms:W3CDTF">2023-08-04T07:06:00Z</dcterms:modified>
</cp:coreProperties>
</file>