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67E7" w14:textId="77777777" w:rsidR="00A61229" w:rsidRPr="00A61229" w:rsidRDefault="00463214" w:rsidP="00A61229">
      <w:pPr>
        <w:rPr>
          <w:rFonts w:ascii="Arial" w:hAnsi="Arial" w:cs="Arial"/>
          <w:color w:val="FF0000"/>
          <w:sz w:val="20"/>
          <w:szCs w:val="20"/>
        </w:rPr>
      </w:pPr>
      <w:r w:rsidRPr="004F03FD">
        <w:rPr>
          <w:rFonts w:ascii="Arial" w:hAnsi="Arial" w:cs="Arial"/>
          <w:sz w:val="20"/>
          <w:szCs w:val="20"/>
          <w:lang w:val="el-GR"/>
        </w:rPr>
        <w:tab/>
      </w:r>
      <w:r w:rsidRPr="005C56EE">
        <w:rPr>
          <w:rFonts w:ascii="Arial" w:hAnsi="Arial" w:cs="Arial"/>
          <w:sz w:val="18"/>
          <w:szCs w:val="18"/>
          <w:lang w:val="el-GR"/>
        </w:rPr>
        <w:tab/>
      </w:r>
    </w:p>
    <w:p w14:paraId="1229BE45" w14:textId="77777777" w:rsidR="00A61229" w:rsidRDefault="00A61229" w:rsidP="00A61229">
      <w:pPr>
        <w:jc w:val="right"/>
        <w:rPr>
          <w:rFonts w:ascii="Verdana" w:hAnsi="Verdana" w:cs="Arial"/>
          <w:sz w:val="18"/>
          <w:szCs w:val="18"/>
        </w:rPr>
      </w:pPr>
    </w:p>
    <w:p w14:paraId="66751D21" w14:textId="5529F3E2" w:rsidR="00A61229" w:rsidRDefault="00EA6EEC" w:rsidP="00A61229">
      <w:pPr>
        <w:jc w:val="right"/>
        <w:rPr>
          <w:rFonts w:ascii="Verdana" w:eastAsia="Malgun Gothic" w:hAnsi="Verdana" w:cs="Arial"/>
          <w:sz w:val="18"/>
          <w:szCs w:val="18"/>
        </w:rPr>
      </w:pPr>
      <w:r>
        <w:rPr>
          <w:rFonts w:ascii="Verdana" w:eastAsia="Malgun Gothic" w:hAnsi="Verdana" w:cs="Arial"/>
          <w:sz w:val="18"/>
          <w:szCs w:val="18"/>
        </w:rPr>
        <w:t>7</w:t>
      </w:r>
      <w:r w:rsidR="00A20E00">
        <w:rPr>
          <w:rFonts w:ascii="Verdana" w:eastAsia="Malgun Gothic" w:hAnsi="Verdana" w:cs="Arial"/>
          <w:sz w:val="18"/>
          <w:szCs w:val="18"/>
        </w:rPr>
        <w:t xml:space="preserve"> </w:t>
      </w:r>
      <w:r>
        <w:rPr>
          <w:rFonts w:ascii="Verdana" w:eastAsia="Malgun Gothic" w:hAnsi="Verdana" w:cs="Arial"/>
          <w:sz w:val="18"/>
          <w:szCs w:val="18"/>
        </w:rPr>
        <w:t>October</w:t>
      </w:r>
      <w:r w:rsidR="00755D2E">
        <w:rPr>
          <w:rFonts w:ascii="Verdana" w:eastAsia="Malgun Gothic" w:hAnsi="Verdana" w:cs="Arial"/>
          <w:sz w:val="18"/>
          <w:szCs w:val="18"/>
        </w:rPr>
        <w:t>,</w:t>
      </w:r>
      <w:r w:rsidR="00353F86">
        <w:rPr>
          <w:rFonts w:ascii="Verdana" w:eastAsia="Malgun Gothic" w:hAnsi="Verdana" w:cs="Arial"/>
          <w:sz w:val="18"/>
          <w:szCs w:val="18"/>
        </w:rPr>
        <w:t xml:space="preserve"> </w:t>
      </w:r>
      <w:r w:rsidR="00A61229">
        <w:rPr>
          <w:rFonts w:ascii="Verdana" w:eastAsia="Malgun Gothic" w:hAnsi="Verdana" w:cs="Arial"/>
          <w:sz w:val="18"/>
          <w:szCs w:val="18"/>
        </w:rPr>
        <w:t>202</w:t>
      </w:r>
      <w:r w:rsidR="00566CBE">
        <w:rPr>
          <w:rFonts w:ascii="Verdana" w:eastAsia="Malgun Gothic" w:hAnsi="Verdana" w:cs="Arial"/>
          <w:sz w:val="18"/>
          <w:szCs w:val="18"/>
        </w:rPr>
        <w:t>5</w:t>
      </w:r>
    </w:p>
    <w:p w14:paraId="35EB6071" w14:textId="77777777" w:rsidR="00A61229" w:rsidRDefault="00A61229" w:rsidP="00A61229">
      <w:pPr>
        <w:jc w:val="center"/>
        <w:rPr>
          <w:rFonts w:ascii="Verdana" w:eastAsia="Malgun Gothic" w:hAnsi="Verdana" w:cs="Arial"/>
          <w:b/>
          <w:sz w:val="24"/>
          <w:szCs w:val="24"/>
        </w:rPr>
      </w:pPr>
    </w:p>
    <w:p w14:paraId="21DFA6A5" w14:textId="77777777" w:rsidR="00A61229" w:rsidRDefault="00A61229" w:rsidP="00A61229">
      <w:pPr>
        <w:jc w:val="center"/>
        <w:rPr>
          <w:rFonts w:ascii="Verdana" w:eastAsia="Malgun Gothic" w:hAnsi="Verdana" w:cs="Arial"/>
          <w:b/>
          <w:sz w:val="24"/>
          <w:szCs w:val="24"/>
        </w:rPr>
      </w:pPr>
      <w:r>
        <w:rPr>
          <w:rFonts w:ascii="Verdana" w:eastAsia="Malgun Gothic" w:hAnsi="Verdana" w:cs="Arial"/>
          <w:b/>
          <w:sz w:val="24"/>
          <w:szCs w:val="24"/>
        </w:rPr>
        <w:t>PRESS RELEASE</w:t>
      </w:r>
    </w:p>
    <w:p w14:paraId="1C08C862" w14:textId="77777777" w:rsidR="00A61229" w:rsidRDefault="00A61229" w:rsidP="00A61229">
      <w:pPr>
        <w:jc w:val="center"/>
        <w:rPr>
          <w:rFonts w:ascii="Verdana" w:hAnsi="Verdana"/>
          <w:sz w:val="20"/>
          <w:szCs w:val="20"/>
          <w:u w:val="single"/>
          <w:shd w:val="clear" w:color="auto" w:fill="FFFFFF"/>
        </w:rPr>
      </w:pPr>
    </w:p>
    <w:p w14:paraId="17FC132C" w14:textId="77777777" w:rsidR="00A61229" w:rsidRDefault="00A61229" w:rsidP="00A61229">
      <w:pPr>
        <w:jc w:val="center"/>
        <w:rPr>
          <w:rFonts w:ascii="Verdana" w:hAnsi="Verdana"/>
          <w:sz w:val="20"/>
          <w:szCs w:val="20"/>
          <w:u w:val="single"/>
          <w:shd w:val="clear" w:color="auto" w:fill="FFFFFF"/>
        </w:rPr>
      </w:pPr>
    </w:p>
    <w:p w14:paraId="3C7841F9" w14:textId="5FE65360" w:rsidR="00A61229" w:rsidRDefault="00D84634" w:rsidP="00A61229">
      <w:pPr>
        <w:rPr>
          <w:rFonts w:ascii="Verdana" w:hAnsi="Verdana"/>
          <w:bCs/>
          <w:u w:val="single"/>
          <w:shd w:val="clear" w:color="auto" w:fill="FFFFFF"/>
        </w:rPr>
      </w:pPr>
      <w:r>
        <w:rPr>
          <w:rFonts w:ascii="Verdana" w:hAnsi="Verdana"/>
          <w:bCs/>
          <w:u w:val="single"/>
          <w:shd w:val="clear" w:color="auto" w:fill="FFFFFF"/>
        </w:rPr>
        <w:t>IND</w:t>
      </w:r>
      <w:r w:rsidR="00EA1996">
        <w:rPr>
          <w:rFonts w:ascii="Verdana" w:hAnsi="Verdana"/>
          <w:bCs/>
          <w:u w:val="single"/>
          <w:shd w:val="clear" w:color="auto" w:fill="FFFFFF"/>
        </w:rPr>
        <w:t xml:space="preserve">EX </w:t>
      </w:r>
      <w:r w:rsidR="00C86364">
        <w:rPr>
          <w:rFonts w:ascii="Verdana" w:hAnsi="Verdana"/>
          <w:bCs/>
          <w:u w:val="single"/>
          <w:shd w:val="clear" w:color="auto" w:fill="FFFFFF"/>
        </w:rPr>
        <w:t xml:space="preserve">OF PRODUCTION </w:t>
      </w:r>
      <w:r>
        <w:rPr>
          <w:rFonts w:ascii="Verdana" w:hAnsi="Verdana"/>
          <w:bCs/>
          <w:u w:val="single"/>
          <w:shd w:val="clear" w:color="auto" w:fill="FFFFFF"/>
        </w:rPr>
        <w:t xml:space="preserve">AND </w:t>
      </w:r>
      <w:r w:rsidR="00EA1996">
        <w:rPr>
          <w:rFonts w:ascii="Verdana" w:hAnsi="Verdana"/>
          <w:bCs/>
          <w:u w:val="single"/>
          <w:shd w:val="clear" w:color="auto" w:fill="FFFFFF"/>
        </w:rPr>
        <w:t xml:space="preserve">INDEX OF </w:t>
      </w:r>
      <w:r w:rsidR="00A61229">
        <w:rPr>
          <w:rFonts w:ascii="Verdana" w:hAnsi="Verdana"/>
          <w:bCs/>
          <w:u w:val="single"/>
          <w:shd w:val="clear" w:color="auto" w:fill="FFFFFF"/>
        </w:rPr>
        <w:t>OUTPUT PRICES IN CONSTRUCTION:</w:t>
      </w:r>
      <w:r w:rsidR="00566CBE">
        <w:rPr>
          <w:rFonts w:ascii="Verdana" w:hAnsi="Verdana"/>
          <w:bCs/>
          <w:u w:val="single"/>
          <w:shd w:val="clear" w:color="auto" w:fill="FFFFFF"/>
        </w:rPr>
        <w:t xml:space="preserve"> </w:t>
      </w:r>
      <w:r w:rsidR="00EA6EEC">
        <w:rPr>
          <w:rFonts w:ascii="Verdana" w:hAnsi="Verdana"/>
          <w:b/>
          <w:bCs/>
          <w:u w:val="single"/>
          <w:shd w:val="clear" w:color="auto" w:fill="FFFFFF"/>
        </w:rPr>
        <w:t>2nd</w:t>
      </w:r>
      <w:r w:rsidR="00A84B6F" w:rsidRPr="00A84B6F">
        <w:rPr>
          <w:rFonts w:ascii="Verdana" w:hAnsi="Verdana"/>
          <w:b/>
          <w:bCs/>
          <w:u w:val="single"/>
          <w:shd w:val="clear" w:color="auto" w:fill="FFFFFF"/>
        </w:rPr>
        <w:t xml:space="preserve"> </w:t>
      </w:r>
      <w:r>
        <w:rPr>
          <w:rFonts w:ascii="Verdana" w:hAnsi="Verdana"/>
          <w:b/>
          <w:bCs/>
          <w:u w:val="single"/>
          <w:shd w:val="clear" w:color="auto" w:fill="FFFFFF"/>
        </w:rPr>
        <w:t>QUARTER</w:t>
      </w:r>
      <w:r w:rsidR="00A61229">
        <w:rPr>
          <w:rFonts w:ascii="Verdana" w:hAnsi="Verdana"/>
          <w:b/>
          <w:bCs/>
          <w:u w:val="single"/>
          <w:shd w:val="clear" w:color="auto" w:fill="FFFFFF"/>
        </w:rPr>
        <w:t xml:space="preserve"> 202</w:t>
      </w:r>
      <w:r w:rsidR="00A20E00">
        <w:rPr>
          <w:rFonts w:ascii="Verdana" w:hAnsi="Verdana"/>
          <w:b/>
          <w:bCs/>
          <w:u w:val="single"/>
          <w:shd w:val="clear" w:color="auto" w:fill="FFFFFF"/>
        </w:rPr>
        <w:t>5</w:t>
      </w:r>
    </w:p>
    <w:p w14:paraId="5C18D017" w14:textId="77777777" w:rsidR="009161C3" w:rsidRPr="00F82F9E" w:rsidRDefault="009161C3" w:rsidP="00A61229">
      <w:pPr>
        <w:jc w:val="both"/>
        <w:rPr>
          <w:rFonts w:ascii="Verdana" w:hAnsi="Verdana" w:cs="Arial"/>
        </w:rPr>
      </w:pPr>
    </w:p>
    <w:p w14:paraId="6FF4D78F" w14:textId="5DB28725" w:rsidR="00EA1996" w:rsidRPr="00036E64" w:rsidRDefault="00A61229" w:rsidP="00A61229">
      <w:pPr>
        <w:jc w:val="center"/>
        <w:rPr>
          <w:rFonts w:ascii="Verdana" w:eastAsia="Malgun Gothic" w:hAnsi="Verdana" w:cs="Arial"/>
          <w:b/>
        </w:rPr>
      </w:pPr>
      <w:r w:rsidRPr="00036E64">
        <w:rPr>
          <w:rFonts w:ascii="Verdana" w:eastAsia="Malgun Gothic" w:hAnsi="Verdana" w:cs="Arial"/>
          <w:b/>
        </w:rPr>
        <w:t xml:space="preserve">Annual Change </w:t>
      </w:r>
      <w:bookmarkStart w:id="0" w:name="_Hlk181623804"/>
      <w:r w:rsidR="007C2740">
        <w:rPr>
          <w:rFonts w:ascii="Verdana" w:eastAsia="Malgun Gothic" w:hAnsi="Verdana" w:cs="Arial"/>
          <w:b/>
        </w:rPr>
        <w:t>+</w:t>
      </w:r>
      <w:r w:rsidR="005E6C3A">
        <w:rPr>
          <w:rFonts w:ascii="Verdana" w:eastAsia="Malgun Gothic" w:hAnsi="Verdana" w:cs="Arial"/>
          <w:b/>
        </w:rPr>
        <w:t>4,</w:t>
      </w:r>
      <w:r w:rsidR="00E4756E">
        <w:rPr>
          <w:rFonts w:ascii="Verdana" w:eastAsia="Malgun Gothic" w:hAnsi="Verdana" w:cs="Arial"/>
          <w:b/>
        </w:rPr>
        <w:t>6</w:t>
      </w:r>
      <w:r w:rsidRPr="00036E64">
        <w:rPr>
          <w:rFonts w:ascii="Verdana" w:eastAsia="Malgun Gothic" w:hAnsi="Verdana" w:cs="Arial"/>
          <w:b/>
        </w:rPr>
        <w:t>%</w:t>
      </w:r>
      <w:r w:rsidR="00D84634" w:rsidRPr="00036E64">
        <w:rPr>
          <w:rFonts w:ascii="Verdana" w:eastAsia="Malgun Gothic" w:hAnsi="Verdana" w:cs="Arial"/>
          <w:b/>
        </w:rPr>
        <w:t xml:space="preserve"> </w:t>
      </w:r>
      <w:bookmarkEnd w:id="0"/>
      <w:r w:rsidR="00D84634" w:rsidRPr="00036E64">
        <w:rPr>
          <w:rFonts w:ascii="Verdana" w:eastAsia="Malgun Gothic" w:hAnsi="Verdana" w:cs="Arial"/>
          <w:b/>
        </w:rPr>
        <w:t>in Production and +</w:t>
      </w:r>
      <w:r w:rsidR="005E6C3A">
        <w:rPr>
          <w:rFonts w:ascii="Verdana" w:eastAsia="Malgun Gothic" w:hAnsi="Verdana" w:cs="Arial"/>
          <w:b/>
        </w:rPr>
        <w:t>5,4</w:t>
      </w:r>
      <w:r w:rsidR="00D84634" w:rsidRPr="00036E64">
        <w:rPr>
          <w:rFonts w:ascii="Verdana" w:eastAsia="Malgun Gothic" w:hAnsi="Verdana" w:cs="Arial"/>
          <w:b/>
        </w:rPr>
        <w:t>% in Output Prices</w:t>
      </w:r>
      <w:r w:rsidR="00EA1996" w:rsidRPr="00036E64">
        <w:rPr>
          <w:rFonts w:ascii="Verdana" w:eastAsia="Malgun Gothic" w:hAnsi="Verdana" w:cs="Arial"/>
          <w:b/>
        </w:rPr>
        <w:t xml:space="preserve"> </w:t>
      </w:r>
    </w:p>
    <w:p w14:paraId="6CFF3CB4" w14:textId="77777777" w:rsidR="00D84634" w:rsidRPr="009161C3" w:rsidRDefault="00D84634" w:rsidP="00800AF4">
      <w:pPr>
        <w:ind w:right="-51"/>
        <w:jc w:val="both"/>
        <w:rPr>
          <w:rFonts w:ascii="Verdana" w:eastAsia="Malgun Gothic" w:hAnsi="Verdana" w:cs="Arial"/>
          <w:sz w:val="18"/>
          <w:szCs w:val="18"/>
          <w:lang w:val="en-GB"/>
        </w:rPr>
      </w:pPr>
    </w:p>
    <w:p w14:paraId="7E81D4C0" w14:textId="310D8B23" w:rsidR="00C86364" w:rsidRDefault="00C86364" w:rsidP="00EA1996">
      <w:pPr>
        <w:jc w:val="both"/>
        <w:rPr>
          <w:rFonts w:ascii="Verdana" w:eastAsia="Malgun Gothic" w:hAnsi="Verdana" w:cs="Arial"/>
          <w:sz w:val="18"/>
          <w:szCs w:val="18"/>
        </w:rPr>
      </w:pPr>
      <w:r>
        <w:rPr>
          <w:rFonts w:ascii="Verdana" w:eastAsia="Malgun Gothic" w:hAnsi="Verdana" w:cs="Arial"/>
          <w:sz w:val="18"/>
          <w:szCs w:val="18"/>
        </w:rPr>
        <w:t xml:space="preserve">The Index of Production in Construction during </w:t>
      </w:r>
      <w:r w:rsidR="00E31BDE">
        <w:rPr>
          <w:rFonts w:ascii="Verdana" w:eastAsia="Malgun Gothic" w:hAnsi="Verdana" w:cs="Arial"/>
          <w:sz w:val="18"/>
          <w:szCs w:val="18"/>
        </w:rPr>
        <w:t xml:space="preserve">the </w:t>
      </w:r>
      <w:r w:rsidR="00EA6EEC">
        <w:rPr>
          <w:rFonts w:ascii="Verdana" w:eastAsia="Malgun Gothic" w:hAnsi="Verdana" w:cs="Arial"/>
          <w:sz w:val="18"/>
          <w:szCs w:val="18"/>
        </w:rPr>
        <w:t xml:space="preserve">second </w:t>
      </w:r>
      <w:r>
        <w:rPr>
          <w:rFonts w:ascii="Verdana" w:eastAsia="Malgun Gothic" w:hAnsi="Verdana" w:cs="Arial"/>
          <w:sz w:val="18"/>
          <w:szCs w:val="18"/>
        </w:rPr>
        <w:t>quarter of 202</w:t>
      </w:r>
      <w:r w:rsidR="00A20E00">
        <w:rPr>
          <w:rFonts w:ascii="Verdana" w:eastAsia="Malgun Gothic" w:hAnsi="Verdana" w:cs="Arial"/>
          <w:sz w:val="18"/>
          <w:szCs w:val="18"/>
        </w:rPr>
        <w:t>5</w:t>
      </w:r>
      <w:r>
        <w:rPr>
          <w:rFonts w:ascii="Verdana" w:eastAsia="Malgun Gothic" w:hAnsi="Verdana" w:cs="Arial"/>
          <w:sz w:val="18"/>
          <w:szCs w:val="18"/>
        </w:rPr>
        <w:t xml:space="preserve"> reached </w:t>
      </w:r>
      <w:r w:rsidR="00E4756E">
        <w:rPr>
          <w:rFonts w:ascii="Verdana" w:eastAsia="Malgun Gothic" w:hAnsi="Verdana" w:cs="Arial"/>
          <w:sz w:val="18"/>
          <w:szCs w:val="18"/>
        </w:rPr>
        <w:t>131,38</w:t>
      </w:r>
      <w:r w:rsidR="005E6C3A">
        <w:rPr>
          <w:rFonts w:ascii="Verdana" w:eastAsia="Malgun Gothic" w:hAnsi="Verdana" w:cs="Arial"/>
          <w:sz w:val="18"/>
          <w:szCs w:val="18"/>
        </w:rPr>
        <w:t xml:space="preserve"> </w:t>
      </w:r>
      <w:r>
        <w:rPr>
          <w:rFonts w:ascii="Verdana" w:eastAsia="Malgun Gothic" w:hAnsi="Verdana" w:cs="Arial"/>
          <w:sz w:val="18"/>
          <w:szCs w:val="18"/>
        </w:rPr>
        <w:t>units (base year 2021=100,00), recording a</w:t>
      </w:r>
      <w:r w:rsidR="007C2740">
        <w:rPr>
          <w:rFonts w:ascii="Verdana" w:eastAsia="Malgun Gothic" w:hAnsi="Verdana" w:cs="Arial"/>
          <w:sz w:val="18"/>
          <w:szCs w:val="18"/>
        </w:rPr>
        <w:t>n</w:t>
      </w:r>
      <w:r w:rsidR="003356E2">
        <w:rPr>
          <w:rFonts w:ascii="Verdana" w:eastAsia="Malgun Gothic" w:hAnsi="Verdana" w:cs="Arial"/>
          <w:sz w:val="18"/>
          <w:szCs w:val="18"/>
        </w:rPr>
        <w:t xml:space="preserve"> </w:t>
      </w:r>
      <w:r w:rsidR="007C2740">
        <w:rPr>
          <w:rFonts w:ascii="Verdana" w:eastAsia="Malgun Gothic" w:hAnsi="Verdana" w:cs="Arial"/>
          <w:sz w:val="18"/>
          <w:szCs w:val="18"/>
        </w:rPr>
        <w:t>in</w:t>
      </w:r>
      <w:r>
        <w:rPr>
          <w:rFonts w:ascii="Verdana" w:eastAsia="Malgun Gothic" w:hAnsi="Verdana" w:cs="Arial"/>
          <w:sz w:val="18"/>
          <w:szCs w:val="18"/>
        </w:rPr>
        <w:t xml:space="preserve">crease of </w:t>
      </w:r>
      <w:r w:rsidR="00E4756E">
        <w:rPr>
          <w:rFonts w:ascii="Verdana" w:eastAsia="Malgun Gothic" w:hAnsi="Verdana" w:cs="Arial"/>
          <w:sz w:val="18"/>
          <w:szCs w:val="18"/>
        </w:rPr>
        <w:t>4,6</w:t>
      </w:r>
      <w:r>
        <w:rPr>
          <w:rFonts w:ascii="Verdana" w:eastAsia="Malgun Gothic" w:hAnsi="Verdana" w:cs="Arial"/>
          <w:sz w:val="18"/>
          <w:szCs w:val="18"/>
        </w:rPr>
        <w:t>% over the</w:t>
      </w:r>
      <w:r w:rsidR="00EA6EEC">
        <w:rPr>
          <w:rFonts w:ascii="Verdana" w:eastAsia="Malgun Gothic" w:hAnsi="Verdana" w:cs="Arial"/>
          <w:sz w:val="18"/>
          <w:szCs w:val="18"/>
        </w:rPr>
        <w:t xml:space="preserve"> second </w:t>
      </w:r>
      <w:r>
        <w:rPr>
          <w:rFonts w:ascii="Verdana" w:eastAsia="Malgun Gothic" w:hAnsi="Verdana" w:cs="Arial"/>
          <w:sz w:val="18"/>
          <w:szCs w:val="18"/>
        </w:rPr>
        <w:t>quarter of 202</w:t>
      </w:r>
      <w:r w:rsidR="00A20E00">
        <w:rPr>
          <w:rFonts w:ascii="Verdana" w:eastAsia="Malgun Gothic" w:hAnsi="Verdana" w:cs="Arial"/>
          <w:sz w:val="18"/>
          <w:szCs w:val="18"/>
        </w:rPr>
        <w:t>4</w:t>
      </w:r>
      <w:r w:rsidRPr="00D728F0">
        <w:rPr>
          <w:rFonts w:ascii="Verdana" w:eastAsia="Malgun Gothic" w:hAnsi="Verdana" w:cs="Arial"/>
          <w:sz w:val="18"/>
          <w:szCs w:val="18"/>
        </w:rPr>
        <w:t xml:space="preserve">. </w:t>
      </w:r>
    </w:p>
    <w:p w14:paraId="2A447EC3" w14:textId="77777777" w:rsidR="00D84634" w:rsidRDefault="00D84634" w:rsidP="00800AF4">
      <w:pPr>
        <w:ind w:right="-51"/>
        <w:jc w:val="both"/>
        <w:rPr>
          <w:rFonts w:ascii="Verdana" w:eastAsia="Malgun Gothic" w:hAnsi="Verdana" w:cs="Arial"/>
          <w:sz w:val="18"/>
          <w:szCs w:val="18"/>
        </w:rPr>
      </w:pPr>
    </w:p>
    <w:p w14:paraId="24DADEBD" w14:textId="47BEC358" w:rsidR="007C2740" w:rsidRDefault="00A61229" w:rsidP="00EA1996">
      <w:pPr>
        <w:ind w:right="-51"/>
        <w:jc w:val="both"/>
        <w:rPr>
          <w:rFonts w:ascii="Verdana" w:eastAsia="Malgun Gothic" w:hAnsi="Verdana" w:cs="Arial"/>
          <w:sz w:val="18"/>
          <w:szCs w:val="18"/>
        </w:rPr>
      </w:pPr>
      <w:r>
        <w:rPr>
          <w:rFonts w:ascii="Verdana" w:eastAsia="Malgun Gothic" w:hAnsi="Verdana" w:cs="Arial"/>
          <w:sz w:val="18"/>
          <w:szCs w:val="18"/>
        </w:rPr>
        <w:t xml:space="preserve">The </w:t>
      </w:r>
      <w:bookmarkStart w:id="1" w:name="_Hlk181623828"/>
      <w:r>
        <w:rPr>
          <w:rFonts w:ascii="Verdana" w:eastAsia="Malgun Gothic" w:hAnsi="Verdana" w:cs="Arial"/>
          <w:sz w:val="18"/>
          <w:szCs w:val="18"/>
        </w:rPr>
        <w:t xml:space="preserve">Output Prices </w:t>
      </w:r>
      <w:bookmarkEnd w:id="1"/>
      <w:r>
        <w:rPr>
          <w:rFonts w:ascii="Verdana" w:eastAsia="Malgun Gothic" w:hAnsi="Verdana" w:cs="Arial"/>
          <w:sz w:val="18"/>
          <w:szCs w:val="18"/>
        </w:rPr>
        <w:t xml:space="preserve">Index in Construction for the </w:t>
      </w:r>
      <w:bookmarkStart w:id="2" w:name="_Hlk181624079"/>
      <w:r w:rsidR="00EA6EEC">
        <w:rPr>
          <w:rFonts w:ascii="Verdana" w:eastAsia="Malgun Gothic" w:hAnsi="Verdana" w:cs="Arial"/>
          <w:sz w:val="18"/>
          <w:szCs w:val="18"/>
        </w:rPr>
        <w:t>second</w:t>
      </w:r>
      <w:r w:rsidR="007114CF">
        <w:rPr>
          <w:rFonts w:ascii="Verdana" w:eastAsia="Malgun Gothic" w:hAnsi="Verdana" w:cs="Arial"/>
          <w:sz w:val="18"/>
          <w:szCs w:val="18"/>
        </w:rPr>
        <w:t xml:space="preserve"> </w:t>
      </w:r>
      <w:r>
        <w:rPr>
          <w:rFonts w:ascii="Verdana" w:eastAsia="Malgun Gothic" w:hAnsi="Verdana" w:cs="Arial"/>
          <w:sz w:val="18"/>
          <w:szCs w:val="18"/>
        </w:rPr>
        <w:t>quarter of 202</w:t>
      </w:r>
      <w:r w:rsidR="00A20E00">
        <w:rPr>
          <w:rFonts w:ascii="Verdana" w:eastAsia="Malgun Gothic" w:hAnsi="Verdana" w:cs="Arial"/>
          <w:sz w:val="18"/>
          <w:szCs w:val="18"/>
        </w:rPr>
        <w:t>5</w:t>
      </w:r>
      <w:r>
        <w:rPr>
          <w:rFonts w:ascii="Verdana" w:eastAsia="Malgun Gothic" w:hAnsi="Verdana" w:cs="Arial"/>
          <w:sz w:val="18"/>
          <w:szCs w:val="18"/>
        </w:rPr>
        <w:t xml:space="preserve"> </w:t>
      </w:r>
      <w:bookmarkEnd w:id="2"/>
      <w:r>
        <w:rPr>
          <w:rFonts w:ascii="Verdana" w:eastAsia="Malgun Gothic" w:hAnsi="Verdana" w:cs="Arial"/>
          <w:sz w:val="18"/>
          <w:szCs w:val="18"/>
        </w:rPr>
        <w:t xml:space="preserve">reached </w:t>
      </w:r>
      <w:r w:rsidR="00E4756E">
        <w:rPr>
          <w:rFonts w:ascii="Verdana" w:eastAsia="Malgun Gothic" w:hAnsi="Verdana" w:cs="Arial"/>
          <w:sz w:val="18"/>
          <w:szCs w:val="18"/>
        </w:rPr>
        <w:t xml:space="preserve">126,32 </w:t>
      </w:r>
      <w:r>
        <w:rPr>
          <w:rFonts w:ascii="Verdana" w:eastAsia="Malgun Gothic" w:hAnsi="Verdana" w:cs="Arial"/>
          <w:sz w:val="18"/>
          <w:szCs w:val="18"/>
        </w:rPr>
        <w:t>units (base year 20</w:t>
      </w:r>
      <w:r w:rsidR="00D84634">
        <w:rPr>
          <w:rFonts w:ascii="Verdana" w:eastAsia="Malgun Gothic" w:hAnsi="Verdana" w:cs="Arial"/>
          <w:sz w:val="18"/>
          <w:szCs w:val="18"/>
        </w:rPr>
        <w:t>21</w:t>
      </w:r>
      <w:r>
        <w:rPr>
          <w:rFonts w:ascii="Verdana" w:eastAsia="Malgun Gothic" w:hAnsi="Verdana" w:cs="Arial"/>
          <w:sz w:val="18"/>
          <w:szCs w:val="18"/>
        </w:rPr>
        <w:t xml:space="preserve">=100,00), recording </w:t>
      </w:r>
      <w:r w:rsidR="00874A67">
        <w:rPr>
          <w:rFonts w:ascii="Verdana" w:eastAsia="Malgun Gothic" w:hAnsi="Verdana" w:cs="Arial"/>
          <w:sz w:val="18"/>
          <w:szCs w:val="18"/>
        </w:rPr>
        <w:t>a</w:t>
      </w:r>
      <w:r w:rsidR="003356E2">
        <w:rPr>
          <w:rFonts w:ascii="Verdana" w:eastAsia="Malgun Gothic" w:hAnsi="Verdana" w:cs="Arial"/>
          <w:sz w:val="18"/>
          <w:szCs w:val="18"/>
        </w:rPr>
        <w:t xml:space="preserve">n </w:t>
      </w:r>
      <w:r w:rsidR="007976FB">
        <w:rPr>
          <w:rFonts w:ascii="Verdana" w:eastAsia="Malgun Gothic" w:hAnsi="Verdana" w:cs="Arial"/>
          <w:sz w:val="18"/>
          <w:szCs w:val="18"/>
        </w:rPr>
        <w:t>in</w:t>
      </w:r>
      <w:r>
        <w:rPr>
          <w:rFonts w:ascii="Verdana" w:eastAsia="Malgun Gothic" w:hAnsi="Verdana" w:cs="Arial"/>
          <w:sz w:val="18"/>
          <w:szCs w:val="18"/>
        </w:rPr>
        <w:t xml:space="preserve">crease of </w:t>
      </w:r>
      <w:r w:rsidR="00E4756E">
        <w:rPr>
          <w:rFonts w:ascii="Verdana" w:eastAsia="Malgun Gothic" w:hAnsi="Verdana" w:cs="Arial"/>
          <w:sz w:val="18"/>
          <w:szCs w:val="18"/>
        </w:rPr>
        <w:t>2,1</w:t>
      </w:r>
      <w:r>
        <w:rPr>
          <w:rFonts w:ascii="Verdana" w:eastAsia="Malgun Gothic" w:hAnsi="Verdana" w:cs="Arial"/>
          <w:sz w:val="18"/>
          <w:szCs w:val="18"/>
        </w:rPr>
        <w:t xml:space="preserve">% </w:t>
      </w:r>
      <w:r w:rsidR="00EA1996">
        <w:rPr>
          <w:rFonts w:ascii="Verdana" w:eastAsia="Malgun Gothic" w:hAnsi="Verdana" w:cs="Arial"/>
          <w:sz w:val="18"/>
          <w:szCs w:val="18"/>
        </w:rPr>
        <w:t xml:space="preserve">relative to </w:t>
      </w:r>
      <w:r>
        <w:rPr>
          <w:rFonts w:ascii="Verdana" w:eastAsia="Malgun Gothic" w:hAnsi="Verdana" w:cs="Arial"/>
          <w:sz w:val="18"/>
          <w:szCs w:val="18"/>
        </w:rPr>
        <w:t xml:space="preserve">the </w:t>
      </w:r>
      <w:r w:rsidR="00A20E00">
        <w:rPr>
          <w:rFonts w:ascii="Verdana" w:eastAsia="Malgun Gothic" w:hAnsi="Verdana" w:cs="Arial"/>
          <w:sz w:val="18"/>
          <w:szCs w:val="18"/>
        </w:rPr>
        <w:t>f</w:t>
      </w:r>
      <w:r w:rsidR="00EA6EEC">
        <w:rPr>
          <w:rFonts w:ascii="Verdana" w:eastAsia="Malgun Gothic" w:hAnsi="Verdana" w:cs="Arial"/>
          <w:sz w:val="18"/>
          <w:szCs w:val="18"/>
        </w:rPr>
        <w:t>irst</w:t>
      </w:r>
      <w:r w:rsidR="00A84B6F">
        <w:rPr>
          <w:rFonts w:ascii="Verdana" w:eastAsia="Malgun Gothic" w:hAnsi="Verdana" w:cs="Arial"/>
          <w:sz w:val="18"/>
          <w:szCs w:val="18"/>
        </w:rPr>
        <w:t xml:space="preserve"> </w:t>
      </w:r>
      <w:r>
        <w:rPr>
          <w:rFonts w:ascii="Verdana" w:eastAsia="Malgun Gothic" w:hAnsi="Verdana" w:cs="Arial"/>
          <w:sz w:val="18"/>
          <w:szCs w:val="18"/>
        </w:rPr>
        <w:t>quarter of 202</w:t>
      </w:r>
      <w:r w:rsidR="00EA6EEC">
        <w:rPr>
          <w:rFonts w:ascii="Verdana" w:eastAsia="Malgun Gothic" w:hAnsi="Verdana" w:cs="Arial"/>
          <w:sz w:val="18"/>
          <w:szCs w:val="18"/>
        </w:rPr>
        <w:t>5</w:t>
      </w:r>
      <w:r>
        <w:rPr>
          <w:rFonts w:ascii="Verdana" w:eastAsia="Malgun Gothic" w:hAnsi="Verdana" w:cs="Arial"/>
          <w:sz w:val="18"/>
          <w:szCs w:val="18"/>
        </w:rPr>
        <w:t xml:space="preserve">. Compared to the same quarter of the previous year, the </w:t>
      </w:r>
      <w:r w:rsidR="00EA1996">
        <w:rPr>
          <w:rFonts w:ascii="Verdana" w:eastAsia="Malgun Gothic" w:hAnsi="Verdana" w:cs="Arial"/>
          <w:sz w:val="18"/>
          <w:szCs w:val="18"/>
        </w:rPr>
        <w:t>I</w:t>
      </w:r>
      <w:r>
        <w:rPr>
          <w:rFonts w:ascii="Verdana" w:eastAsia="Malgun Gothic" w:hAnsi="Verdana" w:cs="Arial"/>
          <w:sz w:val="18"/>
          <w:szCs w:val="18"/>
        </w:rPr>
        <w:t>ndex</w:t>
      </w:r>
      <w:r w:rsidRPr="002B0F2D">
        <w:rPr>
          <w:rFonts w:ascii="Verdana" w:eastAsia="Malgun Gothic" w:hAnsi="Verdana" w:cs="Arial"/>
          <w:sz w:val="18"/>
          <w:szCs w:val="18"/>
        </w:rPr>
        <w:t xml:space="preserve"> </w:t>
      </w:r>
      <w:r>
        <w:rPr>
          <w:rFonts w:ascii="Verdana" w:eastAsia="Malgun Gothic" w:hAnsi="Verdana" w:cs="Arial"/>
          <w:sz w:val="18"/>
          <w:szCs w:val="18"/>
        </w:rPr>
        <w:t xml:space="preserve">increased by </w:t>
      </w:r>
      <w:r w:rsidR="00E4756E">
        <w:rPr>
          <w:rFonts w:ascii="Verdana" w:eastAsia="Malgun Gothic" w:hAnsi="Verdana" w:cs="Arial"/>
          <w:sz w:val="18"/>
          <w:szCs w:val="18"/>
        </w:rPr>
        <w:t>5,4</w:t>
      </w:r>
      <w:r>
        <w:rPr>
          <w:rFonts w:ascii="Verdana" w:eastAsia="Malgun Gothic" w:hAnsi="Verdana" w:cs="Arial"/>
          <w:sz w:val="18"/>
          <w:szCs w:val="18"/>
        </w:rPr>
        <w:t>%.</w:t>
      </w:r>
      <w:bookmarkStart w:id="3" w:name="_Hlk181624183"/>
    </w:p>
    <w:p w14:paraId="30BF2940" w14:textId="77777777" w:rsidR="002E3019" w:rsidRDefault="002E3019" w:rsidP="00EA1996">
      <w:pPr>
        <w:ind w:right="-51"/>
        <w:jc w:val="both"/>
        <w:rPr>
          <w:rFonts w:ascii="Verdana" w:eastAsia="Malgun Gothic" w:hAnsi="Verdana" w:cs="Arial"/>
          <w:sz w:val="18"/>
          <w:szCs w:val="18"/>
        </w:rPr>
      </w:pPr>
    </w:p>
    <w:p w14:paraId="4442AE92" w14:textId="1DA2FE6F" w:rsidR="002E3019" w:rsidRDefault="002E3019" w:rsidP="00EA1996">
      <w:pPr>
        <w:ind w:right="-51"/>
        <w:jc w:val="both"/>
        <w:rPr>
          <w:rFonts w:ascii="Verdana" w:eastAsia="Malgun Gothic" w:hAnsi="Verdana" w:cs="Arial"/>
          <w:sz w:val="18"/>
          <w:szCs w:val="18"/>
        </w:rPr>
      </w:pPr>
      <w:r w:rsidRPr="002E3019">
        <w:rPr>
          <w:rFonts w:ascii="Verdana" w:eastAsia="Malgun Gothic" w:hAnsi="Verdana" w:cs="Arial"/>
          <w:sz w:val="18"/>
          <w:szCs w:val="18"/>
        </w:rPr>
        <w:t xml:space="preserve">During the period January-June 2025, increases relative to the corresponding period of 2024 were observed in the </w:t>
      </w:r>
      <w:r w:rsidR="005E6C3A">
        <w:rPr>
          <w:rFonts w:ascii="Verdana" w:eastAsia="Malgun Gothic" w:hAnsi="Verdana" w:cs="Arial"/>
          <w:sz w:val="18"/>
          <w:szCs w:val="18"/>
        </w:rPr>
        <w:t xml:space="preserve">Index of Production in Construction </w:t>
      </w:r>
      <w:r w:rsidR="00C835B9" w:rsidRPr="00C835B9">
        <w:rPr>
          <w:rFonts w:ascii="Verdana" w:eastAsia="Malgun Gothic" w:hAnsi="Verdana" w:cs="Arial"/>
          <w:sz w:val="18"/>
          <w:szCs w:val="18"/>
        </w:rPr>
        <w:t>(</w:t>
      </w:r>
      <w:r w:rsidR="00E4756E">
        <w:rPr>
          <w:rFonts w:ascii="Verdana" w:eastAsia="Malgun Gothic" w:hAnsi="Verdana" w:cs="Arial"/>
          <w:sz w:val="18"/>
          <w:szCs w:val="18"/>
        </w:rPr>
        <w:t>3,7</w:t>
      </w:r>
      <w:r w:rsidR="00C835B9" w:rsidRPr="00C835B9">
        <w:rPr>
          <w:rFonts w:ascii="Verdana" w:eastAsia="Malgun Gothic" w:hAnsi="Verdana" w:cs="Arial"/>
          <w:sz w:val="18"/>
          <w:szCs w:val="18"/>
        </w:rPr>
        <w:t>%)</w:t>
      </w:r>
      <w:r w:rsidR="005E6C3A">
        <w:rPr>
          <w:rFonts w:ascii="Verdana" w:eastAsia="Malgun Gothic" w:hAnsi="Verdana" w:cs="Arial"/>
          <w:sz w:val="18"/>
          <w:szCs w:val="18"/>
        </w:rPr>
        <w:t xml:space="preserve"> and in the Output Prices Index in Construction (</w:t>
      </w:r>
      <w:r w:rsidR="00E4756E">
        <w:rPr>
          <w:rFonts w:ascii="Verdana" w:eastAsia="Malgun Gothic" w:hAnsi="Verdana" w:cs="Arial"/>
          <w:sz w:val="18"/>
          <w:szCs w:val="18"/>
        </w:rPr>
        <w:t>4,9</w:t>
      </w:r>
      <w:r w:rsidR="005E6C3A">
        <w:rPr>
          <w:rFonts w:ascii="Verdana" w:eastAsia="Malgun Gothic" w:hAnsi="Verdana" w:cs="Arial"/>
          <w:sz w:val="18"/>
          <w:szCs w:val="18"/>
        </w:rPr>
        <w:t>%).</w:t>
      </w:r>
    </w:p>
    <w:p w14:paraId="3CF6AEB3" w14:textId="77777777" w:rsidR="007C2740" w:rsidRDefault="007C2740" w:rsidP="00EA1996">
      <w:pPr>
        <w:ind w:right="-51"/>
        <w:jc w:val="both"/>
        <w:rPr>
          <w:rFonts w:ascii="Verdana" w:eastAsia="Malgun Gothic" w:hAnsi="Verdana" w:cs="Arial"/>
          <w:sz w:val="18"/>
          <w:szCs w:val="18"/>
        </w:rPr>
      </w:pPr>
    </w:p>
    <w:p w14:paraId="3B6A7AEB" w14:textId="05669B64" w:rsidR="008371F6" w:rsidRDefault="008371F6" w:rsidP="007F4E21">
      <w:pPr>
        <w:ind w:right="-51"/>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58B1BE7E" wp14:editId="20AF6FF4">
            <wp:extent cx="6078220" cy="4425950"/>
            <wp:effectExtent l="0" t="0" r="0" b="0"/>
            <wp:docPr id="7978375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425950"/>
                    </a:xfrm>
                    <a:prstGeom prst="rect">
                      <a:avLst/>
                    </a:prstGeom>
                    <a:noFill/>
                  </pic:spPr>
                </pic:pic>
              </a:graphicData>
            </a:graphic>
          </wp:inline>
        </w:drawing>
      </w:r>
    </w:p>
    <w:p w14:paraId="67A895AF" w14:textId="77777777" w:rsidR="008371F6" w:rsidRDefault="008371F6" w:rsidP="00EA1996">
      <w:pPr>
        <w:ind w:right="-51"/>
        <w:jc w:val="both"/>
        <w:rPr>
          <w:rFonts w:ascii="Verdana" w:eastAsia="Malgun Gothic" w:hAnsi="Verdana" w:cs="Arial"/>
          <w:sz w:val="18"/>
          <w:szCs w:val="18"/>
        </w:rPr>
      </w:pPr>
    </w:p>
    <w:bookmarkEnd w:id="3"/>
    <w:p w14:paraId="3D5A17C6" w14:textId="33D6BB52" w:rsidR="00F82F9E" w:rsidRDefault="00F82F9E" w:rsidP="00036E64">
      <w:pPr>
        <w:ind w:right="-79"/>
        <w:jc w:val="both"/>
        <w:rPr>
          <w:rFonts w:ascii="Verdana" w:eastAsia="Malgun Gothic" w:hAnsi="Verdana" w:cs="Arial"/>
          <w:sz w:val="18"/>
          <w:szCs w:val="18"/>
        </w:rPr>
      </w:pPr>
    </w:p>
    <w:tbl>
      <w:tblPr>
        <w:tblW w:w="10348" w:type="dxa"/>
        <w:jc w:val="center"/>
        <w:tblLayout w:type="fixed"/>
        <w:tblLook w:val="04A0" w:firstRow="1" w:lastRow="0" w:firstColumn="1" w:lastColumn="0" w:noHBand="0" w:noVBand="1"/>
      </w:tblPr>
      <w:tblGrid>
        <w:gridCol w:w="1103"/>
        <w:gridCol w:w="2016"/>
        <w:gridCol w:w="1276"/>
        <w:gridCol w:w="1701"/>
        <w:gridCol w:w="425"/>
        <w:gridCol w:w="1701"/>
        <w:gridCol w:w="2126"/>
      </w:tblGrid>
      <w:tr w:rsidR="00036E64" w:rsidRPr="00036E64" w14:paraId="0277D2A3" w14:textId="77777777" w:rsidTr="00036E64">
        <w:trPr>
          <w:trHeight w:val="170"/>
          <w:jc w:val="center"/>
        </w:trPr>
        <w:tc>
          <w:tcPr>
            <w:tcW w:w="1103" w:type="dxa"/>
            <w:tcBorders>
              <w:top w:val="nil"/>
              <w:left w:val="nil"/>
              <w:bottom w:val="single" w:sz="8" w:space="0" w:color="366092"/>
              <w:right w:val="nil"/>
            </w:tcBorders>
            <w:vAlign w:val="center"/>
            <w:hideMark/>
          </w:tcPr>
          <w:p w14:paraId="0A90F006" w14:textId="2636AB09" w:rsidR="00462C83" w:rsidRPr="00036E64" w:rsidRDefault="00462C83">
            <w:pPr>
              <w:rPr>
                <w:rFonts w:ascii="Verdana" w:hAnsi="Verdana" w:cs="Calibri"/>
                <w:b/>
                <w:bCs/>
                <w:color w:val="366092"/>
                <w:sz w:val="18"/>
                <w:szCs w:val="18"/>
              </w:rPr>
            </w:pPr>
            <w:bookmarkStart w:id="4" w:name="_Hlk194926737"/>
            <w:r w:rsidRPr="00036E64">
              <w:rPr>
                <w:rFonts w:ascii="Verdana" w:hAnsi="Verdana" w:cs="Calibri"/>
                <w:b/>
                <w:bCs/>
                <w:color w:val="366092"/>
                <w:sz w:val="18"/>
                <w:szCs w:val="18"/>
              </w:rPr>
              <w:t xml:space="preserve">Table </w:t>
            </w:r>
          </w:p>
        </w:tc>
        <w:tc>
          <w:tcPr>
            <w:tcW w:w="9245" w:type="dxa"/>
            <w:gridSpan w:val="6"/>
            <w:tcBorders>
              <w:top w:val="nil"/>
              <w:left w:val="nil"/>
              <w:bottom w:val="single" w:sz="8" w:space="0" w:color="366092"/>
              <w:right w:val="nil"/>
            </w:tcBorders>
            <w:vAlign w:val="center"/>
          </w:tcPr>
          <w:p w14:paraId="0A232CBC" w14:textId="77777777" w:rsidR="00462C83" w:rsidRPr="00036E64" w:rsidRDefault="00462C83">
            <w:pPr>
              <w:jc w:val="center"/>
              <w:rPr>
                <w:rFonts w:ascii="Verdana" w:hAnsi="Verdana" w:cs="Calibri"/>
                <w:b/>
                <w:bCs/>
                <w:color w:val="366092"/>
                <w:sz w:val="18"/>
                <w:szCs w:val="18"/>
                <w:lang w:val="el-GR"/>
              </w:rPr>
            </w:pPr>
          </w:p>
        </w:tc>
      </w:tr>
      <w:tr w:rsidR="00036E64" w:rsidRPr="00036E64" w14:paraId="6C4731C5" w14:textId="77777777" w:rsidTr="00036E64">
        <w:trPr>
          <w:trHeight w:val="680"/>
          <w:jc w:val="center"/>
        </w:trPr>
        <w:tc>
          <w:tcPr>
            <w:tcW w:w="3119" w:type="dxa"/>
            <w:gridSpan w:val="2"/>
            <w:vMerge w:val="restart"/>
            <w:tcBorders>
              <w:top w:val="single" w:sz="8" w:space="0" w:color="366092"/>
              <w:left w:val="nil"/>
              <w:bottom w:val="single" w:sz="8" w:space="0" w:color="365F91"/>
              <w:right w:val="nil"/>
            </w:tcBorders>
            <w:vAlign w:val="center"/>
            <w:hideMark/>
          </w:tcPr>
          <w:p w14:paraId="24273AA1" w14:textId="1EFE8B67" w:rsidR="00442ABB" w:rsidRPr="00036E64" w:rsidRDefault="00442ABB">
            <w:pPr>
              <w:jc w:val="center"/>
              <w:rPr>
                <w:rFonts w:ascii="Verdana" w:hAnsi="Verdana" w:cs="Calibri"/>
                <w:b/>
                <w:bCs/>
                <w:color w:val="366092"/>
                <w:sz w:val="18"/>
                <w:szCs w:val="18"/>
              </w:rPr>
            </w:pPr>
          </w:p>
        </w:tc>
        <w:tc>
          <w:tcPr>
            <w:tcW w:w="2977" w:type="dxa"/>
            <w:gridSpan w:val="2"/>
            <w:tcBorders>
              <w:left w:val="nil"/>
              <w:bottom w:val="single" w:sz="8" w:space="0" w:color="366092"/>
              <w:right w:val="nil"/>
            </w:tcBorders>
            <w:vAlign w:val="center"/>
            <w:hideMark/>
          </w:tcPr>
          <w:p w14:paraId="1000ED29" w14:textId="0017C60C" w:rsidR="00442ABB" w:rsidRPr="00036E64" w:rsidRDefault="00442ABB">
            <w:pPr>
              <w:jc w:val="center"/>
              <w:rPr>
                <w:rFonts w:ascii="Verdana" w:hAnsi="Verdana" w:cs="Calibri"/>
                <w:b/>
                <w:bCs/>
                <w:color w:val="366092"/>
                <w:sz w:val="18"/>
                <w:szCs w:val="18"/>
              </w:rPr>
            </w:pPr>
            <w:r w:rsidRPr="00036E64">
              <w:rPr>
                <w:rFonts w:ascii="Verdana" w:hAnsi="Verdana" w:cs="Calibri"/>
                <w:b/>
                <w:bCs/>
                <w:color w:val="366092"/>
                <w:sz w:val="18"/>
                <w:szCs w:val="18"/>
              </w:rPr>
              <w:t>Index</w:t>
            </w:r>
          </w:p>
          <w:p w14:paraId="0E96F9FE" w14:textId="77777777" w:rsidR="00442ABB" w:rsidRPr="00036E64" w:rsidRDefault="00442ABB">
            <w:pPr>
              <w:jc w:val="center"/>
              <w:rPr>
                <w:rFonts w:ascii="Verdana" w:hAnsi="Verdana" w:cs="Calibri"/>
                <w:b/>
                <w:bCs/>
                <w:color w:val="366092"/>
                <w:sz w:val="18"/>
                <w:szCs w:val="18"/>
                <w:lang w:val="el-GR"/>
              </w:rPr>
            </w:pPr>
            <w:r w:rsidRPr="00036E64">
              <w:rPr>
                <w:rFonts w:ascii="Verdana" w:hAnsi="Verdana" w:cs="Calibri"/>
                <w:b/>
                <w:bCs/>
                <w:color w:val="366092"/>
                <w:sz w:val="18"/>
                <w:szCs w:val="18"/>
                <w:lang w:val="el-GR"/>
              </w:rPr>
              <w:t>(2021=100)</w:t>
            </w:r>
          </w:p>
        </w:tc>
        <w:tc>
          <w:tcPr>
            <w:tcW w:w="425" w:type="dxa"/>
            <w:tcBorders>
              <w:top w:val="single" w:sz="8" w:space="0" w:color="366092"/>
              <w:left w:val="nil"/>
              <w:bottom w:val="nil"/>
              <w:right w:val="nil"/>
            </w:tcBorders>
            <w:vAlign w:val="center"/>
          </w:tcPr>
          <w:p w14:paraId="51012C4F" w14:textId="77777777" w:rsidR="00442ABB" w:rsidRPr="00036E64" w:rsidRDefault="00442ABB">
            <w:pPr>
              <w:jc w:val="center"/>
              <w:rPr>
                <w:rFonts w:ascii="Verdana" w:hAnsi="Verdana" w:cs="Calibri"/>
                <w:b/>
                <w:bCs/>
                <w:color w:val="366092"/>
                <w:sz w:val="18"/>
                <w:szCs w:val="18"/>
                <w:lang w:val="el-GR"/>
              </w:rPr>
            </w:pPr>
          </w:p>
        </w:tc>
        <w:tc>
          <w:tcPr>
            <w:tcW w:w="3827" w:type="dxa"/>
            <w:gridSpan w:val="2"/>
            <w:tcBorders>
              <w:top w:val="single" w:sz="8" w:space="0" w:color="366092"/>
              <w:left w:val="nil"/>
              <w:bottom w:val="single" w:sz="8" w:space="0" w:color="365F91"/>
              <w:right w:val="nil"/>
            </w:tcBorders>
            <w:vAlign w:val="center"/>
            <w:hideMark/>
          </w:tcPr>
          <w:p w14:paraId="350DC4E4" w14:textId="77777777" w:rsidR="00442ABB" w:rsidRPr="00036E64" w:rsidRDefault="00442ABB">
            <w:pPr>
              <w:jc w:val="center"/>
              <w:rPr>
                <w:rFonts w:ascii="Verdana" w:hAnsi="Verdana" w:cs="Calibri"/>
                <w:b/>
                <w:bCs/>
                <w:color w:val="366092"/>
                <w:sz w:val="18"/>
                <w:szCs w:val="18"/>
              </w:rPr>
            </w:pPr>
            <w:r w:rsidRPr="00036E64">
              <w:rPr>
                <w:rFonts w:ascii="Verdana" w:hAnsi="Verdana" w:cs="Calibri"/>
                <w:b/>
                <w:bCs/>
                <w:color w:val="366092"/>
                <w:sz w:val="18"/>
                <w:szCs w:val="18"/>
                <w:lang w:val="el-GR"/>
              </w:rPr>
              <w:t>Percentage Change (%)</w:t>
            </w:r>
          </w:p>
        </w:tc>
      </w:tr>
      <w:tr w:rsidR="00036E64" w:rsidRPr="00036E64" w14:paraId="3562B887" w14:textId="77777777" w:rsidTr="00036E64">
        <w:trPr>
          <w:trHeight w:val="624"/>
          <w:jc w:val="center"/>
        </w:trPr>
        <w:tc>
          <w:tcPr>
            <w:tcW w:w="3119" w:type="dxa"/>
            <w:gridSpan w:val="2"/>
            <w:vMerge/>
            <w:tcBorders>
              <w:top w:val="single" w:sz="8" w:space="0" w:color="366092"/>
              <w:left w:val="nil"/>
              <w:bottom w:val="single" w:sz="8" w:space="0" w:color="366092"/>
              <w:right w:val="nil"/>
            </w:tcBorders>
            <w:vAlign w:val="center"/>
            <w:hideMark/>
          </w:tcPr>
          <w:p w14:paraId="6BDD3C58" w14:textId="77777777" w:rsidR="00442ABB" w:rsidRPr="00036E64" w:rsidRDefault="00442ABB">
            <w:pPr>
              <w:rPr>
                <w:rFonts w:ascii="Verdana" w:hAnsi="Verdana" w:cs="Calibri"/>
                <w:b/>
                <w:bCs/>
                <w:color w:val="366092"/>
                <w:sz w:val="18"/>
                <w:szCs w:val="18"/>
              </w:rPr>
            </w:pPr>
          </w:p>
        </w:tc>
        <w:tc>
          <w:tcPr>
            <w:tcW w:w="1276" w:type="dxa"/>
            <w:tcBorders>
              <w:top w:val="single" w:sz="8" w:space="0" w:color="366092"/>
              <w:left w:val="nil"/>
              <w:bottom w:val="single" w:sz="8" w:space="0" w:color="366092"/>
              <w:right w:val="nil"/>
            </w:tcBorders>
            <w:vAlign w:val="center"/>
            <w:hideMark/>
          </w:tcPr>
          <w:p w14:paraId="2160DC08" w14:textId="19E37E91" w:rsidR="00442ABB" w:rsidRPr="00036E64" w:rsidRDefault="00EA6EEC">
            <w:pPr>
              <w:jc w:val="center"/>
              <w:rPr>
                <w:rFonts w:ascii="Verdana" w:hAnsi="Verdana" w:cs="Calibri"/>
                <w:b/>
                <w:bCs/>
                <w:color w:val="366092"/>
                <w:sz w:val="18"/>
                <w:szCs w:val="18"/>
              </w:rPr>
            </w:pPr>
            <w:r>
              <w:rPr>
                <w:rFonts w:ascii="Verdana" w:hAnsi="Verdana" w:cs="Calibri"/>
                <w:b/>
                <w:bCs/>
                <w:color w:val="366092"/>
                <w:sz w:val="18"/>
                <w:szCs w:val="18"/>
              </w:rPr>
              <w:t>Apr-June</w:t>
            </w:r>
            <w:r w:rsidR="00442ABB" w:rsidRPr="00036E64">
              <w:rPr>
                <w:rFonts w:ascii="Verdana" w:hAnsi="Verdana" w:cs="Calibri"/>
                <w:b/>
                <w:bCs/>
                <w:color w:val="366092"/>
                <w:sz w:val="18"/>
                <w:szCs w:val="18"/>
                <w:lang w:val="el-GR"/>
              </w:rPr>
              <w:t xml:space="preserve"> 20</w:t>
            </w:r>
            <w:r w:rsidR="00442ABB" w:rsidRPr="00036E64">
              <w:rPr>
                <w:rFonts w:ascii="Verdana" w:hAnsi="Verdana" w:cs="Calibri"/>
                <w:b/>
                <w:bCs/>
                <w:color w:val="366092"/>
                <w:sz w:val="18"/>
                <w:szCs w:val="18"/>
              </w:rPr>
              <w:t>2</w:t>
            </w:r>
            <w:r w:rsidR="002E3019">
              <w:rPr>
                <w:rFonts w:ascii="Verdana" w:hAnsi="Verdana" w:cs="Calibri"/>
                <w:b/>
                <w:bCs/>
                <w:color w:val="366092"/>
                <w:sz w:val="18"/>
                <w:szCs w:val="18"/>
              </w:rPr>
              <w:t>4</w:t>
            </w:r>
          </w:p>
        </w:tc>
        <w:tc>
          <w:tcPr>
            <w:tcW w:w="1701" w:type="dxa"/>
            <w:tcBorders>
              <w:top w:val="single" w:sz="8" w:space="0" w:color="366092"/>
              <w:left w:val="nil"/>
              <w:bottom w:val="single" w:sz="8" w:space="0" w:color="366092"/>
              <w:right w:val="nil"/>
            </w:tcBorders>
            <w:vAlign w:val="center"/>
            <w:hideMark/>
          </w:tcPr>
          <w:p w14:paraId="1BE5E438" w14:textId="495A7629" w:rsidR="00442ABB" w:rsidRPr="00036E64" w:rsidRDefault="002E3019">
            <w:pPr>
              <w:jc w:val="center"/>
              <w:rPr>
                <w:rFonts w:ascii="Verdana" w:hAnsi="Verdana" w:cs="Calibri"/>
                <w:b/>
                <w:bCs/>
                <w:color w:val="366092"/>
                <w:sz w:val="18"/>
                <w:szCs w:val="18"/>
              </w:rPr>
            </w:pPr>
            <w:r>
              <w:rPr>
                <w:rFonts w:ascii="Verdana" w:hAnsi="Verdana" w:cs="Calibri"/>
                <w:b/>
                <w:bCs/>
                <w:color w:val="366092"/>
                <w:sz w:val="18"/>
                <w:szCs w:val="18"/>
              </w:rPr>
              <w:t>Apr-June</w:t>
            </w:r>
            <w:r w:rsidR="00442ABB" w:rsidRPr="00036E64">
              <w:rPr>
                <w:rFonts w:ascii="Verdana" w:hAnsi="Verdana" w:cs="Calibri"/>
                <w:b/>
                <w:bCs/>
                <w:color w:val="366092"/>
                <w:sz w:val="18"/>
                <w:szCs w:val="18"/>
                <w:lang w:val="el-GR"/>
              </w:rPr>
              <w:t xml:space="preserve"> 202</w:t>
            </w:r>
            <w:r w:rsidR="00EA6EEC">
              <w:rPr>
                <w:rFonts w:ascii="Verdana" w:hAnsi="Verdana" w:cs="Calibri"/>
                <w:b/>
                <w:bCs/>
                <w:color w:val="366092"/>
                <w:sz w:val="18"/>
                <w:szCs w:val="18"/>
              </w:rPr>
              <w:t>5</w:t>
            </w:r>
          </w:p>
        </w:tc>
        <w:tc>
          <w:tcPr>
            <w:tcW w:w="425" w:type="dxa"/>
            <w:tcBorders>
              <w:top w:val="nil"/>
              <w:left w:val="nil"/>
              <w:bottom w:val="single" w:sz="8" w:space="0" w:color="366092"/>
              <w:right w:val="nil"/>
            </w:tcBorders>
            <w:vAlign w:val="center"/>
          </w:tcPr>
          <w:p w14:paraId="5D70EC7E" w14:textId="77777777" w:rsidR="00442ABB" w:rsidRPr="00036E64" w:rsidRDefault="00442ABB">
            <w:pPr>
              <w:jc w:val="center"/>
              <w:rPr>
                <w:rFonts w:ascii="Verdana" w:hAnsi="Verdana" w:cs="Calibri"/>
                <w:b/>
                <w:bCs/>
                <w:color w:val="366092"/>
                <w:sz w:val="18"/>
                <w:szCs w:val="18"/>
                <w:lang w:val="el-GR"/>
              </w:rPr>
            </w:pPr>
          </w:p>
        </w:tc>
        <w:tc>
          <w:tcPr>
            <w:tcW w:w="1701" w:type="dxa"/>
            <w:tcBorders>
              <w:top w:val="single" w:sz="8" w:space="0" w:color="365F91"/>
              <w:left w:val="nil"/>
              <w:bottom w:val="single" w:sz="8" w:space="0" w:color="366092"/>
              <w:right w:val="nil"/>
            </w:tcBorders>
            <w:vAlign w:val="center"/>
            <w:hideMark/>
          </w:tcPr>
          <w:p w14:paraId="502D87CC" w14:textId="691B375F" w:rsidR="00442ABB" w:rsidRPr="00036E64" w:rsidRDefault="00EA6EEC">
            <w:pPr>
              <w:jc w:val="center"/>
              <w:rPr>
                <w:rFonts w:ascii="Verdana" w:hAnsi="Verdana" w:cs="Calibri"/>
                <w:b/>
                <w:bCs/>
                <w:color w:val="366092"/>
                <w:sz w:val="18"/>
                <w:szCs w:val="18"/>
              </w:rPr>
            </w:pPr>
            <w:r>
              <w:rPr>
                <w:rFonts w:ascii="Verdana" w:hAnsi="Verdana" w:cs="Calibri"/>
                <w:b/>
                <w:bCs/>
                <w:color w:val="366092"/>
                <w:sz w:val="18"/>
                <w:szCs w:val="18"/>
              </w:rPr>
              <w:t>Apr-June</w:t>
            </w:r>
            <w:r w:rsidR="00A84B6F" w:rsidRPr="00036E64">
              <w:rPr>
                <w:rFonts w:ascii="Verdana" w:hAnsi="Verdana" w:cs="Calibri"/>
                <w:b/>
                <w:bCs/>
                <w:color w:val="366092"/>
                <w:sz w:val="18"/>
                <w:szCs w:val="18"/>
                <w:lang w:val="el-GR"/>
              </w:rPr>
              <w:t xml:space="preserve"> </w:t>
            </w:r>
            <w:r w:rsidR="00442ABB" w:rsidRPr="00036E64">
              <w:rPr>
                <w:rFonts w:ascii="Verdana" w:hAnsi="Verdana" w:cs="Calibri"/>
                <w:b/>
                <w:bCs/>
                <w:color w:val="366092"/>
                <w:sz w:val="18"/>
                <w:szCs w:val="18"/>
                <w:lang w:val="el-GR"/>
              </w:rPr>
              <w:t>202</w:t>
            </w:r>
            <w:r w:rsidR="00A20E00">
              <w:rPr>
                <w:rFonts w:ascii="Verdana" w:hAnsi="Verdana" w:cs="Calibri"/>
                <w:b/>
                <w:bCs/>
                <w:color w:val="366092"/>
                <w:sz w:val="18"/>
                <w:szCs w:val="18"/>
              </w:rPr>
              <w:t>5</w:t>
            </w:r>
            <w:r w:rsidR="00442ABB" w:rsidRPr="00036E64">
              <w:rPr>
                <w:rFonts w:ascii="Verdana" w:hAnsi="Verdana" w:cs="Calibri"/>
                <w:b/>
                <w:bCs/>
                <w:color w:val="366092"/>
                <w:sz w:val="18"/>
                <w:szCs w:val="18"/>
                <w:lang w:val="el-GR"/>
              </w:rPr>
              <w:t>/20</w:t>
            </w:r>
            <w:r w:rsidR="00442ABB" w:rsidRPr="00036E64">
              <w:rPr>
                <w:rFonts w:ascii="Verdana" w:hAnsi="Verdana" w:cs="Calibri"/>
                <w:b/>
                <w:bCs/>
                <w:color w:val="366092"/>
                <w:sz w:val="18"/>
                <w:szCs w:val="18"/>
              </w:rPr>
              <w:t>2</w:t>
            </w:r>
            <w:r w:rsidR="00A20E00">
              <w:rPr>
                <w:rFonts w:ascii="Verdana" w:hAnsi="Verdana" w:cs="Calibri"/>
                <w:b/>
                <w:bCs/>
                <w:color w:val="366092"/>
                <w:sz w:val="18"/>
                <w:szCs w:val="18"/>
              </w:rPr>
              <w:t>4</w:t>
            </w:r>
          </w:p>
        </w:tc>
        <w:tc>
          <w:tcPr>
            <w:tcW w:w="2126" w:type="dxa"/>
            <w:tcBorders>
              <w:top w:val="single" w:sz="8" w:space="0" w:color="365F91"/>
              <w:left w:val="nil"/>
              <w:bottom w:val="single" w:sz="8" w:space="0" w:color="366092"/>
              <w:right w:val="nil"/>
            </w:tcBorders>
            <w:vAlign w:val="center"/>
            <w:hideMark/>
          </w:tcPr>
          <w:p w14:paraId="374396D7" w14:textId="11180D63" w:rsidR="00A84B6F" w:rsidRPr="00036E64" w:rsidRDefault="00A84B6F" w:rsidP="00A84B6F">
            <w:pPr>
              <w:jc w:val="center"/>
              <w:rPr>
                <w:rFonts w:ascii="Verdana" w:hAnsi="Verdana" w:cs="Calibri"/>
                <w:b/>
                <w:bCs/>
                <w:color w:val="366092"/>
                <w:sz w:val="18"/>
                <w:szCs w:val="18"/>
              </w:rPr>
            </w:pPr>
            <w:r w:rsidRPr="00036E64">
              <w:rPr>
                <w:rFonts w:ascii="Verdana" w:hAnsi="Verdana" w:cs="Calibri"/>
                <w:b/>
                <w:bCs/>
                <w:color w:val="366092"/>
                <w:sz w:val="18"/>
                <w:szCs w:val="18"/>
              </w:rPr>
              <w:t>Jan-</w:t>
            </w:r>
            <w:r w:rsidR="00EA6EEC">
              <w:rPr>
                <w:rFonts w:ascii="Verdana" w:hAnsi="Verdana" w:cs="Calibri"/>
                <w:b/>
                <w:bCs/>
                <w:color w:val="366092"/>
                <w:sz w:val="18"/>
                <w:szCs w:val="18"/>
              </w:rPr>
              <w:t>June</w:t>
            </w:r>
          </w:p>
          <w:p w14:paraId="7DBF77C5" w14:textId="0C0C84A9" w:rsidR="00442ABB" w:rsidRPr="00036E64" w:rsidRDefault="00442ABB">
            <w:pPr>
              <w:jc w:val="center"/>
              <w:rPr>
                <w:rFonts w:ascii="Verdana" w:hAnsi="Verdana" w:cs="Calibri"/>
                <w:b/>
                <w:bCs/>
                <w:color w:val="366092"/>
                <w:sz w:val="18"/>
                <w:szCs w:val="18"/>
              </w:rPr>
            </w:pPr>
            <w:r w:rsidRPr="00036E64">
              <w:rPr>
                <w:rFonts w:ascii="Verdana" w:hAnsi="Verdana" w:cs="Calibri"/>
                <w:b/>
                <w:bCs/>
                <w:color w:val="366092"/>
                <w:sz w:val="18"/>
                <w:szCs w:val="18"/>
                <w:lang w:val="el-GR"/>
              </w:rPr>
              <w:t>202</w:t>
            </w:r>
            <w:r w:rsidR="00EA6EEC">
              <w:rPr>
                <w:rFonts w:ascii="Verdana" w:hAnsi="Verdana" w:cs="Calibri"/>
                <w:b/>
                <w:bCs/>
                <w:color w:val="366092"/>
                <w:sz w:val="18"/>
                <w:szCs w:val="18"/>
              </w:rPr>
              <w:t>5</w:t>
            </w:r>
            <w:r w:rsidRPr="00036E64">
              <w:rPr>
                <w:rFonts w:ascii="Verdana" w:hAnsi="Verdana" w:cs="Calibri"/>
                <w:b/>
                <w:bCs/>
                <w:color w:val="366092"/>
                <w:sz w:val="18"/>
                <w:szCs w:val="18"/>
                <w:lang w:val="el-GR"/>
              </w:rPr>
              <w:t>/20</w:t>
            </w:r>
            <w:r w:rsidRPr="00036E64">
              <w:rPr>
                <w:rFonts w:ascii="Verdana" w:hAnsi="Verdana" w:cs="Calibri"/>
                <w:b/>
                <w:bCs/>
                <w:color w:val="366092"/>
                <w:sz w:val="18"/>
                <w:szCs w:val="18"/>
              </w:rPr>
              <w:t>2</w:t>
            </w:r>
            <w:r w:rsidR="00EA6EEC">
              <w:rPr>
                <w:rFonts w:ascii="Verdana" w:hAnsi="Verdana" w:cs="Calibri"/>
                <w:b/>
                <w:bCs/>
                <w:color w:val="366092"/>
                <w:sz w:val="18"/>
                <w:szCs w:val="18"/>
              </w:rPr>
              <w:t>4</w:t>
            </w:r>
          </w:p>
        </w:tc>
      </w:tr>
      <w:tr w:rsidR="00036E64" w:rsidRPr="00036E64" w14:paraId="0D0EFEDA" w14:textId="77777777" w:rsidTr="00036E64">
        <w:trPr>
          <w:trHeight w:val="794"/>
          <w:jc w:val="center"/>
        </w:trPr>
        <w:tc>
          <w:tcPr>
            <w:tcW w:w="3119" w:type="dxa"/>
            <w:gridSpan w:val="2"/>
            <w:tcBorders>
              <w:top w:val="single" w:sz="8" w:space="0" w:color="366092"/>
              <w:left w:val="nil"/>
              <w:bottom w:val="nil"/>
              <w:right w:val="nil"/>
            </w:tcBorders>
            <w:vAlign w:val="center"/>
            <w:hideMark/>
          </w:tcPr>
          <w:p w14:paraId="726BB872" w14:textId="16500C75" w:rsidR="00442ABB" w:rsidRPr="00036E64" w:rsidRDefault="00442ABB">
            <w:pPr>
              <w:rPr>
                <w:rFonts w:ascii="Verdana" w:hAnsi="Verdana"/>
                <w:color w:val="366092"/>
                <w:sz w:val="18"/>
                <w:szCs w:val="18"/>
              </w:rPr>
            </w:pPr>
            <w:r w:rsidRPr="00036E64">
              <w:rPr>
                <w:rFonts w:ascii="Verdana" w:hAnsi="Verdana"/>
                <w:color w:val="366092"/>
                <w:sz w:val="18"/>
                <w:szCs w:val="18"/>
              </w:rPr>
              <w:t>Index of Production in Construction</w:t>
            </w:r>
          </w:p>
        </w:tc>
        <w:tc>
          <w:tcPr>
            <w:tcW w:w="1276" w:type="dxa"/>
            <w:tcBorders>
              <w:top w:val="single" w:sz="8" w:space="0" w:color="366092"/>
              <w:left w:val="nil"/>
              <w:bottom w:val="nil"/>
              <w:right w:val="nil"/>
            </w:tcBorders>
            <w:vAlign w:val="center"/>
          </w:tcPr>
          <w:p w14:paraId="298FDB09" w14:textId="4669DFE1" w:rsidR="00442ABB" w:rsidRPr="00036E64" w:rsidRDefault="00E4756E" w:rsidP="00CE2922">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125,64</w:t>
            </w:r>
          </w:p>
        </w:tc>
        <w:tc>
          <w:tcPr>
            <w:tcW w:w="1701" w:type="dxa"/>
            <w:tcBorders>
              <w:top w:val="single" w:sz="8" w:space="0" w:color="366092"/>
              <w:left w:val="nil"/>
              <w:bottom w:val="nil"/>
              <w:right w:val="nil"/>
            </w:tcBorders>
            <w:vAlign w:val="center"/>
          </w:tcPr>
          <w:p w14:paraId="0ED2B839" w14:textId="77F86887" w:rsidR="00442ABB" w:rsidRPr="00036E64" w:rsidRDefault="00E4756E" w:rsidP="00CE2922">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131,38</w:t>
            </w:r>
          </w:p>
        </w:tc>
        <w:tc>
          <w:tcPr>
            <w:tcW w:w="425" w:type="dxa"/>
            <w:tcBorders>
              <w:top w:val="single" w:sz="8" w:space="0" w:color="366092"/>
              <w:left w:val="nil"/>
              <w:bottom w:val="nil"/>
              <w:right w:val="nil"/>
            </w:tcBorders>
          </w:tcPr>
          <w:p w14:paraId="44F20EEA" w14:textId="77777777" w:rsidR="00442ABB" w:rsidRPr="00036E64" w:rsidRDefault="00442ABB" w:rsidP="00CE2922">
            <w:pPr>
              <w:ind w:right="567"/>
              <w:jc w:val="right"/>
              <w:rPr>
                <w:rFonts w:ascii="Verdana" w:hAnsi="Verdana" w:cs="Calibri"/>
                <w:color w:val="366092"/>
                <w:sz w:val="18"/>
                <w:szCs w:val="18"/>
              </w:rPr>
            </w:pPr>
          </w:p>
        </w:tc>
        <w:tc>
          <w:tcPr>
            <w:tcW w:w="1701" w:type="dxa"/>
            <w:tcBorders>
              <w:top w:val="single" w:sz="8" w:space="0" w:color="366092"/>
              <w:left w:val="nil"/>
              <w:bottom w:val="nil"/>
              <w:right w:val="nil"/>
            </w:tcBorders>
            <w:vAlign w:val="center"/>
          </w:tcPr>
          <w:p w14:paraId="1533074B" w14:textId="0FF0C559" w:rsidR="00442ABB" w:rsidRPr="00036E64" w:rsidRDefault="005E6C3A" w:rsidP="00CE2922">
            <w:pPr>
              <w:ind w:right="576" w:firstLineChars="100" w:firstLine="180"/>
              <w:jc w:val="right"/>
              <w:rPr>
                <w:rFonts w:ascii="Verdana" w:hAnsi="Verdana" w:cs="Arial"/>
                <w:bCs/>
                <w:color w:val="366092"/>
                <w:sz w:val="18"/>
                <w:szCs w:val="18"/>
              </w:rPr>
            </w:pPr>
            <w:r>
              <w:rPr>
                <w:rFonts w:ascii="Verdana" w:hAnsi="Verdana" w:cs="Arial"/>
                <w:bCs/>
                <w:color w:val="366092"/>
                <w:sz w:val="18"/>
                <w:szCs w:val="18"/>
              </w:rPr>
              <w:t>4,</w:t>
            </w:r>
            <w:r w:rsidR="00E4756E">
              <w:rPr>
                <w:rFonts w:ascii="Verdana" w:hAnsi="Verdana" w:cs="Arial"/>
                <w:bCs/>
                <w:color w:val="366092"/>
                <w:sz w:val="18"/>
                <w:szCs w:val="18"/>
              </w:rPr>
              <w:t>6</w:t>
            </w:r>
          </w:p>
        </w:tc>
        <w:tc>
          <w:tcPr>
            <w:tcW w:w="2126" w:type="dxa"/>
            <w:tcBorders>
              <w:top w:val="single" w:sz="8" w:space="0" w:color="366092"/>
              <w:left w:val="nil"/>
              <w:bottom w:val="nil"/>
              <w:right w:val="nil"/>
            </w:tcBorders>
            <w:vAlign w:val="center"/>
          </w:tcPr>
          <w:p w14:paraId="61AB8B61" w14:textId="14330930" w:rsidR="00442ABB" w:rsidRPr="00036E64" w:rsidRDefault="005E6C3A" w:rsidP="00CE2922">
            <w:pPr>
              <w:ind w:right="576"/>
              <w:jc w:val="right"/>
              <w:rPr>
                <w:rFonts w:ascii="Verdana" w:hAnsi="Verdana" w:cs="Calibri"/>
                <w:color w:val="366092"/>
                <w:sz w:val="18"/>
                <w:szCs w:val="18"/>
              </w:rPr>
            </w:pPr>
            <w:r>
              <w:rPr>
                <w:rFonts w:ascii="Verdana" w:hAnsi="Verdana" w:cs="Calibri"/>
                <w:color w:val="366092"/>
                <w:sz w:val="18"/>
                <w:szCs w:val="18"/>
              </w:rPr>
              <w:t>3,</w:t>
            </w:r>
            <w:r w:rsidR="00E4756E">
              <w:rPr>
                <w:rFonts w:ascii="Verdana" w:hAnsi="Verdana" w:cs="Calibri"/>
                <w:color w:val="366092"/>
                <w:sz w:val="18"/>
                <w:szCs w:val="18"/>
              </w:rPr>
              <w:t>7</w:t>
            </w:r>
          </w:p>
        </w:tc>
      </w:tr>
      <w:tr w:rsidR="00036E64" w:rsidRPr="00036E64" w14:paraId="46C0D592" w14:textId="77777777" w:rsidTr="00036E64">
        <w:trPr>
          <w:trHeight w:val="514"/>
          <w:jc w:val="center"/>
        </w:trPr>
        <w:tc>
          <w:tcPr>
            <w:tcW w:w="3119" w:type="dxa"/>
            <w:gridSpan w:val="2"/>
            <w:tcBorders>
              <w:bottom w:val="single" w:sz="8" w:space="0" w:color="366092"/>
            </w:tcBorders>
            <w:vAlign w:val="center"/>
            <w:hideMark/>
          </w:tcPr>
          <w:p w14:paraId="0DF7A898" w14:textId="7E227158" w:rsidR="00442ABB" w:rsidRPr="00036E64" w:rsidRDefault="00442ABB">
            <w:pPr>
              <w:rPr>
                <w:rFonts w:ascii="Verdana" w:hAnsi="Verdana"/>
                <w:color w:val="366092"/>
                <w:sz w:val="18"/>
                <w:szCs w:val="18"/>
              </w:rPr>
            </w:pPr>
            <w:r w:rsidRPr="00036E64">
              <w:rPr>
                <w:rFonts w:ascii="Verdana" w:hAnsi="Verdana"/>
                <w:color w:val="366092"/>
                <w:sz w:val="18"/>
                <w:szCs w:val="18"/>
              </w:rPr>
              <w:t>Output Prices Index in Construction</w:t>
            </w:r>
          </w:p>
        </w:tc>
        <w:tc>
          <w:tcPr>
            <w:tcW w:w="1276" w:type="dxa"/>
            <w:tcBorders>
              <w:bottom w:val="single" w:sz="8" w:space="0" w:color="366092"/>
            </w:tcBorders>
            <w:vAlign w:val="center"/>
          </w:tcPr>
          <w:p w14:paraId="710B93DA" w14:textId="712F7B4F" w:rsidR="00442ABB" w:rsidRPr="00036E64" w:rsidRDefault="005E6C3A" w:rsidP="00CE2922">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119,82</w:t>
            </w:r>
          </w:p>
        </w:tc>
        <w:tc>
          <w:tcPr>
            <w:tcW w:w="1701" w:type="dxa"/>
            <w:tcBorders>
              <w:bottom w:val="single" w:sz="8" w:space="0" w:color="366092"/>
            </w:tcBorders>
            <w:vAlign w:val="center"/>
          </w:tcPr>
          <w:p w14:paraId="6433FAB8" w14:textId="5929614C" w:rsidR="00442ABB" w:rsidRPr="00036E64" w:rsidRDefault="005E6C3A" w:rsidP="00CE2922">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126,32</w:t>
            </w:r>
          </w:p>
        </w:tc>
        <w:tc>
          <w:tcPr>
            <w:tcW w:w="425" w:type="dxa"/>
            <w:tcBorders>
              <w:bottom w:val="single" w:sz="8" w:space="0" w:color="366092"/>
            </w:tcBorders>
          </w:tcPr>
          <w:p w14:paraId="39264DAB" w14:textId="77777777" w:rsidR="00442ABB" w:rsidRPr="00036E64" w:rsidRDefault="00442ABB" w:rsidP="00CE2922">
            <w:pPr>
              <w:ind w:right="567"/>
              <w:jc w:val="right"/>
              <w:rPr>
                <w:rFonts w:ascii="Verdana" w:hAnsi="Verdana" w:cs="Calibri"/>
                <w:color w:val="366092"/>
                <w:sz w:val="18"/>
                <w:szCs w:val="18"/>
              </w:rPr>
            </w:pPr>
          </w:p>
        </w:tc>
        <w:tc>
          <w:tcPr>
            <w:tcW w:w="1701" w:type="dxa"/>
            <w:tcBorders>
              <w:bottom w:val="single" w:sz="8" w:space="0" w:color="366092"/>
            </w:tcBorders>
            <w:vAlign w:val="center"/>
          </w:tcPr>
          <w:p w14:paraId="0D7E7762" w14:textId="49E02688" w:rsidR="00442ABB" w:rsidRPr="00036E64" w:rsidRDefault="005E6C3A" w:rsidP="00CE2922">
            <w:pPr>
              <w:ind w:right="576" w:firstLineChars="100" w:firstLine="180"/>
              <w:jc w:val="right"/>
              <w:rPr>
                <w:rFonts w:ascii="Verdana" w:hAnsi="Verdana" w:cs="Arial"/>
                <w:bCs/>
                <w:color w:val="366092"/>
                <w:sz w:val="18"/>
                <w:szCs w:val="18"/>
              </w:rPr>
            </w:pPr>
            <w:r>
              <w:rPr>
                <w:rFonts w:ascii="Verdana" w:hAnsi="Verdana" w:cs="Arial"/>
                <w:bCs/>
                <w:color w:val="366092"/>
                <w:sz w:val="18"/>
                <w:szCs w:val="18"/>
              </w:rPr>
              <w:t>5,4</w:t>
            </w:r>
          </w:p>
        </w:tc>
        <w:tc>
          <w:tcPr>
            <w:tcW w:w="2126" w:type="dxa"/>
            <w:tcBorders>
              <w:bottom w:val="single" w:sz="8" w:space="0" w:color="366092"/>
            </w:tcBorders>
            <w:vAlign w:val="center"/>
          </w:tcPr>
          <w:p w14:paraId="47B6B169" w14:textId="4B972193" w:rsidR="00442ABB" w:rsidRPr="00036E64" w:rsidRDefault="005E6C3A" w:rsidP="00CE2922">
            <w:pPr>
              <w:ind w:right="576"/>
              <w:jc w:val="right"/>
              <w:rPr>
                <w:rFonts w:ascii="Verdana" w:hAnsi="Verdana" w:cs="Calibri"/>
                <w:color w:val="366092"/>
                <w:sz w:val="18"/>
                <w:szCs w:val="18"/>
              </w:rPr>
            </w:pPr>
            <w:r>
              <w:rPr>
                <w:rFonts w:ascii="Verdana" w:hAnsi="Verdana" w:cs="Calibri"/>
                <w:color w:val="366092"/>
                <w:sz w:val="18"/>
                <w:szCs w:val="18"/>
              </w:rPr>
              <w:t>4,9</w:t>
            </w:r>
          </w:p>
        </w:tc>
      </w:tr>
      <w:bookmarkEnd w:id="4"/>
    </w:tbl>
    <w:p w14:paraId="00B57467" w14:textId="5209DFAE" w:rsidR="00212AF4" w:rsidRDefault="00212AF4" w:rsidP="000214FD">
      <w:pPr>
        <w:rPr>
          <w:rFonts w:ascii="Verdana" w:eastAsia="Malgun Gothic" w:hAnsi="Verdana" w:cs="Arial"/>
          <w:sz w:val="18"/>
          <w:szCs w:val="18"/>
        </w:rPr>
      </w:pPr>
    </w:p>
    <w:p w14:paraId="7D0D8F01" w14:textId="77777777" w:rsidR="00755D2E" w:rsidRDefault="00755D2E" w:rsidP="00A61229">
      <w:pPr>
        <w:jc w:val="center"/>
        <w:rPr>
          <w:rFonts w:ascii="Verdana" w:eastAsia="Malgun Gothic" w:hAnsi="Verdana" w:cs="Arial"/>
          <w:b/>
          <w:u w:val="single"/>
        </w:rPr>
      </w:pPr>
    </w:p>
    <w:p w14:paraId="441954C4" w14:textId="77777777" w:rsidR="00755D2E" w:rsidRDefault="00755D2E" w:rsidP="00A61229">
      <w:pPr>
        <w:jc w:val="center"/>
        <w:rPr>
          <w:rFonts w:ascii="Verdana" w:eastAsia="Malgun Gothic" w:hAnsi="Verdana" w:cs="Arial"/>
          <w:b/>
          <w:u w:val="single"/>
        </w:rPr>
      </w:pPr>
    </w:p>
    <w:p w14:paraId="16D02901" w14:textId="77777777" w:rsidR="00755D2E" w:rsidRDefault="00755D2E" w:rsidP="00A61229">
      <w:pPr>
        <w:jc w:val="center"/>
        <w:rPr>
          <w:rFonts w:ascii="Verdana" w:eastAsia="Malgun Gothic" w:hAnsi="Verdana" w:cs="Arial"/>
          <w:b/>
          <w:u w:val="single"/>
        </w:rPr>
      </w:pPr>
    </w:p>
    <w:p w14:paraId="07A8D9ED" w14:textId="77777777" w:rsidR="00755D2E" w:rsidRDefault="00755D2E" w:rsidP="00A61229">
      <w:pPr>
        <w:jc w:val="center"/>
        <w:rPr>
          <w:rFonts w:ascii="Verdana" w:eastAsia="Malgun Gothic" w:hAnsi="Verdana" w:cs="Arial"/>
          <w:b/>
          <w:u w:val="single"/>
        </w:rPr>
      </w:pPr>
    </w:p>
    <w:p w14:paraId="35A3E011" w14:textId="77777777" w:rsidR="00755D2E" w:rsidRDefault="00755D2E" w:rsidP="00A61229">
      <w:pPr>
        <w:jc w:val="center"/>
        <w:rPr>
          <w:rFonts w:ascii="Verdana" w:eastAsia="Malgun Gothic" w:hAnsi="Verdana" w:cs="Arial"/>
          <w:b/>
          <w:u w:val="single"/>
        </w:rPr>
      </w:pPr>
    </w:p>
    <w:p w14:paraId="7386911B" w14:textId="77777777" w:rsidR="00755D2E" w:rsidRDefault="00755D2E" w:rsidP="00A61229">
      <w:pPr>
        <w:jc w:val="center"/>
        <w:rPr>
          <w:rFonts w:ascii="Verdana" w:eastAsia="Malgun Gothic" w:hAnsi="Verdana" w:cs="Arial"/>
          <w:b/>
          <w:u w:val="single"/>
        </w:rPr>
      </w:pPr>
    </w:p>
    <w:p w14:paraId="30DEA653" w14:textId="77777777" w:rsidR="00755D2E" w:rsidRDefault="00755D2E" w:rsidP="00A61229">
      <w:pPr>
        <w:jc w:val="center"/>
        <w:rPr>
          <w:rFonts w:ascii="Verdana" w:eastAsia="Malgun Gothic" w:hAnsi="Verdana" w:cs="Arial"/>
          <w:b/>
          <w:u w:val="single"/>
        </w:rPr>
      </w:pPr>
    </w:p>
    <w:p w14:paraId="4E4BD4CC" w14:textId="77777777" w:rsidR="00755D2E" w:rsidRDefault="00755D2E" w:rsidP="00A61229">
      <w:pPr>
        <w:jc w:val="center"/>
        <w:rPr>
          <w:rFonts w:ascii="Verdana" w:eastAsia="Malgun Gothic" w:hAnsi="Verdana" w:cs="Arial"/>
          <w:b/>
          <w:u w:val="single"/>
        </w:rPr>
      </w:pPr>
    </w:p>
    <w:p w14:paraId="0E2B6057" w14:textId="77777777" w:rsidR="00755D2E" w:rsidRDefault="00755D2E" w:rsidP="00A61229">
      <w:pPr>
        <w:jc w:val="center"/>
        <w:rPr>
          <w:rFonts w:ascii="Verdana" w:eastAsia="Malgun Gothic" w:hAnsi="Verdana" w:cs="Arial"/>
          <w:b/>
          <w:u w:val="single"/>
        </w:rPr>
      </w:pPr>
    </w:p>
    <w:p w14:paraId="0A88AA43" w14:textId="77777777" w:rsidR="00755D2E" w:rsidRDefault="00755D2E" w:rsidP="00A61229">
      <w:pPr>
        <w:jc w:val="center"/>
        <w:rPr>
          <w:rFonts w:ascii="Verdana" w:eastAsia="Malgun Gothic" w:hAnsi="Verdana" w:cs="Arial"/>
          <w:b/>
          <w:u w:val="single"/>
        </w:rPr>
      </w:pPr>
    </w:p>
    <w:p w14:paraId="54CA9565" w14:textId="77777777" w:rsidR="00755D2E" w:rsidRDefault="00755D2E" w:rsidP="00A61229">
      <w:pPr>
        <w:jc w:val="center"/>
        <w:rPr>
          <w:rFonts w:ascii="Verdana" w:eastAsia="Malgun Gothic" w:hAnsi="Verdana" w:cs="Arial"/>
          <w:b/>
          <w:u w:val="single"/>
        </w:rPr>
      </w:pPr>
    </w:p>
    <w:p w14:paraId="6DCBADA6" w14:textId="77777777" w:rsidR="00755D2E" w:rsidRDefault="00755D2E" w:rsidP="00A61229">
      <w:pPr>
        <w:jc w:val="center"/>
        <w:rPr>
          <w:rFonts w:ascii="Verdana" w:eastAsia="Malgun Gothic" w:hAnsi="Verdana" w:cs="Arial"/>
          <w:b/>
          <w:u w:val="single"/>
        </w:rPr>
      </w:pPr>
    </w:p>
    <w:p w14:paraId="3A7967FF" w14:textId="77777777" w:rsidR="00755D2E" w:rsidRDefault="00755D2E" w:rsidP="00A61229">
      <w:pPr>
        <w:jc w:val="center"/>
        <w:rPr>
          <w:rFonts w:ascii="Verdana" w:eastAsia="Malgun Gothic" w:hAnsi="Verdana" w:cs="Arial"/>
          <w:b/>
          <w:u w:val="single"/>
        </w:rPr>
      </w:pPr>
    </w:p>
    <w:p w14:paraId="72FBB96A" w14:textId="77777777" w:rsidR="00755D2E" w:rsidRDefault="00755D2E" w:rsidP="00A61229">
      <w:pPr>
        <w:jc w:val="center"/>
        <w:rPr>
          <w:rFonts w:ascii="Verdana" w:eastAsia="Malgun Gothic" w:hAnsi="Verdana" w:cs="Arial"/>
          <w:b/>
          <w:u w:val="single"/>
        </w:rPr>
      </w:pPr>
    </w:p>
    <w:p w14:paraId="624C2B61" w14:textId="77777777" w:rsidR="00755D2E" w:rsidRDefault="00755D2E" w:rsidP="00A61229">
      <w:pPr>
        <w:jc w:val="center"/>
        <w:rPr>
          <w:rFonts w:ascii="Verdana" w:eastAsia="Malgun Gothic" w:hAnsi="Verdana" w:cs="Arial"/>
          <w:b/>
          <w:u w:val="single"/>
        </w:rPr>
      </w:pPr>
    </w:p>
    <w:p w14:paraId="07047F9E" w14:textId="77777777" w:rsidR="00755D2E" w:rsidRDefault="00755D2E" w:rsidP="00A61229">
      <w:pPr>
        <w:jc w:val="center"/>
        <w:rPr>
          <w:rFonts w:ascii="Verdana" w:eastAsia="Malgun Gothic" w:hAnsi="Verdana" w:cs="Arial"/>
          <w:b/>
          <w:u w:val="single"/>
        </w:rPr>
      </w:pPr>
    </w:p>
    <w:p w14:paraId="72F2D9EA" w14:textId="77777777" w:rsidR="00755D2E" w:rsidRDefault="00755D2E" w:rsidP="00A61229">
      <w:pPr>
        <w:jc w:val="center"/>
        <w:rPr>
          <w:rFonts w:ascii="Verdana" w:eastAsia="Malgun Gothic" w:hAnsi="Verdana" w:cs="Arial"/>
          <w:b/>
          <w:u w:val="single"/>
        </w:rPr>
      </w:pPr>
    </w:p>
    <w:p w14:paraId="0F431F55" w14:textId="77777777" w:rsidR="00755D2E" w:rsidRDefault="00755D2E" w:rsidP="00A61229">
      <w:pPr>
        <w:jc w:val="center"/>
        <w:rPr>
          <w:rFonts w:ascii="Verdana" w:eastAsia="Malgun Gothic" w:hAnsi="Verdana" w:cs="Arial"/>
          <w:b/>
          <w:u w:val="single"/>
        </w:rPr>
      </w:pPr>
    </w:p>
    <w:p w14:paraId="6401A211" w14:textId="77777777" w:rsidR="00755D2E" w:rsidRDefault="00755D2E" w:rsidP="00A61229">
      <w:pPr>
        <w:jc w:val="center"/>
        <w:rPr>
          <w:rFonts w:ascii="Verdana" w:eastAsia="Malgun Gothic" w:hAnsi="Verdana" w:cs="Arial"/>
          <w:b/>
          <w:u w:val="single"/>
        </w:rPr>
      </w:pPr>
    </w:p>
    <w:p w14:paraId="521E7A71" w14:textId="77777777" w:rsidR="00755D2E" w:rsidRDefault="00755D2E" w:rsidP="00A61229">
      <w:pPr>
        <w:jc w:val="center"/>
        <w:rPr>
          <w:rFonts w:ascii="Verdana" w:eastAsia="Malgun Gothic" w:hAnsi="Verdana" w:cs="Arial"/>
          <w:b/>
          <w:u w:val="single"/>
        </w:rPr>
      </w:pPr>
    </w:p>
    <w:p w14:paraId="617105D5" w14:textId="77777777" w:rsidR="00755D2E" w:rsidRDefault="00755D2E" w:rsidP="00A61229">
      <w:pPr>
        <w:jc w:val="center"/>
        <w:rPr>
          <w:rFonts w:ascii="Verdana" w:eastAsia="Malgun Gothic" w:hAnsi="Verdana" w:cs="Arial"/>
          <w:b/>
          <w:u w:val="single"/>
        </w:rPr>
      </w:pPr>
    </w:p>
    <w:p w14:paraId="5193BF82" w14:textId="77777777" w:rsidR="00755D2E" w:rsidRDefault="00755D2E" w:rsidP="00A61229">
      <w:pPr>
        <w:jc w:val="center"/>
        <w:rPr>
          <w:rFonts w:ascii="Verdana" w:eastAsia="Malgun Gothic" w:hAnsi="Verdana" w:cs="Arial"/>
          <w:b/>
          <w:u w:val="single"/>
        </w:rPr>
      </w:pPr>
    </w:p>
    <w:p w14:paraId="66981D04" w14:textId="77777777" w:rsidR="00755D2E" w:rsidRDefault="00755D2E" w:rsidP="00A61229">
      <w:pPr>
        <w:jc w:val="center"/>
        <w:rPr>
          <w:rFonts w:ascii="Verdana" w:eastAsia="Malgun Gothic" w:hAnsi="Verdana" w:cs="Arial"/>
          <w:b/>
          <w:u w:val="single"/>
        </w:rPr>
      </w:pPr>
    </w:p>
    <w:p w14:paraId="6DFB42DC" w14:textId="77777777" w:rsidR="00755D2E" w:rsidRDefault="00755D2E" w:rsidP="00A61229">
      <w:pPr>
        <w:jc w:val="center"/>
        <w:rPr>
          <w:rFonts w:ascii="Verdana" w:eastAsia="Malgun Gothic" w:hAnsi="Verdana" w:cs="Arial"/>
          <w:b/>
          <w:u w:val="single"/>
        </w:rPr>
      </w:pPr>
    </w:p>
    <w:p w14:paraId="65A106DA" w14:textId="77777777" w:rsidR="00755D2E" w:rsidRDefault="00755D2E" w:rsidP="00A61229">
      <w:pPr>
        <w:jc w:val="center"/>
        <w:rPr>
          <w:rFonts w:ascii="Verdana" w:eastAsia="Malgun Gothic" w:hAnsi="Verdana" w:cs="Arial"/>
          <w:b/>
          <w:u w:val="single"/>
        </w:rPr>
      </w:pPr>
    </w:p>
    <w:p w14:paraId="6772A0ED" w14:textId="77777777" w:rsidR="00755D2E" w:rsidRDefault="00755D2E" w:rsidP="00A61229">
      <w:pPr>
        <w:jc w:val="center"/>
        <w:rPr>
          <w:rFonts w:ascii="Verdana" w:eastAsia="Malgun Gothic" w:hAnsi="Verdana" w:cs="Arial"/>
          <w:b/>
          <w:u w:val="single"/>
        </w:rPr>
      </w:pPr>
    </w:p>
    <w:p w14:paraId="64485F7E" w14:textId="77777777" w:rsidR="00755D2E" w:rsidRDefault="00755D2E" w:rsidP="00A61229">
      <w:pPr>
        <w:jc w:val="center"/>
        <w:rPr>
          <w:rFonts w:ascii="Verdana" w:eastAsia="Malgun Gothic" w:hAnsi="Verdana" w:cs="Arial"/>
          <w:b/>
          <w:u w:val="single"/>
        </w:rPr>
      </w:pPr>
    </w:p>
    <w:p w14:paraId="3B9BAE15" w14:textId="77777777" w:rsidR="00755D2E" w:rsidRDefault="00755D2E" w:rsidP="00A61229">
      <w:pPr>
        <w:jc w:val="center"/>
        <w:rPr>
          <w:rFonts w:ascii="Verdana" w:eastAsia="Malgun Gothic" w:hAnsi="Verdana" w:cs="Arial"/>
          <w:b/>
          <w:u w:val="single"/>
        </w:rPr>
      </w:pPr>
    </w:p>
    <w:p w14:paraId="5C29E8E8" w14:textId="77777777" w:rsidR="00755D2E" w:rsidRDefault="00755D2E" w:rsidP="00A61229">
      <w:pPr>
        <w:jc w:val="center"/>
        <w:rPr>
          <w:rFonts w:ascii="Verdana" w:eastAsia="Malgun Gothic" w:hAnsi="Verdana" w:cs="Arial"/>
          <w:b/>
          <w:u w:val="single"/>
        </w:rPr>
      </w:pPr>
    </w:p>
    <w:p w14:paraId="72AD7D2C" w14:textId="77777777" w:rsidR="00755D2E" w:rsidRDefault="00755D2E" w:rsidP="00A61229">
      <w:pPr>
        <w:jc w:val="center"/>
        <w:rPr>
          <w:rFonts w:ascii="Verdana" w:eastAsia="Malgun Gothic" w:hAnsi="Verdana" w:cs="Arial"/>
          <w:b/>
          <w:u w:val="single"/>
        </w:rPr>
      </w:pPr>
    </w:p>
    <w:p w14:paraId="39A1BE72" w14:textId="77777777" w:rsidR="00755D2E" w:rsidRDefault="00755D2E" w:rsidP="00A61229">
      <w:pPr>
        <w:jc w:val="center"/>
        <w:rPr>
          <w:rFonts w:ascii="Verdana" w:eastAsia="Malgun Gothic" w:hAnsi="Verdana" w:cs="Arial"/>
          <w:b/>
          <w:u w:val="single"/>
        </w:rPr>
      </w:pPr>
    </w:p>
    <w:p w14:paraId="5377DBFB" w14:textId="77777777" w:rsidR="00755D2E" w:rsidRDefault="00755D2E" w:rsidP="00A61229">
      <w:pPr>
        <w:jc w:val="center"/>
        <w:rPr>
          <w:rFonts w:ascii="Verdana" w:eastAsia="Malgun Gothic" w:hAnsi="Verdana" w:cs="Arial"/>
          <w:b/>
          <w:u w:val="single"/>
        </w:rPr>
      </w:pPr>
    </w:p>
    <w:p w14:paraId="658BFDB4" w14:textId="77777777" w:rsidR="00755D2E" w:rsidRDefault="00755D2E" w:rsidP="00A61229">
      <w:pPr>
        <w:jc w:val="center"/>
        <w:rPr>
          <w:rFonts w:ascii="Verdana" w:eastAsia="Malgun Gothic" w:hAnsi="Verdana" w:cs="Arial"/>
          <w:b/>
          <w:u w:val="single"/>
        </w:rPr>
      </w:pPr>
    </w:p>
    <w:p w14:paraId="3AD6C67E" w14:textId="77777777" w:rsidR="00755D2E" w:rsidRDefault="00755D2E" w:rsidP="00A61229">
      <w:pPr>
        <w:jc w:val="center"/>
        <w:rPr>
          <w:rFonts w:ascii="Verdana" w:eastAsia="Malgun Gothic" w:hAnsi="Verdana" w:cs="Arial"/>
          <w:b/>
          <w:u w:val="single"/>
        </w:rPr>
      </w:pPr>
    </w:p>
    <w:p w14:paraId="3B71FFAB" w14:textId="77777777" w:rsidR="00F22AE9" w:rsidRDefault="00F22AE9" w:rsidP="00A61229">
      <w:pPr>
        <w:jc w:val="center"/>
        <w:rPr>
          <w:rFonts w:ascii="Verdana" w:eastAsia="Malgun Gothic" w:hAnsi="Verdana" w:cs="Arial"/>
          <w:b/>
          <w:u w:val="single"/>
        </w:rPr>
      </w:pPr>
    </w:p>
    <w:p w14:paraId="275F67AB" w14:textId="77777777" w:rsidR="00755D2E" w:rsidRDefault="00755D2E" w:rsidP="00A61229">
      <w:pPr>
        <w:jc w:val="center"/>
        <w:rPr>
          <w:rFonts w:ascii="Verdana" w:eastAsia="Malgun Gothic" w:hAnsi="Verdana" w:cs="Arial"/>
          <w:b/>
          <w:u w:val="single"/>
        </w:rPr>
      </w:pPr>
    </w:p>
    <w:p w14:paraId="2DAB842B" w14:textId="77777777" w:rsidR="002C2EFC" w:rsidRDefault="002C2EFC" w:rsidP="00147D94">
      <w:pPr>
        <w:rPr>
          <w:rFonts w:ascii="Verdana" w:eastAsia="Malgun Gothic" w:hAnsi="Verdana" w:cs="Arial"/>
          <w:b/>
          <w:u w:val="single"/>
        </w:rPr>
      </w:pPr>
    </w:p>
    <w:p w14:paraId="4B1BC6E1" w14:textId="77777777" w:rsidR="00C86364" w:rsidRDefault="00C86364" w:rsidP="00A61229">
      <w:pPr>
        <w:jc w:val="center"/>
        <w:rPr>
          <w:rFonts w:ascii="Verdana" w:eastAsia="Malgun Gothic" w:hAnsi="Verdana" w:cs="Arial"/>
          <w:b/>
          <w:u w:val="single"/>
        </w:rPr>
      </w:pPr>
    </w:p>
    <w:p w14:paraId="70F52007" w14:textId="77777777" w:rsidR="00CE2922" w:rsidRDefault="00CE2922" w:rsidP="00036E64">
      <w:pPr>
        <w:jc w:val="both"/>
        <w:rPr>
          <w:rFonts w:ascii="Verdana" w:eastAsia="Malgun Gothic" w:hAnsi="Verdana" w:cs="Arial"/>
          <w:bCs/>
          <w:sz w:val="18"/>
          <w:szCs w:val="18"/>
        </w:rPr>
      </w:pPr>
    </w:p>
    <w:p w14:paraId="0A6DF8B9" w14:textId="77777777" w:rsidR="00036E64" w:rsidRDefault="00036E64" w:rsidP="00036E64">
      <w:pPr>
        <w:jc w:val="both"/>
        <w:rPr>
          <w:rFonts w:ascii="Verdana" w:eastAsia="Malgun Gothic" w:hAnsi="Verdana" w:cs="Arial"/>
          <w:bCs/>
          <w:sz w:val="18"/>
          <w:szCs w:val="18"/>
        </w:rPr>
      </w:pPr>
    </w:p>
    <w:p w14:paraId="29A99A4E" w14:textId="77777777" w:rsidR="00032F16" w:rsidRDefault="00032F16" w:rsidP="00036E64">
      <w:pPr>
        <w:jc w:val="both"/>
        <w:rPr>
          <w:rFonts w:ascii="Verdana" w:eastAsia="Malgun Gothic" w:hAnsi="Verdana" w:cs="Arial"/>
          <w:bCs/>
          <w:sz w:val="18"/>
          <w:szCs w:val="18"/>
        </w:rPr>
      </w:pPr>
    </w:p>
    <w:p w14:paraId="66BDC567" w14:textId="77777777" w:rsidR="00032F16" w:rsidRDefault="00032F16" w:rsidP="00036E64">
      <w:pPr>
        <w:jc w:val="both"/>
        <w:rPr>
          <w:rFonts w:ascii="Verdana" w:eastAsia="Malgun Gothic" w:hAnsi="Verdana" w:cs="Arial"/>
          <w:bCs/>
          <w:sz w:val="18"/>
          <w:szCs w:val="18"/>
        </w:rPr>
      </w:pPr>
    </w:p>
    <w:p w14:paraId="5F68351A" w14:textId="77777777" w:rsidR="00036E64" w:rsidRDefault="00036E64" w:rsidP="00036E64">
      <w:pPr>
        <w:jc w:val="both"/>
        <w:rPr>
          <w:rFonts w:ascii="Verdana" w:eastAsia="Malgun Gothic" w:hAnsi="Verdana" w:cs="Arial"/>
          <w:bCs/>
          <w:sz w:val="18"/>
          <w:szCs w:val="18"/>
        </w:rPr>
      </w:pPr>
    </w:p>
    <w:p w14:paraId="504B98C0" w14:textId="77777777" w:rsidR="00036E64" w:rsidRDefault="00036E64" w:rsidP="00036E64">
      <w:pPr>
        <w:jc w:val="both"/>
        <w:rPr>
          <w:rFonts w:ascii="Verdana" w:eastAsia="Malgun Gothic" w:hAnsi="Verdana" w:cs="Arial"/>
          <w:bCs/>
          <w:sz w:val="18"/>
          <w:szCs w:val="18"/>
        </w:rPr>
      </w:pPr>
    </w:p>
    <w:p w14:paraId="322036BD" w14:textId="17BAB66D" w:rsidR="00A61229" w:rsidRDefault="00A61229" w:rsidP="00A61229">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18E0B48C" w14:textId="77777777" w:rsidR="00A61229" w:rsidRPr="00F82F9E" w:rsidRDefault="00A61229" w:rsidP="00F82F9E">
      <w:pPr>
        <w:rPr>
          <w:rFonts w:ascii="Verdana" w:eastAsia="Malgun Gothic" w:hAnsi="Verdana" w:cs="Arial"/>
          <w:bCs/>
          <w:sz w:val="18"/>
          <w:szCs w:val="18"/>
        </w:rPr>
      </w:pPr>
    </w:p>
    <w:p w14:paraId="7F7B2810" w14:textId="77777777" w:rsidR="00A61229" w:rsidRDefault="00A61229" w:rsidP="00A61229">
      <w:pPr>
        <w:jc w:val="both"/>
        <w:rPr>
          <w:rFonts w:ascii="Verdana" w:eastAsia="Malgun Gothic" w:hAnsi="Verdana" w:cs="Arial"/>
          <w:sz w:val="18"/>
          <w:szCs w:val="18"/>
        </w:rPr>
      </w:pPr>
    </w:p>
    <w:p w14:paraId="32BCD969" w14:textId="77777777" w:rsidR="00A61229" w:rsidRDefault="00A61229" w:rsidP="00A61229">
      <w:pPr>
        <w:jc w:val="both"/>
        <w:rPr>
          <w:rFonts w:ascii="Verdana" w:eastAsia="Malgun Gothic" w:hAnsi="Verdana" w:cs="Arial"/>
          <w:b/>
          <w:sz w:val="18"/>
          <w:szCs w:val="18"/>
          <w:u w:val="single"/>
        </w:rPr>
      </w:pPr>
      <w:r>
        <w:rPr>
          <w:rFonts w:ascii="Verdana" w:eastAsia="Malgun Gothic" w:hAnsi="Verdana" w:cs="Arial"/>
          <w:b/>
          <w:sz w:val="18"/>
          <w:szCs w:val="18"/>
          <w:u w:val="single"/>
        </w:rPr>
        <w:t>Scope</w:t>
      </w:r>
    </w:p>
    <w:p w14:paraId="11ED64B1" w14:textId="77777777" w:rsidR="00A61229" w:rsidRDefault="00A61229" w:rsidP="00A61229">
      <w:pPr>
        <w:jc w:val="both"/>
        <w:rPr>
          <w:rFonts w:ascii="Verdana" w:eastAsia="Malgun Gothic" w:hAnsi="Verdana" w:cs="Arial"/>
          <w:sz w:val="18"/>
          <w:szCs w:val="18"/>
        </w:rPr>
      </w:pPr>
    </w:p>
    <w:p w14:paraId="75FC2597" w14:textId="3BCC83F9" w:rsidR="00C86364" w:rsidRDefault="00C86364" w:rsidP="00A61229">
      <w:pPr>
        <w:jc w:val="both"/>
        <w:rPr>
          <w:rFonts w:ascii="Verdana" w:eastAsia="Malgun Gothic" w:hAnsi="Verdana" w:cs="Arial"/>
          <w:sz w:val="18"/>
          <w:szCs w:val="18"/>
        </w:rPr>
      </w:pPr>
      <w:r>
        <w:rPr>
          <w:rFonts w:ascii="Verdana" w:eastAsia="Malgun Gothic" w:hAnsi="Verdana" w:cs="Arial"/>
          <w:sz w:val="18"/>
          <w:szCs w:val="18"/>
        </w:rPr>
        <w:t>The quarterly Index of Production in Construction serves as a tool for monitoring short-term developments in construction activity. It is a volume index that approximates the changes in value added at constant prices. It can, therefore, be considered as an indication of the growth rate of construction relevant to a specific reference year, the base year</w:t>
      </w:r>
      <w:r w:rsidR="00C32B6A">
        <w:rPr>
          <w:rFonts w:ascii="Verdana" w:eastAsia="Malgun Gothic" w:hAnsi="Verdana" w:cs="Arial"/>
          <w:sz w:val="18"/>
          <w:szCs w:val="18"/>
        </w:rPr>
        <w:t>.</w:t>
      </w:r>
    </w:p>
    <w:p w14:paraId="2672B84C" w14:textId="77777777" w:rsidR="00C86364" w:rsidRDefault="00C86364" w:rsidP="00A61229">
      <w:pPr>
        <w:jc w:val="both"/>
        <w:rPr>
          <w:rFonts w:ascii="Verdana" w:eastAsia="Malgun Gothic" w:hAnsi="Verdana" w:cs="Arial"/>
          <w:sz w:val="18"/>
          <w:szCs w:val="18"/>
        </w:rPr>
      </w:pPr>
    </w:p>
    <w:p w14:paraId="5B3CA215" w14:textId="23CAF307" w:rsidR="00A61229" w:rsidRDefault="00A61229" w:rsidP="00A61229">
      <w:pPr>
        <w:jc w:val="both"/>
        <w:rPr>
          <w:rFonts w:ascii="Verdana" w:eastAsia="Malgun Gothic" w:hAnsi="Verdana" w:cs="Arial"/>
          <w:sz w:val="18"/>
          <w:szCs w:val="18"/>
        </w:rPr>
      </w:pPr>
      <w:r>
        <w:rPr>
          <w:rFonts w:ascii="Verdana" w:eastAsia="Malgun Gothic" w:hAnsi="Verdana" w:cs="Arial"/>
          <w:sz w:val="18"/>
          <w:szCs w:val="18"/>
        </w:rPr>
        <w:t xml:space="preserve">The quarterly </w:t>
      </w:r>
      <w:bookmarkStart w:id="5" w:name="_Hlk181624643"/>
      <w:r>
        <w:rPr>
          <w:rFonts w:ascii="Verdana" w:eastAsia="Malgun Gothic" w:hAnsi="Verdana" w:cs="Arial"/>
          <w:sz w:val="18"/>
          <w:szCs w:val="18"/>
        </w:rPr>
        <w:t xml:space="preserve">Output Prices Index </w:t>
      </w:r>
      <w:bookmarkEnd w:id="5"/>
      <w:r>
        <w:rPr>
          <w:rFonts w:ascii="Verdana" w:eastAsia="Malgun Gothic" w:hAnsi="Verdana" w:cs="Arial"/>
          <w:sz w:val="18"/>
          <w:szCs w:val="18"/>
        </w:rPr>
        <w:t xml:space="preserve">measures the changes in unit prices charged to clients of construction work. Consequently, it shows the change in the overall cost of construction work incurred to the client, including costs coming from the materials used, from </w:t>
      </w:r>
      <w:proofErr w:type="spellStart"/>
      <w:r>
        <w:rPr>
          <w:rFonts w:ascii="Verdana" w:eastAsia="Malgun Gothic" w:hAnsi="Verdana" w:cs="Arial"/>
          <w:sz w:val="18"/>
          <w:szCs w:val="18"/>
        </w:rPr>
        <w:t>labour</w:t>
      </w:r>
      <w:proofErr w:type="spellEnd"/>
      <w:r>
        <w:rPr>
          <w:rFonts w:ascii="Verdana" w:eastAsia="Malgun Gothic" w:hAnsi="Verdana" w:cs="Arial"/>
          <w:sz w:val="18"/>
          <w:szCs w:val="18"/>
        </w:rPr>
        <w:t xml:space="preserve">, energy, transport, </w:t>
      </w:r>
      <w:proofErr w:type="spellStart"/>
      <w:r>
        <w:rPr>
          <w:rFonts w:ascii="Verdana" w:eastAsia="Malgun Gothic" w:hAnsi="Verdana" w:cs="Arial"/>
          <w:sz w:val="18"/>
          <w:szCs w:val="18"/>
        </w:rPr>
        <w:t>etc</w:t>
      </w:r>
      <w:proofErr w:type="spellEnd"/>
      <w:r>
        <w:rPr>
          <w:rFonts w:ascii="Verdana" w:eastAsia="Malgun Gothic" w:hAnsi="Verdana" w:cs="Arial"/>
          <w:sz w:val="18"/>
          <w:szCs w:val="18"/>
        </w:rPr>
        <w:t>, as well as the profit made by the contractors. It can be</w:t>
      </w:r>
      <w:r w:rsidR="00EA1996">
        <w:rPr>
          <w:rFonts w:ascii="Verdana" w:eastAsia="Malgun Gothic" w:hAnsi="Verdana" w:cs="Arial"/>
          <w:sz w:val="18"/>
          <w:szCs w:val="18"/>
        </w:rPr>
        <w:t xml:space="preserve"> </w:t>
      </w:r>
      <w:r>
        <w:rPr>
          <w:rFonts w:ascii="Verdana" w:eastAsia="Malgun Gothic" w:hAnsi="Verdana" w:cs="Arial"/>
          <w:sz w:val="18"/>
          <w:szCs w:val="18"/>
        </w:rPr>
        <w:t xml:space="preserve">seen as an indication of </w:t>
      </w:r>
      <w:r w:rsidR="00EA1996">
        <w:rPr>
          <w:rFonts w:ascii="Verdana" w:eastAsia="Malgun Gothic" w:hAnsi="Verdana" w:cs="Arial"/>
          <w:sz w:val="18"/>
          <w:szCs w:val="18"/>
        </w:rPr>
        <w:t xml:space="preserve">the level of price </w:t>
      </w:r>
      <w:r>
        <w:rPr>
          <w:rFonts w:ascii="Verdana" w:eastAsia="Malgun Gothic" w:hAnsi="Verdana" w:cs="Arial"/>
          <w:sz w:val="18"/>
          <w:szCs w:val="18"/>
        </w:rPr>
        <w:t>inflation</w:t>
      </w:r>
      <w:r w:rsidR="00EA1996">
        <w:rPr>
          <w:rFonts w:ascii="Verdana" w:eastAsia="Malgun Gothic" w:hAnsi="Verdana" w:cs="Arial"/>
          <w:sz w:val="18"/>
          <w:szCs w:val="18"/>
        </w:rPr>
        <w:t xml:space="preserve"> </w:t>
      </w:r>
      <w:r>
        <w:rPr>
          <w:rFonts w:ascii="Verdana" w:eastAsia="Malgun Gothic" w:hAnsi="Verdana" w:cs="Arial"/>
          <w:sz w:val="18"/>
          <w:szCs w:val="18"/>
        </w:rPr>
        <w:t xml:space="preserve">in </w:t>
      </w:r>
      <w:r w:rsidR="00EA1996">
        <w:rPr>
          <w:rFonts w:ascii="Verdana" w:eastAsia="Malgun Gothic" w:hAnsi="Verdana" w:cs="Arial"/>
          <w:sz w:val="18"/>
          <w:szCs w:val="18"/>
        </w:rPr>
        <w:t>c</w:t>
      </w:r>
      <w:r>
        <w:rPr>
          <w:rFonts w:ascii="Verdana" w:eastAsia="Malgun Gothic" w:hAnsi="Verdana" w:cs="Arial"/>
          <w:sz w:val="18"/>
          <w:szCs w:val="18"/>
        </w:rPr>
        <w:t>onstruction compared to a specific reference year, the base year.</w:t>
      </w:r>
    </w:p>
    <w:p w14:paraId="4022D9EB" w14:textId="77777777" w:rsidR="00A61229" w:rsidRDefault="00A61229" w:rsidP="00A61229">
      <w:pPr>
        <w:jc w:val="both"/>
        <w:rPr>
          <w:rFonts w:ascii="Verdana" w:hAnsi="Verdana"/>
          <w:b/>
          <w:bCs/>
          <w:sz w:val="18"/>
          <w:szCs w:val="18"/>
          <w:u w:val="single"/>
          <w:shd w:val="clear" w:color="auto" w:fill="FFFFFF"/>
        </w:rPr>
      </w:pPr>
    </w:p>
    <w:p w14:paraId="140EE17E" w14:textId="77777777" w:rsidR="00A61229" w:rsidRDefault="00A61229" w:rsidP="00A61229">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916708">
        <w:rPr>
          <w:rFonts w:ascii="Verdana" w:hAnsi="Verdana"/>
          <w:b/>
          <w:bCs/>
          <w:sz w:val="18"/>
          <w:szCs w:val="18"/>
          <w:u w:val="single"/>
          <w:shd w:val="clear" w:color="auto" w:fill="FFFFFF"/>
        </w:rPr>
        <w:t>D</w:t>
      </w:r>
      <w:r>
        <w:rPr>
          <w:rFonts w:ascii="Verdana" w:hAnsi="Verdana"/>
          <w:b/>
          <w:bCs/>
          <w:sz w:val="18"/>
          <w:szCs w:val="18"/>
          <w:u w:val="single"/>
          <w:shd w:val="clear" w:color="auto" w:fill="FFFFFF"/>
        </w:rPr>
        <w:t>ata</w:t>
      </w:r>
      <w:r>
        <w:rPr>
          <w:rFonts w:ascii="Verdana" w:hAnsi="Verdana" w:cs="Arial"/>
          <w:color w:val="000000"/>
          <w:sz w:val="18"/>
          <w:szCs w:val="18"/>
          <w:shd w:val="clear" w:color="auto" w:fill="FFFFFF"/>
        </w:rPr>
        <w:t xml:space="preserve"> </w:t>
      </w:r>
    </w:p>
    <w:p w14:paraId="19ED5F70" w14:textId="77777777" w:rsidR="00A61229" w:rsidRDefault="00A61229" w:rsidP="00A61229">
      <w:pPr>
        <w:jc w:val="both"/>
        <w:rPr>
          <w:rFonts w:ascii="Verdana" w:hAnsi="Verdana" w:cs="Arial"/>
          <w:color w:val="000000"/>
          <w:sz w:val="18"/>
          <w:szCs w:val="18"/>
          <w:shd w:val="clear" w:color="auto" w:fill="FFFFFF"/>
        </w:rPr>
      </w:pPr>
    </w:p>
    <w:p w14:paraId="2BCDFB43" w14:textId="556614B2" w:rsidR="00854BE2" w:rsidRDefault="00854BE2" w:rsidP="00A61229">
      <w:pPr>
        <w:jc w:val="both"/>
        <w:rPr>
          <w:rFonts w:ascii="Verdana" w:eastAsia="Times New Roman" w:hAnsi="Verdana" w:cs="Arial"/>
          <w:color w:val="000000"/>
          <w:sz w:val="18"/>
          <w:szCs w:val="18"/>
          <w:shd w:val="clear" w:color="auto" w:fill="FFFFFF"/>
        </w:rPr>
      </w:pPr>
      <w:r w:rsidRPr="00970856">
        <w:rPr>
          <w:rFonts w:ascii="Verdana" w:eastAsia="Times New Roman" w:hAnsi="Verdana" w:cs="Arial"/>
          <w:color w:val="000000"/>
          <w:sz w:val="18"/>
          <w:szCs w:val="18"/>
          <w:shd w:val="clear" w:color="auto" w:fill="FFFFFF"/>
        </w:rPr>
        <w:t>The Statistical Service collects data by telephone enquiries or e-mail</w:t>
      </w:r>
      <w:r>
        <w:rPr>
          <w:rFonts w:ascii="Verdana" w:eastAsia="Times New Roman" w:hAnsi="Verdana" w:cs="Arial"/>
          <w:color w:val="000000"/>
          <w:sz w:val="18"/>
          <w:szCs w:val="18"/>
          <w:shd w:val="clear" w:color="auto" w:fill="FFFFFF"/>
        </w:rPr>
        <w:t xml:space="preserve"> on a quarterly basis</w:t>
      </w:r>
      <w:r w:rsidR="00EA1996">
        <w:rPr>
          <w:rFonts w:ascii="Verdana" w:eastAsia="Times New Roman" w:hAnsi="Verdana" w:cs="Arial"/>
          <w:color w:val="000000"/>
          <w:sz w:val="18"/>
          <w:szCs w:val="18"/>
          <w:shd w:val="clear" w:color="auto" w:fill="FFFFFF"/>
        </w:rPr>
        <w:t xml:space="preserve">, </w:t>
      </w:r>
      <w:r>
        <w:rPr>
          <w:rFonts w:ascii="Verdana" w:eastAsia="Malgun Gothic" w:hAnsi="Verdana" w:cs="Arial"/>
          <w:sz w:val="18"/>
          <w:szCs w:val="18"/>
        </w:rPr>
        <w:t xml:space="preserve">from a sample of </w:t>
      </w:r>
      <w:r w:rsidR="00EA1996">
        <w:rPr>
          <w:rFonts w:ascii="Verdana" w:eastAsia="Malgun Gothic" w:hAnsi="Verdana" w:cs="Arial"/>
          <w:sz w:val="18"/>
          <w:szCs w:val="18"/>
        </w:rPr>
        <w:t xml:space="preserve">enterprises that are active in the construction sector. </w:t>
      </w:r>
      <w:r>
        <w:rPr>
          <w:rFonts w:ascii="Verdana" w:eastAsia="Malgun Gothic" w:hAnsi="Verdana" w:cs="Arial"/>
          <w:sz w:val="18"/>
          <w:szCs w:val="18"/>
        </w:rPr>
        <w:t xml:space="preserve">Moreover, </w:t>
      </w:r>
      <w:r w:rsidR="00EA1996">
        <w:rPr>
          <w:rFonts w:ascii="Verdana" w:eastAsia="Malgun Gothic" w:hAnsi="Verdana" w:cs="Arial"/>
          <w:sz w:val="18"/>
          <w:szCs w:val="18"/>
        </w:rPr>
        <w:t xml:space="preserve">information from </w:t>
      </w:r>
      <w:r>
        <w:rPr>
          <w:rFonts w:ascii="Verdana" w:eastAsia="Malgun Gothic" w:hAnsi="Verdana" w:cs="Arial"/>
          <w:sz w:val="18"/>
          <w:szCs w:val="18"/>
        </w:rPr>
        <w:t xml:space="preserve">administrative and other sources </w:t>
      </w:r>
      <w:r w:rsidR="00EA1996">
        <w:rPr>
          <w:rFonts w:ascii="Verdana" w:eastAsia="Malgun Gothic" w:hAnsi="Verdana" w:cs="Arial"/>
          <w:sz w:val="18"/>
          <w:szCs w:val="18"/>
        </w:rPr>
        <w:t>is</w:t>
      </w:r>
      <w:r>
        <w:rPr>
          <w:rFonts w:ascii="Verdana" w:eastAsia="Malgun Gothic" w:hAnsi="Verdana" w:cs="Arial"/>
          <w:sz w:val="18"/>
          <w:szCs w:val="18"/>
        </w:rPr>
        <w:t xml:space="preserve"> used.</w:t>
      </w:r>
    </w:p>
    <w:p w14:paraId="550C2DE1" w14:textId="77777777" w:rsidR="00A61229" w:rsidRDefault="00A61229" w:rsidP="00A61229">
      <w:pPr>
        <w:jc w:val="both"/>
        <w:rPr>
          <w:rFonts w:ascii="Verdana" w:eastAsia="Malgun Gothic" w:hAnsi="Verdana" w:cs="Arial"/>
          <w:sz w:val="18"/>
          <w:szCs w:val="18"/>
        </w:rPr>
      </w:pPr>
    </w:p>
    <w:p w14:paraId="4F48FA89" w14:textId="77777777" w:rsidR="00A61229" w:rsidRDefault="00A61229" w:rsidP="00A61229">
      <w:pPr>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916708">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DC045E4" w14:textId="77777777" w:rsidR="00A61229" w:rsidRDefault="00A61229" w:rsidP="00A61229">
      <w:pPr>
        <w:ind w:right="-79"/>
        <w:jc w:val="both"/>
        <w:rPr>
          <w:rFonts w:ascii="Verdana" w:eastAsia="Malgun Gothic" w:hAnsi="Verdana" w:cs="Arial"/>
          <w:sz w:val="18"/>
          <w:szCs w:val="18"/>
        </w:rPr>
      </w:pPr>
    </w:p>
    <w:p w14:paraId="51503792" w14:textId="0FA20C81" w:rsidR="00854BE2" w:rsidRDefault="00854BE2" w:rsidP="00854BE2">
      <w:pPr>
        <w:tabs>
          <w:tab w:val="left" w:pos="360"/>
          <w:tab w:val="left" w:pos="6840"/>
        </w:tabs>
        <w:jc w:val="both"/>
        <w:rPr>
          <w:rFonts w:ascii="Verdana" w:eastAsia="Malgun Gothic" w:hAnsi="Verdana" w:cs="Arial"/>
          <w:sz w:val="18"/>
          <w:szCs w:val="18"/>
        </w:rPr>
      </w:pPr>
      <w:r>
        <w:rPr>
          <w:rFonts w:ascii="Verdana" w:eastAsia="Malgun Gothic" w:hAnsi="Verdana" w:cs="Arial"/>
          <w:sz w:val="18"/>
          <w:szCs w:val="18"/>
        </w:rPr>
        <w:t xml:space="preserve">The base year for the </w:t>
      </w:r>
      <w:r w:rsidR="00460B87">
        <w:rPr>
          <w:rFonts w:ascii="Verdana" w:eastAsia="Malgun Gothic" w:hAnsi="Verdana" w:cs="Arial"/>
          <w:sz w:val="18"/>
          <w:szCs w:val="18"/>
        </w:rPr>
        <w:t>I</w:t>
      </w:r>
      <w:r>
        <w:rPr>
          <w:rFonts w:ascii="Verdana" w:eastAsia="Malgun Gothic" w:hAnsi="Verdana" w:cs="Arial"/>
          <w:sz w:val="18"/>
          <w:szCs w:val="18"/>
        </w:rPr>
        <w:t xml:space="preserve">ndex of Production in Construction is 2021. This means that the index shows the current evolution of production in relation to its average value in the year 2021. In the base year, the average of the production index for the four quarters is set to 100,0. For example, an index of 115,8 implies that production has gone up by 15,8% in relation to the average production of 2021. </w:t>
      </w:r>
    </w:p>
    <w:p w14:paraId="0D70C17F" w14:textId="77777777" w:rsidR="00854BE2" w:rsidRPr="00CA0FE2" w:rsidRDefault="00854BE2" w:rsidP="00854BE2">
      <w:pPr>
        <w:tabs>
          <w:tab w:val="left" w:pos="360"/>
          <w:tab w:val="left" w:pos="6840"/>
        </w:tabs>
        <w:jc w:val="both"/>
        <w:rPr>
          <w:rFonts w:ascii="Verdana" w:eastAsia="Malgun Gothic" w:hAnsi="Verdana" w:cs="Arial"/>
          <w:sz w:val="18"/>
          <w:szCs w:val="18"/>
        </w:rPr>
      </w:pPr>
    </w:p>
    <w:p w14:paraId="39BBD65E" w14:textId="02FDBFBA" w:rsidR="00854BE2" w:rsidRDefault="00854BE2" w:rsidP="00854BE2">
      <w:pPr>
        <w:tabs>
          <w:tab w:val="left" w:pos="360"/>
          <w:tab w:val="left" w:pos="6840"/>
        </w:tabs>
        <w:jc w:val="both"/>
        <w:rPr>
          <w:rFonts w:ascii="Verdana" w:eastAsia="Malgun Gothic" w:hAnsi="Verdana" w:cs="Arial"/>
          <w:sz w:val="18"/>
          <w:szCs w:val="18"/>
        </w:rPr>
      </w:pPr>
      <w:r>
        <w:rPr>
          <w:rFonts w:ascii="Verdana" w:eastAsia="Malgun Gothic" w:hAnsi="Verdana" w:cs="Arial"/>
          <w:sz w:val="18"/>
          <w:szCs w:val="18"/>
        </w:rPr>
        <w:t>The compilation of the Index of Production in Construction follows the provisions of Regulation (EU) 2019/2152 on European business statistics. At national level</w:t>
      </w:r>
      <w:r w:rsidR="00C553CC">
        <w:rPr>
          <w:rFonts w:ascii="Verdana" w:eastAsia="Malgun Gothic" w:hAnsi="Verdana" w:cs="Arial"/>
          <w:sz w:val="18"/>
          <w:szCs w:val="18"/>
        </w:rPr>
        <w:t>,</w:t>
      </w:r>
      <w:r>
        <w:rPr>
          <w:rFonts w:ascii="Verdana" w:eastAsia="Malgun Gothic" w:hAnsi="Verdana" w:cs="Arial"/>
          <w:sz w:val="18"/>
          <w:szCs w:val="18"/>
        </w:rPr>
        <w:t xml:space="preserve"> the index is published unadjusted (gross), i.e. no working day or seasonal adjustment is performed. In addition to the unadjusted index, a working day and a seasonally adjusted index is transmitted on a quarterly basis to the Statistical Office of the European Union (Eurostat).</w:t>
      </w:r>
    </w:p>
    <w:p w14:paraId="313DBCB8" w14:textId="77777777" w:rsidR="00854BE2" w:rsidRDefault="00854BE2" w:rsidP="00854BE2">
      <w:pPr>
        <w:jc w:val="both"/>
        <w:rPr>
          <w:rFonts w:ascii="Verdana" w:eastAsia="Malgun Gothic" w:hAnsi="Verdana" w:cs="Arial"/>
          <w:sz w:val="18"/>
          <w:szCs w:val="18"/>
        </w:rPr>
      </w:pPr>
    </w:p>
    <w:p w14:paraId="07D50723" w14:textId="1C6C4234" w:rsidR="00C553CC" w:rsidRDefault="00C553CC" w:rsidP="00C553CC">
      <w:pPr>
        <w:ind w:right="-79"/>
        <w:jc w:val="both"/>
        <w:rPr>
          <w:rFonts w:ascii="Verdana" w:eastAsia="Malgun Gothic" w:hAnsi="Verdana" w:cs="Arial"/>
          <w:sz w:val="18"/>
          <w:szCs w:val="18"/>
        </w:rPr>
      </w:pPr>
      <w:r>
        <w:rPr>
          <w:rFonts w:ascii="Verdana" w:eastAsia="Malgun Gothic" w:hAnsi="Verdana" w:cs="Arial"/>
          <w:sz w:val="18"/>
          <w:szCs w:val="18"/>
        </w:rPr>
        <w:t>Respectively, t</w:t>
      </w:r>
      <w:r w:rsidR="00854BE2">
        <w:rPr>
          <w:rFonts w:ascii="Verdana" w:eastAsia="Malgun Gothic" w:hAnsi="Verdana" w:cs="Arial"/>
          <w:sz w:val="18"/>
          <w:szCs w:val="18"/>
        </w:rPr>
        <w:t xml:space="preserve">he base year for the Output Prices Index is </w:t>
      </w:r>
      <w:r>
        <w:rPr>
          <w:rFonts w:ascii="Verdana" w:eastAsia="Malgun Gothic" w:hAnsi="Verdana" w:cs="Arial"/>
          <w:sz w:val="18"/>
          <w:szCs w:val="18"/>
        </w:rPr>
        <w:t xml:space="preserve">also </w:t>
      </w:r>
      <w:r w:rsidR="00854BE2">
        <w:rPr>
          <w:rFonts w:ascii="Verdana" w:eastAsia="Malgun Gothic" w:hAnsi="Verdana" w:cs="Arial"/>
          <w:sz w:val="18"/>
          <w:szCs w:val="18"/>
        </w:rPr>
        <w:t>2021</w:t>
      </w:r>
      <w:r>
        <w:rPr>
          <w:rFonts w:ascii="Verdana" w:eastAsia="Malgun Gothic" w:hAnsi="Verdana" w:cs="Arial"/>
          <w:sz w:val="18"/>
          <w:szCs w:val="18"/>
        </w:rPr>
        <w:t xml:space="preserve">, thus showing </w:t>
      </w:r>
      <w:r w:rsidR="00854BE2">
        <w:rPr>
          <w:rFonts w:ascii="Verdana" w:eastAsia="Malgun Gothic" w:hAnsi="Verdana" w:cs="Arial"/>
          <w:sz w:val="18"/>
          <w:szCs w:val="18"/>
        </w:rPr>
        <w:t xml:space="preserve">the changes in unit prices in relation to their average values in the year 2021. </w:t>
      </w:r>
    </w:p>
    <w:p w14:paraId="31908F20" w14:textId="4DF579F7" w:rsidR="00A61229" w:rsidRDefault="00A61229" w:rsidP="00854BE2">
      <w:pPr>
        <w:ind w:right="-79"/>
        <w:jc w:val="both"/>
        <w:rPr>
          <w:rFonts w:ascii="Verdana" w:eastAsia="Malgun Gothic" w:hAnsi="Verdana" w:cs="Arial"/>
          <w:sz w:val="18"/>
          <w:szCs w:val="18"/>
        </w:rPr>
      </w:pPr>
    </w:p>
    <w:p w14:paraId="77C9A204" w14:textId="5B69D6A8" w:rsidR="00C553CC" w:rsidRDefault="00C553CC" w:rsidP="00854BE2">
      <w:pPr>
        <w:ind w:right="-79"/>
        <w:jc w:val="both"/>
        <w:rPr>
          <w:rFonts w:ascii="Verdana" w:eastAsia="Malgun Gothic" w:hAnsi="Verdana" w:cs="Arial"/>
          <w:sz w:val="18"/>
          <w:szCs w:val="18"/>
        </w:rPr>
      </w:pPr>
      <w:r>
        <w:rPr>
          <w:rFonts w:ascii="Verdana" w:eastAsia="Malgun Gothic" w:hAnsi="Verdana" w:cs="Arial"/>
          <w:sz w:val="18"/>
          <w:szCs w:val="18"/>
        </w:rPr>
        <w:t>For the compilation of the Output Prices Index, unit prices are collected for a number of basic construction tasks that are necessary from the foundation to the completion of a project. These tasks are aggregated on the basis of weights that reflect the share of</w:t>
      </w:r>
      <w:r w:rsidR="00A10324">
        <w:rPr>
          <w:rFonts w:ascii="Verdana" w:eastAsia="Malgun Gothic" w:hAnsi="Verdana" w:cs="Arial"/>
          <w:sz w:val="18"/>
          <w:szCs w:val="18"/>
        </w:rPr>
        <w:t xml:space="preserve"> cost</w:t>
      </w:r>
      <w:r>
        <w:rPr>
          <w:rFonts w:ascii="Verdana" w:eastAsia="Malgun Gothic" w:hAnsi="Verdana" w:cs="Arial"/>
          <w:sz w:val="18"/>
          <w:szCs w:val="18"/>
        </w:rPr>
        <w:t xml:space="preserve"> corresponding to each task. The Output Prices Index is also used as deflator for the calculation of the Production Index in Construction.</w:t>
      </w:r>
    </w:p>
    <w:p w14:paraId="11CF7B18" w14:textId="77777777" w:rsidR="00A61229" w:rsidRDefault="00A61229" w:rsidP="00A61229">
      <w:pPr>
        <w:tabs>
          <w:tab w:val="left" w:pos="360"/>
          <w:tab w:val="left" w:pos="6840"/>
        </w:tabs>
        <w:ind w:right="-79"/>
        <w:jc w:val="both"/>
        <w:rPr>
          <w:rFonts w:ascii="Verdana" w:eastAsia="Malgun Gothic" w:hAnsi="Verdana" w:cs="Arial"/>
          <w:sz w:val="18"/>
          <w:szCs w:val="18"/>
        </w:rPr>
      </w:pPr>
    </w:p>
    <w:p w14:paraId="5D260F07" w14:textId="77777777" w:rsidR="00CE2922" w:rsidRDefault="00CE2922" w:rsidP="00A61229">
      <w:pPr>
        <w:tabs>
          <w:tab w:val="left" w:pos="360"/>
          <w:tab w:val="left" w:pos="6840"/>
        </w:tabs>
        <w:ind w:right="-79"/>
        <w:jc w:val="both"/>
        <w:rPr>
          <w:rFonts w:ascii="Verdana" w:eastAsia="Malgun Gothic" w:hAnsi="Verdana" w:cs="Arial"/>
          <w:sz w:val="18"/>
          <w:szCs w:val="18"/>
        </w:rPr>
      </w:pPr>
    </w:p>
    <w:p w14:paraId="5FB21199" w14:textId="77777777" w:rsidR="00A61229" w:rsidRPr="00EB708A" w:rsidRDefault="00A61229" w:rsidP="00A61229">
      <w:pPr>
        <w:rPr>
          <w:lang w:eastAsia="en-CY"/>
        </w:rPr>
      </w:pPr>
      <w:r w:rsidRPr="00EB708A">
        <w:rPr>
          <w:rFonts w:ascii="Verdana" w:hAnsi="Verdana"/>
          <w:b/>
          <w:bCs/>
          <w:i/>
          <w:iCs/>
          <w:sz w:val="18"/>
          <w:szCs w:val="18"/>
        </w:rPr>
        <w:t xml:space="preserve">For more information: </w:t>
      </w:r>
    </w:p>
    <w:p w14:paraId="4D59F82B" w14:textId="77777777" w:rsidR="00A61229" w:rsidRPr="00EB708A" w:rsidRDefault="00A61229" w:rsidP="00A61229">
      <w:r w:rsidRPr="00EB708A">
        <w:rPr>
          <w:rFonts w:ascii="Verdana" w:hAnsi="Verdana"/>
          <w:sz w:val="18"/>
          <w:szCs w:val="18"/>
        </w:rPr>
        <w:t xml:space="preserve">CYSTAT Portal, subtheme </w:t>
      </w:r>
      <w:hyperlink r:id="rId9" w:history="1">
        <w:r w:rsidRPr="00EB708A">
          <w:rPr>
            <w:rStyle w:val="Hyperlink"/>
            <w:rFonts w:ascii="Verdana" w:hAnsi="Verdana"/>
            <w:sz w:val="18"/>
            <w:szCs w:val="18"/>
          </w:rPr>
          <w:t>Construction</w:t>
        </w:r>
      </w:hyperlink>
    </w:p>
    <w:p w14:paraId="0F925E71" w14:textId="3BC46930" w:rsidR="00916708" w:rsidRPr="00EA6EEC" w:rsidRDefault="00916708" w:rsidP="00916708">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04E2A7D8" w14:textId="77777777" w:rsidR="000C5306" w:rsidRPr="00EB708A" w:rsidRDefault="000C5306" w:rsidP="000C5306">
      <w:hyperlink r:id="rId11" w:history="1">
        <w:r w:rsidRPr="00EB708A">
          <w:rPr>
            <w:rStyle w:val="Hyperlink"/>
            <w:rFonts w:ascii="Verdana" w:hAnsi="Verdana"/>
            <w:sz w:val="18"/>
            <w:szCs w:val="18"/>
          </w:rPr>
          <w:t>Predefined Tables</w:t>
        </w:r>
      </w:hyperlink>
      <w:r w:rsidRPr="00EB708A">
        <w:rPr>
          <w:rFonts w:ascii="Verdana" w:hAnsi="Verdana"/>
          <w:sz w:val="18"/>
          <w:szCs w:val="18"/>
        </w:rPr>
        <w:t xml:space="preserve"> (Excel)</w:t>
      </w:r>
    </w:p>
    <w:p w14:paraId="3D569639" w14:textId="77777777" w:rsidR="000C5306" w:rsidRPr="00EA6EEC" w:rsidRDefault="000C5306" w:rsidP="00916708">
      <w:pPr>
        <w:ind w:right="-79"/>
        <w:jc w:val="both"/>
        <w:rPr>
          <w:rFonts w:ascii="Verdana" w:hAnsi="Verdana"/>
          <w:sz w:val="18"/>
          <w:szCs w:val="18"/>
        </w:rPr>
      </w:pPr>
    </w:p>
    <w:p w14:paraId="49CF0BD9" w14:textId="77777777" w:rsidR="00A61229" w:rsidRPr="00502453" w:rsidRDefault="00A61229" w:rsidP="00A61229">
      <w:pPr>
        <w:tabs>
          <w:tab w:val="left" w:pos="360"/>
          <w:tab w:val="left" w:pos="6840"/>
        </w:tabs>
        <w:ind w:right="-79"/>
        <w:jc w:val="both"/>
        <w:rPr>
          <w:rFonts w:ascii="Verdana" w:eastAsia="Malgun Gothic" w:hAnsi="Verdana" w:cs="Arial"/>
          <w:bCs/>
          <w:iCs/>
          <w:sz w:val="18"/>
          <w:szCs w:val="18"/>
        </w:rPr>
      </w:pPr>
    </w:p>
    <w:p w14:paraId="52653195" w14:textId="77777777" w:rsidR="00854BE2" w:rsidRDefault="00854BE2" w:rsidP="00854BE2">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42EA024C" w14:textId="77777777" w:rsidR="00A61229" w:rsidRDefault="00A61229" w:rsidP="00A61229">
      <w:pPr>
        <w:ind w:right="-79"/>
        <w:jc w:val="both"/>
        <w:rPr>
          <w:rFonts w:ascii="Verdana" w:hAnsi="Verdana"/>
          <w:b/>
          <w:bCs/>
          <w:sz w:val="18"/>
          <w:szCs w:val="18"/>
          <w:shd w:val="clear" w:color="auto" w:fill="FFFFFF"/>
        </w:rPr>
      </w:pPr>
    </w:p>
    <w:p w14:paraId="4B8942FE" w14:textId="11E3D7DF" w:rsidR="00A61229" w:rsidRPr="00854BE2" w:rsidRDefault="00A61229" w:rsidP="00A61229">
      <w:pPr>
        <w:ind w:right="-79"/>
        <w:jc w:val="both"/>
        <w:rPr>
          <w:rFonts w:ascii="Verdana" w:eastAsia="Malgun Gothic" w:hAnsi="Verdana" w:cs="Arial"/>
          <w:sz w:val="18"/>
          <w:szCs w:val="18"/>
          <w:lang w:val="pt-PT"/>
        </w:rPr>
      </w:pPr>
      <w:r w:rsidRPr="00EB708A">
        <w:rPr>
          <w:rFonts w:ascii="Verdana" w:hAnsi="Verdana"/>
          <w:bCs/>
          <w:i/>
          <w:sz w:val="18"/>
          <w:szCs w:val="18"/>
          <w:u w:val="single"/>
          <w:shd w:val="clear" w:color="auto" w:fill="FFFFFF"/>
          <w:lang w:val="pt-PT"/>
        </w:rPr>
        <w:t>Contact</w:t>
      </w:r>
      <w:r w:rsidRPr="00EB708A">
        <w:rPr>
          <w:rFonts w:ascii="Verdana" w:hAnsi="Verdana"/>
          <w:sz w:val="18"/>
          <w:szCs w:val="18"/>
          <w:shd w:val="clear" w:color="auto" w:fill="FFFFFF"/>
          <w:lang w:val="pt-PT"/>
        </w:rPr>
        <w:br/>
      </w:r>
      <w:r w:rsidRPr="00EB708A">
        <w:rPr>
          <w:rFonts w:ascii="Verdana" w:eastAsia="Malgun Gothic" w:hAnsi="Verdana" w:cs="Arial"/>
          <w:sz w:val="18"/>
          <w:szCs w:val="18"/>
          <w:lang w:val="pt-PT"/>
        </w:rPr>
        <w:t>Evi Kalogirou Demetriou</w:t>
      </w:r>
      <w:r w:rsidR="00854BE2">
        <w:rPr>
          <w:rFonts w:ascii="Verdana" w:eastAsia="Malgun Gothic" w:hAnsi="Verdana" w:cs="Arial"/>
          <w:sz w:val="18"/>
          <w:szCs w:val="18"/>
          <w:lang w:val="pt-PT"/>
        </w:rPr>
        <w:t xml:space="preserve">: </w:t>
      </w:r>
      <w:r w:rsidRPr="00EB708A">
        <w:rPr>
          <w:rFonts w:ascii="Verdana" w:eastAsia="Malgun Gothic" w:hAnsi="Verdana" w:cs="Arial"/>
          <w:sz w:val="18"/>
          <w:szCs w:val="18"/>
          <w:lang w:val="pt-PT"/>
        </w:rPr>
        <w:t>Tel: +357 22602168</w:t>
      </w:r>
      <w:r w:rsidR="00854BE2">
        <w:rPr>
          <w:rFonts w:ascii="Verdana" w:eastAsia="Malgun Gothic" w:hAnsi="Verdana" w:cs="Arial"/>
          <w:sz w:val="18"/>
          <w:szCs w:val="18"/>
          <w:lang w:val="pt-PT"/>
        </w:rPr>
        <w:t xml:space="preserve">, </w:t>
      </w:r>
      <w:r w:rsidRPr="00854BE2">
        <w:rPr>
          <w:rFonts w:ascii="Verdana" w:eastAsia="Malgun Gothic" w:hAnsi="Verdana" w:cs="Arial"/>
          <w:sz w:val="18"/>
          <w:szCs w:val="18"/>
          <w:lang w:val="pt-PT"/>
        </w:rPr>
        <w:t xml:space="preserve">Email: </w:t>
      </w:r>
      <w:hyperlink r:id="rId12" w:history="1">
        <w:r w:rsidRPr="00854BE2">
          <w:rPr>
            <w:rStyle w:val="Hyperlink"/>
            <w:rFonts w:ascii="Verdana" w:eastAsia="Malgun Gothic" w:hAnsi="Verdana" w:cs="Arial"/>
            <w:sz w:val="18"/>
            <w:szCs w:val="18"/>
            <w:lang w:val="pt-PT"/>
          </w:rPr>
          <w:t>ekalogirou@cystat.mof.gov.cy</w:t>
        </w:r>
      </w:hyperlink>
    </w:p>
    <w:p w14:paraId="6BDBF1BF" w14:textId="77777777" w:rsidR="00A61229" w:rsidRPr="00854BE2" w:rsidRDefault="00A61229" w:rsidP="00A61229">
      <w:pPr>
        <w:tabs>
          <w:tab w:val="left" w:pos="1080"/>
          <w:tab w:val="left" w:pos="7088"/>
        </w:tabs>
        <w:jc w:val="right"/>
        <w:rPr>
          <w:rFonts w:ascii="Verdana" w:eastAsia="Malgun Gothic" w:hAnsi="Verdana" w:cs="Arial"/>
          <w:sz w:val="18"/>
          <w:szCs w:val="18"/>
          <w:lang w:val="pt-PT"/>
        </w:rPr>
      </w:pPr>
    </w:p>
    <w:p w14:paraId="6FD626AB" w14:textId="77777777" w:rsidR="00A61229" w:rsidRPr="00854BE2" w:rsidRDefault="00A61229" w:rsidP="00A61229">
      <w:pPr>
        <w:jc w:val="both"/>
        <w:rPr>
          <w:rFonts w:ascii="Verdana" w:eastAsia="Malgun Gothic" w:hAnsi="Verdana" w:cs="Arial"/>
          <w:sz w:val="18"/>
          <w:szCs w:val="18"/>
          <w:lang w:val="pt-PT"/>
        </w:rPr>
      </w:pPr>
    </w:p>
    <w:p w14:paraId="059658BF" w14:textId="77777777" w:rsidR="00A61229" w:rsidRPr="00854BE2" w:rsidRDefault="00A61229" w:rsidP="00A61229">
      <w:pPr>
        <w:jc w:val="both"/>
        <w:rPr>
          <w:rFonts w:ascii="Verdana" w:eastAsia="Malgun Gothic" w:hAnsi="Verdana" w:cs="Arial"/>
          <w:sz w:val="18"/>
          <w:szCs w:val="18"/>
          <w:lang w:val="pt-PT"/>
        </w:rPr>
      </w:pPr>
    </w:p>
    <w:p w14:paraId="73D75D24" w14:textId="77777777" w:rsidR="00A61229" w:rsidRPr="00854BE2" w:rsidRDefault="00A61229" w:rsidP="00A61229">
      <w:pPr>
        <w:jc w:val="both"/>
        <w:rPr>
          <w:rFonts w:ascii="Verdana" w:eastAsia="Malgun Gothic" w:hAnsi="Verdana" w:cs="Arial"/>
          <w:sz w:val="18"/>
          <w:szCs w:val="18"/>
          <w:lang w:val="pt-PT"/>
        </w:rPr>
      </w:pPr>
    </w:p>
    <w:p w14:paraId="281D3267" w14:textId="77777777" w:rsidR="00A61229" w:rsidRPr="00854BE2" w:rsidRDefault="00A61229" w:rsidP="00A61229">
      <w:pPr>
        <w:jc w:val="both"/>
        <w:rPr>
          <w:rFonts w:ascii="Verdana" w:eastAsia="Malgun Gothic" w:hAnsi="Verdana" w:cs="Arial"/>
          <w:sz w:val="18"/>
          <w:szCs w:val="18"/>
          <w:lang w:val="pt-PT"/>
        </w:rPr>
      </w:pPr>
    </w:p>
    <w:sectPr w:rsidR="00A61229" w:rsidRPr="00854BE2" w:rsidSect="00255CB7">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0F91" w14:textId="77777777" w:rsidR="00514636" w:rsidRDefault="00514636" w:rsidP="00FB398F">
      <w:r>
        <w:separator/>
      </w:r>
    </w:p>
  </w:endnote>
  <w:endnote w:type="continuationSeparator" w:id="0">
    <w:p w14:paraId="4A94C86E" w14:textId="77777777" w:rsidR="00514636" w:rsidRDefault="0051463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A65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D9EA" w14:textId="2F3CCA99" w:rsidR="00854BE2" w:rsidRPr="00036E64" w:rsidRDefault="00854BE2" w:rsidP="00854BE2">
    <w:pPr>
      <w:pStyle w:val="Footer"/>
      <w:pBdr>
        <w:top w:val="single" w:sz="4" w:space="1" w:color="auto"/>
      </w:pBdr>
      <w:tabs>
        <w:tab w:val="left" w:pos="4500"/>
      </w:tabs>
      <w:jc w:val="center"/>
      <w:rPr>
        <w:rFonts w:ascii="Verdana" w:hAnsi="Verdana" w:cs="Arial"/>
        <w:sz w:val="16"/>
        <w:szCs w:val="16"/>
      </w:rPr>
    </w:pPr>
    <w:r w:rsidRPr="00036E64">
      <w:rPr>
        <w:rFonts w:ascii="Verdana" w:hAnsi="Verdana" w:cs="Arial"/>
        <w:sz w:val="16"/>
        <w:szCs w:val="16"/>
      </w:rPr>
      <w:t>Address: Michael Karaoli Str.,</w:t>
    </w:r>
    <w:r w:rsidR="00B85E08" w:rsidRPr="00036E64">
      <w:rPr>
        <w:rFonts w:ascii="Verdana" w:hAnsi="Verdana" w:cs="Arial"/>
        <w:sz w:val="16"/>
        <w:szCs w:val="16"/>
      </w:rPr>
      <w:t xml:space="preserve"> </w:t>
    </w:r>
    <w:r w:rsidRPr="00036E64">
      <w:rPr>
        <w:rFonts w:ascii="Verdana" w:hAnsi="Verdana" w:cs="Arial"/>
        <w:sz w:val="16"/>
        <w:szCs w:val="16"/>
      </w:rPr>
      <w:t>1444 Nicosia, Cyprus</w:t>
    </w:r>
  </w:p>
  <w:p w14:paraId="2E3F9F54" w14:textId="507B3077" w:rsidR="00854BE2" w:rsidRPr="00036E64" w:rsidRDefault="00854BE2" w:rsidP="00854BE2">
    <w:pPr>
      <w:pStyle w:val="Footer"/>
      <w:tabs>
        <w:tab w:val="left" w:pos="4500"/>
      </w:tabs>
      <w:jc w:val="center"/>
      <w:rPr>
        <w:rFonts w:ascii="Verdana" w:hAnsi="Verdana" w:cs="Arial"/>
        <w:sz w:val="16"/>
        <w:szCs w:val="16"/>
        <w:lang w:val="pt-PT"/>
      </w:rPr>
    </w:pPr>
    <w:r w:rsidRPr="00036E64">
      <w:rPr>
        <w:rFonts w:ascii="Verdana" w:hAnsi="Verdana" w:cs="Arial"/>
        <w:sz w:val="16"/>
        <w:szCs w:val="16"/>
        <w:lang w:val="pt-PT"/>
      </w:rPr>
      <w:t xml:space="preserve">Tel.: 22 602129, E-mail: </w:t>
    </w:r>
    <w:hyperlink r:id="rId1" w:history="1">
      <w:r w:rsidR="00B85E08" w:rsidRPr="00036E64">
        <w:rPr>
          <w:rStyle w:val="Hyperlink"/>
          <w:rFonts w:ascii="Verdana" w:hAnsi="Verdana" w:cs="Arial"/>
          <w:sz w:val="16"/>
          <w:szCs w:val="16"/>
          <w:lang w:val="pt-PT"/>
        </w:rPr>
        <w:t>enquiries@cystat.mof.gov.cy</w:t>
      </w:r>
    </w:hyperlink>
  </w:p>
  <w:p w14:paraId="0CFE276A" w14:textId="7BDB66BA" w:rsidR="004E4F42" w:rsidRPr="00854BE2" w:rsidRDefault="00854BE2" w:rsidP="00854BE2">
    <w:pPr>
      <w:pStyle w:val="Footer"/>
      <w:jc w:val="center"/>
      <w:rPr>
        <w:lang w:val="pt-PT"/>
      </w:rPr>
    </w:pPr>
    <w:r w:rsidRPr="00036E64">
      <w:rPr>
        <w:rFonts w:ascii="Verdana" w:hAnsi="Verdana" w:cs="Arial"/>
        <w:sz w:val="16"/>
        <w:szCs w:val="16"/>
        <w:lang w:val="pt-PT"/>
      </w:rPr>
      <w:t xml:space="preserve">Web </w:t>
    </w:r>
    <w:r w:rsidR="00036E64" w:rsidRPr="00A20E00">
      <w:rPr>
        <w:rFonts w:ascii="Verdana" w:hAnsi="Verdana" w:cs="Arial"/>
        <w:sz w:val="16"/>
        <w:szCs w:val="16"/>
        <w:lang w:val="pt-PT"/>
      </w:rPr>
      <w:t>P</w:t>
    </w:r>
    <w:r w:rsidRPr="00036E64">
      <w:rPr>
        <w:rFonts w:ascii="Verdana" w:hAnsi="Verdana" w:cs="Arial"/>
        <w:sz w:val="16"/>
        <w:szCs w:val="16"/>
        <w:lang w:val="pt-PT"/>
      </w:rPr>
      <w:t xml:space="preserve">ortal: </w:t>
    </w:r>
    <w:hyperlink r:id="rId2" w:history="1">
      <w:r w:rsidRPr="00036E64">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44E6" w14:textId="77777777" w:rsidR="00514636" w:rsidRDefault="00514636" w:rsidP="00FB398F">
      <w:r>
        <w:separator/>
      </w:r>
    </w:p>
  </w:footnote>
  <w:footnote w:type="continuationSeparator" w:id="0">
    <w:p w14:paraId="507E0EEF" w14:textId="77777777" w:rsidR="00514636" w:rsidRDefault="0051463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D3A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0040" w14:textId="7C123FBF" w:rsidR="004E4F42" w:rsidRDefault="00580018"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2CFF4FA3" wp14:editId="0F1D8F61">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99EE898" wp14:editId="6E4DDF8D">
              <wp:simplePos x="0" y="0"/>
              <wp:positionH relativeFrom="column">
                <wp:posOffset>4772660</wp:posOffset>
              </wp:positionH>
              <wp:positionV relativeFrom="paragraph">
                <wp:posOffset>-69215</wp:posOffset>
              </wp:positionV>
              <wp:extent cx="1287780" cy="1047750"/>
              <wp:effectExtent l="0" t="0" r="8255" b="0"/>
              <wp:wrapNone/>
              <wp:docPr id="957572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AB80EA2" w14:textId="0735C9C4" w:rsidR="004E4F42" w:rsidRDefault="00580018" w:rsidP="000932CF">
                          <w:r w:rsidRPr="00D96E3A">
                            <w:rPr>
                              <w:noProof/>
                            </w:rPr>
                            <w:drawing>
                              <wp:inline distT="0" distB="0" distL="0" distR="0" wp14:anchorId="10E3C908" wp14:editId="205565F9">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EE898"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AB80EA2" w14:textId="0735C9C4" w:rsidR="004E4F42" w:rsidRDefault="00580018" w:rsidP="000932CF">
                    <w:r w:rsidRPr="00D96E3A">
                      <w:rPr>
                        <w:noProof/>
                      </w:rPr>
                      <w:drawing>
                        <wp:inline distT="0" distB="0" distL="0" distR="0" wp14:anchorId="10E3C908" wp14:editId="205565F9">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04DFAE4" wp14:editId="06E7CAE2">
              <wp:simplePos x="0" y="0"/>
              <wp:positionH relativeFrom="column">
                <wp:posOffset>3439160</wp:posOffset>
              </wp:positionH>
              <wp:positionV relativeFrom="paragraph">
                <wp:posOffset>-221615</wp:posOffset>
              </wp:positionV>
              <wp:extent cx="1468755" cy="1200150"/>
              <wp:effectExtent l="0" t="0" r="0" b="0"/>
              <wp:wrapNone/>
              <wp:docPr id="139297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339CD6C4" w14:textId="001A7368" w:rsidR="004E4F42" w:rsidRDefault="00580018" w:rsidP="000932CF">
                          <w:r w:rsidRPr="00D96E3A">
                            <w:rPr>
                              <w:noProof/>
                            </w:rPr>
                            <w:drawing>
                              <wp:inline distT="0" distB="0" distL="0" distR="0" wp14:anchorId="0DA3F6ED" wp14:editId="4133ED11">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FAE4"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339CD6C4" w14:textId="001A7368" w:rsidR="004E4F42" w:rsidRDefault="00580018" w:rsidP="000932CF">
                    <w:r w:rsidRPr="00D96E3A">
                      <w:rPr>
                        <w:noProof/>
                      </w:rPr>
                      <w:drawing>
                        <wp:inline distT="0" distB="0" distL="0" distR="0" wp14:anchorId="0DA3F6ED" wp14:editId="4133ED11">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6BB7D2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1BD1C35"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EEFEB55"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523D9B2"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B6355E2" w14:textId="1F0C6C7A" w:rsidR="00364377" w:rsidRPr="00036E64" w:rsidRDefault="00580018"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0A9ED758" wp14:editId="79071062">
              <wp:simplePos x="0" y="0"/>
              <wp:positionH relativeFrom="column">
                <wp:posOffset>4102100</wp:posOffset>
              </wp:positionH>
              <wp:positionV relativeFrom="paragraph">
                <wp:posOffset>-140335</wp:posOffset>
              </wp:positionV>
              <wp:extent cx="1828800" cy="533400"/>
              <wp:effectExtent l="0" t="0" r="0" b="0"/>
              <wp:wrapNone/>
              <wp:docPr id="1462582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36E09F79" w14:textId="77777777" w:rsidR="0060256A" w:rsidRPr="00036E64" w:rsidRDefault="0060256A" w:rsidP="0060256A">
                          <w:pPr>
                            <w:jc w:val="center"/>
                            <w:rPr>
                              <w:rFonts w:ascii="Verdana" w:hAnsi="Verdana" w:cs="Arial"/>
                              <w:b/>
                              <w:sz w:val="20"/>
                              <w:szCs w:val="20"/>
                            </w:rPr>
                          </w:pPr>
                          <w:r w:rsidRPr="00036E64">
                            <w:rPr>
                              <w:rFonts w:ascii="Verdana" w:hAnsi="Verdana" w:cs="Arial"/>
                              <w:b/>
                              <w:sz w:val="20"/>
                              <w:szCs w:val="20"/>
                            </w:rPr>
                            <w:t>STATISTICAL SERVICE</w:t>
                          </w:r>
                        </w:p>
                        <w:p w14:paraId="1943A2BE" w14:textId="77777777" w:rsidR="0060256A" w:rsidRPr="00036E64" w:rsidRDefault="0060256A" w:rsidP="0060256A">
                          <w:pPr>
                            <w:jc w:val="center"/>
                            <w:rPr>
                              <w:rFonts w:ascii="Verdana" w:hAnsi="Verdana" w:cs="Arial"/>
                              <w:sz w:val="20"/>
                              <w:szCs w:val="20"/>
                            </w:rPr>
                          </w:pPr>
                          <w:r w:rsidRPr="00036E6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ED758"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36E09F79" w14:textId="77777777" w:rsidR="0060256A" w:rsidRPr="00036E64" w:rsidRDefault="0060256A" w:rsidP="0060256A">
                    <w:pPr>
                      <w:jc w:val="center"/>
                      <w:rPr>
                        <w:rFonts w:ascii="Verdana" w:hAnsi="Verdana" w:cs="Arial"/>
                        <w:b/>
                        <w:sz w:val="20"/>
                        <w:szCs w:val="20"/>
                      </w:rPr>
                    </w:pPr>
                    <w:r w:rsidRPr="00036E64">
                      <w:rPr>
                        <w:rFonts w:ascii="Verdana" w:hAnsi="Verdana" w:cs="Arial"/>
                        <w:b/>
                        <w:sz w:val="20"/>
                        <w:szCs w:val="20"/>
                      </w:rPr>
                      <w:t>STATISTICAL SERVICE</w:t>
                    </w:r>
                  </w:p>
                  <w:p w14:paraId="1943A2BE" w14:textId="77777777" w:rsidR="0060256A" w:rsidRPr="00036E64" w:rsidRDefault="0060256A" w:rsidP="0060256A">
                    <w:pPr>
                      <w:jc w:val="center"/>
                      <w:rPr>
                        <w:rFonts w:ascii="Verdana" w:hAnsi="Verdana" w:cs="Arial"/>
                        <w:sz w:val="20"/>
                        <w:szCs w:val="20"/>
                      </w:rPr>
                    </w:pPr>
                    <w:r w:rsidRPr="00036E6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036E64">
      <w:rPr>
        <w:rFonts w:ascii="Verdana" w:hAnsi="Verdana" w:cs="Arial"/>
        <w:bCs/>
        <w:sz w:val="20"/>
        <w:szCs w:val="20"/>
        <w:lang w:val="en-US"/>
      </w:rPr>
      <w:t>REPUBLIC OF CYPRUS</w:t>
    </w:r>
    <w:r w:rsidR="00364377" w:rsidRPr="00036E64">
      <w:rPr>
        <w:rFonts w:ascii="Verdana" w:hAnsi="Verdana"/>
        <w:b/>
        <w:bCs/>
        <w:sz w:val="20"/>
        <w:szCs w:val="20"/>
        <w:lang w:val="en-US"/>
      </w:rPr>
      <w:t xml:space="preserve"> </w:t>
    </w:r>
    <w:r w:rsidR="00364377" w:rsidRPr="00036E64">
      <w:rPr>
        <w:rFonts w:ascii="Verdana" w:hAnsi="Verdana"/>
        <w:b/>
        <w:bCs/>
        <w:sz w:val="20"/>
        <w:szCs w:val="20"/>
        <w:lang w:val="en-US"/>
      </w:rPr>
      <w:tab/>
    </w:r>
  </w:p>
  <w:p w14:paraId="5CE29F3C" w14:textId="4E5DB90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D039C6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35863709">
    <w:abstractNumId w:val="4"/>
  </w:num>
  <w:num w:numId="2" w16cid:durableId="1542549290">
    <w:abstractNumId w:val="1"/>
  </w:num>
  <w:num w:numId="3" w16cid:durableId="1555463595">
    <w:abstractNumId w:val="2"/>
  </w:num>
  <w:num w:numId="4" w16cid:durableId="1241058182">
    <w:abstractNumId w:val="3"/>
  </w:num>
  <w:num w:numId="5" w16cid:durableId="987200402">
    <w:abstractNumId w:val="0"/>
  </w:num>
  <w:num w:numId="6" w16cid:durableId="1459030026">
    <w:abstractNumId w:val="5"/>
  </w:num>
  <w:num w:numId="7" w16cid:durableId="149446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7F3"/>
    <w:rsid w:val="00004F86"/>
    <w:rsid w:val="0000542E"/>
    <w:rsid w:val="00010F9B"/>
    <w:rsid w:val="00013E40"/>
    <w:rsid w:val="000161B1"/>
    <w:rsid w:val="000214FD"/>
    <w:rsid w:val="00025A39"/>
    <w:rsid w:val="00027853"/>
    <w:rsid w:val="00030E18"/>
    <w:rsid w:val="00031D32"/>
    <w:rsid w:val="00032F16"/>
    <w:rsid w:val="0003603D"/>
    <w:rsid w:val="00036E64"/>
    <w:rsid w:val="00036FA9"/>
    <w:rsid w:val="00045088"/>
    <w:rsid w:val="00045A06"/>
    <w:rsid w:val="000502AB"/>
    <w:rsid w:val="00050391"/>
    <w:rsid w:val="00055291"/>
    <w:rsid w:val="000563D3"/>
    <w:rsid w:val="00057E44"/>
    <w:rsid w:val="00061299"/>
    <w:rsid w:val="00070576"/>
    <w:rsid w:val="00072754"/>
    <w:rsid w:val="000752BB"/>
    <w:rsid w:val="00081ADF"/>
    <w:rsid w:val="00084A02"/>
    <w:rsid w:val="00084BF7"/>
    <w:rsid w:val="000870E9"/>
    <w:rsid w:val="000932CF"/>
    <w:rsid w:val="00096C26"/>
    <w:rsid w:val="00096ED8"/>
    <w:rsid w:val="000A1A88"/>
    <w:rsid w:val="000A2B5C"/>
    <w:rsid w:val="000A3601"/>
    <w:rsid w:val="000A6FA8"/>
    <w:rsid w:val="000B6F3B"/>
    <w:rsid w:val="000C2933"/>
    <w:rsid w:val="000C4E72"/>
    <w:rsid w:val="000C5306"/>
    <w:rsid w:val="000D1E7A"/>
    <w:rsid w:val="000E24B1"/>
    <w:rsid w:val="000E2735"/>
    <w:rsid w:val="000E32D6"/>
    <w:rsid w:val="000E57F2"/>
    <w:rsid w:val="000E72A7"/>
    <w:rsid w:val="000E73DE"/>
    <w:rsid w:val="000F1162"/>
    <w:rsid w:val="000F3467"/>
    <w:rsid w:val="000F38DE"/>
    <w:rsid w:val="000F5D6C"/>
    <w:rsid w:val="00106852"/>
    <w:rsid w:val="00110F9D"/>
    <w:rsid w:val="00114A67"/>
    <w:rsid w:val="00122143"/>
    <w:rsid w:val="001253B6"/>
    <w:rsid w:val="00127320"/>
    <w:rsid w:val="00127456"/>
    <w:rsid w:val="001312D8"/>
    <w:rsid w:val="0013137B"/>
    <w:rsid w:val="00147BAC"/>
    <w:rsid w:val="00147D94"/>
    <w:rsid w:val="0015118B"/>
    <w:rsid w:val="001519CE"/>
    <w:rsid w:val="00161CF3"/>
    <w:rsid w:val="00162C00"/>
    <w:rsid w:val="001639EF"/>
    <w:rsid w:val="0016589F"/>
    <w:rsid w:val="00166FC4"/>
    <w:rsid w:val="00176558"/>
    <w:rsid w:val="0017756A"/>
    <w:rsid w:val="0017769A"/>
    <w:rsid w:val="00180671"/>
    <w:rsid w:val="00183DFC"/>
    <w:rsid w:val="00184384"/>
    <w:rsid w:val="001843B2"/>
    <w:rsid w:val="00186717"/>
    <w:rsid w:val="00187FFC"/>
    <w:rsid w:val="001A2018"/>
    <w:rsid w:val="001A2901"/>
    <w:rsid w:val="001A3DD4"/>
    <w:rsid w:val="001B2C39"/>
    <w:rsid w:val="001B3675"/>
    <w:rsid w:val="001B54AB"/>
    <w:rsid w:val="001B5E10"/>
    <w:rsid w:val="001B6AB3"/>
    <w:rsid w:val="001B73D5"/>
    <w:rsid w:val="001C0681"/>
    <w:rsid w:val="001C14B9"/>
    <w:rsid w:val="001C259D"/>
    <w:rsid w:val="001C62B3"/>
    <w:rsid w:val="001C7C8C"/>
    <w:rsid w:val="001D0D6A"/>
    <w:rsid w:val="001D20A4"/>
    <w:rsid w:val="001D4763"/>
    <w:rsid w:val="001E00D1"/>
    <w:rsid w:val="001E045E"/>
    <w:rsid w:val="001E0E58"/>
    <w:rsid w:val="001E14F3"/>
    <w:rsid w:val="001E15ED"/>
    <w:rsid w:val="001E61AA"/>
    <w:rsid w:val="001E7D09"/>
    <w:rsid w:val="002005A6"/>
    <w:rsid w:val="0020309E"/>
    <w:rsid w:val="00205BA0"/>
    <w:rsid w:val="00206467"/>
    <w:rsid w:val="00210B58"/>
    <w:rsid w:val="00212AF4"/>
    <w:rsid w:val="0021763A"/>
    <w:rsid w:val="00222423"/>
    <w:rsid w:val="00225B28"/>
    <w:rsid w:val="002268DE"/>
    <w:rsid w:val="00230E7A"/>
    <w:rsid w:val="002313AC"/>
    <w:rsid w:val="00235FB2"/>
    <w:rsid w:val="00237BC1"/>
    <w:rsid w:val="00240895"/>
    <w:rsid w:val="002430B4"/>
    <w:rsid w:val="002436A4"/>
    <w:rsid w:val="002447D0"/>
    <w:rsid w:val="002454C5"/>
    <w:rsid w:val="00245E19"/>
    <w:rsid w:val="0024685F"/>
    <w:rsid w:val="00246AEB"/>
    <w:rsid w:val="00250005"/>
    <w:rsid w:val="0025254F"/>
    <w:rsid w:val="0025566D"/>
    <w:rsid w:val="0025595C"/>
    <w:rsid w:val="00255CB7"/>
    <w:rsid w:val="00257149"/>
    <w:rsid w:val="002576E7"/>
    <w:rsid w:val="00257B2C"/>
    <w:rsid w:val="00260357"/>
    <w:rsid w:val="00264F04"/>
    <w:rsid w:val="00267554"/>
    <w:rsid w:val="0027122D"/>
    <w:rsid w:val="0028338F"/>
    <w:rsid w:val="00285C24"/>
    <w:rsid w:val="00285F10"/>
    <w:rsid w:val="00287E23"/>
    <w:rsid w:val="002915C4"/>
    <w:rsid w:val="00292320"/>
    <w:rsid w:val="002A1D1C"/>
    <w:rsid w:val="002A4D64"/>
    <w:rsid w:val="002B3CA0"/>
    <w:rsid w:val="002B6554"/>
    <w:rsid w:val="002C2EFC"/>
    <w:rsid w:val="002D05F0"/>
    <w:rsid w:val="002D5BDE"/>
    <w:rsid w:val="002D7D4A"/>
    <w:rsid w:val="002E1906"/>
    <w:rsid w:val="002E3019"/>
    <w:rsid w:val="002E3846"/>
    <w:rsid w:val="002E3F78"/>
    <w:rsid w:val="002F1088"/>
    <w:rsid w:val="002F400C"/>
    <w:rsid w:val="002F4D76"/>
    <w:rsid w:val="002F6D26"/>
    <w:rsid w:val="0030231E"/>
    <w:rsid w:val="003042C4"/>
    <w:rsid w:val="00304CB4"/>
    <w:rsid w:val="00313F37"/>
    <w:rsid w:val="003141D0"/>
    <w:rsid w:val="003168C1"/>
    <w:rsid w:val="00322FBE"/>
    <w:rsid w:val="00325632"/>
    <w:rsid w:val="00326290"/>
    <w:rsid w:val="00327549"/>
    <w:rsid w:val="003342A5"/>
    <w:rsid w:val="003356E2"/>
    <w:rsid w:val="00336C31"/>
    <w:rsid w:val="00336C36"/>
    <w:rsid w:val="00343815"/>
    <w:rsid w:val="00344604"/>
    <w:rsid w:val="00350265"/>
    <w:rsid w:val="003522BB"/>
    <w:rsid w:val="00352F6C"/>
    <w:rsid w:val="00353F86"/>
    <w:rsid w:val="003556EA"/>
    <w:rsid w:val="00364377"/>
    <w:rsid w:val="00377ABB"/>
    <w:rsid w:val="003854F5"/>
    <w:rsid w:val="00386FC7"/>
    <w:rsid w:val="00390A32"/>
    <w:rsid w:val="00396C89"/>
    <w:rsid w:val="003A40F2"/>
    <w:rsid w:val="003A50D1"/>
    <w:rsid w:val="003B196D"/>
    <w:rsid w:val="003B2710"/>
    <w:rsid w:val="003B4608"/>
    <w:rsid w:val="003B7AD4"/>
    <w:rsid w:val="003C1B8E"/>
    <w:rsid w:val="003C2392"/>
    <w:rsid w:val="003C5174"/>
    <w:rsid w:val="003C5240"/>
    <w:rsid w:val="003D14E0"/>
    <w:rsid w:val="003D1EA5"/>
    <w:rsid w:val="003D3348"/>
    <w:rsid w:val="003D6822"/>
    <w:rsid w:val="003D724C"/>
    <w:rsid w:val="003E0CE2"/>
    <w:rsid w:val="003E3611"/>
    <w:rsid w:val="003E3FCD"/>
    <w:rsid w:val="003E4F44"/>
    <w:rsid w:val="003F43BC"/>
    <w:rsid w:val="003F49E4"/>
    <w:rsid w:val="003F4D2F"/>
    <w:rsid w:val="003F5E32"/>
    <w:rsid w:val="003F75F6"/>
    <w:rsid w:val="00404670"/>
    <w:rsid w:val="00414CA0"/>
    <w:rsid w:val="00422F54"/>
    <w:rsid w:val="00427D91"/>
    <w:rsid w:val="00431516"/>
    <w:rsid w:val="00432C38"/>
    <w:rsid w:val="004361B3"/>
    <w:rsid w:val="0044249D"/>
    <w:rsid w:val="00442ABB"/>
    <w:rsid w:val="004430FB"/>
    <w:rsid w:val="0044379F"/>
    <w:rsid w:val="00446FB1"/>
    <w:rsid w:val="0046078F"/>
    <w:rsid w:val="00460B87"/>
    <w:rsid w:val="00462C83"/>
    <w:rsid w:val="00463214"/>
    <w:rsid w:val="0046434D"/>
    <w:rsid w:val="004656FA"/>
    <w:rsid w:val="00471D77"/>
    <w:rsid w:val="004723E4"/>
    <w:rsid w:val="00472A78"/>
    <w:rsid w:val="00475587"/>
    <w:rsid w:val="00480BC2"/>
    <w:rsid w:val="00483AC5"/>
    <w:rsid w:val="004929C2"/>
    <w:rsid w:val="00493FDD"/>
    <w:rsid w:val="0049586B"/>
    <w:rsid w:val="004A3E44"/>
    <w:rsid w:val="004A7983"/>
    <w:rsid w:val="004B2896"/>
    <w:rsid w:val="004B2A20"/>
    <w:rsid w:val="004B38E9"/>
    <w:rsid w:val="004B3FBA"/>
    <w:rsid w:val="004B42B9"/>
    <w:rsid w:val="004B556F"/>
    <w:rsid w:val="004B6599"/>
    <w:rsid w:val="004B70CB"/>
    <w:rsid w:val="004C35CE"/>
    <w:rsid w:val="004C6CA7"/>
    <w:rsid w:val="004D05B3"/>
    <w:rsid w:val="004D4357"/>
    <w:rsid w:val="004D4950"/>
    <w:rsid w:val="004E2393"/>
    <w:rsid w:val="004E27EC"/>
    <w:rsid w:val="004E3745"/>
    <w:rsid w:val="004E42BE"/>
    <w:rsid w:val="004E4F42"/>
    <w:rsid w:val="004E63D5"/>
    <w:rsid w:val="004E6B78"/>
    <w:rsid w:val="004F03FD"/>
    <w:rsid w:val="004F4DC9"/>
    <w:rsid w:val="004F52F0"/>
    <w:rsid w:val="004F5D75"/>
    <w:rsid w:val="004F6250"/>
    <w:rsid w:val="004F677C"/>
    <w:rsid w:val="004F6D8F"/>
    <w:rsid w:val="0050037A"/>
    <w:rsid w:val="00502453"/>
    <w:rsid w:val="00505503"/>
    <w:rsid w:val="0051107B"/>
    <w:rsid w:val="00512F9C"/>
    <w:rsid w:val="00514636"/>
    <w:rsid w:val="0052564E"/>
    <w:rsid w:val="00527CDB"/>
    <w:rsid w:val="005317FB"/>
    <w:rsid w:val="005341C9"/>
    <w:rsid w:val="005369CA"/>
    <w:rsid w:val="00536DE9"/>
    <w:rsid w:val="00540668"/>
    <w:rsid w:val="00541E08"/>
    <w:rsid w:val="00544085"/>
    <w:rsid w:val="0055789A"/>
    <w:rsid w:val="005610C0"/>
    <w:rsid w:val="005652D1"/>
    <w:rsid w:val="005660A0"/>
    <w:rsid w:val="00566A4F"/>
    <w:rsid w:val="00566CBE"/>
    <w:rsid w:val="00566F80"/>
    <w:rsid w:val="00567D64"/>
    <w:rsid w:val="00572BC2"/>
    <w:rsid w:val="00580018"/>
    <w:rsid w:val="00587307"/>
    <w:rsid w:val="0058780D"/>
    <w:rsid w:val="005938ED"/>
    <w:rsid w:val="0059478C"/>
    <w:rsid w:val="005978D4"/>
    <w:rsid w:val="005B2A67"/>
    <w:rsid w:val="005B3DCD"/>
    <w:rsid w:val="005B4AD4"/>
    <w:rsid w:val="005B5CC7"/>
    <w:rsid w:val="005C2798"/>
    <w:rsid w:val="005C36C3"/>
    <w:rsid w:val="005C56EE"/>
    <w:rsid w:val="005C5D4B"/>
    <w:rsid w:val="005D1714"/>
    <w:rsid w:val="005D2D39"/>
    <w:rsid w:val="005D4602"/>
    <w:rsid w:val="005D7638"/>
    <w:rsid w:val="005E6C3A"/>
    <w:rsid w:val="005E6E3F"/>
    <w:rsid w:val="005F12F5"/>
    <w:rsid w:val="005F4346"/>
    <w:rsid w:val="005F4B4F"/>
    <w:rsid w:val="005F7C7D"/>
    <w:rsid w:val="0060256A"/>
    <w:rsid w:val="006044B7"/>
    <w:rsid w:val="006071CE"/>
    <w:rsid w:val="006075B5"/>
    <w:rsid w:val="006079D0"/>
    <w:rsid w:val="0061018C"/>
    <w:rsid w:val="0061094E"/>
    <w:rsid w:val="00613440"/>
    <w:rsid w:val="00613BE3"/>
    <w:rsid w:val="006213D6"/>
    <w:rsid w:val="0062327B"/>
    <w:rsid w:val="006237C7"/>
    <w:rsid w:val="00632777"/>
    <w:rsid w:val="00633750"/>
    <w:rsid w:val="00634491"/>
    <w:rsid w:val="0063679C"/>
    <w:rsid w:val="00637055"/>
    <w:rsid w:val="00640A4B"/>
    <w:rsid w:val="00641CAE"/>
    <w:rsid w:val="00641D59"/>
    <w:rsid w:val="00644507"/>
    <w:rsid w:val="00646880"/>
    <w:rsid w:val="00647D2A"/>
    <w:rsid w:val="006537BB"/>
    <w:rsid w:val="0065711B"/>
    <w:rsid w:val="00671785"/>
    <w:rsid w:val="00672BA9"/>
    <w:rsid w:val="00673005"/>
    <w:rsid w:val="006804BE"/>
    <w:rsid w:val="0069008E"/>
    <w:rsid w:val="0069087E"/>
    <w:rsid w:val="00691191"/>
    <w:rsid w:val="006925C4"/>
    <w:rsid w:val="0069309C"/>
    <w:rsid w:val="006A02B7"/>
    <w:rsid w:val="006A3FBC"/>
    <w:rsid w:val="006B46D5"/>
    <w:rsid w:val="006B46F4"/>
    <w:rsid w:val="006C4DD5"/>
    <w:rsid w:val="006C7AF3"/>
    <w:rsid w:val="006D6548"/>
    <w:rsid w:val="006D6964"/>
    <w:rsid w:val="006E0E20"/>
    <w:rsid w:val="006E4256"/>
    <w:rsid w:val="006E4BBA"/>
    <w:rsid w:val="006E5F43"/>
    <w:rsid w:val="006E60A6"/>
    <w:rsid w:val="006F0F69"/>
    <w:rsid w:val="006F116B"/>
    <w:rsid w:val="006F117F"/>
    <w:rsid w:val="006F13DF"/>
    <w:rsid w:val="006F1E66"/>
    <w:rsid w:val="00700363"/>
    <w:rsid w:val="00702F26"/>
    <w:rsid w:val="0070313E"/>
    <w:rsid w:val="00703799"/>
    <w:rsid w:val="00705C5C"/>
    <w:rsid w:val="007106A1"/>
    <w:rsid w:val="00711475"/>
    <w:rsid w:val="007114CF"/>
    <w:rsid w:val="0072548A"/>
    <w:rsid w:val="007277A6"/>
    <w:rsid w:val="007437AB"/>
    <w:rsid w:val="00747C09"/>
    <w:rsid w:val="007534F8"/>
    <w:rsid w:val="007545AD"/>
    <w:rsid w:val="00755D2E"/>
    <w:rsid w:val="00763722"/>
    <w:rsid w:val="00764BC1"/>
    <w:rsid w:val="00770869"/>
    <w:rsid w:val="007738AA"/>
    <w:rsid w:val="00780A62"/>
    <w:rsid w:val="00781386"/>
    <w:rsid w:val="00783241"/>
    <w:rsid w:val="007838EC"/>
    <w:rsid w:val="00784BDC"/>
    <w:rsid w:val="00791F04"/>
    <w:rsid w:val="00792F28"/>
    <w:rsid w:val="0079543F"/>
    <w:rsid w:val="00795880"/>
    <w:rsid w:val="007976FB"/>
    <w:rsid w:val="007A4367"/>
    <w:rsid w:val="007A6F4D"/>
    <w:rsid w:val="007B0867"/>
    <w:rsid w:val="007B1081"/>
    <w:rsid w:val="007B1AC1"/>
    <w:rsid w:val="007B5A08"/>
    <w:rsid w:val="007B693D"/>
    <w:rsid w:val="007C2740"/>
    <w:rsid w:val="007C2BD1"/>
    <w:rsid w:val="007E041B"/>
    <w:rsid w:val="007E199A"/>
    <w:rsid w:val="007E2415"/>
    <w:rsid w:val="007E39F3"/>
    <w:rsid w:val="007E68F4"/>
    <w:rsid w:val="007F31BA"/>
    <w:rsid w:val="007F4078"/>
    <w:rsid w:val="007F4E21"/>
    <w:rsid w:val="0080014B"/>
    <w:rsid w:val="00800AF4"/>
    <w:rsid w:val="00801793"/>
    <w:rsid w:val="00803642"/>
    <w:rsid w:val="00806EA2"/>
    <w:rsid w:val="00812A2B"/>
    <w:rsid w:val="00814A4C"/>
    <w:rsid w:val="008204A7"/>
    <w:rsid w:val="00831AAB"/>
    <w:rsid w:val="0083574E"/>
    <w:rsid w:val="0083640C"/>
    <w:rsid w:val="008371F6"/>
    <w:rsid w:val="0084157B"/>
    <w:rsid w:val="00842BFB"/>
    <w:rsid w:val="00845B87"/>
    <w:rsid w:val="00846B85"/>
    <w:rsid w:val="00847DC3"/>
    <w:rsid w:val="00847F49"/>
    <w:rsid w:val="008535C5"/>
    <w:rsid w:val="00853765"/>
    <w:rsid w:val="00854BE2"/>
    <w:rsid w:val="0085516F"/>
    <w:rsid w:val="00861278"/>
    <w:rsid w:val="00866EA9"/>
    <w:rsid w:val="00867186"/>
    <w:rsid w:val="00870AF6"/>
    <w:rsid w:val="008734D3"/>
    <w:rsid w:val="00874A67"/>
    <w:rsid w:val="0087655C"/>
    <w:rsid w:val="00881268"/>
    <w:rsid w:val="0088394A"/>
    <w:rsid w:val="008860BD"/>
    <w:rsid w:val="00887399"/>
    <w:rsid w:val="0088779E"/>
    <w:rsid w:val="008912AF"/>
    <w:rsid w:val="00892114"/>
    <w:rsid w:val="00892CB9"/>
    <w:rsid w:val="008935CB"/>
    <w:rsid w:val="0089716A"/>
    <w:rsid w:val="008A5FC1"/>
    <w:rsid w:val="008B0E7E"/>
    <w:rsid w:val="008B5FF0"/>
    <w:rsid w:val="008B65BD"/>
    <w:rsid w:val="008B7900"/>
    <w:rsid w:val="008C71BF"/>
    <w:rsid w:val="008C7CF0"/>
    <w:rsid w:val="008C7FE0"/>
    <w:rsid w:val="008D40BF"/>
    <w:rsid w:val="008D5717"/>
    <w:rsid w:val="008E44A9"/>
    <w:rsid w:val="008E6B4D"/>
    <w:rsid w:val="008E6BFF"/>
    <w:rsid w:val="008F21AF"/>
    <w:rsid w:val="008F2400"/>
    <w:rsid w:val="008F61BA"/>
    <w:rsid w:val="008F6E3C"/>
    <w:rsid w:val="008F7C55"/>
    <w:rsid w:val="0090338C"/>
    <w:rsid w:val="00914A23"/>
    <w:rsid w:val="009161C3"/>
    <w:rsid w:val="00916708"/>
    <w:rsid w:val="009201F5"/>
    <w:rsid w:val="00925DE4"/>
    <w:rsid w:val="00930754"/>
    <w:rsid w:val="00931164"/>
    <w:rsid w:val="00934F68"/>
    <w:rsid w:val="009355AC"/>
    <w:rsid w:val="00935F38"/>
    <w:rsid w:val="00937586"/>
    <w:rsid w:val="00947889"/>
    <w:rsid w:val="00960E98"/>
    <w:rsid w:val="00963A82"/>
    <w:rsid w:val="009670C5"/>
    <w:rsid w:val="00972912"/>
    <w:rsid w:val="00972CA0"/>
    <w:rsid w:val="0097457F"/>
    <w:rsid w:val="00976D1F"/>
    <w:rsid w:val="00981C81"/>
    <w:rsid w:val="00990DC5"/>
    <w:rsid w:val="00992209"/>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F0528"/>
    <w:rsid w:val="009F0806"/>
    <w:rsid w:val="009F0B47"/>
    <w:rsid w:val="009F233B"/>
    <w:rsid w:val="009F3495"/>
    <w:rsid w:val="00A026D3"/>
    <w:rsid w:val="00A05D16"/>
    <w:rsid w:val="00A0659F"/>
    <w:rsid w:val="00A079BA"/>
    <w:rsid w:val="00A10324"/>
    <w:rsid w:val="00A11BCE"/>
    <w:rsid w:val="00A20E00"/>
    <w:rsid w:val="00A302B9"/>
    <w:rsid w:val="00A33875"/>
    <w:rsid w:val="00A360A1"/>
    <w:rsid w:val="00A402B3"/>
    <w:rsid w:val="00A44424"/>
    <w:rsid w:val="00A544B7"/>
    <w:rsid w:val="00A5492D"/>
    <w:rsid w:val="00A61229"/>
    <w:rsid w:val="00A618CF"/>
    <w:rsid w:val="00A62770"/>
    <w:rsid w:val="00A62EEB"/>
    <w:rsid w:val="00A660FF"/>
    <w:rsid w:val="00A6625A"/>
    <w:rsid w:val="00A73395"/>
    <w:rsid w:val="00A82B4C"/>
    <w:rsid w:val="00A84B6F"/>
    <w:rsid w:val="00A93A4C"/>
    <w:rsid w:val="00A94D5D"/>
    <w:rsid w:val="00A97F20"/>
    <w:rsid w:val="00AA1D9B"/>
    <w:rsid w:val="00AA2543"/>
    <w:rsid w:val="00AA3804"/>
    <w:rsid w:val="00AA55C2"/>
    <w:rsid w:val="00AB0ACA"/>
    <w:rsid w:val="00AB1D41"/>
    <w:rsid w:val="00AC1A04"/>
    <w:rsid w:val="00AC5E9A"/>
    <w:rsid w:val="00AC704B"/>
    <w:rsid w:val="00AD4048"/>
    <w:rsid w:val="00AD553E"/>
    <w:rsid w:val="00AD5848"/>
    <w:rsid w:val="00AD65D2"/>
    <w:rsid w:val="00AE5ADA"/>
    <w:rsid w:val="00AF6145"/>
    <w:rsid w:val="00B01386"/>
    <w:rsid w:val="00B01BB5"/>
    <w:rsid w:val="00B04AF4"/>
    <w:rsid w:val="00B05214"/>
    <w:rsid w:val="00B0736F"/>
    <w:rsid w:val="00B12D26"/>
    <w:rsid w:val="00B30D97"/>
    <w:rsid w:val="00B31738"/>
    <w:rsid w:val="00B3181A"/>
    <w:rsid w:val="00B35A7C"/>
    <w:rsid w:val="00B450D1"/>
    <w:rsid w:val="00B53D47"/>
    <w:rsid w:val="00B54A25"/>
    <w:rsid w:val="00B618C3"/>
    <w:rsid w:val="00B63652"/>
    <w:rsid w:val="00B668B0"/>
    <w:rsid w:val="00B67F5A"/>
    <w:rsid w:val="00B70F5C"/>
    <w:rsid w:val="00B71873"/>
    <w:rsid w:val="00B75AE5"/>
    <w:rsid w:val="00B779CF"/>
    <w:rsid w:val="00B800C0"/>
    <w:rsid w:val="00B8132B"/>
    <w:rsid w:val="00B84C5A"/>
    <w:rsid w:val="00B858F5"/>
    <w:rsid w:val="00B85ADA"/>
    <w:rsid w:val="00B85E08"/>
    <w:rsid w:val="00B93668"/>
    <w:rsid w:val="00BA68C6"/>
    <w:rsid w:val="00BB0BD9"/>
    <w:rsid w:val="00BB12F1"/>
    <w:rsid w:val="00BB276E"/>
    <w:rsid w:val="00BB3FEE"/>
    <w:rsid w:val="00BB5EB0"/>
    <w:rsid w:val="00BB7A27"/>
    <w:rsid w:val="00BC245A"/>
    <w:rsid w:val="00BC25D1"/>
    <w:rsid w:val="00BC340C"/>
    <w:rsid w:val="00BD16FA"/>
    <w:rsid w:val="00BD41C3"/>
    <w:rsid w:val="00BD488B"/>
    <w:rsid w:val="00BD7CCC"/>
    <w:rsid w:val="00BE002A"/>
    <w:rsid w:val="00BE1BC9"/>
    <w:rsid w:val="00BE5CDA"/>
    <w:rsid w:val="00BE608F"/>
    <w:rsid w:val="00BF23BB"/>
    <w:rsid w:val="00BF3250"/>
    <w:rsid w:val="00BF33DD"/>
    <w:rsid w:val="00BF5755"/>
    <w:rsid w:val="00BF684B"/>
    <w:rsid w:val="00C016F3"/>
    <w:rsid w:val="00C15193"/>
    <w:rsid w:val="00C15609"/>
    <w:rsid w:val="00C15F6A"/>
    <w:rsid w:val="00C2085F"/>
    <w:rsid w:val="00C23EA7"/>
    <w:rsid w:val="00C256F3"/>
    <w:rsid w:val="00C26329"/>
    <w:rsid w:val="00C270A2"/>
    <w:rsid w:val="00C315B5"/>
    <w:rsid w:val="00C32AAC"/>
    <w:rsid w:val="00C32B6A"/>
    <w:rsid w:val="00C32D3A"/>
    <w:rsid w:val="00C35E28"/>
    <w:rsid w:val="00C426AF"/>
    <w:rsid w:val="00C469C1"/>
    <w:rsid w:val="00C50659"/>
    <w:rsid w:val="00C513D7"/>
    <w:rsid w:val="00C51B39"/>
    <w:rsid w:val="00C5338A"/>
    <w:rsid w:val="00C54EF9"/>
    <w:rsid w:val="00C553CC"/>
    <w:rsid w:val="00C56BBF"/>
    <w:rsid w:val="00C572AA"/>
    <w:rsid w:val="00C57A9A"/>
    <w:rsid w:val="00C6016A"/>
    <w:rsid w:val="00C60B3F"/>
    <w:rsid w:val="00C623EB"/>
    <w:rsid w:val="00C6258A"/>
    <w:rsid w:val="00C64C6B"/>
    <w:rsid w:val="00C65138"/>
    <w:rsid w:val="00C66F2E"/>
    <w:rsid w:val="00C6785C"/>
    <w:rsid w:val="00C70FD1"/>
    <w:rsid w:val="00C733AA"/>
    <w:rsid w:val="00C73BFE"/>
    <w:rsid w:val="00C83027"/>
    <w:rsid w:val="00C835B9"/>
    <w:rsid w:val="00C84B8A"/>
    <w:rsid w:val="00C85E65"/>
    <w:rsid w:val="00C86364"/>
    <w:rsid w:val="00C87CA1"/>
    <w:rsid w:val="00C911B4"/>
    <w:rsid w:val="00C91B3B"/>
    <w:rsid w:val="00C94262"/>
    <w:rsid w:val="00C976E1"/>
    <w:rsid w:val="00CA148E"/>
    <w:rsid w:val="00CA3A9A"/>
    <w:rsid w:val="00CB6BC1"/>
    <w:rsid w:val="00CB7021"/>
    <w:rsid w:val="00CC68F4"/>
    <w:rsid w:val="00CD3294"/>
    <w:rsid w:val="00CD4524"/>
    <w:rsid w:val="00CD784D"/>
    <w:rsid w:val="00CE2922"/>
    <w:rsid w:val="00CF14B4"/>
    <w:rsid w:val="00CF31B5"/>
    <w:rsid w:val="00CF40F8"/>
    <w:rsid w:val="00D008DA"/>
    <w:rsid w:val="00D0416F"/>
    <w:rsid w:val="00D05851"/>
    <w:rsid w:val="00D10FED"/>
    <w:rsid w:val="00D11736"/>
    <w:rsid w:val="00D12EE8"/>
    <w:rsid w:val="00D14C80"/>
    <w:rsid w:val="00D15F97"/>
    <w:rsid w:val="00D15FF1"/>
    <w:rsid w:val="00D163EC"/>
    <w:rsid w:val="00D167F4"/>
    <w:rsid w:val="00D2092A"/>
    <w:rsid w:val="00D2216D"/>
    <w:rsid w:val="00D31A6F"/>
    <w:rsid w:val="00D33293"/>
    <w:rsid w:val="00D353D1"/>
    <w:rsid w:val="00D367DB"/>
    <w:rsid w:val="00D36E05"/>
    <w:rsid w:val="00D445A1"/>
    <w:rsid w:val="00D44F27"/>
    <w:rsid w:val="00D45304"/>
    <w:rsid w:val="00D461C7"/>
    <w:rsid w:val="00D50424"/>
    <w:rsid w:val="00D50EAC"/>
    <w:rsid w:val="00D57495"/>
    <w:rsid w:val="00D57D3E"/>
    <w:rsid w:val="00D728F0"/>
    <w:rsid w:val="00D843F4"/>
    <w:rsid w:val="00D84634"/>
    <w:rsid w:val="00D96DA5"/>
    <w:rsid w:val="00DB3350"/>
    <w:rsid w:val="00DB6733"/>
    <w:rsid w:val="00DC23CF"/>
    <w:rsid w:val="00DC6562"/>
    <w:rsid w:val="00DE130D"/>
    <w:rsid w:val="00DE24CF"/>
    <w:rsid w:val="00DE407C"/>
    <w:rsid w:val="00DE7C7D"/>
    <w:rsid w:val="00DF2992"/>
    <w:rsid w:val="00DF2D0C"/>
    <w:rsid w:val="00DF479D"/>
    <w:rsid w:val="00E01B9D"/>
    <w:rsid w:val="00E04F5E"/>
    <w:rsid w:val="00E0522E"/>
    <w:rsid w:val="00E120F4"/>
    <w:rsid w:val="00E139E3"/>
    <w:rsid w:val="00E155F9"/>
    <w:rsid w:val="00E17172"/>
    <w:rsid w:val="00E3181C"/>
    <w:rsid w:val="00E31BDE"/>
    <w:rsid w:val="00E3280A"/>
    <w:rsid w:val="00E372AF"/>
    <w:rsid w:val="00E37D68"/>
    <w:rsid w:val="00E40EAE"/>
    <w:rsid w:val="00E436AC"/>
    <w:rsid w:val="00E44F31"/>
    <w:rsid w:val="00E44FF8"/>
    <w:rsid w:val="00E4756E"/>
    <w:rsid w:val="00E5066A"/>
    <w:rsid w:val="00E52CF9"/>
    <w:rsid w:val="00E63F34"/>
    <w:rsid w:val="00E6715A"/>
    <w:rsid w:val="00E75DC9"/>
    <w:rsid w:val="00E81610"/>
    <w:rsid w:val="00E81C2A"/>
    <w:rsid w:val="00E84910"/>
    <w:rsid w:val="00E85B28"/>
    <w:rsid w:val="00E91976"/>
    <w:rsid w:val="00E947A6"/>
    <w:rsid w:val="00E97FC7"/>
    <w:rsid w:val="00EA0690"/>
    <w:rsid w:val="00EA0B1E"/>
    <w:rsid w:val="00EA0F14"/>
    <w:rsid w:val="00EA1996"/>
    <w:rsid w:val="00EA3956"/>
    <w:rsid w:val="00EA5571"/>
    <w:rsid w:val="00EA6EEC"/>
    <w:rsid w:val="00EB708A"/>
    <w:rsid w:val="00EC02A5"/>
    <w:rsid w:val="00EC176B"/>
    <w:rsid w:val="00EC33CD"/>
    <w:rsid w:val="00EC5BE5"/>
    <w:rsid w:val="00ED2650"/>
    <w:rsid w:val="00ED721A"/>
    <w:rsid w:val="00EE2970"/>
    <w:rsid w:val="00EE393D"/>
    <w:rsid w:val="00EF01CF"/>
    <w:rsid w:val="00EF6A66"/>
    <w:rsid w:val="00EF7AF9"/>
    <w:rsid w:val="00F01495"/>
    <w:rsid w:val="00F01EE6"/>
    <w:rsid w:val="00F10138"/>
    <w:rsid w:val="00F13F92"/>
    <w:rsid w:val="00F22AE9"/>
    <w:rsid w:val="00F22ECA"/>
    <w:rsid w:val="00F240E8"/>
    <w:rsid w:val="00F244FA"/>
    <w:rsid w:val="00F3363A"/>
    <w:rsid w:val="00F33C4E"/>
    <w:rsid w:val="00F36529"/>
    <w:rsid w:val="00F366A2"/>
    <w:rsid w:val="00F44F43"/>
    <w:rsid w:val="00F450E1"/>
    <w:rsid w:val="00F47FE8"/>
    <w:rsid w:val="00F50DF4"/>
    <w:rsid w:val="00F57AFE"/>
    <w:rsid w:val="00F6278E"/>
    <w:rsid w:val="00F63C41"/>
    <w:rsid w:val="00F63E96"/>
    <w:rsid w:val="00F701E3"/>
    <w:rsid w:val="00F707EB"/>
    <w:rsid w:val="00F71F8C"/>
    <w:rsid w:val="00F776DF"/>
    <w:rsid w:val="00F80362"/>
    <w:rsid w:val="00F8143B"/>
    <w:rsid w:val="00F82F9E"/>
    <w:rsid w:val="00F85E3E"/>
    <w:rsid w:val="00F86AD4"/>
    <w:rsid w:val="00F92EE4"/>
    <w:rsid w:val="00FA0113"/>
    <w:rsid w:val="00FA12B2"/>
    <w:rsid w:val="00FA7610"/>
    <w:rsid w:val="00FB02BD"/>
    <w:rsid w:val="00FB16A6"/>
    <w:rsid w:val="00FB398F"/>
    <w:rsid w:val="00FB49FB"/>
    <w:rsid w:val="00FB4EF8"/>
    <w:rsid w:val="00FB6692"/>
    <w:rsid w:val="00FB78DD"/>
    <w:rsid w:val="00FC1027"/>
    <w:rsid w:val="00FC125E"/>
    <w:rsid w:val="00FC3EF3"/>
    <w:rsid w:val="00FD1271"/>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69FB"/>
  <w15:chartTrackingRefBased/>
  <w15:docId w15:val="{8C9736ED-45F5-4DFF-A1DB-7667698A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B85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alogir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Construction__" TargetMode="Externa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4272</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Theodoulou  George</cp:lastModifiedBy>
  <cp:revision>5</cp:revision>
  <cp:lastPrinted>2025-10-06T10:05:00Z</cp:lastPrinted>
  <dcterms:created xsi:type="dcterms:W3CDTF">2025-10-03T07:36:00Z</dcterms:created>
  <dcterms:modified xsi:type="dcterms:W3CDTF">2025-10-07T08:27:00Z</dcterms:modified>
</cp:coreProperties>
</file>