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F41C0" w14:textId="77777777" w:rsidR="00BD79D0" w:rsidRDefault="00BD79D0" w:rsidP="00BD79D0">
      <w:pPr>
        <w:tabs>
          <w:tab w:val="left" w:pos="1080"/>
          <w:tab w:val="left" w:pos="7088"/>
        </w:tabs>
        <w:jc w:val="both"/>
        <w:rPr>
          <w:rFonts w:ascii="Arial" w:hAnsi="Arial" w:cs="Arial"/>
          <w:sz w:val="20"/>
          <w:szCs w:val="20"/>
          <w:lang w:val="el-GR"/>
        </w:rPr>
      </w:pPr>
    </w:p>
    <w:p w14:paraId="038CF675" w14:textId="77777777" w:rsidR="00B6392E" w:rsidRPr="00096ED8" w:rsidRDefault="00B6392E" w:rsidP="00BD79D0">
      <w:pPr>
        <w:tabs>
          <w:tab w:val="left" w:pos="1080"/>
          <w:tab w:val="left" w:pos="7088"/>
        </w:tabs>
        <w:jc w:val="both"/>
        <w:rPr>
          <w:rFonts w:ascii="Arial" w:hAnsi="Arial" w:cs="Arial"/>
          <w:sz w:val="20"/>
          <w:szCs w:val="20"/>
          <w:lang w:val="el-GR"/>
        </w:rPr>
      </w:pPr>
    </w:p>
    <w:p w14:paraId="28CA25F6" w14:textId="3EAFF1B6" w:rsidR="00BD79D0" w:rsidRPr="00FE31D1" w:rsidRDefault="00BD79D0" w:rsidP="00BD79D0">
      <w:pPr>
        <w:jc w:val="right"/>
        <w:rPr>
          <w:rFonts w:ascii="Verdana" w:eastAsia="Malgun Gothic" w:hAnsi="Verdana" w:cs="Arial"/>
          <w:sz w:val="18"/>
          <w:szCs w:val="18"/>
          <w:lang w:val="el-GR"/>
        </w:rPr>
      </w:pPr>
      <w:r w:rsidRPr="004F03FD">
        <w:rPr>
          <w:rFonts w:ascii="Arial" w:hAnsi="Arial" w:cs="Arial"/>
          <w:sz w:val="20"/>
          <w:szCs w:val="20"/>
          <w:lang w:val="el-GR"/>
        </w:rPr>
        <w:tab/>
      </w:r>
      <w:r w:rsidRPr="005C56EE">
        <w:rPr>
          <w:rFonts w:ascii="Arial" w:hAnsi="Arial" w:cs="Arial"/>
          <w:sz w:val="18"/>
          <w:szCs w:val="18"/>
          <w:lang w:val="el-GR"/>
        </w:rPr>
        <w:tab/>
      </w:r>
      <w:r w:rsidR="00B467C0" w:rsidRPr="00F57460">
        <w:rPr>
          <w:rFonts w:ascii="Verdana" w:hAnsi="Verdana" w:cs="Arial"/>
          <w:sz w:val="18"/>
          <w:szCs w:val="18"/>
          <w:lang w:val="el-GR"/>
        </w:rPr>
        <w:t xml:space="preserve">5 </w:t>
      </w:r>
      <w:r w:rsidR="00B467C0">
        <w:rPr>
          <w:rFonts w:ascii="Verdana" w:hAnsi="Verdana" w:cs="Arial"/>
          <w:sz w:val="18"/>
          <w:szCs w:val="18"/>
          <w:lang w:val="el-GR"/>
        </w:rPr>
        <w:t>Απριλίου</w:t>
      </w:r>
      <w:r>
        <w:rPr>
          <w:rFonts w:ascii="Verdana" w:eastAsia="Malgun Gothic" w:hAnsi="Verdana" w:cs="Arial"/>
          <w:sz w:val="18"/>
          <w:szCs w:val="18"/>
          <w:lang w:val="el-GR"/>
        </w:rPr>
        <w:t>, 202</w:t>
      </w:r>
      <w:r w:rsidR="00B33FFF" w:rsidRPr="00FE31D1">
        <w:rPr>
          <w:rFonts w:ascii="Verdana" w:eastAsia="Malgun Gothic" w:hAnsi="Verdana" w:cs="Arial"/>
          <w:sz w:val="18"/>
          <w:szCs w:val="18"/>
          <w:lang w:val="el-GR"/>
        </w:rPr>
        <w:t>4</w:t>
      </w:r>
    </w:p>
    <w:p w14:paraId="6E1F2595" w14:textId="77777777" w:rsidR="00BD79D0" w:rsidRPr="00336C36" w:rsidRDefault="00BD79D0" w:rsidP="00BD79D0">
      <w:pPr>
        <w:jc w:val="center"/>
        <w:rPr>
          <w:rFonts w:ascii="Verdana" w:eastAsia="Malgun Gothic" w:hAnsi="Verdana" w:cs="Arial"/>
          <w:b/>
          <w:sz w:val="24"/>
          <w:szCs w:val="24"/>
          <w:lang w:val="el-GR"/>
        </w:rPr>
      </w:pPr>
    </w:p>
    <w:p w14:paraId="3BF1AF74" w14:textId="77777777" w:rsidR="00BD79D0" w:rsidRPr="00CF40F8" w:rsidRDefault="00BD79D0" w:rsidP="00BD79D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41E4C564" w14:textId="77777777" w:rsidR="00BD79D0" w:rsidRDefault="00BD79D0" w:rsidP="00B6392E">
      <w:pPr>
        <w:rPr>
          <w:rFonts w:ascii="Verdana" w:hAnsi="Verdana"/>
          <w:sz w:val="20"/>
          <w:szCs w:val="20"/>
          <w:u w:val="single"/>
          <w:shd w:val="clear" w:color="auto" w:fill="FFFFFF"/>
          <w:lang w:val="el-GR"/>
        </w:rPr>
      </w:pPr>
    </w:p>
    <w:p w14:paraId="0075556A" w14:textId="77777777" w:rsidR="00BD79D0" w:rsidRPr="00120B29" w:rsidRDefault="00BD79D0" w:rsidP="00BD79D0">
      <w:pPr>
        <w:rPr>
          <w:rFonts w:ascii="Verdana" w:hAnsi="Verdana"/>
          <w:sz w:val="20"/>
          <w:szCs w:val="20"/>
          <w:u w:val="single"/>
          <w:shd w:val="clear" w:color="auto" w:fill="FFFFFF"/>
          <w:lang w:val="el-GR"/>
        </w:rPr>
      </w:pPr>
    </w:p>
    <w:p w14:paraId="305A6CF2" w14:textId="76CB724D" w:rsidR="00BD79D0" w:rsidRPr="008C14B1" w:rsidRDefault="00BD79D0" w:rsidP="00BD79D0">
      <w:pPr>
        <w:rPr>
          <w:rFonts w:ascii="Verdana" w:hAnsi="Verdana"/>
          <w:bCs/>
          <w:u w:val="single"/>
          <w:shd w:val="clear" w:color="auto" w:fill="FFFFFF"/>
          <w:lang w:val="el-GR"/>
        </w:rPr>
      </w:pPr>
      <w:r w:rsidRPr="008C14B1">
        <w:rPr>
          <w:rFonts w:ascii="Verdana" w:hAnsi="Verdana"/>
          <w:bCs/>
          <w:u w:val="single"/>
          <w:shd w:val="clear" w:color="auto" w:fill="FFFFFF"/>
          <w:lang w:val="el-GR"/>
        </w:rPr>
        <w:t xml:space="preserve">ΔΕΙΚΤΗΣ </w:t>
      </w:r>
      <w:r>
        <w:rPr>
          <w:rFonts w:ascii="Verdana" w:hAnsi="Verdana"/>
          <w:bCs/>
          <w:u w:val="single"/>
          <w:shd w:val="clear" w:color="auto" w:fill="FFFFFF"/>
          <w:lang w:val="el-GR"/>
        </w:rPr>
        <w:t>ΤΙΜΩΝ ΠΑΡΑΓΩΓΟΥ ΣΤΙΣ ΚΑΤΑΣΚΕΥΕΣ:</w:t>
      </w:r>
      <w:r w:rsidRPr="008C14B1">
        <w:rPr>
          <w:rFonts w:ascii="Verdana" w:hAnsi="Verdana"/>
          <w:bCs/>
          <w:u w:val="single"/>
          <w:shd w:val="clear" w:color="auto" w:fill="FFFFFF"/>
          <w:lang w:val="el-GR"/>
        </w:rPr>
        <w:t xml:space="preserve"> </w:t>
      </w:r>
      <w:r w:rsidR="00B467C0" w:rsidRPr="00B467C0">
        <w:rPr>
          <w:rFonts w:ascii="Verdana" w:hAnsi="Verdana"/>
          <w:b/>
          <w:u w:val="single"/>
          <w:shd w:val="clear" w:color="auto" w:fill="FFFFFF"/>
          <w:lang w:val="el-GR"/>
        </w:rPr>
        <w:t>4</w:t>
      </w:r>
      <w:r>
        <w:rPr>
          <w:rFonts w:ascii="Verdana" w:hAnsi="Verdana"/>
          <w:b/>
          <w:bCs/>
          <w:u w:val="single"/>
          <w:shd w:val="clear" w:color="auto" w:fill="FFFFFF"/>
        </w:rPr>
        <w:t>o</w:t>
      </w:r>
      <w:r w:rsidRPr="003B1D78">
        <w:rPr>
          <w:rFonts w:ascii="Verdana" w:hAnsi="Verdana"/>
          <w:b/>
          <w:bCs/>
          <w:u w:val="single"/>
          <w:shd w:val="clear" w:color="auto" w:fill="FFFFFF"/>
          <w:lang w:val="el-GR"/>
        </w:rPr>
        <w:t xml:space="preserve"> </w:t>
      </w:r>
      <w:r>
        <w:rPr>
          <w:rFonts w:ascii="Verdana" w:hAnsi="Verdana"/>
          <w:b/>
          <w:bCs/>
          <w:u w:val="single"/>
          <w:shd w:val="clear" w:color="auto" w:fill="FFFFFF"/>
          <w:lang w:val="el-GR"/>
        </w:rPr>
        <w:t>ΤΡΙΜΗΝΟ</w:t>
      </w:r>
      <w:r w:rsidRPr="008C14B1">
        <w:rPr>
          <w:rFonts w:ascii="Verdana" w:hAnsi="Verdana"/>
          <w:b/>
          <w:bCs/>
          <w:u w:val="single"/>
          <w:shd w:val="clear" w:color="auto" w:fill="FFFFFF"/>
          <w:lang w:val="el-GR"/>
        </w:rPr>
        <w:t xml:space="preserve"> 202</w:t>
      </w:r>
      <w:r w:rsidR="00B925B5">
        <w:rPr>
          <w:rFonts w:ascii="Verdana" w:hAnsi="Verdana"/>
          <w:b/>
          <w:bCs/>
          <w:u w:val="single"/>
          <w:shd w:val="clear" w:color="auto" w:fill="FFFFFF"/>
          <w:lang w:val="el-GR"/>
        </w:rPr>
        <w:t>3</w:t>
      </w:r>
    </w:p>
    <w:p w14:paraId="37E6B47C" w14:textId="23653B18" w:rsidR="00B6392E" w:rsidRPr="00FA0066" w:rsidRDefault="00B6392E" w:rsidP="00BD79D0">
      <w:pPr>
        <w:jc w:val="both"/>
        <w:rPr>
          <w:rFonts w:ascii="Verdana" w:hAnsi="Verdana" w:cs="Arial"/>
          <w:lang w:val="el-GR"/>
        </w:rPr>
      </w:pPr>
    </w:p>
    <w:p w14:paraId="0FDCA2E4" w14:textId="7415DC82" w:rsidR="00BD79D0" w:rsidRDefault="00BD79D0" w:rsidP="00BD79D0">
      <w:pPr>
        <w:jc w:val="center"/>
        <w:rPr>
          <w:rFonts w:ascii="Verdana" w:hAnsi="Verdana" w:cs="Arial"/>
          <w:lang w:val="el-GR"/>
        </w:rPr>
      </w:pPr>
      <w:r>
        <w:rPr>
          <w:rFonts w:ascii="Verdana" w:eastAsia="Malgun Gothic" w:hAnsi="Verdana" w:cs="Arial"/>
          <w:b/>
          <w:lang w:val="el-GR"/>
        </w:rPr>
        <w:t>Ετήσια Μεταβολή +</w:t>
      </w:r>
      <w:r w:rsidR="00B467C0">
        <w:rPr>
          <w:rFonts w:ascii="Verdana" w:eastAsia="Malgun Gothic" w:hAnsi="Verdana" w:cs="Arial"/>
          <w:b/>
          <w:lang w:val="el-GR"/>
        </w:rPr>
        <w:t>2,7</w:t>
      </w:r>
      <w:r>
        <w:rPr>
          <w:rFonts w:ascii="Verdana" w:eastAsia="Malgun Gothic" w:hAnsi="Verdana" w:cs="Arial"/>
          <w:b/>
          <w:lang w:val="el-GR"/>
        </w:rPr>
        <w:t>%</w:t>
      </w:r>
    </w:p>
    <w:p w14:paraId="1E61AF81" w14:textId="77777777" w:rsidR="00BD79D0" w:rsidRPr="00643107" w:rsidRDefault="00BD79D0" w:rsidP="00BD79D0">
      <w:pPr>
        <w:jc w:val="both"/>
        <w:rPr>
          <w:rFonts w:ascii="Verdana" w:hAnsi="Verdana"/>
          <w:shd w:val="clear" w:color="auto" w:fill="FFFFFF"/>
          <w:lang w:val="el-GR"/>
        </w:rPr>
      </w:pPr>
    </w:p>
    <w:p w14:paraId="24969935" w14:textId="3D165F89" w:rsidR="00BD79D0" w:rsidRPr="000E6398" w:rsidRDefault="00BD79D0" w:rsidP="00BD79D0">
      <w:pPr>
        <w:jc w:val="both"/>
        <w:rPr>
          <w:rFonts w:ascii="Verdana" w:eastAsia="Malgun Gothic" w:hAnsi="Verdana" w:cs="Arial"/>
          <w:sz w:val="18"/>
          <w:szCs w:val="18"/>
          <w:lang w:val="el-GR"/>
        </w:rPr>
      </w:pPr>
      <w:r w:rsidRPr="000E6398">
        <w:rPr>
          <w:rFonts w:ascii="Verdana" w:eastAsia="Malgun Gothic" w:hAnsi="Verdana" w:cs="Arial"/>
          <w:sz w:val="18"/>
          <w:szCs w:val="18"/>
          <w:lang w:val="el-GR"/>
        </w:rPr>
        <w:t>Ο Δείκτης Τιμών Παραγωγού στις Κατασκευές για το</w:t>
      </w:r>
      <w:r>
        <w:rPr>
          <w:rFonts w:ascii="Verdana" w:eastAsia="Malgun Gothic" w:hAnsi="Verdana" w:cs="Arial"/>
          <w:sz w:val="18"/>
          <w:szCs w:val="18"/>
          <w:lang w:val="el-GR"/>
        </w:rPr>
        <w:t xml:space="preserve"> </w:t>
      </w:r>
      <w:r w:rsidR="00B33FFF">
        <w:rPr>
          <w:rFonts w:ascii="Verdana" w:eastAsia="Malgun Gothic" w:hAnsi="Verdana" w:cs="Arial"/>
          <w:sz w:val="18"/>
          <w:szCs w:val="18"/>
          <w:lang w:val="el-GR"/>
        </w:rPr>
        <w:t>τ</w:t>
      </w:r>
      <w:r w:rsidR="00B467C0">
        <w:rPr>
          <w:rFonts w:ascii="Verdana" w:eastAsia="Malgun Gothic" w:hAnsi="Verdana" w:cs="Arial"/>
          <w:sz w:val="18"/>
          <w:szCs w:val="18"/>
          <w:lang w:val="el-GR"/>
        </w:rPr>
        <w:t>έταρτο</w:t>
      </w:r>
      <w:r w:rsidR="00EE21ED">
        <w:rPr>
          <w:rFonts w:ascii="Verdana" w:eastAsia="Malgun Gothic" w:hAnsi="Verdana" w:cs="Arial"/>
          <w:sz w:val="18"/>
          <w:szCs w:val="18"/>
          <w:lang w:val="el-GR"/>
        </w:rPr>
        <w:t xml:space="preserve"> </w:t>
      </w:r>
      <w:r w:rsidRPr="000E6398">
        <w:rPr>
          <w:rFonts w:ascii="Verdana" w:eastAsia="Malgun Gothic" w:hAnsi="Verdana" w:cs="Arial"/>
          <w:sz w:val="18"/>
          <w:szCs w:val="18"/>
          <w:lang w:val="el-GR"/>
        </w:rPr>
        <w:t>τρίμηνο του 202</w:t>
      </w:r>
      <w:r w:rsidR="00B925B5">
        <w:rPr>
          <w:rFonts w:ascii="Verdana" w:eastAsia="Malgun Gothic" w:hAnsi="Verdana" w:cs="Arial"/>
          <w:sz w:val="18"/>
          <w:szCs w:val="18"/>
          <w:lang w:val="el-GR"/>
        </w:rPr>
        <w:t>3</w:t>
      </w:r>
      <w:r w:rsidRPr="000E6398">
        <w:rPr>
          <w:rFonts w:ascii="Verdana" w:eastAsia="Malgun Gothic" w:hAnsi="Verdana" w:cs="Arial"/>
          <w:sz w:val="18"/>
          <w:szCs w:val="18"/>
          <w:lang w:val="el-GR"/>
        </w:rPr>
        <w:t xml:space="preserve"> ανήλθε </w:t>
      </w:r>
      <w:r>
        <w:rPr>
          <w:rFonts w:ascii="Verdana" w:eastAsia="Malgun Gothic" w:hAnsi="Verdana" w:cs="Arial"/>
          <w:sz w:val="18"/>
          <w:szCs w:val="18"/>
          <w:lang w:val="el-GR"/>
        </w:rPr>
        <w:t xml:space="preserve">στις </w:t>
      </w:r>
      <w:r w:rsidR="00B467C0">
        <w:rPr>
          <w:rFonts w:ascii="Verdana" w:eastAsia="Malgun Gothic" w:hAnsi="Verdana" w:cs="Arial"/>
          <w:sz w:val="18"/>
          <w:szCs w:val="18"/>
          <w:lang w:val="el-GR"/>
        </w:rPr>
        <w:t>138,29</w:t>
      </w:r>
      <w:r w:rsidR="00FE31D1" w:rsidRPr="00FE31D1">
        <w:rPr>
          <w:rFonts w:ascii="Verdana" w:eastAsia="Malgun Gothic" w:hAnsi="Verdana" w:cs="Arial"/>
          <w:sz w:val="18"/>
          <w:szCs w:val="18"/>
          <w:lang w:val="el-GR"/>
        </w:rPr>
        <w:t xml:space="preserve"> </w:t>
      </w:r>
      <w:r w:rsidRPr="000E6398">
        <w:rPr>
          <w:rFonts w:ascii="Verdana" w:eastAsia="Malgun Gothic" w:hAnsi="Verdana" w:cs="Arial"/>
          <w:sz w:val="18"/>
          <w:szCs w:val="18"/>
          <w:lang w:val="el-GR"/>
        </w:rPr>
        <w:t>μονάδες (με βάση 2015=100,0</w:t>
      </w:r>
      <w:r w:rsidRPr="00FF4C31">
        <w:rPr>
          <w:rFonts w:ascii="Verdana" w:eastAsia="Malgun Gothic" w:hAnsi="Verdana" w:cs="Arial"/>
          <w:sz w:val="18"/>
          <w:szCs w:val="18"/>
          <w:lang w:val="el-GR"/>
        </w:rPr>
        <w:t>0</w:t>
      </w:r>
      <w:r w:rsidRPr="000E6398">
        <w:rPr>
          <w:rFonts w:ascii="Verdana" w:eastAsia="Malgun Gothic" w:hAnsi="Verdana" w:cs="Arial"/>
          <w:sz w:val="18"/>
          <w:szCs w:val="18"/>
          <w:lang w:val="el-GR"/>
        </w:rPr>
        <w:t xml:space="preserve">), σημειώνοντας </w:t>
      </w:r>
      <w:r w:rsidR="00B467C0">
        <w:rPr>
          <w:rFonts w:ascii="Verdana" w:eastAsia="Malgun Gothic" w:hAnsi="Verdana" w:cs="Arial"/>
          <w:sz w:val="18"/>
          <w:szCs w:val="18"/>
          <w:lang w:val="el-GR"/>
        </w:rPr>
        <w:t xml:space="preserve">οριακή </w:t>
      </w:r>
      <w:r w:rsidR="00EE21ED">
        <w:rPr>
          <w:rFonts w:ascii="Verdana" w:eastAsia="Malgun Gothic" w:hAnsi="Verdana" w:cs="Arial"/>
          <w:sz w:val="18"/>
          <w:szCs w:val="18"/>
          <w:lang w:val="el-GR"/>
        </w:rPr>
        <w:t>αύξηση</w:t>
      </w:r>
      <w:r w:rsidRPr="000E6398">
        <w:rPr>
          <w:rFonts w:ascii="Verdana" w:eastAsia="Malgun Gothic" w:hAnsi="Verdana" w:cs="Arial"/>
          <w:sz w:val="18"/>
          <w:szCs w:val="18"/>
          <w:lang w:val="el-GR"/>
        </w:rPr>
        <w:t xml:space="preserve"> της τάξης του </w:t>
      </w:r>
      <w:r w:rsidR="00B467C0">
        <w:rPr>
          <w:rFonts w:ascii="Verdana" w:eastAsia="Malgun Gothic" w:hAnsi="Verdana" w:cs="Arial"/>
          <w:sz w:val="18"/>
          <w:szCs w:val="18"/>
          <w:lang w:val="el-GR"/>
        </w:rPr>
        <w:t>0,8</w:t>
      </w:r>
      <w:r w:rsidRPr="000E6398">
        <w:rPr>
          <w:rFonts w:ascii="Verdana" w:eastAsia="Malgun Gothic" w:hAnsi="Verdana" w:cs="Arial"/>
          <w:sz w:val="18"/>
          <w:szCs w:val="18"/>
          <w:lang w:val="el-GR"/>
        </w:rPr>
        <w:t xml:space="preserve">% έναντι του </w:t>
      </w:r>
      <w:r w:rsidR="00B467C0">
        <w:rPr>
          <w:rFonts w:ascii="Verdana" w:eastAsia="Malgun Gothic" w:hAnsi="Verdana" w:cs="Arial"/>
          <w:sz w:val="18"/>
          <w:szCs w:val="18"/>
          <w:lang w:val="el-GR"/>
        </w:rPr>
        <w:t xml:space="preserve">τρίτου </w:t>
      </w:r>
      <w:r w:rsidRPr="000E6398">
        <w:rPr>
          <w:rFonts w:ascii="Verdana" w:eastAsia="Malgun Gothic" w:hAnsi="Verdana" w:cs="Arial"/>
          <w:sz w:val="18"/>
          <w:szCs w:val="18"/>
          <w:lang w:val="el-GR"/>
        </w:rPr>
        <w:t>τριμήνου του 202</w:t>
      </w:r>
      <w:r w:rsidR="00EE21ED">
        <w:rPr>
          <w:rFonts w:ascii="Verdana" w:eastAsia="Malgun Gothic" w:hAnsi="Verdana" w:cs="Arial"/>
          <w:sz w:val="18"/>
          <w:szCs w:val="18"/>
          <w:lang w:val="el-GR"/>
        </w:rPr>
        <w:t>3</w:t>
      </w:r>
      <w:r w:rsidRPr="000E6398">
        <w:rPr>
          <w:rFonts w:ascii="Verdana" w:eastAsia="Malgun Gothic" w:hAnsi="Verdana" w:cs="Arial"/>
          <w:sz w:val="18"/>
          <w:szCs w:val="18"/>
          <w:lang w:val="el-GR"/>
        </w:rPr>
        <w:t xml:space="preserve">. Σε σχέση με το αντίστοιχο περσινό τρίμηνο, ο δείκτης </w:t>
      </w:r>
      <w:r>
        <w:rPr>
          <w:rFonts w:ascii="Verdana" w:eastAsia="Malgun Gothic" w:hAnsi="Verdana" w:cs="Arial"/>
          <w:sz w:val="18"/>
          <w:szCs w:val="18"/>
          <w:lang w:val="el-GR"/>
        </w:rPr>
        <w:t>αυξήθηκε κατά</w:t>
      </w:r>
      <w:r w:rsidRPr="000E6398">
        <w:rPr>
          <w:rFonts w:ascii="Verdana" w:eastAsia="Malgun Gothic" w:hAnsi="Verdana" w:cs="Arial"/>
          <w:sz w:val="18"/>
          <w:szCs w:val="18"/>
          <w:lang w:val="el-GR"/>
        </w:rPr>
        <w:t xml:space="preserve"> </w:t>
      </w:r>
      <w:r w:rsidR="00B467C0">
        <w:rPr>
          <w:rFonts w:ascii="Verdana" w:eastAsia="Malgun Gothic" w:hAnsi="Verdana" w:cs="Arial"/>
          <w:sz w:val="18"/>
          <w:szCs w:val="18"/>
          <w:lang w:val="el-GR"/>
        </w:rPr>
        <w:t>2,7</w:t>
      </w:r>
      <w:r w:rsidRPr="000E6398">
        <w:rPr>
          <w:rFonts w:ascii="Verdana" w:eastAsia="Malgun Gothic" w:hAnsi="Verdana" w:cs="Arial"/>
          <w:sz w:val="18"/>
          <w:szCs w:val="18"/>
          <w:lang w:val="el-GR"/>
        </w:rPr>
        <w:t>%</w:t>
      </w:r>
      <w:r>
        <w:rPr>
          <w:rFonts w:ascii="Verdana" w:eastAsia="Malgun Gothic" w:hAnsi="Verdana" w:cs="Arial"/>
          <w:sz w:val="18"/>
          <w:szCs w:val="18"/>
          <w:lang w:val="el-GR"/>
        </w:rPr>
        <w:t>.</w:t>
      </w:r>
    </w:p>
    <w:p w14:paraId="40803DF7" w14:textId="77777777" w:rsidR="00BD79D0" w:rsidRPr="000E6398" w:rsidRDefault="00BD79D0" w:rsidP="00BD79D0">
      <w:pPr>
        <w:jc w:val="both"/>
        <w:rPr>
          <w:rFonts w:ascii="Verdana" w:eastAsia="Malgun Gothic" w:hAnsi="Verdana" w:cs="Arial"/>
          <w:sz w:val="18"/>
          <w:szCs w:val="18"/>
          <w:lang w:val="el-GR"/>
        </w:rPr>
      </w:pPr>
    </w:p>
    <w:p w14:paraId="12D5F54D" w14:textId="2C39446E" w:rsidR="00BD79D0" w:rsidRDefault="00BD79D0" w:rsidP="00BD79D0">
      <w:pPr>
        <w:jc w:val="both"/>
        <w:rPr>
          <w:rFonts w:ascii="Verdana" w:eastAsia="Malgun Gothic" w:hAnsi="Verdana" w:cs="Arial"/>
          <w:sz w:val="18"/>
          <w:szCs w:val="18"/>
          <w:lang w:val="el-GR"/>
        </w:rPr>
      </w:pPr>
      <w:r w:rsidRPr="000E6398">
        <w:rPr>
          <w:rFonts w:ascii="Verdana" w:eastAsia="Malgun Gothic" w:hAnsi="Verdana" w:cs="Arial"/>
          <w:sz w:val="18"/>
          <w:szCs w:val="18"/>
          <w:lang w:val="el-GR"/>
        </w:rPr>
        <w:t>Κατά τύπο έργου, σημειώθηκε</w:t>
      </w:r>
      <w:r w:rsidR="00EE21ED">
        <w:rPr>
          <w:rFonts w:ascii="Verdana" w:eastAsia="Malgun Gothic" w:hAnsi="Verdana" w:cs="Arial"/>
          <w:sz w:val="18"/>
          <w:szCs w:val="18"/>
          <w:lang w:val="el-GR"/>
        </w:rPr>
        <w:t xml:space="preserve"> </w:t>
      </w:r>
      <w:r w:rsidRPr="000E6398">
        <w:rPr>
          <w:rFonts w:ascii="Verdana" w:eastAsia="Malgun Gothic" w:hAnsi="Verdana" w:cs="Arial"/>
          <w:sz w:val="18"/>
          <w:szCs w:val="18"/>
          <w:lang w:val="el-GR"/>
        </w:rPr>
        <w:t xml:space="preserve">άνοδος </w:t>
      </w:r>
      <w:bookmarkStart w:id="0" w:name="_Hlk52971250"/>
      <w:r>
        <w:rPr>
          <w:rFonts w:ascii="Verdana" w:eastAsia="Malgun Gothic" w:hAnsi="Verdana" w:cs="Arial"/>
          <w:sz w:val="18"/>
          <w:szCs w:val="18"/>
          <w:lang w:val="el-GR"/>
        </w:rPr>
        <w:t>κατά</w:t>
      </w:r>
      <w:r w:rsidRPr="000E6398">
        <w:rPr>
          <w:rFonts w:ascii="Verdana" w:eastAsia="Malgun Gothic" w:hAnsi="Verdana" w:cs="Arial"/>
          <w:sz w:val="18"/>
          <w:szCs w:val="18"/>
          <w:lang w:val="el-GR"/>
        </w:rPr>
        <w:t xml:space="preserve"> </w:t>
      </w:r>
      <w:bookmarkEnd w:id="0"/>
      <w:r w:rsidR="00FE31D1" w:rsidRPr="00FE31D1">
        <w:rPr>
          <w:rFonts w:ascii="Verdana" w:eastAsia="Malgun Gothic" w:hAnsi="Verdana" w:cs="Arial"/>
          <w:sz w:val="18"/>
          <w:szCs w:val="18"/>
          <w:lang w:val="el-GR"/>
        </w:rPr>
        <w:t>1,</w:t>
      </w:r>
      <w:r w:rsidR="00B467C0">
        <w:rPr>
          <w:rFonts w:ascii="Verdana" w:eastAsia="Malgun Gothic" w:hAnsi="Verdana" w:cs="Arial"/>
          <w:sz w:val="18"/>
          <w:szCs w:val="18"/>
          <w:lang w:val="el-GR"/>
        </w:rPr>
        <w:t>4</w:t>
      </w:r>
      <w:r w:rsidRPr="000E6398">
        <w:rPr>
          <w:rFonts w:ascii="Verdana" w:eastAsia="Malgun Gothic" w:hAnsi="Verdana" w:cs="Arial"/>
          <w:sz w:val="18"/>
          <w:szCs w:val="18"/>
          <w:lang w:val="el-GR"/>
        </w:rPr>
        <w:t xml:space="preserve">% στα κτίρια και </w:t>
      </w:r>
      <w:bookmarkStart w:id="1" w:name="_Hlk84406215"/>
      <w:r>
        <w:rPr>
          <w:rFonts w:ascii="Verdana" w:eastAsia="Malgun Gothic" w:hAnsi="Verdana" w:cs="Arial"/>
          <w:sz w:val="18"/>
          <w:szCs w:val="18"/>
          <w:lang w:val="el-GR"/>
        </w:rPr>
        <w:t>κατά</w:t>
      </w:r>
      <w:r w:rsidRPr="000E6398">
        <w:rPr>
          <w:rFonts w:ascii="Verdana" w:eastAsia="Malgun Gothic" w:hAnsi="Verdana" w:cs="Arial"/>
          <w:sz w:val="18"/>
          <w:szCs w:val="18"/>
          <w:lang w:val="el-GR"/>
        </w:rPr>
        <w:t xml:space="preserve"> </w:t>
      </w:r>
      <w:r w:rsidR="00B467C0">
        <w:rPr>
          <w:rFonts w:ascii="Verdana" w:eastAsia="Malgun Gothic" w:hAnsi="Verdana" w:cs="Arial"/>
          <w:sz w:val="18"/>
          <w:szCs w:val="18"/>
          <w:lang w:val="el-GR"/>
        </w:rPr>
        <w:t>6,9</w:t>
      </w:r>
      <w:r w:rsidRPr="000E6398">
        <w:rPr>
          <w:rFonts w:ascii="Verdana" w:eastAsia="Malgun Gothic" w:hAnsi="Verdana" w:cs="Arial"/>
          <w:sz w:val="18"/>
          <w:szCs w:val="18"/>
          <w:lang w:val="el-GR"/>
        </w:rPr>
        <w:t xml:space="preserve">% </w:t>
      </w:r>
      <w:bookmarkEnd w:id="1"/>
      <w:r w:rsidRPr="000E6398">
        <w:rPr>
          <w:rFonts w:ascii="Verdana" w:eastAsia="Malgun Gothic" w:hAnsi="Verdana" w:cs="Arial"/>
          <w:sz w:val="18"/>
          <w:szCs w:val="18"/>
          <w:lang w:val="el-GR"/>
        </w:rPr>
        <w:t xml:space="preserve">στα έργα πολιτικού μηχανικού κατά το </w:t>
      </w:r>
      <w:r w:rsidR="00B33FFF">
        <w:rPr>
          <w:rFonts w:ascii="Verdana" w:eastAsia="Malgun Gothic" w:hAnsi="Verdana" w:cs="Arial"/>
          <w:sz w:val="18"/>
          <w:szCs w:val="18"/>
          <w:lang w:val="el-GR"/>
        </w:rPr>
        <w:t>τ</w:t>
      </w:r>
      <w:r w:rsidR="00B467C0">
        <w:rPr>
          <w:rFonts w:ascii="Verdana" w:eastAsia="Malgun Gothic" w:hAnsi="Verdana" w:cs="Arial"/>
          <w:sz w:val="18"/>
          <w:szCs w:val="18"/>
          <w:lang w:val="el-GR"/>
        </w:rPr>
        <w:t>έταρτο</w:t>
      </w:r>
      <w:r w:rsidR="00B925B5">
        <w:rPr>
          <w:rFonts w:ascii="Verdana" w:eastAsia="Malgun Gothic" w:hAnsi="Verdana" w:cs="Arial"/>
          <w:sz w:val="18"/>
          <w:szCs w:val="18"/>
          <w:lang w:val="el-GR"/>
        </w:rPr>
        <w:t xml:space="preserve"> </w:t>
      </w:r>
      <w:r w:rsidRPr="000E6398">
        <w:rPr>
          <w:rFonts w:ascii="Verdana" w:eastAsia="Malgun Gothic" w:hAnsi="Verdana" w:cs="Arial"/>
          <w:sz w:val="18"/>
          <w:szCs w:val="18"/>
          <w:lang w:val="el-GR"/>
        </w:rPr>
        <w:t>τρίμηνο του 202</w:t>
      </w:r>
      <w:r w:rsidR="00B925B5">
        <w:rPr>
          <w:rFonts w:ascii="Verdana" w:eastAsia="Malgun Gothic" w:hAnsi="Verdana" w:cs="Arial"/>
          <w:sz w:val="18"/>
          <w:szCs w:val="18"/>
          <w:lang w:val="el-GR"/>
        </w:rPr>
        <w:t>3</w:t>
      </w:r>
      <w:r w:rsidRPr="000E6398">
        <w:rPr>
          <w:rFonts w:ascii="Verdana" w:eastAsia="Malgun Gothic" w:hAnsi="Verdana" w:cs="Arial"/>
          <w:sz w:val="18"/>
          <w:szCs w:val="18"/>
          <w:lang w:val="el-GR"/>
        </w:rPr>
        <w:t xml:space="preserve"> σε σχέση με το αντίστοιχο τρίμηνο του 20</w:t>
      </w:r>
      <w:r>
        <w:rPr>
          <w:rFonts w:ascii="Verdana" w:eastAsia="Malgun Gothic" w:hAnsi="Verdana" w:cs="Arial"/>
          <w:sz w:val="18"/>
          <w:szCs w:val="18"/>
          <w:lang w:val="el-GR"/>
        </w:rPr>
        <w:t>2</w:t>
      </w:r>
      <w:r w:rsidR="00B925B5">
        <w:rPr>
          <w:rFonts w:ascii="Verdana" w:eastAsia="Malgun Gothic" w:hAnsi="Verdana" w:cs="Arial"/>
          <w:sz w:val="18"/>
          <w:szCs w:val="18"/>
          <w:lang w:val="el-GR"/>
        </w:rPr>
        <w:t>2</w:t>
      </w:r>
      <w:r w:rsidRPr="000E6398">
        <w:rPr>
          <w:rFonts w:ascii="Verdana" w:eastAsia="Malgun Gothic" w:hAnsi="Verdana" w:cs="Arial"/>
          <w:sz w:val="18"/>
          <w:szCs w:val="18"/>
          <w:lang w:val="el-GR"/>
        </w:rPr>
        <w:t>.</w:t>
      </w:r>
    </w:p>
    <w:p w14:paraId="5FEB8E0D" w14:textId="77F931EE" w:rsidR="00B6392E" w:rsidRDefault="00B6392E" w:rsidP="00BD79D0">
      <w:pPr>
        <w:jc w:val="both"/>
        <w:rPr>
          <w:rFonts w:ascii="Verdana" w:eastAsia="Malgun Gothic" w:hAnsi="Verdana" w:cs="Arial"/>
          <w:sz w:val="18"/>
          <w:szCs w:val="18"/>
          <w:lang w:val="el-GR"/>
        </w:rPr>
      </w:pPr>
    </w:p>
    <w:p w14:paraId="67CFC0D9" w14:textId="4D92861A" w:rsidR="00B467C0" w:rsidRDefault="00B467C0" w:rsidP="00B467C0">
      <w:pPr>
        <w:jc w:val="both"/>
        <w:rPr>
          <w:rFonts w:ascii="Verdana" w:eastAsia="Malgun Gothic" w:hAnsi="Verdana" w:cs="Arial"/>
          <w:sz w:val="18"/>
          <w:szCs w:val="18"/>
          <w:lang w:val="el-GR"/>
        </w:rPr>
      </w:pPr>
      <w:r w:rsidRPr="001E1D41">
        <w:rPr>
          <w:rFonts w:ascii="Verdana" w:eastAsia="Malgun Gothic" w:hAnsi="Verdana" w:cs="Arial"/>
          <w:sz w:val="18"/>
          <w:szCs w:val="18"/>
          <w:lang w:val="el-GR"/>
        </w:rPr>
        <w:t>Για την περίοδο Ιανουαρίου-Δεκεμβρίου 202</w:t>
      </w:r>
      <w:r>
        <w:rPr>
          <w:rFonts w:ascii="Verdana" w:eastAsia="Malgun Gothic" w:hAnsi="Verdana" w:cs="Arial"/>
          <w:sz w:val="18"/>
          <w:szCs w:val="18"/>
          <w:lang w:val="el-GR"/>
        </w:rPr>
        <w:t>3</w:t>
      </w:r>
      <w:r w:rsidRPr="001E1D41">
        <w:rPr>
          <w:rFonts w:ascii="Verdana" w:eastAsia="Malgun Gothic" w:hAnsi="Verdana" w:cs="Arial"/>
          <w:sz w:val="18"/>
          <w:szCs w:val="18"/>
          <w:lang w:val="el-GR"/>
        </w:rPr>
        <w:t>, ο ολικός δείκτης σημείωσε</w:t>
      </w:r>
      <w:r>
        <w:rPr>
          <w:rFonts w:ascii="Verdana" w:eastAsia="Malgun Gothic" w:hAnsi="Verdana" w:cs="Arial"/>
          <w:sz w:val="18"/>
          <w:szCs w:val="18"/>
          <w:lang w:val="el-GR"/>
        </w:rPr>
        <w:t xml:space="preserve"> αύξηση</w:t>
      </w:r>
      <w:r w:rsidRPr="001E1D41">
        <w:rPr>
          <w:rFonts w:ascii="Verdana" w:eastAsia="Malgun Gothic" w:hAnsi="Verdana" w:cs="Arial"/>
          <w:sz w:val="18"/>
          <w:szCs w:val="18"/>
          <w:lang w:val="el-GR"/>
        </w:rPr>
        <w:t xml:space="preserve"> της τάξης του </w:t>
      </w:r>
      <w:r>
        <w:rPr>
          <w:rFonts w:ascii="Verdana" w:eastAsia="Malgun Gothic" w:hAnsi="Verdana" w:cs="Arial"/>
          <w:sz w:val="18"/>
          <w:szCs w:val="18"/>
          <w:lang w:val="el-GR"/>
        </w:rPr>
        <w:t>4,8</w:t>
      </w:r>
      <w:r w:rsidRPr="001E1D41">
        <w:rPr>
          <w:rFonts w:ascii="Verdana" w:eastAsia="Malgun Gothic" w:hAnsi="Verdana" w:cs="Arial"/>
          <w:sz w:val="18"/>
          <w:szCs w:val="18"/>
          <w:lang w:val="el-GR"/>
        </w:rPr>
        <w:t>% σε σχέση με την αντίστοιχη περίοδο του 20</w:t>
      </w:r>
      <w:r>
        <w:rPr>
          <w:rFonts w:ascii="Verdana" w:eastAsia="Malgun Gothic" w:hAnsi="Verdana" w:cs="Arial"/>
          <w:sz w:val="18"/>
          <w:szCs w:val="18"/>
          <w:lang w:val="el-GR"/>
        </w:rPr>
        <w:t>22</w:t>
      </w:r>
      <w:r w:rsidRPr="001E1D41">
        <w:rPr>
          <w:rFonts w:ascii="Verdana" w:eastAsia="Malgun Gothic" w:hAnsi="Verdana" w:cs="Arial"/>
          <w:sz w:val="18"/>
          <w:szCs w:val="18"/>
          <w:lang w:val="el-GR"/>
        </w:rPr>
        <w:t xml:space="preserve">. Αύξηση </w:t>
      </w:r>
      <w:r>
        <w:rPr>
          <w:rFonts w:ascii="Verdana" w:eastAsia="Malgun Gothic" w:hAnsi="Verdana" w:cs="Arial"/>
          <w:sz w:val="18"/>
          <w:szCs w:val="18"/>
          <w:lang w:val="el-GR"/>
        </w:rPr>
        <w:t>1,6</w:t>
      </w:r>
      <w:r w:rsidRPr="001E1D41">
        <w:rPr>
          <w:rFonts w:ascii="Verdana" w:eastAsia="Malgun Gothic" w:hAnsi="Verdana" w:cs="Arial"/>
          <w:sz w:val="18"/>
          <w:szCs w:val="18"/>
          <w:lang w:val="el-GR"/>
        </w:rPr>
        <w:t xml:space="preserve">% κατέγραψε ο δείκτης για τα κτίρια </w:t>
      </w:r>
      <w:r>
        <w:rPr>
          <w:rFonts w:ascii="Verdana" w:eastAsia="Malgun Gothic" w:hAnsi="Verdana" w:cs="Arial"/>
          <w:sz w:val="18"/>
          <w:szCs w:val="18"/>
          <w:lang w:val="el-GR"/>
        </w:rPr>
        <w:t>και</w:t>
      </w:r>
      <w:r w:rsidRPr="001E1D41">
        <w:rPr>
          <w:rFonts w:ascii="Verdana" w:eastAsia="Malgun Gothic" w:hAnsi="Verdana" w:cs="Arial"/>
          <w:sz w:val="18"/>
          <w:szCs w:val="18"/>
          <w:lang w:val="el-GR"/>
        </w:rPr>
        <w:t xml:space="preserve"> </w:t>
      </w:r>
      <w:r>
        <w:rPr>
          <w:rFonts w:ascii="Verdana" w:eastAsia="Malgun Gothic" w:hAnsi="Verdana" w:cs="Arial"/>
          <w:sz w:val="18"/>
          <w:szCs w:val="18"/>
          <w:lang w:val="el-GR"/>
        </w:rPr>
        <w:t>16,6</w:t>
      </w:r>
      <w:r w:rsidRPr="001E1D41">
        <w:rPr>
          <w:rFonts w:ascii="Verdana" w:eastAsia="Malgun Gothic" w:hAnsi="Verdana" w:cs="Arial"/>
          <w:sz w:val="18"/>
          <w:szCs w:val="18"/>
          <w:lang w:val="el-GR"/>
        </w:rPr>
        <w:t>% για τα έργα πολιτικού μηχανικού.</w:t>
      </w:r>
    </w:p>
    <w:p w14:paraId="154640E9" w14:textId="77777777" w:rsidR="00C92CAF" w:rsidRDefault="00C92CAF" w:rsidP="00BD79D0">
      <w:pPr>
        <w:jc w:val="both"/>
        <w:rPr>
          <w:rFonts w:ascii="Verdana" w:eastAsia="Malgun Gothic" w:hAnsi="Verdana" w:cs="Arial"/>
          <w:sz w:val="18"/>
          <w:szCs w:val="18"/>
          <w:lang w:val="el-GR"/>
        </w:rPr>
      </w:pPr>
    </w:p>
    <w:p w14:paraId="69F803B8" w14:textId="77777777" w:rsidR="00F57460" w:rsidRDefault="006D56B5" w:rsidP="00F57460">
      <w:pPr>
        <w:jc w:val="center"/>
        <w:rPr>
          <w:rFonts w:ascii="Verdana" w:eastAsia="Malgun Gothic" w:hAnsi="Verdana" w:cs="Arial"/>
          <w:sz w:val="18"/>
          <w:szCs w:val="18"/>
        </w:rPr>
      </w:pPr>
      <w:r>
        <w:rPr>
          <w:noProof/>
        </w:rPr>
        <w:drawing>
          <wp:inline distT="0" distB="0" distL="0" distR="0" wp14:anchorId="3A3D48D2" wp14:editId="11497A7D">
            <wp:extent cx="6062345" cy="4486275"/>
            <wp:effectExtent l="0" t="0" r="14605" b="9525"/>
            <wp:docPr id="746927704" name="Chart 1">
              <a:extLst xmlns:a="http://schemas.openxmlformats.org/drawingml/2006/main">
                <a:ext uri="{FF2B5EF4-FFF2-40B4-BE49-F238E27FC236}">
                  <a16:creationId xmlns:a16="http://schemas.microsoft.com/office/drawing/2014/main" id="{F501C2C0-A962-4DA7-8022-8430E00A3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A22DDA" w14:textId="6AB39630" w:rsidR="00B925B5" w:rsidRDefault="00B6392E" w:rsidP="00F57460">
      <w:pPr>
        <w:jc w:val="both"/>
        <w:rPr>
          <w:rFonts w:ascii="Verdana" w:eastAsia="Malgun Gothic" w:hAnsi="Verdana" w:cs="Arial"/>
          <w:sz w:val="18"/>
          <w:szCs w:val="18"/>
          <w:lang w:val="el-GR"/>
        </w:rPr>
      </w:pPr>
      <w:r>
        <w:rPr>
          <w:rFonts w:ascii="Verdana" w:eastAsia="Malgun Gothic" w:hAnsi="Verdana" w:cs="Arial"/>
          <w:sz w:val="18"/>
          <w:szCs w:val="18"/>
          <w:lang w:val="el-GR"/>
        </w:rPr>
        <w:br w:type="page"/>
      </w:r>
    </w:p>
    <w:p w14:paraId="0472F2B0" w14:textId="77777777" w:rsidR="00BD79D0" w:rsidRPr="00593910" w:rsidRDefault="00BD79D0" w:rsidP="00BD79D0">
      <w:pPr>
        <w:jc w:val="center"/>
        <w:rPr>
          <w:rFonts w:ascii="Verdana" w:eastAsia="Malgun Gothic" w:hAnsi="Verdana" w:cs="Arial"/>
          <w:sz w:val="18"/>
          <w:szCs w:val="18"/>
          <w:lang w:val="el-GR"/>
        </w:rPr>
      </w:pPr>
      <w:r>
        <w:rPr>
          <w:rFonts w:ascii="Verdana" w:eastAsia="Malgun Gothic" w:hAnsi="Verdana" w:cs="Arial"/>
          <w:b/>
          <w:u w:val="single"/>
          <w:lang w:val="el-GR"/>
        </w:rPr>
        <w:lastRenderedPageBreak/>
        <w:t>ΜΕΘΟΔΟΛΟΓΙΚΕΣ ΠΛΗΡΟΦΟΡΙΕΣ</w:t>
      </w:r>
    </w:p>
    <w:p w14:paraId="48D5044E" w14:textId="77777777" w:rsidR="00BD79D0" w:rsidRPr="00B6392E" w:rsidRDefault="00BD79D0" w:rsidP="00BD79D0">
      <w:pPr>
        <w:jc w:val="both"/>
        <w:rPr>
          <w:rFonts w:ascii="Verdana" w:eastAsia="Malgun Gothic" w:hAnsi="Verdana" w:cs="Arial"/>
          <w:bCs/>
          <w:sz w:val="18"/>
          <w:szCs w:val="18"/>
          <w:lang w:val="el-GR"/>
        </w:rPr>
      </w:pPr>
    </w:p>
    <w:p w14:paraId="2F131148" w14:textId="77777777" w:rsidR="00BD79D0" w:rsidRPr="00B6392E" w:rsidRDefault="00BD79D0" w:rsidP="00BD79D0">
      <w:pPr>
        <w:jc w:val="both"/>
        <w:rPr>
          <w:rFonts w:ascii="Verdana" w:eastAsia="Malgun Gothic" w:hAnsi="Verdana" w:cs="Arial"/>
          <w:bCs/>
          <w:sz w:val="18"/>
          <w:szCs w:val="18"/>
          <w:lang w:val="el-GR"/>
        </w:rPr>
      </w:pPr>
    </w:p>
    <w:p w14:paraId="098AD50C" w14:textId="77777777" w:rsidR="00BD79D0" w:rsidRPr="0006187D" w:rsidRDefault="00BD79D0" w:rsidP="00BD79D0">
      <w:pPr>
        <w:jc w:val="both"/>
        <w:rPr>
          <w:rFonts w:ascii="Verdana" w:hAnsi="Verdana"/>
          <w:b/>
          <w:bCs/>
          <w:sz w:val="18"/>
          <w:szCs w:val="18"/>
          <w:u w:val="single"/>
          <w:shd w:val="clear" w:color="auto" w:fill="FFFFFF"/>
          <w:lang w:val="el-GR"/>
        </w:rPr>
      </w:pPr>
      <w:r>
        <w:rPr>
          <w:rFonts w:ascii="Verdana" w:hAnsi="Verdana"/>
          <w:b/>
          <w:bCs/>
          <w:sz w:val="18"/>
          <w:szCs w:val="18"/>
          <w:u w:val="single"/>
          <w:shd w:val="clear" w:color="auto" w:fill="FFFFFF"/>
          <w:lang w:val="el-GR"/>
        </w:rPr>
        <w:t>Σκοπός</w:t>
      </w:r>
    </w:p>
    <w:p w14:paraId="2E1BD154" w14:textId="77777777" w:rsidR="00BD79D0" w:rsidRPr="008C14B1" w:rsidRDefault="00BD79D0" w:rsidP="00BD79D0">
      <w:pPr>
        <w:jc w:val="both"/>
        <w:rPr>
          <w:rFonts w:ascii="Verdana" w:eastAsia="Malgun Gothic" w:hAnsi="Verdana" w:cs="Arial"/>
          <w:sz w:val="18"/>
          <w:szCs w:val="18"/>
          <w:lang w:val="el-GR"/>
        </w:rPr>
      </w:pPr>
    </w:p>
    <w:p w14:paraId="7C3A3E2E" w14:textId="77777777" w:rsidR="00BD79D0" w:rsidRPr="008C14B1" w:rsidRDefault="00BD79D0" w:rsidP="00BD79D0">
      <w:pPr>
        <w:jc w:val="both"/>
        <w:rPr>
          <w:rFonts w:ascii="Verdana" w:eastAsia="Malgun Gothic" w:hAnsi="Verdana" w:cs="Arial"/>
          <w:sz w:val="18"/>
          <w:szCs w:val="18"/>
          <w:lang w:val="el-GR"/>
        </w:rPr>
      </w:pPr>
      <w:r w:rsidRPr="003D7EA3">
        <w:rPr>
          <w:rFonts w:ascii="Verdana" w:eastAsia="Malgun Gothic" w:hAnsi="Verdana" w:cs="Arial"/>
          <w:sz w:val="18"/>
          <w:szCs w:val="18"/>
          <w:lang w:val="el-GR"/>
        </w:rPr>
        <w:t>Ο τριμηνιαίος Δείκτης Τιμών Παραγωγού μετρά τις μεταβολές στις τιμές μονάδας που χρεώνονται σε πελάτες κατασκευαστικών έργων. Δείχνει συνεπώς τη μεταβολή στο ολικό κόστος των έργων από τη μεριά του πελάτη, περιλαμβάνοντας κόστος όπως αυτό των υλικών, των εργατικών, των καυσίμων, των μεταφορικών και άλλων, καθώς και το κέρδος των εργολάβων. Μπορεί να θεωρηθεί ως ένδειξη του ύψους του πληθωρισμού στις Κατασκευές σε σχέση με μία συγκεκριμένη χρονιά αναφοράς, το έτος βάσης.</w:t>
      </w:r>
      <w:r w:rsidRPr="003D7EA3">
        <w:rPr>
          <w:rFonts w:ascii="Verdana" w:eastAsia="Malgun Gothic" w:hAnsi="Verdana" w:cs="Arial"/>
          <w:sz w:val="18"/>
          <w:szCs w:val="18"/>
          <w:lang w:val="el-GR"/>
        </w:rPr>
        <w:br/>
      </w:r>
    </w:p>
    <w:p w14:paraId="61707387" w14:textId="77777777" w:rsidR="00BD79D0" w:rsidRPr="008C14B1" w:rsidRDefault="00BD79D0" w:rsidP="00BD79D0">
      <w:pPr>
        <w:jc w:val="both"/>
        <w:rPr>
          <w:rFonts w:ascii="Verdana" w:hAnsi="Verdana" w:cs="Arial"/>
          <w:color w:val="000000"/>
          <w:sz w:val="18"/>
          <w:szCs w:val="18"/>
          <w:shd w:val="clear" w:color="auto" w:fill="FFFFFF"/>
          <w:lang w:val="el-GR"/>
        </w:rPr>
      </w:pPr>
      <w:r w:rsidRPr="008C14B1">
        <w:rPr>
          <w:rFonts w:ascii="Verdana" w:hAnsi="Verdana"/>
          <w:b/>
          <w:bCs/>
          <w:sz w:val="18"/>
          <w:szCs w:val="18"/>
          <w:u w:val="single"/>
          <w:shd w:val="clear" w:color="auto" w:fill="FFFFFF"/>
          <w:lang w:val="el-GR"/>
        </w:rPr>
        <w:t xml:space="preserve">Συλλογή </w:t>
      </w:r>
      <w:r w:rsidR="00097D8A">
        <w:rPr>
          <w:rFonts w:ascii="Verdana" w:hAnsi="Verdana"/>
          <w:b/>
          <w:bCs/>
          <w:sz w:val="18"/>
          <w:szCs w:val="18"/>
          <w:u w:val="single"/>
          <w:shd w:val="clear" w:color="auto" w:fill="FFFFFF"/>
          <w:lang w:val="el-GR"/>
        </w:rPr>
        <w:t>Σ</w:t>
      </w:r>
      <w:r w:rsidRPr="008C14B1">
        <w:rPr>
          <w:rFonts w:ascii="Verdana" w:hAnsi="Verdana"/>
          <w:b/>
          <w:bCs/>
          <w:sz w:val="18"/>
          <w:szCs w:val="18"/>
          <w:u w:val="single"/>
          <w:shd w:val="clear" w:color="auto" w:fill="FFFFFF"/>
          <w:lang w:val="el-GR"/>
        </w:rPr>
        <w:t>τοιχείων</w:t>
      </w:r>
      <w:r w:rsidRPr="008C14B1">
        <w:rPr>
          <w:rFonts w:ascii="Verdana" w:hAnsi="Verdana" w:cs="Arial"/>
          <w:color w:val="000000"/>
          <w:sz w:val="18"/>
          <w:szCs w:val="18"/>
          <w:shd w:val="clear" w:color="auto" w:fill="FFFFFF"/>
          <w:lang w:val="el-GR"/>
        </w:rPr>
        <w:t xml:space="preserve"> </w:t>
      </w:r>
    </w:p>
    <w:p w14:paraId="320CF5F5" w14:textId="77777777" w:rsidR="00BD79D0" w:rsidRPr="008C14B1" w:rsidRDefault="00BD79D0" w:rsidP="00BD79D0">
      <w:pPr>
        <w:jc w:val="both"/>
        <w:rPr>
          <w:rFonts w:ascii="Verdana" w:hAnsi="Verdana" w:cs="Arial"/>
          <w:color w:val="000000"/>
          <w:sz w:val="18"/>
          <w:szCs w:val="18"/>
          <w:shd w:val="clear" w:color="auto" w:fill="FFFFFF"/>
          <w:lang w:val="el-GR"/>
        </w:rPr>
      </w:pPr>
    </w:p>
    <w:p w14:paraId="364491C5" w14:textId="77777777" w:rsidR="00BD79D0" w:rsidRPr="006564DD" w:rsidRDefault="00BD79D0" w:rsidP="00BD79D0">
      <w:pPr>
        <w:jc w:val="both"/>
        <w:rPr>
          <w:rFonts w:ascii="Verdana" w:eastAsia="Malgun Gothic" w:hAnsi="Verdana" w:cs="Arial"/>
          <w:sz w:val="18"/>
          <w:szCs w:val="18"/>
          <w:lang w:val="el-GR"/>
        </w:rPr>
      </w:pPr>
      <w:r w:rsidRPr="003D7EA3">
        <w:rPr>
          <w:rFonts w:ascii="Verdana" w:eastAsia="Malgun Gothic" w:hAnsi="Verdana" w:cs="Arial"/>
          <w:sz w:val="18"/>
          <w:szCs w:val="18"/>
          <w:lang w:val="el-GR"/>
        </w:rPr>
        <w:t xml:space="preserve">Για τον υπολογισμό του δείκτη και για κάθε τρίμηνο αναφοράς συλλέγονται τιμές μονάδας για έναν ευρύ κατάλογο με βασικές κατασκευαστικές εργασίες, απαραίτητες από την έναρξη μέχρι την αποπεράτωση έργων όπως: μονοκατοικίες, οικιστικές πολυκατοικίες, μη οικιστικά κτίρια και έργα πολιτικού μηχανικού (δηλαδή έργα που αφορούν ανοικτούς χώρους και γενικά οτιδήποτε δε θεωρείται κτίριο). Η λήψη των στοιχείων γίνεται από δείγμα επιχειρήσεων που δραστηριοποιούνται στα διάφορα στάδια κατασκευής των υπό εξέταση έργων, χρησιμοποιώντας όλα τα </w:t>
      </w:r>
      <w:r>
        <w:rPr>
          <w:rFonts w:ascii="Verdana" w:eastAsia="Malgun Gothic" w:hAnsi="Verdana" w:cs="Arial"/>
          <w:sz w:val="18"/>
          <w:szCs w:val="18"/>
          <w:lang w:val="el-GR"/>
        </w:rPr>
        <w:t>δυνατά</w:t>
      </w:r>
      <w:r w:rsidRPr="003D7EA3">
        <w:rPr>
          <w:rFonts w:ascii="Verdana" w:eastAsia="Malgun Gothic" w:hAnsi="Verdana" w:cs="Arial"/>
          <w:sz w:val="18"/>
          <w:szCs w:val="18"/>
          <w:lang w:val="el-GR"/>
        </w:rPr>
        <w:t xml:space="preserve"> μέσα (τηλέφωνο, φαξ, ηλεκτρονικό ταχυδρομείο) ανάλογα με την προτίμηση της κάθε επιχείρησης</w:t>
      </w:r>
      <w:r w:rsidRPr="006564DD">
        <w:rPr>
          <w:rFonts w:ascii="Verdana" w:eastAsia="Malgun Gothic" w:hAnsi="Verdana" w:cs="Arial"/>
          <w:sz w:val="18"/>
          <w:szCs w:val="18"/>
          <w:lang w:val="el-GR"/>
        </w:rPr>
        <w:t>.</w:t>
      </w:r>
    </w:p>
    <w:p w14:paraId="7F98FD44" w14:textId="77777777" w:rsidR="00BD79D0" w:rsidRPr="008C14B1" w:rsidRDefault="00BD79D0" w:rsidP="00BD79D0">
      <w:pPr>
        <w:jc w:val="both"/>
        <w:rPr>
          <w:rFonts w:ascii="Verdana" w:eastAsia="Malgun Gothic" w:hAnsi="Verdana" w:cs="Arial"/>
          <w:sz w:val="18"/>
          <w:szCs w:val="18"/>
          <w:lang w:val="el-GR"/>
        </w:rPr>
      </w:pPr>
    </w:p>
    <w:p w14:paraId="2B391D94" w14:textId="77777777" w:rsidR="00BD79D0" w:rsidRPr="008C14B1" w:rsidRDefault="00BD79D0" w:rsidP="00BD79D0">
      <w:pPr>
        <w:rPr>
          <w:rFonts w:ascii="Verdana" w:hAnsi="Verdana"/>
          <w:b/>
          <w:bCs/>
          <w:sz w:val="18"/>
          <w:szCs w:val="18"/>
          <w:u w:val="single"/>
          <w:shd w:val="clear" w:color="auto" w:fill="FFFFFF"/>
          <w:lang w:val="el-GR"/>
        </w:rPr>
      </w:pPr>
      <w:r w:rsidRPr="008C14B1">
        <w:rPr>
          <w:rFonts w:ascii="Verdana" w:hAnsi="Verdana"/>
          <w:b/>
          <w:bCs/>
          <w:sz w:val="18"/>
          <w:szCs w:val="18"/>
          <w:u w:val="single"/>
          <w:shd w:val="clear" w:color="auto" w:fill="FFFFFF"/>
          <w:lang w:val="el-GR"/>
        </w:rPr>
        <w:t xml:space="preserve">Μέθοδος </w:t>
      </w:r>
      <w:r w:rsidR="00097D8A">
        <w:rPr>
          <w:rFonts w:ascii="Verdana" w:hAnsi="Verdana"/>
          <w:b/>
          <w:bCs/>
          <w:sz w:val="18"/>
          <w:szCs w:val="18"/>
          <w:u w:val="single"/>
          <w:shd w:val="clear" w:color="auto" w:fill="FFFFFF"/>
          <w:lang w:val="el-GR"/>
        </w:rPr>
        <w:t>Υ</w:t>
      </w:r>
      <w:r w:rsidRPr="008C14B1">
        <w:rPr>
          <w:rFonts w:ascii="Verdana" w:hAnsi="Verdana"/>
          <w:b/>
          <w:bCs/>
          <w:sz w:val="18"/>
          <w:szCs w:val="18"/>
          <w:u w:val="single"/>
          <w:shd w:val="clear" w:color="auto" w:fill="FFFFFF"/>
          <w:lang w:val="el-GR"/>
        </w:rPr>
        <w:t xml:space="preserve">πολογισμού </w:t>
      </w:r>
    </w:p>
    <w:p w14:paraId="4930849E" w14:textId="77777777" w:rsidR="00BD79D0" w:rsidRPr="008C14B1" w:rsidRDefault="00BD79D0" w:rsidP="00BD79D0">
      <w:pPr>
        <w:jc w:val="both"/>
        <w:rPr>
          <w:rFonts w:ascii="Verdana" w:eastAsia="Malgun Gothic" w:hAnsi="Verdana" w:cs="Arial"/>
          <w:sz w:val="18"/>
          <w:szCs w:val="18"/>
          <w:lang w:val="el-GR"/>
        </w:rPr>
      </w:pPr>
    </w:p>
    <w:p w14:paraId="655C70AC" w14:textId="77777777" w:rsidR="00BD79D0" w:rsidRDefault="00BD79D0" w:rsidP="00BD79D0">
      <w:pPr>
        <w:jc w:val="both"/>
        <w:rPr>
          <w:rFonts w:ascii="Verdana" w:eastAsia="Malgun Gothic" w:hAnsi="Verdana" w:cs="Arial"/>
          <w:sz w:val="18"/>
          <w:szCs w:val="18"/>
          <w:lang w:val="el-GR"/>
        </w:rPr>
      </w:pPr>
      <w:r w:rsidRPr="003D7EA3">
        <w:rPr>
          <w:rFonts w:ascii="Verdana" w:eastAsia="Malgun Gothic" w:hAnsi="Verdana" w:cs="Arial"/>
          <w:sz w:val="18"/>
          <w:szCs w:val="18"/>
          <w:lang w:val="el-GR"/>
        </w:rPr>
        <w:t xml:space="preserve">Οι βασικές κατασκευαστικές εργασίες για τις οποίες γίνεται </w:t>
      </w:r>
      <w:proofErr w:type="spellStart"/>
      <w:r w:rsidRPr="003D7EA3">
        <w:rPr>
          <w:rFonts w:ascii="Verdana" w:eastAsia="Malgun Gothic" w:hAnsi="Verdana" w:cs="Arial"/>
          <w:sz w:val="18"/>
          <w:szCs w:val="18"/>
          <w:lang w:val="el-GR"/>
        </w:rPr>
        <w:t>τιμοληψία</w:t>
      </w:r>
      <w:proofErr w:type="spellEnd"/>
      <w:r w:rsidRPr="003D7EA3">
        <w:rPr>
          <w:rFonts w:ascii="Verdana" w:eastAsia="Malgun Gothic" w:hAnsi="Verdana" w:cs="Arial"/>
          <w:sz w:val="18"/>
          <w:szCs w:val="18"/>
          <w:lang w:val="el-GR"/>
        </w:rPr>
        <w:t xml:space="preserve"> ομαδοποιούνται κατάλληλα ανά τύπο έργου. Η στάθμιση των διαφόρων εργασιών γίνεται με συντελεστές οι οποίοι προκύπτουν από το κόστος που έχει η κάθε εργασία σε σχέση με τον τύπο έργου. Ο ολικός δείκτης τιμών προκύπτει από τη σύνθεση των δεικτών των επιμέρους τύπων έργου χρησιμοποιώντας ως συντελεστή στάθμισης τον κύκλο εργασιών τους σε σχέση με το σύνολο του τομέα των Κατασκευών. Ο δείκτης που παράγεται για κάθε τύπο έργου χρησιμοποιείται και στο στάδιο του αποπληθωρισμού για τον υπολογισμό του Δείκτη Παραγωγής στις Κατασκευές.</w:t>
      </w:r>
    </w:p>
    <w:p w14:paraId="265B5712" w14:textId="77777777" w:rsidR="00BD79D0" w:rsidRDefault="00BD79D0" w:rsidP="00BD79D0">
      <w:pPr>
        <w:jc w:val="both"/>
        <w:rPr>
          <w:rFonts w:ascii="Verdana" w:eastAsia="Malgun Gothic" w:hAnsi="Verdana" w:cs="Arial"/>
          <w:sz w:val="18"/>
          <w:szCs w:val="18"/>
          <w:lang w:val="el-GR"/>
        </w:rPr>
      </w:pPr>
      <w:r w:rsidRPr="003D7EA3">
        <w:rPr>
          <w:rFonts w:ascii="Verdana" w:eastAsia="Malgun Gothic" w:hAnsi="Verdana" w:cs="Arial"/>
          <w:sz w:val="18"/>
          <w:szCs w:val="18"/>
          <w:lang w:val="el-GR"/>
        </w:rPr>
        <w:br/>
      </w:r>
      <w:r w:rsidRPr="00520662">
        <w:rPr>
          <w:rFonts w:ascii="Verdana" w:eastAsia="Malgun Gothic" w:hAnsi="Verdana" w:cs="Arial"/>
          <w:sz w:val="18"/>
          <w:szCs w:val="18"/>
          <w:lang w:val="el-GR"/>
        </w:rPr>
        <w:t xml:space="preserve">Ο Δείκτης Τιμών Παραγωγού έχει ως έτος βάσης το 2015, δείχνει δηλαδή τη μεταβολή στις τιμές μονάδας σε σχέση με το μέσο όρο των αντίστοιχων τιμών κατά το 2015. Κατά το έτος βάσης, ο μέσος όρος των τεσσάρων τριμήνων του δείκτη τιμών είναι 100,0. Για παράδειγμα, αν ο δείκτης τιμών για κάποιο τρίμηνο είναι 101,5 αυτό σημαίνει ότι οι τιμές αυξήθηκαν κατά 1,5% σε σχέση με τη μέση τιμή του 2015. </w:t>
      </w:r>
    </w:p>
    <w:p w14:paraId="19280630" w14:textId="77777777" w:rsidR="00BD79D0" w:rsidRPr="00520662" w:rsidRDefault="00BD79D0" w:rsidP="00BD79D0">
      <w:pPr>
        <w:tabs>
          <w:tab w:val="left" w:pos="360"/>
          <w:tab w:val="left" w:pos="6840"/>
        </w:tabs>
        <w:ind w:right="-79"/>
        <w:jc w:val="both"/>
        <w:rPr>
          <w:rFonts w:ascii="Verdana" w:eastAsia="Malgun Gothic" w:hAnsi="Verdana" w:cs="Arial"/>
          <w:sz w:val="18"/>
          <w:szCs w:val="18"/>
          <w:lang w:val="el-GR"/>
        </w:rPr>
      </w:pPr>
    </w:p>
    <w:p w14:paraId="2F821F34" w14:textId="77777777" w:rsidR="00BD79D0" w:rsidRPr="008C14B1" w:rsidRDefault="00BD79D0" w:rsidP="00BD79D0">
      <w:pPr>
        <w:tabs>
          <w:tab w:val="left" w:pos="360"/>
          <w:tab w:val="left" w:pos="6840"/>
        </w:tabs>
        <w:ind w:right="-79"/>
        <w:jc w:val="both"/>
        <w:rPr>
          <w:rFonts w:ascii="Verdana" w:eastAsia="Malgun Gothic" w:hAnsi="Verdana" w:cs="Arial"/>
          <w:b/>
          <w:i/>
          <w:sz w:val="18"/>
          <w:szCs w:val="18"/>
          <w:lang w:val="el-GR"/>
        </w:rPr>
      </w:pPr>
    </w:p>
    <w:p w14:paraId="2DF3D779" w14:textId="77777777" w:rsidR="00BD79D0" w:rsidRDefault="00BD79D0" w:rsidP="00BD79D0">
      <w:pPr>
        <w:rPr>
          <w:lang w:val="el-GR" w:eastAsia="en-CY"/>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7E9DFEAA" w14:textId="77777777" w:rsidR="00BD79D0" w:rsidRDefault="00BD79D0" w:rsidP="00BD79D0">
      <w:pPr>
        <w:rPr>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Κατασκευές</w:t>
        </w:r>
      </w:hyperlink>
    </w:p>
    <w:p w14:paraId="0E3FCB6D" w14:textId="77777777" w:rsidR="00310E8A" w:rsidRDefault="00000000" w:rsidP="00310E8A">
      <w:pPr>
        <w:rPr>
          <w:lang w:val="el-GR"/>
        </w:rPr>
      </w:pPr>
      <w:hyperlink r:id="rId10" w:history="1">
        <w:r w:rsidR="00310E8A" w:rsidRPr="00EB4741">
          <w:rPr>
            <w:rStyle w:val="Hyperlink"/>
            <w:rFonts w:ascii="Verdana" w:hAnsi="Verdana"/>
            <w:sz w:val="18"/>
            <w:szCs w:val="18"/>
          </w:rPr>
          <w:t>CYSTAT</w:t>
        </w:r>
        <w:r w:rsidR="00310E8A" w:rsidRPr="00C12231">
          <w:rPr>
            <w:rStyle w:val="Hyperlink"/>
            <w:rFonts w:ascii="Verdana" w:hAnsi="Verdana"/>
            <w:sz w:val="18"/>
            <w:szCs w:val="18"/>
            <w:lang w:val="el-GR"/>
          </w:rPr>
          <w:t>-</w:t>
        </w:r>
        <w:r w:rsidR="00310E8A" w:rsidRPr="00EB4741">
          <w:rPr>
            <w:rStyle w:val="Hyperlink"/>
            <w:rFonts w:ascii="Verdana" w:hAnsi="Verdana"/>
            <w:sz w:val="18"/>
            <w:szCs w:val="18"/>
          </w:rPr>
          <w:t>DB</w:t>
        </w:r>
      </w:hyperlink>
      <w:r w:rsidR="00310E8A" w:rsidRPr="00C12231">
        <w:rPr>
          <w:rFonts w:ascii="Verdana" w:hAnsi="Verdana"/>
          <w:sz w:val="18"/>
          <w:szCs w:val="18"/>
          <w:lang w:val="el-GR"/>
        </w:rPr>
        <w:t xml:space="preserve"> (Βάση Δεδομένων)</w:t>
      </w:r>
    </w:p>
    <w:p w14:paraId="406BDE41" w14:textId="77777777" w:rsidR="00BD79D0" w:rsidRPr="005531DC" w:rsidRDefault="00000000" w:rsidP="00BD79D0">
      <w:pPr>
        <w:ind w:right="-79"/>
        <w:jc w:val="both"/>
        <w:rPr>
          <w:rFonts w:ascii="Verdana" w:hAnsi="Verdana"/>
          <w:b/>
          <w:bCs/>
          <w:sz w:val="18"/>
          <w:szCs w:val="18"/>
          <w:shd w:val="clear" w:color="auto" w:fill="FFFFFF"/>
          <w:lang w:val="el-GR"/>
        </w:rPr>
      </w:pPr>
      <w:hyperlink r:id="rId11" w:history="1">
        <w:r w:rsidR="00BD79D0">
          <w:rPr>
            <w:rStyle w:val="Hyperlink"/>
            <w:rFonts w:ascii="Verdana" w:hAnsi="Verdana"/>
            <w:sz w:val="18"/>
            <w:szCs w:val="18"/>
            <w:lang w:val="el-GR"/>
          </w:rPr>
          <w:t>Προκαθορισμένοι Πίνακες</w:t>
        </w:r>
      </w:hyperlink>
      <w:r w:rsidR="00BD79D0">
        <w:rPr>
          <w:rFonts w:ascii="Verdana" w:hAnsi="Verdana"/>
          <w:sz w:val="18"/>
          <w:szCs w:val="18"/>
          <w:lang w:val="el-GR"/>
        </w:rPr>
        <w:t xml:space="preserve"> (</w:t>
      </w:r>
      <w:r w:rsidR="00BD79D0">
        <w:rPr>
          <w:rFonts w:ascii="Verdana" w:hAnsi="Verdana"/>
          <w:sz w:val="18"/>
          <w:szCs w:val="18"/>
        </w:rPr>
        <w:t>Excel</w:t>
      </w:r>
      <w:r w:rsidR="00BD79D0">
        <w:rPr>
          <w:rFonts w:ascii="Verdana" w:hAnsi="Verdana"/>
          <w:sz w:val="18"/>
          <w:szCs w:val="18"/>
          <w:lang w:val="el-GR"/>
        </w:rPr>
        <w:t>)</w:t>
      </w:r>
    </w:p>
    <w:p w14:paraId="053A2C4C" w14:textId="77777777" w:rsidR="00BD79D0" w:rsidRDefault="00BD79D0" w:rsidP="00BD79D0">
      <w:pPr>
        <w:ind w:right="-79"/>
        <w:jc w:val="both"/>
        <w:rPr>
          <w:rFonts w:ascii="Verdana" w:hAnsi="Verdana"/>
          <w:bCs/>
          <w:i/>
          <w:sz w:val="18"/>
          <w:szCs w:val="18"/>
          <w:u w:val="single"/>
          <w:shd w:val="clear" w:color="auto" w:fill="FFFFFF"/>
          <w:lang w:val="el-GR"/>
        </w:rPr>
      </w:pPr>
    </w:p>
    <w:p w14:paraId="23C21A6E" w14:textId="77777777" w:rsidR="00F2398F" w:rsidRPr="00310E8A" w:rsidRDefault="00F2398F" w:rsidP="00F2398F">
      <w:pPr>
        <w:jc w:val="both"/>
        <w:rPr>
          <w:rFonts w:ascii="Verdana" w:eastAsia="Malgun Gothic" w:hAnsi="Verdana" w:cs="Arial"/>
          <w:b/>
          <w:bCs/>
          <w:sz w:val="18"/>
          <w:szCs w:val="18"/>
          <w:lang w:val="el-GR"/>
        </w:rPr>
      </w:pPr>
      <w:r w:rsidRPr="00310E8A">
        <w:rPr>
          <w:rFonts w:ascii="Verdana" w:eastAsia="Malgun Gothic" w:hAnsi="Verdana" w:cs="Arial"/>
          <w:b/>
          <w:bCs/>
          <w:sz w:val="18"/>
          <w:szCs w:val="18"/>
          <w:lang w:val="el-GR"/>
        </w:rPr>
        <w:t xml:space="preserve">Οι </w:t>
      </w:r>
      <w:r w:rsidRPr="00310E8A">
        <w:rPr>
          <w:rStyle w:val="Hyperlink"/>
          <w:rFonts w:ascii="Verdana" w:hAnsi="Verdana"/>
          <w:b/>
          <w:bCs/>
          <w:color w:val="auto"/>
          <w:sz w:val="18"/>
          <w:szCs w:val="18"/>
          <w:lang w:val="el-GR"/>
        </w:rPr>
        <w:t>Προκαθορισμένοι Πίνακες</w:t>
      </w:r>
      <w:r w:rsidRPr="00310E8A">
        <w:rPr>
          <w:rFonts w:ascii="Verdana" w:eastAsia="Malgun Gothic" w:hAnsi="Verdana" w:cs="Arial"/>
          <w:b/>
          <w:bCs/>
          <w:sz w:val="18"/>
          <w:szCs w:val="18"/>
          <w:lang w:val="el-GR"/>
        </w:rPr>
        <w:t xml:space="preserve"> σε μορφή Excel περιλαμβάνουν στοιχεία μέχρι και το τέταρτο τρίμηνο του 2022. Για το πρώτο τρίμηνο του 2023 και μετέπειτα, η ενημέρωση γίνεται μόνο στη Βάση Δεδομένων CYSTAT-DB.</w:t>
      </w:r>
    </w:p>
    <w:p w14:paraId="687CB7FD" w14:textId="77777777" w:rsidR="00BD79D0" w:rsidRPr="008C14B1" w:rsidRDefault="00BD79D0" w:rsidP="00BD79D0">
      <w:pPr>
        <w:ind w:right="-79"/>
        <w:jc w:val="both"/>
        <w:rPr>
          <w:rFonts w:ascii="Verdana" w:hAnsi="Verdana"/>
          <w:b/>
          <w:bCs/>
          <w:sz w:val="18"/>
          <w:szCs w:val="18"/>
          <w:shd w:val="clear" w:color="auto" w:fill="FFFFFF"/>
          <w:lang w:val="el-GR"/>
        </w:rPr>
      </w:pPr>
    </w:p>
    <w:p w14:paraId="13AB506F" w14:textId="77777777" w:rsidR="00BD79D0" w:rsidRPr="008C14B1" w:rsidRDefault="00BD79D0" w:rsidP="00BD79D0">
      <w:pPr>
        <w:ind w:right="-79"/>
        <w:jc w:val="both"/>
        <w:rPr>
          <w:rFonts w:ascii="Verdana" w:eastAsia="Malgun Gothic" w:hAnsi="Verdana" w:cs="Arial"/>
          <w:sz w:val="18"/>
          <w:szCs w:val="18"/>
          <w:lang w:val="el-GR"/>
        </w:rPr>
      </w:pPr>
      <w:r w:rsidRPr="008C14B1">
        <w:rPr>
          <w:rFonts w:ascii="Verdana" w:hAnsi="Verdana"/>
          <w:bCs/>
          <w:i/>
          <w:sz w:val="18"/>
          <w:szCs w:val="18"/>
          <w:u w:val="single"/>
          <w:shd w:val="clear" w:color="auto" w:fill="FFFFFF"/>
          <w:lang w:val="el-GR"/>
        </w:rPr>
        <w:t>Επικοινωνία</w:t>
      </w:r>
      <w:r w:rsidRPr="008C14B1">
        <w:rPr>
          <w:rFonts w:ascii="Verdana" w:hAnsi="Verdana"/>
          <w:sz w:val="18"/>
          <w:szCs w:val="18"/>
          <w:shd w:val="clear" w:color="auto" w:fill="FFFFFF"/>
          <w:lang w:val="el-GR"/>
        </w:rPr>
        <w:br/>
      </w:r>
      <w:r w:rsidRPr="008C14B1">
        <w:rPr>
          <w:rFonts w:ascii="Verdana" w:eastAsia="Malgun Gothic" w:hAnsi="Verdana" w:cs="Arial"/>
          <w:sz w:val="18"/>
          <w:szCs w:val="18"/>
          <w:lang w:val="el-GR"/>
        </w:rPr>
        <w:t>Εύη Καλογήρου Δημητρίου</w:t>
      </w:r>
    </w:p>
    <w:p w14:paraId="2E397EE7" w14:textId="77777777" w:rsidR="00BD79D0" w:rsidRPr="008C14B1" w:rsidRDefault="00BD79D0" w:rsidP="00BD79D0">
      <w:pPr>
        <w:ind w:right="-79"/>
        <w:jc w:val="both"/>
        <w:rPr>
          <w:rFonts w:ascii="Verdana" w:eastAsia="Malgun Gothic" w:hAnsi="Verdana" w:cs="Arial"/>
          <w:sz w:val="18"/>
          <w:szCs w:val="18"/>
          <w:lang w:val="el-GR"/>
        </w:rPr>
      </w:pPr>
      <w:proofErr w:type="spellStart"/>
      <w:r w:rsidRPr="008C14B1">
        <w:rPr>
          <w:rFonts w:ascii="Verdana" w:eastAsia="Malgun Gothic" w:hAnsi="Verdana" w:cs="Arial"/>
          <w:sz w:val="18"/>
          <w:szCs w:val="18"/>
          <w:lang w:val="el-GR"/>
        </w:rPr>
        <w:t>Αρ</w:t>
      </w:r>
      <w:proofErr w:type="spellEnd"/>
      <w:r w:rsidRPr="008C14B1">
        <w:rPr>
          <w:rFonts w:ascii="Verdana" w:eastAsia="Malgun Gothic" w:hAnsi="Verdana" w:cs="Arial"/>
          <w:sz w:val="18"/>
          <w:szCs w:val="18"/>
          <w:lang w:val="el-GR"/>
        </w:rPr>
        <w:t xml:space="preserve">. </w:t>
      </w:r>
      <w:proofErr w:type="spellStart"/>
      <w:r w:rsidRPr="008C14B1">
        <w:rPr>
          <w:rFonts w:ascii="Verdana" w:eastAsia="Malgun Gothic" w:hAnsi="Verdana" w:cs="Arial"/>
          <w:sz w:val="18"/>
          <w:szCs w:val="18"/>
          <w:lang w:val="el-GR"/>
        </w:rPr>
        <w:t>Τηλ</w:t>
      </w:r>
      <w:proofErr w:type="spellEnd"/>
      <w:r w:rsidRPr="008C14B1">
        <w:rPr>
          <w:rFonts w:ascii="Verdana" w:eastAsia="Malgun Gothic" w:hAnsi="Verdana" w:cs="Arial"/>
          <w:sz w:val="18"/>
          <w:szCs w:val="18"/>
          <w:lang w:val="el-GR"/>
        </w:rPr>
        <w:t>:+357 22 602168</w:t>
      </w:r>
    </w:p>
    <w:p w14:paraId="6EC62FD1" w14:textId="77777777" w:rsidR="00BD79D0" w:rsidRDefault="00BD79D0" w:rsidP="00BD79D0">
      <w:pPr>
        <w:ind w:right="-79"/>
        <w:jc w:val="both"/>
        <w:rPr>
          <w:rFonts w:ascii="Verdana" w:eastAsia="Malgun Gothic" w:hAnsi="Verdana" w:cs="Arial"/>
          <w:b/>
          <w:i/>
          <w:sz w:val="20"/>
          <w:szCs w:val="20"/>
          <w:lang w:val="el-GR"/>
        </w:rPr>
      </w:pPr>
      <w:proofErr w:type="spellStart"/>
      <w:r w:rsidRPr="008C14B1">
        <w:rPr>
          <w:rFonts w:ascii="Verdana" w:eastAsia="Malgun Gothic" w:hAnsi="Verdana" w:cs="Arial"/>
          <w:sz w:val="18"/>
          <w:szCs w:val="18"/>
          <w:lang w:val="el-GR"/>
        </w:rPr>
        <w:t>Ηλ</w:t>
      </w:r>
      <w:proofErr w:type="spellEnd"/>
      <w:r w:rsidRPr="008C14B1">
        <w:rPr>
          <w:rFonts w:ascii="Verdana" w:eastAsia="Malgun Gothic" w:hAnsi="Verdana" w:cs="Arial"/>
          <w:sz w:val="18"/>
          <w:szCs w:val="18"/>
          <w:lang w:val="el-GR"/>
        </w:rPr>
        <w:t xml:space="preserve">. Διεύθυνση: </w:t>
      </w:r>
      <w:hyperlink r:id="rId12" w:history="1">
        <w:r w:rsidRPr="008C14B1">
          <w:rPr>
            <w:rStyle w:val="Hyperlink"/>
            <w:rFonts w:ascii="Verdana" w:eastAsia="Malgun Gothic" w:hAnsi="Verdana" w:cs="Arial"/>
            <w:sz w:val="18"/>
            <w:szCs w:val="18"/>
            <w:lang w:val="el-GR"/>
          </w:rPr>
          <w:t>ekalogirou@cystat.mof.gov.cy</w:t>
        </w:r>
      </w:hyperlink>
    </w:p>
    <w:p w14:paraId="44256534" w14:textId="77777777" w:rsidR="00BD79D0" w:rsidRDefault="00BD79D0" w:rsidP="00BD79D0">
      <w:pPr>
        <w:ind w:right="-79"/>
        <w:jc w:val="both"/>
        <w:rPr>
          <w:rFonts w:ascii="Verdana" w:eastAsia="Malgun Gothic" w:hAnsi="Verdana" w:cs="Arial"/>
          <w:b/>
          <w:i/>
          <w:sz w:val="18"/>
          <w:szCs w:val="18"/>
          <w:lang w:val="el-GR"/>
        </w:rPr>
      </w:pPr>
    </w:p>
    <w:p w14:paraId="69A85487" w14:textId="77777777" w:rsidR="00BD79D0" w:rsidRDefault="00BD79D0" w:rsidP="00BD79D0">
      <w:pPr>
        <w:ind w:right="-79"/>
        <w:jc w:val="both"/>
        <w:rPr>
          <w:rFonts w:ascii="Verdana" w:eastAsia="Malgun Gothic" w:hAnsi="Verdana" w:cs="Arial"/>
          <w:b/>
          <w:i/>
          <w:sz w:val="18"/>
          <w:szCs w:val="18"/>
          <w:lang w:val="el-GR"/>
        </w:rPr>
      </w:pPr>
    </w:p>
    <w:p w14:paraId="79BFBAAC" w14:textId="77777777" w:rsidR="00BD79D0" w:rsidRDefault="00BD79D0" w:rsidP="00BD79D0">
      <w:pPr>
        <w:ind w:right="-79"/>
        <w:jc w:val="both"/>
        <w:rPr>
          <w:rFonts w:ascii="Verdana" w:eastAsia="Malgun Gothic" w:hAnsi="Verdana" w:cs="Arial"/>
          <w:b/>
          <w:i/>
          <w:sz w:val="18"/>
          <w:szCs w:val="18"/>
          <w:lang w:val="el-GR"/>
        </w:rPr>
      </w:pPr>
    </w:p>
    <w:p w14:paraId="4B694D72" w14:textId="77777777" w:rsidR="00BD79D0" w:rsidRDefault="00BD79D0" w:rsidP="00BD79D0">
      <w:pPr>
        <w:ind w:right="-79"/>
        <w:jc w:val="both"/>
        <w:rPr>
          <w:rFonts w:ascii="Verdana" w:eastAsia="Malgun Gothic" w:hAnsi="Verdana" w:cs="Arial"/>
          <w:b/>
          <w:i/>
          <w:sz w:val="18"/>
          <w:szCs w:val="18"/>
          <w:lang w:val="el-GR"/>
        </w:rPr>
      </w:pPr>
    </w:p>
    <w:p w14:paraId="21CCFD16" w14:textId="77777777" w:rsidR="00BD79D0" w:rsidRDefault="00BD79D0" w:rsidP="00BD79D0">
      <w:pPr>
        <w:ind w:right="-79"/>
        <w:jc w:val="both"/>
        <w:rPr>
          <w:rFonts w:ascii="Verdana" w:eastAsia="Malgun Gothic" w:hAnsi="Verdana" w:cs="Arial"/>
          <w:b/>
          <w:i/>
          <w:sz w:val="18"/>
          <w:szCs w:val="18"/>
          <w:lang w:val="el-GR"/>
        </w:rPr>
      </w:pPr>
    </w:p>
    <w:p w14:paraId="5015F355" w14:textId="77777777" w:rsidR="00BD79D0" w:rsidRDefault="00BD79D0" w:rsidP="00BD79D0">
      <w:pPr>
        <w:ind w:right="-79"/>
        <w:jc w:val="both"/>
        <w:rPr>
          <w:rFonts w:ascii="Verdana" w:eastAsia="Malgun Gothic" w:hAnsi="Verdana" w:cs="Arial"/>
          <w:b/>
          <w:i/>
          <w:sz w:val="18"/>
          <w:szCs w:val="18"/>
          <w:lang w:val="el-GR"/>
        </w:rPr>
      </w:pPr>
    </w:p>
    <w:p w14:paraId="7524E283" w14:textId="77777777" w:rsidR="00BD79D0" w:rsidRDefault="00BD79D0" w:rsidP="00BD79D0">
      <w:pPr>
        <w:ind w:right="-79"/>
        <w:jc w:val="both"/>
        <w:rPr>
          <w:rFonts w:ascii="Verdana" w:eastAsia="Malgun Gothic" w:hAnsi="Verdana" w:cs="Arial"/>
          <w:b/>
          <w:i/>
          <w:sz w:val="18"/>
          <w:szCs w:val="18"/>
          <w:lang w:val="el-GR"/>
        </w:rPr>
      </w:pPr>
    </w:p>
    <w:p w14:paraId="2312A53E" w14:textId="77777777" w:rsidR="00BD79D0" w:rsidRPr="00571DA7" w:rsidRDefault="00BD79D0" w:rsidP="00BD79D0">
      <w:pPr>
        <w:ind w:right="-79"/>
        <w:jc w:val="both"/>
        <w:rPr>
          <w:rFonts w:ascii="Verdana" w:eastAsia="Malgun Gothic" w:hAnsi="Verdana" w:cs="Arial"/>
          <w:b/>
          <w:i/>
          <w:sz w:val="18"/>
          <w:szCs w:val="18"/>
          <w:lang w:val="el-GR"/>
        </w:rPr>
      </w:pPr>
    </w:p>
    <w:p w14:paraId="1D59F37F" w14:textId="77777777" w:rsidR="00BD79D0" w:rsidRPr="00571DA7" w:rsidRDefault="00BD79D0" w:rsidP="00BD79D0">
      <w:pPr>
        <w:ind w:right="-79"/>
        <w:jc w:val="both"/>
        <w:rPr>
          <w:rFonts w:ascii="Verdana" w:eastAsia="Malgun Gothic" w:hAnsi="Verdana" w:cs="Arial"/>
          <w:b/>
          <w:i/>
          <w:sz w:val="18"/>
          <w:szCs w:val="18"/>
          <w:lang w:val="el-GR"/>
        </w:rPr>
      </w:pPr>
    </w:p>
    <w:sectPr w:rsidR="00BD79D0" w:rsidRPr="00571DA7" w:rsidSect="00374308">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832D3" w14:textId="77777777" w:rsidR="00374308" w:rsidRDefault="00374308" w:rsidP="00FB398F">
      <w:r>
        <w:separator/>
      </w:r>
    </w:p>
  </w:endnote>
  <w:endnote w:type="continuationSeparator" w:id="0">
    <w:p w14:paraId="4D31AB90" w14:textId="77777777" w:rsidR="00374308" w:rsidRDefault="0037430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DCF85"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D459C"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D54600B"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467C0">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18F54ED4"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F2F82" w14:textId="77777777" w:rsidR="00374308" w:rsidRDefault="00374308" w:rsidP="00FB398F">
      <w:r>
        <w:separator/>
      </w:r>
    </w:p>
  </w:footnote>
  <w:footnote w:type="continuationSeparator" w:id="0">
    <w:p w14:paraId="150CE174" w14:textId="77777777" w:rsidR="00374308" w:rsidRDefault="0037430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7F6B6"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36A34" w14:textId="54164148" w:rsidR="004E4F42" w:rsidRDefault="00A844FA"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1E8E2CC1" wp14:editId="0C19C7E5">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F57ADB9" wp14:editId="223FBA0F">
              <wp:simplePos x="0" y="0"/>
              <wp:positionH relativeFrom="column">
                <wp:posOffset>4772660</wp:posOffset>
              </wp:positionH>
              <wp:positionV relativeFrom="paragraph">
                <wp:posOffset>-69215</wp:posOffset>
              </wp:positionV>
              <wp:extent cx="1287780" cy="1047750"/>
              <wp:effectExtent l="0" t="0" r="8255" b="0"/>
              <wp:wrapNone/>
              <wp:docPr id="4861948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40A0EB2" w14:textId="767E34B7" w:rsidR="004E4F42" w:rsidRDefault="00A844FA" w:rsidP="000932CF">
                          <w:r w:rsidRPr="00D96E3A">
                            <w:rPr>
                              <w:noProof/>
                            </w:rPr>
                            <w:drawing>
                              <wp:inline distT="0" distB="0" distL="0" distR="0" wp14:anchorId="38C839A0" wp14:editId="5225280C">
                                <wp:extent cx="1095375" cy="790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ADB9"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40A0EB2" w14:textId="767E34B7" w:rsidR="004E4F42" w:rsidRDefault="00A844FA" w:rsidP="000932CF">
                    <w:r w:rsidRPr="00D96E3A">
                      <w:rPr>
                        <w:noProof/>
                      </w:rPr>
                      <w:drawing>
                        <wp:inline distT="0" distB="0" distL="0" distR="0" wp14:anchorId="38C839A0" wp14:editId="5225280C">
                          <wp:extent cx="1095375" cy="790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1B0623A" wp14:editId="125E378A">
              <wp:simplePos x="0" y="0"/>
              <wp:positionH relativeFrom="column">
                <wp:posOffset>3439160</wp:posOffset>
              </wp:positionH>
              <wp:positionV relativeFrom="paragraph">
                <wp:posOffset>-221615</wp:posOffset>
              </wp:positionV>
              <wp:extent cx="1468755" cy="1200150"/>
              <wp:effectExtent l="0" t="0" r="0" b="0"/>
              <wp:wrapNone/>
              <wp:docPr id="1776407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1E4D8D0D" w14:textId="4B53862B" w:rsidR="004E4F42" w:rsidRDefault="00A844FA" w:rsidP="000932CF">
                          <w:r w:rsidRPr="00D96E3A">
                            <w:rPr>
                              <w:noProof/>
                            </w:rPr>
                            <w:drawing>
                              <wp:inline distT="0" distB="0" distL="0" distR="0" wp14:anchorId="74576EE3" wp14:editId="1ADA7F54">
                                <wp:extent cx="1276350" cy="1009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623A"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1E4D8D0D" w14:textId="4B53862B" w:rsidR="004E4F42" w:rsidRDefault="00A844FA" w:rsidP="000932CF">
                    <w:r w:rsidRPr="00D96E3A">
                      <w:rPr>
                        <w:noProof/>
                      </w:rPr>
                      <w:drawing>
                        <wp:inline distT="0" distB="0" distL="0" distR="0" wp14:anchorId="74576EE3" wp14:editId="1ADA7F54">
                          <wp:extent cx="1276350" cy="1009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343E0816"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4AC8FA80"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1B3ED76B"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4DAF252" w14:textId="0EA707A6" w:rsidR="004E4F42" w:rsidRDefault="00A844FA"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16B54AFA" wp14:editId="7D7BBA4D">
              <wp:simplePos x="0" y="0"/>
              <wp:positionH relativeFrom="column">
                <wp:posOffset>4159250</wp:posOffset>
              </wp:positionH>
              <wp:positionV relativeFrom="paragraph">
                <wp:posOffset>104140</wp:posOffset>
              </wp:positionV>
              <wp:extent cx="1828800" cy="438150"/>
              <wp:effectExtent l="0" t="0" r="0" b="0"/>
              <wp:wrapNone/>
              <wp:docPr id="15669113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5B15D88D"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021845E"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4AFA"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B15D88D"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021845E"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6E8F1472"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02103F65" w14:textId="5234CFE3"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445CC169"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19806071">
    <w:abstractNumId w:val="4"/>
  </w:num>
  <w:num w:numId="2" w16cid:durableId="759372783">
    <w:abstractNumId w:val="1"/>
  </w:num>
  <w:num w:numId="3" w16cid:durableId="1382243254">
    <w:abstractNumId w:val="2"/>
  </w:num>
  <w:num w:numId="4" w16cid:durableId="378557904">
    <w:abstractNumId w:val="3"/>
  </w:num>
  <w:num w:numId="5" w16cid:durableId="1539778032">
    <w:abstractNumId w:val="0"/>
  </w:num>
  <w:num w:numId="6" w16cid:durableId="649600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11D"/>
    <w:rsid w:val="00013E40"/>
    <w:rsid w:val="000161B1"/>
    <w:rsid w:val="0002181B"/>
    <w:rsid w:val="00023820"/>
    <w:rsid w:val="00025A39"/>
    <w:rsid w:val="00027853"/>
    <w:rsid w:val="00030E18"/>
    <w:rsid w:val="00031D32"/>
    <w:rsid w:val="0003307E"/>
    <w:rsid w:val="000342B3"/>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97D8A"/>
    <w:rsid w:val="000A1A88"/>
    <w:rsid w:val="000A2B5C"/>
    <w:rsid w:val="000A3601"/>
    <w:rsid w:val="000A6FA8"/>
    <w:rsid w:val="000A7CDB"/>
    <w:rsid w:val="000C1070"/>
    <w:rsid w:val="000C1E76"/>
    <w:rsid w:val="000C4E72"/>
    <w:rsid w:val="000C7FA7"/>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35C79"/>
    <w:rsid w:val="0015118B"/>
    <w:rsid w:val="001519CE"/>
    <w:rsid w:val="00161CF3"/>
    <w:rsid w:val="00162C00"/>
    <w:rsid w:val="001639EF"/>
    <w:rsid w:val="0016589F"/>
    <w:rsid w:val="001712CF"/>
    <w:rsid w:val="0017769A"/>
    <w:rsid w:val="00183DFC"/>
    <w:rsid w:val="00184384"/>
    <w:rsid w:val="00185EF5"/>
    <w:rsid w:val="00186717"/>
    <w:rsid w:val="00187FFC"/>
    <w:rsid w:val="0019391C"/>
    <w:rsid w:val="001A2018"/>
    <w:rsid w:val="001B2C39"/>
    <w:rsid w:val="001B3675"/>
    <w:rsid w:val="001B5E10"/>
    <w:rsid w:val="001B5FE7"/>
    <w:rsid w:val="001B6A0C"/>
    <w:rsid w:val="001B6AB3"/>
    <w:rsid w:val="001B73D5"/>
    <w:rsid w:val="001C0681"/>
    <w:rsid w:val="001C62B3"/>
    <w:rsid w:val="001C7C8C"/>
    <w:rsid w:val="001D0D6A"/>
    <w:rsid w:val="001D20A4"/>
    <w:rsid w:val="001E00D1"/>
    <w:rsid w:val="001E0E58"/>
    <w:rsid w:val="001E14F3"/>
    <w:rsid w:val="001E15ED"/>
    <w:rsid w:val="001E61AA"/>
    <w:rsid w:val="001F1489"/>
    <w:rsid w:val="0020309E"/>
    <w:rsid w:val="00210B58"/>
    <w:rsid w:val="002123D9"/>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7CDB"/>
    <w:rsid w:val="0028338F"/>
    <w:rsid w:val="002915C4"/>
    <w:rsid w:val="00297E6B"/>
    <w:rsid w:val="002A1D1C"/>
    <w:rsid w:val="002A4D64"/>
    <w:rsid w:val="002B12B0"/>
    <w:rsid w:val="002B4969"/>
    <w:rsid w:val="002B6554"/>
    <w:rsid w:val="002D05F0"/>
    <w:rsid w:val="002D2829"/>
    <w:rsid w:val="002D7D4A"/>
    <w:rsid w:val="002E3846"/>
    <w:rsid w:val="002E3F78"/>
    <w:rsid w:val="002E463D"/>
    <w:rsid w:val="002F400C"/>
    <w:rsid w:val="002F4D76"/>
    <w:rsid w:val="002F6D26"/>
    <w:rsid w:val="0030231E"/>
    <w:rsid w:val="003042C4"/>
    <w:rsid w:val="00304CB4"/>
    <w:rsid w:val="00310E8A"/>
    <w:rsid w:val="00313F37"/>
    <w:rsid w:val="003141D0"/>
    <w:rsid w:val="003168C1"/>
    <w:rsid w:val="00322FBE"/>
    <w:rsid w:val="00325632"/>
    <w:rsid w:val="00327549"/>
    <w:rsid w:val="003342A5"/>
    <w:rsid w:val="00334616"/>
    <w:rsid w:val="00336C36"/>
    <w:rsid w:val="00343815"/>
    <w:rsid w:val="003522BB"/>
    <w:rsid w:val="00352F6C"/>
    <w:rsid w:val="003556EA"/>
    <w:rsid w:val="00374308"/>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250E1"/>
    <w:rsid w:val="00431516"/>
    <w:rsid w:val="004361B3"/>
    <w:rsid w:val="0044249D"/>
    <w:rsid w:val="0044379F"/>
    <w:rsid w:val="00444FCC"/>
    <w:rsid w:val="00446FB1"/>
    <w:rsid w:val="00452753"/>
    <w:rsid w:val="0046078F"/>
    <w:rsid w:val="00463214"/>
    <w:rsid w:val="0046434D"/>
    <w:rsid w:val="004656FA"/>
    <w:rsid w:val="00471D77"/>
    <w:rsid w:val="00475587"/>
    <w:rsid w:val="00475AEE"/>
    <w:rsid w:val="00480BC2"/>
    <w:rsid w:val="004845C3"/>
    <w:rsid w:val="004929C2"/>
    <w:rsid w:val="00493FDD"/>
    <w:rsid w:val="0049586B"/>
    <w:rsid w:val="004A3E44"/>
    <w:rsid w:val="004B2018"/>
    <w:rsid w:val="004B2896"/>
    <w:rsid w:val="004B38E9"/>
    <w:rsid w:val="004B3FBA"/>
    <w:rsid w:val="004B6599"/>
    <w:rsid w:val="004C6CA7"/>
    <w:rsid w:val="004C72E4"/>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6BBB"/>
    <w:rsid w:val="00527CDB"/>
    <w:rsid w:val="005341C9"/>
    <w:rsid w:val="005369CA"/>
    <w:rsid w:val="00536DE9"/>
    <w:rsid w:val="00537688"/>
    <w:rsid w:val="00541E08"/>
    <w:rsid w:val="00542B5D"/>
    <w:rsid w:val="0054773F"/>
    <w:rsid w:val="00554FE0"/>
    <w:rsid w:val="0055789A"/>
    <w:rsid w:val="00560952"/>
    <w:rsid w:val="005652D1"/>
    <w:rsid w:val="005660A0"/>
    <w:rsid w:val="00566A4F"/>
    <w:rsid w:val="00567D64"/>
    <w:rsid w:val="0058587D"/>
    <w:rsid w:val="005978D4"/>
    <w:rsid w:val="005A108B"/>
    <w:rsid w:val="005A23FA"/>
    <w:rsid w:val="005B2A67"/>
    <w:rsid w:val="005B2EEB"/>
    <w:rsid w:val="005B3DCD"/>
    <w:rsid w:val="005B4AD4"/>
    <w:rsid w:val="005C2798"/>
    <w:rsid w:val="005C36C3"/>
    <w:rsid w:val="005C56EE"/>
    <w:rsid w:val="005D1714"/>
    <w:rsid w:val="005D7638"/>
    <w:rsid w:val="005F08D1"/>
    <w:rsid w:val="005F12F5"/>
    <w:rsid w:val="005F7C7D"/>
    <w:rsid w:val="006044B7"/>
    <w:rsid w:val="006071CE"/>
    <w:rsid w:val="006075B5"/>
    <w:rsid w:val="0061018C"/>
    <w:rsid w:val="00610595"/>
    <w:rsid w:val="0061094E"/>
    <w:rsid w:val="00613440"/>
    <w:rsid w:val="00613BE3"/>
    <w:rsid w:val="0062327B"/>
    <w:rsid w:val="00624AFB"/>
    <w:rsid w:val="00632777"/>
    <w:rsid w:val="00633750"/>
    <w:rsid w:val="00634491"/>
    <w:rsid w:val="0063679C"/>
    <w:rsid w:val="00637055"/>
    <w:rsid w:val="00641D59"/>
    <w:rsid w:val="00643107"/>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95B63"/>
    <w:rsid w:val="00695DE8"/>
    <w:rsid w:val="006A02B7"/>
    <w:rsid w:val="006A7019"/>
    <w:rsid w:val="006B46D5"/>
    <w:rsid w:val="006B46F4"/>
    <w:rsid w:val="006C7AF3"/>
    <w:rsid w:val="006D0B9D"/>
    <w:rsid w:val="006D56B5"/>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270B2"/>
    <w:rsid w:val="00830303"/>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1F87"/>
    <w:rsid w:val="00892114"/>
    <w:rsid w:val="00892A5C"/>
    <w:rsid w:val="00892CB9"/>
    <w:rsid w:val="008935CB"/>
    <w:rsid w:val="008A3969"/>
    <w:rsid w:val="008B0E7E"/>
    <w:rsid w:val="008B65BD"/>
    <w:rsid w:val="008B7900"/>
    <w:rsid w:val="008C71BF"/>
    <w:rsid w:val="008C7FE0"/>
    <w:rsid w:val="008D5717"/>
    <w:rsid w:val="008E44A9"/>
    <w:rsid w:val="008E6B4D"/>
    <w:rsid w:val="008E6BFF"/>
    <w:rsid w:val="008F109F"/>
    <w:rsid w:val="008F21AF"/>
    <w:rsid w:val="008F2400"/>
    <w:rsid w:val="008F61BA"/>
    <w:rsid w:val="008F6CF2"/>
    <w:rsid w:val="008F6E3C"/>
    <w:rsid w:val="008F7C55"/>
    <w:rsid w:val="00914A23"/>
    <w:rsid w:val="00930754"/>
    <w:rsid w:val="00934F68"/>
    <w:rsid w:val="009355AC"/>
    <w:rsid w:val="00935F38"/>
    <w:rsid w:val="00937586"/>
    <w:rsid w:val="00947889"/>
    <w:rsid w:val="009478BD"/>
    <w:rsid w:val="00960E98"/>
    <w:rsid w:val="00963A82"/>
    <w:rsid w:val="00972912"/>
    <w:rsid w:val="00973D1B"/>
    <w:rsid w:val="00976D1F"/>
    <w:rsid w:val="009815CC"/>
    <w:rsid w:val="00981C81"/>
    <w:rsid w:val="009A2D24"/>
    <w:rsid w:val="009A456C"/>
    <w:rsid w:val="009B00E0"/>
    <w:rsid w:val="009B292A"/>
    <w:rsid w:val="009B76D5"/>
    <w:rsid w:val="009C165D"/>
    <w:rsid w:val="009C3CEA"/>
    <w:rsid w:val="009C583D"/>
    <w:rsid w:val="009D2611"/>
    <w:rsid w:val="009D79D2"/>
    <w:rsid w:val="009E247C"/>
    <w:rsid w:val="009E31BA"/>
    <w:rsid w:val="009E602B"/>
    <w:rsid w:val="009F0528"/>
    <w:rsid w:val="009F0806"/>
    <w:rsid w:val="009F233B"/>
    <w:rsid w:val="009F533F"/>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844FA"/>
    <w:rsid w:val="00A93A4C"/>
    <w:rsid w:val="00A94D5D"/>
    <w:rsid w:val="00AA1D9B"/>
    <w:rsid w:val="00AA2543"/>
    <w:rsid w:val="00AA3804"/>
    <w:rsid w:val="00AA55C2"/>
    <w:rsid w:val="00AB0ACA"/>
    <w:rsid w:val="00AB1D41"/>
    <w:rsid w:val="00AC5E9A"/>
    <w:rsid w:val="00AC704B"/>
    <w:rsid w:val="00AD553E"/>
    <w:rsid w:val="00AD5848"/>
    <w:rsid w:val="00AE5ADA"/>
    <w:rsid w:val="00AF6145"/>
    <w:rsid w:val="00AF7B4B"/>
    <w:rsid w:val="00B01386"/>
    <w:rsid w:val="00B01915"/>
    <w:rsid w:val="00B01BB5"/>
    <w:rsid w:val="00B026CC"/>
    <w:rsid w:val="00B04AF4"/>
    <w:rsid w:val="00B05214"/>
    <w:rsid w:val="00B27CBE"/>
    <w:rsid w:val="00B30D97"/>
    <w:rsid w:val="00B31074"/>
    <w:rsid w:val="00B3181A"/>
    <w:rsid w:val="00B33FFF"/>
    <w:rsid w:val="00B35A7C"/>
    <w:rsid w:val="00B44ECD"/>
    <w:rsid w:val="00B450D1"/>
    <w:rsid w:val="00B467C0"/>
    <w:rsid w:val="00B53D47"/>
    <w:rsid w:val="00B54A25"/>
    <w:rsid w:val="00B618C3"/>
    <w:rsid w:val="00B63652"/>
    <w:rsid w:val="00B6392E"/>
    <w:rsid w:val="00B668B0"/>
    <w:rsid w:val="00B70F5C"/>
    <w:rsid w:val="00B71873"/>
    <w:rsid w:val="00B75AE5"/>
    <w:rsid w:val="00B800C0"/>
    <w:rsid w:val="00B8132B"/>
    <w:rsid w:val="00B84C5A"/>
    <w:rsid w:val="00B858F5"/>
    <w:rsid w:val="00B925B5"/>
    <w:rsid w:val="00B93668"/>
    <w:rsid w:val="00BA68C6"/>
    <w:rsid w:val="00BB12F1"/>
    <w:rsid w:val="00BB276E"/>
    <w:rsid w:val="00BB3FEE"/>
    <w:rsid w:val="00BB5EB0"/>
    <w:rsid w:val="00BC245A"/>
    <w:rsid w:val="00BD16FA"/>
    <w:rsid w:val="00BD41C3"/>
    <w:rsid w:val="00BD488B"/>
    <w:rsid w:val="00BD79D0"/>
    <w:rsid w:val="00BD7CCC"/>
    <w:rsid w:val="00BE002A"/>
    <w:rsid w:val="00BE0283"/>
    <w:rsid w:val="00BE1BC9"/>
    <w:rsid w:val="00BE5CDA"/>
    <w:rsid w:val="00BE608F"/>
    <w:rsid w:val="00BF23BB"/>
    <w:rsid w:val="00BF33DD"/>
    <w:rsid w:val="00BF5755"/>
    <w:rsid w:val="00BF684B"/>
    <w:rsid w:val="00C016F3"/>
    <w:rsid w:val="00C15193"/>
    <w:rsid w:val="00C15419"/>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2CAF"/>
    <w:rsid w:val="00C94262"/>
    <w:rsid w:val="00C976E1"/>
    <w:rsid w:val="00CA148E"/>
    <w:rsid w:val="00CA3A9A"/>
    <w:rsid w:val="00CB6BC1"/>
    <w:rsid w:val="00CB7021"/>
    <w:rsid w:val="00CB75BE"/>
    <w:rsid w:val="00CD3294"/>
    <w:rsid w:val="00CD4524"/>
    <w:rsid w:val="00CD784D"/>
    <w:rsid w:val="00CF3A1C"/>
    <w:rsid w:val="00CF40F8"/>
    <w:rsid w:val="00D008DA"/>
    <w:rsid w:val="00D0377F"/>
    <w:rsid w:val="00D0416F"/>
    <w:rsid w:val="00D05851"/>
    <w:rsid w:val="00D10FED"/>
    <w:rsid w:val="00D11736"/>
    <w:rsid w:val="00D12C6E"/>
    <w:rsid w:val="00D12EE8"/>
    <w:rsid w:val="00D14CDF"/>
    <w:rsid w:val="00D15FF1"/>
    <w:rsid w:val="00D167F4"/>
    <w:rsid w:val="00D2092A"/>
    <w:rsid w:val="00D2216D"/>
    <w:rsid w:val="00D31A6F"/>
    <w:rsid w:val="00D353D1"/>
    <w:rsid w:val="00D367DB"/>
    <w:rsid w:val="00D36E05"/>
    <w:rsid w:val="00D41EBA"/>
    <w:rsid w:val="00D44F27"/>
    <w:rsid w:val="00D45304"/>
    <w:rsid w:val="00D46165"/>
    <w:rsid w:val="00D461C7"/>
    <w:rsid w:val="00D50424"/>
    <w:rsid w:val="00D525C9"/>
    <w:rsid w:val="00D57D3E"/>
    <w:rsid w:val="00D76249"/>
    <w:rsid w:val="00D938CF"/>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3AD3"/>
    <w:rsid w:val="00E947A6"/>
    <w:rsid w:val="00E97FC7"/>
    <w:rsid w:val="00EA0690"/>
    <w:rsid w:val="00EA3956"/>
    <w:rsid w:val="00EA7136"/>
    <w:rsid w:val="00EB325A"/>
    <w:rsid w:val="00EC02A5"/>
    <w:rsid w:val="00EC176B"/>
    <w:rsid w:val="00EC33CD"/>
    <w:rsid w:val="00EC5BE5"/>
    <w:rsid w:val="00ED2650"/>
    <w:rsid w:val="00ED721A"/>
    <w:rsid w:val="00EE21ED"/>
    <w:rsid w:val="00EE393D"/>
    <w:rsid w:val="00EF01CF"/>
    <w:rsid w:val="00EF6A47"/>
    <w:rsid w:val="00EF7AF9"/>
    <w:rsid w:val="00F00952"/>
    <w:rsid w:val="00F01495"/>
    <w:rsid w:val="00F10138"/>
    <w:rsid w:val="00F13F92"/>
    <w:rsid w:val="00F166F9"/>
    <w:rsid w:val="00F22ECA"/>
    <w:rsid w:val="00F2398F"/>
    <w:rsid w:val="00F240E8"/>
    <w:rsid w:val="00F244FA"/>
    <w:rsid w:val="00F366A2"/>
    <w:rsid w:val="00F44F43"/>
    <w:rsid w:val="00F450E1"/>
    <w:rsid w:val="00F50DF4"/>
    <w:rsid w:val="00F57460"/>
    <w:rsid w:val="00F57AFE"/>
    <w:rsid w:val="00F6278E"/>
    <w:rsid w:val="00F63C41"/>
    <w:rsid w:val="00F63E96"/>
    <w:rsid w:val="00F701E3"/>
    <w:rsid w:val="00F71008"/>
    <w:rsid w:val="00F71F8C"/>
    <w:rsid w:val="00F832DD"/>
    <w:rsid w:val="00F86AD4"/>
    <w:rsid w:val="00F942B2"/>
    <w:rsid w:val="00FA0066"/>
    <w:rsid w:val="00FA0113"/>
    <w:rsid w:val="00FA12B2"/>
    <w:rsid w:val="00FA7610"/>
    <w:rsid w:val="00FB02BD"/>
    <w:rsid w:val="00FB349F"/>
    <w:rsid w:val="00FB398F"/>
    <w:rsid w:val="00FB4EF8"/>
    <w:rsid w:val="00FB54AE"/>
    <w:rsid w:val="00FB709A"/>
    <w:rsid w:val="00FB78DD"/>
    <w:rsid w:val="00FC3EF3"/>
    <w:rsid w:val="00FC5D35"/>
    <w:rsid w:val="00FD2049"/>
    <w:rsid w:val="00FD2140"/>
    <w:rsid w:val="00FD3897"/>
    <w:rsid w:val="00FD5B5F"/>
    <w:rsid w:val="00FD5BDE"/>
    <w:rsid w:val="00FD68EC"/>
    <w:rsid w:val="00FE24A5"/>
    <w:rsid w:val="00FE31D1"/>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8001"/>
  <w15:chartTrackingRefBased/>
  <w15:docId w15:val="{E752D11D-4E12-4410-9B65-ED179742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logir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Construction__" TargetMode="Externa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Verdana" panose="020B0604030504040204" pitchFamily="34" charset="0"/>
                <a:ea typeface="+mn-ea"/>
                <a:cs typeface="+mn-cs"/>
              </a:defRPr>
            </a:pPr>
            <a:r>
              <a:rPr lang="el-GR" sz="1100" b="1" i="0" u="none" baseline="0">
                <a:solidFill>
                  <a:sysClr val="windowText" lastClr="000000"/>
                </a:solidFill>
                <a:latin typeface="Verdana" panose="020B0604030504040204" pitchFamily="34" charset="0"/>
              </a:rPr>
              <a:t>Δείκτης Τιμών Παραγωγού στις Κατασκευές </a:t>
            </a:r>
            <a:endParaRPr lang="en-US" sz="1100" b="1" i="0" u="none" baseline="0">
              <a:solidFill>
                <a:sysClr val="windowText" lastClr="000000"/>
              </a:solidFill>
              <a:latin typeface="Verdana" panose="020B0604030504040204" pitchFamily="34" charset="0"/>
            </a:endParaRPr>
          </a:p>
          <a:p>
            <a:pPr>
              <a:defRPr sz="1200" b="0" i="0" u="none" strike="noStrike" kern="1200" spc="0" baseline="0">
                <a:solidFill>
                  <a:sysClr val="windowText" lastClr="000000"/>
                </a:solidFill>
                <a:latin typeface="Verdana" panose="020B0604030504040204" pitchFamily="34" charset="0"/>
                <a:ea typeface="+mn-ea"/>
                <a:cs typeface="+mn-cs"/>
              </a:defRPr>
            </a:pPr>
            <a:endParaRPr lang="el-GR" sz="400" b="1" i="0" u="sng" baseline="0">
              <a:solidFill>
                <a:sysClr val="windowText" lastClr="000000"/>
              </a:solidFill>
              <a:latin typeface="Verdana" panose="020B0604030504040204" pitchFamily="34" charset="0"/>
            </a:endParaRPr>
          </a:p>
          <a:p>
            <a:pPr>
              <a:defRPr sz="1200" b="0" i="0" u="none" strike="noStrike" kern="1200" spc="0" baseline="0">
                <a:solidFill>
                  <a:sysClr val="windowText" lastClr="000000"/>
                </a:solidFill>
                <a:latin typeface="Verdana" panose="020B0604030504040204" pitchFamily="34" charset="0"/>
                <a:ea typeface="+mn-ea"/>
                <a:cs typeface="+mn-cs"/>
              </a:defRPr>
            </a:pPr>
            <a:r>
              <a:rPr lang="en-US" sz="1000" b="0" i="0" baseline="0">
                <a:solidFill>
                  <a:sysClr val="windowText" lastClr="000000"/>
                </a:solidFill>
                <a:latin typeface="Verdana" panose="020B0604030504040204" pitchFamily="34" charset="0"/>
              </a:rPr>
              <a:t>% </a:t>
            </a:r>
            <a:r>
              <a:rPr lang="el-GR" sz="1000" b="0" i="0" baseline="0">
                <a:solidFill>
                  <a:sysClr val="windowText" lastClr="000000"/>
                </a:solidFill>
                <a:latin typeface="Verdana" panose="020B0604030504040204" pitchFamily="34" charset="0"/>
              </a:rPr>
              <a:t>μεταβολή συγκριτικά με το αντίστοιχο τρίμηνο του προηγούμενου έτους</a:t>
            </a:r>
          </a:p>
        </c:rich>
      </c:tx>
      <c:layout>
        <c:manualLayout>
          <c:xMode val="edge"/>
          <c:yMode val="edge"/>
          <c:x val="0.10091484788359788"/>
          <c:y val="2.6929601357082274E-2"/>
        </c:manualLayout>
      </c:layout>
      <c:overlay val="0"/>
      <c:spPr>
        <a:noFill/>
        <a:ln>
          <a:noFill/>
        </a:ln>
        <a:effectLst/>
      </c:spPr>
    </c:title>
    <c:autoTitleDeleted val="0"/>
    <c:plotArea>
      <c:layout>
        <c:manualLayout>
          <c:layoutTarget val="inner"/>
          <c:xMode val="edge"/>
          <c:yMode val="edge"/>
          <c:x val="9.7363756613756611E-2"/>
          <c:y val="0.1626145038167939"/>
          <c:w val="0.87953769841269847"/>
          <c:h val="0.72307888040712454"/>
        </c:manualLayout>
      </c:layout>
      <c:barChart>
        <c:barDir val="col"/>
        <c:grouping val="stacked"/>
        <c:varyColors val="0"/>
        <c:ser>
          <c:idx val="0"/>
          <c:order val="0"/>
          <c:tx>
            <c:strRef>
              <c:f>Sheet1!$J$2</c:f>
              <c:strCache>
                <c:ptCount val="1"/>
                <c:pt idx="0">
                  <c:v>% Μεταβολή συγκριτικά με το αντίστοιχο τρίμηνο του προηγούμενου έτους</c:v>
                </c:pt>
              </c:strCache>
            </c:strRef>
          </c:tx>
          <c:spPr>
            <a:solidFill>
              <a:schemeClr val="accent1"/>
            </a:solidFill>
            <a:ln>
              <a:noFill/>
            </a:ln>
            <a:effectLst/>
          </c:spPr>
          <c:invertIfNegative val="0"/>
          <c:cat>
            <c:multiLvlStrRef>
              <c:f>Sheet1!$H$11:$I$30</c:f>
              <c:multiLvlStrCache>
                <c:ptCount val="20"/>
                <c:lvl>
                  <c:pt idx="0">
                    <c:v>Τ1</c:v>
                  </c:pt>
                  <c:pt idx="1">
                    <c:v>Τ2</c:v>
                  </c:pt>
                  <c:pt idx="2">
                    <c:v>Τ3</c:v>
                  </c:pt>
                  <c:pt idx="3">
                    <c:v>Τ4</c:v>
                  </c:pt>
                  <c:pt idx="4">
                    <c:v>Τ1</c:v>
                  </c:pt>
                  <c:pt idx="5">
                    <c:v>Τ2</c:v>
                  </c:pt>
                  <c:pt idx="6">
                    <c:v>Τ3</c:v>
                  </c:pt>
                  <c:pt idx="7">
                    <c:v>Τ4</c:v>
                  </c:pt>
                  <c:pt idx="8">
                    <c:v>Τ1</c:v>
                  </c:pt>
                  <c:pt idx="9">
                    <c:v>Τ2</c:v>
                  </c:pt>
                  <c:pt idx="10">
                    <c:v>Τ3</c:v>
                  </c:pt>
                  <c:pt idx="11">
                    <c:v>Τ4</c:v>
                  </c:pt>
                  <c:pt idx="12">
                    <c:v>Τ1</c:v>
                  </c:pt>
                  <c:pt idx="13">
                    <c:v>Τ2</c:v>
                  </c:pt>
                  <c:pt idx="14">
                    <c:v>Τ3</c:v>
                  </c:pt>
                  <c:pt idx="15">
                    <c:v>Τ4</c:v>
                  </c:pt>
                  <c:pt idx="16">
                    <c:v>Τ1</c:v>
                  </c:pt>
                  <c:pt idx="17">
                    <c:v>Τ2</c:v>
                  </c:pt>
                  <c:pt idx="18">
                    <c:v>Τ3</c:v>
                  </c:pt>
                  <c:pt idx="19">
                    <c:v>Τ4</c:v>
                  </c:pt>
                </c:lvl>
                <c:lvl>
                  <c:pt idx="0">
                    <c:v>2019</c:v>
                  </c:pt>
                  <c:pt idx="4">
                    <c:v>2020</c:v>
                  </c:pt>
                  <c:pt idx="8">
                    <c:v>2021</c:v>
                  </c:pt>
                  <c:pt idx="12">
                    <c:v>2022</c:v>
                  </c:pt>
                  <c:pt idx="16">
                    <c:v>2023</c:v>
                  </c:pt>
                </c:lvl>
              </c:multiLvlStrCache>
            </c:multiLvlStrRef>
          </c:cat>
          <c:val>
            <c:numRef>
              <c:f>Sheet1!$J$11:$J$30</c:f>
              <c:numCache>
                <c:formatCode>General</c:formatCode>
                <c:ptCount val="20"/>
                <c:pt idx="0">
                  <c:v>7.0803286779019459</c:v>
                </c:pt>
                <c:pt idx="1">
                  <c:v>5.7738993451507667</c:v>
                </c:pt>
                <c:pt idx="2">
                  <c:v>6.5980676188811458</c:v>
                </c:pt>
                <c:pt idx="3">
                  <c:v>4.7616606706971254</c:v>
                </c:pt>
                <c:pt idx="4">
                  <c:v>3.0103285228484395</c:v>
                </c:pt>
                <c:pt idx="5">
                  <c:v>-1.7567387437649842</c:v>
                </c:pt>
                <c:pt idx="6">
                  <c:v>-2.9245278485018531</c:v>
                </c:pt>
                <c:pt idx="7">
                  <c:v>-1.4352318230558581</c:v>
                </c:pt>
                <c:pt idx="8">
                  <c:v>0.06</c:v>
                </c:pt>
                <c:pt idx="9">
                  <c:v>5.4285258805063989</c:v>
                </c:pt>
                <c:pt idx="10">
                  <c:v>6.3902947958117977</c:v>
                </c:pt>
                <c:pt idx="11">
                  <c:v>9.2631322846115438</c:v>
                </c:pt>
                <c:pt idx="12">
                  <c:v>10.114416041962215</c:v>
                </c:pt>
                <c:pt idx="13">
                  <c:v>13.119807002960812</c:v>
                </c:pt>
                <c:pt idx="14">
                  <c:v>11.005906279573622</c:v>
                </c:pt>
                <c:pt idx="15">
                  <c:v>11.062702748177912</c:v>
                </c:pt>
                <c:pt idx="16">
                  <c:v>6.5005198883880837</c:v>
                </c:pt>
                <c:pt idx="17">
                  <c:v>4.3093869892384191</c:v>
                </c:pt>
                <c:pt idx="18">
                  <c:v>5.9775800212615167</c:v>
                </c:pt>
                <c:pt idx="19">
                  <c:v>2.6633107337045061</c:v>
                </c:pt>
              </c:numCache>
            </c:numRef>
          </c:val>
          <c:extLst>
            <c:ext xmlns:c16="http://schemas.microsoft.com/office/drawing/2014/chart" uri="{C3380CC4-5D6E-409C-BE32-E72D297353CC}">
              <c16:uniqueId val="{00000000-7750-4E67-8324-454C00B29B95}"/>
            </c:ext>
          </c:extLst>
        </c:ser>
        <c:dLbls>
          <c:showLegendKey val="0"/>
          <c:showVal val="0"/>
          <c:showCatName val="0"/>
          <c:showSerName val="0"/>
          <c:showPercent val="0"/>
          <c:showBubbleSize val="0"/>
        </c:dLbls>
        <c:gapWidth val="150"/>
        <c:overlap val="100"/>
        <c:axId val="147910656"/>
        <c:axId val="147912192"/>
      </c:barChart>
      <c:catAx>
        <c:axId val="1479106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crossAx val="147912192"/>
        <c:crosses val="autoZero"/>
        <c:auto val="1"/>
        <c:lblAlgn val="ctr"/>
        <c:lblOffset val="100"/>
        <c:noMultiLvlLbl val="0"/>
      </c:catAx>
      <c:valAx>
        <c:axId val="147912192"/>
        <c:scaling>
          <c:orientation val="minMax"/>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mn-ea"/>
                    <a:cs typeface="+mn-cs"/>
                  </a:defRPr>
                </a:pPr>
                <a:r>
                  <a:rPr lang="en-US" sz="900" b="1" i="0" baseline="0">
                    <a:solidFill>
                      <a:sysClr val="windowText" lastClr="000000"/>
                    </a:solidFill>
                    <a:latin typeface="Verdana" panose="020B0604030504040204" pitchFamily="34" charset="0"/>
                  </a:rPr>
                  <a:t>% </a:t>
                </a:r>
                <a:r>
                  <a:rPr lang="el-GR" sz="900" b="1" i="0" baseline="0">
                    <a:solidFill>
                      <a:sysClr val="windowText" lastClr="000000"/>
                    </a:solidFill>
                    <a:latin typeface="Verdana" panose="020B0604030504040204" pitchFamily="34" charset="0"/>
                  </a:rPr>
                  <a:t>μεταβολή</a:t>
                </a:r>
              </a:p>
            </c:rich>
          </c:tx>
          <c:layout>
            <c:manualLayout>
              <c:xMode val="edge"/>
              <c:yMode val="edge"/>
              <c:x val="1.3490261805269901E-2"/>
              <c:y val="0.3894326670704623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itchFamily="34" charset="0"/>
                <a:ea typeface="Verdana" pitchFamily="34" charset="0"/>
                <a:cs typeface="Verdana" pitchFamily="34" charset="0"/>
              </a:defRPr>
            </a:pPr>
            <a:endParaRPr lang="en-CY"/>
          </a:p>
        </c:txPr>
        <c:crossAx val="147910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558ED5">
          <a:alpha val="50196"/>
        </a:srgbClr>
      </a:solidFill>
      <a:round/>
    </a:ln>
    <a:effectLst/>
  </c:spPr>
  <c:txPr>
    <a:bodyPr/>
    <a:lstStyle/>
    <a:p>
      <a:pPr>
        <a:defRPr/>
      </a:pPr>
      <a:endParaRPr lang="en-CY"/>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Links>
    <vt:vector size="36" baseType="variant">
      <vt:variant>
        <vt:i4>5177458</vt:i4>
      </vt:variant>
      <vt:variant>
        <vt:i4>12</vt:i4>
      </vt:variant>
      <vt:variant>
        <vt:i4>0</vt:i4>
      </vt:variant>
      <vt:variant>
        <vt:i4>5</vt:i4>
      </vt:variant>
      <vt:variant>
        <vt:lpwstr>mailto:ekalogirou@cystat.mof.gov.cy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14</cp:revision>
  <cp:lastPrinted>2024-04-02T10:16:00Z</cp:lastPrinted>
  <dcterms:created xsi:type="dcterms:W3CDTF">2023-07-10T10:43:00Z</dcterms:created>
  <dcterms:modified xsi:type="dcterms:W3CDTF">2024-04-05T07:27:00Z</dcterms:modified>
</cp:coreProperties>
</file>