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B8C1A" w14:textId="77777777" w:rsidR="00812F35" w:rsidRDefault="00812F35" w:rsidP="00812F35">
      <w:pPr>
        <w:jc w:val="right"/>
        <w:rPr>
          <w:rFonts w:ascii="Verdana" w:eastAsia="Malgun Gothic" w:hAnsi="Verdana" w:cs="Arial"/>
          <w:sz w:val="18"/>
          <w:szCs w:val="18"/>
        </w:rPr>
      </w:pPr>
    </w:p>
    <w:p w14:paraId="7C701248" w14:textId="77777777" w:rsidR="00B97631" w:rsidRPr="00B97631" w:rsidRDefault="00B97631" w:rsidP="00812F35">
      <w:pPr>
        <w:jc w:val="right"/>
        <w:rPr>
          <w:rFonts w:ascii="Verdana" w:eastAsia="Malgun Gothic" w:hAnsi="Verdana" w:cs="Arial"/>
          <w:sz w:val="18"/>
          <w:szCs w:val="18"/>
        </w:rPr>
      </w:pPr>
    </w:p>
    <w:p w14:paraId="696AB369" w14:textId="3D064D8B" w:rsidR="00812F35" w:rsidRPr="00F81688" w:rsidRDefault="00B42DD3" w:rsidP="00812F35">
      <w:pPr>
        <w:jc w:val="right"/>
        <w:rPr>
          <w:rFonts w:ascii="Verdana" w:eastAsia="Malgun Gothic" w:hAnsi="Verdana" w:cs="Arial"/>
          <w:sz w:val="18"/>
          <w:szCs w:val="18"/>
          <w:lang w:val="el-GR"/>
        </w:rPr>
      </w:pPr>
      <w:r>
        <w:rPr>
          <w:rFonts w:ascii="Verdana" w:eastAsia="Malgun Gothic" w:hAnsi="Verdana" w:cs="Arial"/>
          <w:sz w:val="18"/>
          <w:szCs w:val="18"/>
          <w:lang w:val="el-GR"/>
        </w:rPr>
        <w:t>5 Απριλίου</w:t>
      </w:r>
      <w:r w:rsidR="00812F35" w:rsidRPr="00F81688">
        <w:rPr>
          <w:rFonts w:ascii="Verdana" w:eastAsia="Malgun Gothic" w:hAnsi="Verdana" w:cs="Arial"/>
          <w:sz w:val="18"/>
          <w:szCs w:val="18"/>
          <w:lang w:val="el-GR"/>
        </w:rPr>
        <w:t>, 202</w:t>
      </w:r>
      <w:r w:rsidR="00BA49E6">
        <w:rPr>
          <w:rFonts w:ascii="Verdana" w:eastAsia="Malgun Gothic" w:hAnsi="Verdana" w:cs="Arial"/>
          <w:sz w:val="18"/>
          <w:szCs w:val="18"/>
          <w:lang w:val="el-GR"/>
        </w:rPr>
        <w:t>4</w:t>
      </w:r>
    </w:p>
    <w:p w14:paraId="3D71A7A0" w14:textId="77777777" w:rsidR="00812F35" w:rsidRPr="00F81688" w:rsidRDefault="00812F35" w:rsidP="00812F35">
      <w:pPr>
        <w:jc w:val="center"/>
        <w:rPr>
          <w:rFonts w:ascii="Verdana" w:eastAsia="Malgun Gothic" w:hAnsi="Verdana" w:cs="Arial"/>
          <w:b/>
          <w:sz w:val="24"/>
          <w:szCs w:val="24"/>
          <w:lang w:val="el-GR"/>
        </w:rPr>
      </w:pPr>
    </w:p>
    <w:p w14:paraId="4C386EDB" w14:textId="77777777" w:rsidR="00812F35" w:rsidRPr="00F81688" w:rsidRDefault="00812F35" w:rsidP="00812F35">
      <w:pPr>
        <w:jc w:val="center"/>
        <w:rPr>
          <w:rFonts w:ascii="Verdana" w:eastAsia="Malgun Gothic" w:hAnsi="Verdana" w:cs="Arial"/>
          <w:b/>
          <w:sz w:val="24"/>
          <w:szCs w:val="24"/>
          <w:lang w:val="el-GR"/>
        </w:rPr>
      </w:pPr>
      <w:r w:rsidRPr="00F81688">
        <w:rPr>
          <w:rFonts w:ascii="Verdana" w:eastAsia="Malgun Gothic" w:hAnsi="Verdana" w:cs="Arial"/>
          <w:b/>
          <w:sz w:val="24"/>
          <w:szCs w:val="24"/>
          <w:lang w:val="el-GR"/>
        </w:rPr>
        <w:t>ΔΕΛΤΙΟ ΤΥΠΟΥ</w:t>
      </w:r>
    </w:p>
    <w:p w14:paraId="2C019735" w14:textId="77777777" w:rsidR="00812F35" w:rsidRPr="00F81688" w:rsidRDefault="00812F35" w:rsidP="00812F35">
      <w:pPr>
        <w:jc w:val="center"/>
        <w:rPr>
          <w:rFonts w:ascii="Verdana" w:hAnsi="Verdana"/>
          <w:sz w:val="20"/>
          <w:szCs w:val="20"/>
          <w:u w:val="single"/>
          <w:shd w:val="clear" w:color="auto" w:fill="FFFFFF"/>
          <w:lang w:val="el-GR"/>
        </w:rPr>
      </w:pPr>
    </w:p>
    <w:p w14:paraId="5412A950" w14:textId="77777777" w:rsidR="00812F35" w:rsidRPr="00F81688" w:rsidRDefault="00812F35" w:rsidP="00812F35">
      <w:pPr>
        <w:rPr>
          <w:rFonts w:ascii="Verdana" w:hAnsi="Verdana"/>
          <w:sz w:val="20"/>
          <w:szCs w:val="20"/>
          <w:u w:val="single"/>
          <w:shd w:val="clear" w:color="auto" w:fill="FFFFFF"/>
          <w:lang w:val="el-GR"/>
        </w:rPr>
      </w:pPr>
    </w:p>
    <w:p w14:paraId="6AF652D4" w14:textId="7D2B4726" w:rsidR="00812F35" w:rsidRPr="00F81688" w:rsidRDefault="00812F35" w:rsidP="00812F35">
      <w:pPr>
        <w:rPr>
          <w:rFonts w:ascii="Verdana" w:hAnsi="Verdana"/>
          <w:bCs/>
          <w:u w:val="single"/>
          <w:shd w:val="clear" w:color="auto" w:fill="FFFFFF"/>
          <w:lang w:val="el-GR"/>
        </w:rPr>
      </w:pPr>
      <w:r w:rsidRPr="00F81688">
        <w:rPr>
          <w:rFonts w:ascii="Verdana" w:hAnsi="Verdana"/>
          <w:bCs/>
          <w:u w:val="single"/>
          <w:shd w:val="clear" w:color="auto" w:fill="FFFFFF"/>
          <w:lang w:val="el-GR"/>
        </w:rPr>
        <w:t xml:space="preserve">ΔΕΙΚΤΗΣ ΠΑΡΑΓΩΓΗΣ ΣΤΙΣ ΚΑΤΑΣΚΕΥΕΣ: </w:t>
      </w:r>
      <w:r w:rsidR="00B42DD3" w:rsidRPr="00B42DD3">
        <w:rPr>
          <w:rFonts w:ascii="Verdana" w:hAnsi="Verdana"/>
          <w:b/>
          <w:bCs/>
          <w:u w:val="single"/>
          <w:shd w:val="clear" w:color="auto" w:fill="FFFFFF"/>
          <w:lang w:val="el-GR"/>
        </w:rPr>
        <w:t>4</w:t>
      </w:r>
      <w:r w:rsidRPr="00F81688">
        <w:rPr>
          <w:rFonts w:ascii="Verdana" w:hAnsi="Verdana"/>
          <w:b/>
          <w:bCs/>
          <w:u w:val="single"/>
          <w:shd w:val="clear" w:color="auto" w:fill="FFFFFF"/>
        </w:rPr>
        <w:t>o</w:t>
      </w:r>
      <w:r w:rsidRPr="00F81688">
        <w:rPr>
          <w:rFonts w:ascii="Verdana" w:hAnsi="Verdana"/>
          <w:b/>
          <w:bCs/>
          <w:u w:val="single"/>
          <w:shd w:val="clear" w:color="auto" w:fill="FFFFFF"/>
          <w:lang w:val="el-GR"/>
        </w:rPr>
        <w:t xml:space="preserve"> ΤΡΙΜΗΝΟ 202</w:t>
      </w:r>
      <w:r w:rsidR="0098274F">
        <w:rPr>
          <w:rFonts w:ascii="Verdana" w:hAnsi="Verdana"/>
          <w:b/>
          <w:bCs/>
          <w:u w:val="single"/>
          <w:shd w:val="clear" w:color="auto" w:fill="FFFFFF"/>
          <w:lang w:val="el-GR"/>
        </w:rPr>
        <w:t>3</w:t>
      </w:r>
    </w:p>
    <w:p w14:paraId="144EB902" w14:textId="77777777" w:rsidR="00B97631" w:rsidRPr="00CC538A" w:rsidRDefault="00B97631" w:rsidP="00812F35">
      <w:pPr>
        <w:rPr>
          <w:rFonts w:ascii="Verdana" w:eastAsia="Malgun Gothic" w:hAnsi="Verdana" w:cs="Arial"/>
          <w:b/>
          <w:lang w:val="el-GR"/>
        </w:rPr>
      </w:pPr>
    </w:p>
    <w:p w14:paraId="1FE6B2CA" w14:textId="6348760A" w:rsidR="00812F35" w:rsidRPr="00F81688" w:rsidRDefault="00812F35" w:rsidP="00812F35">
      <w:pPr>
        <w:jc w:val="center"/>
        <w:rPr>
          <w:rFonts w:ascii="Verdana" w:hAnsi="Verdana" w:cs="Arial"/>
          <w:lang w:val="el-GR"/>
        </w:rPr>
      </w:pPr>
      <w:r w:rsidRPr="00F81688">
        <w:rPr>
          <w:rFonts w:ascii="Verdana" w:eastAsia="Malgun Gothic" w:hAnsi="Verdana" w:cs="Arial"/>
          <w:b/>
          <w:lang w:val="el-GR"/>
        </w:rPr>
        <w:t xml:space="preserve">Ετήσια Μεταβολή </w:t>
      </w:r>
      <w:r w:rsidR="0098274F">
        <w:rPr>
          <w:rFonts w:ascii="Verdana" w:eastAsia="Malgun Gothic" w:hAnsi="Verdana" w:cs="Arial"/>
          <w:b/>
          <w:lang w:val="el-GR"/>
        </w:rPr>
        <w:t>+</w:t>
      </w:r>
      <w:r w:rsidR="00B42DD3">
        <w:rPr>
          <w:rFonts w:ascii="Verdana" w:eastAsia="Malgun Gothic" w:hAnsi="Verdana" w:cs="Arial"/>
          <w:b/>
          <w:lang w:val="el-GR"/>
        </w:rPr>
        <w:t>9,2</w:t>
      </w:r>
      <w:r w:rsidRPr="00F81688">
        <w:rPr>
          <w:rFonts w:ascii="Verdana" w:eastAsia="Malgun Gothic" w:hAnsi="Verdana" w:cs="Arial"/>
          <w:b/>
          <w:lang w:val="el-GR"/>
        </w:rPr>
        <w:t>%</w:t>
      </w:r>
    </w:p>
    <w:p w14:paraId="35A983FC" w14:textId="77777777" w:rsidR="00DE017E" w:rsidRPr="00CC538A" w:rsidRDefault="00DE017E" w:rsidP="00812F35">
      <w:pPr>
        <w:jc w:val="both"/>
        <w:rPr>
          <w:rFonts w:ascii="Verdana" w:hAnsi="Verdana"/>
          <w:shd w:val="clear" w:color="auto" w:fill="FFFFFF"/>
          <w:lang w:val="el-GR"/>
        </w:rPr>
      </w:pPr>
    </w:p>
    <w:p w14:paraId="0A169634" w14:textId="5F0C91D8"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Ο Δείκτης Παραγωγής στις Κατασκευές κατά το</w:t>
      </w:r>
      <w:r w:rsidR="003B5B5B">
        <w:rPr>
          <w:rFonts w:ascii="Verdana" w:eastAsia="Malgun Gothic" w:hAnsi="Verdana" w:cs="Arial"/>
          <w:sz w:val="18"/>
          <w:szCs w:val="18"/>
          <w:lang w:val="el-GR"/>
        </w:rPr>
        <w:t xml:space="preserve"> </w:t>
      </w:r>
      <w:r w:rsidR="00B42DD3">
        <w:rPr>
          <w:rFonts w:ascii="Verdana" w:eastAsia="Malgun Gothic" w:hAnsi="Verdana" w:cs="Arial"/>
          <w:sz w:val="18"/>
          <w:szCs w:val="18"/>
          <w:lang w:val="el-GR"/>
        </w:rPr>
        <w:t>τέταρτο</w:t>
      </w:r>
      <w:r w:rsidR="0098274F">
        <w:rPr>
          <w:rFonts w:ascii="Verdana" w:eastAsia="Malgun Gothic" w:hAnsi="Verdana" w:cs="Arial"/>
          <w:sz w:val="18"/>
          <w:szCs w:val="18"/>
          <w:lang w:val="el-GR"/>
        </w:rPr>
        <w:t xml:space="preserve"> </w:t>
      </w:r>
      <w:r w:rsidRPr="00F81688">
        <w:rPr>
          <w:rFonts w:ascii="Verdana" w:eastAsia="Malgun Gothic" w:hAnsi="Verdana" w:cs="Arial"/>
          <w:sz w:val="18"/>
          <w:szCs w:val="18"/>
          <w:lang w:val="el-GR"/>
        </w:rPr>
        <w:t>τρίμηνο του 202</w:t>
      </w:r>
      <w:r w:rsidR="0098274F">
        <w:rPr>
          <w:rFonts w:ascii="Verdana" w:eastAsia="Malgun Gothic" w:hAnsi="Verdana" w:cs="Arial"/>
          <w:sz w:val="18"/>
          <w:szCs w:val="18"/>
          <w:lang w:val="el-GR"/>
        </w:rPr>
        <w:t>3</w:t>
      </w:r>
      <w:r w:rsidRPr="00F81688">
        <w:rPr>
          <w:rFonts w:ascii="Verdana" w:eastAsia="Malgun Gothic" w:hAnsi="Verdana" w:cs="Arial"/>
          <w:sz w:val="18"/>
          <w:szCs w:val="18"/>
          <w:lang w:val="el-GR"/>
        </w:rPr>
        <w:t xml:space="preserve"> ανήλθε στις </w:t>
      </w:r>
      <w:r w:rsidR="00B42DD3">
        <w:rPr>
          <w:rFonts w:ascii="Verdana" w:eastAsia="Malgun Gothic" w:hAnsi="Verdana" w:cs="Arial"/>
          <w:sz w:val="18"/>
          <w:szCs w:val="18"/>
          <w:lang w:val="el-GR"/>
        </w:rPr>
        <w:t>227,99</w:t>
      </w:r>
      <w:r w:rsidR="00844BFB">
        <w:rPr>
          <w:rFonts w:ascii="Verdana" w:eastAsia="Malgun Gothic" w:hAnsi="Verdana" w:cs="Arial"/>
          <w:sz w:val="18"/>
          <w:szCs w:val="18"/>
          <w:lang w:val="el-GR"/>
        </w:rPr>
        <w:t xml:space="preserve"> </w:t>
      </w:r>
      <w:r w:rsidRPr="00F81688">
        <w:rPr>
          <w:rFonts w:ascii="Verdana" w:eastAsia="Malgun Gothic" w:hAnsi="Verdana" w:cs="Arial"/>
          <w:sz w:val="18"/>
          <w:szCs w:val="18"/>
          <w:lang w:val="el-GR"/>
        </w:rPr>
        <w:t>μονάδες (με βάση 2015=100,0</w:t>
      </w:r>
      <w:r w:rsidR="007B7C93" w:rsidRPr="007B7C93">
        <w:rPr>
          <w:rFonts w:ascii="Verdana" w:eastAsia="Malgun Gothic" w:hAnsi="Verdana" w:cs="Arial"/>
          <w:sz w:val="18"/>
          <w:szCs w:val="18"/>
          <w:lang w:val="el-GR"/>
        </w:rPr>
        <w:t>0</w:t>
      </w:r>
      <w:r w:rsidRPr="00F81688">
        <w:rPr>
          <w:rFonts w:ascii="Verdana" w:eastAsia="Malgun Gothic" w:hAnsi="Verdana" w:cs="Arial"/>
          <w:sz w:val="18"/>
          <w:szCs w:val="18"/>
          <w:lang w:val="el-GR"/>
        </w:rPr>
        <w:t xml:space="preserve">), σημειώνοντας </w:t>
      </w:r>
      <w:r w:rsidR="0098274F">
        <w:rPr>
          <w:rFonts w:ascii="Verdana" w:eastAsia="Malgun Gothic" w:hAnsi="Verdana" w:cs="Arial"/>
          <w:sz w:val="18"/>
          <w:szCs w:val="18"/>
          <w:lang w:val="el-GR"/>
        </w:rPr>
        <w:t xml:space="preserve">αύξηση </w:t>
      </w:r>
      <w:r w:rsidR="00B42DD3">
        <w:rPr>
          <w:rFonts w:ascii="Verdana" w:eastAsia="Malgun Gothic" w:hAnsi="Verdana" w:cs="Arial"/>
          <w:sz w:val="18"/>
          <w:szCs w:val="18"/>
          <w:lang w:val="el-GR"/>
        </w:rPr>
        <w:t>9,2</w:t>
      </w:r>
      <w:r w:rsidRPr="00F81688">
        <w:rPr>
          <w:rFonts w:ascii="Verdana" w:eastAsia="Malgun Gothic" w:hAnsi="Verdana" w:cs="Arial"/>
          <w:sz w:val="18"/>
          <w:szCs w:val="18"/>
          <w:lang w:val="el-GR"/>
        </w:rPr>
        <w:t xml:space="preserve">% έναντι του </w:t>
      </w:r>
      <w:r w:rsidR="00BA49E6">
        <w:rPr>
          <w:rFonts w:ascii="Verdana" w:eastAsia="Malgun Gothic" w:hAnsi="Verdana" w:cs="Arial"/>
          <w:sz w:val="18"/>
          <w:szCs w:val="18"/>
          <w:lang w:val="el-GR"/>
        </w:rPr>
        <w:t>τ</w:t>
      </w:r>
      <w:r w:rsidR="00CA0401">
        <w:rPr>
          <w:rFonts w:ascii="Verdana" w:eastAsia="Malgun Gothic" w:hAnsi="Verdana" w:cs="Arial"/>
          <w:sz w:val="18"/>
          <w:szCs w:val="18"/>
          <w:lang w:val="el-GR"/>
        </w:rPr>
        <w:t>έτα</w:t>
      </w:r>
      <w:r w:rsidR="00B42DD3">
        <w:rPr>
          <w:rFonts w:ascii="Verdana" w:eastAsia="Malgun Gothic" w:hAnsi="Verdana" w:cs="Arial"/>
          <w:sz w:val="18"/>
          <w:szCs w:val="18"/>
          <w:lang w:val="el-GR"/>
        </w:rPr>
        <w:t xml:space="preserve">ρτου </w:t>
      </w:r>
      <w:r w:rsidRPr="00F81688">
        <w:rPr>
          <w:rFonts w:ascii="Verdana" w:eastAsia="Malgun Gothic" w:hAnsi="Verdana" w:cs="Arial"/>
          <w:sz w:val="18"/>
          <w:szCs w:val="18"/>
          <w:lang w:val="el-GR"/>
        </w:rPr>
        <w:t>τριμήνου του 202</w:t>
      </w:r>
      <w:r w:rsidR="0098274F">
        <w:rPr>
          <w:rFonts w:ascii="Verdana" w:eastAsia="Malgun Gothic" w:hAnsi="Verdana" w:cs="Arial"/>
          <w:sz w:val="18"/>
          <w:szCs w:val="18"/>
          <w:lang w:val="el-GR"/>
        </w:rPr>
        <w:t>2</w:t>
      </w:r>
      <w:r w:rsidRPr="00F81688">
        <w:rPr>
          <w:rFonts w:ascii="Verdana" w:eastAsia="Malgun Gothic" w:hAnsi="Verdana" w:cs="Arial"/>
          <w:sz w:val="18"/>
          <w:szCs w:val="18"/>
          <w:lang w:val="el-GR"/>
        </w:rPr>
        <w:t xml:space="preserve">. </w:t>
      </w:r>
    </w:p>
    <w:p w14:paraId="1F8D074F" w14:textId="77777777" w:rsidR="00812F35" w:rsidRPr="00F81688" w:rsidRDefault="00812F35" w:rsidP="00812F35">
      <w:pPr>
        <w:jc w:val="both"/>
        <w:rPr>
          <w:rFonts w:ascii="Verdana" w:eastAsia="Malgun Gothic" w:hAnsi="Verdana" w:cs="Arial"/>
          <w:sz w:val="18"/>
          <w:szCs w:val="18"/>
          <w:lang w:val="el-GR"/>
        </w:rPr>
      </w:pPr>
    </w:p>
    <w:p w14:paraId="005E20F1" w14:textId="2A1274F2" w:rsidR="00812F35"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 xml:space="preserve">Κατά τύπο έργου, σημειώθηκε </w:t>
      </w:r>
      <w:r w:rsidR="0098274F">
        <w:rPr>
          <w:rFonts w:ascii="Verdana" w:eastAsia="Malgun Gothic" w:hAnsi="Verdana" w:cs="Arial"/>
          <w:sz w:val="18"/>
          <w:szCs w:val="18"/>
          <w:lang w:val="el-GR"/>
        </w:rPr>
        <w:t>αύξηση</w:t>
      </w:r>
      <w:r w:rsidRPr="00F81688">
        <w:rPr>
          <w:rFonts w:ascii="Verdana" w:eastAsia="Malgun Gothic" w:hAnsi="Verdana" w:cs="Arial"/>
          <w:sz w:val="18"/>
          <w:szCs w:val="18"/>
          <w:lang w:val="el-GR"/>
        </w:rPr>
        <w:t xml:space="preserve"> της τάξης του</w:t>
      </w:r>
      <w:r w:rsidR="003B5B5B">
        <w:rPr>
          <w:rFonts w:ascii="Verdana" w:eastAsia="Malgun Gothic" w:hAnsi="Verdana" w:cs="Arial"/>
          <w:sz w:val="18"/>
          <w:szCs w:val="18"/>
          <w:lang w:val="el-GR"/>
        </w:rPr>
        <w:t xml:space="preserve"> </w:t>
      </w:r>
      <w:r w:rsidR="00B42DD3">
        <w:rPr>
          <w:rFonts w:ascii="Verdana" w:eastAsia="Malgun Gothic" w:hAnsi="Verdana" w:cs="Arial"/>
          <w:sz w:val="18"/>
          <w:szCs w:val="18"/>
          <w:lang w:val="el-GR"/>
        </w:rPr>
        <w:t>8,4</w:t>
      </w:r>
      <w:r w:rsidRPr="00F81688">
        <w:rPr>
          <w:rFonts w:ascii="Verdana" w:eastAsia="Malgun Gothic" w:hAnsi="Verdana" w:cs="Arial"/>
          <w:sz w:val="18"/>
          <w:szCs w:val="18"/>
          <w:lang w:val="el-GR"/>
        </w:rPr>
        <w:t>% στα κτίρια και</w:t>
      </w:r>
      <w:r w:rsidR="00B42DD3">
        <w:rPr>
          <w:rFonts w:ascii="Verdana" w:eastAsia="Malgun Gothic" w:hAnsi="Verdana" w:cs="Arial"/>
          <w:sz w:val="18"/>
          <w:szCs w:val="18"/>
          <w:lang w:val="el-GR"/>
        </w:rPr>
        <w:t xml:space="preserve"> 14,6</w:t>
      </w:r>
      <w:r w:rsidRPr="00F81688">
        <w:rPr>
          <w:rFonts w:ascii="Verdana" w:eastAsia="Malgun Gothic" w:hAnsi="Verdana" w:cs="Arial"/>
          <w:sz w:val="18"/>
          <w:szCs w:val="18"/>
          <w:lang w:val="el-GR"/>
        </w:rPr>
        <w:t>% στα έργα πολιτικού μηχανικού κατά το</w:t>
      </w:r>
      <w:r w:rsidR="00920A59">
        <w:rPr>
          <w:rFonts w:ascii="Verdana" w:eastAsia="Malgun Gothic" w:hAnsi="Verdana" w:cs="Arial"/>
          <w:sz w:val="18"/>
          <w:szCs w:val="18"/>
          <w:lang w:val="el-GR"/>
        </w:rPr>
        <w:t xml:space="preserve"> </w:t>
      </w:r>
      <w:r w:rsidR="00BA49E6">
        <w:rPr>
          <w:rFonts w:ascii="Verdana" w:eastAsia="Malgun Gothic" w:hAnsi="Verdana" w:cs="Arial"/>
          <w:sz w:val="18"/>
          <w:szCs w:val="18"/>
          <w:lang w:val="el-GR"/>
        </w:rPr>
        <w:t>τ</w:t>
      </w:r>
      <w:r w:rsidR="00B42DD3">
        <w:rPr>
          <w:rFonts w:ascii="Verdana" w:eastAsia="Malgun Gothic" w:hAnsi="Verdana" w:cs="Arial"/>
          <w:sz w:val="18"/>
          <w:szCs w:val="18"/>
          <w:lang w:val="el-GR"/>
        </w:rPr>
        <w:t>έταρτο</w:t>
      </w:r>
      <w:r w:rsidR="00BA49E6">
        <w:rPr>
          <w:rFonts w:ascii="Verdana" w:eastAsia="Malgun Gothic" w:hAnsi="Verdana" w:cs="Arial"/>
          <w:sz w:val="18"/>
          <w:szCs w:val="18"/>
          <w:lang w:val="el-GR"/>
        </w:rPr>
        <w:t xml:space="preserve"> </w:t>
      </w:r>
      <w:r w:rsidRPr="00F81688">
        <w:rPr>
          <w:rFonts w:ascii="Verdana" w:eastAsia="Malgun Gothic" w:hAnsi="Verdana" w:cs="Arial"/>
          <w:sz w:val="18"/>
          <w:szCs w:val="18"/>
          <w:lang w:val="el-GR"/>
        </w:rPr>
        <w:t>τρίμηνο του 202</w:t>
      </w:r>
      <w:r w:rsidR="0098274F">
        <w:rPr>
          <w:rFonts w:ascii="Verdana" w:eastAsia="Malgun Gothic" w:hAnsi="Verdana" w:cs="Arial"/>
          <w:sz w:val="18"/>
          <w:szCs w:val="18"/>
          <w:lang w:val="el-GR"/>
        </w:rPr>
        <w:t>3</w:t>
      </w:r>
      <w:r w:rsidRPr="00F81688">
        <w:rPr>
          <w:rFonts w:ascii="Verdana" w:eastAsia="Malgun Gothic" w:hAnsi="Verdana" w:cs="Arial"/>
          <w:sz w:val="18"/>
          <w:szCs w:val="18"/>
          <w:lang w:val="el-GR"/>
        </w:rPr>
        <w:t xml:space="preserve"> σε σχέση με το αντίστοιχο τρίμηνο του 202</w:t>
      </w:r>
      <w:r w:rsidR="0098274F">
        <w:rPr>
          <w:rFonts w:ascii="Verdana" w:eastAsia="Malgun Gothic" w:hAnsi="Verdana" w:cs="Arial"/>
          <w:sz w:val="18"/>
          <w:szCs w:val="18"/>
          <w:lang w:val="el-GR"/>
        </w:rPr>
        <w:t>2</w:t>
      </w:r>
      <w:r w:rsidRPr="00F81688">
        <w:rPr>
          <w:rFonts w:ascii="Verdana" w:eastAsia="Malgun Gothic" w:hAnsi="Verdana" w:cs="Arial"/>
          <w:sz w:val="18"/>
          <w:szCs w:val="18"/>
          <w:lang w:val="el-GR"/>
        </w:rPr>
        <w:t>.</w:t>
      </w:r>
    </w:p>
    <w:p w14:paraId="7636F247" w14:textId="77777777" w:rsidR="000A7EED" w:rsidRDefault="000A7EED" w:rsidP="00812F35">
      <w:pPr>
        <w:jc w:val="both"/>
        <w:rPr>
          <w:rFonts w:ascii="Verdana" w:eastAsia="Malgun Gothic" w:hAnsi="Verdana" w:cs="Arial"/>
          <w:sz w:val="18"/>
          <w:szCs w:val="18"/>
          <w:lang w:val="el-GR"/>
        </w:rPr>
      </w:pPr>
    </w:p>
    <w:p w14:paraId="4CE0307A" w14:textId="1DD82B6E" w:rsidR="00B42DD3" w:rsidRPr="00920A59" w:rsidRDefault="00B42DD3" w:rsidP="00B42DD3">
      <w:pPr>
        <w:jc w:val="both"/>
        <w:rPr>
          <w:rFonts w:ascii="Verdana" w:eastAsia="Malgun Gothic" w:hAnsi="Verdana" w:cs="Arial"/>
          <w:sz w:val="18"/>
          <w:szCs w:val="18"/>
          <w:lang w:val="el-GR"/>
        </w:rPr>
      </w:pPr>
      <w:r w:rsidRPr="00920A59">
        <w:rPr>
          <w:rFonts w:ascii="Verdana" w:eastAsia="Malgun Gothic" w:hAnsi="Verdana" w:cs="Arial"/>
          <w:sz w:val="18"/>
          <w:szCs w:val="18"/>
          <w:lang w:val="el-GR"/>
        </w:rPr>
        <w:t>Για την περίοδο Ιανουαρίου-Δεκεμβρίου 202</w:t>
      </w:r>
      <w:r>
        <w:rPr>
          <w:rFonts w:ascii="Verdana" w:eastAsia="Malgun Gothic" w:hAnsi="Verdana" w:cs="Arial"/>
          <w:sz w:val="18"/>
          <w:szCs w:val="18"/>
          <w:lang w:val="el-GR"/>
        </w:rPr>
        <w:t>3</w:t>
      </w:r>
      <w:r w:rsidRPr="00920A59">
        <w:rPr>
          <w:rFonts w:ascii="Verdana" w:eastAsia="Malgun Gothic" w:hAnsi="Verdana" w:cs="Arial"/>
          <w:sz w:val="18"/>
          <w:szCs w:val="18"/>
          <w:lang w:val="el-GR"/>
        </w:rPr>
        <w:t xml:space="preserve">, ο ολικός δείκτης σημείωσε </w:t>
      </w:r>
      <w:r>
        <w:rPr>
          <w:rFonts w:ascii="Verdana" w:eastAsia="Malgun Gothic" w:hAnsi="Verdana" w:cs="Arial"/>
          <w:sz w:val="18"/>
          <w:szCs w:val="18"/>
          <w:lang w:val="el-GR"/>
        </w:rPr>
        <w:t xml:space="preserve">αύξηση </w:t>
      </w:r>
      <w:r w:rsidRPr="00920A59">
        <w:rPr>
          <w:rFonts w:ascii="Verdana" w:eastAsia="Malgun Gothic" w:hAnsi="Verdana" w:cs="Arial"/>
          <w:sz w:val="18"/>
          <w:szCs w:val="18"/>
          <w:lang w:val="el-GR"/>
        </w:rPr>
        <w:t xml:space="preserve">της τάξης του </w:t>
      </w:r>
      <w:r>
        <w:rPr>
          <w:rFonts w:ascii="Verdana" w:eastAsia="Malgun Gothic" w:hAnsi="Verdana" w:cs="Arial"/>
          <w:sz w:val="18"/>
          <w:szCs w:val="18"/>
          <w:lang w:val="el-GR"/>
        </w:rPr>
        <w:t>7,6</w:t>
      </w:r>
      <w:r w:rsidRPr="00920A59">
        <w:rPr>
          <w:rFonts w:ascii="Verdana" w:eastAsia="Malgun Gothic" w:hAnsi="Verdana" w:cs="Arial"/>
          <w:sz w:val="18"/>
          <w:szCs w:val="18"/>
          <w:lang w:val="el-GR"/>
        </w:rPr>
        <w:t>% σε σχέση με την αντίστοιχη περίοδο του 202</w:t>
      </w:r>
      <w:r>
        <w:rPr>
          <w:rFonts w:ascii="Verdana" w:eastAsia="Malgun Gothic" w:hAnsi="Verdana" w:cs="Arial"/>
          <w:sz w:val="18"/>
          <w:szCs w:val="18"/>
          <w:lang w:val="el-GR"/>
        </w:rPr>
        <w:t>2</w:t>
      </w:r>
      <w:r w:rsidRPr="00920A59">
        <w:rPr>
          <w:rFonts w:ascii="Verdana" w:eastAsia="Malgun Gothic" w:hAnsi="Verdana" w:cs="Arial"/>
          <w:sz w:val="18"/>
          <w:szCs w:val="18"/>
          <w:lang w:val="el-GR"/>
        </w:rPr>
        <w:t xml:space="preserve">. </w:t>
      </w:r>
      <w:r>
        <w:rPr>
          <w:rFonts w:ascii="Verdana" w:eastAsia="Malgun Gothic" w:hAnsi="Verdana" w:cs="Arial"/>
          <w:sz w:val="18"/>
          <w:szCs w:val="18"/>
          <w:lang w:val="el-GR"/>
        </w:rPr>
        <w:t>Αύξηση 8,3</w:t>
      </w:r>
      <w:r w:rsidRPr="00920A59">
        <w:rPr>
          <w:rFonts w:ascii="Verdana" w:eastAsia="Malgun Gothic" w:hAnsi="Verdana" w:cs="Arial"/>
          <w:sz w:val="18"/>
          <w:szCs w:val="18"/>
          <w:lang w:val="el-GR"/>
        </w:rPr>
        <w:t xml:space="preserve">% κατέγραψε ο δείκτης για τα κτίρια και </w:t>
      </w:r>
      <w:r>
        <w:rPr>
          <w:rFonts w:ascii="Verdana" w:eastAsia="Malgun Gothic" w:hAnsi="Verdana" w:cs="Arial"/>
          <w:sz w:val="18"/>
          <w:szCs w:val="18"/>
          <w:lang w:val="el-GR"/>
        </w:rPr>
        <w:t>3,1</w:t>
      </w:r>
      <w:r w:rsidRPr="00920A59">
        <w:rPr>
          <w:rFonts w:ascii="Verdana" w:eastAsia="Malgun Gothic" w:hAnsi="Verdana" w:cs="Arial"/>
          <w:sz w:val="18"/>
          <w:szCs w:val="18"/>
          <w:lang w:val="el-GR"/>
        </w:rPr>
        <w:t>% ο δείκτης για τα έργα πολιτικού μηχανικού.</w:t>
      </w:r>
    </w:p>
    <w:p w14:paraId="4FB09CE0" w14:textId="77777777" w:rsidR="00B42DD3" w:rsidRPr="00F81688" w:rsidRDefault="00B42DD3" w:rsidP="00B42DD3">
      <w:pPr>
        <w:jc w:val="both"/>
        <w:rPr>
          <w:rFonts w:ascii="Verdana" w:eastAsia="Malgun Gothic" w:hAnsi="Verdana" w:cs="Arial"/>
          <w:sz w:val="18"/>
          <w:szCs w:val="18"/>
          <w:lang w:val="el-GR"/>
        </w:rPr>
      </w:pPr>
    </w:p>
    <w:p w14:paraId="36227CB7" w14:textId="30CC0B0B" w:rsidR="004408D8" w:rsidRDefault="00604C36" w:rsidP="00C53D49">
      <w:pPr>
        <w:jc w:val="center"/>
        <w:rPr>
          <w:rFonts w:ascii="Verdana" w:eastAsia="Malgun Gothic" w:hAnsi="Verdana" w:cs="Arial"/>
          <w:sz w:val="18"/>
          <w:szCs w:val="18"/>
          <w:lang w:val="el-GR"/>
        </w:rPr>
      </w:pPr>
      <w:r>
        <w:rPr>
          <w:noProof/>
        </w:rPr>
        <w:drawing>
          <wp:inline distT="0" distB="0" distL="0" distR="0" wp14:anchorId="1ED081AF" wp14:editId="400BE480">
            <wp:extent cx="6067425" cy="4500000"/>
            <wp:effectExtent l="0" t="0" r="9525" b="15240"/>
            <wp:docPr id="1754420361" name="Chart 1">
              <a:extLst xmlns:a="http://schemas.openxmlformats.org/drawingml/2006/main">
                <a:ext uri="{FF2B5EF4-FFF2-40B4-BE49-F238E27FC236}">
                  <a16:creationId xmlns:a16="http://schemas.microsoft.com/office/drawing/2014/main" id="{57F3A7F2-7845-44E1-BD2E-F0EF7B6C8B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94AF8A" w14:textId="2C27C88E" w:rsidR="00812F35" w:rsidRPr="00B97631" w:rsidRDefault="00812F35" w:rsidP="00ED1E8A">
      <w:pPr>
        <w:jc w:val="center"/>
        <w:rPr>
          <w:rFonts w:ascii="Verdana" w:eastAsia="Malgun Gothic" w:hAnsi="Verdana" w:cs="Arial"/>
          <w:sz w:val="18"/>
          <w:szCs w:val="18"/>
          <w:lang w:val="el-GR"/>
        </w:rPr>
      </w:pPr>
    </w:p>
    <w:p w14:paraId="391F0EFC" w14:textId="77777777" w:rsidR="00812F35" w:rsidRPr="00F81688" w:rsidRDefault="00812F35" w:rsidP="00812F35">
      <w:pPr>
        <w:jc w:val="both"/>
        <w:rPr>
          <w:rFonts w:ascii="Verdana" w:eastAsia="Malgun Gothic" w:hAnsi="Verdana" w:cs="Arial"/>
          <w:sz w:val="18"/>
          <w:szCs w:val="18"/>
          <w:lang w:val="el-GR"/>
        </w:rPr>
      </w:pPr>
    </w:p>
    <w:p w14:paraId="55AFC7D0" w14:textId="6EBFCE77" w:rsidR="00812F35" w:rsidRPr="00604C36" w:rsidRDefault="00B97631" w:rsidP="00604C36">
      <w:pPr>
        <w:jc w:val="center"/>
        <w:rPr>
          <w:rFonts w:ascii="Verdana" w:eastAsia="Malgun Gothic" w:hAnsi="Verdana" w:cs="Arial"/>
          <w:bCs/>
          <w:sz w:val="18"/>
          <w:szCs w:val="18"/>
          <w:lang w:val="el-GR"/>
        </w:rPr>
      </w:pPr>
      <w:r>
        <w:rPr>
          <w:rFonts w:ascii="Verdana" w:eastAsia="Malgun Gothic" w:hAnsi="Verdana" w:cs="Arial"/>
          <w:bCs/>
          <w:sz w:val="18"/>
          <w:szCs w:val="18"/>
          <w:lang w:val="el-GR"/>
        </w:rPr>
        <w:br w:type="page"/>
      </w:r>
      <w:r w:rsidR="00812F35" w:rsidRPr="00F81688">
        <w:rPr>
          <w:rFonts w:ascii="Verdana" w:eastAsia="Malgun Gothic" w:hAnsi="Verdana" w:cs="Arial"/>
          <w:b/>
          <w:u w:val="single"/>
          <w:lang w:val="el-GR"/>
        </w:rPr>
        <w:lastRenderedPageBreak/>
        <w:t>ΜΕΘΟΔΟΛΟΓΙΚΕΣ ΠΛΗΡΟΦΟΡΙΕΣ</w:t>
      </w:r>
    </w:p>
    <w:p w14:paraId="53916262" w14:textId="77777777" w:rsidR="00812F35" w:rsidRPr="00B97631" w:rsidRDefault="00812F35" w:rsidP="00812F35">
      <w:pPr>
        <w:jc w:val="both"/>
        <w:rPr>
          <w:rFonts w:ascii="Verdana" w:eastAsia="Malgun Gothic" w:hAnsi="Verdana" w:cs="Arial"/>
          <w:bCs/>
          <w:sz w:val="18"/>
          <w:szCs w:val="18"/>
          <w:lang w:val="el-GR"/>
        </w:rPr>
      </w:pPr>
    </w:p>
    <w:p w14:paraId="0B78320E" w14:textId="77777777" w:rsidR="00812F35" w:rsidRPr="00B97631" w:rsidRDefault="00812F35" w:rsidP="00812F35">
      <w:pPr>
        <w:jc w:val="both"/>
        <w:rPr>
          <w:rFonts w:ascii="Verdana" w:eastAsia="Malgun Gothic" w:hAnsi="Verdana" w:cs="Arial"/>
          <w:bCs/>
          <w:sz w:val="18"/>
          <w:szCs w:val="18"/>
          <w:lang w:val="el-GR"/>
        </w:rPr>
      </w:pPr>
    </w:p>
    <w:p w14:paraId="1D24FE82" w14:textId="77777777" w:rsidR="00812F35" w:rsidRPr="00F81688" w:rsidRDefault="00812F35" w:rsidP="00812F35">
      <w:pPr>
        <w:jc w:val="both"/>
        <w:rPr>
          <w:rFonts w:ascii="Verdana" w:hAnsi="Verdana"/>
          <w:b/>
          <w:bCs/>
          <w:sz w:val="18"/>
          <w:szCs w:val="18"/>
          <w:u w:val="single"/>
          <w:shd w:val="clear" w:color="auto" w:fill="FFFFFF"/>
          <w:lang w:val="el-GR"/>
        </w:rPr>
      </w:pPr>
      <w:r w:rsidRPr="00F81688">
        <w:rPr>
          <w:rFonts w:ascii="Verdana" w:hAnsi="Verdana"/>
          <w:b/>
          <w:bCs/>
          <w:sz w:val="18"/>
          <w:szCs w:val="18"/>
          <w:u w:val="single"/>
          <w:shd w:val="clear" w:color="auto" w:fill="FFFFFF"/>
          <w:lang w:val="el-GR"/>
        </w:rPr>
        <w:t>Σκοπός</w:t>
      </w:r>
    </w:p>
    <w:p w14:paraId="2F447647" w14:textId="77777777" w:rsidR="00812F35" w:rsidRPr="00F81688" w:rsidRDefault="00812F35" w:rsidP="00812F35">
      <w:pPr>
        <w:jc w:val="both"/>
        <w:rPr>
          <w:rFonts w:ascii="Verdana" w:eastAsia="Malgun Gothic" w:hAnsi="Verdana" w:cs="Arial"/>
          <w:sz w:val="18"/>
          <w:szCs w:val="18"/>
          <w:lang w:val="el-GR"/>
        </w:rPr>
      </w:pPr>
    </w:p>
    <w:p w14:paraId="707A4C58"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Ο τριμηνιαίος Δείκτης Παραγωγής στις Κατασκευές αποτελεί εργαλείο για την παρακολούθηση των βραχυπρόθεσμων εξελίξεων στην κατασκευαστική δραστηριότητα. Είναι δείκτης όγκου που προσεγγίζει τις μεταβολές της προστιθέμενης αξίας σε σταθερές τιμές. Μπορεί συνεπώς να θεωρηθεί ως ένδειξη του ρυθμού ανάπτυξης του τομέα των Κατασκευών σε σχέση με μια συγκεκριμένη χρονιά αναφοράς, το έτος βάσης.</w:t>
      </w:r>
    </w:p>
    <w:p w14:paraId="1ECFC1E9" w14:textId="77777777" w:rsidR="00812F35" w:rsidRPr="00F81688" w:rsidRDefault="00812F35" w:rsidP="00812F35">
      <w:pPr>
        <w:jc w:val="both"/>
        <w:rPr>
          <w:rFonts w:ascii="Verdana" w:eastAsia="Malgun Gothic" w:hAnsi="Verdana" w:cs="Arial"/>
          <w:sz w:val="18"/>
          <w:szCs w:val="18"/>
          <w:lang w:val="el-GR"/>
        </w:rPr>
      </w:pPr>
    </w:p>
    <w:p w14:paraId="234EB787" w14:textId="7E6379BB" w:rsidR="00812F35" w:rsidRPr="00F81688" w:rsidRDefault="00812F35" w:rsidP="00812F35">
      <w:pPr>
        <w:jc w:val="both"/>
        <w:rPr>
          <w:rFonts w:ascii="Verdana" w:hAnsi="Verdana" w:cs="Arial"/>
          <w:color w:val="000000"/>
          <w:sz w:val="18"/>
          <w:szCs w:val="18"/>
          <w:shd w:val="clear" w:color="auto" w:fill="FFFFFF"/>
          <w:lang w:val="el-GR"/>
        </w:rPr>
      </w:pPr>
      <w:r w:rsidRPr="00F81688">
        <w:rPr>
          <w:rFonts w:ascii="Verdana" w:hAnsi="Verdana"/>
          <w:b/>
          <w:bCs/>
          <w:sz w:val="18"/>
          <w:szCs w:val="18"/>
          <w:u w:val="single"/>
          <w:shd w:val="clear" w:color="auto" w:fill="FFFFFF"/>
          <w:lang w:val="el-GR"/>
        </w:rPr>
        <w:t xml:space="preserve">Συλλογή </w:t>
      </w:r>
      <w:r w:rsidR="00ED1E8A">
        <w:rPr>
          <w:rFonts w:ascii="Verdana" w:hAnsi="Verdana"/>
          <w:b/>
          <w:bCs/>
          <w:sz w:val="18"/>
          <w:szCs w:val="18"/>
          <w:u w:val="single"/>
          <w:shd w:val="clear" w:color="auto" w:fill="FFFFFF"/>
          <w:lang w:val="el-GR"/>
        </w:rPr>
        <w:t>Σ</w:t>
      </w:r>
      <w:r w:rsidRPr="00F81688">
        <w:rPr>
          <w:rFonts w:ascii="Verdana" w:hAnsi="Verdana"/>
          <w:b/>
          <w:bCs/>
          <w:sz w:val="18"/>
          <w:szCs w:val="18"/>
          <w:u w:val="single"/>
          <w:shd w:val="clear" w:color="auto" w:fill="FFFFFF"/>
          <w:lang w:val="el-GR"/>
        </w:rPr>
        <w:t>τοιχείων</w:t>
      </w:r>
      <w:r w:rsidRPr="00F81688">
        <w:rPr>
          <w:rFonts w:ascii="Verdana" w:hAnsi="Verdana" w:cs="Arial"/>
          <w:color w:val="000000"/>
          <w:sz w:val="18"/>
          <w:szCs w:val="18"/>
          <w:shd w:val="clear" w:color="auto" w:fill="FFFFFF"/>
          <w:lang w:val="el-GR"/>
        </w:rPr>
        <w:t xml:space="preserve"> </w:t>
      </w:r>
    </w:p>
    <w:p w14:paraId="1DE36C25" w14:textId="77777777" w:rsidR="00812F35" w:rsidRPr="00F81688" w:rsidRDefault="00812F35" w:rsidP="00812F35">
      <w:pPr>
        <w:jc w:val="both"/>
        <w:rPr>
          <w:rFonts w:ascii="Verdana" w:hAnsi="Verdana" w:cs="Arial"/>
          <w:color w:val="000000"/>
          <w:sz w:val="18"/>
          <w:szCs w:val="18"/>
          <w:shd w:val="clear" w:color="auto" w:fill="FFFFFF"/>
          <w:lang w:val="el-GR"/>
        </w:rPr>
      </w:pPr>
    </w:p>
    <w:p w14:paraId="38B88076"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 xml:space="preserve">Για τον υπολογισμό του δείκτη διενεργείται έρευνα σε δείγμα επιχειρήσεων που δραστηριοποιούνται στον τομέα των Κατασκευών. Για κάθε τρίμηνο αναφοράς συλλέγονται στοιχεία όπως η </w:t>
      </w:r>
      <w:proofErr w:type="spellStart"/>
      <w:r w:rsidRPr="00F81688">
        <w:rPr>
          <w:rFonts w:ascii="Verdana" w:eastAsia="Malgun Gothic" w:hAnsi="Verdana" w:cs="Arial"/>
          <w:sz w:val="18"/>
          <w:szCs w:val="18"/>
          <w:lang w:val="el-GR"/>
        </w:rPr>
        <w:t>εκτελεσθείσα</w:t>
      </w:r>
      <w:proofErr w:type="spellEnd"/>
      <w:r w:rsidRPr="00F81688">
        <w:rPr>
          <w:rFonts w:ascii="Verdana" w:eastAsia="Malgun Gothic" w:hAnsi="Verdana" w:cs="Arial"/>
          <w:sz w:val="18"/>
          <w:szCs w:val="18"/>
          <w:lang w:val="el-GR"/>
        </w:rPr>
        <w:t xml:space="preserve"> εργασία, ο κύκλος εργασιών ή οι ώρες εργασίας του προσωπικού παραγωγής (ανάλογα με την επιχείρηση). Τα στοιχεία αυτά δίδονται επιμερισμένα σε τέσσερις τύπους έργου: μονοκατοικίες, οικιστικές πολυκατοικίες, μη οικιστικά κτίρια και έργα πολιτικού μηχανικού (δηλαδή έργα που αφορούν ανοικτούς χώρους και γενικά οτιδήποτε δε θεωρείται κτίριο), με βάση τη διεθνή ταξινόμηση των κατασκευαστικών έργων (CC). Η συλλογή στοιχείων γίνεται χρησιμοποιώντας όλα τα δυνατά μέσα (τηλέφωνο, φαξ, ηλεκτρονικό ταχυδρομείο), ανάλογα με την προτίμηση της κάθε επιχείρησης.</w:t>
      </w:r>
    </w:p>
    <w:p w14:paraId="1925117A" w14:textId="77777777" w:rsidR="00812F35" w:rsidRPr="00F81688" w:rsidRDefault="00812F35" w:rsidP="00812F35">
      <w:pPr>
        <w:jc w:val="both"/>
        <w:rPr>
          <w:rFonts w:ascii="Verdana" w:eastAsia="Malgun Gothic" w:hAnsi="Verdana" w:cs="Arial"/>
          <w:sz w:val="18"/>
          <w:szCs w:val="18"/>
          <w:lang w:val="el-GR"/>
        </w:rPr>
      </w:pPr>
    </w:p>
    <w:p w14:paraId="3E1C2A4C" w14:textId="79084C65" w:rsidR="00812F35" w:rsidRPr="00F81688" w:rsidRDefault="00812F35" w:rsidP="00812F35">
      <w:pPr>
        <w:rPr>
          <w:rFonts w:ascii="Verdana" w:hAnsi="Verdana"/>
          <w:b/>
          <w:bCs/>
          <w:sz w:val="18"/>
          <w:szCs w:val="18"/>
          <w:u w:val="single"/>
          <w:shd w:val="clear" w:color="auto" w:fill="FFFFFF"/>
          <w:lang w:val="el-GR"/>
        </w:rPr>
      </w:pPr>
      <w:r w:rsidRPr="00F81688">
        <w:rPr>
          <w:rFonts w:ascii="Verdana" w:hAnsi="Verdana"/>
          <w:b/>
          <w:bCs/>
          <w:sz w:val="18"/>
          <w:szCs w:val="18"/>
          <w:u w:val="single"/>
          <w:shd w:val="clear" w:color="auto" w:fill="FFFFFF"/>
          <w:lang w:val="el-GR"/>
        </w:rPr>
        <w:t xml:space="preserve">Μέθοδος </w:t>
      </w:r>
      <w:r w:rsidR="00ED1E8A">
        <w:rPr>
          <w:rFonts w:ascii="Verdana" w:hAnsi="Verdana"/>
          <w:b/>
          <w:bCs/>
          <w:sz w:val="18"/>
          <w:szCs w:val="18"/>
          <w:u w:val="single"/>
          <w:shd w:val="clear" w:color="auto" w:fill="FFFFFF"/>
          <w:lang w:val="el-GR"/>
        </w:rPr>
        <w:t>Υ</w:t>
      </w:r>
      <w:r w:rsidRPr="00F81688">
        <w:rPr>
          <w:rFonts w:ascii="Verdana" w:hAnsi="Verdana"/>
          <w:b/>
          <w:bCs/>
          <w:sz w:val="18"/>
          <w:szCs w:val="18"/>
          <w:u w:val="single"/>
          <w:shd w:val="clear" w:color="auto" w:fill="FFFFFF"/>
          <w:lang w:val="el-GR"/>
        </w:rPr>
        <w:t xml:space="preserve">πολογισμού </w:t>
      </w:r>
    </w:p>
    <w:p w14:paraId="598F6932" w14:textId="77777777" w:rsidR="00812F35" w:rsidRPr="00F81688" w:rsidRDefault="00812F35" w:rsidP="00812F35">
      <w:pPr>
        <w:jc w:val="both"/>
        <w:rPr>
          <w:rFonts w:ascii="Verdana" w:eastAsia="Malgun Gothic" w:hAnsi="Verdana" w:cs="Arial"/>
          <w:sz w:val="18"/>
          <w:szCs w:val="18"/>
          <w:lang w:val="el-GR"/>
        </w:rPr>
      </w:pPr>
    </w:p>
    <w:p w14:paraId="6DC376DB"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Ο Δείκτης Παραγωγής έχει ως έτος βάσης το 2015, δείχνει δηλαδή τη μεταβολή στον όγκο της παραγωγής σε σχέση με το μέσο όρο του όγκου παραγωγής κατά το 2015. Κατά το έτος βάσης, ο μέσος όρος των τεσσάρων τριμήνων του δείκτη παραγωγής είναι 100,0. Για παράδειγμα, αν ο δείκτης παραγωγής για κάποιο τρίμηνο είναι 115,8 αυτό σημαίνει ότι η παραγωγή αυξήθηκε κατά 15,8% σε σχέση με τη μέση παραγωγή του 2015.</w:t>
      </w:r>
    </w:p>
    <w:p w14:paraId="7EB3ABA3"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br/>
        <w:t>Ο καταρτισμός του Δείκτη Παραγωγής στις Κατασκευές γίνεται στο πλαίσιο εφαρμογής του Κανονισμού (ΕΕ) 2019/2152 σχετικά με τις ευρωπαϊκές στατιστικές για τις επιχειρήσεις. Σε εθνικό επίπεδο, ο δείκτης δημοσιεύεται χωρίς προσαρμογή, χωρίς δηλαδή διόρθωση με βάση τον αριθμό των εργάσιμων ημερών ή την εποχικότητα. Αντίθετα, στη Στατιστική Υπηρεσία της Ευρωπαϊκής Ένωσης (</w:t>
      </w:r>
      <w:proofErr w:type="spellStart"/>
      <w:r w:rsidRPr="00F81688">
        <w:rPr>
          <w:rFonts w:ascii="Verdana" w:eastAsia="Malgun Gothic" w:hAnsi="Verdana" w:cs="Arial"/>
          <w:sz w:val="18"/>
          <w:szCs w:val="18"/>
          <w:lang w:val="el-GR"/>
        </w:rPr>
        <w:t>Eurostat</w:t>
      </w:r>
      <w:proofErr w:type="spellEnd"/>
      <w:r w:rsidRPr="00F81688">
        <w:rPr>
          <w:rFonts w:ascii="Verdana" w:eastAsia="Malgun Gothic" w:hAnsi="Verdana" w:cs="Arial"/>
          <w:sz w:val="18"/>
          <w:szCs w:val="18"/>
          <w:lang w:val="el-GR"/>
        </w:rPr>
        <w:t>) αποστέλλονται κάθε τρίμηνο και δείκτες διορθωμένοι με βάση τον αριθμό εργάσιμων ημερών και την εποχικότητα.</w:t>
      </w:r>
    </w:p>
    <w:p w14:paraId="3A08C412" w14:textId="77777777" w:rsidR="00812F35" w:rsidRPr="00F81688" w:rsidRDefault="00812F35" w:rsidP="00812F35">
      <w:pPr>
        <w:tabs>
          <w:tab w:val="left" w:pos="360"/>
          <w:tab w:val="left" w:pos="6840"/>
        </w:tabs>
        <w:ind w:right="-79"/>
        <w:jc w:val="both"/>
        <w:rPr>
          <w:rFonts w:ascii="Verdana" w:eastAsia="Malgun Gothic" w:hAnsi="Verdana" w:cs="Arial"/>
          <w:b/>
          <w:i/>
          <w:sz w:val="18"/>
          <w:szCs w:val="18"/>
          <w:lang w:val="el-GR"/>
        </w:rPr>
      </w:pPr>
    </w:p>
    <w:p w14:paraId="7D56A720" w14:textId="77777777" w:rsidR="00812F35" w:rsidRPr="00F81688" w:rsidRDefault="00812F35" w:rsidP="00812F35">
      <w:pPr>
        <w:tabs>
          <w:tab w:val="left" w:pos="360"/>
          <w:tab w:val="left" w:pos="6840"/>
        </w:tabs>
        <w:ind w:right="-79"/>
        <w:jc w:val="both"/>
        <w:rPr>
          <w:rFonts w:ascii="Verdana" w:eastAsia="Malgun Gothic" w:hAnsi="Verdana" w:cs="Arial"/>
          <w:b/>
          <w:i/>
          <w:sz w:val="18"/>
          <w:szCs w:val="18"/>
          <w:lang w:val="el-GR"/>
        </w:rPr>
      </w:pPr>
    </w:p>
    <w:p w14:paraId="0056667F" w14:textId="77777777" w:rsidR="00812F35" w:rsidRPr="00F81688" w:rsidRDefault="00812F35" w:rsidP="00812F35">
      <w:pPr>
        <w:rPr>
          <w:lang w:val="el-GR" w:eastAsia="en-CY"/>
        </w:rPr>
      </w:pPr>
      <w:r w:rsidRPr="00F81688">
        <w:rPr>
          <w:rFonts w:ascii="Verdana" w:hAnsi="Verdana"/>
          <w:b/>
          <w:bCs/>
          <w:i/>
          <w:iCs/>
          <w:sz w:val="18"/>
          <w:szCs w:val="18"/>
          <w:lang w:val="el-GR"/>
        </w:rPr>
        <w:t>Για περισσότερες πληροφορίες:</w:t>
      </w:r>
      <w:r w:rsidRPr="00F81688">
        <w:rPr>
          <w:rFonts w:ascii="Verdana" w:hAnsi="Verdana"/>
          <w:i/>
          <w:iCs/>
          <w:sz w:val="18"/>
          <w:szCs w:val="18"/>
          <w:lang w:val="el-GR"/>
        </w:rPr>
        <w:t xml:space="preserve"> </w:t>
      </w:r>
    </w:p>
    <w:p w14:paraId="0DA6D0F5" w14:textId="77777777" w:rsidR="00812F35" w:rsidRPr="00F81688" w:rsidRDefault="00812F35" w:rsidP="00812F35">
      <w:pPr>
        <w:rPr>
          <w:lang w:val="el-GR"/>
        </w:rPr>
      </w:pPr>
      <w:r w:rsidRPr="00F81688">
        <w:rPr>
          <w:rFonts w:ascii="Verdana" w:hAnsi="Verdana"/>
          <w:sz w:val="18"/>
          <w:szCs w:val="18"/>
          <w:lang w:val="el-GR"/>
        </w:rPr>
        <w:t xml:space="preserve">Πύλη Στατιστικής Υπηρεσίας, υπόθεμα </w:t>
      </w:r>
      <w:hyperlink r:id="rId9" w:history="1">
        <w:r w:rsidRPr="00F81688">
          <w:rPr>
            <w:rFonts w:ascii="Verdana" w:hAnsi="Verdana"/>
            <w:color w:val="0000FF"/>
            <w:sz w:val="18"/>
            <w:szCs w:val="18"/>
            <w:u w:val="single"/>
            <w:lang w:val="el-GR"/>
          </w:rPr>
          <w:t>Κατασκευές</w:t>
        </w:r>
      </w:hyperlink>
    </w:p>
    <w:p w14:paraId="35D22EFB" w14:textId="77777777" w:rsidR="00C0609C" w:rsidRDefault="00000000" w:rsidP="00C0609C">
      <w:pPr>
        <w:rPr>
          <w:lang w:val="el-GR"/>
        </w:rPr>
      </w:pPr>
      <w:hyperlink r:id="rId10" w:history="1">
        <w:r w:rsidR="00C0609C" w:rsidRPr="00EB4741">
          <w:rPr>
            <w:rStyle w:val="Hyperlink"/>
            <w:rFonts w:ascii="Verdana" w:hAnsi="Verdana"/>
            <w:sz w:val="18"/>
            <w:szCs w:val="18"/>
          </w:rPr>
          <w:t>CYSTAT</w:t>
        </w:r>
        <w:r w:rsidR="00C0609C" w:rsidRPr="00C12231">
          <w:rPr>
            <w:rStyle w:val="Hyperlink"/>
            <w:rFonts w:ascii="Verdana" w:hAnsi="Verdana"/>
            <w:sz w:val="18"/>
            <w:szCs w:val="18"/>
            <w:lang w:val="el-GR"/>
          </w:rPr>
          <w:t>-</w:t>
        </w:r>
        <w:r w:rsidR="00C0609C" w:rsidRPr="00EB4741">
          <w:rPr>
            <w:rStyle w:val="Hyperlink"/>
            <w:rFonts w:ascii="Verdana" w:hAnsi="Verdana"/>
            <w:sz w:val="18"/>
            <w:szCs w:val="18"/>
          </w:rPr>
          <w:t>DB</w:t>
        </w:r>
      </w:hyperlink>
      <w:r w:rsidR="00C0609C" w:rsidRPr="00C12231">
        <w:rPr>
          <w:rFonts w:ascii="Verdana" w:hAnsi="Verdana"/>
          <w:sz w:val="18"/>
          <w:szCs w:val="18"/>
          <w:lang w:val="el-GR"/>
        </w:rPr>
        <w:t xml:space="preserve"> (Βάση Δεδομένων)</w:t>
      </w:r>
    </w:p>
    <w:p w14:paraId="53AB1109" w14:textId="0A581FB6" w:rsidR="00812F35" w:rsidRPr="00F81688" w:rsidRDefault="00000000" w:rsidP="00812F35">
      <w:pPr>
        <w:ind w:right="-79"/>
        <w:jc w:val="both"/>
        <w:rPr>
          <w:rFonts w:ascii="Verdana" w:hAnsi="Verdana"/>
          <w:b/>
          <w:bCs/>
          <w:sz w:val="18"/>
          <w:szCs w:val="18"/>
          <w:shd w:val="clear" w:color="auto" w:fill="FFFFFF"/>
          <w:lang w:val="el-GR"/>
        </w:rPr>
      </w:pPr>
      <w:hyperlink r:id="rId11" w:history="1">
        <w:r w:rsidR="00812F35" w:rsidRPr="00F81688">
          <w:rPr>
            <w:rFonts w:ascii="Verdana" w:hAnsi="Verdana"/>
            <w:color w:val="0000FF"/>
            <w:sz w:val="18"/>
            <w:szCs w:val="18"/>
            <w:u w:val="single"/>
            <w:lang w:val="el-GR"/>
          </w:rPr>
          <w:t>Προκαθορισμένοι Πίνακες</w:t>
        </w:r>
      </w:hyperlink>
      <w:r w:rsidR="00812F35" w:rsidRPr="00F81688">
        <w:rPr>
          <w:rFonts w:ascii="Verdana" w:hAnsi="Verdana"/>
          <w:sz w:val="18"/>
          <w:szCs w:val="18"/>
          <w:lang w:val="el-GR"/>
        </w:rPr>
        <w:t xml:space="preserve"> (</w:t>
      </w:r>
      <w:r w:rsidR="00812F35" w:rsidRPr="00F81688">
        <w:rPr>
          <w:rFonts w:ascii="Verdana" w:hAnsi="Verdana"/>
          <w:sz w:val="18"/>
          <w:szCs w:val="18"/>
        </w:rPr>
        <w:t>Excel</w:t>
      </w:r>
      <w:r w:rsidR="00812F35" w:rsidRPr="00F81688">
        <w:rPr>
          <w:rFonts w:ascii="Verdana" w:hAnsi="Verdana"/>
          <w:sz w:val="18"/>
          <w:szCs w:val="18"/>
          <w:lang w:val="el-GR"/>
        </w:rPr>
        <w:t>)</w:t>
      </w:r>
    </w:p>
    <w:p w14:paraId="64B959CB" w14:textId="77777777" w:rsidR="00812F35" w:rsidRPr="00F81688" w:rsidRDefault="00812F35" w:rsidP="00812F35">
      <w:pPr>
        <w:ind w:right="-79"/>
        <w:jc w:val="both"/>
        <w:rPr>
          <w:rFonts w:ascii="Verdana" w:hAnsi="Verdana"/>
          <w:bCs/>
          <w:i/>
          <w:sz w:val="18"/>
          <w:szCs w:val="18"/>
          <w:u w:val="single"/>
          <w:shd w:val="clear" w:color="auto" w:fill="FFFFFF"/>
          <w:lang w:val="el-GR"/>
        </w:rPr>
      </w:pPr>
    </w:p>
    <w:p w14:paraId="35B6B6C2" w14:textId="77777777" w:rsidR="00920A59" w:rsidRDefault="00920A59" w:rsidP="00920A59">
      <w:pPr>
        <w:jc w:val="both"/>
        <w:rPr>
          <w:rFonts w:ascii="Verdana" w:eastAsia="Malgun Gothic" w:hAnsi="Verdana" w:cs="Arial"/>
          <w:b/>
          <w:bCs/>
          <w:sz w:val="18"/>
          <w:szCs w:val="18"/>
          <w:lang w:val="el-GR"/>
        </w:rPr>
      </w:pPr>
      <w:r>
        <w:rPr>
          <w:rFonts w:ascii="Verdana" w:eastAsia="Malgun Gothic" w:hAnsi="Verdana" w:cs="Arial"/>
          <w:b/>
          <w:bCs/>
          <w:sz w:val="18"/>
          <w:szCs w:val="18"/>
          <w:lang w:val="el-GR"/>
        </w:rPr>
        <w:t xml:space="preserve">Οι </w:t>
      </w:r>
      <w:r w:rsidRPr="00920A59">
        <w:rPr>
          <w:rStyle w:val="Hyperlink"/>
          <w:rFonts w:ascii="Verdana" w:hAnsi="Verdana"/>
          <w:b/>
          <w:bCs/>
          <w:color w:val="auto"/>
          <w:sz w:val="18"/>
          <w:szCs w:val="18"/>
          <w:lang w:val="el-GR"/>
        </w:rPr>
        <w:t>Προκαθορισμένοι Πίνακες</w:t>
      </w:r>
      <w:r w:rsidRPr="00920A59">
        <w:rPr>
          <w:rFonts w:ascii="Verdana" w:eastAsia="Malgun Gothic" w:hAnsi="Verdana" w:cs="Arial"/>
          <w:b/>
          <w:bCs/>
          <w:sz w:val="18"/>
          <w:szCs w:val="18"/>
          <w:lang w:val="el-GR"/>
        </w:rPr>
        <w:t xml:space="preserve"> σε μορφή Excel περιλαμβάνουν στοιχεία μέχρι και το τέταρτο τρίμηνο του 2022. Για το</w:t>
      </w:r>
      <w:r>
        <w:rPr>
          <w:rFonts w:ascii="Verdana" w:eastAsia="Malgun Gothic" w:hAnsi="Verdana" w:cs="Arial"/>
          <w:b/>
          <w:bCs/>
          <w:sz w:val="18"/>
          <w:szCs w:val="18"/>
          <w:lang w:val="el-GR"/>
        </w:rPr>
        <w:t xml:space="preserve"> πρώτο τρίμηνο του 2023 και μετέπειτα, η ενημέρωση γίνεται μόνο στη Βάση Δεδομένων CYSTAT-DB.</w:t>
      </w:r>
    </w:p>
    <w:p w14:paraId="0DAA318A" w14:textId="77777777" w:rsidR="00920A59" w:rsidRPr="00F81688" w:rsidRDefault="00920A59" w:rsidP="00812F35">
      <w:pPr>
        <w:ind w:right="-79"/>
        <w:jc w:val="both"/>
        <w:rPr>
          <w:rFonts w:ascii="Verdana" w:hAnsi="Verdana"/>
          <w:bCs/>
          <w:i/>
          <w:sz w:val="18"/>
          <w:szCs w:val="18"/>
          <w:u w:val="single"/>
          <w:shd w:val="clear" w:color="auto" w:fill="FFFFFF"/>
          <w:lang w:val="el-GR"/>
        </w:rPr>
      </w:pPr>
    </w:p>
    <w:p w14:paraId="74F88D91" w14:textId="7E5BF9DE" w:rsidR="00C53D49" w:rsidRDefault="00812F35" w:rsidP="00812F35">
      <w:pPr>
        <w:ind w:right="-79"/>
        <w:jc w:val="both"/>
        <w:rPr>
          <w:rFonts w:ascii="Verdana" w:eastAsia="Malgun Gothic" w:hAnsi="Verdana" w:cs="Arial"/>
          <w:sz w:val="18"/>
          <w:szCs w:val="18"/>
          <w:lang w:val="el-GR"/>
        </w:rPr>
      </w:pPr>
      <w:r w:rsidRPr="00F81688">
        <w:rPr>
          <w:rFonts w:ascii="Verdana" w:hAnsi="Verdana"/>
          <w:bCs/>
          <w:i/>
          <w:sz w:val="18"/>
          <w:szCs w:val="18"/>
          <w:u w:val="single"/>
          <w:shd w:val="clear" w:color="auto" w:fill="FFFFFF"/>
          <w:lang w:val="el-GR"/>
        </w:rPr>
        <w:t>Επικοινωνία</w:t>
      </w:r>
      <w:r w:rsidRPr="00F81688">
        <w:rPr>
          <w:rFonts w:ascii="Verdana" w:hAnsi="Verdana"/>
          <w:sz w:val="18"/>
          <w:szCs w:val="18"/>
          <w:shd w:val="clear" w:color="auto" w:fill="FFFFFF"/>
          <w:lang w:val="el-GR"/>
        </w:rPr>
        <w:br/>
      </w:r>
      <w:r w:rsidR="00C53D49" w:rsidRPr="008C14B1">
        <w:rPr>
          <w:rFonts w:ascii="Verdana" w:eastAsia="Malgun Gothic" w:hAnsi="Verdana" w:cs="Arial"/>
          <w:sz w:val="18"/>
          <w:szCs w:val="18"/>
          <w:lang w:val="el-GR"/>
        </w:rPr>
        <w:t>Εύη Καλογήρου Δημητρίου</w:t>
      </w:r>
      <w:r w:rsidR="00C53D49" w:rsidRPr="009D09DA">
        <w:rPr>
          <w:rFonts w:ascii="Verdana" w:eastAsia="Malgun Gothic" w:hAnsi="Verdana" w:cs="Arial"/>
          <w:sz w:val="18"/>
          <w:szCs w:val="18"/>
          <w:lang w:val="el-GR"/>
        </w:rPr>
        <w:t xml:space="preserve">: </w:t>
      </w:r>
      <w:proofErr w:type="spellStart"/>
      <w:r w:rsidR="00C53D49" w:rsidRPr="008C14B1">
        <w:rPr>
          <w:rFonts w:ascii="Verdana" w:eastAsia="Malgun Gothic" w:hAnsi="Verdana" w:cs="Arial"/>
          <w:sz w:val="18"/>
          <w:szCs w:val="18"/>
          <w:lang w:val="el-GR"/>
        </w:rPr>
        <w:t>Τηλ</w:t>
      </w:r>
      <w:proofErr w:type="spellEnd"/>
      <w:r w:rsidR="00C53D49" w:rsidRPr="008C14B1">
        <w:rPr>
          <w:rFonts w:ascii="Verdana" w:eastAsia="Malgun Gothic" w:hAnsi="Verdana" w:cs="Arial"/>
          <w:sz w:val="18"/>
          <w:szCs w:val="18"/>
          <w:lang w:val="el-GR"/>
        </w:rPr>
        <w:t>:</w:t>
      </w:r>
      <w:r w:rsidR="00C53D49" w:rsidRPr="00D505E2">
        <w:rPr>
          <w:rFonts w:ascii="Verdana" w:eastAsia="Malgun Gothic" w:hAnsi="Verdana" w:cs="Arial"/>
          <w:sz w:val="18"/>
          <w:szCs w:val="18"/>
          <w:lang w:val="el-GR"/>
        </w:rPr>
        <w:t xml:space="preserve"> </w:t>
      </w:r>
      <w:r w:rsidR="00C53D49" w:rsidRPr="008C14B1">
        <w:rPr>
          <w:rFonts w:ascii="Verdana" w:eastAsia="Malgun Gothic" w:hAnsi="Verdana" w:cs="Arial"/>
          <w:sz w:val="18"/>
          <w:szCs w:val="18"/>
          <w:lang w:val="el-GR"/>
        </w:rPr>
        <w:t>+357 22 602168</w:t>
      </w:r>
      <w:r w:rsidR="00C53D49" w:rsidRPr="009D09DA">
        <w:rPr>
          <w:rFonts w:ascii="Verdana" w:eastAsia="Malgun Gothic" w:hAnsi="Verdana" w:cs="Arial"/>
          <w:sz w:val="18"/>
          <w:szCs w:val="18"/>
          <w:lang w:val="el-GR"/>
        </w:rPr>
        <w:t xml:space="preserve">, </w:t>
      </w:r>
      <w:proofErr w:type="spellStart"/>
      <w:r w:rsidR="00C53D49" w:rsidRPr="008C14B1">
        <w:rPr>
          <w:rFonts w:ascii="Verdana" w:eastAsia="Malgun Gothic" w:hAnsi="Verdana" w:cs="Arial"/>
          <w:sz w:val="18"/>
          <w:szCs w:val="18"/>
          <w:lang w:val="el-GR"/>
        </w:rPr>
        <w:t>Ηλ</w:t>
      </w:r>
      <w:proofErr w:type="spellEnd"/>
      <w:r w:rsidR="00C53D49" w:rsidRPr="008C14B1">
        <w:rPr>
          <w:rFonts w:ascii="Verdana" w:eastAsia="Malgun Gothic" w:hAnsi="Verdana" w:cs="Arial"/>
          <w:sz w:val="18"/>
          <w:szCs w:val="18"/>
          <w:lang w:val="el-GR"/>
        </w:rPr>
        <w:t xml:space="preserve">. </w:t>
      </w:r>
      <w:proofErr w:type="spellStart"/>
      <w:r w:rsidR="00C53D49">
        <w:rPr>
          <w:rFonts w:ascii="Verdana" w:eastAsia="Malgun Gothic" w:hAnsi="Verdana" w:cs="Arial"/>
          <w:sz w:val="18"/>
          <w:szCs w:val="18"/>
          <w:lang w:val="el-GR"/>
        </w:rPr>
        <w:t>Ταχ</w:t>
      </w:r>
      <w:proofErr w:type="spellEnd"/>
      <w:r w:rsidR="00C53D49" w:rsidRPr="009D09DA">
        <w:rPr>
          <w:rFonts w:ascii="Verdana" w:eastAsia="Malgun Gothic" w:hAnsi="Verdana" w:cs="Arial"/>
          <w:sz w:val="18"/>
          <w:szCs w:val="18"/>
          <w:lang w:val="el-GR"/>
        </w:rPr>
        <w:t xml:space="preserve">: </w:t>
      </w:r>
      <w:hyperlink r:id="rId12" w:history="1">
        <w:r w:rsidR="00C53D49" w:rsidRPr="009D09DA">
          <w:rPr>
            <w:rStyle w:val="Hyperlink"/>
            <w:rFonts w:ascii="Verdana" w:eastAsia="Malgun Gothic" w:hAnsi="Verdana" w:cs="Arial"/>
            <w:sz w:val="18"/>
            <w:szCs w:val="18"/>
          </w:rPr>
          <w:t>ekalogirou</w:t>
        </w:r>
        <w:r w:rsidR="00C53D49" w:rsidRPr="009D09DA">
          <w:rPr>
            <w:rStyle w:val="Hyperlink"/>
            <w:rFonts w:ascii="Verdana" w:eastAsia="Malgun Gothic" w:hAnsi="Verdana" w:cs="Arial"/>
            <w:sz w:val="18"/>
            <w:szCs w:val="18"/>
            <w:lang w:val="el-GR"/>
          </w:rPr>
          <w:t>@</w:t>
        </w:r>
        <w:r w:rsidR="00C53D49" w:rsidRPr="009D09DA">
          <w:rPr>
            <w:rStyle w:val="Hyperlink"/>
            <w:rFonts w:ascii="Verdana" w:eastAsia="Malgun Gothic" w:hAnsi="Verdana" w:cs="Arial"/>
            <w:sz w:val="18"/>
            <w:szCs w:val="18"/>
          </w:rPr>
          <w:t>cystat</w:t>
        </w:r>
        <w:r w:rsidR="00C53D49" w:rsidRPr="009D09DA">
          <w:rPr>
            <w:rStyle w:val="Hyperlink"/>
            <w:rFonts w:ascii="Verdana" w:eastAsia="Malgun Gothic" w:hAnsi="Verdana" w:cs="Arial"/>
            <w:sz w:val="18"/>
            <w:szCs w:val="18"/>
            <w:lang w:val="el-GR"/>
          </w:rPr>
          <w:t>.</w:t>
        </w:r>
        <w:r w:rsidR="00C53D49" w:rsidRPr="009D09DA">
          <w:rPr>
            <w:rStyle w:val="Hyperlink"/>
            <w:rFonts w:ascii="Verdana" w:eastAsia="Malgun Gothic" w:hAnsi="Verdana" w:cs="Arial"/>
            <w:sz w:val="18"/>
            <w:szCs w:val="18"/>
          </w:rPr>
          <w:t>mof</w:t>
        </w:r>
        <w:r w:rsidR="00C53D49" w:rsidRPr="009D09DA">
          <w:rPr>
            <w:rStyle w:val="Hyperlink"/>
            <w:rFonts w:ascii="Verdana" w:eastAsia="Malgun Gothic" w:hAnsi="Verdana" w:cs="Arial"/>
            <w:sz w:val="18"/>
            <w:szCs w:val="18"/>
            <w:lang w:val="el-GR"/>
          </w:rPr>
          <w:t>.</w:t>
        </w:r>
        <w:r w:rsidR="00C53D49" w:rsidRPr="009D09DA">
          <w:rPr>
            <w:rStyle w:val="Hyperlink"/>
            <w:rFonts w:ascii="Verdana" w:eastAsia="Malgun Gothic" w:hAnsi="Verdana" w:cs="Arial"/>
            <w:sz w:val="18"/>
            <w:szCs w:val="18"/>
          </w:rPr>
          <w:t>gov</w:t>
        </w:r>
        <w:r w:rsidR="00C53D49" w:rsidRPr="009D09DA">
          <w:rPr>
            <w:rStyle w:val="Hyperlink"/>
            <w:rFonts w:ascii="Verdana" w:eastAsia="Malgun Gothic" w:hAnsi="Verdana" w:cs="Arial"/>
            <w:sz w:val="18"/>
            <w:szCs w:val="18"/>
            <w:lang w:val="el-GR"/>
          </w:rPr>
          <w:t>.</w:t>
        </w:r>
        <w:r w:rsidR="00C53D49" w:rsidRPr="009D09DA">
          <w:rPr>
            <w:rStyle w:val="Hyperlink"/>
            <w:rFonts w:ascii="Verdana" w:eastAsia="Malgun Gothic" w:hAnsi="Verdana" w:cs="Arial"/>
            <w:sz w:val="18"/>
            <w:szCs w:val="18"/>
          </w:rPr>
          <w:t>cy</w:t>
        </w:r>
      </w:hyperlink>
    </w:p>
    <w:p w14:paraId="66AA3AF8" w14:textId="77777777" w:rsidR="00BD79D0" w:rsidRPr="00096ED8" w:rsidRDefault="00BD79D0" w:rsidP="00BD79D0">
      <w:pPr>
        <w:tabs>
          <w:tab w:val="left" w:pos="1080"/>
          <w:tab w:val="left" w:pos="7088"/>
        </w:tabs>
        <w:jc w:val="both"/>
        <w:rPr>
          <w:rFonts w:ascii="Arial" w:hAnsi="Arial" w:cs="Arial"/>
          <w:sz w:val="20"/>
          <w:szCs w:val="20"/>
          <w:lang w:val="el-GR"/>
        </w:rPr>
      </w:pPr>
    </w:p>
    <w:p w14:paraId="2BA520CD" w14:textId="77777777" w:rsidR="00BD79D0" w:rsidRPr="00571DA7" w:rsidRDefault="00BD79D0" w:rsidP="00812F35">
      <w:pPr>
        <w:jc w:val="right"/>
        <w:rPr>
          <w:rFonts w:ascii="Verdana" w:eastAsia="Malgun Gothic" w:hAnsi="Verdana" w:cs="Arial"/>
          <w:b/>
          <w:i/>
          <w:sz w:val="18"/>
          <w:szCs w:val="18"/>
          <w:lang w:val="el-GR"/>
        </w:rPr>
      </w:pPr>
      <w:r w:rsidRPr="004F03FD">
        <w:rPr>
          <w:rFonts w:ascii="Arial" w:hAnsi="Arial" w:cs="Arial"/>
          <w:sz w:val="20"/>
          <w:szCs w:val="20"/>
          <w:lang w:val="el-GR"/>
        </w:rPr>
        <w:tab/>
      </w:r>
      <w:r w:rsidRPr="005C56EE">
        <w:rPr>
          <w:rFonts w:ascii="Arial" w:hAnsi="Arial" w:cs="Arial"/>
          <w:sz w:val="18"/>
          <w:szCs w:val="18"/>
          <w:lang w:val="el-GR"/>
        </w:rPr>
        <w:tab/>
      </w:r>
    </w:p>
    <w:p w14:paraId="78E810BE" w14:textId="77777777" w:rsidR="00BD79D0" w:rsidRPr="00571DA7" w:rsidRDefault="00BD79D0" w:rsidP="00BD79D0">
      <w:pPr>
        <w:ind w:right="-79"/>
        <w:jc w:val="both"/>
        <w:rPr>
          <w:rFonts w:ascii="Verdana" w:eastAsia="Malgun Gothic" w:hAnsi="Verdana" w:cs="Arial"/>
          <w:b/>
          <w:i/>
          <w:sz w:val="18"/>
          <w:szCs w:val="18"/>
          <w:lang w:val="el-GR"/>
        </w:rPr>
      </w:pPr>
    </w:p>
    <w:sectPr w:rsidR="00BD79D0" w:rsidRPr="00571DA7" w:rsidSect="00B0106E">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85351" w14:textId="77777777" w:rsidR="00B0106E" w:rsidRDefault="00B0106E" w:rsidP="00FB398F">
      <w:r>
        <w:separator/>
      </w:r>
    </w:p>
  </w:endnote>
  <w:endnote w:type="continuationSeparator" w:id="0">
    <w:p w14:paraId="6CEAE8AE" w14:textId="77777777" w:rsidR="00B0106E" w:rsidRDefault="00B0106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E54D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88E17"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3EFEF87"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A49E6">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56C512D1"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9CF4" w14:textId="77777777" w:rsidR="00B0106E" w:rsidRDefault="00B0106E" w:rsidP="00FB398F">
      <w:r>
        <w:separator/>
      </w:r>
    </w:p>
  </w:footnote>
  <w:footnote w:type="continuationSeparator" w:id="0">
    <w:p w14:paraId="44A3A955" w14:textId="77777777" w:rsidR="00B0106E" w:rsidRDefault="00B0106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31628"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1B814" w14:textId="77777777" w:rsidR="004E4F42" w:rsidRDefault="000F5715"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7643D732" wp14:editId="23A39AA4">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6705A9F" wp14:editId="2F5165D2">
              <wp:simplePos x="0" y="0"/>
              <wp:positionH relativeFrom="column">
                <wp:posOffset>4772660</wp:posOffset>
              </wp:positionH>
              <wp:positionV relativeFrom="paragraph">
                <wp:posOffset>-69215</wp:posOffset>
              </wp:positionV>
              <wp:extent cx="1287780" cy="1047750"/>
              <wp:effectExtent l="0" t="0" r="8255" b="0"/>
              <wp:wrapNone/>
              <wp:docPr id="903492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BBA3FF5" w14:textId="77777777" w:rsidR="004E4F42" w:rsidRDefault="000F5715" w:rsidP="000932CF">
                          <w:r w:rsidRPr="00D96E3A">
                            <w:rPr>
                              <w:noProof/>
                            </w:rPr>
                            <w:drawing>
                              <wp:inline distT="0" distB="0" distL="0" distR="0" wp14:anchorId="2F776414" wp14:editId="12471356">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05A9F"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7BBA3FF5" w14:textId="77777777" w:rsidR="004E4F42" w:rsidRDefault="000F5715" w:rsidP="000932CF">
                    <w:r w:rsidRPr="00D96E3A">
                      <w:rPr>
                        <w:noProof/>
                      </w:rPr>
                      <w:drawing>
                        <wp:inline distT="0" distB="0" distL="0" distR="0" wp14:anchorId="2F776414" wp14:editId="12471356">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0BBFDE2" wp14:editId="2707A3B7">
              <wp:simplePos x="0" y="0"/>
              <wp:positionH relativeFrom="column">
                <wp:posOffset>3439160</wp:posOffset>
              </wp:positionH>
              <wp:positionV relativeFrom="paragraph">
                <wp:posOffset>-221615</wp:posOffset>
              </wp:positionV>
              <wp:extent cx="1468755" cy="1200150"/>
              <wp:effectExtent l="0" t="0" r="0" b="0"/>
              <wp:wrapNone/>
              <wp:docPr id="400174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01BF6F97" w14:textId="77777777" w:rsidR="004E4F42" w:rsidRDefault="000F5715" w:rsidP="000932CF">
                          <w:r w:rsidRPr="00D96E3A">
                            <w:rPr>
                              <w:noProof/>
                            </w:rPr>
                            <w:drawing>
                              <wp:inline distT="0" distB="0" distL="0" distR="0" wp14:anchorId="4BBD79F9" wp14:editId="3EFD13FB">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FDE2"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01BF6F97" w14:textId="77777777" w:rsidR="004E4F42" w:rsidRDefault="000F5715" w:rsidP="000932CF">
                    <w:r w:rsidRPr="00D96E3A">
                      <w:rPr>
                        <w:noProof/>
                      </w:rPr>
                      <w:drawing>
                        <wp:inline distT="0" distB="0" distL="0" distR="0" wp14:anchorId="4BBD79F9" wp14:editId="3EFD13FB">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670FD033"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64B314F5"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4537F271"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0E5CA10F" w14:textId="77777777" w:rsidR="004E4F42" w:rsidRDefault="000F5715"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6B206A6F" wp14:editId="55A0250D">
              <wp:simplePos x="0" y="0"/>
              <wp:positionH relativeFrom="column">
                <wp:posOffset>4159250</wp:posOffset>
              </wp:positionH>
              <wp:positionV relativeFrom="paragraph">
                <wp:posOffset>104140</wp:posOffset>
              </wp:positionV>
              <wp:extent cx="1828800" cy="438150"/>
              <wp:effectExtent l="0" t="0" r="0" b="0"/>
              <wp:wrapNone/>
              <wp:docPr id="1346722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3CCD40D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93DC7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6A6F"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3CCD40D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93DC7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29B8548"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7354E3E9" w14:textId="2FBF95F9"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1AB849CC"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382871073">
    <w:abstractNumId w:val="4"/>
  </w:num>
  <w:num w:numId="2" w16cid:durableId="1722242267">
    <w:abstractNumId w:val="1"/>
  </w:num>
  <w:num w:numId="3" w16cid:durableId="583492079">
    <w:abstractNumId w:val="2"/>
  </w:num>
  <w:num w:numId="4" w16cid:durableId="1302691148">
    <w:abstractNumId w:val="3"/>
  </w:num>
  <w:num w:numId="5" w16cid:durableId="840438017">
    <w:abstractNumId w:val="0"/>
  </w:num>
  <w:num w:numId="6" w16cid:durableId="5712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5E9A"/>
    <w:rsid w:val="000161B1"/>
    <w:rsid w:val="00016DD1"/>
    <w:rsid w:val="0002181B"/>
    <w:rsid w:val="00025A39"/>
    <w:rsid w:val="00027853"/>
    <w:rsid w:val="00030E18"/>
    <w:rsid w:val="00031D32"/>
    <w:rsid w:val="0003307E"/>
    <w:rsid w:val="0003603D"/>
    <w:rsid w:val="00036053"/>
    <w:rsid w:val="00045088"/>
    <w:rsid w:val="00045A06"/>
    <w:rsid w:val="00050391"/>
    <w:rsid w:val="00055291"/>
    <w:rsid w:val="000563D3"/>
    <w:rsid w:val="000575DA"/>
    <w:rsid w:val="00057E44"/>
    <w:rsid w:val="00061299"/>
    <w:rsid w:val="00070576"/>
    <w:rsid w:val="0007442F"/>
    <w:rsid w:val="000752BB"/>
    <w:rsid w:val="00081ADF"/>
    <w:rsid w:val="00084A02"/>
    <w:rsid w:val="00084BF7"/>
    <w:rsid w:val="000870E9"/>
    <w:rsid w:val="000932CF"/>
    <w:rsid w:val="00096ED8"/>
    <w:rsid w:val="000A1A88"/>
    <w:rsid w:val="000A2B5C"/>
    <w:rsid w:val="000A3601"/>
    <w:rsid w:val="000A6FA8"/>
    <w:rsid w:val="000A7EED"/>
    <w:rsid w:val="000C1070"/>
    <w:rsid w:val="000C4E72"/>
    <w:rsid w:val="000D1E7A"/>
    <w:rsid w:val="000E24B1"/>
    <w:rsid w:val="000E2735"/>
    <w:rsid w:val="000E32D6"/>
    <w:rsid w:val="000E4CB0"/>
    <w:rsid w:val="000E57F2"/>
    <w:rsid w:val="000E72A7"/>
    <w:rsid w:val="000F0DE5"/>
    <w:rsid w:val="000F1162"/>
    <w:rsid w:val="000F3467"/>
    <w:rsid w:val="000F38DE"/>
    <w:rsid w:val="000F532A"/>
    <w:rsid w:val="000F5715"/>
    <w:rsid w:val="000F5D6C"/>
    <w:rsid w:val="00106852"/>
    <w:rsid w:val="00110F9D"/>
    <w:rsid w:val="00114A67"/>
    <w:rsid w:val="001253B6"/>
    <w:rsid w:val="001262C3"/>
    <w:rsid w:val="00127320"/>
    <w:rsid w:val="00127456"/>
    <w:rsid w:val="001312D8"/>
    <w:rsid w:val="0013137B"/>
    <w:rsid w:val="00135C79"/>
    <w:rsid w:val="0015118B"/>
    <w:rsid w:val="001519CE"/>
    <w:rsid w:val="0015260A"/>
    <w:rsid w:val="00161CF3"/>
    <w:rsid w:val="00162C00"/>
    <w:rsid w:val="001639EF"/>
    <w:rsid w:val="0016589F"/>
    <w:rsid w:val="001674E9"/>
    <w:rsid w:val="001712CF"/>
    <w:rsid w:val="0017769A"/>
    <w:rsid w:val="00183DFC"/>
    <w:rsid w:val="00184384"/>
    <w:rsid w:val="00186717"/>
    <w:rsid w:val="00187FFC"/>
    <w:rsid w:val="0019391C"/>
    <w:rsid w:val="00196CF6"/>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1489"/>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7CDB"/>
    <w:rsid w:val="0028338F"/>
    <w:rsid w:val="002915C4"/>
    <w:rsid w:val="00297E6B"/>
    <w:rsid w:val="002A1D1C"/>
    <w:rsid w:val="002A4D64"/>
    <w:rsid w:val="002B4969"/>
    <w:rsid w:val="002B6554"/>
    <w:rsid w:val="002B6746"/>
    <w:rsid w:val="002D05F0"/>
    <w:rsid w:val="002D2829"/>
    <w:rsid w:val="002D7D4A"/>
    <w:rsid w:val="002E3846"/>
    <w:rsid w:val="002E3F78"/>
    <w:rsid w:val="002F3E64"/>
    <w:rsid w:val="002F400C"/>
    <w:rsid w:val="002F4D76"/>
    <w:rsid w:val="002F6D26"/>
    <w:rsid w:val="00300BC8"/>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64E05"/>
    <w:rsid w:val="00386FC7"/>
    <w:rsid w:val="00390A32"/>
    <w:rsid w:val="003A1E91"/>
    <w:rsid w:val="003A40F2"/>
    <w:rsid w:val="003A50D1"/>
    <w:rsid w:val="003B196D"/>
    <w:rsid w:val="003B2710"/>
    <w:rsid w:val="003B4608"/>
    <w:rsid w:val="003B5B5B"/>
    <w:rsid w:val="003C0E42"/>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23E3"/>
    <w:rsid w:val="00404670"/>
    <w:rsid w:val="00414CA0"/>
    <w:rsid w:val="00422F54"/>
    <w:rsid w:val="004250E1"/>
    <w:rsid w:val="00431516"/>
    <w:rsid w:val="00434EB3"/>
    <w:rsid w:val="004361B3"/>
    <w:rsid w:val="004408D8"/>
    <w:rsid w:val="0044249D"/>
    <w:rsid w:val="0044379F"/>
    <w:rsid w:val="00444FCC"/>
    <w:rsid w:val="00446FB1"/>
    <w:rsid w:val="00450F4C"/>
    <w:rsid w:val="00452753"/>
    <w:rsid w:val="0046078F"/>
    <w:rsid w:val="00463214"/>
    <w:rsid w:val="0046434D"/>
    <w:rsid w:val="004656FA"/>
    <w:rsid w:val="00466B81"/>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6BBB"/>
    <w:rsid w:val="00527CDB"/>
    <w:rsid w:val="005341C9"/>
    <w:rsid w:val="005369CA"/>
    <w:rsid w:val="00536DE9"/>
    <w:rsid w:val="00541E08"/>
    <w:rsid w:val="00554FE0"/>
    <w:rsid w:val="0055789A"/>
    <w:rsid w:val="00560952"/>
    <w:rsid w:val="005652D1"/>
    <w:rsid w:val="005660A0"/>
    <w:rsid w:val="00566A4F"/>
    <w:rsid w:val="00567D64"/>
    <w:rsid w:val="0058587D"/>
    <w:rsid w:val="005978D4"/>
    <w:rsid w:val="005A23FA"/>
    <w:rsid w:val="005B2A67"/>
    <w:rsid w:val="005B3DCD"/>
    <w:rsid w:val="005B4AD4"/>
    <w:rsid w:val="005C2798"/>
    <w:rsid w:val="005C36C3"/>
    <w:rsid w:val="005C56EE"/>
    <w:rsid w:val="005D1714"/>
    <w:rsid w:val="005D7638"/>
    <w:rsid w:val="005F12F5"/>
    <w:rsid w:val="005F7C7D"/>
    <w:rsid w:val="006044B7"/>
    <w:rsid w:val="00604C36"/>
    <w:rsid w:val="006071CE"/>
    <w:rsid w:val="006075B5"/>
    <w:rsid w:val="0061018C"/>
    <w:rsid w:val="0061094E"/>
    <w:rsid w:val="00613440"/>
    <w:rsid w:val="00613BE3"/>
    <w:rsid w:val="0062327B"/>
    <w:rsid w:val="0063076C"/>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93BC3"/>
    <w:rsid w:val="00695B63"/>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B7C93"/>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5CD5"/>
    <w:rsid w:val="00806EA2"/>
    <w:rsid w:val="00812A2B"/>
    <w:rsid w:val="00812F35"/>
    <w:rsid w:val="00814A4C"/>
    <w:rsid w:val="0081630F"/>
    <w:rsid w:val="00831AAB"/>
    <w:rsid w:val="00833BCD"/>
    <w:rsid w:val="00834B82"/>
    <w:rsid w:val="0083574E"/>
    <w:rsid w:val="0083640C"/>
    <w:rsid w:val="008374E3"/>
    <w:rsid w:val="0084157B"/>
    <w:rsid w:val="00842BFB"/>
    <w:rsid w:val="00844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1F87"/>
    <w:rsid w:val="00892114"/>
    <w:rsid w:val="00892CB9"/>
    <w:rsid w:val="008935CB"/>
    <w:rsid w:val="008A3969"/>
    <w:rsid w:val="008B0E7E"/>
    <w:rsid w:val="008B65BD"/>
    <w:rsid w:val="008B7900"/>
    <w:rsid w:val="008C71BF"/>
    <w:rsid w:val="008C7FE0"/>
    <w:rsid w:val="008D5717"/>
    <w:rsid w:val="008E44A9"/>
    <w:rsid w:val="008E6B4D"/>
    <w:rsid w:val="008E6BFF"/>
    <w:rsid w:val="008F109F"/>
    <w:rsid w:val="008F21AF"/>
    <w:rsid w:val="008F2400"/>
    <w:rsid w:val="008F61BA"/>
    <w:rsid w:val="008F6E3C"/>
    <w:rsid w:val="008F7C55"/>
    <w:rsid w:val="00914A23"/>
    <w:rsid w:val="00920A59"/>
    <w:rsid w:val="00930754"/>
    <w:rsid w:val="00934F68"/>
    <w:rsid w:val="009355AC"/>
    <w:rsid w:val="00935F38"/>
    <w:rsid w:val="00937586"/>
    <w:rsid w:val="00947889"/>
    <w:rsid w:val="009478BD"/>
    <w:rsid w:val="009569E8"/>
    <w:rsid w:val="00960E98"/>
    <w:rsid w:val="00963A82"/>
    <w:rsid w:val="00972912"/>
    <w:rsid w:val="00973D1B"/>
    <w:rsid w:val="00976D1F"/>
    <w:rsid w:val="00981C81"/>
    <w:rsid w:val="0098274F"/>
    <w:rsid w:val="009A2D24"/>
    <w:rsid w:val="009A456C"/>
    <w:rsid w:val="009B00E0"/>
    <w:rsid w:val="009B292A"/>
    <w:rsid w:val="009B76D5"/>
    <w:rsid w:val="009C165D"/>
    <w:rsid w:val="009C3CEA"/>
    <w:rsid w:val="009C583D"/>
    <w:rsid w:val="009D2611"/>
    <w:rsid w:val="009D79D2"/>
    <w:rsid w:val="009E247C"/>
    <w:rsid w:val="009E31BA"/>
    <w:rsid w:val="009E602B"/>
    <w:rsid w:val="009F0528"/>
    <w:rsid w:val="009F0806"/>
    <w:rsid w:val="009F233B"/>
    <w:rsid w:val="009F4F14"/>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AF7142"/>
    <w:rsid w:val="00AF7B4B"/>
    <w:rsid w:val="00B0106E"/>
    <w:rsid w:val="00B01386"/>
    <w:rsid w:val="00B01915"/>
    <w:rsid w:val="00B01BB5"/>
    <w:rsid w:val="00B026CC"/>
    <w:rsid w:val="00B04AF4"/>
    <w:rsid w:val="00B05214"/>
    <w:rsid w:val="00B27CBE"/>
    <w:rsid w:val="00B30D97"/>
    <w:rsid w:val="00B31074"/>
    <w:rsid w:val="00B3181A"/>
    <w:rsid w:val="00B35A7C"/>
    <w:rsid w:val="00B42DD3"/>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2D37"/>
    <w:rsid w:val="00B93668"/>
    <w:rsid w:val="00B97631"/>
    <w:rsid w:val="00BA49E6"/>
    <w:rsid w:val="00BA68C6"/>
    <w:rsid w:val="00BB12F1"/>
    <w:rsid w:val="00BB276E"/>
    <w:rsid w:val="00BB3FEE"/>
    <w:rsid w:val="00BB5EB0"/>
    <w:rsid w:val="00BB64DD"/>
    <w:rsid w:val="00BC245A"/>
    <w:rsid w:val="00BD16FA"/>
    <w:rsid w:val="00BD41C3"/>
    <w:rsid w:val="00BD488B"/>
    <w:rsid w:val="00BD79D0"/>
    <w:rsid w:val="00BD7CCC"/>
    <w:rsid w:val="00BE002A"/>
    <w:rsid w:val="00BE0283"/>
    <w:rsid w:val="00BE1BC9"/>
    <w:rsid w:val="00BE5CDA"/>
    <w:rsid w:val="00BE608F"/>
    <w:rsid w:val="00BF23BB"/>
    <w:rsid w:val="00BF33DD"/>
    <w:rsid w:val="00BF5755"/>
    <w:rsid w:val="00BF684B"/>
    <w:rsid w:val="00C016F3"/>
    <w:rsid w:val="00C0609C"/>
    <w:rsid w:val="00C15193"/>
    <w:rsid w:val="00C15609"/>
    <w:rsid w:val="00C15F6A"/>
    <w:rsid w:val="00C23EA7"/>
    <w:rsid w:val="00C256F3"/>
    <w:rsid w:val="00C270A2"/>
    <w:rsid w:val="00C2729A"/>
    <w:rsid w:val="00C315B5"/>
    <w:rsid w:val="00C35E28"/>
    <w:rsid w:val="00C426AF"/>
    <w:rsid w:val="00C469C1"/>
    <w:rsid w:val="00C50659"/>
    <w:rsid w:val="00C51B39"/>
    <w:rsid w:val="00C5338A"/>
    <w:rsid w:val="00C53D49"/>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0401"/>
    <w:rsid w:val="00CA148E"/>
    <w:rsid w:val="00CA3A9A"/>
    <w:rsid w:val="00CB6BC1"/>
    <w:rsid w:val="00CB7021"/>
    <w:rsid w:val="00CB75BE"/>
    <w:rsid w:val="00CC538A"/>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1EBA"/>
    <w:rsid w:val="00D44F27"/>
    <w:rsid w:val="00D45304"/>
    <w:rsid w:val="00D46165"/>
    <w:rsid w:val="00D461C7"/>
    <w:rsid w:val="00D50424"/>
    <w:rsid w:val="00D525C9"/>
    <w:rsid w:val="00D57D3E"/>
    <w:rsid w:val="00D76249"/>
    <w:rsid w:val="00DA7D12"/>
    <w:rsid w:val="00DC23CF"/>
    <w:rsid w:val="00DC6562"/>
    <w:rsid w:val="00DE017E"/>
    <w:rsid w:val="00DE130D"/>
    <w:rsid w:val="00DE24CF"/>
    <w:rsid w:val="00DE407C"/>
    <w:rsid w:val="00DE7C7D"/>
    <w:rsid w:val="00DF2992"/>
    <w:rsid w:val="00DF2D0C"/>
    <w:rsid w:val="00E00058"/>
    <w:rsid w:val="00E01B9D"/>
    <w:rsid w:val="00E03500"/>
    <w:rsid w:val="00E03BA0"/>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3AD3"/>
    <w:rsid w:val="00E947A6"/>
    <w:rsid w:val="00E97FC7"/>
    <w:rsid w:val="00EA0690"/>
    <w:rsid w:val="00EA3956"/>
    <w:rsid w:val="00EA7136"/>
    <w:rsid w:val="00EB325A"/>
    <w:rsid w:val="00EC02A5"/>
    <w:rsid w:val="00EC176B"/>
    <w:rsid w:val="00EC33CD"/>
    <w:rsid w:val="00EC5BE5"/>
    <w:rsid w:val="00ED1E8A"/>
    <w:rsid w:val="00ED2650"/>
    <w:rsid w:val="00ED41E5"/>
    <w:rsid w:val="00ED721A"/>
    <w:rsid w:val="00EE393D"/>
    <w:rsid w:val="00EF01CF"/>
    <w:rsid w:val="00EF6A47"/>
    <w:rsid w:val="00EF7AF9"/>
    <w:rsid w:val="00F00952"/>
    <w:rsid w:val="00F01495"/>
    <w:rsid w:val="00F06E68"/>
    <w:rsid w:val="00F10138"/>
    <w:rsid w:val="00F13F92"/>
    <w:rsid w:val="00F166F9"/>
    <w:rsid w:val="00F22ECA"/>
    <w:rsid w:val="00F240E8"/>
    <w:rsid w:val="00F244FA"/>
    <w:rsid w:val="00F34950"/>
    <w:rsid w:val="00F366A2"/>
    <w:rsid w:val="00F44F43"/>
    <w:rsid w:val="00F450E1"/>
    <w:rsid w:val="00F5052B"/>
    <w:rsid w:val="00F50DF4"/>
    <w:rsid w:val="00F57AFE"/>
    <w:rsid w:val="00F6278E"/>
    <w:rsid w:val="00F63C41"/>
    <w:rsid w:val="00F63E96"/>
    <w:rsid w:val="00F701E3"/>
    <w:rsid w:val="00F71008"/>
    <w:rsid w:val="00F71F8C"/>
    <w:rsid w:val="00F832DD"/>
    <w:rsid w:val="00F86AD4"/>
    <w:rsid w:val="00F942B2"/>
    <w:rsid w:val="00FA0113"/>
    <w:rsid w:val="00FA12B2"/>
    <w:rsid w:val="00FA7610"/>
    <w:rsid w:val="00FB02BD"/>
    <w:rsid w:val="00FB349F"/>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E93D"/>
  <w15:chartTrackingRefBased/>
  <w15:docId w15:val="{E752D11D-4E12-4410-9B65-ED179742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20008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logir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Construction__" TargetMode="Externa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Verdana" panose="020B0604030504040204" pitchFamily="34" charset="0"/>
                <a:ea typeface="+mn-ea"/>
                <a:cs typeface="+mn-cs"/>
              </a:defRPr>
            </a:pPr>
            <a:r>
              <a:rPr lang="el-GR" sz="1100" b="1" i="0" u="none" baseline="0">
                <a:solidFill>
                  <a:sysClr val="windowText" lastClr="000000"/>
                </a:solidFill>
                <a:latin typeface="Verdana" panose="020B0604030504040204" pitchFamily="34" charset="0"/>
              </a:rPr>
              <a:t>Δείκτης Παραγωγής στις Κατασκευές</a:t>
            </a:r>
          </a:p>
        </c:rich>
      </c:tx>
      <c:layout>
        <c:manualLayout>
          <c:xMode val="edge"/>
          <c:yMode val="edge"/>
          <c:x val="0.25950811093668236"/>
          <c:y val="3.104444444444444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Verdana" panose="020B0604030504040204" pitchFamily="34" charset="0"/>
              <a:ea typeface="+mn-ea"/>
              <a:cs typeface="+mn-cs"/>
            </a:defRPr>
          </a:pPr>
          <a:endParaRPr lang="en-CY"/>
        </a:p>
      </c:txPr>
    </c:title>
    <c:autoTitleDeleted val="0"/>
    <c:plotArea>
      <c:layout>
        <c:manualLayout>
          <c:layoutTarget val="inner"/>
          <c:xMode val="edge"/>
          <c:yMode val="edge"/>
          <c:x val="0.11713035870516185"/>
          <c:y val="0.13469543906142814"/>
          <c:w val="0.85483941780004769"/>
          <c:h val="0.66338659550401391"/>
        </c:manualLayout>
      </c:layout>
      <c:lineChart>
        <c:grouping val="standard"/>
        <c:varyColors val="0"/>
        <c:ser>
          <c:idx val="0"/>
          <c:order val="0"/>
          <c:tx>
            <c:strRef>
              <c:f>Sheet1!$B$4</c:f>
              <c:strCache>
                <c:ptCount val="1"/>
                <c:pt idx="0">
                  <c:v>Έργα Πολιτικού Μηχανικού</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cat>
            <c:multiLvlStrRef>
              <c:f>Sheet1!$K$1:$AD$2</c:f>
              <c:multiLvlStrCache>
                <c:ptCount val="20"/>
                <c:lvl>
                  <c:pt idx="0">
                    <c:v>Τ1</c:v>
                  </c:pt>
                  <c:pt idx="1">
                    <c:v>Τ2</c:v>
                  </c:pt>
                  <c:pt idx="2">
                    <c:v>Τ3</c:v>
                  </c:pt>
                  <c:pt idx="3">
                    <c:v>Τ4</c:v>
                  </c:pt>
                  <c:pt idx="4">
                    <c:v>Τ1</c:v>
                  </c:pt>
                  <c:pt idx="5">
                    <c:v>Τ2</c:v>
                  </c:pt>
                  <c:pt idx="6">
                    <c:v>Τ3</c:v>
                  </c:pt>
                  <c:pt idx="7">
                    <c:v>Τ4</c:v>
                  </c:pt>
                  <c:pt idx="8">
                    <c:v>Τ1</c:v>
                  </c:pt>
                  <c:pt idx="9">
                    <c:v>Τ2</c:v>
                  </c:pt>
                  <c:pt idx="10">
                    <c:v>Τ3</c:v>
                  </c:pt>
                  <c:pt idx="11">
                    <c:v>Τ4</c:v>
                  </c:pt>
                  <c:pt idx="12">
                    <c:v>Τ1</c:v>
                  </c:pt>
                  <c:pt idx="13">
                    <c:v>Τ2</c:v>
                  </c:pt>
                  <c:pt idx="14">
                    <c:v>Τ3</c:v>
                  </c:pt>
                  <c:pt idx="15">
                    <c:v>Τ4</c:v>
                  </c:pt>
                  <c:pt idx="16">
                    <c:v>Τ1</c:v>
                  </c:pt>
                  <c:pt idx="17">
                    <c:v>Τ2</c:v>
                  </c:pt>
                  <c:pt idx="18">
                    <c:v>Τ3</c:v>
                  </c:pt>
                  <c:pt idx="19">
                    <c:v>Τ4</c:v>
                  </c:pt>
                </c:lvl>
                <c:lvl>
                  <c:pt idx="0">
                    <c:v>2019</c:v>
                  </c:pt>
                  <c:pt idx="4">
                    <c:v>2020</c:v>
                  </c:pt>
                  <c:pt idx="8">
                    <c:v>2021</c:v>
                  </c:pt>
                  <c:pt idx="12">
                    <c:v>2022</c:v>
                  </c:pt>
                  <c:pt idx="16">
                    <c:v>2023</c:v>
                  </c:pt>
                </c:lvl>
              </c:multiLvlStrCache>
            </c:multiLvlStrRef>
          </c:cat>
          <c:val>
            <c:numRef>
              <c:f>Sheet1!$K$4:$AD$4</c:f>
              <c:numCache>
                <c:formatCode>0.00</c:formatCode>
                <c:ptCount val="20"/>
                <c:pt idx="0">
                  <c:v>92.361509978555063</c:v>
                </c:pt>
                <c:pt idx="1">
                  <c:v>99.665973013082393</c:v>
                </c:pt>
                <c:pt idx="2">
                  <c:v>115.36912668501189</c:v>
                </c:pt>
                <c:pt idx="3">
                  <c:v>136.34066220476427</c:v>
                </c:pt>
                <c:pt idx="4">
                  <c:v>82.744487388316259</c:v>
                </c:pt>
                <c:pt idx="5">
                  <c:v>96.930012010650472</c:v>
                </c:pt>
                <c:pt idx="6">
                  <c:v>106.85510475046256</c:v>
                </c:pt>
                <c:pt idx="7">
                  <c:v>133.96047858236392</c:v>
                </c:pt>
                <c:pt idx="8">
                  <c:v>103.99916476263856</c:v>
                </c:pt>
                <c:pt idx="9">
                  <c:v>114.30808635666058</c:v>
                </c:pt>
                <c:pt idx="10">
                  <c:v>102.93718247644324</c:v>
                </c:pt>
                <c:pt idx="11">
                  <c:v>121.70116261748399</c:v>
                </c:pt>
                <c:pt idx="12">
                  <c:v>100.45029633987951</c:v>
                </c:pt>
                <c:pt idx="13">
                  <c:v>124.57176290909619</c:v>
                </c:pt>
                <c:pt idx="14">
                  <c:v>111.97175165621496</c:v>
                </c:pt>
                <c:pt idx="15">
                  <c:v>113.29975490476878</c:v>
                </c:pt>
                <c:pt idx="16">
                  <c:v>101.11450519184453</c:v>
                </c:pt>
                <c:pt idx="17">
                  <c:v>121.55426849361297</c:v>
                </c:pt>
                <c:pt idx="18">
                  <c:v>111.95042641398881</c:v>
                </c:pt>
                <c:pt idx="19">
                  <c:v>129.80139665984262</c:v>
                </c:pt>
              </c:numCache>
            </c:numRef>
          </c:val>
          <c:smooth val="0"/>
          <c:extLst>
            <c:ext xmlns:c16="http://schemas.microsoft.com/office/drawing/2014/chart" uri="{C3380CC4-5D6E-409C-BE32-E72D297353CC}">
              <c16:uniqueId val="{00000000-0A77-4101-9A00-AFDEA89E5153}"/>
            </c:ext>
          </c:extLst>
        </c:ser>
        <c:ser>
          <c:idx val="1"/>
          <c:order val="1"/>
          <c:tx>
            <c:strRef>
              <c:f>Sheet1!$B$3</c:f>
              <c:strCache>
                <c:ptCount val="1"/>
                <c:pt idx="0">
                  <c:v>Κτίρια</c:v>
                </c:pt>
              </c:strCache>
            </c:strRef>
          </c:tx>
          <c:spPr>
            <a:ln w="28575" cap="rnd">
              <a:solidFill>
                <a:schemeClr val="accent2"/>
              </a:solidFill>
              <a:prstDash val="lgDashDot"/>
              <a:round/>
            </a:ln>
            <a:effectLst/>
          </c:spPr>
          <c:marker>
            <c:symbol val="circle"/>
            <c:size val="5"/>
            <c:spPr>
              <a:solidFill>
                <a:schemeClr val="accent2"/>
              </a:solidFill>
              <a:ln w="9525">
                <a:solidFill>
                  <a:schemeClr val="accent2"/>
                </a:solidFill>
                <a:prstDash val="dashDot"/>
              </a:ln>
              <a:effectLst/>
            </c:spPr>
          </c:marker>
          <c:cat>
            <c:multiLvlStrRef>
              <c:f>Sheet1!$K$1:$AD$2</c:f>
              <c:multiLvlStrCache>
                <c:ptCount val="20"/>
                <c:lvl>
                  <c:pt idx="0">
                    <c:v>Τ1</c:v>
                  </c:pt>
                  <c:pt idx="1">
                    <c:v>Τ2</c:v>
                  </c:pt>
                  <c:pt idx="2">
                    <c:v>Τ3</c:v>
                  </c:pt>
                  <c:pt idx="3">
                    <c:v>Τ4</c:v>
                  </c:pt>
                  <c:pt idx="4">
                    <c:v>Τ1</c:v>
                  </c:pt>
                  <c:pt idx="5">
                    <c:v>Τ2</c:v>
                  </c:pt>
                  <c:pt idx="6">
                    <c:v>Τ3</c:v>
                  </c:pt>
                  <c:pt idx="7">
                    <c:v>Τ4</c:v>
                  </c:pt>
                  <c:pt idx="8">
                    <c:v>Τ1</c:v>
                  </c:pt>
                  <c:pt idx="9">
                    <c:v>Τ2</c:v>
                  </c:pt>
                  <c:pt idx="10">
                    <c:v>Τ3</c:v>
                  </c:pt>
                  <c:pt idx="11">
                    <c:v>Τ4</c:v>
                  </c:pt>
                  <c:pt idx="12">
                    <c:v>Τ1</c:v>
                  </c:pt>
                  <c:pt idx="13">
                    <c:v>Τ2</c:v>
                  </c:pt>
                  <c:pt idx="14">
                    <c:v>Τ3</c:v>
                  </c:pt>
                  <c:pt idx="15">
                    <c:v>Τ4</c:v>
                  </c:pt>
                  <c:pt idx="16">
                    <c:v>Τ1</c:v>
                  </c:pt>
                  <c:pt idx="17">
                    <c:v>Τ2</c:v>
                  </c:pt>
                  <c:pt idx="18">
                    <c:v>Τ3</c:v>
                  </c:pt>
                  <c:pt idx="19">
                    <c:v>Τ4</c:v>
                  </c:pt>
                </c:lvl>
                <c:lvl>
                  <c:pt idx="0">
                    <c:v>2019</c:v>
                  </c:pt>
                  <c:pt idx="4">
                    <c:v>2020</c:v>
                  </c:pt>
                  <c:pt idx="8">
                    <c:v>2021</c:v>
                  </c:pt>
                  <c:pt idx="12">
                    <c:v>2022</c:v>
                  </c:pt>
                  <c:pt idx="16">
                    <c:v>2023</c:v>
                  </c:pt>
                </c:lvl>
              </c:multiLvlStrCache>
            </c:multiLvlStrRef>
          </c:cat>
          <c:val>
            <c:numRef>
              <c:f>Sheet1!$K$3:$AD$3</c:f>
              <c:numCache>
                <c:formatCode>0.00</c:formatCode>
                <c:ptCount val="20"/>
                <c:pt idx="0">
                  <c:v>211.40941184497618</c:v>
                </c:pt>
                <c:pt idx="1">
                  <c:v>236.20974005831872</c:v>
                </c:pt>
                <c:pt idx="2">
                  <c:v>220.89927890863234</c:v>
                </c:pt>
                <c:pt idx="3">
                  <c:v>253.75968117619567</c:v>
                </c:pt>
                <c:pt idx="4">
                  <c:v>210.17626031560798</c:v>
                </c:pt>
                <c:pt idx="5">
                  <c:v>173.09551256719459</c:v>
                </c:pt>
                <c:pt idx="6">
                  <c:v>226.22013900127834</c:v>
                </c:pt>
                <c:pt idx="7">
                  <c:v>248.98461131528452</c:v>
                </c:pt>
                <c:pt idx="8">
                  <c:v>213.75363784779105</c:v>
                </c:pt>
                <c:pt idx="9">
                  <c:v>228.69882091662379</c:v>
                </c:pt>
                <c:pt idx="10">
                  <c:v>213.83006047450183</c:v>
                </c:pt>
                <c:pt idx="11">
                  <c:v>242.03833410270946</c:v>
                </c:pt>
                <c:pt idx="12">
                  <c:v>197.59483875514374</c:v>
                </c:pt>
                <c:pt idx="13">
                  <c:v>209.83276737775924</c:v>
                </c:pt>
                <c:pt idx="14">
                  <c:v>191.47711330093108</c:v>
                </c:pt>
                <c:pt idx="15">
                  <c:v>238.36627982798174</c:v>
                </c:pt>
                <c:pt idx="16">
                  <c:v>209.81625463862594</c:v>
                </c:pt>
                <c:pt idx="17">
                  <c:v>228.84364512655927</c:v>
                </c:pt>
                <c:pt idx="18">
                  <c:v>209.79317279615717</c:v>
                </c:pt>
                <c:pt idx="19">
                  <c:v>258.49968585530797</c:v>
                </c:pt>
              </c:numCache>
            </c:numRef>
          </c:val>
          <c:smooth val="0"/>
          <c:extLst>
            <c:ext xmlns:c16="http://schemas.microsoft.com/office/drawing/2014/chart" uri="{C3380CC4-5D6E-409C-BE32-E72D297353CC}">
              <c16:uniqueId val="{00000001-0A77-4101-9A00-AFDEA89E5153}"/>
            </c:ext>
          </c:extLst>
        </c:ser>
        <c:ser>
          <c:idx val="2"/>
          <c:order val="2"/>
          <c:tx>
            <c:strRef>
              <c:f>Sheet1!$B$5</c:f>
              <c:strCache>
                <c:ptCount val="1"/>
                <c:pt idx="0">
                  <c:v>Σύνολο Κατασκευών</c:v>
                </c:pt>
              </c:strCache>
            </c:strRef>
          </c:tx>
          <c:spPr>
            <a:ln w="28575" cap="rnd">
              <a:solidFill>
                <a:schemeClr val="accent3"/>
              </a:solidFill>
              <a:prstDash val="sysDash"/>
              <a:round/>
            </a:ln>
            <a:effectLst/>
          </c:spPr>
          <c:marker>
            <c:symbol val="diamond"/>
            <c:size val="5"/>
            <c:spPr>
              <a:solidFill>
                <a:schemeClr val="accent3"/>
              </a:solidFill>
              <a:ln w="9525">
                <a:solidFill>
                  <a:schemeClr val="accent3"/>
                </a:solidFill>
              </a:ln>
              <a:effectLst/>
            </c:spPr>
          </c:marker>
          <c:cat>
            <c:multiLvlStrRef>
              <c:f>Sheet1!$K$1:$AD$2</c:f>
              <c:multiLvlStrCache>
                <c:ptCount val="20"/>
                <c:lvl>
                  <c:pt idx="0">
                    <c:v>Τ1</c:v>
                  </c:pt>
                  <c:pt idx="1">
                    <c:v>Τ2</c:v>
                  </c:pt>
                  <c:pt idx="2">
                    <c:v>Τ3</c:v>
                  </c:pt>
                  <c:pt idx="3">
                    <c:v>Τ4</c:v>
                  </c:pt>
                  <c:pt idx="4">
                    <c:v>Τ1</c:v>
                  </c:pt>
                  <c:pt idx="5">
                    <c:v>Τ2</c:v>
                  </c:pt>
                  <c:pt idx="6">
                    <c:v>Τ3</c:v>
                  </c:pt>
                  <c:pt idx="7">
                    <c:v>Τ4</c:v>
                  </c:pt>
                  <c:pt idx="8">
                    <c:v>Τ1</c:v>
                  </c:pt>
                  <c:pt idx="9">
                    <c:v>Τ2</c:v>
                  </c:pt>
                  <c:pt idx="10">
                    <c:v>Τ3</c:v>
                  </c:pt>
                  <c:pt idx="11">
                    <c:v>Τ4</c:v>
                  </c:pt>
                  <c:pt idx="12">
                    <c:v>Τ1</c:v>
                  </c:pt>
                  <c:pt idx="13">
                    <c:v>Τ2</c:v>
                  </c:pt>
                  <c:pt idx="14">
                    <c:v>Τ3</c:v>
                  </c:pt>
                  <c:pt idx="15">
                    <c:v>Τ4</c:v>
                  </c:pt>
                  <c:pt idx="16">
                    <c:v>Τ1</c:v>
                  </c:pt>
                  <c:pt idx="17">
                    <c:v>Τ2</c:v>
                  </c:pt>
                  <c:pt idx="18">
                    <c:v>Τ3</c:v>
                  </c:pt>
                  <c:pt idx="19">
                    <c:v>Τ4</c:v>
                  </c:pt>
                </c:lvl>
                <c:lvl>
                  <c:pt idx="0">
                    <c:v>2019</c:v>
                  </c:pt>
                  <c:pt idx="4">
                    <c:v>2020</c:v>
                  </c:pt>
                  <c:pt idx="8">
                    <c:v>2021</c:v>
                  </c:pt>
                  <c:pt idx="12">
                    <c:v>2022</c:v>
                  </c:pt>
                  <c:pt idx="16">
                    <c:v>2023</c:v>
                  </c:pt>
                </c:lvl>
              </c:multiLvlStrCache>
            </c:multiLvlStrRef>
          </c:cat>
          <c:val>
            <c:numRef>
              <c:f>Sheet1!$K$5:$AD$5</c:f>
              <c:numCache>
                <c:formatCode>0.00</c:formatCode>
                <c:ptCount val="20"/>
                <c:pt idx="0">
                  <c:v>183.1842048991243</c:v>
                </c:pt>
                <c:pt idx="1">
                  <c:v>203.83641787795489</c:v>
                </c:pt>
                <c:pt idx="2">
                  <c:v>195.87901111020346</c:v>
                </c:pt>
                <c:pt idx="3">
                  <c:v>225.92066799000557</c:v>
                </c:pt>
                <c:pt idx="4">
                  <c:v>179.96331152810708</c:v>
                </c:pt>
                <c:pt idx="5">
                  <c:v>155.03734453870598</c:v>
                </c:pt>
                <c:pt idx="6">
                  <c:v>197.91974276575033</c:v>
                </c:pt>
                <c:pt idx="7">
                  <c:v>221.71340452159674</c:v>
                </c:pt>
                <c:pt idx="8">
                  <c:v>187.73182085233216</c:v>
                </c:pt>
                <c:pt idx="9">
                  <c:v>201.57778724006417</c:v>
                </c:pt>
                <c:pt idx="10">
                  <c:v>187.53833772051053</c:v>
                </c:pt>
                <c:pt idx="11">
                  <c:v>213.5074527079237</c:v>
                </c:pt>
                <c:pt idx="12">
                  <c:v>174.56272504004841</c:v>
                </c:pt>
                <c:pt idx="13">
                  <c:v>189.61813563868446</c:v>
                </c:pt>
                <c:pt idx="14">
                  <c:v>172.62709368240078</c:v>
                </c:pt>
                <c:pt idx="15">
                  <c:v>208.71411046915395</c:v>
                </c:pt>
                <c:pt idx="16">
                  <c:v>184.04402912763649</c:v>
                </c:pt>
                <c:pt idx="17">
                  <c:v>203.40628074567124</c:v>
                </c:pt>
                <c:pt idx="18">
                  <c:v>186.59552108209402</c:v>
                </c:pt>
                <c:pt idx="19">
                  <c:v>227.98645723751153</c:v>
                </c:pt>
              </c:numCache>
            </c:numRef>
          </c:val>
          <c:smooth val="0"/>
          <c:extLst>
            <c:ext xmlns:c16="http://schemas.microsoft.com/office/drawing/2014/chart" uri="{C3380CC4-5D6E-409C-BE32-E72D297353CC}">
              <c16:uniqueId val="{00000002-0A77-4101-9A00-AFDEA89E5153}"/>
            </c:ext>
          </c:extLst>
        </c:ser>
        <c:dLbls>
          <c:showLegendKey val="0"/>
          <c:showVal val="0"/>
          <c:showCatName val="0"/>
          <c:showSerName val="0"/>
          <c:showPercent val="0"/>
          <c:showBubbleSize val="0"/>
        </c:dLbls>
        <c:marker val="1"/>
        <c:smooth val="0"/>
        <c:axId val="119487104"/>
        <c:axId val="119497472"/>
      </c:lineChart>
      <c:catAx>
        <c:axId val="11948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crossAx val="119497472"/>
        <c:crosses val="autoZero"/>
        <c:auto val="1"/>
        <c:lblAlgn val="ctr"/>
        <c:lblOffset val="100"/>
        <c:noMultiLvlLbl val="0"/>
      </c:catAx>
      <c:valAx>
        <c:axId val="119497472"/>
        <c:scaling>
          <c:orientation val="minMax"/>
          <c:max val="275"/>
          <c:min val="75"/>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Verdana" panose="020B0604030504040204" pitchFamily="34" charset="0"/>
                    <a:ea typeface="+mn-ea"/>
                    <a:cs typeface="+mn-cs"/>
                  </a:defRPr>
                </a:pPr>
                <a:r>
                  <a:rPr lang="el-GR" sz="900" b="1" i="0" baseline="0">
                    <a:solidFill>
                      <a:sysClr val="windowText" lastClr="000000"/>
                    </a:solidFill>
                    <a:latin typeface="Verdana" panose="020B0604030504040204" pitchFamily="34" charset="0"/>
                  </a:rPr>
                  <a:t>Έτος Βάσης 2015=100</a:t>
                </a:r>
                <a:endParaRPr lang="en-US" sz="900" b="1" i="0" baseline="0">
                  <a:solidFill>
                    <a:sysClr val="windowText" lastClr="000000"/>
                  </a:solidFill>
                  <a:latin typeface="Verdana" panose="020B0604030504040204" pitchFamily="34" charset="0"/>
                </a:endParaRPr>
              </a:p>
            </c:rich>
          </c:tx>
          <c:layout>
            <c:manualLayout>
              <c:xMode val="edge"/>
              <c:yMode val="edge"/>
              <c:x val="1.3130722767834368E-2"/>
              <c:y val="0.2449264114329983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Verdana" panose="020B0604030504040204" pitchFamily="34" charset="0"/>
                  <a:ea typeface="+mn-ea"/>
                  <a:cs typeface="+mn-cs"/>
                </a:defRPr>
              </a:pPr>
              <a:endParaRPr lang="en-CY"/>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crossAx val="119487104"/>
        <c:crosses val="autoZero"/>
        <c:crossBetween val="between"/>
      </c:valAx>
      <c:spPr>
        <a:noFill/>
        <a:ln>
          <a:noFill/>
        </a:ln>
        <a:effectLst/>
      </c:spPr>
    </c:plotArea>
    <c:legend>
      <c:legendPos val="b"/>
      <c:layout>
        <c:manualLayout>
          <c:xMode val="edge"/>
          <c:yMode val="edge"/>
          <c:x val="0.13882132865259975"/>
          <c:y val="0.92111977777777765"/>
          <c:w val="0.74068187332708924"/>
          <c:h val="5.935448445513348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558ED5">
          <a:alpha val="49804"/>
        </a:srgbClr>
      </a:solidFill>
      <a:round/>
    </a:ln>
    <a:effectLst/>
  </c:spPr>
  <c:txPr>
    <a:bodyPr/>
    <a:lstStyle/>
    <a:p>
      <a:pPr>
        <a:defRPr/>
      </a:pPr>
      <a:endParaRPr lang="en-C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Links>
    <vt:vector size="30" baseType="variant">
      <vt:variant>
        <vt:i4>5177458</vt:i4>
      </vt:variant>
      <vt:variant>
        <vt:i4>9</vt:i4>
      </vt:variant>
      <vt:variant>
        <vt:i4>0</vt:i4>
      </vt:variant>
      <vt:variant>
        <vt:i4>5</vt:i4>
      </vt:variant>
      <vt:variant>
        <vt:lpwstr>mailto:ekalogirou@cystat.mof.gov.cy</vt:lpwstr>
      </vt:variant>
      <vt:variant>
        <vt:lpwstr/>
      </vt:variant>
      <vt:variant>
        <vt:i4>4653141</vt:i4>
      </vt:variant>
      <vt:variant>
        <vt:i4>6</vt:i4>
      </vt:variant>
      <vt:variant>
        <vt:i4>0</vt:i4>
      </vt:variant>
      <vt:variant>
        <vt:i4>5</vt:i4>
      </vt:variant>
      <vt:variant>
        <vt:lpwstr>https://www.cystat.gov.cy/el/KeyFiguresList?s=31</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20</cp:revision>
  <cp:lastPrinted>2024-04-03T09:51:00Z</cp:lastPrinted>
  <dcterms:created xsi:type="dcterms:W3CDTF">2023-07-07T12:01:00Z</dcterms:created>
  <dcterms:modified xsi:type="dcterms:W3CDTF">2024-04-05T07:51:00Z</dcterms:modified>
</cp:coreProperties>
</file>