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8C8D" w14:textId="77777777" w:rsidR="005622B4" w:rsidRPr="00FB7E15" w:rsidRDefault="005622B4" w:rsidP="005622B4"/>
    <w:p w14:paraId="3D40CF0B" w14:textId="648CFB68" w:rsidR="005622B4" w:rsidRPr="005622B4" w:rsidRDefault="005622B4" w:rsidP="005622B4">
      <w:pPr>
        <w:tabs>
          <w:tab w:val="left" w:pos="1080"/>
          <w:tab w:val="left" w:pos="7088"/>
        </w:tabs>
        <w:jc w:val="right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Arial" w:hAnsi="Arial" w:cs="Arial"/>
          <w:sz w:val="18"/>
          <w:szCs w:val="18"/>
          <w:lang w:val="el-GR"/>
        </w:rPr>
        <w:tab/>
      </w:r>
      <w:r w:rsidRPr="005622B4">
        <w:rPr>
          <w:rFonts w:ascii="Verdana" w:eastAsia="Malgun Gothic" w:hAnsi="Verdana" w:cs="Arial"/>
          <w:sz w:val="18"/>
          <w:szCs w:val="18"/>
        </w:rPr>
        <w:t xml:space="preserve">  1</w:t>
      </w:r>
      <w:r w:rsidR="000E138A">
        <w:rPr>
          <w:rFonts w:ascii="Verdana" w:eastAsia="Malgun Gothic" w:hAnsi="Verdana" w:cs="Arial"/>
          <w:sz w:val="18"/>
          <w:szCs w:val="18"/>
        </w:rPr>
        <w:t>2</w:t>
      </w:r>
      <w:r w:rsidRPr="005622B4">
        <w:rPr>
          <w:rFonts w:ascii="Verdana" w:eastAsia="Malgun Gothic" w:hAnsi="Verdana" w:cs="Arial"/>
          <w:sz w:val="18"/>
          <w:szCs w:val="18"/>
        </w:rPr>
        <w:t xml:space="preserve"> July, 202</w:t>
      </w:r>
      <w:r w:rsidR="000E138A">
        <w:rPr>
          <w:rFonts w:ascii="Verdana" w:eastAsia="Malgun Gothic" w:hAnsi="Verdana" w:cs="Arial"/>
          <w:sz w:val="18"/>
          <w:szCs w:val="18"/>
        </w:rPr>
        <w:t>2</w:t>
      </w:r>
    </w:p>
    <w:p w14:paraId="7A53C052" w14:textId="77777777" w:rsidR="005622B4" w:rsidRPr="005622B4" w:rsidRDefault="005622B4" w:rsidP="005622B4">
      <w:pPr>
        <w:tabs>
          <w:tab w:val="left" w:pos="776"/>
          <w:tab w:val="right" w:pos="9498"/>
        </w:tabs>
        <w:rPr>
          <w:rFonts w:ascii="Verdana" w:eastAsia="Malgun Gothic" w:hAnsi="Verdana" w:cs="Arial"/>
          <w:sz w:val="18"/>
          <w:szCs w:val="18"/>
        </w:rPr>
      </w:pPr>
    </w:p>
    <w:p w14:paraId="7A05F622" w14:textId="77777777" w:rsidR="005622B4" w:rsidRPr="005622B4" w:rsidRDefault="005622B4" w:rsidP="005622B4">
      <w:pPr>
        <w:tabs>
          <w:tab w:val="right" w:pos="9498"/>
        </w:tabs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51C0695E" w14:textId="77777777" w:rsidR="005622B4" w:rsidRPr="005622B4" w:rsidRDefault="005622B4" w:rsidP="005622B4">
      <w:pPr>
        <w:tabs>
          <w:tab w:val="right" w:pos="9498"/>
        </w:tabs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5622B4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5D970E18" w14:textId="77777777" w:rsidR="005622B4" w:rsidRPr="005622B4" w:rsidRDefault="005622B4" w:rsidP="005622B4">
      <w:pPr>
        <w:tabs>
          <w:tab w:val="left" w:pos="5580"/>
          <w:tab w:val="right" w:pos="9498"/>
        </w:tabs>
        <w:jc w:val="center"/>
        <w:rPr>
          <w:rFonts w:ascii="Verdana" w:eastAsia="Times New Roman" w:hAnsi="Verdana"/>
          <w:u w:val="single"/>
        </w:rPr>
      </w:pPr>
    </w:p>
    <w:p w14:paraId="07048B7C" w14:textId="5E6F3616" w:rsidR="005622B4" w:rsidRPr="005622B4" w:rsidRDefault="005622B4" w:rsidP="003E4393">
      <w:pPr>
        <w:tabs>
          <w:tab w:val="left" w:pos="5580"/>
          <w:tab w:val="right" w:pos="9498"/>
        </w:tabs>
        <w:rPr>
          <w:rFonts w:ascii="Verdana" w:eastAsia="Times New Roman" w:hAnsi="Verdana"/>
          <w:b/>
          <w:u w:val="single"/>
        </w:rPr>
      </w:pPr>
      <w:r w:rsidRPr="005622B4">
        <w:rPr>
          <w:rFonts w:ascii="Verdana" w:eastAsia="Times New Roman" w:hAnsi="Verdana"/>
          <w:u w:val="single"/>
        </w:rPr>
        <w:t>RESULTS OF THE CONSTRUCTION AND LAND DEVELOPMENT SURVEY 20</w:t>
      </w:r>
      <w:r w:rsidR="000E138A">
        <w:rPr>
          <w:rFonts w:ascii="Verdana" w:eastAsia="Times New Roman" w:hAnsi="Verdana"/>
          <w:u w:val="single"/>
        </w:rPr>
        <w:t>20</w:t>
      </w:r>
    </w:p>
    <w:p w14:paraId="5467C294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294C29BF" w14:textId="151100D2" w:rsidR="003E4393" w:rsidRPr="00D15695" w:rsidRDefault="003E4393" w:rsidP="003E4393">
      <w:pPr>
        <w:tabs>
          <w:tab w:val="right" w:pos="9498"/>
        </w:tabs>
        <w:jc w:val="center"/>
        <w:rPr>
          <w:rFonts w:ascii="Verdana" w:hAnsi="Verdana" w:cs="Arial"/>
          <w:b/>
          <w:bCs/>
        </w:rPr>
      </w:pPr>
      <w:r w:rsidRPr="00D15695">
        <w:rPr>
          <w:rFonts w:ascii="Verdana" w:hAnsi="Verdana" w:cs="Arial"/>
          <w:b/>
          <w:bCs/>
        </w:rPr>
        <w:t>Decrease in Value Added in the Construction Sector by 3,9%</w:t>
      </w:r>
    </w:p>
    <w:p w14:paraId="5ED1ACE1" w14:textId="77777777" w:rsidR="003E4393" w:rsidRDefault="003E4393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2BA079E3" w14:textId="69EA5BD3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>According to the results of the Construction and Land Development Survey, the main aggregates of the construction sector in 20</w:t>
      </w:r>
      <w:r w:rsidR="00665010" w:rsidRPr="00665010">
        <w:rPr>
          <w:rFonts w:ascii="Verdana" w:hAnsi="Verdana" w:cs="Arial"/>
          <w:sz w:val="18"/>
          <w:szCs w:val="18"/>
        </w:rPr>
        <w:t>20</w:t>
      </w:r>
      <w:r w:rsidRPr="005622B4">
        <w:rPr>
          <w:rFonts w:ascii="Verdana" w:hAnsi="Verdana" w:cs="Arial"/>
          <w:sz w:val="18"/>
          <w:szCs w:val="18"/>
        </w:rPr>
        <w:t xml:space="preserve"> registered a </w:t>
      </w:r>
      <w:r w:rsidR="00665010">
        <w:rPr>
          <w:rFonts w:ascii="Verdana" w:hAnsi="Verdana" w:cs="Arial"/>
          <w:sz w:val="18"/>
          <w:szCs w:val="18"/>
        </w:rPr>
        <w:t>nega</w:t>
      </w:r>
      <w:r w:rsidRPr="005622B4">
        <w:rPr>
          <w:rFonts w:ascii="Verdana" w:hAnsi="Verdana" w:cs="Arial"/>
          <w:sz w:val="18"/>
          <w:szCs w:val="18"/>
        </w:rPr>
        <w:t>tive growth rate compared to 201</w:t>
      </w:r>
      <w:r w:rsidR="00665010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>.</w:t>
      </w:r>
    </w:p>
    <w:p w14:paraId="4670D64D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71DA23D5" w14:textId="6E8559E0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 xml:space="preserve">In particular, production value in the broad construction sector </w:t>
      </w:r>
      <w:r w:rsidR="004358F8">
        <w:rPr>
          <w:rFonts w:ascii="Verdana" w:hAnsi="Verdana" w:cs="Arial"/>
          <w:sz w:val="18"/>
          <w:szCs w:val="18"/>
        </w:rPr>
        <w:t>de</w:t>
      </w:r>
      <w:r w:rsidRPr="005622B4">
        <w:rPr>
          <w:rFonts w:ascii="Verdana" w:hAnsi="Verdana" w:cs="Arial"/>
          <w:sz w:val="18"/>
          <w:szCs w:val="18"/>
        </w:rPr>
        <w:t>creased in 20</w:t>
      </w:r>
      <w:r w:rsidR="004358F8">
        <w:rPr>
          <w:rFonts w:ascii="Verdana" w:hAnsi="Verdana" w:cs="Arial"/>
          <w:sz w:val="18"/>
          <w:szCs w:val="18"/>
        </w:rPr>
        <w:t>20</w:t>
      </w:r>
      <w:r w:rsidRPr="005622B4">
        <w:rPr>
          <w:rFonts w:ascii="Verdana" w:hAnsi="Verdana" w:cs="Arial"/>
          <w:sz w:val="18"/>
          <w:szCs w:val="18"/>
        </w:rPr>
        <w:t xml:space="preserve"> by 0,</w:t>
      </w:r>
      <w:r w:rsidR="000B621E">
        <w:rPr>
          <w:rFonts w:ascii="Verdana" w:hAnsi="Verdana" w:cs="Arial"/>
          <w:sz w:val="18"/>
          <w:szCs w:val="18"/>
        </w:rPr>
        <w:t>2</w:t>
      </w:r>
      <w:r w:rsidRPr="005622B4">
        <w:rPr>
          <w:rFonts w:ascii="Verdana" w:hAnsi="Verdana" w:cs="Arial"/>
          <w:sz w:val="18"/>
          <w:szCs w:val="18"/>
        </w:rPr>
        <w:t>% to €4.2</w:t>
      </w:r>
      <w:r w:rsidR="00FD5D45">
        <w:rPr>
          <w:rFonts w:ascii="Verdana" w:hAnsi="Verdana" w:cs="Arial"/>
          <w:sz w:val="18"/>
          <w:szCs w:val="18"/>
        </w:rPr>
        <w:t>94</w:t>
      </w:r>
      <w:r w:rsidRPr="005622B4">
        <w:rPr>
          <w:rFonts w:ascii="Verdana" w:hAnsi="Verdana" w:cs="Arial"/>
          <w:sz w:val="18"/>
          <w:szCs w:val="18"/>
        </w:rPr>
        <w:t>,</w:t>
      </w:r>
      <w:r w:rsidR="00FD5D45">
        <w:rPr>
          <w:rFonts w:ascii="Verdana" w:hAnsi="Verdana" w:cs="Arial"/>
          <w:sz w:val="18"/>
          <w:szCs w:val="18"/>
        </w:rPr>
        <w:t>6</w:t>
      </w:r>
      <w:r w:rsidRPr="005622B4">
        <w:rPr>
          <w:rFonts w:ascii="Verdana" w:hAnsi="Verdana" w:cs="Arial"/>
          <w:sz w:val="18"/>
          <w:szCs w:val="18"/>
        </w:rPr>
        <w:t xml:space="preserve"> million compared to </w:t>
      </w:r>
      <w:r w:rsidR="00FD5D45" w:rsidRPr="005622B4">
        <w:rPr>
          <w:rFonts w:ascii="Verdana" w:hAnsi="Verdana" w:cs="Arial"/>
          <w:sz w:val="18"/>
          <w:szCs w:val="18"/>
        </w:rPr>
        <w:t xml:space="preserve">€4.302,2 </w:t>
      </w:r>
      <w:r w:rsidRPr="005622B4">
        <w:rPr>
          <w:rFonts w:ascii="Verdana" w:hAnsi="Verdana" w:cs="Arial"/>
          <w:sz w:val="18"/>
          <w:szCs w:val="18"/>
        </w:rPr>
        <w:t>million in 201</w:t>
      </w:r>
      <w:r w:rsidR="00FD5D45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 xml:space="preserve">. Value added at current prices </w:t>
      </w:r>
      <w:r w:rsidR="00FD5D45">
        <w:rPr>
          <w:rFonts w:ascii="Verdana" w:hAnsi="Verdana" w:cs="Arial"/>
          <w:sz w:val="18"/>
          <w:szCs w:val="18"/>
        </w:rPr>
        <w:t>de</w:t>
      </w:r>
      <w:r w:rsidRPr="005622B4">
        <w:rPr>
          <w:rFonts w:ascii="Verdana" w:hAnsi="Verdana" w:cs="Arial"/>
          <w:sz w:val="18"/>
          <w:szCs w:val="18"/>
        </w:rPr>
        <w:t xml:space="preserve">creased by </w:t>
      </w:r>
      <w:r w:rsidR="00FD5D45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,</w:t>
      </w:r>
      <w:r w:rsidR="00FD5D45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>% to €1.1</w:t>
      </w:r>
      <w:r w:rsidR="00FD5D45">
        <w:rPr>
          <w:rFonts w:ascii="Verdana" w:hAnsi="Verdana" w:cs="Arial"/>
          <w:sz w:val="18"/>
          <w:szCs w:val="18"/>
        </w:rPr>
        <w:t>19</w:t>
      </w:r>
      <w:r w:rsidRPr="005622B4">
        <w:rPr>
          <w:rFonts w:ascii="Verdana" w:hAnsi="Verdana" w:cs="Arial"/>
          <w:sz w:val="18"/>
          <w:szCs w:val="18"/>
        </w:rPr>
        <w:t>,6 million in 20</w:t>
      </w:r>
      <w:r w:rsidR="00FD5D45">
        <w:rPr>
          <w:rFonts w:ascii="Verdana" w:hAnsi="Verdana" w:cs="Arial"/>
          <w:sz w:val="18"/>
          <w:szCs w:val="18"/>
        </w:rPr>
        <w:t>20</w:t>
      </w:r>
      <w:r w:rsidRPr="005622B4">
        <w:rPr>
          <w:rFonts w:ascii="Verdana" w:hAnsi="Verdana" w:cs="Arial"/>
          <w:sz w:val="18"/>
          <w:szCs w:val="18"/>
        </w:rPr>
        <w:t xml:space="preserve"> compared to </w:t>
      </w:r>
      <w:r w:rsidR="00FD5D45" w:rsidRPr="005622B4">
        <w:rPr>
          <w:rFonts w:ascii="Verdana" w:hAnsi="Verdana" w:cs="Arial"/>
          <w:sz w:val="18"/>
          <w:szCs w:val="18"/>
        </w:rPr>
        <w:t xml:space="preserve">€1.165,6 </w:t>
      </w:r>
      <w:r w:rsidRPr="005622B4">
        <w:rPr>
          <w:rFonts w:ascii="Verdana" w:hAnsi="Verdana" w:cs="Arial"/>
          <w:sz w:val="18"/>
          <w:szCs w:val="18"/>
        </w:rPr>
        <w:t>million in 201</w:t>
      </w:r>
      <w:r w:rsidR="00FD5D45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>.</w:t>
      </w:r>
    </w:p>
    <w:p w14:paraId="589D96BE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 xml:space="preserve"> </w:t>
      </w:r>
    </w:p>
    <w:p w14:paraId="7159BA01" w14:textId="7AE1305D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>New construction in 20</w:t>
      </w:r>
      <w:r w:rsidR="003818BE">
        <w:rPr>
          <w:rFonts w:ascii="Verdana" w:hAnsi="Verdana" w:cs="Arial"/>
          <w:sz w:val="18"/>
          <w:szCs w:val="18"/>
        </w:rPr>
        <w:t>20</w:t>
      </w:r>
      <w:r w:rsidRPr="005622B4">
        <w:rPr>
          <w:rFonts w:ascii="Verdana" w:hAnsi="Verdana" w:cs="Arial"/>
          <w:sz w:val="18"/>
          <w:szCs w:val="18"/>
        </w:rPr>
        <w:t xml:space="preserve"> reached €2.46</w:t>
      </w:r>
      <w:r w:rsidR="003818BE">
        <w:rPr>
          <w:rFonts w:ascii="Verdana" w:hAnsi="Verdana" w:cs="Arial"/>
          <w:sz w:val="18"/>
          <w:szCs w:val="18"/>
        </w:rPr>
        <w:t>7</w:t>
      </w:r>
      <w:r w:rsidRPr="005622B4">
        <w:rPr>
          <w:rFonts w:ascii="Verdana" w:hAnsi="Verdana" w:cs="Arial"/>
          <w:sz w:val="18"/>
          <w:szCs w:val="18"/>
        </w:rPr>
        <w:t>,</w:t>
      </w:r>
      <w:r w:rsidR="003818BE">
        <w:rPr>
          <w:rFonts w:ascii="Verdana" w:hAnsi="Verdana" w:cs="Arial"/>
          <w:sz w:val="18"/>
          <w:szCs w:val="18"/>
        </w:rPr>
        <w:t>5</w:t>
      </w:r>
      <w:r w:rsidRPr="005622B4">
        <w:rPr>
          <w:rFonts w:ascii="Verdana" w:hAnsi="Verdana" w:cs="Arial"/>
          <w:sz w:val="18"/>
          <w:szCs w:val="18"/>
        </w:rPr>
        <w:t xml:space="preserve"> million, registering a </w:t>
      </w:r>
      <w:r w:rsidR="0051421F">
        <w:rPr>
          <w:rFonts w:ascii="Verdana" w:hAnsi="Verdana" w:cs="Arial"/>
          <w:sz w:val="18"/>
          <w:szCs w:val="18"/>
        </w:rPr>
        <w:t xml:space="preserve">marginal </w:t>
      </w:r>
      <w:r w:rsidR="00B60BF9">
        <w:rPr>
          <w:rFonts w:ascii="Verdana" w:hAnsi="Verdana" w:cs="Arial"/>
          <w:sz w:val="18"/>
          <w:szCs w:val="18"/>
        </w:rPr>
        <w:t>decrea</w:t>
      </w:r>
      <w:r w:rsidRPr="005622B4">
        <w:rPr>
          <w:rFonts w:ascii="Verdana" w:hAnsi="Verdana" w:cs="Arial"/>
          <w:sz w:val="18"/>
          <w:szCs w:val="18"/>
        </w:rPr>
        <w:t>se</w:t>
      </w:r>
      <w:r w:rsidR="000B621E">
        <w:rPr>
          <w:rFonts w:ascii="Verdana" w:hAnsi="Verdana" w:cs="Arial"/>
          <w:sz w:val="18"/>
          <w:szCs w:val="18"/>
        </w:rPr>
        <w:t xml:space="preserve"> </w:t>
      </w:r>
      <w:r w:rsidRPr="005622B4">
        <w:rPr>
          <w:rFonts w:ascii="Verdana" w:hAnsi="Verdana" w:cs="Arial"/>
          <w:sz w:val="18"/>
          <w:szCs w:val="18"/>
        </w:rPr>
        <w:t>over 201</w:t>
      </w:r>
      <w:r w:rsidR="00B60BF9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 xml:space="preserve">. More specifically, residential buildings </w:t>
      </w:r>
      <w:r w:rsidR="003E4393">
        <w:rPr>
          <w:rFonts w:ascii="Verdana" w:hAnsi="Verdana" w:cs="Arial"/>
          <w:sz w:val="18"/>
          <w:szCs w:val="18"/>
        </w:rPr>
        <w:t xml:space="preserve">recorded an </w:t>
      </w:r>
      <w:r w:rsidRPr="005622B4">
        <w:rPr>
          <w:rFonts w:ascii="Verdana" w:hAnsi="Verdana" w:cs="Arial"/>
          <w:sz w:val="18"/>
          <w:szCs w:val="18"/>
        </w:rPr>
        <w:t>increas</w:t>
      </w:r>
      <w:r w:rsidR="003E4393">
        <w:rPr>
          <w:rFonts w:ascii="Verdana" w:hAnsi="Verdana" w:cs="Arial"/>
          <w:sz w:val="18"/>
          <w:szCs w:val="18"/>
        </w:rPr>
        <w:t xml:space="preserve">e of </w:t>
      </w:r>
      <w:r w:rsidR="00B60BF9">
        <w:rPr>
          <w:rFonts w:ascii="Verdana" w:hAnsi="Verdana" w:cs="Arial"/>
          <w:sz w:val="18"/>
          <w:szCs w:val="18"/>
        </w:rPr>
        <w:t>2</w:t>
      </w:r>
      <w:r w:rsidRPr="005622B4">
        <w:rPr>
          <w:rFonts w:ascii="Verdana" w:hAnsi="Verdana" w:cs="Arial"/>
          <w:sz w:val="18"/>
          <w:szCs w:val="18"/>
        </w:rPr>
        <w:t>,</w:t>
      </w:r>
      <w:r w:rsidR="00B60BF9">
        <w:rPr>
          <w:rFonts w:ascii="Verdana" w:hAnsi="Verdana" w:cs="Arial"/>
          <w:sz w:val="18"/>
          <w:szCs w:val="18"/>
        </w:rPr>
        <w:t>0</w:t>
      </w:r>
      <w:r w:rsidRPr="005622B4">
        <w:rPr>
          <w:rFonts w:ascii="Verdana" w:hAnsi="Verdana" w:cs="Arial"/>
          <w:sz w:val="18"/>
          <w:szCs w:val="18"/>
        </w:rPr>
        <w:t xml:space="preserve">% </w:t>
      </w:r>
      <w:r w:rsidR="003E4393">
        <w:rPr>
          <w:rFonts w:ascii="Verdana" w:hAnsi="Verdana" w:cs="Arial"/>
          <w:sz w:val="18"/>
          <w:szCs w:val="18"/>
        </w:rPr>
        <w:t xml:space="preserve">in 2020 </w:t>
      </w:r>
      <w:r w:rsidRPr="005622B4">
        <w:rPr>
          <w:rFonts w:ascii="Verdana" w:hAnsi="Verdana" w:cs="Arial"/>
          <w:sz w:val="18"/>
          <w:szCs w:val="18"/>
        </w:rPr>
        <w:t>compared to 201</w:t>
      </w:r>
      <w:r w:rsidR="00B60BF9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 xml:space="preserve">, </w:t>
      </w:r>
      <w:r w:rsidR="00EC5A0C">
        <w:rPr>
          <w:rFonts w:ascii="Verdana" w:hAnsi="Verdana" w:cs="Arial"/>
          <w:sz w:val="18"/>
          <w:szCs w:val="18"/>
        </w:rPr>
        <w:t xml:space="preserve">while </w:t>
      </w:r>
      <w:r w:rsidRPr="005622B4">
        <w:rPr>
          <w:rFonts w:ascii="Verdana" w:hAnsi="Verdana" w:cs="Arial"/>
          <w:sz w:val="18"/>
          <w:szCs w:val="18"/>
        </w:rPr>
        <w:t xml:space="preserve">non-residential buildings </w:t>
      </w:r>
      <w:r w:rsidR="003E4393">
        <w:rPr>
          <w:rFonts w:ascii="Verdana" w:hAnsi="Verdana" w:cs="Arial"/>
          <w:sz w:val="18"/>
          <w:szCs w:val="18"/>
        </w:rPr>
        <w:t xml:space="preserve">a </w:t>
      </w:r>
      <w:r w:rsidR="00B60BF9">
        <w:rPr>
          <w:rFonts w:ascii="Verdana" w:hAnsi="Verdana" w:cs="Arial"/>
          <w:sz w:val="18"/>
          <w:szCs w:val="18"/>
        </w:rPr>
        <w:t xml:space="preserve">decrease </w:t>
      </w:r>
      <w:r w:rsidRPr="005622B4">
        <w:rPr>
          <w:rFonts w:ascii="Verdana" w:hAnsi="Verdana" w:cs="Arial"/>
          <w:sz w:val="18"/>
          <w:szCs w:val="18"/>
        </w:rPr>
        <w:t xml:space="preserve">by </w:t>
      </w:r>
      <w:r w:rsidR="00B60BF9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>,</w:t>
      </w:r>
      <w:r w:rsidR="000B621E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 xml:space="preserve">% and civil engineering projects </w:t>
      </w:r>
      <w:r w:rsidR="003E4393">
        <w:rPr>
          <w:rFonts w:ascii="Verdana" w:hAnsi="Verdana" w:cs="Arial"/>
          <w:sz w:val="18"/>
          <w:szCs w:val="18"/>
        </w:rPr>
        <w:t xml:space="preserve">a decrease </w:t>
      </w:r>
      <w:r w:rsidRPr="005622B4">
        <w:rPr>
          <w:rFonts w:ascii="Verdana" w:hAnsi="Verdana" w:cs="Arial"/>
          <w:sz w:val="18"/>
          <w:szCs w:val="18"/>
        </w:rPr>
        <w:t xml:space="preserve">by </w:t>
      </w:r>
      <w:r w:rsidR="00B60BF9">
        <w:rPr>
          <w:rFonts w:ascii="Verdana" w:hAnsi="Verdana" w:cs="Arial"/>
          <w:sz w:val="18"/>
          <w:szCs w:val="18"/>
        </w:rPr>
        <w:t>1,6</w:t>
      </w:r>
      <w:r w:rsidRPr="005622B4">
        <w:rPr>
          <w:rFonts w:ascii="Verdana" w:hAnsi="Verdana" w:cs="Arial"/>
          <w:sz w:val="18"/>
          <w:szCs w:val="18"/>
        </w:rPr>
        <w:t>%.</w:t>
      </w:r>
    </w:p>
    <w:p w14:paraId="1A41BA5E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6976151" w14:textId="7B539696" w:rsid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>Employment in the construction sector increased in 20</w:t>
      </w:r>
      <w:r w:rsidR="00B60BF9">
        <w:rPr>
          <w:rFonts w:ascii="Verdana" w:hAnsi="Verdana" w:cs="Arial"/>
          <w:sz w:val="18"/>
          <w:szCs w:val="18"/>
        </w:rPr>
        <w:t>20</w:t>
      </w:r>
      <w:r w:rsidRPr="005622B4">
        <w:rPr>
          <w:rFonts w:ascii="Verdana" w:hAnsi="Verdana" w:cs="Arial"/>
          <w:sz w:val="18"/>
          <w:szCs w:val="18"/>
        </w:rPr>
        <w:t xml:space="preserve"> by </w:t>
      </w:r>
      <w:r w:rsidR="00DB0A32">
        <w:rPr>
          <w:rFonts w:ascii="Verdana" w:hAnsi="Verdana" w:cs="Arial"/>
          <w:sz w:val="18"/>
          <w:szCs w:val="18"/>
        </w:rPr>
        <w:t>2</w:t>
      </w:r>
      <w:r w:rsidRPr="005622B4">
        <w:rPr>
          <w:rFonts w:ascii="Verdana" w:hAnsi="Verdana" w:cs="Arial"/>
          <w:sz w:val="18"/>
          <w:szCs w:val="18"/>
        </w:rPr>
        <w:t>,</w:t>
      </w:r>
      <w:r w:rsidR="00697DB0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% to 3</w:t>
      </w:r>
      <w:r w:rsidR="00DB0A32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>,</w:t>
      </w:r>
      <w:r w:rsidR="00DB0A32">
        <w:rPr>
          <w:rFonts w:ascii="Verdana" w:hAnsi="Verdana" w:cs="Arial"/>
          <w:sz w:val="18"/>
          <w:szCs w:val="18"/>
        </w:rPr>
        <w:t>8</w:t>
      </w:r>
      <w:r w:rsidRPr="005622B4">
        <w:rPr>
          <w:rFonts w:ascii="Verdana" w:hAnsi="Verdana" w:cs="Arial"/>
          <w:sz w:val="18"/>
          <w:szCs w:val="18"/>
        </w:rPr>
        <w:t xml:space="preserve"> thousand compared to 3</w:t>
      </w:r>
      <w:r w:rsidR="00697DB0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>,</w:t>
      </w:r>
      <w:r w:rsidR="00DB0A32">
        <w:rPr>
          <w:rFonts w:ascii="Verdana" w:hAnsi="Verdana" w:cs="Arial"/>
          <w:sz w:val="18"/>
          <w:szCs w:val="18"/>
        </w:rPr>
        <w:t>0</w:t>
      </w:r>
      <w:r w:rsidRPr="005622B4">
        <w:rPr>
          <w:rFonts w:ascii="Verdana" w:hAnsi="Verdana" w:cs="Arial"/>
          <w:sz w:val="18"/>
          <w:szCs w:val="18"/>
        </w:rPr>
        <w:t xml:space="preserve"> thousand persons in 201</w:t>
      </w:r>
      <w:r w:rsidR="0043024C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 xml:space="preserve">. </w:t>
      </w:r>
    </w:p>
    <w:p w14:paraId="0E62B065" w14:textId="77777777" w:rsidR="0043024C" w:rsidRPr="005622B4" w:rsidRDefault="0043024C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587D50F8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5A980D30" w14:textId="56A0BD83" w:rsidR="005622B4" w:rsidRPr="005622B4" w:rsidRDefault="00441689" w:rsidP="00D15695">
      <w:pPr>
        <w:tabs>
          <w:tab w:val="right" w:pos="9498"/>
        </w:tabs>
        <w:jc w:val="center"/>
        <w:rPr>
          <w:rFonts w:ascii="Verdana" w:hAnsi="Verdana" w:cs="Arial"/>
          <w:sz w:val="18"/>
          <w:szCs w:val="18"/>
        </w:rPr>
      </w:pPr>
      <w:r>
        <w:rPr>
          <w:noProof/>
        </w:rPr>
        <w:drawing>
          <wp:inline distT="0" distB="0" distL="0" distR="0" wp14:anchorId="6F932C5E" wp14:editId="27A6EF58">
            <wp:extent cx="6005015" cy="3432412"/>
            <wp:effectExtent l="0" t="0" r="15240" b="1587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78FE7F57-F455-416B-8B98-784B033422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3ED523" w14:textId="033856C3" w:rsid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216D8380" w14:textId="27C591C6" w:rsidR="00665010" w:rsidRDefault="00665010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1761954" w14:textId="0AB69D26" w:rsidR="00665010" w:rsidRDefault="00665010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03836C5F" w14:textId="115568B9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3E12504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4F56069C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324867B0" w14:textId="355A33E3" w:rsid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0855917" w14:textId="77777777" w:rsidR="003E4393" w:rsidRPr="005622B4" w:rsidRDefault="003E4393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tbl>
      <w:tblPr>
        <w:tblW w:w="8920" w:type="dxa"/>
        <w:jc w:val="center"/>
        <w:tblLook w:val="04A0" w:firstRow="1" w:lastRow="0" w:firstColumn="1" w:lastColumn="0" w:noHBand="0" w:noVBand="1"/>
      </w:tblPr>
      <w:tblGrid>
        <w:gridCol w:w="4722"/>
        <w:gridCol w:w="1306"/>
        <w:gridCol w:w="1306"/>
        <w:gridCol w:w="1364"/>
        <w:gridCol w:w="222"/>
      </w:tblGrid>
      <w:tr w:rsidR="005622B4" w:rsidRPr="005622B4" w14:paraId="46CA0A50" w14:textId="77777777" w:rsidTr="00D15695">
        <w:trPr>
          <w:gridAfter w:val="1"/>
          <w:wAfter w:w="222" w:type="dxa"/>
          <w:trHeight w:val="315"/>
          <w:jc w:val="center"/>
        </w:trPr>
        <w:tc>
          <w:tcPr>
            <w:tcW w:w="7334" w:type="dxa"/>
            <w:gridSpan w:val="3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bottom"/>
            <w:hideMark/>
          </w:tcPr>
          <w:p w14:paraId="06EF2BEF" w14:textId="77777777" w:rsidR="005622B4" w:rsidRPr="005622B4" w:rsidRDefault="005622B4" w:rsidP="005622B4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Table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97" w14:textId="77777777" w:rsidR="005622B4" w:rsidRPr="005622B4" w:rsidRDefault="005622B4" w:rsidP="005622B4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</w:tr>
      <w:tr w:rsidR="005622B4" w:rsidRPr="005622B4" w14:paraId="7CBC38CA" w14:textId="77777777" w:rsidTr="00D15695">
        <w:trPr>
          <w:gridAfter w:val="1"/>
          <w:wAfter w:w="222" w:type="dxa"/>
          <w:trHeight w:val="555"/>
          <w:jc w:val="center"/>
        </w:trPr>
        <w:tc>
          <w:tcPr>
            <w:tcW w:w="4722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4FFA6B57" w14:textId="77777777" w:rsidR="005622B4" w:rsidRPr="005622B4" w:rsidRDefault="005622B4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Main Indicators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54F4BEFF" w14:textId="1D6E1C82" w:rsidR="005622B4" w:rsidRPr="00697DB0" w:rsidRDefault="005622B4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20</w:t>
            </w:r>
            <w:r w:rsidR="00697DB0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eastAsia="en-CY"/>
              </w:rPr>
              <w:t>20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4C502709" w14:textId="0B55C8D1" w:rsidR="005622B4" w:rsidRPr="00697DB0" w:rsidRDefault="005622B4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201</w:t>
            </w:r>
            <w:r w:rsidR="00697DB0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eastAsia="en-CY"/>
              </w:rPr>
              <w:t>9</w:t>
            </w:r>
          </w:p>
        </w:tc>
        <w:tc>
          <w:tcPr>
            <w:tcW w:w="1364" w:type="dxa"/>
            <w:vMerge w:val="restart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39F65B69" w14:textId="77777777" w:rsidR="005622B4" w:rsidRPr="005622B4" w:rsidRDefault="005622B4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  <w:p w14:paraId="3B1DAE80" w14:textId="38E078FF" w:rsidR="005622B4" w:rsidRPr="005622B4" w:rsidRDefault="005622B4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20</w:t>
            </w:r>
            <w:r w:rsidR="00697DB0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eastAsia="en-CY"/>
              </w:rPr>
              <w:t>20</w:t>
            </w: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>/201</w:t>
            </w:r>
            <w:r w:rsidR="00697DB0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eastAsia="en-CY"/>
              </w:rPr>
              <w:t>9</w:t>
            </w:r>
            <w:r w:rsidRPr="005622B4"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  <w:t xml:space="preserve"> %</w:t>
            </w:r>
          </w:p>
        </w:tc>
      </w:tr>
      <w:tr w:rsidR="005622B4" w:rsidRPr="005622B4" w14:paraId="700F434F" w14:textId="77777777" w:rsidTr="00D15695">
        <w:trPr>
          <w:trHeight w:val="420"/>
          <w:jc w:val="center"/>
        </w:trPr>
        <w:tc>
          <w:tcPr>
            <w:tcW w:w="4722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5BDBAAD9" w14:textId="77777777" w:rsidR="005622B4" w:rsidRPr="005622B4" w:rsidRDefault="005622B4" w:rsidP="005622B4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15361E47" w14:textId="77777777" w:rsidR="005622B4" w:rsidRPr="005622B4" w:rsidRDefault="005622B4" w:rsidP="005622B4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  <w:tc>
          <w:tcPr>
            <w:tcW w:w="1306" w:type="dxa"/>
            <w:vMerge/>
            <w:tcBorders>
              <w:top w:val="nil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58343C4B" w14:textId="77777777" w:rsidR="005622B4" w:rsidRPr="005622B4" w:rsidRDefault="005622B4" w:rsidP="005622B4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  <w:tc>
          <w:tcPr>
            <w:tcW w:w="1364" w:type="dxa"/>
            <w:vMerge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66F9F36B" w14:textId="77777777" w:rsidR="005622B4" w:rsidRPr="005622B4" w:rsidRDefault="005622B4" w:rsidP="005622B4">
            <w:pPr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3879" w14:textId="77777777" w:rsidR="005622B4" w:rsidRPr="005622B4" w:rsidRDefault="005622B4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5F91"/>
                <w:sz w:val="18"/>
                <w:szCs w:val="18"/>
                <w:lang w:val="en-CY" w:eastAsia="en-CY"/>
              </w:rPr>
            </w:pPr>
          </w:p>
        </w:tc>
      </w:tr>
      <w:tr w:rsidR="005622B4" w:rsidRPr="005622B4" w14:paraId="71D083EC" w14:textId="77777777" w:rsidTr="00D15695">
        <w:trPr>
          <w:trHeight w:val="675"/>
          <w:jc w:val="center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273C" w14:textId="77777777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Production value (€</w:t>
            </w:r>
            <w:proofErr w:type="spellStart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mn</w:t>
            </w:r>
            <w:proofErr w:type="spellEnd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5F6BF440" w14:textId="30255018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4.2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94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B8611B8" w14:textId="7EB840EF" w:rsidR="005622B4" w:rsidRPr="00CF2A6C" w:rsidRDefault="00CF2A6C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4.302</w:t>
            </w:r>
            <w:r w:rsidR="003E4393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,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28AD8" w14:textId="773EBFE2" w:rsidR="005622B4" w:rsidRPr="00CF2A6C" w:rsidRDefault="00CF2A6C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-0,</w:t>
            </w:r>
            <w:r w:rsidR="000B621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2</w:t>
            </w:r>
          </w:p>
        </w:tc>
        <w:tc>
          <w:tcPr>
            <w:tcW w:w="222" w:type="dxa"/>
            <w:vAlign w:val="center"/>
            <w:hideMark/>
          </w:tcPr>
          <w:p w14:paraId="6C7579DA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  <w:tr w:rsidR="005622B4" w:rsidRPr="005622B4" w14:paraId="04BD71CB" w14:textId="77777777" w:rsidTr="00D15695">
        <w:trPr>
          <w:trHeight w:val="675"/>
          <w:jc w:val="center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EBF1" w14:textId="77777777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Value added at market prices (€</w:t>
            </w:r>
            <w:proofErr w:type="spellStart"/>
            <w:proofErr w:type="gramStart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mn</w:t>
            </w:r>
            <w:proofErr w:type="spellEnd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 xml:space="preserve"> )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32A57C74" w14:textId="5599AC14" w:rsidR="005622B4" w:rsidRPr="005622B4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1.1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19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1A44A4E" w14:textId="68232892" w:rsidR="005622B4" w:rsidRPr="00CF2A6C" w:rsidRDefault="00CF2A6C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1.165,6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55D8" w14:textId="3D542C2D" w:rsidR="005622B4" w:rsidRPr="0043024C" w:rsidRDefault="00CF2A6C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-3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43024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9</w:t>
            </w:r>
          </w:p>
        </w:tc>
        <w:tc>
          <w:tcPr>
            <w:tcW w:w="222" w:type="dxa"/>
            <w:vAlign w:val="center"/>
            <w:hideMark/>
          </w:tcPr>
          <w:p w14:paraId="6EC1328E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  <w:tr w:rsidR="005622B4" w:rsidRPr="005622B4" w14:paraId="73B82848" w14:textId="77777777" w:rsidTr="00D15695">
        <w:trPr>
          <w:trHeight w:val="675"/>
          <w:jc w:val="center"/>
        </w:trPr>
        <w:tc>
          <w:tcPr>
            <w:tcW w:w="4722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72C32420" w14:textId="1C23B2C3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 xml:space="preserve">Employment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34DE659" w14:textId="13467D45" w:rsidR="005622B4" w:rsidRPr="005622B4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3</w:t>
            </w:r>
            <w:r w:rsidR="000B621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4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.</w:t>
            </w:r>
            <w:r w:rsidR="000B621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766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E8AAE97" w14:textId="5FC2A687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3</w:t>
            </w:r>
            <w:r w:rsidR="000B621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3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.</w:t>
            </w:r>
            <w:r w:rsidR="000B621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96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49588A8E" w14:textId="235782D6" w:rsidR="005622B4" w:rsidRPr="0043024C" w:rsidRDefault="000B621E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2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43024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3</w:t>
            </w:r>
          </w:p>
        </w:tc>
        <w:tc>
          <w:tcPr>
            <w:tcW w:w="222" w:type="dxa"/>
            <w:vAlign w:val="center"/>
            <w:hideMark/>
          </w:tcPr>
          <w:p w14:paraId="64C85029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  <w:tr w:rsidR="005622B4" w:rsidRPr="005622B4" w14:paraId="790254D8" w14:textId="77777777" w:rsidTr="00D15695">
        <w:trPr>
          <w:trHeight w:val="705"/>
          <w:jc w:val="center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E47DE" w14:textId="77777777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New construction (€</w:t>
            </w:r>
            <w:proofErr w:type="spellStart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mn</w:t>
            </w:r>
            <w:proofErr w:type="spellEnd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247F747" w14:textId="72F966A6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2.46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7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3DE61A5D" w14:textId="0C480557" w:rsidR="005622B4" w:rsidRPr="005622B4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2.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468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24C5" w14:textId="497B7F81" w:rsidR="005622B4" w:rsidRPr="0043024C" w:rsidRDefault="0043024C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-0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4B25823E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  <w:tr w:rsidR="005622B4" w:rsidRPr="005622B4" w14:paraId="03605316" w14:textId="77777777" w:rsidTr="00D15695">
        <w:trPr>
          <w:trHeight w:val="600"/>
          <w:jc w:val="center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D7E1" w14:textId="77777777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Residential buildings (€</w:t>
            </w:r>
            <w:proofErr w:type="spellStart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mn</w:t>
            </w:r>
            <w:proofErr w:type="spellEnd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BCFC4DB" w14:textId="5BD8D35D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1.5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70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0CBFD18A" w14:textId="7F62A718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1.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539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55A7" w14:textId="21D75860" w:rsidR="005622B4" w:rsidRPr="0043024C" w:rsidRDefault="0043024C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2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0</w:t>
            </w:r>
          </w:p>
        </w:tc>
        <w:tc>
          <w:tcPr>
            <w:tcW w:w="222" w:type="dxa"/>
            <w:vAlign w:val="center"/>
            <w:hideMark/>
          </w:tcPr>
          <w:p w14:paraId="7AA0BC2F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  <w:tr w:rsidR="005622B4" w:rsidRPr="005622B4" w14:paraId="7D2AE253" w14:textId="77777777" w:rsidTr="00D15695">
        <w:trPr>
          <w:trHeight w:val="600"/>
          <w:jc w:val="center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17C9" w14:textId="77777777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Non-residential buildings (€</w:t>
            </w:r>
            <w:proofErr w:type="spellStart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mn</w:t>
            </w:r>
            <w:proofErr w:type="spellEnd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7E7D349C" w14:textId="405BCC5E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5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61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24584686" w14:textId="68155C13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58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7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65446" w14:textId="241A562A" w:rsidR="005622B4" w:rsidRPr="000B621E" w:rsidRDefault="0043024C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-4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0B621E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472BFA37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  <w:tr w:rsidR="005622B4" w:rsidRPr="005622B4" w14:paraId="118B6D40" w14:textId="77777777" w:rsidTr="00D15695">
        <w:trPr>
          <w:trHeight w:val="600"/>
          <w:jc w:val="center"/>
        </w:trPr>
        <w:tc>
          <w:tcPr>
            <w:tcW w:w="4722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71397BE4" w14:textId="77777777" w:rsidR="005622B4" w:rsidRPr="005622B4" w:rsidRDefault="005622B4" w:rsidP="005622B4">
            <w:pPr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Civil engineering projects (€</w:t>
            </w:r>
            <w:proofErr w:type="spellStart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mn</w:t>
            </w:r>
            <w:proofErr w:type="spellEnd"/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4552CFD7" w14:textId="1E083A51" w:rsidR="005622B4" w:rsidRPr="00CF2A6C" w:rsidRDefault="005622B4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3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35</w:t>
            </w:r>
            <w:r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 w:rsidR="00CF2A6C"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365F91"/>
              <w:right w:val="double" w:sz="6" w:space="0" w:color="365F91"/>
            </w:tcBorders>
            <w:shd w:val="clear" w:color="auto" w:fill="auto"/>
            <w:vAlign w:val="center"/>
            <w:hideMark/>
          </w:tcPr>
          <w:p w14:paraId="14FC483F" w14:textId="2E24F490" w:rsidR="005622B4" w:rsidRPr="00CF2A6C" w:rsidRDefault="00CF2A6C" w:rsidP="00D15695">
            <w:pPr>
              <w:ind w:right="170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340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365F91"/>
              <w:right w:val="nil"/>
            </w:tcBorders>
            <w:shd w:val="clear" w:color="auto" w:fill="auto"/>
            <w:vAlign w:val="center"/>
            <w:hideMark/>
          </w:tcPr>
          <w:p w14:paraId="2D6C43E6" w14:textId="21684E7E" w:rsidR="005622B4" w:rsidRPr="0043024C" w:rsidRDefault="0043024C" w:rsidP="00D15695">
            <w:pPr>
              <w:ind w:right="397" w:firstLineChars="100" w:firstLine="180"/>
              <w:jc w:val="right"/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</w:pP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-1</w:t>
            </w:r>
            <w:r w:rsidR="005622B4" w:rsidRPr="005622B4">
              <w:rPr>
                <w:rFonts w:ascii="Verdana" w:eastAsia="Times New Roman" w:hAnsi="Verdana" w:cs="Calibri"/>
                <w:color w:val="365F91"/>
                <w:sz w:val="18"/>
                <w:szCs w:val="18"/>
                <w:lang w:val="en-CY" w:eastAsia="en-CY"/>
              </w:rPr>
              <w:t>,</w:t>
            </w:r>
            <w:r>
              <w:rPr>
                <w:rFonts w:ascii="Verdana" w:eastAsia="Times New Roman" w:hAnsi="Verdana" w:cs="Calibri"/>
                <w:color w:val="365F91"/>
                <w:sz w:val="18"/>
                <w:szCs w:val="18"/>
                <w:lang w:eastAsia="en-CY"/>
              </w:rPr>
              <w:t>6</w:t>
            </w:r>
          </w:p>
        </w:tc>
        <w:tc>
          <w:tcPr>
            <w:tcW w:w="222" w:type="dxa"/>
            <w:vAlign w:val="center"/>
            <w:hideMark/>
          </w:tcPr>
          <w:p w14:paraId="2D758C13" w14:textId="77777777" w:rsidR="005622B4" w:rsidRPr="005622B4" w:rsidRDefault="005622B4" w:rsidP="005622B4">
            <w:pPr>
              <w:rPr>
                <w:rFonts w:ascii="Times New Roman" w:eastAsia="Times New Roman" w:hAnsi="Times New Roman"/>
                <w:sz w:val="20"/>
                <w:szCs w:val="20"/>
                <w:lang w:val="en-CY" w:eastAsia="en-CY"/>
              </w:rPr>
            </w:pPr>
          </w:p>
        </w:tc>
      </w:tr>
    </w:tbl>
    <w:p w14:paraId="2CEAFA81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9900ED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C56AAE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9A3BE1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0F7CFB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DE8EAC2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830CBD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8C76AB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0B146F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FBC766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1D55D7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1730560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A21FC6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A9B7FD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041C35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BAF90A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3F0E208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1C07DF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D66F458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1B8910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A0E18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F9016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B70AC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E257B77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E51C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943F6B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1DCF0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95C0B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0E60E0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A76704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D27BED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8D06B3C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AEBAAF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03C95E8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4F9FF4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B80FBC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406CB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E96DADA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56D681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6FEFA1" w14:textId="7DA01538" w:rsid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5B040D" w14:textId="77777777" w:rsidR="003E4393" w:rsidRPr="005622B4" w:rsidRDefault="003E4393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7C6BF1" w14:textId="77777777" w:rsidR="005622B4" w:rsidRPr="005622B4" w:rsidRDefault="005622B4" w:rsidP="005622B4">
      <w:pPr>
        <w:tabs>
          <w:tab w:val="right" w:pos="9498"/>
        </w:tabs>
        <w:ind w:right="255"/>
        <w:jc w:val="center"/>
        <w:rPr>
          <w:rFonts w:ascii="Verdana" w:eastAsia="Malgun Gothic" w:hAnsi="Verdana" w:cs="Arial"/>
          <w:b/>
          <w:u w:val="single"/>
        </w:rPr>
      </w:pPr>
      <w:r w:rsidRPr="005622B4">
        <w:rPr>
          <w:rFonts w:ascii="Verdana" w:eastAsia="Malgun Gothic" w:hAnsi="Verdana" w:cs="Arial"/>
          <w:b/>
          <w:u w:val="single"/>
        </w:rPr>
        <w:t>METHODOLOGICAL INFORMATION</w:t>
      </w:r>
    </w:p>
    <w:p w14:paraId="0445B308" w14:textId="77777777" w:rsidR="005622B4" w:rsidRPr="005622B4" w:rsidRDefault="005622B4" w:rsidP="005622B4">
      <w:pPr>
        <w:tabs>
          <w:tab w:val="right" w:pos="9498"/>
        </w:tabs>
        <w:ind w:right="255"/>
        <w:jc w:val="center"/>
        <w:rPr>
          <w:rFonts w:ascii="Verdana" w:eastAsia="Malgun Gothic" w:hAnsi="Verdana" w:cs="Arial"/>
          <w:b/>
          <w:u w:val="single"/>
        </w:rPr>
      </w:pPr>
    </w:p>
    <w:p w14:paraId="00F1E00D" w14:textId="77777777" w:rsidR="005622B4" w:rsidRPr="005622B4" w:rsidRDefault="005622B4" w:rsidP="005622B4">
      <w:pPr>
        <w:tabs>
          <w:tab w:val="right" w:pos="9498"/>
        </w:tabs>
        <w:ind w:right="255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622B4">
        <w:rPr>
          <w:rFonts w:ascii="Verdana" w:eastAsia="Malgun Gothic" w:hAnsi="Verdana" w:cs="Arial"/>
          <w:b/>
          <w:sz w:val="18"/>
          <w:szCs w:val="18"/>
          <w:u w:val="single"/>
        </w:rPr>
        <w:t>Definitions</w:t>
      </w:r>
    </w:p>
    <w:p w14:paraId="5A2CF14B" w14:textId="77777777" w:rsidR="005622B4" w:rsidRPr="006B1370" w:rsidRDefault="005622B4" w:rsidP="006B13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0931A849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5622B4">
        <w:rPr>
          <w:rFonts w:ascii="Verdana" w:eastAsia="Malgun Gothic" w:hAnsi="Verdana" w:cs="Arial"/>
          <w:b/>
          <w:sz w:val="18"/>
          <w:szCs w:val="18"/>
        </w:rPr>
        <w:t>Production value</w:t>
      </w:r>
      <w:r w:rsidRPr="005622B4">
        <w:rPr>
          <w:rFonts w:ascii="Verdana" w:eastAsia="Malgun Gothic" w:hAnsi="Verdana" w:cs="Arial"/>
          <w:sz w:val="18"/>
          <w:szCs w:val="18"/>
        </w:rPr>
        <w:t xml:space="preserve"> – Derived by adding on turnover other </w:t>
      </w:r>
      <w:r w:rsidRPr="005622B4">
        <w:rPr>
          <w:rFonts w:ascii="Verdana" w:eastAsia="Malgun Gothic" w:hAnsi="Verdana" w:cs="Arial"/>
          <w:sz w:val="18"/>
          <w:szCs w:val="18"/>
          <w:lang w:val="en-GB"/>
        </w:rPr>
        <w:t>income and changes in the value of stocks at the end of the year and deducting the cost of goods and property purchased for resale.</w:t>
      </w:r>
    </w:p>
    <w:p w14:paraId="5111B5E3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2F7B963D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5622B4">
        <w:rPr>
          <w:rFonts w:ascii="Verdana" w:eastAsia="Malgun Gothic" w:hAnsi="Verdana" w:cs="Arial"/>
          <w:b/>
          <w:sz w:val="18"/>
          <w:szCs w:val="18"/>
          <w:lang w:val="en-GB"/>
        </w:rPr>
        <w:t>Value added</w:t>
      </w:r>
      <w:r w:rsidRPr="005622B4">
        <w:rPr>
          <w:rFonts w:ascii="Verdana" w:eastAsia="Malgun Gothic" w:hAnsi="Verdana" w:cs="Arial"/>
          <w:sz w:val="18"/>
          <w:szCs w:val="18"/>
          <w:lang w:val="en-GB"/>
        </w:rPr>
        <w:t xml:space="preserve"> </w:t>
      </w:r>
      <w:r w:rsidRPr="005622B4">
        <w:rPr>
          <w:rFonts w:ascii="Verdana" w:eastAsia="Malgun Gothic" w:hAnsi="Verdana" w:cs="Arial"/>
          <w:b/>
          <w:sz w:val="18"/>
          <w:szCs w:val="18"/>
        </w:rPr>
        <w:t>at current prices</w:t>
      </w:r>
      <w:r w:rsidRPr="005622B4">
        <w:rPr>
          <w:rFonts w:ascii="Verdana" w:eastAsia="Malgun Gothic" w:hAnsi="Verdana" w:cs="Arial"/>
          <w:sz w:val="18"/>
          <w:szCs w:val="18"/>
        </w:rPr>
        <w:t xml:space="preserve"> </w:t>
      </w:r>
      <w:r w:rsidRPr="005622B4">
        <w:rPr>
          <w:rFonts w:ascii="Verdana" w:eastAsia="Malgun Gothic" w:hAnsi="Verdana" w:cs="Arial"/>
          <w:sz w:val="18"/>
          <w:szCs w:val="18"/>
          <w:lang w:val="en-GB"/>
        </w:rPr>
        <w:t>- Derived by deducting from the production value the total cost of production expenses, administrative expenses and rents paid for buildings and machinery.</w:t>
      </w:r>
    </w:p>
    <w:p w14:paraId="333F74A8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3E445F97" w14:textId="20464B75" w:rsidR="005622B4" w:rsidRPr="003E4393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5622B4">
        <w:rPr>
          <w:rFonts w:ascii="Verdana" w:eastAsia="Malgun Gothic" w:hAnsi="Verdana" w:cs="Arial"/>
          <w:b/>
          <w:sz w:val="18"/>
          <w:szCs w:val="18"/>
        </w:rPr>
        <w:t>Employment</w:t>
      </w:r>
      <w:r w:rsidRPr="005622B4">
        <w:rPr>
          <w:rFonts w:ascii="Verdana" w:eastAsia="Malgun Gothic" w:hAnsi="Verdana" w:cs="Arial"/>
          <w:sz w:val="18"/>
          <w:szCs w:val="18"/>
        </w:rPr>
        <w:t xml:space="preserve"> – </w:t>
      </w:r>
      <w:r w:rsidR="000B621E" w:rsidRPr="003E4393">
        <w:rPr>
          <w:rFonts w:ascii="Verdana" w:eastAsia="Malgun Gothic" w:hAnsi="Verdana" w:cs="Arial"/>
          <w:sz w:val="18"/>
          <w:szCs w:val="18"/>
          <w:lang w:val="en-GB"/>
        </w:rPr>
        <w:t>The average number of all persons employed during the year, in full time equivalent terms.</w:t>
      </w:r>
    </w:p>
    <w:p w14:paraId="43C99102" w14:textId="77777777" w:rsidR="000B621E" w:rsidRPr="005622B4" w:rsidRDefault="000B621E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013F3BA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622B4">
        <w:rPr>
          <w:rFonts w:ascii="Verdana" w:eastAsia="Malgun Gothic" w:hAnsi="Verdana" w:cs="Arial"/>
          <w:b/>
          <w:sz w:val="18"/>
          <w:szCs w:val="18"/>
          <w:u w:val="single"/>
        </w:rPr>
        <w:t>Coverage and collection of data</w:t>
      </w:r>
    </w:p>
    <w:p w14:paraId="787A1888" w14:textId="77777777" w:rsidR="005622B4" w:rsidRPr="000A2C3C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7F0C242B" w14:textId="1E58733F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Verdana" w:eastAsia="Malgun Gothic" w:hAnsi="Verdana" w:cs="Arial"/>
          <w:sz w:val="18"/>
          <w:szCs w:val="18"/>
        </w:rPr>
        <w:t xml:space="preserve">The </w:t>
      </w:r>
      <w:r w:rsidRPr="005622B4">
        <w:rPr>
          <w:rFonts w:ascii="Verdana" w:hAnsi="Verdana" w:cs="Arial"/>
          <w:sz w:val="18"/>
          <w:szCs w:val="18"/>
        </w:rPr>
        <w:t>Construction and Land Development Survey</w:t>
      </w:r>
      <w:r w:rsidRPr="005622B4">
        <w:rPr>
          <w:rFonts w:ascii="Verdana" w:eastAsia="Malgun Gothic" w:hAnsi="Verdana" w:cs="Arial"/>
          <w:sz w:val="18"/>
          <w:szCs w:val="18"/>
        </w:rPr>
        <w:t xml:space="preserve"> covers a sample of around 1.3</w:t>
      </w:r>
      <w:r w:rsidR="0043024C">
        <w:rPr>
          <w:rFonts w:ascii="Verdana" w:eastAsia="Malgun Gothic" w:hAnsi="Verdana" w:cs="Arial"/>
          <w:sz w:val="18"/>
          <w:szCs w:val="18"/>
        </w:rPr>
        <w:t>9</w:t>
      </w:r>
      <w:r w:rsidRPr="005622B4">
        <w:rPr>
          <w:rFonts w:ascii="Verdana" w:eastAsia="Malgun Gothic" w:hAnsi="Verdana" w:cs="Arial"/>
          <w:sz w:val="18"/>
          <w:szCs w:val="18"/>
        </w:rPr>
        <w:t>0 enterprises with main activity falling under section F of the classification system of economic activities NACE Rev. 2 of the European Union</w:t>
      </w:r>
      <w:r w:rsidR="00EE4CDE">
        <w:rPr>
          <w:rFonts w:ascii="Verdana" w:eastAsia="Malgun Gothic" w:hAnsi="Verdana" w:cs="Arial"/>
          <w:sz w:val="18"/>
          <w:szCs w:val="18"/>
        </w:rPr>
        <w:t>. It includes</w:t>
      </w:r>
      <w:r w:rsidRPr="005622B4">
        <w:rPr>
          <w:rFonts w:ascii="Verdana" w:eastAsia="Malgun Gothic" w:hAnsi="Verdana" w:cs="Arial"/>
          <w:sz w:val="18"/>
          <w:szCs w:val="18"/>
        </w:rPr>
        <w:t>, in particular</w:t>
      </w:r>
      <w:r w:rsidR="00EE4CDE">
        <w:rPr>
          <w:rFonts w:ascii="Verdana" w:eastAsia="Malgun Gothic" w:hAnsi="Verdana" w:cs="Arial"/>
          <w:sz w:val="18"/>
          <w:szCs w:val="18"/>
        </w:rPr>
        <w:t>,</w:t>
      </w:r>
      <w:r w:rsidRPr="005622B4">
        <w:rPr>
          <w:rFonts w:ascii="Verdana" w:eastAsia="Malgun Gothic" w:hAnsi="Verdana" w:cs="Arial"/>
          <w:sz w:val="18"/>
          <w:szCs w:val="18"/>
        </w:rPr>
        <w:t xml:space="preserve"> divisions 41 (construction</w:t>
      </w:r>
      <w:r w:rsidRPr="005622B4">
        <w:rPr>
          <w:rFonts w:ascii="Verdana" w:hAnsi="Verdana" w:cs="Arial"/>
          <w:sz w:val="18"/>
          <w:szCs w:val="18"/>
        </w:rPr>
        <w:t xml:space="preserve"> of buildings), 42 (civil engineering) and 43 (specialized construction activities)</w:t>
      </w:r>
      <w:r w:rsidRPr="005622B4">
        <w:rPr>
          <w:rFonts w:ascii="Verdana" w:eastAsia="Malgun Gothic" w:hAnsi="Verdana" w:cs="Arial"/>
          <w:sz w:val="18"/>
          <w:szCs w:val="18"/>
        </w:rPr>
        <w:t>.</w:t>
      </w:r>
    </w:p>
    <w:p w14:paraId="0FD4951D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9692704" w14:textId="694F74D9" w:rsidR="005622B4" w:rsidRPr="005622B4" w:rsidRDefault="00AF63F9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AF63F9">
        <w:rPr>
          <w:rFonts w:ascii="Verdana" w:eastAsia="Malgun Gothic" w:hAnsi="Verdana" w:cs="Arial"/>
          <w:sz w:val="18"/>
          <w:szCs w:val="18"/>
        </w:rPr>
        <w:t>The collection of data by the Statistical Service is done by phone interviews, by email, by personal interviews and by the use of administrative sources.</w:t>
      </w:r>
    </w:p>
    <w:p w14:paraId="020AA81D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DE003F9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8753781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73DF4054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56B3C901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5622B4">
        <w:rPr>
          <w:rFonts w:ascii="Verdana" w:eastAsia="Malgun Gothic" w:hAnsi="Verdana" w:cs="Arial"/>
          <w:b/>
          <w:i/>
          <w:sz w:val="18"/>
          <w:szCs w:val="18"/>
        </w:rPr>
        <w:t>For more information:</w:t>
      </w:r>
    </w:p>
    <w:p w14:paraId="4A331A2F" w14:textId="7EB4078B" w:rsidR="005622B4" w:rsidRDefault="0043024C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</w:rPr>
      </w:pPr>
      <w:r>
        <w:rPr>
          <w:rFonts w:ascii="Verdana" w:hAnsi="Verdana"/>
          <w:color w:val="000000"/>
          <w:sz w:val="18"/>
          <w:szCs w:val="18"/>
          <w:lang w:val="en-GB"/>
        </w:rPr>
        <w:t xml:space="preserve">CYSTAT Portal, </w:t>
      </w:r>
      <w:r w:rsidR="005622B4" w:rsidRPr="005622B4">
        <w:rPr>
          <w:rFonts w:ascii="Verdana" w:eastAsia="Malgun Gothic" w:hAnsi="Verdana" w:cs="Arial"/>
          <w:sz w:val="18"/>
          <w:szCs w:val="18"/>
        </w:rPr>
        <w:t xml:space="preserve">subtheme </w:t>
      </w:r>
      <w:hyperlink r:id="rId9" w:history="1">
        <w:r w:rsidR="005622B4" w:rsidRPr="005622B4">
          <w:rPr>
            <w:rFonts w:ascii="Verdana" w:eastAsia="Malgun Gothic" w:hAnsi="Verdana" w:cs="Arial"/>
            <w:color w:val="0000FF"/>
            <w:sz w:val="18"/>
            <w:szCs w:val="18"/>
            <w:u w:val="single"/>
          </w:rPr>
          <w:t>Constru</w:t>
        </w:r>
        <w:r w:rsidR="005622B4" w:rsidRPr="005622B4">
          <w:rPr>
            <w:rFonts w:ascii="Verdana" w:eastAsia="Malgun Gothic" w:hAnsi="Verdana" w:cs="Arial"/>
            <w:color w:val="0000FF"/>
            <w:sz w:val="18"/>
            <w:szCs w:val="18"/>
            <w:u w:val="single"/>
          </w:rPr>
          <w:t>c</w:t>
        </w:r>
        <w:r w:rsidR="005622B4" w:rsidRPr="005622B4">
          <w:rPr>
            <w:rFonts w:ascii="Verdana" w:eastAsia="Malgun Gothic" w:hAnsi="Verdana" w:cs="Arial"/>
            <w:color w:val="0000FF"/>
            <w:sz w:val="18"/>
            <w:szCs w:val="18"/>
            <w:u w:val="single"/>
          </w:rPr>
          <w:t>ti</w:t>
        </w:r>
        <w:r w:rsidR="005622B4" w:rsidRPr="005622B4">
          <w:rPr>
            <w:rFonts w:ascii="Verdana" w:eastAsia="Malgun Gothic" w:hAnsi="Verdana" w:cs="Arial"/>
            <w:color w:val="0000FF"/>
            <w:sz w:val="18"/>
            <w:szCs w:val="18"/>
            <w:u w:val="single"/>
          </w:rPr>
          <w:t>o</w:t>
        </w:r>
        <w:r w:rsidR="005622B4" w:rsidRPr="005622B4">
          <w:rPr>
            <w:rFonts w:ascii="Verdana" w:eastAsia="Malgun Gothic" w:hAnsi="Verdana" w:cs="Arial"/>
            <w:color w:val="0000FF"/>
            <w:sz w:val="18"/>
            <w:szCs w:val="18"/>
            <w:u w:val="single"/>
          </w:rPr>
          <w:t>n</w:t>
        </w:r>
      </w:hyperlink>
    </w:p>
    <w:p w14:paraId="578B498D" w14:textId="0C473CED" w:rsidR="00266C85" w:rsidRPr="00D15695" w:rsidRDefault="00D15695" w:rsidP="00266C85">
      <w:pPr>
        <w:jc w:val="both"/>
      </w:pPr>
      <w:hyperlink r:id="rId10" w:tooltip="Predefined Tables" w:history="1">
        <w:r w:rsidR="00266C85" w:rsidRPr="00D15695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266C85" w:rsidRPr="00D15695">
        <w:rPr>
          <w:rFonts w:ascii="Verdana" w:hAnsi="Verdana"/>
          <w:sz w:val="18"/>
          <w:szCs w:val="18"/>
        </w:rPr>
        <w:t xml:space="preserve"> (Excel)</w:t>
      </w:r>
    </w:p>
    <w:p w14:paraId="30D06CBC" w14:textId="5626DFFC" w:rsidR="00266C85" w:rsidRPr="00266C85" w:rsidRDefault="00266C85" w:rsidP="00266C85">
      <w:pPr>
        <w:tabs>
          <w:tab w:val="right" w:pos="9498"/>
        </w:tabs>
        <w:ind w:right="254"/>
        <w:jc w:val="both"/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HYPERLINK "https://www.cystat.gov.cy/en/MethodologicalDetails?m=2244" \o "Methodological Information"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Pr="00266C85">
        <w:rPr>
          <w:rStyle w:val="Hyperlink"/>
          <w:rFonts w:ascii="Verdana" w:hAnsi="Verdana"/>
          <w:sz w:val="18"/>
          <w:szCs w:val="18"/>
        </w:rPr>
        <w:t>Methodological Inform</w:t>
      </w:r>
      <w:r w:rsidRPr="00266C85">
        <w:rPr>
          <w:rStyle w:val="Hyperlink"/>
          <w:rFonts w:ascii="Verdana" w:hAnsi="Verdana"/>
          <w:sz w:val="18"/>
          <w:szCs w:val="18"/>
        </w:rPr>
        <w:t>a</w:t>
      </w:r>
      <w:r w:rsidRPr="00266C85">
        <w:rPr>
          <w:rStyle w:val="Hyperlink"/>
          <w:rFonts w:ascii="Verdana" w:hAnsi="Verdana"/>
          <w:sz w:val="18"/>
          <w:szCs w:val="18"/>
        </w:rPr>
        <w:t>tion</w:t>
      </w:r>
    </w:p>
    <w:p w14:paraId="02FBCD71" w14:textId="46E83DB7" w:rsidR="00D0110F" w:rsidRPr="005622B4" w:rsidRDefault="00266C85" w:rsidP="00266C85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end"/>
      </w:r>
    </w:p>
    <w:p w14:paraId="2580495A" w14:textId="77777777" w:rsidR="005622B4" w:rsidRPr="006B1370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458AD816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5622B4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</w:p>
    <w:p w14:paraId="7A90AE63" w14:textId="2842A6A3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Verdana" w:eastAsia="Malgun Gothic" w:hAnsi="Verdana" w:cs="Arial"/>
          <w:sz w:val="18"/>
          <w:szCs w:val="18"/>
        </w:rPr>
        <w:t>Isidoros Kypridakis, Tel: +357</w:t>
      </w:r>
      <w:r w:rsidR="00EE4CDE">
        <w:rPr>
          <w:rFonts w:ascii="Verdana" w:eastAsia="Malgun Gothic" w:hAnsi="Verdana" w:cs="Arial"/>
          <w:sz w:val="18"/>
          <w:szCs w:val="18"/>
        </w:rPr>
        <w:t xml:space="preserve"> </w:t>
      </w:r>
      <w:r w:rsidRPr="005622B4">
        <w:rPr>
          <w:rFonts w:ascii="Verdana" w:eastAsia="Malgun Gothic" w:hAnsi="Verdana" w:cs="Arial"/>
          <w:sz w:val="18"/>
          <w:szCs w:val="18"/>
        </w:rPr>
        <w:t xml:space="preserve">22602166, Email: </w:t>
      </w:r>
      <w:hyperlink r:id="rId11" w:history="1">
        <w:r w:rsidRPr="005622B4">
          <w:rPr>
            <w:rFonts w:ascii="Verdana" w:hAnsi="Verdana"/>
            <w:color w:val="0000FF"/>
            <w:sz w:val="18"/>
            <w:szCs w:val="18"/>
            <w:u w:val="single"/>
          </w:rPr>
          <w:t>ikypridakis@cystat.mof.gov.cy</w:t>
        </w:r>
      </w:hyperlink>
    </w:p>
    <w:p w14:paraId="1B7F0979" w14:textId="1FFF9415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Verdana" w:eastAsia="Malgun Gothic" w:hAnsi="Verdana" w:cs="Arial"/>
          <w:sz w:val="18"/>
          <w:szCs w:val="18"/>
        </w:rPr>
        <w:t xml:space="preserve">Panagiota Christodoulou, </w:t>
      </w:r>
      <w:bookmarkStart w:id="0" w:name="_Hlk76723790"/>
      <w:r w:rsidRPr="005622B4">
        <w:rPr>
          <w:rFonts w:ascii="Verdana" w:eastAsia="Malgun Gothic" w:hAnsi="Verdana" w:cs="Arial"/>
          <w:sz w:val="18"/>
          <w:szCs w:val="18"/>
        </w:rPr>
        <w:t>Tel: +357</w:t>
      </w:r>
      <w:r w:rsidR="00EE4CDE">
        <w:rPr>
          <w:rFonts w:ascii="Verdana" w:eastAsia="Malgun Gothic" w:hAnsi="Verdana" w:cs="Arial"/>
          <w:sz w:val="18"/>
          <w:szCs w:val="18"/>
        </w:rPr>
        <w:t xml:space="preserve"> </w:t>
      </w:r>
      <w:r w:rsidRPr="005622B4">
        <w:rPr>
          <w:rFonts w:ascii="Verdana" w:eastAsia="Malgun Gothic" w:hAnsi="Verdana" w:cs="Arial"/>
          <w:sz w:val="18"/>
          <w:szCs w:val="18"/>
        </w:rPr>
        <w:t xml:space="preserve">22602172, Email: </w:t>
      </w:r>
      <w:hyperlink r:id="rId12" w:history="1">
        <w:r w:rsidRPr="005622B4">
          <w:rPr>
            <w:rFonts w:ascii="Verdana" w:hAnsi="Verdana"/>
            <w:color w:val="0000FF"/>
            <w:sz w:val="18"/>
            <w:szCs w:val="18"/>
            <w:u w:val="single"/>
          </w:rPr>
          <w:t>pchristodoulou@cystat.mof.gov.cy</w:t>
        </w:r>
      </w:hyperlink>
      <w:bookmarkEnd w:id="0"/>
    </w:p>
    <w:p w14:paraId="739B2405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C1D572" w14:textId="77777777" w:rsidR="005622B4" w:rsidRPr="005622B4" w:rsidRDefault="005622B4" w:rsidP="005622B4">
      <w:pPr>
        <w:jc w:val="both"/>
        <w:rPr>
          <w:rFonts w:ascii="Verdana" w:hAnsi="Verdana" w:cs="Arial"/>
          <w:sz w:val="18"/>
          <w:szCs w:val="18"/>
        </w:rPr>
      </w:pPr>
    </w:p>
    <w:p w14:paraId="2426332F" w14:textId="77777777" w:rsidR="005622B4" w:rsidRPr="005622B4" w:rsidRDefault="005622B4" w:rsidP="005622B4">
      <w:pPr>
        <w:jc w:val="both"/>
        <w:rPr>
          <w:rFonts w:ascii="Verdana" w:hAnsi="Verdana" w:cs="Arial"/>
          <w:sz w:val="18"/>
          <w:szCs w:val="18"/>
        </w:rPr>
      </w:pPr>
    </w:p>
    <w:p w14:paraId="0DD3022F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496C2018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541802E6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83404A7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EA33F01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sectPr w:rsidR="00A67570" w:rsidSect="005938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34F1" w14:textId="77777777" w:rsidR="001D0FD6" w:rsidRDefault="001D0FD6" w:rsidP="00FB398F">
      <w:r>
        <w:separator/>
      </w:r>
    </w:p>
  </w:endnote>
  <w:endnote w:type="continuationSeparator" w:id="0">
    <w:p w14:paraId="2E8870B7" w14:textId="77777777" w:rsidR="001D0FD6" w:rsidRDefault="001D0FD6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77777777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proofErr w:type="gram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 Str.</w:t>
    </w:r>
    <w:proofErr w:type="gramEnd"/>
    <w:r w:rsidRPr="00122143">
      <w:rPr>
        <w:rFonts w:ascii="Arial" w:hAnsi="Arial" w:cs="Arial"/>
        <w:i/>
        <w:iCs/>
        <w:sz w:val="16"/>
        <w:szCs w:val="16"/>
      </w:rPr>
      <w:t>, 1444 Nicosia, Cyprus</w:t>
    </w:r>
  </w:p>
  <w:p w14:paraId="5BFB5428" w14:textId="111B6790" w:rsidR="0060256A" w:rsidRPr="00122143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Tel.:  22 602129, </w:t>
    </w:r>
    <w:r w:rsidR="0060256A" w:rsidRPr="00122143">
      <w:rPr>
        <w:rFonts w:ascii="Arial" w:hAnsi="Arial" w:cs="Arial"/>
        <w:i/>
        <w:iCs/>
        <w:sz w:val="16"/>
        <w:szCs w:val="16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8045" w14:textId="77777777" w:rsidR="001D0FD6" w:rsidRDefault="001D0FD6" w:rsidP="00FB398F">
      <w:r>
        <w:separator/>
      </w:r>
    </w:p>
  </w:footnote>
  <w:footnote w:type="continuationSeparator" w:id="0">
    <w:p w14:paraId="7DEF417F" w14:textId="77777777" w:rsidR="001D0FD6" w:rsidRDefault="001D0FD6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185F8046">
                                <wp:extent cx="12382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A656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185F8046">
                          <wp:extent cx="12382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7777777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364377" w:rsidRPr="007C1520">
      <w:rPr>
        <w:rFonts w:ascii="Arial" w:hAnsi="Arial" w:cs="Arial"/>
        <w:b/>
        <w:bCs/>
        <w:sz w:val="20"/>
        <w:szCs w:val="20"/>
        <w:lang w:val="en-US"/>
      </w:rPr>
      <w:t>MINISTRY OF FINANCE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4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5"/>
  </w:num>
  <w:num w:numId="7" w16cid:durableId="10447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2C3C"/>
    <w:rsid w:val="000A3601"/>
    <w:rsid w:val="000A4DF8"/>
    <w:rsid w:val="000A6FA8"/>
    <w:rsid w:val="000B08C2"/>
    <w:rsid w:val="000B621E"/>
    <w:rsid w:val="000B6F3B"/>
    <w:rsid w:val="000C4E72"/>
    <w:rsid w:val="000D1E7A"/>
    <w:rsid w:val="000E138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D8"/>
    <w:rsid w:val="0013137B"/>
    <w:rsid w:val="00144407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0FD6"/>
    <w:rsid w:val="001D20A4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17314"/>
    <w:rsid w:val="00222423"/>
    <w:rsid w:val="00225B28"/>
    <w:rsid w:val="002313A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224"/>
    <w:rsid w:val="0025566D"/>
    <w:rsid w:val="0025595C"/>
    <w:rsid w:val="00257149"/>
    <w:rsid w:val="002576E7"/>
    <w:rsid w:val="00260357"/>
    <w:rsid w:val="00264F04"/>
    <w:rsid w:val="00266C85"/>
    <w:rsid w:val="00267554"/>
    <w:rsid w:val="0027122D"/>
    <w:rsid w:val="0028338F"/>
    <w:rsid w:val="00285C24"/>
    <w:rsid w:val="002915C4"/>
    <w:rsid w:val="002A1D1C"/>
    <w:rsid w:val="002A4D64"/>
    <w:rsid w:val="002B2133"/>
    <w:rsid w:val="002B61C9"/>
    <w:rsid w:val="002B6554"/>
    <w:rsid w:val="002D05F0"/>
    <w:rsid w:val="002D7D4A"/>
    <w:rsid w:val="002E1906"/>
    <w:rsid w:val="002E3846"/>
    <w:rsid w:val="002E3F78"/>
    <w:rsid w:val="002F400C"/>
    <w:rsid w:val="002F4D76"/>
    <w:rsid w:val="002F6D26"/>
    <w:rsid w:val="0030231E"/>
    <w:rsid w:val="003042C4"/>
    <w:rsid w:val="00304CB4"/>
    <w:rsid w:val="00307B38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522BB"/>
    <w:rsid w:val="00352F6C"/>
    <w:rsid w:val="003556EA"/>
    <w:rsid w:val="00364377"/>
    <w:rsid w:val="00377ABB"/>
    <w:rsid w:val="003818BE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4393"/>
    <w:rsid w:val="003F49E4"/>
    <w:rsid w:val="003F4D2F"/>
    <w:rsid w:val="003F5E32"/>
    <w:rsid w:val="003F75F6"/>
    <w:rsid w:val="00404670"/>
    <w:rsid w:val="00414CA0"/>
    <w:rsid w:val="00416E32"/>
    <w:rsid w:val="00422F54"/>
    <w:rsid w:val="0043024C"/>
    <w:rsid w:val="00431516"/>
    <w:rsid w:val="004358F8"/>
    <w:rsid w:val="004361B3"/>
    <w:rsid w:val="00441689"/>
    <w:rsid w:val="0044249D"/>
    <w:rsid w:val="00443200"/>
    <w:rsid w:val="0044379F"/>
    <w:rsid w:val="00446FB1"/>
    <w:rsid w:val="0046078F"/>
    <w:rsid w:val="00463214"/>
    <w:rsid w:val="0046434D"/>
    <w:rsid w:val="004656FA"/>
    <w:rsid w:val="00467EE5"/>
    <w:rsid w:val="00471D77"/>
    <w:rsid w:val="00475587"/>
    <w:rsid w:val="00480BC2"/>
    <w:rsid w:val="00490DD6"/>
    <w:rsid w:val="004929C2"/>
    <w:rsid w:val="00493FDD"/>
    <w:rsid w:val="0049586B"/>
    <w:rsid w:val="004A3E44"/>
    <w:rsid w:val="004A7983"/>
    <w:rsid w:val="004B2896"/>
    <w:rsid w:val="004B32A3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1421F"/>
    <w:rsid w:val="00527CDB"/>
    <w:rsid w:val="005317FB"/>
    <w:rsid w:val="005341C9"/>
    <w:rsid w:val="005369CA"/>
    <w:rsid w:val="00536DE9"/>
    <w:rsid w:val="00540668"/>
    <w:rsid w:val="00541E08"/>
    <w:rsid w:val="0055789A"/>
    <w:rsid w:val="005622B4"/>
    <w:rsid w:val="005652D1"/>
    <w:rsid w:val="005660A0"/>
    <w:rsid w:val="00566A4F"/>
    <w:rsid w:val="00567D64"/>
    <w:rsid w:val="00572BC2"/>
    <w:rsid w:val="0059275E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7638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6C10"/>
    <w:rsid w:val="00647D2A"/>
    <w:rsid w:val="006537BB"/>
    <w:rsid w:val="0065711B"/>
    <w:rsid w:val="00665010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97DB0"/>
    <w:rsid w:val="006A02B7"/>
    <w:rsid w:val="006A02EC"/>
    <w:rsid w:val="006B1370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534F8"/>
    <w:rsid w:val="007545AD"/>
    <w:rsid w:val="00761ACF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B0867"/>
    <w:rsid w:val="007B1AC1"/>
    <w:rsid w:val="007B5A08"/>
    <w:rsid w:val="007B693D"/>
    <w:rsid w:val="007D0338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31AAB"/>
    <w:rsid w:val="0083574E"/>
    <w:rsid w:val="0083640C"/>
    <w:rsid w:val="0084157B"/>
    <w:rsid w:val="00842BFB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757C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4D22"/>
    <w:rsid w:val="00947889"/>
    <w:rsid w:val="0095405B"/>
    <w:rsid w:val="00960E98"/>
    <w:rsid w:val="00963A82"/>
    <w:rsid w:val="00972912"/>
    <w:rsid w:val="00972CA0"/>
    <w:rsid w:val="00976D1F"/>
    <w:rsid w:val="00981C81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29E"/>
    <w:rsid w:val="009D79D2"/>
    <w:rsid w:val="009E247C"/>
    <w:rsid w:val="009E31BA"/>
    <w:rsid w:val="009E413A"/>
    <w:rsid w:val="009F0528"/>
    <w:rsid w:val="009F0806"/>
    <w:rsid w:val="009F0B47"/>
    <w:rsid w:val="009F233B"/>
    <w:rsid w:val="00A05D16"/>
    <w:rsid w:val="00A0659F"/>
    <w:rsid w:val="00A079BA"/>
    <w:rsid w:val="00A33875"/>
    <w:rsid w:val="00A360A1"/>
    <w:rsid w:val="00A402B3"/>
    <w:rsid w:val="00A45F07"/>
    <w:rsid w:val="00A544B7"/>
    <w:rsid w:val="00A618CF"/>
    <w:rsid w:val="00A62770"/>
    <w:rsid w:val="00A62EEB"/>
    <w:rsid w:val="00A660FF"/>
    <w:rsid w:val="00A6625A"/>
    <w:rsid w:val="00A66266"/>
    <w:rsid w:val="00A67570"/>
    <w:rsid w:val="00A73395"/>
    <w:rsid w:val="00A82B4C"/>
    <w:rsid w:val="00A92F9F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AF63F9"/>
    <w:rsid w:val="00B01386"/>
    <w:rsid w:val="00B01BB5"/>
    <w:rsid w:val="00B03560"/>
    <w:rsid w:val="00B04AF4"/>
    <w:rsid w:val="00B05214"/>
    <w:rsid w:val="00B0736F"/>
    <w:rsid w:val="00B12479"/>
    <w:rsid w:val="00B30D97"/>
    <w:rsid w:val="00B31738"/>
    <w:rsid w:val="00B3181A"/>
    <w:rsid w:val="00B35A7C"/>
    <w:rsid w:val="00B450D1"/>
    <w:rsid w:val="00B521D5"/>
    <w:rsid w:val="00B53D47"/>
    <w:rsid w:val="00B54A25"/>
    <w:rsid w:val="00B60BF9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87C7E"/>
    <w:rsid w:val="00B93668"/>
    <w:rsid w:val="00BA68C6"/>
    <w:rsid w:val="00BB12F1"/>
    <w:rsid w:val="00BB276E"/>
    <w:rsid w:val="00BB3FEE"/>
    <w:rsid w:val="00BB45C2"/>
    <w:rsid w:val="00BB5EB0"/>
    <w:rsid w:val="00BB7A27"/>
    <w:rsid w:val="00BC245A"/>
    <w:rsid w:val="00BC340C"/>
    <w:rsid w:val="00BC444C"/>
    <w:rsid w:val="00BD16FA"/>
    <w:rsid w:val="00BD3B50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B6BC1"/>
    <w:rsid w:val="00CB7021"/>
    <w:rsid w:val="00CD3294"/>
    <w:rsid w:val="00CD4524"/>
    <w:rsid w:val="00CD784D"/>
    <w:rsid w:val="00CF2A6C"/>
    <w:rsid w:val="00CF40F8"/>
    <w:rsid w:val="00D008DA"/>
    <w:rsid w:val="00D0110F"/>
    <w:rsid w:val="00D0416F"/>
    <w:rsid w:val="00D05851"/>
    <w:rsid w:val="00D10FED"/>
    <w:rsid w:val="00D11736"/>
    <w:rsid w:val="00D12EE8"/>
    <w:rsid w:val="00D15695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843F4"/>
    <w:rsid w:val="00DB0A32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3956"/>
    <w:rsid w:val="00EA5571"/>
    <w:rsid w:val="00EC02A5"/>
    <w:rsid w:val="00EC176B"/>
    <w:rsid w:val="00EC33CD"/>
    <w:rsid w:val="00EC5A0C"/>
    <w:rsid w:val="00EC5BE5"/>
    <w:rsid w:val="00ED2650"/>
    <w:rsid w:val="00ED721A"/>
    <w:rsid w:val="00EE393D"/>
    <w:rsid w:val="00EE4CDE"/>
    <w:rsid w:val="00EF01CF"/>
    <w:rsid w:val="00EF6A66"/>
    <w:rsid w:val="00EF7AF9"/>
    <w:rsid w:val="00F01495"/>
    <w:rsid w:val="00F01EE6"/>
    <w:rsid w:val="00F07F1A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692"/>
    <w:rsid w:val="00FB78DD"/>
    <w:rsid w:val="00FB7E15"/>
    <w:rsid w:val="00FC015E"/>
    <w:rsid w:val="00FC125E"/>
    <w:rsid w:val="00FC3EF3"/>
    <w:rsid w:val="00FD0E68"/>
    <w:rsid w:val="00FD2049"/>
    <w:rsid w:val="00FD2140"/>
    <w:rsid w:val="00FD5BDE"/>
    <w:rsid w:val="00FD5D45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A67570"/>
    <w:pPr>
      <w:tabs>
        <w:tab w:val="left" w:pos="5580"/>
      </w:tabs>
      <w:jc w:val="both"/>
    </w:pPr>
    <w:rPr>
      <w:rFonts w:ascii="Times New Roman" w:eastAsia="Times New Roman" w:hAnsi="Times New Roman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A67570"/>
    <w:rPr>
      <w:rFonts w:ascii="Times New Roman" w:eastAsia="Times New Roman" w:hAnsi="Times New Roman"/>
      <w:sz w:val="22"/>
      <w:szCs w:val="24"/>
      <w:lang w:val="el-G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hristodoul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kypridakis@cystat.mof.gov.c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ystat.gov.cy/en/KeyFiguresList?s=31&amp;tID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31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en-US" sz="1100">
                <a:latin typeface="Verdana" pitchFamily="34" charset="0"/>
                <a:ea typeface="Verdana" pitchFamily="34" charset="0"/>
                <a:cs typeface="Verdana" pitchFamily="34" charset="0"/>
              </a:rPr>
              <a:t>Production Value</a:t>
            </a:r>
            <a:r>
              <a:rPr lang="en-US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, Value Added and New Construction</a:t>
            </a:r>
          </a:p>
          <a:p>
            <a:pPr algn="ctr"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el-G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2008-20</a:t>
            </a:r>
            <a:r>
              <a:rPr lang="en-US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20</a:t>
            </a:r>
            <a:endParaRPr lang="en-US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layout>
        <c:manualLayout>
          <c:xMode val="edge"/>
          <c:yMode val="edge"/>
          <c:x val="0.15961806209630494"/>
          <c:y val="1.3147216312569699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0957965674488866"/>
          <c:y val="0.15872058892046786"/>
          <c:w val="0.81543080434414861"/>
          <c:h val="0.628419139915202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'en data'!$A$2</c:f>
              <c:strCache>
                <c:ptCount val="1"/>
                <c:pt idx="0">
                  <c:v>Value Added 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invertIfNegative val="0"/>
          <c:cat>
            <c:numRef>
              <c:f>'en data'!$B$1:$N$1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'en data'!$B$2:$N$2</c:f>
              <c:numCache>
                <c:formatCode>#,##0.0</c:formatCode>
                <c:ptCount val="13"/>
                <c:pt idx="0">
                  <c:v>2109.4</c:v>
                </c:pt>
                <c:pt idx="1">
                  <c:v>1748.8000000000002</c:v>
                </c:pt>
                <c:pt idx="2">
                  <c:v>1492.9</c:v>
                </c:pt>
                <c:pt idx="3">
                  <c:v>1229.5</c:v>
                </c:pt>
                <c:pt idx="4">
                  <c:v>947.8</c:v>
                </c:pt>
                <c:pt idx="5">
                  <c:v>607.5</c:v>
                </c:pt>
                <c:pt idx="6">
                  <c:v>506.5</c:v>
                </c:pt>
                <c:pt idx="7">
                  <c:v>509.5</c:v>
                </c:pt>
                <c:pt idx="8">
                  <c:v>629</c:v>
                </c:pt>
                <c:pt idx="9">
                  <c:v>803.3</c:v>
                </c:pt>
                <c:pt idx="10">
                  <c:v>958.1</c:v>
                </c:pt>
                <c:pt idx="11">
                  <c:v>1165.5999999999999</c:v>
                </c:pt>
                <c:pt idx="12">
                  <c:v>1119.5999999999999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A9-407B-AF45-758758901EE0}"/>
            </c:ext>
          </c:extLst>
        </c:ser>
        <c:ser>
          <c:idx val="0"/>
          <c:order val="1"/>
          <c:tx>
            <c:strRef>
              <c:f>'en data'!$A$3</c:f>
              <c:strCache>
                <c:ptCount val="1"/>
                <c:pt idx="0">
                  <c:v>Production Value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invertIfNegative val="0"/>
          <c:cat>
            <c:numRef>
              <c:f>'en data'!$B$1:$N$1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'en data'!$B$3:$N$3</c:f>
              <c:numCache>
                <c:formatCode>#,##0.0</c:formatCode>
                <c:ptCount val="13"/>
                <c:pt idx="0">
                  <c:v>4931.3999999999996</c:v>
                </c:pt>
                <c:pt idx="1">
                  <c:v>3960.6</c:v>
                </c:pt>
                <c:pt idx="2">
                  <c:v>3802.3</c:v>
                </c:pt>
                <c:pt idx="3">
                  <c:v>3255.1</c:v>
                </c:pt>
                <c:pt idx="4">
                  <c:v>2637.7999999999997</c:v>
                </c:pt>
                <c:pt idx="5">
                  <c:v>1893.5</c:v>
                </c:pt>
                <c:pt idx="6">
                  <c:v>1716.1</c:v>
                </c:pt>
                <c:pt idx="7">
                  <c:v>1756.8999999999999</c:v>
                </c:pt>
                <c:pt idx="8">
                  <c:v>2146.9</c:v>
                </c:pt>
                <c:pt idx="9">
                  <c:v>2838.8999999999996</c:v>
                </c:pt>
                <c:pt idx="10">
                  <c:v>3578</c:v>
                </c:pt>
                <c:pt idx="11">
                  <c:v>4302.2</c:v>
                </c:pt>
                <c:pt idx="12">
                  <c:v>4294.6000000000004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A9-407B-AF45-758758901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244864"/>
        <c:axId val="74246784"/>
      </c:barChart>
      <c:lineChart>
        <c:grouping val="stacked"/>
        <c:varyColors val="0"/>
        <c:ser>
          <c:idx val="2"/>
          <c:order val="2"/>
          <c:tx>
            <c:strRef>
              <c:f>'en data'!$A$4</c:f>
              <c:strCache>
                <c:ptCount val="1"/>
                <c:pt idx="0">
                  <c:v>New Construction</c:v>
                </c:pt>
              </c:strCache>
            </c:strRef>
          </c:tx>
          <c:cat>
            <c:numRef>
              <c:f>'en data'!$B$1:$N$1</c:f>
              <c:numCache>
                <c:formatCode>General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'en data'!$B$4:$N$4</c:f>
              <c:numCache>
                <c:formatCode>#,##0.0</c:formatCode>
                <c:ptCount val="13"/>
                <c:pt idx="0">
                  <c:v>2988.5</c:v>
                </c:pt>
                <c:pt idx="1">
                  <c:v>2468.8000000000002</c:v>
                </c:pt>
                <c:pt idx="2">
                  <c:v>2347.6</c:v>
                </c:pt>
                <c:pt idx="3">
                  <c:v>1958.7</c:v>
                </c:pt>
                <c:pt idx="4">
                  <c:v>1496.5</c:v>
                </c:pt>
                <c:pt idx="5">
                  <c:v>1106.3</c:v>
                </c:pt>
                <c:pt idx="6">
                  <c:v>917.4</c:v>
                </c:pt>
                <c:pt idx="7">
                  <c:v>935.1</c:v>
                </c:pt>
                <c:pt idx="8">
                  <c:v>1167.8</c:v>
                </c:pt>
                <c:pt idx="9">
                  <c:v>1511.3</c:v>
                </c:pt>
                <c:pt idx="10">
                  <c:v>2009.1</c:v>
                </c:pt>
                <c:pt idx="11">
                  <c:v>2468.1</c:v>
                </c:pt>
                <c:pt idx="12">
                  <c:v>2467.5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CA9-407B-AF45-758758901E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244864"/>
        <c:axId val="74246784"/>
      </c:lineChart>
      <c:catAx>
        <c:axId val="7424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en-CY"/>
          </a:p>
        </c:txPr>
        <c:crossAx val="74246784"/>
        <c:crosses val="autoZero"/>
        <c:auto val="1"/>
        <c:lblAlgn val="ctr"/>
        <c:lblOffset val="100"/>
        <c:noMultiLvlLbl val="0"/>
      </c:catAx>
      <c:valAx>
        <c:axId val="74246784"/>
        <c:scaling>
          <c:orientation val="minMax"/>
          <c:max val="5500"/>
          <c:min val="0"/>
        </c:scaling>
        <c:delete val="0"/>
        <c:axPos val="l"/>
        <c:majorGridlines>
          <c:spPr>
            <a:ln>
              <a:solidFill>
                <a:sysClr val="windowText" lastClr="000000">
                  <a:alpha val="20000"/>
                </a:sysClr>
              </a:solidFill>
            </a:ln>
          </c:spPr>
        </c:majorGridlines>
        <c:title>
          <c:tx>
            <c:rich>
              <a:bodyPr rot="0" vert="horz"/>
              <a:lstStyle/>
              <a:p>
                <a:pPr>
                  <a:defRPr sz="900">
                    <a:latin typeface="Verdana" pitchFamily="34" charset="0"/>
                    <a:ea typeface="Verdana" pitchFamily="34" charset="0"/>
                    <a:cs typeface="Verdana" pitchFamily="34" charset="0"/>
                  </a:defRPr>
                </a:pPr>
                <a:r>
                  <a:rPr lang="el-GR" sz="900">
                    <a:latin typeface="Verdana" pitchFamily="34" charset="0"/>
                    <a:ea typeface="Verdana" pitchFamily="34" charset="0"/>
                    <a:cs typeface="Verdana" pitchFamily="34" charset="0"/>
                  </a:rPr>
                  <a:t>€εκ.</a:t>
                </a:r>
                <a:endParaRPr lang="en-US" sz="900">
                  <a:latin typeface="Verdana" pitchFamily="34" charset="0"/>
                  <a:ea typeface="Verdana" pitchFamily="34" charset="0"/>
                  <a:cs typeface="Verdana" pitchFamily="34" charset="0"/>
                </a:endParaRPr>
              </a:p>
            </c:rich>
          </c:tx>
          <c:layout>
            <c:manualLayout>
              <c:xMode val="edge"/>
              <c:yMode val="edge"/>
              <c:x val="3.6824942336753388E-2"/>
              <c:y val="7.3308183743913083E-2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ln>
            <a:solidFill>
              <a:sysClr val="windowText" lastClr="000000">
                <a:alpha val="50000"/>
              </a:sysClr>
            </a:solidFill>
          </a:ln>
        </c:spPr>
        <c:txPr>
          <a:bodyPr/>
          <a:lstStyle/>
          <a:p>
            <a:pPr>
              <a:defRPr sz="9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endParaRPr lang="en-CY"/>
          </a:p>
        </c:txPr>
        <c:crossAx val="74244864"/>
        <c:crosses val="autoZero"/>
        <c:crossBetween val="between"/>
        <c:majorUnit val="500"/>
        <c:minorUnit val="100"/>
      </c:valAx>
    </c:plotArea>
    <c:legend>
      <c:legendPos val="r"/>
      <c:layout>
        <c:manualLayout>
          <c:xMode val="edge"/>
          <c:yMode val="edge"/>
          <c:x val="0.20725380619288625"/>
          <c:y val="0.88756588858345353"/>
          <c:w val="0.74736842105263157"/>
          <c:h val="0.11243405140955279"/>
        </c:manualLayout>
      </c:layout>
      <c:overlay val="0"/>
      <c:txPr>
        <a:bodyPr/>
        <a:lstStyle/>
        <a:p>
          <a:pPr>
            <a:defRPr sz="900">
              <a:latin typeface="Verdana" pitchFamily="34" charset="0"/>
              <a:ea typeface="Verdana" pitchFamily="34" charset="0"/>
              <a:cs typeface="Verdana" pitchFamily="34" charset="0"/>
            </a:defRPr>
          </a:pPr>
          <a:endParaRPr lang="en-CY"/>
        </a:p>
      </c:txPr>
    </c:legend>
    <c:plotVisOnly val="1"/>
    <c:dispBlanksAs val="gap"/>
    <c:showDLblsOverMax val="0"/>
  </c:chart>
  <c:spPr>
    <a:ln>
      <a:solidFill>
        <a:srgbClr val="1F497D">
          <a:lumMod val="40000"/>
          <a:lumOff val="60000"/>
          <a:alpha val="75000"/>
        </a:srgbClr>
      </a:solidFill>
    </a:ln>
  </c:spPr>
  <c:txPr>
    <a:bodyPr/>
    <a:lstStyle/>
    <a:p>
      <a:pPr>
        <a:defRPr sz="1100"/>
      </a:pPr>
      <a:endParaRPr lang="en-CY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8</cp:revision>
  <cp:lastPrinted>2022-07-07T10:37:00Z</cp:lastPrinted>
  <dcterms:created xsi:type="dcterms:W3CDTF">2022-07-08T08:35:00Z</dcterms:created>
  <dcterms:modified xsi:type="dcterms:W3CDTF">2022-07-12T08:42:00Z</dcterms:modified>
</cp:coreProperties>
</file>