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3283" w14:textId="3E1E455E" w:rsidR="007437AB" w:rsidRPr="00266F1F" w:rsidRDefault="007437AB" w:rsidP="000E4CB0">
      <w:pPr>
        <w:jc w:val="both"/>
        <w:rPr>
          <w:rFonts w:ascii="Verdana" w:hAnsi="Verdana" w:cs="Arial"/>
          <w:sz w:val="18"/>
          <w:szCs w:val="18"/>
        </w:rPr>
      </w:pPr>
    </w:p>
    <w:p w14:paraId="650D9480" w14:textId="64B824A4" w:rsidR="006022B5" w:rsidRDefault="004F63F8" w:rsidP="00BF1E44">
      <w:pPr>
        <w:tabs>
          <w:tab w:val="left" w:pos="1080"/>
          <w:tab w:val="left" w:pos="7088"/>
        </w:tabs>
        <w:ind w:right="283"/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7</w:t>
      </w:r>
      <w:r w:rsidR="00C66112" w:rsidRPr="007F16C5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Μαΐου</w:t>
      </w:r>
      <w:r w:rsidR="006022B5" w:rsidRPr="006022B5"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7E3256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0D680384" w14:textId="77777777" w:rsidR="00BF1E44" w:rsidRDefault="00BF1E44" w:rsidP="00BF1E44">
      <w:pPr>
        <w:tabs>
          <w:tab w:val="left" w:pos="1080"/>
          <w:tab w:val="left" w:pos="7088"/>
        </w:tabs>
        <w:ind w:right="283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56EBF85B" w14:textId="77777777" w:rsidR="00BF1E44" w:rsidRDefault="00BF1E44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06071BA9" w14:textId="30D086A5" w:rsidR="006022B5" w:rsidRPr="006022B5" w:rsidRDefault="006022B5" w:rsidP="006022B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6022B5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  <w:r w:rsidR="00307F45" w:rsidRPr="00307F45">
        <w:rPr>
          <w:rFonts w:ascii="Verdana" w:eastAsia="Malgun Gothic" w:hAnsi="Verdana" w:cs="Arial"/>
          <w:b/>
          <w:sz w:val="24"/>
          <w:szCs w:val="24"/>
          <w:lang w:val="el-GR"/>
        </w:rPr>
        <w:t xml:space="preserve"> </w:t>
      </w:r>
    </w:p>
    <w:p w14:paraId="59BCE7C7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3F149EC6" w14:textId="77777777" w:rsidR="006022B5" w:rsidRPr="00A36D89" w:rsidRDefault="006022B5" w:rsidP="006022B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151BF7D6" w14:textId="0312421A" w:rsidR="006022B5" w:rsidRPr="008E1127" w:rsidRDefault="006022B5" w:rsidP="006022B5">
      <w:pPr>
        <w:keepNext/>
        <w:tabs>
          <w:tab w:val="left" w:pos="6840"/>
        </w:tabs>
        <w:outlineLvl w:val="5"/>
        <w:rPr>
          <w:rFonts w:ascii="Verdana" w:eastAsia="Malgun Gothic" w:hAnsi="Verdana" w:cs="Arial"/>
          <w:b/>
          <w:bCs/>
          <w:u w:val="single"/>
          <w:lang w:val="el-GR"/>
        </w:rPr>
      </w:pPr>
      <w:r w:rsidRPr="006022B5">
        <w:rPr>
          <w:rFonts w:ascii="Verdana" w:eastAsia="Malgun Gothic" w:hAnsi="Verdana" w:cs="Arial"/>
          <w:bCs/>
          <w:u w:val="single"/>
          <w:lang w:val="x-none"/>
        </w:rPr>
        <w:t>ΔΕΙΚΤΗΣ ΤΙΜΩΝ ΚΑΤΑΝΑΛΩΤΗ(ΔΤΚ):</w:t>
      </w:r>
      <w:r w:rsidR="004F63F8">
        <w:rPr>
          <w:rFonts w:ascii="Verdana" w:eastAsia="Malgun Gothic" w:hAnsi="Verdana" w:cs="Arial"/>
          <w:b/>
          <w:u w:val="single"/>
          <w:lang w:val="el-GR"/>
        </w:rPr>
        <w:t xml:space="preserve"> ΑΠΡΙΛΙΟΣ</w:t>
      </w:r>
      <w:r w:rsidR="00FF18DE">
        <w:rPr>
          <w:rFonts w:ascii="Verdana" w:eastAsia="Malgun Gothic" w:hAnsi="Verdana" w:cs="Arial"/>
          <w:b/>
          <w:u w:val="single"/>
          <w:lang w:val="el-GR"/>
        </w:rPr>
        <w:t xml:space="preserve"> </w:t>
      </w:r>
      <w:r w:rsidR="00403BEB">
        <w:rPr>
          <w:rFonts w:ascii="Verdana" w:eastAsia="Malgun Gothic" w:hAnsi="Verdana" w:cs="Arial"/>
          <w:b/>
          <w:u w:val="single"/>
          <w:lang w:val="x-none"/>
        </w:rPr>
        <w:t>2026</w:t>
      </w:r>
    </w:p>
    <w:p w14:paraId="6CFF816A" w14:textId="77777777" w:rsidR="006022B5" w:rsidRPr="00394E48" w:rsidRDefault="006022B5" w:rsidP="006022B5">
      <w:pPr>
        <w:rPr>
          <w:rFonts w:ascii="Verdana" w:eastAsia="Malgun Gothic" w:hAnsi="Verdana" w:cs="Arial"/>
          <w:lang w:val="el-GR"/>
        </w:rPr>
      </w:pPr>
    </w:p>
    <w:p w14:paraId="32482F3F" w14:textId="7D5E2B12" w:rsidR="006022B5" w:rsidRPr="006022B5" w:rsidRDefault="00943296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>Πληθωρισμός</w:t>
      </w:r>
      <w:r w:rsidR="00FF4D3B">
        <w:rPr>
          <w:rFonts w:ascii="Verdana" w:eastAsia="Malgun Gothic" w:hAnsi="Verdana" w:cs="Arial"/>
          <w:b/>
          <w:lang w:val="el-GR"/>
        </w:rPr>
        <w:t xml:space="preserve"> </w:t>
      </w:r>
      <w:r w:rsidR="00087AC6">
        <w:rPr>
          <w:rFonts w:ascii="Verdana" w:eastAsia="Malgun Gothic" w:hAnsi="Verdana" w:cs="Arial"/>
          <w:b/>
          <w:lang w:val="el-GR"/>
        </w:rPr>
        <w:t>2</w:t>
      </w:r>
      <w:r w:rsidR="00E53455">
        <w:rPr>
          <w:rFonts w:ascii="Verdana" w:eastAsia="Malgun Gothic" w:hAnsi="Verdana" w:cs="Arial"/>
          <w:b/>
          <w:lang w:val="el-GR"/>
        </w:rPr>
        <w:t>,</w:t>
      </w:r>
      <w:r w:rsidR="00087AC6">
        <w:rPr>
          <w:rFonts w:ascii="Verdana" w:eastAsia="Malgun Gothic" w:hAnsi="Verdana" w:cs="Arial"/>
          <w:b/>
          <w:lang w:val="el-GR"/>
        </w:rPr>
        <w:t>8</w:t>
      </w:r>
      <w:r w:rsidR="006022B5" w:rsidRPr="006022B5">
        <w:rPr>
          <w:rFonts w:ascii="Verdana" w:eastAsia="Malgun Gothic" w:hAnsi="Verdana" w:cs="Arial"/>
          <w:b/>
          <w:lang w:val="el-GR"/>
        </w:rPr>
        <w:t>%</w:t>
      </w:r>
    </w:p>
    <w:p w14:paraId="3E882D76" w14:textId="77777777" w:rsidR="00394E48" w:rsidRPr="00394E48" w:rsidRDefault="00394E48" w:rsidP="006022B5">
      <w:pPr>
        <w:tabs>
          <w:tab w:val="left" w:pos="1080"/>
          <w:tab w:val="left" w:pos="6840"/>
        </w:tabs>
        <w:jc w:val="both"/>
        <w:rPr>
          <w:rFonts w:ascii="Arial" w:hAnsi="Arial" w:cs="Arial"/>
          <w:lang w:val="el-GR"/>
        </w:rPr>
      </w:pPr>
    </w:p>
    <w:p w14:paraId="131CCE1B" w14:textId="6DD71D98" w:rsidR="006022B5" w:rsidRPr="00604B95" w:rsidRDefault="006022B5" w:rsidP="001C528B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04B95">
        <w:rPr>
          <w:rFonts w:ascii="Verdana" w:eastAsia="Malgun Gothic" w:hAnsi="Verdana" w:cs="Arial"/>
          <w:sz w:val="18"/>
          <w:szCs w:val="18"/>
          <w:lang w:val="el-GR"/>
        </w:rPr>
        <w:t>Ο Δείκτης Τιμών Καταναλωτή τον</w:t>
      </w:r>
      <w:r w:rsidR="00A011ED" w:rsidRPr="00A011ED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5122E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A777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87BC9">
        <w:rPr>
          <w:rFonts w:ascii="Verdana" w:eastAsia="Malgun Gothic" w:hAnsi="Verdana" w:cs="Arial"/>
          <w:sz w:val="18"/>
          <w:szCs w:val="18"/>
          <w:lang w:val="el-GR"/>
        </w:rPr>
        <w:t>αυξήθηκε</w:t>
      </w:r>
      <w:r w:rsidR="00673C1C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κατά </w:t>
      </w:r>
      <w:r w:rsidR="00687BC9" w:rsidRPr="00087AC6">
        <w:rPr>
          <w:rFonts w:ascii="Verdana" w:eastAsia="Malgun Gothic" w:hAnsi="Verdana" w:cs="Arial"/>
          <w:sz w:val="18"/>
          <w:szCs w:val="18"/>
          <w:lang w:val="el-GR"/>
        </w:rPr>
        <w:t>1,</w:t>
      </w:r>
      <w:r w:rsidR="00E5122E" w:rsidRPr="00087AC6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087AC6" w:rsidRPr="00087AC6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DA497B" w:rsidRPr="00087AC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A497B" w:rsidRPr="00604B95">
        <w:rPr>
          <w:rFonts w:ascii="Verdana" w:eastAsia="Malgun Gothic" w:hAnsi="Verdana" w:cs="Arial"/>
          <w:sz w:val="18"/>
          <w:szCs w:val="18"/>
          <w:lang w:val="el-GR"/>
        </w:rPr>
        <w:t>μ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ονάδες και έφτασε στις </w:t>
      </w:r>
      <w:r w:rsidR="00687BC9" w:rsidRPr="00087AC6">
        <w:rPr>
          <w:rFonts w:ascii="Verdana" w:eastAsia="Malgun Gothic" w:hAnsi="Verdana" w:cs="Arial"/>
          <w:sz w:val="18"/>
          <w:szCs w:val="18"/>
          <w:lang w:val="el-GR"/>
        </w:rPr>
        <w:t>10</w:t>
      </w:r>
      <w:r w:rsidR="00087AC6" w:rsidRPr="00087AC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8F4F9A" w:rsidRPr="00087A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087AC6" w:rsidRPr="00087AC6">
        <w:rPr>
          <w:rFonts w:ascii="Verdana" w:eastAsia="Malgun Gothic" w:hAnsi="Verdana" w:cs="Arial"/>
          <w:sz w:val="18"/>
          <w:szCs w:val="18"/>
          <w:lang w:val="el-GR"/>
        </w:rPr>
        <w:t>80</w:t>
      </w:r>
      <w:r w:rsidRPr="00087AC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μονάδες σε σύγκριση </w:t>
      </w:r>
      <w:r w:rsidRPr="00087AC6">
        <w:rPr>
          <w:rFonts w:ascii="Verdana" w:eastAsia="Malgun Gothic" w:hAnsi="Verdana" w:cs="Arial"/>
          <w:sz w:val="18"/>
          <w:szCs w:val="18"/>
          <w:lang w:val="el-GR"/>
        </w:rPr>
        <w:t xml:space="preserve">με </w:t>
      </w:r>
      <w:r w:rsidR="00087AC6" w:rsidRPr="00087AC6">
        <w:rPr>
          <w:rFonts w:ascii="Verdana" w:eastAsia="Malgun Gothic" w:hAnsi="Verdana" w:cs="Arial"/>
          <w:sz w:val="18"/>
          <w:szCs w:val="18"/>
          <w:lang w:val="el-GR"/>
        </w:rPr>
        <w:t xml:space="preserve">101,07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μονάδες τον</w:t>
      </w:r>
      <w:r w:rsidR="00896155"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75B72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5134DB" w:rsidRPr="005134D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Ο πληθωρισμός </w:t>
      </w:r>
      <w:r w:rsidR="00E53D4F">
        <w:rPr>
          <w:rFonts w:ascii="Verdana" w:eastAsia="Malgun Gothic" w:hAnsi="Verdana" w:cs="Arial"/>
          <w:sz w:val="18"/>
          <w:szCs w:val="18"/>
          <w:lang w:val="el-GR"/>
        </w:rPr>
        <w:t>τον</w:t>
      </w:r>
      <w:r w:rsidR="00575B72">
        <w:rPr>
          <w:rFonts w:ascii="Verdana" w:eastAsia="Malgun Gothic" w:hAnsi="Verdana" w:cs="Arial"/>
          <w:sz w:val="18"/>
          <w:szCs w:val="18"/>
          <w:lang w:val="el-GR"/>
        </w:rPr>
        <w:t xml:space="preserve"> Απρίλιο</w:t>
      </w:r>
      <w:r w:rsidR="00527EA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 xml:space="preserve">6 αυξήθηκε με ρυθμό </w:t>
      </w:r>
      <w:r w:rsidR="00087AC6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087AC6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9A790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604B95">
        <w:rPr>
          <w:rFonts w:ascii="Verdana" w:eastAsia="Malgun Gothic" w:hAnsi="Verdana" w:cs="Arial"/>
          <w:sz w:val="18"/>
          <w:szCs w:val="18"/>
          <w:lang w:val="el-GR"/>
        </w:rPr>
        <w:t xml:space="preserve"> (Πίνακας 1)</w:t>
      </w:r>
    </w:p>
    <w:p w14:paraId="531B97C2" w14:textId="77777777" w:rsidR="006022B5" w:rsidRPr="00D043B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9C38A9A" w14:textId="77777777" w:rsidR="00527EAE" w:rsidRPr="00F07B9A" w:rsidRDefault="00527EA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17B7C02" w14:textId="5C223AE6" w:rsidR="00A63680" w:rsidRPr="00FF18DE" w:rsidRDefault="006E7330" w:rsidP="00142C0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26DADE6A" wp14:editId="338DA5E6">
            <wp:extent cx="6090285" cy="4188460"/>
            <wp:effectExtent l="0" t="0" r="5715" b="2540"/>
            <wp:docPr id="4404245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418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A2430" w14:textId="498E5D7D" w:rsidR="00A63680" w:rsidRPr="00C80D18" w:rsidRDefault="00A63680" w:rsidP="0004388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E994513" w14:textId="77777777" w:rsidR="00C87829" w:rsidRPr="00604B95" w:rsidRDefault="00C87829" w:rsidP="00750AF4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F7ED83" w14:textId="153282C0" w:rsidR="00394E48" w:rsidRPr="00EF35E9" w:rsidRDefault="00DD68D0" w:rsidP="00765BDC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Οι μεγαλύτερες αυξήσεις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συγκριτικά με τον 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085368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8F4F9A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σημειώθη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καν στις οικονομικές κατηγορίες </w:t>
      </w:r>
      <w:r w:rsidR="00AB58AA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18</w:t>
      </w:r>
      <w:r w:rsidR="00EF35E9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3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%)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και </w:t>
      </w:r>
      <w:r w:rsidRPr="0003098E">
        <w:rPr>
          <w:rFonts w:ascii="Verdana" w:eastAsia="Malgun Gothic" w:hAnsi="Verdana" w:cs="Arial"/>
          <w:i/>
          <w:iCs/>
          <w:sz w:val="18"/>
          <w:szCs w:val="18"/>
          <w:lang w:val="el-GR"/>
        </w:rPr>
        <w:t>Γεωργικά Προϊόντα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(9,6%)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ενώ 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μείωση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στ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>ον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A65EE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>Ηλεκτρισμό</w:t>
      </w:r>
      <w:r w:rsidR="00BE22C2" w:rsidRP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E22C2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και Νερό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(-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7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9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Σε σχέση με το</w:t>
      </w:r>
      <w:r w:rsidR="006F749E" w:rsidRPr="00EF35E9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DA65EE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202</w:t>
      </w:r>
      <w:r w:rsidR="00223AAB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η μεγαλύτερη </w:t>
      </w:r>
      <w:r>
        <w:rPr>
          <w:rFonts w:ascii="Verdana" w:eastAsia="Malgun Gothic" w:hAnsi="Verdana" w:cs="Arial"/>
          <w:sz w:val="18"/>
          <w:szCs w:val="18"/>
          <w:lang w:val="el-GR"/>
        </w:rPr>
        <w:t>αύξηση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καταγράφηκε στ</w:t>
      </w:r>
      <w:r w:rsidR="00553157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025B1F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>Πετρελαιοειδή</w:t>
      </w:r>
      <w:r w:rsidR="00624332" w:rsidRPr="00EF35E9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12</w:t>
      </w:r>
      <w:r w:rsidR="00624332" w:rsidRPr="00EF35E9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5D6F71" w:rsidRPr="00EF35E9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EB0179" w:rsidRPr="00EF35E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765BDC" w:rsidRPr="00EF35E9">
        <w:rPr>
          <w:rFonts w:ascii="Verdana" w:eastAsia="Malgun Gothic" w:hAnsi="Verdana" w:cs="Arial"/>
          <w:sz w:val="18"/>
          <w:szCs w:val="18"/>
          <w:lang w:val="el-GR"/>
        </w:rPr>
        <w:t xml:space="preserve"> (Πίνακας 2)</w:t>
      </w:r>
    </w:p>
    <w:p w14:paraId="6F527AE4" w14:textId="4A4166ED" w:rsidR="00370C47" w:rsidRDefault="00370C47">
      <w:pP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74873B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ACDBD" w14:textId="77777777" w:rsidR="009A66B7" w:rsidRDefault="009A66B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B98AA4B" w14:textId="4D41F080" w:rsidR="006022B5" w:rsidRPr="009A790C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lastRenderedPageBreak/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οσοστιαίων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εταβολών</w:t>
      </w:r>
    </w:p>
    <w:p w14:paraId="2AC9E779" w14:textId="686566F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Συγκριτικά με τον </w:t>
      </w:r>
      <w:r w:rsidR="00DB5F95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="00F65AE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9A66B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C63F9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οι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μεγαλύτερ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ές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παρατηρήθηκ</w:t>
      </w:r>
      <w:r w:rsidR="003D1843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2D32FA" w:rsidRPr="001559CE">
        <w:rPr>
          <w:rFonts w:ascii="Verdana" w:eastAsia="Malgun Gothic" w:hAnsi="Verdana" w:cs="Arial"/>
          <w:sz w:val="18"/>
          <w:szCs w:val="18"/>
          <w:lang w:val="el-GR"/>
        </w:rPr>
        <w:t>στ</w:t>
      </w:r>
      <w:r w:rsidR="00382E07" w:rsidRPr="001559CE">
        <w:rPr>
          <w:rFonts w:ascii="Verdana" w:eastAsia="Malgun Gothic" w:hAnsi="Verdana" w:cs="Arial"/>
          <w:sz w:val="18"/>
          <w:szCs w:val="18"/>
          <w:lang w:val="el-GR"/>
        </w:rPr>
        <w:t>ις</w:t>
      </w:r>
      <w:r w:rsidR="0036468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CC1544" w:rsidRPr="001559CE">
        <w:rPr>
          <w:rFonts w:ascii="Verdana" w:eastAsia="Malgun Gothic" w:hAnsi="Verdana" w:cs="Arial"/>
          <w:sz w:val="18"/>
          <w:szCs w:val="18"/>
          <w:lang w:val="el-GR"/>
        </w:rPr>
        <w:t>κατηγορίες</w:t>
      </w:r>
      <w:r w:rsidR="00EF27E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BD15D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BD15DE">
        <w:rPr>
          <w:rFonts w:ascii="Verdana" w:eastAsia="Malgun Gothic" w:hAnsi="Verdana" w:cs="Arial"/>
          <w:sz w:val="18"/>
          <w:szCs w:val="18"/>
          <w:lang w:val="el-GR"/>
        </w:rPr>
        <w:t xml:space="preserve">(8,2%), </w:t>
      </w:r>
      <w:r w:rsidR="00BD15DE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BD15DE" w:rsidRPr="001559CE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BD15D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(</w:t>
      </w:r>
      <w:r w:rsidR="00BD15DE">
        <w:rPr>
          <w:rFonts w:ascii="Verdana" w:eastAsia="Malgun Gothic" w:hAnsi="Verdana" w:cs="Arial"/>
          <w:iCs/>
          <w:sz w:val="18"/>
          <w:szCs w:val="18"/>
          <w:lang w:val="el-GR"/>
        </w:rPr>
        <w:t>-5,3</w:t>
      </w:r>
      <w:r w:rsidR="00BD15DE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%), </w:t>
      </w:r>
      <w:r w:rsidR="00553157" w:rsidRPr="00553157">
        <w:rPr>
          <w:rFonts w:ascii="Verdana" w:eastAsia="Times New Roman" w:hAnsi="Verdana" w:cs="Arial"/>
          <w:i/>
          <w:iCs/>
          <w:sz w:val="18"/>
          <w:szCs w:val="18"/>
          <w:lang w:val="el-GR"/>
        </w:rPr>
        <w:t>Τρόφιμα και μη Αλκοολούχα Ποτά</w:t>
      </w:r>
      <w:r w:rsidR="00553157" w:rsidRPr="0055315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BD15DE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BD15DE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="00E7669F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995144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BD15DE"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Αναψυχή, Αθλητισμός και Πολιτισμός </w:t>
      </w:r>
      <w:r w:rsidR="00BD15DE">
        <w:rPr>
          <w:rFonts w:ascii="Verdana" w:eastAsia="Times New Roman" w:hAnsi="Verdana" w:cs="Arial"/>
          <w:sz w:val="18"/>
          <w:szCs w:val="18"/>
          <w:lang w:val="el-GR"/>
        </w:rPr>
        <w:t>(4,2</w:t>
      </w:r>
      <w:r w:rsidR="00364B87">
        <w:rPr>
          <w:rFonts w:ascii="Verdana" w:eastAsia="Times New Roman" w:hAnsi="Verdana" w:cs="Arial"/>
          <w:sz w:val="18"/>
          <w:szCs w:val="18"/>
          <w:lang w:val="el-GR"/>
        </w:rPr>
        <w:t>%</w:t>
      </w:r>
      <w:r w:rsidR="00BD15DE">
        <w:rPr>
          <w:rFonts w:ascii="Verdana" w:eastAsia="Times New Roman" w:hAnsi="Verdana" w:cs="Arial"/>
          <w:sz w:val="18"/>
          <w:szCs w:val="18"/>
          <w:lang w:val="el-GR"/>
        </w:rPr>
        <w:t>)</w:t>
      </w:r>
      <w:r w:rsidR="00521FC4">
        <w:rPr>
          <w:rFonts w:ascii="Verdana" w:eastAsia="Times New Roman" w:hAnsi="Verdana" w:cs="Arial"/>
          <w:sz w:val="18"/>
          <w:szCs w:val="18"/>
          <w:lang w:val="el-GR"/>
        </w:rPr>
        <w:t xml:space="preserve"> και</w:t>
      </w:r>
      <w:r w:rsidR="00BD15DE">
        <w:rPr>
          <w:rFonts w:ascii="Verdana" w:eastAsia="Times New Roman" w:hAnsi="Verdana" w:cs="Arial"/>
          <w:sz w:val="18"/>
          <w:szCs w:val="18"/>
          <w:lang w:val="el-GR"/>
        </w:rPr>
        <w:t xml:space="preserve"> </w:t>
      </w:r>
      <w:r w:rsidR="00604B95" w:rsidRPr="001559CE">
        <w:rPr>
          <w:rFonts w:ascii="Verdana" w:eastAsia="Malgun Gothic" w:hAnsi="Verdana" w:cs="Arial"/>
          <w:i/>
          <w:sz w:val="18"/>
          <w:szCs w:val="18"/>
          <w:lang w:val="el-GR"/>
        </w:rPr>
        <w:t>Εκπα</w:t>
      </w:r>
      <w:r w:rsidR="00710F54">
        <w:rPr>
          <w:rFonts w:ascii="Verdana" w:eastAsia="Malgun Gothic" w:hAnsi="Verdana" w:cs="Arial"/>
          <w:i/>
          <w:sz w:val="18"/>
          <w:szCs w:val="18"/>
          <w:lang w:val="el-GR"/>
        </w:rPr>
        <w:t>ιδευτικές Υπηρεσίες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 xml:space="preserve"> (3,</w:t>
      </w:r>
      <w:r w:rsidR="009A66B7">
        <w:rPr>
          <w:rFonts w:ascii="Verdana" w:eastAsia="Malgun Gothic" w:hAnsi="Verdana" w:cs="Arial"/>
          <w:iCs/>
          <w:sz w:val="18"/>
          <w:szCs w:val="18"/>
          <w:lang w:val="el-GR"/>
        </w:rPr>
        <w:t>7</w:t>
      </w:r>
      <w:r w:rsidR="00604B95" w:rsidRPr="001559CE">
        <w:rPr>
          <w:rFonts w:ascii="Verdana" w:eastAsia="Malgun Gothic" w:hAnsi="Verdana" w:cs="Arial"/>
          <w:iCs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38066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1EC1D9E9" w14:textId="77777777" w:rsidR="006022B5" w:rsidRPr="001559CE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highlight w:val="yellow"/>
          <w:lang w:val="el-GR"/>
        </w:rPr>
      </w:pPr>
    </w:p>
    <w:p w14:paraId="0DD18807" w14:textId="66C1A6EE" w:rsidR="006022B5" w:rsidRPr="00783397" w:rsidRDefault="006022B5" w:rsidP="00C9529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i/>
          <w:iCs/>
          <w:sz w:val="18"/>
          <w:szCs w:val="18"/>
          <w:lang w:val="el-GR"/>
        </w:rPr>
      </w:pPr>
      <w:r w:rsidRPr="001559CE">
        <w:rPr>
          <w:rFonts w:ascii="Verdana" w:eastAsia="Malgun Gothic" w:hAnsi="Verdana" w:cs="Arial"/>
          <w:sz w:val="18"/>
          <w:szCs w:val="18"/>
          <w:lang w:val="el-GR"/>
        </w:rPr>
        <w:t>Σε σχέση με τον</w:t>
      </w:r>
      <w:r w:rsidR="00D703BD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21FC4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="008125E2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196A7C" w:rsidRPr="001559CE">
        <w:rPr>
          <w:rFonts w:ascii="Verdana" w:eastAsia="Malgun Gothic" w:hAnsi="Verdana" w:cs="Arial"/>
          <w:sz w:val="18"/>
          <w:szCs w:val="18"/>
          <w:lang w:val="el-GR"/>
        </w:rPr>
        <w:t>του 202</w:t>
      </w:r>
      <w:r w:rsidR="00BD438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οι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μεγαλύ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>τερ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5F3E17" w:rsidRPr="001559CE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μεταβολ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ές </w:t>
      </w:r>
      <w:r w:rsidR="006B7F67" w:rsidRPr="001559CE">
        <w:rPr>
          <w:rFonts w:ascii="Verdana" w:eastAsia="Malgun Gothic" w:hAnsi="Verdana" w:cs="Arial"/>
          <w:sz w:val="18"/>
          <w:szCs w:val="18"/>
          <w:lang w:val="el-GR"/>
        </w:rPr>
        <w:t>παρατηρήθηκ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6314AA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στις 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>κατηγορί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 xml:space="preserve">ες </w:t>
      </w:r>
      <w:r w:rsidR="00521FC4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521FC4">
        <w:rPr>
          <w:rFonts w:ascii="Verdana" w:eastAsia="Malgun Gothic" w:hAnsi="Verdana" w:cs="Arial"/>
          <w:sz w:val="18"/>
          <w:szCs w:val="18"/>
          <w:lang w:val="el-GR"/>
        </w:rPr>
        <w:t xml:space="preserve">(8,3%), </w:t>
      </w:r>
      <w:r w:rsidR="009A66B7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E61415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521FC4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521FC4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E3347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6A68F3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3F2979" w:rsidRPr="0021142C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3F2979" w:rsidRPr="0021142C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C95297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3F2979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="008E4DF7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3F2979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="00111708" w:rsidRPr="001559CE">
        <w:rPr>
          <w:rFonts w:ascii="Verdana" w:eastAsia="Malgun Gothic" w:hAnsi="Verdana" w:cs="Arial"/>
          <w:sz w:val="18"/>
          <w:szCs w:val="18"/>
          <w:lang w:val="el-GR"/>
        </w:rPr>
        <w:t>%)</w:t>
      </w:r>
      <w:r w:rsidR="00EB0179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132903" w:rsidRPr="001559CE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559CE">
        <w:rPr>
          <w:rFonts w:ascii="Verdana" w:eastAsia="Malgun Gothic" w:hAnsi="Verdana" w:cs="Arial"/>
          <w:sz w:val="18"/>
          <w:szCs w:val="18"/>
          <w:lang w:val="el-GR"/>
        </w:rPr>
        <w:t>(Πίνακας 1)</w:t>
      </w:r>
    </w:p>
    <w:p w14:paraId="424F7C08" w14:textId="77777777" w:rsidR="006022B5" w:rsidRPr="00B06FC6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7CF4B42" w14:textId="75B42F1F" w:rsidR="006022B5" w:rsidRPr="001416BA" w:rsidRDefault="006022B5" w:rsidP="009A790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Ανάλυση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Ε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πιπτώσεων σε </w:t>
      </w:r>
      <w:r w:rsidR="00F07B9A"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Μ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ονάδες</w:t>
      </w:r>
    </w:p>
    <w:p w14:paraId="20D60BFE" w14:textId="2A40D184" w:rsidR="00AB7EC6" w:rsidRPr="00AB7EC6" w:rsidRDefault="00AB7EC6" w:rsidP="007C254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θετική επίδραση στη μεταβολή του ΔΤΚ του </w:t>
      </w:r>
      <w:r w:rsidR="00521FC4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521FC4">
        <w:rPr>
          <w:rFonts w:ascii="Verdana" w:hAnsi="Verdana" w:cs="Arial"/>
          <w:sz w:val="18"/>
          <w:szCs w:val="18"/>
          <w:lang w:val="el-GR"/>
        </w:rPr>
        <w:t>Απρίλιο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2025 είχαν οι κατηγορίες</w:t>
      </w:r>
      <w:r w:rsidRPr="00AB7EC6">
        <w:rPr>
          <w:rFonts w:ascii="Verdana" w:hAnsi="Verdana"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Εστιατόρια και Υπηρεσίες </w:t>
      </w:r>
      <w:r>
        <w:rPr>
          <w:rFonts w:ascii="Verdana" w:eastAsia="Times New Roman" w:hAnsi="Verdana" w:cs="Arial"/>
          <w:i/>
          <w:iCs/>
          <w:sz w:val="18"/>
          <w:szCs w:val="18"/>
          <w:lang w:val="el-GR"/>
        </w:rPr>
        <w:t>Π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αροχής Καταλύματος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(3,</w:t>
      </w:r>
      <w:r w:rsidR="001E11A7">
        <w:rPr>
          <w:rFonts w:ascii="Verdana" w:eastAsia="Times New Roman" w:hAnsi="Verdana" w:cs="Arial"/>
          <w:sz w:val="18"/>
          <w:szCs w:val="18"/>
          <w:lang w:val="el-GR"/>
        </w:rPr>
        <w:t>1</w:t>
      </w:r>
      <w:r w:rsidR="0021142C">
        <w:rPr>
          <w:rFonts w:ascii="Verdana" w:eastAsia="Times New Roman" w:hAnsi="Verdana" w:cs="Arial"/>
          <w:sz w:val="18"/>
          <w:szCs w:val="18"/>
          <w:lang w:val="el-GR"/>
        </w:rPr>
        <w:t>1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),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Αναψυχή, Αθλητισμός και Πολιτισμός (2,</w:t>
      </w:r>
      <w:r w:rsidR="0021142C">
        <w:rPr>
          <w:rFonts w:ascii="Verdana" w:eastAsia="Times New Roman" w:hAnsi="Verdana" w:cs="Arial"/>
          <w:i/>
          <w:iCs/>
          <w:sz w:val="18"/>
          <w:szCs w:val="18"/>
          <w:lang w:val="el-GR"/>
        </w:rPr>
        <w:t>82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) </w:t>
      </w:r>
      <w:r w:rsidRPr="00AB7EC6">
        <w:rPr>
          <w:rFonts w:ascii="Verdana" w:eastAsia="Times New Roman" w:hAnsi="Verdana" w:cs="Arial"/>
          <w:sz w:val="18"/>
          <w:szCs w:val="18"/>
          <w:lang w:val="el-GR"/>
        </w:rPr>
        <w:t>και</w:t>
      </w:r>
      <w:r w:rsidRPr="00AB7EC6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 Αλκοολούχα Ποτά και Καπνός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(1,8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ενώ τη μεγαλύτερη αρνητική επίδραση στη μεταβολή του ΔΤΚ του 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21142C">
        <w:rPr>
          <w:rFonts w:ascii="Verdana" w:hAnsi="Verdana" w:cs="Arial"/>
          <w:sz w:val="18"/>
          <w:szCs w:val="18"/>
          <w:lang w:val="el-GR"/>
        </w:rPr>
        <w:t>Απρίλιο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Υγεία</w:t>
      </w:r>
      <w:r w:rsidR="007C254C" w:rsidRPr="007C254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(-2,6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),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Ενημέρωση και Επικοινωνία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(-1,6</w:t>
      </w:r>
      <w:r w:rsidR="001E11A7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 και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Ένδυση και Υπόδηση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(-1,1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4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3)</w:t>
      </w:r>
    </w:p>
    <w:p w14:paraId="4E96D4BB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0B6BF263" w14:textId="31454A7D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Τη μεγαλύτερη επίπτωση </w:t>
      </w:r>
      <w:r w:rsidRPr="00AB7EC6">
        <w:rPr>
          <w:rFonts w:ascii="Verdana" w:eastAsia="Malgun Gothic" w:hAnsi="Verdana" w:cs="Arial"/>
          <w:iCs/>
          <w:sz w:val="18"/>
          <w:szCs w:val="18"/>
          <w:lang w:val="el-GR"/>
        </w:rPr>
        <w:t>στη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μεταβολή του ΔΤΚ τον 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Απρίλιο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σχέση με τον 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Μάρτιο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783397">
        <w:rPr>
          <w:rFonts w:ascii="Verdana" w:eastAsia="Malgun Gothic" w:hAnsi="Verdana" w:cs="Arial"/>
          <w:sz w:val="18"/>
          <w:szCs w:val="18"/>
          <w:lang w:val="el-GR"/>
        </w:rPr>
        <w:t>6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κατηγορίες</w:t>
      </w:r>
      <w:r w:rsidR="0021142C" w:rsidRPr="0021142C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21142C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Μεταφορές 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 xml:space="preserve">(1,23), </w:t>
      </w:r>
      <w:r w:rsidR="0021142C" w:rsidRP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>Ένδυση και Υπόδηση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 xml:space="preserve"> (0,32), </w:t>
      </w:r>
      <w:r w:rsidR="0021142C" w:rsidRPr="0021142C">
        <w:rPr>
          <w:rFonts w:ascii="Verdana" w:eastAsia="Times New Roman" w:hAnsi="Verdana" w:cs="Arial"/>
          <w:i/>
          <w:iCs/>
          <w:sz w:val="18"/>
          <w:szCs w:val="18"/>
          <w:lang w:val="el-GR"/>
        </w:rPr>
        <w:t xml:space="preserve">Στέγαση, Ύδρευση, Ηλεκτρικό Ρεύμα, Φυσικό Αέριο και </w:t>
      </w:r>
      <w:r w:rsidR="00123EE8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Ά</w:t>
      </w:r>
      <w:r w:rsidR="0021142C" w:rsidRPr="0021142C">
        <w:rPr>
          <w:rFonts w:ascii="Verdana" w:eastAsia="Times New Roman" w:hAnsi="Verdana" w:cs="Arial"/>
          <w:i/>
          <w:iCs/>
          <w:sz w:val="18"/>
          <w:szCs w:val="18"/>
          <w:lang w:val="el-GR"/>
        </w:rPr>
        <w:t>λλα Καύσιμα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 xml:space="preserve"> (0,17)</w:t>
      </w:r>
      <w:r w:rsidR="00A33D55" w:rsidRPr="00A33D55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33D55">
        <w:rPr>
          <w:rFonts w:ascii="Verdana" w:eastAsia="Malgun Gothic" w:hAnsi="Verdana" w:cs="Arial"/>
          <w:sz w:val="18"/>
          <w:szCs w:val="18"/>
          <w:lang w:val="el-GR"/>
        </w:rPr>
        <w:t>και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417671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Τρόφιμα και μη Αλκοολούχα Ποτά 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>(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-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>0,</w:t>
      </w:r>
      <w:r w:rsidR="0021142C">
        <w:rPr>
          <w:rFonts w:ascii="Verdana" w:eastAsia="Malgun Gothic" w:hAnsi="Verdana" w:cs="Arial"/>
          <w:sz w:val="18"/>
          <w:szCs w:val="18"/>
          <w:lang w:val="el-GR"/>
        </w:rPr>
        <w:t>11</w:t>
      </w:r>
      <w:r w:rsidR="00417671">
        <w:rPr>
          <w:rFonts w:ascii="Verdana" w:eastAsia="Malgun Gothic" w:hAnsi="Verdana" w:cs="Arial"/>
          <w:sz w:val="18"/>
          <w:szCs w:val="18"/>
          <w:lang w:val="el-GR"/>
        </w:rPr>
        <w:t>)</w:t>
      </w:r>
      <w:r w:rsidR="0021142C">
        <w:rPr>
          <w:rFonts w:ascii="Verdana" w:eastAsia="Times New Roman" w:hAnsi="Verdana" w:cs="Arial"/>
          <w:sz w:val="18"/>
          <w:szCs w:val="18"/>
          <w:lang w:val="el-GR"/>
        </w:rPr>
        <w:t xml:space="preserve">.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(Πίνακας 3)</w:t>
      </w:r>
    </w:p>
    <w:p w14:paraId="473E7B62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highlight w:val="yellow"/>
          <w:lang w:val="el-GR"/>
        </w:rPr>
      </w:pPr>
    </w:p>
    <w:p w14:paraId="43103A04" w14:textId="624BC05B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AB7EC6">
        <w:rPr>
          <w:rFonts w:ascii="Verdana" w:eastAsia="Malgun Gothic" w:hAnsi="Verdana" w:cs="Arial"/>
          <w:sz w:val="18"/>
          <w:szCs w:val="18"/>
          <w:lang w:val="el-GR"/>
        </w:rPr>
        <w:t>Τη μεγαλύτερη θετική επίπτωση στη μεταβολή του ΔΤΚ του</w:t>
      </w:r>
      <w:r w:rsidRPr="00AB7E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D70C72">
        <w:rPr>
          <w:rFonts w:ascii="Verdana" w:hAnsi="Verdana" w:cs="Arial"/>
          <w:sz w:val="18"/>
          <w:szCs w:val="18"/>
          <w:lang w:val="el-GR"/>
        </w:rPr>
        <w:t>Απριλίου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2026 σε σύγκριση με το δείκτη του 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5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είχαν οι 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>Υπηρεσίες</w:t>
      </w:r>
      <w:r w:rsidR="00EF15A5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Αναψυχής</w:t>
      </w:r>
      <w:r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(2,8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8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), ενώ τη μεγαλύτερη αρνητική επίδραση είχ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 xml:space="preserve">αν οι </w:t>
      </w:r>
      <w:r w:rsidR="00D70C72" w:rsidRPr="00D70C72">
        <w:rPr>
          <w:rFonts w:ascii="Verdana" w:hAnsi="Verdana" w:cs="Arial"/>
          <w:i/>
          <w:iCs/>
          <w:sz w:val="18"/>
          <w:szCs w:val="18"/>
          <w:lang w:val="el-GR"/>
        </w:rPr>
        <w:t>Υπηρεσίες Κινητής Επικοινωνίας</w:t>
      </w:r>
      <w:r w:rsidR="00D70C72" w:rsidRPr="00D70C7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(-</w:t>
      </w:r>
      <w:r w:rsidR="00EF15A5">
        <w:rPr>
          <w:rFonts w:ascii="Verdana" w:eastAsia="Malgun Gothic" w:hAnsi="Verdana" w:cs="Arial"/>
          <w:sz w:val="18"/>
          <w:szCs w:val="18"/>
          <w:lang w:val="el-GR"/>
        </w:rPr>
        <w:t>1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50</w:t>
      </w:r>
      <w:r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4)</w:t>
      </w:r>
    </w:p>
    <w:p w14:paraId="608E7601" w14:textId="77777777" w:rsidR="00AB7EC6" w:rsidRPr="00AB7EC6" w:rsidRDefault="00AB7EC6" w:rsidP="00AB7EC6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4472C4" w:themeColor="accent1"/>
          <w:sz w:val="18"/>
          <w:szCs w:val="18"/>
          <w:lang w:val="el-GR"/>
        </w:rPr>
      </w:pPr>
    </w:p>
    <w:p w14:paraId="5451FA4D" w14:textId="3297D238" w:rsidR="00AB7EC6" w:rsidRPr="00AB7EC6" w:rsidRDefault="003218B0" w:rsidP="00AB7EC6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Τα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453FD4">
        <w:rPr>
          <w:rFonts w:ascii="Verdana" w:eastAsia="Malgun Gothic" w:hAnsi="Verdana" w:cs="Arial"/>
          <w:i/>
          <w:iCs/>
          <w:sz w:val="18"/>
          <w:szCs w:val="18"/>
          <w:lang w:val="el-GR"/>
        </w:rPr>
        <w:t>Καύσιμα</w:t>
      </w:r>
      <w:r w:rsidR="00D70C72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και Λιπαντικά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72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) είχαν τη μεγαλύτερη θετική επίδραση στη μεταβολή του ΔΤΚ του 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Απριλίου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AB7EC6" w:rsidRPr="00AB7EC6">
        <w:rPr>
          <w:rFonts w:ascii="Verdana" w:hAnsi="Verdana" w:cs="Arial"/>
          <w:sz w:val="18"/>
          <w:szCs w:val="18"/>
          <w:lang w:val="el-GR"/>
        </w:rPr>
        <w:t>2026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σε σχέση με τον αντίστοιχο δείκτη του 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Μαρτίου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202</w:t>
      </w:r>
      <w:r>
        <w:rPr>
          <w:rFonts w:ascii="Verdana" w:eastAsia="Malgun Gothic" w:hAnsi="Verdana" w:cs="Arial"/>
          <w:sz w:val="18"/>
          <w:szCs w:val="18"/>
          <w:lang w:val="el-GR"/>
        </w:rPr>
        <w:t>6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 ενώ τη μεγαλύτερη αρνητική επίδραση είχ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αν</w:t>
      </w:r>
      <w:r w:rsidR="009C4713">
        <w:rPr>
          <w:rFonts w:ascii="Verdana" w:eastAsia="Malgun Gothic" w:hAnsi="Verdana" w:cs="Arial"/>
          <w:sz w:val="18"/>
          <w:szCs w:val="18"/>
          <w:lang w:val="el-GR"/>
        </w:rPr>
        <w:t xml:space="preserve"> τ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α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 xml:space="preserve">  </w:t>
      </w:r>
      <w:r w:rsidR="00D70C72">
        <w:rPr>
          <w:rFonts w:ascii="Verdana" w:eastAsia="Malgun Gothic" w:hAnsi="Verdana" w:cs="Arial"/>
          <w:i/>
          <w:iCs/>
          <w:sz w:val="18"/>
          <w:szCs w:val="18"/>
          <w:lang w:val="el-GR"/>
        </w:rPr>
        <w:t>Λαχανικά</w:t>
      </w:r>
      <w:r w:rsidR="00AB7EC6" w:rsidRPr="00AB7EC6">
        <w:rPr>
          <w:rFonts w:ascii="Verdana" w:eastAsia="Malgun Gothic" w:hAnsi="Verdana" w:cs="Arial"/>
          <w:i/>
          <w:iCs/>
          <w:sz w:val="18"/>
          <w:szCs w:val="18"/>
          <w:lang w:val="el-GR"/>
        </w:rPr>
        <w:t xml:space="preserve"> 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(-</w:t>
      </w:r>
      <w:r>
        <w:rPr>
          <w:rFonts w:ascii="Verdana" w:eastAsia="Malgun Gothic" w:hAnsi="Verdana" w:cs="Arial"/>
          <w:sz w:val="18"/>
          <w:szCs w:val="18"/>
          <w:lang w:val="el-GR"/>
        </w:rPr>
        <w:t>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D70C72">
        <w:rPr>
          <w:rFonts w:ascii="Verdana" w:eastAsia="Malgun Gothic" w:hAnsi="Verdana" w:cs="Arial"/>
          <w:sz w:val="18"/>
          <w:szCs w:val="18"/>
          <w:lang w:val="el-GR"/>
        </w:rPr>
        <w:t>20</w:t>
      </w:r>
      <w:r w:rsidR="00AB7EC6" w:rsidRPr="00AB7EC6">
        <w:rPr>
          <w:rFonts w:ascii="Verdana" w:eastAsia="Malgun Gothic" w:hAnsi="Verdana" w:cs="Arial"/>
          <w:sz w:val="18"/>
          <w:szCs w:val="18"/>
          <w:lang w:val="el-GR"/>
        </w:rPr>
        <w:t>). (Πίνακας 5)</w:t>
      </w:r>
    </w:p>
    <w:p w14:paraId="3ABAFC05" w14:textId="77777777" w:rsidR="00742971" w:rsidRPr="00AB7EC6" w:rsidRDefault="00742971" w:rsidP="001D442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548" w:type="pct"/>
        <w:jc w:val="center"/>
        <w:tblLayout w:type="fixed"/>
        <w:tblLook w:val="04A0" w:firstRow="1" w:lastRow="0" w:firstColumn="1" w:lastColumn="0" w:noHBand="0" w:noVBand="1"/>
      </w:tblPr>
      <w:tblGrid>
        <w:gridCol w:w="2971"/>
        <w:gridCol w:w="1566"/>
        <w:gridCol w:w="1560"/>
        <w:gridCol w:w="281"/>
        <w:gridCol w:w="1279"/>
        <w:gridCol w:w="1279"/>
        <w:gridCol w:w="1703"/>
      </w:tblGrid>
      <w:tr w:rsidR="00673C79" w:rsidRPr="00673C79" w14:paraId="1D00F069" w14:textId="293F5A2E" w:rsidTr="00687BC9">
        <w:trPr>
          <w:trHeight w:val="270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</w:tcPr>
          <w:p w14:paraId="15B9A7FB" w14:textId="77777777" w:rsidR="00C60D21" w:rsidRPr="00673C7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Πίνακας 1</w:t>
            </w:r>
          </w:p>
        </w:tc>
        <w:tc>
          <w:tcPr>
            <w:tcW w:w="3126" w:type="dxa"/>
            <w:gridSpan w:val="2"/>
            <w:tcBorders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0E6E143D" w14:textId="77777777" w:rsidR="00C60D21" w:rsidRPr="00673C79" w:rsidRDefault="00C60D21" w:rsidP="00FC5595">
            <w:pPr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1" w:type="dxa"/>
            <w:tcBorders>
              <w:bottom w:val="single" w:sz="4" w:space="0" w:color="366092"/>
            </w:tcBorders>
            <w:tcMar>
              <w:left w:w="0" w:type="dxa"/>
              <w:right w:w="0" w:type="dxa"/>
            </w:tcMar>
          </w:tcPr>
          <w:p w14:paraId="300B29A6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bottom w:val="single" w:sz="4" w:space="0" w:color="366092"/>
            </w:tcBorders>
          </w:tcPr>
          <w:p w14:paraId="7E735952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673C79" w:rsidRPr="00673C79" w14:paraId="79540F65" w14:textId="2A368AFD" w:rsidTr="00687BC9">
        <w:trPr>
          <w:trHeight w:val="270"/>
          <w:jc w:val="center"/>
        </w:trPr>
        <w:tc>
          <w:tcPr>
            <w:tcW w:w="2971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813B3B3" w14:textId="77777777" w:rsidR="00C60D21" w:rsidRPr="00673C79" w:rsidRDefault="00C60D21" w:rsidP="00FC5595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3126" w:type="dxa"/>
            <w:gridSpan w:val="2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6E1C5C6" w14:textId="5B6F7D4C" w:rsidR="00C60D21" w:rsidRPr="00673C79" w:rsidRDefault="00C60D21" w:rsidP="00FC559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ΔΤΚ (20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2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5=100)</w:t>
            </w:r>
          </w:p>
        </w:tc>
        <w:tc>
          <w:tcPr>
            <w:tcW w:w="281" w:type="dxa"/>
            <w:tcBorders>
              <w:top w:val="single" w:sz="4" w:space="0" w:color="366092"/>
            </w:tcBorders>
            <w:tcMar>
              <w:left w:w="0" w:type="dxa"/>
              <w:right w:w="0" w:type="dxa"/>
            </w:tcMar>
            <w:vAlign w:val="center"/>
          </w:tcPr>
          <w:p w14:paraId="0E6D1E6A" w14:textId="77777777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97ECA7B" w14:textId="4ECB954B" w:rsidR="00C60D21" w:rsidRPr="00673C79" w:rsidRDefault="00C60D21" w:rsidP="00FC5595">
            <w:pPr>
              <w:ind w:right="-75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673C79" w:rsidRPr="00673C79" w14:paraId="4BD227C0" w14:textId="602A777F" w:rsidTr="00687BC9">
        <w:trPr>
          <w:trHeight w:val="602"/>
          <w:jc w:val="center"/>
        </w:trPr>
        <w:tc>
          <w:tcPr>
            <w:tcW w:w="2971" w:type="dxa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28DF8A22" w14:textId="77777777" w:rsidR="00C60D21" w:rsidRPr="00673C7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3D781ADD" w14:textId="77777777" w:rsidR="006F02B1" w:rsidRPr="00673C79" w:rsidRDefault="006F02B1" w:rsidP="006F02B1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Μάρτιος</w:t>
            </w:r>
          </w:p>
          <w:p w14:paraId="2CBD1D95" w14:textId="43AB74EA" w:rsidR="00C60D21" w:rsidRPr="00673C79" w:rsidRDefault="006F02B1" w:rsidP="006F02B1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439D0F3" w14:textId="5BFFA599" w:rsidR="00C60D21" w:rsidRPr="00673C79" w:rsidRDefault="006F02B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Απρίλιος</w:t>
            </w:r>
          </w:p>
          <w:p w14:paraId="11415D22" w14:textId="7C279E88" w:rsidR="00C60D21" w:rsidRPr="00673C79" w:rsidRDefault="00C60D2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FFFFFF" w:fill="FFFFFF"/>
            <w:tcMar>
              <w:left w:w="0" w:type="dxa"/>
              <w:right w:w="0" w:type="dxa"/>
            </w:tcMar>
          </w:tcPr>
          <w:p w14:paraId="139E8C70" w14:textId="77777777" w:rsidR="00C60D21" w:rsidRPr="00673C79" w:rsidRDefault="00C60D21" w:rsidP="00872778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47E692C" w14:textId="34E3E83E" w:rsidR="00C60D21" w:rsidRPr="00673C79" w:rsidRDefault="006F02B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 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</w:t>
            </w:r>
            <w:r w:rsidR="00687BC9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ρ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59793" w14:textId="78413B43" w:rsidR="00C60D21" w:rsidRPr="00673C79" w:rsidRDefault="006F02B1" w:rsidP="00872778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</w:t>
            </w:r>
            <w:r w:rsidR="00687BC9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ρ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C60D2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9B3E23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837206C" w14:textId="5A1A15E3" w:rsidR="00C60D21" w:rsidRPr="00673C79" w:rsidRDefault="00C60D21" w:rsidP="00687BC9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Ιαν - </w:t>
            </w:r>
            <w:r w:rsidR="006F02B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 / Ιαν </w:t>
            </w:r>
            <w:r w:rsidR="00673C79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6F02B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</w:tr>
      <w:tr w:rsidR="00673C79" w:rsidRPr="00673C79" w14:paraId="43FBF73D" w14:textId="55E3AE8B" w:rsidTr="006F02B1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584BBFCC" w14:textId="7777777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D09E726" w14:textId="33769B49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105,24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F5882E" w14:textId="28697FA3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104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62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760B6C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0A12FB6" w14:textId="3C9F643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2B02E2A" w14:textId="56584C9B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59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AABE623" w14:textId="61C70981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07</w:t>
            </w:r>
          </w:p>
        </w:tc>
      </w:tr>
      <w:tr w:rsidR="00673C79" w:rsidRPr="00673C79" w14:paraId="40FB4937" w14:textId="4FA885CF" w:rsidTr="006F02B1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3448AC6A" w14:textId="7777777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30B1C66" w14:textId="173B7C4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100,62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4D503E" w14:textId="5E68108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D0C3688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89501B5" w14:textId="42B3792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76F51CC" w14:textId="03DFD919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F223FC7" w14:textId="2F8E18E7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83</w:t>
            </w:r>
          </w:p>
        </w:tc>
      </w:tr>
      <w:tr w:rsidR="00673C79" w:rsidRPr="00673C79" w14:paraId="30CC1D12" w14:textId="2FF56626" w:rsidTr="006F02B1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3349F99" w14:textId="7777777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4DB512E" w14:textId="73BC2756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93,8</w:t>
            </w:r>
            <w:r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C605B7" w14:textId="268C07DE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98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3D60A36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5526D19" w14:textId="60A6425B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-5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6300365" w14:textId="166B45B6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5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23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45C83C3" w14:textId="2A8697BD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-6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19</w:t>
            </w:r>
          </w:p>
        </w:tc>
      </w:tr>
      <w:tr w:rsidR="00673C79" w:rsidRPr="00673C79" w14:paraId="64A249B5" w14:textId="1C37C661" w:rsidTr="006F02B1">
        <w:trPr>
          <w:trHeight w:val="794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2184074B" w14:textId="2C66820E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0" w:name="_Hlk194442311"/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Στέγαση, Ύδρευση, Ηλεκτρικό Ρεύμα, Φυσικό Αέριο και Άλλα Καύσιμα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1189439" w14:textId="277E6E0C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100,23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6FB2F98" w14:textId="2CC527E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64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885F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845A085" w14:textId="7F6A1C2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65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22BD978" w14:textId="2E3F411A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2C23881" w14:textId="0020870A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35</w:t>
            </w:r>
          </w:p>
        </w:tc>
      </w:tr>
      <w:bookmarkEnd w:id="0"/>
      <w:tr w:rsidR="00673C79" w:rsidRPr="00673C79" w14:paraId="3A7635E9" w14:textId="0FFE685C" w:rsidTr="006F02B1">
        <w:trPr>
          <w:trHeight w:val="90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vAlign w:val="center"/>
            <w:hideMark/>
          </w:tcPr>
          <w:p w14:paraId="40F29CA4" w14:textId="2668B1D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6700B08" w14:textId="063A9113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99,9</w:t>
            </w:r>
            <w:r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3640861" w14:textId="360CDEB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86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A215E1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2E2BC1" w14:textId="4603046E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519535" w14:textId="694326D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DF64D71" w14:textId="5E6B6797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16</w:t>
            </w:r>
          </w:p>
        </w:tc>
      </w:tr>
      <w:tr w:rsidR="00673C79" w:rsidRPr="00673C79" w14:paraId="3359A3C0" w14:textId="5D05AE7B" w:rsidTr="006F02B1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3FF00D6" w14:textId="7777777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8CFFFBD" w14:textId="10891948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100,86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E92C202" w14:textId="6197F0A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93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F29CA74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488434" w14:textId="280A4B9A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04A457" w14:textId="3856D837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07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E039AFF" w14:textId="01ED2AAF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78</w:t>
            </w:r>
          </w:p>
        </w:tc>
      </w:tr>
      <w:tr w:rsidR="00673C79" w:rsidRPr="00673C79" w14:paraId="299E5490" w14:textId="2B5DFB36" w:rsidTr="006F02B1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0EBDEAF" w14:textId="7777777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CAA28F" w14:textId="4A6BF5FA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100,56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CB30A0" w14:textId="74C40903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108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87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1153A73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01CD3" w14:textId="6DA0298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17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60EBCB1" w14:textId="13FB879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F7B0089" w14:textId="314B0F61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47</w:t>
            </w:r>
          </w:p>
        </w:tc>
      </w:tr>
      <w:tr w:rsidR="00673C79" w:rsidRPr="00673C79" w14:paraId="79C16F2A" w14:textId="3CD07145" w:rsidTr="006F02B1">
        <w:trPr>
          <w:trHeight w:val="375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A1EF36D" w14:textId="77D18E1E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06D71A4" w14:textId="6538EC4D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97,71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AD80A4" w14:textId="0CE20F7A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97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42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82CC1CF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13FECF" w14:textId="2B24C65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99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233885" w14:textId="33A56A13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3963451" w14:textId="534C05B7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-1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89</w:t>
            </w:r>
          </w:p>
        </w:tc>
      </w:tr>
      <w:tr w:rsidR="00673C79" w:rsidRPr="00673C79" w14:paraId="5C3CEC2A" w14:textId="5461CF82" w:rsidTr="006F02B1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CD2A369" w14:textId="770C672A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7D39E15" w14:textId="2939571C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101,61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C64422D" w14:textId="442AE3AB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74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D4B9B2E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8CFD98" w14:textId="609EB08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15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E96771" w14:textId="0756E418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7627E06" w14:textId="3700799F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17</w:t>
            </w:r>
          </w:p>
        </w:tc>
      </w:tr>
      <w:tr w:rsidR="00673C79" w:rsidRPr="00673C79" w14:paraId="23CBF3D1" w14:textId="2889972E" w:rsidTr="006F02B1">
        <w:trPr>
          <w:trHeight w:val="397"/>
          <w:jc w:val="center"/>
        </w:trPr>
        <w:tc>
          <w:tcPr>
            <w:tcW w:w="2971" w:type="dxa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83CE84B" w14:textId="7BA8CC18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3A84157" w14:textId="1349FB2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102,58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8DF7402" w14:textId="38345842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58</w:t>
            </w:r>
          </w:p>
        </w:tc>
        <w:tc>
          <w:tcPr>
            <w:tcW w:w="281" w:type="dxa"/>
            <w:tcBorders>
              <w:top w:val="nil"/>
              <w:bottom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F723C8E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C89E687" w14:textId="0E526296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  <w:tc>
          <w:tcPr>
            <w:tcW w:w="1279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15DCC2B" w14:textId="61DD63F0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703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7981DF" w14:textId="39099D6B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71</w:t>
            </w:r>
          </w:p>
        </w:tc>
      </w:tr>
      <w:tr w:rsidR="00673C79" w:rsidRPr="00673C79" w14:paraId="00E44953" w14:textId="6D7830C2" w:rsidTr="006F02B1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  <w:hideMark/>
          </w:tcPr>
          <w:p w14:paraId="62556D85" w14:textId="52A0A4C7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25763EF" w14:textId="30F344D1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102,15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6DA1686A" w14:textId="402F08DE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102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2FAB3C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3C90FF7" w14:textId="124175A8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3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27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2376312D" w14:textId="6154BF3B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44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36F38022" w14:textId="43960C0E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01</w:t>
            </w:r>
          </w:p>
        </w:tc>
      </w:tr>
      <w:tr w:rsidR="00673C79" w:rsidRPr="00673C79" w14:paraId="0BFDEF23" w14:textId="3687635B" w:rsidTr="006F02B1">
        <w:trPr>
          <w:trHeight w:val="510"/>
          <w:jc w:val="center"/>
        </w:trPr>
        <w:tc>
          <w:tcPr>
            <w:tcW w:w="2971" w:type="dxa"/>
            <w:tcBorders>
              <w:top w:val="nil"/>
              <w:left w:val="nil"/>
            </w:tcBorders>
            <w:shd w:val="clear" w:color="FFFFFF" w:fill="FFFFFF"/>
            <w:noWrap/>
            <w:vAlign w:val="center"/>
          </w:tcPr>
          <w:p w14:paraId="5F8B5E48" w14:textId="6FA15A45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Ασφαλιστικές και Χρηματοπιστωτικές Υπηρεσίες</w:t>
            </w:r>
          </w:p>
        </w:tc>
        <w:tc>
          <w:tcPr>
            <w:tcW w:w="1566" w:type="dxa"/>
            <w:tcBorders>
              <w:top w:val="nil"/>
            </w:tcBorders>
            <w:shd w:val="clear" w:color="000000" w:fill="FFFFFF"/>
            <w:vAlign w:val="center"/>
          </w:tcPr>
          <w:p w14:paraId="00ACC8E0" w14:textId="4B22C704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100,05</w:t>
            </w:r>
          </w:p>
        </w:tc>
        <w:tc>
          <w:tcPr>
            <w:tcW w:w="1560" w:type="dxa"/>
            <w:tcBorders>
              <w:top w:val="nil"/>
            </w:tcBorders>
            <w:shd w:val="clear" w:color="000000" w:fill="FFFFFF"/>
            <w:vAlign w:val="center"/>
          </w:tcPr>
          <w:p w14:paraId="7FA2EF3F" w14:textId="667AB9FD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nil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8C134BB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1710BE15" w14:textId="6D628F96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03</w:t>
            </w:r>
          </w:p>
        </w:tc>
        <w:tc>
          <w:tcPr>
            <w:tcW w:w="1279" w:type="dxa"/>
            <w:tcBorders>
              <w:top w:val="nil"/>
            </w:tcBorders>
            <w:shd w:val="clear" w:color="000000" w:fill="FFFFFF"/>
            <w:vAlign w:val="center"/>
          </w:tcPr>
          <w:p w14:paraId="7858DE6D" w14:textId="28DF86B0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00</w:t>
            </w:r>
          </w:p>
        </w:tc>
        <w:tc>
          <w:tcPr>
            <w:tcW w:w="1703" w:type="dxa"/>
            <w:tcBorders>
              <w:top w:val="nil"/>
            </w:tcBorders>
            <w:shd w:val="clear" w:color="000000" w:fill="FFFFFF"/>
            <w:vAlign w:val="center"/>
          </w:tcPr>
          <w:p w14:paraId="02FB6D15" w14:textId="5D38CBFC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0</w:t>
            </w:r>
          </w:p>
        </w:tc>
      </w:tr>
      <w:tr w:rsidR="00673C79" w:rsidRPr="00673C79" w14:paraId="0ABA4BC7" w14:textId="02947C00" w:rsidTr="006F02B1">
        <w:trPr>
          <w:trHeight w:val="794"/>
          <w:jc w:val="center"/>
        </w:trPr>
        <w:tc>
          <w:tcPr>
            <w:tcW w:w="2971" w:type="dxa"/>
            <w:tcBorders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0DD997E" w14:textId="0CF4F50D" w:rsidR="006F02B1" w:rsidRPr="00673C79" w:rsidRDefault="006F02B1" w:rsidP="006F02B1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1566" w:type="dxa"/>
            <w:tcBorders>
              <w:bottom w:val="single" w:sz="4" w:space="0" w:color="366092"/>
            </w:tcBorders>
            <w:shd w:val="clear" w:color="000000" w:fill="FFFFFF"/>
            <w:vAlign w:val="center"/>
            <w:hideMark/>
          </w:tcPr>
          <w:p w14:paraId="60565449" w14:textId="11A51C2A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100,34</w:t>
            </w:r>
          </w:p>
        </w:tc>
        <w:tc>
          <w:tcPr>
            <w:tcW w:w="15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AEC4DD5" w14:textId="214B239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100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60</w:t>
            </w:r>
          </w:p>
        </w:tc>
        <w:tc>
          <w:tcPr>
            <w:tcW w:w="281" w:type="dxa"/>
            <w:tcBorders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672D201" w14:textId="77777777" w:rsidR="006F02B1" w:rsidRPr="00673C79" w:rsidRDefault="006F02B1" w:rsidP="006F02B1">
            <w:pPr>
              <w:tabs>
                <w:tab w:val="left" w:pos="1023"/>
              </w:tabs>
              <w:ind w:right="2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7DEF19F2" w14:textId="158AD217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89</w:t>
            </w:r>
          </w:p>
        </w:tc>
        <w:tc>
          <w:tcPr>
            <w:tcW w:w="1279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58C351D9" w14:textId="6071646E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0</w:t>
            </w:r>
            <w:r w:rsidR="00154B57" w:rsidRPr="00673C79">
              <w:rPr>
                <w:rFonts w:ascii="Verdana" w:hAnsi="Verdana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26</w:t>
            </w:r>
          </w:p>
        </w:tc>
        <w:tc>
          <w:tcPr>
            <w:tcW w:w="1703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1565B66A" w14:textId="53A20BC3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1</w:t>
            </w:r>
            <w:r w:rsidR="00173BC9" w:rsidRPr="00673C79">
              <w:rPr>
                <w:rFonts w:ascii="Verdana" w:hAnsi="Verdana"/>
                <w:color w:val="366092"/>
                <w:sz w:val="18"/>
                <w:szCs w:val="18"/>
              </w:rPr>
              <w:t>,</w:t>
            </w:r>
            <w:r w:rsidRPr="00673C79">
              <w:rPr>
                <w:rFonts w:ascii="Verdana" w:hAnsi="Verdana"/>
                <w:color w:val="366092"/>
                <w:sz w:val="18"/>
                <w:szCs w:val="18"/>
              </w:rPr>
              <w:t>47</w:t>
            </w:r>
          </w:p>
        </w:tc>
      </w:tr>
      <w:tr w:rsidR="00673C79" w:rsidRPr="00673C79" w14:paraId="7B6D317E" w14:textId="7A13C3A3" w:rsidTr="00154B57">
        <w:trPr>
          <w:trHeight w:hRule="exact" w:val="567"/>
          <w:jc w:val="center"/>
        </w:trPr>
        <w:tc>
          <w:tcPr>
            <w:tcW w:w="2971" w:type="dxa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7F9D94D" w14:textId="77777777" w:rsidR="006F02B1" w:rsidRPr="00673C79" w:rsidRDefault="006F02B1" w:rsidP="006F02B1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1566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71227CE" w14:textId="6717FFB5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101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07</w:t>
            </w:r>
          </w:p>
        </w:tc>
        <w:tc>
          <w:tcPr>
            <w:tcW w:w="1560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E8DD297" w14:textId="67074C16" w:rsidR="006F02B1" w:rsidRPr="00673C79" w:rsidRDefault="006F02B1" w:rsidP="006F02B1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102</w:t>
            </w:r>
            <w:r w:rsidR="00154B57"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80</w:t>
            </w:r>
          </w:p>
        </w:tc>
        <w:tc>
          <w:tcPr>
            <w:tcW w:w="281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31D4D302" w14:textId="77777777" w:rsidR="006F02B1" w:rsidRPr="00673C79" w:rsidRDefault="006F02B1" w:rsidP="006F02B1">
            <w:pPr>
              <w:ind w:right="319"/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4CAFB9A2" w14:textId="5452D80A" w:rsidR="006F02B1" w:rsidRPr="00673C79" w:rsidRDefault="006F02B1" w:rsidP="00154B57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2</w:t>
            </w:r>
            <w:r w:rsidR="00154B57"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83</w:t>
            </w:r>
          </w:p>
        </w:tc>
        <w:tc>
          <w:tcPr>
            <w:tcW w:w="1279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0C7167C0" w14:textId="600438D3" w:rsidR="006F02B1" w:rsidRPr="00673C79" w:rsidRDefault="006F02B1" w:rsidP="00154B57">
            <w:pPr>
              <w:ind w:right="319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 w:rsidR="00154B57"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71</w:t>
            </w:r>
          </w:p>
        </w:tc>
        <w:tc>
          <w:tcPr>
            <w:tcW w:w="1703" w:type="dxa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63453333" w14:textId="3A6ED632" w:rsidR="006F02B1" w:rsidRPr="00673C79" w:rsidRDefault="006F02B1" w:rsidP="00154B57">
            <w:pPr>
              <w:ind w:right="466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</w:t>
            </w:r>
            <w:r w:rsidR="00173BC9"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673C79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14</w:t>
            </w:r>
          </w:p>
        </w:tc>
      </w:tr>
    </w:tbl>
    <w:p w14:paraId="1F8FF65F" w14:textId="77777777" w:rsidR="006A68F3" w:rsidRDefault="006A68F3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4805" w:type="pct"/>
        <w:jc w:val="center"/>
        <w:tblLayout w:type="fixed"/>
        <w:tblLook w:val="04A0" w:firstRow="1" w:lastRow="0" w:firstColumn="1" w:lastColumn="0" w:noHBand="0" w:noVBand="1"/>
      </w:tblPr>
      <w:tblGrid>
        <w:gridCol w:w="3073"/>
        <w:gridCol w:w="1911"/>
        <w:gridCol w:w="2245"/>
        <w:gridCol w:w="1985"/>
      </w:tblGrid>
      <w:tr w:rsidR="00673C79" w:rsidRPr="00673C79" w14:paraId="1B1E2683" w14:textId="77777777" w:rsidTr="001850A1">
        <w:trPr>
          <w:trHeight w:hRule="exact" w:val="340"/>
          <w:jc w:val="center"/>
        </w:trPr>
        <w:tc>
          <w:tcPr>
            <w:tcW w:w="5000" w:type="pct"/>
            <w:gridSpan w:val="4"/>
            <w:tcBorders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CB4B204" w14:textId="77777777" w:rsidR="006022B5" w:rsidRPr="00673C79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2</w:t>
            </w:r>
          </w:p>
        </w:tc>
      </w:tr>
      <w:tr w:rsidR="00673C79" w:rsidRPr="00673C79" w14:paraId="67DAE050" w14:textId="77777777" w:rsidTr="001850A1">
        <w:trPr>
          <w:trHeight w:val="315"/>
          <w:jc w:val="center"/>
        </w:trPr>
        <w:tc>
          <w:tcPr>
            <w:tcW w:w="1668" w:type="pct"/>
            <w:vMerge w:val="restar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EB82802" w14:textId="77777777" w:rsidR="006022B5" w:rsidRPr="00673C79" w:rsidRDefault="006022B5" w:rsidP="006022B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Οικονομικές Κατηγορίες</w:t>
            </w:r>
          </w:p>
        </w:tc>
        <w:tc>
          <w:tcPr>
            <w:tcW w:w="1037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9E3CC50" w14:textId="77777777" w:rsidR="006022B5" w:rsidRPr="00673C79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</w:tc>
        <w:tc>
          <w:tcPr>
            <w:tcW w:w="2295" w:type="pct"/>
            <w:gridSpan w:val="2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2321EF02" w14:textId="77777777" w:rsidR="006022B5" w:rsidRPr="00673C79" w:rsidRDefault="006022B5" w:rsidP="006022B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Μ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εταβολές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(%)</w:t>
            </w:r>
          </w:p>
        </w:tc>
      </w:tr>
      <w:tr w:rsidR="00673C79" w:rsidRPr="00673C79" w14:paraId="23C7C237" w14:textId="77777777" w:rsidTr="001850A1">
        <w:trPr>
          <w:trHeight w:val="700"/>
          <w:jc w:val="center"/>
        </w:trPr>
        <w:tc>
          <w:tcPr>
            <w:tcW w:w="1668" w:type="pct"/>
            <w:vMerge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  <w:hideMark/>
          </w:tcPr>
          <w:p w14:paraId="52DC4CEE" w14:textId="77777777" w:rsidR="00636C15" w:rsidRPr="00673C79" w:rsidRDefault="00636C15" w:rsidP="00636C15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037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68802791" w14:textId="77777777" w:rsidR="00636C15" w:rsidRPr="00673C79" w:rsidRDefault="00636C15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5D67E1B9" w14:textId="26A95BDB" w:rsidR="00636C15" w:rsidRPr="00673C79" w:rsidRDefault="00CC60E4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8FF435A" w14:textId="376CEB30" w:rsidR="00636C15" w:rsidRPr="00673C79" w:rsidRDefault="00CC60E4" w:rsidP="00636C15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FC4DA1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636C15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42011B"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673C79" w:rsidRPr="00673C79" w14:paraId="6B065B03" w14:textId="77777777" w:rsidTr="00CC60E4">
        <w:trPr>
          <w:trHeight w:val="375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1728EBF" w14:textId="77777777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Γεωργικά Προϊόντα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2DB1C43" w14:textId="4FD23CE7" w:rsidR="00CC60E4" w:rsidRPr="00673C79" w:rsidRDefault="00CC60E4" w:rsidP="00CC60E4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648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0AD81F3E" w14:textId="4BD52490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9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57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20334C64" w14:textId="55853BF3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-1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81</w:t>
            </w:r>
          </w:p>
        </w:tc>
      </w:tr>
      <w:tr w:rsidR="00673C79" w:rsidRPr="00673C79" w14:paraId="6A6F5649" w14:textId="77777777" w:rsidTr="00CC60E4">
        <w:trPr>
          <w:trHeight w:val="567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DE7541" w14:textId="54891598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Βιομηχανικά 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Προϊόντα</w:t>
            </w:r>
          </w:p>
          <w:p w14:paraId="0A451F80" w14:textId="77777777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(εκτός Πετρελαιοειδών)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8D61FBC" w14:textId="2CD970EA" w:rsidR="00CC60E4" w:rsidRPr="00673C79" w:rsidRDefault="00CC60E4" w:rsidP="00CC60E4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4111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698C258B" w14:textId="1DFD4DF3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-0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68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408932D1" w14:textId="55BA5ABB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0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82</w:t>
            </w:r>
          </w:p>
        </w:tc>
      </w:tr>
      <w:tr w:rsidR="00673C79" w:rsidRPr="00673C79" w14:paraId="3370FFAD" w14:textId="77777777" w:rsidTr="00CC60E4">
        <w:trPr>
          <w:trHeight w:val="375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4E30F8" w14:textId="01AEB22A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bookmarkStart w:id="1" w:name="_Hlk149742109"/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Ηλεκτρισμ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ό</w:t>
            </w: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ς</w:t>
            </w:r>
            <w:bookmarkEnd w:id="1"/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και Νερό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EB97CFF" w14:textId="4B2672AA" w:rsidR="00CC60E4" w:rsidRPr="00673C79" w:rsidRDefault="00CC60E4" w:rsidP="00CC60E4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393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5CFD39D9" w14:textId="39677450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-7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89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79A1135E" w14:textId="1413E847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-2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15</w:t>
            </w:r>
          </w:p>
        </w:tc>
      </w:tr>
      <w:tr w:rsidR="00673C79" w:rsidRPr="00673C79" w14:paraId="55D46229" w14:textId="77777777" w:rsidTr="00CC60E4">
        <w:trPr>
          <w:trHeight w:val="375"/>
          <w:jc w:val="center"/>
        </w:trPr>
        <w:tc>
          <w:tcPr>
            <w:tcW w:w="1668" w:type="pct"/>
            <w:tcBorders>
              <w:top w:val="nil"/>
              <w:left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10D5383" w14:textId="77777777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Πετρελαιοειδή</w:t>
            </w:r>
          </w:p>
        </w:tc>
        <w:tc>
          <w:tcPr>
            <w:tcW w:w="1037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7497CE4" w14:textId="1C564A41" w:rsidR="00CC60E4" w:rsidRPr="00673C79" w:rsidRDefault="00CC60E4" w:rsidP="00CC60E4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708</w:t>
            </w:r>
          </w:p>
        </w:tc>
        <w:tc>
          <w:tcPr>
            <w:tcW w:w="1218" w:type="pct"/>
            <w:tcBorders>
              <w:top w:val="nil"/>
              <w:bottom w:val="nil"/>
            </w:tcBorders>
            <w:noWrap/>
            <w:vAlign w:val="center"/>
          </w:tcPr>
          <w:p w14:paraId="6949086C" w14:textId="260EC11C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18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29</w:t>
            </w:r>
          </w:p>
        </w:tc>
        <w:tc>
          <w:tcPr>
            <w:tcW w:w="1077" w:type="pct"/>
            <w:tcBorders>
              <w:top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14:paraId="31D51005" w14:textId="77B5681D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12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61</w:t>
            </w:r>
          </w:p>
        </w:tc>
      </w:tr>
      <w:tr w:rsidR="00673C79" w:rsidRPr="00673C79" w14:paraId="1CD39D67" w14:textId="77777777" w:rsidTr="00CC60E4">
        <w:trPr>
          <w:trHeight w:val="375"/>
          <w:jc w:val="center"/>
        </w:trPr>
        <w:tc>
          <w:tcPr>
            <w:tcW w:w="1668" w:type="pct"/>
            <w:tcBorders>
              <w:top w:val="nil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396CA35" w14:textId="77777777" w:rsidR="00CC60E4" w:rsidRPr="00673C79" w:rsidRDefault="00CC60E4" w:rsidP="00CC60E4">
            <w:pPr>
              <w:ind w:left="2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Υπηρεσίες</w:t>
            </w:r>
          </w:p>
        </w:tc>
        <w:tc>
          <w:tcPr>
            <w:tcW w:w="1037" w:type="pct"/>
            <w:tcBorders>
              <w:top w:val="nil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5AD823E0" w14:textId="72BE1244" w:rsidR="00CC60E4" w:rsidRPr="00673C79" w:rsidRDefault="00CC60E4" w:rsidP="00CC60E4">
            <w:pPr>
              <w:ind w:right="622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4140</w:t>
            </w:r>
          </w:p>
        </w:tc>
        <w:tc>
          <w:tcPr>
            <w:tcW w:w="1218" w:type="pct"/>
            <w:tcBorders>
              <w:top w:val="nil"/>
              <w:bottom w:val="single" w:sz="4" w:space="0" w:color="366092"/>
            </w:tcBorders>
            <w:noWrap/>
            <w:vAlign w:val="center"/>
          </w:tcPr>
          <w:p w14:paraId="30E53EC3" w14:textId="7217D9FE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3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54</w:t>
            </w:r>
          </w:p>
        </w:tc>
        <w:tc>
          <w:tcPr>
            <w:tcW w:w="1077" w:type="pct"/>
            <w:tcBorders>
              <w:top w:val="nil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5A59861" w14:textId="06A005B4" w:rsidR="00CC60E4" w:rsidRPr="00673C79" w:rsidRDefault="00CC60E4" w:rsidP="00CC60E4">
            <w:pPr>
              <w:ind w:right="622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1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color w:val="366092"/>
                <w:sz w:val="18"/>
                <w:szCs w:val="18"/>
              </w:rPr>
              <w:t>57</w:t>
            </w:r>
          </w:p>
        </w:tc>
      </w:tr>
      <w:tr w:rsidR="00673C79" w:rsidRPr="00673C79" w14:paraId="331F509F" w14:textId="77777777" w:rsidTr="00CC60E4">
        <w:trPr>
          <w:trHeight w:val="397"/>
          <w:jc w:val="center"/>
        </w:trPr>
        <w:tc>
          <w:tcPr>
            <w:tcW w:w="1668" w:type="pct"/>
            <w:tcBorders>
              <w:top w:val="single" w:sz="4" w:space="0" w:color="366092"/>
              <w:left w:val="nil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7D4A3BED" w14:textId="77777777" w:rsidR="00CC60E4" w:rsidRPr="00673C79" w:rsidRDefault="00CC60E4" w:rsidP="00CC60E4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Γενικός Δείκτης </w:t>
            </w:r>
          </w:p>
        </w:tc>
        <w:tc>
          <w:tcPr>
            <w:tcW w:w="1037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23E9E631" w14:textId="77777777" w:rsidR="00CC60E4" w:rsidRPr="00673C79" w:rsidRDefault="00CC60E4" w:rsidP="00CC60E4">
            <w:pPr>
              <w:ind w:right="113"/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1218" w:type="pct"/>
            <w:tcBorders>
              <w:top w:val="single" w:sz="4" w:space="0" w:color="366092"/>
              <w:bottom w:val="single" w:sz="4" w:space="0" w:color="366092"/>
            </w:tcBorders>
            <w:noWrap/>
            <w:vAlign w:val="center"/>
          </w:tcPr>
          <w:p w14:paraId="5F309946" w14:textId="4ED53043" w:rsidR="00CC60E4" w:rsidRPr="00673C79" w:rsidRDefault="00CC60E4" w:rsidP="00CC60E4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</w:t>
            </w: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83</w:t>
            </w:r>
          </w:p>
        </w:tc>
        <w:tc>
          <w:tcPr>
            <w:tcW w:w="1077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noWrap/>
            <w:vAlign w:val="center"/>
          </w:tcPr>
          <w:p w14:paraId="66750A76" w14:textId="6FDBCF27" w:rsidR="00CC60E4" w:rsidRPr="00673C79" w:rsidRDefault="00CC60E4" w:rsidP="00CC60E4">
            <w:pPr>
              <w:ind w:right="622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</w:t>
            </w: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,</w:t>
            </w:r>
            <w:r w:rsidRPr="00673C79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71</w:t>
            </w:r>
          </w:p>
        </w:tc>
      </w:tr>
    </w:tbl>
    <w:p w14:paraId="2AB9A93B" w14:textId="77777777" w:rsidR="006022B5" w:rsidRPr="00036D48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50AB075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1515"/>
        <w:gridCol w:w="1515"/>
        <w:gridCol w:w="1843"/>
        <w:gridCol w:w="1791"/>
      </w:tblGrid>
      <w:tr w:rsidR="004522EE" w:rsidRPr="004522EE" w14:paraId="7C819A9A" w14:textId="77777777" w:rsidTr="00EB15F3">
        <w:trPr>
          <w:trHeight w:hRule="exact" w:val="340"/>
          <w:jc w:val="center"/>
        </w:trPr>
        <w:tc>
          <w:tcPr>
            <w:tcW w:w="5000" w:type="pct"/>
            <w:gridSpan w:val="5"/>
            <w:tcBorders>
              <w:bottom w:val="single" w:sz="4" w:space="0" w:color="366092"/>
            </w:tcBorders>
            <w:shd w:val="clear" w:color="FFFFFF" w:fill="FFFFFF"/>
          </w:tcPr>
          <w:p w14:paraId="2EA49F57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3</w:t>
            </w:r>
          </w:p>
        </w:tc>
      </w:tr>
      <w:tr w:rsidR="004522EE" w:rsidRPr="004522EE" w14:paraId="3A4348E8" w14:textId="77777777" w:rsidTr="00EB15F3">
        <w:trPr>
          <w:trHeight w:val="375"/>
          <w:jc w:val="center"/>
        </w:trPr>
        <w:tc>
          <w:tcPr>
            <w:tcW w:w="1525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3150986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Κατηγορίες Αγαθών και Υπηρεσιών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</w:tcPr>
          <w:p w14:paraId="291B0BA9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0D9B0BCB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790" w:type="pct"/>
            <w:vMerge w:val="restar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0202378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Συντελεστές Στάθμισης</w:t>
            </w:r>
          </w:p>
          <w:p w14:paraId="3BFD7954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2026</w:t>
            </w:r>
          </w:p>
        </w:tc>
        <w:tc>
          <w:tcPr>
            <w:tcW w:w="1895" w:type="pct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062450FA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Επίπτωση (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μονάδες)</w:t>
            </w:r>
          </w:p>
        </w:tc>
      </w:tr>
      <w:tr w:rsidR="004522EE" w:rsidRPr="004522EE" w14:paraId="160BD7CA" w14:textId="77777777" w:rsidTr="00C60D21">
        <w:trPr>
          <w:trHeight w:val="615"/>
          <w:jc w:val="center"/>
        </w:trPr>
        <w:tc>
          <w:tcPr>
            <w:tcW w:w="1525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4250CE10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790" w:type="pct"/>
            <w:vMerge/>
            <w:tcBorders>
              <w:bottom w:val="single" w:sz="4" w:space="0" w:color="366092"/>
            </w:tcBorders>
            <w:vAlign w:val="center"/>
          </w:tcPr>
          <w:p w14:paraId="30FE173A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0" w:type="pct"/>
            <w:vMerge/>
            <w:tcBorders>
              <w:top w:val="single" w:sz="4" w:space="0" w:color="366092"/>
              <w:bottom w:val="single" w:sz="4" w:space="0" w:color="366092"/>
            </w:tcBorders>
            <w:vAlign w:val="center"/>
            <w:hideMark/>
          </w:tcPr>
          <w:p w14:paraId="1ECDD6A0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506E6E6D" w14:textId="21BB3D73" w:rsidR="00C60D21" w:rsidRPr="004522EE" w:rsidRDefault="00CC60E4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</w:t>
            </w:r>
          </w:p>
          <w:p w14:paraId="59AF87B3" w14:textId="0EBFF94C" w:rsidR="00AB7EC6" w:rsidRPr="004522EE" w:rsidRDefault="00CC60E4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25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1208A73C" w14:textId="79935529" w:rsidR="00C60D21" w:rsidRPr="004522EE" w:rsidRDefault="00CC60E4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3DF5B41F" w14:textId="7E4B6CBC" w:rsidR="00AB7EC6" w:rsidRPr="004522EE" w:rsidRDefault="00CC60E4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B7EC6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C60D2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4522EE" w:rsidRPr="004522EE" w14:paraId="16C61578" w14:textId="77777777" w:rsidTr="00087AC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5F6221A5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Τρόφιμα και μη Αλκοολούχα Ποτά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2B198CC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1906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023FAC7F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1762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FC92434" w14:textId="59103D8C" w:rsidR="00087AC6" w:rsidRPr="004522EE" w:rsidRDefault="00087AC6" w:rsidP="00087AC6">
            <w:pPr>
              <w:tabs>
                <w:tab w:val="left" w:pos="321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-0,60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27ED534" w14:textId="59AF47E3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-0,11</w:t>
            </w:r>
          </w:p>
        </w:tc>
      </w:tr>
      <w:tr w:rsidR="004522EE" w:rsidRPr="004522EE" w14:paraId="3EFE27F2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324D72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Αλκοολούχα Π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οτά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Κ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απνός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CD1F8BD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347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E403AD6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11DE4DA" w14:textId="6A286865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1,85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2E1797B" w14:textId="34B27B8A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-0,01</w:t>
            </w:r>
          </w:p>
        </w:tc>
      </w:tr>
      <w:tr w:rsidR="004522EE" w:rsidRPr="004522EE" w14:paraId="2BEC9DB8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374F3499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Ένδυση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πόδηση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4A1A892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721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8CCE4D1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77328D3" w14:textId="6590E068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-1,14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7F20D14" w14:textId="5F20053A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0,32</w:t>
            </w:r>
          </w:p>
        </w:tc>
      </w:tr>
      <w:tr w:rsidR="004522EE" w:rsidRPr="004522EE" w14:paraId="1E3A94D3" w14:textId="77777777" w:rsidTr="00087AC6">
        <w:trPr>
          <w:trHeight w:val="79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F6B7370" w14:textId="721839A4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Στέγαση, Ύδρευση, Ηλεκτρικό Ρεύμα, Φυσικό Αέριο και </w:t>
            </w:r>
            <w:r w:rsid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λλα Καύσιμα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8385020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1122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3366BD8F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1187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782D9F0" w14:textId="0611FEE3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0,95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1EF8E80" w14:textId="0A7AEB7A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0,17</w:t>
            </w:r>
          </w:p>
        </w:tc>
      </w:tr>
      <w:tr w:rsidR="004522EE" w:rsidRPr="004522EE" w14:paraId="36614504" w14:textId="77777777" w:rsidTr="00087AC6">
        <w:trPr>
          <w:trHeight w:val="964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486C31B4" w14:textId="7F11DE88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Επίπλωση και Διακόσμηση, Οικιακός Εξοπλισμός και Συνήθης Συντήρηση Κατοικιών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BB9211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641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  <w:hideMark/>
          </w:tcPr>
          <w:p w14:paraId="2BDF818D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619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879BCF0" w14:textId="7A0B02ED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-0,24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1521E4D" w14:textId="426F2406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-0,01</w:t>
            </w:r>
          </w:p>
        </w:tc>
      </w:tr>
      <w:tr w:rsidR="004522EE" w:rsidRPr="004522EE" w14:paraId="5B2C33AC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CA18A83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Υγεία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6C4B982E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2B1A1FB0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3E69E6" w14:textId="214F17A2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-2,61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71508F" w14:textId="6004277F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4522EE" w:rsidRPr="004522EE" w14:paraId="4DE8C44E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9C73064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Μεταφορές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9983D2C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1538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06FC0CF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1481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A44C0E8" w14:textId="2D4474D0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0,64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AA959D9" w14:textId="3219C135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1,23</w:t>
            </w:r>
          </w:p>
        </w:tc>
      </w:tr>
      <w:tr w:rsidR="004522EE" w:rsidRPr="004522EE" w14:paraId="4649393D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75BFC285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Ενημέρωση και 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Επικοινωνί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α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964E84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569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194F14DE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09E0463E" w14:textId="2044483C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-1,61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F377D6" w14:textId="0D806B06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-0,01</w:t>
            </w:r>
          </w:p>
        </w:tc>
      </w:tr>
      <w:tr w:rsidR="004522EE" w:rsidRPr="004522EE" w14:paraId="3559BFD7" w14:textId="77777777" w:rsidTr="00087AC6">
        <w:trPr>
          <w:trHeight w:val="56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0225B39A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Αναψυχή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, Αθλητισμός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 xml:space="preserve"> και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 Π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ολιτισμός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B67D7A2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437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59C86700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694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245339" w14:textId="2302CD15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2,82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2499A4F3" w14:textId="2495BE35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0,08</w:t>
            </w:r>
          </w:p>
        </w:tc>
      </w:tr>
      <w:tr w:rsidR="004522EE" w:rsidRPr="004522EE" w14:paraId="4A873100" w14:textId="77777777" w:rsidTr="00087AC6">
        <w:trPr>
          <w:trHeight w:val="397"/>
          <w:jc w:val="center"/>
        </w:trPr>
        <w:tc>
          <w:tcPr>
            <w:tcW w:w="1525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4F217279" w14:textId="77777777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Εκπα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ιδ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ευ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τικές Υπηρεσίες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1315DDA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392</w:t>
            </w:r>
          </w:p>
        </w:tc>
        <w:tc>
          <w:tcPr>
            <w:tcW w:w="790" w:type="pct"/>
            <w:tcBorders>
              <w:top w:val="nil"/>
              <w:bottom w:val="nil"/>
            </w:tcBorders>
            <w:shd w:val="clear" w:color="FFFFFF" w:fill="FFFFFF"/>
            <w:noWrap/>
            <w:vAlign w:val="center"/>
            <w:hideMark/>
          </w:tcPr>
          <w:p w14:paraId="6DEA627D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376</w:t>
            </w:r>
          </w:p>
        </w:tc>
        <w:tc>
          <w:tcPr>
            <w:tcW w:w="961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3D13DA2" w14:textId="5090EE0F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-0,02</w:t>
            </w:r>
          </w:p>
        </w:tc>
        <w:tc>
          <w:tcPr>
            <w:tcW w:w="934" w:type="pct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D36632B" w14:textId="17EA9FBB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4522EE" w:rsidRPr="004522EE" w14:paraId="627381DB" w14:textId="77777777" w:rsidTr="00087AC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3F6FB8AC" w14:textId="00479810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Εστιατόρια και Υπηρεσίες Παροχής Καταλύματος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3C0C7900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836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  <w:hideMark/>
          </w:tcPr>
          <w:p w14:paraId="458AB8A9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1113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5DB060E" w14:textId="027A0829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3,11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6E843F0B" w14:textId="779DEC07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0,05</w:t>
            </w:r>
          </w:p>
        </w:tc>
      </w:tr>
      <w:tr w:rsidR="004522EE" w:rsidRPr="004522EE" w14:paraId="3E889212" w14:textId="77777777" w:rsidTr="00087AC6">
        <w:trPr>
          <w:trHeight w:val="567"/>
          <w:jc w:val="center"/>
        </w:trPr>
        <w:tc>
          <w:tcPr>
            <w:tcW w:w="1525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044987F4" w14:textId="05E5DEA3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 xml:space="preserve">Ασφαλιστικές και Χρηματοπιστωτικές </w:t>
            </w:r>
            <w:r w:rsid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vAlign w:val="center"/>
          </w:tcPr>
          <w:p w14:paraId="13F14381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326</w:t>
            </w:r>
          </w:p>
        </w:tc>
        <w:tc>
          <w:tcPr>
            <w:tcW w:w="790" w:type="pct"/>
            <w:tcBorders>
              <w:top w:val="nil"/>
            </w:tcBorders>
            <w:shd w:val="clear" w:color="FFFFFF" w:fill="FFFFFF"/>
            <w:noWrap/>
            <w:vAlign w:val="center"/>
          </w:tcPr>
          <w:p w14:paraId="29B7779E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236</w:t>
            </w:r>
          </w:p>
        </w:tc>
        <w:tc>
          <w:tcPr>
            <w:tcW w:w="961" w:type="pct"/>
            <w:tcBorders>
              <w:top w:val="nil"/>
            </w:tcBorders>
            <w:shd w:val="clear" w:color="FFFFFF" w:fill="FFFFFF"/>
            <w:vAlign w:val="center"/>
          </w:tcPr>
          <w:p w14:paraId="7E74B45F" w14:textId="3E03D677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-0,90</w:t>
            </w:r>
          </w:p>
        </w:tc>
        <w:tc>
          <w:tcPr>
            <w:tcW w:w="934" w:type="pct"/>
            <w:tcBorders>
              <w:top w:val="nil"/>
            </w:tcBorders>
            <w:shd w:val="clear" w:color="FFFFFF" w:fill="FFFFFF"/>
            <w:vAlign w:val="center"/>
          </w:tcPr>
          <w:p w14:paraId="5E38A7C1" w14:textId="25F74766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0,00</w:t>
            </w:r>
          </w:p>
        </w:tc>
      </w:tr>
      <w:tr w:rsidR="004522EE" w:rsidRPr="004522EE" w14:paraId="43841458" w14:textId="77777777" w:rsidTr="00087AC6">
        <w:trPr>
          <w:trHeight w:val="783"/>
          <w:jc w:val="center"/>
        </w:trPr>
        <w:tc>
          <w:tcPr>
            <w:tcW w:w="1525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18589927" w14:textId="2A7301A4" w:rsidR="00087AC6" w:rsidRPr="004522EE" w:rsidRDefault="00087AC6" w:rsidP="00087AC6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Προσωπική Φροντίδα, Κοινωνική Προστασία και Διάφορα Αγαθά και Υπηρεσίες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19F83421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528</w:t>
            </w:r>
          </w:p>
        </w:tc>
        <w:tc>
          <w:tcPr>
            <w:tcW w:w="790" w:type="pct"/>
            <w:tcBorders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61F489FD" w14:textId="77777777" w:rsidR="00087AC6" w:rsidRPr="004522EE" w:rsidRDefault="00087AC6" w:rsidP="00087AC6">
            <w:pPr>
              <w:ind w:right="305" w:firstLineChars="100" w:firstLine="180"/>
              <w:jc w:val="center"/>
              <w:rPr>
                <w:rFonts w:ascii="Verdana" w:eastAsia="Times New Roman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</w:rPr>
              <w:t>572</w:t>
            </w:r>
          </w:p>
        </w:tc>
        <w:tc>
          <w:tcPr>
            <w:tcW w:w="961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7D5E8AFE" w14:textId="3019A0C7" w:rsidR="00087AC6" w:rsidRPr="004522EE" w:rsidRDefault="00087AC6" w:rsidP="00087AC6">
            <w:pPr>
              <w:tabs>
                <w:tab w:val="left" w:pos="1030"/>
              </w:tabs>
              <w:ind w:right="601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0,49</w:t>
            </w:r>
          </w:p>
        </w:tc>
        <w:tc>
          <w:tcPr>
            <w:tcW w:w="934" w:type="pct"/>
            <w:tcBorders>
              <w:bottom w:val="single" w:sz="4" w:space="0" w:color="366092"/>
            </w:tcBorders>
            <w:shd w:val="clear" w:color="FFFFFF" w:fill="FFFFFF"/>
            <w:vAlign w:val="center"/>
          </w:tcPr>
          <w:p w14:paraId="2F073B8B" w14:textId="5BA44531" w:rsidR="00087AC6" w:rsidRPr="004522EE" w:rsidRDefault="00087AC6" w:rsidP="00087AC6">
            <w:pPr>
              <w:ind w:right="553" w:firstLineChars="100" w:firstLine="180"/>
              <w:jc w:val="right"/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  <w:t>0,01</w:t>
            </w:r>
          </w:p>
        </w:tc>
      </w:tr>
      <w:tr w:rsidR="004522EE" w:rsidRPr="004522EE" w14:paraId="2F83B31C" w14:textId="77777777" w:rsidTr="00087AC6">
        <w:trPr>
          <w:trHeight w:hRule="exact" w:val="567"/>
          <w:jc w:val="center"/>
        </w:trPr>
        <w:tc>
          <w:tcPr>
            <w:tcW w:w="1525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3D0D4D6F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Γενικός Δείκτης Τιμών Καταναλωτή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42607085" w14:textId="77777777" w:rsidR="00AB7EC6" w:rsidRPr="004522EE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790" w:type="pct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  <w:hideMark/>
          </w:tcPr>
          <w:p w14:paraId="08C965F4" w14:textId="77777777" w:rsidR="00AB7EC6" w:rsidRPr="004522EE" w:rsidRDefault="00AB7EC6" w:rsidP="00EB15F3">
            <w:pPr>
              <w:ind w:right="305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10000</w:t>
            </w:r>
          </w:p>
        </w:tc>
        <w:tc>
          <w:tcPr>
            <w:tcW w:w="961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158E7A1" w14:textId="00D20E7F" w:rsidR="00AB7EC6" w:rsidRPr="004522EE" w:rsidRDefault="00087AC6" w:rsidP="00087AC6">
            <w:pPr>
              <w:tabs>
                <w:tab w:val="left" w:pos="1030"/>
              </w:tabs>
              <w:ind w:right="601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2,83</w:t>
            </w:r>
          </w:p>
        </w:tc>
        <w:tc>
          <w:tcPr>
            <w:tcW w:w="934" w:type="pct"/>
            <w:tcBorders>
              <w:top w:val="single" w:sz="4" w:space="0" w:color="366092"/>
              <w:bottom w:val="single" w:sz="4" w:space="0" w:color="366092"/>
            </w:tcBorders>
            <w:shd w:val="clear" w:color="000000" w:fill="FFFFFF"/>
            <w:vAlign w:val="center"/>
          </w:tcPr>
          <w:p w14:paraId="3ABAE8D9" w14:textId="1582C387" w:rsidR="00AB7EC6" w:rsidRPr="004522EE" w:rsidRDefault="00087AC6" w:rsidP="00087AC6">
            <w:pPr>
              <w:ind w:right="553" w:firstLineChars="100" w:firstLine="181"/>
              <w:jc w:val="right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1,73</w:t>
            </w:r>
          </w:p>
        </w:tc>
      </w:tr>
      <w:tr w:rsidR="004522EE" w:rsidRPr="004522EE" w14:paraId="3135DE9F" w14:textId="77777777" w:rsidTr="00EB15F3">
        <w:trPr>
          <w:trHeight w:val="819"/>
          <w:jc w:val="center"/>
        </w:trPr>
        <w:tc>
          <w:tcPr>
            <w:tcW w:w="5000" w:type="pct"/>
            <w:gridSpan w:val="5"/>
            <w:tcBorders>
              <w:top w:val="single" w:sz="4" w:space="0" w:color="366092"/>
            </w:tcBorders>
            <w:shd w:val="clear" w:color="FFFFFF" w:fill="FFFFFF"/>
          </w:tcPr>
          <w:p w14:paraId="0E3C0FC6" w14:textId="6B7F0168" w:rsidR="00AB7EC6" w:rsidRPr="004522EE" w:rsidRDefault="00AB7EC6" w:rsidP="005B6BBD">
            <w:pPr>
              <w:jc w:val="both"/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</w:pPr>
            <w:r w:rsidRPr="004522EE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Σημείωση: Τα αθροίσματα υπολογίζονται βάσει των επιμέρους επιπτώσεων με άπειρα δεκαδικά και δημοσιεύονται με στρογγυλοποίηση δύο δεκαδικών. Πιθανές διαφορές στα αθροίσματα οφείλονται σε σφάλματα στρογγυλοποίησης καθώς και στην αλλαγή έτους βάσης</w:t>
            </w:r>
            <w:r w:rsidR="009B3E23" w:rsidRPr="004522EE">
              <w:rPr>
                <w:rFonts w:ascii="Verdana" w:eastAsia="Times New Roman" w:hAnsi="Verdana" w:cs="Arial"/>
                <w:bCs/>
                <w:color w:val="366092"/>
                <w:sz w:val="16"/>
                <w:szCs w:val="16"/>
                <w:lang w:val="el-GR"/>
              </w:rPr>
              <w:t>.</w:t>
            </w:r>
          </w:p>
        </w:tc>
      </w:tr>
    </w:tbl>
    <w:p w14:paraId="04708433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AF52A70" w14:textId="77777777" w:rsid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405612F" w14:textId="77777777" w:rsidR="001E11A7" w:rsidRDefault="001E11A7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4522EE" w:rsidRPr="004522EE" w14:paraId="76E76D29" w14:textId="77777777" w:rsidTr="007B6DB6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E0BD497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4</w:t>
            </w:r>
          </w:p>
        </w:tc>
      </w:tr>
      <w:tr w:rsidR="004522EE" w:rsidRPr="004522EE" w14:paraId="44A275A1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2753A29A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E91A637" w14:textId="77777777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4522EE" w:rsidRPr="004522EE" w14:paraId="08E1637D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27877FAD" w14:textId="77777777" w:rsidR="00AB7EC6" w:rsidRPr="004522EE" w:rsidRDefault="00AB7EC6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1439CFB1" w14:textId="1F3A9165" w:rsidR="00AB7EC6" w:rsidRPr="004522EE" w:rsidRDefault="00AB7EC6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00C9A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 w:rsidR="00900C9A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</w:t>
            </w:r>
            <w:r w:rsidR="008C360E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ρ</w:t>
            </w:r>
            <w:r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760AB1" w:rsidRPr="004522EE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</w:rPr>
              <w:t>5</w:t>
            </w:r>
          </w:p>
        </w:tc>
      </w:tr>
      <w:tr w:rsidR="004522EE" w:rsidRPr="004522EE" w14:paraId="029DFA59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49B27000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 xml:space="preserve">Θετική </w:t>
            </w: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Ε</w:t>
            </w:r>
            <w:r w:rsidRPr="004522EE">
              <w:rPr>
                <w:rFonts w:ascii="Verdana" w:hAnsi="Verdana" w:cs="Arial"/>
                <w:b/>
                <w:bCs/>
                <w:i/>
                <w:iCs/>
                <w:color w:val="366092"/>
                <w:sz w:val="18"/>
                <w:szCs w:val="18"/>
              </w:rPr>
              <w:t>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D7F95AD" w14:textId="77777777" w:rsidR="00AB7EC6" w:rsidRPr="004522EE" w:rsidRDefault="00AB7EC6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</w:rPr>
              <w:t> </w:t>
            </w:r>
          </w:p>
        </w:tc>
      </w:tr>
      <w:tr w:rsidR="004522EE" w:rsidRPr="004522EE" w14:paraId="2B8E5B8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DC69" w14:textId="4BE5030E" w:rsidR="00AB7EC6" w:rsidRPr="004522EE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Αναψυχής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64D8" w14:textId="4F72D2B5" w:rsidR="00AB7EC6" w:rsidRPr="004522EE" w:rsidRDefault="008C360E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2,8</w:t>
            </w:r>
            <w:r w:rsidR="00581D6C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8</w:t>
            </w:r>
          </w:p>
        </w:tc>
      </w:tr>
      <w:tr w:rsidR="004522EE" w:rsidRPr="004522EE" w14:paraId="03189881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FF14" w14:textId="10CF80E8" w:rsidR="00AB7EC6" w:rsidRPr="004522EE" w:rsidRDefault="008C360E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Εστίασης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B4E54" w14:textId="0402CC0E" w:rsidR="00AB7EC6" w:rsidRPr="004522EE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</w:t>
            </w:r>
            <w:r w:rsidR="008C360E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74</w:t>
            </w:r>
          </w:p>
        </w:tc>
      </w:tr>
      <w:tr w:rsidR="004522EE" w:rsidRPr="004522EE" w14:paraId="1F318E4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F31E0" w14:textId="594DD30B" w:rsidR="00AB7EC6" w:rsidRPr="004522EE" w:rsidRDefault="008C06B5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Ενοίκια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9543E" w14:textId="35C70365" w:rsidR="00AB7EC6" w:rsidRPr="004522EE" w:rsidRDefault="008C06B5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1,5</w:t>
            </w:r>
            <w:r w:rsidR="00581D6C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</w:p>
        </w:tc>
      </w:tr>
      <w:tr w:rsidR="004522EE" w:rsidRPr="004522EE" w14:paraId="629826DA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</w:tcBorders>
            <w:shd w:val="clear" w:color="FFFFFF" w:fill="FFFFFF"/>
            <w:vAlign w:val="center"/>
          </w:tcPr>
          <w:p w14:paraId="4B2C7676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03C974F2" w14:textId="77777777" w:rsidR="00AB7EC6" w:rsidRPr="004522EE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</w:tr>
      <w:tr w:rsidR="004522EE" w:rsidRPr="004522EE" w14:paraId="5493D39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176938" w14:textId="0E7E04FA" w:rsidR="00581D6C" w:rsidRPr="004522EE" w:rsidRDefault="00581D6C" w:rsidP="00581D6C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Υπηρεσίες Κινητής Επικοινωνίας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572C2BA9" w14:textId="1FE37DB6" w:rsidR="00581D6C" w:rsidRPr="004522EE" w:rsidRDefault="00581D6C" w:rsidP="00581D6C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   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-1,50</w:t>
            </w:r>
          </w:p>
        </w:tc>
      </w:tr>
      <w:tr w:rsidR="004522EE" w:rsidRPr="004522EE" w14:paraId="1BBAC91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28B5CC" w14:textId="3EBAFF1A" w:rsidR="00AB7EC6" w:rsidRPr="004522EE" w:rsidRDefault="00321498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Ασφάλιση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22D33591" w14:textId="10CA81E1" w:rsidR="00AB7EC6" w:rsidRPr="004522EE" w:rsidRDefault="00AB7EC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</w:t>
            </w:r>
            <w:r w:rsidR="00321498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</w:t>
            </w:r>
            <w:r w:rsidR="00321498" w:rsidRPr="004522EE">
              <w:rPr>
                <w:rFonts w:ascii="Verdana" w:hAnsi="Verdana" w:cs="Arial"/>
                <w:color w:val="366092"/>
                <w:sz w:val="18"/>
                <w:szCs w:val="18"/>
              </w:rPr>
              <w:t>13</w:t>
            </w:r>
          </w:p>
        </w:tc>
      </w:tr>
      <w:tr w:rsidR="004522EE" w:rsidRPr="004522EE" w14:paraId="5FF28584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0D017" w14:textId="723E2C0C" w:rsidR="00AB7EC6" w:rsidRPr="004522EE" w:rsidRDefault="00321498" w:rsidP="00321498">
            <w:pPr>
              <w:ind w:left="326"/>
              <w:rPr>
                <w:rFonts w:cs="Calibri"/>
                <w:color w:val="366092"/>
                <w:lang w:val="en-CY" w:eastAsia="en-CY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Φάρμακα και </w:t>
            </w:r>
            <w:r w:rsidR="004522EE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ροϊόντα υγείας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AFBFBA9" w14:textId="666C7909" w:rsidR="00AB7EC6" w:rsidRPr="004522EE" w:rsidRDefault="0032149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</w:rPr>
              <w:t>-0,99</w:t>
            </w:r>
          </w:p>
        </w:tc>
      </w:tr>
      <w:tr w:rsidR="004522EE" w:rsidRPr="004522EE" w14:paraId="59395C6D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9145B" w14:textId="1EBD4BFE" w:rsidR="00AB7EC6" w:rsidRPr="004522EE" w:rsidRDefault="00AB7EC6" w:rsidP="00EB15F3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λλα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ροϊόντα και </w:t>
            </w:r>
            <w:r w:rsidR="00D116E0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Υ</w:t>
            </w: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πηρεσίες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6F8EED7A" w14:textId="65ED9362" w:rsidR="00AB7EC6" w:rsidRPr="004522EE" w:rsidRDefault="00AB7EC6" w:rsidP="00EB15F3">
            <w:pPr>
              <w:ind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 w:rsidR="00581D6C" w:rsidRP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0B6E47" w:rsidRPr="004522EE">
              <w:rPr>
                <w:rFonts w:ascii="Verdana" w:hAnsi="Verdana" w:cs="Arial"/>
                <w:color w:val="366092"/>
                <w:sz w:val="18"/>
                <w:szCs w:val="18"/>
              </w:rPr>
              <w:t>70</w:t>
            </w:r>
          </w:p>
        </w:tc>
      </w:tr>
      <w:tr w:rsidR="004522EE" w:rsidRPr="004522EE" w14:paraId="1FEFEF52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089BAC39" w14:textId="77777777" w:rsidR="00AB7EC6" w:rsidRPr="004522EE" w:rsidRDefault="00AB7EC6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72ACC64" w14:textId="3E7FEC1E" w:rsidR="00AB7EC6" w:rsidRPr="004522EE" w:rsidRDefault="00900C9A" w:rsidP="00EB15F3">
            <w:pPr>
              <w:ind w:right="1280" w:firstLineChars="200" w:firstLine="361"/>
              <w:jc w:val="right"/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4522EE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AB7EC6" w:rsidRPr="004522EE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</w:rPr>
              <w:t>,</w:t>
            </w:r>
            <w:r w:rsidRPr="004522EE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83</w:t>
            </w:r>
          </w:p>
        </w:tc>
      </w:tr>
    </w:tbl>
    <w:p w14:paraId="02A69267" w14:textId="77777777" w:rsidR="00AB7EC6" w:rsidRDefault="00AB7EC6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C30497" w14:textId="77777777" w:rsidR="00E21D72" w:rsidRPr="00E21D72" w:rsidRDefault="00E21D7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1110F0F" w14:textId="4E336AC7" w:rsidR="00E21D72" w:rsidRDefault="00E21D72" w:rsidP="004C6ABF">
      <w:pPr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2BB662F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B76A076" w14:textId="77777777" w:rsidR="00D116E0" w:rsidRPr="00D116E0" w:rsidRDefault="00D116E0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A4BF5B0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3F1D27E5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C90568E" w14:textId="77777777" w:rsidR="006022B5" w:rsidRPr="00A36D89" w:rsidRDefault="006022B5" w:rsidP="00A36D89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tbl>
      <w:tblPr>
        <w:tblW w:w="9461" w:type="dxa"/>
        <w:jc w:val="center"/>
        <w:tblLook w:val="04A0" w:firstRow="1" w:lastRow="0" w:firstColumn="1" w:lastColumn="0" w:noHBand="0" w:noVBand="1"/>
      </w:tblPr>
      <w:tblGrid>
        <w:gridCol w:w="6234"/>
        <w:gridCol w:w="3227"/>
      </w:tblGrid>
      <w:tr w:rsidR="00D116E0" w:rsidRPr="00D116E0" w14:paraId="70FD346D" w14:textId="77777777" w:rsidTr="00EB15F3">
        <w:trPr>
          <w:trHeight w:hRule="exact" w:val="340"/>
          <w:jc w:val="center"/>
        </w:trPr>
        <w:tc>
          <w:tcPr>
            <w:tcW w:w="9461" w:type="dxa"/>
            <w:gridSpan w:val="2"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03911C74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5</w:t>
            </w:r>
          </w:p>
        </w:tc>
      </w:tr>
      <w:tr w:rsidR="00D116E0" w:rsidRPr="00D116E0" w14:paraId="1F2B8FBE" w14:textId="77777777" w:rsidTr="00EB15F3">
        <w:trPr>
          <w:trHeight w:val="630"/>
          <w:jc w:val="center"/>
        </w:trPr>
        <w:tc>
          <w:tcPr>
            <w:tcW w:w="6234" w:type="dxa"/>
            <w:vMerge w:val="restart"/>
            <w:tcBorders>
              <w:top w:val="single" w:sz="4" w:space="0" w:color="366092"/>
            </w:tcBorders>
            <w:shd w:val="clear" w:color="FFFFFF" w:fill="FFFFFF"/>
            <w:vAlign w:val="center"/>
            <w:hideMark/>
          </w:tcPr>
          <w:p w14:paraId="3CD132D5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Προϊόντα/Υπηρεσίες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4097EB52" w14:textId="77777777" w:rsidR="00D116E0" w:rsidRPr="00D116E0" w:rsidRDefault="00D116E0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Επίπτωση (μονάδες)</w:t>
            </w:r>
          </w:p>
        </w:tc>
      </w:tr>
      <w:tr w:rsidR="00D116E0" w:rsidRPr="00D116E0" w14:paraId="67F2643A" w14:textId="77777777" w:rsidTr="00EB15F3">
        <w:trPr>
          <w:trHeight w:val="548"/>
          <w:jc w:val="center"/>
        </w:trPr>
        <w:tc>
          <w:tcPr>
            <w:tcW w:w="6234" w:type="dxa"/>
            <w:vMerge/>
            <w:tcBorders>
              <w:bottom w:val="single" w:sz="4" w:space="0" w:color="366092"/>
            </w:tcBorders>
            <w:shd w:val="clear" w:color="FFFFFF" w:fill="FFFFFF"/>
            <w:vAlign w:val="center"/>
            <w:hideMark/>
          </w:tcPr>
          <w:p w14:paraId="65363587" w14:textId="77777777" w:rsidR="00D116E0" w:rsidRPr="00D116E0" w:rsidRDefault="00D116E0" w:rsidP="00EB15F3">
            <w:pP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  <w:right w:val="nil"/>
            </w:tcBorders>
            <w:shd w:val="clear" w:color="FFFFFF" w:fill="FFFFFF"/>
            <w:vAlign w:val="center"/>
            <w:hideMark/>
          </w:tcPr>
          <w:p w14:paraId="6BB05D26" w14:textId="2890423C" w:rsidR="00D116E0" w:rsidRPr="00805FD0" w:rsidRDefault="00900C9A" w:rsidP="00EB15F3">
            <w:pPr>
              <w:jc w:val="center"/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Απρ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26/ </w:t>
            </w:r>
            <w:r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D116E0" w:rsidRPr="00D116E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</w:t>
            </w:r>
            <w:r w:rsidR="00805FD0">
              <w:rPr>
                <w:rFonts w:ascii="Verdana" w:eastAsia="Times New Roman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</w:tr>
      <w:tr w:rsidR="00D116E0" w:rsidRPr="00D116E0" w14:paraId="4C505EE3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58FBF4CA" w14:textId="77777777" w:rsidR="00D116E0" w:rsidRPr="00D116E0" w:rsidRDefault="00D116E0" w:rsidP="00EB15F3">
            <w:pPr>
              <w:rPr>
                <w:rFonts w:ascii="Verdana" w:eastAsia="Times New Roman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Θετική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54EABC8D" w14:textId="77777777" w:rsidR="00D116E0" w:rsidRPr="00D116E0" w:rsidRDefault="00D116E0" w:rsidP="00EB15F3">
            <w:pPr>
              <w:ind w:right="1280" w:firstLineChars="200" w:firstLine="360"/>
              <w:jc w:val="right"/>
              <w:rPr>
                <w:rFonts w:ascii="Verdana" w:eastAsia="Times New Roman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D116E0" w:rsidRPr="00D116E0" w14:paraId="763EBF64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55195C" w14:textId="4934A49A" w:rsidR="00D116E0" w:rsidRPr="00D116E0" w:rsidRDefault="003A2BC0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8C06B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Καύσιμα και </w:t>
            </w:r>
            <w:r w:rsid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</w:t>
            </w:r>
            <w:r w:rsidRPr="008C06B5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ιπαντικά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BAB1AB" w14:textId="7DA798C2" w:rsidR="00D116E0" w:rsidRPr="00D116E0" w:rsidRDefault="00657C5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3A2BC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72</w:t>
            </w:r>
          </w:p>
        </w:tc>
      </w:tr>
      <w:tr w:rsidR="00D116E0" w:rsidRPr="00D116E0" w14:paraId="688089CB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414A19" w14:textId="2EA3DB2A" w:rsidR="00D116E0" w:rsidRPr="00D116E0" w:rsidRDefault="003A2BC0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Αεροπορική </w:t>
            </w:r>
            <w:r w:rsid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Μ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εταφορά </w:t>
            </w:r>
            <w:r w:rsidR="004522EE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πιβατών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C49B24" w14:textId="5B46C4B9" w:rsidR="00D116E0" w:rsidRPr="00D116E0" w:rsidRDefault="00657C56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0,54</w:t>
            </w:r>
          </w:p>
        </w:tc>
      </w:tr>
      <w:tr w:rsidR="00D116E0" w:rsidRPr="00D116E0" w14:paraId="16DB5E0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332928" w14:textId="2DF9634D" w:rsidR="00D116E0" w:rsidRPr="00D116E0" w:rsidRDefault="006F345A" w:rsidP="00805FD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Είδη Ένδυσης</w:t>
            </w: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EB967" w14:textId="67C3556E" w:rsidR="00D116E0" w:rsidRPr="00D116E0" w:rsidRDefault="000C0DB8" w:rsidP="00EB15F3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</w:t>
            </w:r>
            <w:r w:rsidR="003A2BC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24</w:t>
            </w:r>
          </w:p>
        </w:tc>
      </w:tr>
      <w:tr w:rsidR="003A2BC0" w:rsidRPr="00D116E0" w14:paraId="5840A3CC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3DE8E3F9" w14:textId="479B3AFF" w:rsidR="003A2BC0" w:rsidRPr="00D116E0" w:rsidRDefault="003A2BC0" w:rsidP="003A2BC0">
            <w:pPr>
              <w:ind w:left="320"/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Διάφορα </w:t>
            </w:r>
            <w:r w:rsidRPr="007B6DB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Άλλα Προϊόντα και Υπηρεσίες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2A7EA9B1" w14:textId="293326F9" w:rsidR="003A2BC0" w:rsidRPr="00D116E0" w:rsidRDefault="003A2BC0" w:rsidP="003A2BC0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66</w:t>
            </w:r>
          </w:p>
        </w:tc>
      </w:tr>
      <w:tr w:rsidR="003A2BC0" w:rsidRPr="00D116E0" w14:paraId="61518BC6" w14:textId="77777777" w:rsidTr="00EB15F3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78B37341" w14:textId="77777777" w:rsidR="003A2BC0" w:rsidRPr="00D116E0" w:rsidRDefault="003A2BC0" w:rsidP="003A2BC0">
            <w:pPr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bCs/>
                <w:i/>
                <w:iCs/>
                <w:color w:val="366092"/>
                <w:sz w:val="18"/>
                <w:szCs w:val="18"/>
                <w:lang w:val="el-GR"/>
              </w:rPr>
              <w:t>Αρνητική Επίπτωση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7598BB6" w14:textId="77777777" w:rsidR="003A2BC0" w:rsidRPr="00D116E0" w:rsidRDefault="003A2BC0" w:rsidP="003A2BC0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3A2BC0" w:rsidRPr="00D116E0" w14:paraId="34938A7A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bottom w:val="nil"/>
            </w:tcBorders>
            <w:shd w:val="clear" w:color="FFFFFF" w:fill="FFFFFF"/>
            <w:vAlign w:val="center"/>
          </w:tcPr>
          <w:p w14:paraId="106C0FC9" w14:textId="7CB77D3B" w:rsidR="003A2BC0" w:rsidRPr="00D116E0" w:rsidRDefault="003A2BC0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Λαχανικά</w:t>
            </w:r>
          </w:p>
        </w:tc>
        <w:tc>
          <w:tcPr>
            <w:tcW w:w="3227" w:type="dxa"/>
            <w:tcBorders>
              <w:top w:val="nil"/>
              <w:bottom w:val="nil"/>
            </w:tcBorders>
            <w:shd w:val="clear" w:color="FFFFFF" w:fill="FFFFFF"/>
            <w:noWrap/>
            <w:vAlign w:val="center"/>
          </w:tcPr>
          <w:p w14:paraId="1CA6583B" w14:textId="4611DFFC" w:rsidR="003A2BC0" w:rsidRPr="00657C56" w:rsidRDefault="003A2BC0" w:rsidP="003A2BC0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20</w:t>
            </w:r>
          </w:p>
        </w:tc>
      </w:tr>
      <w:tr w:rsidR="003A2BC0" w:rsidRPr="00D116E0" w14:paraId="14BB4F82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AD6F97" w14:textId="18884626" w:rsidR="003A2BC0" w:rsidRDefault="003A2BC0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Κρέας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329EE4C6" w14:textId="174F5DF1" w:rsidR="003A2BC0" w:rsidRPr="00D116E0" w:rsidRDefault="003A2BC0" w:rsidP="003A2BC0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</w:t>
            </w: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</w:t>
            </w:r>
          </w:p>
        </w:tc>
      </w:tr>
      <w:tr w:rsidR="003A2BC0" w:rsidRPr="00D116E0" w14:paraId="66D4F099" w14:textId="77777777" w:rsidTr="00805FD0">
        <w:trPr>
          <w:trHeight w:val="300"/>
          <w:jc w:val="center"/>
        </w:trPr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82E631" w14:textId="14E8C0BA" w:rsidR="003A2BC0" w:rsidRPr="00D116E0" w:rsidRDefault="003A2BC0" w:rsidP="003A2BC0">
            <w:pPr>
              <w:ind w:left="326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Ηλεκτρικό Ρεύμα</w:t>
            </w:r>
          </w:p>
        </w:tc>
        <w:tc>
          <w:tcPr>
            <w:tcW w:w="3227" w:type="dxa"/>
            <w:tcBorders>
              <w:top w:val="nil"/>
            </w:tcBorders>
            <w:shd w:val="clear" w:color="FFFFFF" w:fill="FFFFFF"/>
            <w:noWrap/>
            <w:vAlign w:val="center"/>
          </w:tcPr>
          <w:p w14:paraId="11C5A844" w14:textId="026434BF" w:rsidR="003A2BC0" w:rsidRPr="00D116E0" w:rsidRDefault="003A2BC0" w:rsidP="003A2BC0">
            <w:pPr>
              <w:ind w:left="326" w:right="128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-0,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08</w:t>
            </w:r>
          </w:p>
        </w:tc>
      </w:tr>
      <w:tr w:rsidR="003A2BC0" w:rsidRPr="00D116E0" w14:paraId="7031C1D9" w14:textId="77777777" w:rsidTr="007B6DB6">
        <w:trPr>
          <w:trHeight w:val="397"/>
          <w:jc w:val="center"/>
        </w:trPr>
        <w:tc>
          <w:tcPr>
            <w:tcW w:w="6234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vAlign w:val="center"/>
          </w:tcPr>
          <w:p w14:paraId="33014506" w14:textId="77777777" w:rsidR="003A2BC0" w:rsidRPr="00D116E0" w:rsidRDefault="003A2BC0" w:rsidP="003A2BC0">
            <w:pPr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116E0">
              <w:rPr>
                <w:rFonts w:ascii="Verdana" w:eastAsia="Times New Roman" w:hAnsi="Verdana" w:cs="Arial"/>
                <w:b/>
                <w:color w:val="366092"/>
                <w:sz w:val="18"/>
                <w:szCs w:val="18"/>
                <w:lang w:val="el-GR"/>
              </w:rPr>
              <w:t>ΓΕΝΙΚΟ ΣΥΝΟΛΟ</w:t>
            </w:r>
          </w:p>
        </w:tc>
        <w:tc>
          <w:tcPr>
            <w:tcW w:w="3227" w:type="dxa"/>
            <w:tcBorders>
              <w:top w:val="single" w:sz="4" w:space="0" w:color="366092"/>
              <w:bottom w:val="single" w:sz="4" w:space="0" w:color="366092"/>
            </w:tcBorders>
            <w:shd w:val="clear" w:color="FFFFFF" w:fill="FFFFFF"/>
            <w:noWrap/>
            <w:vAlign w:val="center"/>
          </w:tcPr>
          <w:p w14:paraId="52C1CF12" w14:textId="085DB985" w:rsidR="003A2BC0" w:rsidRPr="00900C9A" w:rsidRDefault="003A2BC0" w:rsidP="003A2BC0">
            <w:pPr>
              <w:ind w:right="128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 w:eastAsia="en-CY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</w:t>
            </w:r>
            <w:r w:rsidRPr="00D116E0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,</w:t>
            </w: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73</w:t>
            </w:r>
          </w:p>
        </w:tc>
      </w:tr>
    </w:tbl>
    <w:p w14:paraId="285561AD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82DA6E2" w14:textId="092A2F61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2686059" w14:textId="77777777" w:rsidR="00A766A2" w:rsidRDefault="00A766A2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4FD7775C" w14:textId="77777777" w:rsidR="00BF2B1C" w:rsidRPr="00D56B64" w:rsidRDefault="00BF2B1C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EB51A71" w14:textId="77777777" w:rsidR="006022B5" w:rsidRPr="00BF5960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color w:val="EE0000"/>
          <w:sz w:val="18"/>
          <w:szCs w:val="18"/>
          <w:u w:val="single"/>
          <w:lang w:val="el-GR"/>
        </w:rPr>
      </w:pPr>
    </w:p>
    <w:p w14:paraId="74C43CFC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27648AE1" w14:textId="77777777" w:rsidR="006022B5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07D4ECFE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DF1279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35873F4E" w14:textId="77777777" w:rsid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7824B4EA" w14:textId="77777777" w:rsidR="00DD0DD1" w:rsidRPr="00DD0DD1" w:rsidRDefault="00DD0DD1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08AF74B7" w14:textId="77777777" w:rsid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321070C" w14:textId="77777777" w:rsidR="00091CF5" w:rsidRPr="00091CF5" w:rsidRDefault="00091CF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5730B2FA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4FFAD0D4" w14:textId="11D17952" w:rsidR="00C8341F" w:rsidRPr="00E21D72" w:rsidRDefault="00C8341F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73A34100" w14:textId="59018CB8" w:rsidR="0016172E" w:rsidRPr="00A15339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</w:p>
    <w:p w14:paraId="2B804217" w14:textId="72743EA0" w:rsidR="0016172E" w:rsidRPr="00E21D72" w:rsidRDefault="0016172E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  <w:lang w:val="el-GR"/>
        </w:rPr>
      </w:pPr>
    </w:p>
    <w:p w14:paraId="6F05DBDE" w14:textId="77777777" w:rsidR="006022B5" w:rsidRPr="00E21D72" w:rsidRDefault="006022B5" w:rsidP="006022B5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E21D7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3C2B4637" w14:textId="77777777" w:rsidR="006022B5" w:rsidRPr="00E21D72" w:rsidRDefault="006022B5" w:rsidP="006022B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3318CA3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Ορισμοί</w:t>
      </w:r>
    </w:p>
    <w:p w14:paraId="7EED2F30" w14:textId="77777777" w:rsidR="006022B5" w:rsidRPr="00E21D72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384CCE" w14:textId="1E03D449" w:rsidR="006022B5" w:rsidRPr="00040AAE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Καταναλωτή (ΔΤΚ)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είναι οικονομικός δείκτης που καταρτίζεται για τη μέτρηση των διαχρονικών μεταβολών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ων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τιμ</w:t>
      </w:r>
      <w:r w:rsidR="008961EC">
        <w:rPr>
          <w:rFonts w:ascii="Verdana" w:eastAsia="Malgun Gothic" w:hAnsi="Verdana" w:cs="Arial"/>
          <w:sz w:val="18"/>
          <w:szCs w:val="18"/>
          <w:lang w:val="el-GR"/>
        </w:rPr>
        <w:t>ών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των καταναλωτικών αγαθών και υπηρεσιών που αποκτώνται, χρησιμοποιούνται ή πληρώνονται από τα νοικοκυριά (διαμένουν στην Κύπρο ή έχουν σκοπό να διαμείνουν στην Κύπρο για ένα χρόνο τουλάχιστον)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Ο ΔΤΚ αποτελεί τον επίσημο δείκτη για τον υπολογισμό του πληθωρισμού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46E76B2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7069BCC" w14:textId="2C2AF3E8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Πληθωρισμός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δείχνει τη μεταβολή του ΔΤΚ σε σχέση με τον αντίστοιχο μήνα του προηγούμενου έτους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1393B8C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52471B4" w14:textId="2E7978A2" w:rsidR="006022B5" w:rsidRPr="00497CF6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E21D72">
        <w:rPr>
          <w:rFonts w:ascii="Verdana" w:eastAsia="Malgun Gothic" w:hAnsi="Verdana" w:cs="Arial"/>
          <w:b/>
          <w:sz w:val="18"/>
          <w:szCs w:val="18"/>
          <w:lang w:val="el-GR"/>
        </w:rPr>
        <w:t>Επίπτωση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αντιπροσωπεύει το ποσό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συνολικής μεταβολής στον ΔΤΚ το οποίο οφείλεται στην αναφερόμενη κατηγορία/αγαθό/υπηρεσία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022ABDD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CC1A477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Τιμοληψία</w:t>
      </w:r>
    </w:p>
    <w:p w14:paraId="6BCF4E62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B5A34CE" w14:textId="7942F0CE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Η τιμοληψία διενεργείται μόνο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αστικές περιοχές των επαρχιών Λευκωσίας, Λάρνακας, Λεμεσού και Πάφου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Για κάθε πόλη οι αυξομειώσεις των τιμών κατά προϊόν και υπηρεσία για κάθε μήνα σταθμίζονται ανάλογα με τον πληθυσμό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AA2EFD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Συγκεκριμένα οι συντελεστές στάθμισης για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τέσσερις επαρχίες είναι οι εξής: Λευκωσία 4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%, Λεμεσός 30%, Λάρνακα 18% και Πάφος 1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2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%</w:t>
      </w:r>
      <w:r w:rsidR="00606F8C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2EA8A84A" w14:textId="77777777" w:rsidR="00C30A3C" w:rsidRPr="00C30A3C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1298584" w14:textId="0729C1A2" w:rsidR="006022B5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Οι τιμές των 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850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προϊόντων και υπηρεσιών, που περιλαμβάνονται στον ΔΤΚ παρακολουθούνται και καταγράφονται μια φορά κάθε μήνα, εκτός από κάποια εποχικά προϊόντα (π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>χ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C30A3C">
        <w:rPr>
          <w:rFonts w:ascii="Verdana" w:eastAsia="Malgun Gothic" w:hAnsi="Verdana" w:cs="Arial"/>
          <w:sz w:val="18"/>
          <w:szCs w:val="18"/>
          <w:lang w:val="el-GR"/>
        </w:rPr>
        <w:t xml:space="preserve"> λαχανικά και φρούτα), τα κρέατα και τα καύσιμα, των οποίων οι τιμές συλλέγονται κάθε βδομάδα (κάθε Πέμπτη)</w:t>
      </w:r>
      <w:r w:rsidR="005D4CAE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37AB0269" w14:textId="77777777" w:rsidR="00C30A3C" w:rsidRPr="00E21D72" w:rsidRDefault="00C30A3C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0F3C191" w14:textId="4E41AF0C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Έτος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Β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άσης</w:t>
      </w:r>
    </w:p>
    <w:p w14:paraId="12559C64" w14:textId="77777777" w:rsidR="006022B5" w:rsidRPr="00E21D72" w:rsidRDefault="006022B5" w:rsidP="00435E38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CFF880" w14:textId="22250D05" w:rsidR="006022B5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>Από τον Ιανουάριο του 2026 και μετέπειτα υιοθετείται ως έτος αναφοράς το 2025=100.</w:t>
      </w:r>
      <w:r w:rsidR="00616DC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έτος βάσης από τον Ιανουάριο του 2016 μέχρι το Δεκέμβριο του 2025 ήταν το 2015=100.</w:t>
      </w:r>
    </w:p>
    <w:p w14:paraId="1B35A054" w14:textId="77777777" w:rsidR="00BE22C2" w:rsidRPr="00E21D72" w:rsidRDefault="00BE22C2" w:rsidP="00435E38">
      <w:pPr>
        <w:jc w:val="both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217CF854" w14:textId="77777777" w:rsidR="006022B5" w:rsidRPr="00E21D72" w:rsidRDefault="006022B5" w:rsidP="00435E38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Ταξινόμηση                                                                                                                  </w:t>
      </w:r>
    </w:p>
    <w:p w14:paraId="524F8056" w14:textId="77777777" w:rsidR="006022B5" w:rsidRPr="00E21D72" w:rsidRDefault="006022B5" w:rsidP="00435E38">
      <w:pPr>
        <w:tabs>
          <w:tab w:val="left" w:pos="36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87B9B00" w14:textId="6C2EB2D9" w:rsidR="00B06FC6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Μέχρι τον Δεκέμβριο του 2025, ο ΔΤΚ υπολογιζόταν και δημοσιευόταν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ECOICOP. Από τον Ιανουάριο του 2026 και μετέπειτα, ο ΔΤΚ υπολογίζεται και δημοσιεύεται βάσει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 xml:space="preserve"> ταξινόμησης ECOICOP ver.2.</w:t>
      </w:r>
      <w:r w:rsidR="00146DC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BE22C2">
        <w:rPr>
          <w:rFonts w:ascii="Verdana" w:eastAsia="Malgun Gothic" w:hAnsi="Verdana" w:cs="Arial"/>
          <w:sz w:val="18"/>
          <w:szCs w:val="18"/>
          <w:lang w:val="el-GR"/>
        </w:rPr>
        <w:t>Το χαμηλότερο επίπεδο λεπτομέρειας για την ταξινόμηση ECOICOP ver.2 που χρησιμοποιείται στον ΔΤΚ είναι τα πέντε ψηφία ανάλυσης.</w:t>
      </w:r>
    </w:p>
    <w:p w14:paraId="05978F39" w14:textId="77777777" w:rsidR="00BE22C2" w:rsidRPr="009B041C" w:rsidRDefault="00BE22C2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C00108D" w14:textId="77777777" w:rsidR="00297A13" w:rsidRPr="009B041C" w:rsidRDefault="00297A13" w:rsidP="00435E38">
      <w:pPr>
        <w:jc w:val="both"/>
        <w:rPr>
          <w:rFonts w:ascii="Verdana" w:eastAsia="Times New Roman" w:hAnsi="Verdana"/>
          <w:sz w:val="18"/>
          <w:szCs w:val="18"/>
          <w:highlight w:val="yellow"/>
          <w:lang w:val="el-GR"/>
        </w:rPr>
      </w:pPr>
    </w:p>
    <w:p w14:paraId="5A5D77AE" w14:textId="1FAD2A39" w:rsidR="006022B5" w:rsidRPr="00E21D72" w:rsidRDefault="006022B5" w:rsidP="00435E38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Προϊόντα/Υπηρεσίες και Συντελεστές </w:t>
      </w:r>
      <w:r w:rsid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E21D7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τάθμισης</w:t>
      </w:r>
    </w:p>
    <w:p w14:paraId="4EC53982" w14:textId="72199008" w:rsidR="006022B5" w:rsidRPr="00497CF6" w:rsidRDefault="006022B5" w:rsidP="00435E38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21D72">
        <w:rPr>
          <w:rFonts w:ascii="Verdana" w:eastAsia="Malgun Gothic" w:hAnsi="Verdana" w:cs="Arial"/>
          <w:sz w:val="18"/>
          <w:szCs w:val="18"/>
          <w:lang w:val="el-GR"/>
        </w:rPr>
        <w:br/>
        <w:t>Με ισχύ από τον Ιανουάριο του 20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τόσο τα προϊόντα</w:t>
      </w:r>
      <w:r w:rsidR="001A405D">
        <w:rPr>
          <w:rFonts w:ascii="Verdana" w:eastAsia="Malgun Gothic" w:hAnsi="Verdana" w:cs="Arial"/>
          <w:sz w:val="18"/>
          <w:szCs w:val="18"/>
          <w:lang w:val="el-GR"/>
        </w:rPr>
        <w:t xml:space="preserve"> και υπηρεσίες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που περιέχονται στον ΔΤΚ όσο και οι συντελεστές στάθμισής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="00B9355C">
        <w:rPr>
          <w:rFonts w:ascii="Verdana" w:eastAsia="Malgun Gothic" w:hAnsi="Verdana" w:cs="Arial"/>
          <w:sz w:val="18"/>
          <w:szCs w:val="18"/>
          <w:lang w:val="el-GR"/>
        </w:rPr>
        <w:t>ου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αναθεωρήθηκαν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βασίστηκε στα αποτελέσματα </w:t>
      </w:r>
      <w:r w:rsidR="00307F45">
        <w:rPr>
          <w:rFonts w:ascii="Verdana" w:eastAsia="Malgun Gothic" w:hAnsi="Verdana" w:cs="Arial"/>
          <w:sz w:val="18"/>
          <w:szCs w:val="18"/>
          <w:lang w:val="el-GR"/>
        </w:rPr>
        <w:t>της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Έρευνας Οικογενειακών Προϋπολογισμών</w:t>
      </w:r>
      <w:r w:rsidR="00BE22C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5D4CAE" w:rsidRPr="00375524">
        <w:rPr>
          <w:rFonts w:ascii="Verdana" w:eastAsia="Malgun Gothic" w:hAnsi="Verdana" w:cs="Arial"/>
          <w:sz w:val="18"/>
          <w:szCs w:val="18"/>
          <w:lang w:val="el-GR"/>
        </w:rPr>
        <w:t>2023.</w:t>
      </w:r>
    </w:p>
    <w:p w14:paraId="419C4F4E" w14:textId="77777777" w:rsidR="005F3E17" w:rsidRDefault="005F3E17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8CC6F2" w14:textId="77777777" w:rsidR="006F749E" w:rsidRPr="00E21D72" w:rsidRDefault="006F749E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67D2B41" w14:textId="77777777" w:rsidR="006022B5" w:rsidRPr="00E21D72" w:rsidRDefault="006022B5" w:rsidP="006022B5">
      <w:pPr>
        <w:rPr>
          <w:rFonts w:ascii="Verdana" w:hAnsi="Verdana"/>
          <w:i/>
          <w:iCs/>
          <w:sz w:val="18"/>
          <w:szCs w:val="18"/>
          <w:lang w:val="el-GR"/>
        </w:rPr>
      </w:pPr>
      <w:r w:rsidRPr="00E21D72"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 w:rsidRPr="00E21D72"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0AF10108" w14:textId="7777777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Δείκτες Τιμών</w:t>
        </w:r>
      </w:hyperlink>
    </w:p>
    <w:p w14:paraId="5AC14E05" w14:textId="194E7617" w:rsidR="006022B5" w:rsidRPr="00E21D72" w:rsidRDefault="006022B5" w:rsidP="006022B5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E21D72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E21D72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25ECF037" w14:textId="4328F4EE" w:rsidR="004C6AB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1" w:tooltip="Αναθεώρηση ΔΤΚ Γενάρης 2026" w:history="1">
        <w:r w:rsidRPr="00742971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Αναθεώρηση ΔΤΚ Γενάρης 2026</w:t>
        </w:r>
      </w:hyperlink>
    </w:p>
    <w:p w14:paraId="15AADD48" w14:textId="77777777" w:rsidR="00742971" w:rsidRPr="00266F1F" w:rsidRDefault="00742971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13D082" w14:textId="0C179B16" w:rsidR="004C6ABF" w:rsidRPr="00266F1F" w:rsidRDefault="006022B5" w:rsidP="00AC3F63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E21D72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E21D72">
        <w:rPr>
          <w:rFonts w:ascii="Verdana" w:hAnsi="Verdana"/>
          <w:sz w:val="18"/>
          <w:szCs w:val="18"/>
          <w:lang w:val="el-GR"/>
        </w:rPr>
        <w:t xml:space="preserve"> </w:t>
      </w:r>
    </w:p>
    <w:p w14:paraId="432FD17D" w14:textId="07EDCC02" w:rsidR="004C6ABF" w:rsidRPr="004C6ABF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bookmarkStart w:id="2" w:name="_Hlk176173046"/>
      <w:r>
        <w:rPr>
          <w:rFonts w:ascii="Verdana" w:eastAsia="Malgun Gothic" w:hAnsi="Verdana" w:cs="Arial"/>
          <w:sz w:val="18"/>
          <w:szCs w:val="18"/>
          <w:lang w:val="el-GR"/>
        </w:rPr>
        <w:t>Σωφρόνης Βίκης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</w:t>
      </w:r>
      <w:r w:rsidRPr="004C6ABF">
        <w:rPr>
          <w:rFonts w:ascii="Verdana" w:eastAsia="Malgun Gothic" w:hAnsi="Verdana" w:cs="Arial"/>
          <w:sz w:val="18"/>
          <w:szCs w:val="18"/>
          <w:lang w:val="el-GR"/>
        </w:rPr>
        <w:t>2602206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2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svikis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610A4C7F" w14:textId="5FEED34E" w:rsidR="006022B5" w:rsidRPr="00E21D72" w:rsidRDefault="004C6ABF" w:rsidP="006022B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Κυριάκος Βουτουρής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5132</w:t>
      </w:r>
      <w:r w:rsidR="00D07AD5" w:rsidRPr="00350071">
        <w:rPr>
          <w:rFonts w:ascii="Verdana" w:eastAsia="Malgun Gothic" w:hAnsi="Verdana" w:cs="Arial"/>
          <w:sz w:val="18"/>
          <w:szCs w:val="18"/>
          <w:lang w:val="el-GR"/>
        </w:rPr>
        <w:t>,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Ηλ</w:t>
      </w:r>
      <w:r w:rsidR="00F9192C" w:rsidRPr="00F9192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6022B5"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3" w:history="1"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</w:rPr>
          <w:t>kvoutouris</w:t>
        </w:r>
        <w:r w:rsidR="00F9192C" w:rsidRPr="0019002C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p w14:paraId="5EC9F783" w14:textId="45EF27B4" w:rsidR="004C6ABF" w:rsidRPr="00E21D72" w:rsidRDefault="004C6ABF" w:rsidP="004C6ABF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Φίλιππος Κακούτσης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: Τηλ:+3572260</w:t>
      </w:r>
      <w:r>
        <w:rPr>
          <w:rFonts w:ascii="Verdana" w:eastAsia="Malgun Gothic" w:hAnsi="Verdana" w:cs="Arial"/>
          <w:sz w:val="18"/>
          <w:szCs w:val="18"/>
          <w:lang w:val="el-GR"/>
        </w:rPr>
        <w:t>5149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>, Ηλ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 Ταχ</w:t>
      </w:r>
      <w:r w:rsidR="00D07AD5" w:rsidRPr="00D07AD5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E21D7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hyperlink r:id="rId14" w:history="1"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</w:rPr>
          <w:t>fkakoutsis</w:t>
        </w:r>
        <w:r w:rsidR="00D07AD5" w:rsidRPr="00DF29F7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</w:p>
    <w:bookmarkEnd w:id="2"/>
    <w:p w14:paraId="13A37716" w14:textId="011C3740" w:rsidR="001712CF" w:rsidRPr="00E21D72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37CE1C" w14:textId="0BEAC8D7" w:rsidR="00761E3A" w:rsidRPr="001230D5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761E3A" w:rsidRPr="001230D5" w:rsidSect="008620CD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9DB5" w14:textId="77777777" w:rsidR="002212B9" w:rsidRDefault="002212B9" w:rsidP="00FB398F">
      <w:r>
        <w:separator/>
      </w:r>
    </w:p>
  </w:endnote>
  <w:endnote w:type="continuationSeparator" w:id="0">
    <w:p w14:paraId="407ECC2A" w14:textId="77777777" w:rsidR="002212B9" w:rsidRDefault="002212B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56571">
      <w:rPr>
        <w:noProof/>
      </w:rPr>
      <w:t>5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80D18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C80D18">
      <w:rPr>
        <w:rFonts w:ascii="Verdana" w:hAnsi="Verdana" w:cs="Arial"/>
        <w:sz w:val="16"/>
        <w:szCs w:val="16"/>
        <w:lang w:val="el-GR"/>
      </w:rPr>
      <w:t>ήλ</w:t>
    </w:r>
    <w:r w:rsidRPr="00C80D18">
      <w:rPr>
        <w:rFonts w:ascii="Verdana" w:hAnsi="Verdana" w:cs="Arial"/>
        <w:sz w:val="16"/>
        <w:szCs w:val="16"/>
        <w:lang w:val="el-GR"/>
      </w:rPr>
      <w:t xml:space="preserve"> Καραολή, 1444 Λευκωσία, Κύπρος</w:t>
    </w:r>
  </w:p>
  <w:p w14:paraId="701EBEC3" w14:textId="48BF6C7B" w:rsidR="004E4F42" w:rsidRPr="00C80D18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C80D18">
      <w:rPr>
        <w:rFonts w:ascii="Verdana" w:hAnsi="Verdana" w:cs="Arial"/>
        <w:sz w:val="16"/>
        <w:szCs w:val="16"/>
        <w:lang w:val="el-GR"/>
      </w:rPr>
      <w:t>Τηλ</w:t>
    </w:r>
    <w:r w:rsidR="00EB0179">
      <w:rPr>
        <w:rFonts w:ascii="Verdana" w:hAnsi="Verdana" w:cs="Arial"/>
        <w:sz w:val="16"/>
        <w:szCs w:val="16"/>
        <w:lang w:val="el-GR"/>
      </w:rPr>
      <w:t>,</w:t>
    </w:r>
    <w:r w:rsidRPr="00C80D18">
      <w:rPr>
        <w:rFonts w:ascii="Verdana" w:hAnsi="Verdana" w:cs="Arial"/>
        <w:sz w:val="16"/>
        <w:szCs w:val="16"/>
        <w:lang w:val="el-GR"/>
      </w:rPr>
      <w:t xml:space="preserve">: 22 602129, </w:t>
    </w:r>
    <w:r w:rsidR="00C80D18" w:rsidRPr="00C80D18">
      <w:rPr>
        <w:rFonts w:ascii="Verdana" w:hAnsi="Verdana" w:cs="Arial"/>
        <w:sz w:val="16"/>
        <w:szCs w:val="16"/>
        <w:lang w:val="el-GR"/>
      </w:rPr>
      <w:t>Ηλ</w:t>
    </w:r>
    <w:r w:rsidR="00EB0179">
      <w:rPr>
        <w:rFonts w:ascii="Verdana" w:hAnsi="Verdana" w:cs="Arial"/>
        <w:sz w:val="16"/>
        <w:szCs w:val="16"/>
        <w:lang w:val="el-GR"/>
      </w:rPr>
      <w:t xml:space="preserve">. </w:t>
    </w:r>
    <w:r w:rsidR="00C80D18" w:rsidRPr="00C80D18">
      <w:rPr>
        <w:rFonts w:ascii="Verdana" w:hAnsi="Verdana" w:cs="Arial"/>
        <w:sz w:val="16"/>
        <w:szCs w:val="16"/>
        <w:lang w:val="el-GR"/>
      </w:rPr>
      <w:t>Ταχ</w:t>
    </w:r>
    <w:r w:rsidR="00EB0179">
      <w:rPr>
        <w:rFonts w:ascii="Verdana" w:hAnsi="Verdana" w:cs="Arial"/>
        <w:sz w:val="16"/>
        <w:szCs w:val="16"/>
        <w:lang w:val="el-GR"/>
      </w:rPr>
      <w:t>.</w:t>
    </w:r>
    <w:r w:rsidRPr="00C80D18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enquiries@cystat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C80D18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4711C07B" w:rsidR="004E4F42" w:rsidRPr="00C80D18" w:rsidRDefault="00C80D18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80D18">
      <w:rPr>
        <w:rFonts w:ascii="Verdana" w:hAnsi="Verdana" w:cs="Arial"/>
        <w:sz w:val="16"/>
        <w:szCs w:val="16"/>
        <w:lang w:val="el-GR"/>
      </w:rPr>
      <w:t>Διαδικτυακή</w:t>
    </w:r>
    <w:r w:rsidRPr="00C80D18">
      <w:rPr>
        <w:rFonts w:ascii="Verdana" w:hAnsi="Verdana" w:cs="Arial"/>
        <w:sz w:val="16"/>
        <w:szCs w:val="16"/>
        <w:lang w:val="de-DE"/>
      </w:rPr>
      <w:t xml:space="preserve"> </w:t>
    </w:r>
    <w:r w:rsidRPr="00C80D18">
      <w:rPr>
        <w:rFonts w:ascii="Verdana" w:hAnsi="Verdana" w:cs="Arial"/>
        <w:sz w:val="16"/>
        <w:szCs w:val="16"/>
        <w:lang w:val="el-GR"/>
      </w:rPr>
      <w:t>Πύλη</w:t>
    </w:r>
    <w:r w:rsidR="004E4F42" w:rsidRPr="00C80D18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B0179" w:rsidRPr="0044396E">
        <w:rPr>
          <w:rStyle w:val="Hyperlink"/>
          <w:rFonts w:ascii="Verdana" w:hAnsi="Verdana" w:cs="Arial"/>
          <w:sz w:val="16"/>
          <w:szCs w:val="16"/>
        </w:rPr>
        <w:t>http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www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cystat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gov</w:t>
      </w:r>
      <w:r w:rsidR="00EB0179" w:rsidRPr="0044396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B0179" w:rsidRPr="0044396E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C80D18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6B69" w14:textId="77777777" w:rsidR="002212B9" w:rsidRDefault="002212B9" w:rsidP="00FB398F">
      <w:r>
        <w:separator/>
      </w:r>
    </w:p>
  </w:footnote>
  <w:footnote w:type="continuationSeparator" w:id="0">
    <w:p w14:paraId="021D0E7E" w14:textId="77777777" w:rsidR="002212B9" w:rsidRDefault="002212B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44F792A">
              <wp:simplePos x="0" y="0"/>
              <wp:positionH relativeFrom="column">
                <wp:posOffset>4090035</wp:posOffset>
              </wp:positionH>
              <wp:positionV relativeFrom="paragraph">
                <wp:posOffset>102870</wp:posOffset>
              </wp:positionV>
              <wp:extent cx="18954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80D18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80D18" w:rsidRDefault="004E4F42" w:rsidP="00C80D18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80D18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05pt;margin-top:8.1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It+AEAANE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" stroked="f">
              <v:textbox>
                <w:txbxContent>
                  <w:p w14:paraId="505F9DD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80D18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80D18" w:rsidRDefault="004E4F42" w:rsidP="00C80D18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80D18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1C983FD7" w:rsidR="004E4F42" w:rsidRPr="00C80D18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C80D18">
      <w:rPr>
        <w:rFonts w:ascii="Verdana" w:hAnsi="Verdana" w:cs="Arial"/>
        <w:bCs/>
        <w:sz w:val="20"/>
        <w:szCs w:val="20"/>
      </w:rPr>
      <w:t>ΚΥΠΡΙΑΚΗ ΔΗΜΟΚΡΑΤΙΑ</w:t>
    </w:r>
    <w:r w:rsidRPr="00C80D18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80D18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54F770FF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379"/>
    <w:multiLevelType w:val="hybridMultilevel"/>
    <w:tmpl w:val="38CEA68C"/>
    <w:lvl w:ilvl="0" w:tplc="7F94C544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448878">
    <w:abstractNumId w:val="6"/>
  </w:num>
  <w:num w:numId="2" w16cid:durableId="84152070">
    <w:abstractNumId w:val="3"/>
  </w:num>
  <w:num w:numId="3" w16cid:durableId="549270179">
    <w:abstractNumId w:val="4"/>
  </w:num>
  <w:num w:numId="4" w16cid:durableId="1723366128">
    <w:abstractNumId w:val="5"/>
  </w:num>
  <w:num w:numId="5" w16cid:durableId="599532453">
    <w:abstractNumId w:val="2"/>
  </w:num>
  <w:num w:numId="6" w16cid:durableId="1335953990">
    <w:abstractNumId w:val="7"/>
  </w:num>
  <w:num w:numId="7" w16cid:durableId="1730764302">
    <w:abstractNumId w:val="0"/>
  </w:num>
  <w:num w:numId="8" w16cid:durableId="15591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8D0"/>
    <w:rsid w:val="00002458"/>
    <w:rsid w:val="00003EF2"/>
    <w:rsid w:val="0000542E"/>
    <w:rsid w:val="0000572F"/>
    <w:rsid w:val="00011A54"/>
    <w:rsid w:val="00011A59"/>
    <w:rsid w:val="00013AF3"/>
    <w:rsid w:val="00013E40"/>
    <w:rsid w:val="0001436B"/>
    <w:rsid w:val="000161B1"/>
    <w:rsid w:val="00017447"/>
    <w:rsid w:val="00023312"/>
    <w:rsid w:val="0002394B"/>
    <w:rsid w:val="00023CEB"/>
    <w:rsid w:val="00024180"/>
    <w:rsid w:val="00025498"/>
    <w:rsid w:val="00025A39"/>
    <w:rsid w:val="00025B1F"/>
    <w:rsid w:val="000268D7"/>
    <w:rsid w:val="00026B18"/>
    <w:rsid w:val="00027853"/>
    <w:rsid w:val="00027FDE"/>
    <w:rsid w:val="0003098E"/>
    <w:rsid w:val="00030E18"/>
    <w:rsid w:val="00031D32"/>
    <w:rsid w:val="000323E4"/>
    <w:rsid w:val="00032B89"/>
    <w:rsid w:val="00034088"/>
    <w:rsid w:val="0003590E"/>
    <w:rsid w:val="00035D89"/>
    <w:rsid w:val="0003603D"/>
    <w:rsid w:val="00036D48"/>
    <w:rsid w:val="00037999"/>
    <w:rsid w:val="00040319"/>
    <w:rsid w:val="00040AAE"/>
    <w:rsid w:val="00040D50"/>
    <w:rsid w:val="00042925"/>
    <w:rsid w:val="0004388D"/>
    <w:rsid w:val="000446A6"/>
    <w:rsid w:val="00045088"/>
    <w:rsid w:val="00045A06"/>
    <w:rsid w:val="00046E20"/>
    <w:rsid w:val="00050391"/>
    <w:rsid w:val="00051603"/>
    <w:rsid w:val="00052D7F"/>
    <w:rsid w:val="00055291"/>
    <w:rsid w:val="000563D3"/>
    <w:rsid w:val="00057E44"/>
    <w:rsid w:val="00061299"/>
    <w:rsid w:val="000617D1"/>
    <w:rsid w:val="0006192B"/>
    <w:rsid w:val="000623EA"/>
    <w:rsid w:val="00062BC7"/>
    <w:rsid w:val="00062DDA"/>
    <w:rsid w:val="0006328F"/>
    <w:rsid w:val="00070576"/>
    <w:rsid w:val="00071169"/>
    <w:rsid w:val="000719D5"/>
    <w:rsid w:val="00075278"/>
    <w:rsid w:val="000752BB"/>
    <w:rsid w:val="0007536D"/>
    <w:rsid w:val="000757DC"/>
    <w:rsid w:val="00075B75"/>
    <w:rsid w:val="00076629"/>
    <w:rsid w:val="00081ADF"/>
    <w:rsid w:val="00082072"/>
    <w:rsid w:val="00082B42"/>
    <w:rsid w:val="000834B1"/>
    <w:rsid w:val="0008371A"/>
    <w:rsid w:val="00083B45"/>
    <w:rsid w:val="00083C14"/>
    <w:rsid w:val="00084A02"/>
    <w:rsid w:val="00084BF7"/>
    <w:rsid w:val="00085368"/>
    <w:rsid w:val="00085B1F"/>
    <w:rsid w:val="00085CBD"/>
    <w:rsid w:val="000870E9"/>
    <w:rsid w:val="00087188"/>
    <w:rsid w:val="0008778C"/>
    <w:rsid w:val="00087AC6"/>
    <w:rsid w:val="00087B3C"/>
    <w:rsid w:val="00091CF5"/>
    <w:rsid w:val="00092B35"/>
    <w:rsid w:val="0009301B"/>
    <w:rsid w:val="000932CF"/>
    <w:rsid w:val="00094D08"/>
    <w:rsid w:val="000956E4"/>
    <w:rsid w:val="00095E6B"/>
    <w:rsid w:val="00096ED8"/>
    <w:rsid w:val="000A1A88"/>
    <w:rsid w:val="000A2B5C"/>
    <w:rsid w:val="000A3601"/>
    <w:rsid w:val="000A50D8"/>
    <w:rsid w:val="000A60B7"/>
    <w:rsid w:val="000A6747"/>
    <w:rsid w:val="000A6FA8"/>
    <w:rsid w:val="000B0180"/>
    <w:rsid w:val="000B2DD0"/>
    <w:rsid w:val="000B4BEA"/>
    <w:rsid w:val="000B5FF1"/>
    <w:rsid w:val="000B6E47"/>
    <w:rsid w:val="000C0DB8"/>
    <w:rsid w:val="000C1070"/>
    <w:rsid w:val="000C1D0B"/>
    <w:rsid w:val="000C44D1"/>
    <w:rsid w:val="000C4E72"/>
    <w:rsid w:val="000C5D92"/>
    <w:rsid w:val="000C74FC"/>
    <w:rsid w:val="000D04BB"/>
    <w:rsid w:val="000D11C6"/>
    <w:rsid w:val="000D1E7A"/>
    <w:rsid w:val="000D5964"/>
    <w:rsid w:val="000D7736"/>
    <w:rsid w:val="000E027A"/>
    <w:rsid w:val="000E24B1"/>
    <w:rsid w:val="000E2735"/>
    <w:rsid w:val="000E32D6"/>
    <w:rsid w:val="000E3EFF"/>
    <w:rsid w:val="000E4932"/>
    <w:rsid w:val="000E4CB0"/>
    <w:rsid w:val="000E57F2"/>
    <w:rsid w:val="000E5D96"/>
    <w:rsid w:val="000E63DB"/>
    <w:rsid w:val="000E72A7"/>
    <w:rsid w:val="000F1162"/>
    <w:rsid w:val="000F121F"/>
    <w:rsid w:val="000F3467"/>
    <w:rsid w:val="000F38DE"/>
    <w:rsid w:val="000F3F2A"/>
    <w:rsid w:val="000F448C"/>
    <w:rsid w:val="000F4BC8"/>
    <w:rsid w:val="000F532A"/>
    <w:rsid w:val="000F5D6C"/>
    <w:rsid w:val="000F5E64"/>
    <w:rsid w:val="001010DE"/>
    <w:rsid w:val="00102921"/>
    <w:rsid w:val="00105543"/>
    <w:rsid w:val="0010612E"/>
    <w:rsid w:val="00106852"/>
    <w:rsid w:val="001079D8"/>
    <w:rsid w:val="00110F9D"/>
    <w:rsid w:val="00111708"/>
    <w:rsid w:val="00112CFF"/>
    <w:rsid w:val="00114A67"/>
    <w:rsid w:val="00114C61"/>
    <w:rsid w:val="001157E4"/>
    <w:rsid w:val="00117099"/>
    <w:rsid w:val="001230D5"/>
    <w:rsid w:val="00123DE8"/>
    <w:rsid w:val="00123EE8"/>
    <w:rsid w:val="00124941"/>
    <w:rsid w:val="001253B6"/>
    <w:rsid w:val="001262C3"/>
    <w:rsid w:val="00127320"/>
    <w:rsid w:val="00127456"/>
    <w:rsid w:val="00130726"/>
    <w:rsid w:val="00131127"/>
    <w:rsid w:val="001312D8"/>
    <w:rsid w:val="0013137B"/>
    <w:rsid w:val="00132903"/>
    <w:rsid w:val="001348EF"/>
    <w:rsid w:val="0013531A"/>
    <w:rsid w:val="001412A0"/>
    <w:rsid w:val="001416BA"/>
    <w:rsid w:val="00142C02"/>
    <w:rsid w:val="00146DCA"/>
    <w:rsid w:val="00147073"/>
    <w:rsid w:val="00147887"/>
    <w:rsid w:val="001510F4"/>
    <w:rsid w:val="0015118B"/>
    <w:rsid w:val="001519CE"/>
    <w:rsid w:val="001547F3"/>
    <w:rsid w:val="00154B57"/>
    <w:rsid w:val="00154F3A"/>
    <w:rsid w:val="001559CE"/>
    <w:rsid w:val="00160D4C"/>
    <w:rsid w:val="0016172E"/>
    <w:rsid w:val="00161CF3"/>
    <w:rsid w:val="00162BED"/>
    <w:rsid w:val="00162C00"/>
    <w:rsid w:val="001639EF"/>
    <w:rsid w:val="0016560A"/>
    <w:rsid w:val="0016589F"/>
    <w:rsid w:val="001708CE"/>
    <w:rsid w:val="001712CF"/>
    <w:rsid w:val="00173BC9"/>
    <w:rsid w:val="00175D28"/>
    <w:rsid w:val="00176D1B"/>
    <w:rsid w:val="0017769A"/>
    <w:rsid w:val="0018133A"/>
    <w:rsid w:val="00183A01"/>
    <w:rsid w:val="00183DFC"/>
    <w:rsid w:val="00184384"/>
    <w:rsid w:val="001849D2"/>
    <w:rsid w:val="001850A1"/>
    <w:rsid w:val="00185FEE"/>
    <w:rsid w:val="00186717"/>
    <w:rsid w:val="00187FFC"/>
    <w:rsid w:val="0019391C"/>
    <w:rsid w:val="00194CF2"/>
    <w:rsid w:val="0019505E"/>
    <w:rsid w:val="00195540"/>
    <w:rsid w:val="00196A7C"/>
    <w:rsid w:val="001A1907"/>
    <w:rsid w:val="001A2018"/>
    <w:rsid w:val="001A3D5D"/>
    <w:rsid w:val="001A405D"/>
    <w:rsid w:val="001A48A9"/>
    <w:rsid w:val="001A62A9"/>
    <w:rsid w:val="001A7649"/>
    <w:rsid w:val="001A794F"/>
    <w:rsid w:val="001B0EBF"/>
    <w:rsid w:val="001B1006"/>
    <w:rsid w:val="001B2C39"/>
    <w:rsid w:val="001B3675"/>
    <w:rsid w:val="001B43BE"/>
    <w:rsid w:val="001B451E"/>
    <w:rsid w:val="001B4ABB"/>
    <w:rsid w:val="001B5E10"/>
    <w:rsid w:val="001B6AB3"/>
    <w:rsid w:val="001B73D5"/>
    <w:rsid w:val="001C0681"/>
    <w:rsid w:val="001C0F5E"/>
    <w:rsid w:val="001C2119"/>
    <w:rsid w:val="001C3B14"/>
    <w:rsid w:val="001C484F"/>
    <w:rsid w:val="001C528B"/>
    <w:rsid w:val="001C62B3"/>
    <w:rsid w:val="001C7C8C"/>
    <w:rsid w:val="001D0D6A"/>
    <w:rsid w:val="001D1C7F"/>
    <w:rsid w:val="001D2071"/>
    <w:rsid w:val="001D20A4"/>
    <w:rsid w:val="001D3C3A"/>
    <w:rsid w:val="001D4424"/>
    <w:rsid w:val="001D4E16"/>
    <w:rsid w:val="001D6079"/>
    <w:rsid w:val="001D613C"/>
    <w:rsid w:val="001D63F0"/>
    <w:rsid w:val="001E00D1"/>
    <w:rsid w:val="001E0E58"/>
    <w:rsid w:val="001E11A7"/>
    <w:rsid w:val="001E14F3"/>
    <w:rsid w:val="001E15ED"/>
    <w:rsid w:val="001E19E1"/>
    <w:rsid w:val="001E31B3"/>
    <w:rsid w:val="001E3A20"/>
    <w:rsid w:val="001E61AA"/>
    <w:rsid w:val="001E6DD7"/>
    <w:rsid w:val="001E73D7"/>
    <w:rsid w:val="001F0753"/>
    <w:rsid w:val="001F2779"/>
    <w:rsid w:val="001F3376"/>
    <w:rsid w:val="0020309E"/>
    <w:rsid w:val="0020687D"/>
    <w:rsid w:val="0020742D"/>
    <w:rsid w:val="0020780D"/>
    <w:rsid w:val="002102CA"/>
    <w:rsid w:val="00210424"/>
    <w:rsid w:val="00210B58"/>
    <w:rsid w:val="0021142C"/>
    <w:rsid w:val="00214E83"/>
    <w:rsid w:val="002160C6"/>
    <w:rsid w:val="00216205"/>
    <w:rsid w:val="00217767"/>
    <w:rsid w:val="002179A1"/>
    <w:rsid w:val="002212B9"/>
    <w:rsid w:val="00222423"/>
    <w:rsid w:val="00223AAB"/>
    <w:rsid w:val="00223AEE"/>
    <w:rsid w:val="002244CB"/>
    <w:rsid w:val="00225B28"/>
    <w:rsid w:val="002267CD"/>
    <w:rsid w:val="00226891"/>
    <w:rsid w:val="00226B6C"/>
    <w:rsid w:val="00230D9B"/>
    <w:rsid w:val="002313AC"/>
    <w:rsid w:val="00231C0F"/>
    <w:rsid w:val="00233AD2"/>
    <w:rsid w:val="00233AD8"/>
    <w:rsid w:val="00233B46"/>
    <w:rsid w:val="002347EE"/>
    <w:rsid w:val="00235014"/>
    <w:rsid w:val="00235FB2"/>
    <w:rsid w:val="00237BC1"/>
    <w:rsid w:val="0024026B"/>
    <w:rsid w:val="002404FE"/>
    <w:rsid w:val="002418B1"/>
    <w:rsid w:val="002430B4"/>
    <w:rsid w:val="00243556"/>
    <w:rsid w:val="0024409E"/>
    <w:rsid w:val="002447D0"/>
    <w:rsid w:val="002454C5"/>
    <w:rsid w:val="00245E19"/>
    <w:rsid w:val="00246AEB"/>
    <w:rsid w:val="00250005"/>
    <w:rsid w:val="00250774"/>
    <w:rsid w:val="002510A6"/>
    <w:rsid w:val="00251CAB"/>
    <w:rsid w:val="0025254F"/>
    <w:rsid w:val="00253F8F"/>
    <w:rsid w:val="0025560F"/>
    <w:rsid w:val="0025566D"/>
    <w:rsid w:val="002558D3"/>
    <w:rsid w:val="0025595C"/>
    <w:rsid w:val="0025622C"/>
    <w:rsid w:val="002567C4"/>
    <w:rsid w:val="00257149"/>
    <w:rsid w:val="002576D0"/>
    <w:rsid w:val="002576E7"/>
    <w:rsid w:val="00260357"/>
    <w:rsid w:val="00260410"/>
    <w:rsid w:val="00260BA5"/>
    <w:rsid w:val="002633F9"/>
    <w:rsid w:val="002635DE"/>
    <w:rsid w:val="00264413"/>
    <w:rsid w:val="00264F04"/>
    <w:rsid w:val="00266F1F"/>
    <w:rsid w:val="00267554"/>
    <w:rsid w:val="002726A3"/>
    <w:rsid w:val="0027291A"/>
    <w:rsid w:val="002732AD"/>
    <w:rsid w:val="002738C2"/>
    <w:rsid w:val="002743F0"/>
    <w:rsid w:val="002754E9"/>
    <w:rsid w:val="00276DC2"/>
    <w:rsid w:val="002809B9"/>
    <w:rsid w:val="00280F75"/>
    <w:rsid w:val="00281B90"/>
    <w:rsid w:val="0028338F"/>
    <w:rsid w:val="00290AEC"/>
    <w:rsid w:val="002915C4"/>
    <w:rsid w:val="00297A13"/>
    <w:rsid w:val="00297E6B"/>
    <w:rsid w:val="002A1D1C"/>
    <w:rsid w:val="002A28D1"/>
    <w:rsid w:val="002A4D64"/>
    <w:rsid w:val="002A6A70"/>
    <w:rsid w:val="002A7893"/>
    <w:rsid w:val="002B03CE"/>
    <w:rsid w:val="002B070B"/>
    <w:rsid w:val="002B0C0E"/>
    <w:rsid w:val="002B34BE"/>
    <w:rsid w:val="002B3BB5"/>
    <w:rsid w:val="002B4969"/>
    <w:rsid w:val="002B6554"/>
    <w:rsid w:val="002B6DA2"/>
    <w:rsid w:val="002B7065"/>
    <w:rsid w:val="002C045C"/>
    <w:rsid w:val="002C4323"/>
    <w:rsid w:val="002C5E02"/>
    <w:rsid w:val="002C6C81"/>
    <w:rsid w:val="002C79BD"/>
    <w:rsid w:val="002D05F0"/>
    <w:rsid w:val="002D07FD"/>
    <w:rsid w:val="002D119D"/>
    <w:rsid w:val="002D270A"/>
    <w:rsid w:val="002D2829"/>
    <w:rsid w:val="002D32FA"/>
    <w:rsid w:val="002D7D4A"/>
    <w:rsid w:val="002E2FD4"/>
    <w:rsid w:val="002E3846"/>
    <w:rsid w:val="002E3F78"/>
    <w:rsid w:val="002E50E7"/>
    <w:rsid w:val="002F1896"/>
    <w:rsid w:val="002F2C37"/>
    <w:rsid w:val="002F400C"/>
    <w:rsid w:val="002F4D76"/>
    <w:rsid w:val="002F5806"/>
    <w:rsid w:val="002F6D26"/>
    <w:rsid w:val="0030107C"/>
    <w:rsid w:val="0030231E"/>
    <w:rsid w:val="003042C4"/>
    <w:rsid w:val="003043DA"/>
    <w:rsid w:val="00304CB4"/>
    <w:rsid w:val="00304D9F"/>
    <w:rsid w:val="00305B05"/>
    <w:rsid w:val="00305D99"/>
    <w:rsid w:val="00306076"/>
    <w:rsid w:val="0030655C"/>
    <w:rsid w:val="00307F45"/>
    <w:rsid w:val="00313F37"/>
    <w:rsid w:val="003141D0"/>
    <w:rsid w:val="003145E8"/>
    <w:rsid w:val="003149D9"/>
    <w:rsid w:val="00315D54"/>
    <w:rsid w:val="00315E9D"/>
    <w:rsid w:val="003168C1"/>
    <w:rsid w:val="00317671"/>
    <w:rsid w:val="00321498"/>
    <w:rsid w:val="003218B0"/>
    <w:rsid w:val="003218D8"/>
    <w:rsid w:val="0032215D"/>
    <w:rsid w:val="0032230F"/>
    <w:rsid w:val="00322EC7"/>
    <w:rsid w:val="00322FBE"/>
    <w:rsid w:val="00325632"/>
    <w:rsid w:val="00325BD7"/>
    <w:rsid w:val="00327549"/>
    <w:rsid w:val="003275D5"/>
    <w:rsid w:val="00327654"/>
    <w:rsid w:val="00332DF7"/>
    <w:rsid w:val="003337C1"/>
    <w:rsid w:val="003342A5"/>
    <w:rsid w:val="00334616"/>
    <w:rsid w:val="00336BA7"/>
    <w:rsid w:val="00336C36"/>
    <w:rsid w:val="00336F31"/>
    <w:rsid w:val="0034293A"/>
    <w:rsid w:val="00343815"/>
    <w:rsid w:val="00344666"/>
    <w:rsid w:val="00344C4B"/>
    <w:rsid w:val="0034705B"/>
    <w:rsid w:val="00347874"/>
    <w:rsid w:val="003478C2"/>
    <w:rsid w:val="00350071"/>
    <w:rsid w:val="003522BB"/>
    <w:rsid w:val="003523C8"/>
    <w:rsid w:val="00352F6C"/>
    <w:rsid w:val="00354680"/>
    <w:rsid w:val="00354FA4"/>
    <w:rsid w:val="003556EA"/>
    <w:rsid w:val="00355D6D"/>
    <w:rsid w:val="00356FCC"/>
    <w:rsid w:val="00356FDC"/>
    <w:rsid w:val="003570D2"/>
    <w:rsid w:val="003600FA"/>
    <w:rsid w:val="00360B5F"/>
    <w:rsid w:val="00364589"/>
    <w:rsid w:val="00364682"/>
    <w:rsid w:val="00364824"/>
    <w:rsid w:val="003649FD"/>
    <w:rsid w:val="00364B87"/>
    <w:rsid w:val="003652ED"/>
    <w:rsid w:val="00365488"/>
    <w:rsid w:val="0037080F"/>
    <w:rsid w:val="00370C47"/>
    <w:rsid w:val="00375524"/>
    <w:rsid w:val="00380663"/>
    <w:rsid w:val="003821B5"/>
    <w:rsid w:val="00382E07"/>
    <w:rsid w:val="00386FC7"/>
    <w:rsid w:val="00390A32"/>
    <w:rsid w:val="0039267A"/>
    <w:rsid w:val="00392EF0"/>
    <w:rsid w:val="00393A18"/>
    <w:rsid w:val="00394E48"/>
    <w:rsid w:val="003955EC"/>
    <w:rsid w:val="003968D1"/>
    <w:rsid w:val="003A0174"/>
    <w:rsid w:val="003A1153"/>
    <w:rsid w:val="003A1E91"/>
    <w:rsid w:val="003A1FE9"/>
    <w:rsid w:val="003A2BC0"/>
    <w:rsid w:val="003A31F1"/>
    <w:rsid w:val="003A38E9"/>
    <w:rsid w:val="003A40F2"/>
    <w:rsid w:val="003A50D1"/>
    <w:rsid w:val="003B196D"/>
    <w:rsid w:val="003B2710"/>
    <w:rsid w:val="003B2CC6"/>
    <w:rsid w:val="003B2EDB"/>
    <w:rsid w:val="003B3392"/>
    <w:rsid w:val="003B340C"/>
    <w:rsid w:val="003B3CF3"/>
    <w:rsid w:val="003B4608"/>
    <w:rsid w:val="003B5FBA"/>
    <w:rsid w:val="003B7CDB"/>
    <w:rsid w:val="003C2392"/>
    <w:rsid w:val="003C3B5F"/>
    <w:rsid w:val="003C4990"/>
    <w:rsid w:val="003C5174"/>
    <w:rsid w:val="003C5240"/>
    <w:rsid w:val="003C63F9"/>
    <w:rsid w:val="003C76E6"/>
    <w:rsid w:val="003C7AF2"/>
    <w:rsid w:val="003D1226"/>
    <w:rsid w:val="003D14E0"/>
    <w:rsid w:val="003D1843"/>
    <w:rsid w:val="003D1EA5"/>
    <w:rsid w:val="003D292F"/>
    <w:rsid w:val="003D2D1A"/>
    <w:rsid w:val="003D3348"/>
    <w:rsid w:val="003D3F7C"/>
    <w:rsid w:val="003D4E63"/>
    <w:rsid w:val="003D587B"/>
    <w:rsid w:val="003D604F"/>
    <w:rsid w:val="003D640C"/>
    <w:rsid w:val="003D6822"/>
    <w:rsid w:val="003D724C"/>
    <w:rsid w:val="003E0CE2"/>
    <w:rsid w:val="003E1F23"/>
    <w:rsid w:val="003E510D"/>
    <w:rsid w:val="003E623B"/>
    <w:rsid w:val="003E628B"/>
    <w:rsid w:val="003E7088"/>
    <w:rsid w:val="003F28F9"/>
    <w:rsid w:val="003F2979"/>
    <w:rsid w:val="003F3277"/>
    <w:rsid w:val="003F49E4"/>
    <w:rsid w:val="003F4CB3"/>
    <w:rsid w:val="003F4D2F"/>
    <w:rsid w:val="003F5E32"/>
    <w:rsid w:val="003F75F6"/>
    <w:rsid w:val="003F793E"/>
    <w:rsid w:val="00400EF0"/>
    <w:rsid w:val="00403BEB"/>
    <w:rsid w:val="00404469"/>
    <w:rsid w:val="00404670"/>
    <w:rsid w:val="00405220"/>
    <w:rsid w:val="00405853"/>
    <w:rsid w:val="00410B86"/>
    <w:rsid w:val="004110E8"/>
    <w:rsid w:val="00414CA0"/>
    <w:rsid w:val="004164A3"/>
    <w:rsid w:val="00417671"/>
    <w:rsid w:val="0042011B"/>
    <w:rsid w:val="00420AF7"/>
    <w:rsid w:val="00421816"/>
    <w:rsid w:val="00422F54"/>
    <w:rsid w:val="0042304A"/>
    <w:rsid w:val="00426606"/>
    <w:rsid w:val="004274CA"/>
    <w:rsid w:val="004278F5"/>
    <w:rsid w:val="0043001A"/>
    <w:rsid w:val="00431516"/>
    <w:rsid w:val="00435E38"/>
    <w:rsid w:val="00436099"/>
    <w:rsid w:val="004361B3"/>
    <w:rsid w:val="00437BF7"/>
    <w:rsid w:val="0044197C"/>
    <w:rsid w:val="00441F53"/>
    <w:rsid w:val="0044249D"/>
    <w:rsid w:val="0044379F"/>
    <w:rsid w:val="00444855"/>
    <w:rsid w:val="00444FCC"/>
    <w:rsid w:val="00446FB1"/>
    <w:rsid w:val="004505D6"/>
    <w:rsid w:val="004522EE"/>
    <w:rsid w:val="00452753"/>
    <w:rsid w:val="00452DF7"/>
    <w:rsid w:val="00453E42"/>
    <w:rsid w:val="00453FD4"/>
    <w:rsid w:val="00455525"/>
    <w:rsid w:val="004578DA"/>
    <w:rsid w:val="00460761"/>
    <w:rsid w:val="0046078F"/>
    <w:rsid w:val="00463214"/>
    <w:rsid w:val="00463B77"/>
    <w:rsid w:val="0046434D"/>
    <w:rsid w:val="004656FA"/>
    <w:rsid w:val="00465B21"/>
    <w:rsid w:val="004677C3"/>
    <w:rsid w:val="00467D59"/>
    <w:rsid w:val="00470E2D"/>
    <w:rsid w:val="00470F4C"/>
    <w:rsid w:val="00471D77"/>
    <w:rsid w:val="00474265"/>
    <w:rsid w:val="0047491B"/>
    <w:rsid w:val="00474BD1"/>
    <w:rsid w:val="00475587"/>
    <w:rsid w:val="004757FD"/>
    <w:rsid w:val="00475DD9"/>
    <w:rsid w:val="00477492"/>
    <w:rsid w:val="00480BC2"/>
    <w:rsid w:val="004845C3"/>
    <w:rsid w:val="00484BE8"/>
    <w:rsid w:val="0049028C"/>
    <w:rsid w:val="004920B1"/>
    <w:rsid w:val="004929C2"/>
    <w:rsid w:val="00493FDD"/>
    <w:rsid w:val="0049586B"/>
    <w:rsid w:val="00497CF6"/>
    <w:rsid w:val="004A11EF"/>
    <w:rsid w:val="004A2850"/>
    <w:rsid w:val="004A3E44"/>
    <w:rsid w:val="004A5205"/>
    <w:rsid w:val="004A5A89"/>
    <w:rsid w:val="004A608E"/>
    <w:rsid w:val="004A7117"/>
    <w:rsid w:val="004B1104"/>
    <w:rsid w:val="004B2018"/>
    <w:rsid w:val="004B23FD"/>
    <w:rsid w:val="004B286D"/>
    <w:rsid w:val="004B2896"/>
    <w:rsid w:val="004B38E9"/>
    <w:rsid w:val="004B3C1B"/>
    <w:rsid w:val="004B3FBA"/>
    <w:rsid w:val="004B5321"/>
    <w:rsid w:val="004B6599"/>
    <w:rsid w:val="004C2058"/>
    <w:rsid w:val="004C2110"/>
    <w:rsid w:val="004C3385"/>
    <w:rsid w:val="004C6ABF"/>
    <w:rsid w:val="004C6CA7"/>
    <w:rsid w:val="004C74D7"/>
    <w:rsid w:val="004D2A0C"/>
    <w:rsid w:val="004D4357"/>
    <w:rsid w:val="004D4950"/>
    <w:rsid w:val="004D55F1"/>
    <w:rsid w:val="004D5CA3"/>
    <w:rsid w:val="004D63EC"/>
    <w:rsid w:val="004D783D"/>
    <w:rsid w:val="004E0451"/>
    <w:rsid w:val="004E0E78"/>
    <w:rsid w:val="004E1A86"/>
    <w:rsid w:val="004E2393"/>
    <w:rsid w:val="004E3745"/>
    <w:rsid w:val="004E3D7E"/>
    <w:rsid w:val="004E42BE"/>
    <w:rsid w:val="004E4F42"/>
    <w:rsid w:val="004E63D5"/>
    <w:rsid w:val="004F0101"/>
    <w:rsid w:val="004F03FD"/>
    <w:rsid w:val="004F1232"/>
    <w:rsid w:val="004F445E"/>
    <w:rsid w:val="004F52F0"/>
    <w:rsid w:val="004F57F2"/>
    <w:rsid w:val="004F5A70"/>
    <w:rsid w:val="004F6250"/>
    <w:rsid w:val="004F63F8"/>
    <w:rsid w:val="004F677C"/>
    <w:rsid w:val="004F6D8F"/>
    <w:rsid w:val="0050077D"/>
    <w:rsid w:val="00504240"/>
    <w:rsid w:val="00505503"/>
    <w:rsid w:val="00506DDE"/>
    <w:rsid w:val="00510BA3"/>
    <w:rsid w:val="0051107B"/>
    <w:rsid w:val="00512F9C"/>
    <w:rsid w:val="005134DB"/>
    <w:rsid w:val="005137BD"/>
    <w:rsid w:val="00521FC4"/>
    <w:rsid w:val="00527052"/>
    <w:rsid w:val="00527BC3"/>
    <w:rsid w:val="00527CDB"/>
    <w:rsid w:val="00527EAE"/>
    <w:rsid w:val="00530D25"/>
    <w:rsid w:val="00530D3A"/>
    <w:rsid w:val="00532F34"/>
    <w:rsid w:val="005339AA"/>
    <w:rsid w:val="005341C9"/>
    <w:rsid w:val="00535337"/>
    <w:rsid w:val="005369CA"/>
    <w:rsid w:val="00536DE9"/>
    <w:rsid w:val="00541640"/>
    <w:rsid w:val="00541DEB"/>
    <w:rsid w:val="00541E08"/>
    <w:rsid w:val="00542330"/>
    <w:rsid w:val="005430FA"/>
    <w:rsid w:val="00543942"/>
    <w:rsid w:val="00543F41"/>
    <w:rsid w:val="00551C0D"/>
    <w:rsid w:val="00552E95"/>
    <w:rsid w:val="00553157"/>
    <w:rsid w:val="00554FE0"/>
    <w:rsid w:val="00555A9F"/>
    <w:rsid w:val="00556FD9"/>
    <w:rsid w:val="0055789A"/>
    <w:rsid w:val="00560952"/>
    <w:rsid w:val="005625BB"/>
    <w:rsid w:val="00562EB0"/>
    <w:rsid w:val="005643A4"/>
    <w:rsid w:val="005652D1"/>
    <w:rsid w:val="005660A0"/>
    <w:rsid w:val="00566A4F"/>
    <w:rsid w:val="00566B6B"/>
    <w:rsid w:val="0056743D"/>
    <w:rsid w:val="00567D64"/>
    <w:rsid w:val="005721AA"/>
    <w:rsid w:val="005727E1"/>
    <w:rsid w:val="00574121"/>
    <w:rsid w:val="00575B72"/>
    <w:rsid w:val="00576A38"/>
    <w:rsid w:val="005808AB"/>
    <w:rsid w:val="00581D6C"/>
    <w:rsid w:val="00582855"/>
    <w:rsid w:val="00582C86"/>
    <w:rsid w:val="0059136C"/>
    <w:rsid w:val="00592FC4"/>
    <w:rsid w:val="0059435E"/>
    <w:rsid w:val="005945E1"/>
    <w:rsid w:val="0059585B"/>
    <w:rsid w:val="005978D4"/>
    <w:rsid w:val="005A23FA"/>
    <w:rsid w:val="005A2B85"/>
    <w:rsid w:val="005A2F66"/>
    <w:rsid w:val="005A54FD"/>
    <w:rsid w:val="005A60BB"/>
    <w:rsid w:val="005A6299"/>
    <w:rsid w:val="005A6BBB"/>
    <w:rsid w:val="005B2A67"/>
    <w:rsid w:val="005B2E7C"/>
    <w:rsid w:val="005B33E2"/>
    <w:rsid w:val="005B3DCD"/>
    <w:rsid w:val="005B4AD4"/>
    <w:rsid w:val="005B55A8"/>
    <w:rsid w:val="005B6BBD"/>
    <w:rsid w:val="005B77A5"/>
    <w:rsid w:val="005C08E4"/>
    <w:rsid w:val="005C24FC"/>
    <w:rsid w:val="005C26D5"/>
    <w:rsid w:val="005C2798"/>
    <w:rsid w:val="005C2AE4"/>
    <w:rsid w:val="005C36C3"/>
    <w:rsid w:val="005C56EE"/>
    <w:rsid w:val="005C7CB7"/>
    <w:rsid w:val="005C7E42"/>
    <w:rsid w:val="005C7EEB"/>
    <w:rsid w:val="005D1714"/>
    <w:rsid w:val="005D3A2C"/>
    <w:rsid w:val="005D47BE"/>
    <w:rsid w:val="005D4BD8"/>
    <w:rsid w:val="005D4CAE"/>
    <w:rsid w:val="005D5F35"/>
    <w:rsid w:val="005D6F71"/>
    <w:rsid w:val="005D7638"/>
    <w:rsid w:val="005E2BDE"/>
    <w:rsid w:val="005E3D8C"/>
    <w:rsid w:val="005E5CFB"/>
    <w:rsid w:val="005F111D"/>
    <w:rsid w:val="005F12F5"/>
    <w:rsid w:val="005F3E17"/>
    <w:rsid w:val="005F4185"/>
    <w:rsid w:val="005F6179"/>
    <w:rsid w:val="005F7408"/>
    <w:rsid w:val="005F7955"/>
    <w:rsid w:val="005F7A2C"/>
    <w:rsid w:val="005F7C7D"/>
    <w:rsid w:val="00601131"/>
    <w:rsid w:val="00601A80"/>
    <w:rsid w:val="00601CF7"/>
    <w:rsid w:val="006022B5"/>
    <w:rsid w:val="00602633"/>
    <w:rsid w:val="006044B7"/>
    <w:rsid w:val="00604B95"/>
    <w:rsid w:val="00605F73"/>
    <w:rsid w:val="00606558"/>
    <w:rsid w:val="00606F8C"/>
    <w:rsid w:val="006071CE"/>
    <w:rsid w:val="006075B5"/>
    <w:rsid w:val="006075EB"/>
    <w:rsid w:val="0061018C"/>
    <w:rsid w:val="0061094E"/>
    <w:rsid w:val="00613440"/>
    <w:rsid w:val="00613BE3"/>
    <w:rsid w:val="006147E4"/>
    <w:rsid w:val="00616DC8"/>
    <w:rsid w:val="00616E81"/>
    <w:rsid w:val="00622A9F"/>
    <w:rsid w:val="0062327B"/>
    <w:rsid w:val="00624332"/>
    <w:rsid w:val="00624521"/>
    <w:rsid w:val="00626C5E"/>
    <w:rsid w:val="0062722A"/>
    <w:rsid w:val="006314AA"/>
    <w:rsid w:val="00632777"/>
    <w:rsid w:val="00633750"/>
    <w:rsid w:val="00634491"/>
    <w:rsid w:val="00635691"/>
    <w:rsid w:val="006357B0"/>
    <w:rsid w:val="0063679C"/>
    <w:rsid w:val="00636C15"/>
    <w:rsid w:val="00637055"/>
    <w:rsid w:val="00640D82"/>
    <w:rsid w:val="00641D59"/>
    <w:rsid w:val="00644507"/>
    <w:rsid w:val="00646880"/>
    <w:rsid w:val="00646A4F"/>
    <w:rsid w:val="00646CF3"/>
    <w:rsid w:val="006473B8"/>
    <w:rsid w:val="00647D2A"/>
    <w:rsid w:val="00647FBB"/>
    <w:rsid w:val="006537BB"/>
    <w:rsid w:val="00654DFB"/>
    <w:rsid w:val="00655209"/>
    <w:rsid w:val="0065643E"/>
    <w:rsid w:val="00656571"/>
    <w:rsid w:val="00657C56"/>
    <w:rsid w:val="00660714"/>
    <w:rsid w:val="00660862"/>
    <w:rsid w:val="00661CA8"/>
    <w:rsid w:val="00664A67"/>
    <w:rsid w:val="00664DE2"/>
    <w:rsid w:val="00667E07"/>
    <w:rsid w:val="00667FD3"/>
    <w:rsid w:val="00671119"/>
    <w:rsid w:val="00671785"/>
    <w:rsid w:val="00671907"/>
    <w:rsid w:val="00672BA9"/>
    <w:rsid w:val="00673005"/>
    <w:rsid w:val="00673C1C"/>
    <w:rsid w:val="00673C79"/>
    <w:rsid w:val="00675B6E"/>
    <w:rsid w:val="0067750B"/>
    <w:rsid w:val="00677AB6"/>
    <w:rsid w:val="006804BE"/>
    <w:rsid w:val="00680A4F"/>
    <w:rsid w:val="00680B85"/>
    <w:rsid w:val="00682875"/>
    <w:rsid w:val="00682E7E"/>
    <w:rsid w:val="0068434A"/>
    <w:rsid w:val="00684A8F"/>
    <w:rsid w:val="00687000"/>
    <w:rsid w:val="00687BC9"/>
    <w:rsid w:val="0069008E"/>
    <w:rsid w:val="006904EC"/>
    <w:rsid w:val="0069087E"/>
    <w:rsid w:val="00691311"/>
    <w:rsid w:val="006925C4"/>
    <w:rsid w:val="00694242"/>
    <w:rsid w:val="00694F03"/>
    <w:rsid w:val="006A02B7"/>
    <w:rsid w:val="006A4979"/>
    <w:rsid w:val="006A4BE4"/>
    <w:rsid w:val="006A68F3"/>
    <w:rsid w:val="006A6C5E"/>
    <w:rsid w:val="006A7019"/>
    <w:rsid w:val="006A7402"/>
    <w:rsid w:val="006B111B"/>
    <w:rsid w:val="006B20A3"/>
    <w:rsid w:val="006B2EBF"/>
    <w:rsid w:val="006B46D5"/>
    <w:rsid w:val="006B46F4"/>
    <w:rsid w:val="006B4CDD"/>
    <w:rsid w:val="006B4E75"/>
    <w:rsid w:val="006B61A9"/>
    <w:rsid w:val="006B7F67"/>
    <w:rsid w:val="006C175F"/>
    <w:rsid w:val="006C18AA"/>
    <w:rsid w:val="006C3017"/>
    <w:rsid w:val="006C3F13"/>
    <w:rsid w:val="006C73DD"/>
    <w:rsid w:val="006C7AF3"/>
    <w:rsid w:val="006D0B9D"/>
    <w:rsid w:val="006D6548"/>
    <w:rsid w:val="006E0E20"/>
    <w:rsid w:val="006E21FE"/>
    <w:rsid w:val="006E2D96"/>
    <w:rsid w:val="006E335F"/>
    <w:rsid w:val="006E4256"/>
    <w:rsid w:val="006E4423"/>
    <w:rsid w:val="006E4BBA"/>
    <w:rsid w:val="006E5F43"/>
    <w:rsid w:val="006E60A6"/>
    <w:rsid w:val="006E65E0"/>
    <w:rsid w:val="006E7330"/>
    <w:rsid w:val="006E7A4A"/>
    <w:rsid w:val="006E7A9F"/>
    <w:rsid w:val="006F02B1"/>
    <w:rsid w:val="006F04B6"/>
    <w:rsid w:val="006F065A"/>
    <w:rsid w:val="006F090C"/>
    <w:rsid w:val="006F0F69"/>
    <w:rsid w:val="006F116B"/>
    <w:rsid w:val="006F117F"/>
    <w:rsid w:val="006F13DF"/>
    <w:rsid w:val="006F2780"/>
    <w:rsid w:val="006F345A"/>
    <w:rsid w:val="006F47C1"/>
    <w:rsid w:val="006F5D82"/>
    <w:rsid w:val="006F5DD6"/>
    <w:rsid w:val="006F6C96"/>
    <w:rsid w:val="006F6D3B"/>
    <w:rsid w:val="006F749E"/>
    <w:rsid w:val="00700DF0"/>
    <w:rsid w:val="00702F26"/>
    <w:rsid w:val="0070313E"/>
    <w:rsid w:val="00703799"/>
    <w:rsid w:val="00705C5C"/>
    <w:rsid w:val="00707466"/>
    <w:rsid w:val="00707F97"/>
    <w:rsid w:val="00710F54"/>
    <w:rsid w:val="00711475"/>
    <w:rsid w:val="00715509"/>
    <w:rsid w:val="00716B5C"/>
    <w:rsid w:val="00721CD6"/>
    <w:rsid w:val="00723D60"/>
    <w:rsid w:val="0072548A"/>
    <w:rsid w:val="007277A6"/>
    <w:rsid w:val="007310AA"/>
    <w:rsid w:val="00731391"/>
    <w:rsid w:val="00733648"/>
    <w:rsid w:val="00737F96"/>
    <w:rsid w:val="00740D3D"/>
    <w:rsid w:val="00740E93"/>
    <w:rsid w:val="00742971"/>
    <w:rsid w:val="007437AB"/>
    <w:rsid w:val="00743AF3"/>
    <w:rsid w:val="00745016"/>
    <w:rsid w:val="00745425"/>
    <w:rsid w:val="00745976"/>
    <w:rsid w:val="007469CD"/>
    <w:rsid w:val="00750AF4"/>
    <w:rsid w:val="0075340B"/>
    <w:rsid w:val="007534F8"/>
    <w:rsid w:val="007545AD"/>
    <w:rsid w:val="00760AB1"/>
    <w:rsid w:val="00761E3A"/>
    <w:rsid w:val="00763722"/>
    <w:rsid w:val="00763CC6"/>
    <w:rsid w:val="00764BC1"/>
    <w:rsid w:val="00765399"/>
    <w:rsid w:val="00765BDC"/>
    <w:rsid w:val="00770869"/>
    <w:rsid w:val="00771104"/>
    <w:rsid w:val="00771B9A"/>
    <w:rsid w:val="00771E19"/>
    <w:rsid w:val="0077314E"/>
    <w:rsid w:val="007738AA"/>
    <w:rsid w:val="00773A57"/>
    <w:rsid w:val="00774B42"/>
    <w:rsid w:val="007762CD"/>
    <w:rsid w:val="00777375"/>
    <w:rsid w:val="00777AEB"/>
    <w:rsid w:val="00777FAE"/>
    <w:rsid w:val="00780720"/>
    <w:rsid w:val="007808C0"/>
    <w:rsid w:val="00780A62"/>
    <w:rsid w:val="00782524"/>
    <w:rsid w:val="00783241"/>
    <w:rsid w:val="00783397"/>
    <w:rsid w:val="00784BDC"/>
    <w:rsid w:val="007869EA"/>
    <w:rsid w:val="00787153"/>
    <w:rsid w:val="007874D2"/>
    <w:rsid w:val="0079129D"/>
    <w:rsid w:val="00792F28"/>
    <w:rsid w:val="007935CA"/>
    <w:rsid w:val="0079383F"/>
    <w:rsid w:val="0079543F"/>
    <w:rsid w:val="00795880"/>
    <w:rsid w:val="007A0B56"/>
    <w:rsid w:val="007A358E"/>
    <w:rsid w:val="007A4367"/>
    <w:rsid w:val="007A5AC5"/>
    <w:rsid w:val="007B0867"/>
    <w:rsid w:val="007B1AC1"/>
    <w:rsid w:val="007B1DBF"/>
    <w:rsid w:val="007B441A"/>
    <w:rsid w:val="007B4795"/>
    <w:rsid w:val="007B4D6C"/>
    <w:rsid w:val="007B55C9"/>
    <w:rsid w:val="007B5A08"/>
    <w:rsid w:val="007B693D"/>
    <w:rsid w:val="007B6DB6"/>
    <w:rsid w:val="007B6FB7"/>
    <w:rsid w:val="007B7A39"/>
    <w:rsid w:val="007B7C1A"/>
    <w:rsid w:val="007C254C"/>
    <w:rsid w:val="007C264F"/>
    <w:rsid w:val="007C4CDC"/>
    <w:rsid w:val="007C6E4D"/>
    <w:rsid w:val="007C6F4B"/>
    <w:rsid w:val="007C75E6"/>
    <w:rsid w:val="007C77AC"/>
    <w:rsid w:val="007D08C2"/>
    <w:rsid w:val="007D34B8"/>
    <w:rsid w:val="007D37CB"/>
    <w:rsid w:val="007D398A"/>
    <w:rsid w:val="007D7212"/>
    <w:rsid w:val="007E041B"/>
    <w:rsid w:val="007E199A"/>
    <w:rsid w:val="007E1A6B"/>
    <w:rsid w:val="007E1AED"/>
    <w:rsid w:val="007E2415"/>
    <w:rsid w:val="007E3256"/>
    <w:rsid w:val="007E34F7"/>
    <w:rsid w:val="007E39F3"/>
    <w:rsid w:val="007E405E"/>
    <w:rsid w:val="007E52AF"/>
    <w:rsid w:val="007E5354"/>
    <w:rsid w:val="007E68F4"/>
    <w:rsid w:val="007E699B"/>
    <w:rsid w:val="007E6DE2"/>
    <w:rsid w:val="007E6F47"/>
    <w:rsid w:val="007F07A9"/>
    <w:rsid w:val="007F16C5"/>
    <w:rsid w:val="007F26E2"/>
    <w:rsid w:val="007F2C62"/>
    <w:rsid w:val="007F30D6"/>
    <w:rsid w:val="007F31BA"/>
    <w:rsid w:val="007F4078"/>
    <w:rsid w:val="007F664B"/>
    <w:rsid w:val="0080014B"/>
    <w:rsid w:val="0080073D"/>
    <w:rsid w:val="00800C50"/>
    <w:rsid w:val="00800CDA"/>
    <w:rsid w:val="00801793"/>
    <w:rsid w:val="00802AE3"/>
    <w:rsid w:val="00802E5C"/>
    <w:rsid w:val="00803642"/>
    <w:rsid w:val="008045AC"/>
    <w:rsid w:val="00805FD0"/>
    <w:rsid w:val="00806EA2"/>
    <w:rsid w:val="00807E64"/>
    <w:rsid w:val="00811251"/>
    <w:rsid w:val="00811DC7"/>
    <w:rsid w:val="008125E2"/>
    <w:rsid w:val="00812A2B"/>
    <w:rsid w:val="00812C83"/>
    <w:rsid w:val="0081369E"/>
    <w:rsid w:val="00814A4C"/>
    <w:rsid w:val="008227F7"/>
    <w:rsid w:val="00822B2C"/>
    <w:rsid w:val="00824817"/>
    <w:rsid w:val="0082599A"/>
    <w:rsid w:val="00831AAB"/>
    <w:rsid w:val="00833815"/>
    <w:rsid w:val="00833BCD"/>
    <w:rsid w:val="00833D0E"/>
    <w:rsid w:val="00834B82"/>
    <w:rsid w:val="0083574E"/>
    <w:rsid w:val="00835986"/>
    <w:rsid w:val="0083640C"/>
    <w:rsid w:val="0083740B"/>
    <w:rsid w:val="008374E3"/>
    <w:rsid w:val="0084157B"/>
    <w:rsid w:val="00842BFB"/>
    <w:rsid w:val="008462BD"/>
    <w:rsid w:val="00846B85"/>
    <w:rsid w:val="00847DC3"/>
    <w:rsid w:val="00847F49"/>
    <w:rsid w:val="0085019F"/>
    <w:rsid w:val="008516BF"/>
    <w:rsid w:val="00852197"/>
    <w:rsid w:val="00853132"/>
    <w:rsid w:val="008535C5"/>
    <w:rsid w:val="00853765"/>
    <w:rsid w:val="0085505A"/>
    <w:rsid w:val="0085516F"/>
    <w:rsid w:val="00857C02"/>
    <w:rsid w:val="00860B56"/>
    <w:rsid w:val="00860D79"/>
    <w:rsid w:val="008620CD"/>
    <w:rsid w:val="00862AEA"/>
    <w:rsid w:val="00867186"/>
    <w:rsid w:val="00867400"/>
    <w:rsid w:val="00870A33"/>
    <w:rsid w:val="00870AF6"/>
    <w:rsid w:val="00872778"/>
    <w:rsid w:val="00872C2F"/>
    <w:rsid w:val="008755E8"/>
    <w:rsid w:val="008756FA"/>
    <w:rsid w:val="00877452"/>
    <w:rsid w:val="00881268"/>
    <w:rsid w:val="00882F5F"/>
    <w:rsid w:val="008836A2"/>
    <w:rsid w:val="0088394A"/>
    <w:rsid w:val="00885E89"/>
    <w:rsid w:val="008860BD"/>
    <w:rsid w:val="00886D68"/>
    <w:rsid w:val="00887399"/>
    <w:rsid w:val="0088779E"/>
    <w:rsid w:val="008879C6"/>
    <w:rsid w:val="008912AF"/>
    <w:rsid w:val="00892114"/>
    <w:rsid w:val="00892CB9"/>
    <w:rsid w:val="008935CB"/>
    <w:rsid w:val="00895C4A"/>
    <w:rsid w:val="00896155"/>
    <w:rsid w:val="008961EC"/>
    <w:rsid w:val="008A2A17"/>
    <w:rsid w:val="008A36AE"/>
    <w:rsid w:val="008A42BC"/>
    <w:rsid w:val="008A78DF"/>
    <w:rsid w:val="008B0E7E"/>
    <w:rsid w:val="008B1495"/>
    <w:rsid w:val="008B440D"/>
    <w:rsid w:val="008B4D55"/>
    <w:rsid w:val="008B5B3E"/>
    <w:rsid w:val="008B65BD"/>
    <w:rsid w:val="008B6607"/>
    <w:rsid w:val="008B755A"/>
    <w:rsid w:val="008B7900"/>
    <w:rsid w:val="008C06B5"/>
    <w:rsid w:val="008C1D59"/>
    <w:rsid w:val="008C1D85"/>
    <w:rsid w:val="008C360E"/>
    <w:rsid w:val="008C71BF"/>
    <w:rsid w:val="008C7FE0"/>
    <w:rsid w:val="008D33A0"/>
    <w:rsid w:val="008D3D2B"/>
    <w:rsid w:val="008D5717"/>
    <w:rsid w:val="008D599D"/>
    <w:rsid w:val="008D6230"/>
    <w:rsid w:val="008E06BE"/>
    <w:rsid w:val="008E090F"/>
    <w:rsid w:val="008E0D56"/>
    <w:rsid w:val="008E1127"/>
    <w:rsid w:val="008E44A9"/>
    <w:rsid w:val="008E4709"/>
    <w:rsid w:val="008E4DF7"/>
    <w:rsid w:val="008E4F1A"/>
    <w:rsid w:val="008E5DB5"/>
    <w:rsid w:val="008E691E"/>
    <w:rsid w:val="008E6B4D"/>
    <w:rsid w:val="008E6BFF"/>
    <w:rsid w:val="008E6E54"/>
    <w:rsid w:val="008F21AF"/>
    <w:rsid w:val="008F2400"/>
    <w:rsid w:val="008F2CDE"/>
    <w:rsid w:val="008F2E04"/>
    <w:rsid w:val="008F4F9A"/>
    <w:rsid w:val="008F61BA"/>
    <w:rsid w:val="008F6E3C"/>
    <w:rsid w:val="008F7BA8"/>
    <w:rsid w:val="008F7C55"/>
    <w:rsid w:val="00900C9A"/>
    <w:rsid w:val="00901BB2"/>
    <w:rsid w:val="00903F80"/>
    <w:rsid w:val="009048F9"/>
    <w:rsid w:val="00905A8C"/>
    <w:rsid w:val="00914A23"/>
    <w:rsid w:val="009154BF"/>
    <w:rsid w:val="00915976"/>
    <w:rsid w:val="00922395"/>
    <w:rsid w:val="00924D61"/>
    <w:rsid w:val="00925A71"/>
    <w:rsid w:val="00930754"/>
    <w:rsid w:val="009308B7"/>
    <w:rsid w:val="00934774"/>
    <w:rsid w:val="00934F68"/>
    <w:rsid w:val="009354B8"/>
    <w:rsid w:val="009355AC"/>
    <w:rsid w:val="00935F38"/>
    <w:rsid w:val="009363D9"/>
    <w:rsid w:val="00936D92"/>
    <w:rsid w:val="00937586"/>
    <w:rsid w:val="00941B6D"/>
    <w:rsid w:val="00941C0E"/>
    <w:rsid w:val="00941EDB"/>
    <w:rsid w:val="009431E2"/>
    <w:rsid w:val="00943296"/>
    <w:rsid w:val="00943C9C"/>
    <w:rsid w:val="009453BF"/>
    <w:rsid w:val="00945596"/>
    <w:rsid w:val="00947889"/>
    <w:rsid w:val="009478BD"/>
    <w:rsid w:val="009530D6"/>
    <w:rsid w:val="009543B2"/>
    <w:rsid w:val="00955D01"/>
    <w:rsid w:val="0095675C"/>
    <w:rsid w:val="00956A44"/>
    <w:rsid w:val="00957A69"/>
    <w:rsid w:val="00960173"/>
    <w:rsid w:val="00960E98"/>
    <w:rsid w:val="009610FC"/>
    <w:rsid w:val="0096159A"/>
    <w:rsid w:val="00963A82"/>
    <w:rsid w:val="0096449F"/>
    <w:rsid w:val="00967E1D"/>
    <w:rsid w:val="00972912"/>
    <w:rsid w:val="00973BFC"/>
    <w:rsid w:val="009744B9"/>
    <w:rsid w:val="009763EE"/>
    <w:rsid w:val="00976D1F"/>
    <w:rsid w:val="00980612"/>
    <w:rsid w:val="00981C81"/>
    <w:rsid w:val="0098384B"/>
    <w:rsid w:val="00984CDB"/>
    <w:rsid w:val="00984FB8"/>
    <w:rsid w:val="00986CEA"/>
    <w:rsid w:val="0099059D"/>
    <w:rsid w:val="009913B3"/>
    <w:rsid w:val="00993825"/>
    <w:rsid w:val="00993EFA"/>
    <w:rsid w:val="0099447A"/>
    <w:rsid w:val="00995144"/>
    <w:rsid w:val="00996CDB"/>
    <w:rsid w:val="0099770C"/>
    <w:rsid w:val="00997963"/>
    <w:rsid w:val="009A0E18"/>
    <w:rsid w:val="009A16AA"/>
    <w:rsid w:val="009A2D24"/>
    <w:rsid w:val="009A2DF0"/>
    <w:rsid w:val="009A2F58"/>
    <w:rsid w:val="009A456C"/>
    <w:rsid w:val="009A484B"/>
    <w:rsid w:val="009A66B7"/>
    <w:rsid w:val="009A790C"/>
    <w:rsid w:val="009B00E0"/>
    <w:rsid w:val="009B02A5"/>
    <w:rsid w:val="009B041C"/>
    <w:rsid w:val="009B04C8"/>
    <w:rsid w:val="009B0E01"/>
    <w:rsid w:val="009B292A"/>
    <w:rsid w:val="009B3E23"/>
    <w:rsid w:val="009B4A26"/>
    <w:rsid w:val="009B518B"/>
    <w:rsid w:val="009B6663"/>
    <w:rsid w:val="009B6BA9"/>
    <w:rsid w:val="009B76D5"/>
    <w:rsid w:val="009C016B"/>
    <w:rsid w:val="009C0700"/>
    <w:rsid w:val="009C165D"/>
    <w:rsid w:val="009C2135"/>
    <w:rsid w:val="009C3CEA"/>
    <w:rsid w:val="009C4713"/>
    <w:rsid w:val="009C4F43"/>
    <w:rsid w:val="009C583D"/>
    <w:rsid w:val="009D1417"/>
    <w:rsid w:val="009D176E"/>
    <w:rsid w:val="009D2611"/>
    <w:rsid w:val="009D53D4"/>
    <w:rsid w:val="009D79D2"/>
    <w:rsid w:val="009E1291"/>
    <w:rsid w:val="009E1F12"/>
    <w:rsid w:val="009E247C"/>
    <w:rsid w:val="009E31BA"/>
    <w:rsid w:val="009E3347"/>
    <w:rsid w:val="009E72F4"/>
    <w:rsid w:val="009F0528"/>
    <w:rsid w:val="009F0806"/>
    <w:rsid w:val="009F0D96"/>
    <w:rsid w:val="009F19A7"/>
    <w:rsid w:val="009F1D8C"/>
    <w:rsid w:val="009F233B"/>
    <w:rsid w:val="009F3ABD"/>
    <w:rsid w:val="00A011ED"/>
    <w:rsid w:val="00A02426"/>
    <w:rsid w:val="00A05D16"/>
    <w:rsid w:val="00A0659F"/>
    <w:rsid w:val="00A079BA"/>
    <w:rsid w:val="00A07A8D"/>
    <w:rsid w:val="00A10411"/>
    <w:rsid w:val="00A1320A"/>
    <w:rsid w:val="00A13D14"/>
    <w:rsid w:val="00A14D7C"/>
    <w:rsid w:val="00A14E8C"/>
    <w:rsid w:val="00A15339"/>
    <w:rsid w:val="00A20C70"/>
    <w:rsid w:val="00A214BF"/>
    <w:rsid w:val="00A22E94"/>
    <w:rsid w:val="00A23F23"/>
    <w:rsid w:val="00A26F37"/>
    <w:rsid w:val="00A306AF"/>
    <w:rsid w:val="00A30E5B"/>
    <w:rsid w:val="00A33875"/>
    <w:rsid w:val="00A33D55"/>
    <w:rsid w:val="00A3450A"/>
    <w:rsid w:val="00A360A1"/>
    <w:rsid w:val="00A369FE"/>
    <w:rsid w:val="00A36D89"/>
    <w:rsid w:val="00A37427"/>
    <w:rsid w:val="00A402B3"/>
    <w:rsid w:val="00A40E5F"/>
    <w:rsid w:val="00A40EA0"/>
    <w:rsid w:val="00A42672"/>
    <w:rsid w:val="00A43222"/>
    <w:rsid w:val="00A468E8"/>
    <w:rsid w:val="00A50B17"/>
    <w:rsid w:val="00A513C4"/>
    <w:rsid w:val="00A51834"/>
    <w:rsid w:val="00A51972"/>
    <w:rsid w:val="00A544B7"/>
    <w:rsid w:val="00A56DA9"/>
    <w:rsid w:val="00A60399"/>
    <w:rsid w:val="00A618CF"/>
    <w:rsid w:val="00A62770"/>
    <w:rsid w:val="00A62EEB"/>
    <w:rsid w:val="00A63680"/>
    <w:rsid w:val="00A646BC"/>
    <w:rsid w:val="00A65B57"/>
    <w:rsid w:val="00A65E61"/>
    <w:rsid w:val="00A660FF"/>
    <w:rsid w:val="00A6617C"/>
    <w:rsid w:val="00A70C46"/>
    <w:rsid w:val="00A7165E"/>
    <w:rsid w:val="00A717D9"/>
    <w:rsid w:val="00A721C6"/>
    <w:rsid w:val="00A7260D"/>
    <w:rsid w:val="00A72AA9"/>
    <w:rsid w:val="00A73395"/>
    <w:rsid w:val="00A766A2"/>
    <w:rsid w:val="00A76C44"/>
    <w:rsid w:val="00A771E3"/>
    <w:rsid w:val="00A77755"/>
    <w:rsid w:val="00A81068"/>
    <w:rsid w:val="00A82B4C"/>
    <w:rsid w:val="00A84905"/>
    <w:rsid w:val="00A854B1"/>
    <w:rsid w:val="00A912D0"/>
    <w:rsid w:val="00A913FF"/>
    <w:rsid w:val="00A935D3"/>
    <w:rsid w:val="00A93A4C"/>
    <w:rsid w:val="00A94548"/>
    <w:rsid w:val="00A948D3"/>
    <w:rsid w:val="00A94D5D"/>
    <w:rsid w:val="00A95983"/>
    <w:rsid w:val="00A95D86"/>
    <w:rsid w:val="00AA0DA2"/>
    <w:rsid w:val="00AA1B13"/>
    <w:rsid w:val="00AA1D9B"/>
    <w:rsid w:val="00AA21A4"/>
    <w:rsid w:val="00AA2543"/>
    <w:rsid w:val="00AA2B00"/>
    <w:rsid w:val="00AA2EFD"/>
    <w:rsid w:val="00AA3804"/>
    <w:rsid w:val="00AA4908"/>
    <w:rsid w:val="00AA55C2"/>
    <w:rsid w:val="00AA5EEC"/>
    <w:rsid w:val="00AA5F7F"/>
    <w:rsid w:val="00AA6832"/>
    <w:rsid w:val="00AB0ACA"/>
    <w:rsid w:val="00AB1D41"/>
    <w:rsid w:val="00AB3908"/>
    <w:rsid w:val="00AB3C36"/>
    <w:rsid w:val="00AB58AA"/>
    <w:rsid w:val="00AB58D7"/>
    <w:rsid w:val="00AB62D1"/>
    <w:rsid w:val="00AB66A0"/>
    <w:rsid w:val="00AB7EC6"/>
    <w:rsid w:val="00AC0D22"/>
    <w:rsid w:val="00AC3F63"/>
    <w:rsid w:val="00AC5E9A"/>
    <w:rsid w:val="00AC5F2D"/>
    <w:rsid w:val="00AC7020"/>
    <w:rsid w:val="00AC704B"/>
    <w:rsid w:val="00AD553E"/>
    <w:rsid w:val="00AD5848"/>
    <w:rsid w:val="00AE5284"/>
    <w:rsid w:val="00AE5ADA"/>
    <w:rsid w:val="00AE626B"/>
    <w:rsid w:val="00AE7486"/>
    <w:rsid w:val="00AF5050"/>
    <w:rsid w:val="00AF5EAF"/>
    <w:rsid w:val="00AF6145"/>
    <w:rsid w:val="00B01386"/>
    <w:rsid w:val="00B01648"/>
    <w:rsid w:val="00B016E5"/>
    <w:rsid w:val="00B017E7"/>
    <w:rsid w:val="00B01915"/>
    <w:rsid w:val="00B01BB5"/>
    <w:rsid w:val="00B026CC"/>
    <w:rsid w:val="00B03076"/>
    <w:rsid w:val="00B04115"/>
    <w:rsid w:val="00B04AF4"/>
    <w:rsid w:val="00B05214"/>
    <w:rsid w:val="00B06FC6"/>
    <w:rsid w:val="00B10534"/>
    <w:rsid w:val="00B117A0"/>
    <w:rsid w:val="00B134DE"/>
    <w:rsid w:val="00B1535F"/>
    <w:rsid w:val="00B17785"/>
    <w:rsid w:val="00B2078B"/>
    <w:rsid w:val="00B22DB5"/>
    <w:rsid w:val="00B26123"/>
    <w:rsid w:val="00B262F1"/>
    <w:rsid w:val="00B3085D"/>
    <w:rsid w:val="00B30D97"/>
    <w:rsid w:val="00B31074"/>
    <w:rsid w:val="00B31395"/>
    <w:rsid w:val="00B3181A"/>
    <w:rsid w:val="00B31B5D"/>
    <w:rsid w:val="00B3364B"/>
    <w:rsid w:val="00B342E5"/>
    <w:rsid w:val="00B34FDC"/>
    <w:rsid w:val="00B350FC"/>
    <w:rsid w:val="00B359F9"/>
    <w:rsid w:val="00B35A7C"/>
    <w:rsid w:val="00B35CFC"/>
    <w:rsid w:val="00B43CE3"/>
    <w:rsid w:val="00B442B0"/>
    <w:rsid w:val="00B448C6"/>
    <w:rsid w:val="00B44ECD"/>
    <w:rsid w:val="00B44F46"/>
    <w:rsid w:val="00B450D1"/>
    <w:rsid w:val="00B46080"/>
    <w:rsid w:val="00B50006"/>
    <w:rsid w:val="00B5134A"/>
    <w:rsid w:val="00B51935"/>
    <w:rsid w:val="00B51C1D"/>
    <w:rsid w:val="00B530A0"/>
    <w:rsid w:val="00B53175"/>
    <w:rsid w:val="00B53D47"/>
    <w:rsid w:val="00B54A25"/>
    <w:rsid w:val="00B556D6"/>
    <w:rsid w:val="00B5729D"/>
    <w:rsid w:val="00B5778E"/>
    <w:rsid w:val="00B60DE9"/>
    <w:rsid w:val="00B618C3"/>
    <w:rsid w:val="00B632D6"/>
    <w:rsid w:val="00B63652"/>
    <w:rsid w:val="00B639B7"/>
    <w:rsid w:val="00B64CC0"/>
    <w:rsid w:val="00B64FA1"/>
    <w:rsid w:val="00B661EB"/>
    <w:rsid w:val="00B668B0"/>
    <w:rsid w:val="00B70F5C"/>
    <w:rsid w:val="00B71574"/>
    <w:rsid w:val="00B71873"/>
    <w:rsid w:val="00B71F82"/>
    <w:rsid w:val="00B72F57"/>
    <w:rsid w:val="00B7383A"/>
    <w:rsid w:val="00B7491E"/>
    <w:rsid w:val="00B75AE5"/>
    <w:rsid w:val="00B77008"/>
    <w:rsid w:val="00B800C0"/>
    <w:rsid w:val="00B8132B"/>
    <w:rsid w:val="00B84C5A"/>
    <w:rsid w:val="00B858F5"/>
    <w:rsid w:val="00B90362"/>
    <w:rsid w:val="00B911BF"/>
    <w:rsid w:val="00B91258"/>
    <w:rsid w:val="00B9355C"/>
    <w:rsid w:val="00B93668"/>
    <w:rsid w:val="00B96C0D"/>
    <w:rsid w:val="00B97CF0"/>
    <w:rsid w:val="00BA605F"/>
    <w:rsid w:val="00BA68C6"/>
    <w:rsid w:val="00BB0221"/>
    <w:rsid w:val="00BB12F1"/>
    <w:rsid w:val="00BB276E"/>
    <w:rsid w:val="00BB29D2"/>
    <w:rsid w:val="00BB2FBF"/>
    <w:rsid w:val="00BB3FEE"/>
    <w:rsid w:val="00BB5EB0"/>
    <w:rsid w:val="00BC245A"/>
    <w:rsid w:val="00BC2BC6"/>
    <w:rsid w:val="00BC2EEF"/>
    <w:rsid w:val="00BC2F5B"/>
    <w:rsid w:val="00BC31E2"/>
    <w:rsid w:val="00BC39DC"/>
    <w:rsid w:val="00BC5B12"/>
    <w:rsid w:val="00BC7B80"/>
    <w:rsid w:val="00BD0B8A"/>
    <w:rsid w:val="00BD15DE"/>
    <w:rsid w:val="00BD16FA"/>
    <w:rsid w:val="00BD1773"/>
    <w:rsid w:val="00BD1A45"/>
    <w:rsid w:val="00BD41C3"/>
    <w:rsid w:val="00BD4384"/>
    <w:rsid w:val="00BD4387"/>
    <w:rsid w:val="00BD488B"/>
    <w:rsid w:val="00BD6712"/>
    <w:rsid w:val="00BD7CCC"/>
    <w:rsid w:val="00BE002A"/>
    <w:rsid w:val="00BE0283"/>
    <w:rsid w:val="00BE0316"/>
    <w:rsid w:val="00BE1BC9"/>
    <w:rsid w:val="00BE22C2"/>
    <w:rsid w:val="00BE2763"/>
    <w:rsid w:val="00BE318F"/>
    <w:rsid w:val="00BE31CC"/>
    <w:rsid w:val="00BE5CDA"/>
    <w:rsid w:val="00BE5D20"/>
    <w:rsid w:val="00BE608F"/>
    <w:rsid w:val="00BE7AE9"/>
    <w:rsid w:val="00BF1E44"/>
    <w:rsid w:val="00BF23BB"/>
    <w:rsid w:val="00BF2B1C"/>
    <w:rsid w:val="00BF33DD"/>
    <w:rsid w:val="00BF3D69"/>
    <w:rsid w:val="00BF5331"/>
    <w:rsid w:val="00BF5755"/>
    <w:rsid w:val="00BF5960"/>
    <w:rsid w:val="00BF684B"/>
    <w:rsid w:val="00C002F7"/>
    <w:rsid w:val="00C015F0"/>
    <w:rsid w:val="00C016F3"/>
    <w:rsid w:val="00C031BA"/>
    <w:rsid w:val="00C04731"/>
    <w:rsid w:val="00C10A0F"/>
    <w:rsid w:val="00C13208"/>
    <w:rsid w:val="00C142AB"/>
    <w:rsid w:val="00C15193"/>
    <w:rsid w:val="00C151BB"/>
    <w:rsid w:val="00C15609"/>
    <w:rsid w:val="00C15A94"/>
    <w:rsid w:val="00C15F6A"/>
    <w:rsid w:val="00C17367"/>
    <w:rsid w:val="00C23039"/>
    <w:rsid w:val="00C23EA7"/>
    <w:rsid w:val="00C256F3"/>
    <w:rsid w:val="00C270A2"/>
    <w:rsid w:val="00C30A3C"/>
    <w:rsid w:val="00C31039"/>
    <w:rsid w:val="00C310EC"/>
    <w:rsid w:val="00C312F3"/>
    <w:rsid w:val="00C315B5"/>
    <w:rsid w:val="00C317C4"/>
    <w:rsid w:val="00C35E28"/>
    <w:rsid w:val="00C367C0"/>
    <w:rsid w:val="00C368A9"/>
    <w:rsid w:val="00C41806"/>
    <w:rsid w:val="00C41D95"/>
    <w:rsid w:val="00C426AF"/>
    <w:rsid w:val="00C4292A"/>
    <w:rsid w:val="00C42CDD"/>
    <w:rsid w:val="00C42DB4"/>
    <w:rsid w:val="00C4460C"/>
    <w:rsid w:val="00C454C2"/>
    <w:rsid w:val="00C45A9C"/>
    <w:rsid w:val="00C46780"/>
    <w:rsid w:val="00C469C1"/>
    <w:rsid w:val="00C46E2F"/>
    <w:rsid w:val="00C50659"/>
    <w:rsid w:val="00C50CF2"/>
    <w:rsid w:val="00C51B39"/>
    <w:rsid w:val="00C52342"/>
    <w:rsid w:val="00C5338A"/>
    <w:rsid w:val="00C54C3B"/>
    <w:rsid w:val="00C54EF9"/>
    <w:rsid w:val="00C56BBF"/>
    <w:rsid w:val="00C56BD0"/>
    <w:rsid w:val="00C572AA"/>
    <w:rsid w:val="00C57A9A"/>
    <w:rsid w:val="00C6016A"/>
    <w:rsid w:val="00C60B3F"/>
    <w:rsid w:val="00C60D21"/>
    <w:rsid w:val="00C614BC"/>
    <w:rsid w:val="00C614D8"/>
    <w:rsid w:val="00C623EB"/>
    <w:rsid w:val="00C629C2"/>
    <w:rsid w:val="00C64680"/>
    <w:rsid w:val="00C64C6B"/>
    <w:rsid w:val="00C65CA1"/>
    <w:rsid w:val="00C66112"/>
    <w:rsid w:val="00C66F2E"/>
    <w:rsid w:val="00C6785C"/>
    <w:rsid w:val="00C709D6"/>
    <w:rsid w:val="00C70FD1"/>
    <w:rsid w:val="00C72030"/>
    <w:rsid w:val="00C724F2"/>
    <w:rsid w:val="00C72B76"/>
    <w:rsid w:val="00C72B7C"/>
    <w:rsid w:val="00C73188"/>
    <w:rsid w:val="00C73245"/>
    <w:rsid w:val="00C733AA"/>
    <w:rsid w:val="00C775BE"/>
    <w:rsid w:val="00C778A7"/>
    <w:rsid w:val="00C77DC0"/>
    <w:rsid w:val="00C80D18"/>
    <w:rsid w:val="00C81A07"/>
    <w:rsid w:val="00C82F1B"/>
    <w:rsid w:val="00C83027"/>
    <w:rsid w:val="00C8341F"/>
    <w:rsid w:val="00C84B8A"/>
    <w:rsid w:val="00C85E65"/>
    <w:rsid w:val="00C87829"/>
    <w:rsid w:val="00C87CA1"/>
    <w:rsid w:val="00C911B4"/>
    <w:rsid w:val="00C911F4"/>
    <w:rsid w:val="00C91A3F"/>
    <w:rsid w:val="00C91B3B"/>
    <w:rsid w:val="00C91C2D"/>
    <w:rsid w:val="00C933E7"/>
    <w:rsid w:val="00C94262"/>
    <w:rsid w:val="00C94682"/>
    <w:rsid w:val="00C946A4"/>
    <w:rsid w:val="00C94A79"/>
    <w:rsid w:val="00C94CE1"/>
    <w:rsid w:val="00C95297"/>
    <w:rsid w:val="00C95C73"/>
    <w:rsid w:val="00C976E1"/>
    <w:rsid w:val="00CA148E"/>
    <w:rsid w:val="00CA38A2"/>
    <w:rsid w:val="00CA3A9A"/>
    <w:rsid w:val="00CA3DB6"/>
    <w:rsid w:val="00CA3F36"/>
    <w:rsid w:val="00CA4C2A"/>
    <w:rsid w:val="00CA622A"/>
    <w:rsid w:val="00CA6A84"/>
    <w:rsid w:val="00CA6FB7"/>
    <w:rsid w:val="00CA7B11"/>
    <w:rsid w:val="00CB2C12"/>
    <w:rsid w:val="00CB6BC1"/>
    <w:rsid w:val="00CB7021"/>
    <w:rsid w:val="00CC14B3"/>
    <w:rsid w:val="00CC1544"/>
    <w:rsid w:val="00CC4FA1"/>
    <w:rsid w:val="00CC60E4"/>
    <w:rsid w:val="00CC6900"/>
    <w:rsid w:val="00CC7243"/>
    <w:rsid w:val="00CD08F5"/>
    <w:rsid w:val="00CD1772"/>
    <w:rsid w:val="00CD3294"/>
    <w:rsid w:val="00CD33F4"/>
    <w:rsid w:val="00CD4524"/>
    <w:rsid w:val="00CD4538"/>
    <w:rsid w:val="00CD5174"/>
    <w:rsid w:val="00CD6325"/>
    <w:rsid w:val="00CD6C3E"/>
    <w:rsid w:val="00CD7634"/>
    <w:rsid w:val="00CD784D"/>
    <w:rsid w:val="00CE20EA"/>
    <w:rsid w:val="00CE23C2"/>
    <w:rsid w:val="00CE31E1"/>
    <w:rsid w:val="00CE326A"/>
    <w:rsid w:val="00CE3BBD"/>
    <w:rsid w:val="00CE4E16"/>
    <w:rsid w:val="00CE531A"/>
    <w:rsid w:val="00CF1F25"/>
    <w:rsid w:val="00CF3190"/>
    <w:rsid w:val="00CF3A1C"/>
    <w:rsid w:val="00CF40F8"/>
    <w:rsid w:val="00CF5C7D"/>
    <w:rsid w:val="00D008DA"/>
    <w:rsid w:val="00D01BE4"/>
    <w:rsid w:val="00D02757"/>
    <w:rsid w:val="00D02D8A"/>
    <w:rsid w:val="00D039D5"/>
    <w:rsid w:val="00D0416F"/>
    <w:rsid w:val="00D043B2"/>
    <w:rsid w:val="00D05851"/>
    <w:rsid w:val="00D07AD5"/>
    <w:rsid w:val="00D10FED"/>
    <w:rsid w:val="00D116E0"/>
    <w:rsid w:val="00D11736"/>
    <w:rsid w:val="00D12EE8"/>
    <w:rsid w:val="00D1432F"/>
    <w:rsid w:val="00D14C22"/>
    <w:rsid w:val="00D14CDF"/>
    <w:rsid w:val="00D15FF1"/>
    <w:rsid w:val="00D167F4"/>
    <w:rsid w:val="00D2092A"/>
    <w:rsid w:val="00D21C85"/>
    <w:rsid w:val="00D2216D"/>
    <w:rsid w:val="00D23532"/>
    <w:rsid w:val="00D24FF8"/>
    <w:rsid w:val="00D27961"/>
    <w:rsid w:val="00D31A6F"/>
    <w:rsid w:val="00D32F5D"/>
    <w:rsid w:val="00D353D1"/>
    <w:rsid w:val="00D35A02"/>
    <w:rsid w:val="00D364DC"/>
    <w:rsid w:val="00D367DB"/>
    <w:rsid w:val="00D36E05"/>
    <w:rsid w:val="00D370A7"/>
    <w:rsid w:val="00D4020F"/>
    <w:rsid w:val="00D40993"/>
    <w:rsid w:val="00D412D4"/>
    <w:rsid w:val="00D4245F"/>
    <w:rsid w:val="00D42D2D"/>
    <w:rsid w:val="00D43FD3"/>
    <w:rsid w:val="00D4420D"/>
    <w:rsid w:val="00D447BF"/>
    <w:rsid w:val="00D44BB2"/>
    <w:rsid w:val="00D44C0E"/>
    <w:rsid w:val="00D44F27"/>
    <w:rsid w:val="00D45304"/>
    <w:rsid w:val="00D4550C"/>
    <w:rsid w:val="00D45C33"/>
    <w:rsid w:val="00D46165"/>
    <w:rsid w:val="00D461C7"/>
    <w:rsid w:val="00D47816"/>
    <w:rsid w:val="00D50424"/>
    <w:rsid w:val="00D50710"/>
    <w:rsid w:val="00D5140A"/>
    <w:rsid w:val="00D525C9"/>
    <w:rsid w:val="00D53100"/>
    <w:rsid w:val="00D53E44"/>
    <w:rsid w:val="00D55806"/>
    <w:rsid w:val="00D56B64"/>
    <w:rsid w:val="00D57D3E"/>
    <w:rsid w:val="00D616AE"/>
    <w:rsid w:val="00D624AC"/>
    <w:rsid w:val="00D62C8A"/>
    <w:rsid w:val="00D644A0"/>
    <w:rsid w:val="00D646AC"/>
    <w:rsid w:val="00D64E4B"/>
    <w:rsid w:val="00D703BD"/>
    <w:rsid w:val="00D70C72"/>
    <w:rsid w:val="00D712A6"/>
    <w:rsid w:val="00D73542"/>
    <w:rsid w:val="00D76249"/>
    <w:rsid w:val="00D7643A"/>
    <w:rsid w:val="00D76618"/>
    <w:rsid w:val="00D80AA6"/>
    <w:rsid w:val="00D80F1D"/>
    <w:rsid w:val="00D831A8"/>
    <w:rsid w:val="00D84234"/>
    <w:rsid w:val="00D84436"/>
    <w:rsid w:val="00D87367"/>
    <w:rsid w:val="00D87948"/>
    <w:rsid w:val="00D919E0"/>
    <w:rsid w:val="00D92EF5"/>
    <w:rsid w:val="00D962C8"/>
    <w:rsid w:val="00D966DE"/>
    <w:rsid w:val="00D96E33"/>
    <w:rsid w:val="00D97A7E"/>
    <w:rsid w:val="00DA3985"/>
    <w:rsid w:val="00DA497B"/>
    <w:rsid w:val="00DA54E5"/>
    <w:rsid w:val="00DA5768"/>
    <w:rsid w:val="00DA65EE"/>
    <w:rsid w:val="00DA696A"/>
    <w:rsid w:val="00DA703D"/>
    <w:rsid w:val="00DA7D12"/>
    <w:rsid w:val="00DB0CBE"/>
    <w:rsid w:val="00DB28E3"/>
    <w:rsid w:val="00DB3E07"/>
    <w:rsid w:val="00DB5F95"/>
    <w:rsid w:val="00DC1908"/>
    <w:rsid w:val="00DC23CF"/>
    <w:rsid w:val="00DC2ABE"/>
    <w:rsid w:val="00DC51F3"/>
    <w:rsid w:val="00DC6562"/>
    <w:rsid w:val="00DC7611"/>
    <w:rsid w:val="00DD0DD1"/>
    <w:rsid w:val="00DD1AD8"/>
    <w:rsid w:val="00DD325B"/>
    <w:rsid w:val="00DD68D0"/>
    <w:rsid w:val="00DE130D"/>
    <w:rsid w:val="00DE23AD"/>
    <w:rsid w:val="00DE24CF"/>
    <w:rsid w:val="00DE2F1C"/>
    <w:rsid w:val="00DE402A"/>
    <w:rsid w:val="00DE407C"/>
    <w:rsid w:val="00DE612D"/>
    <w:rsid w:val="00DE7C7D"/>
    <w:rsid w:val="00DF0516"/>
    <w:rsid w:val="00DF0CEB"/>
    <w:rsid w:val="00DF2992"/>
    <w:rsid w:val="00DF2D0C"/>
    <w:rsid w:val="00DF55F7"/>
    <w:rsid w:val="00DF62C5"/>
    <w:rsid w:val="00DF6C40"/>
    <w:rsid w:val="00E00058"/>
    <w:rsid w:val="00E01B9D"/>
    <w:rsid w:val="00E03006"/>
    <w:rsid w:val="00E0468F"/>
    <w:rsid w:val="00E04F5E"/>
    <w:rsid w:val="00E051EE"/>
    <w:rsid w:val="00E0522E"/>
    <w:rsid w:val="00E05A94"/>
    <w:rsid w:val="00E06481"/>
    <w:rsid w:val="00E10CFC"/>
    <w:rsid w:val="00E10EB7"/>
    <w:rsid w:val="00E120F4"/>
    <w:rsid w:val="00E14CAB"/>
    <w:rsid w:val="00E150B5"/>
    <w:rsid w:val="00E17172"/>
    <w:rsid w:val="00E17F24"/>
    <w:rsid w:val="00E200C1"/>
    <w:rsid w:val="00E21B09"/>
    <w:rsid w:val="00E21D72"/>
    <w:rsid w:val="00E303C0"/>
    <w:rsid w:val="00E3181C"/>
    <w:rsid w:val="00E3273C"/>
    <w:rsid w:val="00E3280A"/>
    <w:rsid w:val="00E3345E"/>
    <w:rsid w:val="00E34BA6"/>
    <w:rsid w:val="00E372AF"/>
    <w:rsid w:val="00E37D68"/>
    <w:rsid w:val="00E40B30"/>
    <w:rsid w:val="00E40D67"/>
    <w:rsid w:val="00E40EAE"/>
    <w:rsid w:val="00E42DF2"/>
    <w:rsid w:val="00E4323D"/>
    <w:rsid w:val="00E436AC"/>
    <w:rsid w:val="00E440E5"/>
    <w:rsid w:val="00E4417F"/>
    <w:rsid w:val="00E449E2"/>
    <w:rsid w:val="00E44F7A"/>
    <w:rsid w:val="00E44FF8"/>
    <w:rsid w:val="00E5066A"/>
    <w:rsid w:val="00E5084E"/>
    <w:rsid w:val="00E5122E"/>
    <w:rsid w:val="00E520FB"/>
    <w:rsid w:val="00E52CF9"/>
    <w:rsid w:val="00E53455"/>
    <w:rsid w:val="00E53D4F"/>
    <w:rsid w:val="00E60052"/>
    <w:rsid w:val="00E613ED"/>
    <w:rsid w:val="00E61415"/>
    <w:rsid w:val="00E61F98"/>
    <w:rsid w:val="00E63F34"/>
    <w:rsid w:val="00E63FEA"/>
    <w:rsid w:val="00E64956"/>
    <w:rsid w:val="00E653D9"/>
    <w:rsid w:val="00E65C3F"/>
    <w:rsid w:val="00E66E69"/>
    <w:rsid w:val="00E6715A"/>
    <w:rsid w:val="00E706D0"/>
    <w:rsid w:val="00E70BBB"/>
    <w:rsid w:val="00E7563E"/>
    <w:rsid w:val="00E75DC9"/>
    <w:rsid w:val="00E7669F"/>
    <w:rsid w:val="00E81610"/>
    <w:rsid w:val="00E82863"/>
    <w:rsid w:val="00E836BC"/>
    <w:rsid w:val="00E84910"/>
    <w:rsid w:val="00E85B28"/>
    <w:rsid w:val="00E87F1B"/>
    <w:rsid w:val="00E910C7"/>
    <w:rsid w:val="00E91976"/>
    <w:rsid w:val="00E92454"/>
    <w:rsid w:val="00E93500"/>
    <w:rsid w:val="00E947A6"/>
    <w:rsid w:val="00E94C35"/>
    <w:rsid w:val="00E94D3D"/>
    <w:rsid w:val="00E96AE1"/>
    <w:rsid w:val="00E97FC7"/>
    <w:rsid w:val="00EA0690"/>
    <w:rsid w:val="00EA2FC3"/>
    <w:rsid w:val="00EA3203"/>
    <w:rsid w:val="00EA391D"/>
    <w:rsid w:val="00EA3956"/>
    <w:rsid w:val="00EA44EA"/>
    <w:rsid w:val="00EA49CE"/>
    <w:rsid w:val="00EA4C51"/>
    <w:rsid w:val="00EA4C7B"/>
    <w:rsid w:val="00EA5AD3"/>
    <w:rsid w:val="00EA5BBC"/>
    <w:rsid w:val="00EA65E7"/>
    <w:rsid w:val="00EA6A3C"/>
    <w:rsid w:val="00EA7136"/>
    <w:rsid w:val="00EA71FA"/>
    <w:rsid w:val="00EB0179"/>
    <w:rsid w:val="00EB2166"/>
    <w:rsid w:val="00EB2E89"/>
    <w:rsid w:val="00EB325A"/>
    <w:rsid w:val="00EB4C22"/>
    <w:rsid w:val="00EB55AD"/>
    <w:rsid w:val="00EC02A5"/>
    <w:rsid w:val="00EC176B"/>
    <w:rsid w:val="00EC18AA"/>
    <w:rsid w:val="00EC2626"/>
    <w:rsid w:val="00EC33CD"/>
    <w:rsid w:val="00EC5BE5"/>
    <w:rsid w:val="00ED0304"/>
    <w:rsid w:val="00ED2650"/>
    <w:rsid w:val="00ED4FC5"/>
    <w:rsid w:val="00ED721A"/>
    <w:rsid w:val="00EE08C3"/>
    <w:rsid w:val="00EE14CB"/>
    <w:rsid w:val="00EE35B6"/>
    <w:rsid w:val="00EE393D"/>
    <w:rsid w:val="00EE4A60"/>
    <w:rsid w:val="00EE4D17"/>
    <w:rsid w:val="00EE572B"/>
    <w:rsid w:val="00EE643B"/>
    <w:rsid w:val="00EE70B4"/>
    <w:rsid w:val="00EF01CF"/>
    <w:rsid w:val="00EF1020"/>
    <w:rsid w:val="00EF15A5"/>
    <w:rsid w:val="00EF27E5"/>
    <w:rsid w:val="00EF2D99"/>
    <w:rsid w:val="00EF35E9"/>
    <w:rsid w:val="00EF6A47"/>
    <w:rsid w:val="00EF7AF9"/>
    <w:rsid w:val="00F000FF"/>
    <w:rsid w:val="00F00137"/>
    <w:rsid w:val="00F00952"/>
    <w:rsid w:val="00F01495"/>
    <w:rsid w:val="00F01F26"/>
    <w:rsid w:val="00F056E0"/>
    <w:rsid w:val="00F07913"/>
    <w:rsid w:val="00F07B9A"/>
    <w:rsid w:val="00F10138"/>
    <w:rsid w:val="00F111AB"/>
    <w:rsid w:val="00F1166E"/>
    <w:rsid w:val="00F11FEE"/>
    <w:rsid w:val="00F13540"/>
    <w:rsid w:val="00F13F92"/>
    <w:rsid w:val="00F1575B"/>
    <w:rsid w:val="00F1673D"/>
    <w:rsid w:val="00F17FE2"/>
    <w:rsid w:val="00F22ECA"/>
    <w:rsid w:val="00F23FB1"/>
    <w:rsid w:val="00F240E8"/>
    <w:rsid w:val="00F244FA"/>
    <w:rsid w:val="00F25C5F"/>
    <w:rsid w:val="00F260F0"/>
    <w:rsid w:val="00F271B1"/>
    <w:rsid w:val="00F31079"/>
    <w:rsid w:val="00F32C93"/>
    <w:rsid w:val="00F366A2"/>
    <w:rsid w:val="00F403D4"/>
    <w:rsid w:val="00F437E6"/>
    <w:rsid w:val="00F44F43"/>
    <w:rsid w:val="00F450E1"/>
    <w:rsid w:val="00F45D26"/>
    <w:rsid w:val="00F47CFD"/>
    <w:rsid w:val="00F50259"/>
    <w:rsid w:val="00F50B51"/>
    <w:rsid w:val="00F50DF4"/>
    <w:rsid w:val="00F52234"/>
    <w:rsid w:val="00F52664"/>
    <w:rsid w:val="00F531E9"/>
    <w:rsid w:val="00F54C0B"/>
    <w:rsid w:val="00F56397"/>
    <w:rsid w:val="00F57AFE"/>
    <w:rsid w:val="00F6278E"/>
    <w:rsid w:val="00F63C41"/>
    <w:rsid w:val="00F63E96"/>
    <w:rsid w:val="00F646E6"/>
    <w:rsid w:val="00F65AEB"/>
    <w:rsid w:val="00F66E8F"/>
    <w:rsid w:val="00F701E3"/>
    <w:rsid w:val="00F702A9"/>
    <w:rsid w:val="00F71008"/>
    <w:rsid w:val="00F71098"/>
    <w:rsid w:val="00F71F8C"/>
    <w:rsid w:val="00F75BAF"/>
    <w:rsid w:val="00F773A3"/>
    <w:rsid w:val="00F800B2"/>
    <w:rsid w:val="00F82286"/>
    <w:rsid w:val="00F82F51"/>
    <w:rsid w:val="00F8372F"/>
    <w:rsid w:val="00F839A7"/>
    <w:rsid w:val="00F86AD4"/>
    <w:rsid w:val="00F9192C"/>
    <w:rsid w:val="00F92A4A"/>
    <w:rsid w:val="00F93032"/>
    <w:rsid w:val="00F95E96"/>
    <w:rsid w:val="00F97179"/>
    <w:rsid w:val="00F97993"/>
    <w:rsid w:val="00FA0113"/>
    <w:rsid w:val="00FA0DBD"/>
    <w:rsid w:val="00FA12B2"/>
    <w:rsid w:val="00FA4663"/>
    <w:rsid w:val="00FA62AF"/>
    <w:rsid w:val="00FA7610"/>
    <w:rsid w:val="00FB02BD"/>
    <w:rsid w:val="00FB398F"/>
    <w:rsid w:val="00FB3CEB"/>
    <w:rsid w:val="00FB4EF8"/>
    <w:rsid w:val="00FB546C"/>
    <w:rsid w:val="00FB54AE"/>
    <w:rsid w:val="00FB709A"/>
    <w:rsid w:val="00FB75AB"/>
    <w:rsid w:val="00FB78DD"/>
    <w:rsid w:val="00FB7F41"/>
    <w:rsid w:val="00FC30F9"/>
    <w:rsid w:val="00FC3EF3"/>
    <w:rsid w:val="00FC45BF"/>
    <w:rsid w:val="00FC4DA1"/>
    <w:rsid w:val="00FC5D35"/>
    <w:rsid w:val="00FC79BC"/>
    <w:rsid w:val="00FD02E8"/>
    <w:rsid w:val="00FD2049"/>
    <w:rsid w:val="00FD2140"/>
    <w:rsid w:val="00FD2421"/>
    <w:rsid w:val="00FD5B5F"/>
    <w:rsid w:val="00FD5BDE"/>
    <w:rsid w:val="00FD68EC"/>
    <w:rsid w:val="00FD744F"/>
    <w:rsid w:val="00FE206E"/>
    <w:rsid w:val="00FE24A5"/>
    <w:rsid w:val="00FE261E"/>
    <w:rsid w:val="00FE31E5"/>
    <w:rsid w:val="00FE3F42"/>
    <w:rsid w:val="00FE6049"/>
    <w:rsid w:val="00FE7206"/>
    <w:rsid w:val="00FF0744"/>
    <w:rsid w:val="00FF18DE"/>
    <w:rsid w:val="00FF19AD"/>
    <w:rsid w:val="00FF1EB5"/>
    <w:rsid w:val="00FF2038"/>
    <w:rsid w:val="00FF292D"/>
    <w:rsid w:val="00FF298D"/>
    <w:rsid w:val="00FF4B55"/>
    <w:rsid w:val="00FF4D3B"/>
    <w:rsid w:val="00FF5533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6D3FF3CE-415F-4D4D-8452-2654DCE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6022B5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6022B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F3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6D1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voutouris@cystat.mof.gov.c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ikis@cystat.mof.gov.c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cystat.gov.cy/NEW/CPI-Methodological_Note-Jan26-EL-191225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ystatdb23px.cystat.gov.cy/pxweb/el/8.CYSTAT-DB/8.CYSTAT-DB__Price%20Indices_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7" TargetMode="External"/><Relationship Id="rId14" Type="http://schemas.openxmlformats.org/officeDocument/2006/relationships/hyperlink" Target="mailto:fkakoutsis@cystat.mof.gov.c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3BBA4-96CC-4F32-B5F3-7187779B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8791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82</cp:revision>
  <cp:lastPrinted>2026-05-06T06:14:00Z</cp:lastPrinted>
  <dcterms:created xsi:type="dcterms:W3CDTF">2026-02-05T09:50:00Z</dcterms:created>
  <dcterms:modified xsi:type="dcterms:W3CDTF">2026-05-07T08:52:00Z</dcterms:modified>
</cp:coreProperties>
</file>