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3283" w14:textId="3E1E455E" w:rsidR="007437AB" w:rsidRPr="00266F1F" w:rsidRDefault="007437AB" w:rsidP="000E4CB0">
      <w:pPr>
        <w:jc w:val="both"/>
        <w:rPr>
          <w:rFonts w:ascii="Verdana" w:hAnsi="Verdana" w:cs="Arial"/>
          <w:sz w:val="18"/>
          <w:szCs w:val="18"/>
        </w:rPr>
      </w:pPr>
    </w:p>
    <w:p w14:paraId="650D9480" w14:textId="71342F6E" w:rsidR="006022B5" w:rsidRDefault="00D043B2" w:rsidP="00BF1E44">
      <w:pPr>
        <w:tabs>
          <w:tab w:val="left" w:pos="1080"/>
          <w:tab w:val="left" w:pos="7088"/>
        </w:tabs>
        <w:ind w:right="283"/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 w:rsidRPr="00FC4DA1">
        <w:rPr>
          <w:rFonts w:ascii="Verdana" w:hAnsi="Verdana" w:cs="Arial"/>
          <w:sz w:val="18"/>
          <w:szCs w:val="18"/>
          <w:lang w:val="el-GR"/>
        </w:rPr>
        <w:t>5</w:t>
      </w:r>
      <w:r w:rsidR="00290AEC" w:rsidRPr="003B5FBA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Φεβρουαρίου</w:t>
      </w:r>
      <w:r w:rsidR="006022B5" w:rsidRPr="006022B5"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7E3256"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0D680384" w14:textId="77777777" w:rsidR="00BF1E44" w:rsidRDefault="00BF1E44" w:rsidP="00BF1E44">
      <w:pPr>
        <w:tabs>
          <w:tab w:val="left" w:pos="1080"/>
          <w:tab w:val="left" w:pos="7088"/>
        </w:tabs>
        <w:ind w:right="283"/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56EBF85B" w14:textId="77777777" w:rsidR="00BF1E44" w:rsidRDefault="00BF1E44" w:rsidP="006022B5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06071BA9" w14:textId="23BAF8EA" w:rsidR="006022B5" w:rsidRPr="006022B5" w:rsidRDefault="006022B5" w:rsidP="006022B5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6022B5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59BCE7C7" w14:textId="77777777" w:rsidR="006022B5" w:rsidRPr="00A36D89" w:rsidRDefault="006022B5" w:rsidP="006022B5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3F149EC6" w14:textId="77777777" w:rsidR="006022B5" w:rsidRPr="00A36D89" w:rsidRDefault="006022B5" w:rsidP="006022B5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151BF7D6" w14:textId="76D83D76" w:rsidR="006022B5" w:rsidRPr="008E1127" w:rsidRDefault="006022B5" w:rsidP="006022B5">
      <w:pPr>
        <w:keepNext/>
        <w:tabs>
          <w:tab w:val="left" w:pos="6840"/>
        </w:tabs>
        <w:outlineLvl w:val="5"/>
        <w:rPr>
          <w:rFonts w:ascii="Verdana" w:eastAsia="Malgun Gothic" w:hAnsi="Verdana" w:cs="Arial"/>
          <w:b/>
          <w:bCs/>
          <w:u w:val="single"/>
          <w:lang w:val="el-GR"/>
        </w:rPr>
      </w:pPr>
      <w:r w:rsidRPr="006022B5">
        <w:rPr>
          <w:rFonts w:ascii="Verdana" w:eastAsia="Malgun Gothic" w:hAnsi="Verdana" w:cs="Arial"/>
          <w:bCs/>
          <w:u w:val="single"/>
          <w:lang w:val="x-none"/>
        </w:rPr>
        <w:t>ΔΕΙΚΤΗΣ ΤΙΜΩΝ ΚΑΤΑΝΑΛΩΤΗ(ΔΤΚ):</w:t>
      </w:r>
      <w:r w:rsidR="007E3256">
        <w:rPr>
          <w:rFonts w:ascii="Verdana" w:eastAsia="Malgun Gothic" w:hAnsi="Verdana" w:cs="Arial"/>
          <w:b/>
          <w:u w:val="single"/>
          <w:lang w:val="el-GR"/>
        </w:rPr>
        <w:t xml:space="preserve"> </w:t>
      </w:r>
      <w:r w:rsidR="00D043B2">
        <w:rPr>
          <w:rFonts w:ascii="Verdana" w:eastAsia="Malgun Gothic" w:hAnsi="Verdana" w:cs="Arial"/>
          <w:b/>
          <w:u w:val="single"/>
          <w:lang w:val="el-GR"/>
        </w:rPr>
        <w:t>ΙΑΝΟΥΑ</w:t>
      </w:r>
      <w:r w:rsidR="00527EAE">
        <w:rPr>
          <w:rFonts w:ascii="Verdana" w:eastAsia="Malgun Gothic" w:hAnsi="Verdana" w:cs="Arial"/>
          <w:b/>
          <w:u w:val="single"/>
          <w:lang w:val="el-GR"/>
        </w:rPr>
        <w:t>ΡΙΟΣ</w:t>
      </w:r>
      <w:r w:rsidR="00FF18DE">
        <w:rPr>
          <w:rFonts w:ascii="Verdana" w:eastAsia="Malgun Gothic" w:hAnsi="Verdana" w:cs="Arial"/>
          <w:b/>
          <w:u w:val="single"/>
          <w:lang w:val="el-GR"/>
        </w:rPr>
        <w:t xml:space="preserve"> </w:t>
      </w:r>
      <w:r w:rsidR="00403BEB">
        <w:rPr>
          <w:rFonts w:ascii="Verdana" w:eastAsia="Malgun Gothic" w:hAnsi="Verdana" w:cs="Arial"/>
          <w:b/>
          <w:u w:val="single"/>
          <w:lang w:val="x-none"/>
        </w:rPr>
        <w:t>2026</w:t>
      </w:r>
    </w:p>
    <w:p w14:paraId="6CFF816A" w14:textId="77777777" w:rsidR="006022B5" w:rsidRPr="00394E48" w:rsidRDefault="006022B5" w:rsidP="006022B5">
      <w:pPr>
        <w:rPr>
          <w:rFonts w:ascii="Verdana" w:eastAsia="Malgun Gothic" w:hAnsi="Verdana" w:cs="Arial"/>
          <w:lang w:val="el-GR"/>
        </w:rPr>
      </w:pPr>
    </w:p>
    <w:p w14:paraId="32482F3F" w14:textId="24A01D5A" w:rsidR="006022B5" w:rsidRPr="006022B5" w:rsidRDefault="00943296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>
        <w:rPr>
          <w:rFonts w:ascii="Verdana" w:eastAsia="Malgun Gothic" w:hAnsi="Verdana" w:cs="Arial"/>
          <w:b/>
          <w:lang w:val="el-GR"/>
        </w:rPr>
        <w:t>Πληθωρισμός</w:t>
      </w:r>
      <w:r w:rsidR="00FF4D3B">
        <w:rPr>
          <w:rFonts w:ascii="Verdana" w:eastAsia="Malgun Gothic" w:hAnsi="Verdana" w:cs="Arial"/>
          <w:b/>
          <w:lang w:val="el-GR"/>
        </w:rPr>
        <w:t xml:space="preserve"> </w:t>
      </w:r>
      <w:r w:rsidR="0020780D">
        <w:rPr>
          <w:rFonts w:ascii="Verdana" w:eastAsia="Malgun Gothic" w:hAnsi="Verdana" w:cs="Arial"/>
          <w:b/>
          <w:lang w:val="el-GR"/>
        </w:rPr>
        <w:t>0</w:t>
      </w:r>
      <w:r w:rsidR="00E53455">
        <w:rPr>
          <w:rFonts w:ascii="Verdana" w:eastAsia="Malgun Gothic" w:hAnsi="Verdana" w:cs="Arial"/>
          <w:b/>
          <w:lang w:val="el-GR"/>
        </w:rPr>
        <w:t>,</w:t>
      </w:r>
      <w:r w:rsidR="00601131" w:rsidRPr="00527EAE">
        <w:rPr>
          <w:rFonts w:ascii="Verdana" w:eastAsia="Malgun Gothic" w:hAnsi="Verdana" w:cs="Arial"/>
          <w:b/>
          <w:lang w:val="el-GR"/>
        </w:rPr>
        <w:t>5</w:t>
      </w:r>
      <w:r w:rsidR="006022B5" w:rsidRPr="006022B5">
        <w:rPr>
          <w:rFonts w:ascii="Verdana" w:eastAsia="Malgun Gothic" w:hAnsi="Verdana" w:cs="Arial"/>
          <w:b/>
          <w:lang w:val="el-GR"/>
        </w:rPr>
        <w:t>%</w:t>
      </w:r>
    </w:p>
    <w:p w14:paraId="3E882D76" w14:textId="77777777" w:rsidR="00394E48" w:rsidRPr="00394E48" w:rsidRDefault="00394E48" w:rsidP="006022B5">
      <w:pPr>
        <w:tabs>
          <w:tab w:val="left" w:pos="1080"/>
          <w:tab w:val="left" w:pos="6840"/>
        </w:tabs>
        <w:jc w:val="both"/>
        <w:rPr>
          <w:rFonts w:ascii="Arial" w:hAnsi="Arial" w:cs="Arial"/>
          <w:lang w:val="el-GR"/>
        </w:rPr>
      </w:pPr>
    </w:p>
    <w:p w14:paraId="131CCE1B" w14:textId="7B2422E2" w:rsidR="006022B5" w:rsidRPr="00604B95" w:rsidRDefault="006022B5" w:rsidP="001C528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604B95">
        <w:rPr>
          <w:rFonts w:ascii="Verdana" w:eastAsia="Malgun Gothic" w:hAnsi="Verdana" w:cs="Arial"/>
          <w:sz w:val="18"/>
          <w:szCs w:val="18"/>
          <w:lang w:val="el-GR"/>
        </w:rPr>
        <w:t>Ο Δείκτης Τιμών Καταναλωτή τον</w:t>
      </w:r>
      <w:r w:rsidR="00A011ED" w:rsidRPr="00A011E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Ιανουάριο</w:t>
      </w:r>
      <w:r w:rsidR="00A77755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μειώθηκε</w:t>
      </w:r>
      <w:r w:rsidR="00673C1C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κατά </w:t>
      </w:r>
      <w:r w:rsidR="00FF18DE" w:rsidRPr="00604B95">
        <w:rPr>
          <w:rFonts w:ascii="Verdana" w:eastAsia="Malgun Gothic" w:hAnsi="Verdana" w:cs="Arial"/>
          <w:sz w:val="18"/>
          <w:szCs w:val="18"/>
          <w:lang w:val="el-GR"/>
        </w:rPr>
        <w:t>0,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092B35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DA497B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μ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ονάδες και έφτασε στις 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99,98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μονάδες σε σύγκριση με 1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00,2</w:t>
      </w:r>
      <w:r w:rsidR="00403BEB" w:rsidRPr="00375524"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μονάδες τον</w:t>
      </w:r>
      <w:r w:rsidR="00896155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Δεκέμβριο</w:t>
      </w:r>
      <w:r w:rsidR="00527EA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B06FC6" w:rsidRPr="00604B95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Ο πληθωρισμός </w:t>
      </w:r>
      <w:r w:rsidR="00E53D4F">
        <w:rPr>
          <w:rFonts w:ascii="Verdana" w:eastAsia="Malgun Gothic" w:hAnsi="Verdana" w:cs="Arial"/>
          <w:sz w:val="18"/>
          <w:szCs w:val="18"/>
          <w:lang w:val="el-GR"/>
        </w:rPr>
        <w:t xml:space="preserve">τον 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Ιανουάριο</w:t>
      </w:r>
      <w:r w:rsidR="00527EA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αυξή</w:t>
      </w:r>
      <w:r w:rsidR="00092B35">
        <w:rPr>
          <w:rFonts w:ascii="Verdana" w:eastAsia="Malgun Gothic" w:hAnsi="Verdana" w:cs="Arial"/>
          <w:sz w:val="18"/>
          <w:szCs w:val="18"/>
          <w:lang w:val="el-GR"/>
        </w:rPr>
        <w:t xml:space="preserve">θηκε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με ρυθμό </w:t>
      </w:r>
      <w:r w:rsidR="0020780D" w:rsidRPr="00604B95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452DF7" w:rsidRPr="00604B9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527EAE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(Πίνακας 1)</w:t>
      </w:r>
    </w:p>
    <w:p w14:paraId="531B97C2" w14:textId="77777777" w:rsidR="006022B5" w:rsidRPr="00D043B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9C38A9A" w14:textId="77777777" w:rsidR="00527EAE" w:rsidRPr="00F07B9A" w:rsidRDefault="00527EAE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17B7C02" w14:textId="52847088" w:rsidR="00A63680" w:rsidRPr="00FF18DE" w:rsidRDefault="00EA4C51" w:rsidP="00142C02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drawing>
          <wp:inline distT="0" distB="0" distL="0" distR="0" wp14:anchorId="3888221F" wp14:editId="3EB2200D">
            <wp:extent cx="6090285" cy="4188460"/>
            <wp:effectExtent l="0" t="0" r="5715" b="2540"/>
            <wp:docPr id="5785568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418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DA2430" w14:textId="498E5D7D" w:rsidR="00A63680" w:rsidRPr="00C80D18" w:rsidRDefault="00A63680" w:rsidP="0004388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0E994513" w14:textId="77777777" w:rsidR="00C87829" w:rsidRPr="00604B95" w:rsidRDefault="00C87829" w:rsidP="00750AF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AF7ED83" w14:textId="6B6E92C8" w:rsidR="00394E48" w:rsidRPr="00EF35E9" w:rsidRDefault="00DA65EE" w:rsidP="00765BDC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F35E9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θετικ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>ή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>ή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στις οικονομικές κατηγορίες συγκριτικά με τον 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Ιανουάριο</w:t>
      </w:r>
      <w:r w:rsidR="00085368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σημειώθηκ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στ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α</w:t>
      </w:r>
      <w:r w:rsidR="00092B35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F4F9A">
        <w:rPr>
          <w:rFonts w:ascii="Verdana" w:eastAsia="Malgun Gothic" w:hAnsi="Verdana" w:cs="Arial"/>
          <w:i/>
          <w:iCs/>
          <w:sz w:val="18"/>
          <w:szCs w:val="18"/>
          <w:lang w:val="el-GR"/>
        </w:rPr>
        <w:t>Γεωργικά Προϊόντα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EF35E9" w:rsidRPr="00EF35E9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>%) ενώ οι μεγαλύτερες αρνητικές μεταβολές παρατηρήθηκαν στ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>ον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F35E9">
        <w:rPr>
          <w:rFonts w:ascii="Verdana" w:eastAsia="Malgun Gothic" w:hAnsi="Verdana" w:cs="Arial"/>
          <w:i/>
          <w:iCs/>
          <w:sz w:val="18"/>
          <w:szCs w:val="18"/>
          <w:lang w:val="el-GR"/>
        </w:rPr>
        <w:t>Ηλεκτρισμό</w:t>
      </w:r>
      <w:r w:rsidR="00BE22C2" w:rsidRPr="00BE22C2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BE22C2">
        <w:rPr>
          <w:rFonts w:ascii="Verdana" w:eastAsia="Malgun Gothic" w:hAnsi="Verdana" w:cs="Arial"/>
          <w:i/>
          <w:iCs/>
          <w:sz w:val="18"/>
          <w:szCs w:val="18"/>
          <w:lang w:val="el-GR"/>
        </w:rPr>
        <w:t>και Νερό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(-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2D07FD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και</w:t>
      </w:r>
      <w:r w:rsidR="00604B95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στα </w:t>
      </w:r>
      <w:r w:rsidR="008F4F9A">
        <w:rPr>
          <w:rFonts w:ascii="Verdana" w:eastAsia="Malgun Gothic" w:hAnsi="Verdana" w:cs="Arial"/>
          <w:i/>
          <w:iCs/>
          <w:sz w:val="18"/>
          <w:szCs w:val="18"/>
          <w:lang w:val="el-GR"/>
        </w:rPr>
        <w:t>Πετρελαιοειδή</w:t>
      </w:r>
      <w:r w:rsidR="00604B95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(-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604B95" w:rsidRPr="00EF35E9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BE22C2" w:rsidRPr="00BE22C2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604B95" w:rsidRPr="00EF35E9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EB0179" w:rsidRPr="00EF35E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>Σε σχέση με το</w:t>
      </w:r>
      <w:r w:rsidR="006F749E" w:rsidRPr="00EF35E9">
        <w:rPr>
          <w:rFonts w:ascii="Verdana" w:eastAsia="Malgun Gothic" w:hAnsi="Verdana" w:cs="Arial"/>
          <w:sz w:val="18"/>
          <w:szCs w:val="18"/>
          <w:lang w:val="el-GR"/>
        </w:rPr>
        <w:t>ν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Δεκέμβριο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>2025 η μεγαλύτερη μεταβολή καταγράφηκε στ</w:t>
      </w:r>
      <w:r w:rsidR="00984FB8">
        <w:rPr>
          <w:rFonts w:ascii="Verdana" w:eastAsia="Malgun Gothic" w:hAnsi="Verdana" w:cs="Arial"/>
          <w:sz w:val="18"/>
          <w:szCs w:val="18"/>
          <w:lang w:val="el-GR"/>
        </w:rPr>
        <w:t>α</w:t>
      </w:r>
      <w:r w:rsidR="00025B1F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24332" w:rsidRPr="00EF35E9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Γεωργικά Προϊόντα </w:t>
      </w:r>
      <w:r w:rsidR="005D6F71" w:rsidRPr="00EF35E9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9A66B7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="00624332" w:rsidRPr="00EF35E9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9A66B7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5D6F71" w:rsidRPr="00EF35E9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EB0179" w:rsidRPr="00EF35E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(Πίνακας 2)</w:t>
      </w:r>
    </w:p>
    <w:p w14:paraId="6F527AE4" w14:textId="4A4166ED" w:rsidR="00370C47" w:rsidRDefault="00370C47">
      <w:pP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474873B" w14:textId="77777777" w:rsidR="009A66B7" w:rsidRDefault="009A66B7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33ACDBD" w14:textId="77777777" w:rsidR="009A66B7" w:rsidRDefault="009A66B7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7CB30A22" w14:textId="05748C66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lastRenderedPageBreak/>
        <w:t xml:space="preserve">Ανάλυση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Π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οσοστιαίων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Μ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εταβολών</w:t>
      </w:r>
    </w:p>
    <w:p w14:paraId="7B98AA4B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2AC9E779" w14:textId="03895A50" w:rsidR="006022B5" w:rsidRPr="001559CE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Συγκριτικά με τον </w:t>
      </w:r>
      <w:r w:rsidR="009A66B7">
        <w:rPr>
          <w:rFonts w:ascii="Verdana" w:eastAsia="Malgun Gothic" w:hAnsi="Verdana" w:cs="Arial"/>
          <w:sz w:val="18"/>
          <w:szCs w:val="18"/>
          <w:lang w:val="el-GR"/>
        </w:rPr>
        <w:t>Ιανουάριο</w:t>
      </w:r>
      <w:r w:rsidR="00F65AE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9A66B7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3C63F9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οι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="003D1843" w:rsidRPr="001559CE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="003D1843" w:rsidRPr="001559CE">
        <w:rPr>
          <w:rFonts w:ascii="Verdana" w:eastAsia="Malgun Gothic" w:hAnsi="Verdana" w:cs="Arial"/>
          <w:sz w:val="18"/>
          <w:szCs w:val="18"/>
          <w:lang w:val="el-GR"/>
        </w:rPr>
        <w:t>ές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παρατηρήθηκ</w:t>
      </w:r>
      <w:r w:rsidR="003D1843" w:rsidRPr="001559CE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2D32FA" w:rsidRPr="001559CE">
        <w:rPr>
          <w:rFonts w:ascii="Verdana" w:eastAsia="Malgun Gothic" w:hAnsi="Verdana" w:cs="Arial"/>
          <w:sz w:val="18"/>
          <w:szCs w:val="18"/>
          <w:lang w:val="el-GR"/>
        </w:rPr>
        <w:t>στ</w:t>
      </w:r>
      <w:r w:rsidR="00382E07" w:rsidRPr="001559CE">
        <w:rPr>
          <w:rFonts w:ascii="Verdana" w:eastAsia="Malgun Gothic" w:hAnsi="Verdana" w:cs="Arial"/>
          <w:sz w:val="18"/>
          <w:szCs w:val="18"/>
          <w:lang w:val="el-GR"/>
        </w:rPr>
        <w:t>ις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CC1544" w:rsidRPr="001559CE">
        <w:rPr>
          <w:rFonts w:ascii="Verdana" w:eastAsia="Malgun Gothic" w:hAnsi="Verdana" w:cs="Arial"/>
          <w:sz w:val="18"/>
          <w:szCs w:val="18"/>
          <w:lang w:val="el-GR"/>
        </w:rPr>
        <w:t>κατηγορίες</w:t>
      </w:r>
      <w:r w:rsidR="00EF27E5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7669F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Ένδυση και Υπόδηση </w:t>
      </w:r>
      <w:r w:rsidR="00E7669F" w:rsidRPr="001559CE">
        <w:rPr>
          <w:rFonts w:ascii="Verdana" w:eastAsia="Malgun Gothic" w:hAnsi="Verdana" w:cs="Arial"/>
          <w:sz w:val="18"/>
          <w:szCs w:val="18"/>
          <w:lang w:val="el-GR"/>
        </w:rPr>
        <w:t>(-</w:t>
      </w:r>
      <w:r w:rsidR="009E3347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="00E7669F" w:rsidRPr="001559C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9A66B7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E7669F" w:rsidRPr="001559CE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995144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DA65E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Εστιατόρια και </w:t>
      </w:r>
      <w:r w:rsidR="00710F54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Υπηρεσίες </w:t>
      </w:r>
      <w:r w:rsidR="000268D7">
        <w:rPr>
          <w:rFonts w:ascii="Verdana" w:eastAsia="Malgun Gothic" w:hAnsi="Verdana" w:cs="Arial"/>
          <w:i/>
          <w:iCs/>
          <w:sz w:val="18"/>
          <w:szCs w:val="18"/>
          <w:lang w:val="el-GR"/>
        </w:rPr>
        <w:t>Π</w:t>
      </w:r>
      <w:r w:rsidR="00710F54">
        <w:rPr>
          <w:rFonts w:ascii="Verdana" w:eastAsia="Malgun Gothic" w:hAnsi="Verdana" w:cs="Arial"/>
          <w:i/>
          <w:iCs/>
          <w:sz w:val="18"/>
          <w:szCs w:val="18"/>
          <w:lang w:val="el-GR"/>
        </w:rPr>
        <w:t>αροχής</w:t>
      </w:r>
      <w:r w:rsidR="000268D7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Κ</w:t>
      </w:r>
      <w:r w:rsidR="00710F54">
        <w:rPr>
          <w:rFonts w:ascii="Verdana" w:eastAsia="Malgun Gothic" w:hAnsi="Verdana" w:cs="Arial"/>
          <w:i/>
          <w:iCs/>
          <w:sz w:val="18"/>
          <w:szCs w:val="18"/>
          <w:lang w:val="el-GR"/>
        </w:rPr>
        <w:t>αταλύματος</w:t>
      </w:r>
      <w:r w:rsidR="00DA65E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DA65EE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(</w:t>
      </w:r>
      <w:r w:rsidR="00682875">
        <w:rPr>
          <w:rFonts w:ascii="Verdana" w:eastAsia="Malgun Gothic" w:hAnsi="Verdana" w:cs="Arial"/>
          <w:iCs/>
          <w:sz w:val="18"/>
          <w:szCs w:val="18"/>
          <w:lang w:val="el-GR"/>
        </w:rPr>
        <w:t>4</w:t>
      </w:r>
      <w:r w:rsidR="008E4DF7">
        <w:rPr>
          <w:rFonts w:ascii="Verdana" w:eastAsia="Malgun Gothic" w:hAnsi="Verdana" w:cs="Arial"/>
          <w:iCs/>
          <w:sz w:val="18"/>
          <w:szCs w:val="18"/>
          <w:lang w:val="el-GR"/>
        </w:rPr>
        <w:t>,</w:t>
      </w:r>
      <w:r w:rsidR="009A66B7">
        <w:rPr>
          <w:rFonts w:ascii="Verdana" w:eastAsia="Malgun Gothic" w:hAnsi="Verdana" w:cs="Arial"/>
          <w:iCs/>
          <w:sz w:val="18"/>
          <w:szCs w:val="18"/>
          <w:lang w:val="el-GR"/>
        </w:rPr>
        <w:t>8</w:t>
      </w:r>
      <w:r w:rsidR="00DA65EE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%)</w:t>
      </w:r>
      <w:r w:rsidR="00604B95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, </w:t>
      </w:r>
      <w:r w:rsidR="00604B95" w:rsidRPr="001559CE">
        <w:rPr>
          <w:rFonts w:ascii="Verdana" w:eastAsia="Malgun Gothic" w:hAnsi="Verdana" w:cs="Arial"/>
          <w:i/>
          <w:sz w:val="18"/>
          <w:szCs w:val="18"/>
          <w:lang w:val="el-GR"/>
        </w:rPr>
        <w:t>Εκπα</w:t>
      </w:r>
      <w:r w:rsidR="00710F54">
        <w:rPr>
          <w:rFonts w:ascii="Verdana" w:eastAsia="Malgun Gothic" w:hAnsi="Verdana" w:cs="Arial"/>
          <w:i/>
          <w:sz w:val="18"/>
          <w:szCs w:val="18"/>
          <w:lang w:val="el-GR"/>
        </w:rPr>
        <w:t>ιδευτικές Υπηρεσίες</w:t>
      </w:r>
      <w:r w:rsidR="00604B95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 (3,</w:t>
      </w:r>
      <w:r w:rsidR="009A66B7">
        <w:rPr>
          <w:rFonts w:ascii="Verdana" w:eastAsia="Malgun Gothic" w:hAnsi="Verdana" w:cs="Arial"/>
          <w:iCs/>
          <w:sz w:val="18"/>
          <w:szCs w:val="18"/>
          <w:lang w:val="el-GR"/>
        </w:rPr>
        <w:t>7</w:t>
      </w:r>
      <w:r w:rsidR="00604B95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%)</w:t>
      </w:r>
      <w:r w:rsidR="00995144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995144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και</w:t>
      </w:r>
      <w:r w:rsidR="00DA65E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9A66B7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Αναψυχή, Αθλητισμός και Πολιτισμός </w:t>
      </w:r>
      <w:r w:rsidR="00DA65EE" w:rsidRPr="001559CE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9A66B7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EE572B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9A66B7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6F5D82" w:rsidRPr="00C41D95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EE572B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380663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(Πίνακας 1)</w:t>
      </w:r>
    </w:p>
    <w:p w14:paraId="1EC1D9E9" w14:textId="77777777" w:rsidR="006022B5" w:rsidRPr="001559CE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highlight w:val="yellow"/>
          <w:lang w:val="el-GR"/>
        </w:rPr>
      </w:pPr>
    </w:p>
    <w:p w14:paraId="0DD18807" w14:textId="0AC57A91" w:rsidR="006022B5" w:rsidRPr="001559CE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>Σε σχέση με τον</w:t>
      </w:r>
      <w:r w:rsidR="00D703BD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A66B7">
        <w:rPr>
          <w:rFonts w:ascii="Verdana" w:eastAsia="Malgun Gothic" w:hAnsi="Verdana" w:cs="Arial"/>
          <w:sz w:val="18"/>
          <w:szCs w:val="18"/>
          <w:lang w:val="el-GR"/>
        </w:rPr>
        <w:t>Δεκέμβριο</w:t>
      </w:r>
      <w:r w:rsidR="008125E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196A7C" w:rsidRPr="001559CE"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A15339" w:rsidRPr="001559CE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μεγαλύ</w:t>
      </w:r>
      <w:r w:rsidR="00E61415" w:rsidRPr="001559CE">
        <w:rPr>
          <w:rFonts w:ascii="Verdana" w:eastAsia="Malgun Gothic" w:hAnsi="Verdana" w:cs="Arial"/>
          <w:sz w:val="18"/>
          <w:szCs w:val="18"/>
          <w:lang w:val="el-GR"/>
        </w:rPr>
        <w:t>τερ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5F3E17" w:rsidRPr="001559CE">
        <w:rPr>
          <w:rFonts w:ascii="Verdana" w:eastAsia="Malgun Gothic" w:hAnsi="Verdana" w:cs="Arial"/>
          <w:sz w:val="18"/>
          <w:szCs w:val="18"/>
          <w:lang w:val="el-GR"/>
        </w:rPr>
        <w:t>ς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ές 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>παρατηρήθηκ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E61415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στις </w:t>
      </w:r>
      <w:r w:rsidR="00132903" w:rsidRPr="001559CE">
        <w:rPr>
          <w:rFonts w:ascii="Verdana" w:eastAsia="Malgun Gothic" w:hAnsi="Verdana" w:cs="Arial"/>
          <w:sz w:val="18"/>
          <w:szCs w:val="18"/>
          <w:lang w:val="el-GR"/>
        </w:rPr>
        <w:t>κατηγορί</w:t>
      </w:r>
      <w:r w:rsidR="009E3347">
        <w:rPr>
          <w:rFonts w:ascii="Verdana" w:eastAsia="Malgun Gothic" w:hAnsi="Verdana" w:cs="Arial"/>
          <w:sz w:val="18"/>
          <w:szCs w:val="18"/>
          <w:lang w:val="el-GR"/>
        </w:rPr>
        <w:t xml:space="preserve">ες </w:t>
      </w:r>
      <w:r w:rsidR="009A66B7">
        <w:rPr>
          <w:rFonts w:ascii="Verdana" w:eastAsia="Malgun Gothic" w:hAnsi="Verdana" w:cs="Arial"/>
          <w:i/>
          <w:iCs/>
          <w:sz w:val="18"/>
          <w:szCs w:val="18"/>
          <w:lang w:val="el-GR"/>
        </w:rPr>
        <w:t>Ένδυση και Υπόδηση</w:t>
      </w:r>
      <w:r w:rsidR="00E61415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E3347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6A68F3">
        <w:rPr>
          <w:rFonts w:ascii="Verdana" w:eastAsia="Malgun Gothic" w:hAnsi="Verdana" w:cs="Arial"/>
          <w:sz w:val="18"/>
          <w:szCs w:val="18"/>
          <w:lang w:val="el-GR"/>
        </w:rPr>
        <w:t>-12,1</w:t>
      </w:r>
      <w:r w:rsidR="009E3347">
        <w:rPr>
          <w:rFonts w:ascii="Verdana" w:eastAsia="Malgun Gothic" w:hAnsi="Verdana" w:cs="Arial"/>
          <w:sz w:val="18"/>
          <w:szCs w:val="18"/>
          <w:lang w:val="el-GR"/>
        </w:rPr>
        <w:t>%) και</w:t>
      </w:r>
      <w:r w:rsidR="006A68F3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A68F3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Τρόφιμα και μη Αλκοολούχα Ποτά </w:t>
      </w:r>
      <w:r w:rsidR="00111708" w:rsidRPr="001559CE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6A68F3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8E4DF7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403BEB" w:rsidRPr="00375524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111708" w:rsidRPr="001559CE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132903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(Πίνακας 1)</w:t>
      </w:r>
    </w:p>
    <w:p w14:paraId="22DB350F" w14:textId="77777777" w:rsidR="00A15339" w:rsidRPr="001559CE" w:rsidRDefault="00A15339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i/>
          <w:sz w:val="18"/>
          <w:szCs w:val="18"/>
          <w:lang w:val="el-GR"/>
        </w:rPr>
      </w:pPr>
    </w:p>
    <w:p w14:paraId="424F7C08" w14:textId="77777777" w:rsidR="006022B5" w:rsidRPr="00B06FC6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E561778" w14:textId="1516CE52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Ανάλυση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Ε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πιπτώσεων σε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Μ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ονάδες</w:t>
      </w:r>
    </w:p>
    <w:p w14:paraId="47CF4B42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E7718B9" w14:textId="64D54176" w:rsidR="00453E42" w:rsidRPr="001559CE" w:rsidRDefault="006022B5" w:rsidP="0099796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Τη μεγαλύτερη </w:t>
      </w:r>
      <w:r w:rsidR="008E6E54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θετική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επίδραση στη μεταβολή του ΔΤΚ του</w:t>
      </w:r>
      <w:r w:rsidR="00833D0E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A68F3">
        <w:rPr>
          <w:rFonts w:ascii="Verdana" w:eastAsia="Malgun Gothic" w:hAnsi="Verdana" w:cs="Arial"/>
          <w:sz w:val="18"/>
          <w:szCs w:val="18"/>
          <w:lang w:val="el-GR"/>
        </w:rPr>
        <w:t>Ιανουαρίου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82524" w:rsidRPr="001559CE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6A68F3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με τον</w:t>
      </w:r>
      <w:r w:rsidR="009154BF" w:rsidRPr="001559CE">
        <w:rPr>
          <w:rFonts w:ascii="Verdana" w:hAnsi="Verdana" w:cs="Arial"/>
          <w:sz w:val="18"/>
          <w:szCs w:val="18"/>
          <w:lang w:val="el-GR"/>
        </w:rPr>
        <w:t xml:space="preserve"> </w:t>
      </w:r>
      <w:r w:rsidR="006A68F3">
        <w:rPr>
          <w:rFonts w:ascii="Verdana" w:hAnsi="Verdana" w:cs="Arial"/>
          <w:sz w:val="18"/>
          <w:szCs w:val="18"/>
          <w:lang w:val="el-GR"/>
        </w:rPr>
        <w:t>Ιανουάριο</w:t>
      </w:r>
      <w:r w:rsidR="0009301B" w:rsidRPr="001559CE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6A68F3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είχ</w:t>
      </w:r>
      <w:r w:rsidR="00765399" w:rsidRPr="001559CE">
        <w:rPr>
          <w:rFonts w:ascii="Verdana" w:eastAsia="Malgun Gothic" w:hAnsi="Verdana" w:cs="Arial"/>
          <w:sz w:val="18"/>
          <w:szCs w:val="18"/>
          <w:lang w:val="el-GR"/>
        </w:rPr>
        <w:t>αν οι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κατηγορί</w:t>
      </w:r>
      <w:r w:rsidR="00765399" w:rsidRPr="001559CE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C73188" w:rsidRPr="001559CE">
        <w:rPr>
          <w:lang w:val="el-GR"/>
        </w:rPr>
        <w:t xml:space="preserve"> </w:t>
      </w:r>
      <w:r w:rsidR="00336F31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6A68F3" w:rsidRPr="00C368A9">
        <w:rPr>
          <w:rFonts w:ascii="Verdana" w:eastAsia="Times New Roman" w:hAnsi="Verdana" w:cs="Arial"/>
          <w:i/>
          <w:iCs/>
          <w:sz w:val="18"/>
          <w:szCs w:val="18"/>
          <w:lang w:val="el-GR"/>
        </w:rPr>
        <w:t>Τρόφιμα και μη Αλκοολούχα Ποτά</w:t>
      </w:r>
      <w:r w:rsidR="006A68F3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 </w:t>
      </w:r>
      <w:r w:rsidR="00F271B1" w:rsidRPr="001559CE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F8372F">
        <w:rPr>
          <w:rFonts w:ascii="Verdana" w:eastAsia="Malgun Gothic" w:hAnsi="Verdana" w:cs="Arial"/>
          <w:sz w:val="18"/>
          <w:szCs w:val="18"/>
          <w:lang w:val="el-GR"/>
        </w:rPr>
        <w:t>0,</w:t>
      </w:r>
      <w:r w:rsidR="009354B8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6A68F3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F271B1" w:rsidRPr="001559CE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9354B8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710F54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Εστιατόρια και </w:t>
      </w:r>
      <w:r w:rsidR="00710F54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Υπηρεσίες </w:t>
      </w:r>
      <w:r w:rsidR="000268D7">
        <w:rPr>
          <w:rFonts w:ascii="Verdana" w:eastAsia="Malgun Gothic" w:hAnsi="Verdana" w:cs="Arial"/>
          <w:i/>
          <w:iCs/>
          <w:sz w:val="18"/>
          <w:szCs w:val="18"/>
          <w:lang w:val="el-GR"/>
        </w:rPr>
        <w:t>Π</w:t>
      </w:r>
      <w:r w:rsidR="00710F54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αροχής </w:t>
      </w:r>
      <w:r w:rsidR="000268D7">
        <w:rPr>
          <w:rFonts w:ascii="Verdana" w:eastAsia="Malgun Gothic" w:hAnsi="Verdana" w:cs="Arial"/>
          <w:i/>
          <w:iCs/>
          <w:sz w:val="18"/>
          <w:szCs w:val="18"/>
          <w:lang w:val="el-GR"/>
        </w:rPr>
        <w:t>Κ</w:t>
      </w:r>
      <w:r w:rsidR="00710F54">
        <w:rPr>
          <w:rFonts w:ascii="Verdana" w:eastAsia="Malgun Gothic" w:hAnsi="Verdana" w:cs="Arial"/>
          <w:i/>
          <w:iCs/>
          <w:sz w:val="18"/>
          <w:szCs w:val="18"/>
          <w:lang w:val="el-GR"/>
        </w:rPr>
        <w:t>αταλύματος</w:t>
      </w:r>
      <w:r w:rsidR="00710F54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FD744F" w:rsidRPr="001559CE">
        <w:rPr>
          <w:rFonts w:ascii="Verdana" w:eastAsia="Malgun Gothic" w:hAnsi="Verdana" w:cs="Arial"/>
          <w:sz w:val="18"/>
          <w:szCs w:val="18"/>
          <w:lang w:val="el-GR"/>
        </w:rPr>
        <w:t>(0,</w:t>
      </w:r>
      <w:r w:rsidR="006A68F3">
        <w:rPr>
          <w:rFonts w:ascii="Verdana" w:eastAsia="Malgun Gothic" w:hAnsi="Verdana" w:cs="Arial"/>
          <w:sz w:val="18"/>
          <w:szCs w:val="18"/>
          <w:lang w:val="el-GR"/>
        </w:rPr>
        <w:t>52</w:t>
      </w:r>
      <w:r w:rsidR="00FD744F" w:rsidRPr="001559CE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9354B8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="009354B8" w:rsidRPr="009354B8">
        <w:rPr>
          <w:rFonts w:ascii="Verdana" w:eastAsia="Times New Roman" w:hAnsi="Verdana" w:cs="Arial"/>
          <w:i/>
          <w:iCs/>
          <w:sz w:val="18"/>
          <w:szCs w:val="18"/>
          <w:lang w:val="el-GR"/>
        </w:rPr>
        <w:t>Αναψυχή</w:t>
      </w:r>
      <w:r w:rsidR="006A68F3">
        <w:rPr>
          <w:rFonts w:ascii="Verdana" w:eastAsia="Times New Roman" w:hAnsi="Verdana" w:cs="Arial"/>
          <w:i/>
          <w:iCs/>
          <w:sz w:val="18"/>
          <w:szCs w:val="18"/>
          <w:lang w:val="el-GR"/>
        </w:rPr>
        <w:t>, Αθλητισμός κα</w:t>
      </w:r>
      <w:r w:rsidR="009354B8" w:rsidRPr="009354B8">
        <w:rPr>
          <w:rFonts w:ascii="Verdana" w:eastAsia="Times New Roman" w:hAnsi="Verdana" w:cs="Arial"/>
          <w:i/>
          <w:iCs/>
          <w:sz w:val="18"/>
          <w:szCs w:val="18"/>
          <w:lang w:val="el-GR"/>
        </w:rPr>
        <w:t>ι Πολιτισμός</w:t>
      </w:r>
      <w:r w:rsidR="009354B8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 (0,</w:t>
      </w:r>
      <w:r w:rsidR="006A68F3">
        <w:rPr>
          <w:rFonts w:ascii="Verdana" w:eastAsia="Times New Roman" w:hAnsi="Verdana" w:cs="Arial"/>
          <w:i/>
          <w:iCs/>
          <w:sz w:val="18"/>
          <w:szCs w:val="18"/>
          <w:lang w:val="el-GR"/>
        </w:rPr>
        <w:t>22</w:t>
      </w:r>
      <w:r w:rsidR="009354B8">
        <w:rPr>
          <w:rFonts w:ascii="Verdana" w:eastAsia="Times New Roman" w:hAnsi="Verdana" w:cs="Arial"/>
          <w:i/>
          <w:iCs/>
          <w:sz w:val="18"/>
          <w:szCs w:val="18"/>
          <w:lang w:val="el-GR"/>
        </w:rPr>
        <w:t>)</w:t>
      </w:r>
      <w:r w:rsidR="00C41D95" w:rsidRPr="00C41D95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FD744F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B041C" w:rsidRPr="001559CE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997963" w:rsidRPr="001559CE">
        <w:rPr>
          <w:rFonts w:ascii="Verdana" w:eastAsia="Malgun Gothic" w:hAnsi="Verdana" w:cs="Arial"/>
          <w:sz w:val="18"/>
          <w:szCs w:val="18"/>
          <w:lang w:val="el-GR"/>
        </w:rPr>
        <w:t>νώ τ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>η μεγαλύτερη αρνητική επίδραση στη μεταβολή του ΔΤΚ του</w:t>
      </w:r>
      <w:r w:rsidR="00360B5F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A68F3">
        <w:rPr>
          <w:rFonts w:ascii="Verdana" w:eastAsia="Malgun Gothic" w:hAnsi="Verdana" w:cs="Arial"/>
          <w:sz w:val="18"/>
          <w:szCs w:val="18"/>
          <w:lang w:val="el-GR"/>
        </w:rPr>
        <w:t>Ιανουαρίου</w:t>
      </w:r>
      <w:r w:rsidR="00FD744F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6A68F3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με τον</w:t>
      </w:r>
      <w:r w:rsidR="00453E42" w:rsidRPr="001559CE">
        <w:rPr>
          <w:rFonts w:ascii="Verdana" w:hAnsi="Verdana" w:cs="Arial"/>
          <w:sz w:val="18"/>
          <w:szCs w:val="18"/>
          <w:lang w:val="el-GR"/>
        </w:rPr>
        <w:t xml:space="preserve"> </w:t>
      </w:r>
      <w:r w:rsidR="006A68F3">
        <w:rPr>
          <w:rFonts w:ascii="Verdana" w:hAnsi="Verdana" w:cs="Arial"/>
          <w:sz w:val="18"/>
          <w:szCs w:val="18"/>
          <w:lang w:val="el-GR"/>
        </w:rPr>
        <w:t>Ιανουάριο</w:t>
      </w:r>
      <w:r w:rsidR="00FD744F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6A68F3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είχ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κατηγορί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566B6B" w:rsidRPr="00905A8C">
        <w:rPr>
          <w:rFonts w:ascii="Verdana" w:eastAsia="Malgun Gothic" w:hAnsi="Verdana" w:cs="Arial"/>
          <w:i/>
          <w:iCs/>
          <w:sz w:val="18"/>
          <w:szCs w:val="18"/>
          <w:lang w:val="el-GR"/>
        </w:rPr>
        <w:t>Ένδυση και Υπόδηση</w:t>
      </w:r>
      <w:r w:rsidR="00566B6B">
        <w:rPr>
          <w:rFonts w:ascii="Verdana" w:eastAsia="Malgun Gothic" w:hAnsi="Verdana" w:cs="Arial"/>
          <w:sz w:val="18"/>
          <w:szCs w:val="18"/>
          <w:lang w:val="el-GR"/>
        </w:rPr>
        <w:t xml:space="preserve"> (-0,</w:t>
      </w:r>
      <w:r w:rsidR="006A68F3">
        <w:rPr>
          <w:rFonts w:ascii="Verdana" w:eastAsia="Malgun Gothic" w:hAnsi="Verdana" w:cs="Arial"/>
          <w:sz w:val="18"/>
          <w:szCs w:val="18"/>
          <w:lang w:val="el-GR"/>
        </w:rPr>
        <w:t>44</w:t>
      </w:r>
      <w:r w:rsidR="00566B6B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6A68F3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="003F3277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Μεταφορές </w:t>
      </w:r>
      <w:r w:rsidR="003F3277">
        <w:rPr>
          <w:rFonts w:ascii="Verdana" w:eastAsia="Malgun Gothic" w:hAnsi="Verdana" w:cs="Arial"/>
          <w:sz w:val="18"/>
          <w:szCs w:val="18"/>
          <w:lang w:val="el-GR"/>
        </w:rPr>
        <w:t>(-0,36)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453E4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(Πίνακας 3)</w:t>
      </w:r>
    </w:p>
    <w:p w14:paraId="328F7BC1" w14:textId="77777777" w:rsidR="006022B5" w:rsidRPr="00290AEC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4472C4" w:themeColor="accent1"/>
          <w:sz w:val="18"/>
          <w:szCs w:val="18"/>
          <w:lang w:val="el-GR"/>
        </w:rPr>
      </w:pPr>
    </w:p>
    <w:p w14:paraId="2F248189" w14:textId="7217702E" w:rsidR="00765BDC" w:rsidRPr="001559CE" w:rsidRDefault="00765BDC" w:rsidP="00765BD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Τη μεγαλύτερη επίπτωση </w:t>
      </w:r>
      <w:r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στη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μεταβολή του ΔΤΚ τον </w:t>
      </w:r>
      <w:r w:rsidR="003F3277">
        <w:rPr>
          <w:rFonts w:ascii="Verdana" w:eastAsia="Malgun Gothic" w:hAnsi="Verdana" w:cs="Arial"/>
          <w:sz w:val="18"/>
          <w:szCs w:val="18"/>
          <w:lang w:val="el-GR"/>
        </w:rPr>
        <w:t>Ιανουάριο</w:t>
      </w:r>
      <w:r w:rsidR="0009301B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3F3277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με το</w:t>
      </w:r>
      <w:r w:rsidR="00BB2FBF">
        <w:rPr>
          <w:rFonts w:ascii="Verdana" w:eastAsia="Malgun Gothic" w:hAnsi="Verdana" w:cs="Arial"/>
          <w:sz w:val="18"/>
          <w:szCs w:val="18"/>
          <w:lang w:val="el-GR"/>
        </w:rPr>
        <w:t>ν</w:t>
      </w:r>
      <w:r w:rsidR="006E7A4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3F3277">
        <w:rPr>
          <w:rFonts w:ascii="Verdana" w:eastAsia="Malgun Gothic" w:hAnsi="Verdana" w:cs="Arial"/>
          <w:sz w:val="18"/>
          <w:szCs w:val="18"/>
          <w:lang w:val="el-GR"/>
        </w:rPr>
        <w:t>Δεκέμβριο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2025 </w:t>
      </w:r>
      <w:r w:rsidR="00C46E2F">
        <w:rPr>
          <w:rFonts w:ascii="Verdana" w:eastAsia="Malgun Gothic" w:hAnsi="Verdana" w:cs="Arial"/>
          <w:sz w:val="18"/>
          <w:szCs w:val="18"/>
          <w:lang w:val="el-GR"/>
        </w:rPr>
        <w:t>είχ</w:t>
      </w:r>
      <w:r w:rsidR="00AC7020">
        <w:rPr>
          <w:rFonts w:ascii="Verdana" w:eastAsia="Malgun Gothic" w:hAnsi="Verdana" w:cs="Arial"/>
          <w:sz w:val="18"/>
          <w:szCs w:val="18"/>
          <w:lang w:val="el-GR"/>
        </w:rPr>
        <w:t xml:space="preserve">αν </w:t>
      </w:r>
      <w:r w:rsidR="001559CE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C7020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κατηγορί</w:t>
      </w:r>
      <w:r w:rsidR="00AC7020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403BEB" w:rsidRPr="003F793E">
        <w:rPr>
          <w:rFonts w:ascii="Verdana" w:eastAsia="Times New Roman" w:hAnsi="Verdana" w:cs="Arial"/>
          <w:i/>
          <w:iCs/>
          <w:sz w:val="18"/>
          <w:szCs w:val="18"/>
          <w:lang w:val="el-GR"/>
        </w:rPr>
        <w:t>Ένδυση και Υπόδηση</w:t>
      </w:r>
      <w:r w:rsidR="00403BEB">
        <w:rPr>
          <w:rFonts w:ascii="Verdana" w:eastAsia="Times New Roman" w:hAnsi="Verdana" w:cs="Arial"/>
          <w:sz w:val="18"/>
          <w:szCs w:val="18"/>
          <w:lang w:val="el-GR"/>
        </w:rPr>
        <w:t xml:space="preserve"> </w:t>
      </w:r>
      <w:r w:rsidR="00C368A9">
        <w:rPr>
          <w:rFonts w:ascii="Verdana" w:eastAsia="Times New Roman" w:hAnsi="Verdana" w:cs="Arial"/>
          <w:sz w:val="18"/>
          <w:szCs w:val="18"/>
          <w:lang w:val="el-GR"/>
        </w:rPr>
        <w:t>(</w:t>
      </w:r>
      <w:r w:rsidR="00AC7020">
        <w:rPr>
          <w:rFonts w:ascii="Verdana" w:eastAsia="Times New Roman" w:hAnsi="Verdana" w:cs="Arial"/>
          <w:sz w:val="18"/>
          <w:szCs w:val="18"/>
          <w:lang w:val="el-GR"/>
        </w:rPr>
        <w:t>-</w:t>
      </w:r>
      <w:r w:rsidR="00403BEB" w:rsidRPr="00375524">
        <w:rPr>
          <w:rFonts w:ascii="Verdana" w:eastAsia="Times New Roman" w:hAnsi="Verdana" w:cs="Arial"/>
          <w:sz w:val="18"/>
          <w:szCs w:val="18"/>
          <w:lang w:val="el-GR"/>
        </w:rPr>
        <w:t>0,80</w:t>
      </w:r>
      <w:r w:rsidR="00C368A9">
        <w:rPr>
          <w:rFonts w:ascii="Verdana" w:eastAsia="Times New Roman" w:hAnsi="Verdana" w:cs="Arial"/>
          <w:sz w:val="18"/>
          <w:szCs w:val="18"/>
          <w:lang w:val="el-GR"/>
        </w:rPr>
        <w:t>)</w:t>
      </w:r>
      <w:r w:rsidR="00AC7020">
        <w:rPr>
          <w:rFonts w:ascii="Verdana" w:eastAsia="Times New Roman" w:hAnsi="Verdana" w:cs="Arial"/>
          <w:sz w:val="18"/>
          <w:szCs w:val="18"/>
          <w:lang w:val="el-GR"/>
        </w:rPr>
        <w:t xml:space="preserve"> και </w:t>
      </w:r>
      <w:r w:rsidR="00AC7020" w:rsidRPr="00C368A9">
        <w:rPr>
          <w:rFonts w:ascii="Verdana" w:eastAsia="Times New Roman" w:hAnsi="Verdana" w:cs="Arial"/>
          <w:i/>
          <w:iCs/>
          <w:sz w:val="18"/>
          <w:szCs w:val="18"/>
          <w:lang w:val="el-GR"/>
        </w:rPr>
        <w:t>Τρόφιμα και μη Αλκοολούχα Ποτά</w:t>
      </w:r>
      <w:r w:rsidR="00AC7020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 (0,62)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(Πίνακας 3)</w:t>
      </w:r>
    </w:p>
    <w:p w14:paraId="268A34B8" w14:textId="77777777" w:rsidR="00765BDC" w:rsidRPr="00290AEC" w:rsidRDefault="00765BDC" w:rsidP="00765BD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4472C4" w:themeColor="accent1"/>
          <w:sz w:val="18"/>
          <w:szCs w:val="18"/>
          <w:highlight w:val="yellow"/>
          <w:lang w:val="el-GR"/>
        </w:rPr>
      </w:pPr>
    </w:p>
    <w:p w14:paraId="1F15496B" w14:textId="4B860489" w:rsidR="00765BDC" w:rsidRPr="001559CE" w:rsidRDefault="00765BDC" w:rsidP="00765BD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>Τη μεγαλύτερη θετική επίπτωση στη μεταβολή του ΔΤΚ του</w:t>
      </w:r>
      <w:r w:rsidRPr="001559CE">
        <w:rPr>
          <w:rFonts w:ascii="Verdana" w:hAnsi="Verdana" w:cs="Arial"/>
          <w:sz w:val="18"/>
          <w:szCs w:val="18"/>
          <w:lang w:val="el-GR"/>
        </w:rPr>
        <w:t xml:space="preserve"> </w:t>
      </w:r>
      <w:r w:rsidR="003F3277">
        <w:rPr>
          <w:rFonts w:ascii="Verdana" w:hAnsi="Verdana" w:cs="Arial"/>
          <w:sz w:val="18"/>
          <w:szCs w:val="18"/>
          <w:lang w:val="el-GR"/>
        </w:rPr>
        <w:t>Ιανουαρίου</w:t>
      </w:r>
      <w:r w:rsidR="00857C0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3F3277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σε σύγκριση με το δείκτη του </w:t>
      </w:r>
      <w:r w:rsidR="003F3277">
        <w:rPr>
          <w:rFonts w:ascii="Verdana" w:eastAsia="Malgun Gothic" w:hAnsi="Verdana" w:cs="Arial"/>
          <w:sz w:val="18"/>
          <w:szCs w:val="18"/>
          <w:lang w:val="el-GR"/>
        </w:rPr>
        <w:t>Ιανουαρίου</w:t>
      </w:r>
      <w:r w:rsidR="00857C0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3F3277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είχ</w:t>
      </w:r>
      <w:r w:rsidR="00C42DB4" w:rsidRPr="001559CE">
        <w:rPr>
          <w:rFonts w:ascii="Verdana" w:eastAsia="Malgun Gothic" w:hAnsi="Verdana" w:cs="Arial"/>
          <w:sz w:val="18"/>
          <w:szCs w:val="18"/>
          <w:lang w:val="el-GR"/>
        </w:rPr>
        <w:t>αν οι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Υπηρεσίες </w:t>
      </w:r>
      <w:r w:rsidR="003F3277">
        <w:rPr>
          <w:rFonts w:ascii="Verdana" w:eastAsia="Malgun Gothic" w:hAnsi="Verdana" w:cs="Arial"/>
          <w:i/>
          <w:iCs/>
          <w:sz w:val="18"/>
          <w:szCs w:val="18"/>
          <w:lang w:val="el-GR"/>
        </w:rPr>
        <w:t>Εστίασης</w:t>
      </w:r>
      <w:r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(0,</w:t>
      </w:r>
      <w:r w:rsidR="003F3277">
        <w:rPr>
          <w:rFonts w:ascii="Verdana" w:eastAsia="Malgun Gothic" w:hAnsi="Verdana" w:cs="Arial"/>
          <w:sz w:val="18"/>
          <w:szCs w:val="18"/>
          <w:lang w:val="el-GR"/>
        </w:rPr>
        <w:t>49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), ενώ τη μεγαλύτερη αρνητική επίδραση είχ</w:t>
      </w:r>
      <w:r w:rsidR="002C5E02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905A8C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F35E9">
        <w:rPr>
          <w:rFonts w:ascii="Verdana" w:eastAsia="Malgun Gothic" w:hAnsi="Verdana" w:cs="Arial"/>
          <w:sz w:val="18"/>
          <w:szCs w:val="18"/>
          <w:lang w:val="el-GR"/>
        </w:rPr>
        <w:t>τα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3F3277">
        <w:rPr>
          <w:rFonts w:ascii="Verdana" w:eastAsia="Malgun Gothic" w:hAnsi="Verdana" w:cs="Arial"/>
          <w:i/>
          <w:iCs/>
          <w:sz w:val="18"/>
          <w:szCs w:val="18"/>
          <w:lang w:val="el-GR"/>
        </w:rPr>
        <w:t>Πετρελαιοειδή</w:t>
      </w:r>
      <w:r w:rsidR="00040AAE" w:rsidRPr="00040AA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(-</w:t>
      </w:r>
      <w:r w:rsidR="00967E1D" w:rsidRPr="001559CE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3F3277">
        <w:rPr>
          <w:rFonts w:ascii="Verdana" w:eastAsia="Malgun Gothic" w:hAnsi="Verdana" w:cs="Arial"/>
          <w:sz w:val="18"/>
          <w:szCs w:val="18"/>
          <w:lang w:val="el-GR"/>
        </w:rPr>
        <w:t>45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(Πίνακας 4)</w:t>
      </w:r>
    </w:p>
    <w:p w14:paraId="0EAE47CB" w14:textId="7079C435" w:rsidR="00765BDC" w:rsidRPr="00290AEC" w:rsidRDefault="00765BDC" w:rsidP="00765BD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4472C4" w:themeColor="accent1"/>
          <w:sz w:val="18"/>
          <w:szCs w:val="18"/>
          <w:lang w:val="el-GR"/>
        </w:rPr>
      </w:pPr>
    </w:p>
    <w:p w14:paraId="5DCF6FD4" w14:textId="5E48EDBB" w:rsidR="009744B9" w:rsidRDefault="00A717D9" w:rsidP="001D4424">
      <w:pPr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Τα</w:t>
      </w:r>
      <w:r w:rsidR="00C42DB4" w:rsidRPr="00D44C0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i/>
          <w:iCs/>
          <w:sz w:val="18"/>
          <w:szCs w:val="18"/>
          <w:lang w:val="el-GR"/>
        </w:rPr>
        <w:t>Φρέσκα Λαχανικά</w:t>
      </w:r>
      <w:r w:rsidR="00C42DB4" w:rsidRPr="00D44C0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>(0,</w:t>
      </w:r>
      <w:r w:rsidR="003F3277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BE22C2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>) είχ</w:t>
      </w:r>
      <w:r w:rsidR="00C42DB4" w:rsidRPr="00D44C0E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 xml:space="preserve"> τη μεγαλύτερη θετική επίδραση στη μεταβολή του ΔΤΚ του </w:t>
      </w:r>
      <w:r w:rsidR="003F3277">
        <w:rPr>
          <w:rFonts w:ascii="Verdana" w:eastAsia="Malgun Gothic" w:hAnsi="Verdana" w:cs="Arial"/>
          <w:sz w:val="18"/>
          <w:szCs w:val="18"/>
          <w:lang w:val="el-GR"/>
        </w:rPr>
        <w:t>Ιανουαρίου</w:t>
      </w:r>
      <w:r w:rsidR="002B070B" w:rsidRPr="00D44C0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D44C0E">
        <w:rPr>
          <w:rFonts w:ascii="Verdana" w:hAnsi="Verdana" w:cs="Arial"/>
          <w:sz w:val="18"/>
          <w:szCs w:val="18"/>
          <w:lang w:val="el-GR"/>
        </w:rPr>
        <w:t>202</w:t>
      </w:r>
      <w:r w:rsidR="003F3277">
        <w:rPr>
          <w:rFonts w:ascii="Verdana" w:hAnsi="Verdana" w:cs="Arial"/>
          <w:sz w:val="18"/>
          <w:szCs w:val="18"/>
          <w:lang w:val="el-GR"/>
        </w:rPr>
        <w:t>6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με τον αντίστοιχο δείκτη του </w:t>
      </w:r>
      <w:r w:rsidR="003F3277">
        <w:rPr>
          <w:rFonts w:ascii="Verdana" w:eastAsia="Malgun Gothic" w:hAnsi="Verdana" w:cs="Arial"/>
          <w:sz w:val="18"/>
          <w:szCs w:val="18"/>
          <w:lang w:val="el-GR"/>
        </w:rPr>
        <w:t>Δεκεμβρίου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 xml:space="preserve"> 2025, ενώ τη μεγαλύτερη αρνητική επίδραση είχ</w:t>
      </w:r>
      <w:r w:rsidR="002B070B" w:rsidRPr="00D44C0E">
        <w:rPr>
          <w:rFonts w:ascii="Verdana" w:eastAsia="Malgun Gothic" w:hAnsi="Verdana" w:cs="Arial"/>
          <w:sz w:val="18"/>
          <w:szCs w:val="18"/>
          <w:lang w:val="el-GR"/>
        </w:rPr>
        <w:t>αν τα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3F3277">
        <w:rPr>
          <w:rFonts w:ascii="Verdana" w:eastAsia="Malgun Gothic" w:hAnsi="Verdana" w:cs="Arial"/>
          <w:i/>
          <w:iCs/>
          <w:sz w:val="18"/>
          <w:szCs w:val="18"/>
          <w:lang w:val="el-GR"/>
        </w:rPr>
        <w:t>Είδη Ένδυσης</w:t>
      </w:r>
      <w:r w:rsidR="002B070B" w:rsidRPr="00D44C0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>(-0,</w:t>
      </w:r>
      <w:r w:rsidR="003F3277">
        <w:rPr>
          <w:rFonts w:ascii="Verdana" w:eastAsia="Malgun Gothic" w:hAnsi="Verdana" w:cs="Arial"/>
          <w:sz w:val="18"/>
          <w:szCs w:val="18"/>
          <w:lang w:val="el-GR"/>
        </w:rPr>
        <w:t>58)</w:t>
      </w:r>
      <w:r w:rsidR="00EB0179" w:rsidRPr="00824817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765BDC" w:rsidRPr="00D44C0E">
        <w:rPr>
          <w:rFonts w:ascii="Verdana" w:eastAsia="Malgun Gothic" w:hAnsi="Verdana" w:cs="Arial"/>
          <w:sz w:val="18"/>
          <w:szCs w:val="18"/>
          <w:lang w:val="el-GR"/>
        </w:rPr>
        <w:t xml:space="preserve"> (Πίνακας 5)</w:t>
      </w:r>
    </w:p>
    <w:p w14:paraId="3ABAFC05" w14:textId="77777777" w:rsidR="00742971" w:rsidRPr="00742971" w:rsidRDefault="00742971" w:rsidP="001D4424">
      <w:pPr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W w:w="4583" w:type="pct"/>
        <w:jc w:val="center"/>
        <w:tblLayout w:type="fixed"/>
        <w:tblLook w:val="04A0" w:firstRow="1" w:lastRow="0" w:firstColumn="1" w:lastColumn="0" w:noHBand="0" w:noVBand="1"/>
      </w:tblPr>
      <w:tblGrid>
        <w:gridCol w:w="2975"/>
        <w:gridCol w:w="1559"/>
        <w:gridCol w:w="1418"/>
        <w:gridCol w:w="281"/>
        <w:gridCol w:w="1279"/>
        <w:gridCol w:w="1276"/>
      </w:tblGrid>
      <w:tr w:rsidR="00742971" w:rsidRPr="00742971" w14:paraId="1D00F069" w14:textId="27C1EA9C" w:rsidTr="00742971">
        <w:trPr>
          <w:trHeight w:val="270"/>
          <w:jc w:val="center"/>
        </w:trPr>
        <w:tc>
          <w:tcPr>
            <w:tcW w:w="2975" w:type="dxa"/>
            <w:tcBorders>
              <w:left w:val="nil"/>
              <w:bottom w:val="single" w:sz="4" w:space="0" w:color="366092"/>
            </w:tcBorders>
            <w:shd w:val="clear" w:color="FFFFFF" w:fill="FFFFFF"/>
            <w:vAlign w:val="center"/>
          </w:tcPr>
          <w:p w14:paraId="15B9A7FB" w14:textId="77777777" w:rsidR="001D4424" w:rsidRPr="00742971" w:rsidRDefault="001D4424" w:rsidP="00FC5595">
            <w:pPr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Πίνακας 1</w:t>
            </w:r>
          </w:p>
        </w:tc>
        <w:tc>
          <w:tcPr>
            <w:tcW w:w="2977" w:type="dxa"/>
            <w:gridSpan w:val="2"/>
            <w:tcBorders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0E6E143D" w14:textId="77777777" w:rsidR="001D4424" w:rsidRPr="00742971" w:rsidRDefault="001D4424" w:rsidP="00FC5595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81" w:type="dxa"/>
            <w:tcBorders>
              <w:bottom w:val="single" w:sz="4" w:space="0" w:color="366092"/>
            </w:tcBorders>
            <w:tcMar>
              <w:left w:w="0" w:type="dxa"/>
              <w:right w:w="0" w:type="dxa"/>
            </w:tcMar>
          </w:tcPr>
          <w:p w14:paraId="300B29A6" w14:textId="77777777" w:rsidR="001D4424" w:rsidRPr="00742971" w:rsidRDefault="001D4424" w:rsidP="00FC5595">
            <w:pPr>
              <w:ind w:right="-75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555" w:type="dxa"/>
            <w:gridSpan w:val="2"/>
            <w:tcBorders>
              <w:bottom w:val="single" w:sz="4" w:space="0" w:color="366092"/>
            </w:tcBorders>
          </w:tcPr>
          <w:p w14:paraId="072D56CC" w14:textId="77777777" w:rsidR="001D4424" w:rsidRPr="00742971" w:rsidRDefault="001D4424" w:rsidP="00FC5595">
            <w:pPr>
              <w:ind w:right="-75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742971" w:rsidRPr="00742971" w14:paraId="79540F65" w14:textId="49BDFAC0" w:rsidTr="00742971">
        <w:trPr>
          <w:trHeight w:val="270"/>
          <w:jc w:val="center"/>
        </w:trPr>
        <w:tc>
          <w:tcPr>
            <w:tcW w:w="2975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813B3B3" w14:textId="77777777" w:rsidR="001D4424" w:rsidRPr="00742971" w:rsidRDefault="001D4424" w:rsidP="00FC5595">
            <w:pPr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Κατηγορίες Αγαθών και Υπηρεσιών</w:t>
            </w:r>
          </w:p>
        </w:tc>
        <w:tc>
          <w:tcPr>
            <w:tcW w:w="2977" w:type="dxa"/>
            <w:gridSpan w:val="2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36E1C5C6" w14:textId="77777777" w:rsidR="001D4424" w:rsidRPr="00742971" w:rsidRDefault="001D4424" w:rsidP="00FC559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ΔΤΚ (2015=100)</w:t>
            </w:r>
          </w:p>
        </w:tc>
        <w:tc>
          <w:tcPr>
            <w:tcW w:w="281" w:type="dxa"/>
            <w:tcBorders>
              <w:top w:val="single" w:sz="4" w:space="0" w:color="366092"/>
            </w:tcBorders>
            <w:tcMar>
              <w:left w:w="0" w:type="dxa"/>
              <w:right w:w="0" w:type="dxa"/>
            </w:tcMar>
            <w:vAlign w:val="center"/>
          </w:tcPr>
          <w:p w14:paraId="0E6D1E6A" w14:textId="77777777" w:rsidR="001D4424" w:rsidRPr="00742971" w:rsidRDefault="001D4424" w:rsidP="00FC5595">
            <w:pPr>
              <w:ind w:right="-75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B7FCEAA" w14:textId="6D0F9E81" w:rsidR="001D4424" w:rsidRPr="00742971" w:rsidRDefault="001D4424" w:rsidP="00FC5595">
            <w:pPr>
              <w:ind w:right="-75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Μεταβολές (%)</w:t>
            </w:r>
          </w:p>
        </w:tc>
      </w:tr>
      <w:tr w:rsidR="00742971" w:rsidRPr="00742971" w14:paraId="4BD227C0" w14:textId="56E7A4E3" w:rsidTr="00742971">
        <w:trPr>
          <w:trHeight w:val="602"/>
          <w:jc w:val="center"/>
        </w:trPr>
        <w:tc>
          <w:tcPr>
            <w:tcW w:w="2975" w:type="dxa"/>
            <w:vMerge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  <w:hideMark/>
          </w:tcPr>
          <w:p w14:paraId="28DF8A22" w14:textId="77777777" w:rsidR="001D4424" w:rsidRPr="00742971" w:rsidRDefault="001D4424" w:rsidP="00872778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02E10D92" w14:textId="2BC30F74" w:rsidR="001D4424" w:rsidRPr="00742971" w:rsidRDefault="001D4424" w:rsidP="00527EAE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Δεκέμβριος</w:t>
            </w:r>
          </w:p>
          <w:p w14:paraId="2CBD1D95" w14:textId="0ED25C94" w:rsidR="001D4424" w:rsidRPr="00742971" w:rsidRDefault="001D4424" w:rsidP="00527EAE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0439D0F3" w14:textId="7FCE10FD" w:rsidR="001D4424" w:rsidRPr="00742971" w:rsidRDefault="001D4424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Ιανουάριος</w:t>
            </w:r>
          </w:p>
          <w:p w14:paraId="11415D22" w14:textId="7C279E88" w:rsidR="001D4424" w:rsidRPr="00742971" w:rsidRDefault="001D4424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2026</w:t>
            </w:r>
          </w:p>
        </w:tc>
        <w:tc>
          <w:tcPr>
            <w:tcW w:w="281" w:type="dxa"/>
            <w:tcBorders>
              <w:bottom w:val="single" w:sz="4" w:space="0" w:color="366092"/>
            </w:tcBorders>
            <w:shd w:val="clear" w:color="FFFFFF" w:fill="FFFFFF"/>
            <w:tcMar>
              <w:left w:w="0" w:type="dxa"/>
              <w:right w:w="0" w:type="dxa"/>
            </w:tcMar>
          </w:tcPr>
          <w:p w14:paraId="139E8C70" w14:textId="77777777" w:rsidR="001D4424" w:rsidRPr="00742971" w:rsidRDefault="001D4424" w:rsidP="00872778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79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47E692C" w14:textId="69FCD598" w:rsidR="001D4424" w:rsidRPr="00742971" w:rsidRDefault="001D4424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 26/  Ιαν 25</w:t>
            </w:r>
          </w:p>
        </w:tc>
        <w:tc>
          <w:tcPr>
            <w:tcW w:w="1276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0959793" w14:textId="423C652A" w:rsidR="001D4424" w:rsidRPr="00742971" w:rsidRDefault="001D4424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 26/ Δεκ 2</w:t>
            </w: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</w:tr>
      <w:tr w:rsidR="00742971" w:rsidRPr="00742971" w14:paraId="43FBF73D" w14:textId="0B37F553" w:rsidTr="00742971">
        <w:trPr>
          <w:trHeight w:val="510"/>
          <w:jc w:val="center"/>
        </w:trPr>
        <w:tc>
          <w:tcPr>
            <w:tcW w:w="2975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584BBFCC" w14:textId="77777777" w:rsidR="001D4424" w:rsidRPr="00742971" w:rsidRDefault="001D4424" w:rsidP="00E3273C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 και μη Αλκοολούχα Ποτά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6D09E726" w14:textId="4104AE39" w:rsidR="001D4424" w:rsidRPr="00742971" w:rsidRDefault="001D4424" w:rsidP="00811251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99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59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FF5882E" w14:textId="28B96752" w:rsidR="001D4424" w:rsidRPr="00742971" w:rsidRDefault="001D4424" w:rsidP="00811251">
            <w:pPr>
              <w:tabs>
                <w:tab w:val="left" w:pos="171"/>
                <w:tab w:val="left" w:pos="879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103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11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760B6C" w14:textId="77777777" w:rsidR="001D4424" w:rsidRPr="00742971" w:rsidRDefault="001D4424" w:rsidP="00811251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0A12FB6" w14:textId="4D41A779" w:rsidR="001D4424" w:rsidRPr="00742971" w:rsidRDefault="001D4424" w:rsidP="00811251">
            <w:pPr>
              <w:tabs>
                <w:tab w:val="left" w:pos="601"/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3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2B02E2A" w14:textId="2968FF9D" w:rsidR="001D4424" w:rsidRPr="00742971" w:rsidRDefault="001D4424" w:rsidP="00811251">
            <w:pPr>
              <w:tabs>
                <w:tab w:val="left" w:pos="880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3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53</w:t>
            </w:r>
          </w:p>
        </w:tc>
      </w:tr>
      <w:tr w:rsidR="00742971" w:rsidRPr="00742971" w14:paraId="40FB4937" w14:textId="16B0D887" w:rsidTr="00742971">
        <w:trPr>
          <w:trHeight w:val="510"/>
          <w:jc w:val="center"/>
        </w:trPr>
        <w:tc>
          <w:tcPr>
            <w:tcW w:w="2975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3448AC6A" w14:textId="77777777" w:rsidR="001D4424" w:rsidRPr="00742971" w:rsidRDefault="001D4424" w:rsidP="00E3273C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Αλκοολούχα Π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οτά και 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απνός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630B1C66" w14:textId="70944D88" w:rsidR="001D4424" w:rsidRPr="00742971" w:rsidRDefault="001D4424" w:rsidP="00811251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C4D503E" w14:textId="61CACB85" w:rsidR="001D4424" w:rsidRPr="00742971" w:rsidRDefault="001D4424" w:rsidP="00811251">
            <w:pPr>
              <w:tabs>
                <w:tab w:val="left" w:pos="171"/>
                <w:tab w:val="left" w:pos="879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42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D0C3688" w14:textId="77777777" w:rsidR="001D4424" w:rsidRPr="00742971" w:rsidRDefault="001D4424" w:rsidP="00811251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89501B5" w14:textId="48A2707D" w:rsidR="001D4424" w:rsidRPr="00742971" w:rsidRDefault="001D4424" w:rsidP="00811251">
            <w:pPr>
              <w:tabs>
                <w:tab w:val="left" w:pos="601"/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75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76F51CC" w14:textId="24B4CCEE" w:rsidR="001D4424" w:rsidRPr="00742971" w:rsidRDefault="001D4424" w:rsidP="00811251">
            <w:pPr>
              <w:tabs>
                <w:tab w:val="left" w:pos="880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14</w:t>
            </w:r>
          </w:p>
        </w:tc>
      </w:tr>
      <w:tr w:rsidR="00742971" w:rsidRPr="00742971" w14:paraId="30CC1D12" w14:textId="63213DF3" w:rsidTr="00742971">
        <w:trPr>
          <w:trHeight w:val="374"/>
          <w:jc w:val="center"/>
        </w:trPr>
        <w:tc>
          <w:tcPr>
            <w:tcW w:w="2975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03349F99" w14:textId="77777777" w:rsidR="001D4424" w:rsidRPr="00742971" w:rsidRDefault="001D4424" w:rsidP="00E3273C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Ένδυση και 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πόδηση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14DB512E" w14:textId="3BCF08A1" w:rsidR="001D4424" w:rsidRPr="00742971" w:rsidRDefault="001D4424" w:rsidP="00811251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101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99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CC605B7" w14:textId="3C8691C3" w:rsidR="001D4424" w:rsidRPr="00742971" w:rsidRDefault="001D4424" w:rsidP="00811251">
            <w:pPr>
              <w:tabs>
                <w:tab w:val="left" w:pos="171"/>
                <w:tab w:val="left" w:pos="879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89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63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D60A36" w14:textId="77777777" w:rsidR="001D4424" w:rsidRPr="00742971" w:rsidRDefault="001D4424" w:rsidP="00811251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5526D19" w14:textId="111907E7" w:rsidR="001D4424" w:rsidRPr="00742971" w:rsidRDefault="001D4424" w:rsidP="00811251">
            <w:pPr>
              <w:tabs>
                <w:tab w:val="left" w:pos="601"/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-7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C629C2" w:rsidRPr="00742971">
              <w:rPr>
                <w:rFonts w:ascii="Verdana" w:hAnsi="Verdana"/>
                <w:color w:val="366092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6300365" w14:textId="3FF85DE3" w:rsidR="001D4424" w:rsidRPr="00742971" w:rsidRDefault="001D4424" w:rsidP="00811251">
            <w:pPr>
              <w:tabs>
                <w:tab w:val="left" w:pos="880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-12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12</w:t>
            </w:r>
          </w:p>
        </w:tc>
      </w:tr>
      <w:tr w:rsidR="00742971" w:rsidRPr="00742971" w14:paraId="64A249B5" w14:textId="3207FD58" w:rsidTr="00742971">
        <w:trPr>
          <w:trHeight w:val="794"/>
          <w:jc w:val="center"/>
        </w:trPr>
        <w:tc>
          <w:tcPr>
            <w:tcW w:w="2975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2184074B" w14:textId="2C66820E" w:rsidR="001D4424" w:rsidRPr="00742971" w:rsidRDefault="001D4424" w:rsidP="00E3273C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bookmarkStart w:id="0" w:name="_Hlk194442311"/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Στέγαση, Ύδρευση, Ηλεκτρι</w:t>
            </w:r>
            <w:r w:rsidR="00214E83"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κό Ρεύμα, Φυσικό Αέριο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  <w:r w:rsidR="00214E83"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και </w:t>
            </w:r>
            <w:r w:rsidR="000268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Ά</w:t>
            </w:r>
            <w:r w:rsidR="00214E83"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λλα </w:t>
            </w:r>
            <w:r w:rsidR="00C629C2"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</w:t>
            </w:r>
            <w:r w:rsidR="00214E83"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αύσιμα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61189439" w14:textId="6BF37387" w:rsidR="001D4424" w:rsidRPr="00742971" w:rsidRDefault="001D4424" w:rsidP="00811251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99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96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6FB2F98" w14:textId="2EF72838" w:rsidR="001D4424" w:rsidRPr="00742971" w:rsidRDefault="001D4424" w:rsidP="00811251">
            <w:pPr>
              <w:tabs>
                <w:tab w:val="left" w:pos="171"/>
                <w:tab w:val="left" w:pos="879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66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D5D885F" w14:textId="77777777" w:rsidR="001D4424" w:rsidRPr="00742971" w:rsidRDefault="001D4424" w:rsidP="00811251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845A085" w14:textId="49175070" w:rsidR="001D4424" w:rsidRPr="00742971" w:rsidRDefault="001D4424" w:rsidP="00811251">
            <w:pPr>
              <w:tabs>
                <w:tab w:val="left" w:pos="601"/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65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22BD978" w14:textId="22AB0999" w:rsidR="001D4424" w:rsidRPr="00742971" w:rsidRDefault="001D4424" w:rsidP="00811251">
            <w:pPr>
              <w:tabs>
                <w:tab w:val="left" w:pos="880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70</w:t>
            </w:r>
          </w:p>
        </w:tc>
      </w:tr>
      <w:bookmarkEnd w:id="0"/>
      <w:tr w:rsidR="00742971" w:rsidRPr="00742971" w14:paraId="3A7635E9" w14:textId="3DB5F288" w:rsidTr="00742971">
        <w:trPr>
          <w:trHeight w:val="765"/>
          <w:jc w:val="center"/>
        </w:trPr>
        <w:tc>
          <w:tcPr>
            <w:tcW w:w="2975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40F29CA4" w14:textId="2668B1D7" w:rsidR="001D4424" w:rsidRPr="00742971" w:rsidRDefault="001D4424" w:rsidP="00E3273C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Επίπλωση</w:t>
            </w:r>
            <w:r w:rsidR="00214E83"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και </w:t>
            </w:r>
            <w:r w:rsidR="00C629C2"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="00214E83"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ιακόσμηση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, Οικιακός Εξοπλισμός και </w:t>
            </w:r>
            <w:r w:rsidR="000268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Σ</w:t>
            </w:r>
            <w:r w:rsidR="00214E83"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υνήθης 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Συντήρηση Κατοικιών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36700B08" w14:textId="22E9E28E" w:rsidR="001D4424" w:rsidRPr="00742971" w:rsidRDefault="001D4424" w:rsidP="00811251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3640861" w14:textId="382DF591" w:rsidR="001D4424" w:rsidRPr="00742971" w:rsidRDefault="001D4424" w:rsidP="00811251">
            <w:pPr>
              <w:tabs>
                <w:tab w:val="left" w:pos="171"/>
                <w:tab w:val="left" w:pos="879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99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83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A215E1" w14:textId="77777777" w:rsidR="001D4424" w:rsidRPr="00742971" w:rsidRDefault="001D4424" w:rsidP="00811251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82E2BC1" w14:textId="2A862DFF" w:rsidR="001D4424" w:rsidRPr="00742971" w:rsidRDefault="001D4424" w:rsidP="00811251">
            <w:pPr>
              <w:tabs>
                <w:tab w:val="left" w:pos="601"/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="00C629C2" w:rsidRPr="00742971">
              <w:rPr>
                <w:rFonts w:ascii="Verdana" w:hAnsi="Verdana"/>
                <w:color w:val="366092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E519535" w14:textId="43780EFA" w:rsidR="001D4424" w:rsidRPr="00742971" w:rsidRDefault="001D4424" w:rsidP="00811251">
            <w:pPr>
              <w:tabs>
                <w:tab w:val="left" w:pos="880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29</w:t>
            </w:r>
          </w:p>
        </w:tc>
      </w:tr>
      <w:tr w:rsidR="00742971" w:rsidRPr="00742971" w14:paraId="3359A3C0" w14:textId="3BD42386" w:rsidTr="00742971">
        <w:trPr>
          <w:trHeight w:val="375"/>
          <w:jc w:val="center"/>
        </w:trPr>
        <w:tc>
          <w:tcPr>
            <w:tcW w:w="2975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3FF00D6" w14:textId="77777777" w:rsidR="001D4424" w:rsidRPr="00742971" w:rsidRDefault="001D4424" w:rsidP="00E3273C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Υγεία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8CFFFBD" w14:textId="0330C433" w:rsidR="001D4424" w:rsidRPr="00742971" w:rsidRDefault="001D4424" w:rsidP="00811251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E92C202" w14:textId="32682C18" w:rsidR="001D4424" w:rsidRPr="00742971" w:rsidRDefault="001D4424" w:rsidP="00811251">
            <w:pPr>
              <w:tabs>
                <w:tab w:val="left" w:pos="171"/>
                <w:tab w:val="left" w:pos="879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38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F29CA74" w14:textId="77777777" w:rsidR="001D4424" w:rsidRPr="00742971" w:rsidRDefault="001D4424" w:rsidP="00811251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1488434" w14:textId="2ED2B8B2" w:rsidR="001D4424" w:rsidRPr="00742971" w:rsidRDefault="001D4424" w:rsidP="00811251">
            <w:pPr>
              <w:tabs>
                <w:tab w:val="left" w:pos="601"/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79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604A457" w14:textId="729EF88F" w:rsidR="001D4424" w:rsidRPr="00742971" w:rsidRDefault="001D4424" w:rsidP="00811251">
            <w:pPr>
              <w:tabs>
                <w:tab w:val="left" w:pos="880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24</w:t>
            </w:r>
          </w:p>
        </w:tc>
      </w:tr>
      <w:tr w:rsidR="00742971" w:rsidRPr="00742971" w14:paraId="299E5490" w14:textId="0BE906FA" w:rsidTr="00742971">
        <w:trPr>
          <w:trHeight w:val="374"/>
          <w:jc w:val="center"/>
        </w:trPr>
        <w:tc>
          <w:tcPr>
            <w:tcW w:w="2975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0EBDEAF" w14:textId="77777777" w:rsidR="001D4424" w:rsidRPr="00742971" w:rsidRDefault="001D4424" w:rsidP="00E3273C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Μεταφορές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3CAA28F" w14:textId="76B1B942" w:rsidR="001D4424" w:rsidRPr="00742971" w:rsidRDefault="001D4424" w:rsidP="00811251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99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FCB30A0" w14:textId="4755E048" w:rsidR="001D4424" w:rsidRPr="00742971" w:rsidRDefault="001D4424" w:rsidP="00811251">
            <w:pPr>
              <w:tabs>
                <w:tab w:val="left" w:pos="171"/>
                <w:tab w:val="left" w:pos="879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97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72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153A73" w14:textId="77777777" w:rsidR="001D4424" w:rsidRPr="00742971" w:rsidRDefault="001D4424" w:rsidP="00811251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6701CD3" w14:textId="7DD0BEEB" w:rsidR="001D4424" w:rsidRPr="00742971" w:rsidRDefault="001D4424" w:rsidP="00811251">
            <w:pPr>
              <w:tabs>
                <w:tab w:val="left" w:pos="601"/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-2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45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60EBCB1" w14:textId="49107830" w:rsidR="001D4424" w:rsidRPr="00742971" w:rsidRDefault="001D4424" w:rsidP="00811251">
            <w:pPr>
              <w:tabs>
                <w:tab w:val="left" w:pos="880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-1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33</w:t>
            </w:r>
          </w:p>
        </w:tc>
      </w:tr>
      <w:tr w:rsidR="00742971" w:rsidRPr="00742971" w14:paraId="79C16F2A" w14:textId="4D611CBA" w:rsidTr="00742971">
        <w:trPr>
          <w:trHeight w:val="375"/>
          <w:jc w:val="center"/>
        </w:trPr>
        <w:tc>
          <w:tcPr>
            <w:tcW w:w="2975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3A1EF36D" w14:textId="77D18E1E" w:rsidR="001D4424" w:rsidRPr="00742971" w:rsidRDefault="001D4424" w:rsidP="00E3273C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Ενημέρωση και 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Επικοινωνί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506D71A4" w14:textId="7B95B4CB" w:rsidR="001D4424" w:rsidRPr="00742971" w:rsidRDefault="001D4424" w:rsidP="00811251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99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27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1AD80A4" w14:textId="482D3918" w:rsidR="001D4424" w:rsidRPr="00742971" w:rsidRDefault="001D4424" w:rsidP="00811251">
            <w:pPr>
              <w:tabs>
                <w:tab w:val="left" w:pos="171"/>
                <w:tab w:val="left" w:pos="879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97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61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2CC1CF" w14:textId="77777777" w:rsidR="001D4424" w:rsidRPr="00742971" w:rsidRDefault="001D4424" w:rsidP="00811251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813FECF" w14:textId="75AA159C" w:rsidR="001D4424" w:rsidRPr="00742971" w:rsidRDefault="001D4424" w:rsidP="00811251">
            <w:pPr>
              <w:tabs>
                <w:tab w:val="left" w:pos="601"/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-1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97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2233885" w14:textId="7D601828" w:rsidR="001D4424" w:rsidRPr="00742971" w:rsidRDefault="001D4424" w:rsidP="00811251">
            <w:pPr>
              <w:tabs>
                <w:tab w:val="left" w:pos="880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-1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67</w:t>
            </w:r>
          </w:p>
        </w:tc>
      </w:tr>
      <w:tr w:rsidR="00742971" w:rsidRPr="00742971" w14:paraId="5C3CEC2A" w14:textId="5CA76F0A" w:rsidTr="00742971">
        <w:trPr>
          <w:trHeight w:val="374"/>
          <w:jc w:val="center"/>
        </w:trPr>
        <w:tc>
          <w:tcPr>
            <w:tcW w:w="2975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0CD2A369" w14:textId="770C672A" w:rsidR="001D4424" w:rsidRPr="00742971" w:rsidRDefault="001D4424" w:rsidP="00E3273C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Αναψυχή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 Αθλητισμός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Π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ολιτισμός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07D39E15" w14:textId="09AF617F" w:rsidR="001D4424" w:rsidRPr="00742971" w:rsidRDefault="001D4424" w:rsidP="00811251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101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72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C64422D" w14:textId="2204F675" w:rsidR="001D4424" w:rsidRPr="00742971" w:rsidRDefault="001D4424" w:rsidP="00811251">
            <w:pPr>
              <w:tabs>
                <w:tab w:val="left" w:pos="171"/>
                <w:tab w:val="left" w:pos="879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101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43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D4B9B2E" w14:textId="77777777" w:rsidR="001D4424" w:rsidRPr="00742971" w:rsidRDefault="001D4424" w:rsidP="00811251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88CFD98" w14:textId="789F467B" w:rsidR="001D4424" w:rsidRPr="00742971" w:rsidRDefault="001D4424" w:rsidP="00811251">
            <w:pPr>
              <w:tabs>
                <w:tab w:val="left" w:pos="601"/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3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1</w:t>
            </w:r>
            <w:r w:rsidR="00C629C2" w:rsidRPr="00742971">
              <w:rPr>
                <w:rFonts w:ascii="Verdana" w:hAnsi="Verdana"/>
                <w:color w:val="366092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3E96771" w14:textId="6841785C" w:rsidR="001D4424" w:rsidRPr="00742971" w:rsidRDefault="001D4424" w:rsidP="00811251">
            <w:pPr>
              <w:tabs>
                <w:tab w:val="left" w:pos="880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29</w:t>
            </w:r>
          </w:p>
        </w:tc>
      </w:tr>
      <w:tr w:rsidR="00742971" w:rsidRPr="00742971" w14:paraId="23CBF3D1" w14:textId="3D47F764" w:rsidTr="00742971">
        <w:trPr>
          <w:trHeight w:val="374"/>
          <w:jc w:val="center"/>
        </w:trPr>
        <w:tc>
          <w:tcPr>
            <w:tcW w:w="2975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83CE84B" w14:textId="7BA8CC18" w:rsidR="001D4424" w:rsidRPr="00742971" w:rsidRDefault="001D4424" w:rsidP="00E3273C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Εκπα</w:t>
            </w:r>
            <w:r w:rsidR="00214E83"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ιδ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ευ</w:t>
            </w:r>
            <w:r w:rsidR="00214E83"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τικές Υπηρεσίες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3A84157" w14:textId="2185048C" w:rsidR="001D4424" w:rsidRPr="00742971" w:rsidRDefault="001D4424" w:rsidP="00811251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102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41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8DF7402" w14:textId="7B1A660B" w:rsidR="001D4424" w:rsidRPr="00742971" w:rsidRDefault="001D4424" w:rsidP="00811251">
            <w:pPr>
              <w:tabs>
                <w:tab w:val="left" w:pos="171"/>
                <w:tab w:val="left" w:pos="879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102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58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F723C8E" w14:textId="77777777" w:rsidR="001D4424" w:rsidRPr="00742971" w:rsidRDefault="001D4424" w:rsidP="00811251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C89E687" w14:textId="5B52176D" w:rsidR="001D4424" w:rsidRPr="00742971" w:rsidRDefault="001D4424" w:rsidP="00811251">
            <w:pPr>
              <w:tabs>
                <w:tab w:val="left" w:pos="601"/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3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71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15DCC2B" w14:textId="45C3E6F3" w:rsidR="001D4424" w:rsidRPr="00742971" w:rsidRDefault="001D4424" w:rsidP="00811251">
            <w:pPr>
              <w:tabs>
                <w:tab w:val="left" w:pos="880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17</w:t>
            </w:r>
          </w:p>
        </w:tc>
      </w:tr>
      <w:tr w:rsidR="00742971" w:rsidRPr="00742971" w14:paraId="00E44953" w14:textId="1A8E55CD" w:rsidTr="00742971">
        <w:trPr>
          <w:trHeight w:val="510"/>
          <w:jc w:val="center"/>
        </w:trPr>
        <w:tc>
          <w:tcPr>
            <w:tcW w:w="2975" w:type="dxa"/>
            <w:tcBorders>
              <w:top w:val="nil"/>
              <w:left w:val="nil"/>
            </w:tcBorders>
            <w:shd w:val="clear" w:color="FFFFFF" w:fill="FFFFFF"/>
            <w:noWrap/>
            <w:vAlign w:val="center"/>
            <w:hideMark/>
          </w:tcPr>
          <w:p w14:paraId="62556D85" w14:textId="52A0A4C7" w:rsidR="001D4424" w:rsidRPr="00742971" w:rsidRDefault="001D4424" w:rsidP="00E3273C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Εστιατόρια και</w:t>
            </w:r>
            <w:r w:rsidR="00214E83"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  <w:r w:rsidR="00710F54"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Υπηρεσίες</w:t>
            </w:r>
            <w:r w:rsidR="00214E83"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  <w:r w:rsidR="000268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</w:t>
            </w:r>
            <w:r w:rsidR="00214E83"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αροχής Καταλύματος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025763EF" w14:textId="4B84B367" w:rsidR="001D4424" w:rsidRPr="00742971" w:rsidRDefault="001D4424" w:rsidP="00811251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101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66</w:t>
            </w:r>
          </w:p>
        </w:tc>
        <w:tc>
          <w:tcPr>
            <w:tcW w:w="1418" w:type="dxa"/>
            <w:tcBorders>
              <w:top w:val="nil"/>
            </w:tcBorders>
            <w:shd w:val="clear" w:color="000000" w:fill="FFFFFF"/>
            <w:vAlign w:val="center"/>
          </w:tcPr>
          <w:p w14:paraId="6DA1686A" w14:textId="75519F41" w:rsidR="001D4424" w:rsidRPr="00742971" w:rsidRDefault="001D4424" w:rsidP="00811251">
            <w:pPr>
              <w:tabs>
                <w:tab w:val="left" w:pos="171"/>
                <w:tab w:val="left" w:pos="879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101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72</w:t>
            </w:r>
          </w:p>
        </w:tc>
        <w:tc>
          <w:tcPr>
            <w:tcW w:w="281" w:type="dxa"/>
            <w:tcBorders>
              <w:top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2FAB3C" w14:textId="77777777" w:rsidR="001D4424" w:rsidRPr="00742971" w:rsidRDefault="001D4424" w:rsidP="00811251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</w:tcBorders>
            <w:shd w:val="clear" w:color="000000" w:fill="FFFFFF"/>
            <w:vAlign w:val="center"/>
          </w:tcPr>
          <w:p w14:paraId="13C90FF7" w14:textId="115FDB64" w:rsidR="001D4424" w:rsidRPr="00742971" w:rsidRDefault="001D4424" w:rsidP="00811251">
            <w:pPr>
              <w:tabs>
                <w:tab w:val="left" w:pos="601"/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4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7</w:t>
            </w:r>
            <w:r w:rsidR="00C629C2" w:rsidRPr="00742971">
              <w:rPr>
                <w:rFonts w:ascii="Verdana" w:hAnsi="Verdana"/>
                <w:color w:val="366092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</w:tcBorders>
            <w:shd w:val="clear" w:color="000000" w:fill="FFFFFF"/>
            <w:vAlign w:val="center"/>
          </w:tcPr>
          <w:p w14:paraId="2376312D" w14:textId="68C86485" w:rsidR="001D4424" w:rsidRPr="00742971" w:rsidRDefault="001D4424" w:rsidP="00811251">
            <w:pPr>
              <w:tabs>
                <w:tab w:val="left" w:pos="880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06</w:t>
            </w:r>
          </w:p>
        </w:tc>
      </w:tr>
      <w:tr w:rsidR="00742971" w:rsidRPr="00742971" w14:paraId="0BFDEF23" w14:textId="77777777" w:rsidTr="00742971">
        <w:trPr>
          <w:trHeight w:val="510"/>
          <w:jc w:val="center"/>
        </w:trPr>
        <w:tc>
          <w:tcPr>
            <w:tcW w:w="2975" w:type="dxa"/>
            <w:tcBorders>
              <w:top w:val="nil"/>
              <w:left w:val="nil"/>
            </w:tcBorders>
            <w:shd w:val="clear" w:color="FFFFFF" w:fill="FFFFFF"/>
            <w:noWrap/>
            <w:vAlign w:val="center"/>
          </w:tcPr>
          <w:p w14:paraId="5F8B5E48" w14:textId="6FA15A45" w:rsidR="001D4424" w:rsidRPr="00742971" w:rsidRDefault="001D4424" w:rsidP="00EA4C51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Ασφαλιστικές και Χρηματοπιστωτικές </w:t>
            </w:r>
            <w:r w:rsidR="000268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πηρεσίες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vAlign w:val="center"/>
          </w:tcPr>
          <w:p w14:paraId="00ACC8E0" w14:textId="29DB396B" w:rsidR="001D4424" w:rsidRPr="00742971" w:rsidRDefault="001D4424" w:rsidP="00811251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</w:tcBorders>
            <w:shd w:val="clear" w:color="000000" w:fill="FFFFFF"/>
            <w:vAlign w:val="center"/>
          </w:tcPr>
          <w:p w14:paraId="7FA2EF3F" w14:textId="76312ECB" w:rsidR="001D4424" w:rsidRPr="00742971" w:rsidRDefault="001D4424" w:rsidP="00811251">
            <w:pPr>
              <w:tabs>
                <w:tab w:val="left" w:pos="171"/>
                <w:tab w:val="left" w:pos="879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05</w:t>
            </w:r>
          </w:p>
        </w:tc>
        <w:tc>
          <w:tcPr>
            <w:tcW w:w="281" w:type="dxa"/>
            <w:tcBorders>
              <w:top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C134BB" w14:textId="77777777" w:rsidR="001D4424" w:rsidRPr="00742971" w:rsidRDefault="001D4424" w:rsidP="00811251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</w:tcBorders>
            <w:shd w:val="clear" w:color="000000" w:fill="FFFFFF"/>
            <w:vAlign w:val="center"/>
          </w:tcPr>
          <w:p w14:paraId="1710BE15" w14:textId="257044CD" w:rsidR="001D4424" w:rsidRPr="00742971" w:rsidRDefault="001D4424" w:rsidP="00811251">
            <w:pPr>
              <w:tabs>
                <w:tab w:val="left" w:pos="601"/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1</w:t>
            </w:r>
            <w:r w:rsidR="00C629C2" w:rsidRPr="00742971">
              <w:rPr>
                <w:rFonts w:ascii="Verdana" w:hAnsi="Verdana"/>
                <w:color w:val="366092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  <w:shd w:val="clear" w:color="000000" w:fill="FFFFFF"/>
            <w:vAlign w:val="center"/>
          </w:tcPr>
          <w:p w14:paraId="7858DE6D" w14:textId="5F0C2C29" w:rsidR="001D4424" w:rsidRPr="00742971" w:rsidRDefault="00C56BD0" w:rsidP="00811251">
            <w:pPr>
              <w:tabs>
                <w:tab w:val="left" w:pos="880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 xml:space="preserve">    </w:t>
            </w:r>
            <w:r w:rsidR="001D4424" w:rsidRPr="00742971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AA2EFD" w:rsidRPr="00742971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="001D4424" w:rsidRPr="00742971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2726A3" w:rsidRPr="00742971">
              <w:rPr>
                <w:rFonts w:ascii="Verdana" w:hAnsi="Verdana"/>
                <w:color w:val="366092"/>
                <w:sz w:val="18"/>
                <w:szCs w:val="18"/>
              </w:rPr>
              <w:t>2</w:t>
            </w:r>
          </w:p>
        </w:tc>
      </w:tr>
      <w:tr w:rsidR="00742971" w:rsidRPr="00742971" w14:paraId="0ABA4BC7" w14:textId="4629CEA3" w:rsidTr="00742971">
        <w:trPr>
          <w:trHeight w:val="765"/>
          <w:jc w:val="center"/>
        </w:trPr>
        <w:tc>
          <w:tcPr>
            <w:tcW w:w="2975" w:type="dxa"/>
            <w:tcBorders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0DD997E" w14:textId="0CF4F50D" w:rsidR="001D4424" w:rsidRPr="00742971" w:rsidRDefault="00214E83" w:rsidP="00E3273C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Προσωπική Φροντίδα, Κοινωνική Προστασία και </w:t>
            </w:r>
            <w:r w:rsidR="000268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ιάφορα</w:t>
            </w:r>
            <w:r w:rsidR="001D4424"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Αγαθά και Υπηρεσίες</w:t>
            </w:r>
          </w:p>
        </w:tc>
        <w:tc>
          <w:tcPr>
            <w:tcW w:w="1559" w:type="dxa"/>
            <w:tcBorders>
              <w:bottom w:val="single" w:sz="4" w:space="0" w:color="366092"/>
            </w:tcBorders>
            <w:shd w:val="clear" w:color="000000" w:fill="FFFFFF"/>
            <w:vAlign w:val="center"/>
            <w:hideMark/>
          </w:tcPr>
          <w:p w14:paraId="60565449" w14:textId="7D3FC465" w:rsidR="001D4424" w:rsidRPr="00742971" w:rsidRDefault="00403BEB" w:rsidP="00811251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101,21</w:t>
            </w:r>
          </w:p>
        </w:tc>
        <w:tc>
          <w:tcPr>
            <w:tcW w:w="1418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6AEC4DD5" w14:textId="6972AFE4" w:rsidR="001D4424" w:rsidRPr="00742971" w:rsidRDefault="00403BEB" w:rsidP="00811251">
            <w:pPr>
              <w:tabs>
                <w:tab w:val="left" w:pos="171"/>
                <w:tab w:val="left" w:pos="879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100,7</w:t>
            </w:r>
            <w:r w:rsidR="00C629C2" w:rsidRPr="00742971">
              <w:rPr>
                <w:rFonts w:ascii="Verdana" w:hAnsi="Verdana"/>
                <w:color w:val="366092"/>
                <w:sz w:val="18"/>
                <w:szCs w:val="18"/>
              </w:rPr>
              <w:t>1</w:t>
            </w:r>
          </w:p>
        </w:tc>
        <w:tc>
          <w:tcPr>
            <w:tcW w:w="281" w:type="dxa"/>
            <w:tcBorders>
              <w:bottom w:val="single" w:sz="4" w:space="0" w:color="366092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72D201" w14:textId="77777777" w:rsidR="001D4424" w:rsidRPr="00742971" w:rsidRDefault="001D4424" w:rsidP="00811251">
            <w:pPr>
              <w:tabs>
                <w:tab w:val="left" w:pos="1023"/>
              </w:tabs>
              <w:ind w:right="227"/>
              <w:jc w:val="center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7DEF19F2" w14:textId="1CE8168F" w:rsidR="001D4424" w:rsidRPr="00742971" w:rsidRDefault="00403BEB" w:rsidP="00811251">
            <w:pPr>
              <w:tabs>
                <w:tab w:val="left" w:pos="601"/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>1,78</w:t>
            </w:r>
          </w:p>
        </w:tc>
        <w:tc>
          <w:tcPr>
            <w:tcW w:w="1276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58C351D9" w14:textId="516E862D" w:rsidR="001D4424" w:rsidRPr="00742971" w:rsidRDefault="00707466" w:rsidP="00811251">
            <w:pPr>
              <w:tabs>
                <w:tab w:val="left" w:pos="880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color w:val="366092"/>
                <w:sz w:val="18"/>
                <w:szCs w:val="18"/>
              </w:rPr>
              <w:t xml:space="preserve">    </w:t>
            </w:r>
            <w:r w:rsidR="004F445E" w:rsidRPr="00742971">
              <w:rPr>
                <w:rFonts w:ascii="Verdana" w:hAnsi="Verdana"/>
                <w:color w:val="366092"/>
                <w:sz w:val="18"/>
                <w:szCs w:val="18"/>
              </w:rPr>
              <w:t>-</w:t>
            </w:r>
            <w:r w:rsidR="00403BEB" w:rsidRPr="00742971">
              <w:rPr>
                <w:rFonts w:ascii="Verdana" w:hAnsi="Verdana"/>
                <w:color w:val="366092"/>
                <w:sz w:val="18"/>
                <w:szCs w:val="18"/>
              </w:rPr>
              <w:t>0,50</w:t>
            </w:r>
          </w:p>
        </w:tc>
      </w:tr>
      <w:tr w:rsidR="00742971" w:rsidRPr="00742971" w14:paraId="7B6D317E" w14:textId="278222F2" w:rsidTr="00742971">
        <w:trPr>
          <w:trHeight w:hRule="exact" w:val="567"/>
          <w:jc w:val="center"/>
        </w:trPr>
        <w:tc>
          <w:tcPr>
            <w:tcW w:w="2975" w:type="dxa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27F9D94D" w14:textId="77777777" w:rsidR="001D4424" w:rsidRPr="00742971" w:rsidRDefault="001D4424" w:rsidP="00B90362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Γενικός Δείκτης Τιμών Καταναλωτή</w:t>
            </w:r>
          </w:p>
        </w:tc>
        <w:tc>
          <w:tcPr>
            <w:tcW w:w="1559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371227CE" w14:textId="6FECE6D9" w:rsidR="001D4424" w:rsidRPr="00742971" w:rsidRDefault="001D4424" w:rsidP="00811251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</w:t>
            </w:r>
            <w:r w:rsidR="00AA2EFD" w:rsidRPr="0074297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00</w:t>
            </w:r>
            <w:r w:rsidRPr="0074297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,</w:t>
            </w:r>
            <w:r w:rsidR="00AA2EFD" w:rsidRPr="0074297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28</w:t>
            </w:r>
          </w:p>
        </w:tc>
        <w:tc>
          <w:tcPr>
            <w:tcW w:w="1418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4E8DD297" w14:textId="68B81C54" w:rsidR="001D4424" w:rsidRPr="00742971" w:rsidRDefault="00AA2EFD" w:rsidP="00811251">
            <w:pPr>
              <w:tabs>
                <w:tab w:val="left" w:pos="879"/>
              </w:tabs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99</w:t>
            </w:r>
            <w:r w:rsidR="001D4424" w:rsidRPr="0074297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98</w:t>
            </w:r>
          </w:p>
        </w:tc>
        <w:tc>
          <w:tcPr>
            <w:tcW w:w="281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D4D302" w14:textId="77777777" w:rsidR="001D4424" w:rsidRPr="00742971" w:rsidRDefault="001D4424" w:rsidP="00811251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4CAFB9A2" w14:textId="3C9A871E" w:rsidR="001D4424" w:rsidRPr="00742971" w:rsidRDefault="00C56BD0" w:rsidP="00811251">
            <w:pPr>
              <w:tabs>
                <w:tab w:val="left" w:pos="601"/>
              </w:tabs>
              <w:ind w:left="38"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0,5</w:t>
            </w:r>
            <w:r w:rsidR="00BE22C2" w:rsidRPr="0074297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1</w:t>
            </w:r>
          </w:p>
        </w:tc>
        <w:tc>
          <w:tcPr>
            <w:tcW w:w="1276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0C7167C0" w14:textId="26E19BB2" w:rsidR="001D4424" w:rsidRPr="00742971" w:rsidRDefault="00AA2EFD" w:rsidP="00811251">
            <w:pPr>
              <w:ind w:left="38"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-</w:t>
            </w:r>
            <w:r w:rsidR="001D4424" w:rsidRPr="0074297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0,</w:t>
            </w:r>
            <w:r w:rsidRPr="0074297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30</w:t>
            </w:r>
          </w:p>
        </w:tc>
      </w:tr>
    </w:tbl>
    <w:p w14:paraId="54B905E2" w14:textId="77777777" w:rsidR="008125E2" w:rsidRDefault="008125E2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13BDC80" w14:textId="77777777" w:rsidR="006A68F3" w:rsidRDefault="006A68F3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F8FF65F" w14:textId="77777777" w:rsidR="006A68F3" w:rsidRDefault="006A68F3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4953" w:type="pct"/>
        <w:jc w:val="center"/>
        <w:tblLayout w:type="fixed"/>
        <w:tblLook w:val="04A0" w:firstRow="1" w:lastRow="0" w:firstColumn="1" w:lastColumn="0" w:noHBand="0" w:noVBand="1"/>
      </w:tblPr>
      <w:tblGrid>
        <w:gridCol w:w="3074"/>
        <w:gridCol w:w="1911"/>
        <w:gridCol w:w="2319"/>
        <w:gridCol w:w="2194"/>
      </w:tblGrid>
      <w:tr w:rsidR="00742971" w:rsidRPr="00742971" w14:paraId="1B1E2683" w14:textId="77777777" w:rsidTr="00E051EE">
        <w:trPr>
          <w:trHeight w:hRule="exact" w:val="340"/>
          <w:jc w:val="center"/>
        </w:trPr>
        <w:tc>
          <w:tcPr>
            <w:tcW w:w="5000" w:type="pct"/>
            <w:gridSpan w:val="4"/>
            <w:tcBorders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5CB4B204" w14:textId="77777777" w:rsidR="006022B5" w:rsidRPr="00742971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</w:tr>
      <w:tr w:rsidR="00742971" w:rsidRPr="00742971" w14:paraId="67DAE050" w14:textId="77777777" w:rsidTr="00F45D26">
        <w:trPr>
          <w:trHeight w:val="315"/>
          <w:jc w:val="center"/>
        </w:trPr>
        <w:tc>
          <w:tcPr>
            <w:tcW w:w="1618" w:type="pct"/>
            <w:vMerge w:val="restar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6EB82802" w14:textId="77777777" w:rsidR="006022B5" w:rsidRPr="00742971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Οικονομικές Κατηγορίες</w:t>
            </w:r>
          </w:p>
        </w:tc>
        <w:tc>
          <w:tcPr>
            <w:tcW w:w="1006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9E3CC50" w14:textId="77777777" w:rsidR="006022B5" w:rsidRPr="00742971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 Στάθμισης</w:t>
            </w:r>
          </w:p>
        </w:tc>
        <w:tc>
          <w:tcPr>
            <w:tcW w:w="2376" w:type="pct"/>
            <w:gridSpan w:val="2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2321EF02" w14:textId="77777777" w:rsidR="006022B5" w:rsidRPr="00742971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Μ</w:t>
            </w: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εταβολές</w:t>
            </w: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(%)</w:t>
            </w:r>
          </w:p>
        </w:tc>
      </w:tr>
      <w:tr w:rsidR="00742971" w:rsidRPr="00742971" w14:paraId="23C7C237" w14:textId="77777777" w:rsidTr="00B359F9">
        <w:trPr>
          <w:trHeight w:val="700"/>
          <w:jc w:val="center"/>
        </w:trPr>
        <w:tc>
          <w:tcPr>
            <w:tcW w:w="1618" w:type="pct"/>
            <w:vMerge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  <w:hideMark/>
          </w:tcPr>
          <w:p w14:paraId="52DC4CEE" w14:textId="77777777" w:rsidR="00636C15" w:rsidRPr="00742971" w:rsidRDefault="00636C15" w:rsidP="00636C1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06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68802791" w14:textId="77777777" w:rsidR="00636C15" w:rsidRPr="00742971" w:rsidRDefault="00636C15" w:rsidP="00636C1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21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5D67E1B9" w14:textId="7C5F9755" w:rsidR="00636C15" w:rsidRPr="00742971" w:rsidRDefault="00FC4DA1" w:rsidP="00636C1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636C15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="00636C15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/ </w:t>
            </w: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636C15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155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68FF435A" w14:textId="747203F6" w:rsidR="00636C15" w:rsidRPr="00742971" w:rsidRDefault="00FC4DA1" w:rsidP="00636C1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636C15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="00636C15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/ </w:t>
            </w: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="00636C15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636C15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</w:tr>
      <w:tr w:rsidR="00742971" w:rsidRPr="00742971" w14:paraId="6B065B03" w14:textId="77777777" w:rsidTr="00040AAE">
        <w:trPr>
          <w:trHeight w:val="375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1728EBF" w14:textId="77777777" w:rsidR="00FC4DA1" w:rsidRPr="00742971" w:rsidRDefault="00FC4DA1" w:rsidP="00FC4DA1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Γεωργικά Προϊόντα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2DB1C43" w14:textId="4FD23CE7" w:rsidR="00FC4DA1" w:rsidRPr="00742971" w:rsidRDefault="00FC4DA1" w:rsidP="007F26E2">
            <w:pPr>
              <w:ind w:right="6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648</w:t>
            </w:r>
          </w:p>
        </w:tc>
        <w:tc>
          <w:tcPr>
            <w:tcW w:w="1221" w:type="pct"/>
            <w:tcBorders>
              <w:top w:val="nil"/>
              <w:bottom w:val="nil"/>
            </w:tcBorders>
            <w:noWrap/>
            <w:vAlign w:val="center"/>
          </w:tcPr>
          <w:p w14:paraId="0AD81F3E" w14:textId="4990CAAA" w:rsidR="00FC4DA1" w:rsidRPr="00742971" w:rsidRDefault="00FC4DA1" w:rsidP="002F1896">
            <w:pPr>
              <w:ind w:right="82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8</w:t>
            </w:r>
            <w:r w:rsidR="001D4424" w:rsidRPr="0074297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21</w:t>
            </w:r>
          </w:p>
        </w:tc>
        <w:tc>
          <w:tcPr>
            <w:tcW w:w="1155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0334C64" w14:textId="37E2ECFA" w:rsidR="00FC4DA1" w:rsidRPr="00742971" w:rsidRDefault="00FC4DA1" w:rsidP="002F1896">
            <w:pPr>
              <w:ind w:right="74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7</w:t>
            </w:r>
            <w:r w:rsidR="00AA2EFD"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93</w:t>
            </w:r>
          </w:p>
        </w:tc>
      </w:tr>
      <w:tr w:rsidR="00742971" w:rsidRPr="00742971" w14:paraId="6A6F5649" w14:textId="77777777" w:rsidTr="00040AAE">
        <w:trPr>
          <w:trHeight w:val="567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DDE7541" w14:textId="54891598" w:rsidR="00FC4DA1" w:rsidRPr="00742971" w:rsidRDefault="00FC4DA1" w:rsidP="00FC4DA1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Βιομηχανικά 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Προϊόντα</w:t>
            </w:r>
          </w:p>
          <w:p w14:paraId="0A451F80" w14:textId="77777777" w:rsidR="00FC4DA1" w:rsidRPr="00742971" w:rsidRDefault="00FC4DA1" w:rsidP="00FC4DA1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(εκτός Πετρελαιοειδών)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8D61FBC" w14:textId="2CD970EA" w:rsidR="00FC4DA1" w:rsidRPr="00742971" w:rsidRDefault="00FC4DA1" w:rsidP="007F26E2">
            <w:pPr>
              <w:ind w:right="6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4111</w:t>
            </w:r>
          </w:p>
        </w:tc>
        <w:tc>
          <w:tcPr>
            <w:tcW w:w="1221" w:type="pct"/>
            <w:tcBorders>
              <w:top w:val="nil"/>
              <w:bottom w:val="nil"/>
            </w:tcBorders>
            <w:noWrap/>
            <w:vAlign w:val="center"/>
          </w:tcPr>
          <w:p w14:paraId="698C258B" w14:textId="042A37AA" w:rsidR="00FC4DA1" w:rsidRPr="00742971" w:rsidRDefault="00FC4DA1" w:rsidP="002F1896">
            <w:pPr>
              <w:ind w:right="82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-1</w:t>
            </w:r>
            <w:r w:rsidR="001D4424" w:rsidRPr="0074297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27</w:t>
            </w:r>
          </w:p>
        </w:tc>
        <w:tc>
          <w:tcPr>
            <w:tcW w:w="1155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08932D1" w14:textId="1F0969A2" w:rsidR="00FC4DA1" w:rsidRPr="00742971" w:rsidRDefault="00FC4DA1" w:rsidP="002F1896">
            <w:pPr>
              <w:ind w:right="74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-2</w:t>
            </w:r>
            <w:r w:rsidR="001D4424" w:rsidRPr="0074297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02</w:t>
            </w:r>
          </w:p>
        </w:tc>
      </w:tr>
      <w:tr w:rsidR="00742971" w:rsidRPr="00742971" w14:paraId="3370FFAD" w14:textId="77777777" w:rsidTr="00040AAE">
        <w:trPr>
          <w:trHeight w:val="375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C4E30F8" w14:textId="01AEB22A" w:rsidR="00FC4DA1" w:rsidRPr="00742971" w:rsidRDefault="00FC4DA1" w:rsidP="00FC4DA1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bookmarkStart w:id="1" w:name="_Hlk149742109"/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Ηλεκτρισμ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ό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ς</w:t>
            </w:r>
            <w:bookmarkEnd w:id="1"/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και Νερό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EB97CFF" w14:textId="4B2672AA" w:rsidR="00FC4DA1" w:rsidRPr="00742971" w:rsidRDefault="00FC4DA1" w:rsidP="007F26E2">
            <w:pPr>
              <w:ind w:right="6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393</w:t>
            </w:r>
          </w:p>
        </w:tc>
        <w:tc>
          <w:tcPr>
            <w:tcW w:w="1221" w:type="pct"/>
            <w:tcBorders>
              <w:top w:val="nil"/>
              <w:bottom w:val="nil"/>
            </w:tcBorders>
            <w:noWrap/>
            <w:vAlign w:val="center"/>
          </w:tcPr>
          <w:p w14:paraId="5CFD39D9" w14:textId="1DDD9AE4" w:rsidR="00FC4DA1" w:rsidRPr="00742971" w:rsidRDefault="00FC4DA1" w:rsidP="002F1896">
            <w:pPr>
              <w:ind w:right="82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-6</w:t>
            </w:r>
            <w:r w:rsidR="001D4424" w:rsidRPr="0074297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51</w:t>
            </w:r>
          </w:p>
        </w:tc>
        <w:tc>
          <w:tcPr>
            <w:tcW w:w="1155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9A1135E" w14:textId="33DDD13D" w:rsidR="00FC4DA1" w:rsidRPr="00742971" w:rsidRDefault="00FC4DA1" w:rsidP="002F1896">
            <w:pPr>
              <w:ind w:right="74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0</w:t>
            </w:r>
            <w:r w:rsidR="001D4424" w:rsidRPr="0074297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14</w:t>
            </w:r>
          </w:p>
        </w:tc>
      </w:tr>
      <w:tr w:rsidR="00742971" w:rsidRPr="00742971" w14:paraId="55D46229" w14:textId="77777777" w:rsidTr="00040AAE">
        <w:trPr>
          <w:trHeight w:val="375"/>
          <w:jc w:val="center"/>
        </w:trPr>
        <w:tc>
          <w:tcPr>
            <w:tcW w:w="161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10D5383" w14:textId="77777777" w:rsidR="00FC4DA1" w:rsidRPr="00742971" w:rsidRDefault="00FC4DA1" w:rsidP="00FC4DA1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Πετρελαιοειδή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7497CE4" w14:textId="1C564A41" w:rsidR="00FC4DA1" w:rsidRPr="00742971" w:rsidRDefault="00FC4DA1" w:rsidP="007F26E2">
            <w:pPr>
              <w:ind w:right="6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708</w:t>
            </w:r>
          </w:p>
        </w:tc>
        <w:tc>
          <w:tcPr>
            <w:tcW w:w="1221" w:type="pct"/>
            <w:tcBorders>
              <w:top w:val="nil"/>
              <w:bottom w:val="nil"/>
            </w:tcBorders>
            <w:noWrap/>
            <w:vAlign w:val="center"/>
          </w:tcPr>
          <w:p w14:paraId="6949086C" w14:textId="65302195" w:rsidR="00FC4DA1" w:rsidRPr="00742971" w:rsidRDefault="00FC4DA1" w:rsidP="002F1896">
            <w:pPr>
              <w:ind w:right="82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-6</w:t>
            </w:r>
            <w:r w:rsidR="001D4424" w:rsidRPr="0074297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07</w:t>
            </w:r>
          </w:p>
        </w:tc>
        <w:tc>
          <w:tcPr>
            <w:tcW w:w="1155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1D51005" w14:textId="77E81B78" w:rsidR="00FC4DA1" w:rsidRPr="00742971" w:rsidRDefault="00FC4DA1" w:rsidP="002F1896">
            <w:pPr>
              <w:ind w:right="74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-1</w:t>
            </w:r>
            <w:r w:rsidR="001D4424" w:rsidRPr="0074297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72</w:t>
            </w:r>
          </w:p>
        </w:tc>
      </w:tr>
      <w:tr w:rsidR="00742971" w:rsidRPr="00742971" w14:paraId="1CD39D67" w14:textId="77777777" w:rsidTr="00040AAE">
        <w:trPr>
          <w:trHeight w:val="375"/>
          <w:jc w:val="center"/>
        </w:trPr>
        <w:tc>
          <w:tcPr>
            <w:tcW w:w="1618" w:type="pct"/>
            <w:tcBorders>
              <w:top w:val="nil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396CA35" w14:textId="77777777" w:rsidR="00FC4DA1" w:rsidRPr="00742971" w:rsidRDefault="00FC4DA1" w:rsidP="00FC4DA1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Υπηρεσίες</w:t>
            </w:r>
          </w:p>
        </w:tc>
        <w:tc>
          <w:tcPr>
            <w:tcW w:w="1006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AD823E0" w14:textId="72BE1244" w:rsidR="00FC4DA1" w:rsidRPr="00742971" w:rsidRDefault="00FC4DA1" w:rsidP="007F26E2">
            <w:pPr>
              <w:ind w:right="6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4140</w:t>
            </w:r>
          </w:p>
        </w:tc>
        <w:tc>
          <w:tcPr>
            <w:tcW w:w="1221" w:type="pct"/>
            <w:tcBorders>
              <w:top w:val="nil"/>
              <w:bottom w:val="single" w:sz="4" w:space="0" w:color="366092"/>
            </w:tcBorders>
            <w:noWrap/>
            <w:vAlign w:val="center"/>
          </w:tcPr>
          <w:p w14:paraId="30E53EC3" w14:textId="4BCB06E0" w:rsidR="00FC4DA1" w:rsidRPr="00742971" w:rsidRDefault="00FC4DA1" w:rsidP="002F1896">
            <w:pPr>
              <w:ind w:right="821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3</w:t>
            </w:r>
            <w:r w:rsidR="001D4424" w:rsidRPr="0074297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27</w:t>
            </w:r>
          </w:p>
        </w:tc>
        <w:tc>
          <w:tcPr>
            <w:tcW w:w="1155" w:type="pct"/>
            <w:tcBorders>
              <w:top w:val="nil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65A59861" w14:textId="3E845D56" w:rsidR="00FC4DA1" w:rsidRPr="00742971" w:rsidRDefault="00FC4DA1" w:rsidP="002F1896">
            <w:pPr>
              <w:ind w:right="743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0</w:t>
            </w:r>
            <w:r w:rsidR="001D4424" w:rsidRPr="00742971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742971">
              <w:rPr>
                <w:rFonts w:ascii="Verdana" w:hAnsi="Verdana" w:cs="Calibri"/>
                <w:color w:val="366092"/>
                <w:sz w:val="18"/>
                <w:szCs w:val="18"/>
              </w:rPr>
              <w:t>12</w:t>
            </w:r>
          </w:p>
        </w:tc>
      </w:tr>
      <w:tr w:rsidR="00742971" w:rsidRPr="00742971" w14:paraId="331F509F" w14:textId="77777777" w:rsidTr="00040AAE">
        <w:trPr>
          <w:trHeight w:val="397"/>
          <w:jc w:val="center"/>
        </w:trPr>
        <w:tc>
          <w:tcPr>
            <w:tcW w:w="1618" w:type="pc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7D4A3BED" w14:textId="77777777" w:rsidR="00EB0179" w:rsidRPr="00742971" w:rsidRDefault="00EB0179" w:rsidP="00EB0179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Γενικός Δείκτης </w:t>
            </w:r>
          </w:p>
        </w:tc>
        <w:tc>
          <w:tcPr>
            <w:tcW w:w="1006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23E9E631" w14:textId="77777777" w:rsidR="00EB0179" w:rsidRPr="00742971" w:rsidRDefault="00EB0179" w:rsidP="00EB0179">
            <w:pPr>
              <w:ind w:right="113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10000</w:t>
            </w:r>
          </w:p>
        </w:tc>
        <w:tc>
          <w:tcPr>
            <w:tcW w:w="1221" w:type="pct"/>
            <w:tcBorders>
              <w:top w:val="single" w:sz="4" w:space="0" w:color="366092"/>
              <w:bottom w:val="single" w:sz="4" w:space="0" w:color="366092"/>
            </w:tcBorders>
            <w:noWrap/>
            <w:vAlign w:val="center"/>
          </w:tcPr>
          <w:p w14:paraId="5F309946" w14:textId="6745DE2D" w:rsidR="00EB0179" w:rsidRPr="00742971" w:rsidRDefault="00C56BD0" w:rsidP="002F1896">
            <w:pPr>
              <w:ind w:right="821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0,5</w:t>
            </w:r>
            <w:r w:rsidR="00BE22C2" w:rsidRPr="0074297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</w:t>
            </w:r>
          </w:p>
        </w:tc>
        <w:tc>
          <w:tcPr>
            <w:tcW w:w="1155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66750A76" w14:textId="3FB7BD2A" w:rsidR="00EB0179" w:rsidRPr="00742971" w:rsidRDefault="00FC4DA1" w:rsidP="002F1896">
            <w:pPr>
              <w:ind w:right="74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="00EB0179" w:rsidRPr="0074297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0,</w:t>
            </w:r>
            <w:r w:rsidRPr="0074297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30</w:t>
            </w:r>
          </w:p>
        </w:tc>
      </w:tr>
    </w:tbl>
    <w:p w14:paraId="29FEB02E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AB9A93B" w14:textId="77777777" w:rsidR="006022B5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6C30497" w14:textId="77777777" w:rsidR="00E21D72" w:rsidRPr="00E21D72" w:rsidRDefault="00E21D72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388"/>
        <w:gridCol w:w="1517"/>
        <w:gridCol w:w="2345"/>
        <w:gridCol w:w="2338"/>
      </w:tblGrid>
      <w:tr w:rsidR="00742971" w:rsidRPr="00742971" w14:paraId="4C388DF5" w14:textId="77777777" w:rsidTr="007F26E2">
        <w:trPr>
          <w:trHeight w:hRule="exact" w:val="340"/>
          <w:jc w:val="center"/>
        </w:trPr>
        <w:tc>
          <w:tcPr>
            <w:tcW w:w="3781" w:type="pct"/>
            <w:gridSpan w:val="3"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F9E1214" w14:textId="77777777" w:rsidR="006022B5" w:rsidRPr="00742971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3</w:t>
            </w:r>
          </w:p>
        </w:tc>
        <w:tc>
          <w:tcPr>
            <w:tcW w:w="1219" w:type="pct"/>
            <w:tcBorders>
              <w:bottom w:val="single" w:sz="4" w:space="0" w:color="366092"/>
            </w:tcBorders>
            <w:shd w:val="clear" w:color="FFFFFF" w:fill="FFFFFF"/>
          </w:tcPr>
          <w:p w14:paraId="5E285458" w14:textId="77777777" w:rsidR="006022B5" w:rsidRPr="00742971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742971" w:rsidRPr="00742971" w14:paraId="32300C6F" w14:textId="77777777" w:rsidTr="007F26E2">
        <w:trPr>
          <w:trHeight w:val="375"/>
          <w:jc w:val="center"/>
        </w:trPr>
        <w:tc>
          <w:tcPr>
            <w:tcW w:w="1767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30AACF9D" w14:textId="77777777" w:rsidR="006022B5" w:rsidRPr="00742971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Κατηγορίες Αγαθών και Υπηρεσιών</w:t>
            </w:r>
          </w:p>
        </w:tc>
        <w:tc>
          <w:tcPr>
            <w:tcW w:w="791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3EB8B2F" w14:textId="77777777" w:rsidR="006022B5" w:rsidRPr="00742971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 Στάθμισης</w:t>
            </w:r>
          </w:p>
        </w:tc>
        <w:tc>
          <w:tcPr>
            <w:tcW w:w="2442" w:type="pct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1E47590D" w14:textId="77777777" w:rsidR="006022B5" w:rsidRPr="00742971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Επίπτωση (</w:t>
            </w: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μονάδες)</w:t>
            </w:r>
          </w:p>
        </w:tc>
      </w:tr>
      <w:tr w:rsidR="00742971" w:rsidRPr="00742971" w14:paraId="019AB947" w14:textId="77777777" w:rsidTr="007F26E2">
        <w:trPr>
          <w:trHeight w:val="615"/>
          <w:jc w:val="center"/>
        </w:trPr>
        <w:tc>
          <w:tcPr>
            <w:tcW w:w="1767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7859C773" w14:textId="77777777" w:rsidR="00941C0E" w:rsidRPr="00742971" w:rsidRDefault="00941C0E" w:rsidP="00941C0E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791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274591C5" w14:textId="77777777" w:rsidR="00941C0E" w:rsidRPr="00742971" w:rsidRDefault="00941C0E" w:rsidP="00941C0E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23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23F64714" w14:textId="526EBE37" w:rsidR="00941C0E" w:rsidRPr="00742971" w:rsidRDefault="0016560A" w:rsidP="00941C0E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941C0E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="00941C0E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/ </w:t>
            </w: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941C0E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219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</w:tcPr>
          <w:p w14:paraId="4C0BF3F4" w14:textId="4A175AD1" w:rsidR="00941C0E" w:rsidRPr="00742971" w:rsidRDefault="0016560A" w:rsidP="00941C0E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 26</w:t>
            </w:r>
            <w:r w:rsidR="00941C0E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/ </w:t>
            </w: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Δεκ </w:t>
            </w:r>
            <w:r w:rsidR="00941C0E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</w:t>
            </w:r>
            <w:r w:rsidR="00941C0E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</w:tr>
      <w:tr w:rsidR="00742971" w:rsidRPr="00742971" w14:paraId="5947B44C" w14:textId="77777777" w:rsidTr="007F26E2">
        <w:trPr>
          <w:trHeight w:val="639"/>
          <w:jc w:val="center"/>
        </w:trPr>
        <w:tc>
          <w:tcPr>
            <w:tcW w:w="1767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27C27FE8" w14:textId="4E46413F" w:rsidR="007F26E2" w:rsidRPr="00742971" w:rsidRDefault="007F26E2" w:rsidP="007F26E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 και μη Αλκοολούχα Ποτά</w:t>
            </w:r>
          </w:p>
        </w:tc>
        <w:tc>
          <w:tcPr>
            <w:tcW w:w="791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6BB1BA13" w14:textId="3FB73673" w:rsidR="007F26E2" w:rsidRPr="00742971" w:rsidRDefault="007F26E2" w:rsidP="007F26E2">
            <w:pPr>
              <w:ind w:right="26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1762</w:t>
            </w:r>
          </w:p>
        </w:tc>
        <w:tc>
          <w:tcPr>
            <w:tcW w:w="1223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C3C6B98" w14:textId="03AAD65B" w:rsidR="007F26E2" w:rsidRPr="00742971" w:rsidRDefault="007F26E2" w:rsidP="007F26E2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0,53</w:t>
            </w:r>
          </w:p>
        </w:tc>
        <w:tc>
          <w:tcPr>
            <w:tcW w:w="1219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4F86BAD" w14:textId="4BEE240B" w:rsidR="007F26E2" w:rsidRPr="00742971" w:rsidRDefault="007F26E2" w:rsidP="007F26E2">
            <w:pPr>
              <w:ind w:right="8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0,62</w:t>
            </w:r>
          </w:p>
        </w:tc>
      </w:tr>
      <w:tr w:rsidR="00742971" w:rsidRPr="00742971" w14:paraId="15E28FB3" w14:textId="77777777" w:rsidTr="007F26E2">
        <w:trPr>
          <w:trHeight w:val="375"/>
          <w:jc w:val="center"/>
        </w:trPr>
        <w:tc>
          <w:tcPr>
            <w:tcW w:w="1767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2EDCA964" w14:textId="11D9CDF7" w:rsidR="007F26E2" w:rsidRPr="00742971" w:rsidRDefault="007F26E2" w:rsidP="007F26E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Αλκοολούχα Π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οτά και 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απνός</w:t>
            </w:r>
          </w:p>
        </w:tc>
        <w:tc>
          <w:tcPr>
            <w:tcW w:w="791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625B3CBD" w14:textId="7DC27EC5" w:rsidR="007F26E2" w:rsidRPr="00742971" w:rsidRDefault="007F26E2" w:rsidP="007F26E2">
            <w:pPr>
              <w:ind w:right="26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528</w:t>
            </w:r>
          </w:p>
        </w:tc>
        <w:tc>
          <w:tcPr>
            <w:tcW w:w="1223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61360F93" w14:textId="09E9A2AD" w:rsidR="007F26E2" w:rsidRPr="00742971" w:rsidRDefault="007F26E2" w:rsidP="007F26E2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0,04</w:t>
            </w:r>
          </w:p>
        </w:tc>
        <w:tc>
          <w:tcPr>
            <w:tcW w:w="1219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2007056" w14:textId="631270CE" w:rsidR="007F26E2" w:rsidRPr="00742971" w:rsidRDefault="007F26E2" w:rsidP="007F26E2">
            <w:pPr>
              <w:ind w:right="8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-0,01</w:t>
            </w:r>
          </w:p>
        </w:tc>
      </w:tr>
      <w:tr w:rsidR="00742971" w:rsidRPr="00742971" w14:paraId="108CD38A" w14:textId="77777777" w:rsidTr="007F26E2">
        <w:trPr>
          <w:trHeight w:val="375"/>
          <w:jc w:val="center"/>
        </w:trPr>
        <w:tc>
          <w:tcPr>
            <w:tcW w:w="176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FAF94A1" w14:textId="1EFA0654" w:rsidR="007F26E2" w:rsidRPr="00742971" w:rsidRDefault="007F26E2" w:rsidP="007F26E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Ένδυση και 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πόδηση</w:t>
            </w:r>
          </w:p>
        </w:tc>
        <w:tc>
          <w:tcPr>
            <w:tcW w:w="791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DE5ACB7" w14:textId="1D4136E8" w:rsidR="007F26E2" w:rsidRPr="00742971" w:rsidRDefault="007F26E2" w:rsidP="007F26E2">
            <w:pPr>
              <w:ind w:right="26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646</w:t>
            </w:r>
          </w:p>
        </w:tc>
        <w:tc>
          <w:tcPr>
            <w:tcW w:w="1223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6F1FEC94" w14:textId="557E843F" w:rsidR="007F26E2" w:rsidRPr="00742971" w:rsidRDefault="007F26E2" w:rsidP="007F26E2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-0,44</w:t>
            </w:r>
          </w:p>
        </w:tc>
        <w:tc>
          <w:tcPr>
            <w:tcW w:w="1219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36C3CC99" w14:textId="71A456ED" w:rsidR="007F26E2" w:rsidRPr="00742971" w:rsidRDefault="007F26E2" w:rsidP="007F26E2">
            <w:pPr>
              <w:ind w:right="8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-0,80</w:t>
            </w:r>
          </w:p>
        </w:tc>
      </w:tr>
      <w:tr w:rsidR="00742971" w:rsidRPr="00742971" w14:paraId="318667D3" w14:textId="77777777" w:rsidTr="00742971">
        <w:trPr>
          <w:trHeight w:val="765"/>
          <w:jc w:val="center"/>
        </w:trPr>
        <w:tc>
          <w:tcPr>
            <w:tcW w:w="1767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059C1354" w14:textId="2EA81279" w:rsidR="007F26E2" w:rsidRPr="00742971" w:rsidRDefault="007F26E2" w:rsidP="007F26E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Στέγαση, Ύδρευση, Ηλεκτρικό Ρεύμα, Φυσικό Αέριο και </w:t>
            </w:r>
            <w:r w:rsidR="000268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Ά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λλα Καύσιμα</w:t>
            </w:r>
          </w:p>
        </w:tc>
        <w:tc>
          <w:tcPr>
            <w:tcW w:w="791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4F9E27D9" w14:textId="6F85153D" w:rsidR="007F26E2" w:rsidRPr="00742971" w:rsidRDefault="007F26E2" w:rsidP="007F26E2">
            <w:pPr>
              <w:ind w:right="26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1187</w:t>
            </w:r>
          </w:p>
        </w:tc>
        <w:tc>
          <w:tcPr>
            <w:tcW w:w="1223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016BA1BA" w14:textId="48A7AD78" w:rsidR="007F26E2" w:rsidRPr="00742971" w:rsidRDefault="007F26E2" w:rsidP="007F26E2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-0,08</w:t>
            </w:r>
          </w:p>
        </w:tc>
        <w:tc>
          <w:tcPr>
            <w:tcW w:w="1219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92813A5" w14:textId="63B6B9AC" w:rsidR="007F26E2" w:rsidRPr="00742971" w:rsidRDefault="007F26E2" w:rsidP="007F26E2">
            <w:pPr>
              <w:ind w:right="8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0,08</w:t>
            </w:r>
          </w:p>
        </w:tc>
      </w:tr>
      <w:tr w:rsidR="00742971" w:rsidRPr="00742971" w14:paraId="215783F0" w14:textId="77777777" w:rsidTr="00742971">
        <w:trPr>
          <w:trHeight w:val="624"/>
          <w:jc w:val="center"/>
        </w:trPr>
        <w:tc>
          <w:tcPr>
            <w:tcW w:w="1767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0C49E88D" w14:textId="316AD1C0" w:rsidR="007F26E2" w:rsidRPr="00742971" w:rsidRDefault="007F26E2" w:rsidP="007F26E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Επίπλωση και Διακόσμηση, Οικιακός Εξοπλισμός και </w:t>
            </w:r>
            <w:r w:rsidR="000268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Σ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υνήθης Συντήρηση Κατοικιών</w:t>
            </w:r>
          </w:p>
        </w:tc>
        <w:tc>
          <w:tcPr>
            <w:tcW w:w="791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0A6B31B8" w14:textId="3531C155" w:rsidR="007F26E2" w:rsidRPr="00742971" w:rsidRDefault="007F26E2" w:rsidP="007F26E2">
            <w:pPr>
              <w:ind w:right="26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619</w:t>
            </w:r>
          </w:p>
        </w:tc>
        <w:tc>
          <w:tcPr>
            <w:tcW w:w="1223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D5F1C6C" w14:textId="73FDD698" w:rsidR="007F26E2" w:rsidRPr="00742971" w:rsidRDefault="007F26E2" w:rsidP="007F26E2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0,02</w:t>
            </w:r>
          </w:p>
        </w:tc>
        <w:tc>
          <w:tcPr>
            <w:tcW w:w="1219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4D242BF" w14:textId="6C1E80A0" w:rsidR="007F26E2" w:rsidRPr="00742971" w:rsidRDefault="007F26E2" w:rsidP="007F26E2">
            <w:pPr>
              <w:ind w:right="8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-0,02</w:t>
            </w:r>
          </w:p>
        </w:tc>
      </w:tr>
      <w:tr w:rsidR="00742971" w:rsidRPr="00742971" w14:paraId="107081D7" w14:textId="77777777" w:rsidTr="007F26E2">
        <w:trPr>
          <w:trHeight w:val="375"/>
          <w:jc w:val="center"/>
        </w:trPr>
        <w:tc>
          <w:tcPr>
            <w:tcW w:w="176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356D4CE7" w14:textId="5368CAB1" w:rsidR="007F26E2" w:rsidRPr="00742971" w:rsidRDefault="007F26E2" w:rsidP="007F26E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Υγεία</w:t>
            </w:r>
          </w:p>
        </w:tc>
        <w:tc>
          <w:tcPr>
            <w:tcW w:w="791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3D2C1508" w14:textId="3A7CB719" w:rsidR="007F26E2" w:rsidRPr="00742971" w:rsidRDefault="007F26E2" w:rsidP="007F26E2">
            <w:pPr>
              <w:ind w:right="26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371</w:t>
            </w:r>
          </w:p>
        </w:tc>
        <w:tc>
          <w:tcPr>
            <w:tcW w:w="1223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F2FA8F3" w14:textId="69395A41" w:rsidR="007F26E2" w:rsidRPr="00742971" w:rsidRDefault="007F26E2" w:rsidP="007F26E2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0,03</w:t>
            </w:r>
          </w:p>
        </w:tc>
        <w:tc>
          <w:tcPr>
            <w:tcW w:w="1219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2715256" w14:textId="5848719D" w:rsidR="007F26E2" w:rsidRPr="00742971" w:rsidRDefault="007F26E2" w:rsidP="007F26E2">
            <w:pPr>
              <w:ind w:right="8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0,01</w:t>
            </w:r>
          </w:p>
        </w:tc>
      </w:tr>
      <w:tr w:rsidR="00742971" w:rsidRPr="00742971" w14:paraId="120C2413" w14:textId="77777777" w:rsidTr="007F26E2">
        <w:trPr>
          <w:trHeight w:val="375"/>
          <w:jc w:val="center"/>
        </w:trPr>
        <w:tc>
          <w:tcPr>
            <w:tcW w:w="176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731CB5A" w14:textId="64220D0E" w:rsidR="007F26E2" w:rsidRPr="00742971" w:rsidRDefault="007F26E2" w:rsidP="007F26E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Μεταφορές</w:t>
            </w:r>
          </w:p>
        </w:tc>
        <w:tc>
          <w:tcPr>
            <w:tcW w:w="791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5C532904" w14:textId="6FE4E9DC" w:rsidR="007F26E2" w:rsidRPr="00742971" w:rsidRDefault="007F26E2" w:rsidP="007F26E2">
            <w:pPr>
              <w:ind w:right="26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1481</w:t>
            </w:r>
          </w:p>
        </w:tc>
        <w:tc>
          <w:tcPr>
            <w:tcW w:w="1223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D5958D0" w14:textId="6E3B737E" w:rsidR="007F26E2" w:rsidRPr="00742971" w:rsidRDefault="007F26E2" w:rsidP="007F26E2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-0,36</w:t>
            </w:r>
          </w:p>
        </w:tc>
        <w:tc>
          <w:tcPr>
            <w:tcW w:w="1219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67B12603" w14:textId="79CA9258" w:rsidR="007F26E2" w:rsidRPr="00742971" w:rsidRDefault="007F26E2" w:rsidP="007F26E2">
            <w:pPr>
              <w:ind w:right="8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-0,20</w:t>
            </w:r>
          </w:p>
        </w:tc>
      </w:tr>
      <w:tr w:rsidR="00742971" w:rsidRPr="00742971" w14:paraId="211DF7D2" w14:textId="77777777" w:rsidTr="007F26E2">
        <w:trPr>
          <w:trHeight w:val="375"/>
          <w:jc w:val="center"/>
        </w:trPr>
        <w:tc>
          <w:tcPr>
            <w:tcW w:w="176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6D09E5A" w14:textId="1ED95E03" w:rsidR="007F26E2" w:rsidRPr="00742971" w:rsidRDefault="007F26E2" w:rsidP="007F26E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Ενημέρωση και 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Επικοινωνί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</w:t>
            </w:r>
          </w:p>
        </w:tc>
        <w:tc>
          <w:tcPr>
            <w:tcW w:w="791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3C57DE67" w14:textId="7CD96306" w:rsidR="007F26E2" w:rsidRPr="00742971" w:rsidRDefault="007F26E2" w:rsidP="007F26E2">
            <w:pPr>
              <w:ind w:right="26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415</w:t>
            </w:r>
          </w:p>
        </w:tc>
        <w:tc>
          <w:tcPr>
            <w:tcW w:w="1223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1FBEB10" w14:textId="6B5D379F" w:rsidR="007F26E2" w:rsidRPr="00742971" w:rsidRDefault="007F26E2" w:rsidP="007F26E2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-0,08</w:t>
            </w:r>
          </w:p>
        </w:tc>
        <w:tc>
          <w:tcPr>
            <w:tcW w:w="1219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08758FE5" w14:textId="722BC020" w:rsidR="007F26E2" w:rsidRPr="00742971" w:rsidRDefault="007F26E2" w:rsidP="007F26E2">
            <w:pPr>
              <w:ind w:right="8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-0,07</w:t>
            </w:r>
          </w:p>
        </w:tc>
      </w:tr>
      <w:tr w:rsidR="00742971" w:rsidRPr="00742971" w14:paraId="5A0817DE" w14:textId="77777777" w:rsidTr="007F26E2">
        <w:trPr>
          <w:trHeight w:val="643"/>
          <w:jc w:val="center"/>
        </w:trPr>
        <w:tc>
          <w:tcPr>
            <w:tcW w:w="176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5B8EC8A" w14:textId="3816E2EB" w:rsidR="007F26E2" w:rsidRPr="00742971" w:rsidRDefault="007F26E2" w:rsidP="007F26E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Αναψυχή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 Αθλητισμός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Π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ολιτισμός</w:t>
            </w:r>
          </w:p>
        </w:tc>
        <w:tc>
          <w:tcPr>
            <w:tcW w:w="791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25714EA" w14:textId="6198E458" w:rsidR="007F26E2" w:rsidRPr="00742971" w:rsidRDefault="007F26E2" w:rsidP="007F26E2">
            <w:pPr>
              <w:ind w:right="26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694</w:t>
            </w:r>
          </w:p>
        </w:tc>
        <w:tc>
          <w:tcPr>
            <w:tcW w:w="1223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1CA4A59" w14:textId="13768516" w:rsidR="007F26E2" w:rsidRPr="00742971" w:rsidRDefault="007F26E2" w:rsidP="007F26E2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0,22</w:t>
            </w:r>
          </w:p>
        </w:tc>
        <w:tc>
          <w:tcPr>
            <w:tcW w:w="1219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892FD32" w14:textId="44DC6167" w:rsidR="007F26E2" w:rsidRPr="00742971" w:rsidRDefault="007F26E2" w:rsidP="007F26E2">
            <w:pPr>
              <w:ind w:right="8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-0,02</w:t>
            </w:r>
          </w:p>
        </w:tc>
      </w:tr>
      <w:tr w:rsidR="00742971" w:rsidRPr="00742971" w14:paraId="731D634B" w14:textId="77777777" w:rsidTr="007F26E2">
        <w:trPr>
          <w:trHeight w:val="375"/>
          <w:jc w:val="center"/>
        </w:trPr>
        <w:tc>
          <w:tcPr>
            <w:tcW w:w="176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03887C0A" w14:textId="27E02AF3" w:rsidR="007F26E2" w:rsidRPr="00742971" w:rsidRDefault="007F26E2" w:rsidP="007F26E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Εκπα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ιδ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ευ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τικές Υπηρεσίες</w:t>
            </w:r>
          </w:p>
        </w:tc>
        <w:tc>
          <w:tcPr>
            <w:tcW w:w="791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60B3DB0" w14:textId="7013ABD3" w:rsidR="007F26E2" w:rsidRPr="00742971" w:rsidRDefault="007F26E2" w:rsidP="007F26E2">
            <w:pPr>
              <w:ind w:right="26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376</w:t>
            </w:r>
          </w:p>
        </w:tc>
        <w:tc>
          <w:tcPr>
            <w:tcW w:w="1223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84A494E" w14:textId="55918009" w:rsidR="007F26E2" w:rsidRPr="00742971" w:rsidRDefault="007F26E2" w:rsidP="007F26E2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0,14</w:t>
            </w:r>
          </w:p>
        </w:tc>
        <w:tc>
          <w:tcPr>
            <w:tcW w:w="1219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4EAE9EF" w14:textId="49E9CE62" w:rsidR="007F26E2" w:rsidRPr="00742971" w:rsidRDefault="007F26E2" w:rsidP="007F26E2">
            <w:pPr>
              <w:ind w:right="8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0,01</w:t>
            </w:r>
          </w:p>
        </w:tc>
      </w:tr>
      <w:tr w:rsidR="00742971" w:rsidRPr="00742971" w14:paraId="68212E85" w14:textId="77777777" w:rsidTr="007F26E2">
        <w:trPr>
          <w:trHeight w:val="375"/>
          <w:jc w:val="center"/>
        </w:trPr>
        <w:tc>
          <w:tcPr>
            <w:tcW w:w="1767" w:type="pct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49771C9F" w14:textId="3F5216AB" w:rsidR="007F26E2" w:rsidRPr="00742971" w:rsidRDefault="007F26E2" w:rsidP="007F26E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Εστιατόρια και Υπηρεσίες </w:t>
            </w:r>
            <w:r w:rsidR="000268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αροχής Καταλύματος</w:t>
            </w:r>
          </w:p>
        </w:tc>
        <w:tc>
          <w:tcPr>
            <w:tcW w:w="791" w:type="pct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7991DAA6" w14:textId="2FB8D813" w:rsidR="007F26E2" w:rsidRPr="00742971" w:rsidRDefault="007F26E2" w:rsidP="007F26E2">
            <w:pPr>
              <w:ind w:right="26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1113</w:t>
            </w:r>
          </w:p>
        </w:tc>
        <w:tc>
          <w:tcPr>
            <w:tcW w:w="1223" w:type="pct"/>
            <w:tcBorders>
              <w:top w:val="nil"/>
            </w:tcBorders>
            <w:shd w:val="clear" w:color="FFFFFF" w:fill="FFFFFF"/>
            <w:vAlign w:val="center"/>
          </w:tcPr>
          <w:p w14:paraId="6B7DF8CE" w14:textId="7D6206DE" w:rsidR="007F26E2" w:rsidRPr="00742971" w:rsidRDefault="007F26E2" w:rsidP="007F26E2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0,52</w:t>
            </w:r>
          </w:p>
        </w:tc>
        <w:tc>
          <w:tcPr>
            <w:tcW w:w="1219" w:type="pct"/>
            <w:tcBorders>
              <w:top w:val="nil"/>
            </w:tcBorders>
            <w:shd w:val="clear" w:color="FFFFFF" w:fill="FFFFFF"/>
            <w:vAlign w:val="center"/>
          </w:tcPr>
          <w:p w14:paraId="5ABEE342" w14:textId="34AE77F2" w:rsidR="007F26E2" w:rsidRPr="00742971" w:rsidRDefault="007F26E2" w:rsidP="007F26E2">
            <w:pPr>
              <w:ind w:right="8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0,01</w:t>
            </w:r>
          </w:p>
        </w:tc>
      </w:tr>
      <w:tr w:rsidR="00742971" w:rsidRPr="00742971" w14:paraId="2191E49A" w14:textId="77777777" w:rsidTr="007F26E2">
        <w:trPr>
          <w:trHeight w:val="661"/>
          <w:jc w:val="center"/>
        </w:trPr>
        <w:tc>
          <w:tcPr>
            <w:tcW w:w="1767" w:type="pct"/>
            <w:tcBorders>
              <w:top w:val="nil"/>
            </w:tcBorders>
            <w:shd w:val="clear" w:color="FFFFFF" w:fill="FFFFFF"/>
            <w:noWrap/>
            <w:vAlign w:val="center"/>
          </w:tcPr>
          <w:p w14:paraId="4DB76289" w14:textId="6763261A" w:rsidR="007F26E2" w:rsidRPr="00742971" w:rsidRDefault="007F26E2" w:rsidP="007F26E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Ασφαλιστικές και Χρηματοπιστωτικές </w:t>
            </w:r>
            <w:r w:rsidR="000268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πηρεσίες</w:t>
            </w:r>
          </w:p>
        </w:tc>
        <w:tc>
          <w:tcPr>
            <w:tcW w:w="791" w:type="pct"/>
            <w:tcBorders>
              <w:top w:val="nil"/>
            </w:tcBorders>
            <w:shd w:val="clear" w:color="FFFFFF" w:fill="FFFFFF"/>
            <w:noWrap/>
            <w:vAlign w:val="center"/>
          </w:tcPr>
          <w:p w14:paraId="0F4C0115" w14:textId="614613E3" w:rsidR="007F26E2" w:rsidRPr="00742971" w:rsidRDefault="007F26E2" w:rsidP="007F26E2">
            <w:pPr>
              <w:ind w:right="26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236</w:t>
            </w:r>
          </w:p>
        </w:tc>
        <w:tc>
          <w:tcPr>
            <w:tcW w:w="1223" w:type="pct"/>
            <w:tcBorders>
              <w:top w:val="nil"/>
            </w:tcBorders>
            <w:shd w:val="clear" w:color="FFFFFF" w:fill="FFFFFF"/>
            <w:vAlign w:val="center"/>
          </w:tcPr>
          <w:p w14:paraId="71D237E6" w14:textId="3AF4AC79" w:rsidR="007F26E2" w:rsidRPr="00742971" w:rsidRDefault="007F26E2" w:rsidP="007F26E2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0,00</w:t>
            </w:r>
          </w:p>
        </w:tc>
        <w:tc>
          <w:tcPr>
            <w:tcW w:w="1219" w:type="pct"/>
            <w:tcBorders>
              <w:top w:val="nil"/>
            </w:tcBorders>
            <w:shd w:val="clear" w:color="FFFFFF" w:fill="FFFFFF"/>
            <w:vAlign w:val="center"/>
          </w:tcPr>
          <w:p w14:paraId="28B77861" w14:textId="57898189" w:rsidR="007F26E2" w:rsidRPr="00742971" w:rsidRDefault="007F26E2" w:rsidP="007F26E2">
            <w:pPr>
              <w:ind w:right="8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0,00</w:t>
            </w:r>
          </w:p>
        </w:tc>
      </w:tr>
      <w:tr w:rsidR="00742971" w:rsidRPr="00742971" w14:paraId="5C63625A" w14:textId="77777777" w:rsidTr="007F26E2">
        <w:trPr>
          <w:trHeight w:val="375"/>
          <w:jc w:val="center"/>
        </w:trPr>
        <w:tc>
          <w:tcPr>
            <w:tcW w:w="1767" w:type="pct"/>
            <w:tcBorders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C029276" w14:textId="2825C768" w:rsidR="007F26E2" w:rsidRPr="00742971" w:rsidRDefault="007F26E2" w:rsidP="007F26E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Προσωπική Φροντίδα, Κοινωνική Προστασία και </w:t>
            </w:r>
            <w:r w:rsidR="000268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ιάφορα Αγαθά και Υπηρεσίες</w:t>
            </w:r>
          </w:p>
        </w:tc>
        <w:tc>
          <w:tcPr>
            <w:tcW w:w="791" w:type="pct"/>
            <w:tcBorders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69B99327" w14:textId="3B583967" w:rsidR="007F26E2" w:rsidRPr="00742971" w:rsidRDefault="007F26E2" w:rsidP="007F26E2">
            <w:pPr>
              <w:ind w:right="264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572</w:t>
            </w:r>
          </w:p>
        </w:tc>
        <w:tc>
          <w:tcPr>
            <w:tcW w:w="1223" w:type="pct"/>
            <w:tcBorders>
              <w:bottom w:val="single" w:sz="4" w:space="0" w:color="366092"/>
            </w:tcBorders>
            <w:shd w:val="clear" w:color="FFFFFF" w:fill="FFFFFF"/>
            <w:vAlign w:val="center"/>
          </w:tcPr>
          <w:p w14:paraId="0F4F3AA7" w14:textId="513B4DF8" w:rsidR="007F26E2" w:rsidRPr="00742971" w:rsidRDefault="007F26E2" w:rsidP="007F26E2">
            <w:pPr>
              <w:ind w:right="78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0,10</w:t>
            </w:r>
          </w:p>
        </w:tc>
        <w:tc>
          <w:tcPr>
            <w:tcW w:w="1219" w:type="pct"/>
            <w:tcBorders>
              <w:bottom w:val="single" w:sz="4" w:space="0" w:color="366092"/>
            </w:tcBorders>
            <w:shd w:val="clear" w:color="FFFFFF" w:fill="FFFFFF"/>
            <w:vAlign w:val="center"/>
          </w:tcPr>
          <w:p w14:paraId="6D89D954" w14:textId="6B2AFDD4" w:rsidR="007F26E2" w:rsidRPr="00742971" w:rsidRDefault="007F26E2" w:rsidP="007F26E2">
            <w:pPr>
              <w:ind w:right="870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-0,03</w:t>
            </w:r>
          </w:p>
        </w:tc>
      </w:tr>
      <w:tr w:rsidR="00742971" w:rsidRPr="00742971" w14:paraId="6771A5B6" w14:textId="77777777" w:rsidTr="007F26E2">
        <w:trPr>
          <w:trHeight w:hRule="exact" w:val="567"/>
          <w:jc w:val="center"/>
        </w:trPr>
        <w:tc>
          <w:tcPr>
            <w:tcW w:w="1767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6BC0F3D4" w14:textId="77777777" w:rsidR="006A68F3" w:rsidRPr="00742971" w:rsidRDefault="006A68F3" w:rsidP="006A68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Γενικός Δείκτης Τιμών Καταναλωτή</w:t>
            </w:r>
          </w:p>
        </w:tc>
        <w:tc>
          <w:tcPr>
            <w:tcW w:w="791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645703C0" w14:textId="77777777" w:rsidR="006A68F3" w:rsidRPr="00742971" w:rsidRDefault="006A68F3" w:rsidP="006A68F3">
            <w:pPr>
              <w:ind w:firstLineChars="100" w:firstLine="181"/>
              <w:jc w:val="center"/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10000</w:t>
            </w:r>
          </w:p>
        </w:tc>
        <w:tc>
          <w:tcPr>
            <w:tcW w:w="1223" w:type="pct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7937C0C7" w14:textId="2888F1D5" w:rsidR="006A68F3" w:rsidRPr="00742971" w:rsidRDefault="00C56BD0" w:rsidP="002F1896">
            <w:pPr>
              <w:ind w:right="783" w:firstLineChars="100" w:firstLine="181"/>
              <w:jc w:val="right"/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0,5</w:t>
            </w:r>
            <w:r w:rsidR="00BE22C2" w:rsidRPr="0074297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</w:t>
            </w:r>
          </w:p>
        </w:tc>
        <w:tc>
          <w:tcPr>
            <w:tcW w:w="1219" w:type="pct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6AEB7EF0" w14:textId="4B270ABB" w:rsidR="006A68F3" w:rsidRPr="00742971" w:rsidRDefault="002F1896" w:rsidP="002F1896">
            <w:pPr>
              <w:ind w:right="870" w:firstLineChars="100" w:firstLine="181"/>
              <w:jc w:val="right"/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  </w:t>
            </w:r>
            <w:r w:rsidR="006A68F3" w:rsidRPr="0074297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="006A68F3" w:rsidRPr="0074297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0,</w:t>
            </w:r>
            <w:r w:rsidR="006A68F3" w:rsidRPr="0074297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30</w:t>
            </w:r>
          </w:p>
        </w:tc>
      </w:tr>
      <w:tr w:rsidR="00742971" w:rsidRPr="00742971" w14:paraId="29A93ED0" w14:textId="77777777" w:rsidTr="007F26E2">
        <w:trPr>
          <w:trHeight w:val="440"/>
          <w:jc w:val="center"/>
        </w:trPr>
        <w:tc>
          <w:tcPr>
            <w:tcW w:w="5000" w:type="pct"/>
            <w:gridSpan w:val="4"/>
            <w:tcBorders>
              <w:top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0CA907A1" w14:textId="77777777" w:rsidR="00A36D89" w:rsidRPr="00742971" w:rsidRDefault="00A36D89" w:rsidP="006022B5">
            <w:pPr>
              <w:rPr>
                <w:rFonts w:ascii="Verdana" w:eastAsia="Times New Roman" w:hAnsi="Verdana" w:cs="Arial"/>
                <w:bCs/>
                <w:color w:val="366092"/>
                <w:sz w:val="6"/>
                <w:szCs w:val="6"/>
                <w:lang w:val="el-GR"/>
              </w:rPr>
            </w:pPr>
          </w:p>
          <w:p w14:paraId="0DEF1FF2" w14:textId="3EECCE46" w:rsidR="006022B5" w:rsidRPr="00742971" w:rsidRDefault="006022B5" w:rsidP="006022B5">
            <w:pPr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</w:pPr>
            <w:r w:rsidRPr="00742971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  <w:t>Σημείωση: Τα αθροίσματα υπολογίζονται βάσει των επιμέρους επιπτώσεων με άπειρα δεκαδικά και δημοσιεύονται με στρογγυλοποίηση δυο δεκαδικών</w:t>
            </w:r>
            <w:r w:rsidR="00AA2EFD" w:rsidRPr="00742971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  <w:t>,</w:t>
            </w:r>
            <w:r w:rsidRPr="00742971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  <w:t xml:space="preserve"> Πιθανές διαφορές στα αθροίσματα είναι λόγω σφάλματος στρογγυλοποίησης</w:t>
            </w:r>
            <w:r w:rsidR="00AA2EFD" w:rsidRPr="00742971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  <w:t>,</w:t>
            </w:r>
            <w:r w:rsidRPr="00742971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  <w:t xml:space="preserve">    </w:t>
            </w:r>
          </w:p>
        </w:tc>
      </w:tr>
    </w:tbl>
    <w:p w14:paraId="5CDB785E" w14:textId="77777777" w:rsidR="006022B5" w:rsidRPr="00E21D72" w:rsidRDefault="006022B5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 </w:t>
      </w:r>
    </w:p>
    <w:p w14:paraId="6AA5A0F0" w14:textId="77777777" w:rsidR="006022B5" w:rsidRPr="00E21D72" w:rsidRDefault="006022B5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08D04DE" w14:textId="77777777" w:rsidR="006022B5" w:rsidRPr="00E21D72" w:rsidRDefault="006022B5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1110F0F" w14:textId="4E336AC7" w:rsidR="00E21D72" w:rsidRDefault="00E21D72" w:rsidP="004C6ABF">
      <w:pPr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tbl>
      <w:tblPr>
        <w:tblW w:w="9461" w:type="dxa"/>
        <w:jc w:val="center"/>
        <w:tblLook w:val="04A0" w:firstRow="1" w:lastRow="0" w:firstColumn="1" w:lastColumn="0" w:noHBand="0" w:noVBand="1"/>
      </w:tblPr>
      <w:tblGrid>
        <w:gridCol w:w="6234"/>
        <w:gridCol w:w="3227"/>
      </w:tblGrid>
      <w:tr w:rsidR="00742971" w:rsidRPr="00742971" w14:paraId="3F2DDA13" w14:textId="77777777" w:rsidTr="00E051EE">
        <w:trPr>
          <w:trHeight w:hRule="exact" w:val="340"/>
          <w:jc w:val="center"/>
        </w:trPr>
        <w:tc>
          <w:tcPr>
            <w:tcW w:w="9461" w:type="dxa"/>
            <w:gridSpan w:val="2"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77883388" w14:textId="77777777" w:rsidR="006022B5" w:rsidRPr="00742971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bookmarkStart w:id="2" w:name="OLE_LINK9"/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4</w:t>
            </w:r>
          </w:p>
        </w:tc>
      </w:tr>
      <w:tr w:rsidR="00742971" w:rsidRPr="00742971" w14:paraId="66D24933" w14:textId="77777777" w:rsidTr="00740321">
        <w:trPr>
          <w:trHeight w:val="630"/>
          <w:jc w:val="center"/>
        </w:trPr>
        <w:tc>
          <w:tcPr>
            <w:tcW w:w="6234" w:type="dxa"/>
            <w:vMerge w:val="restart"/>
            <w:tcBorders>
              <w:top w:val="single" w:sz="4" w:space="0" w:color="366092"/>
            </w:tcBorders>
            <w:shd w:val="clear" w:color="FFFFFF" w:fill="FFFFFF"/>
            <w:vAlign w:val="center"/>
            <w:hideMark/>
          </w:tcPr>
          <w:p w14:paraId="5D13D382" w14:textId="77777777" w:rsidR="006022B5" w:rsidRPr="00742971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Προϊόντα/Υπηρεσίες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5CA5FC70" w14:textId="77777777" w:rsidR="006022B5" w:rsidRPr="00742971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Επίπτωση (μονάδες)</w:t>
            </w:r>
          </w:p>
        </w:tc>
      </w:tr>
      <w:tr w:rsidR="00742971" w:rsidRPr="00742971" w14:paraId="5006246C" w14:textId="77777777" w:rsidTr="00740321">
        <w:trPr>
          <w:trHeight w:val="548"/>
          <w:jc w:val="center"/>
        </w:trPr>
        <w:tc>
          <w:tcPr>
            <w:tcW w:w="6234" w:type="dxa"/>
            <w:vMerge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C4F14AD" w14:textId="77777777" w:rsidR="004505D6" w:rsidRPr="00742971" w:rsidRDefault="004505D6" w:rsidP="004505D6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70D900F1" w14:textId="4FFC47AD" w:rsidR="004505D6" w:rsidRPr="00742971" w:rsidRDefault="005B2E7C" w:rsidP="004505D6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AA2EFD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4505D6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AA2EFD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="004505D6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/ </w:t>
            </w:r>
            <w:r w:rsidR="00AA2EFD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4505D6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AA2EFD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25</w:t>
            </w:r>
          </w:p>
        </w:tc>
      </w:tr>
      <w:tr w:rsidR="00742971" w:rsidRPr="00742971" w14:paraId="65257A6A" w14:textId="77777777" w:rsidTr="003A1153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6B01B47" w14:textId="0B4FB385" w:rsidR="00216205" w:rsidRPr="00742971" w:rsidRDefault="00216205" w:rsidP="00216205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</w:rPr>
              <w:t xml:space="preserve">Θετική </w:t>
            </w:r>
            <w:r w:rsidR="00F13540" w:rsidRPr="00742971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Ε</w:t>
            </w:r>
            <w:r w:rsidRPr="00742971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</w:rPr>
              <w:t>πίπτωση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7D1336AD" w14:textId="73D928B5" w:rsidR="00216205" w:rsidRPr="00742971" w:rsidRDefault="00216205" w:rsidP="00216205">
            <w:pPr>
              <w:ind w:right="1304" w:firstLineChars="200" w:firstLine="360"/>
              <w:jc w:val="center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color w:val="366092"/>
                <w:sz w:val="18"/>
                <w:szCs w:val="18"/>
              </w:rPr>
              <w:t> </w:t>
            </w:r>
          </w:p>
        </w:tc>
      </w:tr>
      <w:tr w:rsidR="00742971" w:rsidRPr="00742971" w14:paraId="5FA24DF5" w14:textId="77777777" w:rsidTr="00052D7F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D8899" w14:textId="4E9B7709" w:rsidR="00BD1A45" w:rsidRPr="00742971" w:rsidRDefault="00885E89" w:rsidP="00BD1A45">
            <w:pPr>
              <w:ind w:left="179" w:firstLine="142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Υπηρεσίες Εστίασης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6E32DE" w14:textId="53A2AF3D" w:rsidR="00BD1A45" w:rsidRPr="00742971" w:rsidRDefault="00BD1A45" w:rsidP="00BD1A45">
            <w:pPr>
              <w:ind w:left="179" w:right="1138" w:firstLine="142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Arial"/>
                <w:color w:val="366092"/>
                <w:sz w:val="18"/>
                <w:szCs w:val="18"/>
              </w:rPr>
              <w:t>0,</w:t>
            </w: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</w:t>
            </w:r>
            <w:r w:rsidR="00885E89"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9</w:t>
            </w:r>
          </w:p>
        </w:tc>
      </w:tr>
      <w:tr w:rsidR="00742971" w:rsidRPr="00742971" w14:paraId="6E5AF7BA" w14:textId="77777777" w:rsidTr="00052D7F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6202D" w14:textId="519C77AE" w:rsidR="00BD1A45" w:rsidRPr="00742971" w:rsidRDefault="000E3EFF" w:rsidP="00BD1A45">
            <w:pPr>
              <w:ind w:left="179" w:firstLine="142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Φρέσκα </w:t>
            </w:r>
            <w:r w:rsidR="00BD1A45"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Λαχανικά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D5F39" w14:textId="298B5F43" w:rsidR="00BD1A45" w:rsidRPr="00742971" w:rsidRDefault="00BD1A45" w:rsidP="00BD1A45">
            <w:pPr>
              <w:ind w:left="179" w:right="1138" w:firstLine="142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color w:val="366092"/>
                <w:sz w:val="18"/>
                <w:szCs w:val="18"/>
              </w:rPr>
              <w:t>0,</w:t>
            </w: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46</w:t>
            </w:r>
          </w:p>
        </w:tc>
      </w:tr>
      <w:tr w:rsidR="00742971" w:rsidRPr="00742971" w14:paraId="5B57BFFD" w14:textId="77777777" w:rsidTr="00052D7F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5C30A" w14:textId="58356684" w:rsidR="00BD1A45" w:rsidRPr="00742971" w:rsidRDefault="00BD1A45" w:rsidP="00BD1A45">
            <w:pPr>
              <w:ind w:left="179" w:firstLine="142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Υπηρεσίες για </w:t>
            </w:r>
            <w:r w:rsidR="00A56DA9"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Σ</w:t>
            </w: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υντήρηση </w:t>
            </w:r>
            <w:r w:rsidR="00B911BF"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Κ</w:t>
            </w: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ατοικίας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4857A8" w14:textId="2CAFF970" w:rsidR="00BD1A45" w:rsidRPr="00742971" w:rsidRDefault="00BD1A45" w:rsidP="00BD1A45">
            <w:pPr>
              <w:ind w:left="179" w:right="1138" w:firstLine="142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color w:val="366092"/>
                <w:sz w:val="18"/>
                <w:szCs w:val="18"/>
              </w:rPr>
              <w:t>0,1</w:t>
            </w: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</w:t>
            </w:r>
          </w:p>
        </w:tc>
      </w:tr>
      <w:tr w:rsidR="00742971" w:rsidRPr="00742971" w14:paraId="22FA0A3F" w14:textId="77777777" w:rsidTr="00052D7F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A97CA" w14:textId="69E45A67" w:rsidR="00BD1A45" w:rsidRPr="00742971" w:rsidRDefault="00BD1A45" w:rsidP="00BD1A45">
            <w:pPr>
              <w:ind w:left="179" w:firstLine="142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Πραγματικά Μισθώματα για Κύρια Οικία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DE0F34" w14:textId="43F114F5" w:rsidR="00BD1A45" w:rsidRPr="00742971" w:rsidRDefault="00BD1A45" w:rsidP="00BD1A45">
            <w:pPr>
              <w:ind w:left="179" w:right="1138" w:firstLine="142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color w:val="366092"/>
                <w:sz w:val="18"/>
                <w:szCs w:val="18"/>
              </w:rPr>
              <w:t>0,1</w:t>
            </w:r>
            <w:r w:rsidR="000E3EFF"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</w:t>
            </w:r>
          </w:p>
        </w:tc>
      </w:tr>
      <w:tr w:rsidR="00742971" w:rsidRPr="00742971" w14:paraId="73A643DA" w14:textId="77777777" w:rsidTr="00052D7F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63335" w14:textId="061BDB2B" w:rsidR="00BD1A45" w:rsidRPr="00742971" w:rsidRDefault="00BD1A45" w:rsidP="00BD1A45">
            <w:pPr>
              <w:ind w:left="179" w:firstLine="142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Διάφορα άλλα </w:t>
            </w:r>
            <w:r w:rsid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</w:t>
            </w: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ροϊόντα και </w:t>
            </w:r>
            <w:r w:rsid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πηρεσίες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73698" w14:textId="5FCA7E78" w:rsidR="00BD1A45" w:rsidRPr="00742971" w:rsidRDefault="00BD1A45" w:rsidP="00BD1A45">
            <w:pPr>
              <w:ind w:left="179" w:right="1138" w:firstLine="142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0,</w:t>
            </w:r>
            <w:r w:rsidR="000E3EFF"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60</w:t>
            </w:r>
          </w:p>
        </w:tc>
      </w:tr>
      <w:tr w:rsidR="00742971" w:rsidRPr="00742971" w14:paraId="5F56DE30" w14:textId="77777777" w:rsidTr="003A1153">
        <w:trPr>
          <w:trHeight w:val="300"/>
          <w:jc w:val="center"/>
        </w:trPr>
        <w:tc>
          <w:tcPr>
            <w:tcW w:w="6234" w:type="dxa"/>
            <w:tcBorders>
              <w:top w:val="nil"/>
            </w:tcBorders>
            <w:shd w:val="clear" w:color="FFFFFF" w:fill="FFFFFF"/>
            <w:vAlign w:val="center"/>
          </w:tcPr>
          <w:p w14:paraId="45CA1F54" w14:textId="162FE831" w:rsidR="00BD1A45" w:rsidRPr="00742971" w:rsidRDefault="00BD1A45" w:rsidP="00BD1A45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Αρνητική Επίπτωση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7620B1EE" w14:textId="37C419D7" w:rsidR="00BD1A45" w:rsidRPr="00742971" w:rsidRDefault="00BD1A45" w:rsidP="00BD1A45">
            <w:pPr>
              <w:ind w:left="326" w:right="1138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</w:tr>
      <w:tr w:rsidR="00742971" w:rsidRPr="00742971" w14:paraId="4CA969AA" w14:textId="77777777" w:rsidTr="00D0648D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555065" w14:textId="4404FE68" w:rsidR="00771B9A" w:rsidRPr="00742971" w:rsidRDefault="00771B9A" w:rsidP="00BD1A45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Πετρελαιοειδή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56F9EA96" w14:textId="192F0DB3" w:rsidR="00771B9A" w:rsidRPr="00742971" w:rsidRDefault="00771B9A" w:rsidP="00BD1A45">
            <w:pPr>
              <w:ind w:left="326" w:right="1138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-0,45</w:t>
            </w:r>
          </w:p>
        </w:tc>
      </w:tr>
      <w:tr w:rsidR="00742971" w:rsidRPr="00742971" w14:paraId="6602405F" w14:textId="77777777" w:rsidTr="00D0648D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CCDECC" w14:textId="52A28A0B" w:rsidR="00BD1A45" w:rsidRPr="00742971" w:rsidRDefault="00BD1A45" w:rsidP="00BD1A45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Είδη </w:t>
            </w:r>
            <w:r w:rsidR="00742971"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Ένδυσης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598BDF4C" w14:textId="097E9531" w:rsidR="00BD1A45" w:rsidRPr="00742971" w:rsidRDefault="00BD1A45" w:rsidP="00BD1A45">
            <w:pPr>
              <w:ind w:left="326" w:right="1138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-0,37</w:t>
            </w:r>
          </w:p>
        </w:tc>
      </w:tr>
      <w:tr w:rsidR="00742971" w:rsidRPr="00742971" w14:paraId="7B84283C" w14:textId="77777777" w:rsidTr="00D0648D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653240" w14:textId="72D6D7A4" w:rsidR="00771B9A" w:rsidRPr="00742971" w:rsidRDefault="00771B9A" w:rsidP="00771B9A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Ηλεκτρικό Ρεύμα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04458ECE" w14:textId="371B9C20" w:rsidR="00771B9A" w:rsidRPr="00742971" w:rsidRDefault="00771B9A" w:rsidP="00771B9A">
            <w:pPr>
              <w:ind w:left="326" w:right="1138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color w:val="366092"/>
                <w:sz w:val="18"/>
                <w:szCs w:val="18"/>
              </w:rPr>
              <w:t>-0,</w:t>
            </w: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26</w:t>
            </w:r>
          </w:p>
        </w:tc>
      </w:tr>
      <w:tr w:rsidR="00742971" w:rsidRPr="00742971" w14:paraId="157F0974" w14:textId="77777777" w:rsidTr="00D0648D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212099" w14:textId="31CEE77E" w:rsidR="00771B9A" w:rsidRPr="00742971" w:rsidRDefault="000E3EFF" w:rsidP="00771B9A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Μεταφορές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71EC68D8" w14:textId="12F2A9AF" w:rsidR="00771B9A" w:rsidRPr="00742971" w:rsidRDefault="000E3EFF" w:rsidP="00771B9A">
            <w:pPr>
              <w:ind w:left="326" w:right="1138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742971">
              <w:rPr>
                <w:rFonts w:ascii="Verdana" w:hAnsi="Verdana" w:cs="Arial"/>
                <w:color w:val="366092"/>
                <w:sz w:val="18"/>
                <w:szCs w:val="18"/>
              </w:rPr>
              <w:t>-0,21</w:t>
            </w:r>
          </w:p>
        </w:tc>
      </w:tr>
      <w:tr w:rsidR="00742971" w:rsidRPr="00742971" w14:paraId="7CE0AC98" w14:textId="77777777" w:rsidTr="003A1153">
        <w:trPr>
          <w:trHeight w:val="300"/>
          <w:jc w:val="center"/>
        </w:trPr>
        <w:tc>
          <w:tcPr>
            <w:tcW w:w="6234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7235CD23" w14:textId="12E6FA06" w:rsidR="00771B9A" w:rsidRPr="00742971" w:rsidRDefault="00771B9A" w:rsidP="00771B9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ΓΕΝΙΚΟ ΣΥΝΟΛΟ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150BB30D" w14:textId="5A0F16C7" w:rsidR="00771B9A" w:rsidRPr="00742971" w:rsidRDefault="00C56BD0" w:rsidP="00771B9A">
            <w:pPr>
              <w:ind w:right="1138" w:firstLineChars="200" w:firstLine="361"/>
              <w:jc w:val="right"/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</w:rPr>
              <w:t>0,5</w:t>
            </w:r>
            <w:r w:rsidR="00BE22C2" w:rsidRPr="00742971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1</w:t>
            </w:r>
          </w:p>
        </w:tc>
      </w:tr>
      <w:bookmarkEnd w:id="2"/>
    </w:tbl>
    <w:p w14:paraId="42BB662F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n-GB"/>
        </w:rPr>
      </w:pPr>
    </w:p>
    <w:p w14:paraId="2A4BF5B0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3F1D27E5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5C90568E" w14:textId="77777777" w:rsidR="006022B5" w:rsidRPr="00A36D89" w:rsidRDefault="006022B5" w:rsidP="00A36D89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285561AD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782DA6E2" w14:textId="092A2F61" w:rsidR="006022B5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32686059" w14:textId="77777777" w:rsidR="00A766A2" w:rsidRDefault="00A766A2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4FD7775C" w14:textId="77777777" w:rsidR="00BF2B1C" w:rsidRPr="00D56B64" w:rsidRDefault="00BF2B1C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tbl>
      <w:tblPr>
        <w:tblW w:w="9461" w:type="dxa"/>
        <w:jc w:val="center"/>
        <w:tblLook w:val="04A0" w:firstRow="1" w:lastRow="0" w:firstColumn="1" w:lastColumn="0" w:noHBand="0" w:noVBand="1"/>
      </w:tblPr>
      <w:tblGrid>
        <w:gridCol w:w="6234"/>
        <w:gridCol w:w="3227"/>
      </w:tblGrid>
      <w:tr w:rsidR="00742971" w:rsidRPr="00742971" w14:paraId="59D19A26" w14:textId="77777777" w:rsidTr="00E051EE">
        <w:trPr>
          <w:trHeight w:hRule="exact" w:val="340"/>
          <w:jc w:val="center"/>
        </w:trPr>
        <w:tc>
          <w:tcPr>
            <w:tcW w:w="9461" w:type="dxa"/>
            <w:gridSpan w:val="2"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0A682EA1" w14:textId="77777777" w:rsidR="006022B5" w:rsidRPr="00742971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5</w:t>
            </w:r>
          </w:p>
        </w:tc>
      </w:tr>
      <w:tr w:rsidR="00742971" w:rsidRPr="00742971" w14:paraId="5E069138" w14:textId="77777777" w:rsidTr="00740321">
        <w:trPr>
          <w:trHeight w:val="630"/>
          <w:jc w:val="center"/>
        </w:trPr>
        <w:tc>
          <w:tcPr>
            <w:tcW w:w="6234" w:type="dxa"/>
            <w:vMerge w:val="restart"/>
            <w:tcBorders>
              <w:top w:val="single" w:sz="4" w:space="0" w:color="366092"/>
            </w:tcBorders>
            <w:shd w:val="clear" w:color="FFFFFF" w:fill="FFFFFF"/>
            <w:vAlign w:val="center"/>
            <w:hideMark/>
          </w:tcPr>
          <w:p w14:paraId="59137E77" w14:textId="77777777" w:rsidR="006022B5" w:rsidRPr="00742971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Προϊόντα/Υπηρεσίες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5BE79330" w14:textId="77777777" w:rsidR="006022B5" w:rsidRPr="00742971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Επίπτωση (μονάδες)</w:t>
            </w:r>
          </w:p>
        </w:tc>
      </w:tr>
      <w:tr w:rsidR="00742971" w:rsidRPr="00742971" w14:paraId="0C3752BC" w14:textId="77777777" w:rsidTr="008C7CA1">
        <w:trPr>
          <w:trHeight w:val="548"/>
          <w:jc w:val="center"/>
        </w:trPr>
        <w:tc>
          <w:tcPr>
            <w:tcW w:w="6234" w:type="dxa"/>
            <w:vMerge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3CFE0A0E" w14:textId="77777777" w:rsidR="004505D6" w:rsidRPr="00742971" w:rsidRDefault="004505D6" w:rsidP="004505D6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78D48676" w14:textId="7A9C7A91" w:rsidR="004505D6" w:rsidRPr="00742971" w:rsidRDefault="00885E89" w:rsidP="004505D6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4505D6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="004505D6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/ </w:t>
            </w:r>
            <w:r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="004505D6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4505D6" w:rsidRPr="00742971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</w:tr>
      <w:tr w:rsidR="00742971" w:rsidRPr="00742971" w14:paraId="446C362D" w14:textId="77777777" w:rsidTr="001D2071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0BE80B9" w14:textId="50FCED64" w:rsidR="003968D1" w:rsidRPr="00742971" w:rsidRDefault="00936D92" w:rsidP="003968D1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 xml:space="preserve">Θετική </w:t>
            </w:r>
            <w:r w:rsidR="00F13540" w:rsidRPr="00742971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Ε</w:t>
            </w:r>
            <w:r w:rsidRPr="00742971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πίπτωση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775CF692" w14:textId="77777777" w:rsidR="003968D1" w:rsidRPr="00742971" w:rsidRDefault="003968D1" w:rsidP="001D2071">
            <w:pPr>
              <w:ind w:right="1138" w:firstLineChars="200" w:firstLine="360"/>
              <w:jc w:val="right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742971" w:rsidRPr="00742971" w14:paraId="0F1E746A" w14:textId="77777777" w:rsidTr="001D2071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75C978" w14:textId="1361B9F9" w:rsidR="00A56DA9" w:rsidRPr="00742971" w:rsidRDefault="00A56DA9" w:rsidP="00A56DA9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</w:rPr>
            </w:pPr>
            <w:bookmarkStart w:id="3" w:name="_Hlk197438631"/>
            <w:r w:rsidRPr="00742971">
              <w:rPr>
                <w:rFonts w:ascii="Verdana" w:hAnsi="Verdana" w:cs="Arial"/>
                <w:color w:val="366092"/>
                <w:sz w:val="18"/>
                <w:szCs w:val="18"/>
              </w:rPr>
              <w:t>Φρέσκα Λαχανικά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BEF734" w14:textId="71C33FE5" w:rsidR="00A56DA9" w:rsidRPr="00742971" w:rsidRDefault="00A56DA9" w:rsidP="001D2071">
            <w:pPr>
              <w:ind w:left="326" w:right="1138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B911BF"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5</w:t>
            </w:r>
            <w:r w:rsidR="001010DE"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</w:t>
            </w:r>
          </w:p>
        </w:tc>
      </w:tr>
      <w:bookmarkEnd w:id="3"/>
      <w:tr w:rsidR="00742971" w:rsidRPr="00742971" w14:paraId="1E797F73" w14:textId="77777777" w:rsidTr="001D2071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687F66" w14:textId="74502A47" w:rsidR="00A56DA9" w:rsidRPr="00742971" w:rsidRDefault="00A56DA9" w:rsidP="00A56DA9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Υπηρεσίες για Συντήρηση Κατοικίας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EC2CA5" w14:textId="60604A80" w:rsidR="00A56DA9" w:rsidRPr="00742971" w:rsidRDefault="00A56DA9" w:rsidP="001D2071">
            <w:pPr>
              <w:ind w:left="326" w:right="1138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B911BF"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05</w:t>
            </w:r>
          </w:p>
        </w:tc>
      </w:tr>
      <w:tr w:rsidR="00742971" w:rsidRPr="00742971" w14:paraId="6B057E0A" w14:textId="77777777" w:rsidTr="001D2071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7ECBBC" w14:textId="166D0A83" w:rsidR="00A56DA9" w:rsidRPr="00742971" w:rsidRDefault="00A56DA9" w:rsidP="00A56DA9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Προϊόντα Αρτοποιείας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5AA1FE" w14:textId="6916FB32" w:rsidR="00A56DA9" w:rsidRPr="00742971" w:rsidRDefault="00A56DA9" w:rsidP="001D2071">
            <w:pPr>
              <w:ind w:left="326" w:right="1138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B911BF"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04</w:t>
            </w:r>
          </w:p>
        </w:tc>
      </w:tr>
      <w:tr w:rsidR="00742971" w:rsidRPr="00742971" w14:paraId="4FB6AD18" w14:textId="77777777" w:rsidTr="001D2071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9A0FDD" w14:textId="0482E427" w:rsidR="00A56DA9" w:rsidRPr="00742971" w:rsidRDefault="00A56DA9" w:rsidP="00A56DA9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Κρέατα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5F8679" w14:textId="31AFA02E" w:rsidR="00A56DA9" w:rsidRPr="00742971" w:rsidRDefault="00A56DA9" w:rsidP="001D2071">
            <w:pPr>
              <w:ind w:left="326" w:right="1138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="00B911BF"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03</w:t>
            </w:r>
          </w:p>
        </w:tc>
      </w:tr>
      <w:tr w:rsidR="00742971" w:rsidRPr="00742971" w14:paraId="6FF13D4A" w14:textId="77777777" w:rsidTr="001D2071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33A4177" w14:textId="6A7B44EB" w:rsidR="00EE70B4" w:rsidRPr="00742971" w:rsidRDefault="00EE70B4" w:rsidP="00EE70B4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Διάφορα άλλα </w:t>
            </w:r>
            <w:r w:rsidR="00B911BF"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</w:t>
            </w: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ροϊόντα και </w:t>
            </w:r>
            <w:r w:rsidR="00B911BF"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πηρεσίες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EE604D" w14:textId="357A01B4" w:rsidR="00EE70B4" w:rsidRPr="00742971" w:rsidRDefault="00A56DA9" w:rsidP="001D2071">
            <w:pPr>
              <w:ind w:left="326" w:right="1138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0,01</w:t>
            </w:r>
          </w:p>
        </w:tc>
      </w:tr>
      <w:tr w:rsidR="00742971" w:rsidRPr="00742971" w14:paraId="704E8429" w14:textId="77777777" w:rsidTr="001D2071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E156208" w14:textId="77777777" w:rsidR="00EE70B4" w:rsidRPr="00742971" w:rsidRDefault="00EE70B4" w:rsidP="00EE70B4">
            <w:pPr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Αρνητική Επίπτωση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155EC8EA" w14:textId="77777777" w:rsidR="00EE70B4" w:rsidRPr="00742971" w:rsidRDefault="00EE70B4" w:rsidP="001D2071">
            <w:pPr>
              <w:ind w:left="326" w:right="1138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742971" w:rsidRPr="00742971" w14:paraId="4A4B0AD6" w14:textId="77777777" w:rsidTr="001D2071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CF1B693" w14:textId="0F2B5306" w:rsidR="00A56DA9" w:rsidRPr="00742971" w:rsidRDefault="00A56DA9" w:rsidP="00A56DA9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</w:t>
            </w: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Είδη Ένδυσης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6FF5F87F" w14:textId="160FEAC1" w:rsidR="00A56DA9" w:rsidRPr="00742971" w:rsidRDefault="00A56DA9" w:rsidP="001D2071">
            <w:pPr>
              <w:ind w:left="326" w:right="1138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="00B911BF"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58</w:t>
            </w:r>
          </w:p>
        </w:tc>
      </w:tr>
      <w:tr w:rsidR="00742971" w:rsidRPr="00742971" w14:paraId="1C576BD4" w14:textId="77777777" w:rsidTr="001D2071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AD0A19" w14:textId="5DFBD9BD" w:rsidR="00A56DA9" w:rsidRPr="00742971" w:rsidRDefault="00A56DA9" w:rsidP="00A56DA9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Είδη Υπόδησης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40692258" w14:textId="7BAD997E" w:rsidR="00A56DA9" w:rsidRPr="00742971" w:rsidRDefault="00A56DA9" w:rsidP="001D2071">
            <w:pPr>
              <w:ind w:left="326" w:right="1138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="00B911BF"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21</w:t>
            </w:r>
          </w:p>
        </w:tc>
      </w:tr>
      <w:tr w:rsidR="00742971" w:rsidRPr="00742971" w14:paraId="40AE2C41" w14:textId="77777777" w:rsidTr="001D2071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DCF80B" w14:textId="410EA964" w:rsidR="00A56DA9" w:rsidRPr="00742971" w:rsidRDefault="00A56DA9" w:rsidP="00A56DA9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Πετρελαιοειδή</w:t>
            </w:r>
            <w:r w:rsidRPr="0074297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27248FD2" w14:textId="4DE67D7E" w:rsidR="00A56DA9" w:rsidRPr="00742971" w:rsidRDefault="00A56DA9" w:rsidP="001D2071">
            <w:pPr>
              <w:ind w:left="326" w:right="1138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-0</w:t>
            </w:r>
            <w:r w:rsidR="00B911BF"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742971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14</w:t>
            </w:r>
          </w:p>
        </w:tc>
      </w:tr>
      <w:tr w:rsidR="00742971" w:rsidRPr="00742971" w14:paraId="1696B547" w14:textId="77777777" w:rsidTr="001D2071">
        <w:trPr>
          <w:trHeight w:val="300"/>
          <w:jc w:val="center"/>
        </w:trPr>
        <w:tc>
          <w:tcPr>
            <w:tcW w:w="6234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04ECCD32" w14:textId="77777777" w:rsidR="00040AAE" w:rsidRPr="00742971" w:rsidRDefault="00040AAE" w:rsidP="00040AAE">
            <w:pPr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742971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ΓΕΝΙΚΟ ΣΥΝΟΛΟ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0B88B50F" w14:textId="37FF5FDC" w:rsidR="00040AAE" w:rsidRPr="00742971" w:rsidRDefault="00A56DA9" w:rsidP="001D2071">
            <w:pPr>
              <w:ind w:right="1138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 w:eastAsia="en-CY"/>
              </w:rPr>
            </w:pPr>
            <w:r w:rsidRPr="0074297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="00040AAE" w:rsidRPr="0074297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0,</w:t>
            </w:r>
            <w:r w:rsidRPr="0074297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3</w:t>
            </w:r>
            <w:r w:rsidR="00040AAE" w:rsidRPr="0074297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0</w:t>
            </w:r>
          </w:p>
        </w:tc>
      </w:tr>
    </w:tbl>
    <w:p w14:paraId="2EB51A71" w14:textId="77777777" w:rsidR="006022B5" w:rsidRPr="00BF5960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EE0000"/>
          <w:sz w:val="18"/>
          <w:szCs w:val="18"/>
          <w:u w:val="single"/>
          <w:lang w:val="el-GR"/>
        </w:rPr>
      </w:pPr>
    </w:p>
    <w:p w14:paraId="74C43CFC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27648AE1" w14:textId="77777777" w:rsidR="006022B5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07D4ECFE" w14:textId="77777777" w:rsid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6FDF1279" w14:textId="77777777" w:rsid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35873F4E" w14:textId="77777777" w:rsidR="00DD0DD1" w:rsidRDefault="00DD0DD1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7824B4EA" w14:textId="77777777" w:rsidR="00DD0DD1" w:rsidRPr="00DD0DD1" w:rsidRDefault="00DD0DD1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08AF74B7" w14:textId="77777777" w:rsid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5321070C" w14:textId="77777777" w:rsidR="00091CF5" w:rsidRP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5730B2FA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4FFAD0D4" w14:textId="11D17952" w:rsidR="00C8341F" w:rsidRPr="00E21D72" w:rsidRDefault="00C8341F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73A34100" w14:textId="59018CB8" w:rsidR="0016172E" w:rsidRPr="00A15339" w:rsidRDefault="0016172E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2B804217" w14:textId="72743EA0" w:rsidR="0016172E" w:rsidRPr="00E21D72" w:rsidRDefault="0016172E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6F05DBDE" w14:textId="77777777" w:rsidR="006022B5" w:rsidRPr="00E21D72" w:rsidRDefault="006022B5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E21D72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3C2B4637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3318CA3" w14:textId="77777777" w:rsidR="006022B5" w:rsidRPr="00E21D72" w:rsidRDefault="006022B5" w:rsidP="00435E3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Ορισμοί</w:t>
      </w:r>
    </w:p>
    <w:p w14:paraId="7EED2F30" w14:textId="77777777" w:rsidR="006022B5" w:rsidRPr="00E21D72" w:rsidRDefault="006022B5" w:rsidP="00435E3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C384CCE" w14:textId="46184564" w:rsidR="006022B5" w:rsidRPr="00040AAE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E21D72">
        <w:rPr>
          <w:rFonts w:ascii="Verdana" w:eastAsia="Malgun Gothic" w:hAnsi="Verdana" w:cs="Arial"/>
          <w:b/>
          <w:sz w:val="18"/>
          <w:szCs w:val="18"/>
          <w:lang w:val="el-GR"/>
        </w:rPr>
        <w:t>Δείκτης Τιμών Καταναλωτή (ΔΤΚ)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είναι οικονομικός δείκτης που καταρτίζεται για τη μέτρηση των διαχρονικών μεταβολών στις τιμές των καταναλωτικών αγαθών και υπηρεσιών που αποκτώνται, χρησιμοποιούνται ή πληρώνονται από τα νοικοκυριά (διαμένουν στην Κύπρο ή έχουν σκοπό να διαμείνουν στην Κύπρο για ένα χρόνο τουλάχιστον)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Ο ΔΤΚ αποτελεί τον επίσημο δείκτη για τον υπολογισμό του πληθωρισμού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46E76B2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7069BCC" w14:textId="2C2AF3E8" w:rsidR="006022B5" w:rsidRPr="00497CF6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E21D72">
        <w:rPr>
          <w:rFonts w:ascii="Verdana" w:eastAsia="Malgun Gothic" w:hAnsi="Verdana" w:cs="Arial"/>
          <w:b/>
          <w:sz w:val="18"/>
          <w:szCs w:val="18"/>
          <w:lang w:val="el-GR"/>
        </w:rPr>
        <w:t>Πληθωρισμός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δείχνει τη μεταβολή του ΔΤΚ σε σχέση με τον αντίστοιχο μήνα του προηγούμενου έτους</w:t>
      </w:r>
      <w:r w:rsidR="00606F8C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1393B8C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52471B4" w14:textId="06DBD850" w:rsidR="006022B5" w:rsidRPr="00497CF6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 w:rsidRPr="00E21D72">
        <w:rPr>
          <w:rFonts w:ascii="Verdana" w:eastAsia="Malgun Gothic" w:hAnsi="Verdana" w:cs="Arial"/>
          <w:b/>
          <w:sz w:val="18"/>
          <w:szCs w:val="18"/>
          <w:lang w:val="el-GR"/>
        </w:rPr>
        <w:t>Επίπτωση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αντιπροσωπεύει το ποσό της συνολικής μεταβολής στον ΔΤΚ το οποίο οφείλεται στην αναφερόμενη κατηγορία/αγαθό/υπηρεσία</w:t>
      </w:r>
      <w:r w:rsidR="00606F8C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022ABDD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CC1A47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Τιμοληψία</w:t>
      </w:r>
    </w:p>
    <w:p w14:paraId="6BCF4E62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B5A34CE" w14:textId="08B405B9" w:rsidR="00C30A3C" w:rsidRPr="00C30A3C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30A3C">
        <w:rPr>
          <w:rFonts w:ascii="Verdana" w:eastAsia="Malgun Gothic" w:hAnsi="Verdana" w:cs="Arial"/>
          <w:sz w:val="18"/>
          <w:szCs w:val="18"/>
          <w:lang w:val="el-GR"/>
        </w:rPr>
        <w:t>Η τιμοληψία διενεργείται μόνο στις αστικές περιοχές των επαρχιών Λευκωσίας, Λάρνακας, Λεμεσού και Πάφου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Για κάθε πόλη οι αυξομειώσεις των τιμών κατά προϊόν και υπηρεσία για κάθε μήνα σταθμίζονται ανάλογα με τον πληθυσμό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AA2EFD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Συγκεκριμένα οι συντελεστές στάθμισης για τις τέσσερις επαρχίες είναι οι εξής: Λευκωσία 4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>%, Λεμεσός 30%, Λάρνακα 18% και Πάφος 1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606F8C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2EA8A84A" w14:textId="77777777" w:rsidR="00C30A3C" w:rsidRPr="00C30A3C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1298584" w14:textId="0729C1A2" w:rsidR="006022B5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Οι τιμές των 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850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προϊόντων και υπηρεσιών, που περιλαμβάνονται στον ΔΤΚ παρακολουθούνται και καταγράφονται μια φορά κάθε μήνα, εκτός από κάποια εποχικά προϊόντα (π</w:t>
      </w:r>
      <w:r w:rsidR="00F9192C" w:rsidRPr="00F9192C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>χ</w:t>
      </w:r>
      <w:r w:rsidR="00F9192C" w:rsidRPr="00F9192C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λαχανικά και φρούτα), τα κρέατα και τα καύσιμα, των οποίων οι τιμές συλλέγονται κάθε βδομάδα (κάθε Πέμπτη)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37AB0269" w14:textId="77777777" w:rsidR="00C30A3C" w:rsidRPr="00E21D72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0F3C191" w14:textId="4E41AF0C" w:rsidR="006022B5" w:rsidRPr="00E21D72" w:rsidRDefault="006022B5" w:rsidP="00435E38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Έτος </w:t>
      </w:r>
      <w:r w:rsid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Β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άσης</w:t>
      </w:r>
    </w:p>
    <w:p w14:paraId="12559C64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CCFF880" w14:textId="530E2065" w:rsidR="006022B5" w:rsidRDefault="00BE22C2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BE22C2">
        <w:rPr>
          <w:rFonts w:ascii="Verdana" w:eastAsia="Malgun Gothic" w:hAnsi="Verdana" w:cs="Arial"/>
          <w:sz w:val="18"/>
          <w:szCs w:val="18"/>
          <w:lang w:val="el-GR"/>
        </w:rPr>
        <w:t>Από τον Ιανουάριο του 2026 και μετέπειτα υιοθετείται ως έτος αναφοράς το 2025=100.Το έτος βάσης από τον Ιανουάριο του 2016 μέχρι το Δεκέμβριο του 2025 ήταν το 2015=100.</w:t>
      </w:r>
    </w:p>
    <w:p w14:paraId="1B35A054" w14:textId="77777777" w:rsidR="00BE22C2" w:rsidRPr="00E21D72" w:rsidRDefault="00BE22C2" w:rsidP="00435E38">
      <w:pPr>
        <w:jc w:val="both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217CF854" w14:textId="77777777" w:rsidR="006022B5" w:rsidRPr="00E21D72" w:rsidRDefault="006022B5" w:rsidP="00435E38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Ταξινόμηση                                                                                                                  </w:t>
      </w:r>
    </w:p>
    <w:p w14:paraId="524F8056" w14:textId="77777777" w:rsidR="006022B5" w:rsidRPr="00E21D72" w:rsidRDefault="006022B5" w:rsidP="00435E38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87B9B00" w14:textId="18FD3ED8" w:rsidR="00B06FC6" w:rsidRDefault="00BE22C2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BE22C2">
        <w:rPr>
          <w:rFonts w:ascii="Verdana" w:eastAsia="Malgun Gothic" w:hAnsi="Verdana" w:cs="Arial"/>
          <w:sz w:val="18"/>
          <w:szCs w:val="18"/>
          <w:lang w:val="el-GR"/>
        </w:rPr>
        <w:t>Μέχρι τον Δεκέμβριο του 2025, ο ΔΤΚ υπολογιζόταν και δημοσιευόταν βάσει της ταξινόμησης ECOICOP. Από τον Ιανουάριο του 2026 και μετέπειτα, ο ΔΤΚ υπολογίζεται και δημοσιεύεται βάσει της ταξινόμησης ECOICOP ver.2.Το χαμηλότερο επίπεδο λεπτομέρειας για την ταξινόμηση ECOICOP ver.2 που χρησιμοποιείται στον ΔΤΚ είναι τα πέντε ψηφία ανάλυσης.</w:t>
      </w:r>
    </w:p>
    <w:p w14:paraId="05978F39" w14:textId="77777777" w:rsidR="00BE22C2" w:rsidRPr="009B041C" w:rsidRDefault="00BE22C2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C00108D" w14:textId="77777777" w:rsidR="00297A13" w:rsidRPr="009B041C" w:rsidRDefault="00297A13" w:rsidP="00435E38">
      <w:pPr>
        <w:jc w:val="both"/>
        <w:rPr>
          <w:rFonts w:ascii="Verdana" w:eastAsia="Times New Roman" w:hAnsi="Verdana"/>
          <w:sz w:val="18"/>
          <w:szCs w:val="18"/>
          <w:highlight w:val="yellow"/>
          <w:lang w:val="el-GR"/>
        </w:rPr>
      </w:pPr>
    </w:p>
    <w:p w14:paraId="5A5D77AE" w14:textId="1FAD2A39" w:rsidR="006022B5" w:rsidRPr="00E21D72" w:rsidRDefault="006022B5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Προϊόντα/Υπηρεσίες και Συντελεστές </w:t>
      </w:r>
      <w:r w:rsid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τάθμισης</w:t>
      </w:r>
    </w:p>
    <w:p w14:paraId="4EC53982" w14:textId="225E3BAD" w:rsidR="006022B5" w:rsidRPr="00497CF6" w:rsidRDefault="006022B5" w:rsidP="00435E3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br/>
        <w:t>Με ισχύ από τον Ιανουάριο του 20</w:t>
      </w:r>
      <w:r w:rsidR="005D4CAE" w:rsidRPr="00375524">
        <w:rPr>
          <w:rFonts w:ascii="Verdana" w:eastAsia="Malgun Gothic" w:hAnsi="Verdana" w:cs="Arial"/>
          <w:sz w:val="18"/>
          <w:szCs w:val="18"/>
          <w:lang w:val="el-GR"/>
        </w:rPr>
        <w:t>26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, τόσο τα προϊόντα που περιέχονται στον ΔΤΚ όσο και οι συντελεστές στάθμισής τους αναθεωρήθηκαν</w:t>
      </w:r>
      <w:r w:rsidR="005D4CAE" w:rsidRPr="00375524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Η αναθεώρηση βασίστηκε στα αποτελέσματα της Έρευνας Οικογενειακών Προϋπολογισμών</w:t>
      </w:r>
      <w:r w:rsidR="00BE22C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5D4CAE" w:rsidRPr="00375524">
        <w:rPr>
          <w:rFonts w:ascii="Verdana" w:eastAsia="Malgun Gothic" w:hAnsi="Verdana" w:cs="Arial"/>
          <w:sz w:val="18"/>
          <w:szCs w:val="18"/>
          <w:lang w:val="el-GR"/>
        </w:rPr>
        <w:t>2023.</w:t>
      </w:r>
    </w:p>
    <w:p w14:paraId="419C4F4E" w14:textId="77777777" w:rsidR="005F3E17" w:rsidRDefault="005F3E17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78CC6F2" w14:textId="77777777" w:rsidR="006F749E" w:rsidRPr="00E21D72" w:rsidRDefault="006F749E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67D2B41" w14:textId="77777777" w:rsidR="006022B5" w:rsidRPr="00E21D72" w:rsidRDefault="006022B5" w:rsidP="006022B5">
      <w:pPr>
        <w:rPr>
          <w:rFonts w:ascii="Verdana" w:hAnsi="Verdana"/>
          <w:i/>
          <w:iCs/>
          <w:sz w:val="18"/>
          <w:szCs w:val="18"/>
          <w:lang w:val="el-GR"/>
        </w:rPr>
      </w:pPr>
      <w:r w:rsidRPr="00E21D72"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 w:rsidRPr="00E21D72"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0AF10108" w14:textId="77777777" w:rsidR="006022B5" w:rsidRPr="00E21D72" w:rsidRDefault="006022B5" w:rsidP="006022B5">
      <w:pPr>
        <w:rPr>
          <w:rFonts w:ascii="Verdana" w:hAnsi="Verdana"/>
          <w:sz w:val="18"/>
          <w:szCs w:val="18"/>
          <w:lang w:val="el-GR"/>
        </w:rPr>
      </w:pPr>
      <w:r w:rsidRPr="00E21D72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E21D7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Δείκτες Τιμών</w:t>
        </w:r>
      </w:hyperlink>
    </w:p>
    <w:p w14:paraId="5AC14E05" w14:textId="77777777" w:rsidR="006022B5" w:rsidRPr="00E21D72" w:rsidRDefault="006022B5" w:rsidP="006022B5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E21D72">
          <w:rPr>
            <w:rFonts w:ascii="Verdana" w:hAnsi="Verdana"/>
            <w:color w:val="0000FF"/>
            <w:sz w:val="18"/>
            <w:szCs w:val="18"/>
            <w:u w:val="single"/>
          </w:rPr>
          <w:t>CYSTAT</w:t>
        </w:r>
        <w:r w:rsidRPr="00E21D7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-</w:t>
        </w:r>
        <w:r w:rsidRPr="00E21D72">
          <w:rPr>
            <w:rFonts w:ascii="Verdana" w:hAnsi="Verdana"/>
            <w:color w:val="0000FF"/>
            <w:sz w:val="18"/>
            <w:szCs w:val="18"/>
            <w:u w:val="single"/>
          </w:rPr>
          <w:t>DB</w:t>
        </w:r>
      </w:hyperlink>
      <w:r w:rsidRPr="00E21D72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217E8B4C" w14:textId="77777777" w:rsidR="006022B5" w:rsidRPr="00E21D72" w:rsidRDefault="006022B5" w:rsidP="006022B5">
      <w:pPr>
        <w:jc w:val="both"/>
        <w:rPr>
          <w:rFonts w:ascii="Verdana" w:hAnsi="Verdana"/>
          <w:sz w:val="18"/>
          <w:szCs w:val="18"/>
          <w:lang w:val="el-GR"/>
        </w:rPr>
      </w:pPr>
      <w:hyperlink r:id="rId11" w:tooltip="Μεθοδολογικές Πληροφορίες" w:history="1">
        <w:r w:rsidRPr="00E21D7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Μεθοδολογικές Πληροφορίες</w:t>
        </w:r>
      </w:hyperlink>
    </w:p>
    <w:p w14:paraId="25ECF037" w14:textId="4328F4EE" w:rsidR="004C6ABF" w:rsidRDefault="00742971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hyperlink r:id="rId12" w:tooltip="Αναθεώρηση ΔΤΚ Γενάρης 2026" w:history="1">
        <w:r w:rsidRPr="00742971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Αναθεώρηση ΔΤΚ Γενάρης 2026</w:t>
        </w:r>
      </w:hyperlink>
    </w:p>
    <w:p w14:paraId="15AADD48" w14:textId="77777777" w:rsidR="00742971" w:rsidRPr="00266F1F" w:rsidRDefault="00742971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513D082" w14:textId="0C179B16" w:rsidR="004C6ABF" w:rsidRPr="00266F1F" w:rsidRDefault="006022B5" w:rsidP="00AC3F63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E21D72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E21D72">
        <w:rPr>
          <w:rFonts w:ascii="Verdana" w:hAnsi="Verdana"/>
          <w:sz w:val="18"/>
          <w:szCs w:val="18"/>
          <w:lang w:val="el-GR"/>
        </w:rPr>
        <w:t xml:space="preserve"> </w:t>
      </w:r>
    </w:p>
    <w:p w14:paraId="432FD17D" w14:textId="07EDCC02" w:rsidR="004C6ABF" w:rsidRPr="004C6ABF" w:rsidRDefault="004C6ABF" w:rsidP="004C6ABF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bookmarkStart w:id="4" w:name="_Hlk176173046"/>
      <w:r>
        <w:rPr>
          <w:rFonts w:ascii="Verdana" w:eastAsia="Malgun Gothic" w:hAnsi="Verdana" w:cs="Arial"/>
          <w:sz w:val="18"/>
          <w:szCs w:val="18"/>
          <w:lang w:val="el-GR"/>
        </w:rPr>
        <w:t>Σωφρόνης Βίκης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 Τηλ:+3572</w:t>
      </w:r>
      <w:r w:rsidRPr="004C6ABF">
        <w:rPr>
          <w:rFonts w:ascii="Verdana" w:eastAsia="Malgun Gothic" w:hAnsi="Verdana" w:cs="Arial"/>
          <w:sz w:val="18"/>
          <w:szCs w:val="18"/>
          <w:lang w:val="el-GR"/>
        </w:rPr>
        <w:t>2602206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, Ηλ</w:t>
      </w:r>
      <w:r w:rsidR="00D07AD5" w:rsidRPr="00D07AD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Ταχ</w:t>
      </w:r>
      <w:r w:rsidR="00D07AD5" w:rsidRPr="00D07AD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3" w:history="1">
        <w:r w:rsidR="00F9192C" w:rsidRPr="0019002C">
          <w:rPr>
            <w:rStyle w:val="Hyperlink"/>
            <w:rFonts w:ascii="Verdana" w:eastAsia="Malgun Gothic" w:hAnsi="Verdana" w:cs="Arial"/>
            <w:sz w:val="18"/>
            <w:szCs w:val="18"/>
          </w:rPr>
          <w:t>svikis</w:t>
        </w:r>
        <w:r w:rsidR="00F9192C" w:rsidRPr="0019002C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610A4C7F" w14:textId="5FEED34E" w:rsidR="006022B5" w:rsidRPr="00E21D72" w:rsidRDefault="004C6ABF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Κυριάκος Βουτουρής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>: Τηλ:+3572260</w:t>
      </w:r>
      <w:r>
        <w:rPr>
          <w:rFonts w:ascii="Verdana" w:eastAsia="Malgun Gothic" w:hAnsi="Verdana" w:cs="Arial"/>
          <w:sz w:val="18"/>
          <w:szCs w:val="18"/>
          <w:lang w:val="el-GR"/>
        </w:rPr>
        <w:t>5132</w:t>
      </w:r>
      <w:r w:rsidR="00D07AD5" w:rsidRPr="00350071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Ηλ</w:t>
      </w:r>
      <w:r w:rsidR="00F9192C" w:rsidRPr="00F9192C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Ταχ</w:t>
      </w:r>
      <w:r w:rsidR="00D07AD5" w:rsidRPr="00D07AD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4" w:history="1">
        <w:r w:rsidR="00F9192C" w:rsidRPr="0019002C">
          <w:rPr>
            <w:rStyle w:val="Hyperlink"/>
            <w:rFonts w:ascii="Verdana" w:eastAsia="Malgun Gothic" w:hAnsi="Verdana" w:cs="Arial"/>
            <w:sz w:val="18"/>
            <w:szCs w:val="18"/>
          </w:rPr>
          <w:t>kvoutouris</w:t>
        </w:r>
        <w:r w:rsidR="00F9192C" w:rsidRPr="0019002C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5EC9F783" w14:textId="45EF27B4" w:rsidR="004C6ABF" w:rsidRPr="00E21D72" w:rsidRDefault="004C6ABF" w:rsidP="004C6ABF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Φίλιππος Κακούτσης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 Τηλ:+3572260</w:t>
      </w:r>
      <w:r>
        <w:rPr>
          <w:rFonts w:ascii="Verdana" w:eastAsia="Malgun Gothic" w:hAnsi="Verdana" w:cs="Arial"/>
          <w:sz w:val="18"/>
          <w:szCs w:val="18"/>
          <w:lang w:val="el-GR"/>
        </w:rPr>
        <w:t>5149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, Ηλ</w:t>
      </w:r>
      <w:r w:rsidR="00D07AD5" w:rsidRPr="00D07AD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Ταχ</w:t>
      </w:r>
      <w:r w:rsidR="00D07AD5" w:rsidRPr="00D07AD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5" w:history="1">
        <w:r w:rsidR="00D07AD5" w:rsidRPr="00DF29F7">
          <w:rPr>
            <w:rStyle w:val="Hyperlink"/>
            <w:rFonts w:ascii="Verdana" w:eastAsia="Malgun Gothic" w:hAnsi="Verdana" w:cs="Arial"/>
            <w:sz w:val="18"/>
            <w:szCs w:val="18"/>
          </w:rPr>
          <w:t>fkakoutsis</w:t>
        </w:r>
        <w:r w:rsidR="00D07AD5" w:rsidRPr="00DF29F7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bookmarkEnd w:id="4"/>
    <w:p w14:paraId="13A37716" w14:textId="011C3740" w:rsidR="001712CF" w:rsidRPr="00E21D72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437CE1C" w14:textId="0BEAC8D7" w:rsidR="00761E3A" w:rsidRPr="00E21D72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761E3A" w:rsidRPr="00E21D72" w:rsidSect="008620CD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9F141" w14:textId="77777777" w:rsidR="000C1D0B" w:rsidRDefault="000C1D0B" w:rsidP="00FB398F">
      <w:r>
        <w:separator/>
      </w:r>
    </w:p>
  </w:endnote>
  <w:endnote w:type="continuationSeparator" w:id="0">
    <w:p w14:paraId="3F4B0693" w14:textId="77777777" w:rsidR="000C1D0B" w:rsidRDefault="000C1D0B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656571">
      <w:rPr>
        <w:noProof/>
      </w:rPr>
      <w:t>5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4E4F42" w:rsidRPr="00C80D18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C80D18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C80D18">
      <w:rPr>
        <w:rFonts w:ascii="Verdana" w:hAnsi="Verdana" w:cs="Arial"/>
        <w:sz w:val="16"/>
        <w:szCs w:val="16"/>
        <w:lang w:val="el-GR"/>
      </w:rPr>
      <w:t>ήλ</w:t>
    </w:r>
    <w:r w:rsidRPr="00C80D18">
      <w:rPr>
        <w:rFonts w:ascii="Verdana" w:hAnsi="Verdana" w:cs="Arial"/>
        <w:sz w:val="16"/>
        <w:szCs w:val="16"/>
        <w:lang w:val="el-GR"/>
      </w:rPr>
      <w:t xml:space="preserve"> Καραολή, 1444 Λευκωσία, Κύπρος</w:t>
    </w:r>
  </w:p>
  <w:p w14:paraId="701EBEC3" w14:textId="48BF6C7B" w:rsidR="004E4F42" w:rsidRPr="00C80D18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C80D18">
      <w:rPr>
        <w:rFonts w:ascii="Verdana" w:hAnsi="Verdana" w:cs="Arial"/>
        <w:sz w:val="16"/>
        <w:szCs w:val="16"/>
        <w:lang w:val="el-GR"/>
      </w:rPr>
      <w:t>Τηλ</w:t>
    </w:r>
    <w:r w:rsidR="00EB0179">
      <w:rPr>
        <w:rFonts w:ascii="Verdana" w:hAnsi="Verdana" w:cs="Arial"/>
        <w:sz w:val="16"/>
        <w:szCs w:val="16"/>
        <w:lang w:val="el-GR"/>
      </w:rPr>
      <w:t>,</w:t>
    </w:r>
    <w:r w:rsidRPr="00C80D18">
      <w:rPr>
        <w:rFonts w:ascii="Verdana" w:hAnsi="Verdana" w:cs="Arial"/>
        <w:sz w:val="16"/>
        <w:szCs w:val="16"/>
        <w:lang w:val="el-GR"/>
      </w:rPr>
      <w:t xml:space="preserve">: 22 602129, </w:t>
    </w:r>
    <w:r w:rsidR="00C80D18" w:rsidRPr="00C80D18">
      <w:rPr>
        <w:rFonts w:ascii="Verdana" w:hAnsi="Verdana" w:cs="Arial"/>
        <w:sz w:val="16"/>
        <w:szCs w:val="16"/>
        <w:lang w:val="el-GR"/>
      </w:rPr>
      <w:t>Ηλ</w:t>
    </w:r>
    <w:r w:rsidR="00EB0179">
      <w:rPr>
        <w:rFonts w:ascii="Verdana" w:hAnsi="Verdana" w:cs="Arial"/>
        <w:sz w:val="16"/>
        <w:szCs w:val="16"/>
        <w:lang w:val="el-GR"/>
      </w:rPr>
      <w:t xml:space="preserve">. </w:t>
    </w:r>
    <w:r w:rsidR="00C80D18" w:rsidRPr="00C80D18">
      <w:rPr>
        <w:rFonts w:ascii="Verdana" w:hAnsi="Verdana" w:cs="Arial"/>
        <w:sz w:val="16"/>
        <w:szCs w:val="16"/>
        <w:lang w:val="el-GR"/>
      </w:rPr>
      <w:t>Ταχ</w:t>
    </w:r>
    <w:r w:rsidR="00EB0179">
      <w:rPr>
        <w:rFonts w:ascii="Verdana" w:hAnsi="Verdana" w:cs="Arial"/>
        <w:sz w:val="16"/>
        <w:szCs w:val="16"/>
        <w:lang w:val="el-GR"/>
      </w:rPr>
      <w:t>.</w:t>
    </w:r>
    <w:r w:rsidRPr="00C80D18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="00EB0179" w:rsidRPr="0044396E">
        <w:rPr>
          <w:rStyle w:val="Hyperlink"/>
          <w:rFonts w:ascii="Verdana" w:hAnsi="Verdana" w:cs="Arial"/>
          <w:sz w:val="16"/>
          <w:szCs w:val="16"/>
          <w:lang w:val="de-DE"/>
        </w:rPr>
        <w:t>enquiries@cystat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de-DE"/>
        </w:rPr>
        <w:t>mof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de-DE"/>
        </w:rPr>
        <w:t>gov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de-DE"/>
        </w:rPr>
        <w:t>cy</w:t>
      </w:r>
    </w:hyperlink>
    <w:r w:rsidRPr="00C80D18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4711C07B" w:rsidR="004E4F42" w:rsidRPr="00C80D18" w:rsidRDefault="00C80D18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C80D18">
      <w:rPr>
        <w:rFonts w:ascii="Verdana" w:hAnsi="Verdana" w:cs="Arial"/>
        <w:sz w:val="16"/>
        <w:szCs w:val="16"/>
        <w:lang w:val="el-GR"/>
      </w:rPr>
      <w:t>Διαδικτυακή</w:t>
    </w:r>
    <w:r w:rsidRPr="00C80D18">
      <w:rPr>
        <w:rFonts w:ascii="Verdana" w:hAnsi="Verdana" w:cs="Arial"/>
        <w:sz w:val="16"/>
        <w:szCs w:val="16"/>
        <w:lang w:val="de-DE"/>
      </w:rPr>
      <w:t xml:space="preserve"> </w:t>
    </w:r>
    <w:r w:rsidRPr="00C80D18">
      <w:rPr>
        <w:rFonts w:ascii="Verdana" w:hAnsi="Verdana" w:cs="Arial"/>
        <w:sz w:val="16"/>
        <w:szCs w:val="16"/>
        <w:lang w:val="el-GR"/>
      </w:rPr>
      <w:t>Πύλη</w:t>
    </w:r>
    <w:r w:rsidR="004E4F42" w:rsidRPr="00C80D18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EB0179" w:rsidRPr="0044396E">
        <w:rPr>
          <w:rStyle w:val="Hyperlink"/>
          <w:rFonts w:ascii="Verdana" w:hAnsi="Verdana" w:cs="Arial"/>
          <w:sz w:val="16"/>
          <w:szCs w:val="16"/>
        </w:rPr>
        <w:t>http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EB0179" w:rsidRPr="0044396E">
        <w:rPr>
          <w:rStyle w:val="Hyperlink"/>
          <w:rFonts w:ascii="Verdana" w:hAnsi="Verdana" w:cs="Arial"/>
          <w:sz w:val="16"/>
          <w:szCs w:val="16"/>
        </w:rPr>
        <w:t>www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</w:rPr>
        <w:t>cystat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</w:rPr>
        <w:t>gov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C80D18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CE845" w14:textId="77777777" w:rsidR="000C1D0B" w:rsidRDefault="000C1D0B" w:rsidP="00FB398F">
      <w:r>
        <w:separator/>
      </w:r>
    </w:p>
  </w:footnote>
  <w:footnote w:type="continuationSeparator" w:id="0">
    <w:p w14:paraId="13C78823" w14:textId="77777777" w:rsidR="000C1D0B" w:rsidRDefault="000C1D0B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544F792A">
              <wp:simplePos x="0" y="0"/>
              <wp:positionH relativeFrom="column">
                <wp:posOffset>4090035</wp:posOffset>
              </wp:positionH>
              <wp:positionV relativeFrom="paragraph">
                <wp:posOffset>102870</wp:posOffset>
              </wp:positionV>
              <wp:extent cx="1895475" cy="438150"/>
              <wp:effectExtent l="0" t="0" r="9525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C80D18" w:rsidRDefault="004E4F42" w:rsidP="00C80D18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80D18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C80D18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C80D18" w:rsidRDefault="004E4F42" w:rsidP="00C80D18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80D18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22.05pt;margin-top:8.1pt;width:149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" stroked="f">
              <v:textbox>
                <w:txbxContent>
                  <w:p w14:paraId="505F9DD1" w14:textId="77777777" w:rsidR="004E4F42" w:rsidRPr="00C80D18" w:rsidRDefault="004E4F42" w:rsidP="00C80D18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80D18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C80D18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C80D18" w:rsidRDefault="004E4F42" w:rsidP="00C80D18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80D18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1C983FD7" w:rsidR="004E4F42" w:rsidRPr="00C80D18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C80D18">
      <w:rPr>
        <w:rFonts w:ascii="Verdana" w:hAnsi="Verdana" w:cs="Arial"/>
        <w:bCs/>
        <w:sz w:val="20"/>
        <w:szCs w:val="20"/>
      </w:rPr>
      <w:t>ΚΥΠΡΙΑΚΗ ΔΗΜΟΚΡΑΤΙΑ</w:t>
    </w:r>
    <w:r w:rsidRPr="00C80D18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C80D18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54F770FF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8ED"/>
    <w:multiLevelType w:val="hybridMultilevel"/>
    <w:tmpl w:val="9FA888A0"/>
    <w:lvl w:ilvl="0" w:tplc="5DDA0D6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B6379"/>
    <w:multiLevelType w:val="hybridMultilevel"/>
    <w:tmpl w:val="38CEA68C"/>
    <w:lvl w:ilvl="0" w:tplc="7F94C544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448878">
    <w:abstractNumId w:val="6"/>
  </w:num>
  <w:num w:numId="2" w16cid:durableId="84152070">
    <w:abstractNumId w:val="3"/>
  </w:num>
  <w:num w:numId="3" w16cid:durableId="549270179">
    <w:abstractNumId w:val="4"/>
  </w:num>
  <w:num w:numId="4" w16cid:durableId="1723366128">
    <w:abstractNumId w:val="5"/>
  </w:num>
  <w:num w:numId="5" w16cid:durableId="599532453">
    <w:abstractNumId w:val="2"/>
  </w:num>
  <w:num w:numId="6" w16cid:durableId="1335953990">
    <w:abstractNumId w:val="7"/>
  </w:num>
  <w:num w:numId="7" w16cid:durableId="1730764302">
    <w:abstractNumId w:val="0"/>
  </w:num>
  <w:num w:numId="8" w16cid:durableId="15591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18D0"/>
    <w:rsid w:val="00002458"/>
    <w:rsid w:val="00003EF2"/>
    <w:rsid w:val="0000542E"/>
    <w:rsid w:val="0000572F"/>
    <w:rsid w:val="00011A54"/>
    <w:rsid w:val="00011A59"/>
    <w:rsid w:val="00013AF3"/>
    <w:rsid w:val="00013E40"/>
    <w:rsid w:val="0001436B"/>
    <w:rsid w:val="000161B1"/>
    <w:rsid w:val="00017447"/>
    <w:rsid w:val="00023312"/>
    <w:rsid w:val="0002394B"/>
    <w:rsid w:val="00023CEB"/>
    <w:rsid w:val="00024180"/>
    <w:rsid w:val="00025498"/>
    <w:rsid w:val="00025A39"/>
    <w:rsid w:val="00025B1F"/>
    <w:rsid w:val="000268D7"/>
    <w:rsid w:val="00026B18"/>
    <w:rsid w:val="00027853"/>
    <w:rsid w:val="00027FDE"/>
    <w:rsid w:val="00030E18"/>
    <w:rsid w:val="00031D32"/>
    <w:rsid w:val="000323E4"/>
    <w:rsid w:val="00032B89"/>
    <w:rsid w:val="00034088"/>
    <w:rsid w:val="0003590E"/>
    <w:rsid w:val="00035D89"/>
    <w:rsid w:val="0003603D"/>
    <w:rsid w:val="00037999"/>
    <w:rsid w:val="00040319"/>
    <w:rsid w:val="00040AAE"/>
    <w:rsid w:val="00040D50"/>
    <w:rsid w:val="00042925"/>
    <w:rsid w:val="0004388D"/>
    <w:rsid w:val="000446A6"/>
    <w:rsid w:val="00045088"/>
    <w:rsid w:val="00045A06"/>
    <w:rsid w:val="00046E20"/>
    <w:rsid w:val="00050391"/>
    <w:rsid w:val="00051603"/>
    <w:rsid w:val="00052D7F"/>
    <w:rsid w:val="00055291"/>
    <w:rsid w:val="000563D3"/>
    <w:rsid w:val="00057E44"/>
    <w:rsid w:val="00061299"/>
    <w:rsid w:val="000617D1"/>
    <w:rsid w:val="0006192B"/>
    <w:rsid w:val="000623EA"/>
    <w:rsid w:val="00062BC7"/>
    <w:rsid w:val="0006328F"/>
    <w:rsid w:val="00070576"/>
    <w:rsid w:val="00071169"/>
    <w:rsid w:val="000719D5"/>
    <w:rsid w:val="00075278"/>
    <w:rsid w:val="000752BB"/>
    <w:rsid w:val="0007536D"/>
    <w:rsid w:val="000757DC"/>
    <w:rsid w:val="00075B75"/>
    <w:rsid w:val="00076629"/>
    <w:rsid w:val="00081ADF"/>
    <w:rsid w:val="00082072"/>
    <w:rsid w:val="00082B42"/>
    <w:rsid w:val="0008371A"/>
    <w:rsid w:val="00083B45"/>
    <w:rsid w:val="00083C14"/>
    <w:rsid w:val="00084A02"/>
    <w:rsid w:val="00084BF7"/>
    <w:rsid w:val="00085368"/>
    <w:rsid w:val="00085B1F"/>
    <w:rsid w:val="00085CBD"/>
    <w:rsid w:val="000870E9"/>
    <w:rsid w:val="00087188"/>
    <w:rsid w:val="0008778C"/>
    <w:rsid w:val="00087B3C"/>
    <w:rsid w:val="00091CF5"/>
    <w:rsid w:val="00092B35"/>
    <w:rsid w:val="0009301B"/>
    <w:rsid w:val="000932CF"/>
    <w:rsid w:val="000956E4"/>
    <w:rsid w:val="00096ED8"/>
    <w:rsid w:val="000A1A88"/>
    <w:rsid w:val="000A2B5C"/>
    <w:rsid w:val="000A3601"/>
    <w:rsid w:val="000A50D8"/>
    <w:rsid w:val="000A6747"/>
    <w:rsid w:val="000A6FA8"/>
    <w:rsid w:val="000B0180"/>
    <w:rsid w:val="000B2DD0"/>
    <w:rsid w:val="000B4BEA"/>
    <w:rsid w:val="000B5FF1"/>
    <w:rsid w:val="000C1070"/>
    <w:rsid w:val="000C1D0B"/>
    <w:rsid w:val="000C44D1"/>
    <w:rsid w:val="000C4E72"/>
    <w:rsid w:val="000C5D92"/>
    <w:rsid w:val="000C74FC"/>
    <w:rsid w:val="000D04BB"/>
    <w:rsid w:val="000D11C6"/>
    <w:rsid w:val="000D1E7A"/>
    <w:rsid w:val="000D7736"/>
    <w:rsid w:val="000E027A"/>
    <w:rsid w:val="000E24B1"/>
    <w:rsid w:val="000E2735"/>
    <w:rsid w:val="000E32D6"/>
    <w:rsid w:val="000E3EFF"/>
    <w:rsid w:val="000E4932"/>
    <w:rsid w:val="000E4CB0"/>
    <w:rsid w:val="000E57F2"/>
    <w:rsid w:val="000E5D96"/>
    <w:rsid w:val="000E63DB"/>
    <w:rsid w:val="000E72A7"/>
    <w:rsid w:val="000F1162"/>
    <w:rsid w:val="000F121F"/>
    <w:rsid w:val="000F3467"/>
    <w:rsid w:val="000F38DE"/>
    <w:rsid w:val="000F3F2A"/>
    <w:rsid w:val="000F448C"/>
    <w:rsid w:val="000F4BC8"/>
    <w:rsid w:val="000F532A"/>
    <w:rsid w:val="000F5D6C"/>
    <w:rsid w:val="000F5E64"/>
    <w:rsid w:val="001010DE"/>
    <w:rsid w:val="00102921"/>
    <w:rsid w:val="00105543"/>
    <w:rsid w:val="0010612E"/>
    <w:rsid w:val="00106852"/>
    <w:rsid w:val="001079D8"/>
    <w:rsid w:val="00110F9D"/>
    <w:rsid w:val="00111708"/>
    <w:rsid w:val="00114A67"/>
    <w:rsid w:val="00114C61"/>
    <w:rsid w:val="001157E4"/>
    <w:rsid w:val="00117099"/>
    <w:rsid w:val="00123DE8"/>
    <w:rsid w:val="00124941"/>
    <w:rsid w:val="001253B6"/>
    <w:rsid w:val="001262C3"/>
    <w:rsid w:val="00127320"/>
    <w:rsid w:val="00127456"/>
    <w:rsid w:val="00130726"/>
    <w:rsid w:val="00131127"/>
    <w:rsid w:val="001312D8"/>
    <w:rsid w:val="0013137B"/>
    <w:rsid w:val="00132903"/>
    <w:rsid w:val="001348EF"/>
    <w:rsid w:val="0013531A"/>
    <w:rsid w:val="001412A0"/>
    <w:rsid w:val="00142C02"/>
    <w:rsid w:val="00147073"/>
    <w:rsid w:val="00147887"/>
    <w:rsid w:val="001510F4"/>
    <w:rsid w:val="0015118B"/>
    <w:rsid w:val="001519CE"/>
    <w:rsid w:val="001547F3"/>
    <w:rsid w:val="00154F3A"/>
    <w:rsid w:val="001559CE"/>
    <w:rsid w:val="00160D4C"/>
    <w:rsid w:val="0016172E"/>
    <w:rsid w:val="00161CF3"/>
    <w:rsid w:val="00162BED"/>
    <w:rsid w:val="00162C00"/>
    <w:rsid w:val="001639EF"/>
    <w:rsid w:val="0016560A"/>
    <w:rsid w:val="0016589F"/>
    <w:rsid w:val="001708CE"/>
    <w:rsid w:val="001712CF"/>
    <w:rsid w:val="00175D28"/>
    <w:rsid w:val="00176D1B"/>
    <w:rsid w:val="0017769A"/>
    <w:rsid w:val="00183A01"/>
    <w:rsid w:val="00183DFC"/>
    <w:rsid w:val="00184384"/>
    <w:rsid w:val="001849D2"/>
    <w:rsid w:val="00185FEE"/>
    <w:rsid w:val="00186717"/>
    <w:rsid w:val="00187FFC"/>
    <w:rsid w:val="0019391C"/>
    <w:rsid w:val="00194CF2"/>
    <w:rsid w:val="0019505E"/>
    <w:rsid w:val="00195540"/>
    <w:rsid w:val="00196A7C"/>
    <w:rsid w:val="001A1907"/>
    <w:rsid w:val="001A2018"/>
    <w:rsid w:val="001A3D5D"/>
    <w:rsid w:val="001A48A9"/>
    <w:rsid w:val="001A62A9"/>
    <w:rsid w:val="001A7649"/>
    <w:rsid w:val="001A794F"/>
    <w:rsid w:val="001B0EBF"/>
    <w:rsid w:val="001B1006"/>
    <w:rsid w:val="001B2C39"/>
    <w:rsid w:val="001B3675"/>
    <w:rsid w:val="001B43BE"/>
    <w:rsid w:val="001B451E"/>
    <w:rsid w:val="001B4ABB"/>
    <w:rsid w:val="001B5E10"/>
    <w:rsid w:val="001B6AB3"/>
    <w:rsid w:val="001B73D5"/>
    <w:rsid w:val="001C0681"/>
    <w:rsid w:val="001C0F5E"/>
    <w:rsid w:val="001C2119"/>
    <w:rsid w:val="001C3B14"/>
    <w:rsid w:val="001C484F"/>
    <w:rsid w:val="001C528B"/>
    <w:rsid w:val="001C62B3"/>
    <w:rsid w:val="001C7C8C"/>
    <w:rsid w:val="001D0D6A"/>
    <w:rsid w:val="001D1C7F"/>
    <w:rsid w:val="001D2071"/>
    <w:rsid w:val="001D20A4"/>
    <w:rsid w:val="001D3C3A"/>
    <w:rsid w:val="001D4424"/>
    <w:rsid w:val="001D4E16"/>
    <w:rsid w:val="001D6079"/>
    <w:rsid w:val="001D613C"/>
    <w:rsid w:val="001D63F0"/>
    <w:rsid w:val="001E00D1"/>
    <w:rsid w:val="001E0E58"/>
    <w:rsid w:val="001E14F3"/>
    <w:rsid w:val="001E15ED"/>
    <w:rsid w:val="001E19E1"/>
    <w:rsid w:val="001E31B3"/>
    <w:rsid w:val="001E61AA"/>
    <w:rsid w:val="001E6DD7"/>
    <w:rsid w:val="001E73D7"/>
    <w:rsid w:val="001F0753"/>
    <w:rsid w:val="001F2779"/>
    <w:rsid w:val="001F3376"/>
    <w:rsid w:val="0020309E"/>
    <w:rsid w:val="0020687D"/>
    <w:rsid w:val="0020742D"/>
    <w:rsid w:val="0020780D"/>
    <w:rsid w:val="002102CA"/>
    <w:rsid w:val="00210424"/>
    <w:rsid w:val="00210B58"/>
    <w:rsid w:val="00214E83"/>
    <w:rsid w:val="002160C6"/>
    <w:rsid w:val="00216205"/>
    <w:rsid w:val="002179A1"/>
    <w:rsid w:val="00222423"/>
    <w:rsid w:val="00223AEE"/>
    <w:rsid w:val="002244CB"/>
    <w:rsid w:val="00225B28"/>
    <w:rsid w:val="00226891"/>
    <w:rsid w:val="00226B6C"/>
    <w:rsid w:val="00230D9B"/>
    <w:rsid w:val="002313AC"/>
    <w:rsid w:val="00231C0F"/>
    <w:rsid w:val="00233AD2"/>
    <w:rsid w:val="00233AD8"/>
    <w:rsid w:val="00233B46"/>
    <w:rsid w:val="002347EE"/>
    <w:rsid w:val="00235014"/>
    <w:rsid w:val="00235FB2"/>
    <w:rsid w:val="00237BC1"/>
    <w:rsid w:val="0024026B"/>
    <w:rsid w:val="002404FE"/>
    <w:rsid w:val="002418B1"/>
    <w:rsid w:val="002430B4"/>
    <w:rsid w:val="00243556"/>
    <w:rsid w:val="0024409E"/>
    <w:rsid w:val="002447D0"/>
    <w:rsid w:val="002454C5"/>
    <w:rsid w:val="00245E19"/>
    <w:rsid w:val="00246AEB"/>
    <w:rsid w:val="00250005"/>
    <w:rsid w:val="00250774"/>
    <w:rsid w:val="002510A6"/>
    <w:rsid w:val="00251CAB"/>
    <w:rsid w:val="0025254F"/>
    <w:rsid w:val="00253F8F"/>
    <w:rsid w:val="0025560F"/>
    <w:rsid w:val="0025566D"/>
    <w:rsid w:val="002558D3"/>
    <w:rsid w:val="0025595C"/>
    <w:rsid w:val="0025622C"/>
    <w:rsid w:val="002567C4"/>
    <w:rsid w:val="00257149"/>
    <w:rsid w:val="002576D0"/>
    <w:rsid w:val="002576E7"/>
    <w:rsid w:val="00260357"/>
    <w:rsid w:val="00260410"/>
    <w:rsid w:val="00260BA5"/>
    <w:rsid w:val="002633F9"/>
    <w:rsid w:val="002635DE"/>
    <w:rsid w:val="00264413"/>
    <w:rsid w:val="00264F04"/>
    <w:rsid w:val="00266F1F"/>
    <w:rsid w:val="00267554"/>
    <w:rsid w:val="002726A3"/>
    <w:rsid w:val="0027291A"/>
    <w:rsid w:val="002732AD"/>
    <w:rsid w:val="002738C2"/>
    <w:rsid w:val="002743F0"/>
    <w:rsid w:val="002754E9"/>
    <w:rsid w:val="002809B9"/>
    <w:rsid w:val="00280F75"/>
    <w:rsid w:val="00281B90"/>
    <w:rsid w:val="0028338F"/>
    <w:rsid w:val="00290AEC"/>
    <w:rsid w:val="002915C4"/>
    <w:rsid w:val="00297A13"/>
    <w:rsid w:val="00297E6B"/>
    <w:rsid w:val="002A1D1C"/>
    <w:rsid w:val="002A28D1"/>
    <w:rsid w:val="002A4D64"/>
    <w:rsid w:val="002A6A70"/>
    <w:rsid w:val="002A7893"/>
    <w:rsid w:val="002B03CE"/>
    <w:rsid w:val="002B070B"/>
    <w:rsid w:val="002B0C0E"/>
    <w:rsid w:val="002B34BE"/>
    <w:rsid w:val="002B3BB5"/>
    <w:rsid w:val="002B4969"/>
    <w:rsid w:val="002B6554"/>
    <w:rsid w:val="002B6DA2"/>
    <w:rsid w:val="002B7065"/>
    <w:rsid w:val="002C045C"/>
    <w:rsid w:val="002C4323"/>
    <w:rsid w:val="002C5E02"/>
    <w:rsid w:val="002C6C81"/>
    <w:rsid w:val="002C79BD"/>
    <w:rsid w:val="002D05F0"/>
    <w:rsid w:val="002D07FD"/>
    <w:rsid w:val="002D119D"/>
    <w:rsid w:val="002D270A"/>
    <w:rsid w:val="002D2829"/>
    <w:rsid w:val="002D32FA"/>
    <w:rsid w:val="002D7D4A"/>
    <w:rsid w:val="002E2FD4"/>
    <w:rsid w:val="002E3846"/>
    <w:rsid w:val="002E3F78"/>
    <w:rsid w:val="002E50E7"/>
    <w:rsid w:val="002F1896"/>
    <w:rsid w:val="002F2C37"/>
    <w:rsid w:val="002F400C"/>
    <w:rsid w:val="002F4D76"/>
    <w:rsid w:val="002F5806"/>
    <w:rsid w:val="002F6D26"/>
    <w:rsid w:val="0030107C"/>
    <w:rsid w:val="0030231E"/>
    <w:rsid w:val="003042C4"/>
    <w:rsid w:val="003043DA"/>
    <w:rsid w:val="00304CB4"/>
    <w:rsid w:val="00304D9F"/>
    <w:rsid w:val="00305B05"/>
    <w:rsid w:val="00305D99"/>
    <w:rsid w:val="00306076"/>
    <w:rsid w:val="00313F37"/>
    <w:rsid w:val="003141D0"/>
    <w:rsid w:val="003145E8"/>
    <w:rsid w:val="003149D9"/>
    <w:rsid w:val="00315D54"/>
    <w:rsid w:val="003168C1"/>
    <w:rsid w:val="00317671"/>
    <w:rsid w:val="003218D8"/>
    <w:rsid w:val="0032215D"/>
    <w:rsid w:val="0032230F"/>
    <w:rsid w:val="00322EC7"/>
    <w:rsid w:val="00322FBE"/>
    <w:rsid w:val="00325632"/>
    <w:rsid w:val="00325BD7"/>
    <w:rsid w:val="00327549"/>
    <w:rsid w:val="00327654"/>
    <w:rsid w:val="003337C1"/>
    <w:rsid w:val="003342A5"/>
    <w:rsid w:val="00334616"/>
    <w:rsid w:val="00336BA7"/>
    <w:rsid w:val="00336C36"/>
    <w:rsid w:val="00336F31"/>
    <w:rsid w:val="0034293A"/>
    <w:rsid w:val="00343815"/>
    <w:rsid w:val="00344666"/>
    <w:rsid w:val="00344C4B"/>
    <w:rsid w:val="0034705B"/>
    <w:rsid w:val="00347874"/>
    <w:rsid w:val="003478C2"/>
    <w:rsid w:val="00350071"/>
    <w:rsid w:val="003522BB"/>
    <w:rsid w:val="003523C8"/>
    <w:rsid w:val="00352F6C"/>
    <w:rsid w:val="00354FA4"/>
    <w:rsid w:val="003556EA"/>
    <w:rsid w:val="00355D6D"/>
    <w:rsid w:val="00356FCC"/>
    <w:rsid w:val="00356FDC"/>
    <w:rsid w:val="003570D2"/>
    <w:rsid w:val="003600FA"/>
    <w:rsid w:val="00360B5F"/>
    <w:rsid w:val="00364589"/>
    <w:rsid w:val="00364682"/>
    <w:rsid w:val="00364824"/>
    <w:rsid w:val="003649FD"/>
    <w:rsid w:val="003652ED"/>
    <w:rsid w:val="00365488"/>
    <w:rsid w:val="0037080F"/>
    <w:rsid w:val="00370C47"/>
    <w:rsid w:val="00375524"/>
    <w:rsid w:val="00380663"/>
    <w:rsid w:val="003821B5"/>
    <w:rsid w:val="00382E07"/>
    <w:rsid w:val="00386FC7"/>
    <w:rsid w:val="00390A32"/>
    <w:rsid w:val="0039267A"/>
    <w:rsid w:val="00392EF0"/>
    <w:rsid w:val="00393A18"/>
    <w:rsid w:val="00394E48"/>
    <w:rsid w:val="003955EC"/>
    <w:rsid w:val="003968D1"/>
    <w:rsid w:val="003A0174"/>
    <w:rsid w:val="003A1153"/>
    <w:rsid w:val="003A1E91"/>
    <w:rsid w:val="003A1FE9"/>
    <w:rsid w:val="003A38E9"/>
    <w:rsid w:val="003A40F2"/>
    <w:rsid w:val="003A50D1"/>
    <w:rsid w:val="003B196D"/>
    <w:rsid w:val="003B2710"/>
    <w:rsid w:val="003B2CC6"/>
    <w:rsid w:val="003B2EDB"/>
    <w:rsid w:val="003B3392"/>
    <w:rsid w:val="003B340C"/>
    <w:rsid w:val="003B3CF3"/>
    <w:rsid w:val="003B4608"/>
    <w:rsid w:val="003B5FBA"/>
    <w:rsid w:val="003B7CDB"/>
    <w:rsid w:val="003C2392"/>
    <w:rsid w:val="003C3B5F"/>
    <w:rsid w:val="003C4990"/>
    <w:rsid w:val="003C5174"/>
    <w:rsid w:val="003C5240"/>
    <w:rsid w:val="003C63F9"/>
    <w:rsid w:val="003C76E6"/>
    <w:rsid w:val="003C7AF2"/>
    <w:rsid w:val="003D1226"/>
    <w:rsid w:val="003D14E0"/>
    <w:rsid w:val="003D1843"/>
    <w:rsid w:val="003D1EA5"/>
    <w:rsid w:val="003D292F"/>
    <w:rsid w:val="003D2D1A"/>
    <w:rsid w:val="003D3348"/>
    <w:rsid w:val="003D3F7C"/>
    <w:rsid w:val="003D4E63"/>
    <w:rsid w:val="003D587B"/>
    <w:rsid w:val="003D604F"/>
    <w:rsid w:val="003D6822"/>
    <w:rsid w:val="003D724C"/>
    <w:rsid w:val="003E0CE2"/>
    <w:rsid w:val="003E1F23"/>
    <w:rsid w:val="003E510D"/>
    <w:rsid w:val="003E623B"/>
    <w:rsid w:val="003E628B"/>
    <w:rsid w:val="003F28F9"/>
    <w:rsid w:val="003F3277"/>
    <w:rsid w:val="003F49E4"/>
    <w:rsid w:val="003F4CB3"/>
    <w:rsid w:val="003F4D2F"/>
    <w:rsid w:val="003F5E32"/>
    <w:rsid w:val="003F75F6"/>
    <w:rsid w:val="003F793E"/>
    <w:rsid w:val="00400EF0"/>
    <w:rsid w:val="00403BEB"/>
    <w:rsid w:val="00404469"/>
    <w:rsid w:val="00404670"/>
    <w:rsid w:val="00405220"/>
    <w:rsid w:val="00405853"/>
    <w:rsid w:val="00410B86"/>
    <w:rsid w:val="004110E8"/>
    <w:rsid w:val="00414CA0"/>
    <w:rsid w:val="004164A3"/>
    <w:rsid w:val="00420AF7"/>
    <w:rsid w:val="00421816"/>
    <w:rsid w:val="00422F54"/>
    <w:rsid w:val="0042304A"/>
    <w:rsid w:val="00426606"/>
    <w:rsid w:val="004274CA"/>
    <w:rsid w:val="004278F5"/>
    <w:rsid w:val="0043001A"/>
    <w:rsid w:val="00431516"/>
    <w:rsid w:val="00435E38"/>
    <w:rsid w:val="00436099"/>
    <w:rsid w:val="004361B3"/>
    <w:rsid w:val="00437BF7"/>
    <w:rsid w:val="0044197C"/>
    <w:rsid w:val="0044249D"/>
    <w:rsid w:val="0044379F"/>
    <w:rsid w:val="00444855"/>
    <w:rsid w:val="00444FCC"/>
    <w:rsid w:val="00446FB1"/>
    <w:rsid w:val="004505D6"/>
    <w:rsid w:val="00452753"/>
    <w:rsid w:val="00452DF7"/>
    <w:rsid w:val="00453E42"/>
    <w:rsid w:val="00455525"/>
    <w:rsid w:val="004578DA"/>
    <w:rsid w:val="00460761"/>
    <w:rsid w:val="0046078F"/>
    <w:rsid w:val="00463214"/>
    <w:rsid w:val="00463B77"/>
    <w:rsid w:val="0046434D"/>
    <w:rsid w:val="004656FA"/>
    <w:rsid w:val="00465B21"/>
    <w:rsid w:val="004677C3"/>
    <w:rsid w:val="00467D59"/>
    <w:rsid w:val="00470E2D"/>
    <w:rsid w:val="00470F4C"/>
    <w:rsid w:val="00471D77"/>
    <w:rsid w:val="00474265"/>
    <w:rsid w:val="0047491B"/>
    <w:rsid w:val="00474BD1"/>
    <w:rsid w:val="00475587"/>
    <w:rsid w:val="004757FD"/>
    <w:rsid w:val="00475DD9"/>
    <w:rsid w:val="00477492"/>
    <w:rsid w:val="00480BC2"/>
    <w:rsid w:val="004845C3"/>
    <w:rsid w:val="00484BE8"/>
    <w:rsid w:val="0049028C"/>
    <w:rsid w:val="004920B1"/>
    <w:rsid w:val="004929C2"/>
    <w:rsid w:val="00493FDD"/>
    <w:rsid w:val="0049586B"/>
    <w:rsid w:val="00497CF6"/>
    <w:rsid w:val="004A11EF"/>
    <w:rsid w:val="004A2850"/>
    <w:rsid w:val="004A3E44"/>
    <w:rsid w:val="004A5205"/>
    <w:rsid w:val="004A5A89"/>
    <w:rsid w:val="004A608E"/>
    <w:rsid w:val="004A7117"/>
    <w:rsid w:val="004B1104"/>
    <w:rsid w:val="004B2018"/>
    <w:rsid w:val="004B23FD"/>
    <w:rsid w:val="004B286D"/>
    <w:rsid w:val="004B2896"/>
    <w:rsid w:val="004B38E9"/>
    <w:rsid w:val="004B3C1B"/>
    <w:rsid w:val="004B3FBA"/>
    <w:rsid w:val="004B5321"/>
    <w:rsid w:val="004B6599"/>
    <w:rsid w:val="004C2058"/>
    <w:rsid w:val="004C2110"/>
    <w:rsid w:val="004C3385"/>
    <w:rsid w:val="004C6ABF"/>
    <w:rsid w:val="004C6CA7"/>
    <w:rsid w:val="004C74D7"/>
    <w:rsid w:val="004D2A0C"/>
    <w:rsid w:val="004D4357"/>
    <w:rsid w:val="004D4950"/>
    <w:rsid w:val="004D55F1"/>
    <w:rsid w:val="004D63EC"/>
    <w:rsid w:val="004D783D"/>
    <w:rsid w:val="004E0451"/>
    <w:rsid w:val="004E0E78"/>
    <w:rsid w:val="004E1A86"/>
    <w:rsid w:val="004E2393"/>
    <w:rsid w:val="004E3745"/>
    <w:rsid w:val="004E3D7E"/>
    <w:rsid w:val="004E42BE"/>
    <w:rsid w:val="004E4F42"/>
    <w:rsid w:val="004E63D5"/>
    <w:rsid w:val="004F0101"/>
    <w:rsid w:val="004F03FD"/>
    <w:rsid w:val="004F445E"/>
    <w:rsid w:val="004F52F0"/>
    <w:rsid w:val="004F57F2"/>
    <w:rsid w:val="004F6250"/>
    <w:rsid w:val="004F677C"/>
    <w:rsid w:val="004F6D8F"/>
    <w:rsid w:val="0050077D"/>
    <w:rsid w:val="00504240"/>
    <w:rsid w:val="00505503"/>
    <w:rsid w:val="00506DDE"/>
    <w:rsid w:val="00510BA3"/>
    <w:rsid w:val="0051107B"/>
    <w:rsid w:val="00512F9C"/>
    <w:rsid w:val="005137BD"/>
    <w:rsid w:val="00527BC3"/>
    <w:rsid w:val="00527CDB"/>
    <w:rsid w:val="00527EAE"/>
    <w:rsid w:val="00530D25"/>
    <w:rsid w:val="00530D3A"/>
    <w:rsid w:val="005339AA"/>
    <w:rsid w:val="005341C9"/>
    <w:rsid w:val="00535337"/>
    <w:rsid w:val="005369CA"/>
    <w:rsid w:val="00536DE9"/>
    <w:rsid w:val="00541640"/>
    <w:rsid w:val="00541DEB"/>
    <w:rsid w:val="00541E08"/>
    <w:rsid w:val="00542330"/>
    <w:rsid w:val="005430FA"/>
    <w:rsid w:val="00543942"/>
    <w:rsid w:val="00543F41"/>
    <w:rsid w:val="00552E95"/>
    <w:rsid w:val="00554FE0"/>
    <w:rsid w:val="00555A9F"/>
    <w:rsid w:val="00556FD9"/>
    <w:rsid w:val="0055789A"/>
    <w:rsid w:val="00560952"/>
    <w:rsid w:val="005625BB"/>
    <w:rsid w:val="00562EB0"/>
    <w:rsid w:val="005643A4"/>
    <w:rsid w:val="005652D1"/>
    <w:rsid w:val="005660A0"/>
    <w:rsid w:val="00566A4F"/>
    <w:rsid w:val="00566B6B"/>
    <w:rsid w:val="0056743D"/>
    <w:rsid w:val="00567D64"/>
    <w:rsid w:val="005721AA"/>
    <w:rsid w:val="005727E1"/>
    <w:rsid w:val="00574121"/>
    <w:rsid w:val="00576A38"/>
    <w:rsid w:val="005808AB"/>
    <w:rsid w:val="00582855"/>
    <w:rsid w:val="00582C86"/>
    <w:rsid w:val="0059136C"/>
    <w:rsid w:val="00592FC4"/>
    <w:rsid w:val="0059435E"/>
    <w:rsid w:val="005945E1"/>
    <w:rsid w:val="0059585B"/>
    <w:rsid w:val="005978D4"/>
    <w:rsid w:val="005A23FA"/>
    <w:rsid w:val="005A2B85"/>
    <w:rsid w:val="005A2F66"/>
    <w:rsid w:val="005A54FD"/>
    <w:rsid w:val="005A60BB"/>
    <w:rsid w:val="005A6299"/>
    <w:rsid w:val="005A6BBB"/>
    <w:rsid w:val="005B2A67"/>
    <w:rsid w:val="005B2E7C"/>
    <w:rsid w:val="005B33E2"/>
    <w:rsid w:val="005B3DCD"/>
    <w:rsid w:val="005B4AD4"/>
    <w:rsid w:val="005B55A8"/>
    <w:rsid w:val="005B77A5"/>
    <w:rsid w:val="005C08E4"/>
    <w:rsid w:val="005C24FC"/>
    <w:rsid w:val="005C26D5"/>
    <w:rsid w:val="005C2798"/>
    <w:rsid w:val="005C2AE4"/>
    <w:rsid w:val="005C36C3"/>
    <w:rsid w:val="005C56EE"/>
    <w:rsid w:val="005C7CB7"/>
    <w:rsid w:val="005C7E42"/>
    <w:rsid w:val="005C7EEB"/>
    <w:rsid w:val="005D1714"/>
    <w:rsid w:val="005D3A2C"/>
    <w:rsid w:val="005D47BE"/>
    <w:rsid w:val="005D4BD8"/>
    <w:rsid w:val="005D4CAE"/>
    <w:rsid w:val="005D5F35"/>
    <w:rsid w:val="005D6F71"/>
    <w:rsid w:val="005D7638"/>
    <w:rsid w:val="005E2BDE"/>
    <w:rsid w:val="005E3D8C"/>
    <w:rsid w:val="005E5CFB"/>
    <w:rsid w:val="005F111D"/>
    <w:rsid w:val="005F12F5"/>
    <w:rsid w:val="005F3E17"/>
    <w:rsid w:val="005F4185"/>
    <w:rsid w:val="005F6179"/>
    <w:rsid w:val="005F7408"/>
    <w:rsid w:val="005F7955"/>
    <w:rsid w:val="005F7A2C"/>
    <w:rsid w:val="005F7C7D"/>
    <w:rsid w:val="00601131"/>
    <w:rsid w:val="00601CF7"/>
    <w:rsid w:val="006022B5"/>
    <w:rsid w:val="00602633"/>
    <w:rsid w:val="006044B7"/>
    <w:rsid w:val="00604B95"/>
    <w:rsid w:val="00605F73"/>
    <w:rsid w:val="00606558"/>
    <w:rsid w:val="00606F8C"/>
    <w:rsid w:val="006071CE"/>
    <w:rsid w:val="006075B5"/>
    <w:rsid w:val="006075EB"/>
    <w:rsid w:val="0061018C"/>
    <w:rsid w:val="0061094E"/>
    <w:rsid w:val="00613440"/>
    <w:rsid w:val="00613BE3"/>
    <w:rsid w:val="006147E4"/>
    <w:rsid w:val="00616E81"/>
    <w:rsid w:val="00622A9F"/>
    <w:rsid w:val="0062327B"/>
    <w:rsid w:val="00624332"/>
    <w:rsid w:val="00624521"/>
    <w:rsid w:val="00626C5E"/>
    <w:rsid w:val="0062722A"/>
    <w:rsid w:val="006314AA"/>
    <w:rsid w:val="00632777"/>
    <w:rsid w:val="00633750"/>
    <w:rsid w:val="00634491"/>
    <w:rsid w:val="00635691"/>
    <w:rsid w:val="006357B0"/>
    <w:rsid w:val="0063679C"/>
    <w:rsid w:val="00636C15"/>
    <w:rsid w:val="00637055"/>
    <w:rsid w:val="00640D82"/>
    <w:rsid w:val="00641D59"/>
    <w:rsid w:val="00644507"/>
    <w:rsid w:val="00646880"/>
    <w:rsid w:val="00646A4F"/>
    <w:rsid w:val="00646CF3"/>
    <w:rsid w:val="006473B8"/>
    <w:rsid w:val="00647D2A"/>
    <w:rsid w:val="00647FBB"/>
    <w:rsid w:val="006537BB"/>
    <w:rsid w:val="00654DFB"/>
    <w:rsid w:val="00655209"/>
    <w:rsid w:val="0065643E"/>
    <w:rsid w:val="00656571"/>
    <w:rsid w:val="00660714"/>
    <w:rsid w:val="00660862"/>
    <w:rsid w:val="00661CA8"/>
    <w:rsid w:val="00664A67"/>
    <w:rsid w:val="00664DE2"/>
    <w:rsid w:val="00667E07"/>
    <w:rsid w:val="00671119"/>
    <w:rsid w:val="00671785"/>
    <w:rsid w:val="00671907"/>
    <w:rsid w:val="00672BA9"/>
    <w:rsid w:val="00673005"/>
    <w:rsid w:val="00673C1C"/>
    <w:rsid w:val="00675B6E"/>
    <w:rsid w:val="0067750B"/>
    <w:rsid w:val="00677AB6"/>
    <w:rsid w:val="006804BE"/>
    <w:rsid w:val="00680A4F"/>
    <w:rsid w:val="00680B85"/>
    <w:rsid w:val="00682875"/>
    <w:rsid w:val="00682E7E"/>
    <w:rsid w:val="0068434A"/>
    <w:rsid w:val="00684A8F"/>
    <w:rsid w:val="00687000"/>
    <w:rsid w:val="0069008E"/>
    <w:rsid w:val="006904EC"/>
    <w:rsid w:val="0069087E"/>
    <w:rsid w:val="00691311"/>
    <w:rsid w:val="006925C4"/>
    <w:rsid w:val="00694242"/>
    <w:rsid w:val="00694F03"/>
    <w:rsid w:val="006A02B7"/>
    <w:rsid w:val="006A4979"/>
    <w:rsid w:val="006A4BE4"/>
    <w:rsid w:val="006A68F3"/>
    <w:rsid w:val="006A6C5E"/>
    <w:rsid w:val="006A7019"/>
    <w:rsid w:val="006A7402"/>
    <w:rsid w:val="006B111B"/>
    <w:rsid w:val="006B20A3"/>
    <w:rsid w:val="006B2EBF"/>
    <w:rsid w:val="006B46D5"/>
    <w:rsid w:val="006B46F4"/>
    <w:rsid w:val="006B4CDD"/>
    <w:rsid w:val="006B4E75"/>
    <w:rsid w:val="006B61A9"/>
    <w:rsid w:val="006B7F67"/>
    <w:rsid w:val="006C175F"/>
    <w:rsid w:val="006C18AA"/>
    <w:rsid w:val="006C3017"/>
    <w:rsid w:val="006C3F13"/>
    <w:rsid w:val="006C73DD"/>
    <w:rsid w:val="006C7AF3"/>
    <w:rsid w:val="006D0B9D"/>
    <w:rsid w:val="006D6548"/>
    <w:rsid w:val="006E0E20"/>
    <w:rsid w:val="006E21FE"/>
    <w:rsid w:val="006E2D96"/>
    <w:rsid w:val="006E4256"/>
    <w:rsid w:val="006E4423"/>
    <w:rsid w:val="006E4BBA"/>
    <w:rsid w:val="006E5F43"/>
    <w:rsid w:val="006E60A6"/>
    <w:rsid w:val="006E65E0"/>
    <w:rsid w:val="006E7A4A"/>
    <w:rsid w:val="006E7A9F"/>
    <w:rsid w:val="006F04B6"/>
    <w:rsid w:val="006F065A"/>
    <w:rsid w:val="006F090C"/>
    <w:rsid w:val="006F0F69"/>
    <w:rsid w:val="006F116B"/>
    <w:rsid w:val="006F117F"/>
    <w:rsid w:val="006F13DF"/>
    <w:rsid w:val="006F2780"/>
    <w:rsid w:val="006F47C1"/>
    <w:rsid w:val="006F5D82"/>
    <w:rsid w:val="006F5DD6"/>
    <w:rsid w:val="006F6C96"/>
    <w:rsid w:val="006F6D3B"/>
    <w:rsid w:val="006F749E"/>
    <w:rsid w:val="00700DF0"/>
    <w:rsid w:val="00702F26"/>
    <w:rsid w:val="0070313E"/>
    <w:rsid w:val="00703799"/>
    <w:rsid w:val="00705C5C"/>
    <w:rsid w:val="00707466"/>
    <w:rsid w:val="00707F97"/>
    <w:rsid w:val="00710F54"/>
    <w:rsid w:val="00711475"/>
    <w:rsid w:val="00715509"/>
    <w:rsid w:val="00716B5C"/>
    <w:rsid w:val="00721CD6"/>
    <w:rsid w:val="00723D60"/>
    <w:rsid w:val="0072548A"/>
    <w:rsid w:val="007277A6"/>
    <w:rsid w:val="007310AA"/>
    <w:rsid w:val="00731391"/>
    <w:rsid w:val="00733648"/>
    <w:rsid w:val="00737F96"/>
    <w:rsid w:val="00740D3D"/>
    <w:rsid w:val="00740E93"/>
    <w:rsid w:val="00742971"/>
    <w:rsid w:val="007437AB"/>
    <w:rsid w:val="00743AF3"/>
    <w:rsid w:val="00745016"/>
    <w:rsid w:val="00745425"/>
    <w:rsid w:val="00745976"/>
    <w:rsid w:val="007469CD"/>
    <w:rsid w:val="00750AF4"/>
    <w:rsid w:val="0075340B"/>
    <w:rsid w:val="007534F8"/>
    <w:rsid w:val="007545AD"/>
    <w:rsid w:val="00761E3A"/>
    <w:rsid w:val="00763722"/>
    <w:rsid w:val="00763CC6"/>
    <w:rsid w:val="00764BC1"/>
    <w:rsid w:val="00765399"/>
    <w:rsid w:val="00765BDC"/>
    <w:rsid w:val="00770869"/>
    <w:rsid w:val="00771104"/>
    <w:rsid w:val="00771B9A"/>
    <w:rsid w:val="00771E19"/>
    <w:rsid w:val="0077314E"/>
    <w:rsid w:val="007738AA"/>
    <w:rsid w:val="00773A57"/>
    <w:rsid w:val="00774B42"/>
    <w:rsid w:val="00777375"/>
    <w:rsid w:val="00777AEB"/>
    <w:rsid w:val="00777FAE"/>
    <w:rsid w:val="00780720"/>
    <w:rsid w:val="007808C0"/>
    <w:rsid w:val="00780A62"/>
    <w:rsid w:val="00782524"/>
    <w:rsid w:val="00783241"/>
    <w:rsid w:val="00784BDC"/>
    <w:rsid w:val="007869EA"/>
    <w:rsid w:val="00787153"/>
    <w:rsid w:val="007874D2"/>
    <w:rsid w:val="0079129D"/>
    <w:rsid w:val="00792F28"/>
    <w:rsid w:val="007935CA"/>
    <w:rsid w:val="0079383F"/>
    <w:rsid w:val="0079543F"/>
    <w:rsid w:val="00795880"/>
    <w:rsid w:val="007A0B56"/>
    <w:rsid w:val="007A358E"/>
    <w:rsid w:val="007A4367"/>
    <w:rsid w:val="007B0867"/>
    <w:rsid w:val="007B1AC1"/>
    <w:rsid w:val="007B1DBF"/>
    <w:rsid w:val="007B441A"/>
    <w:rsid w:val="007B4795"/>
    <w:rsid w:val="007B4D6C"/>
    <w:rsid w:val="007B55C9"/>
    <w:rsid w:val="007B5A08"/>
    <w:rsid w:val="007B693D"/>
    <w:rsid w:val="007B6FB7"/>
    <w:rsid w:val="007B7A39"/>
    <w:rsid w:val="007B7C1A"/>
    <w:rsid w:val="007C264F"/>
    <w:rsid w:val="007C4CDC"/>
    <w:rsid w:val="007C6E4D"/>
    <w:rsid w:val="007C6F4B"/>
    <w:rsid w:val="007C75E6"/>
    <w:rsid w:val="007C77AC"/>
    <w:rsid w:val="007D08C2"/>
    <w:rsid w:val="007D34B8"/>
    <w:rsid w:val="007D37CB"/>
    <w:rsid w:val="007D398A"/>
    <w:rsid w:val="007D7212"/>
    <w:rsid w:val="007E041B"/>
    <w:rsid w:val="007E199A"/>
    <w:rsid w:val="007E1A6B"/>
    <w:rsid w:val="007E1AED"/>
    <w:rsid w:val="007E2415"/>
    <w:rsid w:val="007E3256"/>
    <w:rsid w:val="007E34F7"/>
    <w:rsid w:val="007E39F3"/>
    <w:rsid w:val="007E405E"/>
    <w:rsid w:val="007E52AF"/>
    <w:rsid w:val="007E5354"/>
    <w:rsid w:val="007E68F4"/>
    <w:rsid w:val="007E699B"/>
    <w:rsid w:val="007E6DE2"/>
    <w:rsid w:val="007E6F47"/>
    <w:rsid w:val="007F07A9"/>
    <w:rsid w:val="007F26E2"/>
    <w:rsid w:val="007F30D6"/>
    <w:rsid w:val="007F31BA"/>
    <w:rsid w:val="007F4078"/>
    <w:rsid w:val="007F664B"/>
    <w:rsid w:val="0080014B"/>
    <w:rsid w:val="00800C50"/>
    <w:rsid w:val="00800CDA"/>
    <w:rsid w:val="00801793"/>
    <w:rsid w:val="00802AE3"/>
    <w:rsid w:val="00802E5C"/>
    <w:rsid w:val="00803642"/>
    <w:rsid w:val="008045AC"/>
    <w:rsid w:val="00806EA2"/>
    <w:rsid w:val="00807E64"/>
    <w:rsid w:val="00811251"/>
    <w:rsid w:val="008125E2"/>
    <w:rsid w:val="00812A2B"/>
    <w:rsid w:val="00812C83"/>
    <w:rsid w:val="0081369E"/>
    <w:rsid w:val="00814A4C"/>
    <w:rsid w:val="008227F7"/>
    <w:rsid w:val="00822B2C"/>
    <w:rsid w:val="00824817"/>
    <w:rsid w:val="0082599A"/>
    <w:rsid w:val="00831AAB"/>
    <w:rsid w:val="00833BCD"/>
    <w:rsid w:val="00833D0E"/>
    <w:rsid w:val="00834B82"/>
    <w:rsid w:val="0083574E"/>
    <w:rsid w:val="00835986"/>
    <w:rsid w:val="0083640C"/>
    <w:rsid w:val="0083740B"/>
    <w:rsid w:val="008374E3"/>
    <w:rsid w:val="0084157B"/>
    <w:rsid w:val="00842BFB"/>
    <w:rsid w:val="008462BD"/>
    <w:rsid w:val="00846B85"/>
    <w:rsid w:val="00847DC3"/>
    <w:rsid w:val="00847F49"/>
    <w:rsid w:val="0085019F"/>
    <w:rsid w:val="008516BF"/>
    <w:rsid w:val="00852197"/>
    <w:rsid w:val="00853132"/>
    <w:rsid w:val="008535C5"/>
    <w:rsid w:val="00853765"/>
    <w:rsid w:val="0085505A"/>
    <w:rsid w:val="0085516F"/>
    <w:rsid w:val="00857C02"/>
    <w:rsid w:val="00860B56"/>
    <w:rsid w:val="00860D79"/>
    <w:rsid w:val="008620CD"/>
    <w:rsid w:val="00862AEA"/>
    <w:rsid w:val="00867186"/>
    <w:rsid w:val="00867400"/>
    <w:rsid w:val="00870A33"/>
    <w:rsid w:val="00870AF6"/>
    <w:rsid w:val="00872778"/>
    <w:rsid w:val="00872C2F"/>
    <w:rsid w:val="008755E8"/>
    <w:rsid w:val="008756FA"/>
    <w:rsid w:val="00877452"/>
    <w:rsid w:val="00881268"/>
    <w:rsid w:val="00882F5F"/>
    <w:rsid w:val="0088394A"/>
    <w:rsid w:val="00885E89"/>
    <w:rsid w:val="008860BD"/>
    <w:rsid w:val="00886D68"/>
    <w:rsid w:val="00887399"/>
    <w:rsid w:val="0088779E"/>
    <w:rsid w:val="008879C6"/>
    <w:rsid w:val="008912AF"/>
    <w:rsid w:val="00892114"/>
    <w:rsid w:val="00892CB9"/>
    <w:rsid w:val="008935CB"/>
    <w:rsid w:val="00896155"/>
    <w:rsid w:val="008A2A17"/>
    <w:rsid w:val="008A36AE"/>
    <w:rsid w:val="008A42BC"/>
    <w:rsid w:val="008B0E7E"/>
    <w:rsid w:val="008B1495"/>
    <w:rsid w:val="008B440D"/>
    <w:rsid w:val="008B4D55"/>
    <w:rsid w:val="008B5B3E"/>
    <w:rsid w:val="008B65BD"/>
    <w:rsid w:val="008B6607"/>
    <w:rsid w:val="008B755A"/>
    <w:rsid w:val="008B7900"/>
    <w:rsid w:val="008C1D59"/>
    <w:rsid w:val="008C1D85"/>
    <w:rsid w:val="008C71BF"/>
    <w:rsid w:val="008C7FE0"/>
    <w:rsid w:val="008D33A0"/>
    <w:rsid w:val="008D3D2B"/>
    <w:rsid w:val="008D5717"/>
    <w:rsid w:val="008D599D"/>
    <w:rsid w:val="008D6230"/>
    <w:rsid w:val="008E06BE"/>
    <w:rsid w:val="008E1127"/>
    <w:rsid w:val="008E44A9"/>
    <w:rsid w:val="008E4709"/>
    <w:rsid w:val="008E4DF7"/>
    <w:rsid w:val="008E4F1A"/>
    <w:rsid w:val="008E5DB5"/>
    <w:rsid w:val="008E691E"/>
    <w:rsid w:val="008E6B4D"/>
    <w:rsid w:val="008E6BFF"/>
    <w:rsid w:val="008E6E54"/>
    <w:rsid w:val="008F21AF"/>
    <w:rsid w:val="008F2400"/>
    <w:rsid w:val="008F2CDE"/>
    <w:rsid w:val="008F2E04"/>
    <w:rsid w:val="008F4F9A"/>
    <w:rsid w:val="008F61BA"/>
    <w:rsid w:val="008F6E3C"/>
    <w:rsid w:val="008F7BA8"/>
    <w:rsid w:val="008F7C55"/>
    <w:rsid w:val="00901BB2"/>
    <w:rsid w:val="00903F80"/>
    <w:rsid w:val="009048F9"/>
    <w:rsid w:val="00905A8C"/>
    <w:rsid w:val="00914A23"/>
    <w:rsid w:val="009154BF"/>
    <w:rsid w:val="00915976"/>
    <w:rsid w:val="00922395"/>
    <w:rsid w:val="00924D61"/>
    <w:rsid w:val="00925A71"/>
    <w:rsid w:val="00930754"/>
    <w:rsid w:val="009308B7"/>
    <w:rsid w:val="00934774"/>
    <w:rsid w:val="00934F68"/>
    <w:rsid w:val="009354B8"/>
    <w:rsid w:val="009355AC"/>
    <w:rsid w:val="00935F38"/>
    <w:rsid w:val="009363D9"/>
    <w:rsid w:val="00936D92"/>
    <w:rsid w:val="00937586"/>
    <w:rsid w:val="00941C0E"/>
    <w:rsid w:val="00941EDB"/>
    <w:rsid w:val="009431E2"/>
    <w:rsid w:val="00943296"/>
    <w:rsid w:val="00943C9C"/>
    <w:rsid w:val="009453BF"/>
    <w:rsid w:val="00945596"/>
    <w:rsid w:val="00947889"/>
    <w:rsid w:val="009478BD"/>
    <w:rsid w:val="009530D6"/>
    <w:rsid w:val="009543B2"/>
    <w:rsid w:val="00955D01"/>
    <w:rsid w:val="0095675C"/>
    <w:rsid w:val="00956A44"/>
    <w:rsid w:val="00957A69"/>
    <w:rsid w:val="00960173"/>
    <w:rsid w:val="00960E98"/>
    <w:rsid w:val="009610FC"/>
    <w:rsid w:val="0096159A"/>
    <w:rsid w:val="00963A82"/>
    <w:rsid w:val="0096449F"/>
    <w:rsid w:val="00967E1D"/>
    <w:rsid w:val="00972912"/>
    <w:rsid w:val="00973BFC"/>
    <w:rsid w:val="009744B9"/>
    <w:rsid w:val="009763EE"/>
    <w:rsid w:val="00976D1F"/>
    <w:rsid w:val="00980612"/>
    <w:rsid w:val="00981C81"/>
    <w:rsid w:val="0098384B"/>
    <w:rsid w:val="00984CDB"/>
    <w:rsid w:val="00984FB8"/>
    <w:rsid w:val="0099059D"/>
    <w:rsid w:val="009913B3"/>
    <w:rsid w:val="00993825"/>
    <w:rsid w:val="00993EFA"/>
    <w:rsid w:val="0099447A"/>
    <w:rsid w:val="00995144"/>
    <w:rsid w:val="00996CDB"/>
    <w:rsid w:val="0099770C"/>
    <w:rsid w:val="00997963"/>
    <w:rsid w:val="009A0E18"/>
    <w:rsid w:val="009A16AA"/>
    <w:rsid w:val="009A2D24"/>
    <w:rsid w:val="009A2DF0"/>
    <w:rsid w:val="009A2F58"/>
    <w:rsid w:val="009A456C"/>
    <w:rsid w:val="009A484B"/>
    <w:rsid w:val="009A66B7"/>
    <w:rsid w:val="009B00E0"/>
    <w:rsid w:val="009B02A5"/>
    <w:rsid w:val="009B041C"/>
    <w:rsid w:val="009B04C8"/>
    <w:rsid w:val="009B0E01"/>
    <w:rsid w:val="009B292A"/>
    <w:rsid w:val="009B4A26"/>
    <w:rsid w:val="009B518B"/>
    <w:rsid w:val="009B6663"/>
    <w:rsid w:val="009B6BA9"/>
    <w:rsid w:val="009B76D5"/>
    <w:rsid w:val="009C016B"/>
    <w:rsid w:val="009C165D"/>
    <w:rsid w:val="009C2135"/>
    <w:rsid w:val="009C3CEA"/>
    <w:rsid w:val="009C4F43"/>
    <w:rsid w:val="009C583D"/>
    <w:rsid w:val="009D1417"/>
    <w:rsid w:val="009D176E"/>
    <w:rsid w:val="009D2611"/>
    <w:rsid w:val="009D53D4"/>
    <w:rsid w:val="009D79D2"/>
    <w:rsid w:val="009E247C"/>
    <w:rsid w:val="009E31BA"/>
    <w:rsid w:val="009E3347"/>
    <w:rsid w:val="009E72F4"/>
    <w:rsid w:val="009F0528"/>
    <w:rsid w:val="009F0806"/>
    <w:rsid w:val="009F0D96"/>
    <w:rsid w:val="009F19A7"/>
    <w:rsid w:val="009F1D8C"/>
    <w:rsid w:val="009F233B"/>
    <w:rsid w:val="009F3ABD"/>
    <w:rsid w:val="00A011ED"/>
    <w:rsid w:val="00A02426"/>
    <w:rsid w:val="00A05D16"/>
    <w:rsid w:val="00A0659F"/>
    <w:rsid w:val="00A079BA"/>
    <w:rsid w:val="00A07A8D"/>
    <w:rsid w:val="00A10411"/>
    <w:rsid w:val="00A1320A"/>
    <w:rsid w:val="00A13D14"/>
    <w:rsid w:val="00A14D7C"/>
    <w:rsid w:val="00A14E8C"/>
    <w:rsid w:val="00A15339"/>
    <w:rsid w:val="00A20C70"/>
    <w:rsid w:val="00A214BF"/>
    <w:rsid w:val="00A22E94"/>
    <w:rsid w:val="00A23F23"/>
    <w:rsid w:val="00A306AF"/>
    <w:rsid w:val="00A30E5B"/>
    <w:rsid w:val="00A33875"/>
    <w:rsid w:val="00A360A1"/>
    <w:rsid w:val="00A369FE"/>
    <w:rsid w:val="00A36D89"/>
    <w:rsid w:val="00A37427"/>
    <w:rsid w:val="00A402B3"/>
    <w:rsid w:val="00A40E5F"/>
    <w:rsid w:val="00A40EA0"/>
    <w:rsid w:val="00A42672"/>
    <w:rsid w:val="00A43222"/>
    <w:rsid w:val="00A468E8"/>
    <w:rsid w:val="00A50B17"/>
    <w:rsid w:val="00A513C4"/>
    <w:rsid w:val="00A51834"/>
    <w:rsid w:val="00A51972"/>
    <w:rsid w:val="00A544B7"/>
    <w:rsid w:val="00A56DA9"/>
    <w:rsid w:val="00A60399"/>
    <w:rsid w:val="00A618CF"/>
    <w:rsid w:val="00A62770"/>
    <w:rsid w:val="00A62EEB"/>
    <w:rsid w:val="00A63680"/>
    <w:rsid w:val="00A646BC"/>
    <w:rsid w:val="00A65B57"/>
    <w:rsid w:val="00A65E61"/>
    <w:rsid w:val="00A660FF"/>
    <w:rsid w:val="00A6617C"/>
    <w:rsid w:val="00A7165E"/>
    <w:rsid w:val="00A717D9"/>
    <w:rsid w:val="00A7260D"/>
    <w:rsid w:val="00A72AA9"/>
    <w:rsid w:val="00A73395"/>
    <w:rsid w:val="00A766A2"/>
    <w:rsid w:val="00A76C44"/>
    <w:rsid w:val="00A771E3"/>
    <w:rsid w:val="00A77755"/>
    <w:rsid w:val="00A81068"/>
    <w:rsid w:val="00A82B4C"/>
    <w:rsid w:val="00A84905"/>
    <w:rsid w:val="00A854B1"/>
    <w:rsid w:val="00A912D0"/>
    <w:rsid w:val="00A913FF"/>
    <w:rsid w:val="00A935D3"/>
    <w:rsid w:val="00A93A4C"/>
    <w:rsid w:val="00A948D3"/>
    <w:rsid w:val="00A94D5D"/>
    <w:rsid w:val="00A95983"/>
    <w:rsid w:val="00AA0DA2"/>
    <w:rsid w:val="00AA1B13"/>
    <w:rsid w:val="00AA1D9B"/>
    <w:rsid w:val="00AA21A4"/>
    <w:rsid w:val="00AA2543"/>
    <w:rsid w:val="00AA2B00"/>
    <w:rsid w:val="00AA2EFD"/>
    <w:rsid w:val="00AA3804"/>
    <w:rsid w:val="00AA4908"/>
    <w:rsid w:val="00AA55C2"/>
    <w:rsid w:val="00AA5EEC"/>
    <w:rsid w:val="00AA5F7F"/>
    <w:rsid w:val="00AA6832"/>
    <w:rsid w:val="00AB0ACA"/>
    <w:rsid w:val="00AB1D41"/>
    <w:rsid w:val="00AB3908"/>
    <w:rsid w:val="00AB3C36"/>
    <w:rsid w:val="00AB58D7"/>
    <w:rsid w:val="00AB62D1"/>
    <w:rsid w:val="00AB66A0"/>
    <w:rsid w:val="00AC0D22"/>
    <w:rsid w:val="00AC3F63"/>
    <w:rsid w:val="00AC5E9A"/>
    <w:rsid w:val="00AC5F2D"/>
    <w:rsid w:val="00AC7020"/>
    <w:rsid w:val="00AC704B"/>
    <w:rsid w:val="00AD553E"/>
    <w:rsid w:val="00AD5848"/>
    <w:rsid w:val="00AE5284"/>
    <w:rsid w:val="00AE5ADA"/>
    <w:rsid w:val="00AE626B"/>
    <w:rsid w:val="00AE7486"/>
    <w:rsid w:val="00AF5050"/>
    <w:rsid w:val="00AF5EAF"/>
    <w:rsid w:val="00AF6145"/>
    <w:rsid w:val="00B01386"/>
    <w:rsid w:val="00B01648"/>
    <w:rsid w:val="00B016E5"/>
    <w:rsid w:val="00B017E7"/>
    <w:rsid w:val="00B01915"/>
    <w:rsid w:val="00B01BB5"/>
    <w:rsid w:val="00B026CC"/>
    <w:rsid w:val="00B03076"/>
    <w:rsid w:val="00B04115"/>
    <w:rsid w:val="00B04AF4"/>
    <w:rsid w:val="00B05214"/>
    <w:rsid w:val="00B06FC6"/>
    <w:rsid w:val="00B10534"/>
    <w:rsid w:val="00B117A0"/>
    <w:rsid w:val="00B134DE"/>
    <w:rsid w:val="00B1535F"/>
    <w:rsid w:val="00B17785"/>
    <w:rsid w:val="00B2078B"/>
    <w:rsid w:val="00B26123"/>
    <w:rsid w:val="00B262F1"/>
    <w:rsid w:val="00B3085D"/>
    <w:rsid w:val="00B30D97"/>
    <w:rsid w:val="00B31074"/>
    <w:rsid w:val="00B31395"/>
    <w:rsid w:val="00B3181A"/>
    <w:rsid w:val="00B3364B"/>
    <w:rsid w:val="00B34FDC"/>
    <w:rsid w:val="00B350FC"/>
    <w:rsid w:val="00B359F9"/>
    <w:rsid w:val="00B35A7C"/>
    <w:rsid w:val="00B35CFC"/>
    <w:rsid w:val="00B43CE3"/>
    <w:rsid w:val="00B442B0"/>
    <w:rsid w:val="00B448C6"/>
    <w:rsid w:val="00B44ECD"/>
    <w:rsid w:val="00B44F46"/>
    <w:rsid w:val="00B450D1"/>
    <w:rsid w:val="00B46080"/>
    <w:rsid w:val="00B50006"/>
    <w:rsid w:val="00B5134A"/>
    <w:rsid w:val="00B51935"/>
    <w:rsid w:val="00B51C1D"/>
    <w:rsid w:val="00B530A0"/>
    <w:rsid w:val="00B53D47"/>
    <w:rsid w:val="00B54A25"/>
    <w:rsid w:val="00B556D6"/>
    <w:rsid w:val="00B5729D"/>
    <w:rsid w:val="00B5778E"/>
    <w:rsid w:val="00B60DE9"/>
    <w:rsid w:val="00B618C3"/>
    <w:rsid w:val="00B632D6"/>
    <w:rsid w:val="00B63652"/>
    <w:rsid w:val="00B639B7"/>
    <w:rsid w:val="00B64CC0"/>
    <w:rsid w:val="00B64FA1"/>
    <w:rsid w:val="00B661EB"/>
    <w:rsid w:val="00B668B0"/>
    <w:rsid w:val="00B70F5C"/>
    <w:rsid w:val="00B71574"/>
    <w:rsid w:val="00B71873"/>
    <w:rsid w:val="00B71F82"/>
    <w:rsid w:val="00B72F57"/>
    <w:rsid w:val="00B7383A"/>
    <w:rsid w:val="00B7491E"/>
    <w:rsid w:val="00B75AE5"/>
    <w:rsid w:val="00B77008"/>
    <w:rsid w:val="00B800C0"/>
    <w:rsid w:val="00B8132B"/>
    <w:rsid w:val="00B84C5A"/>
    <w:rsid w:val="00B858F5"/>
    <w:rsid w:val="00B90362"/>
    <w:rsid w:val="00B911BF"/>
    <w:rsid w:val="00B91258"/>
    <w:rsid w:val="00B93668"/>
    <w:rsid w:val="00B96C0D"/>
    <w:rsid w:val="00B97CF0"/>
    <w:rsid w:val="00BA605F"/>
    <w:rsid w:val="00BA68C6"/>
    <w:rsid w:val="00BB0221"/>
    <w:rsid w:val="00BB12F1"/>
    <w:rsid w:val="00BB276E"/>
    <w:rsid w:val="00BB2FBF"/>
    <w:rsid w:val="00BB3FEE"/>
    <w:rsid w:val="00BB5EB0"/>
    <w:rsid w:val="00BC245A"/>
    <w:rsid w:val="00BC2EEF"/>
    <w:rsid w:val="00BC31E2"/>
    <w:rsid w:val="00BC5B12"/>
    <w:rsid w:val="00BC7B80"/>
    <w:rsid w:val="00BD0B8A"/>
    <w:rsid w:val="00BD16FA"/>
    <w:rsid w:val="00BD1773"/>
    <w:rsid w:val="00BD1A45"/>
    <w:rsid w:val="00BD41C3"/>
    <w:rsid w:val="00BD4384"/>
    <w:rsid w:val="00BD488B"/>
    <w:rsid w:val="00BD7CCC"/>
    <w:rsid w:val="00BE002A"/>
    <w:rsid w:val="00BE0283"/>
    <w:rsid w:val="00BE0316"/>
    <w:rsid w:val="00BE1BC9"/>
    <w:rsid w:val="00BE22C2"/>
    <w:rsid w:val="00BE2763"/>
    <w:rsid w:val="00BE318F"/>
    <w:rsid w:val="00BE31CC"/>
    <w:rsid w:val="00BE5CDA"/>
    <w:rsid w:val="00BE5D20"/>
    <w:rsid w:val="00BE608F"/>
    <w:rsid w:val="00BE7AE9"/>
    <w:rsid w:val="00BF1E44"/>
    <w:rsid w:val="00BF23BB"/>
    <w:rsid w:val="00BF2B1C"/>
    <w:rsid w:val="00BF33DD"/>
    <w:rsid w:val="00BF3D69"/>
    <w:rsid w:val="00BF5331"/>
    <w:rsid w:val="00BF5755"/>
    <w:rsid w:val="00BF5960"/>
    <w:rsid w:val="00BF684B"/>
    <w:rsid w:val="00C002F7"/>
    <w:rsid w:val="00C015F0"/>
    <w:rsid w:val="00C016F3"/>
    <w:rsid w:val="00C031BA"/>
    <w:rsid w:val="00C04731"/>
    <w:rsid w:val="00C10A0F"/>
    <w:rsid w:val="00C13208"/>
    <w:rsid w:val="00C142AB"/>
    <w:rsid w:val="00C15193"/>
    <w:rsid w:val="00C151BB"/>
    <w:rsid w:val="00C15609"/>
    <w:rsid w:val="00C15A94"/>
    <w:rsid w:val="00C15F6A"/>
    <w:rsid w:val="00C17367"/>
    <w:rsid w:val="00C23EA7"/>
    <w:rsid w:val="00C256F3"/>
    <w:rsid w:val="00C270A2"/>
    <w:rsid w:val="00C30A3C"/>
    <w:rsid w:val="00C310EC"/>
    <w:rsid w:val="00C312F3"/>
    <w:rsid w:val="00C315B5"/>
    <w:rsid w:val="00C317C4"/>
    <w:rsid w:val="00C35E28"/>
    <w:rsid w:val="00C367C0"/>
    <w:rsid w:val="00C368A9"/>
    <w:rsid w:val="00C41806"/>
    <w:rsid w:val="00C41D95"/>
    <w:rsid w:val="00C426AF"/>
    <w:rsid w:val="00C4292A"/>
    <w:rsid w:val="00C42CDD"/>
    <w:rsid w:val="00C42DB4"/>
    <w:rsid w:val="00C4460C"/>
    <w:rsid w:val="00C454C2"/>
    <w:rsid w:val="00C45A9C"/>
    <w:rsid w:val="00C46780"/>
    <w:rsid w:val="00C469C1"/>
    <w:rsid w:val="00C46E2F"/>
    <w:rsid w:val="00C50659"/>
    <w:rsid w:val="00C50CF2"/>
    <w:rsid w:val="00C51B39"/>
    <w:rsid w:val="00C52342"/>
    <w:rsid w:val="00C5338A"/>
    <w:rsid w:val="00C54C3B"/>
    <w:rsid w:val="00C54EF9"/>
    <w:rsid w:val="00C56BBF"/>
    <w:rsid w:val="00C56BD0"/>
    <w:rsid w:val="00C572AA"/>
    <w:rsid w:val="00C57A9A"/>
    <w:rsid w:val="00C6016A"/>
    <w:rsid w:val="00C60B3F"/>
    <w:rsid w:val="00C614BC"/>
    <w:rsid w:val="00C614D8"/>
    <w:rsid w:val="00C623EB"/>
    <w:rsid w:val="00C629C2"/>
    <w:rsid w:val="00C64680"/>
    <w:rsid w:val="00C64C6B"/>
    <w:rsid w:val="00C65CA1"/>
    <w:rsid w:val="00C66F2E"/>
    <w:rsid w:val="00C6785C"/>
    <w:rsid w:val="00C709D6"/>
    <w:rsid w:val="00C70FD1"/>
    <w:rsid w:val="00C72030"/>
    <w:rsid w:val="00C724F2"/>
    <w:rsid w:val="00C72B76"/>
    <w:rsid w:val="00C72B7C"/>
    <w:rsid w:val="00C73188"/>
    <w:rsid w:val="00C733AA"/>
    <w:rsid w:val="00C775BE"/>
    <w:rsid w:val="00C77DC0"/>
    <w:rsid w:val="00C80D18"/>
    <w:rsid w:val="00C81A07"/>
    <w:rsid w:val="00C82F1B"/>
    <w:rsid w:val="00C83027"/>
    <w:rsid w:val="00C8341F"/>
    <w:rsid w:val="00C84B8A"/>
    <w:rsid w:val="00C85E65"/>
    <w:rsid w:val="00C87829"/>
    <w:rsid w:val="00C87CA1"/>
    <w:rsid w:val="00C911B4"/>
    <w:rsid w:val="00C91A3F"/>
    <w:rsid w:val="00C91B3B"/>
    <w:rsid w:val="00C91C2D"/>
    <w:rsid w:val="00C933E7"/>
    <w:rsid w:val="00C94262"/>
    <w:rsid w:val="00C94682"/>
    <w:rsid w:val="00C946A4"/>
    <w:rsid w:val="00C94A79"/>
    <w:rsid w:val="00C94CE1"/>
    <w:rsid w:val="00C95C73"/>
    <w:rsid w:val="00C976E1"/>
    <w:rsid w:val="00CA148E"/>
    <w:rsid w:val="00CA38A2"/>
    <w:rsid w:val="00CA3A9A"/>
    <w:rsid w:val="00CA3DB6"/>
    <w:rsid w:val="00CA3F36"/>
    <w:rsid w:val="00CA4C2A"/>
    <w:rsid w:val="00CA622A"/>
    <w:rsid w:val="00CA6A84"/>
    <w:rsid w:val="00CA6FB7"/>
    <w:rsid w:val="00CA7B11"/>
    <w:rsid w:val="00CB2C12"/>
    <w:rsid w:val="00CB6BC1"/>
    <w:rsid w:val="00CB7021"/>
    <w:rsid w:val="00CC1544"/>
    <w:rsid w:val="00CC6900"/>
    <w:rsid w:val="00CC7243"/>
    <w:rsid w:val="00CD08F5"/>
    <w:rsid w:val="00CD1772"/>
    <w:rsid w:val="00CD3294"/>
    <w:rsid w:val="00CD33F4"/>
    <w:rsid w:val="00CD4524"/>
    <w:rsid w:val="00CD4538"/>
    <w:rsid w:val="00CD5174"/>
    <w:rsid w:val="00CD6325"/>
    <w:rsid w:val="00CD7634"/>
    <w:rsid w:val="00CD784D"/>
    <w:rsid w:val="00CE20EA"/>
    <w:rsid w:val="00CE23C2"/>
    <w:rsid w:val="00CE326A"/>
    <w:rsid w:val="00CE3BBD"/>
    <w:rsid w:val="00CE4E16"/>
    <w:rsid w:val="00CE531A"/>
    <w:rsid w:val="00CF1F25"/>
    <w:rsid w:val="00CF3190"/>
    <w:rsid w:val="00CF3A1C"/>
    <w:rsid w:val="00CF40F8"/>
    <w:rsid w:val="00CF5C7D"/>
    <w:rsid w:val="00D008DA"/>
    <w:rsid w:val="00D01BE4"/>
    <w:rsid w:val="00D02D8A"/>
    <w:rsid w:val="00D039D5"/>
    <w:rsid w:val="00D0416F"/>
    <w:rsid w:val="00D043B2"/>
    <w:rsid w:val="00D05851"/>
    <w:rsid w:val="00D07AD5"/>
    <w:rsid w:val="00D10FED"/>
    <w:rsid w:val="00D11736"/>
    <w:rsid w:val="00D12EE8"/>
    <w:rsid w:val="00D1432F"/>
    <w:rsid w:val="00D14C22"/>
    <w:rsid w:val="00D14CDF"/>
    <w:rsid w:val="00D15FF1"/>
    <w:rsid w:val="00D167F4"/>
    <w:rsid w:val="00D2092A"/>
    <w:rsid w:val="00D21C85"/>
    <w:rsid w:val="00D2216D"/>
    <w:rsid w:val="00D23532"/>
    <w:rsid w:val="00D24FF8"/>
    <w:rsid w:val="00D31A6F"/>
    <w:rsid w:val="00D32F5D"/>
    <w:rsid w:val="00D353D1"/>
    <w:rsid w:val="00D35A02"/>
    <w:rsid w:val="00D364DC"/>
    <w:rsid w:val="00D367DB"/>
    <w:rsid w:val="00D36E05"/>
    <w:rsid w:val="00D370A7"/>
    <w:rsid w:val="00D4020F"/>
    <w:rsid w:val="00D40993"/>
    <w:rsid w:val="00D412D4"/>
    <w:rsid w:val="00D4245F"/>
    <w:rsid w:val="00D43FD3"/>
    <w:rsid w:val="00D4420D"/>
    <w:rsid w:val="00D44BB2"/>
    <w:rsid w:val="00D44C0E"/>
    <w:rsid w:val="00D44F27"/>
    <w:rsid w:val="00D45304"/>
    <w:rsid w:val="00D4550C"/>
    <w:rsid w:val="00D45C33"/>
    <w:rsid w:val="00D46165"/>
    <w:rsid w:val="00D461C7"/>
    <w:rsid w:val="00D47816"/>
    <w:rsid w:val="00D50424"/>
    <w:rsid w:val="00D50710"/>
    <w:rsid w:val="00D5140A"/>
    <w:rsid w:val="00D525C9"/>
    <w:rsid w:val="00D53100"/>
    <w:rsid w:val="00D53E44"/>
    <w:rsid w:val="00D55806"/>
    <w:rsid w:val="00D56B64"/>
    <w:rsid w:val="00D57D3E"/>
    <w:rsid w:val="00D616AE"/>
    <w:rsid w:val="00D624AC"/>
    <w:rsid w:val="00D62C8A"/>
    <w:rsid w:val="00D644A0"/>
    <w:rsid w:val="00D646AC"/>
    <w:rsid w:val="00D703BD"/>
    <w:rsid w:val="00D712A6"/>
    <w:rsid w:val="00D73542"/>
    <w:rsid w:val="00D76249"/>
    <w:rsid w:val="00D7643A"/>
    <w:rsid w:val="00D76618"/>
    <w:rsid w:val="00D80F1D"/>
    <w:rsid w:val="00D831A8"/>
    <w:rsid w:val="00D84234"/>
    <w:rsid w:val="00D84436"/>
    <w:rsid w:val="00D87367"/>
    <w:rsid w:val="00D87948"/>
    <w:rsid w:val="00D919E0"/>
    <w:rsid w:val="00D92EF5"/>
    <w:rsid w:val="00D962C8"/>
    <w:rsid w:val="00D966DE"/>
    <w:rsid w:val="00D96E33"/>
    <w:rsid w:val="00D97A7E"/>
    <w:rsid w:val="00DA3985"/>
    <w:rsid w:val="00DA497B"/>
    <w:rsid w:val="00DA54E5"/>
    <w:rsid w:val="00DA5768"/>
    <w:rsid w:val="00DA65EE"/>
    <w:rsid w:val="00DA696A"/>
    <w:rsid w:val="00DA703D"/>
    <w:rsid w:val="00DA7D12"/>
    <w:rsid w:val="00DB0CBE"/>
    <w:rsid w:val="00DB28E3"/>
    <w:rsid w:val="00DB3E07"/>
    <w:rsid w:val="00DC1908"/>
    <w:rsid w:val="00DC23CF"/>
    <w:rsid w:val="00DC2ABE"/>
    <w:rsid w:val="00DC51F3"/>
    <w:rsid w:val="00DC6562"/>
    <w:rsid w:val="00DC7611"/>
    <w:rsid w:val="00DD0DD1"/>
    <w:rsid w:val="00DD1AD8"/>
    <w:rsid w:val="00DD325B"/>
    <w:rsid w:val="00DE130D"/>
    <w:rsid w:val="00DE23AD"/>
    <w:rsid w:val="00DE24CF"/>
    <w:rsid w:val="00DE2F1C"/>
    <w:rsid w:val="00DE402A"/>
    <w:rsid w:val="00DE407C"/>
    <w:rsid w:val="00DE612D"/>
    <w:rsid w:val="00DE7C7D"/>
    <w:rsid w:val="00DF0516"/>
    <w:rsid w:val="00DF0CEB"/>
    <w:rsid w:val="00DF2992"/>
    <w:rsid w:val="00DF2D0C"/>
    <w:rsid w:val="00DF55F7"/>
    <w:rsid w:val="00DF62C5"/>
    <w:rsid w:val="00DF6C40"/>
    <w:rsid w:val="00E00058"/>
    <w:rsid w:val="00E01B9D"/>
    <w:rsid w:val="00E03006"/>
    <w:rsid w:val="00E0468F"/>
    <w:rsid w:val="00E04F5E"/>
    <w:rsid w:val="00E051EE"/>
    <w:rsid w:val="00E0522E"/>
    <w:rsid w:val="00E05A94"/>
    <w:rsid w:val="00E06481"/>
    <w:rsid w:val="00E10CFC"/>
    <w:rsid w:val="00E10EB7"/>
    <w:rsid w:val="00E120F4"/>
    <w:rsid w:val="00E14CAB"/>
    <w:rsid w:val="00E150B5"/>
    <w:rsid w:val="00E17172"/>
    <w:rsid w:val="00E17F24"/>
    <w:rsid w:val="00E200C1"/>
    <w:rsid w:val="00E21B09"/>
    <w:rsid w:val="00E21D72"/>
    <w:rsid w:val="00E303C0"/>
    <w:rsid w:val="00E3181C"/>
    <w:rsid w:val="00E3273C"/>
    <w:rsid w:val="00E3280A"/>
    <w:rsid w:val="00E3345E"/>
    <w:rsid w:val="00E372AF"/>
    <w:rsid w:val="00E37D68"/>
    <w:rsid w:val="00E40B30"/>
    <w:rsid w:val="00E40D67"/>
    <w:rsid w:val="00E40EAE"/>
    <w:rsid w:val="00E42DF2"/>
    <w:rsid w:val="00E4323D"/>
    <w:rsid w:val="00E436AC"/>
    <w:rsid w:val="00E440E5"/>
    <w:rsid w:val="00E4417F"/>
    <w:rsid w:val="00E449E2"/>
    <w:rsid w:val="00E44F7A"/>
    <w:rsid w:val="00E44FF8"/>
    <w:rsid w:val="00E5066A"/>
    <w:rsid w:val="00E5084E"/>
    <w:rsid w:val="00E520FB"/>
    <w:rsid w:val="00E52CF9"/>
    <w:rsid w:val="00E53455"/>
    <w:rsid w:val="00E53D4F"/>
    <w:rsid w:val="00E60052"/>
    <w:rsid w:val="00E613ED"/>
    <w:rsid w:val="00E61415"/>
    <w:rsid w:val="00E61F98"/>
    <w:rsid w:val="00E63F34"/>
    <w:rsid w:val="00E63FEA"/>
    <w:rsid w:val="00E64956"/>
    <w:rsid w:val="00E653D9"/>
    <w:rsid w:val="00E65C3F"/>
    <w:rsid w:val="00E66E69"/>
    <w:rsid w:val="00E6715A"/>
    <w:rsid w:val="00E706D0"/>
    <w:rsid w:val="00E70BBB"/>
    <w:rsid w:val="00E7563E"/>
    <w:rsid w:val="00E75DC9"/>
    <w:rsid w:val="00E7669F"/>
    <w:rsid w:val="00E81610"/>
    <w:rsid w:val="00E82863"/>
    <w:rsid w:val="00E84910"/>
    <w:rsid w:val="00E85B28"/>
    <w:rsid w:val="00E87F1B"/>
    <w:rsid w:val="00E910C7"/>
    <w:rsid w:val="00E91976"/>
    <w:rsid w:val="00E93500"/>
    <w:rsid w:val="00E947A6"/>
    <w:rsid w:val="00E94C35"/>
    <w:rsid w:val="00E94D3D"/>
    <w:rsid w:val="00E96AE1"/>
    <w:rsid w:val="00E97FC7"/>
    <w:rsid w:val="00EA0690"/>
    <w:rsid w:val="00EA2FC3"/>
    <w:rsid w:val="00EA391D"/>
    <w:rsid w:val="00EA3956"/>
    <w:rsid w:val="00EA44EA"/>
    <w:rsid w:val="00EA49CE"/>
    <w:rsid w:val="00EA4C51"/>
    <w:rsid w:val="00EA4C7B"/>
    <w:rsid w:val="00EA5BBC"/>
    <w:rsid w:val="00EA65E7"/>
    <w:rsid w:val="00EA6A3C"/>
    <w:rsid w:val="00EA7136"/>
    <w:rsid w:val="00EA71FA"/>
    <w:rsid w:val="00EB0179"/>
    <w:rsid w:val="00EB2166"/>
    <w:rsid w:val="00EB325A"/>
    <w:rsid w:val="00EB4C22"/>
    <w:rsid w:val="00EB55AD"/>
    <w:rsid w:val="00EC02A5"/>
    <w:rsid w:val="00EC176B"/>
    <w:rsid w:val="00EC18AA"/>
    <w:rsid w:val="00EC2626"/>
    <w:rsid w:val="00EC33CD"/>
    <w:rsid w:val="00EC5BE5"/>
    <w:rsid w:val="00ED0304"/>
    <w:rsid w:val="00ED2650"/>
    <w:rsid w:val="00ED4FC5"/>
    <w:rsid w:val="00ED721A"/>
    <w:rsid w:val="00EE08C3"/>
    <w:rsid w:val="00EE14CB"/>
    <w:rsid w:val="00EE35B6"/>
    <w:rsid w:val="00EE393D"/>
    <w:rsid w:val="00EE4A60"/>
    <w:rsid w:val="00EE4D17"/>
    <w:rsid w:val="00EE572B"/>
    <w:rsid w:val="00EE70B4"/>
    <w:rsid w:val="00EF01CF"/>
    <w:rsid w:val="00EF1020"/>
    <w:rsid w:val="00EF27E5"/>
    <w:rsid w:val="00EF2D99"/>
    <w:rsid w:val="00EF35E9"/>
    <w:rsid w:val="00EF6A47"/>
    <w:rsid w:val="00EF7AF9"/>
    <w:rsid w:val="00F000FF"/>
    <w:rsid w:val="00F00137"/>
    <w:rsid w:val="00F00952"/>
    <w:rsid w:val="00F01495"/>
    <w:rsid w:val="00F01F26"/>
    <w:rsid w:val="00F056E0"/>
    <w:rsid w:val="00F07913"/>
    <w:rsid w:val="00F07B9A"/>
    <w:rsid w:val="00F10138"/>
    <w:rsid w:val="00F111AB"/>
    <w:rsid w:val="00F1166E"/>
    <w:rsid w:val="00F11FEE"/>
    <w:rsid w:val="00F13540"/>
    <w:rsid w:val="00F13F92"/>
    <w:rsid w:val="00F1575B"/>
    <w:rsid w:val="00F1673D"/>
    <w:rsid w:val="00F17FE2"/>
    <w:rsid w:val="00F22ECA"/>
    <w:rsid w:val="00F23FB1"/>
    <w:rsid w:val="00F240E8"/>
    <w:rsid w:val="00F244FA"/>
    <w:rsid w:val="00F25C5F"/>
    <w:rsid w:val="00F260F0"/>
    <w:rsid w:val="00F271B1"/>
    <w:rsid w:val="00F31079"/>
    <w:rsid w:val="00F32C93"/>
    <w:rsid w:val="00F366A2"/>
    <w:rsid w:val="00F403D4"/>
    <w:rsid w:val="00F437E6"/>
    <w:rsid w:val="00F44F43"/>
    <w:rsid w:val="00F450E1"/>
    <w:rsid w:val="00F45D26"/>
    <w:rsid w:val="00F47CFD"/>
    <w:rsid w:val="00F50259"/>
    <w:rsid w:val="00F50B51"/>
    <w:rsid w:val="00F50DF4"/>
    <w:rsid w:val="00F52234"/>
    <w:rsid w:val="00F52664"/>
    <w:rsid w:val="00F531E9"/>
    <w:rsid w:val="00F54C0B"/>
    <w:rsid w:val="00F56397"/>
    <w:rsid w:val="00F57AFE"/>
    <w:rsid w:val="00F6278E"/>
    <w:rsid w:val="00F63C41"/>
    <w:rsid w:val="00F63E96"/>
    <w:rsid w:val="00F646E6"/>
    <w:rsid w:val="00F65AEB"/>
    <w:rsid w:val="00F66E8F"/>
    <w:rsid w:val="00F701E3"/>
    <w:rsid w:val="00F702A9"/>
    <w:rsid w:val="00F71008"/>
    <w:rsid w:val="00F71098"/>
    <w:rsid w:val="00F71F8C"/>
    <w:rsid w:val="00F773A3"/>
    <w:rsid w:val="00F82286"/>
    <w:rsid w:val="00F82F51"/>
    <w:rsid w:val="00F8372F"/>
    <w:rsid w:val="00F839A7"/>
    <w:rsid w:val="00F86AD4"/>
    <w:rsid w:val="00F9192C"/>
    <w:rsid w:val="00F92A4A"/>
    <w:rsid w:val="00F93032"/>
    <w:rsid w:val="00F95E96"/>
    <w:rsid w:val="00F97179"/>
    <w:rsid w:val="00F97993"/>
    <w:rsid w:val="00FA0113"/>
    <w:rsid w:val="00FA0DBD"/>
    <w:rsid w:val="00FA12B2"/>
    <w:rsid w:val="00FA4663"/>
    <w:rsid w:val="00FA62AF"/>
    <w:rsid w:val="00FA7610"/>
    <w:rsid w:val="00FB02BD"/>
    <w:rsid w:val="00FB398F"/>
    <w:rsid w:val="00FB3CEB"/>
    <w:rsid w:val="00FB4EF8"/>
    <w:rsid w:val="00FB546C"/>
    <w:rsid w:val="00FB54AE"/>
    <w:rsid w:val="00FB709A"/>
    <w:rsid w:val="00FB75AB"/>
    <w:rsid w:val="00FB78DD"/>
    <w:rsid w:val="00FB7F41"/>
    <w:rsid w:val="00FC30F9"/>
    <w:rsid w:val="00FC3EF3"/>
    <w:rsid w:val="00FC45BF"/>
    <w:rsid w:val="00FC4DA1"/>
    <w:rsid w:val="00FC5D35"/>
    <w:rsid w:val="00FC79BC"/>
    <w:rsid w:val="00FD02E8"/>
    <w:rsid w:val="00FD2049"/>
    <w:rsid w:val="00FD2140"/>
    <w:rsid w:val="00FD2421"/>
    <w:rsid w:val="00FD5B5F"/>
    <w:rsid w:val="00FD5BDE"/>
    <w:rsid w:val="00FD68EC"/>
    <w:rsid w:val="00FD744F"/>
    <w:rsid w:val="00FE206E"/>
    <w:rsid w:val="00FE24A5"/>
    <w:rsid w:val="00FE261E"/>
    <w:rsid w:val="00FE31E5"/>
    <w:rsid w:val="00FE3F42"/>
    <w:rsid w:val="00FE6049"/>
    <w:rsid w:val="00FE7206"/>
    <w:rsid w:val="00FF0744"/>
    <w:rsid w:val="00FF18DE"/>
    <w:rsid w:val="00FF19AD"/>
    <w:rsid w:val="00FF1EB5"/>
    <w:rsid w:val="00FF2038"/>
    <w:rsid w:val="00FF292D"/>
    <w:rsid w:val="00FF298D"/>
    <w:rsid w:val="00FF4B55"/>
    <w:rsid w:val="00FF4D3B"/>
    <w:rsid w:val="00FF5533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docId w15:val="{6D3FF3CE-415F-4D4D-8452-2654DCE6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uiPriority w:val="99"/>
    <w:semiHidden/>
    <w:unhideWhenUsed/>
    <w:rsid w:val="006022B5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6022B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F3F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6D1B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vikis@cystat.mof.gov.cy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ibrary.cystat.gov.cy/NEW/CPI-Methodological_Note-Jan26-EL-191225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MethodologicalDetails?m=20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kakoutsis@cystat.mof.gov.cy" TargetMode="External"/><Relationship Id="rId10" Type="http://schemas.openxmlformats.org/officeDocument/2006/relationships/hyperlink" Target="https://cystatdb.cystat.gov.cy/pxweb/el/8.CYSTAT-DB/8.CYSTAT-DB__Price%20Indices__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7" TargetMode="External"/><Relationship Id="rId14" Type="http://schemas.openxmlformats.org/officeDocument/2006/relationships/hyperlink" Target="mailto:kvoutouris@cystat.mof.gov.c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3BBA4-96CC-4F32-B5F3-7187779B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8655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Theodoulou</cp:lastModifiedBy>
  <cp:revision>19</cp:revision>
  <cp:lastPrinted>2026-02-05T12:14:00Z</cp:lastPrinted>
  <dcterms:created xsi:type="dcterms:W3CDTF">2026-02-05T09:50:00Z</dcterms:created>
  <dcterms:modified xsi:type="dcterms:W3CDTF">2026-02-05T12:35:00Z</dcterms:modified>
</cp:coreProperties>
</file>