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71342F6E" w:rsidR="006022B5" w:rsidRDefault="00D043B2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FC4DA1">
        <w:rPr>
          <w:rFonts w:ascii="Verdana" w:hAnsi="Verdana" w:cs="Arial"/>
          <w:sz w:val="18"/>
          <w:szCs w:val="18"/>
          <w:lang w:val="el-GR"/>
        </w:rPr>
        <w:t>5</w:t>
      </w:r>
      <w:r w:rsidR="00290AEC" w:rsidRPr="003B5FBA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Φεβρουαρίου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07723457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- ΑΝΑΘΕΩΡΗΜΕΝΟ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76D83D76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7E3256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D043B2">
        <w:rPr>
          <w:rFonts w:ascii="Verdana" w:eastAsia="Malgun Gothic" w:hAnsi="Verdana" w:cs="Arial"/>
          <w:b/>
          <w:u w:val="single"/>
          <w:lang w:val="el-GR"/>
        </w:rPr>
        <w:t>ΙΑΝΟΥΑ</w:t>
      </w:r>
      <w:r w:rsidR="00527EAE">
        <w:rPr>
          <w:rFonts w:ascii="Verdana" w:eastAsia="Malgun Gothic" w:hAnsi="Verdana" w:cs="Arial"/>
          <w:b/>
          <w:u w:val="single"/>
          <w:lang w:val="el-GR"/>
        </w:rPr>
        <w:t>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24A01D5A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601131" w:rsidRPr="00527EAE">
        <w:rPr>
          <w:rFonts w:ascii="Verdana" w:eastAsia="Malgun Gothic" w:hAnsi="Verdana" w:cs="Arial"/>
          <w:b/>
          <w:lang w:val="el-GR"/>
        </w:rPr>
        <w:t>5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7B2422E2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99,98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00,2</w:t>
      </w:r>
      <w:r w:rsidR="00403BEB" w:rsidRPr="0037552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 xml:space="preserve">θηκε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52847088" w:rsidR="00A63680" w:rsidRPr="00FF18DE" w:rsidRDefault="00EA4C51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888221F" wp14:editId="3EB2200D">
            <wp:extent cx="6090285" cy="4188460"/>
            <wp:effectExtent l="0" t="0" r="5715" b="2540"/>
            <wp:docPr id="5785568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6B6E92C8" w:rsidR="00394E48" w:rsidRPr="00EF35E9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και Νερό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2D07FD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στα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E22C2" w:rsidRPr="00BE22C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984FB8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Γεωργικά Προϊόντα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05748C66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03895A50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αροχής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αταλύματος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</w:t>
      </w:r>
      <w:r w:rsidR="00710F54">
        <w:rPr>
          <w:rFonts w:ascii="Verdana" w:eastAsia="Malgun Gothic" w:hAnsi="Verdana" w:cs="Arial"/>
          <w:i/>
          <w:sz w:val="18"/>
          <w:szCs w:val="18"/>
          <w:lang w:val="el-GR"/>
        </w:rPr>
        <w:t>ιδευτικές Υπηρεσίες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0AC57A91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-12,1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%) και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03BEB" w:rsidRPr="0037552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D60BFE" w14:textId="42CCE396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επίδραση στη μεταβολή του ΔΤΚ του Ιανουαρίου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Ιανουάριο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2025 είχαν οι κατηγορίες</w:t>
      </w:r>
      <w:r w:rsidRPr="00AB7EC6">
        <w:rPr>
          <w:rFonts w:ascii="Verdana" w:hAnsi="Verdana"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</w:t>
      </w:r>
      <w:r>
        <w:rPr>
          <w:rFonts w:ascii="Verdana" w:eastAsia="Times New Roman" w:hAnsi="Verdana" w:cs="Arial"/>
          <w:i/>
          <w:iCs/>
          <w:sz w:val="18"/>
          <w:szCs w:val="18"/>
          <w:lang w:val="el-GR"/>
        </w:rPr>
        <w:t>Π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αροχής Καταλύματος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(3,21),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(2,74)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(1,84), ενώ τη μεγαλύτερη αρνητική επίδραση στη μεταβολή του ΔΤΚ του Ιανουαρίου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Ιανουάριο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2025 είχαν οι κατηγορίες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(-2,62),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(-1,61) και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(-1,16). (Πίνακας 3)</w:t>
      </w:r>
    </w:p>
    <w:p w14:paraId="4E96D4BB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0B6BF263" w14:textId="46F0C3AA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AB7EC6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Ιανουάριο 2026 σε σχέση με τον Δεκέμβριο 2025 είχαν  οι κατηγορίες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</w:t>
      </w:r>
      <w:r>
        <w:rPr>
          <w:rFonts w:ascii="Verdana" w:eastAsia="Times New Roman" w:hAnsi="Verdana" w:cs="Arial"/>
          <w:i/>
          <w:iCs/>
          <w:sz w:val="18"/>
          <w:szCs w:val="18"/>
          <w:lang w:val="el-GR"/>
        </w:rPr>
        <w:t>Π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αροχής Καταλύματος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 xml:space="preserve">(2,82),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(-2,65),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 xml:space="preserve">(2,59) και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Αλκοολούχα Ποτά και Καπνός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(1,81)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 xml:space="preserve">.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Ιανουαρίου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 δείκτη του Ιανουαρίου 2025 είχαν οι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Εστίασης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(2,83), ενώ τη μεγαλύτερη αρνητική επίδραση είχε η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Βενζίνη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(-2,16). (Πίνακας 4)</w:t>
      </w:r>
    </w:p>
    <w:p w14:paraId="608E7601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5451FA4D" w14:textId="77777777" w:rsidR="00AB7EC6" w:rsidRPr="00AB7EC6" w:rsidRDefault="00AB7EC6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Υπηρεσίες Αναψυχής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(2,78) είχαν τη μεγαλύτερη θετική επίδραση στη μεταβολή του ΔΤΚ του Ιανουαρίου </w:t>
      </w:r>
      <w:r w:rsidRPr="00AB7EC6">
        <w:rPr>
          <w:rFonts w:ascii="Verdana" w:hAnsi="Verdana" w:cs="Arial"/>
          <w:sz w:val="18"/>
          <w:szCs w:val="18"/>
          <w:lang w:val="el-GR"/>
        </w:rPr>
        <w:t>2026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Δεκεμβρίου 2025, ενώ τη μεγαλύτερη αρνητική επίδραση είχαν η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Βενζίνη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(-1,85).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583" w:type="pct"/>
        <w:jc w:val="center"/>
        <w:tblLayout w:type="fixed"/>
        <w:tblLook w:val="04A0" w:firstRow="1" w:lastRow="0" w:firstColumn="1" w:lastColumn="0" w:noHBand="0" w:noVBand="1"/>
      </w:tblPr>
      <w:tblGrid>
        <w:gridCol w:w="2975"/>
        <w:gridCol w:w="1559"/>
        <w:gridCol w:w="1418"/>
        <w:gridCol w:w="281"/>
        <w:gridCol w:w="1279"/>
        <w:gridCol w:w="1276"/>
      </w:tblGrid>
      <w:tr w:rsidR="00AB7EC6" w:rsidRPr="00AB7EC6" w14:paraId="1D00F069" w14:textId="27C1EA9C" w:rsidTr="00742971">
        <w:trPr>
          <w:trHeight w:val="270"/>
          <w:jc w:val="center"/>
        </w:trPr>
        <w:tc>
          <w:tcPr>
            <w:tcW w:w="2975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1D4424" w:rsidRPr="00AB7EC6" w:rsidRDefault="001D4424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2977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1D4424" w:rsidRPr="00AB7EC6" w:rsidRDefault="001D4424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1D4424" w:rsidRPr="00AB7EC6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366092"/>
            </w:tcBorders>
          </w:tcPr>
          <w:p w14:paraId="072D56CC" w14:textId="77777777" w:rsidR="001D4424" w:rsidRPr="00AB7EC6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AB7EC6" w:rsidRPr="00AB7EC6" w14:paraId="79540F65" w14:textId="49BDFAC0" w:rsidTr="00742971">
        <w:trPr>
          <w:trHeight w:val="270"/>
          <w:jc w:val="center"/>
        </w:trPr>
        <w:tc>
          <w:tcPr>
            <w:tcW w:w="297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1D4424" w:rsidRPr="00AB7EC6" w:rsidRDefault="001D4424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2977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1D4424" w:rsidRPr="00AB7EC6" w:rsidRDefault="001D4424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="00307F45"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1D4424" w:rsidRPr="00AB7EC6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7FCEAA" w14:textId="6D0F9E81" w:rsidR="001D4424" w:rsidRPr="00AB7EC6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AB7EC6" w:rsidRPr="00AB7EC6" w14:paraId="4BD227C0" w14:textId="56E7A4E3" w:rsidTr="00742971">
        <w:trPr>
          <w:trHeight w:val="602"/>
          <w:jc w:val="center"/>
        </w:trPr>
        <w:tc>
          <w:tcPr>
            <w:tcW w:w="2975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1D4424" w:rsidRPr="00AB7EC6" w:rsidRDefault="001D4424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2E10D92" w14:textId="2BC30F74" w:rsidR="001D4424" w:rsidRPr="00AB7EC6" w:rsidRDefault="001D4424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2CBD1D95" w14:textId="0ED25C94" w:rsidR="001D4424" w:rsidRPr="00AB7EC6" w:rsidRDefault="001D4424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7FCE10FD" w:rsidR="001D4424" w:rsidRPr="00AB7EC6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11415D22" w14:textId="7C279E88" w:rsidR="001D4424" w:rsidRPr="00AB7EC6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1D4424" w:rsidRPr="00AB7EC6" w:rsidRDefault="001D4424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69FCD598" w:rsidR="001D4424" w:rsidRPr="00AB7EC6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 Ιαν 25</w:t>
            </w:r>
          </w:p>
        </w:tc>
        <w:tc>
          <w:tcPr>
            <w:tcW w:w="127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423C652A" w:rsidR="001D4424" w:rsidRPr="00AB7EC6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Δεκ 2</w:t>
            </w: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AB7EC6" w:rsidRPr="00AB7EC6" w14:paraId="43FBF73D" w14:textId="0B37F553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0B37ED1F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99,59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6D20AB95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103,11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16216314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298DB911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3,53</w:t>
            </w:r>
          </w:p>
        </w:tc>
      </w:tr>
      <w:tr w:rsidR="00AB7EC6" w:rsidRPr="00AB7EC6" w14:paraId="40FB4937" w14:textId="16B0D887" w:rsidTr="007B6DB6">
        <w:trPr>
          <w:trHeight w:val="39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7CFBCFCB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100,56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63E65EAE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100,42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652DC550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0,75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5EC07C62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-0,14</w:t>
            </w:r>
          </w:p>
        </w:tc>
      </w:tr>
      <w:tr w:rsidR="00AB7EC6" w:rsidRPr="00AB7EC6" w14:paraId="30CC1D12" w14:textId="63213DF3" w:rsidTr="007B6DB6">
        <w:trPr>
          <w:trHeight w:val="39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10F66CA5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5BDA7FDB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89,63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753FE45D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-7,0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4AC56924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-12,12</w:t>
            </w:r>
          </w:p>
        </w:tc>
      </w:tr>
      <w:tr w:rsidR="00AB7EC6" w:rsidRPr="00AB7EC6" w14:paraId="64A249B5" w14:textId="3207FD58" w:rsidTr="00742971">
        <w:trPr>
          <w:trHeight w:val="79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71609657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99,96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0E264667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100,66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37BBA38C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61B36DC9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0,70</w:t>
            </w:r>
          </w:p>
        </w:tc>
      </w:tr>
      <w:bookmarkEnd w:id="0"/>
      <w:tr w:rsidR="00AB7EC6" w:rsidRPr="00AB7EC6" w14:paraId="3A7635E9" w14:textId="3DB5F288" w:rsidTr="007B6DB6">
        <w:trPr>
          <w:trHeight w:val="90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5D0FDE47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100,12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5E25DB04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99,83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339CB017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5B9AC5BC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-0,29</w:t>
            </w:r>
          </w:p>
        </w:tc>
      </w:tr>
      <w:tr w:rsidR="00AB7EC6" w:rsidRPr="00AB7EC6" w14:paraId="3359A3C0" w14:textId="3BD42386" w:rsidTr="007B6DB6">
        <w:trPr>
          <w:trHeight w:val="39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3F61F6E1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100,14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0743B99C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100,38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0EFDB06D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241C9F0F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0,24</w:t>
            </w:r>
          </w:p>
        </w:tc>
      </w:tr>
      <w:tr w:rsidR="00AB7EC6" w:rsidRPr="00AB7EC6" w14:paraId="299E5490" w14:textId="0BE906FA" w:rsidTr="007B6DB6">
        <w:trPr>
          <w:trHeight w:val="39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479C31C8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99,04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6F308B38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97,72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73E92CBB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0792D6C0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-1,33</w:t>
            </w:r>
          </w:p>
        </w:tc>
      </w:tr>
      <w:tr w:rsidR="00AB7EC6" w:rsidRPr="00AB7EC6" w14:paraId="79C16F2A" w14:textId="4D611CBA" w:rsidTr="00742971">
        <w:trPr>
          <w:trHeight w:val="37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247028BD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99,27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5223FE7F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97,61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46795686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-1,97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6CC080E6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-1,67</w:t>
            </w:r>
          </w:p>
        </w:tc>
      </w:tr>
      <w:tr w:rsidR="00AB7EC6" w:rsidRPr="00AB7EC6" w14:paraId="5C3CEC2A" w14:textId="5CA76F0A" w:rsidTr="007B6DB6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091E1A92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101,72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623A5394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101,43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47EB0B9B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3,1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08264F95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-0,29</w:t>
            </w:r>
          </w:p>
        </w:tc>
      </w:tr>
      <w:tr w:rsidR="00AB7EC6" w:rsidRPr="00AB7EC6" w14:paraId="23CBF3D1" w14:textId="3D47F764" w:rsidTr="007B6DB6">
        <w:trPr>
          <w:trHeight w:val="397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47437585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102,41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5D5CF3B9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3AF41088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4EB45D8D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0,17</w:t>
            </w:r>
          </w:p>
        </w:tc>
      </w:tr>
      <w:tr w:rsidR="00AB7EC6" w:rsidRPr="00AB7EC6" w14:paraId="00E44953" w14:textId="1A8E55CD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56F8621E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101,66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49AE9C4D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101,72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36A2CB65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4,7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23C94015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0,06</w:t>
            </w:r>
          </w:p>
        </w:tc>
      </w:tr>
      <w:tr w:rsidR="00AB7EC6" w:rsidRPr="00AB7EC6" w14:paraId="0BFDEF23" w14:textId="77777777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3C877637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100,02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2551CF9E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069ED168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</w:t>
            </w: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08D657CA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 xml:space="preserve">    0,03</w:t>
            </w:r>
          </w:p>
        </w:tc>
      </w:tr>
      <w:tr w:rsidR="00AB7EC6" w:rsidRPr="00AB7EC6" w14:paraId="0ABA4BC7" w14:textId="4629CEA3" w:rsidTr="007B6DB6">
        <w:trPr>
          <w:trHeight w:val="794"/>
          <w:jc w:val="center"/>
        </w:trPr>
        <w:tc>
          <w:tcPr>
            <w:tcW w:w="2975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EB2E89" w:rsidRPr="00AB7EC6" w:rsidRDefault="00EB2E89" w:rsidP="00EB2E8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59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7491D466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101,21</w:t>
            </w:r>
          </w:p>
        </w:tc>
        <w:tc>
          <w:tcPr>
            <w:tcW w:w="1418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00BE4B2E" w:rsidR="00EB2E89" w:rsidRPr="00AB7EC6" w:rsidRDefault="00EB2E89" w:rsidP="00EB2E89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>100,71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EB2E89" w:rsidRPr="00AB7EC6" w:rsidRDefault="00EB2E89" w:rsidP="00EB2E89">
            <w:pPr>
              <w:tabs>
                <w:tab w:val="left" w:pos="1023"/>
              </w:tabs>
              <w:ind w:right="227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6067CB2C" w:rsidR="00EB2E89" w:rsidRPr="00AB7EC6" w:rsidRDefault="00EB2E89" w:rsidP="00EB2E89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1,78</w:t>
            </w:r>
          </w:p>
        </w:tc>
        <w:tc>
          <w:tcPr>
            <w:tcW w:w="127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1C2A872C" w:rsidR="00EB2E89" w:rsidRPr="00AB7EC6" w:rsidRDefault="00EB2E89" w:rsidP="00EB2E89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color w:val="366092"/>
                <w:sz w:val="18"/>
                <w:szCs w:val="18"/>
              </w:rPr>
              <w:t xml:space="preserve">    -0,49</w:t>
            </w:r>
          </w:p>
        </w:tc>
      </w:tr>
      <w:tr w:rsidR="00AB7EC6" w:rsidRPr="00AB7EC6" w14:paraId="7B6D317E" w14:textId="278222F2" w:rsidTr="00742971">
        <w:trPr>
          <w:trHeight w:hRule="exact" w:val="567"/>
          <w:jc w:val="center"/>
        </w:trPr>
        <w:tc>
          <w:tcPr>
            <w:tcW w:w="2975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EB2E89" w:rsidRPr="00AB7EC6" w:rsidRDefault="00EB2E89" w:rsidP="00EB2E8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0C2EE913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100,28</w:t>
            </w: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49491D90" w:rsidR="00EB2E89" w:rsidRPr="00AB7EC6" w:rsidRDefault="00EB2E89" w:rsidP="00EB2E89">
            <w:pPr>
              <w:tabs>
                <w:tab w:val="left" w:pos="879"/>
              </w:tabs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99,98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EB2E89" w:rsidRPr="00AB7EC6" w:rsidRDefault="00EB2E89" w:rsidP="00EB2E89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3D03CA75" w:rsidR="00EB2E89" w:rsidRPr="00AB7EC6" w:rsidRDefault="00EB2E89" w:rsidP="00EB2E89">
            <w:pPr>
              <w:tabs>
                <w:tab w:val="left" w:pos="601"/>
              </w:tabs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0,5</w:t>
            </w: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623870B9" w:rsidR="00EB2E89" w:rsidRPr="00AB7EC6" w:rsidRDefault="00EB2E89" w:rsidP="00EB2E89">
            <w:pPr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B7EC6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-0,30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1911"/>
        <w:gridCol w:w="2319"/>
        <w:gridCol w:w="2194"/>
      </w:tblGrid>
      <w:tr w:rsidR="00742971" w:rsidRPr="00742971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742971" w:rsidRPr="00742971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42971" w:rsidRPr="00742971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742971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742971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7C5F9755" w:rsidR="00636C15" w:rsidRPr="00742971" w:rsidRDefault="00FC4DA1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747203F6" w:rsidR="00636C15" w:rsidRPr="00742971" w:rsidRDefault="00FC4DA1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2971" w:rsidRPr="00742971" w14:paraId="6B065B03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4990CAAA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37E2ECFA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  <w:r w:rsidR="00AA2EFD"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93</w:t>
            </w:r>
          </w:p>
        </w:tc>
      </w:tr>
      <w:tr w:rsidR="00742971" w:rsidRPr="00742971" w14:paraId="6A6F5649" w14:textId="77777777" w:rsidTr="00040AAE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042A37AA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1F0969A2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-2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02</w:t>
            </w:r>
          </w:p>
        </w:tc>
      </w:tr>
      <w:tr w:rsidR="00742971" w:rsidRPr="00742971" w14:paraId="3370FFAD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1DDD9AE4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-6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51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33DDD13D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14</w:t>
            </w:r>
          </w:p>
        </w:tc>
      </w:tr>
      <w:tr w:rsidR="00742971" w:rsidRPr="00742971" w14:paraId="55D46229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65302195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-6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77E81B78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72</w:t>
            </w:r>
          </w:p>
        </w:tc>
      </w:tr>
      <w:tr w:rsidR="00742971" w:rsidRPr="00742971" w14:paraId="1CD39D67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4BCB06E0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3E845D56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12</w:t>
            </w:r>
          </w:p>
        </w:tc>
      </w:tr>
      <w:tr w:rsidR="00742971" w:rsidRPr="00742971" w14:paraId="331F509F" w14:textId="77777777" w:rsidTr="00040AAE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EB0179" w:rsidRPr="00742971" w:rsidRDefault="00EB0179" w:rsidP="00EB017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EB0179" w:rsidRPr="00742971" w:rsidRDefault="00EB0179" w:rsidP="00EB0179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6745DE2D" w:rsidR="00EB0179" w:rsidRPr="00742971" w:rsidRDefault="00C56BD0" w:rsidP="002F1896">
            <w:pPr>
              <w:ind w:right="82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0,5</w:t>
            </w:r>
            <w:r w:rsidR="00BE22C2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3FB7BD2A" w:rsidR="00EB0179" w:rsidRPr="00742971" w:rsidRDefault="00FC4DA1" w:rsidP="002F1896">
            <w:pPr>
              <w:ind w:right="74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B0179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30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18"/>
        <w:gridCol w:w="1816"/>
      </w:tblGrid>
      <w:tr w:rsidR="007B6DB6" w:rsidRPr="007B6DB6" w14:paraId="7C819A9A" w14:textId="77777777" w:rsidTr="00EB15F3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</w:tcPr>
          <w:p w14:paraId="2EA49F57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7B6DB6" w:rsidRPr="007B6DB6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7B6DB6" w:rsidRPr="007B6DB6" w14:paraId="160BD7CA" w14:textId="77777777" w:rsidTr="00EB15F3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4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9AF87B3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Ιαν 25</w:t>
            </w:r>
          </w:p>
        </w:tc>
        <w:tc>
          <w:tcPr>
            <w:tcW w:w="94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3DF5B41F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Δεκ 2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B6DB6" w:rsidRPr="007B6DB6" w14:paraId="16C61578" w14:textId="77777777" w:rsidTr="007B6DB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91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81</w:t>
            </w:r>
          </w:p>
        </w:tc>
      </w:tr>
      <w:tr w:rsidR="007B6DB6" w:rsidRPr="007B6DB6" w14:paraId="3EFE27F2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84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81</w:t>
            </w:r>
          </w:p>
        </w:tc>
      </w:tr>
      <w:tr w:rsidR="007B6DB6" w:rsidRPr="007B6DB6" w14:paraId="2BEC9DB8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</w:t>
            </w:r>
          </w:p>
        </w:tc>
      </w:tr>
      <w:tr w:rsidR="007B6DB6" w:rsidRPr="007B6DB6" w14:paraId="1E3A94D3" w14:textId="77777777" w:rsidTr="007B6DB6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73</w:t>
            </w:r>
          </w:p>
        </w:tc>
      </w:tr>
      <w:tr w:rsidR="007B6DB6" w:rsidRPr="007B6DB6" w14:paraId="36614504" w14:textId="77777777" w:rsidTr="007B6DB6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 και Διακόσμηση, Οικιακός Εξοπλισμός και </w:t>
            </w:r>
            <w:r w:rsidR="001E3A2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24</w:t>
            </w:r>
          </w:p>
        </w:tc>
      </w:tr>
      <w:tr w:rsidR="007B6DB6" w:rsidRPr="007B6DB6" w14:paraId="5B2C33AC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62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65</w:t>
            </w:r>
          </w:p>
        </w:tc>
      </w:tr>
      <w:tr w:rsidR="007B6DB6" w:rsidRPr="007B6DB6" w14:paraId="4DE8C44E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93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76</w:t>
            </w:r>
          </w:p>
        </w:tc>
      </w:tr>
      <w:tr w:rsidR="007B6DB6" w:rsidRPr="007B6DB6" w14:paraId="4649393D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60</w:t>
            </w:r>
          </w:p>
        </w:tc>
      </w:tr>
      <w:tr w:rsidR="007B6DB6" w:rsidRPr="007B6DB6" w14:paraId="3559BFD7" w14:textId="77777777" w:rsidTr="007B6DB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74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59</w:t>
            </w:r>
          </w:p>
        </w:tc>
      </w:tr>
      <w:tr w:rsidR="007B6DB6" w:rsidRPr="007B6DB6" w14:paraId="4A873100" w14:textId="77777777" w:rsidTr="007B6DB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02</w:t>
            </w:r>
          </w:p>
        </w:tc>
        <w:tc>
          <w:tcPr>
            <w:tcW w:w="947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</w:tr>
      <w:tr w:rsidR="007B6DB6" w:rsidRPr="007B6DB6" w14:paraId="627381DB" w14:textId="77777777" w:rsidTr="007B6DB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Εστιατόρια και Υπηρεσίες </w:t>
            </w:r>
            <w:r w:rsidR="001E3A2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48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21</w:t>
            </w:r>
          </w:p>
        </w:tc>
        <w:tc>
          <w:tcPr>
            <w:tcW w:w="947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82</w:t>
            </w:r>
          </w:p>
        </w:tc>
      </w:tr>
      <w:tr w:rsidR="007B6DB6" w:rsidRPr="007B6DB6" w14:paraId="3E889212" w14:textId="77777777" w:rsidTr="007B6DB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48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90</w:t>
            </w:r>
          </w:p>
        </w:tc>
        <w:tc>
          <w:tcPr>
            <w:tcW w:w="947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90</w:t>
            </w:r>
          </w:p>
        </w:tc>
      </w:tr>
      <w:tr w:rsidR="007B6DB6" w:rsidRPr="007B6DB6" w14:paraId="43841458" w14:textId="77777777" w:rsidTr="00EB15F3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Προσωπική Φροντίδα, Κοινωνική Προστασία και </w:t>
            </w:r>
            <w:r w:rsidR="001E3A2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AB7EC6" w:rsidRPr="007B6DB6" w:rsidRDefault="00AB7EC6" w:rsidP="00EB15F3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48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54</w:t>
            </w:r>
          </w:p>
        </w:tc>
        <w:tc>
          <w:tcPr>
            <w:tcW w:w="947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77777777" w:rsidR="00AB7EC6" w:rsidRPr="007B6DB6" w:rsidRDefault="00AB7EC6" w:rsidP="00EB15F3">
            <w:pPr>
              <w:tabs>
                <w:tab w:val="left" w:pos="0"/>
              </w:tabs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,</w:t>
            </w:r>
            <w:r w:rsidRPr="007B6DB6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42</w:t>
            </w:r>
          </w:p>
        </w:tc>
      </w:tr>
      <w:tr w:rsidR="007B6DB6" w:rsidRPr="007B6DB6" w14:paraId="2F83B31C" w14:textId="77777777" w:rsidTr="00EB15F3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AB7EC6" w:rsidRPr="007B6DB6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AB7EC6" w:rsidRPr="007B6DB6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48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77777777" w:rsidR="00AB7EC6" w:rsidRPr="007B6DB6" w:rsidRDefault="00AB7EC6" w:rsidP="00EB15F3">
            <w:pPr>
              <w:tabs>
                <w:tab w:val="left" w:pos="319"/>
              </w:tabs>
              <w:ind w:right="577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0,5</w:t>
            </w:r>
            <w:r w:rsidRPr="007B6DB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947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77777777" w:rsidR="00AB7EC6" w:rsidRPr="007B6DB6" w:rsidRDefault="00AB7EC6" w:rsidP="00EB15F3">
            <w:pPr>
              <w:tabs>
                <w:tab w:val="left" w:pos="0"/>
              </w:tabs>
              <w:ind w:left="-277" w:right="549" w:firstLineChars="253" w:firstLine="457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 -</w:t>
            </w:r>
            <w:r w:rsidRPr="007B6DB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Pr="007B6DB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30</w:t>
            </w:r>
          </w:p>
        </w:tc>
      </w:tr>
      <w:tr w:rsidR="007B6DB6" w:rsidRPr="007B6DB6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77777777" w:rsidR="00AB7EC6" w:rsidRPr="007B6DB6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7B6DB6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δύο δεκαδικών. Πιθανές διαφορές στα αθροίσματα οφείλονται σε σφάλματα στρογγυλοποίησης καθώς και στην αλλαγή έτους βάσης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F52A70" w14:textId="77777777" w:rsid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7B6DB6" w:rsidRPr="007B6DB6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4</w:t>
            </w:r>
          </w:p>
        </w:tc>
      </w:tr>
      <w:tr w:rsidR="007B6DB6" w:rsidRPr="007B6DB6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7B6DB6" w:rsidRPr="007B6DB6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7B6DB6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77777777" w:rsidR="00AB7EC6" w:rsidRPr="007B6DB6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7B6DB6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Ιαν 25</w:t>
            </w:r>
          </w:p>
        </w:tc>
      </w:tr>
      <w:tr w:rsidR="007B6DB6" w:rsidRPr="007B6DB6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7B6DB6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7B6DB6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7B6DB6" w:rsidRPr="007B6DB6" w14:paraId="2B8E5B8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DC69" w14:textId="09FFE07D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Υπηρεσίες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2,83</w:t>
            </w:r>
          </w:p>
        </w:tc>
      </w:tr>
      <w:tr w:rsidR="007B6DB6" w:rsidRPr="007B6DB6" w14:paraId="03189881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FF14" w14:textId="0992E775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Υπηρεσίες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2,81</w:t>
            </w:r>
          </w:p>
        </w:tc>
      </w:tr>
      <w:tr w:rsidR="007B6DB6" w:rsidRPr="007B6DB6" w14:paraId="1F318E4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31E0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1,44</w:t>
            </w:r>
          </w:p>
        </w:tc>
      </w:tr>
      <w:tr w:rsidR="007B6DB6" w:rsidRPr="007B6DB6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7B6DB6" w:rsidRPr="007B6DB6" w14:paraId="5493D39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Βενζίνη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-2,16</w:t>
            </w:r>
          </w:p>
        </w:tc>
      </w:tr>
      <w:tr w:rsidR="007B6DB6" w:rsidRPr="007B6DB6" w14:paraId="1BBAC91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-1,50</w:t>
            </w:r>
          </w:p>
        </w:tc>
      </w:tr>
      <w:tr w:rsidR="007B6DB6" w:rsidRPr="007B6DB6" w14:paraId="5FF2858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77777777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Φάρμακα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77777777" w:rsidR="00AB7EC6" w:rsidRPr="007B6DB6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-0,94</w:t>
            </w:r>
          </w:p>
        </w:tc>
      </w:tr>
      <w:tr w:rsidR="007B6DB6" w:rsidRPr="007B6DB6" w14:paraId="59395C6D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7B6DB6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77777777" w:rsidR="00AB7EC6" w:rsidRPr="007B6DB6" w:rsidRDefault="00AB7EC6" w:rsidP="00EB15F3">
            <w:pPr>
              <w:ind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-1,97</w:t>
            </w:r>
          </w:p>
        </w:tc>
      </w:tr>
      <w:tr w:rsidR="007B6DB6" w:rsidRPr="007B6DB6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7B6DB6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77777777" w:rsidR="00AB7EC6" w:rsidRPr="007B6DB6" w:rsidRDefault="00AB7EC6" w:rsidP="00EB15F3">
            <w:pPr>
              <w:ind w:right="1280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B6DB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0,5</w:t>
            </w:r>
            <w:r w:rsidRPr="007B6DB6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D116E0" w:rsidRPr="00D116E0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D116E0" w:rsidRPr="00D116E0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D116E0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D116E0" w:rsidRPr="00D116E0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77777777" w:rsidR="00D116E0" w:rsidRPr="00D116E0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Δεκ 2</w:t>
            </w: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D116E0" w:rsidRPr="00D116E0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D116E0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D116E0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116E0" w:rsidRPr="00D116E0" w14:paraId="763EBF6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55195C" w14:textId="22AFEDFA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Υπηρεσίες </w:t>
            </w:r>
            <w:r w:rsid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2,78</w:t>
            </w:r>
          </w:p>
        </w:tc>
      </w:tr>
      <w:tr w:rsidR="00D116E0" w:rsidRPr="00D116E0" w14:paraId="688089CB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414A19" w14:textId="77777777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1,32</w:t>
            </w:r>
          </w:p>
        </w:tc>
      </w:tr>
      <w:tr w:rsidR="00D116E0" w:rsidRPr="00D116E0" w14:paraId="16DB5E0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332928" w14:textId="77777777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Τσιγάρα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1,30</w:t>
            </w:r>
          </w:p>
        </w:tc>
      </w:tr>
      <w:tr w:rsidR="00D116E0" w:rsidRPr="00D116E0" w14:paraId="61518BC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D116E0" w:rsidRPr="00D116E0" w14:paraId="34938A7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</w:tcPr>
          <w:p w14:paraId="106C0FC9" w14:textId="77777777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Βενζίνη 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-1,85</w:t>
            </w:r>
          </w:p>
        </w:tc>
      </w:tr>
      <w:tr w:rsidR="00D116E0" w:rsidRPr="00D116E0" w14:paraId="3A7B76A2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344942" w14:textId="2F841243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Υπηρεσίες </w:t>
            </w:r>
            <w:r w:rsid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ινητής </w:t>
            </w:r>
            <w:r w:rsid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πικοινωνίας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FEB21C6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-1,53</w:t>
            </w:r>
          </w:p>
        </w:tc>
      </w:tr>
      <w:tr w:rsidR="00D116E0" w:rsidRPr="00D116E0" w14:paraId="66D4F09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2E631" w14:textId="77777777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Φάρμακα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-0,95</w:t>
            </w:r>
          </w:p>
        </w:tc>
      </w:tr>
      <w:tr w:rsidR="00D116E0" w:rsidRPr="00D116E0" w14:paraId="455A447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F0AC1" w14:textId="7B207FC2" w:rsidR="00D116E0" w:rsidRPr="00D116E0" w:rsidRDefault="00D116E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7B6DB6"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Άλλα Προϊόντα και Υπηρεσίες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4BEC5A8A" w14:textId="77777777" w:rsidR="00D116E0" w:rsidRPr="00D116E0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-1,37</w:t>
            </w:r>
          </w:p>
        </w:tc>
      </w:tr>
      <w:tr w:rsidR="00D116E0" w:rsidRPr="00D116E0" w14:paraId="7031C1D9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77777777" w:rsidR="00D116E0" w:rsidRPr="00D116E0" w:rsidRDefault="00D116E0" w:rsidP="00EB15F3">
            <w:pPr>
              <w:ind w:right="12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33E2487E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7942F0CE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τιμοληψία διενεργείται μόνο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AA2EF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530E2065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266A938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102553AF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τόσο τα προϊόντα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707C52F1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4328F4EE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7EDCC02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5FEED34E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45EF27B4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FF0C12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77229A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188E40B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F7B77A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E196A4D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C663471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282EEF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0BEB0F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838CB29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0EB46B" w14:textId="77777777" w:rsidR="00307F45" w:rsidRPr="001230D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D7F665" w14:textId="77777777" w:rsidR="00307F45" w:rsidRPr="001230D5" w:rsidRDefault="00307F45" w:rsidP="00307F45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4DA45040" w14:textId="3B1D3EED" w:rsidR="00307F45" w:rsidRPr="00307F45" w:rsidRDefault="00307F45" w:rsidP="00307F45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1230D5">
        <w:rPr>
          <w:rFonts w:ascii="Verdana" w:hAnsi="Verdana" w:cs="Arial"/>
          <w:sz w:val="18"/>
          <w:szCs w:val="18"/>
          <w:lang w:val="el-GR"/>
        </w:rPr>
        <w:t>1</w:t>
      </w:r>
      <w:r w:rsidR="00EB2E89">
        <w:rPr>
          <w:rFonts w:ascii="Verdana" w:hAnsi="Verdana" w:cs="Arial"/>
          <w:sz w:val="18"/>
          <w:szCs w:val="18"/>
          <w:lang w:val="el-GR"/>
        </w:rPr>
        <w:t>3</w:t>
      </w:r>
      <w:r w:rsidRPr="00307F45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Φεβρο</w:t>
      </w:r>
      <w:r w:rsidRPr="00307F45">
        <w:rPr>
          <w:rFonts w:ascii="Verdana" w:hAnsi="Verdana" w:cs="Arial"/>
          <w:sz w:val="18"/>
          <w:szCs w:val="18"/>
          <w:lang w:val="el-GR"/>
        </w:rPr>
        <w:t>υαρίου, 202</w:t>
      </w:r>
      <w:r>
        <w:rPr>
          <w:rFonts w:ascii="Verdana" w:hAnsi="Verdana" w:cs="Arial"/>
          <w:sz w:val="18"/>
          <w:szCs w:val="18"/>
          <w:lang w:val="el-GR"/>
        </w:rPr>
        <w:t>6</w:t>
      </w:r>
    </w:p>
    <w:p w14:paraId="2EF0DB66" w14:textId="77777777" w:rsidR="00307F45" w:rsidRPr="001230D5" w:rsidRDefault="00307F4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268F2C" w14:textId="77777777" w:rsidR="00307F45" w:rsidRPr="001230D5" w:rsidRDefault="00307F4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A7769A" w14:textId="030822AA" w:rsidR="00307F45" w:rsidRPr="00307F45" w:rsidRDefault="00307F45" w:rsidP="00307F45">
      <w:pPr>
        <w:jc w:val="center"/>
        <w:rPr>
          <w:rFonts w:ascii="Verdana" w:hAnsi="Verdana" w:cs="Arial"/>
          <w:b/>
          <w:bCs/>
          <w:lang w:val="el-GR"/>
        </w:rPr>
      </w:pPr>
      <w:r w:rsidRPr="00307F45">
        <w:rPr>
          <w:rFonts w:ascii="Verdana" w:hAnsi="Verdana" w:cs="Arial"/>
          <w:b/>
          <w:bCs/>
          <w:lang w:val="el-GR"/>
        </w:rPr>
        <w:t>ΔΙΟΡΘΩΤΙΚΟ ΣΗΜΕΙΩΜΑ</w:t>
      </w:r>
    </w:p>
    <w:p w14:paraId="407FC335" w14:textId="77777777" w:rsidR="00307F45" w:rsidRDefault="00307F4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92FAED" w14:textId="0D9D5FC8" w:rsidR="00307F45" w:rsidRPr="00C778A7" w:rsidRDefault="00307F4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307F45">
        <w:rPr>
          <w:rFonts w:ascii="Verdana" w:hAnsi="Verdana" w:cs="Arial"/>
          <w:sz w:val="18"/>
          <w:szCs w:val="18"/>
          <w:lang w:val="el-GR"/>
        </w:rPr>
        <w:t xml:space="preserve">Έχει εντοπιστεί σφάλμα </w:t>
      </w:r>
      <w:r>
        <w:rPr>
          <w:rFonts w:ascii="Verdana" w:hAnsi="Verdana" w:cs="Arial"/>
          <w:sz w:val="18"/>
          <w:szCs w:val="18"/>
          <w:lang w:val="el-GR"/>
        </w:rPr>
        <w:t>στον Πίνακα 1 του</w:t>
      </w:r>
      <w:r w:rsidRPr="00307F45">
        <w:rPr>
          <w:rFonts w:ascii="Verdana" w:hAnsi="Verdana" w:cs="Arial"/>
          <w:sz w:val="18"/>
          <w:szCs w:val="18"/>
          <w:lang w:val="el-GR"/>
        </w:rPr>
        <w:t xml:space="preserve"> δελτίο</w:t>
      </w:r>
      <w:r>
        <w:rPr>
          <w:rFonts w:ascii="Verdana" w:hAnsi="Verdana" w:cs="Arial"/>
          <w:sz w:val="18"/>
          <w:szCs w:val="18"/>
          <w:lang w:val="el-GR"/>
        </w:rPr>
        <w:t>υ</w:t>
      </w:r>
      <w:r w:rsidRPr="00307F45">
        <w:rPr>
          <w:rFonts w:ascii="Verdana" w:hAnsi="Verdana" w:cs="Arial"/>
          <w:sz w:val="18"/>
          <w:szCs w:val="18"/>
          <w:lang w:val="el-GR"/>
        </w:rPr>
        <w:t xml:space="preserve"> τύπου όπου </w:t>
      </w:r>
      <w:r>
        <w:rPr>
          <w:rFonts w:ascii="Verdana" w:hAnsi="Verdana" w:cs="Arial"/>
          <w:sz w:val="18"/>
          <w:szCs w:val="18"/>
          <w:lang w:val="el-GR"/>
        </w:rPr>
        <w:t xml:space="preserve">το έτος βάσης του ΔΤΚ είναι το 2025 </w:t>
      </w:r>
      <w:r w:rsidRPr="00307F45">
        <w:rPr>
          <w:rFonts w:ascii="Verdana" w:hAnsi="Verdana" w:cs="Arial"/>
          <w:sz w:val="18"/>
          <w:szCs w:val="18"/>
          <w:lang w:val="el-GR"/>
        </w:rPr>
        <w:t>αντί</w:t>
      </w:r>
      <w:r>
        <w:rPr>
          <w:rFonts w:ascii="Verdana" w:hAnsi="Verdana" w:cs="Arial"/>
          <w:sz w:val="18"/>
          <w:szCs w:val="18"/>
          <w:lang w:val="el-GR"/>
        </w:rPr>
        <w:t xml:space="preserve"> το 2015 </w:t>
      </w:r>
      <w:r w:rsidRPr="00307F45">
        <w:rPr>
          <w:rFonts w:ascii="Verdana" w:hAnsi="Verdana" w:cs="Arial"/>
          <w:sz w:val="18"/>
          <w:szCs w:val="18"/>
          <w:lang w:val="el-GR"/>
        </w:rPr>
        <w:t>που εκ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307F45">
        <w:rPr>
          <w:rFonts w:ascii="Verdana" w:hAnsi="Verdana" w:cs="Arial"/>
          <w:sz w:val="18"/>
          <w:szCs w:val="18"/>
          <w:lang w:val="el-GR"/>
        </w:rPr>
        <w:t>παραδρομής αναγραφόταν</w:t>
      </w:r>
      <w:r>
        <w:rPr>
          <w:rFonts w:ascii="Verdana" w:hAnsi="Verdana" w:cs="Arial"/>
          <w:sz w:val="18"/>
          <w:szCs w:val="18"/>
          <w:lang w:val="el-GR"/>
        </w:rPr>
        <w:t>.</w:t>
      </w:r>
      <w:r w:rsidR="00C778A7">
        <w:rPr>
          <w:rFonts w:ascii="Verdana" w:hAnsi="Verdana" w:cs="Arial"/>
          <w:sz w:val="18"/>
          <w:szCs w:val="18"/>
          <w:lang w:val="el-GR"/>
        </w:rPr>
        <w:t xml:space="preserve"> Επιπρόσθετα</w:t>
      </w:r>
      <w:r w:rsidR="007B6DB6">
        <w:rPr>
          <w:rFonts w:ascii="Verdana" w:hAnsi="Verdana" w:cs="Arial"/>
          <w:sz w:val="18"/>
          <w:szCs w:val="18"/>
          <w:lang w:val="el-GR"/>
        </w:rPr>
        <w:t>,</w:t>
      </w:r>
      <w:r w:rsidR="00C778A7">
        <w:rPr>
          <w:rFonts w:ascii="Verdana" w:hAnsi="Verdana" w:cs="Arial"/>
          <w:sz w:val="18"/>
          <w:szCs w:val="18"/>
          <w:lang w:val="el-GR"/>
        </w:rPr>
        <w:t xml:space="preserve"> λόγω στρογγυλοποίησης αναθεωρήθηκαν και μεταβολές.</w:t>
      </w:r>
    </w:p>
    <w:p w14:paraId="1D7F7538" w14:textId="77777777" w:rsidR="001230D5" w:rsidRPr="00C778A7" w:rsidRDefault="001230D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31AA64A" w14:textId="19D73656" w:rsidR="001230D5" w:rsidRPr="001230D5" w:rsidRDefault="001230D5" w:rsidP="00307F45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230D5">
        <w:rPr>
          <w:rFonts w:ascii="Verdana" w:hAnsi="Verdana" w:cs="Arial"/>
          <w:sz w:val="18"/>
          <w:szCs w:val="18"/>
          <w:lang w:val="el-GR"/>
        </w:rPr>
        <w:t>Επιπλέον, οι τιμές στο</w:t>
      </w:r>
      <w:r w:rsidR="007B6DB6">
        <w:rPr>
          <w:rFonts w:ascii="Verdana" w:hAnsi="Verdana" w:cs="Arial"/>
          <w:sz w:val="18"/>
          <w:szCs w:val="18"/>
          <w:lang w:val="el-GR"/>
        </w:rPr>
        <w:t>ν</w:t>
      </w:r>
      <w:r w:rsidRPr="001230D5">
        <w:rPr>
          <w:rFonts w:ascii="Verdana" w:hAnsi="Verdana" w:cs="Arial"/>
          <w:sz w:val="18"/>
          <w:szCs w:val="18"/>
          <w:lang w:val="el-GR"/>
        </w:rPr>
        <w:t xml:space="preserve"> Πίνακ</w:t>
      </w:r>
      <w:r w:rsidR="007B6DB6">
        <w:rPr>
          <w:rFonts w:ascii="Verdana" w:hAnsi="Verdana" w:cs="Arial"/>
          <w:sz w:val="18"/>
          <w:szCs w:val="18"/>
          <w:lang w:val="el-GR"/>
        </w:rPr>
        <w:t>α</w:t>
      </w:r>
      <w:r w:rsidRPr="001230D5">
        <w:rPr>
          <w:rFonts w:ascii="Verdana" w:hAnsi="Verdana" w:cs="Arial"/>
          <w:sz w:val="18"/>
          <w:szCs w:val="18"/>
          <w:lang w:val="el-GR"/>
        </w:rPr>
        <w:t xml:space="preserve"> 3</w:t>
      </w:r>
      <w:r w:rsidRPr="001230D5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230D5">
        <w:rPr>
          <w:rFonts w:ascii="Verdana" w:hAnsi="Verdana" w:cs="Arial"/>
          <w:sz w:val="18"/>
          <w:szCs w:val="18"/>
          <w:lang w:val="el-GR"/>
        </w:rPr>
        <w:t>αναθεωρήθηκαν λόγω διόρθωσης στους συντελεστές στάθμισης.</w:t>
      </w:r>
      <w:r w:rsidRPr="001230D5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 xml:space="preserve">Για τον ίδιο λόγο αναθεωρήθηκαν τα </w:t>
      </w:r>
      <w:r w:rsidRPr="001230D5">
        <w:rPr>
          <w:rFonts w:ascii="Verdana" w:hAnsi="Verdana" w:cs="Arial"/>
          <w:sz w:val="18"/>
          <w:szCs w:val="18"/>
          <w:lang w:val="el-GR"/>
        </w:rPr>
        <w:t>Προϊόντα/Υπηρεσίες</w:t>
      </w:r>
      <w:r>
        <w:rPr>
          <w:rFonts w:ascii="Verdana" w:hAnsi="Verdana" w:cs="Arial"/>
          <w:sz w:val="18"/>
          <w:szCs w:val="18"/>
          <w:lang w:val="el-GR"/>
        </w:rPr>
        <w:t xml:space="preserve"> και η σχετική</w:t>
      </w:r>
      <w:r w:rsidRPr="001230D5">
        <w:rPr>
          <w:lang w:val="el-GR"/>
        </w:rPr>
        <w:t xml:space="preserve"> </w:t>
      </w:r>
      <w:r w:rsidRPr="001230D5">
        <w:rPr>
          <w:rFonts w:ascii="Verdana" w:hAnsi="Verdana" w:cs="Arial"/>
          <w:sz w:val="18"/>
          <w:szCs w:val="18"/>
          <w:lang w:val="el-GR"/>
        </w:rPr>
        <w:t>Επίπτωση</w:t>
      </w:r>
      <w:r>
        <w:rPr>
          <w:rFonts w:ascii="Verdana" w:hAnsi="Verdana" w:cs="Arial"/>
          <w:sz w:val="18"/>
          <w:szCs w:val="18"/>
          <w:lang w:val="el-GR"/>
        </w:rPr>
        <w:t xml:space="preserve"> στους Πίνακες 4 και 5. </w:t>
      </w:r>
    </w:p>
    <w:p w14:paraId="77551E2F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8907B6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CF4BC3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CADAD8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099C9C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5DC12E7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47BA9C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824CFE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F597E5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0E4C07D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BD61C6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F0827E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81A8A4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FB269D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C2CB2B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3B3539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2CE4CC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F1CFEA7" w14:textId="77777777" w:rsidR="00307F45" w:rsidRPr="00307F45" w:rsidRDefault="00307F4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307F45" w:rsidRPr="00307F45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0DDD" w14:textId="77777777" w:rsidR="00667FD3" w:rsidRDefault="00667FD3" w:rsidP="00FB398F">
      <w:r>
        <w:separator/>
      </w:r>
    </w:p>
  </w:endnote>
  <w:endnote w:type="continuationSeparator" w:id="0">
    <w:p w14:paraId="7DEC17F5" w14:textId="77777777" w:rsidR="00667FD3" w:rsidRDefault="00667FD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D6CC" w14:textId="77777777" w:rsidR="00667FD3" w:rsidRDefault="00667FD3" w:rsidP="00FB398F">
      <w:r>
        <w:separator/>
      </w:r>
    </w:p>
  </w:footnote>
  <w:footnote w:type="continuationSeparator" w:id="0">
    <w:p w14:paraId="74808462" w14:textId="77777777" w:rsidR="00667FD3" w:rsidRDefault="00667FD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5D89"/>
    <w:rsid w:val="0003603D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B3C"/>
    <w:rsid w:val="00091CF5"/>
    <w:rsid w:val="00092B35"/>
    <w:rsid w:val="0009301B"/>
    <w:rsid w:val="000932CF"/>
    <w:rsid w:val="000956E4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4A67"/>
    <w:rsid w:val="00114C61"/>
    <w:rsid w:val="001157E4"/>
    <w:rsid w:val="00117099"/>
    <w:rsid w:val="001230D5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7073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4F3"/>
    <w:rsid w:val="001E15ED"/>
    <w:rsid w:val="001E19E1"/>
    <w:rsid w:val="001E31B3"/>
    <w:rsid w:val="001E3A20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4E83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7F45"/>
    <w:rsid w:val="00313F37"/>
    <w:rsid w:val="003141D0"/>
    <w:rsid w:val="003145E8"/>
    <w:rsid w:val="003149D9"/>
    <w:rsid w:val="00315D54"/>
    <w:rsid w:val="003168C1"/>
    <w:rsid w:val="00317671"/>
    <w:rsid w:val="003218D8"/>
    <w:rsid w:val="0032215D"/>
    <w:rsid w:val="0032230F"/>
    <w:rsid w:val="00322EC7"/>
    <w:rsid w:val="00322FBE"/>
    <w:rsid w:val="00325632"/>
    <w:rsid w:val="00325BD7"/>
    <w:rsid w:val="00327549"/>
    <w:rsid w:val="00327654"/>
    <w:rsid w:val="00332DF7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75524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3277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20AF7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445E"/>
    <w:rsid w:val="004F52F0"/>
    <w:rsid w:val="004F57F2"/>
    <w:rsid w:val="004F6250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7BD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1CA8"/>
    <w:rsid w:val="00664A67"/>
    <w:rsid w:val="00664DE2"/>
    <w:rsid w:val="00667E07"/>
    <w:rsid w:val="00667FD3"/>
    <w:rsid w:val="00671119"/>
    <w:rsid w:val="00671785"/>
    <w:rsid w:val="00671907"/>
    <w:rsid w:val="00672BA9"/>
    <w:rsid w:val="00673005"/>
    <w:rsid w:val="00673C1C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26E2"/>
    <w:rsid w:val="007F30D6"/>
    <w:rsid w:val="007F31BA"/>
    <w:rsid w:val="007F4078"/>
    <w:rsid w:val="007F664B"/>
    <w:rsid w:val="0080014B"/>
    <w:rsid w:val="00800C50"/>
    <w:rsid w:val="00800CDA"/>
    <w:rsid w:val="00801793"/>
    <w:rsid w:val="00802AE3"/>
    <w:rsid w:val="00802E5C"/>
    <w:rsid w:val="00803642"/>
    <w:rsid w:val="008045AC"/>
    <w:rsid w:val="00806EA2"/>
    <w:rsid w:val="00807E64"/>
    <w:rsid w:val="00811251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B00E0"/>
    <w:rsid w:val="009B02A5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F43"/>
    <w:rsid w:val="009C583D"/>
    <w:rsid w:val="009D1417"/>
    <w:rsid w:val="009D176E"/>
    <w:rsid w:val="009D2611"/>
    <w:rsid w:val="009D53D4"/>
    <w:rsid w:val="009D79D2"/>
    <w:rsid w:val="009E1F1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17D9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95983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B66A0"/>
    <w:rsid w:val="00AB7EC6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078B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7008"/>
    <w:rsid w:val="00B800C0"/>
    <w:rsid w:val="00B8132B"/>
    <w:rsid w:val="00B84C5A"/>
    <w:rsid w:val="00B858F5"/>
    <w:rsid w:val="00B90362"/>
    <w:rsid w:val="00B911BF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FBF"/>
    <w:rsid w:val="00BB3FEE"/>
    <w:rsid w:val="00BB5EB0"/>
    <w:rsid w:val="00BC245A"/>
    <w:rsid w:val="00BC2EEF"/>
    <w:rsid w:val="00BC2F5B"/>
    <w:rsid w:val="00BC31E2"/>
    <w:rsid w:val="00BC39DC"/>
    <w:rsid w:val="00BC5B12"/>
    <w:rsid w:val="00BC7B80"/>
    <w:rsid w:val="00BD0B8A"/>
    <w:rsid w:val="00BD16FA"/>
    <w:rsid w:val="00BD1773"/>
    <w:rsid w:val="00BD1A45"/>
    <w:rsid w:val="00BD41C3"/>
    <w:rsid w:val="00BD4384"/>
    <w:rsid w:val="00BD488B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14BC"/>
    <w:rsid w:val="00C614D8"/>
    <w:rsid w:val="00C623EB"/>
    <w:rsid w:val="00C629C2"/>
    <w:rsid w:val="00C64680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43B2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5A02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3542"/>
    <w:rsid w:val="00D76249"/>
    <w:rsid w:val="00D7643A"/>
    <w:rsid w:val="00D76618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81C"/>
    <w:rsid w:val="00E3273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51"/>
    <w:rsid w:val="00EA4C7B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23px.cystat.gov.cy/pxweb/el/8.CYSTAT-DB/8.CYSTAT-DB__Price%20Indices__House%20Price%20Inde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30</cp:revision>
  <cp:lastPrinted>2026-02-13T11:21:00Z</cp:lastPrinted>
  <dcterms:created xsi:type="dcterms:W3CDTF">2026-02-05T09:50:00Z</dcterms:created>
  <dcterms:modified xsi:type="dcterms:W3CDTF">2026-02-13T11:26:00Z</dcterms:modified>
</cp:coreProperties>
</file>