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18C1FCD7" w14:textId="5C0B69D5" w:rsidR="006022B5" w:rsidRPr="001D613C" w:rsidRDefault="00305D99" w:rsidP="006022B5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EF1020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hAnsi="Verdana" w:cs="Arial"/>
          <w:sz w:val="18"/>
          <w:szCs w:val="18"/>
          <w:lang w:val="el-GR"/>
        </w:rPr>
        <w:t>Δεκεμβρίου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CF5C7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50D9480" w14:textId="77777777" w:rsidR="006022B5" w:rsidRPr="00F07B9A" w:rsidRDefault="006022B5" w:rsidP="006022B5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06EEE1" w14:textId="77777777" w:rsidR="006022B5" w:rsidRPr="00F07B9A" w:rsidRDefault="006022B5" w:rsidP="006022B5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6071BA9" w14:textId="77777777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3975C3CD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305D99">
        <w:rPr>
          <w:rFonts w:ascii="Verdana" w:eastAsia="Malgun Gothic" w:hAnsi="Verdana" w:cs="Arial"/>
          <w:b/>
          <w:u w:val="single"/>
          <w:lang w:val="el-GR"/>
        </w:rPr>
        <w:t xml:space="preserve">ΝΟΕΜΒΡΙΟΣ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CA7B11">
        <w:rPr>
          <w:rFonts w:ascii="Verdana" w:eastAsia="Malgun Gothic" w:hAnsi="Verdana" w:cs="Arial"/>
          <w:b/>
          <w:u w:val="single"/>
          <w:lang w:val="el-GR"/>
        </w:rPr>
        <w:t>4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248832D2" w:rsidR="006022B5" w:rsidRPr="006022B5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6022B5">
        <w:rPr>
          <w:rFonts w:ascii="Verdana" w:eastAsia="Malgun Gothic" w:hAnsi="Verdana" w:cs="Arial"/>
          <w:b/>
          <w:lang w:val="el-GR"/>
        </w:rPr>
        <w:t xml:space="preserve">Πληθωρισμός </w:t>
      </w:r>
      <w:r w:rsidR="00B51C1D">
        <w:rPr>
          <w:rFonts w:ascii="Verdana" w:eastAsia="Malgun Gothic" w:hAnsi="Verdana" w:cs="Arial"/>
          <w:b/>
          <w:lang w:val="el-GR"/>
        </w:rPr>
        <w:t>1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B51C1D">
        <w:rPr>
          <w:rFonts w:ascii="Verdana" w:eastAsia="Malgun Gothic" w:hAnsi="Verdana" w:cs="Arial"/>
          <w:b/>
          <w:lang w:val="el-GR"/>
        </w:rPr>
        <w:t>5</w:t>
      </w:r>
      <w:r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56807E4F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022B5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 xml:space="preserve">Νοέμβριο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CA7B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 xml:space="preserve">μειώθηκε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E5345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43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και έφτασε στις 11</w:t>
      </w:r>
      <w:r w:rsidR="001C528B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21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64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 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Οκτώβριο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F5025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Ο πληθωρισμός τον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 xml:space="preserve"> Νοέμβριο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CA7B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με ρυθμό 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235050" w14:textId="24A8B703" w:rsidR="00F50259" w:rsidRDefault="00F50259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0" w:name="_Hlk65747356"/>
      <w:r>
        <w:rPr>
          <w:rFonts w:ascii="Verdana" w:eastAsia="Malgun Gothic" w:hAnsi="Verdana" w:cs="Arial"/>
          <w:sz w:val="18"/>
          <w:szCs w:val="18"/>
          <w:lang w:val="el-GR"/>
        </w:rPr>
        <w:t>Για την περίοδο Ιανου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>α</w:t>
      </w:r>
      <w:r>
        <w:rPr>
          <w:rFonts w:ascii="Verdana" w:eastAsia="Malgun Gothic" w:hAnsi="Verdana" w:cs="Arial"/>
          <w:sz w:val="18"/>
          <w:szCs w:val="18"/>
          <w:lang w:val="el-GR"/>
        </w:rPr>
        <w:t>ρ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 xml:space="preserve">ίου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– 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Νο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μβρ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 xml:space="preserve">ίου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2024, ο ΔΤΚ σημείωσε αύξηση 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51C1D">
        <w:rPr>
          <w:rFonts w:ascii="Verdana" w:eastAsia="Malgun Gothic" w:hAnsi="Verdana" w:cs="Arial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 σε σύγκριση με την αντίστοιχη περσινή περίοδο. </w:t>
      </w:r>
      <w:bookmarkEnd w:id="0"/>
      <w:r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66AC247" w14:textId="77777777" w:rsidR="008E4F1A" w:rsidRDefault="008E4F1A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08C1E1" w14:textId="5F92ED6A" w:rsidR="008E4F1A" w:rsidRPr="001C528B" w:rsidRDefault="00305D99" w:rsidP="00087B3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70C82EF0" wp14:editId="6DE0AE7D">
            <wp:extent cx="6090285" cy="3907790"/>
            <wp:effectExtent l="0" t="0" r="5715" b="0"/>
            <wp:docPr id="16334621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90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77337" w14:textId="77777777" w:rsidR="008E4F1A" w:rsidRPr="00750AF4" w:rsidRDefault="008E4F1A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8602AA" w14:textId="60C0E526" w:rsidR="005B33E2" w:rsidRPr="006022B5" w:rsidRDefault="00F000FF" w:rsidP="00360B5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Η μεγαλύτερη μεταβολή στις οικονομικές κατηγορίες συγκριτικά με τον 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Νοέμβριο </w:t>
      </w:r>
      <w:r w:rsidRPr="00B64CC0">
        <w:rPr>
          <w:rFonts w:ascii="Verdana" w:eastAsia="Malgun Gothic" w:hAnsi="Verdana" w:cs="Arial"/>
          <w:sz w:val="18"/>
          <w:szCs w:val="18"/>
          <w:lang w:val="el-GR"/>
        </w:rPr>
        <w:t>του 2023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 και σε σχέση με το προηγούμενο </w:t>
      </w:r>
      <w:r w:rsidR="00862AEA">
        <w:rPr>
          <w:rFonts w:ascii="Verdana" w:eastAsia="Malgun Gothic" w:hAnsi="Verdana" w:cs="Arial"/>
          <w:sz w:val="18"/>
          <w:szCs w:val="18"/>
          <w:lang w:val="el-GR"/>
        </w:rPr>
        <w:t xml:space="preserve">μήνα 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καταγράφηκε στα </w:t>
      </w:r>
      <w:r w:rsidR="00B64CC0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Γεωργικά Προϊόντα 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με ποσοστό 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>91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 και -4,09% αντίστοιχα.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64CC0">
        <w:rPr>
          <w:rFonts w:ascii="Verdana" w:eastAsia="Malgun Gothic" w:hAnsi="Verdana" w:cs="Arial"/>
          <w:sz w:val="18"/>
          <w:szCs w:val="18"/>
          <w:lang w:val="el-GR"/>
        </w:rPr>
        <w:t>(Πίνακας 2)</w:t>
      </w:r>
    </w:p>
    <w:p w14:paraId="0AF7ED83" w14:textId="4D812AC4" w:rsidR="00394E48" w:rsidRDefault="00394E48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13CA80F1" w14:textId="77777777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48B0F8" w14:textId="77777777" w:rsidR="006022B5" w:rsidRPr="00394E4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6C5919A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Νοέμβριο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8A42BC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57A69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C1544" w:rsidRPr="00CC15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380663" w:rsidRPr="00BF53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(4,2%).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D18807" w14:textId="0CB3DEF1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Οκτώβριο </w:t>
      </w:r>
      <w:r w:rsidR="00196A7C">
        <w:rPr>
          <w:rFonts w:ascii="Verdana" w:eastAsia="Malgun Gothic" w:hAnsi="Verdana" w:cs="Arial"/>
          <w:sz w:val="18"/>
          <w:szCs w:val="18"/>
          <w:lang w:val="el-GR"/>
        </w:rPr>
        <w:t>του 2024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040319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στ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80663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 (-2,3%) και </w:t>
      </w:r>
      <w:r w:rsidR="00380663" w:rsidRPr="00380663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 (1,9%) 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3A5C39DA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CBF1DC" w14:textId="07289CAB" w:rsidR="00936D92" w:rsidRPr="00936D92" w:rsidRDefault="00936D92" w:rsidP="00936D9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Νο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μβρ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ου</w:t>
      </w:r>
      <w:r w:rsidR="00305B0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την αντίστοιχη περσινή περίοδο, 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παρουσιάστηκ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 xml:space="preserve">ε 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ην 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Pr="00E40B30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3F2652E4" w14:textId="77777777" w:rsidR="00936D92" w:rsidRPr="00E21D72" w:rsidRDefault="00936D9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4F7C08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686F5C5" w14:textId="78B1024C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4E0E7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>
        <w:rPr>
          <w:rFonts w:ascii="Verdana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hAnsi="Verdana" w:cs="Arial"/>
          <w:sz w:val="18"/>
          <w:szCs w:val="18"/>
          <w:lang w:val="el-GR"/>
        </w:rPr>
        <w:t xml:space="preserve">Νοέμβριο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46A4F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05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45A9C" w:rsidRPr="00C45A9C">
        <w:rPr>
          <w:lang w:val="el-GR"/>
        </w:rPr>
        <w:t xml:space="preserve"> </w:t>
      </w:r>
      <w:r w:rsidR="00C45A9C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 xml:space="preserve"> (0</w:t>
      </w:r>
      <w:r w:rsidR="00465B2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44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46A4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6466615B" w14:textId="77777777" w:rsidR="00453E42" w:rsidRDefault="00453E4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7718B9" w14:textId="3A5C0ED0" w:rsidR="00453E42" w:rsidRPr="00E21D72" w:rsidRDefault="00453E42" w:rsidP="00453E4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αρνητική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Νοεμβρίου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hAnsi="Verdana" w:cs="Arial"/>
          <w:sz w:val="18"/>
          <w:szCs w:val="18"/>
          <w:lang w:val="el-GR"/>
        </w:rPr>
        <w:t>Νοέμβριο</w:t>
      </w:r>
      <w:r w:rsidR="00360B5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>
        <w:rPr>
          <w:rFonts w:ascii="Verdana" w:eastAsia="Malgun Gothic" w:hAnsi="Verdana" w:cs="Arial"/>
          <w:sz w:val="18"/>
          <w:szCs w:val="18"/>
          <w:lang w:val="el-GR"/>
        </w:rPr>
        <w:t>ε 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33</w:t>
      </w:r>
      <w:r>
        <w:rPr>
          <w:rFonts w:ascii="Verdana" w:eastAsia="Malgun Gothic" w:hAnsi="Verdana" w:cs="Arial"/>
          <w:sz w:val="18"/>
          <w:szCs w:val="18"/>
          <w:lang w:val="el-GR"/>
        </w:rPr>
        <w:t>). 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328F7BC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8B7840" w14:textId="193F43A6" w:rsidR="006022B5" w:rsidRPr="00E21D72" w:rsidRDefault="00250774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0DE9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επίπτωση </w:t>
      </w:r>
      <w:r w:rsidRPr="00E21D72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σε σχέση με τον προηγούμενο μήνα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κατηγορ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D56B64" w:rsidRPr="00D56B6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56B64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(-0,55)</w:t>
      </w:r>
      <w:r w:rsidR="00F271B1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="00F271B1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B770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129100A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D1B7A4" w14:textId="61B55F79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επίπτωση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9F1D8C">
        <w:rPr>
          <w:rFonts w:ascii="Verdana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hAnsi="Verdana" w:cs="Arial"/>
          <w:sz w:val="18"/>
          <w:szCs w:val="18"/>
          <w:lang w:val="el-GR"/>
        </w:rPr>
        <w:t xml:space="preserve">Νοεμβρίου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σύγκριση με το δείκτη το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υ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Νοεμβρίου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1849D2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αν </w:t>
      </w:r>
      <w:r w:rsidR="003149D9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κατηγορίες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60B5F" w:rsidRPr="00360B5F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Πετρελαιοειδή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-0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8),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015F0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C015F0" w:rsidRPr="00C015F0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43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και ο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56B6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Πατάτες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28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4)</w:t>
      </w:r>
    </w:p>
    <w:p w14:paraId="0B7EED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61FA24" w14:textId="0E5AF3C0" w:rsidR="006022B5" w:rsidRPr="00E21D72" w:rsidRDefault="00D56B64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Πατάτες 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6B111B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="00D24FF8" w:rsidRPr="00E21D72">
        <w:rPr>
          <w:rFonts w:ascii="Verdana" w:eastAsia="Malgun Gothic" w:hAnsi="Verdana" w:cs="Arial"/>
          <w:sz w:val="18"/>
          <w:szCs w:val="18"/>
          <w:lang w:val="el-GR"/>
        </w:rPr>
        <w:t>επίδρασ</w:t>
      </w:r>
      <w:r w:rsidR="00D24FF8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A0242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A50D8">
        <w:rPr>
          <w:rFonts w:ascii="Verdana" w:hAnsi="Verdana" w:cs="Arial"/>
          <w:sz w:val="18"/>
          <w:szCs w:val="18"/>
          <w:lang w:val="el-GR"/>
        </w:rPr>
        <w:t>2024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 προηγούμενου μήνα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>(0,18)</w:t>
      </w:r>
      <w:r w:rsidR="00DC2ABE" w:rsidRPr="00DC2AB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ενώ τη μεγαλύτερη αρνητική επίδραση είχε η κατηγορία </w:t>
      </w:r>
      <w:r w:rsidR="00FB3CEB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Φρέσκα Λαχανικά 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(-0</w:t>
      </w:r>
      <w:r w:rsidR="00A81068">
        <w:rPr>
          <w:rFonts w:ascii="Verdana" w:eastAsia="Malgun Gothic" w:hAnsi="Verdana" w:cs="Arial"/>
          <w:sz w:val="18"/>
          <w:szCs w:val="18"/>
          <w:lang w:val="el-GR"/>
        </w:rPr>
        <w:t>,</w:t>
      </w:r>
      <w:r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. (Πίνακας 5)</w:t>
      </w:r>
    </w:p>
    <w:p w14:paraId="21B0C671" w14:textId="77777777" w:rsidR="008516BF" w:rsidRPr="00A81068" w:rsidRDefault="008516BF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2" w:type="pct"/>
        <w:jc w:val="center"/>
        <w:tblLayout w:type="fixed"/>
        <w:tblLook w:val="04A0" w:firstRow="1" w:lastRow="0" w:firstColumn="1" w:lastColumn="0" w:noHBand="0" w:noVBand="1"/>
      </w:tblPr>
      <w:tblGrid>
        <w:gridCol w:w="2412"/>
        <w:gridCol w:w="1555"/>
        <w:gridCol w:w="1418"/>
        <w:gridCol w:w="282"/>
        <w:gridCol w:w="1276"/>
        <w:gridCol w:w="1421"/>
        <w:gridCol w:w="1841"/>
      </w:tblGrid>
      <w:tr w:rsidR="008516BF" w:rsidRPr="00FC45BF" w14:paraId="1D00F069" w14:textId="77777777" w:rsidTr="00131127">
        <w:trPr>
          <w:trHeight w:val="270"/>
          <w:jc w:val="center"/>
        </w:trPr>
        <w:tc>
          <w:tcPr>
            <w:tcW w:w="2412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2973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2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538" w:type="dxa"/>
            <w:gridSpan w:val="3"/>
            <w:tcBorders>
              <w:bottom w:val="single" w:sz="4" w:space="0" w:color="366092"/>
            </w:tcBorders>
          </w:tcPr>
          <w:p w14:paraId="374995B4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8516BF" w:rsidRPr="00FC45BF" w14:paraId="79540F65" w14:textId="77777777" w:rsidTr="00131127">
        <w:trPr>
          <w:trHeight w:val="270"/>
          <w:jc w:val="center"/>
        </w:trPr>
        <w:tc>
          <w:tcPr>
            <w:tcW w:w="2412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2973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2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B34880D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B51C1D" w:rsidRPr="00FC45BF" w14:paraId="4BD227C0" w14:textId="77777777" w:rsidTr="00131127">
        <w:trPr>
          <w:trHeight w:val="602"/>
          <w:jc w:val="center"/>
        </w:trPr>
        <w:tc>
          <w:tcPr>
            <w:tcW w:w="2412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B51C1D" w:rsidRPr="00FC45BF" w:rsidRDefault="00B51C1D" w:rsidP="00B51C1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E552FEC" w14:textId="77777777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Οκτώβριος</w:t>
            </w:r>
          </w:p>
          <w:p w14:paraId="2CBD1D95" w14:textId="751C3969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7033B72B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Νοέμβριος</w:t>
            </w:r>
          </w:p>
          <w:p w14:paraId="11415D22" w14:textId="6682E39F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82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0111522F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23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72B989E4" w:rsidR="00B51C1D" w:rsidRPr="00FC45BF" w:rsidRDefault="00B51C1D" w:rsidP="00B51C1D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84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A213EF0" w14:textId="33DE5946" w:rsidR="00B51C1D" w:rsidRPr="00FC45BF" w:rsidRDefault="00B51C1D" w:rsidP="00B51C1D">
            <w:pPr>
              <w:ind w:left="-109" w:hanging="31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EA49CE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</w:t>
            </w:r>
          </w:p>
          <w:p w14:paraId="70CEE272" w14:textId="5E9B7C42" w:rsidR="00B51C1D" w:rsidRPr="00FC45BF" w:rsidRDefault="00B51C1D" w:rsidP="00B51C1D">
            <w:pPr>
              <w:ind w:left="-109" w:hanging="31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EA49CE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23</w:t>
            </w:r>
          </w:p>
        </w:tc>
      </w:tr>
      <w:tr w:rsidR="00EA49CE" w:rsidRPr="00FC45BF" w14:paraId="43FBF73D" w14:textId="77777777" w:rsidTr="00EA49CE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09C9E869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85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26BAD225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39B0CC9C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63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5AE4F8B4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26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BE7BAF4" w14:textId="5710B650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96</w:t>
            </w:r>
          </w:p>
        </w:tc>
      </w:tr>
      <w:tr w:rsidR="00EA49CE" w:rsidRPr="00FC45BF" w14:paraId="40FB4937" w14:textId="77777777" w:rsidTr="00EA49CE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οτά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02B4181B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7FD5368C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231689D2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14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711AAD9A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09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4A1DF2B" w14:textId="64B6BDCA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</w:tr>
      <w:tr w:rsidR="00EA49CE" w:rsidRPr="00FC45BF" w14:paraId="30CC1D12" w14:textId="77777777" w:rsidTr="00EA49CE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Ένδυση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679DB499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02E18F22" w:rsidR="00EA49CE" w:rsidRPr="008E1127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09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62318F4C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85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6F36BDC3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88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AFEECB8" w14:textId="7A78C7AC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04</w:t>
            </w:r>
          </w:p>
        </w:tc>
      </w:tr>
      <w:tr w:rsidR="00EA49CE" w:rsidRPr="00FC45BF" w14:paraId="64A249B5" w14:textId="77777777" w:rsidTr="00EA49CE">
        <w:trPr>
          <w:trHeight w:val="68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614A5B9F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0CDBDE14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03891F7C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3B05A485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742B18D" w14:textId="3078245A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16</w:t>
            </w:r>
          </w:p>
        </w:tc>
      </w:tr>
      <w:tr w:rsidR="00EA49CE" w:rsidRPr="00FC45BF" w14:paraId="3A7635E9" w14:textId="77777777" w:rsidTr="00EA49CE">
        <w:trPr>
          <w:trHeight w:val="765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Προΐόντα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1841DFC6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105,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36741173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105,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77F78B9B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7C852EED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44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AD5E31A" w14:textId="1978667B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46</w:t>
            </w:r>
          </w:p>
        </w:tc>
      </w:tr>
      <w:tr w:rsidR="00EA49CE" w:rsidRPr="00FC45BF" w14:paraId="3359A3C0" w14:textId="77777777" w:rsidTr="00EA49CE">
        <w:trPr>
          <w:trHeight w:val="375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52E77697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106,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0D1DB63B" w:rsidR="00EA49CE" w:rsidRPr="008E1127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106,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12277C5A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44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4525F46B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01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B219B8F" w14:textId="1C534C93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23</w:t>
            </w:r>
          </w:p>
        </w:tc>
      </w:tr>
      <w:tr w:rsidR="00EA49CE" w:rsidRPr="00FC45BF" w14:paraId="299E5490" w14:textId="77777777" w:rsidTr="00EA49CE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3ECCB8AA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,8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0C696939" w:rsidR="00EA49CE" w:rsidRPr="008E1127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0F2724B3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84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7C254A40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E69BDAD" w14:textId="01F6FC4A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63</w:t>
            </w:r>
          </w:p>
        </w:tc>
      </w:tr>
      <w:tr w:rsidR="00EA49CE" w:rsidRPr="00FC45BF" w14:paraId="79C16F2A" w14:textId="77777777" w:rsidTr="00EA49CE">
        <w:trPr>
          <w:trHeight w:val="375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6283636D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91,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49903E49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91,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6353A658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25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6943B118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08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3C20C2" w14:textId="11D48BDD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55</w:t>
            </w:r>
          </w:p>
        </w:tc>
      </w:tr>
      <w:tr w:rsidR="00EA49CE" w:rsidRPr="00FC45BF" w14:paraId="5C3CEC2A" w14:textId="77777777" w:rsidTr="00EA49CE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αψυχή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0195157B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27DB295D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67CDD514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30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2EA34FED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C322EDE" w14:textId="48D4E79A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17</w:t>
            </w:r>
          </w:p>
        </w:tc>
      </w:tr>
      <w:tr w:rsidR="00EA49CE" w:rsidRPr="00FC45BF" w14:paraId="23CBF3D1" w14:textId="77777777" w:rsidTr="00EA49CE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παίδευση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0FBD3965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269767C5" w:rsidR="00EA49CE" w:rsidRPr="008E1127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0473592D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82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62D817DB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6E62AB" w14:textId="13469FDD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72</w:t>
            </w:r>
          </w:p>
        </w:tc>
      </w:tr>
      <w:tr w:rsidR="00EA49CE" w:rsidRPr="00FC45BF" w14:paraId="00E44953" w14:textId="77777777" w:rsidTr="00EA49CE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ατόρια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2EA5BF3F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30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1C677947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29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76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2EEA0BAB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00DB5FE0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4958E7" w14:textId="593BA179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53</w:t>
            </w:r>
          </w:p>
        </w:tc>
      </w:tr>
      <w:tr w:rsidR="00EA49CE" w:rsidRPr="00FC45BF" w14:paraId="0ABA4BC7" w14:textId="77777777" w:rsidTr="00EA49CE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EA49CE" w:rsidRPr="00FC45BF" w:rsidRDefault="00EA49CE" w:rsidP="00EA49C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Άλλ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θά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55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3FAE7264" w:rsidR="00EA49CE" w:rsidRPr="00FC45BF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44</w:t>
            </w:r>
          </w:p>
        </w:tc>
        <w:tc>
          <w:tcPr>
            <w:tcW w:w="141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581332CA" w:rsidR="00EA49CE" w:rsidRPr="008E1127" w:rsidRDefault="00EA49CE" w:rsidP="00EA49CE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94</w:t>
            </w:r>
          </w:p>
        </w:tc>
        <w:tc>
          <w:tcPr>
            <w:tcW w:w="282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469316CB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B51C1D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  <w:tc>
          <w:tcPr>
            <w:tcW w:w="142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525A9193" w:rsidR="00EA49CE" w:rsidRPr="00FC45BF" w:rsidRDefault="00EA49CE" w:rsidP="00EA49CE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44</w:t>
            </w:r>
          </w:p>
        </w:tc>
        <w:tc>
          <w:tcPr>
            <w:tcW w:w="184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27D243" w14:textId="5B7E591B" w:rsidR="00EA49CE" w:rsidRPr="00FC45BF" w:rsidRDefault="00EA49CE" w:rsidP="00EA49CE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EA49CE">
              <w:rPr>
                <w:rFonts w:ascii="Verdana" w:hAnsi="Verdana"/>
                <w:color w:val="365F91"/>
                <w:sz w:val="18"/>
                <w:szCs w:val="18"/>
              </w:rPr>
              <w:t>02</w:t>
            </w:r>
          </w:p>
        </w:tc>
      </w:tr>
      <w:tr w:rsidR="00EA49CE" w:rsidRPr="00FC45BF" w14:paraId="7B6D317E" w14:textId="77777777" w:rsidTr="00EA49CE">
        <w:trPr>
          <w:trHeight w:hRule="exact" w:val="567"/>
          <w:jc w:val="center"/>
        </w:trPr>
        <w:tc>
          <w:tcPr>
            <w:tcW w:w="2412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EA49CE" w:rsidRPr="00FC45BF" w:rsidRDefault="00EA49CE" w:rsidP="00EA49CE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Τιμών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Κατανα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6CAE3375" w:rsidR="00EA49CE" w:rsidRPr="00FC45BF" w:rsidRDefault="00EA49CE" w:rsidP="00EA49CE">
            <w:pPr>
              <w:ind w:right="227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118,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64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7FDCEB09" w:rsidR="00EA49CE" w:rsidRPr="00B51C1D" w:rsidRDefault="00EA49CE" w:rsidP="00EA49CE">
            <w:pPr>
              <w:ind w:right="227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118,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21</w:t>
            </w:r>
          </w:p>
        </w:tc>
        <w:tc>
          <w:tcPr>
            <w:tcW w:w="28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EA49CE" w:rsidRPr="00FC45BF" w:rsidRDefault="00EA49CE" w:rsidP="00EA49CE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3EF672D3" w:rsidR="00EA49CE" w:rsidRPr="00B51C1D" w:rsidRDefault="00EA49CE" w:rsidP="00EA49CE">
            <w:pPr>
              <w:ind w:right="34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1,46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139E87BF" w:rsidR="00EA49CE" w:rsidRPr="00EA49CE" w:rsidRDefault="00EA49CE" w:rsidP="00EA49CE">
            <w:pPr>
              <w:ind w:right="34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A49CE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EA49CE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36</w:t>
            </w:r>
          </w:p>
        </w:tc>
        <w:tc>
          <w:tcPr>
            <w:tcW w:w="184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5A5F9CD" w14:textId="47CCFE72" w:rsidR="00EA49CE" w:rsidRPr="00EA49CE" w:rsidRDefault="00EA49CE" w:rsidP="00EA49CE">
            <w:pPr>
              <w:ind w:right="60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A49CE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EA49CE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73</w:t>
            </w:r>
          </w:p>
        </w:tc>
      </w:tr>
    </w:tbl>
    <w:p w14:paraId="7369EA09" w14:textId="77777777" w:rsidR="00D45C33" w:rsidRPr="00E21D72" w:rsidRDefault="00D45C33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074"/>
        <w:gridCol w:w="1911"/>
        <w:gridCol w:w="2319"/>
        <w:gridCol w:w="2194"/>
      </w:tblGrid>
      <w:tr w:rsidR="006022B5" w:rsidRPr="00E21D72" w14:paraId="1B1E2683" w14:textId="77777777" w:rsidTr="00F45D26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6022B5" w:rsidRPr="00E21D72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131127" w:rsidRPr="00E21D72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131127" w:rsidRPr="00E21D72" w:rsidRDefault="00131127" w:rsidP="0013112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131127" w:rsidRPr="00E21D72" w:rsidRDefault="00131127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27E203C3" w:rsidR="00131127" w:rsidRPr="00E21D72" w:rsidRDefault="00B64CC0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24/ </w:t>
            </w: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23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769535D3" w:rsidR="00131127" w:rsidRPr="00E21D72" w:rsidRDefault="00B64CC0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24/ </w:t>
            </w: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131127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 xml:space="preserve"> 24</w:t>
            </w:r>
          </w:p>
        </w:tc>
      </w:tr>
      <w:tr w:rsidR="008F7BA8" w:rsidRPr="00E21D72" w14:paraId="6B065B03" w14:textId="77777777" w:rsidTr="008F7BA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8F7BA8" w:rsidRPr="00E21D72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Γεωργικά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Προϊόντ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8F7BA8" w:rsidRPr="00E21D72" w:rsidRDefault="008F7BA8" w:rsidP="008F7BA8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D81F3E" w14:textId="56FAAAD8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91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79C20E0E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-4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09</w:t>
            </w:r>
          </w:p>
        </w:tc>
      </w:tr>
      <w:tr w:rsidR="008F7BA8" w:rsidRPr="00E21D72" w14:paraId="6A6F5649" w14:textId="77777777" w:rsidTr="008F7BA8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8F7BA8" w:rsidRPr="00BD0B8A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Βιομηχ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8F7BA8" w:rsidRPr="00E21D72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εκτός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8F7BA8" w:rsidRPr="00E21D72" w:rsidRDefault="008F7BA8" w:rsidP="008F7BA8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C258B" w14:textId="63BF7C7F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71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7B988BAA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13</w:t>
            </w:r>
          </w:p>
        </w:tc>
      </w:tr>
      <w:tr w:rsidR="008F7BA8" w:rsidRPr="00E21D72" w14:paraId="3370FFAD" w14:textId="77777777" w:rsidTr="008F7BA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8F7BA8" w:rsidRPr="00E21D72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1" w:name="_Hlk149742109"/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Ηλεκτρισμ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ό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ς</w:t>
            </w:r>
            <w:bookmarkEnd w:id="1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8F7BA8" w:rsidRPr="00E21D72" w:rsidRDefault="008F7BA8" w:rsidP="008F7BA8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FD39D9" w14:textId="661135FB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-4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19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099788F2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15</w:t>
            </w:r>
          </w:p>
        </w:tc>
      </w:tr>
      <w:tr w:rsidR="008F7BA8" w:rsidRPr="00E21D72" w14:paraId="55D46229" w14:textId="77777777" w:rsidTr="008F7BA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8F7BA8" w:rsidRPr="00E21D72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8F7BA8" w:rsidRPr="00E21D72" w:rsidRDefault="008F7BA8" w:rsidP="008F7BA8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49086C" w14:textId="5F261387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-5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17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222D5744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42</w:t>
            </w:r>
          </w:p>
        </w:tc>
      </w:tr>
      <w:tr w:rsidR="008F7BA8" w:rsidRPr="00E21D72" w14:paraId="00D702E5" w14:textId="77777777" w:rsidTr="008F7BA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8F7BA8" w:rsidRPr="00E21D72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8F7BA8" w:rsidRPr="00E21D72" w:rsidRDefault="008F7BA8" w:rsidP="008F7BA8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87379B" w14:textId="5FC0201F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139490E8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00</w:t>
            </w:r>
          </w:p>
        </w:tc>
      </w:tr>
      <w:tr w:rsidR="008F7BA8" w:rsidRPr="00E21D72" w14:paraId="1CD39D67" w14:textId="77777777" w:rsidTr="008F7BA8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8F7BA8" w:rsidRPr="00E21D72" w:rsidRDefault="008F7BA8" w:rsidP="008F7BA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8F7BA8" w:rsidRPr="00E21D72" w:rsidRDefault="008F7BA8" w:rsidP="008F7BA8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30E53EC3" w14:textId="71C9F711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01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6B88484E" w:rsidR="008F7BA8" w:rsidRPr="00B64CC0" w:rsidRDefault="008F7BA8" w:rsidP="001522DF">
            <w:pPr>
              <w:ind w:right="851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D68D7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color w:val="365F91"/>
                <w:sz w:val="18"/>
                <w:szCs w:val="18"/>
              </w:rPr>
              <w:t>02</w:t>
            </w:r>
          </w:p>
        </w:tc>
      </w:tr>
      <w:tr w:rsidR="008F7BA8" w:rsidRPr="00E21D72" w14:paraId="331F509F" w14:textId="77777777" w:rsidTr="008F7BA8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8F7BA8" w:rsidRPr="00E21D72" w:rsidRDefault="008F7BA8" w:rsidP="008F7BA8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8F7BA8" w:rsidRPr="00E21D72" w:rsidRDefault="008F7BA8" w:rsidP="008F7BA8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5F309946" w14:textId="18B892B9" w:rsidR="008F7BA8" w:rsidRPr="008F7BA8" w:rsidRDefault="008F7BA8" w:rsidP="001522DF">
            <w:pPr>
              <w:ind w:right="85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1</w:t>
            </w:r>
            <w:r w:rsidR="003D68D7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46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5D513B42" w:rsidR="008F7BA8" w:rsidRPr="008F7BA8" w:rsidRDefault="008F7BA8" w:rsidP="001522DF">
            <w:pPr>
              <w:ind w:right="851"/>
              <w:jc w:val="right"/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</w:pPr>
            <w:r w:rsidRPr="008F7BA8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-0</w:t>
            </w:r>
            <w:r w:rsidR="003D68D7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8F7BA8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36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258"/>
        <w:gridCol w:w="1523"/>
        <w:gridCol w:w="2353"/>
        <w:gridCol w:w="2347"/>
      </w:tblGrid>
      <w:tr w:rsidR="006022B5" w:rsidRPr="00E21D72" w14:paraId="4C388DF5" w14:textId="77777777" w:rsidTr="00B31395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6022B5" w:rsidRPr="00E21D72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vAlign w:val="center"/>
            <w:hideMark/>
          </w:tcPr>
          <w:p w14:paraId="1E47590D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Επίπ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τωση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(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μονάδες)</w:t>
            </w:r>
          </w:p>
        </w:tc>
      </w:tr>
      <w:tr w:rsidR="006E65E0" w:rsidRPr="00E21D72" w14:paraId="019AB947" w14:textId="77777777" w:rsidTr="00777AEB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6E65E0" w:rsidRPr="00E21D72" w:rsidRDefault="006E65E0" w:rsidP="006E65E0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6E65E0" w:rsidRPr="00E21D72" w:rsidRDefault="006E65E0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4408D729" w:rsidR="006E65E0" w:rsidRPr="00E21D72" w:rsidRDefault="00B71574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4C0BF3F4" w14:textId="527F8401" w:rsidR="006E65E0" w:rsidRPr="00E21D72" w:rsidRDefault="00B71574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EF1020" w:rsidRPr="00E21D72" w14:paraId="5947B44C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bookmarkStart w:id="2" w:name="_Hlk168556548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  <w:bookmarkEnd w:id="2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17AC1A0B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05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441FE4FB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55</w:t>
            </w:r>
          </w:p>
        </w:tc>
      </w:tr>
      <w:tr w:rsidR="00EF1020" w:rsidRPr="00E21D72" w14:paraId="15E28FB3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οτά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205B7EE7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1BB915E4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EF1020" w:rsidRPr="00E21D72" w14:paraId="108CD38A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Ένδυση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774B0E11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15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2B0F1804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14</w:t>
            </w:r>
          </w:p>
        </w:tc>
      </w:tr>
      <w:tr w:rsidR="00EF1020" w:rsidRPr="00E21D72" w14:paraId="318667D3" w14:textId="77777777" w:rsidTr="00EF1020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434EBAAD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468B115A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EF1020" w:rsidRPr="00E21D72" w14:paraId="215783F0" w14:textId="77777777" w:rsidTr="00EF1020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772AD076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1CA0D482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03</w:t>
            </w:r>
          </w:p>
        </w:tc>
      </w:tr>
      <w:tr w:rsidR="00EF1020" w:rsidRPr="00E21D72" w14:paraId="107081D7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5D87DC4A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10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23FA8113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EF1020" w:rsidRPr="00E21D72" w14:paraId="120C2413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646F75E6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3315CAA1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EF1020" w:rsidRPr="00E21D72" w14:paraId="211DF7D2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74A2F6EA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5B552608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EF1020" w:rsidRPr="00E21D72" w14:paraId="5A0817DE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αψυχή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0CECCD92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76A06D42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EF1020" w:rsidRPr="00E21D72" w14:paraId="731D634B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04EB72C2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3BABCD80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EF1020" w:rsidRPr="00E21D72" w14:paraId="68212E85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ατόρια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Ξ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6B322ED8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6E096D44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02</w:t>
            </w:r>
          </w:p>
        </w:tc>
      </w:tr>
      <w:tr w:rsidR="00EF1020" w:rsidRPr="00E21D72" w14:paraId="5C63625A" w14:textId="77777777" w:rsidTr="00EF1020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EF1020" w:rsidRPr="00E21D72" w:rsidRDefault="00EF1020" w:rsidP="00EF102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Άλλ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θά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EF1020" w:rsidRPr="00E21D72" w:rsidRDefault="00EF1020" w:rsidP="00EF1020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3CBE7594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0D5FEBDD" w:rsidR="00EF1020" w:rsidRPr="00800CDA" w:rsidRDefault="00EF1020" w:rsidP="001522DF">
            <w:pPr>
              <w:ind w:right="851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EF1020" w:rsidRPr="00E21D72" w14:paraId="6771A5B6" w14:textId="77777777" w:rsidTr="00EF1020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EF1020" w:rsidRPr="00E21D72" w:rsidRDefault="00EF1020" w:rsidP="00EF1020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Τιμών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Κατανα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EF1020" w:rsidRPr="00800CDA" w:rsidRDefault="00EF1020" w:rsidP="00EF1020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00CDA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19DFB813" w:rsidR="00EF1020" w:rsidRPr="00EF1020" w:rsidRDefault="00EF1020" w:rsidP="001522DF">
            <w:pPr>
              <w:ind w:right="851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  <w:r w:rsidR="003D68D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70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6CC90457" w:rsidR="00EF1020" w:rsidRPr="00EF1020" w:rsidRDefault="00EF1020" w:rsidP="001522DF">
            <w:pPr>
              <w:ind w:right="851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F102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-0</w:t>
            </w:r>
            <w:r w:rsidR="003D68D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EF102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42</w:t>
            </w:r>
          </w:p>
        </w:tc>
      </w:tr>
      <w:tr w:rsidR="006022B5" w:rsidRPr="00A36D89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D4020F" w:rsidRDefault="00A36D89" w:rsidP="006022B5">
            <w:pPr>
              <w:rPr>
                <w:rFonts w:ascii="Verdana" w:eastAsia="Times New Roman" w:hAnsi="Verdana" w:cs="Arial"/>
                <w:bCs/>
                <w:color w:val="2F5496"/>
                <w:sz w:val="6"/>
                <w:szCs w:val="6"/>
                <w:lang w:val="el-GR"/>
              </w:rPr>
            </w:pPr>
          </w:p>
          <w:p w14:paraId="0DEF1FF2" w14:textId="6B71ED49" w:rsidR="006022B5" w:rsidRPr="00E06481" w:rsidRDefault="006022B5" w:rsidP="006022B5">
            <w:pPr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</w:pP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 xml:space="preserve">Σημείωση: Τα αθροίσματα υπολογίζονται βάσει των επιμέρους επιπτώσεων με άπειρα δεκαδικά και δημοσιεύονται με στρογγυλοποίηση δυο δεκαδικών. Πιθανές διαφορές στα αθροίσματα είναι λόγω σφάλματος στρογγυλοποίησης.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4CF1BB18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3F2DDA13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bookmarkStart w:id="3" w:name="OLE_LINK9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6022B5" w:rsidRPr="00E21D72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E3D7E" w:rsidRPr="00E21D72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4E3D7E" w:rsidRPr="00E21D72" w:rsidRDefault="004E3D7E" w:rsidP="004E3D7E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01079AE4" w:rsidR="004E3D7E" w:rsidRPr="00E21D72" w:rsidRDefault="00AE5284" w:rsidP="004E3D7E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216205" w:rsidRPr="00E21D72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77B84918" w:rsidR="00216205" w:rsidRPr="00E21D72" w:rsidRDefault="00216205" w:rsidP="0021620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Θετική</w:t>
            </w:r>
            <w:proofErr w:type="spellEnd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 xml:space="preserve"> επίπ</w:t>
            </w: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E21D72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 </w:t>
            </w:r>
          </w:p>
        </w:tc>
      </w:tr>
      <w:tr w:rsidR="00BF2B1C" w:rsidRPr="00E21D72" w14:paraId="6E5AF7BA" w14:textId="77777777" w:rsidTr="00FB64A5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6202D" w14:textId="264B9747" w:rsidR="00BF2B1C" w:rsidRPr="003A1153" w:rsidRDefault="00BF2B1C" w:rsidP="00BF2B1C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τροφοδοσί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69D5F39" w14:textId="71E818EB" w:rsidR="00BF2B1C" w:rsidRPr="003A1153" w:rsidRDefault="00BF2B1C" w:rsidP="00BF2B1C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0,43</w:t>
            </w:r>
          </w:p>
        </w:tc>
      </w:tr>
      <w:tr w:rsidR="00BF2B1C" w:rsidRPr="00E21D72" w14:paraId="33A68CE0" w14:textId="77777777" w:rsidTr="00FB64A5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E9B99" w14:textId="75610F6E" w:rsidR="00BF2B1C" w:rsidRPr="003A1153" w:rsidRDefault="00BF2B1C" w:rsidP="00BF2B1C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Πα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τάτες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1040E55" w14:textId="523449A2" w:rsidR="00BF2B1C" w:rsidRPr="003A1153" w:rsidRDefault="00BF2B1C" w:rsidP="00BF2B1C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0,28</w:t>
            </w:r>
          </w:p>
        </w:tc>
      </w:tr>
      <w:tr w:rsidR="00BF2B1C" w:rsidRPr="00E21D72" w14:paraId="5B57BFFD" w14:textId="77777777" w:rsidTr="00FB64A5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5C30A" w14:textId="5587A674" w:rsidR="00BF2B1C" w:rsidRPr="003A1153" w:rsidRDefault="00BF2B1C" w:rsidP="00BF2B1C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bookmarkStart w:id="4" w:name="_Hlk178677251"/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4857A8" w14:textId="1A279D01" w:rsidR="00BF2B1C" w:rsidRPr="003A1153" w:rsidRDefault="00BF2B1C" w:rsidP="00BF2B1C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0,19</w:t>
            </w:r>
          </w:p>
        </w:tc>
      </w:tr>
      <w:tr w:rsidR="00BF2B1C" w:rsidRPr="00360B5F" w14:paraId="22FA0A3F" w14:textId="77777777" w:rsidTr="00FB64A5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A97CA" w14:textId="18A05820" w:rsidR="00BF2B1C" w:rsidRPr="00360B5F" w:rsidRDefault="00BF2B1C" w:rsidP="00BF2B1C">
            <w:pPr>
              <w:ind w:left="321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BF2B1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5DE0F34" w14:textId="44BD44FF" w:rsidR="00BF2B1C" w:rsidRPr="00360B5F" w:rsidRDefault="00BF2B1C" w:rsidP="00BF2B1C">
            <w:pPr>
              <w:ind w:right="1304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0,14</w:t>
            </w:r>
          </w:p>
        </w:tc>
      </w:tr>
      <w:bookmarkEnd w:id="4"/>
      <w:tr w:rsidR="00EA4C7B" w:rsidRPr="00E21D72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62998D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700DF0" w:rsidRDefault="00EA4C7B" w:rsidP="00EA4C7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</w:p>
        </w:tc>
      </w:tr>
      <w:tr w:rsidR="00BF2B1C" w:rsidRPr="00E21D72" w14:paraId="157F0974" w14:textId="77777777" w:rsidTr="005040C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12099" w14:textId="57558F11" w:rsidR="00BF2B1C" w:rsidRPr="00E21D72" w:rsidRDefault="00BF2B1C" w:rsidP="00BF2B1C">
            <w:pPr>
              <w:ind w:left="326"/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03473210" w:rsidR="00BF2B1C" w:rsidRPr="003A1153" w:rsidRDefault="00BF2B1C" w:rsidP="00BF2B1C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-0,58</w:t>
            </w:r>
          </w:p>
        </w:tc>
      </w:tr>
      <w:tr w:rsidR="00BF2B1C" w:rsidRPr="00E21D72" w14:paraId="769D35E4" w14:textId="77777777" w:rsidTr="005040C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356C1" w14:textId="2A04D809" w:rsidR="00BF2B1C" w:rsidRDefault="00BF2B1C" w:rsidP="00BF2B1C">
            <w:pPr>
              <w:ind w:left="326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Ηλεκτρισμός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403F365" w14:textId="1CDE0DC9" w:rsidR="00BF2B1C" w:rsidRPr="003A1153" w:rsidRDefault="00BF2B1C" w:rsidP="00BF2B1C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-0,25</w:t>
            </w:r>
          </w:p>
        </w:tc>
      </w:tr>
      <w:tr w:rsidR="00EA4C7B" w:rsidRPr="00E21D72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37E0FC5E" w:rsidR="00EA4C7B" w:rsidRPr="00BF2B1C" w:rsidRDefault="00BF2B1C" w:rsidP="00EA4C7B">
            <w:pPr>
              <w:ind w:right="1304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1</w:t>
            </w:r>
            <w:r w:rsidR="00EA4C7B" w:rsidRPr="00EA4C7B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 w:rsidR="00051603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0</w:t>
            </w:r>
          </w:p>
        </w:tc>
      </w:tr>
      <w:bookmarkEnd w:id="3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59D19A26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5</w:t>
            </w:r>
          </w:p>
        </w:tc>
      </w:tr>
      <w:tr w:rsidR="006022B5" w:rsidRPr="00E21D72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6022B5" w:rsidRPr="00E21D72" w14:paraId="0C3752B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8D48676" w14:textId="0D6932E9" w:rsidR="006022B5" w:rsidRPr="00E21D72" w:rsidRDefault="00DB28E3" w:rsidP="002A7893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Νοε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3968D1" w:rsidRPr="00E21D72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13825D41" w:rsidR="003968D1" w:rsidRPr="00E21D72" w:rsidRDefault="00936D92" w:rsidP="003968D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Θετική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E21D72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D56B64" w:rsidRPr="00E21D72" w14:paraId="0F1E746A" w14:textId="77777777" w:rsidTr="008D6218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5C978" w14:textId="7BDFF3AA" w:rsidR="00D56B64" w:rsidRPr="003A1153" w:rsidRDefault="00D56B64" w:rsidP="00D56B64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Πα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τάτες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EF734" w14:textId="25596E00" w:rsidR="00D56B64" w:rsidRPr="00E21D72" w:rsidRDefault="00D56B64" w:rsidP="00D56B64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18</w:t>
            </w:r>
          </w:p>
        </w:tc>
      </w:tr>
      <w:tr w:rsidR="00D56B64" w:rsidRPr="00E21D72" w14:paraId="6B057E0A" w14:textId="77777777" w:rsidTr="008D6218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ECBBC" w14:textId="511801C5" w:rsidR="00D56B64" w:rsidRDefault="00D56B64" w:rsidP="00D56B64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Είδη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Ένδυσης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5AA1FE" w14:textId="3F731FB2" w:rsidR="00D56B64" w:rsidRDefault="00D56B64" w:rsidP="00D56B64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09</w:t>
            </w:r>
          </w:p>
        </w:tc>
      </w:tr>
      <w:tr w:rsidR="00D56B64" w:rsidRPr="00E21D72" w14:paraId="57233FCB" w14:textId="77777777" w:rsidTr="008D6218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1F4B0" w14:textId="10D2D203" w:rsidR="00D56B64" w:rsidRPr="00D56B64" w:rsidRDefault="00D56B64" w:rsidP="00D56B64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Είδη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Υπ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ς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4C055" w14:textId="469AAC0D" w:rsidR="00D56B64" w:rsidRDefault="00D56B64" w:rsidP="00D56B64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05</w:t>
            </w:r>
          </w:p>
        </w:tc>
      </w:tr>
      <w:tr w:rsidR="006E21FE" w:rsidRPr="008B1495" w14:paraId="4A4B0AD6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1562A939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77777777" w:rsidR="006E21FE" w:rsidRDefault="006E21FE" w:rsidP="006E21FE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091CF5" w:rsidRPr="008B1495" w14:paraId="73DEB40F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B219B47" w14:textId="32C52696" w:rsidR="00091CF5" w:rsidRPr="00E21D72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34EDF71" w14:textId="6D7CC10F" w:rsidR="00091CF5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</w:t>
            </w:r>
            <w:r w:rsidR="00D56B64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6</w:t>
            </w:r>
          </w:p>
        </w:tc>
      </w:tr>
      <w:tr w:rsidR="00091CF5" w:rsidRPr="008B1495" w14:paraId="06B307CE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C621C38" w14:textId="66A398B5" w:rsidR="00091CF5" w:rsidRPr="00EA4C7B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α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φρούτ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AE17786" w14:textId="7AA032D3" w:rsidR="00091CF5" w:rsidRPr="00D56B64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</w:t>
            </w:r>
            <w:r w:rsidR="00D56B64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09</w:t>
            </w:r>
          </w:p>
        </w:tc>
      </w:tr>
      <w:tr w:rsidR="006E21FE" w:rsidRPr="00E21D72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5DDF5C02" w:rsidR="00D56B64" w:rsidRPr="00BC5B12" w:rsidRDefault="00D56B64" w:rsidP="00D56B64">
            <w:pPr>
              <w:ind w:right="1296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-0</w:t>
            </w:r>
            <w:r w:rsidR="006E21FE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42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24F077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CDE80F4" w14:textId="3657D20F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2226AB4" w14:textId="5D6472C0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1931726" w14:textId="32EC001F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2B615A9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70C1FAA" w14:textId="7C2E5A1A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19438811" w14:textId="12802A74" w:rsidR="00F646E6" w:rsidRDefault="00F646E6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9E95FB5" w14:textId="77777777" w:rsidR="00317671" w:rsidRDefault="00317671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6AC279A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A210296" w14:textId="77777777" w:rsidR="000146DB" w:rsidRDefault="000146DB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3218965D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4E3DFB78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54E2BC2F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EFEB0" w14:textId="0DBDC93A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κάθε μήνα σταθμίζονται ανάλογα με τον πληθυσμό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επαρχίες: Λευκωσία 42%, Λεμεσός 30%, Λάρνακα 18% και Πάφος 10%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37D6DCA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E9E601" w14:textId="7FD032E1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Οι τιμές των 805 ειδών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129858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392BFF36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έτος αναφοράς είναι το 2015=100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B4A91" w14:textId="2BF8B94C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2016, ο ΔΤΚ υπολογίζεται και δημοσιεύεται βάσει της ταξινόμησης ECOICOP ακολουθώντας σχετικό κανονισμό της Ευρωπαϊκής Στατιστικής Υπηρεσίας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που χρησιμοποιείται είναι τα πέντε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9688906" w14:textId="77777777" w:rsidR="006022B5" w:rsidRPr="00E21D72" w:rsidRDefault="006022B5" w:rsidP="006022B5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36200B49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43609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3582840" w14:textId="77777777" w:rsidR="00A6617C" w:rsidRPr="00E21D72" w:rsidRDefault="00A6617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DFBF89B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4DB05E9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</w:t>
      </w:r>
      <w:r w:rsidRPr="00E21D72">
        <w:rPr>
          <w:rFonts w:ascii="Verdana" w:hAnsi="Verdana"/>
          <w:sz w:val="18"/>
          <w:szCs w:val="18"/>
        </w:rPr>
        <w:t>Excel</w:t>
      </w:r>
      <w:r w:rsidRPr="00E21D72">
        <w:rPr>
          <w:rFonts w:ascii="Verdana" w:hAnsi="Verdana"/>
          <w:sz w:val="18"/>
          <w:szCs w:val="18"/>
          <w:lang w:val="el-GR"/>
        </w:rPr>
        <w:t>)</w:t>
      </w:r>
    </w:p>
    <w:p w14:paraId="217E8B4C" w14:textId="77777777" w:rsidR="006022B5" w:rsidRPr="00E21D72" w:rsidRDefault="006022B5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0EB2994F" w14:textId="77777777" w:rsidR="006022B5" w:rsidRPr="00E21D72" w:rsidRDefault="006022B5" w:rsidP="006022B5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4B0361A" w14:textId="2A12436C" w:rsidR="006022B5" w:rsidRPr="00E21D72" w:rsidRDefault="006022B5" w:rsidP="006022B5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Οι </w:t>
      </w:r>
      <w:r w:rsidRPr="00E21D72">
        <w:rPr>
          <w:rFonts w:ascii="Verdana" w:hAnsi="Verdana" w:cs="Calibri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σε μορφή </w:t>
      </w:r>
      <w:r w:rsidRPr="00E21D72">
        <w:rPr>
          <w:rFonts w:ascii="Verdana" w:hAnsi="Verdana" w:cs="Calibri"/>
          <w:b/>
          <w:bCs/>
          <w:sz w:val="18"/>
          <w:szCs w:val="18"/>
        </w:rPr>
        <w:t>Excel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τον Δεκέμβριο του 2021</w:t>
      </w:r>
      <w:r w:rsidR="003A1153">
        <w:rPr>
          <w:rFonts w:ascii="Verdana" w:hAnsi="Verdana" w:cs="Calibri"/>
          <w:b/>
          <w:bCs/>
          <w:sz w:val="18"/>
          <w:szCs w:val="18"/>
          <w:lang w:val="el-GR"/>
        </w:rPr>
        <w:t>,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Για τον Ιανουάριο 2022 και νεότερα στοιχεία, ενημέρωση γίνεται μόνο στη Βάση Δεδομένων </w:t>
      </w:r>
      <w:r w:rsidRPr="00E21D72">
        <w:rPr>
          <w:rFonts w:ascii="Verdana" w:hAnsi="Verdana" w:cs="Calibri"/>
          <w:b/>
          <w:bCs/>
          <w:sz w:val="18"/>
          <w:szCs w:val="18"/>
        </w:rPr>
        <w:t>CYSTAT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E21D72">
        <w:rPr>
          <w:rFonts w:ascii="Verdana" w:hAnsi="Verdana" w:cs="Calibri"/>
          <w:b/>
          <w:bCs/>
          <w:sz w:val="18"/>
          <w:szCs w:val="18"/>
        </w:rPr>
        <w:t>DB</w:t>
      </w:r>
      <w:r w:rsidR="003C63F9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27186B73" w14:textId="77777777" w:rsidR="006022B5" w:rsidRPr="00266F1F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74B68D91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5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0A4C7F" w14:textId="32456CE5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EC9F783" w14:textId="4EEAEBF0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bookmarkEnd w:id="5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40CB" w14:textId="77777777" w:rsidR="00235AF0" w:rsidRDefault="00235AF0" w:rsidP="00FB398F">
      <w:r>
        <w:separator/>
      </w:r>
    </w:p>
  </w:endnote>
  <w:endnote w:type="continuationSeparator" w:id="0">
    <w:p w14:paraId="74DB1364" w14:textId="77777777" w:rsidR="00235AF0" w:rsidRDefault="00235AF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474BD1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4837" w14:textId="77777777" w:rsidR="00235AF0" w:rsidRDefault="00235AF0" w:rsidP="00FB398F">
      <w:r>
        <w:separator/>
      </w:r>
    </w:p>
  </w:footnote>
  <w:footnote w:type="continuationSeparator" w:id="0">
    <w:p w14:paraId="60C3D0D7" w14:textId="77777777" w:rsidR="00235AF0" w:rsidRDefault="00235AF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17536">
    <w:abstractNumId w:val="6"/>
  </w:num>
  <w:num w:numId="2" w16cid:durableId="395976286">
    <w:abstractNumId w:val="3"/>
  </w:num>
  <w:num w:numId="3" w16cid:durableId="69277100">
    <w:abstractNumId w:val="4"/>
  </w:num>
  <w:num w:numId="4" w16cid:durableId="734089420">
    <w:abstractNumId w:val="5"/>
  </w:num>
  <w:num w:numId="5" w16cid:durableId="33118843">
    <w:abstractNumId w:val="2"/>
  </w:num>
  <w:num w:numId="6" w16cid:durableId="1167207874">
    <w:abstractNumId w:val="7"/>
  </w:num>
  <w:num w:numId="7" w16cid:durableId="206381341">
    <w:abstractNumId w:val="0"/>
  </w:num>
  <w:num w:numId="8" w16cid:durableId="17502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8D0"/>
    <w:rsid w:val="00002458"/>
    <w:rsid w:val="0000542E"/>
    <w:rsid w:val="0000572F"/>
    <w:rsid w:val="00013AF3"/>
    <w:rsid w:val="00013E40"/>
    <w:rsid w:val="000146DB"/>
    <w:rsid w:val="000161B1"/>
    <w:rsid w:val="00023312"/>
    <w:rsid w:val="0002394B"/>
    <w:rsid w:val="00023CEB"/>
    <w:rsid w:val="00025498"/>
    <w:rsid w:val="00025A39"/>
    <w:rsid w:val="00026B18"/>
    <w:rsid w:val="00027853"/>
    <w:rsid w:val="00030E18"/>
    <w:rsid w:val="00031D32"/>
    <w:rsid w:val="000323E4"/>
    <w:rsid w:val="00034088"/>
    <w:rsid w:val="0003590E"/>
    <w:rsid w:val="0003603D"/>
    <w:rsid w:val="00037999"/>
    <w:rsid w:val="00040319"/>
    <w:rsid w:val="00042925"/>
    <w:rsid w:val="000446A6"/>
    <w:rsid w:val="00045088"/>
    <w:rsid w:val="00045A06"/>
    <w:rsid w:val="00050391"/>
    <w:rsid w:val="00051603"/>
    <w:rsid w:val="00055291"/>
    <w:rsid w:val="000563D3"/>
    <w:rsid w:val="00057E44"/>
    <w:rsid w:val="00061299"/>
    <w:rsid w:val="0006192B"/>
    <w:rsid w:val="000623EA"/>
    <w:rsid w:val="00062BC7"/>
    <w:rsid w:val="0006328F"/>
    <w:rsid w:val="00070576"/>
    <w:rsid w:val="00071169"/>
    <w:rsid w:val="00075278"/>
    <w:rsid w:val="000752BB"/>
    <w:rsid w:val="00075B75"/>
    <w:rsid w:val="00076629"/>
    <w:rsid w:val="00081ADF"/>
    <w:rsid w:val="00082072"/>
    <w:rsid w:val="00082B42"/>
    <w:rsid w:val="0008371A"/>
    <w:rsid w:val="00083B45"/>
    <w:rsid w:val="00084A02"/>
    <w:rsid w:val="00084BF7"/>
    <w:rsid w:val="000870E9"/>
    <w:rsid w:val="0008778C"/>
    <w:rsid w:val="00087B3C"/>
    <w:rsid w:val="00091CF5"/>
    <w:rsid w:val="000932CF"/>
    <w:rsid w:val="00096ED8"/>
    <w:rsid w:val="000A1A88"/>
    <w:rsid w:val="000A2B5C"/>
    <w:rsid w:val="000A3601"/>
    <w:rsid w:val="000A50D8"/>
    <w:rsid w:val="000A6747"/>
    <w:rsid w:val="000A6FA8"/>
    <w:rsid w:val="000A760C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E027A"/>
    <w:rsid w:val="000E24B1"/>
    <w:rsid w:val="000E2735"/>
    <w:rsid w:val="000E32D6"/>
    <w:rsid w:val="000E4932"/>
    <w:rsid w:val="000E4CB0"/>
    <w:rsid w:val="000E57F2"/>
    <w:rsid w:val="000E5D96"/>
    <w:rsid w:val="000E72A7"/>
    <w:rsid w:val="000F1162"/>
    <w:rsid w:val="000F3467"/>
    <w:rsid w:val="000F38DE"/>
    <w:rsid w:val="000F448C"/>
    <w:rsid w:val="000F4BC8"/>
    <w:rsid w:val="000F532A"/>
    <w:rsid w:val="000F5D6C"/>
    <w:rsid w:val="00102921"/>
    <w:rsid w:val="0010612E"/>
    <w:rsid w:val="00106852"/>
    <w:rsid w:val="00110F9D"/>
    <w:rsid w:val="00114A67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7887"/>
    <w:rsid w:val="0015118B"/>
    <w:rsid w:val="001519CE"/>
    <w:rsid w:val="001522DF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540"/>
    <w:rsid w:val="00196A7C"/>
    <w:rsid w:val="001A2018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20A4"/>
    <w:rsid w:val="001D3C3A"/>
    <w:rsid w:val="001D4E16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2779"/>
    <w:rsid w:val="0020309E"/>
    <w:rsid w:val="0020687D"/>
    <w:rsid w:val="0020742D"/>
    <w:rsid w:val="00210424"/>
    <w:rsid w:val="00210B58"/>
    <w:rsid w:val="002160C6"/>
    <w:rsid w:val="00216205"/>
    <w:rsid w:val="002179A1"/>
    <w:rsid w:val="00222423"/>
    <w:rsid w:val="00223AEE"/>
    <w:rsid w:val="00225B28"/>
    <w:rsid w:val="00226891"/>
    <w:rsid w:val="00226B6C"/>
    <w:rsid w:val="00230D9B"/>
    <w:rsid w:val="002313AC"/>
    <w:rsid w:val="00231C0F"/>
    <w:rsid w:val="00233AD2"/>
    <w:rsid w:val="00233B46"/>
    <w:rsid w:val="002347EE"/>
    <w:rsid w:val="00235014"/>
    <w:rsid w:val="00235AF0"/>
    <w:rsid w:val="00235FB2"/>
    <w:rsid w:val="00237BC1"/>
    <w:rsid w:val="0024026B"/>
    <w:rsid w:val="002404FE"/>
    <w:rsid w:val="002430B4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560F"/>
    <w:rsid w:val="0025566D"/>
    <w:rsid w:val="002558D3"/>
    <w:rsid w:val="0025595C"/>
    <w:rsid w:val="0025622C"/>
    <w:rsid w:val="002567C4"/>
    <w:rsid w:val="00257149"/>
    <w:rsid w:val="002576E7"/>
    <w:rsid w:val="00260357"/>
    <w:rsid w:val="00260410"/>
    <w:rsid w:val="002633F9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15C4"/>
    <w:rsid w:val="00297E6B"/>
    <w:rsid w:val="002A1D1C"/>
    <w:rsid w:val="002A28D1"/>
    <w:rsid w:val="002A4D64"/>
    <w:rsid w:val="002A7893"/>
    <w:rsid w:val="002B03CE"/>
    <w:rsid w:val="002B34BE"/>
    <w:rsid w:val="002B3BB5"/>
    <w:rsid w:val="002B4969"/>
    <w:rsid w:val="002B6554"/>
    <w:rsid w:val="002B7065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F400C"/>
    <w:rsid w:val="002F4D76"/>
    <w:rsid w:val="002F6D26"/>
    <w:rsid w:val="0030107C"/>
    <w:rsid w:val="0030231E"/>
    <w:rsid w:val="003042C4"/>
    <w:rsid w:val="00304CB4"/>
    <w:rsid w:val="00304D9F"/>
    <w:rsid w:val="00305B05"/>
    <w:rsid w:val="00305D99"/>
    <w:rsid w:val="00306076"/>
    <w:rsid w:val="00313F37"/>
    <w:rsid w:val="003141D0"/>
    <w:rsid w:val="003145E8"/>
    <w:rsid w:val="003149D9"/>
    <w:rsid w:val="00315D54"/>
    <w:rsid w:val="003168C1"/>
    <w:rsid w:val="00317671"/>
    <w:rsid w:val="00322EC7"/>
    <w:rsid w:val="00322FBE"/>
    <w:rsid w:val="00325632"/>
    <w:rsid w:val="00327549"/>
    <w:rsid w:val="00327654"/>
    <w:rsid w:val="003342A5"/>
    <w:rsid w:val="00334616"/>
    <w:rsid w:val="00336C36"/>
    <w:rsid w:val="0034293A"/>
    <w:rsid w:val="00343815"/>
    <w:rsid w:val="00344666"/>
    <w:rsid w:val="0034705B"/>
    <w:rsid w:val="00347874"/>
    <w:rsid w:val="003478C2"/>
    <w:rsid w:val="003522BB"/>
    <w:rsid w:val="00352F6C"/>
    <w:rsid w:val="003556EA"/>
    <w:rsid w:val="00355D6D"/>
    <w:rsid w:val="00356FCC"/>
    <w:rsid w:val="003570D2"/>
    <w:rsid w:val="003600FA"/>
    <w:rsid w:val="00360B5F"/>
    <w:rsid w:val="00364682"/>
    <w:rsid w:val="003652ED"/>
    <w:rsid w:val="00365488"/>
    <w:rsid w:val="0037080F"/>
    <w:rsid w:val="00370C47"/>
    <w:rsid w:val="00380663"/>
    <w:rsid w:val="00382E07"/>
    <w:rsid w:val="00386FC7"/>
    <w:rsid w:val="00390A32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4608"/>
    <w:rsid w:val="003C2392"/>
    <w:rsid w:val="003C3B5F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3348"/>
    <w:rsid w:val="003D3F7C"/>
    <w:rsid w:val="003D4E63"/>
    <w:rsid w:val="003D587B"/>
    <w:rsid w:val="003D604F"/>
    <w:rsid w:val="003D6822"/>
    <w:rsid w:val="003D68D7"/>
    <w:rsid w:val="003D724C"/>
    <w:rsid w:val="003E0CE2"/>
    <w:rsid w:val="003E1F23"/>
    <w:rsid w:val="003E510D"/>
    <w:rsid w:val="003E623B"/>
    <w:rsid w:val="003F28F9"/>
    <w:rsid w:val="003F49E4"/>
    <w:rsid w:val="003F4CB3"/>
    <w:rsid w:val="003F4D2F"/>
    <w:rsid w:val="003F5E32"/>
    <w:rsid w:val="003F75F6"/>
    <w:rsid w:val="00404670"/>
    <w:rsid w:val="00405220"/>
    <w:rsid w:val="00410B86"/>
    <w:rsid w:val="00414CA0"/>
    <w:rsid w:val="004164A3"/>
    <w:rsid w:val="00422F54"/>
    <w:rsid w:val="004278F5"/>
    <w:rsid w:val="0043001A"/>
    <w:rsid w:val="00431516"/>
    <w:rsid w:val="00436099"/>
    <w:rsid w:val="004361B3"/>
    <w:rsid w:val="0044249D"/>
    <w:rsid w:val="0044379F"/>
    <w:rsid w:val="00444FCC"/>
    <w:rsid w:val="00446FB1"/>
    <w:rsid w:val="00452753"/>
    <w:rsid w:val="00452DF7"/>
    <w:rsid w:val="00453E42"/>
    <w:rsid w:val="00455525"/>
    <w:rsid w:val="0046078F"/>
    <w:rsid w:val="00463214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A11EF"/>
    <w:rsid w:val="004A2850"/>
    <w:rsid w:val="004A3E44"/>
    <w:rsid w:val="004A5205"/>
    <w:rsid w:val="004A7117"/>
    <w:rsid w:val="004B1104"/>
    <w:rsid w:val="004B2018"/>
    <w:rsid w:val="004B286D"/>
    <w:rsid w:val="004B2896"/>
    <w:rsid w:val="004B38E9"/>
    <w:rsid w:val="004B3FBA"/>
    <w:rsid w:val="004B5321"/>
    <w:rsid w:val="004B6599"/>
    <w:rsid w:val="004C2058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CDB"/>
    <w:rsid w:val="00530D25"/>
    <w:rsid w:val="00530D3A"/>
    <w:rsid w:val="005339AA"/>
    <w:rsid w:val="005341C9"/>
    <w:rsid w:val="00535337"/>
    <w:rsid w:val="005369CA"/>
    <w:rsid w:val="00536DE9"/>
    <w:rsid w:val="00541DEB"/>
    <w:rsid w:val="00541E08"/>
    <w:rsid w:val="00542330"/>
    <w:rsid w:val="00543942"/>
    <w:rsid w:val="00543F41"/>
    <w:rsid w:val="00554FE0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808AB"/>
    <w:rsid w:val="00582855"/>
    <w:rsid w:val="00582C86"/>
    <w:rsid w:val="0059136C"/>
    <w:rsid w:val="005945E1"/>
    <w:rsid w:val="0059585B"/>
    <w:rsid w:val="005978D4"/>
    <w:rsid w:val="005A23FA"/>
    <w:rsid w:val="005A2F66"/>
    <w:rsid w:val="005A60BB"/>
    <w:rsid w:val="005A6BBB"/>
    <w:rsid w:val="005B2A67"/>
    <w:rsid w:val="005B33E2"/>
    <w:rsid w:val="005B3DCD"/>
    <w:rsid w:val="005B4AD4"/>
    <w:rsid w:val="005B55A8"/>
    <w:rsid w:val="005C08E4"/>
    <w:rsid w:val="005C2798"/>
    <w:rsid w:val="005C36C3"/>
    <w:rsid w:val="005C56EE"/>
    <w:rsid w:val="005C7E42"/>
    <w:rsid w:val="005D1714"/>
    <w:rsid w:val="005D3A2C"/>
    <w:rsid w:val="005D7638"/>
    <w:rsid w:val="005E2BDE"/>
    <w:rsid w:val="005E3D8C"/>
    <w:rsid w:val="005E5CFB"/>
    <w:rsid w:val="005F12F5"/>
    <w:rsid w:val="005F4185"/>
    <w:rsid w:val="005F6179"/>
    <w:rsid w:val="005F7955"/>
    <w:rsid w:val="005F7A2C"/>
    <w:rsid w:val="005F7C7D"/>
    <w:rsid w:val="00601CF7"/>
    <w:rsid w:val="006022B5"/>
    <w:rsid w:val="006044B7"/>
    <w:rsid w:val="00605F73"/>
    <w:rsid w:val="006071CE"/>
    <w:rsid w:val="006075B5"/>
    <w:rsid w:val="0061018C"/>
    <w:rsid w:val="0061094E"/>
    <w:rsid w:val="00613440"/>
    <w:rsid w:val="00613BE3"/>
    <w:rsid w:val="006147E4"/>
    <w:rsid w:val="00616E81"/>
    <w:rsid w:val="00622A9F"/>
    <w:rsid w:val="0062327B"/>
    <w:rsid w:val="00626C5E"/>
    <w:rsid w:val="00632777"/>
    <w:rsid w:val="00633750"/>
    <w:rsid w:val="00634491"/>
    <w:rsid w:val="0063679C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60714"/>
    <w:rsid w:val="00660862"/>
    <w:rsid w:val="00667E07"/>
    <w:rsid w:val="00671785"/>
    <w:rsid w:val="00672BA9"/>
    <w:rsid w:val="00673005"/>
    <w:rsid w:val="00675B6E"/>
    <w:rsid w:val="00677AB6"/>
    <w:rsid w:val="006804BE"/>
    <w:rsid w:val="00680A4F"/>
    <w:rsid w:val="00680B85"/>
    <w:rsid w:val="0068434A"/>
    <w:rsid w:val="0069008E"/>
    <w:rsid w:val="006904EC"/>
    <w:rsid w:val="0069087E"/>
    <w:rsid w:val="00691311"/>
    <w:rsid w:val="006925C4"/>
    <w:rsid w:val="00694F03"/>
    <w:rsid w:val="006A02B7"/>
    <w:rsid w:val="006A4979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559B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4256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700DF0"/>
    <w:rsid w:val="00702F26"/>
    <w:rsid w:val="0070313E"/>
    <w:rsid w:val="00703799"/>
    <w:rsid w:val="00705C5C"/>
    <w:rsid w:val="00711475"/>
    <w:rsid w:val="00716B5C"/>
    <w:rsid w:val="00723D60"/>
    <w:rsid w:val="0072548A"/>
    <w:rsid w:val="007277A6"/>
    <w:rsid w:val="007310AA"/>
    <w:rsid w:val="00731391"/>
    <w:rsid w:val="00733648"/>
    <w:rsid w:val="00740E93"/>
    <w:rsid w:val="007437AB"/>
    <w:rsid w:val="00743AF3"/>
    <w:rsid w:val="00745016"/>
    <w:rsid w:val="00745425"/>
    <w:rsid w:val="00745976"/>
    <w:rsid w:val="00750AF4"/>
    <w:rsid w:val="007534F8"/>
    <w:rsid w:val="007545AD"/>
    <w:rsid w:val="00761E3A"/>
    <w:rsid w:val="00763722"/>
    <w:rsid w:val="00763CC6"/>
    <w:rsid w:val="00764BC1"/>
    <w:rsid w:val="00765399"/>
    <w:rsid w:val="00770869"/>
    <w:rsid w:val="0077314E"/>
    <w:rsid w:val="007738AA"/>
    <w:rsid w:val="00773A57"/>
    <w:rsid w:val="00774B42"/>
    <w:rsid w:val="00777375"/>
    <w:rsid w:val="00777AEB"/>
    <w:rsid w:val="00777FAE"/>
    <w:rsid w:val="007808C0"/>
    <w:rsid w:val="00780A62"/>
    <w:rsid w:val="00782524"/>
    <w:rsid w:val="00783241"/>
    <w:rsid w:val="00784BDC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7CB"/>
    <w:rsid w:val="007D398A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DE2"/>
    <w:rsid w:val="007F07A9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3132"/>
    <w:rsid w:val="008535C5"/>
    <w:rsid w:val="00853765"/>
    <w:rsid w:val="0085505A"/>
    <w:rsid w:val="0085516F"/>
    <w:rsid w:val="008620CD"/>
    <w:rsid w:val="00862AEA"/>
    <w:rsid w:val="00867186"/>
    <w:rsid w:val="00867400"/>
    <w:rsid w:val="00870A33"/>
    <w:rsid w:val="00870AF6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912AF"/>
    <w:rsid w:val="00892114"/>
    <w:rsid w:val="00892CB9"/>
    <w:rsid w:val="008935CB"/>
    <w:rsid w:val="008A2A17"/>
    <w:rsid w:val="008A36AE"/>
    <w:rsid w:val="008A42BC"/>
    <w:rsid w:val="008B0E7E"/>
    <w:rsid w:val="008B1495"/>
    <w:rsid w:val="008B65BD"/>
    <w:rsid w:val="008B7900"/>
    <w:rsid w:val="008C71BF"/>
    <w:rsid w:val="008C7FE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B4D"/>
    <w:rsid w:val="008E6BFF"/>
    <w:rsid w:val="008E6E54"/>
    <w:rsid w:val="008F21AF"/>
    <w:rsid w:val="008F2400"/>
    <w:rsid w:val="008F2CDE"/>
    <w:rsid w:val="008F61BA"/>
    <w:rsid w:val="008F6E3C"/>
    <w:rsid w:val="008F7BA8"/>
    <w:rsid w:val="008F7C55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31E2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59A"/>
    <w:rsid w:val="00963A82"/>
    <w:rsid w:val="0096449F"/>
    <w:rsid w:val="00972912"/>
    <w:rsid w:val="00973BFC"/>
    <w:rsid w:val="00976D1F"/>
    <w:rsid w:val="00981C81"/>
    <w:rsid w:val="0099059D"/>
    <w:rsid w:val="009913B3"/>
    <w:rsid w:val="00993825"/>
    <w:rsid w:val="00993EFA"/>
    <w:rsid w:val="00996CDB"/>
    <w:rsid w:val="0099770C"/>
    <w:rsid w:val="009A2D24"/>
    <w:rsid w:val="009A2DF0"/>
    <w:rsid w:val="009A2F58"/>
    <w:rsid w:val="009A456C"/>
    <w:rsid w:val="009B00E0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76E"/>
    <w:rsid w:val="009D2611"/>
    <w:rsid w:val="009D53D4"/>
    <w:rsid w:val="009D79D2"/>
    <w:rsid w:val="009E247C"/>
    <w:rsid w:val="009E31BA"/>
    <w:rsid w:val="009F0528"/>
    <w:rsid w:val="009F0806"/>
    <w:rsid w:val="009F0D96"/>
    <w:rsid w:val="009F1D8C"/>
    <w:rsid w:val="009F233B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20C70"/>
    <w:rsid w:val="00A214BF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51834"/>
    <w:rsid w:val="00A544B7"/>
    <w:rsid w:val="00A60399"/>
    <w:rsid w:val="00A618CF"/>
    <w:rsid w:val="00A62770"/>
    <w:rsid w:val="00A62EEB"/>
    <w:rsid w:val="00A65B57"/>
    <w:rsid w:val="00A65E61"/>
    <w:rsid w:val="00A660FF"/>
    <w:rsid w:val="00A6617C"/>
    <w:rsid w:val="00A7260D"/>
    <w:rsid w:val="00A73395"/>
    <w:rsid w:val="00A76C44"/>
    <w:rsid w:val="00A771E3"/>
    <w:rsid w:val="00A81068"/>
    <w:rsid w:val="00A82B4C"/>
    <w:rsid w:val="00A84905"/>
    <w:rsid w:val="00A912D0"/>
    <w:rsid w:val="00A913FF"/>
    <w:rsid w:val="00A93A4C"/>
    <w:rsid w:val="00A94D5D"/>
    <w:rsid w:val="00AA0DA2"/>
    <w:rsid w:val="00AA1B13"/>
    <w:rsid w:val="00AA1D9B"/>
    <w:rsid w:val="00AA2543"/>
    <w:rsid w:val="00AA3804"/>
    <w:rsid w:val="00AA4908"/>
    <w:rsid w:val="00AA55C2"/>
    <w:rsid w:val="00AA6832"/>
    <w:rsid w:val="00AB0ACA"/>
    <w:rsid w:val="00AB1D41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F5050"/>
    <w:rsid w:val="00AF5EAF"/>
    <w:rsid w:val="00AF6145"/>
    <w:rsid w:val="00B01386"/>
    <w:rsid w:val="00B01648"/>
    <w:rsid w:val="00B016E5"/>
    <w:rsid w:val="00B01915"/>
    <w:rsid w:val="00B01BB5"/>
    <w:rsid w:val="00B026CC"/>
    <w:rsid w:val="00B03076"/>
    <w:rsid w:val="00B04115"/>
    <w:rsid w:val="00B04AF4"/>
    <w:rsid w:val="00B05214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59F9"/>
    <w:rsid w:val="00B35A7C"/>
    <w:rsid w:val="00B448C6"/>
    <w:rsid w:val="00B44ECD"/>
    <w:rsid w:val="00B450D1"/>
    <w:rsid w:val="00B50006"/>
    <w:rsid w:val="00B51C1D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10A0F"/>
    <w:rsid w:val="00C15193"/>
    <w:rsid w:val="00C15609"/>
    <w:rsid w:val="00C15A94"/>
    <w:rsid w:val="00C15F6A"/>
    <w:rsid w:val="00C17367"/>
    <w:rsid w:val="00C23EA7"/>
    <w:rsid w:val="00C256F3"/>
    <w:rsid w:val="00C270A2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54C2"/>
    <w:rsid w:val="00C45A9C"/>
    <w:rsid w:val="00C46780"/>
    <w:rsid w:val="00C469C1"/>
    <w:rsid w:val="00C50659"/>
    <w:rsid w:val="00C51B39"/>
    <w:rsid w:val="00C5338A"/>
    <w:rsid w:val="00C54C3B"/>
    <w:rsid w:val="00C54EF9"/>
    <w:rsid w:val="00C56BBF"/>
    <w:rsid w:val="00C572AA"/>
    <w:rsid w:val="00C57A9A"/>
    <w:rsid w:val="00C6016A"/>
    <w:rsid w:val="00C60B3F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3AA"/>
    <w:rsid w:val="00C775BE"/>
    <w:rsid w:val="00C77DC0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4262"/>
    <w:rsid w:val="00C94682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33CA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531A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C85"/>
    <w:rsid w:val="00D2216D"/>
    <w:rsid w:val="00D24FF8"/>
    <w:rsid w:val="00D31A6F"/>
    <w:rsid w:val="00D353D1"/>
    <w:rsid w:val="00D364DC"/>
    <w:rsid w:val="00D367DB"/>
    <w:rsid w:val="00D36E05"/>
    <w:rsid w:val="00D370A7"/>
    <w:rsid w:val="00D4020F"/>
    <w:rsid w:val="00D412D4"/>
    <w:rsid w:val="00D4245F"/>
    <w:rsid w:val="00D43FD3"/>
    <w:rsid w:val="00D4420D"/>
    <w:rsid w:val="00D44BB2"/>
    <w:rsid w:val="00D44F27"/>
    <w:rsid w:val="00D45304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44A0"/>
    <w:rsid w:val="00D646AC"/>
    <w:rsid w:val="00D703BD"/>
    <w:rsid w:val="00D76249"/>
    <w:rsid w:val="00D76618"/>
    <w:rsid w:val="00D80F1D"/>
    <w:rsid w:val="00D84234"/>
    <w:rsid w:val="00D84436"/>
    <w:rsid w:val="00D87367"/>
    <w:rsid w:val="00D962C8"/>
    <w:rsid w:val="00D966DE"/>
    <w:rsid w:val="00D96E33"/>
    <w:rsid w:val="00DA3985"/>
    <w:rsid w:val="00DA54E5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468F"/>
    <w:rsid w:val="00E04F5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323D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563E"/>
    <w:rsid w:val="00E75DC9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7FC7"/>
    <w:rsid w:val="00EA0690"/>
    <w:rsid w:val="00EA391D"/>
    <w:rsid w:val="00EA3956"/>
    <w:rsid w:val="00EA44EA"/>
    <w:rsid w:val="00EA49CE"/>
    <w:rsid w:val="00EA4C7B"/>
    <w:rsid w:val="00EA5BBC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35B6"/>
    <w:rsid w:val="00EE393D"/>
    <w:rsid w:val="00EF01CF"/>
    <w:rsid w:val="00EF1020"/>
    <w:rsid w:val="00EF2D99"/>
    <w:rsid w:val="00EF6A47"/>
    <w:rsid w:val="00EF7AF9"/>
    <w:rsid w:val="00F000FF"/>
    <w:rsid w:val="00F00952"/>
    <w:rsid w:val="00F01495"/>
    <w:rsid w:val="00F056E0"/>
    <w:rsid w:val="00F07913"/>
    <w:rsid w:val="00F07B9A"/>
    <w:rsid w:val="00F10138"/>
    <w:rsid w:val="00F111AB"/>
    <w:rsid w:val="00F13F92"/>
    <w:rsid w:val="00F22ECA"/>
    <w:rsid w:val="00F23FB1"/>
    <w:rsid w:val="00F240E8"/>
    <w:rsid w:val="00F244FA"/>
    <w:rsid w:val="00F25C5F"/>
    <w:rsid w:val="00F271B1"/>
    <w:rsid w:val="00F31079"/>
    <w:rsid w:val="00F32C93"/>
    <w:rsid w:val="00F366A2"/>
    <w:rsid w:val="00F403D4"/>
    <w:rsid w:val="00F44F43"/>
    <w:rsid w:val="00F450E1"/>
    <w:rsid w:val="00F45D26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69CA"/>
    <w:rsid w:val="00F86AD4"/>
    <w:rsid w:val="00F93032"/>
    <w:rsid w:val="00F95E96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D02E8"/>
    <w:rsid w:val="00FD2049"/>
    <w:rsid w:val="00FD2140"/>
    <w:rsid w:val="00FD2421"/>
    <w:rsid w:val="00FD5B5F"/>
    <w:rsid w:val="00FD5BDE"/>
    <w:rsid w:val="00FD68EC"/>
    <w:rsid w:val="00FE206E"/>
    <w:rsid w:val="00FE24A5"/>
    <w:rsid w:val="00FE261E"/>
    <w:rsid w:val="00FE31E5"/>
    <w:rsid w:val="00FE3F42"/>
    <w:rsid w:val="00FE6049"/>
    <w:rsid w:val="00FE7206"/>
    <w:rsid w:val="00FF0744"/>
    <w:rsid w:val="00FF19AD"/>
    <w:rsid w:val="00FF1EB5"/>
    <w:rsid w:val="00FF2038"/>
    <w:rsid w:val="00FF292D"/>
    <w:rsid w:val="00FF298D"/>
    <w:rsid w:val="00FF4B55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16</cp:revision>
  <cp:lastPrinted>2024-10-03T08:50:00Z</cp:lastPrinted>
  <dcterms:created xsi:type="dcterms:W3CDTF">2024-12-03T11:05:00Z</dcterms:created>
  <dcterms:modified xsi:type="dcterms:W3CDTF">2024-12-05T08:34:00Z</dcterms:modified>
</cp:coreProperties>
</file>