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1EEC5A53" w:rsidR="006022B5" w:rsidRDefault="00601131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F65AEB">
        <w:rPr>
          <w:rFonts w:ascii="Verdana" w:hAnsi="Verdana" w:cs="Arial"/>
          <w:sz w:val="18"/>
          <w:szCs w:val="18"/>
          <w:lang w:val="el-GR"/>
        </w:rPr>
        <w:t>4</w:t>
      </w:r>
      <w:r w:rsidR="00290AEC" w:rsidRPr="003B5FBA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Δεκεμβρίου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BF1E44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23BAF8EA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54F1168B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Pr="006022B5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527EAE">
        <w:rPr>
          <w:rFonts w:ascii="Verdana" w:eastAsia="Malgun Gothic" w:hAnsi="Verdana" w:cs="Arial"/>
          <w:b/>
          <w:u w:val="single"/>
          <w:lang w:val="el-GR"/>
        </w:rPr>
        <w:t>ΝΟΕΜΒΡΙΟΣ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Pr="006022B5">
        <w:rPr>
          <w:rFonts w:ascii="Verdana" w:eastAsia="Malgun Gothic" w:hAnsi="Verdana" w:cs="Arial"/>
          <w:b/>
          <w:u w:val="single"/>
          <w:lang w:val="x-none"/>
        </w:rPr>
        <w:t>202</w:t>
      </w:r>
      <w:r w:rsidR="0039267A">
        <w:rPr>
          <w:rFonts w:ascii="Verdana" w:eastAsia="Malgun Gothic" w:hAnsi="Verdana" w:cs="Arial"/>
          <w:b/>
          <w:u w:val="single"/>
          <w:lang w:val="x-none"/>
        </w:rPr>
        <w:t>5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0CF59AE4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-</w:t>
      </w:r>
      <w:r w:rsidR="0020780D">
        <w:rPr>
          <w:rFonts w:ascii="Verdana" w:eastAsia="Malgun Gothic" w:hAnsi="Verdana" w:cs="Arial"/>
          <w:b/>
          <w:lang w:val="el-GR"/>
        </w:rPr>
        <w:t>0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601131" w:rsidRPr="00527EAE">
        <w:rPr>
          <w:rFonts w:ascii="Verdana" w:eastAsia="Malgun Gothic" w:hAnsi="Verdana" w:cs="Arial"/>
          <w:b/>
          <w:lang w:val="el-GR"/>
        </w:rPr>
        <w:t>5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0A543CA2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39267A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F18DE" w:rsidRPr="00604B95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68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ονάδες και έφτασε στις 11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57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11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25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Οκτώβριο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B06FC6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. Ο πληθωρισμός </w:t>
      </w:r>
      <w:r w:rsidR="00176D1B"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Νοέμβριο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55A9F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F4D3B" w:rsidRPr="00604B95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 ρυθμό </w:t>
      </w:r>
      <w:r w:rsidR="0020780D" w:rsidRPr="00604B9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452DF7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%. (Πίνακας 1)</w:t>
      </w:r>
    </w:p>
    <w:p w14:paraId="531B97C2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714BE05B" w:rsidR="00A63680" w:rsidRPr="00FF18DE" w:rsidRDefault="00527EAE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55B32CD7" wp14:editId="42CDEEB8">
            <wp:extent cx="6090285" cy="4188460"/>
            <wp:effectExtent l="0" t="0" r="5715" b="2540"/>
            <wp:docPr id="5587052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5F2C47F3" w:rsidR="00394E48" w:rsidRPr="00604B95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085368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του 2024 σημειώθηκ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στις </w:t>
      </w:r>
      <w:r w:rsidR="00765BDC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7B4D6C" w:rsidRPr="007B4D6C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%) ενώ οι μεγαλύτερες αρνητικές μεταβολές παρατηρήθηκαν στ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CD4538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2D07FD" w:rsidRPr="002D07F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07FD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στα </w:t>
      </w:r>
      <w:r w:rsidR="00604B95" w:rsidRPr="00604B95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604B95" w:rsidRPr="00604B95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604B95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2025 η μεγαλύτερη μεταβολή καταγράφηκε στ</w:t>
      </w:r>
      <w:r w:rsidR="00025B1F">
        <w:rPr>
          <w:rFonts w:ascii="Verdana" w:eastAsia="Malgun Gothic" w:hAnsi="Verdana" w:cs="Arial"/>
          <w:sz w:val="18"/>
          <w:szCs w:val="18"/>
          <w:lang w:val="el-GR"/>
        </w:rPr>
        <w:t xml:space="preserve">ον </w:t>
      </w:r>
      <w:r w:rsidR="00624332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Γεωργικά Προϊόντα </w:t>
      </w:r>
      <w:r w:rsidR="005D6F71" w:rsidRPr="00604B95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24332">
        <w:rPr>
          <w:rFonts w:ascii="Verdana" w:eastAsia="Malgun Gothic" w:hAnsi="Verdana" w:cs="Arial"/>
          <w:sz w:val="18"/>
          <w:szCs w:val="18"/>
          <w:lang w:val="el-GR"/>
        </w:rPr>
        <w:t>-7,6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604B95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765BDC" w:rsidRPr="00604B95">
        <w:rPr>
          <w:rFonts w:ascii="Verdana" w:eastAsia="Malgun Gothic" w:hAnsi="Verdana" w:cs="Arial"/>
          <w:sz w:val="18"/>
          <w:szCs w:val="18"/>
          <w:lang w:val="el-GR"/>
        </w:rPr>
        <w:t>.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4934141" w14:textId="77777777" w:rsidR="00C81A07" w:rsidRDefault="00C81A0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A1673BB" w14:textId="5A629A68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CB30A22" w14:textId="404F346E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7B98AA4B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C9E779" w14:textId="790EF24D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 xml:space="preserve">Νοέμβριο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1547F3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9E3347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8E4DF7">
        <w:rPr>
          <w:rFonts w:ascii="Verdana" w:eastAsia="Malgun Gothic" w:hAnsi="Verdana" w:cs="Arial"/>
          <w:iCs/>
          <w:sz w:val="18"/>
          <w:szCs w:val="18"/>
          <w:lang w:val="el-GR"/>
        </w:rPr>
        <w:t>,0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Εκπαίδευση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9E3347">
        <w:rPr>
          <w:rFonts w:ascii="Verdana" w:eastAsia="Malgun Gothic" w:hAnsi="Verdana" w:cs="Arial"/>
          <w:iCs/>
          <w:sz w:val="18"/>
          <w:szCs w:val="18"/>
          <w:lang w:val="el-GR"/>
        </w:rPr>
        <w:t>3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E200C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</w:t>
      </w:r>
      <w:r w:rsidR="00EE572B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μη Αλκοολούχα Ποτ</w:t>
      </w:r>
      <w:r w:rsidR="000719D5">
        <w:rPr>
          <w:rFonts w:ascii="Verdana" w:eastAsia="Malgun Gothic" w:hAnsi="Verdana" w:cs="Arial"/>
          <w:i/>
          <w:iCs/>
          <w:sz w:val="18"/>
          <w:szCs w:val="18"/>
          <w:lang w:val="el-GR"/>
        </w:rPr>
        <w:t>ά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,1</w:t>
      </w:r>
      <w:r w:rsidR="006F5D82" w:rsidRPr="00C41D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25B80AD0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A15339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9E3347">
        <w:rPr>
          <w:rFonts w:ascii="Verdana" w:eastAsia="Malgun Gothic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(-3,2%) και </w:t>
      </w:r>
      <w:r w:rsidR="00604B95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C46E2F" w:rsidRPr="00C46E2F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46E2F" w:rsidRPr="00C46E2F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22DB350F" w14:textId="77777777" w:rsidR="00A15339" w:rsidRPr="001559CE" w:rsidRDefault="00A15339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sz w:val="18"/>
          <w:szCs w:val="18"/>
          <w:lang w:val="el-GR"/>
        </w:rPr>
      </w:pPr>
    </w:p>
    <w:p w14:paraId="4E0D3452" w14:textId="4569D399" w:rsidR="00A15339" w:rsidRPr="001559CE" w:rsidRDefault="00A15339" w:rsidP="00A1533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– </w:t>
      </w:r>
      <w:r w:rsidR="00085CBD">
        <w:rPr>
          <w:rFonts w:ascii="Verdana" w:eastAsia="Malgun Gothic" w:hAnsi="Verdana" w:cs="Arial"/>
          <w:sz w:val="18"/>
          <w:szCs w:val="18"/>
          <w:lang w:val="el-GR"/>
        </w:rPr>
        <w:t>Νοεμβρίου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2025, σε σύγκριση με την αντίστοιχη περσινή περίοδο, οι μεγαλύτερες μεταβολές παρουσιάστηκαν στις κατηγορίες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879C6" w:rsidRPr="001559CE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00EF0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176D1B">
        <w:rPr>
          <w:rFonts w:ascii="Verdana" w:eastAsia="Malgun Gothic" w:hAnsi="Verdana" w:cs="Arial"/>
          <w:sz w:val="18"/>
          <w:szCs w:val="18"/>
          <w:lang w:val="el-GR"/>
        </w:rPr>
        <w:t>4,7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,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604B95" w:rsidRPr="001559C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 και Πολιτισμός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(3,</w:t>
      </w:r>
      <w:r w:rsidR="00400EF0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336F31" w:rsidRPr="001559C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561778" w14:textId="1516CE52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47CF4B42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E7718B9" w14:textId="631EEC47" w:rsidR="00453E42" w:rsidRPr="001559CE" w:rsidRDefault="006022B5" w:rsidP="0099796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</w:t>
      </w:r>
      <w:r w:rsidR="008E6E5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επίδραση στη μεταβολή του ΔΤΚ του</w:t>
      </w:r>
      <w:r w:rsidR="00833D0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85CBD">
        <w:rPr>
          <w:rFonts w:ascii="Verdana" w:eastAsia="Malgun Gothic" w:hAnsi="Verdana" w:cs="Arial"/>
          <w:sz w:val="18"/>
          <w:szCs w:val="18"/>
          <w:lang w:val="el-GR"/>
        </w:rPr>
        <w:t>Νοεμβρίου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82524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9154BF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085CBD">
        <w:rPr>
          <w:rFonts w:ascii="Verdana" w:hAnsi="Verdana" w:cs="Arial"/>
          <w:sz w:val="18"/>
          <w:szCs w:val="18"/>
          <w:lang w:val="el-GR"/>
        </w:rPr>
        <w:t>Νοέμβριο</w:t>
      </w:r>
      <w:r w:rsidR="0009301B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C73188" w:rsidRPr="001559CE">
        <w:rPr>
          <w:lang w:val="el-GR"/>
        </w:rPr>
        <w:t xml:space="preserve"> </w:t>
      </w:r>
      <w:r w:rsidR="00336F31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F8372F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54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Εκπαίδευση</w:t>
      </w:r>
      <w:r w:rsidR="009744B9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682E7E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9354B8" w:rsidRP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Αναψυχή και Πολιτισμός</w:t>
      </w:r>
      <w:r w:rsid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(0,14)</w:t>
      </w:r>
      <w:r w:rsidR="00C41D95" w:rsidRPr="00C41D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B041C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>νώ τ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η μεγαλύτερη αρνητική επίδραση στη μεταβολή του ΔΤΚ του</w:t>
      </w:r>
      <w:r w:rsidR="00360B5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Νοεμβρίου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453E42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9354B8">
        <w:rPr>
          <w:rFonts w:ascii="Verdana" w:hAnsi="Verdana" w:cs="Arial"/>
          <w:sz w:val="18"/>
          <w:szCs w:val="18"/>
          <w:lang w:val="el-GR"/>
        </w:rPr>
        <w:t>Νοέμβριο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DC7611" w:rsidRPr="001559C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74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566B6B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 xml:space="preserve"> (-0,5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. (Πίνακας 3)</w:t>
      </w:r>
    </w:p>
    <w:p w14:paraId="328F7BC1" w14:textId="77777777" w:rsidR="006022B5" w:rsidRPr="00290AEC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2F248189" w14:textId="5367EC58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Νοέμβριο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2025 σε σχέση με το</w:t>
      </w:r>
      <w:r w:rsidR="00BB2FB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6E7A4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 </w:t>
      </w:r>
      <w:r w:rsidR="00C46E2F">
        <w:rPr>
          <w:rFonts w:ascii="Verdana" w:eastAsia="Malgun Gothic" w:hAnsi="Verdana" w:cs="Arial"/>
          <w:sz w:val="18"/>
          <w:szCs w:val="18"/>
          <w:lang w:val="el-GR"/>
        </w:rPr>
        <w:t>είχε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46E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C46E2F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C368A9" w:rsidRPr="00C368A9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C368A9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</w:t>
      </w:r>
      <w:r w:rsidR="00C368A9">
        <w:rPr>
          <w:rFonts w:ascii="Verdana" w:eastAsia="Times New Roman" w:hAnsi="Verdana" w:cs="Arial"/>
          <w:sz w:val="18"/>
          <w:szCs w:val="18"/>
          <w:lang w:val="el-GR"/>
        </w:rPr>
        <w:t>(-0,77)</w:t>
      </w:r>
      <w:r w:rsidRPr="00905A8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3)</w:t>
      </w:r>
    </w:p>
    <w:p w14:paraId="268A34B8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1F15496B" w14:textId="03A960B6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C368A9">
        <w:rPr>
          <w:rFonts w:ascii="Verdana" w:hAnsi="Verdana" w:cs="Arial"/>
          <w:sz w:val="18"/>
          <w:szCs w:val="18"/>
          <w:lang w:val="el-GR"/>
        </w:rPr>
        <w:t>Νοεμβρίου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2025 σε σύγκριση με το δείκτη του </w:t>
      </w:r>
      <w:r w:rsidR="00C368A9">
        <w:rPr>
          <w:rFonts w:ascii="Verdana" w:eastAsia="Malgun Gothic" w:hAnsi="Verdana" w:cs="Arial"/>
          <w:sz w:val="18"/>
          <w:szCs w:val="18"/>
          <w:lang w:val="el-GR"/>
        </w:rPr>
        <w:t>Νοεμβρίου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2024 είχ</w:t>
      </w:r>
      <w:r w:rsidR="00C42DB4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Τροφοδοσίας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552E95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C368A9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2C5E02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C5E02">
        <w:rPr>
          <w:rFonts w:ascii="Verdana" w:eastAsia="Malgun Gothic" w:hAnsi="Verdana" w:cs="Arial"/>
          <w:sz w:val="18"/>
          <w:szCs w:val="18"/>
          <w:lang w:val="el-GR"/>
        </w:rPr>
        <w:t xml:space="preserve">τα </w:t>
      </w:r>
      <w:r w:rsidR="002C5E02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Είδη </w:t>
      </w:r>
      <w:r w:rsidR="00905A8C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Ένδυσης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41D95" w:rsidRPr="00C41D95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>-0,4</w:t>
      </w:r>
      <w:r w:rsidR="00C368A9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 xml:space="preserve">) και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559C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Ηλεκτρισμός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967E1D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C368A9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0EAE47CB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4F04F9E2" w14:textId="6387D738" w:rsidR="00765BDC" w:rsidRPr="00D44C0E" w:rsidRDefault="00C368A9" w:rsidP="00C368A9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i/>
          <w:iCs/>
          <w:sz w:val="18"/>
          <w:szCs w:val="18"/>
          <w:lang w:val="el-GR"/>
        </w:rPr>
        <w:t>Πατάτες</w:t>
      </w:r>
      <w:r w:rsidR="00C42DB4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CD5174">
        <w:rPr>
          <w:rFonts w:ascii="Verdana" w:eastAsia="Malgun Gothic" w:hAnsi="Verdana" w:cs="Arial"/>
          <w:sz w:val="18"/>
          <w:szCs w:val="18"/>
          <w:lang w:val="el-GR"/>
        </w:rPr>
        <w:t>1</w:t>
      </w:r>
      <w:r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 είχ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θετική επίδραση στη μεταβολή του ΔΤΚ του </w:t>
      </w:r>
      <w:r>
        <w:rPr>
          <w:rFonts w:ascii="Verdana" w:eastAsia="Malgun Gothic" w:hAnsi="Verdana" w:cs="Arial"/>
          <w:sz w:val="18"/>
          <w:szCs w:val="18"/>
          <w:lang w:val="el-GR"/>
        </w:rPr>
        <w:t>Νοεμβρίου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D44C0E">
        <w:rPr>
          <w:rFonts w:ascii="Verdana" w:hAnsi="Verdana" w:cs="Arial"/>
          <w:sz w:val="18"/>
          <w:szCs w:val="18"/>
          <w:lang w:val="el-GR"/>
        </w:rPr>
        <w:t>2025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>
        <w:rPr>
          <w:rFonts w:ascii="Verdana" w:eastAsia="Malgun Gothic" w:hAnsi="Verdana" w:cs="Arial"/>
          <w:sz w:val="18"/>
          <w:szCs w:val="18"/>
          <w:lang w:val="el-GR"/>
        </w:rPr>
        <w:t>Οκτωβρίου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2025, ενώ τη μεγαλύτερη αρνητική επίδραση είχ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>αν τα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D517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Φρέσκα </w:t>
      </w:r>
      <w:r>
        <w:rPr>
          <w:rFonts w:ascii="Verdana" w:eastAsia="Malgun Gothic" w:hAnsi="Verdana" w:cs="Arial"/>
          <w:i/>
          <w:iCs/>
          <w:sz w:val="18"/>
          <w:szCs w:val="18"/>
          <w:lang w:val="el-GR"/>
        </w:rPr>
        <w:t>Λαχανικά</w:t>
      </w:r>
      <w:r w:rsidR="002B070B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(-0,</w:t>
      </w:r>
      <w:r>
        <w:rPr>
          <w:rFonts w:ascii="Verdana" w:eastAsia="Malgun Gothic" w:hAnsi="Verdana" w:cs="Arial"/>
          <w:sz w:val="18"/>
          <w:szCs w:val="18"/>
          <w:lang w:val="el-GR"/>
        </w:rPr>
        <w:t>79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5DCF6FD4" w14:textId="77777777" w:rsidR="009744B9" w:rsidRPr="00E910C7" w:rsidRDefault="009744B9" w:rsidP="008516B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EF125E5" w14:textId="77777777" w:rsidR="009A2DF0" w:rsidRPr="00A81068" w:rsidRDefault="009A2DF0" w:rsidP="008516BF">
      <w:pPr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tbl>
      <w:tblPr>
        <w:tblW w:w="5305" w:type="pct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1553"/>
        <w:gridCol w:w="1412"/>
        <w:gridCol w:w="280"/>
        <w:gridCol w:w="1418"/>
        <w:gridCol w:w="1277"/>
        <w:gridCol w:w="1833"/>
      </w:tblGrid>
      <w:tr w:rsidR="00E87AFA" w:rsidRPr="00E87AFA" w14:paraId="1D00F069" w14:textId="27C1EA9C" w:rsidTr="00E87AFA">
        <w:trPr>
          <w:trHeight w:val="233"/>
          <w:jc w:val="center"/>
        </w:trPr>
        <w:tc>
          <w:tcPr>
            <w:tcW w:w="2400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D23532" w:rsidRPr="00E87AFA" w:rsidRDefault="00D23532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2965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D23532" w:rsidRPr="00E87AFA" w:rsidRDefault="00D23532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D23532" w:rsidRPr="00E87AFA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28" w:type="dxa"/>
            <w:gridSpan w:val="3"/>
            <w:tcBorders>
              <w:bottom w:val="single" w:sz="4" w:space="0" w:color="366092"/>
            </w:tcBorders>
          </w:tcPr>
          <w:p w14:paraId="55521A0B" w14:textId="77777777" w:rsidR="00D23532" w:rsidRPr="00E87AFA" w:rsidRDefault="00D23532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E87AFA" w:rsidRPr="00E87AFA" w14:paraId="79540F65" w14:textId="49BDFAC0" w:rsidTr="00E87AFA">
        <w:trPr>
          <w:trHeight w:val="233"/>
          <w:jc w:val="center"/>
        </w:trPr>
        <w:tc>
          <w:tcPr>
            <w:tcW w:w="2400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3337C1" w:rsidRPr="00E87AFA" w:rsidRDefault="003337C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2965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77777777" w:rsidR="003337C1" w:rsidRPr="00E87AFA" w:rsidRDefault="003337C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(2015=100)</w:t>
            </w:r>
          </w:p>
        </w:tc>
        <w:tc>
          <w:tcPr>
            <w:tcW w:w="280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3337C1" w:rsidRPr="00E87AFA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528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8498107" w14:textId="28348BF3" w:rsidR="003337C1" w:rsidRPr="00E87AFA" w:rsidRDefault="003337C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E87AFA" w:rsidRPr="00E87AFA" w14:paraId="4BD227C0" w14:textId="56E7A4E3" w:rsidTr="009C4A01">
        <w:trPr>
          <w:trHeight w:val="520"/>
          <w:jc w:val="center"/>
        </w:trPr>
        <w:tc>
          <w:tcPr>
            <w:tcW w:w="2400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872778" w:rsidRPr="00E87AFA" w:rsidRDefault="00872778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2E10D92" w14:textId="77777777" w:rsidR="00527EAE" w:rsidRPr="00E87AFA" w:rsidRDefault="00527EAE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Οκτώβρης</w:t>
            </w:r>
          </w:p>
          <w:p w14:paraId="2CBD1D95" w14:textId="0ED25C94" w:rsidR="00872778" w:rsidRPr="00E87AFA" w:rsidRDefault="00527EAE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412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2B770349" w:rsidR="00872778" w:rsidRPr="00E87AFA" w:rsidRDefault="00527EAE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Νοέμβρης</w:t>
            </w:r>
          </w:p>
          <w:p w14:paraId="11415D22" w14:textId="0C666C01" w:rsidR="00872778" w:rsidRPr="00E87AFA" w:rsidRDefault="00872778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872778" w:rsidRPr="00E87AFA" w:rsidRDefault="00872778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0DD896E6" w:rsidR="00872778" w:rsidRPr="00E87AFA" w:rsidRDefault="00527EAE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872778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 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872778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27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301634A8" w:rsidR="00872778" w:rsidRPr="00E87AFA" w:rsidRDefault="00527EAE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872778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872778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872778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83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348F3C6" w14:textId="6DA4F267" w:rsidR="00872778" w:rsidRPr="00E87AFA" w:rsidRDefault="00872778" w:rsidP="00872778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527EAE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</w:t>
            </w:r>
          </w:p>
          <w:p w14:paraId="0FAD6CEA" w14:textId="5B8C72D1" w:rsidR="00872778" w:rsidRPr="00E87AFA" w:rsidRDefault="00872778" w:rsidP="00872778">
            <w:pPr>
              <w:ind w:hanging="31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527EAE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E87AFA" w:rsidRPr="00E87AFA" w14:paraId="43FBF73D" w14:textId="0B37F553" w:rsidTr="009C4A01">
        <w:trPr>
          <w:trHeight w:val="441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7562DAAB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125,12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0C9BCBC0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121,10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0161F9D7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-3,09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5873D627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-3,21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CB19FC" w14:textId="5ADFAB28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-0,17</w:t>
            </w:r>
          </w:p>
        </w:tc>
      </w:tr>
      <w:tr w:rsidR="00E87AFA" w:rsidRPr="00E87AFA" w14:paraId="40FB4937" w14:textId="16B0D887" w:rsidTr="009C4A01">
        <w:trPr>
          <w:trHeight w:val="441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7CB8EB31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104,03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4C8F4CCE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104,32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12F182C8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0,52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7ADE6A92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0,28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96F6FD0" w14:textId="65FCDF6D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0,90</w:t>
            </w:r>
          </w:p>
        </w:tc>
      </w:tr>
      <w:tr w:rsidR="00E87AFA" w:rsidRPr="00E87AFA" w14:paraId="30CC1D12" w14:textId="63213DF3" w:rsidTr="009C4A01">
        <w:trPr>
          <w:trHeight w:val="323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3F27A7FD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98,03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706992A4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98,94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2920A3B8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-7,61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757F88A7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0,93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D5286BF" w14:textId="7CCE19CB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-6,35</w:t>
            </w:r>
          </w:p>
        </w:tc>
      </w:tr>
      <w:tr w:rsidR="00E87AFA" w:rsidRPr="00E87AFA" w14:paraId="64A249B5" w14:textId="3207FD58" w:rsidTr="009C4A01">
        <w:trPr>
          <w:trHeight w:val="588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7A94F1F2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144,16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388762F4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144,37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45B6D162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-1,17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2B859EAB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0,15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78ED608" w14:textId="5EF071B9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-0,56</w:t>
            </w:r>
          </w:p>
        </w:tc>
      </w:tr>
      <w:bookmarkEnd w:id="0"/>
      <w:tr w:rsidR="00E87AFA" w:rsidRPr="00E87AFA" w14:paraId="3A7635E9" w14:textId="3DB5F288" w:rsidTr="009C4A01">
        <w:trPr>
          <w:trHeight w:val="661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Επίπλωση, Οικιακός Εξοπλισμός και 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Προΐόντα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Καθαρισμού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4E7D4E33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104,63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71D3EF2F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104,32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13BB5175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-0,84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289BE4B2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-0,30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8262E8A" w14:textId="69201ACE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-0,74</w:t>
            </w:r>
          </w:p>
        </w:tc>
      </w:tr>
      <w:tr w:rsidR="00E87AFA" w:rsidRPr="00E87AFA" w14:paraId="3359A3C0" w14:textId="3BD42386" w:rsidTr="009C4A01">
        <w:trPr>
          <w:trHeight w:val="324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50C3111F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108,23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1D5FA242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108,23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5A52886D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1,19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1BCC6B04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6398C8" w14:textId="7E10C101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1,58</w:t>
            </w:r>
          </w:p>
        </w:tc>
      </w:tr>
      <w:tr w:rsidR="00E87AFA" w:rsidRPr="00E87AFA" w14:paraId="299E5490" w14:textId="0BE906FA" w:rsidTr="009C4A01">
        <w:trPr>
          <w:trHeight w:val="323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273CF920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113,40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3CDB5048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113,30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58CC9D55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-0,68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2B9B83C4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-0,09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5BD61E4" w14:textId="06F13014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-1,43</w:t>
            </w:r>
          </w:p>
        </w:tc>
      </w:tr>
      <w:tr w:rsidR="00E87AFA" w:rsidRPr="00E87AFA" w14:paraId="79C16F2A" w14:textId="4D611CBA" w:rsidTr="009C4A01">
        <w:trPr>
          <w:trHeight w:val="324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2541E0DE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92,14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17EC86A3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92,09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5F7C8623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0,59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07280B83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-0,05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197EE8E" w14:textId="280CCA0E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0,29</w:t>
            </w:r>
          </w:p>
        </w:tc>
      </w:tr>
      <w:tr w:rsidR="00E87AFA" w:rsidRPr="00E87AFA" w14:paraId="5C3CEC2A" w14:textId="5CA76F0A" w:rsidTr="009C4A01">
        <w:trPr>
          <w:trHeight w:val="323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αψυχή και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51B8E945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118,98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3C3ECD3E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119,02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57AA5B87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2,08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5F129BA6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0,03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BA7FB" w14:textId="1CBD7074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3,18</w:t>
            </w:r>
          </w:p>
        </w:tc>
      </w:tr>
      <w:tr w:rsidR="00E87AFA" w:rsidRPr="00E87AFA" w14:paraId="23CBF3D1" w14:textId="3D47F764" w:rsidTr="009C4A01">
        <w:trPr>
          <w:trHeight w:val="323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68EFF6F3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120,22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6CDB9F2F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120,01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2547F469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3,30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1E3F24CE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-0,17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CEA7B71" w14:textId="2E7D51AC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3,66</w:t>
            </w:r>
          </w:p>
        </w:tc>
      </w:tr>
      <w:tr w:rsidR="00E87AFA" w:rsidRPr="00E87AFA" w14:paraId="00E44953" w14:textId="1A8E55CD" w:rsidTr="009C4A01">
        <w:trPr>
          <w:trHeight w:val="441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556D85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Εστι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ατόρια και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Ξ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53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25763EF" w14:textId="68C3A921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135,81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DA1686A" w14:textId="23952E8E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136,22</w:t>
            </w:r>
          </w:p>
        </w:tc>
        <w:tc>
          <w:tcPr>
            <w:tcW w:w="280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3C90FF7" w14:textId="6C41051D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4,98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76312D" w14:textId="3A89B458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0,30</w:t>
            </w:r>
          </w:p>
        </w:tc>
        <w:tc>
          <w:tcPr>
            <w:tcW w:w="183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17E5257" w14:textId="3C051ADD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4,70</w:t>
            </w:r>
          </w:p>
        </w:tc>
      </w:tr>
      <w:tr w:rsidR="00E87AFA" w:rsidRPr="00E87AFA" w14:paraId="0ABA4BC7" w14:textId="4629CEA3" w:rsidTr="009C4A01">
        <w:trPr>
          <w:trHeight w:val="441"/>
          <w:jc w:val="center"/>
        </w:trPr>
        <w:tc>
          <w:tcPr>
            <w:tcW w:w="2400" w:type="dxa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77777777" w:rsidR="00527EAE" w:rsidRPr="00E87AFA" w:rsidRDefault="00527EAE" w:rsidP="00527EAE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Άλλ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γα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θά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553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64CD5CC9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113,11</w:t>
            </w:r>
          </w:p>
        </w:tc>
        <w:tc>
          <w:tcPr>
            <w:tcW w:w="1412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18777769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113,09</w:t>
            </w:r>
          </w:p>
        </w:tc>
        <w:tc>
          <w:tcPr>
            <w:tcW w:w="280" w:type="dxa"/>
            <w:tcBorders>
              <w:top w:val="nil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611B6A98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1,03</w:t>
            </w:r>
          </w:p>
        </w:tc>
        <w:tc>
          <w:tcPr>
            <w:tcW w:w="1277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52DFA5EC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-0,02</w:t>
            </w:r>
          </w:p>
        </w:tc>
        <w:tc>
          <w:tcPr>
            <w:tcW w:w="1833" w:type="dxa"/>
            <w:tcBorders>
              <w:top w:val="nil"/>
              <w:bottom w:val="single" w:sz="4" w:space="0" w:color="366092"/>
            </w:tcBorders>
            <w:shd w:val="clear" w:color="000000" w:fill="FFFFFF"/>
            <w:vAlign w:val="center"/>
          </w:tcPr>
          <w:p w14:paraId="4CE926CB" w14:textId="6E2BD635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1,04</w:t>
            </w:r>
          </w:p>
        </w:tc>
      </w:tr>
      <w:tr w:rsidR="00E87AFA" w:rsidRPr="00E87AFA" w14:paraId="7B6D317E" w14:textId="278222F2" w:rsidTr="009C4A01">
        <w:trPr>
          <w:trHeight w:hRule="exact" w:val="490"/>
          <w:jc w:val="center"/>
        </w:trPr>
        <w:tc>
          <w:tcPr>
            <w:tcW w:w="2400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527EAE" w:rsidRPr="00E87AFA" w:rsidRDefault="00527EAE" w:rsidP="00527EA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155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41D15170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118,25</w:t>
            </w:r>
          </w:p>
        </w:tc>
        <w:tc>
          <w:tcPr>
            <w:tcW w:w="1412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14B52F95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117,57</w:t>
            </w:r>
          </w:p>
        </w:tc>
        <w:tc>
          <w:tcPr>
            <w:tcW w:w="28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527EAE" w:rsidRPr="00E87AFA" w:rsidRDefault="00527EAE" w:rsidP="00527EA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4174D720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-0,54</w:t>
            </w:r>
          </w:p>
        </w:tc>
        <w:tc>
          <w:tcPr>
            <w:tcW w:w="1277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212F7360" w:rsidR="00527EAE" w:rsidRPr="00E87AFA" w:rsidRDefault="00527EAE" w:rsidP="00527EAE">
            <w:pPr>
              <w:ind w:right="31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-0,58</w:t>
            </w:r>
          </w:p>
        </w:tc>
        <w:tc>
          <w:tcPr>
            <w:tcW w:w="183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68378A7" w14:textId="60C7448A" w:rsidR="00527EAE" w:rsidRPr="00E87AFA" w:rsidRDefault="00527EAE" w:rsidP="00527EAE">
            <w:pPr>
              <w:ind w:right="60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0,19</w:t>
            </w:r>
          </w:p>
        </w:tc>
      </w:tr>
    </w:tbl>
    <w:p w14:paraId="54B905E2" w14:textId="77777777" w:rsidR="008125E2" w:rsidRDefault="008125E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2789FEE" w14:textId="77777777" w:rsidR="00E87AFA" w:rsidRDefault="00E87AFA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8DF4C43" w14:textId="77777777" w:rsidR="009C4A01" w:rsidRDefault="009C4A0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085810B" w14:textId="77777777" w:rsidR="009C4A01" w:rsidRDefault="009C4A0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0FDE5DF5" w14:textId="77777777" w:rsidR="009C4A01" w:rsidRPr="009C4A01" w:rsidRDefault="009C4A0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074"/>
        <w:gridCol w:w="1911"/>
        <w:gridCol w:w="2319"/>
        <w:gridCol w:w="2194"/>
      </w:tblGrid>
      <w:tr w:rsidR="00E87AFA" w:rsidRPr="00E87AFA" w14:paraId="1B1E2683" w14:textId="77777777" w:rsidTr="00E051EE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E87AFA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E87AFA" w:rsidRPr="00E87AFA" w14:paraId="67DAE050" w14:textId="77777777" w:rsidTr="00F45D26">
        <w:trPr>
          <w:trHeight w:val="315"/>
          <w:jc w:val="center"/>
        </w:trPr>
        <w:tc>
          <w:tcPr>
            <w:tcW w:w="161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E87AFA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06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E87AFA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76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E87AFA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E87AFA" w:rsidRPr="00E87AFA" w14:paraId="23C7C237" w14:textId="77777777" w:rsidTr="00B359F9">
        <w:trPr>
          <w:trHeight w:val="700"/>
          <w:jc w:val="center"/>
        </w:trPr>
        <w:tc>
          <w:tcPr>
            <w:tcW w:w="161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E87AFA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E87AFA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5D19D185" w:rsidR="00636C15" w:rsidRPr="00E87AFA" w:rsidRDefault="008E4DF7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636C15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636C15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5C62410B" w:rsidR="00636C15" w:rsidRPr="00E87AFA" w:rsidRDefault="008E4DF7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636C15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636C15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636C15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E87AFA" w:rsidRPr="00E87AFA" w14:paraId="6B065B03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A95983" w:rsidRPr="00E87AFA" w:rsidRDefault="00A95983" w:rsidP="00A95983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Προϊόντ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77777777" w:rsidR="00A95983" w:rsidRPr="00E87AFA" w:rsidRDefault="00A95983" w:rsidP="00A95983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749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0AD81F3E" w14:textId="7963D066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-6,20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5818BF9A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-7,61</w:t>
            </w:r>
          </w:p>
        </w:tc>
      </w:tr>
      <w:tr w:rsidR="00E87AFA" w:rsidRPr="00E87AFA" w14:paraId="6A6F5649" w14:textId="77777777" w:rsidTr="00941C0E">
        <w:trPr>
          <w:trHeight w:val="567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A95983" w:rsidRPr="00E87AFA" w:rsidRDefault="00A95983" w:rsidP="00A95983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Βιομηχ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A95983" w:rsidRPr="00E87AFA" w:rsidRDefault="00A95983" w:rsidP="00A95983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εκτός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αιοειδών)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77777777" w:rsidR="00A95983" w:rsidRPr="00E87AFA" w:rsidRDefault="00A95983" w:rsidP="00A95983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4021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8C258B" w14:textId="3D726538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-1,80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25EEE06E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0,14</w:t>
            </w:r>
          </w:p>
        </w:tc>
      </w:tr>
      <w:tr w:rsidR="00E87AFA" w:rsidRPr="00E87AFA" w14:paraId="3370FFAD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77777777" w:rsidR="00A95983" w:rsidRPr="00E87AFA" w:rsidRDefault="00A95983" w:rsidP="00A95983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1" w:name="_Hlk149742109"/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77777777" w:rsidR="00A95983" w:rsidRPr="00E87AFA" w:rsidRDefault="00A95983" w:rsidP="00A95983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316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5CFD39D9" w14:textId="127C355D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-7,88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2C573096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-0,21</w:t>
            </w:r>
          </w:p>
        </w:tc>
      </w:tr>
      <w:tr w:rsidR="00E87AFA" w:rsidRPr="00E87AFA" w14:paraId="55D46229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A95983" w:rsidRPr="00E87AFA" w:rsidRDefault="00A95983" w:rsidP="00A95983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77777777" w:rsidR="00A95983" w:rsidRPr="00E87AFA" w:rsidRDefault="00A95983" w:rsidP="00A95983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871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49086C" w14:textId="33A22A2F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-2,45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7AB6FD4B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-0,39</w:t>
            </w:r>
          </w:p>
        </w:tc>
      </w:tr>
      <w:tr w:rsidR="00E87AFA" w:rsidRPr="00E87AFA" w14:paraId="00D702E5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4FC6B0A3" w14:textId="77777777" w:rsidR="00A95983" w:rsidRPr="00E87AFA" w:rsidRDefault="00A95983" w:rsidP="00A95983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Νερό</w:t>
            </w:r>
            <w:proofErr w:type="spellEnd"/>
          </w:p>
        </w:tc>
        <w:tc>
          <w:tcPr>
            <w:tcW w:w="1006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14732CB7" w14:textId="77777777" w:rsidR="00A95983" w:rsidRPr="00E87AFA" w:rsidRDefault="00A95983" w:rsidP="00A95983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2187379B" w14:textId="41BA9829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B6D07F4" w14:textId="0AA76303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E87AFA" w:rsidRPr="00E87AFA" w14:paraId="1CD39D67" w14:textId="77777777" w:rsidTr="00941C0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A95983" w:rsidRPr="00E87AFA" w:rsidRDefault="00A95983" w:rsidP="00A95983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0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7777777" w:rsidR="00A95983" w:rsidRPr="00E87AFA" w:rsidRDefault="00A95983" w:rsidP="00A95983">
            <w:pPr>
              <w:ind w:right="113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/>
                <w:color w:val="366092"/>
                <w:sz w:val="18"/>
                <w:szCs w:val="18"/>
              </w:rPr>
              <w:t>3971</w:t>
            </w:r>
          </w:p>
        </w:tc>
        <w:tc>
          <w:tcPr>
            <w:tcW w:w="1221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3289A468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3,14</w:t>
            </w:r>
          </w:p>
        </w:tc>
        <w:tc>
          <w:tcPr>
            <w:tcW w:w="1155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549D21FE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color w:val="366092"/>
                <w:sz w:val="18"/>
                <w:szCs w:val="18"/>
              </w:rPr>
              <w:t>0,18</w:t>
            </w:r>
          </w:p>
        </w:tc>
      </w:tr>
      <w:tr w:rsidR="00E87AFA" w:rsidRPr="00E87AFA" w14:paraId="331F509F" w14:textId="77777777" w:rsidTr="00941C0E">
        <w:trPr>
          <w:trHeight w:val="397"/>
          <w:jc w:val="center"/>
        </w:trPr>
        <w:tc>
          <w:tcPr>
            <w:tcW w:w="161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A95983" w:rsidRPr="00E87AFA" w:rsidRDefault="00A95983" w:rsidP="00A9598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0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A95983" w:rsidRPr="00E87AFA" w:rsidRDefault="00A95983" w:rsidP="00A95983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1E860CFD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-0,54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653DD63A" w:rsidR="00A95983" w:rsidRPr="00E87AFA" w:rsidRDefault="00A95983" w:rsidP="00A95983">
            <w:pPr>
              <w:ind w:right="922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-0,58</w:t>
            </w:r>
          </w:p>
        </w:tc>
      </w:tr>
    </w:tbl>
    <w:p w14:paraId="29FEB02E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AB9A93B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44" w:type="pct"/>
        <w:jc w:val="center"/>
        <w:tblLayout w:type="fixed"/>
        <w:tblLook w:val="04A0" w:firstRow="1" w:lastRow="0" w:firstColumn="1" w:lastColumn="0" w:noHBand="0" w:noVBand="1"/>
      </w:tblPr>
      <w:tblGrid>
        <w:gridCol w:w="3258"/>
        <w:gridCol w:w="1523"/>
        <w:gridCol w:w="2353"/>
        <w:gridCol w:w="2347"/>
      </w:tblGrid>
      <w:tr w:rsidR="00E87AFA" w:rsidRPr="00E87AFA" w14:paraId="4C388DF5" w14:textId="77777777" w:rsidTr="00E051EE">
        <w:trPr>
          <w:trHeight w:hRule="exact" w:val="340"/>
          <w:jc w:val="center"/>
        </w:trPr>
        <w:tc>
          <w:tcPr>
            <w:tcW w:w="3762" w:type="pct"/>
            <w:gridSpan w:val="3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F9E1214" w14:textId="77777777" w:rsidR="006022B5" w:rsidRPr="00E87AFA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  <w:tc>
          <w:tcPr>
            <w:tcW w:w="1238" w:type="pct"/>
            <w:tcBorders>
              <w:bottom w:val="single" w:sz="4" w:space="0" w:color="366092"/>
            </w:tcBorders>
            <w:shd w:val="clear" w:color="FFFFFF" w:fill="FFFFFF"/>
          </w:tcPr>
          <w:p w14:paraId="5E285458" w14:textId="77777777" w:rsidR="006022B5" w:rsidRPr="00E87AFA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E87AFA" w:rsidRPr="00E87AFA" w14:paraId="32300C6F" w14:textId="77777777" w:rsidTr="00777AEB">
        <w:trPr>
          <w:trHeight w:val="375"/>
          <w:jc w:val="center"/>
        </w:trPr>
        <w:tc>
          <w:tcPr>
            <w:tcW w:w="1718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0AACF9D" w14:textId="77777777" w:rsidR="006022B5" w:rsidRPr="00E87AFA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803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3EB8B2F" w14:textId="77777777" w:rsidR="006022B5" w:rsidRPr="00E87AFA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479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47590D" w14:textId="77777777" w:rsidR="006022B5" w:rsidRPr="00E87AFA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τωση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E87AFA" w:rsidRPr="00E87AFA" w14:paraId="019AB947" w14:textId="77777777" w:rsidTr="002D5B4A">
        <w:trPr>
          <w:trHeight w:val="615"/>
          <w:jc w:val="center"/>
        </w:trPr>
        <w:tc>
          <w:tcPr>
            <w:tcW w:w="1718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7859C773" w14:textId="77777777" w:rsidR="00941C0E" w:rsidRPr="00E87AFA" w:rsidRDefault="00941C0E" w:rsidP="00941C0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803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274591C5" w14:textId="77777777" w:rsidR="00941C0E" w:rsidRPr="00E87AFA" w:rsidRDefault="00941C0E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3F64714" w14:textId="3D5A714A" w:rsidR="00941C0E" w:rsidRPr="00E87AFA" w:rsidRDefault="008E4DF7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941C0E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941C0E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4C0BF3F4" w14:textId="2F3882E5" w:rsidR="00941C0E" w:rsidRPr="00E87AFA" w:rsidRDefault="008E4DF7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941C0E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941C0E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941C0E"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E87AFA" w:rsidRPr="00E87AFA" w14:paraId="5947B44C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7C27FE8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2" w:name="_Hlk168556548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  <w:bookmarkEnd w:id="2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BB1BA13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C3C6B98" w14:textId="51F4B9D2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-0,74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F86BAD" w14:textId="19909FFE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-0,77</w:t>
            </w:r>
          </w:p>
        </w:tc>
      </w:tr>
      <w:tr w:rsidR="00E87AFA" w:rsidRPr="00E87AFA" w14:paraId="15E28FB3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DCA964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25B3CBD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1360F93" w14:textId="00AFAC14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2007056" w14:textId="53D14518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0,01</w:t>
            </w:r>
          </w:p>
        </w:tc>
      </w:tr>
      <w:tr w:rsidR="00E87AFA" w:rsidRPr="00E87AFA" w14:paraId="108CD38A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AF94A1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DE5ACB7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F1FEC94" w14:textId="2AF19A81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-0,59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6C3CC99" w14:textId="34871F50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0,07</w:t>
            </w:r>
          </w:p>
        </w:tc>
      </w:tr>
      <w:tr w:rsidR="00E87AFA" w:rsidRPr="00E87AFA" w14:paraId="318667D3" w14:textId="77777777" w:rsidTr="00872C2F">
        <w:trPr>
          <w:trHeight w:val="616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59C1354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Ηλεκτρισμός και Υγραέριο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F9E27D9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16BA1BA" w14:textId="406CED33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-0,19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92813A5" w14:textId="4E21D571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0,02</w:t>
            </w:r>
          </w:p>
        </w:tc>
      </w:tr>
      <w:tr w:rsidR="00E87AFA" w:rsidRPr="00E87AFA" w14:paraId="215783F0" w14:textId="77777777" w:rsidTr="00872C2F">
        <w:trPr>
          <w:trHeight w:val="607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C49E88D" w14:textId="7513D45F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A6B31B8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D5F1C6C" w14:textId="2122833D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-0,06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D242BF" w14:textId="70B39380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-0,02</w:t>
            </w:r>
          </w:p>
        </w:tc>
      </w:tr>
      <w:tr w:rsidR="00E87AFA" w:rsidRPr="00E87AFA" w14:paraId="107081D7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56D4CE7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D2C1508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2FA8F3" w14:textId="79B6519F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0,08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15256" w14:textId="05954F8D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</w:tr>
      <w:tr w:rsidR="00E87AFA" w:rsidRPr="00E87AFA" w14:paraId="120C2413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31CB5A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C532904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1524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D5958D0" w14:textId="0A245374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-0,12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B12603" w14:textId="2194A438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-0,02</w:t>
            </w:r>
          </w:p>
        </w:tc>
      </w:tr>
      <w:tr w:rsidR="00E87AFA" w:rsidRPr="00E87AFA" w14:paraId="211DF7D2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6D09E5A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C57DE67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439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FBEB10" w14:textId="0BBA7570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0,02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8758FE5" w14:textId="7CA1F551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</w:tr>
      <w:tr w:rsidR="00E87AFA" w:rsidRPr="00E87AFA" w14:paraId="5A0817DE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5B8EC8A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αψυχή και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25714EA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575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CA4A59" w14:textId="6532B570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0,14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92FD32" w14:textId="4FAEC6AC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</w:tr>
      <w:tr w:rsidR="00E87AFA" w:rsidRPr="00E87AFA" w14:paraId="731D634B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887C0A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60B3DB0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4A494E" w14:textId="07EC84F2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0,15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EAE9EF" w14:textId="147798D4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-0,01</w:t>
            </w:r>
          </w:p>
        </w:tc>
      </w:tr>
      <w:tr w:rsidR="00E87AFA" w:rsidRPr="00E87AFA" w14:paraId="68212E85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771C9F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Εστι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ατόρια και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Ξ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ενοδοχεί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91DAA6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124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B7DF8CE" w14:textId="5A88D42F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0,54</w:t>
            </w:r>
          </w:p>
        </w:tc>
        <w:tc>
          <w:tcPr>
            <w:tcW w:w="1238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ABEE342" w14:textId="2D0015FD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0,03</w:t>
            </w:r>
          </w:p>
        </w:tc>
      </w:tr>
      <w:tr w:rsidR="00E87AFA" w:rsidRPr="00E87AFA" w14:paraId="5C63625A" w14:textId="77777777" w:rsidTr="00872C2F">
        <w:trPr>
          <w:trHeight w:val="375"/>
          <w:jc w:val="center"/>
        </w:trPr>
        <w:tc>
          <w:tcPr>
            <w:tcW w:w="1718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C029276" w14:textId="77777777" w:rsidR="00872C2F" w:rsidRPr="00E87AFA" w:rsidRDefault="00872C2F" w:rsidP="00872C2F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Άλλ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γα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θά</w:t>
            </w:r>
            <w:proofErr w:type="spellEnd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803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9B99327" w14:textId="77777777" w:rsidR="00872C2F" w:rsidRPr="00E87AFA" w:rsidRDefault="00872C2F" w:rsidP="00872C2F">
            <w:pPr>
              <w:ind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860</w:t>
            </w:r>
          </w:p>
        </w:tc>
        <w:tc>
          <w:tcPr>
            <w:tcW w:w="1241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0F4F3AA7" w14:textId="13F8B89E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0,10</w:t>
            </w:r>
          </w:p>
        </w:tc>
        <w:tc>
          <w:tcPr>
            <w:tcW w:w="1238" w:type="pct"/>
            <w:tcBorders>
              <w:top w:val="nil"/>
              <w:bottom w:val="single" w:sz="4" w:space="0" w:color="366092"/>
            </w:tcBorders>
            <w:shd w:val="clear" w:color="FFFFFF" w:fill="FFFFFF"/>
            <w:vAlign w:val="center"/>
          </w:tcPr>
          <w:p w14:paraId="6D89D954" w14:textId="73753EAA" w:rsidR="00872C2F" w:rsidRPr="00E87AFA" w:rsidRDefault="00872C2F" w:rsidP="00872C2F">
            <w:pPr>
              <w:ind w:right="92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</w:tr>
      <w:tr w:rsidR="00E87AFA" w:rsidRPr="00E87AFA" w14:paraId="6771A5B6" w14:textId="77777777" w:rsidTr="00872C2F">
        <w:trPr>
          <w:trHeight w:hRule="exact" w:val="567"/>
          <w:jc w:val="center"/>
        </w:trPr>
        <w:tc>
          <w:tcPr>
            <w:tcW w:w="171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BC0F3D4" w14:textId="77777777" w:rsidR="00872C2F" w:rsidRPr="00E87AFA" w:rsidRDefault="00872C2F" w:rsidP="00872C2F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803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45703C0" w14:textId="77777777" w:rsidR="00872C2F" w:rsidRPr="00E87AFA" w:rsidRDefault="00872C2F" w:rsidP="00872C2F">
            <w:pPr>
              <w:ind w:firstLineChars="100" w:firstLine="181"/>
              <w:jc w:val="center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4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7937C0C7" w14:textId="25EF9260" w:rsidR="00872C2F" w:rsidRPr="00E87AFA" w:rsidRDefault="00872C2F" w:rsidP="00872C2F">
            <w:pPr>
              <w:ind w:right="924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-0,64</w:t>
            </w:r>
          </w:p>
        </w:tc>
        <w:tc>
          <w:tcPr>
            <w:tcW w:w="1238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AEB7EF0" w14:textId="115214C4" w:rsidR="00872C2F" w:rsidRPr="00E87AFA" w:rsidRDefault="00872C2F" w:rsidP="00872C2F">
            <w:pPr>
              <w:ind w:right="924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E87AFA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-0,68</w:t>
            </w:r>
          </w:p>
        </w:tc>
      </w:tr>
      <w:tr w:rsidR="00E87AFA" w:rsidRPr="00E87AFA" w14:paraId="29A93ED0" w14:textId="77777777" w:rsidTr="00777AEB">
        <w:trPr>
          <w:trHeight w:val="440"/>
          <w:jc w:val="center"/>
        </w:trPr>
        <w:tc>
          <w:tcPr>
            <w:tcW w:w="5000" w:type="pct"/>
            <w:gridSpan w:val="4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CA907A1" w14:textId="77777777" w:rsidR="00A36D89" w:rsidRPr="00E87AFA" w:rsidRDefault="00A36D89" w:rsidP="006022B5">
            <w:pPr>
              <w:rPr>
                <w:rFonts w:ascii="Verdana" w:eastAsia="Times New Roman" w:hAnsi="Verdana" w:cs="Arial"/>
                <w:bCs/>
                <w:color w:val="366092"/>
                <w:sz w:val="6"/>
                <w:szCs w:val="6"/>
                <w:lang w:val="el-GR"/>
              </w:rPr>
            </w:pPr>
          </w:p>
          <w:p w14:paraId="0DEF1FF2" w14:textId="34885900" w:rsidR="006022B5" w:rsidRPr="00E87AFA" w:rsidRDefault="006022B5" w:rsidP="006022B5">
            <w:pPr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E87AFA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δυο δεκαδικών</w:t>
            </w:r>
            <w:r w:rsidR="005D5F35" w:rsidRPr="00E87AFA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  <w:r w:rsidRPr="00E87AFA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Πιθανές διαφορές στα αθροίσματα είναι λόγω σφάλματος στρογγυλοποίησης</w:t>
            </w:r>
            <w:r w:rsidR="005D5F35" w:rsidRPr="00E87AFA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</w:rPr>
              <w:t>.</w:t>
            </w:r>
            <w:r w:rsidRPr="00E87AFA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   </w:t>
            </w:r>
          </w:p>
        </w:tc>
      </w:tr>
    </w:tbl>
    <w:p w14:paraId="5CDB785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</w:p>
    <w:p w14:paraId="6AA5A0F0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08D04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1110F0F" w14:textId="20E3219F" w:rsidR="00E21D72" w:rsidRDefault="00A36D89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sz w:val="18"/>
          <w:szCs w:val="18"/>
          <w:u w:val="single"/>
          <w:lang w:val="el-GR"/>
        </w:rPr>
        <w:br w:type="page"/>
      </w: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9C4A01" w:rsidRPr="009C4A01" w14:paraId="3F2DDA13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7883388" w14:textId="77777777" w:rsidR="006022B5" w:rsidRPr="009C4A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bookmarkStart w:id="3" w:name="OLE_LINK9"/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4</w:t>
            </w:r>
          </w:p>
        </w:tc>
      </w:tr>
      <w:tr w:rsidR="009C4A01" w:rsidRPr="009C4A01" w14:paraId="66D24933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D13D382" w14:textId="77777777" w:rsidR="006022B5" w:rsidRPr="009C4A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A5FC70" w14:textId="77777777" w:rsidR="006022B5" w:rsidRPr="009C4A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9C4A01" w:rsidRPr="009C4A01" w14:paraId="5006246C" w14:textId="77777777" w:rsidTr="0074032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C4F14AD" w14:textId="77777777" w:rsidR="004505D6" w:rsidRPr="009C4A0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0D900F1" w14:textId="5AB1B723" w:rsidR="004505D6" w:rsidRPr="009C4A01" w:rsidRDefault="005B2E7C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8E4DF7"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4505D6"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="008E4DF7"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4505D6"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9C4A01" w:rsidRPr="009C4A01" w14:paraId="65257A6A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6B01B47" w14:textId="0B4FB385" w:rsidR="00216205" w:rsidRPr="009C4A01" w:rsidRDefault="00216205" w:rsidP="0021620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C4A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Θετική</w:t>
            </w:r>
            <w:proofErr w:type="spellEnd"/>
            <w:r w:rsidRPr="009C4A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 </w:t>
            </w:r>
            <w:r w:rsidR="00F13540" w:rsidRPr="009C4A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9C4A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</w:t>
            </w:r>
            <w:proofErr w:type="spellStart"/>
            <w:r w:rsidRPr="009C4A0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τωση</w:t>
            </w:r>
            <w:proofErr w:type="spellEnd"/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D1336AD" w14:textId="73D928B5" w:rsidR="00216205" w:rsidRPr="009C4A01" w:rsidRDefault="00216205" w:rsidP="00216205">
            <w:pPr>
              <w:ind w:right="1304" w:firstLineChars="200" w:firstLine="360"/>
              <w:jc w:val="center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9C4A01" w:rsidRPr="009C4A01" w14:paraId="6E5AF7B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202D" w14:textId="708B449C" w:rsidR="00EE70B4" w:rsidRPr="009C4A01" w:rsidRDefault="00EE70B4" w:rsidP="00EE70B4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Τροφοδοσί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D5F39" w14:textId="56CD60B4" w:rsidR="00EE70B4" w:rsidRPr="009C4A01" w:rsidRDefault="00EE70B4" w:rsidP="00EE70B4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0,53</w:t>
            </w:r>
          </w:p>
        </w:tc>
      </w:tr>
      <w:tr w:rsidR="009C4A01" w:rsidRPr="009C4A01" w14:paraId="33A68CE0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9B99" w14:textId="165537F8" w:rsidR="00EE70B4" w:rsidRPr="009C4A01" w:rsidRDefault="00EE70B4" w:rsidP="00EE70B4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για Τακτική Συντήρηση Κατοικίας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0E55" w14:textId="49FCA4B9" w:rsidR="00EE70B4" w:rsidRPr="009C4A01" w:rsidRDefault="00EE70B4" w:rsidP="00EE70B4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0,17</w:t>
            </w:r>
          </w:p>
        </w:tc>
      </w:tr>
      <w:tr w:rsidR="009C4A01" w:rsidRPr="009C4A01" w14:paraId="5B57BFFD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C30A" w14:textId="5B3ED03D" w:rsidR="00EE70B4" w:rsidRPr="009C4A01" w:rsidRDefault="00EE70B4" w:rsidP="00EE70B4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Πραγματικά Μισθώματα για Κύρια Οικία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857A8" w14:textId="7A226598" w:rsidR="00EE70B4" w:rsidRPr="009C4A01" w:rsidRDefault="00EE70B4" w:rsidP="00EE70B4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0,09</w:t>
            </w:r>
          </w:p>
        </w:tc>
      </w:tr>
      <w:tr w:rsidR="009C4A01" w:rsidRPr="009C4A01" w14:paraId="22FA0A3F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97CA" w14:textId="44DA829E" w:rsidR="00EE70B4" w:rsidRPr="009C4A01" w:rsidRDefault="00EE70B4" w:rsidP="00EE70B4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Φρέσκ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 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Φρούτ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E0F34" w14:textId="68A93677" w:rsidR="00EE70B4" w:rsidRPr="009C4A01" w:rsidRDefault="00EE70B4" w:rsidP="00EE70B4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0,06</w:t>
            </w:r>
          </w:p>
        </w:tc>
      </w:tr>
      <w:tr w:rsidR="009C4A01" w:rsidRPr="009C4A01" w14:paraId="73A643D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335" w14:textId="3935DD8D" w:rsidR="00EE70B4" w:rsidRPr="009C4A01" w:rsidRDefault="00EE70B4" w:rsidP="00EE70B4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άλλα </w:t>
            </w:r>
            <w:r w:rsidR="009C4A01"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9C4A01"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73698" w14:textId="6AB6F15E" w:rsidR="00EE70B4" w:rsidRPr="009C4A01" w:rsidRDefault="00EE70B4" w:rsidP="00EE70B4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0,33</w:t>
            </w:r>
          </w:p>
        </w:tc>
      </w:tr>
      <w:tr w:rsidR="009C4A01" w:rsidRPr="009C4A01" w14:paraId="5F56DE30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5CA1F54" w14:textId="162FE831" w:rsidR="00EA4C7B" w:rsidRPr="009C4A01" w:rsidRDefault="00EA4C7B" w:rsidP="00EA4C7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Αρνητική </w:t>
            </w:r>
            <w:r w:rsidR="00F13540" w:rsidRPr="009C4A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9C4A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620B1EE" w14:textId="37C419D7" w:rsidR="00EA4C7B" w:rsidRPr="009C4A01" w:rsidRDefault="00EA4C7B" w:rsidP="00B350FC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9C4A01" w:rsidRPr="009C4A01" w14:paraId="157F0974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12099" w14:textId="0412073D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Είδη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Ένδυσης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1EC68D8" w14:textId="1F5001B1" w:rsidR="00EE70B4" w:rsidRPr="009C4A01" w:rsidRDefault="00EE70B4" w:rsidP="00EE70B4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-0,47</w:t>
            </w:r>
          </w:p>
        </w:tc>
      </w:tr>
      <w:tr w:rsidR="009C4A01" w:rsidRPr="009C4A01" w14:paraId="2F716C77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D3F082" w14:textId="411EB973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Ηλεκτρισμός</w:t>
            </w:r>
            <w:proofErr w:type="spellEnd"/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2BE73E9" w14:textId="33621FF4" w:rsidR="00EE70B4" w:rsidRPr="009C4A01" w:rsidRDefault="00EE70B4" w:rsidP="00EE70B4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-0,45</w:t>
            </w:r>
          </w:p>
        </w:tc>
      </w:tr>
      <w:tr w:rsidR="009C4A01" w:rsidRPr="009C4A01" w14:paraId="5481DCA9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A8E62F" w14:textId="1BC27C34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Πα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τάτες</w:t>
            </w:r>
            <w:proofErr w:type="spellEnd"/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993571D" w14:textId="3A380AD1" w:rsidR="00EE70B4" w:rsidRPr="009C4A01" w:rsidRDefault="00EE70B4" w:rsidP="00EE70B4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-0,37</w:t>
            </w:r>
          </w:p>
        </w:tc>
      </w:tr>
      <w:tr w:rsidR="009C4A01" w:rsidRPr="009C4A01" w14:paraId="570A4848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F0F561" w14:textId="6C8B5209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7028739" w14:textId="110B6BA2" w:rsidR="00EE70B4" w:rsidRPr="009C4A01" w:rsidRDefault="00EE70B4" w:rsidP="00EE70B4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-0,28</w:t>
            </w:r>
          </w:p>
        </w:tc>
      </w:tr>
      <w:tr w:rsidR="009C4A01" w:rsidRPr="009C4A01" w14:paraId="769D35E4" w14:textId="77777777" w:rsidTr="00E051EE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0E6356C1" w14:textId="30DB8DC0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Φρέσκ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 Λαχα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νικά</w:t>
            </w:r>
            <w:proofErr w:type="spellEnd"/>
          </w:p>
        </w:tc>
        <w:tc>
          <w:tcPr>
            <w:tcW w:w="3227" w:type="dxa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403F365" w14:textId="19BF9B82" w:rsidR="00EE70B4" w:rsidRPr="009C4A01" w:rsidRDefault="00EE70B4" w:rsidP="00EE70B4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-0,25</w:t>
            </w:r>
          </w:p>
        </w:tc>
      </w:tr>
      <w:tr w:rsidR="009C4A01" w:rsidRPr="009C4A01" w14:paraId="7CE0AC98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7235CD23" w14:textId="12E6FA06" w:rsidR="00EA4C7B" w:rsidRPr="009C4A01" w:rsidRDefault="00EA4C7B" w:rsidP="00EA4C7B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50BB30D" w14:textId="07EC3B01" w:rsidR="00EA4C7B" w:rsidRPr="009C4A01" w:rsidRDefault="00A948D3" w:rsidP="00B350FC">
            <w:pPr>
              <w:ind w:right="1138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</w:pPr>
            <w:r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-</w:t>
            </w:r>
            <w:r w:rsidR="004505D6"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</w:t>
            </w:r>
            <w:r w:rsidR="007874D2"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,</w:t>
            </w:r>
            <w:r w:rsidR="00872C2F"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64</w:t>
            </w:r>
          </w:p>
        </w:tc>
      </w:tr>
      <w:bookmarkEnd w:id="3"/>
    </w:tbl>
    <w:p w14:paraId="42BB662F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n-GB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9C4A01" w:rsidRPr="009C4A01" w14:paraId="59D19A26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A682EA1" w14:textId="77777777" w:rsidR="006022B5" w:rsidRPr="009C4A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9C4A01" w:rsidRPr="009C4A01" w14:paraId="5E069138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9137E77" w14:textId="77777777" w:rsidR="006022B5" w:rsidRPr="009C4A0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BE79330" w14:textId="77777777" w:rsidR="006022B5" w:rsidRPr="009C4A0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9C4A01" w:rsidRPr="009C4A01" w14:paraId="0C3752BC" w14:textId="77777777" w:rsidTr="008C7CA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CFE0A0E" w14:textId="77777777" w:rsidR="004505D6" w:rsidRPr="009C4A0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78D48676" w14:textId="1FA42C85" w:rsidR="004505D6" w:rsidRPr="009C4A01" w:rsidRDefault="008E4DF7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4505D6"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4505D6"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505D6" w:rsidRPr="009C4A0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9C4A01" w:rsidRPr="009C4A01" w14:paraId="446C362D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BE80B9" w14:textId="50FCED64" w:rsidR="003968D1" w:rsidRPr="009C4A01" w:rsidRDefault="00936D92" w:rsidP="003968D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Θετική </w:t>
            </w:r>
            <w:r w:rsidR="00F13540" w:rsidRPr="009C4A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9C4A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75CF692" w14:textId="77777777" w:rsidR="003968D1" w:rsidRPr="009C4A01" w:rsidRDefault="003968D1" w:rsidP="00872C2F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9C4A01" w:rsidRPr="009C4A01" w14:paraId="0F1E746A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5C978" w14:textId="58823A1B" w:rsidR="00872C2F" w:rsidRPr="009C4A01" w:rsidRDefault="00872C2F" w:rsidP="00872C2F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bookmarkStart w:id="4" w:name="_Hlk197438631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Πα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τάτες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EF734" w14:textId="094428F5" w:rsidR="00872C2F" w:rsidRPr="009C4A01" w:rsidRDefault="00872C2F" w:rsidP="00872C2F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0,10</w:t>
            </w:r>
          </w:p>
        </w:tc>
      </w:tr>
      <w:bookmarkEnd w:id="4"/>
      <w:tr w:rsidR="009C4A01" w:rsidRPr="009C4A01" w14:paraId="1E797F73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87F66" w14:textId="1467C3C7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για Τακτική Συντήρηση Κατοικίας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C2CA5" w14:textId="5E5795B2" w:rsidR="00EE70B4" w:rsidRPr="009C4A01" w:rsidRDefault="00EE70B4" w:rsidP="00EE70B4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0,05</w:t>
            </w:r>
          </w:p>
        </w:tc>
      </w:tr>
      <w:tr w:rsidR="009C4A01" w:rsidRPr="009C4A01" w14:paraId="6B057E0A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7ECBBC" w14:textId="62312D9C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Είδη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Ένδυσης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AA1FE" w14:textId="41CDC754" w:rsidR="00EE70B4" w:rsidRPr="009C4A01" w:rsidRDefault="00EE70B4" w:rsidP="00EE70B4">
            <w:pPr>
              <w:ind w:right="1304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0,05</w:t>
            </w:r>
          </w:p>
        </w:tc>
      </w:tr>
      <w:tr w:rsidR="009C4A01" w:rsidRPr="009C4A01" w14:paraId="6FF13D4A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3A4177" w14:textId="21A84935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άλλα </w:t>
            </w:r>
            <w:r w:rsidR="00E87AFA"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E87AFA"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9C4A0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E604D" w14:textId="5CD3C874" w:rsidR="00EE70B4" w:rsidRPr="009C4A01" w:rsidRDefault="00EE70B4" w:rsidP="00EE70B4">
            <w:pPr>
              <w:ind w:right="1304" w:firstLineChars="200" w:firstLine="36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0,08</w:t>
            </w:r>
          </w:p>
        </w:tc>
      </w:tr>
      <w:tr w:rsidR="009C4A01" w:rsidRPr="009C4A01" w14:paraId="704E8429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E156208" w14:textId="77777777" w:rsidR="00EE70B4" w:rsidRPr="009C4A01" w:rsidRDefault="00EE70B4" w:rsidP="00EE70B4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55EC8EA" w14:textId="77777777" w:rsidR="00EE70B4" w:rsidRPr="009C4A01" w:rsidRDefault="00EE70B4" w:rsidP="00EE70B4">
            <w:pPr>
              <w:ind w:right="1304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</w:tr>
      <w:tr w:rsidR="009C4A01" w:rsidRPr="009C4A01" w14:paraId="4B64A063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F12EB9" w14:textId="03CEA720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Φρέσκ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 Λαχα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νικά</w:t>
            </w:r>
            <w:proofErr w:type="spellEnd"/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49A380A" w14:textId="2ED8D04D" w:rsidR="00EE70B4" w:rsidRPr="009C4A01" w:rsidRDefault="00EE70B4" w:rsidP="00EE70B4">
            <w:pPr>
              <w:ind w:left="326" w:right="130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-0,79</w:t>
            </w:r>
          </w:p>
        </w:tc>
      </w:tr>
      <w:tr w:rsidR="009C4A01" w:rsidRPr="009C4A01" w14:paraId="4A4B0AD6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F1B693" w14:textId="57AAF189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Φρέσκ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 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Φρούτ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6FF5F87F" w14:textId="1869080F" w:rsidR="00EE70B4" w:rsidRPr="009C4A01" w:rsidRDefault="00EE70B4" w:rsidP="00EE70B4">
            <w:pPr>
              <w:ind w:left="326" w:right="130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-0,11</w:t>
            </w:r>
          </w:p>
        </w:tc>
      </w:tr>
      <w:tr w:rsidR="009C4A01" w:rsidRPr="009C4A01" w14:paraId="4340D075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B8CC424" w14:textId="0EC5BB36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24D8700" w14:textId="5930B67F" w:rsidR="00EE70B4" w:rsidRPr="009C4A01" w:rsidRDefault="00EE70B4" w:rsidP="00EE70B4">
            <w:pPr>
              <w:ind w:left="326" w:right="1304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-0,04</w:t>
            </w:r>
          </w:p>
        </w:tc>
      </w:tr>
      <w:tr w:rsidR="009C4A01" w:rsidRPr="009C4A01" w14:paraId="1DD79AFA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CF3F5" w14:textId="0DCACDE6" w:rsidR="00EE70B4" w:rsidRPr="009C4A0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Αερο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πορικά Να</w:t>
            </w:r>
            <w:proofErr w:type="spellStart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ύλ</w:t>
            </w:r>
            <w:proofErr w:type="spellEnd"/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E87E135" w14:textId="7923077B" w:rsidR="00EE70B4" w:rsidRPr="009C4A01" w:rsidRDefault="00EE70B4" w:rsidP="00EE70B4">
            <w:pPr>
              <w:ind w:left="326" w:right="130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hAnsi="Verdana" w:cs="Arial"/>
                <w:color w:val="366092"/>
                <w:sz w:val="18"/>
                <w:szCs w:val="18"/>
              </w:rPr>
              <w:t>-0,02</w:t>
            </w:r>
          </w:p>
        </w:tc>
      </w:tr>
      <w:tr w:rsidR="009C4A01" w:rsidRPr="009C4A01" w14:paraId="1696B547" w14:textId="77777777" w:rsidTr="00872C2F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4ECCD32" w14:textId="77777777" w:rsidR="00EE70B4" w:rsidRPr="009C4A01" w:rsidRDefault="00EE70B4" w:rsidP="00EE70B4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B88B50F" w14:textId="19196C73" w:rsidR="00EE70B4" w:rsidRPr="009C4A01" w:rsidRDefault="00EE70B4" w:rsidP="00EE70B4">
            <w:pPr>
              <w:ind w:right="1304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</w:pPr>
            <w:r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  <w:t>-</w:t>
            </w:r>
            <w:r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0,</w:t>
            </w:r>
            <w:r w:rsidRPr="009C4A0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  <w:t>68</w:t>
            </w:r>
          </w:p>
        </w:tc>
      </w:tr>
    </w:tbl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6966ED25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3DFD7CC9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042AEA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της συνολικής μεταβολής στον ΔΤΚ το οποίο οφείλεται στην αναφερόμενη κατηγορία/αγαθό/υπηρεσία</w:t>
      </w:r>
      <w:r w:rsidR="003043DA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52CBA9CC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τις τέσσερις επαρχίες είναι οι εξής: Λευκωσία 42%, Λεμεσός 30%, Λάρνακα 18% και Πάφος 10%</w:t>
      </w:r>
      <w:r w:rsidR="00684A8F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11C583A1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>Οι τιμές των 805 προϊόντων και υπηρεσιών, που περιλαμβάνονται στον ΔΤΚ παρακολουθούνται και καταγράφονται μια φορά κάθε μήνα, εκτός από κάποια εποχικά προϊόντα (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π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proofErr w:type="spellEnd"/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6E4423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5D5698" w14:textId="501E1886" w:rsidR="006022B5" w:rsidRPr="00497CF6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040D5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</w:t>
      </w:r>
      <w:r w:rsidR="00497CF6" w:rsidRPr="00497CF6">
        <w:rPr>
          <w:rFonts w:ascii="Verdana" w:eastAsia="Malgun Gothic" w:hAnsi="Verdana" w:cs="Arial"/>
          <w:sz w:val="18"/>
          <w:szCs w:val="18"/>
          <w:lang w:val="el-GR"/>
        </w:rPr>
        <w:t>2016 και μετέπειτα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040D5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CFF880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5411BA16" w:rsidR="00B06FC6" w:rsidRPr="009B041C" w:rsidRDefault="00297A13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297A13">
        <w:rPr>
          <w:rFonts w:ascii="Verdana" w:eastAsia="Malgun Gothic" w:hAnsi="Verdana" w:cs="Arial"/>
          <w:sz w:val="18"/>
          <w:szCs w:val="18"/>
          <w:lang w:val="el-GR"/>
        </w:rPr>
        <w:t>Μέχρι τον Δεκέμβριο του 2015, ο ΔΤΚ υπολογιζόταν και δημοσιευόταν βάσει της ταξινόμησης COICOP4 με την οποία η κατηγορία των προϊόντων καθορίζεται μέχρι τα τέσσερα ψηφία ανάλυσης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 και μετέπειτα, ο ΔΤΚ υπολογίζεται και δημοσιεύεται βάσει της ταξινόμησης ECOICOP ακολουθώντας σχετικό κανονισμό της Ευρωπαϊκής Ένωσης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97A13">
        <w:rPr>
          <w:rFonts w:ascii="Verdana" w:eastAsia="Malgun Gothic" w:hAnsi="Verdana" w:cs="Arial"/>
          <w:sz w:val="18"/>
          <w:szCs w:val="18"/>
          <w:lang w:val="el-GR"/>
        </w:rPr>
        <w:t xml:space="preserve"> Ως εκ τούτου, το χαμηλότερο επίπεδο λεπτομέρειας για την ταξινόμηση ECOICOP που χρησιμοποιείται στον ΔΤΚ είναι τα πέντε ψηφία ανάλυσης</w:t>
      </w:r>
      <w:r w:rsidR="00A7165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4D77D3F7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2018, τόσο τα προϊόντα που περιέχονται στον ΔΤΚ όσο και οι συντελεστές στάθμισής τους αναθεωρήθηκαν</w:t>
      </w:r>
      <w:r w:rsidR="0054164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54164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2BFEB3CF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77777777" w:rsidR="004C6ABF" w:rsidRPr="00266F1F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64D3520C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5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2" w:history="1"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14489FEA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98384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0F3F2A" w:rsidRPr="008D36FF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3BB2F6B7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435E38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</w:t>
        </w:r>
        <w:r w:rsidR="000F3F2A" w:rsidRPr="000F3F2A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mof</w:t>
        </w:r>
        <w:r w:rsidR="000F3F2A" w:rsidRPr="000F3F2A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gov</w:t>
        </w:r>
        <w:r w:rsidR="0098384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,</w:t>
        </w:r>
        <w:r w:rsidR="003C63F9" w:rsidRPr="007A662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cy</w:t>
        </w:r>
      </w:hyperlink>
    </w:p>
    <w:bookmarkEnd w:id="5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E21D72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E21D72" w:rsidSect="008620CD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514E" w14:textId="77777777" w:rsidR="00814654" w:rsidRDefault="00814654" w:rsidP="00FB398F">
      <w:r>
        <w:separator/>
      </w:r>
    </w:p>
  </w:endnote>
  <w:endnote w:type="continuationSeparator" w:id="0">
    <w:p w14:paraId="75E9A736" w14:textId="77777777" w:rsidR="00814654" w:rsidRDefault="0081465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55A438AE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C80D18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Ηλ</w:t>
    </w:r>
    <w:proofErr w:type="spellEnd"/>
    <w:r w:rsidR="00C80D18" w:rsidRPr="00C80D18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C80D18" w:rsidRPr="00C80D18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C80D18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2F721768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C80D18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C80D18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C80D18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C80D18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B902" w14:textId="77777777" w:rsidR="00814654" w:rsidRDefault="00814654" w:rsidP="00FB398F">
      <w:r>
        <w:separator/>
      </w:r>
    </w:p>
  </w:footnote>
  <w:footnote w:type="continuationSeparator" w:id="0">
    <w:p w14:paraId="40676FE5" w14:textId="77777777" w:rsidR="00814654" w:rsidRDefault="0081465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603D"/>
    <w:rsid w:val="00037999"/>
    <w:rsid w:val="00040319"/>
    <w:rsid w:val="00040D50"/>
    <w:rsid w:val="00042925"/>
    <w:rsid w:val="0004388D"/>
    <w:rsid w:val="000446A6"/>
    <w:rsid w:val="00045088"/>
    <w:rsid w:val="00045A06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78C"/>
    <w:rsid w:val="00087B3C"/>
    <w:rsid w:val="00091CF5"/>
    <w:rsid w:val="0009301B"/>
    <w:rsid w:val="000932CF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1070"/>
    <w:rsid w:val="000C44D1"/>
    <w:rsid w:val="000C4E72"/>
    <w:rsid w:val="000C5D92"/>
    <w:rsid w:val="000C74FC"/>
    <w:rsid w:val="000D04BB"/>
    <w:rsid w:val="000D11C6"/>
    <w:rsid w:val="000D1E7A"/>
    <w:rsid w:val="000D7736"/>
    <w:rsid w:val="000E027A"/>
    <w:rsid w:val="000E24B1"/>
    <w:rsid w:val="000E2735"/>
    <w:rsid w:val="000E32D6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2921"/>
    <w:rsid w:val="00105543"/>
    <w:rsid w:val="0010612E"/>
    <w:rsid w:val="00106852"/>
    <w:rsid w:val="001079D8"/>
    <w:rsid w:val="00110F9D"/>
    <w:rsid w:val="00111708"/>
    <w:rsid w:val="00114A67"/>
    <w:rsid w:val="00114C61"/>
    <w:rsid w:val="001157E4"/>
    <w:rsid w:val="00117099"/>
    <w:rsid w:val="00123DE8"/>
    <w:rsid w:val="00124941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2C02"/>
    <w:rsid w:val="00147887"/>
    <w:rsid w:val="001510F4"/>
    <w:rsid w:val="0015118B"/>
    <w:rsid w:val="001519CE"/>
    <w:rsid w:val="001547F3"/>
    <w:rsid w:val="00154F3A"/>
    <w:rsid w:val="001559CE"/>
    <w:rsid w:val="00160D4C"/>
    <w:rsid w:val="0016172E"/>
    <w:rsid w:val="00161CF3"/>
    <w:rsid w:val="00162BED"/>
    <w:rsid w:val="00162C00"/>
    <w:rsid w:val="001639EF"/>
    <w:rsid w:val="0016589F"/>
    <w:rsid w:val="001708CE"/>
    <w:rsid w:val="001712CF"/>
    <w:rsid w:val="00175D28"/>
    <w:rsid w:val="00176D1B"/>
    <w:rsid w:val="0017769A"/>
    <w:rsid w:val="00183A01"/>
    <w:rsid w:val="00183DFC"/>
    <w:rsid w:val="00184384"/>
    <w:rsid w:val="001849D2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A4"/>
    <w:rsid w:val="001D3C3A"/>
    <w:rsid w:val="001D4E16"/>
    <w:rsid w:val="001D6079"/>
    <w:rsid w:val="001D613C"/>
    <w:rsid w:val="001D63F0"/>
    <w:rsid w:val="001E00D1"/>
    <w:rsid w:val="001E0E58"/>
    <w:rsid w:val="001E14F3"/>
    <w:rsid w:val="001E15ED"/>
    <w:rsid w:val="001E31B3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60C6"/>
    <w:rsid w:val="00216205"/>
    <w:rsid w:val="002179A1"/>
    <w:rsid w:val="00222423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91A"/>
    <w:rsid w:val="002732AD"/>
    <w:rsid w:val="002738C2"/>
    <w:rsid w:val="002743F0"/>
    <w:rsid w:val="002754E9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13F37"/>
    <w:rsid w:val="003141D0"/>
    <w:rsid w:val="003145E8"/>
    <w:rsid w:val="003149D9"/>
    <w:rsid w:val="00315D54"/>
    <w:rsid w:val="003168C1"/>
    <w:rsid w:val="00317671"/>
    <w:rsid w:val="0032215D"/>
    <w:rsid w:val="0032230F"/>
    <w:rsid w:val="00322EC7"/>
    <w:rsid w:val="00322FBE"/>
    <w:rsid w:val="00325632"/>
    <w:rsid w:val="00325BD7"/>
    <w:rsid w:val="00327549"/>
    <w:rsid w:val="00327654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705B"/>
    <w:rsid w:val="00347874"/>
    <w:rsid w:val="003478C2"/>
    <w:rsid w:val="003522BB"/>
    <w:rsid w:val="003523C8"/>
    <w:rsid w:val="00352F6C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F28F9"/>
    <w:rsid w:val="003F49E4"/>
    <w:rsid w:val="003F4CB3"/>
    <w:rsid w:val="003F4D2F"/>
    <w:rsid w:val="003F5E32"/>
    <w:rsid w:val="003F75F6"/>
    <w:rsid w:val="00400EF0"/>
    <w:rsid w:val="00404469"/>
    <w:rsid w:val="00404670"/>
    <w:rsid w:val="00405220"/>
    <w:rsid w:val="00405853"/>
    <w:rsid w:val="00410B86"/>
    <w:rsid w:val="004110E8"/>
    <w:rsid w:val="00414CA0"/>
    <w:rsid w:val="004164A3"/>
    <w:rsid w:val="00421816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4197C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52F0"/>
    <w:rsid w:val="004F57F2"/>
    <w:rsid w:val="004F6250"/>
    <w:rsid w:val="004F677C"/>
    <w:rsid w:val="004F6D8F"/>
    <w:rsid w:val="0050077D"/>
    <w:rsid w:val="00505503"/>
    <w:rsid w:val="00510BA3"/>
    <w:rsid w:val="0051107B"/>
    <w:rsid w:val="00512F9C"/>
    <w:rsid w:val="005137BD"/>
    <w:rsid w:val="00527BC3"/>
    <w:rsid w:val="00527CDB"/>
    <w:rsid w:val="00527EAE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2E95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6A38"/>
    <w:rsid w:val="005808AB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77A5"/>
    <w:rsid w:val="005C08E4"/>
    <w:rsid w:val="005C24FC"/>
    <w:rsid w:val="005C26D5"/>
    <w:rsid w:val="005C2798"/>
    <w:rsid w:val="005C2AE4"/>
    <w:rsid w:val="005C36C3"/>
    <w:rsid w:val="005C56EE"/>
    <w:rsid w:val="005C7E42"/>
    <w:rsid w:val="005D1714"/>
    <w:rsid w:val="005D3A2C"/>
    <w:rsid w:val="005D47B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CF7"/>
    <w:rsid w:val="006022B5"/>
    <w:rsid w:val="00602633"/>
    <w:rsid w:val="006044B7"/>
    <w:rsid w:val="00604B95"/>
    <w:rsid w:val="00605F73"/>
    <w:rsid w:val="00606558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679C"/>
    <w:rsid w:val="00636C15"/>
    <w:rsid w:val="00637055"/>
    <w:rsid w:val="00640414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60714"/>
    <w:rsid w:val="00660862"/>
    <w:rsid w:val="00664A67"/>
    <w:rsid w:val="00664DE2"/>
    <w:rsid w:val="00667E07"/>
    <w:rsid w:val="00671119"/>
    <w:rsid w:val="00671785"/>
    <w:rsid w:val="00671907"/>
    <w:rsid w:val="00672BA9"/>
    <w:rsid w:val="00673005"/>
    <w:rsid w:val="00673C1C"/>
    <w:rsid w:val="00675B6E"/>
    <w:rsid w:val="00677AB6"/>
    <w:rsid w:val="006804BE"/>
    <w:rsid w:val="00680A4F"/>
    <w:rsid w:val="00680B85"/>
    <w:rsid w:val="00682E7E"/>
    <w:rsid w:val="0068434A"/>
    <w:rsid w:val="00684A8F"/>
    <w:rsid w:val="00687000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4256"/>
    <w:rsid w:val="006E4423"/>
    <w:rsid w:val="006E4BBA"/>
    <w:rsid w:val="006E5F43"/>
    <w:rsid w:val="006E60A6"/>
    <w:rsid w:val="006E65E0"/>
    <w:rsid w:val="006E7A4A"/>
    <w:rsid w:val="006E7A9F"/>
    <w:rsid w:val="006F04B6"/>
    <w:rsid w:val="006F065A"/>
    <w:rsid w:val="006F090C"/>
    <w:rsid w:val="006F0F69"/>
    <w:rsid w:val="006F116B"/>
    <w:rsid w:val="006F117F"/>
    <w:rsid w:val="006F13DF"/>
    <w:rsid w:val="006F2780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F97"/>
    <w:rsid w:val="00711475"/>
    <w:rsid w:val="00716B5C"/>
    <w:rsid w:val="00721CD6"/>
    <w:rsid w:val="00723D60"/>
    <w:rsid w:val="0072548A"/>
    <w:rsid w:val="007277A6"/>
    <w:rsid w:val="007310AA"/>
    <w:rsid w:val="00731391"/>
    <w:rsid w:val="00733648"/>
    <w:rsid w:val="00740D3D"/>
    <w:rsid w:val="00740E93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1E3A"/>
    <w:rsid w:val="00763722"/>
    <w:rsid w:val="00763CC6"/>
    <w:rsid w:val="00764BC1"/>
    <w:rsid w:val="00765399"/>
    <w:rsid w:val="00765BDC"/>
    <w:rsid w:val="00770869"/>
    <w:rsid w:val="00771E19"/>
    <w:rsid w:val="0077314E"/>
    <w:rsid w:val="007738AA"/>
    <w:rsid w:val="00773A57"/>
    <w:rsid w:val="00774B42"/>
    <w:rsid w:val="00777375"/>
    <w:rsid w:val="00777AEB"/>
    <w:rsid w:val="00777FAE"/>
    <w:rsid w:val="00780720"/>
    <w:rsid w:val="007808C0"/>
    <w:rsid w:val="00780A62"/>
    <w:rsid w:val="00782524"/>
    <w:rsid w:val="00783241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FB7"/>
    <w:rsid w:val="007B7A39"/>
    <w:rsid w:val="007B7C1A"/>
    <w:rsid w:val="007C264F"/>
    <w:rsid w:val="007C4CDC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30D6"/>
    <w:rsid w:val="007F31BA"/>
    <w:rsid w:val="007F4078"/>
    <w:rsid w:val="0080014B"/>
    <w:rsid w:val="00800C50"/>
    <w:rsid w:val="00800CDA"/>
    <w:rsid w:val="00801793"/>
    <w:rsid w:val="00802AE3"/>
    <w:rsid w:val="00802E5C"/>
    <w:rsid w:val="00803642"/>
    <w:rsid w:val="008045AC"/>
    <w:rsid w:val="00806EA2"/>
    <w:rsid w:val="00807E64"/>
    <w:rsid w:val="008125E2"/>
    <w:rsid w:val="00812A2B"/>
    <w:rsid w:val="00812C83"/>
    <w:rsid w:val="0081369E"/>
    <w:rsid w:val="00814654"/>
    <w:rsid w:val="00814A4C"/>
    <w:rsid w:val="008227F7"/>
    <w:rsid w:val="00822B2C"/>
    <w:rsid w:val="0082599A"/>
    <w:rsid w:val="00831AAB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20CD"/>
    <w:rsid w:val="00862AEA"/>
    <w:rsid w:val="00867186"/>
    <w:rsid w:val="00867400"/>
    <w:rsid w:val="00870A33"/>
    <w:rsid w:val="00870AF6"/>
    <w:rsid w:val="00872778"/>
    <w:rsid w:val="00872C2F"/>
    <w:rsid w:val="008755E8"/>
    <w:rsid w:val="008756FA"/>
    <w:rsid w:val="00877452"/>
    <w:rsid w:val="00881268"/>
    <w:rsid w:val="00882F5F"/>
    <w:rsid w:val="0088394A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6155"/>
    <w:rsid w:val="008A2A17"/>
    <w:rsid w:val="008A36AE"/>
    <w:rsid w:val="008A42BC"/>
    <w:rsid w:val="008B0E7E"/>
    <w:rsid w:val="008B1495"/>
    <w:rsid w:val="008B440D"/>
    <w:rsid w:val="008B4D55"/>
    <w:rsid w:val="008B5B3E"/>
    <w:rsid w:val="008B65BD"/>
    <w:rsid w:val="008B6607"/>
    <w:rsid w:val="008B7900"/>
    <w:rsid w:val="008C1D59"/>
    <w:rsid w:val="008C1D85"/>
    <w:rsid w:val="008C71BF"/>
    <w:rsid w:val="008C7FE0"/>
    <w:rsid w:val="008D33A0"/>
    <w:rsid w:val="008D3D2B"/>
    <w:rsid w:val="008D5717"/>
    <w:rsid w:val="008D599D"/>
    <w:rsid w:val="008D6230"/>
    <w:rsid w:val="008E06BE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61BA"/>
    <w:rsid w:val="008F6E3C"/>
    <w:rsid w:val="008F7BA8"/>
    <w:rsid w:val="008F7C55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F68"/>
    <w:rsid w:val="009354B8"/>
    <w:rsid w:val="009355AC"/>
    <w:rsid w:val="00935F38"/>
    <w:rsid w:val="009363D9"/>
    <w:rsid w:val="00936D92"/>
    <w:rsid w:val="00937586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2D24"/>
    <w:rsid w:val="009A2DF0"/>
    <w:rsid w:val="009A2F58"/>
    <w:rsid w:val="009A456C"/>
    <w:rsid w:val="009A484B"/>
    <w:rsid w:val="009B00E0"/>
    <w:rsid w:val="009B02A5"/>
    <w:rsid w:val="009B041C"/>
    <w:rsid w:val="009B04C8"/>
    <w:rsid w:val="009B0E01"/>
    <w:rsid w:val="009B292A"/>
    <w:rsid w:val="009B4A26"/>
    <w:rsid w:val="009B518B"/>
    <w:rsid w:val="009B6663"/>
    <w:rsid w:val="009B6BA9"/>
    <w:rsid w:val="009B76D5"/>
    <w:rsid w:val="009C016B"/>
    <w:rsid w:val="009C165D"/>
    <w:rsid w:val="009C2135"/>
    <w:rsid w:val="009C3CEA"/>
    <w:rsid w:val="009C4A01"/>
    <w:rsid w:val="009C4F43"/>
    <w:rsid w:val="009C583D"/>
    <w:rsid w:val="009D1417"/>
    <w:rsid w:val="009D176E"/>
    <w:rsid w:val="009D2611"/>
    <w:rsid w:val="009D53D4"/>
    <w:rsid w:val="009D79D2"/>
    <w:rsid w:val="009E247C"/>
    <w:rsid w:val="009E31BA"/>
    <w:rsid w:val="009E3347"/>
    <w:rsid w:val="009E72F4"/>
    <w:rsid w:val="009F0528"/>
    <w:rsid w:val="009F0806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13C4"/>
    <w:rsid w:val="00A51834"/>
    <w:rsid w:val="00A51972"/>
    <w:rsid w:val="00A544B7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8D3"/>
    <w:rsid w:val="00A94D5D"/>
    <w:rsid w:val="00A95983"/>
    <w:rsid w:val="00AA0DA2"/>
    <w:rsid w:val="00AA1B13"/>
    <w:rsid w:val="00AA1D9B"/>
    <w:rsid w:val="00AA2543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D7"/>
    <w:rsid w:val="00AB62D1"/>
    <w:rsid w:val="00AC0D22"/>
    <w:rsid w:val="00AC3F63"/>
    <w:rsid w:val="00AC5E9A"/>
    <w:rsid w:val="00AC5F2D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6123"/>
    <w:rsid w:val="00B262F1"/>
    <w:rsid w:val="00B3085D"/>
    <w:rsid w:val="00B30D97"/>
    <w:rsid w:val="00B31074"/>
    <w:rsid w:val="00B31395"/>
    <w:rsid w:val="00B3181A"/>
    <w:rsid w:val="00B3364B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5AE5"/>
    <w:rsid w:val="00B77008"/>
    <w:rsid w:val="00B800C0"/>
    <w:rsid w:val="00B8132B"/>
    <w:rsid w:val="00B84C5A"/>
    <w:rsid w:val="00B858F5"/>
    <w:rsid w:val="00B91258"/>
    <w:rsid w:val="00B93668"/>
    <w:rsid w:val="00B96C0D"/>
    <w:rsid w:val="00B97CF0"/>
    <w:rsid w:val="00BA605F"/>
    <w:rsid w:val="00BA68C6"/>
    <w:rsid w:val="00BB0221"/>
    <w:rsid w:val="00BB12F1"/>
    <w:rsid w:val="00BB276E"/>
    <w:rsid w:val="00BB2FBF"/>
    <w:rsid w:val="00BB3FEE"/>
    <w:rsid w:val="00BB5EB0"/>
    <w:rsid w:val="00BC245A"/>
    <w:rsid w:val="00BC2EEF"/>
    <w:rsid w:val="00BC31E2"/>
    <w:rsid w:val="00BC5B12"/>
    <w:rsid w:val="00BC7B80"/>
    <w:rsid w:val="00BD0B8A"/>
    <w:rsid w:val="00BD16FA"/>
    <w:rsid w:val="00BD1773"/>
    <w:rsid w:val="00BD41C3"/>
    <w:rsid w:val="00BD488B"/>
    <w:rsid w:val="00BD7CCC"/>
    <w:rsid w:val="00BE002A"/>
    <w:rsid w:val="00BE0283"/>
    <w:rsid w:val="00BE0316"/>
    <w:rsid w:val="00BE1BC9"/>
    <w:rsid w:val="00BE2763"/>
    <w:rsid w:val="00BE318F"/>
    <w:rsid w:val="00BE31CC"/>
    <w:rsid w:val="00BE5CDA"/>
    <w:rsid w:val="00BE5D20"/>
    <w:rsid w:val="00BE608F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72AA"/>
    <w:rsid w:val="00C57A9A"/>
    <w:rsid w:val="00C6016A"/>
    <w:rsid w:val="00C60B3F"/>
    <w:rsid w:val="00C614BC"/>
    <w:rsid w:val="00C614D8"/>
    <w:rsid w:val="00C623EB"/>
    <w:rsid w:val="00C64C6B"/>
    <w:rsid w:val="00C65CA1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3AA"/>
    <w:rsid w:val="00C775BE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54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7634"/>
    <w:rsid w:val="00CD784D"/>
    <w:rsid w:val="00CE20EA"/>
    <w:rsid w:val="00CE23C2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D8A"/>
    <w:rsid w:val="00D039D5"/>
    <w:rsid w:val="00D0416F"/>
    <w:rsid w:val="00D05851"/>
    <w:rsid w:val="00D10FED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31A6F"/>
    <w:rsid w:val="00D32F5D"/>
    <w:rsid w:val="00D353D1"/>
    <w:rsid w:val="00D364DC"/>
    <w:rsid w:val="00D367DB"/>
    <w:rsid w:val="00D36E05"/>
    <w:rsid w:val="00D370A7"/>
    <w:rsid w:val="00D4020F"/>
    <w:rsid w:val="00D40993"/>
    <w:rsid w:val="00D412D4"/>
    <w:rsid w:val="00D4245F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703BD"/>
    <w:rsid w:val="00D712A6"/>
    <w:rsid w:val="00D76249"/>
    <w:rsid w:val="00D7643A"/>
    <w:rsid w:val="00D76618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181C"/>
    <w:rsid w:val="00E3280A"/>
    <w:rsid w:val="00E3345E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F7A"/>
    <w:rsid w:val="00E44FF8"/>
    <w:rsid w:val="00E5066A"/>
    <w:rsid w:val="00E5084E"/>
    <w:rsid w:val="00E520FB"/>
    <w:rsid w:val="00E52CF9"/>
    <w:rsid w:val="00E53455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563E"/>
    <w:rsid w:val="00E75DC9"/>
    <w:rsid w:val="00E7669F"/>
    <w:rsid w:val="00E81610"/>
    <w:rsid w:val="00E82863"/>
    <w:rsid w:val="00E84910"/>
    <w:rsid w:val="00E85B28"/>
    <w:rsid w:val="00E87AFA"/>
    <w:rsid w:val="00E87F1B"/>
    <w:rsid w:val="00E910C7"/>
    <w:rsid w:val="00E91976"/>
    <w:rsid w:val="00E93500"/>
    <w:rsid w:val="00E947A6"/>
    <w:rsid w:val="00E94C35"/>
    <w:rsid w:val="00E94D3D"/>
    <w:rsid w:val="00E96AE1"/>
    <w:rsid w:val="00E97FC7"/>
    <w:rsid w:val="00EA0690"/>
    <w:rsid w:val="00EA2FC3"/>
    <w:rsid w:val="00EA391D"/>
    <w:rsid w:val="00EA3956"/>
    <w:rsid w:val="00EA44EA"/>
    <w:rsid w:val="00EA49CE"/>
    <w:rsid w:val="00EA4C7B"/>
    <w:rsid w:val="00EA5BBC"/>
    <w:rsid w:val="00EA65E7"/>
    <w:rsid w:val="00EA6A3C"/>
    <w:rsid w:val="00EA7136"/>
    <w:rsid w:val="00EA71FA"/>
    <w:rsid w:val="00EB2166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70B4"/>
    <w:rsid w:val="00EF01CF"/>
    <w:rsid w:val="00EF1020"/>
    <w:rsid w:val="00EF27E5"/>
    <w:rsid w:val="00EF2D99"/>
    <w:rsid w:val="00EF6A47"/>
    <w:rsid w:val="00EF7AF9"/>
    <w:rsid w:val="00F000FF"/>
    <w:rsid w:val="00F00137"/>
    <w:rsid w:val="00F00952"/>
    <w:rsid w:val="00F01495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73A3"/>
    <w:rsid w:val="00F82286"/>
    <w:rsid w:val="00F8372F"/>
    <w:rsid w:val="00F839A7"/>
    <w:rsid w:val="00F86AD4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8511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18</cp:revision>
  <cp:lastPrinted>2025-11-06T06:26:00Z</cp:lastPrinted>
  <dcterms:created xsi:type="dcterms:W3CDTF">2025-11-06T07:39:00Z</dcterms:created>
  <dcterms:modified xsi:type="dcterms:W3CDTF">2025-12-04T09:40:00Z</dcterms:modified>
</cp:coreProperties>
</file>