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1586205F" w:rsidR="007437AB" w:rsidRPr="00616C70" w:rsidRDefault="007437AB" w:rsidP="006F1E66">
      <w:pPr>
        <w:jc w:val="both"/>
        <w:rPr>
          <w:rFonts w:ascii="Verdana" w:hAnsi="Verdana" w:cs="Arial"/>
          <w:sz w:val="18"/>
          <w:szCs w:val="18"/>
        </w:rPr>
      </w:pPr>
    </w:p>
    <w:p w14:paraId="41531857" w14:textId="7CDD38DC" w:rsidR="00547A14" w:rsidRPr="00DC0081" w:rsidRDefault="00AD5567" w:rsidP="00547A14">
      <w:pPr>
        <w:tabs>
          <w:tab w:val="left" w:pos="1080"/>
          <w:tab w:val="left" w:pos="7088"/>
        </w:tabs>
        <w:ind w:right="425"/>
        <w:jc w:val="right"/>
        <w:rPr>
          <w:rFonts w:ascii="Verdana" w:hAnsi="Verdana" w:cs="Arial"/>
          <w:sz w:val="18"/>
          <w:szCs w:val="18"/>
        </w:rPr>
      </w:pPr>
      <w:r>
        <w:rPr>
          <w:rFonts w:ascii="Verdana" w:hAnsi="Verdana" w:cs="Arial"/>
          <w:sz w:val="18"/>
          <w:szCs w:val="18"/>
        </w:rPr>
        <w:t>7</w:t>
      </w:r>
      <w:r>
        <w:rPr>
          <w:rFonts w:ascii="Verdana" w:hAnsi="Verdana" w:cs="Arial"/>
          <w:sz w:val="18"/>
          <w:szCs w:val="18"/>
          <w:vertAlign w:val="superscript"/>
        </w:rPr>
        <w:t>th</w:t>
      </w:r>
      <w:r w:rsidR="009E6D86">
        <w:rPr>
          <w:rFonts w:ascii="Verdana" w:hAnsi="Verdana" w:cs="Arial"/>
          <w:sz w:val="18"/>
          <w:szCs w:val="18"/>
        </w:rPr>
        <w:t xml:space="preserve"> </w:t>
      </w:r>
      <w:r>
        <w:rPr>
          <w:rFonts w:ascii="Verdana" w:hAnsi="Verdana" w:cs="Arial"/>
          <w:sz w:val="18"/>
          <w:szCs w:val="18"/>
        </w:rPr>
        <w:t>November</w:t>
      </w:r>
      <w:r w:rsidR="00547A14" w:rsidRPr="00547A14">
        <w:rPr>
          <w:rFonts w:ascii="Verdana" w:eastAsia="Malgun Gothic" w:hAnsi="Verdana" w:cs="Arial"/>
          <w:sz w:val="18"/>
          <w:szCs w:val="18"/>
        </w:rPr>
        <w:t>, 202</w:t>
      </w:r>
      <w:r w:rsidR="002A5770">
        <w:rPr>
          <w:rFonts w:ascii="Verdana" w:eastAsia="Malgun Gothic" w:hAnsi="Verdana" w:cs="Arial"/>
          <w:sz w:val="18"/>
          <w:szCs w:val="18"/>
        </w:rPr>
        <w:t>4</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3EDF523F"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AD5567" w:rsidRPr="00AD5567">
        <w:rPr>
          <w:rFonts w:ascii="Verdana" w:eastAsia="Malgun Gothic" w:hAnsi="Verdana" w:cs="Arial"/>
          <w:b/>
          <w:bCs/>
          <w:caps/>
          <w:u w:val="single"/>
        </w:rPr>
        <w:t>October</w:t>
      </w:r>
      <w:r w:rsidR="0025373F">
        <w:rPr>
          <w:rFonts w:ascii="Verdana" w:eastAsia="Malgun Gothic" w:hAnsi="Verdana" w:cs="Arial"/>
          <w:b/>
          <w:bCs/>
          <w:u w:val="single"/>
        </w:rPr>
        <w:t xml:space="preserve"> </w:t>
      </w:r>
      <w:r w:rsidR="00FC3F3F">
        <w:rPr>
          <w:rFonts w:ascii="Verdana" w:eastAsia="Malgun Gothic" w:hAnsi="Verdana" w:cs="Arial"/>
          <w:b/>
          <w:bCs/>
          <w:u w:val="single"/>
        </w:rPr>
        <w:t>202</w:t>
      </w:r>
      <w:r w:rsidR="0025373F">
        <w:rPr>
          <w:rFonts w:ascii="Verdana" w:eastAsia="Malgun Gothic" w:hAnsi="Verdana" w:cs="Arial"/>
          <w:b/>
          <w:bCs/>
          <w:u w:val="single"/>
        </w:rPr>
        <w:t>4</w:t>
      </w:r>
    </w:p>
    <w:p w14:paraId="06E5E36B" w14:textId="77777777" w:rsidR="00547A14" w:rsidRPr="008072F6" w:rsidRDefault="00547A14" w:rsidP="00547A14">
      <w:pPr>
        <w:rPr>
          <w:rFonts w:ascii="Verdana" w:eastAsia="Malgun Gothic" w:hAnsi="Verdana" w:cs="Arial"/>
        </w:rPr>
      </w:pPr>
    </w:p>
    <w:p w14:paraId="3B854C9B" w14:textId="6E9B5007"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04306B">
        <w:rPr>
          <w:rFonts w:ascii="Verdana" w:eastAsia="Malgun Gothic" w:hAnsi="Verdana" w:cs="Arial"/>
          <w:b/>
        </w:rPr>
        <w:t>0</w:t>
      </w:r>
      <w:r w:rsidRPr="00547A14">
        <w:rPr>
          <w:rFonts w:ascii="Verdana" w:eastAsia="Malgun Gothic" w:hAnsi="Verdana" w:cs="Arial"/>
          <w:b/>
        </w:rPr>
        <w:t>,</w:t>
      </w:r>
      <w:r w:rsidR="00AD5567">
        <w:rPr>
          <w:rFonts w:ascii="Verdana" w:eastAsia="Malgun Gothic" w:hAnsi="Verdana" w:cs="Arial"/>
          <w:b/>
        </w:rPr>
        <w:t>6</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682C4E85"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In</w:t>
      </w:r>
      <w:r w:rsidR="00706A92">
        <w:rPr>
          <w:rFonts w:ascii="Verdana" w:eastAsia="Malgun Gothic" w:hAnsi="Verdana" w:cs="Arial"/>
          <w:sz w:val="18"/>
          <w:szCs w:val="18"/>
        </w:rPr>
        <w:t xml:space="preserve"> </w:t>
      </w:r>
      <w:r w:rsidR="00AD5567">
        <w:rPr>
          <w:rFonts w:ascii="Verdana" w:eastAsia="Malgun Gothic" w:hAnsi="Verdana" w:cs="Arial"/>
          <w:sz w:val="18"/>
          <w:szCs w:val="18"/>
        </w:rPr>
        <w:t>October</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Consumer Price Index </w:t>
      </w:r>
      <w:r w:rsidR="00B441CB">
        <w:rPr>
          <w:rFonts w:ascii="Verdana" w:eastAsia="Malgun Gothic" w:hAnsi="Verdana" w:cs="Arial"/>
          <w:sz w:val="18"/>
          <w:szCs w:val="18"/>
        </w:rPr>
        <w:t>in</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194FB1">
        <w:rPr>
          <w:rFonts w:ascii="Verdana" w:eastAsia="Malgun Gothic" w:hAnsi="Verdana" w:cs="Arial"/>
          <w:sz w:val="18"/>
          <w:szCs w:val="18"/>
        </w:rPr>
        <w:t>0</w:t>
      </w:r>
      <w:r w:rsidRPr="00547A14">
        <w:rPr>
          <w:rFonts w:ascii="Verdana" w:eastAsia="Malgun Gothic" w:hAnsi="Verdana" w:cs="Arial"/>
          <w:sz w:val="18"/>
          <w:szCs w:val="18"/>
        </w:rPr>
        <w:t>,</w:t>
      </w:r>
      <w:r w:rsidR="00AD5567">
        <w:rPr>
          <w:rFonts w:ascii="Verdana" w:eastAsia="Malgun Gothic" w:hAnsi="Verdana" w:cs="Arial"/>
          <w:sz w:val="18"/>
          <w:szCs w:val="18"/>
        </w:rPr>
        <w:t>16</w:t>
      </w:r>
      <w:r w:rsidRPr="00547A14">
        <w:rPr>
          <w:rFonts w:ascii="Verdana" w:eastAsia="Malgun Gothic" w:hAnsi="Verdana" w:cs="Arial"/>
          <w:sz w:val="18"/>
          <w:szCs w:val="18"/>
        </w:rPr>
        <w:t xml:space="preserve"> units and reached 11</w:t>
      </w:r>
      <w:r w:rsidR="00BD6B3E">
        <w:rPr>
          <w:rFonts w:ascii="Verdana" w:eastAsia="Malgun Gothic" w:hAnsi="Verdana" w:cs="Arial"/>
          <w:sz w:val="18"/>
          <w:szCs w:val="18"/>
        </w:rPr>
        <w:t>8</w:t>
      </w:r>
      <w:r w:rsidRPr="00547A14">
        <w:rPr>
          <w:rFonts w:ascii="Verdana" w:eastAsia="Malgun Gothic" w:hAnsi="Verdana" w:cs="Arial"/>
          <w:sz w:val="18"/>
          <w:szCs w:val="18"/>
        </w:rPr>
        <w:t>,</w:t>
      </w:r>
      <w:r w:rsidR="00AD5567">
        <w:rPr>
          <w:rFonts w:ascii="Verdana" w:eastAsia="Malgun Gothic" w:hAnsi="Verdana" w:cs="Arial"/>
          <w:sz w:val="18"/>
          <w:szCs w:val="18"/>
        </w:rPr>
        <w:t>64</w:t>
      </w:r>
      <w:r w:rsidRPr="00547A14">
        <w:rPr>
          <w:rFonts w:ascii="Verdana" w:eastAsia="Malgun Gothic" w:hAnsi="Verdana" w:cs="Arial"/>
          <w:sz w:val="18"/>
          <w:szCs w:val="18"/>
        </w:rPr>
        <w:t xml:space="preserve"> units compared to 11</w:t>
      </w:r>
      <w:r w:rsidR="00D64942">
        <w:rPr>
          <w:rFonts w:ascii="Verdana" w:eastAsia="Malgun Gothic" w:hAnsi="Verdana" w:cs="Arial"/>
          <w:sz w:val="18"/>
          <w:szCs w:val="18"/>
        </w:rPr>
        <w:t>8</w:t>
      </w:r>
      <w:r w:rsidRPr="00547A14">
        <w:rPr>
          <w:rFonts w:ascii="Verdana" w:eastAsia="Malgun Gothic" w:hAnsi="Verdana" w:cs="Arial"/>
          <w:sz w:val="18"/>
          <w:szCs w:val="18"/>
        </w:rPr>
        <w:t>,</w:t>
      </w:r>
      <w:r w:rsidR="00AD5567">
        <w:rPr>
          <w:rFonts w:ascii="Verdana" w:eastAsia="Malgun Gothic" w:hAnsi="Verdana" w:cs="Arial"/>
          <w:sz w:val="18"/>
          <w:szCs w:val="18"/>
        </w:rPr>
        <w:t>48</w:t>
      </w:r>
      <w:r w:rsidRPr="00547A14">
        <w:rPr>
          <w:rFonts w:ascii="Verdana" w:eastAsia="Malgun Gothic" w:hAnsi="Verdana" w:cs="Arial"/>
          <w:sz w:val="18"/>
          <w:szCs w:val="18"/>
        </w:rPr>
        <w:t xml:space="preserve"> units in</w:t>
      </w:r>
      <w:r w:rsidR="00AD5567">
        <w:rPr>
          <w:rFonts w:ascii="Verdana" w:eastAsia="Malgun Gothic" w:hAnsi="Verdana" w:cs="Arial"/>
          <w:sz w:val="18"/>
          <w:szCs w:val="18"/>
        </w:rPr>
        <w:t xml:space="preserve"> September</w:t>
      </w:r>
      <w:r w:rsidR="00C65D37">
        <w:rPr>
          <w:rFonts w:ascii="Verdana" w:eastAsia="Malgun Gothic" w:hAnsi="Verdana" w:cs="Arial"/>
          <w:sz w:val="18"/>
          <w:szCs w:val="18"/>
        </w:rPr>
        <w:t xml:space="preserve"> </w:t>
      </w:r>
      <w:r w:rsidRPr="00547A14">
        <w:rPr>
          <w:rFonts w:ascii="Verdana" w:eastAsia="Malgun Gothic" w:hAnsi="Verdana" w:cs="Arial"/>
          <w:sz w:val="18"/>
          <w:szCs w:val="18"/>
        </w:rPr>
        <w:t>202</w:t>
      </w:r>
      <w:r w:rsidR="00C65D37">
        <w:rPr>
          <w:rFonts w:ascii="Verdana" w:eastAsia="Malgun Gothic" w:hAnsi="Verdana" w:cs="Arial"/>
          <w:sz w:val="18"/>
          <w:szCs w:val="18"/>
        </w:rPr>
        <w:t>4</w:t>
      </w:r>
      <w:r w:rsidRPr="00547A14">
        <w:rPr>
          <w:rFonts w:ascii="Verdana" w:eastAsia="Malgun Gothic" w:hAnsi="Verdana" w:cs="Arial"/>
          <w:sz w:val="18"/>
          <w:szCs w:val="18"/>
        </w:rPr>
        <w:t>. In</w:t>
      </w:r>
      <w:r w:rsidR="00AD5567">
        <w:rPr>
          <w:rFonts w:ascii="Verdana" w:eastAsia="Malgun Gothic" w:hAnsi="Verdana" w:cs="Arial"/>
          <w:sz w:val="18"/>
          <w:szCs w:val="18"/>
        </w:rPr>
        <w:t xml:space="preserve"> October</w:t>
      </w:r>
      <w:r w:rsidRPr="00547A14">
        <w:rPr>
          <w:rFonts w:ascii="Verdana" w:eastAsia="Malgun Gothic" w:hAnsi="Verdana" w:cs="Arial"/>
          <w:sz w:val="18"/>
          <w:szCs w:val="18"/>
        </w:rPr>
        <w:t xml:space="preserve"> 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inflation increased by </w:t>
      </w:r>
      <w:r w:rsidR="00801B91">
        <w:rPr>
          <w:rFonts w:ascii="Verdana" w:eastAsia="Malgun Gothic" w:hAnsi="Verdana" w:cs="Arial"/>
          <w:sz w:val="18"/>
          <w:szCs w:val="18"/>
        </w:rPr>
        <w:t>0,</w:t>
      </w:r>
      <w:r w:rsidR="00AD5567">
        <w:rPr>
          <w:rFonts w:ascii="Verdana" w:eastAsia="Malgun Gothic" w:hAnsi="Verdana" w:cs="Arial"/>
          <w:sz w:val="18"/>
          <w:szCs w:val="18"/>
        </w:rPr>
        <w:t>6</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5441D6F" w14:textId="6DC930F0" w:rsidR="00FB303A" w:rsidRDefault="00C65D37" w:rsidP="00FB303A">
      <w:pPr>
        <w:tabs>
          <w:tab w:val="left" w:pos="1080"/>
          <w:tab w:val="left" w:pos="6840"/>
        </w:tabs>
        <w:jc w:val="both"/>
        <w:rPr>
          <w:rFonts w:ascii="Verdana" w:eastAsia="Malgun Gothic" w:hAnsi="Verdana" w:cs="Arial"/>
          <w:sz w:val="18"/>
          <w:szCs w:val="18"/>
          <w:lang w:val="en-GB"/>
        </w:rPr>
      </w:pPr>
      <w:r w:rsidRPr="00C65D37">
        <w:rPr>
          <w:rFonts w:ascii="Verdana" w:eastAsia="Malgun Gothic" w:hAnsi="Verdana" w:cs="Arial"/>
          <w:sz w:val="18"/>
          <w:szCs w:val="18"/>
          <w:lang w:val="en-GB"/>
        </w:rPr>
        <w:t xml:space="preserve">For the period </w:t>
      </w:r>
      <w:r w:rsidR="00176C58">
        <w:rPr>
          <w:rFonts w:ascii="Verdana" w:eastAsia="Malgun Gothic" w:hAnsi="Verdana" w:cs="Arial"/>
          <w:sz w:val="18"/>
          <w:szCs w:val="18"/>
        </w:rPr>
        <w:t>January</w:t>
      </w:r>
      <w:r w:rsidRPr="00C65D37">
        <w:rPr>
          <w:rFonts w:ascii="Verdana" w:eastAsia="Malgun Gothic" w:hAnsi="Verdana" w:cs="Arial"/>
          <w:sz w:val="18"/>
          <w:szCs w:val="18"/>
          <w:lang w:val="en-GB"/>
        </w:rPr>
        <w:t>-</w:t>
      </w:r>
      <w:r w:rsidR="00AD5567">
        <w:rPr>
          <w:rFonts w:ascii="Verdana" w:eastAsia="Malgun Gothic" w:hAnsi="Verdana" w:cs="Arial"/>
          <w:sz w:val="18"/>
          <w:szCs w:val="18"/>
          <w:lang w:val="en-GB"/>
        </w:rPr>
        <w:t>October</w:t>
      </w:r>
      <w:r w:rsidRPr="00C65D37">
        <w:rPr>
          <w:rFonts w:ascii="Verdana" w:eastAsia="Malgun Gothic" w:hAnsi="Verdana" w:cs="Arial"/>
          <w:sz w:val="18"/>
          <w:szCs w:val="18"/>
          <w:lang w:val="en-GB"/>
        </w:rPr>
        <w:t xml:space="preserve"> 202</w:t>
      </w:r>
      <w:r>
        <w:rPr>
          <w:rFonts w:ascii="Verdana" w:eastAsia="Malgun Gothic" w:hAnsi="Verdana" w:cs="Arial"/>
          <w:sz w:val="18"/>
          <w:szCs w:val="18"/>
          <w:lang w:val="en-GB"/>
        </w:rPr>
        <w:t>4</w:t>
      </w:r>
      <w:r w:rsidRPr="00C65D37">
        <w:rPr>
          <w:rFonts w:ascii="Verdana" w:eastAsia="Malgun Gothic" w:hAnsi="Verdana" w:cs="Arial"/>
          <w:sz w:val="18"/>
          <w:szCs w:val="18"/>
          <w:lang w:val="en-GB"/>
        </w:rPr>
        <w:t xml:space="preserve">, the CPI increased by </w:t>
      </w:r>
      <w:r w:rsidR="00142597">
        <w:rPr>
          <w:rFonts w:ascii="Verdana" w:eastAsia="Malgun Gothic" w:hAnsi="Verdana" w:cs="Arial"/>
          <w:sz w:val="18"/>
          <w:szCs w:val="18"/>
          <w:lang w:val="en-GB"/>
        </w:rPr>
        <w:t>1</w:t>
      </w:r>
      <w:r w:rsidRPr="00C65D37">
        <w:rPr>
          <w:rFonts w:ascii="Verdana" w:eastAsia="Malgun Gothic" w:hAnsi="Verdana" w:cs="Arial"/>
          <w:sz w:val="18"/>
          <w:szCs w:val="18"/>
          <w:lang w:val="en-GB"/>
        </w:rPr>
        <w:t>,</w:t>
      </w:r>
      <w:r w:rsidR="00AD5567">
        <w:rPr>
          <w:rFonts w:ascii="Verdana" w:eastAsia="Malgun Gothic" w:hAnsi="Verdana" w:cs="Arial"/>
          <w:sz w:val="18"/>
          <w:szCs w:val="18"/>
          <w:lang w:val="en-GB"/>
        </w:rPr>
        <w:t>8</w:t>
      </w:r>
      <w:r w:rsidRPr="00C65D37">
        <w:rPr>
          <w:rFonts w:ascii="Verdana" w:eastAsia="Malgun Gothic" w:hAnsi="Verdana" w:cs="Arial"/>
          <w:sz w:val="18"/>
          <w:szCs w:val="18"/>
          <w:lang w:val="en-GB"/>
        </w:rPr>
        <w:t>% compared to the corresponding period of the previous year. (Table 1)</w:t>
      </w:r>
    </w:p>
    <w:p w14:paraId="30F0C443" w14:textId="0B086A76" w:rsidR="00BD6B3E" w:rsidRDefault="00BD6B3E" w:rsidP="00FB303A">
      <w:pPr>
        <w:tabs>
          <w:tab w:val="left" w:pos="1080"/>
          <w:tab w:val="left" w:pos="6840"/>
        </w:tabs>
        <w:jc w:val="both"/>
        <w:rPr>
          <w:rFonts w:ascii="Verdana" w:eastAsia="Malgun Gothic" w:hAnsi="Verdana" w:cs="Arial"/>
          <w:sz w:val="18"/>
          <w:szCs w:val="18"/>
          <w:lang w:val="en-GB"/>
        </w:rPr>
      </w:pPr>
    </w:p>
    <w:p w14:paraId="5CE8DF65"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093DCB22" w14:textId="3BBC5246" w:rsidR="00D26A13" w:rsidRDefault="00AD5567" w:rsidP="00411B7E">
      <w:pPr>
        <w:tabs>
          <w:tab w:val="left" w:pos="1080"/>
          <w:tab w:val="left" w:pos="6840"/>
        </w:tabs>
        <w:jc w:val="center"/>
        <w:rPr>
          <w:rFonts w:ascii="Verdana" w:eastAsia="Malgun Gothic" w:hAnsi="Verdana" w:cs="Arial"/>
          <w:sz w:val="18"/>
          <w:szCs w:val="18"/>
          <w:lang w:val="en-GB"/>
        </w:rPr>
      </w:pPr>
      <w:r>
        <w:rPr>
          <w:noProof/>
        </w:rPr>
        <w:drawing>
          <wp:inline distT="0" distB="0" distL="0" distR="0" wp14:anchorId="42AD18BA" wp14:editId="059A747C">
            <wp:extent cx="6086476" cy="4048125"/>
            <wp:effectExtent l="0" t="0" r="9525" b="9525"/>
            <wp:docPr id="1707658418" name="Chart 1">
              <a:extLst xmlns:a="http://schemas.openxmlformats.org/drawingml/2006/main">
                <a:ext uri="{FF2B5EF4-FFF2-40B4-BE49-F238E27FC236}">
                  <a16:creationId xmlns:a16="http://schemas.microsoft.com/office/drawing/2014/main" id="{AA165FCE-F153-4751-9C6B-B7844F4A4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62A82F67" w14:textId="6D739F87" w:rsidR="008072F6" w:rsidRDefault="00AD5567" w:rsidP="00CB646F">
      <w:pPr>
        <w:jc w:val="both"/>
        <w:rPr>
          <w:rFonts w:ascii="Verdana" w:eastAsia="Malgun Gothic" w:hAnsi="Verdana" w:cs="Arial"/>
          <w:sz w:val="18"/>
          <w:szCs w:val="18"/>
        </w:rPr>
      </w:pPr>
      <w:r w:rsidRPr="00AD5567">
        <w:rPr>
          <w:rFonts w:ascii="Verdana" w:eastAsia="Malgun Gothic" w:hAnsi="Verdana" w:cs="Arial"/>
          <w:sz w:val="18"/>
          <w:szCs w:val="18"/>
        </w:rPr>
        <w:t xml:space="preserve">The largest change in economic categories compared to </w:t>
      </w:r>
      <w:r w:rsidR="00CB646F">
        <w:rPr>
          <w:rFonts w:ascii="Verdana" w:eastAsia="Malgun Gothic" w:hAnsi="Verdana" w:cs="Arial"/>
          <w:sz w:val="18"/>
          <w:szCs w:val="18"/>
        </w:rPr>
        <w:t xml:space="preserve">October </w:t>
      </w:r>
      <w:r w:rsidRPr="00AD5567">
        <w:rPr>
          <w:rFonts w:ascii="Verdana" w:eastAsia="Malgun Gothic" w:hAnsi="Verdana" w:cs="Arial"/>
          <w:sz w:val="18"/>
          <w:szCs w:val="18"/>
        </w:rPr>
        <w:t>2023 was recorded in Petroleum Products with a percentage of -12</w:t>
      </w:r>
      <w:r w:rsidR="00CB646F">
        <w:rPr>
          <w:rFonts w:ascii="Verdana" w:eastAsia="Malgun Gothic" w:hAnsi="Verdana" w:cs="Arial"/>
          <w:sz w:val="18"/>
          <w:szCs w:val="18"/>
        </w:rPr>
        <w:t>,</w:t>
      </w:r>
      <w:r w:rsidRPr="00AD5567">
        <w:rPr>
          <w:rFonts w:ascii="Verdana" w:eastAsia="Malgun Gothic" w:hAnsi="Verdana" w:cs="Arial"/>
          <w:sz w:val="18"/>
          <w:szCs w:val="18"/>
        </w:rPr>
        <w:t>75%, while compared to the previous month, the largest change was recorded in Agricultural Products with a percentage of -2</w:t>
      </w:r>
      <w:r w:rsidR="00CB646F">
        <w:rPr>
          <w:rFonts w:ascii="Verdana" w:eastAsia="Malgun Gothic" w:hAnsi="Verdana" w:cs="Arial"/>
          <w:sz w:val="18"/>
          <w:szCs w:val="18"/>
        </w:rPr>
        <w:t>,</w:t>
      </w:r>
      <w:r w:rsidRPr="00AD5567">
        <w:rPr>
          <w:rFonts w:ascii="Verdana" w:eastAsia="Malgun Gothic" w:hAnsi="Verdana" w:cs="Arial"/>
          <w:sz w:val="18"/>
          <w:szCs w:val="18"/>
        </w:rPr>
        <w:t>17%. (Table 2)</w:t>
      </w:r>
      <w:r w:rsidR="008072F6">
        <w:rPr>
          <w:rFonts w:ascii="Verdana" w:eastAsia="Malgun Gothic" w:hAnsi="Verdana" w:cs="Arial"/>
          <w:sz w:val="18"/>
          <w:szCs w:val="18"/>
        </w:rPr>
        <w:br w:type="page"/>
      </w: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3A3B9ABE" w14:textId="525EBC62" w:rsidR="00AD5567" w:rsidRPr="00AD5567" w:rsidRDefault="00AD5567" w:rsidP="00CB646F">
      <w:pPr>
        <w:jc w:val="both"/>
        <w:rPr>
          <w:rFonts w:ascii="Verdana" w:eastAsia="Malgun Gothic" w:hAnsi="Verdana" w:cs="Arial"/>
          <w:sz w:val="18"/>
          <w:szCs w:val="18"/>
        </w:rPr>
      </w:pPr>
      <w:r w:rsidRPr="00AD5567">
        <w:rPr>
          <w:rFonts w:ascii="Verdana" w:eastAsia="Malgun Gothic" w:hAnsi="Verdana" w:cs="Arial"/>
          <w:sz w:val="18"/>
          <w:szCs w:val="18"/>
        </w:rPr>
        <w:t xml:space="preserve">Compared to October 2023, the largest changes were observed in the categories of </w:t>
      </w:r>
      <w:r w:rsidRPr="00540EED">
        <w:rPr>
          <w:rFonts w:ascii="Verdana" w:eastAsia="Malgun Gothic" w:hAnsi="Verdana" w:cs="Arial"/>
          <w:i/>
          <w:iCs/>
          <w:sz w:val="18"/>
          <w:szCs w:val="18"/>
        </w:rPr>
        <w:t>Restaurants and Hotels</w:t>
      </w:r>
      <w:r w:rsidRPr="00AD5567">
        <w:rPr>
          <w:rFonts w:ascii="Verdana" w:eastAsia="Malgun Gothic" w:hAnsi="Verdana" w:cs="Arial"/>
          <w:sz w:val="18"/>
          <w:szCs w:val="18"/>
        </w:rPr>
        <w:t xml:space="preserve"> (5</w:t>
      </w:r>
      <w:r w:rsidR="00CB646F">
        <w:rPr>
          <w:rFonts w:ascii="Verdana" w:eastAsia="Malgun Gothic" w:hAnsi="Verdana" w:cs="Arial"/>
          <w:sz w:val="18"/>
          <w:szCs w:val="18"/>
        </w:rPr>
        <w:t>,</w:t>
      </w:r>
      <w:r w:rsidRPr="00AD5567">
        <w:rPr>
          <w:rFonts w:ascii="Verdana" w:eastAsia="Malgun Gothic" w:hAnsi="Verdana" w:cs="Arial"/>
          <w:sz w:val="18"/>
          <w:szCs w:val="18"/>
        </w:rPr>
        <w:t xml:space="preserve">4%), </w:t>
      </w:r>
      <w:r w:rsidRPr="00540EED">
        <w:rPr>
          <w:rFonts w:ascii="Verdana" w:eastAsia="Malgun Gothic" w:hAnsi="Verdana" w:cs="Arial"/>
          <w:i/>
          <w:iCs/>
          <w:sz w:val="18"/>
          <w:szCs w:val="18"/>
        </w:rPr>
        <w:t>Food and Non-Alcoholic Beverages</w:t>
      </w:r>
      <w:r w:rsidRPr="00AD5567">
        <w:rPr>
          <w:rFonts w:ascii="Verdana" w:eastAsia="Malgun Gothic" w:hAnsi="Verdana" w:cs="Arial"/>
          <w:sz w:val="18"/>
          <w:szCs w:val="18"/>
        </w:rPr>
        <w:t xml:space="preserve"> (5</w:t>
      </w:r>
      <w:r w:rsidR="00CB646F">
        <w:rPr>
          <w:rFonts w:ascii="Verdana" w:eastAsia="Malgun Gothic" w:hAnsi="Verdana" w:cs="Arial"/>
          <w:sz w:val="18"/>
          <w:szCs w:val="18"/>
        </w:rPr>
        <w:t>,</w:t>
      </w:r>
      <w:r w:rsidRPr="00AD5567">
        <w:rPr>
          <w:rFonts w:ascii="Verdana" w:eastAsia="Malgun Gothic" w:hAnsi="Verdana" w:cs="Arial"/>
          <w:sz w:val="18"/>
          <w:szCs w:val="18"/>
        </w:rPr>
        <w:t xml:space="preserve">0%), and </w:t>
      </w:r>
      <w:r w:rsidRPr="00540EED">
        <w:rPr>
          <w:rFonts w:ascii="Verdana" w:eastAsia="Malgun Gothic" w:hAnsi="Verdana" w:cs="Arial"/>
          <w:i/>
          <w:iCs/>
          <w:sz w:val="18"/>
          <w:szCs w:val="18"/>
        </w:rPr>
        <w:t>Transportation</w:t>
      </w:r>
      <w:r w:rsidRPr="00AD5567">
        <w:rPr>
          <w:rFonts w:ascii="Verdana" w:eastAsia="Malgun Gothic" w:hAnsi="Verdana" w:cs="Arial"/>
          <w:sz w:val="18"/>
          <w:szCs w:val="18"/>
        </w:rPr>
        <w:t xml:space="preserve"> (-6</w:t>
      </w:r>
      <w:r w:rsidR="00CB646F">
        <w:rPr>
          <w:rFonts w:ascii="Verdana" w:eastAsia="Malgun Gothic" w:hAnsi="Verdana" w:cs="Arial"/>
          <w:sz w:val="18"/>
          <w:szCs w:val="18"/>
        </w:rPr>
        <w:t>,</w:t>
      </w:r>
      <w:r w:rsidRPr="00AD5567">
        <w:rPr>
          <w:rFonts w:ascii="Verdana" w:eastAsia="Malgun Gothic" w:hAnsi="Verdana" w:cs="Arial"/>
          <w:sz w:val="18"/>
          <w:szCs w:val="18"/>
        </w:rPr>
        <w:t>9%). (Table 1)</w:t>
      </w:r>
    </w:p>
    <w:p w14:paraId="1BAC3402" w14:textId="77777777" w:rsidR="00AD5567" w:rsidRPr="00AD5567" w:rsidRDefault="00AD5567" w:rsidP="00CB646F">
      <w:pPr>
        <w:jc w:val="both"/>
        <w:rPr>
          <w:rFonts w:ascii="Verdana" w:eastAsia="Malgun Gothic" w:hAnsi="Verdana" w:cs="Arial"/>
          <w:sz w:val="18"/>
          <w:szCs w:val="18"/>
        </w:rPr>
      </w:pPr>
    </w:p>
    <w:p w14:paraId="3853E10E" w14:textId="4D08B6E1" w:rsidR="00AD5567" w:rsidRPr="00AD5567" w:rsidRDefault="00AD5567" w:rsidP="00CB646F">
      <w:pPr>
        <w:jc w:val="both"/>
        <w:rPr>
          <w:rFonts w:ascii="Verdana" w:eastAsia="Malgun Gothic" w:hAnsi="Verdana" w:cs="Arial"/>
          <w:sz w:val="18"/>
          <w:szCs w:val="18"/>
        </w:rPr>
      </w:pPr>
      <w:r w:rsidRPr="00AD5567">
        <w:rPr>
          <w:rFonts w:ascii="Verdana" w:eastAsia="Malgun Gothic" w:hAnsi="Verdana" w:cs="Arial"/>
          <w:sz w:val="18"/>
          <w:szCs w:val="18"/>
        </w:rPr>
        <w:t xml:space="preserve">Compared to September 2024, the largest changes were observed in the categories of </w:t>
      </w:r>
      <w:r w:rsidRPr="00540EED">
        <w:rPr>
          <w:rFonts w:ascii="Verdana" w:eastAsia="Malgun Gothic" w:hAnsi="Verdana" w:cs="Arial"/>
          <w:i/>
          <w:iCs/>
          <w:sz w:val="18"/>
          <w:szCs w:val="18"/>
        </w:rPr>
        <w:t>Clothing and Footwear</w:t>
      </w:r>
      <w:r w:rsidRPr="00AD5567">
        <w:rPr>
          <w:rFonts w:ascii="Verdana" w:eastAsia="Malgun Gothic" w:hAnsi="Verdana" w:cs="Arial"/>
          <w:sz w:val="18"/>
          <w:szCs w:val="18"/>
        </w:rPr>
        <w:t xml:space="preserve"> (3</w:t>
      </w:r>
      <w:r w:rsidR="00CB646F">
        <w:rPr>
          <w:rFonts w:ascii="Verdana" w:eastAsia="Malgun Gothic" w:hAnsi="Verdana" w:cs="Arial"/>
          <w:sz w:val="18"/>
          <w:szCs w:val="18"/>
        </w:rPr>
        <w:t>,</w:t>
      </w:r>
      <w:r w:rsidRPr="00AD5567">
        <w:rPr>
          <w:rFonts w:ascii="Verdana" w:eastAsia="Malgun Gothic" w:hAnsi="Verdana" w:cs="Arial"/>
          <w:sz w:val="18"/>
          <w:szCs w:val="18"/>
        </w:rPr>
        <w:t xml:space="preserve">1%) and </w:t>
      </w:r>
      <w:r w:rsidRPr="00540EED">
        <w:rPr>
          <w:rFonts w:ascii="Verdana" w:eastAsia="Malgun Gothic" w:hAnsi="Verdana" w:cs="Arial"/>
          <w:i/>
          <w:iCs/>
          <w:sz w:val="18"/>
          <w:szCs w:val="18"/>
        </w:rPr>
        <w:t>Education</w:t>
      </w:r>
      <w:r w:rsidRPr="00AD5567">
        <w:rPr>
          <w:rFonts w:ascii="Verdana" w:eastAsia="Malgun Gothic" w:hAnsi="Verdana" w:cs="Arial"/>
          <w:sz w:val="18"/>
          <w:szCs w:val="18"/>
        </w:rPr>
        <w:t xml:space="preserve"> (1</w:t>
      </w:r>
      <w:r w:rsidR="00CB646F">
        <w:rPr>
          <w:rFonts w:ascii="Verdana" w:eastAsia="Malgun Gothic" w:hAnsi="Verdana" w:cs="Arial"/>
          <w:sz w:val="18"/>
          <w:szCs w:val="18"/>
        </w:rPr>
        <w:t>,</w:t>
      </w:r>
      <w:r w:rsidRPr="00AD5567">
        <w:rPr>
          <w:rFonts w:ascii="Verdana" w:eastAsia="Malgun Gothic" w:hAnsi="Verdana" w:cs="Arial"/>
          <w:sz w:val="18"/>
          <w:szCs w:val="18"/>
        </w:rPr>
        <w:t>1%). (Table 1)</w:t>
      </w:r>
    </w:p>
    <w:p w14:paraId="04EDB600" w14:textId="77777777" w:rsidR="00AD5567" w:rsidRPr="00AD5567" w:rsidRDefault="00AD5567" w:rsidP="00CB646F">
      <w:pPr>
        <w:jc w:val="both"/>
        <w:rPr>
          <w:rFonts w:ascii="Verdana" w:eastAsia="Malgun Gothic" w:hAnsi="Verdana" w:cs="Arial"/>
          <w:sz w:val="18"/>
          <w:szCs w:val="18"/>
        </w:rPr>
      </w:pPr>
    </w:p>
    <w:p w14:paraId="46795CFF" w14:textId="6081ED4B" w:rsidR="00B964D9" w:rsidRDefault="00AD5567" w:rsidP="00CB646F">
      <w:pPr>
        <w:jc w:val="both"/>
        <w:rPr>
          <w:rFonts w:ascii="Verdana" w:eastAsia="Malgun Gothic" w:hAnsi="Verdana" w:cs="Arial"/>
          <w:sz w:val="18"/>
          <w:szCs w:val="18"/>
        </w:rPr>
      </w:pPr>
      <w:r w:rsidRPr="00AD5567">
        <w:rPr>
          <w:rFonts w:ascii="Verdana" w:eastAsia="Malgun Gothic" w:hAnsi="Verdana" w:cs="Arial"/>
          <w:sz w:val="18"/>
          <w:szCs w:val="18"/>
        </w:rPr>
        <w:t>For the period January – October 2024, compared to the corresponding period</w:t>
      </w:r>
      <w:r w:rsidR="00540EED">
        <w:rPr>
          <w:rFonts w:ascii="Verdana" w:eastAsia="Malgun Gothic" w:hAnsi="Verdana" w:cs="Arial"/>
          <w:sz w:val="18"/>
          <w:szCs w:val="18"/>
        </w:rPr>
        <w:t xml:space="preserve"> of</w:t>
      </w:r>
      <w:r w:rsidRPr="00AD5567">
        <w:rPr>
          <w:rFonts w:ascii="Verdana" w:eastAsia="Malgun Gothic" w:hAnsi="Verdana" w:cs="Arial"/>
          <w:sz w:val="18"/>
          <w:szCs w:val="18"/>
        </w:rPr>
        <w:t xml:space="preserve"> last year, the largest change w</w:t>
      </w:r>
      <w:r w:rsidR="00540EED">
        <w:rPr>
          <w:rFonts w:ascii="Verdana" w:eastAsia="Malgun Gothic" w:hAnsi="Verdana" w:cs="Arial"/>
          <w:sz w:val="18"/>
          <w:szCs w:val="18"/>
        </w:rPr>
        <w:t>as</w:t>
      </w:r>
      <w:r w:rsidRPr="00AD5567">
        <w:rPr>
          <w:rFonts w:ascii="Verdana" w:eastAsia="Malgun Gothic" w:hAnsi="Verdana" w:cs="Arial"/>
          <w:sz w:val="18"/>
          <w:szCs w:val="18"/>
        </w:rPr>
        <w:t xml:space="preserve"> recorded in the category of </w:t>
      </w:r>
      <w:r w:rsidRPr="00540EED">
        <w:rPr>
          <w:rFonts w:ascii="Verdana" w:eastAsia="Malgun Gothic" w:hAnsi="Verdana" w:cs="Arial"/>
          <w:i/>
          <w:iCs/>
          <w:sz w:val="18"/>
          <w:szCs w:val="18"/>
        </w:rPr>
        <w:t>Restaurants and Hotels</w:t>
      </w:r>
      <w:r w:rsidRPr="00AD5567">
        <w:rPr>
          <w:rFonts w:ascii="Verdana" w:eastAsia="Malgun Gothic" w:hAnsi="Verdana" w:cs="Arial"/>
          <w:sz w:val="18"/>
          <w:szCs w:val="18"/>
        </w:rPr>
        <w:t xml:space="preserve"> (5</w:t>
      </w:r>
      <w:r w:rsidR="00CB646F">
        <w:rPr>
          <w:rFonts w:ascii="Verdana" w:eastAsia="Malgun Gothic" w:hAnsi="Verdana" w:cs="Arial"/>
          <w:sz w:val="18"/>
          <w:szCs w:val="18"/>
        </w:rPr>
        <w:t>,</w:t>
      </w:r>
      <w:r w:rsidRPr="00AD5567">
        <w:rPr>
          <w:rFonts w:ascii="Verdana" w:eastAsia="Malgun Gothic" w:hAnsi="Verdana" w:cs="Arial"/>
          <w:sz w:val="18"/>
          <w:szCs w:val="18"/>
        </w:rPr>
        <w:t>7%). (Table 1)</w:t>
      </w: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29937FAA" w14:textId="4891EA91" w:rsidR="00CB646F" w:rsidRPr="00CB646F" w:rsidRDefault="00CB646F" w:rsidP="00CB646F">
      <w:pPr>
        <w:tabs>
          <w:tab w:val="left" w:pos="1080"/>
          <w:tab w:val="left" w:pos="6840"/>
        </w:tabs>
        <w:jc w:val="both"/>
        <w:rPr>
          <w:rFonts w:ascii="Verdana" w:eastAsia="Malgun Gothic" w:hAnsi="Verdana" w:cs="Arial"/>
          <w:sz w:val="18"/>
          <w:szCs w:val="18"/>
        </w:rPr>
      </w:pPr>
      <w:r w:rsidRPr="00CB646F">
        <w:rPr>
          <w:rFonts w:ascii="Verdana" w:eastAsia="Malgun Gothic" w:hAnsi="Verdana" w:cs="Arial"/>
          <w:sz w:val="18"/>
          <w:szCs w:val="18"/>
        </w:rPr>
        <w:t xml:space="preserve">The largest positive impact on the change </w:t>
      </w:r>
      <w:r>
        <w:rPr>
          <w:rFonts w:ascii="Verdana" w:eastAsia="Malgun Gothic" w:hAnsi="Verdana" w:cs="Arial"/>
          <w:sz w:val="18"/>
          <w:szCs w:val="18"/>
        </w:rPr>
        <w:t>of</w:t>
      </w:r>
      <w:r w:rsidRPr="00CB646F">
        <w:rPr>
          <w:rFonts w:ascii="Verdana" w:eastAsia="Malgun Gothic" w:hAnsi="Verdana" w:cs="Arial"/>
          <w:sz w:val="18"/>
          <w:szCs w:val="18"/>
        </w:rPr>
        <w:t xml:space="preserve"> the Consumer Price Index (CPI) for October 2024 compared to October 2023 came from the categories of </w:t>
      </w:r>
      <w:r w:rsidRPr="00540EED">
        <w:rPr>
          <w:rFonts w:ascii="Verdana" w:eastAsia="Malgun Gothic" w:hAnsi="Verdana" w:cs="Arial"/>
          <w:i/>
          <w:iCs/>
          <w:sz w:val="18"/>
          <w:szCs w:val="18"/>
        </w:rPr>
        <w:t>Food and Non-Alcoholic Beverages</w:t>
      </w:r>
      <w:r w:rsidRPr="00CB646F">
        <w:rPr>
          <w:rFonts w:ascii="Verdana" w:eastAsia="Malgun Gothic" w:hAnsi="Verdana" w:cs="Arial"/>
          <w:sz w:val="18"/>
          <w:szCs w:val="18"/>
        </w:rPr>
        <w:t xml:space="preserve"> (1</w:t>
      </w:r>
      <w:r>
        <w:rPr>
          <w:rFonts w:ascii="Verdana" w:eastAsia="Malgun Gothic" w:hAnsi="Verdana" w:cs="Arial"/>
          <w:sz w:val="18"/>
          <w:szCs w:val="18"/>
        </w:rPr>
        <w:t>,</w:t>
      </w:r>
      <w:r w:rsidRPr="00CB646F">
        <w:rPr>
          <w:rFonts w:ascii="Verdana" w:eastAsia="Malgun Gothic" w:hAnsi="Verdana" w:cs="Arial"/>
          <w:sz w:val="18"/>
          <w:szCs w:val="18"/>
        </w:rPr>
        <w:t xml:space="preserve">16) and </w:t>
      </w:r>
      <w:r w:rsidRPr="00540EED">
        <w:rPr>
          <w:rFonts w:ascii="Verdana" w:eastAsia="Malgun Gothic" w:hAnsi="Verdana" w:cs="Arial"/>
          <w:i/>
          <w:iCs/>
          <w:sz w:val="18"/>
          <w:szCs w:val="18"/>
        </w:rPr>
        <w:t>Restaurants and Hotels</w:t>
      </w:r>
      <w:r w:rsidRPr="00CB646F">
        <w:rPr>
          <w:rFonts w:ascii="Verdana" w:eastAsia="Malgun Gothic" w:hAnsi="Verdana" w:cs="Arial"/>
          <w:sz w:val="18"/>
          <w:szCs w:val="18"/>
        </w:rPr>
        <w:t xml:space="preserve"> (0</w:t>
      </w:r>
      <w:r>
        <w:rPr>
          <w:rFonts w:ascii="Verdana" w:eastAsia="Malgun Gothic" w:hAnsi="Verdana" w:cs="Arial"/>
          <w:sz w:val="18"/>
          <w:szCs w:val="18"/>
        </w:rPr>
        <w:t>,</w:t>
      </w:r>
      <w:r w:rsidRPr="00CB646F">
        <w:rPr>
          <w:rFonts w:ascii="Verdana" w:eastAsia="Malgun Gothic" w:hAnsi="Verdana" w:cs="Arial"/>
          <w:sz w:val="18"/>
          <w:szCs w:val="18"/>
        </w:rPr>
        <w:t>56) (Table 3).</w:t>
      </w:r>
    </w:p>
    <w:p w14:paraId="1A9578B3" w14:textId="77777777" w:rsidR="00CB646F" w:rsidRPr="00CB646F" w:rsidRDefault="00CB646F" w:rsidP="00CB646F">
      <w:pPr>
        <w:tabs>
          <w:tab w:val="left" w:pos="1080"/>
          <w:tab w:val="left" w:pos="6840"/>
        </w:tabs>
        <w:jc w:val="both"/>
        <w:rPr>
          <w:rFonts w:ascii="Verdana" w:eastAsia="Malgun Gothic" w:hAnsi="Verdana" w:cs="Arial"/>
          <w:sz w:val="18"/>
          <w:szCs w:val="18"/>
        </w:rPr>
      </w:pPr>
    </w:p>
    <w:p w14:paraId="734419A1" w14:textId="2F2E1351" w:rsidR="00CB646F" w:rsidRPr="00CB646F" w:rsidRDefault="00CB646F" w:rsidP="00CB646F">
      <w:pPr>
        <w:tabs>
          <w:tab w:val="left" w:pos="1080"/>
          <w:tab w:val="left" w:pos="6840"/>
        </w:tabs>
        <w:jc w:val="both"/>
        <w:rPr>
          <w:rFonts w:ascii="Verdana" w:eastAsia="Malgun Gothic" w:hAnsi="Verdana" w:cs="Arial"/>
          <w:sz w:val="18"/>
          <w:szCs w:val="18"/>
        </w:rPr>
      </w:pPr>
      <w:r w:rsidRPr="00CB646F">
        <w:rPr>
          <w:rFonts w:ascii="Verdana" w:eastAsia="Malgun Gothic" w:hAnsi="Verdana" w:cs="Arial"/>
          <w:sz w:val="18"/>
          <w:szCs w:val="18"/>
        </w:rPr>
        <w:t xml:space="preserve">The largest negative impact on the change </w:t>
      </w:r>
      <w:r>
        <w:rPr>
          <w:rFonts w:ascii="Verdana" w:eastAsia="Malgun Gothic" w:hAnsi="Verdana" w:cs="Arial"/>
          <w:sz w:val="18"/>
          <w:szCs w:val="18"/>
        </w:rPr>
        <w:t>of</w:t>
      </w:r>
      <w:r w:rsidRPr="00CB646F">
        <w:rPr>
          <w:rFonts w:ascii="Verdana" w:eastAsia="Malgun Gothic" w:hAnsi="Verdana" w:cs="Arial"/>
          <w:sz w:val="18"/>
          <w:szCs w:val="18"/>
        </w:rPr>
        <w:t xml:space="preserve"> the CPI for October 2024 compared to October 2023 came from the category </w:t>
      </w:r>
      <w:r w:rsidRPr="00540EED">
        <w:rPr>
          <w:rFonts w:ascii="Verdana" w:eastAsia="Malgun Gothic" w:hAnsi="Verdana" w:cs="Arial"/>
          <w:i/>
          <w:iCs/>
          <w:sz w:val="18"/>
          <w:szCs w:val="18"/>
        </w:rPr>
        <w:t>Transport</w:t>
      </w:r>
      <w:r w:rsidRPr="00CB646F">
        <w:rPr>
          <w:rFonts w:ascii="Verdana" w:eastAsia="Malgun Gothic" w:hAnsi="Verdana" w:cs="Arial"/>
          <w:sz w:val="18"/>
          <w:szCs w:val="18"/>
        </w:rPr>
        <w:t xml:space="preserve"> (-1</w:t>
      </w:r>
      <w:r>
        <w:rPr>
          <w:rFonts w:ascii="Verdana" w:eastAsia="Malgun Gothic" w:hAnsi="Verdana" w:cs="Arial"/>
          <w:sz w:val="18"/>
          <w:szCs w:val="18"/>
        </w:rPr>
        <w:t>,</w:t>
      </w:r>
      <w:r w:rsidRPr="00CB646F">
        <w:rPr>
          <w:rFonts w:ascii="Verdana" w:eastAsia="Malgun Gothic" w:hAnsi="Verdana" w:cs="Arial"/>
          <w:sz w:val="18"/>
          <w:szCs w:val="18"/>
        </w:rPr>
        <w:t>28) (Table 3).</w:t>
      </w:r>
    </w:p>
    <w:p w14:paraId="169834F2" w14:textId="77777777" w:rsidR="00CB646F" w:rsidRPr="00CB646F" w:rsidRDefault="00CB646F" w:rsidP="00CB646F">
      <w:pPr>
        <w:tabs>
          <w:tab w:val="left" w:pos="1080"/>
          <w:tab w:val="left" w:pos="6840"/>
        </w:tabs>
        <w:jc w:val="both"/>
        <w:rPr>
          <w:rFonts w:ascii="Verdana" w:eastAsia="Malgun Gothic" w:hAnsi="Verdana" w:cs="Arial"/>
          <w:sz w:val="18"/>
          <w:szCs w:val="18"/>
        </w:rPr>
      </w:pPr>
    </w:p>
    <w:p w14:paraId="6833DA57" w14:textId="5209E066" w:rsidR="00CB646F" w:rsidRPr="00CB646F" w:rsidRDefault="00CB646F" w:rsidP="00CB646F">
      <w:pPr>
        <w:tabs>
          <w:tab w:val="left" w:pos="1080"/>
          <w:tab w:val="left" w:pos="6840"/>
        </w:tabs>
        <w:jc w:val="both"/>
        <w:rPr>
          <w:rFonts w:ascii="Verdana" w:eastAsia="Malgun Gothic" w:hAnsi="Verdana" w:cs="Arial"/>
          <w:sz w:val="18"/>
          <w:szCs w:val="18"/>
        </w:rPr>
      </w:pPr>
      <w:r w:rsidRPr="00CB646F">
        <w:rPr>
          <w:rFonts w:ascii="Verdana" w:eastAsia="Malgun Gothic" w:hAnsi="Verdana" w:cs="Arial"/>
          <w:sz w:val="18"/>
          <w:szCs w:val="18"/>
        </w:rPr>
        <w:t>The category with the largest impact o</w:t>
      </w:r>
      <w:r>
        <w:rPr>
          <w:rFonts w:ascii="Verdana" w:eastAsia="Malgun Gothic" w:hAnsi="Verdana" w:cs="Arial"/>
          <w:sz w:val="18"/>
          <w:szCs w:val="18"/>
        </w:rPr>
        <w:t>n</w:t>
      </w:r>
      <w:r w:rsidRPr="00CB646F">
        <w:rPr>
          <w:rFonts w:ascii="Verdana" w:eastAsia="Malgun Gothic" w:hAnsi="Verdana" w:cs="Arial"/>
          <w:sz w:val="18"/>
          <w:szCs w:val="18"/>
        </w:rPr>
        <w:t xml:space="preserve"> the change </w:t>
      </w:r>
      <w:r>
        <w:rPr>
          <w:rFonts w:ascii="Verdana" w:eastAsia="Malgun Gothic" w:hAnsi="Verdana" w:cs="Arial"/>
          <w:sz w:val="18"/>
          <w:szCs w:val="18"/>
        </w:rPr>
        <w:t>of</w:t>
      </w:r>
      <w:r w:rsidRPr="00CB646F">
        <w:rPr>
          <w:rFonts w:ascii="Verdana" w:eastAsia="Malgun Gothic" w:hAnsi="Verdana" w:cs="Arial"/>
          <w:sz w:val="18"/>
          <w:szCs w:val="18"/>
        </w:rPr>
        <w:t xml:space="preserve"> the CPI compared to the previous month was </w:t>
      </w:r>
      <w:r w:rsidRPr="00540EED">
        <w:rPr>
          <w:rFonts w:ascii="Verdana" w:eastAsia="Malgun Gothic" w:hAnsi="Verdana" w:cs="Arial"/>
          <w:i/>
          <w:iCs/>
          <w:sz w:val="18"/>
          <w:szCs w:val="18"/>
        </w:rPr>
        <w:t>Clothing and Footwear</w:t>
      </w:r>
      <w:r w:rsidRPr="00CB646F">
        <w:rPr>
          <w:rFonts w:ascii="Verdana" w:eastAsia="Malgun Gothic" w:hAnsi="Verdana" w:cs="Arial"/>
          <w:sz w:val="18"/>
          <w:szCs w:val="18"/>
        </w:rPr>
        <w:t xml:space="preserve"> (0</w:t>
      </w:r>
      <w:r>
        <w:rPr>
          <w:rFonts w:ascii="Verdana" w:eastAsia="Malgun Gothic" w:hAnsi="Verdana" w:cs="Arial"/>
          <w:sz w:val="18"/>
          <w:szCs w:val="18"/>
        </w:rPr>
        <w:t>,</w:t>
      </w:r>
      <w:r w:rsidRPr="00CB646F">
        <w:rPr>
          <w:rFonts w:ascii="Verdana" w:eastAsia="Malgun Gothic" w:hAnsi="Verdana" w:cs="Arial"/>
          <w:sz w:val="18"/>
          <w:szCs w:val="18"/>
        </w:rPr>
        <w:t>22) (Table 3).</w:t>
      </w:r>
    </w:p>
    <w:p w14:paraId="284C1ED0" w14:textId="77777777" w:rsidR="00CB646F" w:rsidRPr="00CB646F" w:rsidRDefault="00CB646F" w:rsidP="00CB646F">
      <w:pPr>
        <w:tabs>
          <w:tab w:val="left" w:pos="1080"/>
          <w:tab w:val="left" w:pos="6840"/>
        </w:tabs>
        <w:jc w:val="both"/>
        <w:rPr>
          <w:rFonts w:ascii="Verdana" w:eastAsia="Malgun Gothic" w:hAnsi="Verdana" w:cs="Arial"/>
          <w:sz w:val="18"/>
          <w:szCs w:val="18"/>
        </w:rPr>
      </w:pPr>
    </w:p>
    <w:p w14:paraId="0B46D7EC" w14:textId="737938D9" w:rsidR="00CB646F" w:rsidRPr="00CB646F" w:rsidRDefault="00CB646F" w:rsidP="00CB646F">
      <w:pPr>
        <w:tabs>
          <w:tab w:val="left" w:pos="1080"/>
          <w:tab w:val="left" w:pos="6840"/>
        </w:tabs>
        <w:jc w:val="both"/>
        <w:rPr>
          <w:rFonts w:ascii="Verdana" w:eastAsia="Malgun Gothic" w:hAnsi="Verdana" w:cs="Arial"/>
          <w:sz w:val="18"/>
          <w:szCs w:val="18"/>
        </w:rPr>
      </w:pPr>
      <w:r w:rsidRPr="00CB646F">
        <w:rPr>
          <w:rFonts w:ascii="Verdana" w:eastAsia="Malgun Gothic" w:hAnsi="Verdana" w:cs="Arial"/>
          <w:sz w:val="18"/>
          <w:szCs w:val="18"/>
        </w:rPr>
        <w:t xml:space="preserve">The largest changes in the CPI for October 2024 compared to the CPI of October 2023 were observed in the categories of </w:t>
      </w:r>
      <w:r w:rsidRPr="00540EED">
        <w:rPr>
          <w:rFonts w:ascii="Verdana" w:eastAsia="Malgun Gothic" w:hAnsi="Verdana" w:cs="Arial"/>
          <w:i/>
          <w:iCs/>
          <w:sz w:val="18"/>
          <w:szCs w:val="18"/>
        </w:rPr>
        <w:t>Petroleum Products</w:t>
      </w:r>
      <w:r w:rsidRPr="00CB646F">
        <w:rPr>
          <w:rFonts w:ascii="Verdana" w:eastAsia="Malgun Gothic" w:hAnsi="Verdana" w:cs="Arial"/>
          <w:sz w:val="18"/>
          <w:szCs w:val="18"/>
        </w:rPr>
        <w:t xml:space="preserve"> (-1</w:t>
      </w:r>
      <w:r>
        <w:rPr>
          <w:rFonts w:ascii="Verdana" w:eastAsia="Malgun Gothic" w:hAnsi="Verdana" w:cs="Arial"/>
          <w:sz w:val="18"/>
          <w:szCs w:val="18"/>
        </w:rPr>
        <w:t>,</w:t>
      </w:r>
      <w:r w:rsidRPr="00CB646F">
        <w:rPr>
          <w:rFonts w:ascii="Verdana" w:eastAsia="Malgun Gothic" w:hAnsi="Verdana" w:cs="Arial"/>
          <w:sz w:val="18"/>
          <w:szCs w:val="18"/>
        </w:rPr>
        <w:t xml:space="preserve">48), </w:t>
      </w:r>
      <w:r w:rsidRPr="00540EED">
        <w:rPr>
          <w:rFonts w:ascii="Verdana" w:eastAsia="Malgun Gothic" w:hAnsi="Verdana" w:cs="Arial"/>
          <w:i/>
          <w:iCs/>
          <w:sz w:val="18"/>
          <w:szCs w:val="18"/>
        </w:rPr>
        <w:t>Catering Services</w:t>
      </w:r>
      <w:r w:rsidRPr="00CB646F">
        <w:rPr>
          <w:rFonts w:ascii="Verdana" w:eastAsia="Malgun Gothic" w:hAnsi="Verdana" w:cs="Arial"/>
          <w:sz w:val="18"/>
          <w:szCs w:val="18"/>
        </w:rPr>
        <w:t xml:space="preserve"> (0</w:t>
      </w:r>
      <w:r>
        <w:rPr>
          <w:rFonts w:ascii="Verdana" w:eastAsia="Malgun Gothic" w:hAnsi="Verdana" w:cs="Arial"/>
          <w:sz w:val="18"/>
          <w:szCs w:val="18"/>
        </w:rPr>
        <w:t>,</w:t>
      </w:r>
      <w:r w:rsidRPr="00CB646F">
        <w:rPr>
          <w:rFonts w:ascii="Verdana" w:eastAsia="Malgun Gothic" w:hAnsi="Verdana" w:cs="Arial"/>
          <w:sz w:val="18"/>
          <w:szCs w:val="18"/>
        </w:rPr>
        <w:t xml:space="preserve">55) and </w:t>
      </w:r>
      <w:r w:rsidRPr="00540EED">
        <w:rPr>
          <w:rFonts w:ascii="Verdana" w:eastAsia="Malgun Gothic" w:hAnsi="Verdana" w:cs="Arial"/>
          <w:i/>
          <w:iCs/>
          <w:sz w:val="18"/>
          <w:szCs w:val="18"/>
        </w:rPr>
        <w:t>Electricity</w:t>
      </w:r>
      <w:r w:rsidRPr="00CB646F">
        <w:rPr>
          <w:rFonts w:ascii="Verdana" w:eastAsia="Malgun Gothic" w:hAnsi="Verdana" w:cs="Arial"/>
          <w:sz w:val="18"/>
          <w:szCs w:val="18"/>
        </w:rPr>
        <w:t xml:space="preserve"> (-0</w:t>
      </w:r>
      <w:r>
        <w:rPr>
          <w:rFonts w:ascii="Verdana" w:eastAsia="Malgun Gothic" w:hAnsi="Verdana" w:cs="Arial"/>
          <w:sz w:val="18"/>
          <w:szCs w:val="18"/>
        </w:rPr>
        <w:t>,</w:t>
      </w:r>
      <w:r w:rsidRPr="00CB646F">
        <w:rPr>
          <w:rFonts w:ascii="Verdana" w:eastAsia="Malgun Gothic" w:hAnsi="Verdana" w:cs="Arial"/>
          <w:sz w:val="18"/>
          <w:szCs w:val="18"/>
        </w:rPr>
        <w:t>49) (Table 4).</w:t>
      </w:r>
    </w:p>
    <w:p w14:paraId="37D641B7" w14:textId="77777777" w:rsidR="00CB646F" w:rsidRPr="00CB646F" w:rsidRDefault="00CB646F" w:rsidP="00CB646F">
      <w:pPr>
        <w:tabs>
          <w:tab w:val="left" w:pos="1080"/>
          <w:tab w:val="left" w:pos="6840"/>
        </w:tabs>
        <w:jc w:val="both"/>
        <w:rPr>
          <w:rFonts w:ascii="Verdana" w:eastAsia="Malgun Gothic" w:hAnsi="Verdana" w:cs="Arial"/>
          <w:sz w:val="18"/>
          <w:szCs w:val="18"/>
        </w:rPr>
      </w:pPr>
    </w:p>
    <w:p w14:paraId="4C882335" w14:textId="309EF4E3" w:rsidR="00547A14" w:rsidRDefault="00CB646F" w:rsidP="00CB646F">
      <w:pPr>
        <w:tabs>
          <w:tab w:val="left" w:pos="1080"/>
          <w:tab w:val="left" w:pos="6840"/>
        </w:tabs>
        <w:jc w:val="both"/>
        <w:rPr>
          <w:rFonts w:ascii="Verdana" w:eastAsia="Malgun Gothic" w:hAnsi="Verdana" w:cs="Arial"/>
          <w:sz w:val="18"/>
          <w:szCs w:val="18"/>
        </w:rPr>
      </w:pPr>
      <w:r w:rsidRPr="00540EED">
        <w:rPr>
          <w:rFonts w:ascii="Verdana" w:eastAsia="Malgun Gothic" w:hAnsi="Verdana" w:cs="Arial"/>
          <w:i/>
          <w:iCs/>
          <w:sz w:val="18"/>
          <w:szCs w:val="18"/>
        </w:rPr>
        <w:t>Clothing Items</w:t>
      </w:r>
      <w:r w:rsidRPr="00CB646F">
        <w:rPr>
          <w:rFonts w:ascii="Verdana" w:eastAsia="Malgun Gothic" w:hAnsi="Verdana" w:cs="Arial"/>
          <w:sz w:val="18"/>
          <w:szCs w:val="18"/>
        </w:rPr>
        <w:t xml:space="preserve"> (0</w:t>
      </w:r>
      <w:r>
        <w:rPr>
          <w:rFonts w:ascii="Verdana" w:eastAsia="Malgun Gothic" w:hAnsi="Verdana" w:cs="Arial"/>
          <w:sz w:val="18"/>
          <w:szCs w:val="18"/>
        </w:rPr>
        <w:t>,</w:t>
      </w:r>
      <w:r w:rsidRPr="00CB646F">
        <w:rPr>
          <w:rFonts w:ascii="Verdana" w:eastAsia="Malgun Gothic" w:hAnsi="Verdana" w:cs="Arial"/>
          <w:sz w:val="18"/>
          <w:szCs w:val="18"/>
        </w:rPr>
        <w:t xml:space="preserve">14) had the largest positive impact on the change </w:t>
      </w:r>
      <w:r>
        <w:rPr>
          <w:rFonts w:ascii="Verdana" w:eastAsia="Malgun Gothic" w:hAnsi="Verdana" w:cs="Arial"/>
          <w:sz w:val="18"/>
          <w:szCs w:val="18"/>
        </w:rPr>
        <w:t>of</w:t>
      </w:r>
      <w:r w:rsidRPr="00CB646F">
        <w:rPr>
          <w:rFonts w:ascii="Verdana" w:eastAsia="Malgun Gothic" w:hAnsi="Verdana" w:cs="Arial"/>
          <w:sz w:val="18"/>
          <w:szCs w:val="18"/>
        </w:rPr>
        <w:t xml:space="preserve"> the CPI for October 2024 compared to the </w:t>
      </w:r>
      <w:r>
        <w:rPr>
          <w:rFonts w:ascii="Verdana" w:eastAsia="Malgun Gothic" w:hAnsi="Verdana" w:cs="Arial"/>
          <w:sz w:val="18"/>
          <w:szCs w:val="18"/>
        </w:rPr>
        <w:t>i</w:t>
      </w:r>
      <w:r w:rsidRPr="00CB646F">
        <w:rPr>
          <w:rFonts w:ascii="Verdana" w:eastAsia="Malgun Gothic" w:hAnsi="Verdana" w:cs="Arial"/>
          <w:sz w:val="18"/>
          <w:szCs w:val="18"/>
        </w:rPr>
        <w:t xml:space="preserve">ndex of the previous month, while the category with the largest negative impact was </w:t>
      </w:r>
      <w:r w:rsidRPr="00540EED">
        <w:rPr>
          <w:rFonts w:ascii="Verdana" w:eastAsia="Malgun Gothic" w:hAnsi="Verdana" w:cs="Arial"/>
          <w:i/>
          <w:iCs/>
          <w:sz w:val="18"/>
          <w:szCs w:val="18"/>
        </w:rPr>
        <w:t>Fresh Vegetables</w:t>
      </w:r>
      <w:r w:rsidRPr="00CB646F">
        <w:rPr>
          <w:rFonts w:ascii="Verdana" w:eastAsia="Malgun Gothic" w:hAnsi="Verdana" w:cs="Arial"/>
          <w:sz w:val="18"/>
          <w:szCs w:val="18"/>
        </w:rPr>
        <w:t xml:space="preserve"> (-0</w:t>
      </w:r>
      <w:r>
        <w:rPr>
          <w:rFonts w:ascii="Verdana" w:eastAsia="Malgun Gothic" w:hAnsi="Verdana" w:cs="Arial"/>
          <w:sz w:val="18"/>
          <w:szCs w:val="18"/>
        </w:rPr>
        <w:t>,</w:t>
      </w:r>
      <w:r w:rsidRPr="00CB646F">
        <w:rPr>
          <w:rFonts w:ascii="Verdana" w:eastAsia="Malgun Gothic" w:hAnsi="Verdana" w:cs="Arial"/>
          <w:sz w:val="18"/>
          <w:szCs w:val="18"/>
        </w:rPr>
        <w:t>26) (Table 5).</w:t>
      </w:r>
      <w:r w:rsidR="00CF5C48">
        <w:rPr>
          <w:rFonts w:ascii="Verdana" w:eastAsia="Malgun Gothic" w:hAnsi="Verdana" w:cs="Arial"/>
          <w:sz w:val="18"/>
          <w:szCs w:val="18"/>
        </w:rPr>
        <w:t xml:space="preserve"> </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tbl>
      <w:tblPr>
        <w:tblW w:w="5175" w:type="pct"/>
        <w:jc w:val="center"/>
        <w:tblLayout w:type="fixed"/>
        <w:tblLook w:val="04A0" w:firstRow="1" w:lastRow="0" w:firstColumn="1" w:lastColumn="0" w:noHBand="0" w:noVBand="1"/>
      </w:tblPr>
      <w:tblGrid>
        <w:gridCol w:w="2781"/>
        <w:gridCol w:w="1246"/>
        <w:gridCol w:w="1171"/>
        <w:gridCol w:w="248"/>
        <w:gridCol w:w="1272"/>
        <w:gridCol w:w="1336"/>
        <w:gridCol w:w="1870"/>
      </w:tblGrid>
      <w:tr w:rsidR="008C00E8" w:rsidRPr="00096715" w14:paraId="567D6A1B" w14:textId="77777777" w:rsidTr="00F26569">
        <w:trPr>
          <w:trHeight w:hRule="exact" w:val="340"/>
          <w:jc w:val="center"/>
        </w:trPr>
        <w:tc>
          <w:tcPr>
            <w:tcW w:w="5000" w:type="pct"/>
            <w:gridSpan w:val="7"/>
            <w:tcBorders>
              <w:left w:val="nil"/>
              <w:bottom w:val="single" w:sz="4" w:space="0" w:color="366092"/>
            </w:tcBorders>
            <w:shd w:val="clear" w:color="FFFFFF" w:fill="FFFFFF"/>
            <w:vAlign w:val="center"/>
          </w:tcPr>
          <w:p w14:paraId="167D0D8C" w14:textId="77777777" w:rsidR="008C00E8" w:rsidRPr="00096715" w:rsidRDefault="008C00E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8C00E8" w:rsidRPr="00096715" w14:paraId="03B5C55D" w14:textId="77777777" w:rsidTr="00FF36D9">
        <w:trPr>
          <w:trHeight w:val="270"/>
          <w:jc w:val="center"/>
        </w:trPr>
        <w:tc>
          <w:tcPr>
            <w:tcW w:w="1401" w:type="pct"/>
            <w:vMerge w:val="restart"/>
            <w:tcBorders>
              <w:top w:val="single" w:sz="4" w:space="0" w:color="366092"/>
              <w:left w:val="nil"/>
              <w:bottom w:val="single" w:sz="4" w:space="0" w:color="366092"/>
            </w:tcBorders>
            <w:shd w:val="clear" w:color="FFFFFF" w:fill="FFFFFF"/>
            <w:vAlign w:val="center"/>
            <w:hideMark/>
          </w:tcPr>
          <w:p w14:paraId="245C7B22" w14:textId="77777777" w:rsidR="008C00E8" w:rsidRDefault="008C00E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8C00E8" w:rsidRPr="00096715" w:rsidRDefault="008C00E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218" w:type="pct"/>
            <w:gridSpan w:val="2"/>
            <w:tcBorders>
              <w:top w:val="single" w:sz="4" w:space="0" w:color="366092"/>
              <w:bottom w:val="single" w:sz="4" w:space="0" w:color="366092"/>
            </w:tcBorders>
            <w:shd w:val="clear" w:color="FFFFFF" w:fill="FFFFFF"/>
            <w:noWrap/>
            <w:vAlign w:val="center"/>
            <w:hideMark/>
          </w:tcPr>
          <w:p w14:paraId="2D4507C9" w14:textId="77777777" w:rsidR="008C00E8" w:rsidRPr="005F4797" w:rsidRDefault="008C00E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25" w:type="pct"/>
            <w:tcBorders>
              <w:top w:val="single" w:sz="4" w:space="0" w:color="366092"/>
            </w:tcBorders>
            <w:tcMar>
              <w:left w:w="0" w:type="dxa"/>
              <w:right w:w="0" w:type="dxa"/>
            </w:tcMar>
            <w:vAlign w:val="center"/>
          </w:tcPr>
          <w:p w14:paraId="4C486690" w14:textId="77777777" w:rsidR="008C00E8" w:rsidRPr="005F4797" w:rsidRDefault="008C00E8" w:rsidP="00FC5595">
            <w:pPr>
              <w:jc w:val="center"/>
              <w:rPr>
                <w:rFonts w:ascii="Verdana" w:eastAsia="Times New Roman" w:hAnsi="Verdana" w:cs="Arial"/>
                <w:b/>
                <w:bCs/>
                <w:color w:val="365F91"/>
                <w:sz w:val="18"/>
                <w:szCs w:val="18"/>
              </w:rPr>
            </w:pPr>
          </w:p>
        </w:tc>
        <w:tc>
          <w:tcPr>
            <w:tcW w:w="2256" w:type="pct"/>
            <w:gridSpan w:val="3"/>
            <w:tcBorders>
              <w:top w:val="single" w:sz="4" w:space="0" w:color="366092"/>
              <w:bottom w:val="single" w:sz="4" w:space="0" w:color="366092"/>
            </w:tcBorders>
            <w:vAlign w:val="center"/>
          </w:tcPr>
          <w:p w14:paraId="1093732A" w14:textId="77777777" w:rsidR="008C00E8" w:rsidRPr="005F4797" w:rsidRDefault="008C00E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CF5C48" w:rsidRPr="00096715" w14:paraId="57AC2557" w14:textId="77777777" w:rsidTr="00FF36D9">
        <w:trPr>
          <w:trHeight w:val="602"/>
          <w:jc w:val="center"/>
        </w:trPr>
        <w:tc>
          <w:tcPr>
            <w:tcW w:w="1401" w:type="pct"/>
            <w:vMerge/>
            <w:tcBorders>
              <w:top w:val="single" w:sz="4" w:space="0" w:color="366092"/>
              <w:left w:val="nil"/>
              <w:bottom w:val="single" w:sz="4" w:space="0" w:color="366092"/>
            </w:tcBorders>
            <w:vAlign w:val="center"/>
            <w:hideMark/>
          </w:tcPr>
          <w:p w14:paraId="6F612F9D" w14:textId="77777777" w:rsidR="00CF5C48" w:rsidRPr="00096715" w:rsidRDefault="00CF5C48" w:rsidP="00CF5C48">
            <w:pPr>
              <w:rPr>
                <w:rFonts w:ascii="Verdana" w:eastAsia="Times New Roman" w:hAnsi="Verdana" w:cs="Arial"/>
                <w:b/>
                <w:bCs/>
                <w:color w:val="365F91"/>
                <w:sz w:val="18"/>
                <w:szCs w:val="18"/>
              </w:rPr>
            </w:pPr>
          </w:p>
        </w:tc>
        <w:tc>
          <w:tcPr>
            <w:tcW w:w="628" w:type="pct"/>
            <w:tcBorders>
              <w:top w:val="single" w:sz="4" w:space="0" w:color="366092"/>
              <w:bottom w:val="single" w:sz="4" w:space="0" w:color="366092"/>
            </w:tcBorders>
            <w:shd w:val="clear" w:color="FFFFFF" w:fill="FFFFFF"/>
            <w:vAlign w:val="center"/>
            <w:hideMark/>
          </w:tcPr>
          <w:p w14:paraId="22442828" w14:textId="77777777" w:rsidR="00AD5567" w:rsidRPr="007403E4" w:rsidRDefault="00AD5567" w:rsidP="00AD5567">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September</w:t>
            </w:r>
          </w:p>
          <w:p w14:paraId="7E6C8807" w14:textId="719FBACE" w:rsidR="00CF5C48" w:rsidRPr="00096715" w:rsidRDefault="00CF5C48"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2024</w:t>
            </w:r>
          </w:p>
        </w:tc>
        <w:tc>
          <w:tcPr>
            <w:tcW w:w="590" w:type="pct"/>
            <w:tcBorders>
              <w:top w:val="single" w:sz="4" w:space="0" w:color="366092"/>
              <w:bottom w:val="single" w:sz="4" w:space="0" w:color="366092"/>
            </w:tcBorders>
            <w:shd w:val="clear" w:color="FFFFFF" w:fill="FFFFFF"/>
            <w:vAlign w:val="center"/>
            <w:hideMark/>
          </w:tcPr>
          <w:p w14:paraId="3FD9488F" w14:textId="14406974" w:rsidR="00CF5C48" w:rsidRPr="007403E4" w:rsidRDefault="00AD5567"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October</w:t>
            </w:r>
          </w:p>
          <w:p w14:paraId="24AB6743" w14:textId="62D1010A" w:rsidR="00CF5C48" w:rsidRPr="00096715" w:rsidRDefault="00CF5C48"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2024</w:t>
            </w:r>
          </w:p>
        </w:tc>
        <w:tc>
          <w:tcPr>
            <w:tcW w:w="125" w:type="pct"/>
            <w:tcBorders>
              <w:bottom w:val="single" w:sz="4" w:space="0" w:color="366092"/>
            </w:tcBorders>
            <w:shd w:val="clear" w:color="FFFFFF" w:fill="FFFFFF"/>
            <w:tcMar>
              <w:left w:w="0" w:type="dxa"/>
              <w:right w:w="0" w:type="dxa"/>
            </w:tcMar>
          </w:tcPr>
          <w:p w14:paraId="5EA52C69" w14:textId="77777777" w:rsidR="00CF5C48" w:rsidRDefault="00CF5C48" w:rsidP="00CF5C48">
            <w:pPr>
              <w:ind w:right="-107"/>
              <w:jc w:val="center"/>
              <w:rPr>
                <w:rFonts w:ascii="Verdana" w:eastAsia="Times New Roman" w:hAnsi="Verdana" w:cs="Arial"/>
                <w:b/>
                <w:bCs/>
                <w:color w:val="365F91"/>
                <w:sz w:val="18"/>
                <w:szCs w:val="18"/>
              </w:rPr>
            </w:pPr>
          </w:p>
        </w:tc>
        <w:tc>
          <w:tcPr>
            <w:tcW w:w="641" w:type="pct"/>
            <w:tcBorders>
              <w:top w:val="single" w:sz="4" w:space="0" w:color="366092"/>
              <w:bottom w:val="single" w:sz="4" w:space="0" w:color="366092"/>
            </w:tcBorders>
            <w:shd w:val="clear" w:color="FFFFFF" w:fill="FFFFFF"/>
            <w:vAlign w:val="center"/>
            <w:hideMark/>
          </w:tcPr>
          <w:p w14:paraId="40A93933" w14:textId="27FA7932" w:rsidR="00CF5C48" w:rsidRDefault="00AD5567" w:rsidP="00CF5C48">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CF5C48">
              <w:rPr>
                <w:rFonts w:ascii="Verdana" w:eastAsia="Times New Roman" w:hAnsi="Verdana" w:cs="Arial"/>
                <w:b/>
                <w:bCs/>
                <w:color w:val="365F91"/>
                <w:sz w:val="18"/>
                <w:szCs w:val="18"/>
              </w:rPr>
              <w:t xml:space="preserve"> 24/ </w:t>
            </w:r>
          </w:p>
          <w:p w14:paraId="4AC6C0B9" w14:textId="505EEFC5" w:rsidR="00CF5C48" w:rsidRPr="00096715" w:rsidRDefault="00AD5567"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CF5C48">
              <w:rPr>
                <w:rFonts w:ascii="Verdana" w:eastAsia="Times New Roman" w:hAnsi="Verdana" w:cs="Arial"/>
                <w:b/>
                <w:bCs/>
                <w:color w:val="365F91"/>
                <w:sz w:val="18"/>
                <w:szCs w:val="18"/>
              </w:rPr>
              <w:t xml:space="preserve"> 23</w:t>
            </w:r>
          </w:p>
        </w:tc>
        <w:tc>
          <w:tcPr>
            <w:tcW w:w="673" w:type="pct"/>
            <w:tcBorders>
              <w:top w:val="single" w:sz="4" w:space="0" w:color="366092"/>
              <w:bottom w:val="single" w:sz="4" w:space="0" w:color="366092"/>
            </w:tcBorders>
            <w:shd w:val="clear" w:color="FFFFFF" w:fill="FFFFFF"/>
            <w:vAlign w:val="center"/>
            <w:hideMark/>
          </w:tcPr>
          <w:p w14:paraId="45DC596B" w14:textId="31290991" w:rsidR="00CF5C48" w:rsidRPr="00096715" w:rsidRDefault="00AD5567" w:rsidP="00CF5C4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CF5C48">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Sep</w:t>
            </w:r>
            <w:r w:rsidR="00CF5C48">
              <w:rPr>
                <w:rFonts w:ascii="Verdana" w:eastAsia="Times New Roman" w:hAnsi="Verdana" w:cs="Arial"/>
                <w:b/>
                <w:bCs/>
                <w:color w:val="365F91"/>
                <w:sz w:val="18"/>
                <w:szCs w:val="18"/>
              </w:rPr>
              <w:t xml:space="preserve"> 24</w:t>
            </w:r>
          </w:p>
        </w:tc>
        <w:tc>
          <w:tcPr>
            <w:tcW w:w="942" w:type="pct"/>
            <w:tcBorders>
              <w:top w:val="single" w:sz="4" w:space="0" w:color="366092"/>
              <w:bottom w:val="single" w:sz="4" w:space="0" w:color="366092"/>
            </w:tcBorders>
            <w:shd w:val="clear" w:color="FFFFFF" w:fill="FFFFFF"/>
            <w:vAlign w:val="center"/>
          </w:tcPr>
          <w:p w14:paraId="0718DF97" w14:textId="60FC41D3" w:rsidR="00CF5C48" w:rsidRDefault="00CF5C48" w:rsidP="00F26569">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Jan- </w:t>
            </w:r>
            <w:r w:rsidR="00AD5567">
              <w:rPr>
                <w:rFonts w:ascii="Verdana" w:eastAsia="Times New Roman" w:hAnsi="Verdana" w:cs="Arial"/>
                <w:b/>
                <w:bCs/>
                <w:color w:val="365F91"/>
                <w:sz w:val="18"/>
                <w:szCs w:val="18"/>
              </w:rPr>
              <w:t>Oct</w:t>
            </w:r>
            <w:r>
              <w:rPr>
                <w:rFonts w:ascii="Verdana" w:eastAsia="Times New Roman" w:hAnsi="Verdana" w:cs="Arial"/>
                <w:b/>
                <w:bCs/>
                <w:color w:val="365F91"/>
                <w:sz w:val="18"/>
                <w:szCs w:val="18"/>
              </w:rPr>
              <w:t xml:space="preserve"> 24/</w:t>
            </w:r>
          </w:p>
          <w:p w14:paraId="2A2E9238" w14:textId="54346023" w:rsidR="00CF5C48" w:rsidRPr="00096715" w:rsidRDefault="00CF5C48" w:rsidP="00F26569">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Jan- </w:t>
            </w:r>
            <w:r w:rsidR="00AD5567">
              <w:rPr>
                <w:rFonts w:ascii="Verdana" w:eastAsia="Times New Roman" w:hAnsi="Verdana" w:cs="Arial"/>
                <w:b/>
                <w:bCs/>
                <w:color w:val="365F91"/>
                <w:sz w:val="18"/>
                <w:szCs w:val="18"/>
              </w:rPr>
              <w:t>Oct</w:t>
            </w:r>
            <w:r>
              <w:rPr>
                <w:rFonts w:ascii="Verdana" w:eastAsia="Times New Roman" w:hAnsi="Verdana" w:cs="Arial"/>
                <w:b/>
                <w:bCs/>
                <w:color w:val="365F91"/>
                <w:sz w:val="18"/>
                <w:szCs w:val="18"/>
              </w:rPr>
              <w:t xml:space="preserve"> 23</w:t>
            </w:r>
          </w:p>
        </w:tc>
      </w:tr>
      <w:tr w:rsidR="00AD5567" w:rsidRPr="00096715" w14:paraId="4600D77D" w14:textId="77777777" w:rsidTr="00FF36D9">
        <w:trPr>
          <w:trHeight w:val="510"/>
          <w:jc w:val="center"/>
        </w:trPr>
        <w:tc>
          <w:tcPr>
            <w:tcW w:w="1401" w:type="pct"/>
            <w:tcBorders>
              <w:top w:val="nil"/>
              <w:left w:val="nil"/>
              <w:bottom w:val="nil"/>
            </w:tcBorders>
            <w:shd w:val="clear" w:color="FFFFFF" w:fill="FFFFFF"/>
            <w:vAlign w:val="center"/>
            <w:hideMark/>
          </w:tcPr>
          <w:p w14:paraId="022160E3" w14:textId="77777777" w:rsidR="00AD5567" w:rsidRPr="00096715" w:rsidRDefault="00AD5567" w:rsidP="00AD5567">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558E959E" w14:textId="77777777" w:rsidR="00AD5567" w:rsidRPr="00096715" w:rsidRDefault="00AD5567" w:rsidP="00AD5567">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628" w:type="pct"/>
            <w:tcBorders>
              <w:top w:val="nil"/>
              <w:bottom w:val="nil"/>
            </w:tcBorders>
            <w:shd w:val="clear" w:color="000000" w:fill="FFFFFF"/>
            <w:vAlign w:val="center"/>
          </w:tcPr>
          <w:p w14:paraId="5A0EAE3C" w14:textId="14B9D595" w:rsidR="00AD5567" w:rsidRPr="00CF5C48" w:rsidRDefault="00AD5567" w:rsidP="00AD5567">
            <w:pPr>
              <w:ind w:right="227"/>
              <w:jc w:val="right"/>
              <w:rPr>
                <w:color w:val="365F91"/>
              </w:rPr>
            </w:pPr>
            <w:r w:rsidRPr="00FC45BF">
              <w:rPr>
                <w:rFonts w:ascii="Verdana" w:hAnsi="Verdana"/>
                <w:color w:val="365F91"/>
                <w:sz w:val="18"/>
                <w:szCs w:val="18"/>
              </w:rPr>
              <w:t>128,20</w:t>
            </w:r>
          </w:p>
        </w:tc>
        <w:tc>
          <w:tcPr>
            <w:tcW w:w="590" w:type="pct"/>
            <w:tcBorders>
              <w:top w:val="nil"/>
              <w:bottom w:val="nil"/>
            </w:tcBorders>
            <w:shd w:val="clear" w:color="000000" w:fill="FFFFFF"/>
            <w:vAlign w:val="center"/>
          </w:tcPr>
          <w:p w14:paraId="003F0A7E" w14:textId="0CF41547" w:rsidR="00AD5567" w:rsidRPr="00CF5C48" w:rsidRDefault="00AD5567" w:rsidP="00AD5567">
            <w:pPr>
              <w:ind w:right="227"/>
              <w:jc w:val="right"/>
              <w:rPr>
                <w:color w:val="365F91"/>
              </w:rPr>
            </w:pPr>
            <w:r w:rsidRPr="00FC45BF">
              <w:rPr>
                <w:rFonts w:ascii="Verdana" w:hAnsi="Verdana"/>
                <w:color w:val="365F91"/>
                <w:sz w:val="18"/>
                <w:szCs w:val="18"/>
              </w:rPr>
              <w:t>12</w:t>
            </w:r>
            <w:r>
              <w:rPr>
                <w:rFonts w:ascii="Verdana" w:hAnsi="Verdana"/>
                <w:color w:val="365F91"/>
                <w:sz w:val="18"/>
                <w:szCs w:val="18"/>
                <w:lang w:val="el-GR"/>
              </w:rPr>
              <w:t>7</w:t>
            </w:r>
            <w:r w:rsidRPr="00FC45BF">
              <w:rPr>
                <w:rFonts w:ascii="Verdana" w:hAnsi="Verdana"/>
                <w:color w:val="365F91"/>
                <w:sz w:val="18"/>
                <w:szCs w:val="18"/>
              </w:rPr>
              <w:t>,</w:t>
            </w:r>
            <w:r>
              <w:rPr>
                <w:rFonts w:ascii="Verdana" w:hAnsi="Verdana"/>
                <w:color w:val="365F91"/>
                <w:sz w:val="18"/>
                <w:szCs w:val="18"/>
                <w:lang w:val="el-GR"/>
              </w:rPr>
              <w:t>85</w:t>
            </w:r>
          </w:p>
        </w:tc>
        <w:tc>
          <w:tcPr>
            <w:tcW w:w="125" w:type="pct"/>
            <w:tcBorders>
              <w:top w:val="nil"/>
              <w:bottom w:val="nil"/>
            </w:tcBorders>
            <w:shd w:val="clear" w:color="000000" w:fill="FFFFFF"/>
            <w:tcMar>
              <w:left w:w="0" w:type="dxa"/>
              <w:right w:w="0" w:type="dxa"/>
            </w:tcMar>
            <w:vAlign w:val="center"/>
          </w:tcPr>
          <w:p w14:paraId="0D823D52"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58773972" w14:textId="73FD3C99" w:rsidR="00AD5567" w:rsidRPr="00CF5C48" w:rsidRDefault="00AD5567" w:rsidP="00AD5567">
            <w:pPr>
              <w:ind w:right="227"/>
              <w:jc w:val="right"/>
              <w:rPr>
                <w:color w:val="365F91"/>
              </w:rPr>
            </w:pPr>
            <w:r w:rsidRPr="008E1127">
              <w:rPr>
                <w:rFonts w:ascii="Verdana" w:hAnsi="Verdana"/>
                <w:color w:val="365F91"/>
                <w:sz w:val="18"/>
                <w:szCs w:val="18"/>
              </w:rPr>
              <w:t>4</w:t>
            </w:r>
            <w:r>
              <w:rPr>
                <w:rFonts w:ascii="Verdana" w:hAnsi="Verdana"/>
                <w:color w:val="365F91"/>
                <w:sz w:val="18"/>
                <w:szCs w:val="18"/>
              </w:rPr>
              <w:t>,</w:t>
            </w:r>
            <w:r w:rsidRPr="008E1127">
              <w:rPr>
                <w:rFonts w:ascii="Verdana" w:hAnsi="Verdana"/>
                <w:color w:val="365F91"/>
                <w:sz w:val="18"/>
                <w:szCs w:val="18"/>
              </w:rPr>
              <w:t>98</w:t>
            </w:r>
          </w:p>
        </w:tc>
        <w:tc>
          <w:tcPr>
            <w:tcW w:w="673" w:type="pct"/>
            <w:tcBorders>
              <w:top w:val="nil"/>
              <w:bottom w:val="nil"/>
            </w:tcBorders>
            <w:shd w:val="clear" w:color="000000" w:fill="FFFFFF"/>
            <w:vAlign w:val="center"/>
          </w:tcPr>
          <w:p w14:paraId="70E3BDA2" w14:textId="14F10384"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27</w:t>
            </w:r>
          </w:p>
        </w:tc>
        <w:tc>
          <w:tcPr>
            <w:tcW w:w="942" w:type="pct"/>
            <w:tcBorders>
              <w:top w:val="nil"/>
              <w:bottom w:val="nil"/>
            </w:tcBorders>
            <w:shd w:val="clear" w:color="000000" w:fill="FFFFFF"/>
            <w:vAlign w:val="center"/>
          </w:tcPr>
          <w:p w14:paraId="6BEEDF7E" w14:textId="64E93FC7" w:rsidR="00AD5567" w:rsidRPr="00CF5C48" w:rsidRDefault="00AD5567" w:rsidP="00AD5567">
            <w:pPr>
              <w:ind w:right="227"/>
              <w:jc w:val="center"/>
              <w:rPr>
                <w:color w:val="365F91"/>
              </w:rPr>
            </w:pPr>
            <w:r w:rsidRPr="00131127">
              <w:rPr>
                <w:rFonts w:ascii="Verdana" w:hAnsi="Verdana"/>
                <w:color w:val="365F91"/>
                <w:sz w:val="18"/>
                <w:szCs w:val="18"/>
              </w:rPr>
              <w:t>2</w:t>
            </w:r>
            <w:r>
              <w:rPr>
                <w:rFonts w:ascii="Verdana" w:hAnsi="Verdana"/>
                <w:color w:val="365F91"/>
                <w:sz w:val="18"/>
                <w:szCs w:val="18"/>
              </w:rPr>
              <w:t>,</w:t>
            </w:r>
            <w:r w:rsidRPr="00131127">
              <w:rPr>
                <w:rFonts w:ascii="Verdana" w:hAnsi="Verdana"/>
                <w:color w:val="365F91"/>
                <w:sz w:val="18"/>
                <w:szCs w:val="18"/>
              </w:rPr>
              <w:t>79</w:t>
            </w:r>
          </w:p>
        </w:tc>
      </w:tr>
      <w:tr w:rsidR="00AD5567" w:rsidRPr="00096715" w14:paraId="4075CEF7" w14:textId="77777777" w:rsidTr="00FF36D9">
        <w:trPr>
          <w:trHeight w:val="510"/>
          <w:jc w:val="center"/>
        </w:trPr>
        <w:tc>
          <w:tcPr>
            <w:tcW w:w="1401" w:type="pct"/>
            <w:tcBorders>
              <w:top w:val="nil"/>
              <w:left w:val="nil"/>
              <w:bottom w:val="nil"/>
            </w:tcBorders>
            <w:shd w:val="clear" w:color="FFFFFF" w:fill="FFFFFF"/>
            <w:vAlign w:val="center"/>
            <w:hideMark/>
          </w:tcPr>
          <w:p w14:paraId="2957B3D9" w14:textId="77777777" w:rsidR="00AD5567" w:rsidRPr="00096715" w:rsidRDefault="00AD5567" w:rsidP="00AD5567">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628" w:type="pct"/>
            <w:tcBorders>
              <w:top w:val="nil"/>
              <w:bottom w:val="nil"/>
            </w:tcBorders>
            <w:shd w:val="clear" w:color="000000" w:fill="FFFFFF"/>
            <w:vAlign w:val="center"/>
          </w:tcPr>
          <w:p w14:paraId="249B52B7" w14:textId="431B2AD8" w:rsidR="00AD5567" w:rsidRPr="00CF5C48" w:rsidRDefault="00AD5567" w:rsidP="00AD5567">
            <w:pPr>
              <w:ind w:right="227"/>
              <w:jc w:val="right"/>
              <w:rPr>
                <w:color w:val="365F91"/>
              </w:rPr>
            </w:pPr>
            <w:r w:rsidRPr="00FC45BF">
              <w:rPr>
                <w:rFonts w:ascii="Verdana" w:hAnsi="Verdana"/>
                <w:color w:val="365F91"/>
                <w:sz w:val="18"/>
                <w:szCs w:val="18"/>
              </w:rPr>
              <w:t>104,05</w:t>
            </w:r>
          </w:p>
        </w:tc>
        <w:tc>
          <w:tcPr>
            <w:tcW w:w="590" w:type="pct"/>
            <w:tcBorders>
              <w:top w:val="nil"/>
              <w:bottom w:val="nil"/>
            </w:tcBorders>
            <w:shd w:val="clear" w:color="000000" w:fill="FFFFFF"/>
            <w:vAlign w:val="center"/>
          </w:tcPr>
          <w:p w14:paraId="75C109DF" w14:textId="46F225F0" w:rsidR="00AD5567" w:rsidRPr="00CF5C48" w:rsidRDefault="00AD5567" w:rsidP="00AD5567">
            <w:pPr>
              <w:ind w:right="227"/>
              <w:jc w:val="right"/>
              <w:rPr>
                <w:color w:val="365F91"/>
              </w:rPr>
            </w:pPr>
            <w:r w:rsidRPr="00FC45BF">
              <w:rPr>
                <w:rFonts w:ascii="Verdana" w:hAnsi="Verdana"/>
                <w:color w:val="365F91"/>
                <w:sz w:val="18"/>
                <w:szCs w:val="18"/>
              </w:rPr>
              <w:t>10</w:t>
            </w:r>
            <w:r>
              <w:rPr>
                <w:rFonts w:ascii="Verdana" w:hAnsi="Verdana"/>
                <w:color w:val="365F91"/>
                <w:sz w:val="18"/>
                <w:szCs w:val="18"/>
                <w:lang w:val="el-GR"/>
              </w:rPr>
              <w:t>3</w:t>
            </w:r>
            <w:r w:rsidRPr="00FC45BF">
              <w:rPr>
                <w:rFonts w:ascii="Verdana" w:hAnsi="Verdana"/>
                <w:color w:val="365F91"/>
                <w:sz w:val="18"/>
                <w:szCs w:val="18"/>
              </w:rPr>
              <w:t>,</w:t>
            </w:r>
            <w:r>
              <w:rPr>
                <w:rFonts w:ascii="Verdana" w:hAnsi="Verdana"/>
                <w:color w:val="365F91"/>
                <w:sz w:val="18"/>
                <w:szCs w:val="18"/>
                <w:lang w:val="el-GR"/>
              </w:rPr>
              <w:t>69</w:t>
            </w:r>
          </w:p>
        </w:tc>
        <w:tc>
          <w:tcPr>
            <w:tcW w:w="125" w:type="pct"/>
            <w:tcBorders>
              <w:top w:val="nil"/>
              <w:bottom w:val="nil"/>
            </w:tcBorders>
            <w:shd w:val="clear" w:color="000000" w:fill="FFFFFF"/>
            <w:tcMar>
              <w:left w:w="0" w:type="dxa"/>
              <w:right w:w="0" w:type="dxa"/>
            </w:tcMar>
            <w:vAlign w:val="center"/>
          </w:tcPr>
          <w:p w14:paraId="09A4B696"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0EFD54AA" w14:textId="4F56D72E" w:rsidR="00AD5567" w:rsidRPr="00CF5C48" w:rsidRDefault="00AD5567" w:rsidP="00AD5567">
            <w:pPr>
              <w:ind w:right="227"/>
              <w:jc w:val="right"/>
              <w:rPr>
                <w:color w:val="365F91"/>
              </w:rPr>
            </w:pPr>
            <w:r w:rsidRPr="008E1127">
              <w:rPr>
                <w:rFonts w:ascii="Verdana" w:hAnsi="Verdana"/>
                <w:color w:val="365F91"/>
                <w:sz w:val="18"/>
                <w:szCs w:val="18"/>
              </w:rPr>
              <w:t>1</w:t>
            </w:r>
            <w:r>
              <w:rPr>
                <w:rFonts w:ascii="Verdana" w:hAnsi="Verdana"/>
                <w:color w:val="365F91"/>
                <w:sz w:val="18"/>
                <w:szCs w:val="18"/>
              </w:rPr>
              <w:t>,</w:t>
            </w:r>
            <w:r w:rsidRPr="008E1127">
              <w:rPr>
                <w:rFonts w:ascii="Verdana" w:hAnsi="Verdana"/>
                <w:color w:val="365F91"/>
                <w:sz w:val="18"/>
                <w:szCs w:val="18"/>
              </w:rPr>
              <w:t>88</w:t>
            </w:r>
          </w:p>
        </w:tc>
        <w:tc>
          <w:tcPr>
            <w:tcW w:w="673" w:type="pct"/>
            <w:tcBorders>
              <w:top w:val="nil"/>
              <w:bottom w:val="nil"/>
            </w:tcBorders>
            <w:shd w:val="clear" w:color="000000" w:fill="FFFFFF"/>
            <w:vAlign w:val="center"/>
          </w:tcPr>
          <w:p w14:paraId="27A5ABC4" w14:textId="31297F5C"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35</w:t>
            </w:r>
          </w:p>
        </w:tc>
        <w:tc>
          <w:tcPr>
            <w:tcW w:w="942" w:type="pct"/>
            <w:tcBorders>
              <w:top w:val="nil"/>
              <w:bottom w:val="nil"/>
            </w:tcBorders>
            <w:shd w:val="clear" w:color="000000" w:fill="FFFFFF"/>
            <w:vAlign w:val="center"/>
          </w:tcPr>
          <w:p w14:paraId="19BB45EA" w14:textId="64B850BC" w:rsidR="00AD5567" w:rsidRPr="00CF5C48" w:rsidRDefault="00AD5567" w:rsidP="00AD5567">
            <w:pPr>
              <w:ind w:right="227"/>
              <w:jc w:val="center"/>
              <w:rPr>
                <w:color w:val="365F91"/>
              </w:rPr>
            </w:pPr>
            <w:r w:rsidRPr="00131127">
              <w:rPr>
                <w:rFonts w:ascii="Verdana" w:hAnsi="Verdana"/>
                <w:color w:val="365F91"/>
                <w:sz w:val="18"/>
                <w:szCs w:val="18"/>
              </w:rPr>
              <w:t>2</w:t>
            </w:r>
            <w:r>
              <w:rPr>
                <w:rFonts w:ascii="Verdana" w:hAnsi="Verdana"/>
                <w:color w:val="365F91"/>
                <w:sz w:val="18"/>
                <w:szCs w:val="18"/>
              </w:rPr>
              <w:t>,</w:t>
            </w:r>
            <w:r w:rsidRPr="00131127">
              <w:rPr>
                <w:rFonts w:ascii="Verdana" w:hAnsi="Verdana"/>
                <w:color w:val="365F91"/>
                <w:sz w:val="18"/>
                <w:szCs w:val="18"/>
              </w:rPr>
              <w:t>02</w:t>
            </w:r>
          </w:p>
        </w:tc>
      </w:tr>
      <w:tr w:rsidR="00AD5567" w:rsidRPr="00096715" w14:paraId="283FA910" w14:textId="77777777" w:rsidTr="00FF36D9">
        <w:trPr>
          <w:trHeight w:val="374"/>
          <w:jc w:val="center"/>
        </w:trPr>
        <w:tc>
          <w:tcPr>
            <w:tcW w:w="1401" w:type="pct"/>
            <w:tcBorders>
              <w:top w:val="nil"/>
              <w:left w:val="nil"/>
              <w:bottom w:val="nil"/>
            </w:tcBorders>
            <w:shd w:val="clear" w:color="FFFFFF" w:fill="FFFFFF"/>
            <w:noWrap/>
            <w:vAlign w:val="center"/>
            <w:hideMark/>
          </w:tcPr>
          <w:p w14:paraId="0291B2F9"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28" w:type="pct"/>
            <w:tcBorders>
              <w:top w:val="nil"/>
              <w:bottom w:val="nil"/>
            </w:tcBorders>
            <w:shd w:val="clear" w:color="000000" w:fill="FFFFFF"/>
            <w:vAlign w:val="center"/>
          </w:tcPr>
          <w:p w14:paraId="2A8BBABF" w14:textId="6AF1285D" w:rsidR="00AD5567" w:rsidRPr="00CF5C48" w:rsidRDefault="00AD5567" w:rsidP="00AD5567">
            <w:pPr>
              <w:ind w:right="227"/>
              <w:jc w:val="right"/>
              <w:rPr>
                <w:color w:val="365F91"/>
              </w:rPr>
            </w:pPr>
            <w:r w:rsidRPr="00FC45BF">
              <w:rPr>
                <w:rFonts w:ascii="Verdana" w:hAnsi="Verdana"/>
                <w:color w:val="365F91"/>
                <w:sz w:val="18"/>
                <w:szCs w:val="18"/>
              </w:rPr>
              <w:t>102,00</w:t>
            </w:r>
          </w:p>
        </w:tc>
        <w:tc>
          <w:tcPr>
            <w:tcW w:w="590" w:type="pct"/>
            <w:tcBorders>
              <w:top w:val="nil"/>
              <w:bottom w:val="nil"/>
            </w:tcBorders>
            <w:shd w:val="clear" w:color="000000" w:fill="FFFFFF"/>
            <w:vAlign w:val="center"/>
          </w:tcPr>
          <w:p w14:paraId="4D880562" w14:textId="49EC1DF9" w:rsidR="00AD5567" w:rsidRPr="00CF5C48" w:rsidRDefault="00AD5567" w:rsidP="00AD5567">
            <w:pPr>
              <w:ind w:right="227"/>
              <w:jc w:val="right"/>
              <w:rPr>
                <w:color w:val="365F91"/>
              </w:rPr>
            </w:pPr>
            <w:r w:rsidRPr="00FC45BF">
              <w:rPr>
                <w:rFonts w:ascii="Verdana" w:hAnsi="Verdana"/>
                <w:color w:val="365F91"/>
                <w:sz w:val="18"/>
                <w:szCs w:val="18"/>
              </w:rPr>
              <w:t>10</w:t>
            </w:r>
            <w:r>
              <w:rPr>
                <w:rFonts w:ascii="Verdana" w:hAnsi="Verdana"/>
                <w:color w:val="365F91"/>
                <w:sz w:val="18"/>
                <w:szCs w:val="18"/>
                <w:lang w:val="el-GR"/>
              </w:rPr>
              <w:t>5</w:t>
            </w:r>
            <w:r w:rsidRPr="00FC45BF">
              <w:rPr>
                <w:rFonts w:ascii="Verdana" w:hAnsi="Verdana"/>
                <w:color w:val="365F91"/>
                <w:sz w:val="18"/>
                <w:szCs w:val="18"/>
              </w:rPr>
              <w:t>,</w:t>
            </w:r>
            <w:r>
              <w:rPr>
                <w:rFonts w:ascii="Verdana" w:hAnsi="Verdana"/>
                <w:color w:val="365F91"/>
                <w:sz w:val="18"/>
                <w:szCs w:val="18"/>
                <w:lang w:val="el-GR"/>
              </w:rPr>
              <w:t>11</w:t>
            </w:r>
          </w:p>
        </w:tc>
        <w:tc>
          <w:tcPr>
            <w:tcW w:w="125" w:type="pct"/>
            <w:tcBorders>
              <w:top w:val="nil"/>
              <w:bottom w:val="nil"/>
            </w:tcBorders>
            <w:shd w:val="clear" w:color="000000" w:fill="FFFFFF"/>
            <w:tcMar>
              <w:left w:w="0" w:type="dxa"/>
              <w:right w:w="0" w:type="dxa"/>
            </w:tcMar>
            <w:vAlign w:val="center"/>
          </w:tcPr>
          <w:p w14:paraId="764362D4"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1233643E" w14:textId="6C5967CA" w:rsidR="00AD5567" w:rsidRPr="00CF5C48" w:rsidRDefault="00AD5567" w:rsidP="00AD5567">
            <w:pPr>
              <w:ind w:right="227"/>
              <w:jc w:val="right"/>
              <w:rPr>
                <w:color w:val="365F91"/>
              </w:rPr>
            </w:pPr>
            <w:r w:rsidRPr="008E1127">
              <w:rPr>
                <w:rFonts w:ascii="Verdana" w:hAnsi="Verdana"/>
                <w:color w:val="365F91"/>
                <w:sz w:val="18"/>
                <w:szCs w:val="18"/>
              </w:rPr>
              <w:t>-2</w:t>
            </w:r>
            <w:r>
              <w:rPr>
                <w:rFonts w:ascii="Verdana" w:hAnsi="Verdana"/>
                <w:color w:val="365F91"/>
                <w:sz w:val="18"/>
                <w:szCs w:val="18"/>
              </w:rPr>
              <w:t>,</w:t>
            </w:r>
            <w:r w:rsidRPr="008E1127">
              <w:rPr>
                <w:rFonts w:ascii="Verdana" w:hAnsi="Verdana"/>
                <w:color w:val="365F91"/>
                <w:sz w:val="18"/>
                <w:szCs w:val="18"/>
              </w:rPr>
              <w:t>28</w:t>
            </w:r>
          </w:p>
        </w:tc>
        <w:tc>
          <w:tcPr>
            <w:tcW w:w="673" w:type="pct"/>
            <w:tcBorders>
              <w:top w:val="nil"/>
              <w:bottom w:val="nil"/>
            </w:tcBorders>
            <w:shd w:val="clear" w:color="000000" w:fill="FFFFFF"/>
            <w:vAlign w:val="center"/>
          </w:tcPr>
          <w:p w14:paraId="58995080" w14:textId="4FBE511E" w:rsidR="00AD5567" w:rsidRPr="00CF5C48" w:rsidRDefault="00AD5567" w:rsidP="00AD5567">
            <w:pPr>
              <w:ind w:right="227"/>
              <w:jc w:val="right"/>
              <w:rPr>
                <w:color w:val="365F91"/>
              </w:rPr>
            </w:pPr>
            <w:r w:rsidRPr="008E1127">
              <w:rPr>
                <w:rFonts w:ascii="Verdana" w:hAnsi="Verdana"/>
                <w:color w:val="365F91"/>
                <w:sz w:val="18"/>
                <w:szCs w:val="18"/>
              </w:rPr>
              <w:t>3</w:t>
            </w:r>
            <w:r>
              <w:rPr>
                <w:rFonts w:ascii="Verdana" w:hAnsi="Verdana"/>
                <w:color w:val="365F91"/>
                <w:sz w:val="18"/>
                <w:szCs w:val="18"/>
              </w:rPr>
              <w:t>,</w:t>
            </w:r>
            <w:r w:rsidRPr="008E1127">
              <w:rPr>
                <w:rFonts w:ascii="Verdana" w:hAnsi="Verdana"/>
                <w:color w:val="365F91"/>
                <w:sz w:val="18"/>
                <w:szCs w:val="18"/>
              </w:rPr>
              <w:t>05</w:t>
            </w:r>
          </w:p>
        </w:tc>
        <w:tc>
          <w:tcPr>
            <w:tcW w:w="942" w:type="pct"/>
            <w:tcBorders>
              <w:top w:val="nil"/>
              <w:bottom w:val="nil"/>
            </w:tcBorders>
            <w:shd w:val="clear" w:color="000000" w:fill="FFFFFF"/>
            <w:vAlign w:val="center"/>
          </w:tcPr>
          <w:p w14:paraId="0CB21E43" w14:textId="0F4DE605" w:rsidR="00AD5567" w:rsidRPr="00CF5C48" w:rsidRDefault="00AD5567" w:rsidP="00AD5567">
            <w:pPr>
              <w:ind w:right="227"/>
              <w:jc w:val="center"/>
              <w:rPr>
                <w:color w:val="365F91"/>
              </w:rPr>
            </w:pPr>
            <w:r w:rsidRPr="00131127">
              <w:rPr>
                <w:rFonts w:ascii="Verdana" w:hAnsi="Verdana"/>
                <w:color w:val="365F91"/>
                <w:sz w:val="18"/>
                <w:szCs w:val="18"/>
              </w:rPr>
              <w:t>0</w:t>
            </w:r>
            <w:r>
              <w:rPr>
                <w:rFonts w:ascii="Verdana" w:hAnsi="Verdana"/>
                <w:color w:val="365F91"/>
                <w:sz w:val="18"/>
                <w:szCs w:val="18"/>
              </w:rPr>
              <w:t>,</w:t>
            </w:r>
            <w:r w:rsidRPr="00131127">
              <w:rPr>
                <w:rFonts w:ascii="Verdana" w:hAnsi="Verdana"/>
                <w:color w:val="365F91"/>
                <w:sz w:val="18"/>
                <w:szCs w:val="18"/>
              </w:rPr>
              <w:t>15</w:t>
            </w:r>
          </w:p>
        </w:tc>
      </w:tr>
      <w:tr w:rsidR="00AD5567" w:rsidRPr="00096715" w14:paraId="5C58F8B6" w14:textId="77777777" w:rsidTr="00FF36D9">
        <w:trPr>
          <w:trHeight w:val="510"/>
          <w:jc w:val="center"/>
        </w:trPr>
        <w:tc>
          <w:tcPr>
            <w:tcW w:w="1401" w:type="pct"/>
            <w:tcBorders>
              <w:top w:val="nil"/>
              <w:left w:val="nil"/>
              <w:bottom w:val="nil"/>
            </w:tcBorders>
            <w:shd w:val="clear" w:color="FFFFFF" w:fill="FFFFFF"/>
            <w:vAlign w:val="center"/>
            <w:hideMark/>
          </w:tcPr>
          <w:p w14:paraId="2D45918C" w14:textId="77777777" w:rsidR="00AD5567" w:rsidRPr="00096715" w:rsidRDefault="00AD5567" w:rsidP="00AD5567">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628" w:type="pct"/>
            <w:tcBorders>
              <w:top w:val="nil"/>
              <w:bottom w:val="nil"/>
            </w:tcBorders>
            <w:shd w:val="clear" w:color="000000" w:fill="FFFFFF"/>
            <w:vAlign w:val="center"/>
          </w:tcPr>
          <w:p w14:paraId="60ED6D51" w14:textId="0E215623" w:rsidR="00AD5567" w:rsidRPr="00CF5C48" w:rsidRDefault="00AD5567" w:rsidP="00AD5567">
            <w:pPr>
              <w:ind w:right="227"/>
              <w:jc w:val="right"/>
              <w:rPr>
                <w:color w:val="365F91"/>
              </w:rPr>
            </w:pPr>
            <w:r w:rsidRPr="00FC45BF">
              <w:rPr>
                <w:rFonts w:ascii="Verdana" w:hAnsi="Verdana"/>
                <w:color w:val="365F91"/>
                <w:sz w:val="18"/>
                <w:szCs w:val="18"/>
              </w:rPr>
              <w:t>146,45</w:t>
            </w:r>
          </w:p>
        </w:tc>
        <w:tc>
          <w:tcPr>
            <w:tcW w:w="590" w:type="pct"/>
            <w:tcBorders>
              <w:top w:val="nil"/>
              <w:bottom w:val="nil"/>
            </w:tcBorders>
            <w:shd w:val="clear" w:color="000000" w:fill="FFFFFF"/>
            <w:vAlign w:val="center"/>
          </w:tcPr>
          <w:p w14:paraId="0F87A4E1" w14:textId="7BEA1A0B" w:rsidR="00AD5567" w:rsidRPr="00CF5C48" w:rsidRDefault="00AD5567" w:rsidP="00AD5567">
            <w:pPr>
              <w:ind w:right="227"/>
              <w:jc w:val="right"/>
              <w:rPr>
                <w:color w:val="365F91"/>
              </w:rPr>
            </w:pPr>
            <w:r w:rsidRPr="00FC45BF">
              <w:rPr>
                <w:rFonts w:ascii="Verdana" w:hAnsi="Verdana"/>
                <w:color w:val="365F91"/>
                <w:sz w:val="18"/>
                <w:szCs w:val="18"/>
              </w:rPr>
              <w:t>14</w:t>
            </w:r>
            <w:r>
              <w:rPr>
                <w:rFonts w:ascii="Verdana" w:hAnsi="Verdana"/>
                <w:color w:val="365F91"/>
                <w:sz w:val="18"/>
                <w:szCs w:val="18"/>
                <w:lang w:val="el-GR"/>
              </w:rPr>
              <w:t>5</w:t>
            </w:r>
            <w:r w:rsidRPr="00FC45BF">
              <w:rPr>
                <w:rFonts w:ascii="Verdana" w:hAnsi="Verdana"/>
                <w:color w:val="365F91"/>
                <w:sz w:val="18"/>
                <w:szCs w:val="18"/>
              </w:rPr>
              <w:t>,</w:t>
            </w:r>
            <w:r>
              <w:rPr>
                <w:rFonts w:ascii="Verdana" w:hAnsi="Verdana"/>
                <w:color w:val="365F91"/>
                <w:sz w:val="18"/>
                <w:szCs w:val="18"/>
                <w:lang w:val="el-GR"/>
              </w:rPr>
              <w:t>74</w:t>
            </w:r>
          </w:p>
        </w:tc>
        <w:tc>
          <w:tcPr>
            <w:tcW w:w="125" w:type="pct"/>
            <w:tcBorders>
              <w:top w:val="nil"/>
              <w:bottom w:val="nil"/>
            </w:tcBorders>
            <w:shd w:val="clear" w:color="000000" w:fill="FFFFFF"/>
            <w:tcMar>
              <w:left w:w="0" w:type="dxa"/>
              <w:right w:w="0" w:type="dxa"/>
            </w:tcMar>
            <w:vAlign w:val="center"/>
          </w:tcPr>
          <w:p w14:paraId="61CD0728"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119864F2" w14:textId="216195D5" w:rsidR="00AD5567" w:rsidRPr="00CF5C48" w:rsidRDefault="00AD5567" w:rsidP="00AD5567">
            <w:pPr>
              <w:ind w:right="227"/>
              <w:jc w:val="right"/>
              <w:rPr>
                <w:color w:val="365F91"/>
              </w:rPr>
            </w:pPr>
            <w:r w:rsidRPr="008E1127">
              <w:rPr>
                <w:rFonts w:ascii="Verdana" w:hAnsi="Verdana"/>
                <w:color w:val="365F91"/>
                <w:sz w:val="18"/>
                <w:szCs w:val="18"/>
              </w:rPr>
              <w:t>-2</w:t>
            </w:r>
            <w:r>
              <w:rPr>
                <w:rFonts w:ascii="Verdana" w:hAnsi="Verdana"/>
                <w:color w:val="365F91"/>
                <w:sz w:val="18"/>
                <w:szCs w:val="18"/>
              </w:rPr>
              <w:t>,</w:t>
            </w:r>
            <w:r w:rsidRPr="008E1127">
              <w:rPr>
                <w:rFonts w:ascii="Verdana" w:hAnsi="Verdana"/>
                <w:color w:val="365F91"/>
                <w:sz w:val="18"/>
                <w:szCs w:val="18"/>
              </w:rPr>
              <w:t>00</w:t>
            </w:r>
          </w:p>
        </w:tc>
        <w:tc>
          <w:tcPr>
            <w:tcW w:w="673" w:type="pct"/>
            <w:tcBorders>
              <w:top w:val="nil"/>
              <w:bottom w:val="nil"/>
            </w:tcBorders>
            <w:shd w:val="clear" w:color="000000" w:fill="FFFFFF"/>
            <w:vAlign w:val="center"/>
          </w:tcPr>
          <w:p w14:paraId="1E656278" w14:textId="075610A3"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48</w:t>
            </w:r>
          </w:p>
        </w:tc>
        <w:tc>
          <w:tcPr>
            <w:tcW w:w="942" w:type="pct"/>
            <w:tcBorders>
              <w:top w:val="nil"/>
              <w:bottom w:val="nil"/>
            </w:tcBorders>
            <w:shd w:val="clear" w:color="000000" w:fill="FFFFFF"/>
            <w:vAlign w:val="center"/>
          </w:tcPr>
          <w:p w14:paraId="327F652B" w14:textId="370E64BE" w:rsidR="00AD5567" w:rsidRPr="00CF5C48" w:rsidRDefault="00AD5567" w:rsidP="00AD5567">
            <w:pPr>
              <w:ind w:right="227"/>
              <w:jc w:val="center"/>
              <w:rPr>
                <w:color w:val="365F91"/>
              </w:rPr>
            </w:pPr>
            <w:r w:rsidRPr="00131127">
              <w:rPr>
                <w:rFonts w:ascii="Verdana" w:hAnsi="Verdana"/>
                <w:color w:val="365F91"/>
                <w:sz w:val="18"/>
                <w:szCs w:val="18"/>
              </w:rPr>
              <w:t>1</w:t>
            </w:r>
            <w:r>
              <w:rPr>
                <w:rFonts w:ascii="Verdana" w:hAnsi="Verdana"/>
                <w:color w:val="365F91"/>
                <w:sz w:val="18"/>
                <w:szCs w:val="18"/>
              </w:rPr>
              <w:t>,</w:t>
            </w:r>
            <w:r w:rsidRPr="00131127">
              <w:rPr>
                <w:rFonts w:ascii="Verdana" w:hAnsi="Verdana"/>
                <w:color w:val="365F91"/>
                <w:sz w:val="18"/>
                <w:szCs w:val="18"/>
              </w:rPr>
              <w:t>33</w:t>
            </w:r>
          </w:p>
        </w:tc>
      </w:tr>
      <w:tr w:rsidR="00AD5567" w:rsidRPr="00096715" w14:paraId="63E638BE" w14:textId="77777777" w:rsidTr="00FF36D9">
        <w:trPr>
          <w:trHeight w:val="737"/>
          <w:jc w:val="center"/>
        </w:trPr>
        <w:tc>
          <w:tcPr>
            <w:tcW w:w="1401" w:type="pct"/>
            <w:tcBorders>
              <w:top w:val="nil"/>
              <w:left w:val="nil"/>
              <w:bottom w:val="nil"/>
            </w:tcBorders>
            <w:shd w:val="clear" w:color="FFFFFF" w:fill="FFFFFF"/>
            <w:vAlign w:val="center"/>
            <w:hideMark/>
          </w:tcPr>
          <w:p w14:paraId="5C4A5301" w14:textId="77777777" w:rsidR="00AD5567" w:rsidRPr="00096715" w:rsidRDefault="00AD5567" w:rsidP="00AD5567">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28" w:type="pct"/>
            <w:tcBorders>
              <w:top w:val="nil"/>
              <w:bottom w:val="nil"/>
            </w:tcBorders>
            <w:shd w:val="clear" w:color="000000" w:fill="FFFFFF"/>
            <w:vAlign w:val="center"/>
          </w:tcPr>
          <w:p w14:paraId="2A5F34FE" w14:textId="0D7B0C21" w:rsidR="00AD5567" w:rsidRPr="00CF5C48" w:rsidRDefault="00AD5567" w:rsidP="00AD5567">
            <w:pPr>
              <w:ind w:right="227"/>
              <w:jc w:val="right"/>
              <w:rPr>
                <w:color w:val="365F91"/>
              </w:rPr>
            </w:pPr>
            <w:r w:rsidRPr="00FC45BF">
              <w:rPr>
                <w:rFonts w:ascii="Verdana" w:hAnsi="Verdana"/>
                <w:color w:val="365F91"/>
                <w:sz w:val="18"/>
                <w:szCs w:val="18"/>
              </w:rPr>
              <w:t>105,28</w:t>
            </w:r>
          </w:p>
        </w:tc>
        <w:tc>
          <w:tcPr>
            <w:tcW w:w="590" w:type="pct"/>
            <w:tcBorders>
              <w:top w:val="nil"/>
              <w:bottom w:val="nil"/>
            </w:tcBorders>
            <w:shd w:val="clear" w:color="000000" w:fill="FFFFFF"/>
            <w:vAlign w:val="center"/>
          </w:tcPr>
          <w:p w14:paraId="2180AFC5" w14:textId="726F4D87" w:rsidR="00AD5567" w:rsidRPr="00CF5C48" w:rsidRDefault="00AD5567" w:rsidP="00AD5567">
            <w:pPr>
              <w:ind w:right="227"/>
              <w:jc w:val="right"/>
              <w:rPr>
                <w:color w:val="365F91"/>
              </w:rPr>
            </w:pPr>
            <w:r w:rsidRPr="00FC45BF">
              <w:rPr>
                <w:rFonts w:ascii="Verdana" w:hAnsi="Verdana"/>
                <w:color w:val="365F91"/>
                <w:sz w:val="18"/>
                <w:szCs w:val="18"/>
              </w:rPr>
              <w:t>105,</w:t>
            </w:r>
            <w:r>
              <w:rPr>
                <w:rFonts w:ascii="Verdana" w:hAnsi="Verdana"/>
                <w:color w:val="365F91"/>
                <w:sz w:val="18"/>
                <w:szCs w:val="18"/>
                <w:lang w:val="el-GR"/>
              </w:rPr>
              <w:t>67</w:t>
            </w:r>
          </w:p>
        </w:tc>
        <w:tc>
          <w:tcPr>
            <w:tcW w:w="125" w:type="pct"/>
            <w:tcBorders>
              <w:top w:val="nil"/>
              <w:bottom w:val="nil"/>
            </w:tcBorders>
            <w:shd w:val="clear" w:color="000000" w:fill="FFFFFF"/>
            <w:tcMar>
              <w:left w:w="0" w:type="dxa"/>
              <w:right w:w="0" w:type="dxa"/>
            </w:tcMar>
            <w:vAlign w:val="center"/>
          </w:tcPr>
          <w:p w14:paraId="60E3D495"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1F5F44ED" w14:textId="59BA6E27"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47</w:t>
            </w:r>
          </w:p>
        </w:tc>
        <w:tc>
          <w:tcPr>
            <w:tcW w:w="673" w:type="pct"/>
            <w:tcBorders>
              <w:top w:val="nil"/>
              <w:bottom w:val="nil"/>
            </w:tcBorders>
            <w:shd w:val="clear" w:color="000000" w:fill="FFFFFF"/>
            <w:vAlign w:val="center"/>
          </w:tcPr>
          <w:p w14:paraId="24E4080C" w14:textId="6083BEC4"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37</w:t>
            </w:r>
          </w:p>
        </w:tc>
        <w:tc>
          <w:tcPr>
            <w:tcW w:w="942" w:type="pct"/>
            <w:tcBorders>
              <w:top w:val="nil"/>
              <w:bottom w:val="nil"/>
            </w:tcBorders>
            <w:shd w:val="clear" w:color="000000" w:fill="FFFFFF"/>
            <w:vAlign w:val="center"/>
          </w:tcPr>
          <w:p w14:paraId="5B1586EE" w14:textId="0E4E8F9B" w:rsidR="00AD5567" w:rsidRPr="00CF5C48" w:rsidRDefault="00AD5567" w:rsidP="00AD5567">
            <w:pPr>
              <w:ind w:right="227"/>
              <w:jc w:val="center"/>
              <w:rPr>
                <w:color w:val="365F91"/>
              </w:rPr>
            </w:pPr>
            <w:r w:rsidRPr="00131127">
              <w:rPr>
                <w:rFonts w:ascii="Verdana" w:hAnsi="Verdana"/>
                <w:color w:val="365F91"/>
                <w:sz w:val="18"/>
                <w:szCs w:val="18"/>
              </w:rPr>
              <w:t>-0</w:t>
            </w:r>
            <w:r>
              <w:rPr>
                <w:rFonts w:ascii="Verdana" w:hAnsi="Verdana"/>
                <w:color w:val="365F91"/>
                <w:sz w:val="18"/>
                <w:szCs w:val="18"/>
              </w:rPr>
              <w:t>,</w:t>
            </w:r>
            <w:r w:rsidRPr="00131127">
              <w:rPr>
                <w:rFonts w:ascii="Verdana" w:hAnsi="Verdana"/>
                <w:color w:val="365F91"/>
                <w:sz w:val="18"/>
                <w:szCs w:val="18"/>
              </w:rPr>
              <w:t>53</w:t>
            </w:r>
          </w:p>
        </w:tc>
      </w:tr>
      <w:tr w:rsidR="00AD5567" w:rsidRPr="00096715" w14:paraId="7B3E7155" w14:textId="77777777" w:rsidTr="00FF36D9">
        <w:trPr>
          <w:trHeight w:val="374"/>
          <w:jc w:val="center"/>
        </w:trPr>
        <w:tc>
          <w:tcPr>
            <w:tcW w:w="1401" w:type="pct"/>
            <w:tcBorders>
              <w:top w:val="nil"/>
              <w:left w:val="nil"/>
              <w:bottom w:val="nil"/>
            </w:tcBorders>
            <w:shd w:val="clear" w:color="FFFFFF" w:fill="FFFFFF"/>
            <w:noWrap/>
            <w:vAlign w:val="center"/>
            <w:hideMark/>
          </w:tcPr>
          <w:p w14:paraId="121BBA87"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28" w:type="pct"/>
            <w:tcBorders>
              <w:top w:val="nil"/>
              <w:bottom w:val="nil"/>
            </w:tcBorders>
            <w:shd w:val="clear" w:color="000000" w:fill="FFFFFF"/>
            <w:vAlign w:val="center"/>
          </w:tcPr>
          <w:p w14:paraId="4CCF76ED" w14:textId="39E66256" w:rsidR="00AD5567" w:rsidRPr="00CF5C48" w:rsidRDefault="00AD5567" w:rsidP="00AD5567">
            <w:pPr>
              <w:ind w:right="227"/>
              <w:jc w:val="right"/>
              <w:rPr>
                <w:color w:val="365F91"/>
              </w:rPr>
            </w:pPr>
            <w:r w:rsidRPr="00FC45BF">
              <w:rPr>
                <w:rFonts w:ascii="Verdana" w:hAnsi="Verdana"/>
                <w:color w:val="365F91"/>
                <w:sz w:val="18"/>
                <w:szCs w:val="18"/>
              </w:rPr>
              <w:t>106,75</w:t>
            </w:r>
          </w:p>
        </w:tc>
        <w:tc>
          <w:tcPr>
            <w:tcW w:w="590" w:type="pct"/>
            <w:tcBorders>
              <w:top w:val="nil"/>
              <w:bottom w:val="nil"/>
            </w:tcBorders>
            <w:shd w:val="clear" w:color="000000" w:fill="FFFFFF"/>
            <w:vAlign w:val="center"/>
          </w:tcPr>
          <w:p w14:paraId="4E12508B" w14:textId="70164DE7" w:rsidR="00AD5567" w:rsidRPr="00CF5C48" w:rsidRDefault="00AD5567" w:rsidP="00AD5567">
            <w:pPr>
              <w:ind w:right="227"/>
              <w:jc w:val="right"/>
              <w:rPr>
                <w:color w:val="365F91"/>
              </w:rPr>
            </w:pPr>
            <w:r w:rsidRPr="00FC45BF">
              <w:rPr>
                <w:rFonts w:ascii="Verdana" w:hAnsi="Verdana"/>
                <w:color w:val="365F91"/>
                <w:sz w:val="18"/>
                <w:szCs w:val="18"/>
              </w:rPr>
              <w:t>106,</w:t>
            </w:r>
            <w:r>
              <w:rPr>
                <w:rFonts w:ascii="Verdana" w:hAnsi="Verdana"/>
                <w:color w:val="365F91"/>
                <w:sz w:val="18"/>
                <w:szCs w:val="18"/>
                <w:lang w:val="el-GR"/>
              </w:rPr>
              <w:t>95</w:t>
            </w:r>
          </w:p>
        </w:tc>
        <w:tc>
          <w:tcPr>
            <w:tcW w:w="125" w:type="pct"/>
            <w:tcBorders>
              <w:top w:val="nil"/>
              <w:bottom w:val="nil"/>
            </w:tcBorders>
            <w:shd w:val="clear" w:color="000000" w:fill="FFFFFF"/>
            <w:tcMar>
              <w:left w:w="0" w:type="dxa"/>
              <w:right w:w="0" w:type="dxa"/>
            </w:tcMar>
            <w:vAlign w:val="center"/>
          </w:tcPr>
          <w:p w14:paraId="2FA8B44C"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76198C3E" w14:textId="745BFDFA" w:rsidR="00AD5567" w:rsidRPr="00CF5C48" w:rsidRDefault="00AD5567" w:rsidP="00AD5567">
            <w:pPr>
              <w:ind w:right="227"/>
              <w:jc w:val="right"/>
              <w:rPr>
                <w:color w:val="365F91"/>
              </w:rPr>
            </w:pPr>
            <w:r w:rsidRPr="008E1127">
              <w:rPr>
                <w:rFonts w:ascii="Verdana" w:hAnsi="Verdana"/>
                <w:color w:val="365F91"/>
                <w:sz w:val="18"/>
                <w:szCs w:val="18"/>
              </w:rPr>
              <w:t>1</w:t>
            </w:r>
            <w:r>
              <w:rPr>
                <w:rFonts w:ascii="Verdana" w:hAnsi="Verdana"/>
                <w:color w:val="365F91"/>
                <w:sz w:val="18"/>
                <w:szCs w:val="18"/>
              </w:rPr>
              <w:t>,</w:t>
            </w:r>
            <w:r w:rsidRPr="008E1127">
              <w:rPr>
                <w:rFonts w:ascii="Verdana" w:hAnsi="Verdana"/>
                <w:color w:val="365F91"/>
                <w:sz w:val="18"/>
                <w:szCs w:val="18"/>
              </w:rPr>
              <w:t>43</w:t>
            </w:r>
          </w:p>
        </w:tc>
        <w:tc>
          <w:tcPr>
            <w:tcW w:w="673" w:type="pct"/>
            <w:tcBorders>
              <w:top w:val="nil"/>
              <w:bottom w:val="nil"/>
            </w:tcBorders>
            <w:shd w:val="clear" w:color="000000" w:fill="FFFFFF"/>
            <w:vAlign w:val="center"/>
          </w:tcPr>
          <w:p w14:paraId="4D260F0C" w14:textId="014C4C4F"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19</w:t>
            </w:r>
          </w:p>
        </w:tc>
        <w:tc>
          <w:tcPr>
            <w:tcW w:w="942" w:type="pct"/>
            <w:tcBorders>
              <w:top w:val="nil"/>
              <w:bottom w:val="nil"/>
            </w:tcBorders>
            <w:shd w:val="clear" w:color="000000" w:fill="FFFFFF"/>
            <w:vAlign w:val="center"/>
          </w:tcPr>
          <w:p w14:paraId="481C282F" w14:textId="25BC6FAB" w:rsidR="00AD5567" w:rsidRPr="00CF5C48" w:rsidRDefault="00AD5567" w:rsidP="00AD5567">
            <w:pPr>
              <w:ind w:right="227"/>
              <w:jc w:val="center"/>
              <w:rPr>
                <w:color w:val="365F91"/>
              </w:rPr>
            </w:pPr>
            <w:r w:rsidRPr="00131127">
              <w:rPr>
                <w:rFonts w:ascii="Verdana" w:hAnsi="Verdana"/>
                <w:color w:val="365F91"/>
                <w:sz w:val="18"/>
                <w:szCs w:val="18"/>
              </w:rPr>
              <w:t>1</w:t>
            </w:r>
            <w:r>
              <w:rPr>
                <w:rFonts w:ascii="Verdana" w:hAnsi="Verdana"/>
                <w:color w:val="365F91"/>
                <w:sz w:val="18"/>
                <w:szCs w:val="18"/>
              </w:rPr>
              <w:t>,</w:t>
            </w:r>
            <w:r w:rsidRPr="00131127">
              <w:rPr>
                <w:rFonts w:ascii="Verdana" w:hAnsi="Verdana"/>
                <w:color w:val="365F91"/>
                <w:sz w:val="18"/>
                <w:szCs w:val="18"/>
              </w:rPr>
              <w:t>21</w:t>
            </w:r>
          </w:p>
        </w:tc>
      </w:tr>
      <w:tr w:rsidR="00AD5567" w:rsidRPr="00096715" w14:paraId="267B6640" w14:textId="77777777" w:rsidTr="00FF36D9">
        <w:trPr>
          <w:trHeight w:val="374"/>
          <w:jc w:val="center"/>
        </w:trPr>
        <w:tc>
          <w:tcPr>
            <w:tcW w:w="1401" w:type="pct"/>
            <w:tcBorders>
              <w:top w:val="nil"/>
              <w:left w:val="nil"/>
              <w:bottom w:val="nil"/>
            </w:tcBorders>
            <w:shd w:val="clear" w:color="FFFFFF" w:fill="FFFFFF"/>
            <w:noWrap/>
            <w:vAlign w:val="center"/>
            <w:hideMark/>
          </w:tcPr>
          <w:p w14:paraId="258EB70D" w14:textId="77777777" w:rsidR="00AD5567" w:rsidRPr="00096715" w:rsidRDefault="00AD5567" w:rsidP="00AD5567">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628" w:type="pct"/>
            <w:tcBorders>
              <w:top w:val="nil"/>
              <w:bottom w:val="nil"/>
            </w:tcBorders>
            <w:shd w:val="clear" w:color="000000" w:fill="FFFFFF"/>
            <w:vAlign w:val="center"/>
          </w:tcPr>
          <w:p w14:paraId="6F113A39" w14:textId="3A5EB533" w:rsidR="00AD5567" w:rsidRPr="00CF5C48" w:rsidRDefault="00AD5567" w:rsidP="00AD5567">
            <w:pPr>
              <w:ind w:right="227"/>
              <w:jc w:val="right"/>
              <w:rPr>
                <w:color w:val="365F91"/>
              </w:rPr>
            </w:pPr>
            <w:r w:rsidRPr="00FC45BF">
              <w:rPr>
                <w:rFonts w:ascii="Verdana" w:hAnsi="Verdana"/>
                <w:color w:val="365F91"/>
                <w:sz w:val="18"/>
                <w:szCs w:val="18"/>
              </w:rPr>
              <w:t>114,80</w:t>
            </w:r>
          </w:p>
        </w:tc>
        <w:tc>
          <w:tcPr>
            <w:tcW w:w="590" w:type="pct"/>
            <w:tcBorders>
              <w:top w:val="nil"/>
              <w:bottom w:val="nil"/>
            </w:tcBorders>
            <w:shd w:val="clear" w:color="000000" w:fill="FFFFFF"/>
            <w:vAlign w:val="center"/>
          </w:tcPr>
          <w:p w14:paraId="02F38802" w14:textId="47494A4E" w:rsidR="00AD5567" w:rsidRPr="00CF5C48" w:rsidRDefault="00AD5567" w:rsidP="00AD5567">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3</w:t>
            </w:r>
            <w:r w:rsidRPr="00FC45BF">
              <w:rPr>
                <w:rFonts w:ascii="Verdana" w:hAnsi="Verdana"/>
                <w:color w:val="365F91"/>
                <w:sz w:val="18"/>
                <w:szCs w:val="18"/>
              </w:rPr>
              <w:t>,8</w:t>
            </w:r>
            <w:r>
              <w:rPr>
                <w:rFonts w:ascii="Verdana" w:hAnsi="Verdana"/>
                <w:color w:val="365F91"/>
                <w:sz w:val="18"/>
                <w:szCs w:val="18"/>
                <w:lang w:val="el-GR"/>
              </w:rPr>
              <w:t>3</w:t>
            </w:r>
          </w:p>
        </w:tc>
        <w:tc>
          <w:tcPr>
            <w:tcW w:w="125" w:type="pct"/>
            <w:tcBorders>
              <w:top w:val="nil"/>
              <w:bottom w:val="nil"/>
            </w:tcBorders>
            <w:shd w:val="clear" w:color="000000" w:fill="FFFFFF"/>
            <w:tcMar>
              <w:left w:w="0" w:type="dxa"/>
              <w:right w:w="0" w:type="dxa"/>
            </w:tcMar>
            <w:vAlign w:val="center"/>
          </w:tcPr>
          <w:p w14:paraId="53B56C66"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720C5D52" w14:textId="5F1D293F" w:rsidR="00AD5567" w:rsidRPr="00CF5C48" w:rsidRDefault="00AD5567" w:rsidP="00AD5567">
            <w:pPr>
              <w:ind w:right="227"/>
              <w:jc w:val="right"/>
              <w:rPr>
                <w:color w:val="365F91"/>
              </w:rPr>
            </w:pPr>
            <w:r w:rsidRPr="008E1127">
              <w:rPr>
                <w:rFonts w:ascii="Verdana" w:hAnsi="Verdana"/>
                <w:color w:val="365F91"/>
                <w:sz w:val="18"/>
                <w:szCs w:val="18"/>
              </w:rPr>
              <w:t>-6</w:t>
            </w:r>
            <w:r>
              <w:rPr>
                <w:rFonts w:ascii="Verdana" w:hAnsi="Verdana"/>
                <w:color w:val="365F91"/>
                <w:sz w:val="18"/>
                <w:szCs w:val="18"/>
              </w:rPr>
              <w:t>,</w:t>
            </w:r>
            <w:r w:rsidRPr="008E1127">
              <w:rPr>
                <w:rFonts w:ascii="Verdana" w:hAnsi="Verdana"/>
                <w:color w:val="365F91"/>
                <w:sz w:val="18"/>
                <w:szCs w:val="18"/>
              </w:rPr>
              <w:t>87</w:t>
            </w:r>
          </w:p>
        </w:tc>
        <w:tc>
          <w:tcPr>
            <w:tcW w:w="673" w:type="pct"/>
            <w:tcBorders>
              <w:top w:val="nil"/>
              <w:bottom w:val="nil"/>
            </w:tcBorders>
            <w:shd w:val="clear" w:color="000000" w:fill="FFFFFF"/>
            <w:vAlign w:val="center"/>
          </w:tcPr>
          <w:p w14:paraId="5F650295" w14:textId="0EEEB2A8"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84</w:t>
            </w:r>
          </w:p>
        </w:tc>
        <w:tc>
          <w:tcPr>
            <w:tcW w:w="942" w:type="pct"/>
            <w:tcBorders>
              <w:top w:val="nil"/>
              <w:bottom w:val="nil"/>
            </w:tcBorders>
            <w:shd w:val="clear" w:color="000000" w:fill="FFFFFF"/>
            <w:vAlign w:val="center"/>
          </w:tcPr>
          <w:p w14:paraId="4120E845" w14:textId="5A29D58D" w:rsidR="00AD5567" w:rsidRPr="00CF5C48" w:rsidRDefault="00AD5567" w:rsidP="00AD5567">
            <w:pPr>
              <w:ind w:right="227"/>
              <w:jc w:val="center"/>
              <w:rPr>
                <w:color w:val="365F91"/>
              </w:rPr>
            </w:pPr>
            <w:r w:rsidRPr="00131127">
              <w:rPr>
                <w:rFonts w:ascii="Verdana" w:hAnsi="Verdana"/>
                <w:color w:val="365F91"/>
                <w:sz w:val="18"/>
                <w:szCs w:val="18"/>
              </w:rPr>
              <w:t>-0</w:t>
            </w:r>
            <w:r>
              <w:rPr>
                <w:rFonts w:ascii="Verdana" w:hAnsi="Verdana"/>
                <w:color w:val="365F91"/>
                <w:sz w:val="18"/>
                <w:szCs w:val="18"/>
              </w:rPr>
              <w:t>,</w:t>
            </w:r>
            <w:r w:rsidRPr="00131127">
              <w:rPr>
                <w:rFonts w:ascii="Verdana" w:hAnsi="Verdana"/>
                <w:color w:val="365F91"/>
                <w:sz w:val="18"/>
                <w:szCs w:val="18"/>
              </w:rPr>
              <w:t>52</w:t>
            </w:r>
          </w:p>
        </w:tc>
      </w:tr>
      <w:tr w:rsidR="00AD5567" w:rsidRPr="00096715" w14:paraId="3E020AAC" w14:textId="77777777" w:rsidTr="00FF36D9">
        <w:trPr>
          <w:trHeight w:val="374"/>
          <w:jc w:val="center"/>
        </w:trPr>
        <w:tc>
          <w:tcPr>
            <w:tcW w:w="1401" w:type="pct"/>
            <w:tcBorders>
              <w:top w:val="nil"/>
              <w:left w:val="nil"/>
              <w:bottom w:val="nil"/>
            </w:tcBorders>
            <w:shd w:val="clear" w:color="FFFFFF" w:fill="FFFFFF"/>
            <w:noWrap/>
            <w:vAlign w:val="center"/>
            <w:hideMark/>
          </w:tcPr>
          <w:p w14:paraId="670E6E27"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28" w:type="pct"/>
            <w:tcBorders>
              <w:top w:val="nil"/>
              <w:bottom w:val="nil"/>
            </w:tcBorders>
            <w:shd w:val="clear" w:color="000000" w:fill="FFFFFF"/>
            <w:vAlign w:val="center"/>
          </w:tcPr>
          <w:p w14:paraId="2FA4C442" w14:textId="1966A7A0" w:rsidR="00AD5567" w:rsidRPr="00CF5C48" w:rsidRDefault="00AD5567" w:rsidP="00AD5567">
            <w:pPr>
              <w:ind w:right="227"/>
              <w:jc w:val="right"/>
              <w:rPr>
                <w:color w:val="365F91"/>
              </w:rPr>
            </w:pPr>
            <w:r w:rsidRPr="00FC45BF">
              <w:rPr>
                <w:rFonts w:ascii="Verdana" w:hAnsi="Verdana"/>
                <w:color w:val="365F91"/>
                <w:sz w:val="18"/>
                <w:szCs w:val="18"/>
              </w:rPr>
              <w:t>91,59</w:t>
            </w:r>
          </w:p>
        </w:tc>
        <w:tc>
          <w:tcPr>
            <w:tcW w:w="590" w:type="pct"/>
            <w:tcBorders>
              <w:top w:val="nil"/>
              <w:bottom w:val="nil"/>
            </w:tcBorders>
            <w:shd w:val="clear" w:color="000000" w:fill="FFFFFF"/>
            <w:vAlign w:val="center"/>
          </w:tcPr>
          <w:p w14:paraId="5F09D5A4" w14:textId="3F7B816D" w:rsidR="00AD5567" w:rsidRPr="00CF5C48" w:rsidRDefault="00AD5567" w:rsidP="00AD5567">
            <w:pPr>
              <w:ind w:right="227"/>
              <w:jc w:val="right"/>
              <w:rPr>
                <w:color w:val="365F91"/>
              </w:rPr>
            </w:pPr>
            <w:r w:rsidRPr="00FC45BF">
              <w:rPr>
                <w:rFonts w:ascii="Verdana" w:hAnsi="Verdana"/>
                <w:color w:val="365F91"/>
                <w:sz w:val="18"/>
                <w:szCs w:val="18"/>
              </w:rPr>
              <w:t>91,</w:t>
            </w:r>
            <w:r>
              <w:rPr>
                <w:rFonts w:ascii="Verdana" w:hAnsi="Verdana"/>
                <w:color w:val="365F91"/>
                <w:sz w:val="18"/>
                <w:szCs w:val="18"/>
                <w:lang w:val="el-GR"/>
              </w:rPr>
              <w:t>62</w:t>
            </w:r>
          </w:p>
        </w:tc>
        <w:tc>
          <w:tcPr>
            <w:tcW w:w="125" w:type="pct"/>
            <w:tcBorders>
              <w:top w:val="nil"/>
              <w:bottom w:val="nil"/>
            </w:tcBorders>
            <w:shd w:val="clear" w:color="000000" w:fill="FFFFFF"/>
            <w:tcMar>
              <w:left w:w="0" w:type="dxa"/>
              <w:right w:w="0" w:type="dxa"/>
            </w:tcMar>
            <w:vAlign w:val="center"/>
          </w:tcPr>
          <w:p w14:paraId="1755E13A"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54AE3015" w14:textId="0C6E92D1"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31</w:t>
            </w:r>
          </w:p>
        </w:tc>
        <w:tc>
          <w:tcPr>
            <w:tcW w:w="673" w:type="pct"/>
            <w:tcBorders>
              <w:top w:val="nil"/>
              <w:bottom w:val="nil"/>
            </w:tcBorders>
            <w:shd w:val="clear" w:color="000000" w:fill="FFFFFF"/>
            <w:vAlign w:val="center"/>
          </w:tcPr>
          <w:p w14:paraId="39777071" w14:textId="53451B8E"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03</w:t>
            </w:r>
          </w:p>
        </w:tc>
        <w:tc>
          <w:tcPr>
            <w:tcW w:w="942" w:type="pct"/>
            <w:tcBorders>
              <w:top w:val="nil"/>
              <w:bottom w:val="nil"/>
            </w:tcBorders>
            <w:shd w:val="clear" w:color="000000" w:fill="FFFFFF"/>
            <w:vAlign w:val="center"/>
          </w:tcPr>
          <w:p w14:paraId="36217E96" w14:textId="145BD70F" w:rsidR="00AD5567" w:rsidRPr="00CF5C48" w:rsidRDefault="00AD5567" w:rsidP="00AD5567">
            <w:pPr>
              <w:ind w:right="227"/>
              <w:jc w:val="center"/>
              <w:rPr>
                <w:color w:val="365F91"/>
              </w:rPr>
            </w:pPr>
            <w:r w:rsidRPr="00131127">
              <w:rPr>
                <w:rFonts w:ascii="Verdana" w:hAnsi="Verdana"/>
                <w:color w:val="365F91"/>
                <w:sz w:val="18"/>
                <w:szCs w:val="18"/>
              </w:rPr>
              <w:t>0</w:t>
            </w:r>
            <w:r>
              <w:rPr>
                <w:rFonts w:ascii="Verdana" w:hAnsi="Verdana"/>
                <w:color w:val="365F91"/>
                <w:sz w:val="18"/>
                <w:szCs w:val="18"/>
              </w:rPr>
              <w:t>,</w:t>
            </w:r>
            <w:r w:rsidRPr="00131127">
              <w:rPr>
                <w:rFonts w:ascii="Verdana" w:hAnsi="Verdana"/>
                <w:color w:val="365F91"/>
                <w:sz w:val="18"/>
                <w:szCs w:val="18"/>
              </w:rPr>
              <w:t>58</w:t>
            </w:r>
          </w:p>
        </w:tc>
      </w:tr>
      <w:tr w:rsidR="00AD5567" w:rsidRPr="00096715" w14:paraId="424A7023" w14:textId="77777777" w:rsidTr="00FF36D9">
        <w:trPr>
          <w:trHeight w:val="374"/>
          <w:jc w:val="center"/>
        </w:trPr>
        <w:tc>
          <w:tcPr>
            <w:tcW w:w="1401" w:type="pct"/>
            <w:tcBorders>
              <w:top w:val="nil"/>
              <w:left w:val="nil"/>
              <w:bottom w:val="nil"/>
            </w:tcBorders>
            <w:shd w:val="clear" w:color="FFFFFF" w:fill="FFFFFF"/>
            <w:noWrap/>
            <w:vAlign w:val="center"/>
            <w:hideMark/>
          </w:tcPr>
          <w:p w14:paraId="6F603B94"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28" w:type="pct"/>
            <w:tcBorders>
              <w:top w:val="nil"/>
              <w:bottom w:val="nil"/>
            </w:tcBorders>
            <w:shd w:val="clear" w:color="000000" w:fill="FFFFFF"/>
            <w:vAlign w:val="center"/>
          </w:tcPr>
          <w:p w14:paraId="59DA8776" w14:textId="5B9A60AC" w:rsidR="00AD5567" w:rsidRPr="00CF5C48" w:rsidRDefault="00AD5567" w:rsidP="00AD5567">
            <w:pPr>
              <w:ind w:right="227"/>
              <w:jc w:val="right"/>
              <w:rPr>
                <w:color w:val="365F91"/>
              </w:rPr>
            </w:pPr>
            <w:r w:rsidRPr="00FC45BF">
              <w:rPr>
                <w:rFonts w:ascii="Verdana" w:hAnsi="Verdana"/>
                <w:color w:val="365F91"/>
                <w:sz w:val="18"/>
                <w:szCs w:val="18"/>
              </w:rPr>
              <w:t>115,38</w:t>
            </w:r>
          </w:p>
        </w:tc>
        <w:tc>
          <w:tcPr>
            <w:tcW w:w="590" w:type="pct"/>
            <w:tcBorders>
              <w:top w:val="nil"/>
              <w:bottom w:val="nil"/>
            </w:tcBorders>
            <w:shd w:val="clear" w:color="000000" w:fill="FFFFFF"/>
            <w:vAlign w:val="center"/>
          </w:tcPr>
          <w:p w14:paraId="2F8BACE2" w14:textId="3A91CF55" w:rsidR="00AD5567" w:rsidRPr="00CF5C48" w:rsidRDefault="00AD5567" w:rsidP="00AD5567">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6</w:t>
            </w:r>
            <w:r w:rsidRPr="00FC45BF">
              <w:rPr>
                <w:rFonts w:ascii="Verdana" w:hAnsi="Verdana"/>
                <w:color w:val="365F91"/>
                <w:sz w:val="18"/>
                <w:szCs w:val="18"/>
              </w:rPr>
              <w:t>,</w:t>
            </w:r>
            <w:r>
              <w:rPr>
                <w:rFonts w:ascii="Verdana" w:hAnsi="Verdana"/>
                <w:color w:val="365F91"/>
                <w:sz w:val="18"/>
                <w:szCs w:val="18"/>
                <w:lang w:val="el-GR"/>
              </w:rPr>
              <w:t>57</w:t>
            </w:r>
          </w:p>
        </w:tc>
        <w:tc>
          <w:tcPr>
            <w:tcW w:w="125" w:type="pct"/>
            <w:tcBorders>
              <w:top w:val="nil"/>
              <w:bottom w:val="nil"/>
            </w:tcBorders>
            <w:shd w:val="clear" w:color="000000" w:fill="FFFFFF"/>
            <w:tcMar>
              <w:left w:w="0" w:type="dxa"/>
              <w:right w:w="0" w:type="dxa"/>
            </w:tcMar>
            <w:vAlign w:val="center"/>
          </w:tcPr>
          <w:p w14:paraId="1C742CFA"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2FEE2240" w14:textId="50E16237" w:rsidR="00AD5567" w:rsidRPr="00CF5C48" w:rsidRDefault="00AD5567" w:rsidP="00AD5567">
            <w:pPr>
              <w:ind w:right="227"/>
              <w:jc w:val="right"/>
              <w:rPr>
                <w:color w:val="365F91"/>
              </w:rPr>
            </w:pPr>
            <w:r w:rsidRPr="008E1127">
              <w:rPr>
                <w:rFonts w:ascii="Verdana" w:hAnsi="Verdana"/>
                <w:color w:val="365F91"/>
                <w:sz w:val="18"/>
                <w:szCs w:val="18"/>
              </w:rPr>
              <w:t>2</w:t>
            </w:r>
            <w:r>
              <w:rPr>
                <w:rFonts w:ascii="Verdana" w:hAnsi="Verdana"/>
                <w:color w:val="365F91"/>
                <w:sz w:val="18"/>
                <w:szCs w:val="18"/>
              </w:rPr>
              <w:t>,</w:t>
            </w:r>
            <w:r w:rsidRPr="008E1127">
              <w:rPr>
                <w:rFonts w:ascii="Verdana" w:hAnsi="Verdana"/>
                <w:color w:val="365F91"/>
                <w:sz w:val="18"/>
                <w:szCs w:val="18"/>
              </w:rPr>
              <w:t>95</w:t>
            </w:r>
          </w:p>
        </w:tc>
        <w:tc>
          <w:tcPr>
            <w:tcW w:w="673" w:type="pct"/>
            <w:tcBorders>
              <w:top w:val="nil"/>
              <w:bottom w:val="nil"/>
            </w:tcBorders>
            <w:shd w:val="clear" w:color="000000" w:fill="FFFFFF"/>
            <w:vAlign w:val="center"/>
          </w:tcPr>
          <w:p w14:paraId="5DA4CA43" w14:textId="1A781578" w:rsidR="00AD5567" w:rsidRPr="00CF5C48" w:rsidRDefault="00AD5567" w:rsidP="00AD5567">
            <w:pPr>
              <w:ind w:right="227"/>
              <w:jc w:val="right"/>
              <w:rPr>
                <w:color w:val="365F91"/>
              </w:rPr>
            </w:pPr>
            <w:r w:rsidRPr="008E1127">
              <w:rPr>
                <w:rFonts w:ascii="Verdana" w:hAnsi="Verdana"/>
                <w:color w:val="365F91"/>
                <w:sz w:val="18"/>
                <w:szCs w:val="18"/>
              </w:rPr>
              <w:t>1</w:t>
            </w:r>
            <w:r>
              <w:rPr>
                <w:rFonts w:ascii="Verdana" w:hAnsi="Verdana"/>
                <w:color w:val="365F91"/>
                <w:sz w:val="18"/>
                <w:szCs w:val="18"/>
              </w:rPr>
              <w:t>,</w:t>
            </w:r>
            <w:r w:rsidRPr="008E1127">
              <w:rPr>
                <w:rFonts w:ascii="Verdana" w:hAnsi="Verdana"/>
                <w:color w:val="365F91"/>
                <w:sz w:val="18"/>
                <w:szCs w:val="18"/>
              </w:rPr>
              <w:t>03</w:t>
            </w:r>
          </w:p>
        </w:tc>
        <w:tc>
          <w:tcPr>
            <w:tcW w:w="942" w:type="pct"/>
            <w:tcBorders>
              <w:top w:val="nil"/>
              <w:bottom w:val="nil"/>
            </w:tcBorders>
            <w:shd w:val="clear" w:color="000000" w:fill="FFFFFF"/>
            <w:vAlign w:val="center"/>
          </w:tcPr>
          <w:p w14:paraId="15F06474" w14:textId="1EEFC917" w:rsidR="00AD5567" w:rsidRPr="00CF5C48" w:rsidRDefault="00AD5567" w:rsidP="00AD5567">
            <w:pPr>
              <w:ind w:right="227"/>
              <w:jc w:val="center"/>
              <w:rPr>
                <w:color w:val="365F91"/>
              </w:rPr>
            </w:pPr>
            <w:r w:rsidRPr="00131127">
              <w:rPr>
                <w:rFonts w:ascii="Verdana" w:hAnsi="Verdana"/>
                <w:color w:val="365F91"/>
                <w:sz w:val="18"/>
                <w:szCs w:val="18"/>
              </w:rPr>
              <w:t>2</w:t>
            </w:r>
            <w:r>
              <w:rPr>
                <w:rFonts w:ascii="Verdana" w:hAnsi="Verdana"/>
                <w:color w:val="365F91"/>
                <w:sz w:val="18"/>
                <w:szCs w:val="18"/>
              </w:rPr>
              <w:t>,</w:t>
            </w:r>
            <w:r w:rsidRPr="00131127">
              <w:rPr>
                <w:rFonts w:ascii="Verdana" w:hAnsi="Verdana"/>
                <w:color w:val="365F91"/>
                <w:sz w:val="18"/>
                <w:szCs w:val="18"/>
              </w:rPr>
              <w:t>05</w:t>
            </w:r>
          </w:p>
        </w:tc>
      </w:tr>
      <w:tr w:rsidR="00AD5567" w:rsidRPr="00096715" w14:paraId="09749935" w14:textId="77777777" w:rsidTr="00FF36D9">
        <w:trPr>
          <w:trHeight w:val="374"/>
          <w:jc w:val="center"/>
        </w:trPr>
        <w:tc>
          <w:tcPr>
            <w:tcW w:w="1401" w:type="pct"/>
            <w:tcBorders>
              <w:top w:val="nil"/>
              <w:left w:val="nil"/>
              <w:bottom w:val="nil"/>
            </w:tcBorders>
            <w:shd w:val="clear" w:color="FFFFFF" w:fill="FFFFFF"/>
            <w:noWrap/>
            <w:vAlign w:val="center"/>
            <w:hideMark/>
          </w:tcPr>
          <w:p w14:paraId="3CBCB8D2"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28" w:type="pct"/>
            <w:tcBorders>
              <w:top w:val="nil"/>
              <w:bottom w:val="nil"/>
            </w:tcBorders>
            <w:shd w:val="clear" w:color="000000" w:fill="FFFFFF"/>
            <w:vAlign w:val="center"/>
          </w:tcPr>
          <w:p w14:paraId="2F0B1C6B" w14:textId="2281CD64" w:rsidR="00AD5567" w:rsidRPr="00CF5C48" w:rsidRDefault="00AD5567" w:rsidP="00AD5567">
            <w:pPr>
              <w:ind w:right="227"/>
              <w:jc w:val="right"/>
              <w:rPr>
                <w:color w:val="365F91"/>
              </w:rPr>
            </w:pPr>
            <w:r w:rsidRPr="00FC45BF">
              <w:rPr>
                <w:rFonts w:ascii="Verdana" w:hAnsi="Verdana"/>
                <w:color w:val="365F91"/>
                <w:sz w:val="18"/>
                <w:szCs w:val="18"/>
              </w:rPr>
              <w:t>114,94</w:t>
            </w:r>
          </w:p>
        </w:tc>
        <w:tc>
          <w:tcPr>
            <w:tcW w:w="590" w:type="pct"/>
            <w:tcBorders>
              <w:top w:val="nil"/>
              <w:bottom w:val="nil"/>
            </w:tcBorders>
            <w:shd w:val="clear" w:color="000000" w:fill="FFFFFF"/>
            <w:vAlign w:val="center"/>
          </w:tcPr>
          <w:p w14:paraId="584DFD53" w14:textId="73BB875C" w:rsidR="00AD5567" w:rsidRPr="00CF5C48" w:rsidRDefault="00AD5567" w:rsidP="00AD5567">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6</w:t>
            </w:r>
            <w:r w:rsidRPr="00FC45BF">
              <w:rPr>
                <w:rFonts w:ascii="Verdana" w:hAnsi="Verdana"/>
                <w:color w:val="365F91"/>
                <w:sz w:val="18"/>
                <w:szCs w:val="18"/>
              </w:rPr>
              <w:t>,</w:t>
            </w:r>
            <w:r>
              <w:rPr>
                <w:rFonts w:ascii="Verdana" w:hAnsi="Verdana"/>
                <w:color w:val="365F91"/>
                <w:sz w:val="18"/>
                <w:szCs w:val="18"/>
                <w:lang w:val="el-GR"/>
              </w:rPr>
              <w:t>18</w:t>
            </w:r>
          </w:p>
        </w:tc>
        <w:tc>
          <w:tcPr>
            <w:tcW w:w="125" w:type="pct"/>
            <w:tcBorders>
              <w:top w:val="nil"/>
              <w:bottom w:val="nil"/>
            </w:tcBorders>
            <w:shd w:val="clear" w:color="000000" w:fill="FFFFFF"/>
            <w:tcMar>
              <w:left w:w="0" w:type="dxa"/>
              <w:right w:w="0" w:type="dxa"/>
            </w:tcMar>
            <w:vAlign w:val="center"/>
          </w:tcPr>
          <w:p w14:paraId="42FC4BCB"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63F48123" w14:textId="789504BF" w:rsidR="00AD5567" w:rsidRPr="00CF5C48" w:rsidRDefault="00AD5567" w:rsidP="00AD5567">
            <w:pPr>
              <w:ind w:right="227"/>
              <w:jc w:val="right"/>
              <w:rPr>
                <w:color w:val="365F91"/>
              </w:rPr>
            </w:pPr>
            <w:r w:rsidRPr="008E1127">
              <w:rPr>
                <w:rFonts w:ascii="Verdana" w:hAnsi="Verdana"/>
                <w:color w:val="365F91"/>
                <w:sz w:val="18"/>
                <w:szCs w:val="18"/>
              </w:rPr>
              <w:t>3</w:t>
            </w:r>
            <w:r>
              <w:rPr>
                <w:rFonts w:ascii="Verdana" w:hAnsi="Verdana"/>
                <w:color w:val="365F91"/>
                <w:sz w:val="18"/>
                <w:szCs w:val="18"/>
              </w:rPr>
              <w:t>,</w:t>
            </w:r>
            <w:r w:rsidRPr="008E1127">
              <w:rPr>
                <w:rFonts w:ascii="Verdana" w:hAnsi="Verdana"/>
                <w:color w:val="365F91"/>
                <w:sz w:val="18"/>
                <w:szCs w:val="18"/>
              </w:rPr>
              <w:t>82</w:t>
            </w:r>
          </w:p>
        </w:tc>
        <w:tc>
          <w:tcPr>
            <w:tcW w:w="673" w:type="pct"/>
            <w:tcBorders>
              <w:top w:val="nil"/>
              <w:bottom w:val="nil"/>
            </w:tcBorders>
            <w:shd w:val="clear" w:color="000000" w:fill="FFFFFF"/>
            <w:vAlign w:val="center"/>
          </w:tcPr>
          <w:p w14:paraId="360B061D" w14:textId="536E9E00" w:rsidR="00AD5567" w:rsidRPr="00CF5C48" w:rsidRDefault="00AD5567" w:rsidP="00AD5567">
            <w:pPr>
              <w:ind w:right="227"/>
              <w:jc w:val="right"/>
              <w:rPr>
                <w:color w:val="365F91"/>
              </w:rPr>
            </w:pPr>
            <w:r w:rsidRPr="008E1127">
              <w:rPr>
                <w:rFonts w:ascii="Verdana" w:hAnsi="Verdana"/>
                <w:color w:val="365F91"/>
                <w:sz w:val="18"/>
                <w:szCs w:val="18"/>
              </w:rPr>
              <w:t>1</w:t>
            </w:r>
            <w:r>
              <w:rPr>
                <w:rFonts w:ascii="Verdana" w:hAnsi="Verdana"/>
                <w:color w:val="365F91"/>
                <w:sz w:val="18"/>
                <w:szCs w:val="18"/>
              </w:rPr>
              <w:t>,</w:t>
            </w:r>
            <w:r w:rsidRPr="008E1127">
              <w:rPr>
                <w:rFonts w:ascii="Verdana" w:hAnsi="Verdana"/>
                <w:color w:val="365F91"/>
                <w:sz w:val="18"/>
                <w:szCs w:val="18"/>
              </w:rPr>
              <w:t>08</w:t>
            </w:r>
          </w:p>
        </w:tc>
        <w:tc>
          <w:tcPr>
            <w:tcW w:w="942" w:type="pct"/>
            <w:tcBorders>
              <w:top w:val="nil"/>
              <w:bottom w:val="nil"/>
            </w:tcBorders>
            <w:shd w:val="clear" w:color="000000" w:fill="FFFFFF"/>
            <w:vAlign w:val="center"/>
          </w:tcPr>
          <w:p w14:paraId="5FF65DAD" w14:textId="6488588B" w:rsidR="00AD5567" w:rsidRPr="00CF5C48" w:rsidRDefault="00AD5567" w:rsidP="00AD5567">
            <w:pPr>
              <w:ind w:right="227"/>
              <w:jc w:val="center"/>
              <w:rPr>
                <w:color w:val="365F91"/>
              </w:rPr>
            </w:pPr>
            <w:r w:rsidRPr="00131127">
              <w:rPr>
                <w:rFonts w:ascii="Verdana" w:hAnsi="Verdana"/>
                <w:color w:val="365F91"/>
                <w:sz w:val="18"/>
                <w:szCs w:val="18"/>
              </w:rPr>
              <w:t>2</w:t>
            </w:r>
            <w:r>
              <w:rPr>
                <w:rFonts w:ascii="Verdana" w:hAnsi="Verdana"/>
                <w:color w:val="365F91"/>
                <w:sz w:val="18"/>
                <w:szCs w:val="18"/>
              </w:rPr>
              <w:t>,</w:t>
            </w:r>
            <w:r w:rsidRPr="00131127">
              <w:rPr>
                <w:rFonts w:ascii="Verdana" w:hAnsi="Verdana"/>
                <w:color w:val="365F91"/>
                <w:sz w:val="18"/>
                <w:szCs w:val="18"/>
              </w:rPr>
              <w:t>60</w:t>
            </w:r>
          </w:p>
        </w:tc>
      </w:tr>
      <w:tr w:rsidR="00AD5567" w:rsidRPr="00096715" w14:paraId="13DBA270" w14:textId="77777777" w:rsidTr="00FF36D9">
        <w:trPr>
          <w:trHeight w:val="375"/>
          <w:jc w:val="center"/>
        </w:trPr>
        <w:tc>
          <w:tcPr>
            <w:tcW w:w="1401" w:type="pct"/>
            <w:tcBorders>
              <w:top w:val="nil"/>
              <w:left w:val="nil"/>
              <w:bottom w:val="nil"/>
            </w:tcBorders>
            <w:shd w:val="clear" w:color="FFFFFF" w:fill="FFFFFF"/>
            <w:noWrap/>
            <w:vAlign w:val="center"/>
            <w:hideMark/>
          </w:tcPr>
          <w:p w14:paraId="5926342F"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28" w:type="pct"/>
            <w:tcBorders>
              <w:top w:val="nil"/>
              <w:bottom w:val="nil"/>
            </w:tcBorders>
            <w:shd w:val="clear" w:color="000000" w:fill="FFFFFF"/>
            <w:vAlign w:val="center"/>
          </w:tcPr>
          <w:p w14:paraId="29ACD62D" w14:textId="3A92F059" w:rsidR="00AD5567" w:rsidRPr="00CF5C48" w:rsidRDefault="00AD5567" w:rsidP="00AD5567">
            <w:pPr>
              <w:ind w:right="227"/>
              <w:jc w:val="right"/>
              <w:rPr>
                <w:color w:val="365F91"/>
              </w:rPr>
            </w:pPr>
            <w:r w:rsidRPr="00FC45BF">
              <w:rPr>
                <w:rFonts w:ascii="Verdana" w:hAnsi="Verdana"/>
                <w:color w:val="365F91"/>
                <w:sz w:val="18"/>
                <w:szCs w:val="18"/>
              </w:rPr>
              <w:t>129,84</w:t>
            </w:r>
          </w:p>
        </w:tc>
        <w:tc>
          <w:tcPr>
            <w:tcW w:w="590" w:type="pct"/>
            <w:tcBorders>
              <w:top w:val="nil"/>
              <w:bottom w:val="nil"/>
            </w:tcBorders>
            <w:shd w:val="clear" w:color="000000" w:fill="FFFFFF"/>
            <w:vAlign w:val="center"/>
          </w:tcPr>
          <w:p w14:paraId="66A153C9" w14:textId="5F312A8F" w:rsidR="00AD5567" w:rsidRPr="00CF5C48" w:rsidRDefault="00AD5567" w:rsidP="00AD5567">
            <w:pPr>
              <w:ind w:right="227"/>
              <w:jc w:val="right"/>
              <w:rPr>
                <w:color w:val="365F91"/>
              </w:rPr>
            </w:pPr>
            <w:r w:rsidRPr="00FC45BF">
              <w:rPr>
                <w:rFonts w:ascii="Verdana" w:hAnsi="Verdana"/>
                <w:color w:val="365F91"/>
                <w:sz w:val="18"/>
                <w:szCs w:val="18"/>
              </w:rPr>
              <w:t>1</w:t>
            </w:r>
            <w:r>
              <w:rPr>
                <w:rFonts w:ascii="Verdana" w:hAnsi="Verdana"/>
                <w:color w:val="365F91"/>
                <w:sz w:val="18"/>
                <w:szCs w:val="18"/>
                <w:lang w:val="el-GR"/>
              </w:rPr>
              <w:t>30</w:t>
            </w:r>
            <w:r w:rsidRPr="00FC45BF">
              <w:rPr>
                <w:rFonts w:ascii="Verdana" w:hAnsi="Verdana"/>
                <w:color w:val="365F91"/>
                <w:sz w:val="18"/>
                <w:szCs w:val="18"/>
              </w:rPr>
              <w:t>,</w:t>
            </w:r>
            <w:r>
              <w:rPr>
                <w:rFonts w:ascii="Verdana" w:hAnsi="Verdana"/>
                <w:color w:val="365F91"/>
                <w:sz w:val="18"/>
                <w:szCs w:val="18"/>
                <w:lang w:val="el-GR"/>
              </w:rPr>
              <w:t>0</w:t>
            </w:r>
            <w:r w:rsidRPr="00FC45BF">
              <w:rPr>
                <w:rFonts w:ascii="Verdana" w:hAnsi="Verdana"/>
                <w:color w:val="365F91"/>
                <w:sz w:val="18"/>
                <w:szCs w:val="18"/>
              </w:rPr>
              <w:t>4</w:t>
            </w:r>
          </w:p>
        </w:tc>
        <w:tc>
          <w:tcPr>
            <w:tcW w:w="125" w:type="pct"/>
            <w:tcBorders>
              <w:top w:val="nil"/>
              <w:bottom w:val="nil"/>
            </w:tcBorders>
            <w:shd w:val="clear" w:color="000000" w:fill="FFFFFF"/>
            <w:tcMar>
              <w:left w:w="0" w:type="dxa"/>
              <w:right w:w="0" w:type="dxa"/>
            </w:tcMar>
            <w:vAlign w:val="center"/>
          </w:tcPr>
          <w:p w14:paraId="5618453F" w14:textId="77777777" w:rsidR="00AD5567" w:rsidRPr="00CF5C48" w:rsidRDefault="00AD5567" w:rsidP="00AD5567">
            <w:pPr>
              <w:ind w:right="227"/>
              <w:jc w:val="right"/>
              <w:rPr>
                <w:color w:val="365F91"/>
              </w:rPr>
            </w:pPr>
          </w:p>
        </w:tc>
        <w:tc>
          <w:tcPr>
            <w:tcW w:w="641" w:type="pct"/>
            <w:tcBorders>
              <w:top w:val="nil"/>
              <w:bottom w:val="nil"/>
            </w:tcBorders>
            <w:shd w:val="clear" w:color="000000" w:fill="FFFFFF"/>
            <w:vAlign w:val="center"/>
          </w:tcPr>
          <w:p w14:paraId="7C256C0F" w14:textId="71064B0A" w:rsidR="00AD5567" w:rsidRPr="00CF5C48" w:rsidRDefault="00AD5567" w:rsidP="00AD5567">
            <w:pPr>
              <w:ind w:right="227"/>
              <w:jc w:val="right"/>
              <w:rPr>
                <w:color w:val="365F91"/>
              </w:rPr>
            </w:pPr>
            <w:r w:rsidRPr="008E1127">
              <w:rPr>
                <w:rFonts w:ascii="Verdana" w:hAnsi="Verdana"/>
                <w:color w:val="365F91"/>
                <w:sz w:val="18"/>
                <w:szCs w:val="18"/>
              </w:rPr>
              <w:t>5</w:t>
            </w:r>
            <w:r>
              <w:rPr>
                <w:rFonts w:ascii="Verdana" w:hAnsi="Verdana"/>
                <w:color w:val="365F91"/>
                <w:sz w:val="18"/>
                <w:szCs w:val="18"/>
              </w:rPr>
              <w:t>,</w:t>
            </w:r>
            <w:r w:rsidRPr="008E1127">
              <w:rPr>
                <w:rFonts w:ascii="Verdana" w:hAnsi="Verdana"/>
                <w:color w:val="365F91"/>
                <w:sz w:val="18"/>
                <w:szCs w:val="18"/>
              </w:rPr>
              <w:t>41</w:t>
            </w:r>
          </w:p>
        </w:tc>
        <w:tc>
          <w:tcPr>
            <w:tcW w:w="673" w:type="pct"/>
            <w:tcBorders>
              <w:top w:val="nil"/>
              <w:bottom w:val="nil"/>
            </w:tcBorders>
            <w:shd w:val="clear" w:color="000000" w:fill="FFFFFF"/>
            <w:vAlign w:val="center"/>
          </w:tcPr>
          <w:p w14:paraId="42AF640D" w14:textId="6A735956"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15</w:t>
            </w:r>
          </w:p>
        </w:tc>
        <w:tc>
          <w:tcPr>
            <w:tcW w:w="942" w:type="pct"/>
            <w:tcBorders>
              <w:top w:val="nil"/>
              <w:bottom w:val="nil"/>
            </w:tcBorders>
            <w:shd w:val="clear" w:color="000000" w:fill="FFFFFF"/>
            <w:vAlign w:val="center"/>
          </w:tcPr>
          <w:p w14:paraId="5D9E1013" w14:textId="6F01A4A5" w:rsidR="00AD5567" w:rsidRPr="00CF5C48" w:rsidRDefault="00AD5567" w:rsidP="00AD5567">
            <w:pPr>
              <w:ind w:right="227"/>
              <w:jc w:val="center"/>
              <w:rPr>
                <w:color w:val="365F91"/>
              </w:rPr>
            </w:pPr>
            <w:r w:rsidRPr="00131127">
              <w:rPr>
                <w:rFonts w:ascii="Verdana" w:hAnsi="Verdana"/>
                <w:color w:val="365F91"/>
                <w:sz w:val="18"/>
                <w:szCs w:val="18"/>
              </w:rPr>
              <w:t>5</w:t>
            </w:r>
            <w:r>
              <w:rPr>
                <w:rFonts w:ascii="Verdana" w:hAnsi="Verdana"/>
                <w:color w:val="365F91"/>
                <w:sz w:val="18"/>
                <w:szCs w:val="18"/>
              </w:rPr>
              <w:t>,</w:t>
            </w:r>
            <w:r w:rsidRPr="00131127">
              <w:rPr>
                <w:rFonts w:ascii="Verdana" w:hAnsi="Verdana"/>
                <w:color w:val="365F91"/>
                <w:sz w:val="18"/>
                <w:szCs w:val="18"/>
              </w:rPr>
              <w:t>67</w:t>
            </w:r>
          </w:p>
        </w:tc>
      </w:tr>
      <w:tr w:rsidR="00AD5567" w:rsidRPr="00096715" w14:paraId="392D1B74" w14:textId="77777777" w:rsidTr="00FF36D9">
        <w:trPr>
          <w:trHeight w:val="510"/>
          <w:jc w:val="center"/>
        </w:trPr>
        <w:tc>
          <w:tcPr>
            <w:tcW w:w="1401" w:type="pct"/>
            <w:tcBorders>
              <w:top w:val="nil"/>
              <w:left w:val="nil"/>
              <w:bottom w:val="single" w:sz="4" w:space="0" w:color="366092"/>
            </w:tcBorders>
            <w:shd w:val="clear" w:color="FFFFFF" w:fill="FFFFFF"/>
            <w:noWrap/>
            <w:vAlign w:val="center"/>
            <w:hideMark/>
          </w:tcPr>
          <w:p w14:paraId="6BF36DFD" w14:textId="77777777" w:rsidR="00AD5567" w:rsidRDefault="00AD5567" w:rsidP="00AD5567">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628" w:type="pct"/>
            <w:tcBorders>
              <w:top w:val="nil"/>
              <w:bottom w:val="single" w:sz="4" w:space="0" w:color="366092"/>
            </w:tcBorders>
            <w:shd w:val="clear" w:color="000000" w:fill="FFFFFF"/>
            <w:vAlign w:val="center"/>
          </w:tcPr>
          <w:p w14:paraId="554DBF15" w14:textId="497EED42" w:rsidR="00AD5567" w:rsidRPr="00CF5C48" w:rsidRDefault="00AD5567" w:rsidP="00AD5567">
            <w:pPr>
              <w:ind w:right="227"/>
              <w:jc w:val="right"/>
              <w:rPr>
                <w:color w:val="365F91"/>
              </w:rPr>
            </w:pPr>
            <w:r w:rsidRPr="00FC45BF">
              <w:rPr>
                <w:rFonts w:ascii="Verdana" w:hAnsi="Verdana"/>
                <w:color w:val="365F91"/>
                <w:sz w:val="18"/>
                <w:szCs w:val="18"/>
              </w:rPr>
              <w:t>111,67</w:t>
            </w:r>
          </w:p>
        </w:tc>
        <w:tc>
          <w:tcPr>
            <w:tcW w:w="590" w:type="pct"/>
            <w:tcBorders>
              <w:top w:val="nil"/>
              <w:bottom w:val="single" w:sz="4" w:space="0" w:color="366092"/>
            </w:tcBorders>
            <w:shd w:val="clear" w:color="000000" w:fill="FFFFFF"/>
            <w:vAlign w:val="center"/>
          </w:tcPr>
          <w:p w14:paraId="22A85AFA" w14:textId="0ECA855A" w:rsidR="00AD5567" w:rsidRPr="00CF5C48" w:rsidRDefault="00AD5567" w:rsidP="00AD5567">
            <w:pPr>
              <w:ind w:right="227"/>
              <w:jc w:val="right"/>
              <w:rPr>
                <w:color w:val="365F91"/>
              </w:rPr>
            </w:pPr>
            <w:r w:rsidRPr="00FC45BF">
              <w:rPr>
                <w:rFonts w:ascii="Verdana" w:hAnsi="Verdana"/>
                <w:color w:val="365F91"/>
                <w:sz w:val="18"/>
                <w:szCs w:val="18"/>
              </w:rPr>
              <w:t>11</w:t>
            </w:r>
            <w:r>
              <w:rPr>
                <w:rFonts w:ascii="Verdana" w:hAnsi="Verdana"/>
                <w:color w:val="365F91"/>
                <w:sz w:val="18"/>
                <w:szCs w:val="18"/>
                <w:lang w:val="el-GR"/>
              </w:rPr>
              <w:t>2</w:t>
            </w:r>
            <w:r w:rsidRPr="00FC45BF">
              <w:rPr>
                <w:rFonts w:ascii="Verdana" w:hAnsi="Verdana"/>
                <w:color w:val="365F91"/>
                <w:sz w:val="18"/>
                <w:szCs w:val="18"/>
              </w:rPr>
              <w:t>,</w:t>
            </w:r>
            <w:r>
              <w:rPr>
                <w:rFonts w:ascii="Verdana" w:hAnsi="Verdana"/>
                <w:color w:val="365F91"/>
                <w:sz w:val="18"/>
                <w:szCs w:val="18"/>
                <w:lang w:val="el-GR"/>
              </w:rPr>
              <w:t>44</w:t>
            </w:r>
          </w:p>
        </w:tc>
        <w:tc>
          <w:tcPr>
            <w:tcW w:w="125" w:type="pct"/>
            <w:tcBorders>
              <w:top w:val="nil"/>
              <w:bottom w:val="single" w:sz="4" w:space="0" w:color="366092"/>
            </w:tcBorders>
            <w:shd w:val="clear" w:color="000000" w:fill="FFFFFF"/>
            <w:tcMar>
              <w:left w:w="0" w:type="dxa"/>
              <w:right w:w="0" w:type="dxa"/>
            </w:tcMar>
            <w:vAlign w:val="center"/>
          </w:tcPr>
          <w:p w14:paraId="2FB6F433" w14:textId="77777777" w:rsidR="00AD5567" w:rsidRPr="00CF5C48" w:rsidRDefault="00AD5567" w:rsidP="00AD5567">
            <w:pPr>
              <w:ind w:right="227"/>
              <w:jc w:val="right"/>
              <w:rPr>
                <w:color w:val="365F91"/>
              </w:rPr>
            </w:pPr>
          </w:p>
        </w:tc>
        <w:tc>
          <w:tcPr>
            <w:tcW w:w="641" w:type="pct"/>
            <w:tcBorders>
              <w:top w:val="nil"/>
              <w:bottom w:val="single" w:sz="4" w:space="0" w:color="366092"/>
            </w:tcBorders>
            <w:shd w:val="clear" w:color="000000" w:fill="FFFFFF"/>
            <w:vAlign w:val="center"/>
          </w:tcPr>
          <w:p w14:paraId="18C31807" w14:textId="33829FCE" w:rsidR="00AD5567" w:rsidRPr="00CF5C48" w:rsidRDefault="00AD5567" w:rsidP="00AD5567">
            <w:pPr>
              <w:ind w:right="227"/>
              <w:jc w:val="right"/>
              <w:rPr>
                <w:color w:val="365F91"/>
              </w:rPr>
            </w:pPr>
            <w:r w:rsidRPr="008E1127">
              <w:rPr>
                <w:rFonts w:ascii="Verdana" w:hAnsi="Verdana"/>
                <w:color w:val="365F91"/>
                <w:sz w:val="18"/>
                <w:szCs w:val="18"/>
              </w:rPr>
              <w:t>2</w:t>
            </w:r>
            <w:r>
              <w:rPr>
                <w:rFonts w:ascii="Verdana" w:hAnsi="Verdana"/>
                <w:color w:val="365F91"/>
                <w:sz w:val="18"/>
                <w:szCs w:val="18"/>
              </w:rPr>
              <w:t>,</w:t>
            </w:r>
            <w:r w:rsidRPr="008E1127">
              <w:rPr>
                <w:rFonts w:ascii="Verdana" w:hAnsi="Verdana"/>
                <w:color w:val="365F91"/>
                <w:sz w:val="18"/>
                <w:szCs w:val="18"/>
              </w:rPr>
              <w:t>58</w:t>
            </w:r>
          </w:p>
        </w:tc>
        <w:tc>
          <w:tcPr>
            <w:tcW w:w="673" w:type="pct"/>
            <w:tcBorders>
              <w:top w:val="nil"/>
              <w:bottom w:val="single" w:sz="4" w:space="0" w:color="366092"/>
            </w:tcBorders>
            <w:shd w:val="clear" w:color="000000" w:fill="FFFFFF"/>
            <w:vAlign w:val="center"/>
          </w:tcPr>
          <w:p w14:paraId="0F7D93AC" w14:textId="753CBC34" w:rsidR="00AD5567" w:rsidRPr="00CF5C48" w:rsidRDefault="00AD5567" w:rsidP="00AD5567">
            <w:pPr>
              <w:ind w:right="227"/>
              <w:jc w:val="right"/>
              <w:rPr>
                <w:color w:val="365F91"/>
              </w:rPr>
            </w:pPr>
            <w:r w:rsidRPr="008E1127">
              <w:rPr>
                <w:rFonts w:ascii="Verdana" w:hAnsi="Verdana"/>
                <w:color w:val="365F91"/>
                <w:sz w:val="18"/>
                <w:szCs w:val="18"/>
              </w:rPr>
              <w:t>0</w:t>
            </w:r>
            <w:r>
              <w:rPr>
                <w:rFonts w:ascii="Verdana" w:hAnsi="Verdana"/>
                <w:color w:val="365F91"/>
                <w:sz w:val="18"/>
                <w:szCs w:val="18"/>
              </w:rPr>
              <w:t>,</w:t>
            </w:r>
            <w:r w:rsidRPr="008E1127">
              <w:rPr>
                <w:rFonts w:ascii="Verdana" w:hAnsi="Verdana"/>
                <w:color w:val="365F91"/>
                <w:sz w:val="18"/>
                <w:szCs w:val="18"/>
              </w:rPr>
              <w:t>69</w:t>
            </w:r>
          </w:p>
        </w:tc>
        <w:tc>
          <w:tcPr>
            <w:tcW w:w="942" w:type="pct"/>
            <w:tcBorders>
              <w:top w:val="nil"/>
              <w:bottom w:val="single" w:sz="4" w:space="0" w:color="366092"/>
            </w:tcBorders>
            <w:shd w:val="clear" w:color="000000" w:fill="FFFFFF"/>
            <w:vAlign w:val="center"/>
          </w:tcPr>
          <w:p w14:paraId="5F96D9C4" w14:textId="2DE5B4C8" w:rsidR="00AD5567" w:rsidRPr="00CF5C48" w:rsidRDefault="00AD5567" w:rsidP="00AD5567">
            <w:pPr>
              <w:ind w:right="227"/>
              <w:jc w:val="center"/>
              <w:rPr>
                <w:color w:val="365F91"/>
              </w:rPr>
            </w:pPr>
            <w:r w:rsidRPr="00131127">
              <w:rPr>
                <w:rFonts w:ascii="Verdana" w:hAnsi="Verdana"/>
                <w:color w:val="365F91"/>
                <w:sz w:val="18"/>
                <w:szCs w:val="18"/>
              </w:rPr>
              <w:t>3</w:t>
            </w:r>
            <w:r>
              <w:rPr>
                <w:rFonts w:ascii="Verdana" w:hAnsi="Verdana"/>
                <w:color w:val="365F91"/>
                <w:sz w:val="18"/>
                <w:szCs w:val="18"/>
              </w:rPr>
              <w:t>,</w:t>
            </w:r>
            <w:r w:rsidRPr="00131127">
              <w:rPr>
                <w:rFonts w:ascii="Verdana" w:hAnsi="Verdana"/>
                <w:color w:val="365F91"/>
                <w:sz w:val="18"/>
                <w:szCs w:val="18"/>
              </w:rPr>
              <w:t>13</w:t>
            </w:r>
          </w:p>
        </w:tc>
      </w:tr>
      <w:tr w:rsidR="00AD5567" w:rsidRPr="00096715" w14:paraId="27018F3B" w14:textId="77777777" w:rsidTr="00FF36D9">
        <w:trPr>
          <w:trHeight w:hRule="exact" w:val="567"/>
          <w:jc w:val="center"/>
        </w:trPr>
        <w:tc>
          <w:tcPr>
            <w:tcW w:w="1401" w:type="pct"/>
            <w:tcBorders>
              <w:top w:val="single" w:sz="4" w:space="0" w:color="366092"/>
              <w:left w:val="nil"/>
              <w:bottom w:val="single" w:sz="4" w:space="0" w:color="366092"/>
            </w:tcBorders>
            <w:shd w:val="clear" w:color="FFFFFF" w:fill="FFFFFF"/>
            <w:noWrap/>
            <w:vAlign w:val="center"/>
          </w:tcPr>
          <w:p w14:paraId="12831686" w14:textId="77777777" w:rsidR="00AD5567" w:rsidRPr="00096715" w:rsidRDefault="00AD5567" w:rsidP="00AD5567">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28" w:type="pct"/>
            <w:tcBorders>
              <w:top w:val="single" w:sz="4" w:space="0" w:color="366092"/>
              <w:bottom w:val="single" w:sz="4" w:space="0" w:color="366092"/>
            </w:tcBorders>
            <w:shd w:val="clear" w:color="000000" w:fill="FFFFFF"/>
            <w:vAlign w:val="center"/>
          </w:tcPr>
          <w:p w14:paraId="4A03BCF0" w14:textId="3EC826F1" w:rsidR="00AD5567" w:rsidRPr="00CF5C48" w:rsidRDefault="00AD5567" w:rsidP="00AD5567">
            <w:pPr>
              <w:ind w:right="227"/>
              <w:jc w:val="right"/>
              <w:rPr>
                <w:rFonts w:ascii="Verdana" w:hAnsi="Verdana"/>
                <w:color w:val="365F91"/>
                <w:sz w:val="18"/>
                <w:szCs w:val="18"/>
              </w:rPr>
            </w:pPr>
            <w:r w:rsidRPr="00FC45BF">
              <w:rPr>
                <w:rFonts w:ascii="Verdana" w:hAnsi="Verdana"/>
                <w:b/>
                <w:bCs/>
                <w:color w:val="365F91"/>
                <w:sz w:val="18"/>
                <w:szCs w:val="18"/>
              </w:rPr>
              <w:t>118,48</w:t>
            </w:r>
          </w:p>
        </w:tc>
        <w:tc>
          <w:tcPr>
            <w:tcW w:w="590" w:type="pct"/>
            <w:tcBorders>
              <w:top w:val="single" w:sz="4" w:space="0" w:color="366092"/>
              <w:bottom w:val="single" w:sz="4" w:space="0" w:color="366092"/>
            </w:tcBorders>
            <w:shd w:val="clear" w:color="000000" w:fill="FFFFFF"/>
            <w:vAlign w:val="center"/>
          </w:tcPr>
          <w:p w14:paraId="0C742E1D" w14:textId="5444DCD8" w:rsidR="00AD5567" w:rsidRPr="00CF5C48" w:rsidRDefault="00AD5567" w:rsidP="00AD5567">
            <w:pPr>
              <w:ind w:right="227"/>
              <w:jc w:val="right"/>
              <w:rPr>
                <w:rFonts w:ascii="Verdana" w:hAnsi="Verdana"/>
                <w:color w:val="365F91"/>
                <w:sz w:val="18"/>
                <w:szCs w:val="18"/>
              </w:rPr>
            </w:pPr>
            <w:r w:rsidRPr="00FC45BF">
              <w:rPr>
                <w:rFonts w:ascii="Verdana" w:hAnsi="Verdana"/>
                <w:b/>
                <w:bCs/>
                <w:color w:val="365F91"/>
                <w:sz w:val="18"/>
                <w:szCs w:val="18"/>
              </w:rPr>
              <w:t>118,</w:t>
            </w:r>
            <w:r>
              <w:rPr>
                <w:rFonts w:ascii="Verdana" w:hAnsi="Verdana"/>
                <w:b/>
                <w:bCs/>
                <w:color w:val="365F91"/>
                <w:sz w:val="18"/>
                <w:szCs w:val="18"/>
                <w:lang w:val="el-GR"/>
              </w:rPr>
              <w:t>6</w:t>
            </w:r>
            <w:r w:rsidR="00CB646F">
              <w:rPr>
                <w:rFonts w:ascii="Verdana" w:hAnsi="Verdana"/>
                <w:b/>
                <w:bCs/>
                <w:color w:val="365F91"/>
                <w:sz w:val="18"/>
                <w:szCs w:val="18"/>
              </w:rPr>
              <w:t>4</w:t>
            </w:r>
          </w:p>
        </w:tc>
        <w:tc>
          <w:tcPr>
            <w:tcW w:w="125"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AD5567" w:rsidRPr="00CF5C48" w:rsidRDefault="00AD5567" w:rsidP="00AD5567">
            <w:pPr>
              <w:ind w:right="227"/>
              <w:jc w:val="right"/>
              <w:rPr>
                <w:rFonts w:ascii="Verdana" w:hAnsi="Verdana"/>
                <w:color w:val="365F91"/>
                <w:sz w:val="18"/>
                <w:szCs w:val="18"/>
              </w:rPr>
            </w:pPr>
          </w:p>
        </w:tc>
        <w:tc>
          <w:tcPr>
            <w:tcW w:w="641" w:type="pct"/>
            <w:tcBorders>
              <w:top w:val="single" w:sz="4" w:space="0" w:color="366092"/>
              <w:bottom w:val="single" w:sz="4" w:space="0" w:color="366092"/>
            </w:tcBorders>
            <w:shd w:val="clear" w:color="000000" w:fill="FFFFFF"/>
            <w:vAlign w:val="center"/>
          </w:tcPr>
          <w:p w14:paraId="585CD171" w14:textId="52DA1886" w:rsidR="00AD5567" w:rsidRPr="00CF5C48" w:rsidRDefault="00AD5567" w:rsidP="00AD5567">
            <w:pPr>
              <w:ind w:right="227"/>
              <w:jc w:val="right"/>
              <w:rPr>
                <w:rFonts w:ascii="Verdana" w:hAnsi="Verdana"/>
                <w:color w:val="365F91"/>
                <w:sz w:val="18"/>
                <w:szCs w:val="18"/>
              </w:rPr>
            </w:pPr>
            <w:r w:rsidRPr="008E1127">
              <w:rPr>
                <w:rFonts w:ascii="Verdana" w:hAnsi="Verdana"/>
                <w:b/>
                <w:bCs/>
                <w:color w:val="365F91"/>
                <w:sz w:val="18"/>
                <w:szCs w:val="18"/>
              </w:rPr>
              <w:t>0</w:t>
            </w:r>
            <w:r>
              <w:rPr>
                <w:rFonts w:ascii="Verdana" w:hAnsi="Verdana"/>
                <w:b/>
                <w:bCs/>
                <w:color w:val="365F91"/>
                <w:sz w:val="18"/>
                <w:szCs w:val="18"/>
              </w:rPr>
              <w:t>,</w:t>
            </w:r>
            <w:r w:rsidRPr="008E1127">
              <w:rPr>
                <w:rFonts w:ascii="Verdana" w:hAnsi="Verdana"/>
                <w:b/>
                <w:bCs/>
                <w:color w:val="365F91"/>
                <w:sz w:val="18"/>
                <w:szCs w:val="18"/>
              </w:rPr>
              <w:t>57</w:t>
            </w:r>
          </w:p>
        </w:tc>
        <w:tc>
          <w:tcPr>
            <w:tcW w:w="673" w:type="pct"/>
            <w:tcBorders>
              <w:top w:val="single" w:sz="4" w:space="0" w:color="366092"/>
              <w:bottom w:val="single" w:sz="4" w:space="0" w:color="366092"/>
            </w:tcBorders>
            <w:shd w:val="clear" w:color="000000" w:fill="FFFFFF"/>
            <w:vAlign w:val="center"/>
          </w:tcPr>
          <w:p w14:paraId="7BDBB2F7" w14:textId="5517AEB1" w:rsidR="00AD5567" w:rsidRPr="00CF5C48" w:rsidRDefault="00AD5567" w:rsidP="00AD5567">
            <w:pPr>
              <w:ind w:right="227"/>
              <w:jc w:val="right"/>
              <w:rPr>
                <w:rFonts w:ascii="Verdana" w:hAnsi="Verdana"/>
                <w:color w:val="365F91"/>
                <w:sz w:val="18"/>
                <w:szCs w:val="18"/>
              </w:rPr>
            </w:pPr>
            <w:r w:rsidRPr="00131127">
              <w:rPr>
                <w:rFonts w:ascii="Verdana" w:hAnsi="Verdana"/>
                <w:b/>
                <w:bCs/>
                <w:color w:val="365F91"/>
                <w:sz w:val="18"/>
                <w:szCs w:val="18"/>
              </w:rPr>
              <w:t>0</w:t>
            </w:r>
            <w:r>
              <w:rPr>
                <w:rFonts w:ascii="Verdana" w:hAnsi="Verdana"/>
                <w:b/>
                <w:bCs/>
                <w:color w:val="365F91"/>
                <w:sz w:val="18"/>
                <w:szCs w:val="18"/>
              </w:rPr>
              <w:t>,</w:t>
            </w:r>
            <w:r w:rsidRPr="00131127">
              <w:rPr>
                <w:rFonts w:ascii="Verdana" w:hAnsi="Verdana"/>
                <w:b/>
                <w:bCs/>
                <w:color w:val="365F91"/>
                <w:sz w:val="18"/>
                <w:szCs w:val="18"/>
              </w:rPr>
              <w:t>14</w:t>
            </w:r>
          </w:p>
        </w:tc>
        <w:tc>
          <w:tcPr>
            <w:tcW w:w="942" w:type="pct"/>
            <w:tcBorders>
              <w:top w:val="single" w:sz="4" w:space="0" w:color="366092"/>
              <w:bottom w:val="single" w:sz="4" w:space="0" w:color="366092"/>
            </w:tcBorders>
            <w:shd w:val="clear" w:color="000000" w:fill="FFFFFF"/>
            <w:vAlign w:val="center"/>
          </w:tcPr>
          <w:p w14:paraId="366DA28B" w14:textId="6DA23544" w:rsidR="00AD5567" w:rsidRPr="00CD3DF3" w:rsidRDefault="00AD5567" w:rsidP="00AD5567">
            <w:pPr>
              <w:ind w:right="227"/>
              <w:jc w:val="center"/>
              <w:rPr>
                <w:rFonts w:ascii="Verdana" w:hAnsi="Verdana"/>
                <w:color w:val="365F91"/>
                <w:sz w:val="18"/>
                <w:szCs w:val="18"/>
                <w:lang w:val="el-GR"/>
              </w:rPr>
            </w:pPr>
            <w:r w:rsidRPr="00131127">
              <w:rPr>
                <w:rFonts w:ascii="Verdana" w:hAnsi="Verdana"/>
                <w:b/>
                <w:bCs/>
                <w:color w:val="365F91"/>
                <w:sz w:val="18"/>
                <w:szCs w:val="18"/>
              </w:rPr>
              <w:t>1</w:t>
            </w:r>
            <w:r>
              <w:rPr>
                <w:rFonts w:ascii="Verdana" w:hAnsi="Verdana"/>
                <w:b/>
                <w:bCs/>
                <w:color w:val="365F91"/>
                <w:sz w:val="18"/>
                <w:szCs w:val="18"/>
                <w:lang w:val="el-GR"/>
              </w:rPr>
              <w:t>,</w:t>
            </w:r>
            <w:r w:rsidRPr="00131127">
              <w:rPr>
                <w:rFonts w:ascii="Verdana" w:hAnsi="Verdana"/>
                <w:b/>
                <w:bCs/>
                <w:color w:val="365F91"/>
                <w:sz w:val="18"/>
                <w:szCs w:val="18"/>
              </w:rPr>
              <w:t>75</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p w14:paraId="3329BCC7" w14:textId="77777777" w:rsidR="00411B7E" w:rsidRPr="00EB1983" w:rsidRDefault="00411B7E"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9E6D86"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9E6D86" w:rsidRPr="00096715" w:rsidRDefault="009E6D86" w:rsidP="009E6D86">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9E6D86" w:rsidRPr="00096715" w:rsidRDefault="009E6D86" w:rsidP="009E6D86">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2C1A938F" w:rsidR="009E6D86" w:rsidRPr="00096715" w:rsidRDefault="00AD5567"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Oct</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3</w:t>
            </w:r>
          </w:p>
        </w:tc>
        <w:tc>
          <w:tcPr>
            <w:tcW w:w="1115" w:type="pct"/>
            <w:tcBorders>
              <w:top w:val="single" w:sz="4" w:space="0" w:color="366092"/>
              <w:bottom w:val="single" w:sz="4" w:space="0" w:color="366092"/>
              <w:right w:val="nil"/>
            </w:tcBorders>
            <w:shd w:val="clear" w:color="FFFFFF" w:fill="FFFFFF"/>
            <w:vAlign w:val="center"/>
            <w:hideMark/>
          </w:tcPr>
          <w:p w14:paraId="13CB094A" w14:textId="734E1545" w:rsidR="009E6D86" w:rsidRPr="00096715" w:rsidRDefault="00AD5567" w:rsidP="009E6D86">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AD5567"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AD5567" w:rsidRPr="00096715" w:rsidRDefault="00AD5567" w:rsidP="00AD5567">
            <w:pPr>
              <w:ind w:leftChars="-45" w:left="-67" w:hangingChars="18" w:hanging="32"/>
              <w:rPr>
                <w:rFonts w:ascii="Verdana" w:eastAsia="Times New Roman" w:hAnsi="Verdana" w:cs="Arial"/>
                <w:color w:val="365F91"/>
                <w:sz w:val="18"/>
                <w:szCs w:val="18"/>
              </w:rPr>
            </w:pPr>
            <w:bookmarkStart w:id="3" w:name="_Hlk136504441"/>
            <w:r w:rsidRPr="00096715">
              <w:rPr>
                <w:rFonts w:ascii="Verdana" w:eastAsia="Times New Roman" w:hAnsi="Verdana" w:cs="Arial"/>
                <w:color w:val="365F91"/>
                <w:sz w:val="18"/>
                <w:szCs w:val="18"/>
              </w:rPr>
              <w:t>Agricultural goods</w:t>
            </w:r>
            <w:bookmarkEnd w:id="3"/>
          </w:p>
        </w:tc>
        <w:tc>
          <w:tcPr>
            <w:tcW w:w="1026" w:type="pct"/>
            <w:tcBorders>
              <w:top w:val="nil"/>
              <w:bottom w:val="nil"/>
            </w:tcBorders>
            <w:shd w:val="clear" w:color="FFFFFF" w:fill="FFFFFF"/>
            <w:noWrap/>
            <w:vAlign w:val="center"/>
            <w:hideMark/>
          </w:tcPr>
          <w:p w14:paraId="102FD3BF" w14:textId="643ED7D7" w:rsidR="00AD5567" w:rsidRPr="00096715" w:rsidRDefault="00AD5567" w:rsidP="00AD556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197D59C7" w:rsidR="00AD5567" w:rsidRPr="00096715" w:rsidRDefault="00AD5567" w:rsidP="00AD5567">
            <w:pPr>
              <w:ind w:right="680"/>
              <w:jc w:val="right"/>
              <w:rPr>
                <w:rFonts w:ascii="Verdana" w:eastAsia="Times New Roman" w:hAnsi="Verdana" w:cs="Arial"/>
                <w:bCs/>
                <w:color w:val="365F91"/>
                <w:sz w:val="18"/>
                <w:szCs w:val="18"/>
                <w:lang w:val="el-GR"/>
              </w:rPr>
            </w:pPr>
            <w:r>
              <w:rPr>
                <w:rFonts w:ascii="Verdana" w:hAnsi="Verdana" w:cs="Arial"/>
                <w:color w:val="365F91"/>
                <w:sz w:val="18"/>
                <w:szCs w:val="18"/>
              </w:rPr>
              <w:t>8,92</w:t>
            </w:r>
          </w:p>
        </w:tc>
        <w:tc>
          <w:tcPr>
            <w:tcW w:w="1115" w:type="pct"/>
            <w:tcBorders>
              <w:top w:val="nil"/>
              <w:bottom w:val="nil"/>
              <w:right w:val="nil"/>
            </w:tcBorders>
            <w:shd w:val="clear" w:color="FFFFFF" w:fill="FFFFFF"/>
            <w:noWrap/>
            <w:vAlign w:val="center"/>
          </w:tcPr>
          <w:p w14:paraId="0C6E47EF" w14:textId="4094110E" w:rsidR="00AD5567" w:rsidRPr="00096715" w:rsidRDefault="00AD5567" w:rsidP="00AD5567">
            <w:pPr>
              <w:ind w:right="737"/>
              <w:jc w:val="right"/>
              <w:rPr>
                <w:rFonts w:ascii="Verdana" w:eastAsia="Times New Roman" w:hAnsi="Verdana" w:cs="Arial"/>
                <w:bCs/>
                <w:color w:val="365F91"/>
                <w:sz w:val="18"/>
                <w:szCs w:val="18"/>
                <w:lang w:val="el-GR"/>
              </w:rPr>
            </w:pPr>
            <w:r>
              <w:rPr>
                <w:rFonts w:ascii="Verdana" w:hAnsi="Verdana" w:cs="Arial"/>
                <w:color w:val="365F91"/>
                <w:sz w:val="18"/>
                <w:szCs w:val="18"/>
              </w:rPr>
              <w:t>-2,17</w:t>
            </w:r>
          </w:p>
        </w:tc>
      </w:tr>
      <w:tr w:rsidR="00AD5567"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AD5567" w:rsidRPr="00096715" w:rsidRDefault="00AD5567" w:rsidP="00AD556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0A1B90A2" w:rsidR="00AD5567" w:rsidRPr="00096715" w:rsidRDefault="00AD5567" w:rsidP="00AD556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5AC8DF3C" w:rsidR="00AD5567" w:rsidRPr="00096715" w:rsidRDefault="00AD5567" w:rsidP="00AD5567">
            <w:pPr>
              <w:ind w:right="680"/>
              <w:jc w:val="right"/>
              <w:rPr>
                <w:rFonts w:ascii="Verdana" w:eastAsia="Times New Roman" w:hAnsi="Verdana" w:cs="Arial"/>
                <w:bCs/>
                <w:color w:val="365F91"/>
                <w:sz w:val="18"/>
                <w:szCs w:val="18"/>
                <w:lang w:val="el-GR"/>
              </w:rPr>
            </w:pPr>
            <w:r>
              <w:rPr>
                <w:rFonts w:ascii="Verdana" w:hAnsi="Verdana" w:cs="Arial"/>
                <w:color w:val="365F91"/>
                <w:sz w:val="18"/>
                <w:szCs w:val="18"/>
              </w:rPr>
              <w:t>0,67</w:t>
            </w:r>
          </w:p>
        </w:tc>
        <w:tc>
          <w:tcPr>
            <w:tcW w:w="1115" w:type="pct"/>
            <w:tcBorders>
              <w:top w:val="nil"/>
              <w:bottom w:val="nil"/>
              <w:right w:val="nil"/>
            </w:tcBorders>
            <w:shd w:val="clear" w:color="FFFFFF" w:fill="FFFFFF"/>
            <w:noWrap/>
            <w:vAlign w:val="center"/>
          </w:tcPr>
          <w:p w14:paraId="0473252B" w14:textId="27695918" w:rsidR="00AD5567" w:rsidRPr="00096715" w:rsidRDefault="00AD5567" w:rsidP="00AD5567">
            <w:pPr>
              <w:ind w:right="737"/>
              <w:jc w:val="right"/>
              <w:rPr>
                <w:rFonts w:ascii="Verdana" w:eastAsia="Times New Roman" w:hAnsi="Verdana" w:cs="Arial"/>
                <w:bCs/>
                <w:color w:val="365F91"/>
                <w:sz w:val="18"/>
                <w:szCs w:val="18"/>
                <w:lang w:val="el-GR"/>
              </w:rPr>
            </w:pPr>
            <w:r>
              <w:rPr>
                <w:rFonts w:ascii="Verdana" w:hAnsi="Verdana" w:cs="Arial"/>
                <w:color w:val="365F91"/>
                <w:sz w:val="18"/>
                <w:szCs w:val="18"/>
              </w:rPr>
              <w:t>1,10</w:t>
            </w:r>
          </w:p>
        </w:tc>
      </w:tr>
      <w:tr w:rsidR="00AD5567"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AD5567" w:rsidRPr="00096715" w:rsidRDefault="00AD5567" w:rsidP="00AD556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AD5567" w:rsidRPr="00096715" w:rsidRDefault="00AD5567" w:rsidP="00AD556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7BFB7E17" w:rsidR="00AD5567" w:rsidRPr="00096715" w:rsidRDefault="00AD5567" w:rsidP="00AD5567">
            <w:pPr>
              <w:ind w:right="680"/>
              <w:jc w:val="right"/>
              <w:rPr>
                <w:rFonts w:ascii="Verdana" w:eastAsia="Times New Roman" w:hAnsi="Verdana" w:cs="Arial"/>
                <w:bCs/>
                <w:color w:val="365F91"/>
                <w:sz w:val="18"/>
                <w:szCs w:val="18"/>
                <w:lang w:val="el-GR"/>
              </w:rPr>
            </w:pPr>
            <w:r>
              <w:rPr>
                <w:rFonts w:ascii="Verdana" w:hAnsi="Verdana" w:cs="Arial"/>
                <w:color w:val="365F91"/>
                <w:sz w:val="18"/>
                <w:szCs w:val="18"/>
              </w:rPr>
              <w:t>-7,94</w:t>
            </w:r>
          </w:p>
        </w:tc>
        <w:tc>
          <w:tcPr>
            <w:tcW w:w="1115" w:type="pct"/>
            <w:tcBorders>
              <w:top w:val="nil"/>
              <w:bottom w:val="nil"/>
              <w:right w:val="nil"/>
            </w:tcBorders>
            <w:shd w:val="clear" w:color="FFFFFF" w:fill="FFFFFF"/>
            <w:noWrap/>
            <w:vAlign w:val="center"/>
          </w:tcPr>
          <w:p w14:paraId="75E025EA" w14:textId="660828C4" w:rsidR="00AD5567" w:rsidRPr="00096715" w:rsidRDefault="00AD5567" w:rsidP="00AD5567">
            <w:pPr>
              <w:ind w:right="737"/>
              <w:jc w:val="right"/>
              <w:rPr>
                <w:rFonts w:ascii="Verdana" w:eastAsia="Times New Roman" w:hAnsi="Verdana" w:cs="Arial"/>
                <w:bCs/>
                <w:color w:val="365F91"/>
                <w:sz w:val="18"/>
                <w:szCs w:val="18"/>
                <w:lang w:val="el-GR"/>
              </w:rPr>
            </w:pPr>
            <w:r>
              <w:rPr>
                <w:rFonts w:ascii="Verdana" w:hAnsi="Verdana" w:cs="Arial"/>
                <w:color w:val="365F91"/>
                <w:sz w:val="18"/>
                <w:szCs w:val="18"/>
              </w:rPr>
              <w:t>-1,96</w:t>
            </w:r>
          </w:p>
        </w:tc>
      </w:tr>
      <w:tr w:rsidR="00AD5567"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AD5567" w:rsidRPr="00096715" w:rsidRDefault="00AD5567" w:rsidP="00AD556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56393628" w:rsidR="00AD5567" w:rsidRPr="00096715" w:rsidRDefault="00AD5567" w:rsidP="00AD556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39CFFD64" w:rsidR="00AD5567" w:rsidRPr="00096715" w:rsidRDefault="00AD5567" w:rsidP="00AD5567">
            <w:pPr>
              <w:ind w:right="680"/>
              <w:jc w:val="right"/>
              <w:rPr>
                <w:rFonts w:ascii="Verdana" w:eastAsia="Times New Roman" w:hAnsi="Verdana" w:cs="Arial"/>
                <w:bCs/>
                <w:color w:val="365F91"/>
                <w:sz w:val="18"/>
                <w:szCs w:val="18"/>
                <w:lang w:val="el-GR"/>
              </w:rPr>
            </w:pPr>
            <w:r>
              <w:rPr>
                <w:rFonts w:ascii="Verdana" w:hAnsi="Verdana" w:cs="Arial"/>
                <w:color w:val="365F91"/>
                <w:sz w:val="18"/>
                <w:szCs w:val="18"/>
              </w:rPr>
              <w:t>-12,75</w:t>
            </w:r>
          </w:p>
        </w:tc>
        <w:tc>
          <w:tcPr>
            <w:tcW w:w="1115" w:type="pct"/>
            <w:tcBorders>
              <w:top w:val="nil"/>
              <w:bottom w:val="nil"/>
              <w:right w:val="nil"/>
            </w:tcBorders>
            <w:shd w:val="clear" w:color="FFFFFF" w:fill="FFFFFF"/>
            <w:noWrap/>
            <w:vAlign w:val="center"/>
          </w:tcPr>
          <w:p w14:paraId="15406204" w14:textId="490AFD50" w:rsidR="00AD5567" w:rsidRPr="00096715" w:rsidRDefault="00AD5567" w:rsidP="00AD5567">
            <w:pPr>
              <w:ind w:right="737"/>
              <w:jc w:val="right"/>
              <w:rPr>
                <w:rFonts w:ascii="Verdana" w:eastAsia="Times New Roman" w:hAnsi="Verdana" w:cs="Arial"/>
                <w:bCs/>
                <w:color w:val="365F91"/>
                <w:sz w:val="18"/>
                <w:szCs w:val="18"/>
                <w:lang w:val="el-GR"/>
              </w:rPr>
            </w:pPr>
            <w:r>
              <w:rPr>
                <w:rFonts w:ascii="Verdana" w:hAnsi="Verdana" w:cs="Arial"/>
                <w:color w:val="365F91"/>
                <w:sz w:val="18"/>
                <w:szCs w:val="18"/>
              </w:rPr>
              <w:t>-1,23</w:t>
            </w:r>
          </w:p>
        </w:tc>
      </w:tr>
      <w:tr w:rsidR="00AD5567"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AD5567" w:rsidRPr="00096715" w:rsidRDefault="00AD5567" w:rsidP="00AD556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AD5567" w:rsidRPr="00096715" w:rsidRDefault="00AD5567" w:rsidP="00AD556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5D03CB59" w:rsidR="00AD5567" w:rsidRPr="00096715" w:rsidRDefault="00AD5567" w:rsidP="00AD5567">
            <w:pPr>
              <w:ind w:right="680"/>
              <w:jc w:val="right"/>
              <w:rPr>
                <w:rFonts w:ascii="Verdana" w:eastAsia="Times New Roman" w:hAnsi="Verdana" w:cs="Arial"/>
                <w:bCs/>
                <w:color w:val="365F91"/>
                <w:sz w:val="18"/>
                <w:szCs w:val="18"/>
                <w:lang w:val="el-GR"/>
              </w:rPr>
            </w:pPr>
            <w:r>
              <w:rPr>
                <w:rFonts w:ascii="Verdana" w:hAnsi="Verdana" w:cs="Arial"/>
                <w:color w:val="365F91"/>
                <w:sz w:val="18"/>
                <w:szCs w:val="18"/>
              </w:rPr>
              <w:t>0,00</w:t>
            </w:r>
          </w:p>
        </w:tc>
        <w:tc>
          <w:tcPr>
            <w:tcW w:w="1115" w:type="pct"/>
            <w:tcBorders>
              <w:top w:val="nil"/>
              <w:bottom w:val="nil"/>
              <w:right w:val="nil"/>
            </w:tcBorders>
            <w:shd w:val="clear" w:color="FFFFFF" w:fill="FFFFFF"/>
            <w:noWrap/>
            <w:vAlign w:val="center"/>
          </w:tcPr>
          <w:p w14:paraId="3E50858D" w14:textId="2067FE78" w:rsidR="00AD5567" w:rsidRPr="00096715" w:rsidRDefault="00AD5567" w:rsidP="00AD5567">
            <w:pPr>
              <w:ind w:right="737"/>
              <w:jc w:val="right"/>
              <w:rPr>
                <w:rFonts w:ascii="Verdana" w:eastAsia="Times New Roman" w:hAnsi="Verdana" w:cs="Arial"/>
                <w:bCs/>
                <w:color w:val="365F91"/>
                <w:sz w:val="18"/>
                <w:szCs w:val="18"/>
                <w:lang w:val="el-GR"/>
              </w:rPr>
            </w:pPr>
            <w:r>
              <w:rPr>
                <w:rFonts w:ascii="Verdana" w:hAnsi="Verdana" w:cs="Arial"/>
                <w:color w:val="365F91"/>
                <w:sz w:val="18"/>
                <w:szCs w:val="18"/>
              </w:rPr>
              <w:t>0,00</w:t>
            </w:r>
          </w:p>
        </w:tc>
      </w:tr>
      <w:tr w:rsidR="00AD5567"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AD5567" w:rsidRPr="00096715" w:rsidRDefault="00AD5567" w:rsidP="00AD5567">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AD5567" w:rsidRPr="00096715" w:rsidRDefault="00AD5567" w:rsidP="00AD5567">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402FE49F" w:rsidR="00AD5567" w:rsidRPr="00096715" w:rsidRDefault="00AD5567" w:rsidP="00AD5567">
            <w:pPr>
              <w:ind w:right="680"/>
              <w:jc w:val="right"/>
              <w:rPr>
                <w:rFonts w:ascii="Verdana" w:eastAsia="Times New Roman" w:hAnsi="Verdana" w:cs="Arial"/>
                <w:bCs/>
                <w:color w:val="365F91"/>
                <w:sz w:val="18"/>
                <w:szCs w:val="18"/>
                <w:lang w:val="el-GR"/>
              </w:rPr>
            </w:pPr>
            <w:r>
              <w:rPr>
                <w:rFonts w:ascii="Verdana" w:hAnsi="Verdana" w:cs="Arial"/>
                <w:color w:val="365F91"/>
                <w:sz w:val="18"/>
                <w:szCs w:val="18"/>
              </w:rPr>
              <w:t>3,25</w:t>
            </w:r>
          </w:p>
        </w:tc>
        <w:tc>
          <w:tcPr>
            <w:tcW w:w="1115" w:type="pct"/>
            <w:tcBorders>
              <w:top w:val="nil"/>
              <w:bottom w:val="single" w:sz="4" w:space="0" w:color="366092"/>
              <w:right w:val="nil"/>
            </w:tcBorders>
            <w:shd w:val="clear" w:color="FFFFFF" w:fill="FFFFFF"/>
            <w:noWrap/>
            <w:vAlign w:val="center"/>
          </w:tcPr>
          <w:p w14:paraId="4131EBF4" w14:textId="459A080C" w:rsidR="00AD5567" w:rsidRPr="00096715" w:rsidRDefault="00AD5567" w:rsidP="00AD5567">
            <w:pPr>
              <w:ind w:right="737"/>
              <w:jc w:val="right"/>
              <w:rPr>
                <w:rFonts w:ascii="Verdana" w:eastAsia="Times New Roman" w:hAnsi="Verdana" w:cs="Arial"/>
                <w:bCs/>
                <w:color w:val="365F91"/>
                <w:sz w:val="18"/>
                <w:szCs w:val="18"/>
                <w:lang w:val="el-GR"/>
              </w:rPr>
            </w:pPr>
            <w:r>
              <w:rPr>
                <w:rFonts w:ascii="Verdana" w:hAnsi="Verdana" w:cs="Arial"/>
                <w:color w:val="365F91"/>
                <w:sz w:val="18"/>
                <w:szCs w:val="18"/>
              </w:rPr>
              <w:t>0,30</w:t>
            </w:r>
          </w:p>
        </w:tc>
      </w:tr>
      <w:tr w:rsidR="00AD5567" w:rsidRPr="00096715"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AD5567" w:rsidRPr="00096715" w:rsidRDefault="00AD5567" w:rsidP="00AD5567">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AD5567" w:rsidRPr="00096715" w:rsidRDefault="00AD5567" w:rsidP="00AD5567">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4C2EB17" w:rsidR="00AD5567" w:rsidRPr="00096715" w:rsidRDefault="00AD5567" w:rsidP="00AD5567">
            <w:pPr>
              <w:ind w:right="680"/>
              <w:jc w:val="right"/>
              <w:rPr>
                <w:rFonts w:ascii="Verdana" w:eastAsia="Times New Roman" w:hAnsi="Verdana" w:cs="Arial"/>
                <w:b/>
                <w:bCs/>
                <w:color w:val="365F91"/>
                <w:sz w:val="18"/>
                <w:szCs w:val="18"/>
                <w:lang w:val="el-GR"/>
              </w:rPr>
            </w:pPr>
            <w:r>
              <w:rPr>
                <w:rFonts w:ascii="Verdana" w:hAnsi="Verdana" w:cs="Arial"/>
                <w:b/>
                <w:bCs/>
                <w:color w:val="365F91"/>
                <w:sz w:val="18"/>
                <w:szCs w:val="18"/>
              </w:rPr>
              <w:t>0,</w:t>
            </w:r>
            <w:r>
              <w:rPr>
                <w:rFonts w:ascii="Verdana" w:hAnsi="Verdana" w:cs="Arial"/>
                <w:b/>
                <w:bCs/>
                <w:color w:val="365F91"/>
                <w:sz w:val="18"/>
                <w:szCs w:val="18"/>
                <w:lang w:val="el-GR"/>
              </w:rPr>
              <w:t>57</w:t>
            </w:r>
          </w:p>
        </w:tc>
        <w:tc>
          <w:tcPr>
            <w:tcW w:w="1115" w:type="pct"/>
            <w:tcBorders>
              <w:top w:val="single" w:sz="4" w:space="0" w:color="366092"/>
              <w:bottom w:val="single" w:sz="4" w:space="0" w:color="366092"/>
              <w:right w:val="nil"/>
            </w:tcBorders>
            <w:shd w:val="clear" w:color="FFFFFF" w:fill="FFFFFF"/>
            <w:noWrap/>
            <w:vAlign w:val="center"/>
          </w:tcPr>
          <w:p w14:paraId="3A436947" w14:textId="47A00E94" w:rsidR="00AD5567" w:rsidRPr="00176C58" w:rsidRDefault="00AD5567" w:rsidP="00AD5567">
            <w:pPr>
              <w:ind w:right="737"/>
              <w:jc w:val="right"/>
              <w:rPr>
                <w:rFonts w:ascii="Verdana" w:eastAsia="Times New Roman" w:hAnsi="Verdana" w:cs="Arial"/>
                <w:b/>
                <w:bCs/>
                <w:color w:val="365F91"/>
                <w:sz w:val="18"/>
                <w:szCs w:val="18"/>
              </w:rPr>
            </w:pPr>
            <w:r>
              <w:rPr>
                <w:rFonts w:ascii="Verdana" w:hAnsi="Verdana" w:cs="Arial"/>
                <w:b/>
                <w:bCs/>
                <w:color w:val="365F91"/>
                <w:sz w:val="18"/>
                <w:szCs w:val="18"/>
              </w:rPr>
              <w:t>0,</w:t>
            </w:r>
            <w:r>
              <w:rPr>
                <w:rFonts w:ascii="Verdana" w:hAnsi="Verdana" w:cs="Arial"/>
                <w:b/>
                <w:bCs/>
                <w:color w:val="365F91"/>
                <w:sz w:val="18"/>
                <w:szCs w:val="18"/>
                <w:lang w:val="el-GR"/>
              </w:rPr>
              <w:t>14</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9E6D86"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9E6D86" w:rsidRPr="00096715" w:rsidRDefault="009E6D86" w:rsidP="009E6D86">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9E6D86" w:rsidRPr="00096715" w:rsidRDefault="009E6D86" w:rsidP="009E6D86">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573669E6" w:rsidR="009E6D86" w:rsidRPr="00096715" w:rsidRDefault="00AD5567" w:rsidP="009E6D86">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3B2B2F" w:rsidRPr="003B2B2F">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Oct</w:t>
            </w:r>
            <w:r w:rsidR="003B2B2F" w:rsidRPr="003B2B2F">
              <w:rPr>
                <w:rFonts w:ascii="Verdana" w:eastAsia="Times New Roman" w:hAnsi="Verdana" w:cs="Arial"/>
                <w:b/>
                <w:bCs/>
                <w:color w:val="365F91"/>
                <w:sz w:val="18"/>
                <w:szCs w:val="18"/>
              </w:rPr>
              <w:t xml:space="preserve"> 23</w:t>
            </w:r>
          </w:p>
        </w:tc>
        <w:tc>
          <w:tcPr>
            <w:tcW w:w="1065" w:type="pct"/>
            <w:tcBorders>
              <w:top w:val="nil"/>
              <w:bottom w:val="single" w:sz="4" w:space="0" w:color="366092"/>
            </w:tcBorders>
            <w:shd w:val="clear" w:color="FFFFFF" w:fill="FFFFFF"/>
            <w:vAlign w:val="center"/>
          </w:tcPr>
          <w:p w14:paraId="18118511" w14:textId="69326C46" w:rsidR="009E6D86" w:rsidRPr="00096715" w:rsidRDefault="00AD5567" w:rsidP="009E6D86">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3B2B2F" w:rsidRPr="003B2B2F">
              <w:rPr>
                <w:rFonts w:ascii="Verdana" w:eastAsia="Times New Roman" w:hAnsi="Verdana" w:cs="Arial"/>
                <w:b/>
                <w:bCs/>
                <w:color w:val="365F91"/>
                <w:sz w:val="18"/>
                <w:szCs w:val="18"/>
              </w:rPr>
              <w:t xml:space="preserve"> 24/ </w:t>
            </w:r>
            <w:r>
              <w:rPr>
                <w:rFonts w:ascii="Verdana" w:eastAsia="Times New Roman" w:hAnsi="Verdana" w:cs="Arial"/>
                <w:b/>
                <w:bCs/>
                <w:color w:val="365F91"/>
                <w:sz w:val="18"/>
                <w:szCs w:val="18"/>
              </w:rPr>
              <w:t>Sep</w:t>
            </w:r>
            <w:r w:rsidR="003B2B2F" w:rsidRPr="003B2B2F">
              <w:rPr>
                <w:rFonts w:ascii="Verdana" w:eastAsia="Times New Roman" w:hAnsi="Verdana" w:cs="Arial"/>
                <w:b/>
                <w:bCs/>
                <w:color w:val="365F91"/>
                <w:sz w:val="18"/>
                <w:szCs w:val="18"/>
              </w:rPr>
              <w:t xml:space="preserve"> 24</w:t>
            </w:r>
          </w:p>
        </w:tc>
      </w:tr>
      <w:tr w:rsidR="00AD5567"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AD5567" w:rsidRPr="00096715" w:rsidRDefault="00AD5567" w:rsidP="00AD5567">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5A77BBF2"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16</w:t>
            </w:r>
          </w:p>
        </w:tc>
        <w:tc>
          <w:tcPr>
            <w:tcW w:w="1065" w:type="pct"/>
            <w:tcBorders>
              <w:top w:val="nil"/>
              <w:bottom w:val="nil"/>
            </w:tcBorders>
            <w:shd w:val="clear" w:color="FFFFFF" w:fill="FFFFFF"/>
            <w:vAlign w:val="center"/>
          </w:tcPr>
          <w:p w14:paraId="16881E59" w14:textId="377FE3E0"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07</w:t>
            </w:r>
          </w:p>
        </w:tc>
      </w:tr>
      <w:tr w:rsidR="00AD5567"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3630D38E"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07</w:t>
            </w:r>
          </w:p>
        </w:tc>
        <w:tc>
          <w:tcPr>
            <w:tcW w:w="1065" w:type="pct"/>
            <w:tcBorders>
              <w:top w:val="nil"/>
              <w:bottom w:val="nil"/>
            </w:tcBorders>
            <w:shd w:val="clear" w:color="FFFFFF" w:fill="FFFFFF"/>
            <w:vAlign w:val="center"/>
          </w:tcPr>
          <w:p w14:paraId="518A9DB4" w14:textId="0B551CFB"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01</w:t>
            </w:r>
          </w:p>
        </w:tc>
      </w:tr>
      <w:tr w:rsidR="00AD5567"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15F4183D"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18</w:t>
            </w:r>
          </w:p>
        </w:tc>
        <w:tc>
          <w:tcPr>
            <w:tcW w:w="1065" w:type="pct"/>
            <w:tcBorders>
              <w:top w:val="nil"/>
              <w:bottom w:val="nil"/>
            </w:tcBorders>
            <w:shd w:val="clear" w:color="FFFFFF" w:fill="FFFFFF"/>
            <w:vAlign w:val="center"/>
          </w:tcPr>
          <w:p w14:paraId="119CF109" w14:textId="0C73D9D6"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22</w:t>
            </w:r>
          </w:p>
        </w:tc>
      </w:tr>
      <w:tr w:rsidR="00AD5567"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AD5567" w:rsidRPr="00096715" w:rsidRDefault="00AD5567" w:rsidP="00AD5567">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54CCA77F"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33</w:t>
            </w:r>
          </w:p>
        </w:tc>
        <w:tc>
          <w:tcPr>
            <w:tcW w:w="1065" w:type="pct"/>
            <w:tcBorders>
              <w:top w:val="nil"/>
              <w:bottom w:val="nil"/>
            </w:tcBorders>
            <w:shd w:val="clear" w:color="FFFFFF" w:fill="FFFFFF"/>
            <w:vAlign w:val="center"/>
          </w:tcPr>
          <w:p w14:paraId="1D39710B" w14:textId="795D3F80"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08</w:t>
            </w:r>
          </w:p>
        </w:tc>
      </w:tr>
      <w:tr w:rsidR="00AD5567"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AD5567" w:rsidRPr="00096715" w:rsidRDefault="00AD5567" w:rsidP="00AD5567">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60ECE68C"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03</w:t>
            </w:r>
          </w:p>
        </w:tc>
        <w:tc>
          <w:tcPr>
            <w:tcW w:w="1065" w:type="pct"/>
            <w:tcBorders>
              <w:top w:val="nil"/>
              <w:bottom w:val="nil"/>
            </w:tcBorders>
            <w:shd w:val="clear" w:color="FFFFFF" w:fill="FFFFFF"/>
            <w:vAlign w:val="center"/>
          </w:tcPr>
          <w:p w14:paraId="6D8D9BBF" w14:textId="18F13996"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03</w:t>
            </w:r>
          </w:p>
        </w:tc>
      </w:tr>
      <w:tr w:rsidR="00AD5567"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640DCB29"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10</w:t>
            </w:r>
          </w:p>
        </w:tc>
        <w:tc>
          <w:tcPr>
            <w:tcW w:w="1065" w:type="pct"/>
            <w:tcBorders>
              <w:top w:val="nil"/>
              <w:bottom w:val="nil"/>
            </w:tcBorders>
            <w:shd w:val="clear" w:color="FFFFFF" w:fill="FFFFFF"/>
            <w:vAlign w:val="center"/>
          </w:tcPr>
          <w:p w14:paraId="784960E7" w14:textId="767F1B11"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01</w:t>
            </w:r>
          </w:p>
        </w:tc>
      </w:tr>
      <w:tr w:rsidR="00AD5567"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44DFB163"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28</w:t>
            </w:r>
          </w:p>
        </w:tc>
        <w:tc>
          <w:tcPr>
            <w:tcW w:w="1065" w:type="pct"/>
            <w:tcBorders>
              <w:top w:val="nil"/>
              <w:bottom w:val="nil"/>
            </w:tcBorders>
            <w:shd w:val="clear" w:color="FFFFFF" w:fill="FFFFFF"/>
            <w:vAlign w:val="center"/>
          </w:tcPr>
          <w:p w14:paraId="48F41097" w14:textId="59EA8C57"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15</w:t>
            </w:r>
          </w:p>
        </w:tc>
      </w:tr>
      <w:tr w:rsidR="00AD5567"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AD5567" w:rsidRPr="00096715" w:rsidRDefault="00AD5567" w:rsidP="00AD5567">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04F444F9"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01</w:t>
            </w:r>
          </w:p>
        </w:tc>
        <w:tc>
          <w:tcPr>
            <w:tcW w:w="1065" w:type="pct"/>
            <w:tcBorders>
              <w:top w:val="nil"/>
              <w:bottom w:val="nil"/>
            </w:tcBorders>
            <w:shd w:val="clear" w:color="FFFFFF" w:fill="FFFFFF"/>
            <w:vAlign w:val="center"/>
          </w:tcPr>
          <w:p w14:paraId="53D44DB8" w14:textId="5FB3F305"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00</w:t>
            </w:r>
          </w:p>
        </w:tc>
      </w:tr>
      <w:tr w:rsidR="00AD5567"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4123EBB1"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19</w:t>
            </w:r>
          </w:p>
        </w:tc>
        <w:tc>
          <w:tcPr>
            <w:tcW w:w="1065" w:type="pct"/>
            <w:tcBorders>
              <w:top w:val="nil"/>
              <w:bottom w:val="nil"/>
            </w:tcBorders>
            <w:shd w:val="clear" w:color="FFFFFF" w:fill="FFFFFF"/>
            <w:vAlign w:val="center"/>
          </w:tcPr>
          <w:p w14:paraId="13A48740" w14:textId="5074ECB0"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07</w:t>
            </w:r>
          </w:p>
        </w:tc>
      </w:tr>
      <w:tr w:rsidR="00AD5567"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5DB5BBC8"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17</w:t>
            </w:r>
          </w:p>
        </w:tc>
        <w:tc>
          <w:tcPr>
            <w:tcW w:w="1065" w:type="pct"/>
            <w:tcBorders>
              <w:top w:val="nil"/>
              <w:bottom w:val="nil"/>
            </w:tcBorders>
            <w:shd w:val="clear" w:color="FFFFFF" w:fill="FFFFFF"/>
            <w:vAlign w:val="center"/>
          </w:tcPr>
          <w:p w14:paraId="2CE1327E" w14:textId="1AACBEE3"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05</w:t>
            </w:r>
          </w:p>
        </w:tc>
      </w:tr>
      <w:tr w:rsidR="00AD5567"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26E43098"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56</w:t>
            </w:r>
          </w:p>
        </w:tc>
        <w:tc>
          <w:tcPr>
            <w:tcW w:w="1065" w:type="pct"/>
            <w:tcBorders>
              <w:top w:val="nil"/>
              <w:bottom w:val="nil"/>
            </w:tcBorders>
            <w:shd w:val="clear" w:color="FFFFFF" w:fill="FFFFFF"/>
            <w:vAlign w:val="center"/>
          </w:tcPr>
          <w:p w14:paraId="603DEB68" w14:textId="0F809525"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02</w:t>
            </w:r>
          </w:p>
        </w:tc>
      </w:tr>
      <w:tr w:rsidR="00AD5567"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AD5567" w:rsidRPr="00096715" w:rsidRDefault="00AD5567" w:rsidP="00AD5567">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AD5567" w:rsidRPr="00096715" w:rsidRDefault="00AD5567" w:rsidP="00AD556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6B9B84CC"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24</w:t>
            </w:r>
          </w:p>
        </w:tc>
        <w:tc>
          <w:tcPr>
            <w:tcW w:w="1065" w:type="pct"/>
            <w:tcBorders>
              <w:top w:val="nil"/>
              <w:bottom w:val="single" w:sz="4" w:space="0" w:color="366092"/>
            </w:tcBorders>
            <w:shd w:val="clear" w:color="FFFFFF" w:fill="FFFFFF"/>
            <w:vAlign w:val="center"/>
          </w:tcPr>
          <w:p w14:paraId="2C7E251D" w14:textId="3AFF3E9F" w:rsidR="00AD5567" w:rsidRPr="00096715" w:rsidRDefault="00AD5567" w:rsidP="00AD5567">
            <w:pPr>
              <w:ind w:right="680"/>
              <w:jc w:val="right"/>
              <w:rPr>
                <w:rFonts w:ascii="Verdana" w:eastAsia="Times New Roman" w:hAnsi="Verdana" w:cs="Arial"/>
                <w:bCs/>
                <w:color w:val="365F91"/>
                <w:sz w:val="18"/>
                <w:szCs w:val="18"/>
                <w:lang w:val="el-GR"/>
              </w:rPr>
            </w:pPr>
            <w:r w:rsidRPr="00327654">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327654">
              <w:rPr>
                <w:rFonts w:ascii="Verdana" w:eastAsia="Times New Roman" w:hAnsi="Verdana" w:cs="Arial"/>
                <w:color w:val="365F91"/>
                <w:sz w:val="18"/>
                <w:szCs w:val="18"/>
                <w:lang w:val="el-GR"/>
              </w:rPr>
              <w:t>07</w:t>
            </w:r>
          </w:p>
        </w:tc>
      </w:tr>
      <w:tr w:rsidR="00AD5567" w:rsidRPr="00096715"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AD5567" w:rsidRPr="00096715" w:rsidRDefault="00AD5567" w:rsidP="00AD5567">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AD5567" w:rsidRPr="00096715" w:rsidRDefault="00AD5567" w:rsidP="00AD5567">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6C726236" w:rsidR="00AD5567" w:rsidRPr="00096715" w:rsidRDefault="00AD5567" w:rsidP="00AD5567">
            <w:pPr>
              <w:ind w:right="680"/>
              <w:jc w:val="right"/>
              <w:rPr>
                <w:rFonts w:ascii="Verdana" w:eastAsia="Times New Roman" w:hAnsi="Verdana" w:cs="Arial"/>
                <w:b/>
                <w:bCs/>
                <w:color w:val="365F91"/>
                <w:sz w:val="18"/>
                <w:szCs w:val="18"/>
                <w:lang w:val="el-GR"/>
              </w:rPr>
            </w:pPr>
            <w:r w:rsidRPr="00327654">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327654">
              <w:rPr>
                <w:rFonts w:ascii="Verdana" w:eastAsia="Times New Roman" w:hAnsi="Verdana" w:cs="Arial"/>
                <w:b/>
                <w:bCs/>
                <w:color w:val="365F91"/>
                <w:sz w:val="18"/>
                <w:szCs w:val="18"/>
                <w:lang w:val="el-GR"/>
              </w:rPr>
              <w:t>67</w:t>
            </w:r>
          </w:p>
        </w:tc>
        <w:tc>
          <w:tcPr>
            <w:tcW w:w="1065" w:type="pct"/>
            <w:tcBorders>
              <w:top w:val="single" w:sz="4" w:space="0" w:color="366092"/>
              <w:bottom w:val="single" w:sz="4" w:space="0" w:color="366092"/>
            </w:tcBorders>
            <w:shd w:val="clear" w:color="000000" w:fill="FFFFFF"/>
            <w:vAlign w:val="center"/>
          </w:tcPr>
          <w:p w14:paraId="6C4A587F" w14:textId="49011BB1" w:rsidR="00AD5567" w:rsidRPr="00F30A30" w:rsidRDefault="00AD5567" w:rsidP="00AD5567">
            <w:pPr>
              <w:ind w:right="680"/>
              <w:jc w:val="right"/>
              <w:rPr>
                <w:rFonts w:ascii="Verdana" w:eastAsia="Times New Roman" w:hAnsi="Verdana" w:cs="Arial"/>
                <w:b/>
                <w:bCs/>
                <w:color w:val="365F91"/>
                <w:sz w:val="18"/>
                <w:szCs w:val="18"/>
              </w:rPr>
            </w:pPr>
            <w:r w:rsidRPr="00327654">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327654">
              <w:rPr>
                <w:rFonts w:ascii="Verdana" w:eastAsia="Times New Roman" w:hAnsi="Verdana" w:cs="Arial"/>
                <w:b/>
                <w:bCs/>
                <w:color w:val="365F91"/>
                <w:sz w:val="18"/>
                <w:szCs w:val="18"/>
                <w:lang w:val="el-GR"/>
              </w:rPr>
              <w:t>16</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633BF2F6" w:rsidR="008072F6" w:rsidRDefault="008072F6">
      <w:pPr>
        <w:rPr>
          <w:rFonts w:ascii="Verdana" w:eastAsia="Malgun Gothic" w:hAnsi="Verdana" w:cs="Arial"/>
          <w:sz w:val="18"/>
          <w:szCs w:val="18"/>
        </w:rPr>
      </w:pPr>
    </w:p>
    <w:p w14:paraId="6074AA45" w14:textId="50380194" w:rsidR="00547A14" w:rsidRDefault="00547A14" w:rsidP="00EB1983">
      <w:pPr>
        <w:tabs>
          <w:tab w:val="left" w:pos="1080"/>
          <w:tab w:val="left" w:pos="6840"/>
        </w:tabs>
        <w:jc w:val="both"/>
        <w:rPr>
          <w:rFonts w:ascii="Verdana" w:eastAsia="Malgun Gothic" w:hAnsi="Verdana" w:cs="Arial"/>
          <w:sz w:val="18"/>
          <w:szCs w:val="18"/>
        </w:rPr>
      </w:pPr>
    </w:p>
    <w:p w14:paraId="187EEF1E" w14:textId="77777777" w:rsidR="00411B7E" w:rsidRDefault="00411B7E" w:rsidP="00EB1983">
      <w:pPr>
        <w:tabs>
          <w:tab w:val="left" w:pos="1080"/>
          <w:tab w:val="left" w:pos="6840"/>
        </w:tabs>
        <w:jc w:val="both"/>
        <w:rPr>
          <w:rFonts w:ascii="Verdana" w:eastAsia="Malgun Gothic" w:hAnsi="Verdana" w:cs="Arial"/>
          <w:sz w:val="18"/>
          <w:szCs w:val="18"/>
        </w:rPr>
      </w:pPr>
    </w:p>
    <w:p w14:paraId="410583FF" w14:textId="77777777" w:rsidR="00411B7E" w:rsidRDefault="00411B7E" w:rsidP="00EB1983">
      <w:pPr>
        <w:tabs>
          <w:tab w:val="left" w:pos="1080"/>
          <w:tab w:val="left" w:pos="6840"/>
        </w:tabs>
        <w:jc w:val="both"/>
        <w:rPr>
          <w:rFonts w:ascii="Verdana" w:eastAsia="Malgun Gothic" w:hAnsi="Verdana" w:cs="Arial"/>
          <w:sz w:val="18"/>
          <w:szCs w:val="18"/>
        </w:rPr>
      </w:pPr>
    </w:p>
    <w:p w14:paraId="6B5C18E8" w14:textId="77777777" w:rsidR="00411B7E" w:rsidRDefault="00411B7E" w:rsidP="00EB1983">
      <w:pPr>
        <w:tabs>
          <w:tab w:val="left" w:pos="1080"/>
          <w:tab w:val="left" w:pos="6840"/>
        </w:tabs>
        <w:jc w:val="both"/>
        <w:rPr>
          <w:rFonts w:ascii="Verdana" w:eastAsia="Malgun Gothic" w:hAnsi="Verdana" w:cs="Arial"/>
          <w:sz w:val="18"/>
          <w:szCs w:val="18"/>
        </w:rPr>
      </w:pPr>
    </w:p>
    <w:p w14:paraId="40E691D5" w14:textId="77777777" w:rsidR="00411B7E" w:rsidRPr="00EB1983" w:rsidRDefault="00411B7E" w:rsidP="00EB1983">
      <w:pPr>
        <w:tabs>
          <w:tab w:val="left" w:pos="1080"/>
          <w:tab w:val="left" w:pos="6840"/>
        </w:tabs>
        <w:jc w:val="both"/>
        <w:rPr>
          <w:rFonts w:ascii="Verdana" w:eastAsia="Malgun Gothic" w:hAnsi="Verdana" w:cs="Arial"/>
          <w:sz w:val="18"/>
          <w:szCs w:val="18"/>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4" w:name="_MON_1515218666"/>
            <w:bookmarkEnd w:id="4"/>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663EB8FE" w:rsidR="00D70E32" w:rsidRPr="00096715" w:rsidRDefault="00540EED"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Oct</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3</w:t>
            </w:r>
          </w:p>
        </w:tc>
      </w:tr>
      <w:tr w:rsidR="00D70E32"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D70E32" w:rsidRPr="00096715" w:rsidRDefault="00D70E32" w:rsidP="00D70E32">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D70E32" w:rsidRPr="00096715" w:rsidRDefault="00D70E32" w:rsidP="00D70E32">
            <w:pPr>
              <w:ind w:right="1296" w:firstLineChars="200" w:firstLine="360"/>
              <w:jc w:val="right"/>
              <w:rPr>
                <w:rFonts w:ascii="Verdana" w:eastAsia="Times New Roman" w:hAnsi="Verdana" w:cs="Arial"/>
                <w:bCs/>
                <w:color w:val="365F91"/>
                <w:sz w:val="18"/>
                <w:szCs w:val="18"/>
                <w:lang w:val="el-GR"/>
              </w:rPr>
            </w:pPr>
          </w:p>
        </w:tc>
      </w:tr>
      <w:tr w:rsidR="00AD5567" w:rsidRPr="00096715" w14:paraId="10F84641" w14:textId="77777777" w:rsidTr="00886017">
        <w:trPr>
          <w:trHeight w:val="300"/>
          <w:jc w:val="center"/>
        </w:trPr>
        <w:tc>
          <w:tcPr>
            <w:tcW w:w="6300" w:type="dxa"/>
            <w:tcBorders>
              <w:top w:val="nil"/>
              <w:bottom w:val="nil"/>
            </w:tcBorders>
            <w:shd w:val="clear" w:color="FFFFFF" w:fill="FFFFFF"/>
            <w:vAlign w:val="center"/>
          </w:tcPr>
          <w:p w14:paraId="6986D9F0" w14:textId="53E07B23" w:rsidR="00AD5567" w:rsidRPr="00096715" w:rsidRDefault="00AD5567" w:rsidP="00AD5567">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Catering services</w:t>
            </w:r>
          </w:p>
        </w:tc>
        <w:tc>
          <w:tcPr>
            <w:tcW w:w="3179" w:type="dxa"/>
            <w:tcBorders>
              <w:top w:val="nil"/>
              <w:bottom w:val="nil"/>
            </w:tcBorders>
            <w:shd w:val="clear" w:color="FFFFFF" w:fill="FFFFFF"/>
            <w:noWrap/>
            <w:vAlign w:val="center"/>
          </w:tcPr>
          <w:p w14:paraId="7563CE8F" w14:textId="549BC010" w:rsidR="00AD5567" w:rsidRPr="00EA4C7B"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0,55</w:t>
            </w:r>
          </w:p>
        </w:tc>
      </w:tr>
      <w:tr w:rsidR="00AD5567" w:rsidRPr="00096715" w14:paraId="52EF4793" w14:textId="77777777" w:rsidTr="00886017">
        <w:trPr>
          <w:trHeight w:val="300"/>
          <w:jc w:val="center"/>
        </w:trPr>
        <w:tc>
          <w:tcPr>
            <w:tcW w:w="6300" w:type="dxa"/>
            <w:tcBorders>
              <w:top w:val="nil"/>
              <w:bottom w:val="nil"/>
            </w:tcBorders>
            <w:shd w:val="clear" w:color="FFFFFF" w:fill="FFFFFF"/>
            <w:vAlign w:val="center"/>
          </w:tcPr>
          <w:p w14:paraId="5296729C" w14:textId="1F538A18" w:rsidR="00AD5567" w:rsidRPr="00096715" w:rsidRDefault="00AD5567" w:rsidP="00AD556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70B7B6DE" w14:textId="5D58A3BF" w:rsidR="00AD5567" w:rsidRPr="00EA4C7B"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0,28</w:t>
            </w:r>
          </w:p>
        </w:tc>
      </w:tr>
      <w:tr w:rsidR="00AD5567" w:rsidRPr="00096715" w14:paraId="5DA63389" w14:textId="77777777" w:rsidTr="00886017">
        <w:trPr>
          <w:trHeight w:val="300"/>
          <w:jc w:val="center"/>
        </w:trPr>
        <w:tc>
          <w:tcPr>
            <w:tcW w:w="6300" w:type="dxa"/>
            <w:tcBorders>
              <w:top w:val="nil"/>
              <w:bottom w:val="nil"/>
            </w:tcBorders>
            <w:shd w:val="clear" w:color="FFFFFF" w:fill="FFFFFF"/>
            <w:vAlign w:val="center"/>
          </w:tcPr>
          <w:p w14:paraId="0EE4DFF5" w14:textId="36E3B9F4" w:rsidR="00AD5567" w:rsidRPr="00096715" w:rsidRDefault="00AD5567" w:rsidP="00AD5567">
            <w:pPr>
              <w:ind w:firstLineChars="100" w:firstLine="180"/>
              <w:rPr>
                <w:rFonts w:ascii="Verdana" w:eastAsia="Times New Roman" w:hAnsi="Verdana" w:cs="Arial"/>
                <w:bCs/>
                <w:iCs/>
                <w:color w:val="365F91"/>
                <w:sz w:val="18"/>
                <w:szCs w:val="18"/>
              </w:rPr>
            </w:pPr>
            <w:r w:rsidRPr="0083655E">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7D7070D9" w14:textId="78E3348D" w:rsidR="00AD5567" w:rsidRPr="00EA4C7B"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0,23</w:t>
            </w:r>
          </w:p>
        </w:tc>
      </w:tr>
      <w:tr w:rsidR="00CB646F" w:rsidRPr="00096715" w14:paraId="32DF754F" w14:textId="77777777" w:rsidTr="00886017">
        <w:trPr>
          <w:trHeight w:val="300"/>
          <w:jc w:val="center"/>
        </w:trPr>
        <w:tc>
          <w:tcPr>
            <w:tcW w:w="6300" w:type="dxa"/>
            <w:tcBorders>
              <w:top w:val="nil"/>
              <w:bottom w:val="nil"/>
            </w:tcBorders>
            <w:shd w:val="clear" w:color="FFFFFF" w:fill="FFFFFF"/>
            <w:vAlign w:val="center"/>
          </w:tcPr>
          <w:p w14:paraId="70B531E0" w14:textId="2EAF7306" w:rsidR="00CB646F" w:rsidRDefault="00CB646F" w:rsidP="00AD5567">
            <w:pPr>
              <w:ind w:firstLineChars="100" w:firstLine="180"/>
              <w:rPr>
                <w:rFonts w:ascii="Verdana" w:eastAsia="Times New Roman" w:hAnsi="Verdana" w:cs="Arial"/>
                <w:bCs/>
                <w:iCs/>
                <w:color w:val="365F91"/>
                <w:sz w:val="18"/>
                <w:szCs w:val="18"/>
              </w:rPr>
            </w:pPr>
            <w:r w:rsidRPr="00CB646F">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vAlign w:val="center"/>
          </w:tcPr>
          <w:p w14:paraId="724742ED" w14:textId="48DE8EFA" w:rsidR="00CB646F" w:rsidRDefault="00CB646F" w:rsidP="00AD5567">
            <w:pPr>
              <w:ind w:right="1296" w:firstLineChars="200" w:firstLine="360"/>
              <w:jc w:val="right"/>
              <w:rPr>
                <w:rFonts w:ascii="Verdana" w:hAnsi="Verdana" w:cs="Arial"/>
                <w:color w:val="365F91"/>
                <w:sz w:val="18"/>
                <w:szCs w:val="18"/>
              </w:rPr>
            </w:pPr>
            <w:r>
              <w:rPr>
                <w:rFonts w:ascii="Verdana" w:hAnsi="Verdana" w:cs="Arial"/>
                <w:color w:val="365F91"/>
                <w:sz w:val="18"/>
                <w:szCs w:val="18"/>
              </w:rPr>
              <w:t>0,18</w:t>
            </w:r>
          </w:p>
        </w:tc>
      </w:tr>
      <w:tr w:rsidR="00AD5567"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52D9597C" w:rsidR="00AD5567" w:rsidRPr="00096715" w:rsidRDefault="00AD5567" w:rsidP="00AD556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6FF8A7B1" w14:textId="784599F7" w:rsidR="00AD5567" w:rsidRPr="007E49E2" w:rsidRDefault="00AD5567" w:rsidP="00AD5567">
            <w:pPr>
              <w:ind w:right="1296" w:firstLineChars="200" w:firstLine="360"/>
              <w:jc w:val="right"/>
              <w:rPr>
                <w:rFonts w:ascii="Verdana" w:eastAsia="Times New Roman" w:hAnsi="Verdana" w:cs="Arial"/>
                <w:bCs/>
                <w:color w:val="365F91"/>
                <w:sz w:val="18"/>
                <w:szCs w:val="18"/>
              </w:rPr>
            </w:pPr>
            <w:r>
              <w:rPr>
                <w:rFonts w:ascii="Verdana" w:hAnsi="Verdana" w:cs="Arial"/>
                <w:color w:val="365F91"/>
                <w:sz w:val="18"/>
                <w:szCs w:val="18"/>
              </w:rPr>
              <w:t>0,13</w:t>
            </w:r>
          </w:p>
        </w:tc>
      </w:tr>
      <w:tr w:rsidR="00AD5567"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AD5567" w:rsidRPr="00096715" w:rsidRDefault="00AD5567" w:rsidP="00AD5567">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21309CC2" w:rsidR="00AD5567" w:rsidRPr="00096715" w:rsidRDefault="00AD5567" w:rsidP="00AD5567">
            <w:pPr>
              <w:ind w:right="1296" w:firstLineChars="200" w:firstLine="360"/>
              <w:jc w:val="right"/>
              <w:rPr>
                <w:rFonts w:ascii="Verdana" w:eastAsia="Times New Roman" w:hAnsi="Verdana" w:cs="Arial"/>
                <w:bCs/>
                <w:color w:val="365F91"/>
                <w:sz w:val="18"/>
                <w:szCs w:val="18"/>
                <w:lang w:val="el-GR"/>
              </w:rPr>
            </w:pPr>
          </w:p>
        </w:tc>
      </w:tr>
      <w:tr w:rsidR="00AD5567" w:rsidRPr="00096715" w14:paraId="7B744E11" w14:textId="77777777" w:rsidTr="0083655E">
        <w:trPr>
          <w:trHeight w:val="300"/>
          <w:jc w:val="center"/>
        </w:trPr>
        <w:tc>
          <w:tcPr>
            <w:tcW w:w="6300" w:type="dxa"/>
            <w:tcBorders>
              <w:top w:val="nil"/>
              <w:bottom w:val="nil"/>
            </w:tcBorders>
            <w:shd w:val="clear" w:color="FFFFFF" w:fill="FFFFFF"/>
            <w:noWrap/>
            <w:vAlign w:val="center"/>
          </w:tcPr>
          <w:p w14:paraId="32AF7FF6" w14:textId="1C1765DB" w:rsidR="00AD5567" w:rsidRPr="00096715" w:rsidRDefault="00AD5567" w:rsidP="00AD5567">
            <w:pPr>
              <w:ind w:left="179" w:firstLineChars="20" w:firstLine="36"/>
              <w:rPr>
                <w:rFonts w:ascii="Verdana" w:eastAsia="Times New Roman" w:hAnsi="Verdana" w:cs="Arial"/>
                <w:b/>
                <w:bCs/>
                <w:i/>
                <w:iCs/>
                <w:color w:val="365F91"/>
                <w:sz w:val="18"/>
                <w:szCs w:val="18"/>
              </w:rPr>
            </w:pPr>
            <w:r w:rsidRPr="0083655E">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11CCDE2E" w14:textId="0342EBB2" w:rsidR="00AD5567" w:rsidRPr="007E49E2" w:rsidRDefault="00AD5567" w:rsidP="00AD5567">
            <w:pPr>
              <w:ind w:right="1296" w:firstLineChars="200" w:firstLine="360"/>
              <w:jc w:val="right"/>
              <w:rPr>
                <w:rFonts w:ascii="Verdana" w:eastAsia="Times New Roman" w:hAnsi="Verdana" w:cs="Arial"/>
                <w:bCs/>
                <w:color w:val="365F91"/>
                <w:sz w:val="18"/>
                <w:szCs w:val="18"/>
              </w:rPr>
            </w:pPr>
            <w:r>
              <w:rPr>
                <w:rFonts w:ascii="Verdana" w:hAnsi="Verdana" w:cs="Arial"/>
                <w:color w:val="365F91"/>
                <w:sz w:val="18"/>
                <w:szCs w:val="18"/>
              </w:rPr>
              <w:t>-1,48</w:t>
            </w:r>
          </w:p>
        </w:tc>
      </w:tr>
      <w:tr w:rsidR="00AD5567" w:rsidRPr="00096715" w14:paraId="3A39BE5B" w14:textId="77777777" w:rsidTr="0083655E">
        <w:trPr>
          <w:trHeight w:val="300"/>
          <w:jc w:val="center"/>
        </w:trPr>
        <w:tc>
          <w:tcPr>
            <w:tcW w:w="6300" w:type="dxa"/>
            <w:tcBorders>
              <w:top w:val="nil"/>
              <w:bottom w:val="nil"/>
            </w:tcBorders>
            <w:shd w:val="clear" w:color="FFFFFF" w:fill="FFFFFF"/>
            <w:noWrap/>
            <w:vAlign w:val="center"/>
          </w:tcPr>
          <w:p w14:paraId="0799A912" w14:textId="2A458129" w:rsidR="00AD5567" w:rsidRDefault="00AD5567" w:rsidP="00AD5567">
            <w:pPr>
              <w:ind w:left="179" w:firstLineChars="20" w:firstLine="36"/>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CF7D1D6" w14:textId="1C8CDB0C"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-0,49</w:t>
            </w:r>
          </w:p>
        </w:tc>
      </w:tr>
      <w:tr w:rsidR="00AD5567" w:rsidRPr="00096715" w14:paraId="457AC190" w14:textId="77777777" w:rsidTr="0083655E">
        <w:trPr>
          <w:trHeight w:val="300"/>
          <w:jc w:val="center"/>
        </w:trPr>
        <w:tc>
          <w:tcPr>
            <w:tcW w:w="6300" w:type="dxa"/>
            <w:tcBorders>
              <w:top w:val="nil"/>
              <w:bottom w:val="nil"/>
            </w:tcBorders>
            <w:shd w:val="clear" w:color="FFFFFF" w:fill="FFFFFF"/>
            <w:noWrap/>
            <w:vAlign w:val="center"/>
          </w:tcPr>
          <w:p w14:paraId="47729189" w14:textId="62992A89" w:rsidR="00AD5567" w:rsidRPr="00096715" w:rsidRDefault="00AD5567" w:rsidP="00AD5567">
            <w:pPr>
              <w:ind w:left="179" w:firstLineChars="20" w:firstLine="36"/>
              <w:rPr>
                <w:rFonts w:ascii="Verdana" w:eastAsia="Times New Roman" w:hAnsi="Verdana" w:cs="Arial"/>
                <w:bCs/>
                <w:iCs/>
                <w:color w:val="365F91"/>
                <w:sz w:val="18"/>
                <w:szCs w:val="18"/>
              </w:rPr>
            </w:pPr>
            <w:r w:rsidRPr="00096715">
              <w:rPr>
                <w:rFonts w:ascii="Verdana" w:eastAsia="Times New Roman" w:hAnsi="Verdana" w:cs="Arial"/>
                <w:color w:val="365F91"/>
                <w:sz w:val="18"/>
                <w:szCs w:val="18"/>
                <w:lang w:val="el-GR"/>
              </w:rPr>
              <w:t>Clothing</w:t>
            </w:r>
          </w:p>
        </w:tc>
        <w:tc>
          <w:tcPr>
            <w:tcW w:w="3179" w:type="dxa"/>
            <w:tcBorders>
              <w:top w:val="nil"/>
              <w:bottom w:val="nil"/>
            </w:tcBorders>
            <w:shd w:val="clear" w:color="FFFFFF" w:fill="FFFFFF"/>
            <w:noWrap/>
            <w:vAlign w:val="center"/>
          </w:tcPr>
          <w:p w14:paraId="11460000" w14:textId="67606D92"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-0,08</w:t>
            </w:r>
          </w:p>
        </w:tc>
      </w:tr>
      <w:tr w:rsidR="00AD5567"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AD5567" w:rsidRPr="00096715" w:rsidRDefault="00AD5567" w:rsidP="00AD5567">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4FE0EA84" w:rsidR="00AD5567" w:rsidRPr="00A52F2A" w:rsidRDefault="00AD5567" w:rsidP="00AD5567">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rPr>
              <w:t>0</w:t>
            </w:r>
            <w:r w:rsidRPr="00EA4C7B">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67</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15BBD45B" w:rsidR="005303B8" w:rsidRPr="00096715" w:rsidRDefault="00AD5567"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r w:rsidR="009E6D86"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Sep</w:t>
            </w:r>
            <w:r w:rsidR="009E6D86">
              <w:rPr>
                <w:rFonts w:ascii="Verdana" w:eastAsia="Times New Roman" w:hAnsi="Verdana" w:cs="Arial"/>
                <w:b/>
                <w:bCs/>
                <w:color w:val="365F91"/>
                <w:sz w:val="18"/>
                <w:szCs w:val="18"/>
              </w:rPr>
              <w:t xml:space="preserve"> </w:t>
            </w:r>
            <w:r w:rsidR="009E6D86" w:rsidRPr="00096715">
              <w:rPr>
                <w:rFonts w:ascii="Verdana" w:eastAsia="Times New Roman" w:hAnsi="Verdana" w:cs="Arial"/>
                <w:b/>
                <w:bCs/>
                <w:color w:val="365F91"/>
                <w:sz w:val="18"/>
                <w:szCs w:val="18"/>
              </w:rPr>
              <w:t>2</w:t>
            </w:r>
            <w:r w:rsidR="009E6D86">
              <w:rPr>
                <w:rFonts w:ascii="Verdana" w:eastAsia="Times New Roman" w:hAnsi="Verdana" w:cs="Arial"/>
                <w:b/>
                <w:bCs/>
                <w:color w:val="365F91"/>
                <w:sz w:val="18"/>
                <w:szCs w:val="18"/>
              </w:rPr>
              <w:t>4</w:t>
            </w:r>
          </w:p>
        </w:tc>
      </w:tr>
      <w:tr w:rsidR="00AD5567"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8E26C54" w:rsidR="00AD5567" w:rsidRPr="00096715" w:rsidRDefault="00AD5567" w:rsidP="00AD5567">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56E6AEFD" w14:textId="34786333" w:rsidR="00AD5567" w:rsidRPr="00096715" w:rsidRDefault="00AD5567" w:rsidP="00AD5567">
            <w:pPr>
              <w:ind w:right="1296" w:firstLineChars="200" w:firstLine="360"/>
              <w:jc w:val="right"/>
              <w:rPr>
                <w:rFonts w:ascii="Verdana" w:eastAsia="Times New Roman" w:hAnsi="Verdana" w:cs="Arial"/>
                <w:bCs/>
                <w:color w:val="365F91"/>
                <w:sz w:val="18"/>
                <w:szCs w:val="18"/>
                <w:lang w:val="el-GR"/>
              </w:rPr>
            </w:pPr>
          </w:p>
        </w:tc>
      </w:tr>
      <w:tr w:rsidR="00AD5567"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442D3966" w:rsidR="00AD5567" w:rsidRPr="00420898" w:rsidRDefault="00AD5567" w:rsidP="00AD5567">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color w:val="365F91"/>
                <w:sz w:val="18"/>
                <w:szCs w:val="18"/>
                <w:lang w:val="el-GR"/>
              </w:rPr>
              <w:t>Clothing</w:t>
            </w:r>
          </w:p>
        </w:tc>
        <w:tc>
          <w:tcPr>
            <w:tcW w:w="3179" w:type="dxa"/>
            <w:tcBorders>
              <w:top w:val="nil"/>
              <w:bottom w:val="nil"/>
            </w:tcBorders>
            <w:shd w:val="clear" w:color="FFFFFF" w:fill="FFFFFF"/>
            <w:noWrap/>
            <w:vAlign w:val="center"/>
          </w:tcPr>
          <w:p w14:paraId="2EC3682D" w14:textId="38A6D35E" w:rsidR="00AD5567" w:rsidRPr="00777AEB"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0,14</w:t>
            </w:r>
          </w:p>
        </w:tc>
      </w:tr>
      <w:tr w:rsidR="00AD5567" w:rsidRPr="00096715" w14:paraId="52C5AE72" w14:textId="77777777" w:rsidTr="009C7166">
        <w:trPr>
          <w:trHeight w:val="300"/>
          <w:jc w:val="center"/>
        </w:trPr>
        <w:tc>
          <w:tcPr>
            <w:tcW w:w="6300" w:type="dxa"/>
            <w:tcBorders>
              <w:top w:val="nil"/>
              <w:bottom w:val="nil"/>
            </w:tcBorders>
            <w:shd w:val="clear" w:color="FFFFFF" w:fill="FFFFFF"/>
            <w:vAlign w:val="center"/>
          </w:tcPr>
          <w:p w14:paraId="093F53CB" w14:textId="7F824E18" w:rsidR="00AD5567" w:rsidRDefault="00AD5567" w:rsidP="00AD5567">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Meat</w:t>
            </w:r>
          </w:p>
        </w:tc>
        <w:tc>
          <w:tcPr>
            <w:tcW w:w="3179" w:type="dxa"/>
            <w:tcBorders>
              <w:top w:val="nil"/>
              <w:bottom w:val="nil"/>
            </w:tcBorders>
            <w:shd w:val="clear" w:color="FFFFFF" w:fill="FFFFFF"/>
            <w:noWrap/>
            <w:vAlign w:val="center"/>
          </w:tcPr>
          <w:p w14:paraId="5D7E5668" w14:textId="02D11543"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0,12</w:t>
            </w:r>
          </w:p>
        </w:tc>
      </w:tr>
      <w:tr w:rsidR="00AD5567" w:rsidRPr="00096715" w14:paraId="253282B8" w14:textId="77777777" w:rsidTr="009C7166">
        <w:trPr>
          <w:trHeight w:val="300"/>
          <w:jc w:val="center"/>
        </w:trPr>
        <w:tc>
          <w:tcPr>
            <w:tcW w:w="6300" w:type="dxa"/>
            <w:tcBorders>
              <w:top w:val="nil"/>
              <w:bottom w:val="nil"/>
            </w:tcBorders>
            <w:shd w:val="clear" w:color="FFFFFF" w:fill="FFFFFF"/>
            <w:vAlign w:val="center"/>
          </w:tcPr>
          <w:p w14:paraId="3FB4ECE5" w14:textId="6567BD00" w:rsidR="00AD5567" w:rsidRPr="00457453" w:rsidRDefault="00AD5567" w:rsidP="00AD5567">
            <w:pPr>
              <w:tabs>
                <w:tab w:val="left" w:pos="240"/>
              </w:tabs>
              <w:ind w:left="231"/>
              <w:rPr>
                <w:rFonts w:ascii="Verdana" w:eastAsia="Times New Roman" w:hAnsi="Verdana" w:cs="Arial"/>
                <w:bCs/>
                <w:iCs/>
                <w:color w:val="365F91"/>
                <w:sz w:val="18"/>
                <w:szCs w:val="18"/>
              </w:rPr>
            </w:pPr>
            <w:r w:rsidRPr="00ED57EB">
              <w:rPr>
                <w:rFonts w:ascii="Verdana" w:eastAsia="Times New Roman" w:hAnsi="Verdana" w:cs="Arial"/>
                <w:bCs/>
                <w:iCs/>
                <w:color w:val="365F91"/>
                <w:sz w:val="18"/>
                <w:szCs w:val="18"/>
              </w:rPr>
              <w:t>Footwear</w:t>
            </w:r>
          </w:p>
        </w:tc>
        <w:tc>
          <w:tcPr>
            <w:tcW w:w="3179" w:type="dxa"/>
            <w:tcBorders>
              <w:top w:val="nil"/>
              <w:bottom w:val="nil"/>
            </w:tcBorders>
            <w:shd w:val="clear" w:color="FFFFFF" w:fill="FFFFFF"/>
            <w:noWrap/>
            <w:vAlign w:val="center"/>
          </w:tcPr>
          <w:p w14:paraId="1AF0DBF2" w14:textId="1004CB28"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0,08</w:t>
            </w:r>
          </w:p>
        </w:tc>
      </w:tr>
      <w:tr w:rsidR="00AD5567" w:rsidRPr="00ED57EB" w14:paraId="5BF8A19E" w14:textId="77777777" w:rsidTr="009C7166">
        <w:trPr>
          <w:trHeight w:val="300"/>
          <w:jc w:val="center"/>
        </w:trPr>
        <w:tc>
          <w:tcPr>
            <w:tcW w:w="6300" w:type="dxa"/>
            <w:tcBorders>
              <w:top w:val="nil"/>
              <w:bottom w:val="nil"/>
            </w:tcBorders>
            <w:shd w:val="clear" w:color="FFFFFF" w:fill="FFFFFF"/>
            <w:vAlign w:val="center"/>
          </w:tcPr>
          <w:p w14:paraId="1DCDA257" w14:textId="55204D0F" w:rsidR="00AD5567" w:rsidRPr="00ED57EB" w:rsidRDefault="00AD5567" w:rsidP="00AD5567">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4D9A0BE" w14:textId="22F26C4A" w:rsidR="00AD5567" w:rsidRPr="00ED57EB" w:rsidRDefault="00AD5567" w:rsidP="00AD5567">
            <w:pPr>
              <w:ind w:right="1296" w:firstLineChars="200" w:firstLine="360"/>
              <w:jc w:val="right"/>
              <w:rPr>
                <w:rFonts w:ascii="Verdana" w:eastAsia="Times New Roman" w:hAnsi="Verdana" w:cs="Arial"/>
                <w:bCs/>
                <w:iCs/>
                <w:color w:val="365F91"/>
                <w:sz w:val="18"/>
                <w:szCs w:val="18"/>
              </w:rPr>
            </w:pPr>
          </w:p>
        </w:tc>
      </w:tr>
      <w:tr w:rsidR="00AD5567" w:rsidRPr="00096715" w14:paraId="3C350A7C" w14:textId="77777777" w:rsidTr="009C7166">
        <w:trPr>
          <w:trHeight w:val="300"/>
          <w:jc w:val="center"/>
        </w:trPr>
        <w:tc>
          <w:tcPr>
            <w:tcW w:w="6300" w:type="dxa"/>
            <w:tcBorders>
              <w:top w:val="nil"/>
              <w:bottom w:val="nil"/>
            </w:tcBorders>
            <w:shd w:val="clear" w:color="FFFFFF" w:fill="FFFFFF"/>
            <w:vAlign w:val="center"/>
          </w:tcPr>
          <w:p w14:paraId="6C5D0955" w14:textId="5E218CD4" w:rsidR="00AD5567" w:rsidRPr="00096715" w:rsidRDefault="00AD5567" w:rsidP="00AD5567">
            <w:pPr>
              <w:tabs>
                <w:tab w:val="left" w:pos="240"/>
              </w:tabs>
              <w:ind w:left="231"/>
              <w:rPr>
                <w:rFonts w:ascii="Verdana" w:eastAsia="Times New Roman" w:hAnsi="Verdana" w:cs="Arial"/>
                <w:b/>
                <w:bCs/>
                <w:i/>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483BE10A" w14:textId="7AC7B254"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-0,26</w:t>
            </w:r>
          </w:p>
        </w:tc>
      </w:tr>
      <w:tr w:rsidR="00AD5567" w:rsidRPr="00096715" w14:paraId="75B185CF" w14:textId="77777777" w:rsidTr="007B07F3">
        <w:trPr>
          <w:trHeight w:val="300"/>
          <w:jc w:val="center"/>
        </w:trPr>
        <w:tc>
          <w:tcPr>
            <w:tcW w:w="6300" w:type="dxa"/>
            <w:tcBorders>
              <w:top w:val="nil"/>
              <w:bottom w:val="nil"/>
            </w:tcBorders>
            <w:shd w:val="clear" w:color="FFFFFF" w:fill="FFFFFF"/>
            <w:vAlign w:val="center"/>
          </w:tcPr>
          <w:p w14:paraId="3A16A899" w14:textId="7B84E44B" w:rsidR="00AD5567" w:rsidRPr="00096715" w:rsidRDefault="00AD5567" w:rsidP="00AD5567">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fruits</w:t>
            </w:r>
          </w:p>
        </w:tc>
        <w:tc>
          <w:tcPr>
            <w:tcW w:w="3179" w:type="dxa"/>
            <w:tcBorders>
              <w:top w:val="nil"/>
              <w:bottom w:val="nil"/>
            </w:tcBorders>
            <w:shd w:val="clear" w:color="FFFFFF" w:fill="FFFFFF"/>
            <w:noWrap/>
            <w:vAlign w:val="center"/>
          </w:tcPr>
          <w:p w14:paraId="124ED797" w14:textId="63655F28"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-0,16</w:t>
            </w:r>
          </w:p>
        </w:tc>
      </w:tr>
      <w:tr w:rsidR="00AD5567" w:rsidRPr="00096715" w14:paraId="1C337000" w14:textId="77777777" w:rsidTr="009C7166">
        <w:trPr>
          <w:trHeight w:val="300"/>
          <w:jc w:val="center"/>
        </w:trPr>
        <w:tc>
          <w:tcPr>
            <w:tcW w:w="6300" w:type="dxa"/>
            <w:tcBorders>
              <w:top w:val="nil"/>
              <w:bottom w:val="nil"/>
            </w:tcBorders>
            <w:shd w:val="clear" w:color="FFFFFF" w:fill="FFFFFF"/>
            <w:vAlign w:val="center"/>
          </w:tcPr>
          <w:p w14:paraId="5BC2E48F" w14:textId="0A223E77" w:rsidR="00AD5567" w:rsidRPr="00096715" w:rsidRDefault="00AD5567" w:rsidP="00AD5567">
            <w:pPr>
              <w:tabs>
                <w:tab w:val="left" w:pos="240"/>
              </w:tabs>
              <w:ind w:left="231"/>
              <w:rPr>
                <w:rFonts w:ascii="Verdana" w:eastAsia="Times New Roman" w:hAnsi="Verdana" w:cs="Arial"/>
                <w:bCs/>
                <w:iCs/>
                <w:color w:val="365F91"/>
                <w:sz w:val="18"/>
                <w:szCs w:val="18"/>
              </w:rPr>
            </w:pPr>
            <w:r w:rsidRPr="0083655E">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5EC73B1B" w14:textId="0386D19B" w:rsidR="00AD5567" w:rsidRDefault="00AD5567" w:rsidP="00AD5567">
            <w:pPr>
              <w:ind w:right="1296" w:firstLineChars="200" w:firstLine="360"/>
              <w:jc w:val="right"/>
              <w:rPr>
                <w:rFonts w:ascii="Verdana" w:eastAsia="Times New Roman" w:hAnsi="Verdana" w:cs="Arial"/>
                <w:bCs/>
                <w:color w:val="365F91"/>
                <w:sz w:val="18"/>
                <w:szCs w:val="18"/>
                <w:lang w:val="el-GR"/>
              </w:rPr>
            </w:pPr>
            <w:r>
              <w:rPr>
                <w:rFonts w:ascii="Verdana" w:hAnsi="Verdana" w:cs="Arial"/>
                <w:color w:val="365F91"/>
                <w:sz w:val="18"/>
                <w:szCs w:val="18"/>
              </w:rPr>
              <w:t>-0,14</w:t>
            </w:r>
          </w:p>
        </w:tc>
      </w:tr>
      <w:tr w:rsidR="00AD5567"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AD5567" w:rsidRPr="00096715" w:rsidRDefault="00AD5567" w:rsidP="00AD5567">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0753D0CB" w:rsidR="00AD5567" w:rsidRPr="00194C19" w:rsidRDefault="00AD5567" w:rsidP="00AD5567">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0,16</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0E4E2D3D" w:rsidR="009F6C78" w:rsidRPr="00CB646F" w:rsidRDefault="009F6C78" w:rsidP="009F6C78">
      <w:pPr>
        <w:tabs>
          <w:tab w:val="left" w:pos="360"/>
          <w:tab w:val="left" w:pos="6840"/>
        </w:tabs>
        <w:ind w:right="-79"/>
        <w:jc w:val="both"/>
        <w:rPr>
          <w:rFonts w:ascii="Verdana" w:eastAsia="Malgun Gothic" w:hAnsi="Verdana" w:cs="Arial"/>
          <w:sz w:val="18"/>
          <w:szCs w:val="18"/>
          <w:lang w:val="pt-PT"/>
        </w:rPr>
      </w:pPr>
      <w:r w:rsidRPr="00CB646F">
        <w:rPr>
          <w:rFonts w:ascii="Verdana" w:eastAsia="Malgun Gothic" w:hAnsi="Verdana" w:cs="Arial"/>
          <w:sz w:val="18"/>
          <w:szCs w:val="18"/>
          <w:lang w:val="pt-PT"/>
        </w:rPr>
        <w:t xml:space="preserve">Sofronis Vikis: Tel:+35722602206, Email: </w:t>
      </w:r>
      <w:hyperlink r:id="rId13" w:history="1">
        <w:r w:rsidRPr="00CB646F">
          <w:rPr>
            <w:rStyle w:val="Hyperlink"/>
            <w:rFonts w:ascii="Verdana" w:eastAsia="Malgun Gothic" w:hAnsi="Verdana" w:cs="Arial"/>
            <w:sz w:val="18"/>
            <w:szCs w:val="18"/>
            <w:lang w:val="pt-PT"/>
          </w:rPr>
          <w:t>svikis@cystat.mof.gov.cy</w:t>
        </w:r>
      </w:hyperlink>
    </w:p>
    <w:p w14:paraId="1959090C" w14:textId="1E2D7DB6"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6949623F"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53B37447" w14:textId="77777777" w:rsidR="00972CA0" w:rsidRPr="009F6C78" w:rsidRDefault="00972CA0" w:rsidP="00072754">
      <w:pPr>
        <w:jc w:val="both"/>
        <w:rPr>
          <w:rFonts w:ascii="Verdana" w:eastAsia="Malgun Gothic" w:hAnsi="Verdana" w:cs="Arial"/>
          <w:sz w:val="18"/>
          <w:szCs w:val="18"/>
        </w:rPr>
      </w:pPr>
    </w:p>
    <w:p w14:paraId="2680B9B0"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E261" w14:textId="77777777" w:rsidR="00892C15" w:rsidRDefault="00892C15" w:rsidP="00FB398F">
      <w:r>
        <w:separator/>
      </w:r>
    </w:p>
  </w:endnote>
  <w:endnote w:type="continuationSeparator" w:id="0">
    <w:p w14:paraId="471DF270" w14:textId="77777777" w:rsidR="00892C15" w:rsidRDefault="00892C1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66556" w14:textId="77777777" w:rsidR="00892C15" w:rsidRDefault="00892C15" w:rsidP="00FB398F">
      <w:r>
        <w:separator/>
      </w:r>
    </w:p>
  </w:footnote>
  <w:footnote w:type="continuationSeparator" w:id="0">
    <w:p w14:paraId="3C3D0959" w14:textId="77777777" w:rsidR="00892C15" w:rsidRDefault="00892C1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15371929">
    <w:abstractNumId w:val="5"/>
  </w:num>
  <w:num w:numId="2" w16cid:durableId="258686276">
    <w:abstractNumId w:val="1"/>
  </w:num>
  <w:num w:numId="3" w16cid:durableId="1498693489">
    <w:abstractNumId w:val="2"/>
  </w:num>
  <w:num w:numId="4" w16cid:durableId="597253120">
    <w:abstractNumId w:val="3"/>
  </w:num>
  <w:num w:numId="5" w16cid:durableId="78724382">
    <w:abstractNumId w:val="0"/>
  </w:num>
  <w:num w:numId="6" w16cid:durableId="128204707">
    <w:abstractNumId w:val="6"/>
  </w:num>
  <w:num w:numId="7" w16cid:durableId="1719664907">
    <w:abstractNumId w:val="7"/>
  </w:num>
  <w:num w:numId="8" w16cid:durableId="369494568">
    <w:abstractNumId w:val="4"/>
  </w:num>
  <w:num w:numId="9" w16cid:durableId="211578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306B"/>
    <w:rsid w:val="00045088"/>
    <w:rsid w:val="00045A06"/>
    <w:rsid w:val="00050391"/>
    <w:rsid w:val="00055291"/>
    <w:rsid w:val="000563D3"/>
    <w:rsid w:val="00057E44"/>
    <w:rsid w:val="00061299"/>
    <w:rsid w:val="000661E1"/>
    <w:rsid w:val="00070576"/>
    <w:rsid w:val="00072754"/>
    <w:rsid w:val="00073DE0"/>
    <w:rsid w:val="000752BB"/>
    <w:rsid w:val="0007657E"/>
    <w:rsid w:val="00077E4D"/>
    <w:rsid w:val="00081ADF"/>
    <w:rsid w:val="000824C7"/>
    <w:rsid w:val="00084A02"/>
    <w:rsid w:val="00084BF7"/>
    <w:rsid w:val="00085AA0"/>
    <w:rsid w:val="000870E9"/>
    <w:rsid w:val="00092329"/>
    <w:rsid w:val="000932CF"/>
    <w:rsid w:val="000958A7"/>
    <w:rsid w:val="00096715"/>
    <w:rsid w:val="00096ED8"/>
    <w:rsid w:val="000A1A88"/>
    <w:rsid w:val="000A2B5C"/>
    <w:rsid w:val="000A3601"/>
    <w:rsid w:val="000A4C86"/>
    <w:rsid w:val="000A6C31"/>
    <w:rsid w:val="000A6FA8"/>
    <w:rsid w:val="000B6B1D"/>
    <w:rsid w:val="000B6F3B"/>
    <w:rsid w:val="000C09A2"/>
    <w:rsid w:val="000C4E72"/>
    <w:rsid w:val="000C593F"/>
    <w:rsid w:val="000D1E7A"/>
    <w:rsid w:val="000D72CF"/>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22143"/>
    <w:rsid w:val="001253B6"/>
    <w:rsid w:val="00127320"/>
    <w:rsid w:val="00127456"/>
    <w:rsid w:val="001312D8"/>
    <w:rsid w:val="0013137B"/>
    <w:rsid w:val="001418B7"/>
    <w:rsid w:val="00142597"/>
    <w:rsid w:val="00146F46"/>
    <w:rsid w:val="0015118B"/>
    <w:rsid w:val="001519CE"/>
    <w:rsid w:val="00161CF3"/>
    <w:rsid w:val="00162779"/>
    <w:rsid w:val="00162C00"/>
    <w:rsid w:val="001634DB"/>
    <w:rsid w:val="001639EF"/>
    <w:rsid w:val="0016589F"/>
    <w:rsid w:val="00166FC4"/>
    <w:rsid w:val="00176558"/>
    <w:rsid w:val="00176C58"/>
    <w:rsid w:val="0017756A"/>
    <w:rsid w:val="0017769A"/>
    <w:rsid w:val="00181121"/>
    <w:rsid w:val="00183DFC"/>
    <w:rsid w:val="00184384"/>
    <w:rsid w:val="00186717"/>
    <w:rsid w:val="00187FFC"/>
    <w:rsid w:val="00194C19"/>
    <w:rsid w:val="00194FB1"/>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1F2B87"/>
    <w:rsid w:val="0020309E"/>
    <w:rsid w:val="00205BA0"/>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1B90"/>
    <w:rsid w:val="0028338F"/>
    <w:rsid w:val="00285C24"/>
    <w:rsid w:val="002915C4"/>
    <w:rsid w:val="0029256E"/>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477"/>
    <w:rsid w:val="00352F6C"/>
    <w:rsid w:val="003556EA"/>
    <w:rsid w:val="00364377"/>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548A"/>
    <w:rsid w:val="00406718"/>
    <w:rsid w:val="004103AB"/>
    <w:rsid w:val="00410C2F"/>
    <w:rsid w:val="00411B7E"/>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3D5"/>
    <w:rsid w:val="004F03FD"/>
    <w:rsid w:val="004F4DC9"/>
    <w:rsid w:val="004F52F0"/>
    <w:rsid w:val="004F6250"/>
    <w:rsid w:val="004F677C"/>
    <w:rsid w:val="004F6D8F"/>
    <w:rsid w:val="004F76E8"/>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0EED"/>
    <w:rsid w:val="00541E08"/>
    <w:rsid w:val="005446A4"/>
    <w:rsid w:val="00544A5F"/>
    <w:rsid w:val="005474E1"/>
    <w:rsid w:val="00547A14"/>
    <w:rsid w:val="00550273"/>
    <w:rsid w:val="0055789A"/>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B2A67"/>
    <w:rsid w:val="005B3DCD"/>
    <w:rsid w:val="005B4AD4"/>
    <w:rsid w:val="005B5CC7"/>
    <w:rsid w:val="005C275B"/>
    <w:rsid w:val="005C2798"/>
    <w:rsid w:val="005C36C3"/>
    <w:rsid w:val="005C56EE"/>
    <w:rsid w:val="005C5D4B"/>
    <w:rsid w:val="005C7E42"/>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6C70"/>
    <w:rsid w:val="00617C5C"/>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1BE"/>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2548A"/>
    <w:rsid w:val="007277A6"/>
    <w:rsid w:val="007403E4"/>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3241"/>
    <w:rsid w:val="007838EC"/>
    <w:rsid w:val="00784BDC"/>
    <w:rsid w:val="007877CF"/>
    <w:rsid w:val="00792F28"/>
    <w:rsid w:val="0079543F"/>
    <w:rsid w:val="00795880"/>
    <w:rsid w:val="007A4367"/>
    <w:rsid w:val="007A4D10"/>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4157B"/>
    <w:rsid w:val="00842BFB"/>
    <w:rsid w:val="0084416D"/>
    <w:rsid w:val="00846B85"/>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15"/>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E98"/>
    <w:rsid w:val="00962235"/>
    <w:rsid w:val="00963A82"/>
    <w:rsid w:val="00963BAF"/>
    <w:rsid w:val="00972912"/>
    <w:rsid w:val="00972CA0"/>
    <w:rsid w:val="00976D1F"/>
    <w:rsid w:val="0098175F"/>
    <w:rsid w:val="00981C81"/>
    <w:rsid w:val="00992209"/>
    <w:rsid w:val="009A2D24"/>
    <w:rsid w:val="009A456C"/>
    <w:rsid w:val="009A4B24"/>
    <w:rsid w:val="009B00E0"/>
    <w:rsid w:val="009B292A"/>
    <w:rsid w:val="009B3023"/>
    <w:rsid w:val="009B39F1"/>
    <w:rsid w:val="009B44EC"/>
    <w:rsid w:val="009B6191"/>
    <w:rsid w:val="009B76D5"/>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3395"/>
    <w:rsid w:val="00A74BB3"/>
    <w:rsid w:val="00A82B4C"/>
    <w:rsid w:val="00A93A4C"/>
    <w:rsid w:val="00A94D5D"/>
    <w:rsid w:val="00AA1D9B"/>
    <w:rsid w:val="00AA2543"/>
    <w:rsid w:val="00AA2BEF"/>
    <w:rsid w:val="00AA3804"/>
    <w:rsid w:val="00AA4A05"/>
    <w:rsid w:val="00AA55C2"/>
    <w:rsid w:val="00AB0ACA"/>
    <w:rsid w:val="00AB0E5C"/>
    <w:rsid w:val="00AB1105"/>
    <w:rsid w:val="00AB1D41"/>
    <w:rsid w:val="00AC0EBE"/>
    <w:rsid w:val="00AC5E9A"/>
    <w:rsid w:val="00AC704B"/>
    <w:rsid w:val="00AD3280"/>
    <w:rsid w:val="00AD553E"/>
    <w:rsid w:val="00AD5567"/>
    <w:rsid w:val="00AD5848"/>
    <w:rsid w:val="00AE5ADA"/>
    <w:rsid w:val="00AF1885"/>
    <w:rsid w:val="00AF6145"/>
    <w:rsid w:val="00B00AB4"/>
    <w:rsid w:val="00B01386"/>
    <w:rsid w:val="00B01BB5"/>
    <w:rsid w:val="00B04AF4"/>
    <w:rsid w:val="00B05214"/>
    <w:rsid w:val="00B0736F"/>
    <w:rsid w:val="00B12479"/>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31BD"/>
    <w:rsid w:val="00C35E28"/>
    <w:rsid w:val="00C36648"/>
    <w:rsid w:val="00C426AF"/>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B646F"/>
    <w:rsid w:val="00CB6BC1"/>
    <w:rsid w:val="00CB7021"/>
    <w:rsid w:val="00CC2E0B"/>
    <w:rsid w:val="00CC6286"/>
    <w:rsid w:val="00CC6A75"/>
    <w:rsid w:val="00CD3294"/>
    <w:rsid w:val="00CD3DF3"/>
    <w:rsid w:val="00CD4524"/>
    <w:rsid w:val="00CD6F64"/>
    <w:rsid w:val="00CD7281"/>
    <w:rsid w:val="00CD784D"/>
    <w:rsid w:val="00CF036F"/>
    <w:rsid w:val="00CF40F8"/>
    <w:rsid w:val="00CF5C48"/>
    <w:rsid w:val="00D008DA"/>
    <w:rsid w:val="00D037A2"/>
    <w:rsid w:val="00D0416F"/>
    <w:rsid w:val="00D054DF"/>
    <w:rsid w:val="00D05851"/>
    <w:rsid w:val="00D06D54"/>
    <w:rsid w:val="00D10FED"/>
    <w:rsid w:val="00D11736"/>
    <w:rsid w:val="00D12EE8"/>
    <w:rsid w:val="00D15E1A"/>
    <w:rsid w:val="00D15FF1"/>
    <w:rsid w:val="00D167F4"/>
    <w:rsid w:val="00D2092A"/>
    <w:rsid w:val="00D21C17"/>
    <w:rsid w:val="00D2216D"/>
    <w:rsid w:val="00D23983"/>
    <w:rsid w:val="00D26A13"/>
    <w:rsid w:val="00D26A3C"/>
    <w:rsid w:val="00D26D1B"/>
    <w:rsid w:val="00D31A6F"/>
    <w:rsid w:val="00D33293"/>
    <w:rsid w:val="00D353D1"/>
    <w:rsid w:val="00D367DB"/>
    <w:rsid w:val="00D36E05"/>
    <w:rsid w:val="00D44F27"/>
    <w:rsid w:val="00D45304"/>
    <w:rsid w:val="00D461C7"/>
    <w:rsid w:val="00D50424"/>
    <w:rsid w:val="00D57D3E"/>
    <w:rsid w:val="00D64942"/>
    <w:rsid w:val="00D70E32"/>
    <w:rsid w:val="00D72AF4"/>
    <w:rsid w:val="00D80379"/>
    <w:rsid w:val="00D80C51"/>
    <w:rsid w:val="00D82434"/>
    <w:rsid w:val="00D843F4"/>
    <w:rsid w:val="00D87881"/>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61EC"/>
    <w:rsid w:val="00DC6562"/>
    <w:rsid w:val="00DD08DD"/>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37E6"/>
    <w:rsid w:val="00E372AF"/>
    <w:rsid w:val="00E37D68"/>
    <w:rsid w:val="00E40EAE"/>
    <w:rsid w:val="00E436AC"/>
    <w:rsid w:val="00E44C52"/>
    <w:rsid w:val="00E44FF8"/>
    <w:rsid w:val="00E5066A"/>
    <w:rsid w:val="00E52CF9"/>
    <w:rsid w:val="00E55A70"/>
    <w:rsid w:val="00E56E93"/>
    <w:rsid w:val="00E577A1"/>
    <w:rsid w:val="00E60052"/>
    <w:rsid w:val="00E63F34"/>
    <w:rsid w:val="00E6715A"/>
    <w:rsid w:val="00E742AE"/>
    <w:rsid w:val="00E75DC9"/>
    <w:rsid w:val="00E805DB"/>
    <w:rsid w:val="00E81610"/>
    <w:rsid w:val="00E83E7E"/>
    <w:rsid w:val="00E84910"/>
    <w:rsid w:val="00E85B28"/>
    <w:rsid w:val="00E86754"/>
    <w:rsid w:val="00E91976"/>
    <w:rsid w:val="00E9240A"/>
    <w:rsid w:val="00E947A6"/>
    <w:rsid w:val="00E97FC7"/>
    <w:rsid w:val="00EA0690"/>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FC9"/>
    <w:rsid w:val="00ED57EB"/>
    <w:rsid w:val="00ED721A"/>
    <w:rsid w:val="00ED78A2"/>
    <w:rsid w:val="00EE393D"/>
    <w:rsid w:val="00EF01CF"/>
    <w:rsid w:val="00EF6A66"/>
    <w:rsid w:val="00EF7AF9"/>
    <w:rsid w:val="00F01495"/>
    <w:rsid w:val="00F01EE6"/>
    <w:rsid w:val="00F10138"/>
    <w:rsid w:val="00F13F92"/>
    <w:rsid w:val="00F22ECA"/>
    <w:rsid w:val="00F23031"/>
    <w:rsid w:val="00F240E8"/>
    <w:rsid w:val="00F244FA"/>
    <w:rsid w:val="00F24891"/>
    <w:rsid w:val="00F26569"/>
    <w:rsid w:val="00F30A30"/>
    <w:rsid w:val="00F3363A"/>
    <w:rsid w:val="00F366A2"/>
    <w:rsid w:val="00F44F43"/>
    <w:rsid w:val="00F450E1"/>
    <w:rsid w:val="00F50DF4"/>
    <w:rsid w:val="00F563AB"/>
    <w:rsid w:val="00F57AFE"/>
    <w:rsid w:val="00F57E45"/>
    <w:rsid w:val="00F601E0"/>
    <w:rsid w:val="00F6278E"/>
    <w:rsid w:val="00F63C41"/>
    <w:rsid w:val="00F63E96"/>
    <w:rsid w:val="00F701E3"/>
    <w:rsid w:val="00F71F8C"/>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0E8"/>
    <w:rsid w:val="00FD5BDE"/>
    <w:rsid w:val="00FD6108"/>
    <w:rsid w:val="00FD68EC"/>
    <w:rsid w:val="00FE0476"/>
    <w:rsid w:val="00FE24A5"/>
    <w:rsid w:val="00FE31E5"/>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latin typeface="Verdana" pitchFamily="34" charset="0"/>
                <a:ea typeface="Verdana" pitchFamily="34" charset="0"/>
                <a:cs typeface="Verdana" pitchFamily="34" charset="0"/>
              </a:rPr>
              <a:t>Evolution of Inflation</a:t>
            </a:r>
            <a:endParaRPr lang="el-GR" sz="1100">
              <a:latin typeface="Verdana" pitchFamily="34" charset="0"/>
              <a:ea typeface="Verdana" pitchFamily="34" charset="0"/>
              <a:cs typeface="Verdana" pitchFamily="34" charset="0"/>
            </a:endParaRPr>
          </a:p>
        </c:rich>
      </c:tx>
      <c:layout>
        <c:manualLayout>
          <c:xMode val="edge"/>
          <c:yMode val="edge"/>
          <c:x val="0.34414183182518099"/>
          <c:y val="2.823529411764706E-2"/>
        </c:manualLayout>
      </c:layout>
      <c:overlay val="0"/>
    </c:title>
    <c:autoTitleDeleted val="0"/>
    <c:plotArea>
      <c:layout>
        <c:manualLayout>
          <c:layoutTarget val="inner"/>
          <c:xMode val="edge"/>
          <c:yMode val="edge"/>
          <c:x val="9.1715126704223243E-2"/>
          <c:y val="0.13327564114039991"/>
          <c:w val="0.88916275509617448"/>
          <c:h val="0.64515942566002782"/>
        </c:manualLayout>
      </c:layout>
      <c:lineChart>
        <c:grouping val="standard"/>
        <c:varyColors val="0"/>
        <c:ser>
          <c:idx val="0"/>
          <c:order val="0"/>
          <c:tx>
            <c:strRef>
              <c:f>Chart_EN!$H$4</c:f>
              <c:strCache>
                <c:ptCount val="1"/>
                <c:pt idx="0">
                  <c:v> Inflation</c:v>
                </c:pt>
              </c:strCache>
            </c:strRef>
          </c:tx>
          <c:marker>
            <c:symbol val="none"/>
          </c:marker>
          <c:cat>
            <c:multiLvlStrRef>
              <c:f>Chart_EN!$F$114:$G$138</c:f>
              <c:multiLvlStrCache>
                <c:ptCount val="25"/>
                <c:lvl>
                  <c:pt idx="0">
                    <c:v>OCT</c:v>
                  </c:pt>
                  <c:pt idx="1">
                    <c:v>NOV</c:v>
                  </c:pt>
                  <c:pt idx="2">
                    <c:v>DEC</c:v>
                  </c:pt>
                  <c:pt idx="3">
                    <c:v>JAN</c:v>
                  </c:pt>
                  <c:pt idx="4">
                    <c:v>FEB</c:v>
                  </c:pt>
                  <c:pt idx="5">
                    <c:v>MAR</c:v>
                  </c:pt>
                  <c:pt idx="6">
                    <c:v>APR</c:v>
                  </c:pt>
                  <c:pt idx="7">
                    <c:v>MAY</c:v>
                  </c:pt>
                  <c:pt idx="8">
                    <c:v>JUNE</c:v>
                  </c:pt>
                  <c:pt idx="9">
                    <c:v>JULY</c:v>
                  </c:pt>
                  <c:pt idx="10">
                    <c:v>AUG</c:v>
                  </c:pt>
                  <c:pt idx="11">
                    <c:v>SEP</c:v>
                  </c:pt>
                  <c:pt idx="12">
                    <c:v>OCT</c:v>
                  </c:pt>
                  <c:pt idx="13">
                    <c:v>NOV</c:v>
                  </c:pt>
                  <c:pt idx="14">
                    <c:v>DEC</c:v>
                  </c:pt>
                  <c:pt idx="15">
                    <c:v>JAN</c:v>
                  </c:pt>
                  <c:pt idx="16">
                    <c:v>FEB</c:v>
                  </c:pt>
                  <c:pt idx="17">
                    <c:v>MAR</c:v>
                  </c:pt>
                  <c:pt idx="18">
                    <c:v>APR</c:v>
                  </c:pt>
                  <c:pt idx="19">
                    <c:v>MAY</c:v>
                  </c:pt>
                  <c:pt idx="20">
                    <c:v>JUNE</c:v>
                  </c:pt>
                  <c:pt idx="21">
                    <c:v>JULY</c:v>
                  </c:pt>
                  <c:pt idx="22">
                    <c:v>AUG</c:v>
                  </c:pt>
                  <c:pt idx="23">
                    <c:v>SEP</c:v>
                  </c:pt>
                  <c:pt idx="24">
                    <c:v>OCT</c:v>
                  </c:pt>
                </c:lvl>
                <c:lvl>
                  <c:pt idx="3">
                    <c:v>2023</c:v>
                  </c:pt>
                  <c:pt idx="15">
                    <c:v>2024</c:v>
                  </c:pt>
                </c:lvl>
              </c:multiLvlStrCache>
              <c:extLst/>
            </c:multiLvlStrRef>
          </c:cat>
          <c:val>
            <c:numRef>
              <c:f>Chart_EN!$H$114:$H$138</c:f>
              <c:numCache>
                <c:formatCode>0.0</c:formatCode>
                <c:ptCount val="25"/>
                <c:pt idx="0">
                  <c:v>8.8000000000000007</c:v>
                </c:pt>
                <c:pt idx="1">
                  <c:v>8.6999999999999993</c:v>
                </c:pt>
                <c:pt idx="2">
                  <c:v>7.9</c:v>
                </c:pt>
                <c:pt idx="3">
                  <c:v>7.1</c:v>
                </c:pt>
                <c:pt idx="4">
                  <c:v>6.7</c:v>
                </c:pt>
                <c:pt idx="5">
                  <c:v>5.8</c:v>
                </c:pt>
                <c:pt idx="6">
                  <c:v>3.7</c:v>
                </c:pt>
                <c:pt idx="7">
                  <c:v>3</c:v>
                </c:pt>
                <c:pt idx="8">
                  <c:v>1.9</c:v>
                </c:pt>
                <c:pt idx="9">
                  <c:v>1.5</c:v>
                </c:pt>
                <c:pt idx="10">
                  <c:v>2.6</c:v>
                </c:pt>
                <c:pt idx="11">
                  <c:v>4</c:v>
                </c:pt>
                <c:pt idx="12">
                  <c:v>3.5</c:v>
                </c:pt>
                <c:pt idx="13">
                  <c:v>1.7</c:v>
                </c:pt>
                <c:pt idx="14">
                  <c:v>1.6</c:v>
                </c:pt>
                <c:pt idx="15">
                  <c:v>1.7</c:v>
                </c:pt>
                <c:pt idx="16">
                  <c:v>1.8</c:v>
                </c:pt>
                <c:pt idx="17">
                  <c:v>1.2</c:v>
                </c:pt>
                <c:pt idx="18">
                  <c:v>2.4</c:v>
                </c:pt>
                <c:pt idx="19">
                  <c:v>2.7</c:v>
                </c:pt>
                <c:pt idx="20">
                  <c:v>2.9</c:v>
                </c:pt>
                <c:pt idx="21">
                  <c:v>2.1</c:v>
                </c:pt>
                <c:pt idx="22">
                  <c:v>1.5</c:v>
                </c:pt>
                <c:pt idx="23">
                  <c:v>0.7</c:v>
                </c:pt>
                <c:pt idx="24">
                  <c:v>0.6</c:v>
                </c:pt>
              </c:numCache>
              <c:extLst/>
            </c:numRef>
          </c:val>
          <c:smooth val="0"/>
          <c:extLst>
            <c:ext xmlns:c16="http://schemas.microsoft.com/office/drawing/2014/chart" uri="{C3380CC4-5D6E-409C-BE32-E72D297353CC}">
              <c16:uniqueId val="{00000000-34AC-4DD2-AE07-31F4108F1C74}"/>
            </c:ext>
          </c:extLst>
        </c:ser>
        <c:ser>
          <c:idx val="1"/>
          <c:order val="1"/>
          <c:tx>
            <c:strRef>
              <c:f>Chart_EN!$I$4</c:f>
              <c:strCache>
                <c:ptCount val="1"/>
                <c:pt idx="0">
                  <c:v> Annual Average Rates of Change</c:v>
                </c:pt>
              </c:strCache>
            </c:strRef>
          </c:tx>
          <c:spPr>
            <a:ln>
              <a:solidFill>
                <a:schemeClr val="accent6">
                  <a:lumMod val="75000"/>
                </a:schemeClr>
              </a:solidFill>
              <a:prstDash val="sysDash"/>
            </a:ln>
          </c:spPr>
          <c:marker>
            <c:symbol val="none"/>
          </c:marker>
          <c:cat>
            <c:multiLvlStrRef>
              <c:f>Chart_EN!$F$114:$G$138</c:f>
              <c:multiLvlStrCache>
                <c:ptCount val="25"/>
                <c:lvl>
                  <c:pt idx="0">
                    <c:v>OCT</c:v>
                  </c:pt>
                  <c:pt idx="1">
                    <c:v>NOV</c:v>
                  </c:pt>
                  <c:pt idx="2">
                    <c:v>DEC</c:v>
                  </c:pt>
                  <c:pt idx="3">
                    <c:v>JAN</c:v>
                  </c:pt>
                  <c:pt idx="4">
                    <c:v>FEB</c:v>
                  </c:pt>
                  <c:pt idx="5">
                    <c:v>MAR</c:v>
                  </c:pt>
                  <c:pt idx="6">
                    <c:v>APR</c:v>
                  </c:pt>
                  <c:pt idx="7">
                    <c:v>MAY</c:v>
                  </c:pt>
                  <c:pt idx="8">
                    <c:v>JUNE</c:v>
                  </c:pt>
                  <c:pt idx="9">
                    <c:v>JULY</c:v>
                  </c:pt>
                  <c:pt idx="10">
                    <c:v>AUG</c:v>
                  </c:pt>
                  <c:pt idx="11">
                    <c:v>SEP</c:v>
                  </c:pt>
                  <c:pt idx="12">
                    <c:v>OCT</c:v>
                  </c:pt>
                  <c:pt idx="13">
                    <c:v>NOV</c:v>
                  </c:pt>
                  <c:pt idx="14">
                    <c:v>DEC</c:v>
                  </c:pt>
                  <c:pt idx="15">
                    <c:v>JAN</c:v>
                  </c:pt>
                  <c:pt idx="16">
                    <c:v>FEB</c:v>
                  </c:pt>
                  <c:pt idx="17">
                    <c:v>MAR</c:v>
                  </c:pt>
                  <c:pt idx="18">
                    <c:v>APR</c:v>
                  </c:pt>
                  <c:pt idx="19">
                    <c:v>MAY</c:v>
                  </c:pt>
                  <c:pt idx="20">
                    <c:v>JUNE</c:v>
                  </c:pt>
                  <c:pt idx="21">
                    <c:v>JULY</c:v>
                  </c:pt>
                  <c:pt idx="22">
                    <c:v>AUG</c:v>
                  </c:pt>
                  <c:pt idx="23">
                    <c:v>SEP</c:v>
                  </c:pt>
                  <c:pt idx="24">
                    <c:v>OCT</c:v>
                  </c:pt>
                </c:lvl>
                <c:lvl>
                  <c:pt idx="3">
                    <c:v>2023</c:v>
                  </c:pt>
                  <c:pt idx="15">
                    <c:v>2024</c:v>
                  </c:pt>
                </c:lvl>
              </c:multiLvlStrCache>
              <c:extLst/>
            </c:multiLvlStrRef>
          </c:cat>
          <c:val>
            <c:numRef>
              <c:f>Chart_EN!$I$114:$I$138</c:f>
              <c:numCache>
                <c:formatCode>0.0</c:formatCode>
                <c:ptCount val="25"/>
                <c:pt idx="0">
                  <c:v>7.7785690314237099</c:v>
                </c:pt>
                <c:pt idx="1">
                  <c:v>8.1430913406249203</c:v>
                </c:pt>
                <c:pt idx="2">
                  <c:v>8.3954829799333996</c:v>
                </c:pt>
                <c:pt idx="3">
                  <c:v>8.5273324381602844</c:v>
                </c:pt>
                <c:pt idx="4">
                  <c:v>8.5244371489724635</c:v>
                </c:pt>
                <c:pt idx="5">
                  <c:v>8.4019360774431284</c:v>
                </c:pt>
                <c:pt idx="6">
                  <c:v>7.9531011692933751</c:v>
                </c:pt>
                <c:pt idx="7">
                  <c:v>7.4256020438739245</c:v>
                </c:pt>
                <c:pt idx="8">
                  <c:v>6.7650994108119367</c:v>
                </c:pt>
                <c:pt idx="9">
                  <c:v>5.9728815662912549</c:v>
                </c:pt>
                <c:pt idx="10">
                  <c:v>5.4489722044654743</c:v>
                </c:pt>
                <c:pt idx="11">
                  <c:v>5.0638623326960008</c:v>
                </c:pt>
                <c:pt idx="12">
                  <c:v>4.6289264232334926</c:v>
                </c:pt>
                <c:pt idx="13">
                  <c:v>4.0515570438416137</c:v>
                </c:pt>
                <c:pt idx="14">
                  <c:v>3.5413418875164693</c:v>
                </c:pt>
                <c:pt idx="15">
                  <c:v>3.1080436467711969</c:v>
                </c:pt>
                <c:pt idx="16">
                  <c:v>2.7218399667833459</c:v>
                </c:pt>
                <c:pt idx="17">
                  <c:v>2.349867524742244</c:v>
                </c:pt>
                <c:pt idx="18">
                  <c:v>2.2450331125827949</c:v>
                </c:pt>
                <c:pt idx="19">
                  <c:v>2.2226300143134869</c:v>
                </c:pt>
                <c:pt idx="20">
                  <c:v>2.3070890955595225</c:v>
                </c:pt>
                <c:pt idx="21">
                  <c:v>2.3598992797329466</c:v>
                </c:pt>
                <c:pt idx="22">
                  <c:v>2.2641619679219405</c:v>
                </c:pt>
                <c:pt idx="23">
                  <c:v>1.9844071892903159</c:v>
                </c:pt>
                <c:pt idx="24">
                  <c:v>1.7398941691406433</c:v>
                </c:pt>
              </c:numCache>
              <c:extLst/>
            </c:numRef>
          </c:val>
          <c:smooth val="0"/>
          <c:extLst>
            <c:ext xmlns:c16="http://schemas.microsoft.com/office/drawing/2014/chart" uri="{C3380CC4-5D6E-409C-BE32-E72D297353CC}">
              <c16:uniqueId val="{00000001-34AC-4DD2-AE07-31F4108F1C74}"/>
            </c:ext>
          </c:extLst>
        </c:ser>
        <c:dLbls>
          <c:showLegendKey val="0"/>
          <c:showVal val="0"/>
          <c:showCatName val="0"/>
          <c:showSerName val="0"/>
          <c:showPercent val="0"/>
          <c:showBubbleSize val="0"/>
        </c:dLbls>
        <c:smooth val="0"/>
        <c:axId val="200446336"/>
        <c:axId val="200448256"/>
      </c:lineChart>
      <c:catAx>
        <c:axId val="200446336"/>
        <c:scaling>
          <c:orientation val="minMax"/>
        </c:scaling>
        <c:delete val="0"/>
        <c:axPos val="b"/>
        <c:numFmt formatCode="General" sourceLinked="1"/>
        <c:majorTickMark val="none"/>
        <c:minorTickMark val="out"/>
        <c:tickLblPos val="low"/>
        <c:spPr>
          <a:ln/>
        </c:spPr>
        <c:txPr>
          <a:bodyPr rot="-5400000" vert="horz" anchor="ctr" anchorCtr="1"/>
          <a:lstStyle/>
          <a:p>
            <a:pPr>
              <a:defRPr sz="900">
                <a:latin typeface="Verdana" pitchFamily="34" charset="0"/>
                <a:ea typeface="Verdana" pitchFamily="34" charset="0"/>
                <a:cs typeface="Verdana" pitchFamily="34" charset="0"/>
              </a:defRPr>
            </a:pPr>
            <a:endParaRPr lang="en-CY"/>
          </a:p>
        </c:txPr>
        <c:crossAx val="200448256"/>
        <c:crossesAt val="-3"/>
        <c:auto val="1"/>
        <c:lblAlgn val="ctr"/>
        <c:lblOffset val="100"/>
        <c:noMultiLvlLbl val="0"/>
      </c:catAx>
      <c:valAx>
        <c:axId val="200448256"/>
        <c:scaling>
          <c:orientation val="minMax"/>
          <c:max val="12"/>
          <c:min val="-2"/>
        </c:scaling>
        <c:delete val="0"/>
        <c:axPos val="l"/>
        <c:majorGridlines>
          <c:spPr>
            <a:ln>
              <a:solidFill>
                <a:schemeClr val="bg1">
                  <a:lumMod val="75000"/>
                </a:schemeClr>
              </a:solidFill>
            </a:ln>
          </c:spPr>
        </c:majorGridlines>
        <c:title>
          <c:tx>
            <c:rich>
              <a:bodyPr rot="0" vert="horz"/>
              <a:lstStyle/>
              <a:p>
                <a:pPr>
                  <a:defRPr sz="900">
                    <a:latin typeface="Verdana" panose="020B0604030504040204" pitchFamily="34" charset="0"/>
                    <a:ea typeface="Verdana" panose="020B0604030504040204" pitchFamily="34" charset="0"/>
                  </a:defRPr>
                </a:pPr>
                <a:r>
                  <a:rPr lang="en-US" sz="900">
                    <a:latin typeface="Verdana" panose="020B0604030504040204" pitchFamily="34" charset="0"/>
                    <a:ea typeface="Verdana" panose="020B0604030504040204" pitchFamily="34" charset="0"/>
                  </a:rPr>
                  <a:t>%</a:t>
                </a:r>
              </a:p>
            </c:rich>
          </c:tx>
          <c:layout>
            <c:manualLayout>
              <c:xMode val="edge"/>
              <c:yMode val="edge"/>
              <c:x val="6.2597798791944629E-3"/>
              <c:y val="0.39230431670687826"/>
            </c:manualLayout>
          </c:layout>
          <c:overlay val="0"/>
        </c:title>
        <c:numFmt formatCode="0.0" sourceLinked="0"/>
        <c:majorTickMark val="none"/>
        <c:minorTickMark val="none"/>
        <c:tickLblPos val="nextTo"/>
        <c:spPr>
          <a:ln w="9525">
            <a:noFill/>
          </a:ln>
        </c:spPr>
        <c:txPr>
          <a:bodyPr/>
          <a:lstStyle/>
          <a:p>
            <a:pPr>
              <a:defRPr sz="900">
                <a:latin typeface="Verdana" pitchFamily="34" charset="0"/>
                <a:ea typeface="Verdana" pitchFamily="34" charset="0"/>
                <a:cs typeface="Verdana" pitchFamily="34" charset="0"/>
              </a:defRPr>
            </a:pPr>
            <a:endParaRPr lang="en-CY"/>
          </a:p>
        </c:txPr>
        <c:crossAx val="200446336"/>
        <c:crosses val="autoZero"/>
        <c:crossBetween val="between"/>
        <c:majorUnit val="2"/>
      </c:valAx>
    </c:plotArea>
    <c:legend>
      <c:legendPos val="b"/>
      <c:layout>
        <c:manualLayout>
          <c:xMode val="edge"/>
          <c:yMode val="edge"/>
          <c:x val="0.18187962952618231"/>
          <c:y val="0.94870202427343053"/>
          <c:w val="0.66754243342124409"/>
          <c:h val="4.2057125464216631E-2"/>
        </c:manualLayout>
      </c:layout>
      <c:overlay val="0"/>
      <c:txPr>
        <a:bodyPr/>
        <a:lstStyle/>
        <a:p>
          <a:pPr>
            <a:defRPr sz="900" b="1">
              <a:latin typeface="Verdana" pitchFamily="34" charset="0"/>
              <a:ea typeface="Verdana" pitchFamily="34" charset="0"/>
              <a:cs typeface="Verdana" pitchFamily="34" charset="0"/>
            </a:defRPr>
          </a:pPr>
          <a:endParaRPr lang="en-CY"/>
        </a:p>
      </c:txPr>
    </c:legend>
    <c:plotVisOnly val="1"/>
    <c:dispBlanksAs val="gap"/>
    <c:showDLblsOverMax val="0"/>
  </c:chart>
  <c:spPr>
    <a:ln w="9525">
      <a:solidFill>
        <a:srgbClr val="558ED5">
          <a:alpha val="50000"/>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51</cp:revision>
  <cp:lastPrinted>2024-09-04T06:54:00Z</cp:lastPrinted>
  <dcterms:created xsi:type="dcterms:W3CDTF">2024-08-30T12:37:00Z</dcterms:created>
  <dcterms:modified xsi:type="dcterms:W3CDTF">2024-11-07T09:57:00Z</dcterms:modified>
</cp:coreProperties>
</file>