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0C1F2364" w:rsidR="006022B5" w:rsidRDefault="00872778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A011ED">
        <w:rPr>
          <w:rFonts w:ascii="Verdana" w:hAnsi="Verdana" w:cs="Arial"/>
          <w:sz w:val="18"/>
          <w:szCs w:val="18"/>
          <w:lang w:val="el-GR"/>
        </w:rPr>
        <w:t>6</w:t>
      </w:r>
      <w:r w:rsidR="00290AEC" w:rsidRPr="003B5FBA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Νοεμβρίου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BF1E44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23BAF8EA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3FAC8508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ΚΑΤΑΝΑΛΩΤΗ(ΔΤΚ):</w:t>
      </w:r>
      <w:r w:rsidRPr="006022B5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872778">
        <w:rPr>
          <w:rFonts w:ascii="Verdana" w:eastAsia="Malgun Gothic" w:hAnsi="Verdana" w:cs="Arial"/>
          <w:b/>
          <w:u w:val="single"/>
          <w:lang w:val="el-GR"/>
        </w:rPr>
        <w:t>ΟΚΤΩΒΡΙΟΣ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Pr="006022B5">
        <w:rPr>
          <w:rFonts w:ascii="Verdana" w:eastAsia="Malgun Gothic" w:hAnsi="Verdana" w:cs="Arial"/>
          <w:b/>
          <w:u w:val="single"/>
          <w:lang w:val="x-none"/>
        </w:rPr>
        <w:t>202</w:t>
      </w:r>
      <w:r w:rsidR="0039267A">
        <w:rPr>
          <w:rFonts w:ascii="Verdana" w:eastAsia="Malgun Gothic" w:hAnsi="Verdana" w:cs="Arial"/>
          <w:b/>
          <w:u w:val="single"/>
          <w:lang w:val="x-none"/>
        </w:rPr>
        <w:t>5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2E60FFCD" w:rsidR="006022B5" w:rsidRPr="006022B5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Πληθωρισμός</w:t>
      </w:r>
      <w:r w:rsidR="00FF4D3B">
        <w:rPr>
          <w:rFonts w:ascii="Verdana" w:eastAsia="Malgun Gothic" w:hAnsi="Verdana" w:cs="Arial"/>
          <w:b/>
          <w:lang w:val="el-GR"/>
        </w:rPr>
        <w:t xml:space="preserve"> -</w:t>
      </w:r>
      <w:r w:rsidR="0020780D">
        <w:rPr>
          <w:rFonts w:ascii="Verdana" w:eastAsia="Malgun Gothic" w:hAnsi="Verdana" w:cs="Arial"/>
          <w:b/>
          <w:lang w:val="el-GR"/>
        </w:rPr>
        <w:t>0</w:t>
      </w:r>
      <w:r w:rsidR="00E53455">
        <w:rPr>
          <w:rFonts w:ascii="Verdana" w:eastAsia="Malgun Gothic" w:hAnsi="Verdana" w:cs="Arial"/>
          <w:b/>
          <w:lang w:val="el-GR"/>
        </w:rPr>
        <w:t>,</w:t>
      </w:r>
      <w:r w:rsidR="00872778">
        <w:rPr>
          <w:rFonts w:ascii="Verdana" w:eastAsia="Malgun Gothic" w:hAnsi="Verdana" w:cs="Arial"/>
          <w:b/>
          <w:lang w:val="el-GR"/>
        </w:rPr>
        <w:t>3</w:t>
      </w:r>
      <w:r w:rsidR="006022B5" w:rsidRPr="006022B5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482EBA4D" w:rsidR="006022B5" w:rsidRPr="00604B95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A011E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011ED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39267A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>αυξήθηκε</w:t>
      </w:r>
      <w:r w:rsidR="00673C1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FF18DE" w:rsidRPr="00604B95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6C175F">
        <w:rPr>
          <w:rFonts w:ascii="Verdana" w:eastAsia="Malgun Gothic" w:hAnsi="Verdana" w:cs="Arial"/>
          <w:sz w:val="18"/>
          <w:szCs w:val="18"/>
          <w:lang w:val="el-GR"/>
        </w:rPr>
        <w:t>54</w:t>
      </w:r>
      <w:r w:rsidR="00DA497B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ονάδες και έφτασε στις 11</w:t>
      </w:r>
      <w:r w:rsidR="00154F3A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54F3A">
        <w:rPr>
          <w:rFonts w:ascii="Verdana" w:eastAsia="Malgun Gothic" w:hAnsi="Verdana" w:cs="Arial"/>
          <w:sz w:val="18"/>
          <w:szCs w:val="18"/>
          <w:lang w:val="el-GR"/>
        </w:rPr>
        <w:t>25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σε σύγκριση με 11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54F3A">
        <w:rPr>
          <w:rFonts w:ascii="Verdana" w:eastAsia="Malgun Gothic" w:hAnsi="Verdana" w:cs="Arial"/>
          <w:sz w:val="18"/>
          <w:szCs w:val="18"/>
          <w:lang w:val="el-GR"/>
        </w:rPr>
        <w:t>71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97CF0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3B5FBA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B06FC6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. Ο πληθωρισμός </w:t>
      </w:r>
      <w:r w:rsidR="00176D1B"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5C2AE4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555A9F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F4D3B" w:rsidRPr="00604B95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με ρυθμό </w:t>
      </w:r>
      <w:r w:rsidR="0020780D" w:rsidRPr="00604B9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452DF7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C2AE4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%. (Πίνακας 1)</w:t>
      </w:r>
    </w:p>
    <w:p w14:paraId="531B97C2" w14:textId="77777777" w:rsidR="006022B5" w:rsidRPr="00F07B9A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38F04D58" w:rsidR="00A63680" w:rsidRPr="00FF18DE" w:rsidRDefault="00872778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6A892956" wp14:editId="65FD13DF">
            <wp:extent cx="6090285" cy="4188460"/>
            <wp:effectExtent l="0" t="0" r="5715" b="2540"/>
            <wp:docPr id="2362863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180377CE" w:rsidR="00394E48" w:rsidRPr="00604B95" w:rsidRDefault="00DA65EE" w:rsidP="00765B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θετικ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 συγκριτικά με τον </w:t>
      </w:r>
      <w:r w:rsidR="007B6FB7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085368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του 2024 σημειώθηκ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στις </w:t>
      </w:r>
      <w:r w:rsidR="00765BDC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7B4D6C" w:rsidRPr="007B4D6C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7B4D6C" w:rsidRPr="007B4D6C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%) ενώ οι μεγαλύτερες αρνητικές μεταβολές παρατηρήθηκαν στ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CD4538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CD4538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2D07FD" w:rsidRPr="002D07F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07FD">
        <w:rPr>
          <w:rFonts w:ascii="Verdana" w:eastAsia="Malgun Gothic" w:hAnsi="Verdana" w:cs="Arial"/>
          <w:sz w:val="18"/>
          <w:szCs w:val="18"/>
          <w:lang w:val="el-GR"/>
        </w:rPr>
        <w:t>και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στα </w:t>
      </w:r>
      <w:r w:rsidR="00604B95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CD4538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CD4538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F749E" w:rsidRPr="00604B95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B02A5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2025 η μεγαλύτερη μεταβολή καταγράφηκε στ</w:t>
      </w:r>
      <w:r w:rsidR="00025B1F">
        <w:rPr>
          <w:rFonts w:ascii="Verdana" w:eastAsia="Malgun Gothic" w:hAnsi="Verdana" w:cs="Arial"/>
          <w:sz w:val="18"/>
          <w:szCs w:val="18"/>
          <w:lang w:val="el-GR"/>
        </w:rPr>
        <w:t xml:space="preserve">ον </w:t>
      </w:r>
      <w:r w:rsidR="00025B1F" w:rsidRPr="00C151BB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="00460761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5D6F71" w:rsidRPr="00604B95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025B1F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14C61" w:rsidRPr="00114C61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604B95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.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4934141" w14:textId="77777777" w:rsidR="00C81A07" w:rsidRDefault="00C81A0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A1673BB" w14:textId="5A629A68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6C901C" w14:textId="77777777" w:rsidR="00E706D0" w:rsidRDefault="00E706D0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CB30A22" w14:textId="404F346E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7B98AA4B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C9E779" w14:textId="0CEAC3B0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025B1F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1547F3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1559C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1559C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1559C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7669F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9A484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A484B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011A59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9A484B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604B95" w:rsidRPr="001559CE">
        <w:rPr>
          <w:rFonts w:ascii="Verdana" w:eastAsia="Malgun Gothic" w:hAnsi="Verdana" w:cs="Arial"/>
          <w:i/>
          <w:sz w:val="18"/>
          <w:szCs w:val="18"/>
          <w:lang w:val="el-GR"/>
        </w:rPr>
        <w:t>Εκπαίδευση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(3,</w:t>
      </w:r>
      <w:r w:rsidR="00325BD7">
        <w:rPr>
          <w:rFonts w:ascii="Verdana" w:eastAsia="Malgun Gothic" w:hAnsi="Verdana" w:cs="Arial"/>
          <w:iCs/>
          <w:sz w:val="18"/>
          <w:szCs w:val="18"/>
          <w:lang w:val="el-GR"/>
        </w:rPr>
        <w:t>5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95144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και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E200C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</w:t>
      </w:r>
      <w:r w:rsidR="00EE572B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μη Αλκοολούχα Ποτά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και 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-2,1</w:t>
      </w:r>
      <w:r w:rsidR="006F5D82" w:rsidRPr="00C41D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3806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4F12F064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8125E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A15339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1559C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426606" w:rsidRPr="001559CE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4B95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B661EB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661E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604B95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Εκπαίδευση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B661EB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CC7243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E42DF2" w:rsidRPr="001559CE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22DB350F" w14:textId="77777777" w:rsidR="00A15339" w:rsidRPr="001559CE" w:rsidRDefault="00A15339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sz w:val="18"/>
          <w:szCs w:val="18"/>
          <w:lang w:val="el-GR"/>
        </w:rPr>
      </w:pPr>
    </w:p>
    <w:p w14:paraId="4E0D3452" w14:textId="7B99979E" w:rsidR="00A15339" w:rsidRPr="001559CE" w:rsidRDefault="00A15339" w:rsidP="00A1533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Για την περίοδο Ιανουαρίου – </w:t>
      </w:r>
      <w:r w:rsidR="00B661EB">
        <w:rPr>
          <w:rFonts w:ascii="Verdana" w:eastAsia="Malgun Gothic" w:hAnsi="Verdana" w:cs="Arial"/>
          <w:sz w:val="18"/>
          <w:szCs w:val="18"/>
          <w:lang w:val="el-GR"/>
        </w:rPr>
        <w:t>Οκτωβρίου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2025, σε σύγκριση με την αντίστοιχη περσινή περίοδο, οι μεγαλύτερες μεταβολές παρουσιάστηκαν στις κατηγορίες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8879C6" w:rsidRPr="001559CE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176D1B">
        <w:rPr>
          <w:rFonts w:ascii="Verdana" w:eastAsia="Malgun Gothic" w:hAnsi="Verdana" w:cs="Arial"/>
          <w:sz w:val="18"/>
          <w:szCs w:val="18"/>
          <w:lang w:val="el-GR"/>
        </w:rPr>
        <w:t>4,7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,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Εκπαίδευση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(3,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Αναψυχή και Πολιτισμός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(3,</w:t>
      </w:r>
      <w:r w:rsidR="005A6299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336F31" w:rsidRPr="001559C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E561778" w14:textId="1516CE52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47CF4B42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E7718B9" w14:textId="1D58003B" w:rsidR="00453E42" w:rsidRPr="001559CE" w:rsidRDefault="006022B5" w:rsidP="0099796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</w:t>
      </w:r>
      <w:r w:rsidR="008E6E5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επίδραση στη μεταβολή του ΔΤΚ του</w:t>
      </w:r>
      <w:r w:rsidR="00833D0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821B5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="00647FBB">
        <w:rPr>
          <w:rFonts w:ascii="Verdana" w:eastAsia="Malgun Gothic" w:hAnsi="Verdana" w:cs="Arial"/>
          <w:sz w:val="18"/>
          <w:szCs w:val="18"/>
          <w:lang w:val="el-GR"/>
        </w:rPr>
        <w:t>κτωβρίου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82524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9154BF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647FBB">
        <w:rPr>
          <w:rFonts w:ascii="Verdana" w:hAnsi="Verdana" w:cs="Arial"/>
          <w:sz w:val="18"/>
          <w:szCs w:val="18"/>
          <w:lang w:val="el-GR"/>
        </w:rPr>
        <w:t>Οκτώβριο</w:t>
      </w:r>
      <w:r w:rsidR="0009301B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C73188" w:rsidRPr="001559CE">
        <w:rPr>
          <w:lang w:val="el-GR"/>
        </w:rPr>
        <w:t xml:space="preserve"> </w:t>
      </w:r>
      <w:r w:rsidR="00336F31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F8372F">
        <w:rPr>
          <w:rFonts w:ascii="Verdana" w:eastAsia="Malgun Gothic" w:hAnsi="Verdana" w:cs="Arial"/>
          <w:sz w:val="18"/>
          <w:szCs w:val="18"/>
          <w:lang w:val="el-GR"/>
        </w:rPr>
        <w:t>0,48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979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Εκπαίδευση</w:t>
      </w:r>
      <w:r w:rsidR="009744B9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682E7E">
        <w:rPr>
          <w:rFonts w:ascii="Verdana" w:eastAsia="Malgun Gothic" w:hAnsi="Verdana" w:cs="Arial"/>
          <w:sz w:val="18"/>
          <w:szCs w:val="18"/>
          <w:lang w:val="el-GR"/>
        </w:rPr>
        <w:t>16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C41D95" w:rsidRPr="00C41D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B041C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997963" w:rsidRPr="001559CE">
        <w:rPr>
          <w:rFonts w:ascii="Verdana" w:eastAsia="Malgun Gothic" w:hAnsi="Verdana" w:cs="Arial"/>
          <w:sz w:val="18"/>
          <w:szCs w:val="18"/>
          <w:lang w:val="el-GR"/>
        </w:rPr>
        <w:t>νώ τ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η μεγαλύτερη αρνητική επίδραση στη μεταβολή του ΔΤΚ του</w:t>
      </w:r>
      <w:r w:rsidR="00360B5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E2FD4">
        <w:rPr>
          <w:rFonts w:ascii="Verdana" w:eastAsia="Malgun Gothic" w:hAnsi="Verdana" w:cs="Arial"/>
          <w:sz w:val="18"/>
          <w:szCs w:val="18"/>
          <w:lang w:val="el-GR"/>
        </w:rPr>
        <w:t>Οκτ</w:t>
      </w:r>
      <w:r w:rsidR="005625BB">
        <w:rPr>
          <w:rFonts w:ascii="Verdana" w:eastAsia="Malgun Gothic" w:hAnsi="Verdana" w:cs="Arial"/>
          <w:sz w:val="18"/>
          <w:szCs w:val="18"/>
          <w:lang w:val="el-GR"/>
        </w:rPr>
        <w:t>ωβρίου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453E42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5625BB">
        <w:rPr>
          <w:rFonts w:ascii="Verdana" w:hAnsi="Verdana" w:cs="Arial"/>
          <w:sz w:val="18"/>
          <w:szCs w:val="18"/>
          <w:lang w:val="el-GR"/>
        </w:rPr>
        <w:t>Οκτώβριο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</w:t>
      </w:r>
      <w:r w:rsidR="00FA4823">
        <w:rPr>
          <w:rFonts w:ascii="Verdana" w:eastAsia="Malgun Gothic" w:hAnsi="Verdana" w:cs="Arial"/>
          <w:i/>
          <w:iCs/>
          <w:sz w:val="18"/>
          <w:szCs w:val="18"/>
          <w:lang w:val="el-GR"/>
        </w:rPr>
        <w:t>Π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οτά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(-0,</w:t>
      </w:r>
      <w:r w:rsidR="005625BB">
        <w:rPr>
          <w:rFonts w:ascii="Verdana" w:eastAsia="Malgun Gothic" w:hAnsi="Verdana" w:cs="Arial"/>
          <w:sz w:val="18"/>
          <w:szCs w:val="18"/>
          <w:lang w:val="el-GR"/>
        </w:rPr>
        <w:t>52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566B6B" w:rsidRPr="00905A8C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 xml:space="preserve"> (-0,51)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. (Πίνακας 3)</w:t>
      </w:r>
    </w:p>
    <w:p w14:paraId="328F7BC1" w14:textId="77777777" w:rsidR="006022B5" w:rsidRPr="00290AEC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2F248189" w14:textId="59D5BA40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162BED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2025 σε σχέση με το</w:t>
      </w:r>
      <w:r w:rsidR="00BB2FB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6E7A4A">
        <w:rPr>
          <w:rFonts w:ascii="Verdana" w:eastAsia="Malgun Gothic" w:hAnsi="Verdana" w:cs="Arial"/>
          <w:sz w:val="18"/>
          <w:szCs w:val="18"/>
          <w:lang w:val="el-GR"/>
        </w:rPr>
        <w:t xml:space="preserve"> Σεπτέμβριο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2025 είχ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EE08C3">
        <w:rPr>
          <w:rFonts w:ascii="Verdana" w:eastAsia="Malgun Gothic" w:hAnsi="Verdana" w:cs="Arial"/>
          <w:sz w:val="18"/>
          <w:szCs w:val="18"/>
          <w:lang w:val="el-GR"/>
        </w:rPr>
        <w:t>25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AA5F7F" w:rsidRPr="00905A8C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Στέγαση, Ύδρευση, Ηλεκτρισμός και Υγραέριο </w:t>
      </w:r>
      <w:r w:rsidR="0009301B" w:rsidRPr="00905A8C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AA5F7F" w:rsidRPr="00905A8C">
        <w:rPr>
          <w:rFonts w:ascii="Verdana" w:eastAsia="Malgun Gothic" w:hAnsi="Verdana" w:cs="Arial"/>
          <w:sz w:val="18"/>
          <w:szCs w:val="18"/>
          <w:lang w:val="el-GR"/>
        </w:rPr>
        <w:t>12</w:t>
      </w:r>
      <w:r w:rsidR="0009301B" w:rsidRPr="00905A8C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905A8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3)</w:t>
      </w:r>
    </w:p>
    <w:p w14:paraId="268A34B8" w14:textId="77777777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1F15496B" w14:textId="0ECC9244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AA5F7F">
        <w:rPr>
          <w:rFonts w:ascii="Verdana" w:hAnsi="Verdana" w:cs="Arial"/>
          <w:sz w:val="18"/>
          <w:szCs w:val="18"/>
          <w:lang w:val="el-GR"/>
        </w:rPr>
        <w:t>Οκτωβρίου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2025 σε σύγκριση με το δείκτη του </w:t>
      </w:r>
      <w:r w:rsidR="00AA5F7F">
        <w:rPr>
          <w:rFonts w:ascii="Verdana" w:eastAsia="Malgun Gothic" w:hAnsi="Verdana" w:cs="Arial"/>
          <w:sz w:val="18"/>
          <w:szCs w:val="18"/>
          <w:lang w:val="el-GR"/>
        </w:rPr>
        <w:t>Οκτωβρίου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2024 είχ</w:t>
      </w:r>
      <w:r w:rsidR="00C42DB4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Τροφοδοσίας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552E95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), ενώ τη μεγαλύτερη αρνητική επίδραση είχ</w:t>
      </w:r>
      <w:r w:rsidR="002C5E02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C5E02">
        <w:rPr>
          <w:rFonts w:ascii="Verdana" w:eastAsia="Malgun Gothic" w:hAnsi="Verdana" w:cs="Arial"/>
          <w:sz w:val="18"/>
          <w:szCs w:val="18"/>
          <w:lang w:val="el-GR"/>
        </w:rPr>
        <w:t xml:space="preserve">τα </w:t>
      </w:r>
      <w:r w:rsidR="002C5E02" w:rsidRPr="00905A8C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Είδη </w:t>
      </w:r>
      <w:r w:rsidR="00905A8C" w:rsidRPr="00905A8C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Ένδυσης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41D95" w:rsidRPr="00C41D95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 xml:space="preserve">-0,43) και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Ηλεκτρισμός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967E1D" w:rsidRPr="001559C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). (Πίνακας 4)</w:t>
      </w:r>
    </w:p>
    <w:p w14:paraId="0EAE47CB" w14:textId="77777777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4F04F9E2" w14:textId="1B95D35E" w:rsidR="00765BDC" w:rsidRPr="00D44C0E" w:rsidRDefault="00393A18" w:rsidP="00765BD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D44C0E">
        <w:rPr>
          <w:rFonts w:ascii="Verdana" w:eastAsia="Malgun Gothic" w:hAnsi="Verdana" w:cs="Arial"/>
          <w:sz w:val="18"/>
          <w:szCs w:val="18"/>
          <w:lang w:val="el-GR"/>
        </w:rPr>
        <w:t>Τα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4781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Είδη </w:t>
      </w:r>
      <w:r w:rsidR="00CD5174">
        <w:rPr>
          <w:rFonts w:ascii="Verdana" w:eastAsia="Malgun Gothic" w:hAnsi="Verdana" w:cs="Arial"/>
          <w:i/>
          <w:iCs/>
          <w:sz w:val="18"/>
          <w:szCs w:val="18"/>
          <w:lang w:val="el-GR"/>
        </w:rPr>
        <w:t>Έ</w:t>
      </w:r>
      <w:r w:rsidR="00D47816">
        <w:rPr>
          <w:rFonts w:ascii="Verdana" w:eastAsia="Malgun Gothic" w:hAnsi="Verdana" w:cs="Arial"/>
          <w:i/>
          <w:iCs/>
          <w:sz w:val="18"/>
          <w:szCs w:val="18"/>
          <w:lang w:val="el-GR"/>
        </w:rPr>
        <w:t>νδυσης</w:t>
      </w:r>
      <w:r w:rsidR="00C42DB4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CD5174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1559CE" w:rsidRPr="00D44C0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) είχ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θετική επίδραση στη μεταβολή του ΔΤΚ του </w:t>
      </w:r>
      <w:r w:rsidR="00D47816">
        <w:rPr>
          <w:rFonts w:ascii="Verdana" w:eastAsia="Malgun Gothic" w:hAnsi="Verdana" w:cs="Arial"/>
          <w:sz w:val="18"/>
          <w:szCs w:val="18"/>
          <w:lang w:val="el-GR"/>
        </w:rPr>
        <w:t>Οκτωβρίου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D44C0E">
        <w:rPr>
          <w:rFonts w:ascii="Verdana" w:hAnsi="Verdana" w:cs="Arial"/>
          <w:sz w:val="18"/>
          <w:szCs w:val="18"/>
          <w:lang w:val="el-GR"/>
        </w:rPr>
        <w:t>2025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 w:rsidR="00D47816">
        <w:rPr>
          <w:rFonts w:ascii="Verdana" w:eastAsia="Malgun Gothic" w:hAnsi="Verdana" w:cs="Arial"/>
          <w:sz w:val="18"/>
          <w:szCs w:val="18"/>
          <w:lang w:val="el-GR"/>
        </w:rPr>
        <w:t>Σεπτεμβρίου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2025, ενώ τη μεγαλύτερη αρνητική επίδραση είχ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>αν τα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D5174">
        <w:rPr>
          <w:rFonts w:ascii="Verdana" w:eastAsia="Malgun Gothic" w:hAnsi="Verdana" w:cs="Arial"/>
          <w:i/>
          <w:iCs/>
          <w:sz w:val="18"/>
          <w:szCs w:val="18"/>
          <w:lang w:val="el-GR"/>
        </w:rPr>
        <w:t>Φρέσκα Φρούτα</w:t>
      </w:r>
      <w:r w:rsidR="002B070B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(-0,</w:t>
      </w:r>
      <w:r w:rsidR="00CD5174">
        <w:rPr>
          <w:rFonts w:ascii="Verdana" w:eastAsia="Malgun Gothic" w:hAnsi="Verdana" w:cs="Arial"/>
          <w:sz w:val="18"/>
          <w:szCs w:val="18"/>
          <w:lang w:val="el-GR"/>
        </w:rPr>
        <w:t>15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). (Πίνακας 5)</w:t>
      </w:r>
    </w:p>
    <w:p w14:paraId="7B52DCDA" w14:textId="77777777" w:rsidR="00336F31" w:rsidRDefault="00336F31" w:rsidP="008516BF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CF6FD4" w14:textId="77777777" w:rsidR="009744B9" w:rsidRPr="00F260F0" w:rsidRDefault="009744B9" w:rsidP="008516BF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EF125E5" w14:textId="77777777" w:rsidR="009A2DF0" w:rsidRPr="00A81068" w:rsidRDefault="009A2DF0" w:rsidP="008516BF">
      <w:pPr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tbl>
      <w:tblPr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2408"/>
        <w:gridCol w:w="1558"/>
        <w:gridCol w:w="1416"/>
        <w:gridCol w:w="281"/>
        <w:gridCol w:w="1423"/>
        <w:gridCol w:w="1281"/>
        <w:gridCol w:w="1838"/>
      </w:tblGrid>
      <w:tr w:rsidR="004F0101" w:rsidRPr="004F0101" w14:paraId="1D00F069" w14:textId="27C1EA9C" w:rsidTr="002E50E7">
        <w:trPr>
          <w:trHeight w:val="270"/>
          <w:jc w:val="center"/>
        </w:trPr>
        <w:tc>
          <w:tcPr>
            <w:tcW w:w="2465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D23532" w:rsidRPr="004F0101" w:rsidRDefault="00D23532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3040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D23532" w:rsidRPr="004F0101" w:rsidRDefault="00D23532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8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D23532" w:rsidRPr="004F0101" w:rsidRDefault="00D23532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366092"/>
            </w:tcBorders>
          </w:tcPr>
          <w:p w14:paraId="55521A0B" w14:textId="77777777" w:rsidR="00D23532" w:rsidRPr="004F0101" w:rsidRDefault="00D23532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4F0101" w:rsidRPr="004F0101" w14:paraId="79540F65" w14:textId="49BDFAC0" w:rsidTr="002E50E7">
        <w:trPr>
          <w:trHeight w:val="270"/>
          <w:jc w:val="center"/>
        </w:trPr>
        <w:tc>
          <w:tcPr>
            <w:tcW w:w="2465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3337C1" w:rsidRPr="004F0101" w:rsidRDefault="003337C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3040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77777777" w:rsidR="003337C1" w:rsidRPr="004F0101" w:rsidRDefault="003337C1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(2015=100)</w:t>
            </w:r>
          </w:p>
        </w:tc>
        <w:tc>
          <w:tcPr>
            <w:tcW w:w="288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3337C1" w:rsidRPr="004F0101" w:rsidRDefault="003337C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8498107" w14:textId="28348BF3" w:rsidR="003337C1" w:rsidRPr="004F0101" w:rsidRDefault="003337C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872778" w:rsidRPr="004F0101" w14:paraId="4BD227C0" w14:textId="56E7A4E3" w:rsidTr="002E50E7">
        <w:trPr>
          <w:trHeight w:val="602"/>
          <w:jc w:val="center"/>
        </w:trPr>
        <w:tc>
          <w:tcPr>
            <w:tcW w:w="2465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872778" w:rsidRPr="004F0101" w:rsidRDefault="00872778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6AC2AE4" w14:textId="77777777" w:rsidR="00872778" w:rsidRPr="004F0101" w:rsidRDefault="00872778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Σεπτέμβρης</w:t>
            </w:r>
          </w:p>
          <w:p w14:paraId="2CBD1D95" w14:textId="15F613DE" w:rsidR="00872778" w:rsidRPr="004F0101" w:rsidRDefault="00872778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44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3BFD3E22" w:rsidR="00872778" w:rsidRPr="004F0101" w:rsidRDefault="00872778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Οκτώβρης</w:t>
            </w:r>
          </w:p>
          <w:p w14:paraId="11415D22" w14:textId="0C666C01" w:rsidR="00872778" w:rsidRPr="004F0101" w:rsidRDefault="00872778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872778" w:rsidRPr="004F0101" w:rsidRDefault="00872778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027FC7DA" w:rsidR="00872778" w:rsidRPr="004F0101" w:rsidRDefault="00872778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Οκτ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308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7FE59E82" w:rsidR="00872778" w:rsidRPr="004F0101" w:rsidRDefault="00872778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348F3C6" w14:textId="249ED82B" w:rsidR="00872778" w:rsidRPr="004F0101" w:rsidRDefault="00872778" w:rsidP="00872778">
            <w:pPr>
              <w:ind w:hanging="31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</w:t>
            </w:r>
          </w:p>
          <w:p w14:paraId="0FAD6CEA" w14:textId="19D55642" w:rsidR="00872778" w:rsidRPr="004F0101" w:rsidRDefault="00872778" w:rsidP="00872778">
            <w:pPr>
              <w:ind w:hanging="31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872778" w:rsidRPr="004F0101" w14:paraId="43FBF73D" w14:textId="0B37F553" w:rsidTr="00872778">
        <w:trPr>
          <w:trHeight w:val="51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6876D644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124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66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4BBC987B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125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12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385C251E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-2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14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62A0F254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37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CB19FC" w14:textId="0B3C8405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13</w:t>
            </w:r>
          </w:p>
        </w:tc>
      </w:tr>
      <w:tr w:rsidR="00872778" w:rsidRPr="004F0101" w14:paraId="40FB4937" w14:textId="16B0D887" w:rsidTr="00872778">
        <w:trPr>
          <w:trHeight w:val="51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49B86920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16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687AABA2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03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2C00EC4A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33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4AE3DB41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12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96F6FD0" w14:textId="3A2A4118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93</w:t>
            </w:r>
          </w:p>
        </w:tc>
      </w:tr>
      <w:tr w:rsidR="00872778" w:rsidRPr="004F0101" w14:paraId="30CC1D12" w14:textId="63213DF3" w:rsidTr="00872778">
        <w:trPr>
          <w:trHeight w:val="37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6C2CF638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94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60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3C1ADF2B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03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3397F4BB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-6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74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4390C2A4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63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D5286BF" w14:textId="3118F649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-6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21</w:t>
            </w:r>
          </w:p>
        </w:tc>
      </w:tr>
      <w:tr w:rsidR="00872778" w:rsidRPr="004F0101" w14:paraId="64A249B5" w14:textId="3207FD58" w:rsidTr="00872778">
        <w:trPr>
          <w:trHeight w:val="68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Ηλεκτρισμός και Υγραέριο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49F7E330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143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7AFE509D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144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16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64FC9E19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08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14804D01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74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78ED608" w14:textId="1BABF364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50</w:t>
            </w:r>
          </w:p>
        </w:tc>
      </w:tr>
      <w:bookmarkEnd w:id="0"/>
      <w:tr w:rsidR="00872778" w:rsidRPr="004F0101" w14:paraId="3A7635E9" w14:textId="3DB5F288" w:rsidTr="00872778">
        <w:trPr>
          <w:trHeight w:val="765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Επίπλωση, Οικιακός Εξοπλισμός και 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Προΐόντα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Καθαρισμού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60D1B197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768634F3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63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41A2D5A8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4542271C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61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8262E8A" w14:textId="494959AF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73</w:t>
            </w:r>
          </w:p>
        </w:tc>
      </w:tr>
      <w:tr w:rsidR="00872778" w:rsidRPr="004F0101" w14:paraId="3359A3C0" w14:textId="3BD42386" w:rsidTr="00872778">
        <w:trPr>
          <w:trHeight w:val="375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1F779DD4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108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23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5D136030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108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23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6EEC5F62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20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07EE5D0B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46398C8" w14:textId="2678635C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61</w:t>
            </w:r>
          </w:p>
        </w:tc>
      </w:tr>
      <w:tr w:rsidR="00872778" w:rsidRPr="004F0101" w14:paraId="299E5490" w14:textId="0BE906FA" w:rsidTr="00872778">
        <w:trPr>
          <w:trHeight w:val="37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3D601420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113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69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5506CDE6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113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40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3C52D2BE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38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4B50E8B7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26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5BD61E4" w14:textId="68151B29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49</w:t>
            </w:r>
          </w:p>
        </w:tc>
      </w:tr>
      <w:tr w:rsidR="00872778" w:rsidRPr="004F0101" w14:paraId="79C16F2A" w14:textId="4D611CBA" w:rsidTr="00872778">
        <w:trPr>
          <w:trHeight w:val="375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1722CF78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92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09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358973DE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92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14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1FC2A524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57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6161C1CE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05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197EE8E" w14:textId="19A147FC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26</w:t>
            </w:r>
          </w:p>
        </w:tc>
      </w:tr>
      <w:tr w:rsidR="00872778" w:rsidRPr="004F0101" w14:paraId="5C3CEC2A" w14:textId="5CA76F0A" w:rsidTr="00872778">
        <w:trPr>
          <w:trHeight w:val="37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αψυχή και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54619B2A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119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20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269C94E2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118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401A6323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4D7B079A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18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BA7FB" w14:textId="2FDBC0AD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30</w:t>
            </w:r>
          </w:p>
        </w:tc>
      </w:tr>
      <w:tr w:rsidR="00872778" w:rsidRPr="004F0101" w14:paraId="23CBF3D1" w14:textId="3D47F764" w:rsidTr="00872778">
        <w:trPr>
          <w:trHeight w:val="374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3CDF9CE7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118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85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460E0C19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120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22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3A549749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48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64D6FE20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15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CEA7B71" w14:textId="79922C4B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</w:tr>
      <w:tr w:rsidR="00872778" w:rsidRPr="004F0101" w14:paraId="00E44953" w14:textId="1A8E55CD" w:rsidTr="00872778">
        <w:trPr>
          <w:trHeight w:val="510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556D85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Εστι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ατόρια και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Ξ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ενοδοχεί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25763EF" w14:textId="4B684B50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135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56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DA1686A" w14:textId="3C9CD526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135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81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3C90FF7" w14:textId="7AD75F68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44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376312D" w14:textId="06851D98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18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17E5257" w14:textId="416188DD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67</w:t>
            </w:r>
          </w:p>
        </w:tc>
      </w:tr>
      <w:tr w:rsidR="00872778" w:rsidRPr="004F0101" w14:paraId="0ABA4BC7" w14:textId="4629CEA3" w:rsidTr="00872778">
        <w:trPr>
          <w:trHeight w:val="510"/>
          <w:jc w:val="center"/>
        </w:trPr>
        <w:tc>
          <w:tcPr>
            <w:tcW w:w="2465" w:type="dxa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77777777" w:rsidR="00872778" w:rsidRPr="004F0101" w:rsidRDefault="00872778" w:rsidP="00872778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Άλλ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γα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θά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Υ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593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4E9F550B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112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290AEC">
              <w:rPr>
                <w:rFonts w:ascii="Verdana" w:hAnsi="Verdana"/>
                <w:color w:val="366092"/>
                <w:sz w:val="18"/>
                <w:szCs w:val="18"/>
              </w:rPr>
              <w:t>79</w:t>
            </w:r>
          </w:p>
        </w:tc>
        <w:tc>
          <w:tcPr>
            <w:tcW w:w="1447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1DC40F76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113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11</w:t>
            </w:r>
          </w:p>
        </w:tc>
        <w:tc>
          <w:tcPr>
            <w:tcW w:w="288" w:type="dxa"/>
            <w:tcBorders>
              <w:top w:val="nil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872778" w:rsidRPr="004F0101" w:rsidRDefault="00872778" w:rsidP="00872778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4989A1EC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60</w:t>
            </w:r>
          </w:p>
        </w:tc>
        <w:tc>
          <w:tcPr>
            <w:tcW w:w="1308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1AA6699F" w:rsidR="00872778" w:rsidRPr="004F0101" w:rsidRDefault="00872778" w:rsidP="00872778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28</w:t>
            </w:r>
          </w:p>
        </w:tc>
        <w:tc>
          <w:tcPr>
            <w:tcW w:w="1880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4CE926CB" w14:textId="04EB36CF" w:rsidR="00872778" w:rsidRPr="004F0101" w:rsidRDefault="00872778" w:rsidP="00872778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color w:val="366092"/>
                <w:sz w:val="18"/>
                <w:szCs w:val="18"/>
              </w:rPr>
              <w:t>04</w:t>
            </w:r>
          </w:p>
        </w:tc>
      </w:tr>
      <w:tr w:rsidR="00872778" w:rsidRPr="004F0101" w14:paraId="7B6D317E" w14:textId="278222F2" w:rsidTr="00872778">
        <w:trPr>
          <w:trHeight w:hRule="exact" w:val="567"/>
          <w:jc w:val="center"/>
        </w:trPr>
        <w:tc>
          <w:tcPr>
            <w:tcW w:w="2465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872778" w:rsidRPr="004F0101" w:rsidRDefault="00872778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1593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5EC6BC2C" w:rsidR="00872778" w:rsidRPr="002E50E7" w:rsidRDefault="00872778" w:rsidP="00872778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290AE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117,71</w:t>
            </w:r>
          </w:p>
        </w:tc>
        <w:tc>
          <w:tcPr>
            <w:tcW w:w="1447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423D9B0A" w:rsidR="00872778" w:rsidRPr="00872778" w:rsidRDefault="00872778" w:rsidP="00872778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118</w:t>
            </w:r>
            <w:r w:rsidR="0083598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25</w:t>
            </w:r>
          </w:p>
        </w:tc>
        <w:tc>
          <w:tcPr>
            <w:tcW w:w="288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872778" w:rsidRPr="00290AEC" w:rsidRDefault="00872778" w:rsidP="00872778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354D2521" w:rsidR="00872778" w:rsidRPr="00872778" w:rsidRDefault="00872778" w:rsidP="00872778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33</w:t>
            </w:r>
          </w:p>
        </w:tc>
        <w:tc>
          <w:tcPr>
            <w:tcW w:w="1308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799D913E" w:rsidR="00872778" w:rsidRPr="00872778" w:rsidRDefault="00872778" w:rsidP="00872778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46</w:t>
            </w:r>
          </w:p>
        </w:tc>
        <w:tc>
          <w:tcPr>
            <w:tcW w:w="1880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68378A7" w14:textId="3F130290" w:rsidR="00872778" w:rsidRPr="00872778" w:rsidRDefault="00872778" w:rsidP="00872778">
            <w:pPr>
              <w:ind w:right="60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7277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872778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27</w:t>
            </w:r>
          </w:p>
        </w:tc>
      </w:tr>
    </w:tbl>
    <w:p w14:paraId="54B905E2" w14:textId="77777777" w:rsidR="008125E2" w:rsidRDefault="008125E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074"/>
        <w:gridCol w:w="1911"/>
        <w:gridCol w:w="2319"/>
        <w:gridCol w:w="2194"/>
      </w:tblGrid>
      <w:tr w:rsidR="004F0101" w:rsidRPr="004F0101" w14:paraId="1B1E2683" w14:textId="77777777" w:rsidTr="00E051EE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4F0101" w:rsidRPr="004F0101" w14:paraId="67DAE050" w14:textId="77777777" w:rsidTr="00F45D26">
        <w:trPr>
          <w:trHeight w:val="315"/>
          <w:jc w:val="center"/>
        </w:trPr>
        <w:tc>
          <w:tcPr>
            <w:tcW w:w="161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06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376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4F0101" w:rsidRPr="004F0101" w14:paraId="23C7C237" w14:textId="77777777" w:rsidTr="00B359F9">
        <w:trPr>
          <w:trHeight w:val="700"/>
          <w:jc w:val="center"/>
        </w:trPr>
        <w:tc>
          <w:tcPr>
            <w:tcW w:w="161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4F0101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4F0101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04A0439F" w:rsidR="00636C15" w:rsidRPr="004F0101" w:rsidRDefault="00941C0E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464C2027" w:rsidR="00636C15" w:rsidRPr="004F0101" w:rsidRDefault="00941C0E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636C15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941C0E" w:rsidRPr="004F0101" w14:paraId="6B065B03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941C0E" w:rsidRPr="004F0101" w:rsidRDefault="00941C0E" w:rsidP="00941C0E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Προϊόντ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77777777" w:rsidR="00941C0E" w:rsidRPr="004F0101" w:rsidRDefault="00941C0E" w:rsidP="00941C0E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749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0AD81F3E" w14:textId="37CE481D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-2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62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505278A7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24</w:t>
            </w:r>
          </w:p>
        </w:tc>
      </w:tr>
      <w:tr w:rsidR="00941C0E" w:rsidRPr="004F0101" w14:paraId="6A6F5649" w14:textId="77777777" w:rsidTr="00941C0E">
        <w:trPr>
          <w:trHeight w:val="567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941C0E" w:rsidRPr="004F0101" w:rsidRDefault="00941C0E" w:rsidP="00941C0E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Βιομηχ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941C0E" w:rsidRPr="004F0101" w:rsidRDefault="00941C0E" w:rsidP="00941C0E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εκτός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αιοειδών)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77777777" w:rsidR="00941C0E" w:rsidRPr="004F0101" w:rsidRDefault="00941C0E" w:rsidP="00941C0E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4021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8C258B" w14:textId="12A8E2D5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-2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06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0ED72963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79</w:t>
            </w:r>
          </w:p>
        </w:tc>
      </w:tr>
      <w:tr w:rsidR="00941C0E" w:rsidRPr="004F0101" w14:paraId="3370FFAD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77777777" w:rsidR="00941C0E" w:rsidRPr="004F0101" w:rsidRDefault="00941C0E" w:rsidP="00941C0E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1" w:name="_Hlk149742109"/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77777777" w:rsidR="00941C0E" w:rsidRPr="004F0101" w:rsidRDefault="00941C0E" w:rsidP="00941C0E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316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5CFD39D9" w14:textId="229A2BDD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-7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54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5971BC94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69</w:t>
            </w:r>
          </w:p>
        </w:tc>
      </w:tr>
      <w:tr w:rsidR="00941C0E" w:rsidRPr="004F0101" w14:paraId="55D46229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941C0E" w:rsidRPr="004F0101" w:rsidRDefault="00941C0E" w:rsidP="00941C0E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αιοειδή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77777777" w:rsidR="00941C0E" w:rsidRPr="004F0101" w:rsidRDefault="00941C0E" w:rsidP="00941C0E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871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49086C" w14:textId="2410C42B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66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36F65F08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17</w:t>
            </w:r>
          </w:p>
        </w:tc>
      </w:tr>
      <w:tr w:rsidR="00941C0E" w:rsidRPr="004F0101" w14:paraId="00D702E5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4FC6B0A3" w14:textId="77777777" w:rsidR="00941C0E" w:rsidRPr="004F0101" w:rsidRDefault="00941C0E" w:rsidP="00941C0E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Νερό</w:t>
            </w:r>
            <w:proofErr w:type="spellEnd"/>
          </w:p>
        </w:tc>
        <w:tc>
          <w:tcPr>
            <w:tcW w:w="1006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14732CB7" w14:textId="77777777" w:rsidR="00941C0E" w:rsidRPr="004F0101" w:rsidRDefault="00941C0E" w:rsidP="00941C0E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72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2187379B" w14:textId="6E2FCBA1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B6D07F4" w14:textId="3AFA645C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</w:tr>
      <w:tr w:rsidR="00941C0E" w:rsidRPr="004F0101" w14:paraId="1CD39D67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941C0E" w:rsidRPr="004F0101" w:rsidRDefault="00941C0E" w:rsidP="00941C0E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0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7777777" w:rsidR="00941C0E" w:rsidRPr="004F0101" w:rsidRDefault="00941C0E" w:rsidP="00941C0E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4F0101">
              <w:rPr>
                <w:rFonts w:ascii="Verdana" w:hAnsi="Verdana"/>
                <w:color w:val="366092"/>
                <w:sz w:val="18"/>
                <w:szCs w:val="18"/>
              </w:rPr>
              <w:t>3971</w:t>
            </w:r>
          </w:p>
        </w:tc>
        <w:tc>
          <w:tcPr>
            <w:tcW w:w="1221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2DD5BD5A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97</w:t>
            </w:r>
          </w:p>
        </w:tc>
        <w:tc>
          <w:tcPr>
            <w:tcW w:w="1155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24840DFA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color w:val="366092"/>
                <w:sz w:val="18"/>
                <w:szCs w:val="18"/>
              </w:rPr>
              <w:t>21</w:t>
            </w:r>
          </w:p>
        </w:tc>
      </w:tr>
      <w:tr w:rsidR="00941C0E" w:rsidRPr="004F0101" w14:paraId="331F509F" w14:textId="77777777" w:rsidTr="00941C0E">
        <w:trPr>
          <w:trHeight w:val="397"/>
          <w:jc w:val="center"/>
        </w:trPr>
        <w:tc>
          <w:tcPr>
            <w:tcW w:w="161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941C0E" w:rsidRPr="004F0101" w:rsidRDefault="00941C0E" w:rsidP="00941C0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0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941C0E" w:rsidRPr="002E50E7" w:rsidRDefault="00941C0E" w:rsidP="00941C0E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E50E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4B98237D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-0</w:t>
            </w:r>
            <w:r w:rsidR="0083598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33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6D2C199D" w:rsidR="00941C0E" w:rsidRPr="00941C0E" w:rsidRDefault="00941C0E" w:rsidP="00941C0E">
            <w:pPr>
              <w:ind w:right="92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941C0E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 w:rsidR="0083598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941C0E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46</w:t>
            </w:r>
          </w:p>
        </w:tc>
      </w:tr>
    </w:tbl>
    <w:p w14:paraId="29FEB02E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AB9A93B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44" w:type="pct"/>
        <w:jc w:val="center"/>
        <w:tblLayout w:type="fixed"/>
        <w:tblLook w:val="04A0" w:firstRow="1" w:lastRow="0" w:firstColumn="1" w:lastColumn="0" w:noHBand="0" w:noVBand="1"/>
      </w:tblPr>
      <w:tblGrid>
        <w:gridCol w:w="3258"/>
        <w:gridCol w:w="1523"/>
        <w:gridCol w:w="2353"/>
        <w:gridCol w:w="2347"/>
      </w:tblGrid>
      <w:tr w:rsidR="004F0101" w:rsidRPr="004F0101" w14:paraId="4C388DF5" w14:textId="77777777" w:rsidTr="00E051EE">
        <w:trPr>
          <w:trHeight w:hRule="exact" w:val="340"/>
          <w:jc w:val="center"/>
        </w:trPr>
        <w:tc>
          <w:tcPr>
            <w:tcW w:w="3762" w:type="pct"/>
            <w:gridSpan w:val="3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F9E1214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  <w:tc>
          <w:tcPr>
            <w:tcW w:w="1238" w:type="pct"/>
            <w:tcBorders>
              <w:bottom w:val="single" w:sz="4" w:space="0" w:color="366092"/>
            </w:tcBorders>
            <w:shd w:val="clear" w:color="FFFFFF" w:fill="FFFFFF"/>
          </w:tcPr>
          <w:p w14:paraId="5E285458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4F0101" w:rsidRPr="004F0101" w14:paraId="32300C6F" w14:textId="77777777" w:rsidTr="00777AEB">
        <w:trPr>
          <w:trHeight w:val="375"/>
          <w:jc w:val="center"/>
        </w:trPr>
        <w:tc>
          <w:tcPr>
            <w:tcW w:w="1718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0AACF9D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803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3EB8B2F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479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47590D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τωση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941C0E" w:rsidRPr="004F0101" w14:paraId="019AB947" w14:textId="77777777" w:rsidTr="002D5B4A">
        <w:trPr>
          <w:trHeight w:val="615"/>
          <w:jc w:val="center"/>
        </w:trPr>
        <w:tc>
          <w:tcPr>
            <w:tcW w:w="1718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7859C773" w14:textId="77777777" w:rsidR="00941C0E" w:rsidRPr="004F0101" w:rsidRDefault="00941C0E" w:rsidP="00941C0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274591C5" w14:textId="77777777" w:rsidR="00941C0E" w:rsidRPr="004F0101" w:rsidRDefault="00941C0E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23F64714" w14:textId="7D05175D" w:rsidR="00941C0E" w:rsidRPr="004F0101" w:rsidRDefault="00941C0E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238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4C0BF3F4" w14:textId="05E8AF40" w:rsidR="00941C0E" w:rsidRPr="004F0101" w:rsidRDefault="00941C0E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941C0E" w:rsidRPr="004F0101" w14:paraId="5947B44C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7C27FE8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2" w:name="_Hlk168556548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  <w:bookmarkEnd w:id="2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BB1BA13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C3C6B98" w14:textId="2FB69F38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F86BAD" w14:textId="04AB2F67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09</w:t>
            </w:r>
          </w:p>
        </w:tc>
      </w:tr>
      <w:tr w:rsidR="00941C0E" w:rsidRPr="004F0101" w14:paraId="15E28FB3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DCA964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25B3CBD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1360F93" w14:textId="40D309BD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01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2007056" w14:textId="019D7A09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941C0E" w:rsidRPr="004F0101" w14:paraId="108CD38A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AF94A1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DE5ACB7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F1FEC94" w14:textId="134C90DB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51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6C3CC99" w14:textId="5A849336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25</w:t>
            </w:r>
          </w:p>
        </w:tc>
      </w:tr>
      <w:tr w:rsidR="00941C0E" w:rsidRPr="004F0101" w14:paraId="318667D3" w14:textId="77777777" w:rsidTr="00941C0E">
        <w:trPr>
          <w:trHeight w:val="616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59C1354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Ηλεκτρισμός και Υγραέριο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F9E27D9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1119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16BA1BA" w14:textId="2E7D0266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18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92813A5" w14:textId="6967969F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12</w:t>
            </w:r>
          </w:p>
        </w:tc>
      </w:tr>
      <w:tr w:rsidR="00941C0E" w:rsidRPr="004F0101" w14:paraId="215783F0" w14:textId="77777777" w:rsidTr="00941C0E">
        <w:trPr>
          <w:trHeight w:val="607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C49E88D" w14:textId="7513D45F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Επίπλωση, Οικιακός Εξοπλισμός και Προϊόντα Καθαρισμού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A6B31B8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644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D5F1C6C" w14:textId="11B5A7E9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07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D242BF" w14:textId="2A8BF2A0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04</w:t>
            </w:r>
          </w:p>
        </w:tc>
      </w:tr>
      <w:tr w:rsidR="00941C0E" w:rsidRPr="004F0101" w14:paraId="107081D7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56D4CE7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D2C1508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2FA8F3" w14:textId="32257B4F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08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15256" w14:textId="6A094A3F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941C0E" w:rsidRPr="004F0101" w14:paraId="120C2413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31CB5A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C532904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1524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D5958D0" w14:textId="187D5B74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07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B12603" w14:textId="1B6C14CD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04</w:t>
            </w:r>
          </w:p>
        </w:tc>
      </w:tr>
      <w:tr w:rsidR="00941C0E" w:rsidRPr="004F0101" w14:paraId="211DF7D2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6D09E5A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C57DE67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439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FBEB10" w14:textId="2E571266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8758FE5" w14:textId="371F7133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941C0E" w:rsidRPr="004F0101" w14:paraId="5A0817DE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5B8EC8A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αψυχή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25714EA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575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CA4A59" w14:textId="496BC62C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92FD32" w14:textId="4766F573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01</w:t>
            </w:r>
          </w:p>
        </w:tc>
      </w:tr>
      <w:tr w:rsidR="00941C0E" w:rsidRPr="004F0101" w14:paraId="731D634B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887C0A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60B3DB0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4A494E" w14:textId="4AE7518F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16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EAE9EF" w14:textId="1509FEBC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05</w:t>
            </w:r>
          </w:p>
        </w:tc>
      </w:tr>
      <w:tr w:rsidR="00941C0E" w:rsidRPr="004F0101" w14:paraId="68212E85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771C9F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Εστι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ατόρια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Ξ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ενοδοχεί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91DAA6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B7DF8CE" w14:textId="74252FF3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48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ABEE342" w14:textId="04FEE8AD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</w:tr>
      <w:tr w:rsidR="00941C0E" w:rsidRPr="004F0101" w14:paraId="5C63625A" w14:textId="77777777" w:rsidTr="00941C0E">
        <w:trPr>
          <w:trHeight w:val="375"/>
          <w:jc w:val="center"/>
        </w:trPr>
        <w:tc>
          <w:tcPr>
            <w:tcW w:w="1718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C029276" w14:textId="77777777" w:rsidR="00941C0E" w:rsidRPr="004F0101" w:rsidRDefault="00941C0E" w:rsidP="00941C0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Άλλ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γα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θά</w:t>
            </w:r>
            <w:proofErr w:type="spellEnd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803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9B99327" w14:textId="77777777" w:rsidR="00941C0E" w:rsidRPr="004F0101" w:rsidRDefault="00941C0E" w:rsidP="00941C0E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860</w:t>
            </w:r>
          </w:p>
        </w:tc>
        <w:tc>
          <w:tcPr>
            <w:tcW w:w="1241" w:type="pct"/>
            <w:tcBorders>
              <w:top w:val="nil"/>
              <w:bottom w:val="single" w:sz="4" w:space="0" w:color="366092"/>
            </w:tcBorders>
            <w:shd w:val="clear" w:color="FFFFFF" w:fill="FFFFFF"/>
            <w:vAlign w:val="center"/>
          </w:tcPr>
          <w:p w14:paraId="0F4F3AA7" w14:textId="6AAF19EA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06</w:t>
            </w:r>
          </w:p>
        </w:tc>
        <w:tc>
          <w:tcPr>
            <w:tcW w:w="1238" w:type="pct"/>
            <w:tcBorders>
              <w:top w:val="nil"/>
              <w:bottom w:val="single" w:sz="4" w:space="0" w:color="366092"/>
            </w:tcBorders>
            <w:shd w:val="clear" w:color="FFFFFF" w:fill="FFFFFF"/>
            <w:vAlign w:val="center"/>
          </w:tcPr>
          <w:p w14:paraId="6D89D954" w14:textId="4CB62629" w:rsidR="00941C0E" w:rsidRPr="004F0101" w:rsidRDefault="00941C0E" w:rsidP="00941C0E">
            <w:pPr>
              <w:ind w:right="896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03</w:t>
            </w:r>
          </w:p>
        </w:tc>
      </w:tr>
      <w:tr w:rsidR="00941C0E" w:rsidRPr="004F0101" w14:paraId="6771A5B6" w14:textId="77777777" w:rsidTr="00941C0E">
        <w:trPr>
          <w:trHeight w:hRule="exact" w:val="567"/>
          <w:jc w:val="center"/>
        </w:trPr>
        <w:tc>
          <w:tcPr>
            <w:tcW w:w="171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BC0F3D4" w14:textId="77777777" w:rsidR="00941C0E" w:rsidRPr="004F0101" w:rsidRDefault="00941C0E" w:rsidP="00941C0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803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45703C0" w14:textId="77777777" w:rsidR="00941C0E" w:rsidRPr="004F0101" w:rsidRDefault="00941C0E" w:rsidP="00941C0E">
            <w:pPr>
              <w:ind w:firstLineChars="100" w:firstLine="181"/>
              <w:jc w:val="center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41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7937C0C7" w14:textId="53CC2356" w:rsidR="00941C0E" w:rsidRPr="00941C0E" w:rsidRDefault="00941C0E" w:rsidP="00941C0E">
            <w:pPr>
              <w:ind w:right="896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-0</w:t>
            </w:r>
            <w:r w:rsidR="0083598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39</w:t>
            </w:r>
          </w:p>
        </w:tc>
        <w:tc>
          <w:tcPr>
            <w:tcW w:w="1238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AEB7EF0" w14:textId="64AD05C2" w:rsidR="00941C0E" w:rsidRPr="00941C0E" w:rsidRDefault="00941C0E" w:rsidP="00941C0E">
            <w:pPr>
              <w:ind w:right="896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83598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941C0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54</w:t>
            </w:r>
          </w:p>
        </w:tc>
      </w:tr>
      <w:tr w:rsidR="004F0101" w:rsidRPr="004F0101" w14:paraId="29A93ED0" w14:textId="77777777" w:rsidTr="00777AEB">
        <w:trPr>
          <w:trHeight w:val="440"/>
          <w:jc w:val="center"/>
        </w:trPr>
        <w:tc>
          <w:tcPr>
            <w:tcW w:w="5000" w:type="pct"/>
            <w:gridSpan w:val="4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CA907A1" w14:textId="77777777" w:rsidR="00A36D89" w:rsidRPr="004F0101" w:rsidRDefault="00A36D89" w:rsidP="006022B5">
            <w:pPr>
              <w:rPr>
                <w:rFonts w:ascii="Verdana" w:eastAsia="Times New Roman" w:hAnsi="Verdana" w:cs="Arial"/>
                <w:bCs/>
                <w:color w:val="366092"/>
                <w:sz w:val="6"/>
                <w:szCs w:val="6"/>
                <w:lang w:val="el-GR"/>
              </w:rPr>
            </w:pPr>
          </w:p>
          <w:p w14:paraId="0DEF1FF2" w14:textId="34885900" w:rsidR="006022B5" w:rsidRPr="004F0101" w:rsidRDefault="006022B5" w:rsidP="006022B5">
            <w:pPr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δυο δεκαδικών</w:t>
            </w:r>
            <w:r w:rsidR="005D5F35"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  <w:r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Πιθανές διαφορές στα αθροίσματα είναι λόγω σφάλματος στρογγυλοποίησης</w:t>
            </w:r>
            <w:r w:rsidR="005D5F35"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</w:rPr>
              <w:t>.</w:t>
            </w:r>
            <w:r w:rsidRPr="004F010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   </w:t>
            </w:r>
          </w:p>
        </w:tc>
      </w:tr>
    </w:tbl>
    <w:p w14:paraId="5CDB785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</w:p>
    <w:p w14:paraId="6AA5A0F0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08D04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1110F0F" w14:textId="20E3219F" w:rsidR="00E21D72" w:rsidRDefault="00A36D89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sz w:val="18"/>
          <w:szCs w:val="18"/>
          <w:u w:val="single"/>
          <w:lang w:val="el-GR"/>
        </w:rPr>
        <w:br w:type="page"/>
      </w: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4F0101" w:rsidRPr="004F0101" w14:paraId="3F2DDA13" w14:textId="77777777" w:rsidTr="00E051EE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7883388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bookmarkStart w:id="3" w:name="OLE_LINK9"/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4</w:t>
            </w:r>
          </w:p>
        </w:tc>
      </w:tr>
      <w:tr w:rsidR="004F0101" w:rsidRPr="004F0101" w14:paraId="66D24933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D13D382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A5FC70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4505D6" w:rsidRPr="004F0101" w14:paraId="5006246C" w14:textId="77777777" w:rsidTr="0074032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C4F14AD" w14:textId="77777777" w:rsidR="004505D6" w:rsidRPr="004F0101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0D900F1" w14:textId="1012E4B2" w:rsidR="004505D6" w:rsidRPr="004F0101" w:rsidRDefault="005B2E7C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F1166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4505D6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="00F1166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4505D6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4F0101" w:rsidRPr="004F0101" w14:paraId="65257A6A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6B01B47" w14:textId="0B4FB385" w:rsidR="00216205" w:rsidRPr="004F0101" w:rsidRDefault="00216205" w:rsidP="0021620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Θετική</w:t>
            </w:r>
            <w:proofErr w:type="spellEnd"/>
            <w:r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 </w:t>
            </w:r>
            <w:r w:rsidR="00F13540"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</w:t>
            </w:r>
            <w:proofErr w:type="spellStart"/>
            <w:r w:rsidRPr="004F01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τωση</w:t>
            </w:r>
            <w:proofErr w:type="spellEnd"/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D1336AD" w14:textId="73D928B5" w:rsidR="00216205" w:rsidRPr="004F0101" w:rsidRDefault="00216205" w:rsidP="00216205">
            <w:pPr>
              <w:ind w:right="1304" w:firstLineChars="200" w:firstLine="360"/>
              <w:jc w:val="center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941C0E" w:rsidRPr="004F0101" w14:paraId="6E5AF7BA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202D" w14:textId="2D6152B6" w:rsidR="00941C0E" w:rsidRPr="004F0101" w:rsidRDefault="00941C0E" w:rsidP="00941C0E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Υπ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ηρεσίες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Τροφοδοσί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>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D5F39" w14:textId="504ACDE3" w:rsidR="00941C0E" w:rsidRPr="00144489" w:rsidRDefault="00941C0E" w:rsidP="00941C0E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50</w:t>
            </w:r>
          </w:p>
        </w:tc>
      </w:tr>
      <w:tr w:rsidR="00941C0E" w:rsidRPr="004F0101" w14:paraId="33A68CE0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9B99" w14:textId="16944AB4" w:rsidR="00941C0E" w:rsidRPr="004F0101" w:rsidRDefault="00941C0E" w:rsidP="00941C0E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Υπηρεσίες για Τακτική Συντήρηση Κατοικίας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0E55" w14:textId="28D6499C" w:rsidR="00941C0E" w:rsidRPr="00144489" w:rsidRDefault="00941C0E" w:rsidP="00941C0E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12</w:t>
            </w:r>
          </w:p>
        </w:tc>
      </w:tr>
      <w:tr w:rsidR="00941C0E" w:rsidRPr="004F0101" w14:paraId="5B57BFFD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C30A" w14:textId="4A296A0C" w:rsidR="00941C0E" w:rsidRPr="004F0101" w:rsidRDefault="00941C0E" w:rsidP="00941C0E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41C0E"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Πραγματικά Μισθώματα για Κύρια Οικία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857A8" w14:textId="1251DE8B" w:rsidR="00941C0E" w:rsidRPr="00144489" w:rsidRDefault="00941C0E" w:rsidP="00941C0E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10</w:t>
            </w:r>
          </w:p>
        </w:tc>
      </w:tr>
      <w:tr w:rsidR="00941C0E" w:rsidRPr="004F0101" w14:paraId="22FA0A3F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97CA" w14:textId="02D07BAC" w:rsidR="00941C0E" w:rsidRPr="004F0101" w:rsidRDefault="00941C0E" w:rsidP="00941C0E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Φρέσκ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α 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Φρούτ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>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E0F34" w14:textId="64CE442E" w:rsidR="00941C0E" w:rsidRPr="00144489" w:rsidRDefault="00941C0E" w:rsidP="00941C0E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08</w:t>
            </w:r>
          </w:p>
        </w:tc>
      </w:tr>
      <w:tr w:rsidR="00941C0E" w:rsidRPr="004F0101" w14:paraId="0E85305C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DA68DA" w14:textId="132534BA" w:rsidR="00941C0E" w:rsidRPr="004F0101" w:rsidRDefault="00941C0E" w:rsidP="00941C0E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Υγρ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>αεριο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AF545D7" w14:textId="0C94BB46" w:rsidR="00941C0E" w:rsidRPr="00144489" w:rsidRDefault="00941C0E" w:rsidP="00941C0E">
            <w:pPr>
              <w:ind w:right="1138" w:firstLineChars="200" w:firstLine="36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06</w:t>
            </w:r>
          </w:p>
        </w:tc>
      </w:tr>
      <w:tr w:rsidR="004F0101" w:rsidRPr="004F0101" w14:paraId="0937B39D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C6FDC" w14:textId="3B33446B" w:rsidR="008C1D59" w:rsidRPr="004F0101" w:rsidRDefault="008F2E04" w:rsidP="00052D7F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Διάφορα Άλλα Προϊόντα και Υπηρεσίες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77BF376" w14:textId="34B00519" w:rsidR="00941C0E" w:rsidRPr="00144489" w:rsidRDefault="008C1D59" w:rsidP="00941C0E">
            <w:pPr>
              <w:ind w:right="1138" w:firstLineChars="200" w:firstLine="36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0,</w:t>
            </w:r>
            <w:r w:rsidR="00941C0E" w:rsidRPr="001444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11</w:t>
            </w:r>
          </w:p>
        </w:tc>
      </w:tr>
      <w:tr w:rsidR="004F0101" w:rsidRPr="004F0101" w14:paraId="5F56DE30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5CA1F54" w14:textId="162FE831" w:rsidR="00EA4C7B" w:rsidRPr="004F0101" w:rsidRDefault="00EA4C7B" w:rsidP="00EA4C7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 xml:space="preserve">Αρνητική </w:t>
            </w:r>
            <w:r w:rsidR="00F13540"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620B1EE" w14:textId="37C419D7" w:rsidR="00EA4C7B" w:rsidRPr="00144489" w:rsidRDefault="00EA4C7B" w:rsidP="00B350FC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941C0E" w:rsidRPr="004F0101" w14:paraId="157F0974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212099" w14:textId="600B380E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Είδη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Ένδυσης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 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1EC68D8" w14:textId="17E81513" w:rsidR="00941C0E" w:rsidRPr="00144489" w:rsidRDefault="00941C0E" w:rsidP="00941C0E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43</w:t>
            </w:r>
          </w:p>
        </w:tc>
      </w:tr>
      <w:tr w:rsidR="00941C0E" w:rsidRPr="004F0101" w14:paraId="2F716C77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D3F082" w14:textId="2157F045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Ηλεκτρισμός</w:t>
            </w:r>
            <w:proofErr w:type="spellEnd"/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2BE73E9" w14:textId="0AA98138" w:rsidR="00941C0E" w:rsidRPr="00144489" w:rsidRDefault="00941C0E" w:rsidP="00941C0E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43</w:t>
            </w:r>
          </w:p>
        </w:tc>
      </w:tr>
      <w:tr w:rsidR="00941C0E" w:rsidRPr="004F0101" w14:paraId="570A4848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F0F561" w14:textId="0C9305FE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Πα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τάτες</w:t>
            </w:r>
            <w:proofErr w:type="spellEnd"/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7028739" w14:textId="54E0B5FA" w:rsidR="00941C0E" w:rsidRPr="00144489" w:rsidRDefault="00941C0E" w:rsidP="00941C0E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28</w:t>
            </w:r>
          </w:p>
        </w:tc>
      </w:tr>
      <w:tr w:rsidR="00941C0E" w:rsidRPr="004F0101" w14:paraId="769D35E4" w14:textId="77777777" w:rsidTr="00E051EE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0E6356C1" w14:textId="2C7286FD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Πετρελ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>αιοειδή</w:t>
            </w:r>
          </w:p>
        </w:tc>
        <w:tc>
          <w:tcPr>
            <w:tcW w:w="3227" w:type="dxa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1403F365" w14:textId="0D16A722" w:rsidR="00941C0E" w:rsidRPr="00144489" w:rsidRDefault="00941C0E" w:rsidP="00941C0E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22</w:t>
            </w:r>
          </w:p>
        </w:tc>
      </w:tr>
      <w:tr w:rsidR="004F0101" w:rsidRPr="004F0101" w14:paraId="7CE0AC98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7235CD23" w14:textId="12E6FA06" w:rsidR="00EA4C7B" w:rsidRPr="004F0101" w:rsidRDefault="00EA4C7B" w:rsidP="00EA4C7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150BB30D" w14:textId="1525A7BB" w:rsidR="00EA4C7B" w:rsidRPr="00144489" w:rsidRDefault="00A948D3" w:rsidP="00B350FC">
            <w:pPr>
              <w:ind w:right="1138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-</w:t>
            </w:r>
            <w:r w:rsidR="004505D6" w:rsidRPr="0014448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0</w:t>
            </w:r>
            <w:r w:rsidR="007874D2" w:rsidRPr="0014448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,</w:t>
            </w:r>
            <w:r w:rsidR="004505D6" w:rsidRPr="0014448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39</w:t>
            </w:r>
          </w:p>
        </w:tc>
      </w:tr>
      <w:bookmarkEnd w:id="3"/>
    </w:tbl>
    <w:p w14:paraId="42BB662F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n-GB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4F0101" w:rsidRPr="004F0101" w14:paraId="59D19A26" w14:textId="77777777" w:rsidTr="00144489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A682EA1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4F0101" w:rsidRPr="004F0101" w14:paraId="5E069138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9137E77" w14:textId="77777777" w:rsidR="006022B5" w:rsidRPr="004F01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BE79330" w14:textId="77777777" w:rsidR="006022B5" w:rsidRPr="004F01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4505D6" w:rsidRPr="004F0101" w14:paraId="0C3752BC" w14:textId="77777777" w:rsidTr="008C7CA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CFE0A0E" w14:textId="77777777" w:rsidR="004505D6" w:rsidRPr="004F0101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78D48676" w14:textId="211C5F6E" w:rsidR="004505D6" w:rsidRPr="004F0101" w:rsidRDefault="00F1166E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4505D6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4505D6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4505D6" w:rsidRPr="004F01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4F0101" w:rsidRPr="004F0101" w14:paraId="446C362D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BE80B9" w14:textId="50FCED64" w:rsidR="003968D1" w:rsidRPr="004F0101" w:rsidRDefault="00936D92" w:rsidP="003968D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 xml:space="preserve">Θετική </w:t>
            </w:r>
            <w:r w:rsidR="00F13540"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75CF692" w14:textId="77777777" w:rsidR="003968D1" w:rsidRPr="004F0101" w:rsidRDefault="003968D1" w:rsidP="003968D1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941C0E" w:rsidRPr="004F0101" w14:paraId="0F1E746A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75C978" w14:textId="76D16C4B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bookmarkStart w:id="4" w:name="_Hlk197438631"/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Είδη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Ένδυσης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EF734" w14:textId="313ED395" w:rsidR="00941C0E" w:rsidRPr="00144489" w:rsidRDefault="00941C0E" w:rsidP="00941C0E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17</w:t>
            </w:r>
          </w:p>
        </w:tc>
      </w:tr>
      <w:tr w:rsidR="00941C0E" w:rsidRPr="004F0101" w14:paraId="3457F7A2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BCFE4D" w14:textId="04300477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Φρέσκ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>α Λαχα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νικά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74C289" w14:textId="28466554" w:rsidR="00941C0E" w:rsidRPr="00144489" w:rsidRDefault="00941C0E" w:rsidP="00941C0E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16</w:t>
            </w:r>
          </w:p>
        </w:tc>
      </w:tr>
      <w:tr w:rsidR="00941C0E" w:rsidRPr="004F0101" w14:paraId="1E797F73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87F66" w14:textId="37780D85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Ηλεκτρισμός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C2CA5" w14:textId="2A8CABBA" w:rsidR="00941C0E" w:rsidRPr="00144489" w:rsidRDefault="00941C0E" w:rsidP="00941C0E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09</w:t>
            </w:r>
          </w:p>
        </w:tc>
      </w:tr>
      <w:tr w:rsidR="00941C0E" w:rsidRPr="004F0101" w14:paraId="6B057E0A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7ECBBC" w14:textId="343C1C14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Είδη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 Υπ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όδησης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AA1FE" w14:textId="59A5019F" w:rsidR="00941C0E" w:rsidRPr="00144489" w:rsidRDefault="00941C0E" w:rsidP="00941C0E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08</w:t>
            </w:r>
          </w:p>
        </w:tc>
      </w:tr>
      <w:tr w:rsidR="008B6607" w:rsidRPr="004F0101" w14:paraId="6FF13D4A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3A4177" w14:textId="58F8D287" w:rsidR="008B6607" w:rsidRPr="008B6607" w:rsidRDefault="00144489" w:rsidP="008B6607">
            <w:pPr>
              <w:ind w:left="326"/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Διάφορα Άλλα Προϊόντα και Υπηρεσίες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E604D" w14:textId="5CEE01ED" w:rsidR="00835986" w:rsidRPr="00144489" w:rsidRDefault="008B6607" w:rsidP="00835986">
            <w:pPr>
              <w:ind w:right="1304" w:firstLineChars="200" w:firstLine="36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</w:p>
        </w:tc>
      </w:tr>
      <w:bookmarkEnd w:id="4"/>
      <w:tr w:rsidR="004F0101" w:rsidRPr="004F0101" w14:paraId="704E8429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E156208" w14:textId="77777777" w:rsidR="00E94D3D" w:rsidRPr="004F0101" w:rsidRDefault="00E94D3D" w:rsidP="000B285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55EC8EA" w14:textId="77777777" w:rsidR="00E94D3D" w:rsidRPr="00144489" w:rsidRDefault="00E94D3D" w:rsidP="0009301B">
            <w:pPr>
              <w:ind w:left="326"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941C0E" w:rsidRPr="004F0101" w14:paraId="4B64A063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F12EB9" w14:textId="72F490ED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Φρέσκ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 xml:space="preserve">α 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Φρούτ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>α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49A380A" w14:textId="563E76EF" w:rsidR="00941C0E" w:rsidRPr="00144489" w:rsidRDefault="00941C0E" w:rsidP="00941C0E">
            <w:pPr>
              <w:ind w:left="326" w:right="1266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15</w:t>
            </w:r>
          </w:p>
        </w:tc>
      </w:tr>
      <w:tr w:rsidR="00941C0E" w:rsidRPr="004F0101" w14:paraId="4A4B0AD6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F1B693" w14:textId="6BE82ADC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Πετρελ</w:t>
            </w:r>
            <w:proofErr w:type="spellEnd"/>
            <w:r>
              <w:rPr>
                <w:rFonts w:ascii="Verdana" w:hAnsi="Verdana" w:cs="Arial"/>
                <w:color w:val="365F91"/>
                <w:sz w:val="18"/>
                <w:szCs w:val="18"/>
              </w:rPr>
              <w:t>αιοειδή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6FF5F87F" w14:textId="16D649CA" w:rsidR="00941C0E" w:rsidRPr="00144489" w:rsidRDefault="00941C0E" w:rsidP="00941C0E">
            <w:pPr>
              <w:ind w:left="326" w:right="1266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03</w:t>
            </w:r>
          </w:p>
        </w:tc>
      </w:tr>
      <w:tr w:rsidR="00941C0E" w:rsidRPr="004F0101" w14:paraId="1DD79AFA" w14:textId="77777777" w:rsidTr="0009301B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3DCF3F5" w14:textId="3ED50984" w:rsidR="00941C0E" w:rsidRPr="004F0101" w:rsidRDefault="00941C0E" w:rsidP="00941C0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</w:rPr>
              <w:t>Πα</w:t>
            </w:r>
            <w:proofErr w:type="spellStart"/>
            <w:r>
              <w:rPr>
                <w:rFonts w:ascii="Verdana" w:hAnsi="Verdana" w:cs="Arial"/>
                <w:color w:val="365F91"/>
                <w:sz w:val="18"/>
                <w:szCs w:val="18"/>
              </w:rPr>
              <w:t>τάτες</w:t>
            </w:r>
            <w:proofErr w:type="spellEnd"/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E87E135" w14:textId="76089835" w:rsidR="00941C0E" w:rsidRPr="00144489" w:rsidRDefault="00941C0E" w:rsidP="00941C0E">
            <w:pPr>
              <w:ind w:left="326" w:right="1266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835986" w:rsidRPr="00144489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144489">
              <w:rPr>
                <w:rFonts w:ascii="Verdana" w:hAnsi="Verdana" w:cs="Arial"/>
                <w:color w:val="366092"/>
                <w:sz w:val="18"/>
                <w:szCs w:val="18"/>
              </w:rPr>
              <w:t>01</w:t>
            </w:r>
          </w:p>
        </w:tc>
      </w:tr>
      <w:tr w:rsidR="004F0101" w:rsidRPr="004F0101" w14:paraId="1696B547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4ECCD32" w14:textId="77777777" w:rsidR="00E96AE1" w:rsidRPr="004F0101" w:rsidRDefault="00E96AE1" w:rsidP="00E96AE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F01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B88B50F" w14:textId="6EDEC5F7" w:rsidR="00E96AE1" w:rsidRPr="00144489" w:rsidRDefault="00105543" w:rsidP="00A766A2">
            <w:pPr>
              <w:ind w:right="1269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4448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0</w:t>
            </w:r>
            <w:r w:rsidR="00E96AE1" w:rsidRPr="0014448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,</w:t>
            </w:r>
            <w:r w:rsidR="00835986" w:rsidRPr="0014448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54</w:t>
            </w:r>
          </w:p>
        </w:tc>
      </w:tr>
    </w:tbl>
    <w:p w14:paraId="2EB51A71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6966ED25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 (διαμένουν στην Κύπρο ή έχουν σκοπό να διαμείνουν στην Κύπρο για ένα χρόνο τουλάχιστον)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3DFD7CC9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2E042AEA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της συνολικής μεταβολής στον ΔΤΚ το οποίο οφείλεται στην αναφερόμενη κατηγορία/αγαθό/υπηρεσία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52CBA9CC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C30A3C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</w:t>
      </w:r>
      <w:r w:rsidR="00684A8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 οι αυξομειώσεις των τιμών κατά προϊόν και υπηρεσία για κάθε μήνα σταθμίζονται ανάλογα με τον πληθυσμό</w:t>
      </w:r>
      <w:r w:rsidR="00684A8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 οι συντελεστές στάθμισης για τις τέσσερις επαρχίες είναι οι εξής: Λευκωσία 42%, Λεμεσός 30%, Λάρνακα 18% και Πάφος 10%</w:t>
      </w:r>
      <w:r w:rsidR="00684A8F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11C583A1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>Οι τιμές των 805 προϊόντων και υπηρεσιών, που περιλαμβάνονται στον ΔΤΚ παρακολουθούνται και καταγράφονται μια φορά κάθε μήνα, εκτός από κάποια εποχικά προϊόντα (</w:t>
      </w:r>
      <w:proofErr w:type="spellStart"/>
      <w:r w:rsidRPr="00C30A3C">
        <w:rPr>
          <w:rFonts w:ascii="Verdana" w:eastAsia="Malgun Gothic" w:hAnsi="Verdana" w:cs="Arial"/>
          <w:sz w:val="18"/>
          <w:szCs w:val="18"/>
          <w:lang w:val="el-GR"/>
        </w:rPr>
        <w:t>π</w:t>
      </w:r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proofErr w:type="spellEnd"/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6E4423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5D5698" w14:textId="501E1886" w:rsidR="006022B5" w:rsidRPr="00497CF6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2006 μέχρι το Δεκέμβριο του 2015 ήταν το 2005=100</w:t>
      </w:r>
      <w:r w:rsidR="00040D5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</w:t>
      </w:r>
      <w:r w:rsidR="00497CF6" w:rsidRPr="00497CF6">
        <w:rPr>
          <w:rFonts w:ascii="Verdana" w:eastAsia="Malgun Gothic" w:hAnsi="Verdana" w:cs="Arial"/>
          <w:sz w:val="18"/>
          <w:szCs w:val="18"/>
          <w:lang w:val="el-GR"/>
        </w:rPr>
        <w:t>2016 και μετέπειτα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έτος αναφοράς είναι το 2015=100</w:t>
      </w:r>
      <w:r w:rsidR="00040D5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CCFF880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5411BA16" w:rsidR="00B06FC6" w:rsidRPr="009B041C" w:rsidRDefault="00297A13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297A13">
        <w:rPr>
          <w:rFonts w:ascii="Verdana" w:eastAsia="Malgun Gothic" w:hAnsi="Verdana" w:cs="Arial"/>
          <w:sz w:val="18"/>
          <w:szCs w:val="18"/>
          <w:lang w:val="el-GR"/>
        </w:rPr>
        <w:t>Μέχρι τον Δεκέμβριο του 2015, ο ΔΤΚ υπολογιζόταν και δημοσιευόταν βάσει της ταξινόμησης COICOP4 με την οποία η κατηγορία των προϊόντων καθορίζεται μέχρι τα τέσσερα ψηφία ανάλυσης</w:t>
      </w:r>
      <w:r w:rsidR="00A7165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97A13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2016 και μετέπειτα, ο ΔΤΚ υπολογίζεται και δημοσιεύεται βάσει της ταξινόμησης ECOICOP ακολουθώντας σχετικό κανονισμό της Ευρωπαϊκής Ένωσης</w:t>
      </w:r>
      <w:r w:rsidR="00A7165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97A13">
        <w:rPr>
          <w:rFonts w:ascii="Verdana" w:eastAsia="Malgun Gothic" w:hAnsi="Verdana" w:cs="Arial"/>
          <w:sz w:val="18"/>
          <w:szCs w:val="18"/>
          <w:lang w:val="el-GR"/>
        </w:rPr>
        <w:t xml:space="preserve"> Ως εκ τούτου, το χαμηλότερο επίπεδο λεπτομέρειας για την ταξινόμηση ECOICOP που χρησιμοποιείται στον ΔΤΚ είναι τα πέντε ψηφία ανάλυσης</w:t>
      </w:r>
      <w:r w:rsidR="00A7165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C00108D" w14:textId="77777777" w:rsidR="00297A13" w:rsidRPr="009B041C" w:rsidRDefault="00297A13" w:rsidP="00435E38">
      <w:pPr>
        <w:jc w:val="both"/>
        <w:rPr>
          <w:rFonts w:ascii="Verdana" w:eastAsia="Times New Roman" w:hAnsi="Verdana"/>
          <w:sz w:val="18"/>
          <w:szCs w:val="18"/>
          <w:highlight w:val="yellow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4D77D3F7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2018, τόσο τα προϊόντα που περιέχονται στον ΔΤΚ όσο και οι συντελεστές στάθμισής τους αναθεωρήθηκαν</w:t>
      </w:r>
      <w:r w:rsidR="0054164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της Έρευνας Οικογενειακών Προϋπολογισμών 2015/2016</w:t>
      </w:r>
      <w:r w:rsidR="0054164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1CE4802D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17E8B4C" w14:textId="77777777" w:rsidR="006022B5" w:rsidRPr="00E21D72" w:rsidRDefault="006022B5" w:rsidP="006022B5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Μεθοδολογικές Πληροφορίες</w:t>
        </w:r>
      </w:hyperlink>
    </w:p>
    <w:p w14:paraId="25ECF037" w14:textId="77777777" w:rsidR="004C6ABF" w:rsidRPr="00266F1F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64D3520C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5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2" w:history="1">
        <w:r w:rsidR="000F3F2A" w:rsidRPr="008D36FF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0F3F2A" w:rsidRPr="008D36FF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14489FEA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0F3F2A" w:rsidRPr="008D36FF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0F3F2A" w:rsidRPr="008D36FF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3BB2F6B7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</w:t>
        </w:r>
        <w:r w:rsidR="000F3F2A" w:rsidRPr="000F3F2A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mof</w:t>
        </w:r>
        <w:r w:rsidR="000F3F2A" w:rsidRPr="000F3F2A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gov</w:t>
        </w:r>
        <w:r w:rsidR="0098384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,</w:t>
        </w:r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cy</w:t>
        </w:r>
      </w:hyperlink>
    </w:p>
    <w:bookmarkEnd w:id="5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E21D72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E21D72" w:rsidSect="008620CD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E8D8" w14:textId="77777777" w:rsidR="0092636D" w:rsidRDefault="0092636D" w:rsidP="00FB398F">
      <w:r>
        <w:separator/>
      </w:r>
    </w:p>
  </w:endnote>
  <w:endnote w:type="continuationSeparator" w:id="0">
    <w:p w14:paraId="6CEF3E0A" w14:textId="77777777" w:rsidR="0092636D" w:rsidRDefault="0092636D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C80D18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55A438AE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C80D18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Ηλ</w:t>
    </w:r>
    <w:proofErr w:type="spellEnd"/>
    <w:r w:rsidR="00C80D18" w:rsidRPr="00C80D18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C80D18" w:rsidRPr="00C80D18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r>
      <w:fldChar w:fldCharType="begin"/>
    </w:r>
    <w:r>
      <w:instrText>HYPERLINK</w:instrText>
    </w:r>
    <w:r w:rsidRPr="00B134DE">
      <w:rPr>
        <w:lang w:val="el-GR"/>
      </w:rPr>
      <w:instrText xml:space="preserve"> "</w:instrText>
    </w:r>
    <w:r>
      <w:instrText>mailto</w:instrText>
    </w:r>
    <w:r w:rsidRPr="00B134DE">
      <w:rPr>
        <w:lang w:val="el-GR"/>
      </w:rPr>
      <w:instrText>:</w:instrText>
    </w:r>
    <w:r>
      <w:instrText>enquiries</w:instrText>
    </w:r>
    <w:r w:rsidRPr="00B134DE">
      <w:rPr>
        <w:lang w:val="el-GR"/>
      </w:rPr>
      <w:instrText>@</w:instrText>
    </w:r>
    <w:r>
      <w:instrText>cystat</w:instrText>
    </w:r>
    <w:r w:rsidRPr="00B134DE">
      <w:rPr>
        <w:lang w:val="el-GR"/>
      </w:rPr>
      <w:instrText>.</w:instrText>
    </w:r>
    <w:r>
      <w:instrText>mof</w:instrText>
    </w:r>
    <w:r w:rsidRPr="00B134DE">
      <w:rPr>
        <w:lang w:val="el-GR"/>
      </w:rPr>
      <w:instrText>.</w:instrText>
    </w:r>
    <w:r>
      <w:instrText>gov</w:instrText>
    </w:r>
    <w:r w:rsidRPr="00B134DE">
      <w:rPr>
        <w:lang w:val="el-GR"/>
      </w:rPr>
      <w:instrText>.</w:instrText>
    </w:r>
    <w:r>
      <w:instrText>cy</w:instrText>
    </w:r>
    <w:r w:rsidRPr="00B134DE">
      <w:rPr>
        <w:lang w:val="el-GR"/>
      </w:rPr>
      <w:instrText>"</w:instrText>
    </w:r>
    <w:r>
      <w:fldChar w:fldCharType="separate"/>
    </w:r>
    <w:r w:rsidRPr="00C80D18">
      <w:rPr>
        <w:rStyle w:val="Hyperlink"/>
        <w:rFonts w:ascii="Verdana" w:hAnsi="Verdana" w:cs="Arial"/>
        <w:sz w:val="16"/>
        <w:szCs w:val="16"/>
        <w:lang w:val="de-DE"/>
      </w:rPr>
      <w:t>enquiries@cystat.mof.gov.cy</w:t>
    </w:r>
    <w:r>
      <w:fldChar w:fldCharType="end"/>
    </w:r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2F721768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="004E4F42" w:rsidRPr="00C80D18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C80D18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C80D18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C80D18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C80D18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97BA" w14:textId="77777777" w:rsidR="0092636D" w:rsidRDefault="0092636D" w:rsidP="00FB398F">
      <w:r>
        <w:separator/>
      </w:r>
    </w:p>
  </w:footnote>
  <w:footnote w:type="continuationSeparator" w:id="0">
    <w:p w14:paraId="702E7B33" w14:textId="77777777" w:rsidR="0092636D" w:rsidRDefault="0092636D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542E"/>
    <w:rsid w:val="0000572F"/>
    <w:rsid w:val="00011A54"/>
    <w:rsid w:val="00011A59"/>
    <w:rsid w:val="00013AF3"/>
    <w:rsid w:val="00013E40"/>
    <w:rsid w:val="0001436B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B18"/>
    <w:rsid w:val="00027853"/>
    <w:rsid w:val="00027FDE"/>
    <w:rsid w:val="00030E18"/>
    <w:rsid w:val="00031D32"/>
    <w:rsid w:val="000323E4"/>
    <w:rsid w:val="00032B89"/>
    <w:rsid w:val="00034088"/>
    <w:rsid w:val="0003590E"/>
    <w:rsid w:val="0003603D"/>
    <w:rsid w:val="00037999"/>
    <w:rsid w:val="00040319"/>
    <w:rsid w:val="00040D50"/>
    <w:rsid w:val="00042925"/>
    <w:rsid w:val="0004388D"/>
    <w:rsid w:val="000446A6"/>
    <w:rsid w:val="00045088"/>
    <w:rsid w:val="00045A06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328F"/>
    <w:rsid w:val="00070576"/>
    <w:rsid w:val="00071169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71A"/>
    <w:rsid w:val="00083B45"/>
    <w:rsid w:val="00083C14"/>
    <w:rsid w:val="00084A02"/>
    <w:rsid w:val="00084BF7"/>
    <w:rsid w:val="00085368"/>
    <w:rsid w:val="00085B1F"/>
    <w:rsid w:val="000870E9"/>
    <w:rsid w:val="0008778C"/>
    <w:rsid w:val="00087B3C"/>
    <w:rsid w:val="00091CF5"/>
    <w:rsid w:val="0009301B"/>
    <w:rsid w:val="000932CF"/>
    <w:rsid w:val="00096ED8"/>
    <w:rsid w:val="000A1A88"/>
    <w:rsid w:val="000A2B5C"/>
    <w:rsid w:val="000A3601"/>
    <w:rsid w:val="000A50D8"/>
    <w:rsid w:val="000A6747"/>
    <w:rsid w:val="000A6FA8"/>
    <w:rsid w:val="000B0180"/>
    <w:rsid w:val="000B2DD0"/>
    <w:rsid w:val="000B4BEA"/>
    <w:rsid w:val="000B5FF1"/>
    <w:rsid w:val="000C1070"/>
    <w:rsid w:val="000C44D1"/>
    <w:rsid w:val="000C4E72"/>
    <w:rsid w:val="000C5D92"/>
    <w:rsid w:val="000C74FC"/>
    <w:rsid w:val="000D04BB"/>
    <w:rsid w:val="000D11C6"/>
    <w:rsid w:val="000D1E7A"/>
    <w:rsid w:val="000D7736"/>
    <w:rsid w:val="000E027A"/>
    <w:rsid w:val="000E24B1"/>
    <w:rsid w:val="000E2735"/>
    <w:rsid w:val="000E32D6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2921"/>
    <w:rsid w:val="00105543"/>
    <w:rsid w:val="0010612E"/>
    <w:rsid w:val="00106852"/>
    <w:rsid w:val="001079D8"/>
    <w:rsid w:val="00110F9D"/>
    <w:rsid w:val="00111708"/>
    <w:rsid w:val="00114A67"/>
    <w:rsid w:val="00114C61"/>
    <w:rsid w:val="001157E4"/>
    <w:rsid w:val="00117099"/>
    <w:rsid w:val="00123DE8"/>
    <w:rsid w:val="001253B6"/>
    <w:rsid w:val="001262C3"/>
    <w:rsid w:val="00127320"/>
    <w:rsid w:val="00127456"/>
    <w:rsid w:val="00130726"/>
    <w:rsid w:val="00131127"/>
    <w:rsid w:val="001312D8"/>
    <w:rsid w:val="0013137B"/>
    <w:rsid w:val="00132903"/>
    <w:rsid w:val="001348EF"/>
    <w:rsid w:val="0013531A"/>
    <w:rsid w:val="001412A0"/>
    <w:rsid w:val="00142C02"/>
    <w:rsid w:val="00144489"/>
    <w:rsid w:val="00147887"/>
    <w:rsid w:val="001510F4"/>
    <w:rsid w:val="0015118B"/>
    <w:rsid w:val="001519CE"/>
    <w:rsid w:val="001547F3"/>
    <w:rsid w:val="00154F3A"/>
    <w:rsid w:val="001559CE"/>
    <w:rsid w:val="00160D4C"/>
    <w:rsid w:val="0016172E"/>
    <w:rsid w:val="00161CF3"/>
    <w:rsid w:val="00162BED"/>
    <w:rsid w:val="00162C00"/>
    <w:rsid w:val="001639EF"/>
    <w:rsid w:val="0016589F"/>
    <w:rsid w:val="001708CE"/>
    <w:rsid w:val="001712CF"/>
    <w:rsid w:val="00175D28"/>
    <w:rsid w:val="00176D1B"/>
    <w:rsid w:val="0017769A"/>
    <w:rsid w:val="00183A01"/>
    <w:rsid w:val="00183DFC"/>
    <w:rsid w:val="00184384"/>
    <w:rsid w:val="001849D2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A4"/>
    <w:rsid w:val="001D3C3A"/>
    <w:rsid w:val="001D4E16"/>
    <w:rsid w:val="001D6079"/>
    <w:rsid w:val="001D613C"/>
    <w:rsid w:val="001D63F0"/>
    <w:rsid w:val="001E00D1"/>
    <w:rsid w:val="001E0E58"/>
    <w:rsid w:val="001E14F3"/>
    <w:rsid w:val="001E15ED"/>
    <w:rsid w:val="001E31B3"/>
    <w:rsid w:val="001E61AA"/>
    <w:rsid w:val="001E6DD7"/>
    <w:rsid w:val="001E73D7"/>
    <w:rsid w:val="001F0753"/>
    <w:rsid w:val="001F2779"/>
    <w:rsid w:val="001F3376"/>
    <w:rsid w:val="0020309E"/>
    <w:rsid w:val="0020687D"/>
    <w:rsid w:val="0020742D"/>
    <w:rsid w:val="0020780D"/>
    <w:rsid w:val="002102CA"/>
    <w:rsid w:val="00210424"/>
    <w:rsid w:val="00210B58"/>
    <w:rsid w:val="002160C6"/>
    <w:rsid w:val="00216205"/>
    <w:rsid w:val="002179A1"/>
    <w:rsid w:val="00222423"/>
    <w:rsid w:val="00223AEE"/>
    <w:rsid w:val="002244CB"/>
    <w:rsid w:val="00225B28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409E"/>
    <w:rsid w:val="002447D0"/>
    <w:rsid w:val="002454C5"/>
    <w:rsid w:val="00245E19"/>
    <w:rsid w:val="00246AEB"/>
    <w:rsid w:val="00250005"/>
    <w:rsid w:val="00250774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91A"/>
    <w:rsid w:val="002732AD"/>
    <w:rsid w:val="002738C2"/>
    <w:rsid w:val="002743F0"/>
    <w:rsid w:val="002754E9"/>
    <w:rsid w:val="002809B9"/>
    <w:rsid w:val="00280F75"/>
    <w:rsid w:val="00281B90"/>
    <w:rsid w:val="0028338F"/>
    <w:rsid w:val="00290AEC"/>
    <w:rsid w:val="002915C4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13F37"/>
    <w:rsid w:val="003141D0"/>
    <w:rsid w:val="003145E8"/>
    <w:rsid w:val="003149D9"/>
    <w:rsid w:val="00315D54"/>
    <w:rsid w:val="003168C1"/>
    <w:rsid w:val="00317671"/>
    <w:rsid w:val="0032215D"/>
    <w:rsid w:val="00322EC7"/>
    <w:rsid w:val="00322FBE"/>
    <w:rsid w:val="00325632"/>
    <w:rsid w:val="00325BD7"/>
    <w:rsid w:val="00327549"/>
    <w:rsid w:val="00327654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705B"/>
    <w:rsid w:val="00347874"/>
    <w:rsid w:val="003478C2"/>
    <w:rsid w:val="003522BB"/>
    <w:rsid w:val="003523C8"/>
    <w:rsid w:val="00352F6C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52ED"/>
    <w:rsid w:val="00365488"/>
    <w:rsid w:val="0037080F"/>
    <w:rsid w:val="00370C47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E9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4608"/>
    <w:rsid w:val="003B5FBA"/>
    <w:rsid w:val="003B7CDB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822"/>
    <w:rsid w:val="003D724C"/>
    <w:rsid w:val="003E0CE2"/>
    <w:rsid w:val="003E1F23"/>
    <w:rsid w:val="003E510D"/>
    <w:rsid w:val="003E623B"/>
    <w:rsid w:val="003E628B"/>
    <w:rsid w:val="003F28F9"/>
    <w:rsid w:val="003F49E4"/>
    <w:rsid w:val="003F4CB3"/>
    <w:rsid w:val="003F4D2F"/>
    <w:rsid w:val="003F5E32"/>
    <w:rsid w:val="003F75F6"/>
    <w:rsid w:val="00404469"/>
    <w:rsid w:val="00404670"/>
    <w:rsid w:val="00405220"/>
    <w:rsid w:val="00405853"/>
    <w:rsid w:val="00410B86"/>
    <w:rsid w:val="004110E8"/>
    <w:rsid w:val="00414CA0"/>
    <w:rsid w:val="004164A3"/>
    <w:rsid w:val="00422F54"/>
    <w:rsid w:val="0042304A"/>
    <w:rsid w:val="00426606"/>
    <w:rsid w:val="004274CA"/>
    <w:rsid w:val="004278F5"/>
    <w:rsid w:val="0043001A"/>
    <w:rsid w:val="00431516"/>
    <w:rsid w:val="00435E38"/>
    <w:rsid w:val="00436099"/>
    <w:rsid w:val="004361B3"/>
    <w:rsid w:val="0044197C"/>
    <w:rsid w:val="0044249D"/>
    <w:rsid w:val="0044379F"/>
    <w:rsid w:val="00444855"/>
    <w:rsid w:val="00444FCC"/>
    <w:rsid w:val="00446FB1"/>
    <w:rsid w:val="004505D6"/>
    <w:rsid w:val="00452753"/>
    <w:rsid w:val="00452DF7"/>
    <w:rsid w:val="00453E42"/>
    <w:rsid w:val="00455525"/>
    <w:rsid w:val="004578DA"/>
    <w:rsid w:val="00460761"/>
    <w:rsid w:val="0046078F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52F0"/>
    <w:rsid w:val="004F57F2"/>
    <w:rsid w:val="004F6250"/>
    <w:rsid w:val="004F677C"/>
    <w:rsid w:val="004F6D8F"/>
    <w:rsid w:val="0050077D"/>
    <w:rsid w:val="00505503"/>
    <w:rsid w:val="00510BA3"/>
    <w:rsid w:val="0051107B"/>
    <w:rsid w:val="00512F9C"/>
    <w:rsid w:val="005137BD"/>
    <w:rsid w:val="00527BC3"/>
    <w:rsid w:val="00527CDB"/>
    <w:rsid w:val="00530D25"/>
    <w:rsid w:val="00530D3A"/>
    <w:rsid w:val="005339AA"/>
    <w:rsid w:val="005341C9"/>
    <w:rsid w:val="00535337"/>
    <w:rsid w:val="005369CA"/>
    <w:rsid w:val="00536DE9"/>
    <w:rsid w:val="00541640"/>
    <w:rsid w:val="00541DEB"/>
    <w:rsid w:val="00541E08"/>
    <w:rsid w:val="00542330"/>
    <w:rsid w:val="005430FA"/>
    <w:rsid w:val="00543942"/>
    <w:rsid w:val="00543F41"/>
    <w:rsid w:val="00552E95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6A38"/>
    <w:rsid w:val="005808AB"/>
    <w:rsid w:val="00582855"/>
    <w:rsid w:val="00582C86"/>
    <w:rsid w:val="0059136C"/>
    <w:rsid w:val="00592FC4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77A5"/>
    <w:rsid w:val="005C08E4"/>
    <w:rsid w:val="005C24FC"/>
    <w:rsid w:val="005C26D5"/>
    <w:rsid w:val="005C2798"/>
    <w:rsid w:val="005C2AE4"/>
    <w:rsid w:val="005C36C3"/>
    <w:rsid w:val="005C56EE"/>
    <w:rsid w:val="005C7E42"/>
    <w:rsid w:val="005D1714"/>
    <w:rsid w:val="005D3A2C"/>
    <w:rsid w:val="005D47BE"/>
    <w:rsid w:val="005D5F35"/>
    <w:rsid w:val="005D6F71"/>
    <w:rsid w:val="005D7638"/>
    <w:rsid w:val="005E2BDE"/>
    <w:rsid w:val="005E3D8C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CF7"/>
    <w:rsid w:val="006022B5"/>
    <w:rsid w:val="00602633"/>
    <w:rsid w:val="006044B7"/>
    <w:rsid w:val="00604B95"/>
    <w:rsid w:val="00605F73"/>
    <w:rsid w:val="00606558"/>
    <w:rsid w:val="006071CE"/>
    <w:rsid w:val="006075B5"/>
    <w:rsid w:val="006075EB"/>
    <w:rsid w:val="0061018C"/>
    <w:rsid w:val="0061094E"/>
    <w:rsid w:val="00613440"/>
    <w:rsid w:val="00613BE3"/>
    <w:rsid w:val="006147E4"/>
    <w:rsid w:val="00616E81"/>
    <w:rsid w:val="00622A9F"/>
    <w:rsid w:val="0062327B"/>
    <w:rsid w:val="00624521"/>
    <w:rsid w:val="00626C5E"/>
    <w:rsid w:val="0062722A"/>
    <w:rsid w:val="006314AA"/>
    <w:rsid w:val="00632777"/>
    <w:rsid w:val="00633750"/>
    <w:rsid w:val="00634491"/>
    <w:rsid w:val="00635691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60714"/>
    <w:rsid w:val="00660862"/>
    <w:rsid w:val="00664A67"/>
    <w:rsid w:val="00664DE2"/>
    <w:rsid w:val="00667E07"/>
    <w:rsid w:val="00671119"/>
    <w:rsid w:val="00671785"/>
    <w:rsid w:val="00671907"/>
    <w:rsid w:val="00672BA9"/>
    <w:rsid w:val="00673005"/>
    <w:rsid w:val="00673C1C"/>
    <w:rsid w:val="00675B6E"/>
    <w:rsid w:val="00677AB6"/>
    <w:rsid w:val="006804BE"/>
    <w:rsid w:val="00680A4F"/>
    <w:rsid w:val="00680B85"/>
    <w:rsid w:val="00682E7E"/>
    <w:rsid w:val="0068434A"/>
    <w:rsid w:val="00684A8F"/>
    <w:rsid w:val="00687000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7F67"/>
    <w:rsid w:val="006C175F"/>
    <w:rsid w:val="006C18AA"/>
    <w:rsid w:val="006C3017"/>
    <w:rsid w:val="006C3F13"/>
    <w:rsid w:val="006C73DD"/>
    <w:rsid w:val="006C7AF3"/>
    <w:rsid w:val="006D0B9D"/>
    <w:rsid w:val="006D6548"/>
    <w:rsid w:val="006E0E20"/>
    <w:rsid w:val="006E21FE"/>
    <w:rsid w:val="006E2D96"/>
    <w:rsid w:val="006E4256"/>
    <w:rsid w:val="006E4423"/>
    <w:rsid w:val="006E4BBA"/>
    <w:rsid w:val="006E5F43"/>
    <w:rsid w:val="006E60A6"/>
    <w:rsid w:val="006E65E0"/>
    <w:rsid w:val="006E7A4A"/>
    <w:rsid w:val="006E7A9F"/>
    <w:rsid w:val="006F04B6"/>
    <w:rsid w:val="006F065A"/>
    <w:rsid w:val="006F090C"/>
    <w:rsid w:val="006F0F69"/>
    <w:rsid w:val="006F116B"/>
    <w:rsid w:val="006F117F"/>
    <w:rsid w:val="006F13DF"/>
    <w:rsid w:val="006F2780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F97"/>
    <w:rsid w:val="00711475"/>
    <w:rsid w:val="00716B5C"/>
    <w:rsid w:val="00721CD6"/>
    <w:rsid w:val="00723D60"/>
    <w:rsid w:val="0072548A"/>
    <w:rsid w:val="007277A6"/>
    <w:rsid w:val="007310AA"/>
    <w:rsid w:val="00731391"/>
    <w:rsid w:val="00733648"/>
    <w:rsid w:val="00740D3D"/>
    <w:rsid w:val="00740E93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1E3A"/>
    <w:rsid w:val="00763722"/>
    <w:rsid w:val="00763CC6"/>
    <w:rsid w:val="00764BC1"/>
    <w:rsid w:val="00765399"/>
    <w:rsid w:val="00765BDC"/>
    <w:rsid w:val="00770869"/>
    <w:rsid w:val="00771E19"/>
    <w:rsid w:val="0077314E"/>
    <w:rsid w:val="007738AA"/>
    <w:rsid w:val="00773A57"/>
    <w:rsid w:val="00774B42"/>
    <w:rsid w:val="00777375"/>
    <w:rsid w:val="00777AEB"/>
    <w:rsid w:val="00777FAE"/>
    <w:rsid w:val="00780720"/>
    <w:rsid w:val="007808C0"/>
    <w:rsid w:val="00780A62"/>
    <w:rsid w:val="00782524"/>
    <w:rsid w:val="00783241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FB7"/>
    <w:rsid w:val="007B7A39"/>
    <w:rsid w:val="007B7C1A"/>
    <w:rsid w:val="007C264F"/>
    <w:rsid w:val="007C4CDC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4F7"/>
    <w:rsid w:val="007E39F3"/>
    <w:rsid w:val="007E405E"/>
    <w:rsid w:val="007E52AF"/>
    <w:rsid w:val="007E5354"/>
    <w:rsid w:val="007E68F4"/>
    <w:rsid w:val="007E699B"/>
    <w:rsid w:val="007E6DE2"/>
    <w:rsid w:val="007E6F47"/>
    <w:rsid w:val="007F07A9"/>
    <w:rsid w:val="007F30D6"/>
    <w:rsid w:val="007F31BA"/>
    <w:rsid w:val="007F4078"/>
    <w:rsid w:val="0080014B"/>
    <w:rsid w:val="00800C50"/>
    <w:rsid w:val="00800CDA"/>
    <w:rsid w:val="00801793"/>
    <w:rsid w:val="00802AE3"/>
    <w:rsid w:val="00802E5C"/>
    <w:rsid w:val="00803642"/>
    <w:rsid w:val="008045AC"/>
    <w:rsid w:val="00806EA2"/>
    <w:rsid w:val="00807E64"/>
    <w:rsid w:val="008125E2"/>
    <w:rsid w:val="00812A2B"/>
    <w:rsid w:val="00812C83"/>
    <w:rsid w:val="0081369E"/>
    <w:rsid w:val="00814A4C"/>
    <w:rsid w:val="008227F7"/>
    <w:rsid w:val="00822B2C"/>
    <w:rsid w:val="0082599A"/>
    <w:rsid w:val="00831AAB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20CD"/>
    <w:rsid w:val="00862AEA"/>
    <w:rsid w:val="00867186"/>
    <w:rsid w:val="00867400"/>
    <w:rsid w:val="00870A33"/>
    <w:rsid w:val="00870AF6"/>
    <w:rsid w:val="00872778"/>
    <w:rsid w:val="008755E8"/>
    <w:rsid w:val="008756FA"/>
    <w:rsid w:val="00877452"/>
    <w:rsid w:val="00881268"/>
    <w:rsid w:val="00882F5F"/>
    <w:rsid w:val="0088394A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6155"/>
    <w:rsid w:val="008A2A17"/>
    <w:rsid w:val="008A36AE"/>
    <w:rsid w:val="008A42BC"/>
    <w:rsid w:val="008B0E7E"/>
    <w:rsid w:val="008B1495"/>
    <w:rsid w:val="008B440D"/>
    <w:rsid w:val="008B4D55"/>
    <w:rsid w:val="008B5B3E"/>
    <w:rsid w:val="008B65BD"/>
    <w:rsid w:val="008B6607"/>
    <w:rsid w:val="008B7900"/>
    <w:rsid w:val="008C1D59"/>
    <w:rsid w:val="008C1D85"/>
    <w:rsid w:val="008C71BF"/>
    <w:rsid w:val="008C7FE0"/>
    <w:rsid w:val="008D33A0"/>
    <w:rsid w:val="008D3D2B"/>
    <w:rsid w:val="008D5717"/>
    <w:rsid w:val="008D599D"/>
    <w:rsid w:val="008D6230"/>
    <w:rsid w:val="008E06BE"/>
    <w:rsid w:val="008E1127"/>
    <w:rsid w:val="008E44A9"/>
    <w:rsid w:val="008E4709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61BA"/>
    <w:rsid w:val="008F6E3C"/>
    <w:rsid w:val="008F7BA8"/>
    <w:rsid w:val="008F7C55"/>
    <w:rsid w:val="00901BB2"/>
    <w:rsid w:val="00903F80"/>
    <w:rsid w:val="009048F9"/>
    <w:rsid w:val="00905A8C"/>
    <w:rsid w:val="00914A23"/>
    <w:rsid w:val="009154BF"/>
    <w:rsid w:val="00915976"/>
    <w:rsid w:val="00922395"/>
    <w:rsid w:val="00924D61"/>
    <w:rsid w:val="00925A71"/>
    <w:rsid w:val="0092636D"/>
    <w:rsid w:val="00930754"/>
    <w:rsid w:val="00934F68"/>
    <w:rsid w:val="009355AC"/>
    <w:rsid w:val="00935F38"/>
    <w:rsid w:val="009363D9"/>
    <w:rsid w:val="00936D92"/>
    <w:rsid w:val="00937586"/>
    <w:rsid w:val="00941C0E"/>
    <w:rsid w:val="00941EDB"/>
    <w:rsid w:val="009431E2"/>
    <w:rsid w:val="00943296"/>
    <w:rsid w:val="00943C9C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E1D"/>
    <w:rsid w:val="00972912"/>
    <w:rsid w:val="00973BFC"/>
    <w:rsid w:val="009744B9"/>
    <w:rsid w:val="009763EE"/>
    <w:rsid w:val="00976D1F"/>
    <w:rsid w:val="00980612"/>
    <w:rsid w:val="00981C81"/>
    <w:rsid w:val="0098384B"/>
    <w:rsid w:val="00984CDB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2D24"/>
    <w:rsid w:val="009A2DF0"/>
    <w:rsid w:val="009A2F58"/>
    <w:rsid w:val="009A456C"/>
    <w:rsid w:val="009A484B"/>
    <w:rsid w:val="009B00E0"/>
    <w:rsid w:val="009B02A5"/>
    <w:rsid w:val="009B041C"/>
    <w:rsid w:val="009B04C8"/>
    <w:rsid w:val="009B0E01"/>
    <w:rsid w:val="009B292A"/>
    <w:rsid w:val="009B4A26"/>
    <w:rsid w:val="009B518B"/>
    <w:rsid w:val="009B6663"/>
    <w:rsid w:val="009B6BA9"/>
    <w:rsid w:val="009B76D5"/>
    <w:rsid w:val="009C016B"/>
    <w:rsid w:val="009C165D"/>
    <w:rsid w:val="009C2135"/>
    <w:rsid w:val="009C3CEA"/>
    <w:rsid w:val="009C4F43"/>
    <w:rsid w:val="009C583D"/>
    <w:rsid w:val="009D1417"/>
    <w:rsid w:val="009D176E"/>
    <w:rsid w:val="009D2611"/>
    <w:rsid w:val="009D53D4"/>
    <w:rsid w:val="009D79D2"/>
    <w:rsid w:val="009E247C"/>
    <w:rsid w:val="009E31BA"/>
    <w:rsid w:val="009E72F4"/>
    <w:rsid w:val="009F0528"/>
    <w:rsid w:val="009F0806"/>
    <w:rsid w:val="009F0D96"/>
    <w:rsid w:val="009F19A7"/>
    <w:rsid w:val="009F1D8C"/>
    <w:rsid w:val="009F233B"/>
    <w:rsid w:val="009F3ABD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3F23"/>
    <w:rsid w:val="00A306AF"/>
    <w:rsid w:val="00A30E5B"/>
    <w:rsid w:val="00A33875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68E8"/>
    <w:rsid w:val="00A513C4"/>
    <w:rsid w:val="00A51834"/>
    <w:rsid w:val="00A51972"/>
    <w:rsid w:val="00A544B7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165E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8D3"/>
    <w:rsid w:val="00A94D5D"/>
    <w:rsid w:val="00AA0DA2"/>
    <w:rsid w:val="00AA1B13"/>
    <w:rsid w:val="00AA1D9B"/>
    <w:rsid w:val="00AA2543"/>
    <w:rsid w:val="00AA3804"/>
    <w:rsid w:val="00AA4908"/>
    <w:rsid w:val="00AA55C2"/>
    <w:rsid w:val="00AA5EEC"/>
    <w:rsid w:val="00AA5F7F"/>
    <w:rsid w:val="00AA6832"/>
    <w:rsid w:val="00AB0ACA"/>
    <w:rsid w:val="00AB1D41"/>
    <w:rsid w:val="00AB3908"/>
    <w:rsid w:val="00AB3C36"/>
    <w:rsid w:val="00AB58D7"/>
    <w:rsid w:val="00AB62D1"/>
    <w:rsid w:val="00AC0D22"/>
    <w:rsid w:val="00AC3F63"/>
    <w:rsid w:val="00AC5E9A"/>
    <w:rsid w:val="00AC5F2D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17A0"/>
    <w:rsid w:val="00B134DE"/>
    <w:rsid w:val="00B1535F"/>
    <w:rsid w:val="00B17785"/>
    <w:rsid w:val="00B26123"/>
    <w:rsid w:val="00B262F1"/>
    <w:rsid w:val="00B3085D"/>
    <w:rsid w:val="00B30D97"/>
    <w:rsid w:val="00B31074"/>
    <w:rsid w:val="00B31395"/>
    <w:rsid w:val="00B3181A"/>
    <w:rsid w:val="00B3364B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1EB"/>
    <w:rsid w:val="00B668B0"/>
    <w:rsid w:val="00B70F5C"/>
    <w:rsid w:val="00B71574"/>
    <w:rsid w:val="00B71873"/>
    <w:rsid w:val="00B71F82"/>
    <w:rsid w:val="00B72F57"/>
    <w:rsid w:val="00B7383A"/>
    <w:rsid w:val="00B75AE5"/>
    <w:rsid w:val="00B77008"/>
    <w:rsid w:val="00B800C0"/>
    <w:rsid w:val="00B8132B"/>
    <w:rsid w:val="00B84C5A"/>
    <w:rsid w:val="00B858F5"/>
    <w:rsid w:val="00B91258"/>
    <w:rsid w:val="00B93668"/>
    <w:rsid w:val="00B96C0D"/>
    <w:rsid w:val="00B97CF0"/>
    <w:rsid w:val="00BA605F"/>
    <w:rsid w:val="00BA68C6"/>
    <w:rsid w:val="00BB0221"/>
    <w:rsid w:val="00BB12F1"/>
    <w:rsid w:val="00BB276E"/>
    <w:rsid w:val="00BB2FBF"/>
    <w:rsid w:val="00BB3FEE"/>
    <w:rsid w:val="00BB5EB0"/>
    <w:rsid w:val="00BC245A"/>
    <w:rsid w:val="00BC2EEF"/>
    <w:rsid w:val="00BC31E2"/>
    <w:rsid w:val="00BC5B12"/>
    <w:rsid w:val="00BC7B80"/>
    <w:rsid w:val="00BD0B8A"/>
    <w:rsid w:val="00BD16FA"/>
    <w:rsid w:val="00BD1773"/>
    <w:rsid w:val="00BD41C3"/>
    <w:rsid w:val="00BD488B"/>
    <w:rsid w:val="00BD7CCC"/>
    <w:rsid w:val="00BE002A"/>
    <w:rsid w:val="00BE0283"/>
    <w:rsid w:val="00BE0316"/>
    <w:rsid w:val="00BE1BC9"/>
    <w:rsid w:val="00BE2763"/>
    <w:rsid w:val="00BE318F"/>
    <w:rsid w:val="00BE31CC"/>
    <w:rsid w:val="00BE5CDA"/>
    <w:rsid w:val="00BE5D20"/>
    <w:rsid w:val="00BE608F"/>
    <w:rsid w:val="00BF1E44"/>
    <w:rsid w:val="00BF23BB"/>
    <w:rsid w:val="00BF2B1C"/>
    <w:rsid w:val="00BF33DD"/>
    <w:rsid w:val="00BF3D69"/>
    <w:rsid w:val="00BF5331"/>
    <w:rsid w:val="00BF5755"/>
    <w:rsid w:val="00BF684B"/>
    <w:rsid w:val="00C002F7"/>
    <w:rsid w:val="00C015F0"/>
    <w:rsid w:val="00C016F3"/>
    <w:rsid w:val="00C031BA"/>
    <w:rsid w:val="00C10A0F"/>
    <w:rsid w:val="00C13208"/>
    <w:rsid w:val="00C142AB"/>
    <w:rsid w:val="00C15193"/>
    <w:rsid w:val="00C151BB"/>
    <w:rsid w:val="00C15609"/>
    <w:rsid w:val="00C15A94"/>
    <w:rsid w:val="00C15F6A"/>
    <w:rsid w:val="00C17367"/>
    <w:rsid w:val="00C23EA7"/>
    <w:rsid w:val="00C256F3"/>
    <w:rsid w:val="00C270A2"/>
    <w:rsid w:val="00C30A3C"/>
    <w:rsid w:val="00C310EC"/>
    <w:rsid w:val="00C315B5"/>
    <w:rsid w:val="00C317C4"/>
    <w:rsid w:val="00C35E28"/>
    <w:rsid w:val="00C367C0"/>
    <w:rsid w:val="00C41806"/>
    <w:rsid w:val="00C41D95"/>
    <w:rsid w:val="00C426AF"/>
    <w:rsid w:val="00C4292A"/>
    <w:rsid w:val="00C42CDD"/>
    <w:rsid w:val="00C42DB4"/>
    <w:rsid w:val="00C454C2"/>
    <w:rsid w:val="00C45A9C"/>
    <w:rsid w:val="00C46780"/>
    <w:rsid w:val="00C469C1"/>
    <w:rsid w:val="00C50659"/>
    <w:rsid w:val="00C50CF2"/>
    <w:rsid w:val="00C51B39"/>
    <w:rsid w:val="00C52342"/>
    <w:rsid w:val="00C5338A"/>
    <w:rsid w:val="00C54C3B"/>
    <w:rsid w:val="00C54EF9"/>
    <w:rsid w:val="00C56BBF"/>
    <w:rsid w:val="00C572AA"/>
    <w:rsid w:val="00C57A9A"/>
    <w:rsid w:val="00C6016A"/>
    <w:rsid w:val="00C60B3F"/>
    <w:rsid w:val="00C614BC"/>
    <w:rsid w:val="00C614D8"/>
    <w:rsid w:val="00C623EB"/>
    <w:rsid w:val="00C64C6B"/>
    <w:rsid w:val="00C65CA1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3AA"/>
    <w:rsid w:val="00C775BE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C73"/>
    <w:rsid w:val="00C976E1"/>
    <w:rsid w:val="00CA148E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544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7634"/>
    <w:rsid w:val="00CD784D"/>
    <w:rsid w:val="00CE20EA"/>
    <w:rsid w:val="00CE23C2"/>
    <w:rsid w:val="00CE326A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D8A"/>
    <w:rsid w:val="00D039D5"/>
    <w:rsid w:val="00D0416F"/>
    <w:rsid w:val="00D05851"/>
    <w:rsid w:val="00D10FED"/>
    <w:rsid w:val="00D11736"/>
    <w:rsid w:val="00D12EE8"/>
    <w:rsid w:val="00D1432F"/>
    <w:rsid w:val="00D14CDF"/>
    <w:rsid w:val="00D15FF1"/>
    <w:rsid w:val="00D167F4"/>
    <w:rsid w:val="00D2092A"/>
    <w:rsid w:val="00D21C85"/>
    <w:rsid w:val="00D2216D"/>
    <w:rsid w:val="00D23532"/>
    <w:rsid w:val="00D24FF8"/>
    <w:rsid w:val="00D31A6F"/>
    <w:rsid w:val="00D32F5D"/>
    <w:rsid w:val="00D353D1"/>
    <w:rsid w:val="00D364DC"/>
    <w:rsid w:val="00D367DB"/>
    <w:rsid w:val="00D36E05"/>
    <w:rsid w:val="00D370A7"/>
    <w:rsid w:val="00D4020F"/>
    <w:rsid w:val="00D40993"/>
    <w:rsid w:val="00D412D4"/>
    <w:rsid w:val="00D4245F"/>
    <w:rsid w:val="00D43FD3"/>
    <w:rsid w:val="00D4420D"/>
    <w:rsid w:val="00D44BB2"/>
    <w:rsid w:val="00D44C0E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703BD"/>
    <w:rsid w:val="00D712A6"/>
    <w:rsid w:val="00D76249"/>
    <w:rsid w:val="00D7643A"/>
    <w:rsid w:val="00D76618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CFC"/>
    <w:rsid w:val="00E10EB7"/>
    <w:rsid w:val="00E120F4"/>
    <w:rsid w:val="00E14CAB"/>
    <w:rsid w:val="00E150B5"/>
    <w:rsid w:val="00E17172"/>
    <w:rsid w:val="00E17F24"/>
    <w:rsid w:val="00E200C1"/>
    <w:rsid w:val="00E21B09"/>
    <w:rsid w:val="00E21D72"/>
    <w:rsid w:val="00E3181C"/>
    <w:rsid w:val="00E3280A"/>
    <w:rsid w:val="00E3345E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F7A"/>
    <w:rsid w:val="00E44FF8"/>
    <w:rsid w:val="00E5066A"/>
    <w:rsid w:val="00E5084E"/>
    <w:rsid w:val="00E520FB"/>
    <w:rsid w:val="00E52CF9"/>
    <w:rsid w:val="00E53455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0BBB"/>
    <w:rsid w:val="00E7563E"/>
    <w:rsid w:val="00E75DC9"/>
    <w:rsid w:val="00E7669F"/>
    <w:rsid w:val="00E81610"/>
    <w:rsid w:val="00E82863"/>
    <w:rsid w:val="00E84910"/>
    <w:rsid w:val="00E85B28"/>
    <w:rsid w:val="00E87F1B"/>
    <w:rsid w:val="00E91976"/>
    <w:rsid w:val="00E93500"/>
    <w:rsid w:val="00E947A6"/>
    <w:rsid w:val="00E94C35"/>
    <w:rsid w:val="00E94D3D"/>
    <w:rsid w:val="00E96AE1"/>
    <w:rsid w:val="00E97FC7"/>
    <w:rsid w:val="00EA0690"/>
    <w:rsid w:val="00EA2FC3"/>
    <w:rsid w:val="00EA391D"/>
    <w:rsid w:val="00EA3956"/>
    <w:rsid w:val="00EA44EA"/>
    <w:rsid w:val="00EA49CE"/>
    <w:rsid w:val="00EA4C7B"/>
    <w:rsid w:val="00EA5BBC"/>
    <w:rsid w:val="00EA65E7"/>
    <w:rsid w:val="00EA6A3C"/>
    <w:rsid w:val="00EA7136"/>
    <w:rsid w:val="00EA71FA"/>
    <w:rsid w:val="00EB2166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F01CF"/>
    <w:rsid w:val="00EF1020"/>
    <w:rsid w:val="00EF27E5"/>
    <w:rsid w:val="00EF2D99"/>
    <w:rsid w:val="00EF6A47"/>
    <w:rsid w:val="00EF7AF9"/>
    <w:rsid w:val="00F000FF"/>
    <w:rsid w:val="00F00137"/>
    <w:rsid w:val="00F00952"/>
    <w:rsid w:val="00F01495"/>
    <w:rsid w:val="00F056E0"/>
    <w:rsid w:val="00F07913"/>
    <w:rsid w:val="00F07B9A"/>
    <w:rsid w:val="00F10138"/>
    <w:rsid w:val="00F111AB"/>
    <w:rsid w:val="00F1166E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6E8F"/>
    <w:rsid w:val="00F701E3"/>
    <w:rsid w:val="00F702A9"/>
    <w:rsid w:val="00F71008"/>
    <w:rsid w:val="00F71098"/>
    <w:rsid w:val="00F71F8C"/>
    <w:rsid w:val="00F773A3"/>
    <w:rsid w:val="00F82286"/>
    <w:rsid w:val="00F8372F"/>
    <w:rsid w:val="00F839A7"/>
    <w:rsid w:val="00F86AD4"/>
    <w:rsid w:val="00F93032"/>
    <w:rsid w:val="00F95E96"/>
    <w:rsid w:val="00F97179"/>
    <w:rsid w:val="00F97993"/>
    <w:rsid w:val="00FA0113"/>
    <w:rsid w:val="00FA0DBD"/>
    <w:rsid w:val="00FA12B2"/>
    <w:rsid w:val="00FA4663"/>
    <w:rsid w:val="00FA4823"/>
    <w:rsid w:val="00FA60D8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voutouri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ikis@cystat.mof.gov.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fkakoutsis@cystat.mof.gov.c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3</cp:revision>
  <cp:lastPrinted>2025-11-06T06:26:00Z</cp:lastPrinted>
  <dcterms:created xsi:type="dcterms:W3CDTF">2025-11-06T07:39:00Z</dcterms:created>
  <dcterms:modified xsi:type="dcterms:W3CDTF">2025-11-06T09:41:00Z</dcterms:modified>
</cp:coreProperties>
</file>