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18C1FCD7" w14:textId="5A0DC47C" w:rsidR="006022B5" w:rsidRPr="001D613C" w:rsidRDefault="00960173" w:rsidP="006022B5">
      <w:pPr>
        <w:tabs>
          <w:tab w:val="left" w:pos="1080"/>
          <w:tab w:val="left" w:pos="7088"/>
        </w:tabs>
        <w:ind w:right="283"/>
        <w:jc w:val="right"/>
        <w:rPr>
          <w:rFonts w:ascii="Verdana" w:eastAsia="Malgun Gothic" w:hAnsi="Verdana" w:cs="Arial"/>
          <w:sz w:val="18"/>
          <w:szCs w:val="18"/>
          <w:lang w:val="el-GR"/>
        </w:rPr>
      </w:pPr>
      <w:r>
        <w:rPr>
          <w:rFonts w:ascii="Verdana" w:hAnsi="Verdana" w:cs="Arial"/>
          <w:sz w:val="18"/>
          <w:szCs w:val="18"/>
          <w:lang/>
        </w:rPr>
        <w:t>6</w:t>
      </w:r>
      <w:r w:rsidR="006022B5" w:rsidRPr="006022B5">
        <w:rPr>
          <w:rFonts w:ascii="Verdana" w:hAnsi="Verdana" w:cs="Arial"/>
          <w:sz w:val="18"/>
          <w:szCs w:val="18"/>
          <w:lang w:val="el-GR"/>
        </w:rPr>
        <w:t xml:space="preserve"> </w:t>
      </w:r>
      <w:r>
        <w:rPr>
          <w:rFonts w:ascii="Verdana" w:hAnsi="Verdana" w:cs="Arial"/>
          <w:sz w:val="18"/>
          <w:szCs w:val="18"/>
          <w:lang w:val="el-GR"/>
        </w:rPr>
        <w:t>Οκτω</w:t>
      </w:r>
      <w:r w:rsidR="007A0B56">
        <w:rPr>
          <w:rFonts w:ascii="Verdana" w:hAnsi="Verdana" w:cs="Arial"/>
          <w:sz w:val="18"/>
          <w:szCs w:val="18"/>
          <w:lang w:val="el-GR"/>
        </w:rPr>
        <w:t>βρίου</w:t>
      </w:r>
      <w:r w:rsidR="006022B5" w:rsidRPr="006022B5">
        <w:rPr>
          <w:rFonts w:ascii="Verdana" w:eastAsia="Malgun Gothic" w:hAnsi="Verdana" w:cs="Arial"/>
          <w:sz w:val="18"/>
          <w:szCs w:val="18"/>
          <w:lang w:val="el-GR"/>
        </w:rPr>
        <w:t>, 202</w:t>
      </w:r>
      <w:r w:rsidR="006022B5" w:rsidRPr="001D613C">
        <w:rPr>
          <w:rFonts w:ascii="Verdana" w:eastAsia="Malgun Gothic" w:hAnsi="Verdana" w:cs="Arial"/>
          <w:sz w:val="18"/>
          <w:szCs w:val="18"/>
          <w:lang w:val="el-GR"/>
        </w:rPr>
        <w:t>2</w:t>
      </w:r>
    </w:p>
    <w:p w14:paraId="650D9480" w14:textId="77777777" w:rsidR="006022B5" w:rsidRPr="006022B5" w:rsidRDefault="006022B5" w:rsidP="006022B5">
      <w:pPr>
        <w:jc w:val="both"/>
        <w:rPr>
          <w:rFonts w:ascii="Arial" w:hAnsi="Arial" w:cs="Arial"/>
          <w:sz w:val="18"/>
          <w:szCs w:val="18"/>
          <w:lang w:val="el-GR"/>
        </w:rPr>
      </w:pPr>
    </w:p>
    <w:p w14:paraId="5506EEE1" w14:textId="77777777" w:rsidR="006022B5" w:rsidRPr="006022B5" w:rsidRDefault="006022B5" w:rsidP="006022B5">
      <w:pPr>
        <w:jc w:val="center"/>
        <w:rPr>
          <w:rFonts w:ascii="Verdana" w:eastAsia="Malgun Gothic" w:hAnsi="Verdana" w:cs="Arial"/>
          <w:b/>
          <w:sz w:val="24"/>
          <w:szCs w:val="24"/>
          <w:lang w:val="el-GR"/>
        </w:rPr>
      </w:pPr>
    </w:p>
    <w:p w14:paraId="06071BA9" w14:textId="77777777" w:rsidR="006022B5" w:rsidRPr="006022B5" w:rsidRDefault="006022B5" w:rsidP="006022B5">
      <w:pPr>
        <w:jc w:val="center"/>
        <w:rPr>
          <w:rFonts w:ascii="Verdana" w:eastAsia="Malgun Gothic" w:hAnsi="Verdana" w:cs="Arial"/>
          <w:b/>
          <w:sz w:val="24"/>
          <w:szCs w:val="24"/>
          <w:lang w:val="el-GR"/>
        </w:rPr>
      </w:pPr>
      <w:r w:rsidRPr="006022B5">
        <w:rPr>
          <w:rFonts w:ascii="Verdana" w:eastAsia="Malgun Gothic" w:hAnsi="Verdana" w:cs="Arial"/>
          <w:b/>
          <w:sz w:val="24"/>
          <w:szCs w:val="24"/>
          <w:lang w:val="el-GR"/>
        </w:rPr>
        <w:t>ΔΕΛΤΙΟ ΤΥΠΟΥ</w:t>
      </w:r>
    </w:p>
    <w:p w14:paraId="59BCE7C7" w14:textId="77777777" w:rsidR="006022B5" w:rsidRPr="006022B5" w:rsidRDefault="006022B5" w:rsidP="006022B5">
      <w:pPr>
        <w:rPr>
          <w:rFonts w:ascii="Verdana" w:eastAsia="Malgun Gothic" w:hAnsi="Verdana" w:cs="Arial"/>
          <w:lang w:val="el-GR"/>
        </w:rPr>
      </w:pPr>
    </w:p>
    <w:p w14:paraId="3F149EC6" w14:textId="77777777" w:rsidR="006022B5" w:rsidRPr="006022B5" w:rsidRDefault="006022B5" w:rsidP="006022B5">
      <w:pPr>
        <w:rPr>
          <w:rFonts w:ascii="Verdana" w:eastAsia="Malgun Gothic" w:hAnsi="Verdana" w:cs="Arial"/>
          <w:lang w:val="el-GR"/>
        </w:rPr>
      </w:pPr>
    </w:p>
    <w:p w14:paraId="151BF7D6" w14:textId="0976789A" w:rsidR="006022B5" w:rsidRPr="006022B5" w:rsidRDefault="006022B5" w:rsidP="006022B5">
      <w:pPr>
        <w:keepNext/>
        <w:tabs>
          <w:tab w:val="left" w:pos="6840"/>
        </w:tabs>
        <w:outlineLvl w:val="5"/>
        <w:rPr>
          <w:rFonts w:ascii="Verdana" w:eastAsia="Malgun Gothic" w:hAnsi="Verdana" w:cs="Arial"/>
          <w:b/>
          <w:bCs/>
          <w:u w:val="single"/>
          <w:lang w:val="x-none"/>
        </w:rPr>
      </w:pPr>
      <w:r w:rsidRPr="006022B5">
        <w:rPr>
          <w:rFonts w:ascii="Verdana" w:eastAsia="Malgun Gothic" w:hAnsi="Verdana" w:cs="Arial"/>
          <w:bCs/>
          <w:u w:val="single"/>
          <w:lang w:val="x-none"/>
        </w:rPr>
        <w:t>ΔΕΙΚΤΗΣ ΤΙΜΩΝ ΚΑΤΑΝΑΛΩΤΗ(ΔΤΚ):</w:t>
      </w:r>
      <w:r w:rsidRPr="006022B5">
        <w:rPr>
          <w:rFonts w:ascii="Verdana" w:eastAsia="Malgun Gothic" w:hAnsi="Verdana" w:cs="Arial"/>
          <w:b/>
          <w:u w:val="single"/>
          <w:lang w:val="el-GR"/>
        </w:rPr>
        <w:t xml:space="preserve"> </w:t>
      </w:r>
      <w:r w:rsidR="00960173">
        <w:rPr>
          <w:rFonts w:ascii="Verdana" w:eastAsia="Malgun Gothic" w:hAnsi="Verdana" w:cs="Arial"/>
          <w:b/>
          <w:u w:val="single"/>
          <w:lang w:val="el-GR"/>
        </w:rPr>
        <w:t>ΣΕΠΤΕΜΒΡΙΟΣ</w:t>
      </w:r>
      <w:r w:rsidRPr="006022B5">
        <w:rPr>
          <w:rFonts w:ascii="Verdana" w:eastAsia="Malgun Gothic" w:hAnsi="Verdana" w:cs="Arial"/>
          <w:b/>
          <w:u w:val="single"/>
          <w:lang w:val="x-none"/>
        </w:rPr>
        <w:t xml:space="preserve"> 2022</w:t>
      </w:r>
    </w:p>
    <w:p w14:paraId="6CFF816A" w14:textId="77777777" w:rsidR="006022B5" w:rsidRPr="006022B5" w:rsidRDefault="006022B5" w:rsidP="006022B5">
      <w:pPr>
        <w:rPr>
          <w:rFonts w:ascii="Verdana" w:eastAsia="Malgun Gothic" w:hAnsi="Verdana" w:cs="Arial"/>
          <w:lang w:val="el-GR"/>
        </w:rPr>
      </w:pPr>
    </w:p>
    <w:p w14:paraId="2114B3F3" w14:textId="77777777" w:rsidR="006022B5" w:rsidRPr="006022B5" w:rsidRDefault="006022B5" w:rsidP="006022B5">
      <w:pPr>
        <w:rPr>
          <w:rFonts w:ascii="Verdana" w:eastAsia="Malgun Gothic" w:hAnsi="Verdana" w:cs="Arial"/>
          <w:lang w:val="el-GR"/>
        </w:rPr>
      </w:pPr>
    </w:p>
    <w:p w14:paraId="32482F3F" w14:textId="35DD65E7" w:rsidR="006022B5" w:rsidRPr="006022B5" w:rsidRDefault="006022B5" w:rsidP="006022B5">
      <w:pPr>
        <w:tabs>
          <w:tab w:val="left" w:pos="1080"/>
          <w:tab w:val="left" w:pos="6840"/>
        </w:tabs>
        <w:jc w:val="center"/>
        <w:rPr>
          <w:rFonts w:ascii="Verdana" w:eastAsia="Malgun Gothic" w:hAnsi="Verdana" w:cs="Arial"/>
          <w:b/>
          <w:lang w:val="el-GR"/>
        </w:rPr>
      </w:pPr>
      <w:r w:rsidRPr="006022B5">
        <w:rPr>
          <w:rFonts w:ascii="Verdana" w:eastAsia="Malgun Gothic" w:hAnsi="Verdana" w:cs="Arial"/>
          <w:b/>
          <w:lang w:val="el-GR"/>
        </w:rPr>
        <w:t xml:space="preserve">Πληθωρισμός </w:t>
      </w:r>
      <w:r w:rsidR="007A0B56">
        <w:rPr>
          <w:rFonts w:ascii="Verdana" w:eastAsia="Malgun Gothic" w:hAnsi="Verdana" w:cs="Arial"/>
          <w:b/>
          <w:lang w:val="el-GR"/>
        </w:rPr>
        <w:t>8</w:t>
      </w:r>
      <w:r w:rsidRPr="006022B5">
        <w:rPr>
          <w:rFonts w:ascii="Verdana" w:eastAsia="Malgun Gothic" w:hAnsi="Verdana" w:cs="Arial"/>
          <w:b/>
          <w:lang w:val="el-GR"/>
        </w:rPr>
        <w:t>,</w:t>
      </w:r>
      <w:r w:rsidR="00960173">
        <w:rPr>
          <w:rFonts w:ascii="Verdana" w:eastAsia="Malgun Gothic" w:hAnsi="Verdana" w:cs="Arial"/>
          <w:b/>
          <w:lang w:val="el-GR"/>
        </w:rPr>
        <w:t>7</w:t>
      </w:r>
      <w:r w:rsidRPr="006022B5">
        <w:rPr>
          <w:rFonts w:ascii="Verdana" w:eastAsia="Malgun Gothic" w:hAnsi="Verdana" w:cs="Arial"/>
          <w:b/>
          <w:lang w:val="el-GR"/>
        </w:rPr>
        <w:t>%</w:t>
      </w:r>
    </w:p>
    <w:p w14:paraId="16493FAF" w14:textId="77777777" w:rsidR="006022B5" w:rsidRPr="006022B5" w:rsidRDefault="006022B5" w:rsidP="006022B5">
      <w:pPr>
        <w:tabs>
          <w:tab w:val="left" w:pos="1080"/>
          <w:tab w:val="left" w:pos="6840"/>
        </w:tabs>
        <w:jc w:val="both"/>
        <w:rPr>
          <w:rFonts w:ascii="Arial" w:hAnsi="Arial" w:cs="Arial"/>
          <w:sz w:val="20"/>
          <w:szCs w:val="20"/>
          <w:lang w:val="el-GR"/>
        </w:rPr>
      </w:pPr>
    </w:p>
    <w:p w14:paraId="131CCE1B" w14:textId="280D1B46"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Δείκτης Τιμών Καταναλωτή τον </w:t>
      </w:r>
      <w:r w:rsidR="00960173">
        <w:rPr>
          <w:rFonts w:ascii="Verdana" w:eastAsia="Malgun Gothic" w:hAnsi="Verdana" w:cs="Arial"/>
          <w:sz w:val="18"/>
          <w:szCs w:val="18"/>
          <w:lang w:val="el-GR"/>
        </w:rPr>
        <w:t>Σεπτέμβριο</w:t>
      </w:r>
      <w:r w:rsidRPr="006022B5">
        <w:rPr>
          <w:rFonts w:ascii="Verdana" w:eastAsia="Malgun Gothic" w:hAnsi="Verdana" w:cs="Arial"/>
          <w:sz w:val="18"/>
          <w:szCs w:val="18"/>
          <w:lang w:val="el-GR"/>
        </w:rPr>
        <w:t xml:space="preserve"> 2022 </w:t>
      </w:r>
      <w:r w:rsidR="007A0B56">
        <w:rPr>
          <w:rFonts w:ascii="Verdana" w:eastAsia="Malgun Gothic" w:hAnsi="Verdana" w:cs="Arial"/>
          <w:sz w:val="18"/>
          <w:szCs w:val="18"/>
          <w:lang w:val="el-GR"/>
        </w:rPr>
        <w:t>μειώθηκε</w:t>
      </w:r>
      <w:r w:rsidRPr="006022B5">
        <w:rPr>
          <w:rFonts w:ascii="Verdana" w:eastAsia="Malgun Gothic" w:hAnsi="Verdana" w:cs="Arial"/>
          <w:sz w:val="18"/>
          <w:szCs w:val="18"/>
          <w:lang w:val="el-GR"/>
        </w:rPr>
        <w:t xml:space="preserve"> κατά </w:t>
      </w:r>
      <w:r w:rsidR="007A0B56">
        <w:rPr>
          <w:rFonts w:ascii="Verdana" w:eastAsia="Malgun Gothic" w:hAnsi="Verdana" w:cs="Arial"/>
          <w:sz w:val="18"/>
          <w:szCs w:val="18"/>
          <w:lang w:val="el-GR"/>
        </w:rPr>
        <w:t>0</w:t>
      </w:r>
      <w:r w:rsidRPr="006022B5">
        <w:rPr>
          <w:rFonts w:ascii="Verdana" w:eastAsia="Malgun Gothic" w:hAnsi="Verdana" w:cs="Arial"/>
          <w:sz w:val="18"/>
          <w:szCs w:val="18"/>
          <w:lang w:val="el-GR"/>
        </w:rPr>
        <w:t>,</w:t>
      </w:r>
      <w:r w:rsidR="007A0B56">
        <w:rPr>
          <w:rFonts w:ascii="Verdana" w:eastAsia="Malgun Gothic" w:hAnsi="Verdana" w:cs="Arial"/>
          <w:sz w:val="18"/>
          <w:szCs w:val="18"/>
          <w:lang w:val="el-GR"/>
        </w:rPr>
        <w:t>2</w:t>
      </w:r>
      <w:r w:rsidR="00960173">
        <w:rPr>
          <w:rFonts w:ascii="Verdana" w:eastAsia="Malgun Gothic" w:hAnsi="Verdana" w:cs="Arial"/>
          <w:sz w:val="18"/>
          <w:szCs w:val="18"/>
          <w:lang w:val="el-GR"/>
        </w:rPr>
        <w:t>2</w:t>
      </w:r>
      <w:r w:rsidRPr="006022B5">
        <w:rPr>
          <w:rFonts w:ascii="Verdana" w:eastAsia="Malgun Gothic" w:hAnsi="Verdana" w:cs="Arial"/>
          <w:sz w:val="18"/>
          <w:szCs w:val="18"/>
          <w:lang w:val="el-GR"/>
        </w:rPr>
        <w:t xml:space="preserve"> μονάδες και έφτασε στις 11</w:t>
      </w:r>
      <w:r w:rsidR="00DA703D">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960173">
        <w:rPr>
          <w:rFonts w:ascii="Verdana" w:eastAsia="Malgun Gothic" w:hAnsi="Verdana" w:cs="Arial"/>
          <w:sz w:val="18"/>
          <w:szCs w:val="18"/>
          <w:lang w:val="el-GR"/>
        </w:rPr>
        <w:t>12</w:t>
      </w:r>
      <w:r w:rsidRPr="006022B5">
        <w:rPr>
          <w:rFonts w:ascii="Verdana" w:eastAsia="Malgun Gothic" w:hAnsi="Verdana" w:cs="Arial"/>
          <w:sz w:val="18"/>
          <w:szCs w:val="18"/>
          <w:lang w:val="el-GR"/>
        </w:rPr>
        <w:t xml:space="preserve"> μονάδες σε σύγκριση με 1</w:t>
      </w:r>
      <w:r w:rsidRPr="004A11EF">
        <w:rPr>
          <w:rFonts w:ascii="Verdana" w:eastAsia="Malgun Gothic" w:hAnsi="Verdana" w:cs="Arial"/>
          <w:sz w:val="18"/>
          <w:szCs w:val="18"/>
          <w:lang w:val="el-GR"/>
        </w:rPr>
        <w:t>1</w:t>
      </w:r>
      <w:r w:rsidR="007A0B56">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960173">
        <w:rPr>
          <w:rFonts w:ascii="Verdana" w:eastAsia="Malgun Gothic" w:hAnsi="Verdana" w:cs="Arial"/>
          <w:sz w:val="18"/>
          <w:szCs w:val="18"/>
          <w:lang w:val="el-GR"/>
        </w:rPr>
        <w:t>34</w:t>
      </w:r>
      <w:r w:rsidRPr="006022B5">
        <w:rPr>
          <w:rFonts w:ascii="Verdana" w:eastAsia="Malgun Gothic" w:hAnsi="Verdana" w:cs="Arial"/>
          <w:sz w:val="18"/>
          <w:szCs w:val="18"/>
          <w:lang w:val="el-GR"/>
        </w:rPr>
        <w:t xml:space="preserve"> μονάδες τον </w:t>
      </w:r>
      <w:r w:rsidR="00960173">
        <w:rPr>
          <w:rFonts w:ascii="Verdana" w:eastAsia="Malgun Gothic" w:hAnsi="Verdana" w:cs="Arial"/>
          <w:sz w:val="18"/>
          <w:szCs w:val="18"/>
          <w:lang w:val="el-GR"/>
        </w:rPr>
        <w:t>Αύγουστο</w:t>
      </w:r>
      <w:r w:rsidRPr="006022B5">
        <w:rPr>
          <w:rFonts w:ascii="Verdana" w:eastAsia="Malgun Gothic" w:hAnsi="Verdana" w:cs="Arial"/>
          <w:sz w:val="18"/>
          <w:szCs w:val="18"/>
          <w:lang w:val="el-GR"/>
        </w:rPr>
        <w:t xml:space="preserve"> 2022.</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Ο πληθωρισμός τον </w:t>
      </w:r>
      <w:r w:rsidR="00960173">
        <w:rPr>
          <w:rFonts w:ascii="Verdana" w:eastAsia="Malgun Gothic" w:hAnsi="Verdana" w:cs="Arial"/>
          <w:sz w:val="18"/>
          <w:szCs w:val="18"/>
          <w:lang w:val="el-GR"/>
        </w:rPr>
        <w:t>Σεπτέμβριο</w:t>
      </w:r>
      <w:r w:rsidRPr="006022B5">
        <w:rPr>
          <w:rFonts w:ascii="Verdana" w:eastAsia="Malgun Gothic" w:hAnsi="Verdana" w:cs="Arial"/>
          <w:sz w:val="18"/>
          <w:szCs w:val="18"/>
          <w:lang w:val="el-GR"/>
        </w:rPr>
        <w:t xml:space="preserve"> 2022 αυξήθηκε με ρυθμό </w:t>
      </w:r>
      <w:r w:rsidR="007A0B56">
        <w:rPr>
          <w:rFonts w:ascii="Verdana" w:eastAsia="Malgun Gothic" w:hAnsi="Verdana" w:cs="Arial"/>
          <w:sz w:val="18"/>
          <w:szCs w:val="18"/>
          <w:lang w:val="el-GR"/>
        </w:rPr>
        <w:t>8</w:t>
      </w:r>
      <w:r w:rsidRPr="006022B5">
        <w:rPr>
          <w:rFonts w:ascii="Verdana" w:eastAsia="Malgun Gothic" w:hAnsi="Verdana" w:cs="Arial"/>
          <w:sz w:val="18"/>
          <w:szCs w:val="18"/>
          <w:lang w:val="el-GR"/>
        </w:rPr>
        <w:t>,</w:t>
      </w:r>
      <w:r w:rsidR="00960173">
        <w:rPr>
          <w:rFonts w:ascii="Verdana" w:eastAsia="Malgun Gothic" w:hAnsi="Verdana" w:cs="Arial"/>
          <w:sz w:val="18"/>
          <w:szCs w:val="18"/>
          <w:lang w:val="el-GR"/>
        </w:rPr>
        <w:t>7</w:t>
      </w:r>
      <w:r w:rsidRPr="006022B5">
        <w:rPr>
          <w:rFonts w:ascii="Verdana" w:eastAsia="Malgun Gothic" w:hAnsi="Verdana" w:cs="Arial"/>
          <w:sz w:val="18"/>
          <w:szCs w:val="18"/>
          <w:lang w:val="el-GR"/>
        </w:rPr>
        <w:t>%. (Πίνακας 1)</w:t>
      </w:r>
    </w:p>
    <w:p w14:paraId="531B97C2" w14:textId="77777777" w:rsidR="006022B5" w:rsidRPr="004A11EF" w:rsidRDefault="006022B5" w:rsidP="006022B5">
      <w:pPr>
        <w:tabs>
          <w:tab w:val="left" w:pos="1080"/>
          <w:tab w:val="left" w:pos="6840"/>
        </w:tabs>
        <w:jc w:val="both"/>
        <w:rPr>
          <w:rFonts w:ascii="Verdana" w:eastAsia="Malgun Gothic" w:hAnsi="Verdana" w:cs="Arial"/>
          <w:sz w:val="18"/>
          <w:szCs w:val="18"/>
          <w:lang w:val="el-GR"/>
        </w:rPr>
      </w:pPr>
    </w:p>
    <w:p w14:paraId="6499BEEC" w14:textId="30BA3299" w:rsidR="006022B5" w:rsidRDefault="006022B5" w:rsidP="006022B5">
      <w:pPr>
        <w:tabs>
          <w:tab w:val="left" w:pos="1080"/>
          <w:tab w:val="left" w:pos="6840"/>
        </w:tabs>
        <w:jc w:val="both"/>
        <w:rPr>
          <w:rFonts w:ascii="Verdana" w:eastAsia="Malgun Gothic" w:hAnsi="Verdana" w:cs="Arial"/>
          <w:sz w:val="18"/>
          <w:szCs w:val="18"/>
          <w:lang w:val="el-GR"/>
        </w:rPr>
      </w:pPr>
      <w:bookmarkStart w:id="0" w:name="_Hlk65747356"/>
      <w:r w:rsidRPr="006022B5">
        <w:rPr>
          <w:rFonts w:ascii="Verdana" w:eastAsia="Malgun Gothic" w:hAnsi="Verdana" w:cs="Arial"/>
          <w:sz w:val="18"/>
          <w:szCs w:val="18"/>
          <w:lang w:val="el-GR"/>
        </w:rPr>
        <w:t>Για την περίοδο Ιανουαρίου-</w:t>
      </w:r>
      <w:r w:rsidR="00960173">
        <w:rPr>
          <w:rFonts w:ascii="Verdana" w:eastAsia="Malgun Gothic" w:hAnsi="Verdana" w:cs="Arial"/>
          <w:sz w:val="18"/>
          <w:szCs w:val="18"/>
          <w:lang w:val="el-GR"/>
        </w:rPr>
        <w:t>Σεπτεμβρίου</w:t>
      </w:r>
      <w:r w:rsidRPr="006022B5">
        <w:rPr>
          <w:rFonts w:ascii="Verdana" w:eastAsia="Malgun Gothic" w:hAnsi="Verdana" w:cs="Arial"/>
          <w:sz w:val="18"/>
          <w:szCs w:val="18"/>
          <w:lang w:val="el-GR"/>
        </w:rPr>
        <w:t xml:space="preserve"> 2022, ο ΔΤΚ σημείωσε αύξηση </w:t>
      </w:r>
      <w:r w:rsidR="00DA703D">
        <w:rPr>
          <w:rFonts w:ascii="Verdana" w:eastAsia="Malgun Gothic" w:hAnsi="Verdana" w:cs="Arial"/>
          <w:sz w:val="18"/>
          <w:szCs w:val="18"/>
          <w:lang w:val="el-GR"/>
        </w:rPr>
        <w:t>8</w:t>
      </w:r>
      <w:r w:rsidRPr="006022B5">
        <w:rPr>
          <w:rFonts w:ascii="Verdana" w:eastAsia="Malgun Gothic" w:hAnsi="Verdana" w:cs="Arial"/>
          <w:sz w:val="18"/>
          <w:szCs w:val="18"/>
          <w:lang w:val="el-GR"/>
        </w:rPr>
        <w:t>,</w:t>
      </w:r>
      <w:r w:rsidR="00960173">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σε σύγκριση με την αντίστοιχη περσινή περίοδο. </w:t>
      </w:r>
      <w:bookmarkEnd w:id="0"/>
      <w:r w:rsidRPr="006022B5">
        <w:rPr>
          <w:rFonts w:ascii="Verdana" w:eastAsia="Malgun Gothic" w:hAnsi="Verdana" w:cs="Arial"/>
          <w:sz w:val="18"/>
          <w:szCs w:val="18"/>
          <w:lang w:val="el-GR"/>
        </w:rPr>
        <w:t>(Πίνακας 1)</w:t>
      </w:r>
    </w:p>
    <w:p w14:paraId="13D18EEE" w14:textId="77777777" w:rsidR="00DA703D" w:rsidRPr="006022B5" w:rsidRDefault="00DA703D" w:rsidP="006022B5">
      <w:pPr>
        <w:tabs>
          <w:tab w:val="left" w:pos="1080"/>
          <w:tab w:val="left" w:pos="6840"/>
        </w:tabs>
        <w:jc w:val="both"/>
        <w:rPr>
          <w:rFonts w:ascii="Verdana" w:eastAsia="Malgun Gothic" w:hAnsi="Verdana" w:cs="Arial"/>
          <w:sz w:val="18"/>
          <w:szCs w:val="18"/>
          <w:lang w:val="el-GR"/>
        </w:rPr>
      </w:pPr>
    </w:p>
    <w:p w14:paraId="793E4E94"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6556455E" w14:textId="7226158D" w:rsidR="006022B5" w:rsidRPr="006022B5" w:rsidRDefault="00960173" w:rsidP="006022B5">
      <w:pPr>
        <w:tabs>
          <w:tab w:val="left" w:pos="1080"/>
          <w:tab w:val="left" w:pos="6840"/>
        </w:tabs>
        <w:jc w:val="both"/>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6986309F" wp14:editId="438C22F6">
            <wp:extent cx="608647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362325"/>
                    </a:xfrm>
                    <a:prstGeom prst="rect">
                      <a:avLst/>
                    </a:prstGeom>
                    <a:noFill/>
                    <a:ln>
                      <a:noFill/>
                    </a:ln>
                  </pic:spPr>
                </pic:pic>
              </a:graphicData>
            </a:graphic>
          </wp:inline>
        </w:drawing>
      </w:r>
    </w:p>
    <w:p w14:paraId="39B01B5D"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34168E0F"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6054B608" w14:textId="1FEEA284"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Οι μεγαλύτερες μεταβολές στις οικονομικές κατηγορίες συγκριτικά με τον </w:t>
      </w:r>
      <w:r w:rsidR="00960173">
        <w:rPr>
          <w:rFonts w:ascii="Verdana" w:eastAsia="Malgun Gothic" w:hAnsi="Verdana" w:cs="Arial"/>
          <w:sz w:val="18"/>
          <w:szCs w:val="18"/>
          <w:lang w:val="el-GR"/>
        </w:rPr>
        <w:t>Σεπτέμβριο</w:t>
      </w:r>
      <w:r w:rsidRPr="006022B5">
        <w:rPr>
          <w:rFonts w:ascii="Verdana" w:eastAsia="Malgun Gothic" w:hAnsi="Verdana" w:cs="Arial"/>
          <w:sz w:val="18"/>
          <w:szCs w:val="18"/>
          <w:lang w:val="el-GR"/>
        </w:rPr>
        <w:t xml:space="preserve"> του 2021 καταγράφηκαν</w:t>
      </w:r>
      <w:r w:rsidRPr="004A11EF">
        <w:rPr>
          <w:rFonts w:ascii="Verdana" w:eastAsia="Malgun Gothic" w:hAnsi="Verdana" w:cs="Arial"/>
          <w:sz w:val="18"/>
          <w:szCs w:val="18"/>
          <w:lang w:val="el-GR"/>
        </w:rPr>
        <w:t xml:space="preserve"> </w:t>
      </w:r>
      <w:r w:rsidR="00B03076" w:rsidRPr="006022B5">
        <w:rPr>
          <w:rFonts w:ascii="Verdana" w:eastAsia="Malgun Gothic" w:hAnsi="Verdana" w:cs="Arial"/>
          <w:sz w:val="18"/>
          <w:szCs w:val="18"/>
          <w:lang w:val="el-GR"/>
        </w:rPr>
        <w:t xml:space="preserve">στον </w:t>
      </w:r>
      <w:r w:rsidR="00B03076" w:rsidRPr="006022B5">
        <w:rPr>
          <w:rFonts w:ascii="Verdana" w:eastAsia="Malgun Gothic" w:hAnsi="Verdana" w:cs="Arial"/>
          <w:i/>
          <w:iCs/>
          <w:sz w:val="18"/>
          <w:szCs w:val="18"/>
          <w:lang w:val="el-GR"/>
        </w:rPr>
        <w:t>Ηλεκτρισμό</w:t>
      </w:r>
      <w:r w:rsidR="00B03076" w:rsidRPr="006022B5">
        <w:rPr>
          <w:rFonts w:ascii="Verdana" w:eastAsia="Malgun Gothic" w:hAnsi="Verdana" w:cs="Arial"/>
          <w:sz w:val="18"/>
          <w:szCs w:val="18"/>
          <w:lang w:val="el-GR"/>
        </w:rPr>
        <w:t xml:space="preserve"> με ποσοστό </w:t>
      </w:r>
      <w:r w:rsidR="00740E93">
        <w:rPr>
          <w:rFonts w:ascii="Verdana" w:eastAsia="Malgun Gothic" w:hAnsi="Verdana" w:cs="Arial"/>
          <w:sz w:val="18"/>
          <w:szCs w:val="18"/>
          <w:lang w:val="el-GR"/>
        </w:rPr>
        <w:t>59</w:t>
      </w:r>
      <w:r w:rsidR="00B03076" w:rsidRPr="006022B5">
        <w:rPr>
          <w:rFonts w:ascii="Verdana" w:eastAsia="Malgun Gothic" w:hAnsi="Verdana" w:cs="Arial"/>
          <w:sz w:val="18"/>
          <w:szCs w:val="18"/>
          <w:lang w:val="el-GR"/>
        </w:rPr>
        <w:t>,</w:t>
      </w:r>
      <w:r w:rsidR="00740E93">
        <w:rPr>
          <w:rFonts w:ascii="Verdana" w:eastAsia="Malgun Gothic" w:hAnsi="Verdana" w:cs="Arial"/>
          <w:sz w:val="18"/>
          <w:szCs w:val="18"/>
          <w:lang w:val="el-GR"/>
        </w:rPr>
        <w:t>9</w:t>
      </w:r>
      <w:r w:rsidR="00B03076" w:rsidRPr="006022B5">
        <w:rPr>
          <w:rFonts w:ascii="Verdana" w:eastAsia="Malgun Gothic" w:hAnsi="Verdana" w:cs="Arial"/>
          <w:sz w:val="18"/>
          <w:szCs w:val="18"/>
          <w:lang w:val="el-GR"/>
        </w:rPr>
        <w:t>%</w:t>
      </w:r>
      <w:r w:rsidR="00B03076">
        <w:rPr>
          <w:rFonts w:ascii="Verdana" w:eastAsia="Malgun Gothic" w:hAnsi="Verdana" w:cs="Arial"/>
          <w:sz w:val="18"/>
          <w:szCs w:val="18"/>
          <w:lang w:val="el-GR"/>
        </w:rPr>
        <w:t xml:space="preserve"> και</w:t>
      </w:r>
      <w:r w:rsidR="00B03076"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στα </w:t>
      </w:r>
      <w:r w:rsidRPr="006022B5">
        <w:rPr>
          <w:rFonts w:ascii="Verdana" w:eastAsia="Malgun Gothic" w:hAnsi="Verdana" w:cs="Arial"/>
          <w:i/>
          <w:iCs/>
          <w:sz w:val="18"/>
          <w:szCs w:val="18"/>
          <w:lang w:val="el-GR"/>
        </w:rPr>
        <w:t>Πετρελαιοειδή</w:t>
      </w:r>
      <w:r w:rsidRPr="006022B5">
        <w:rPr>
          <w:rFonts w:ascii="Verdana" w:eastAsia="Malgun Gothic" w:hAnsi="Verdana" w:cs="Arial"/>
          <w:sz w:val="18"/>
          <w:szCs w:val="18"/>
          <w:lang w:val="el-GR"/>
        </w:rPr>
        <w:t xml:space="preserve"> με ποσοστό </w:t>
      </w:r>
      <w:r w:rsidR="00740E93">
        <w:rPr>
          <w:rFonts w:ascii="Verdana" w:eastAsia="Malgun Gothic" w:hAnsi="Verdana" w:cs="Arial"/>
          <w:sz w:val="18"/>
          <w:szCs w:val="18"/>
          <w:lang w:val="el-GR"/>
        </w:rPr>
        <w:t>23</w:t>
      </w:r>
      <w:r w:rsidRPr="006022B5">
        <w:rPr>
          <w:rFonts w:ascii="Verdana" w:eastAsia="Malgun Gothic" w:hAnsi="Verdana" w:cs="Arial"/>
          <w:sz w:val="18"/>
          <w:szCs w:val="18"/>
          <w:lang w:val="el-GR"/>
        </w:rPr>
        <w:t>,</w:t>
      </w:r>
      <w:r w:rsidR="00740E93">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Σε σχέση με τον προηγούμενο μήνα, η μεγαλύτερη </w:t>
      </w:r>
      <w:r w:rsidR="00EA44EA">
        <w:rPr>
          <w:rFonts w:ascii="Verdana" w:eastAsia="Malgun Gothic" w:hAnsi="Verdana" w:cs="Arial"/>
          <w:sz w:val="18"/>
          <w:szCs w:val="18"/>
          <w:lang w:val="el-GR"/>
        </w:rPr>
        <w:t>αρνητική</w:t>
      </w:r>
      <w:r w:rsidRPr="006022B5">
        <w:rPr>
          <w:rFonts w:ascii="Verdana" w:eastAsia="Malgun Gothic" w:hAnsi="Verdana" w:cs="Arial"/>
          <w:sz w:val="18"/>
          <w:szCs w:val="18"/>
          <w:lang w:val="el-GR"/>
        </w:rPr>
        <w:t xml:space="preserve"> μεταβολή παρουσιάστηκε </w:t>
      </w:r>
      <w:r w:rsidR="00EA44EA" w:rsidRPr="006022B5">
        <w:rPr>
          <w:rFonts w:ascii="Verdana" w:eastAsia="Malgun Gothic" w:hAnsi="Verdana" w:cs="Arial"/>
          <w:sz w:val="18"/>
          <w:szCs w:val="18"/>
          <w:lang w:val="el-GR"/>
        </w:rPr>
        <w:t xml:space="preserve">στα </w:t>
      </w:r>
      <w:r w:rsidR="00EA44EA" w:rsidRPr="006022B5">
        <w:rPr>
          <w:rFonts w:ascii="Verdana" w:eastAsia="Malgun Gothic" w:hAnsi="Verdana" w:cs="Arial"/>
          <w:i/>
          <w:iCs/>
          <w:sz w:val="18"/>
          <w:szCs w:val="18"/>
          <w:lang w:val="el-GR"/>
        </w:rPr>
        <w:t>Πετρελαιοειδή</w:t>
      </w:r>
      <w:r w:rsidR="00EA44EA"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με ποσοστό </w:t>
      </w:r>
      <w:r w:rsidR="00740E93">
        <w:rPr>
          <w:rFonts w:ascii="Verdana" w:eastAsia="Malgun Gothic" w:hAnsi="Verdana" w:cs="Arial"/>
          <w:sz w:val="18"/>
          <w:szCs w:val="18"/>
          <w:lang w:val="el-GR"/>
        </w:rPr>
        <w:t>6</w:t>
      </w:r>
      <w:r w:rsidRPr="006022B5">
        <w:rPr>
          <w:rFonts w:ascii="Verdana" w:eastAsia="Malgun Gothic" w:hAnsi="Verdana" w:cs="Arial"/>
          <w:sz w:val="18"/>
          <w:szCs w:val="18"/>
          <w:lang w:val="el-GR"/>
        </w:rPr>
        <w:t>,</w:t>
      </w:r>
      <w:r w:rsidR="00EA44EA">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B03076">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(Πίνακας 2)</w:t>
      </w:r>
    </w:p>
    <w:p w14:paraId="2CD82FEB" w14:textId="3ABA551F" w:rsidR="006022B5" w:rsidRDefault="006022B5" w:rsidP="006022B5">
      <w:pPr>
        <w:tabs>
          <w:tab w:val="left" w:pos="1080"/>
          <w:tab w:val="left" w:pos="6840"/>
        </w:tabs>
        <w:jc w:val="both"/>
        <w:rPr>
          <w:rFonts w:ascii="Verdana" w:eastAsia="Malgun Gothic" w:hAnsi="Verdana" w:cs="Arial"/>
          <w:b/>
          <w:sz w:val="18"/>
          <w:szCs w:val="18"/>
          <w:u w:val="single"/>
          <w:lang w:val="el-GR"/>
        </w:rPr>
      </w:pPr>
    </w:p>
    <w:p w14:paraId="19604C8C" w14:textId="77777777" w:rsidR="00B03076" w:rsidRDefault="00B03076" w:rsidP="006022B5">
      <w:pPr>
        <w:tabs>
          <w:tab w:val="left" w:pos="1080"/>
          <w:tab w:val="left" w:pos="6840"/>
        </w:tabs>
        <w:jc w:val="both"/>
        <w:rPr>
          <w:rFonts w:ascii="Verdana" w:eastAsia="Malgun Gothic" w:hAnsi="Verdana" w:cs="Arial"/>
          <w:b/>
          <w:sz w:val="18"/>
          <w:szCs w:val="18"/>
          <w:u w:val="single"/>
          <w:lang w:val="el-GR"/>
        </w:rPr>
      </w:pPr>
    </w:p>
    <w:p w14:paraId="11A59209" w14:textId="69650877" w:rsidR="006022B5" w:rsidRDefault="006022B5" w:rsidP="006022B5">
      <w:pPr>
        <w:tabs>
          <w:tab w:val="left" w:pos="1080"/>
          <w:tab w:val="left" w:pos="6840"/>
        </w:tabs>
        <w:jc w:val="both"/>
        <w:rPr>
          <w:rFonts w:ascii="Verdana" w:eastAsia="Malgun Gothic" w:hAnsi="Verdana" w:cs="Arial"/>
          <w:b/>
          <w:sz w:val="18"/>
          <w:szCs w:val="18"/>
          <w:u w:val="single"/>
          <w:lang w:val="el-GR"/>
        </w:rPr>
      </w:pPr>
    </w:p>
    <w:p w14:paraId="6402AC6C" w14:textId="77777777" w:rsidR="00DA703D" w:rsidRDefault="00DA703D" w:rsidP="006022B5">
      <w:pPr>
        <w:tabs>
          <w:tab w:val="left" w:pos="1080"/>
          <w:tab w:val="left" w:pos="6840"/>
        </w:tabs>
        <w:jc w:val="both"/>
        <w:rPr>
          <w:rFonts w:ascii="Verdana" w:eastAsia="Malgun Gothic" w:hAnsi="Verdana" w:cs="Arial"/>
          <w:b/>
          <w:sz w:val="18"/>
          <w:szCs w:val="18"/>
          <w:u w:val="single"/>
          <w:lang w:val="el-GR"/>
        </w:rPr>
      </w:pPr>
    </w:p>
    <w:p w14:paraId="0AF7ED83"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p>
    <w:p w14:paraId="7CB30A22"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lastRenderedPageBreak/>
        <w:t>Ανάλυση ποσοστιαίων μεταβολών</w:t>
      </w:r>
    </w:p>
    <w:p w14:paraId="7B98AA4B" w14:textId="77777777" w:rsidR="006022B5" w:rsidRPr="006022B5" w:rsidRDefault="006022B5" w:rsidP="006022B5">
      <w:pPr>
        <w:tabs>
          <w:tab w:val="left" w:pos="1080"/>
          <w:tab w:val="left" w:pos="6840"/>
        </w:tabs>
        <w:jc w:val="both"/>
        <w:rPr>
          <w:rFonts w:ascii="Verdana" w:eastAsia="Malgun Gothic" w:hAnsi="Verdana" w:cs="Arial"/>
          <w:sz w:val="18"/>
          <w:szCs w:val="18"/>
          <w:u w:val="single"/>
          <w:lang w:val="el-GR"/>
        </w:rPr>
      </w:pPr>
    </w:p>
    <w:p w14:paraId="2AC9E779" w14:textId="612B047C"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Συγκριτικά με τον </w:t>
      </w:r>
      <w:r w:rsidR="0096159A">
        <w:rPr>
          <w:rFonts w:ascii="Verdana" w:eastAsia="Malgun Gothic" w:hAnsi="Verdana" w:cs="Arial"/>
          <w:sz w:val="18"/>
          <w:szCs w:val="18"/>
          <w:lang w:val="el-GR"/>
        </w:rPr>
        <w:t>Σεπτέμβριο</w:t>
      </w:r>
      <w:r w:rsidRPr="006022B5">
        <w:rPr>
          <w:rFonts w:ascii="Verdana" w:eastAsia="Malgun Gothic" w:hAnsi="Verdana" w:cs="Arial"/>
          <w:sz w:val="18"/>
          <w:szCs w:val="18"/>
          <w:lang w:val="el-GR"/>
        </w:rPr>
        <w:t xml:space="preserve"> του 2021, οι μεγαλύτερες μεταβολές παρατηρήθηκαν στις κατηγορίες</w:t>
      </w:r>
      <w:r w:rsidRPr="006022B5">
        <w:rPr>
          <w:rFonts w:ascii="Verdana" w:eastAsia="Malgun Gothic" w:hAnsi="Verdana" w:cs="Arial"/>
          <w:i/>
          <w:sz w:val="18"/>
          <w:szCs w:val="18"/>
          <w:lang w:val="el-GR"/>
        </w:rPr>
        <w:t xml:space="preserve"> </w:t>
      </w:r>
      <w:r w:rsidR="00745976" w:rsidRPr="006022B5">
        <w:rPr>
          <w:rFonts w:ascii="Verdana" w:eastAsia="Malgun Gothic" w:hAnsi="Verdana" w:cs="Arial"/>
          <w:i/>
          <w:sz w:val="18"/>
          <w:szCs w:val="18"/>
          <w:lang w:val="el-GR"/>
        </w:rPr>
        <w:t>Στέγαση, Ύδρευση, Ηλεκτρισμός και Υγραέριο</w:t>
      </w:r>
      <w:r w:rsidR="00745976"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w:t>
      </w:r>
      <w:r w:rsidR="00F31079">
        <w:rPr>
          <w:rFonts w:ascii="Verdana" w:eastAsia="Malgun Gothic" w:hAnsi="Verdana" w:cs="Arial"/>
          <w:sz w:val="18"/>
          <w:szCs w:val="18"/>
          <w:lang w:val="el-GR"/>
        </w:rPr>
        <w:t>7</w:t>
      </w:r>
      <w:r w:rsidRPr="006022B5">
        <w:rPr>
          <w:rFonts w:ascii="Verdana" w:eastAsia="Malgun Gothic" w:hAnsi="Verdana" w:cs="Arial"/>
          <w:sz w:val="18"/>
          <w:szCs w:val="18"/>
          <w:lang w:val="el-GR"/>
        </w:rPr>
        <w:t>,</w:t>
      </w:r>
      <w:r w:rsidR="00F31079">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w:t>
      </w:r>
      <w:r w:rsidR="00745976">
        <w:rPr>
          <w:rFonts w:ascii="Verdana" w:eastAsia="Malgun Gothic" w:hAnsi="Verdana" w:cs="Arial"/>
          <w:sz w:val="18"/>
          <w:szCs w:val="18"/>
          <w:lang w:val="el-GR"/>
        </w:rPr>
        <w:t xml:space="preserve"> και </w:t>
      </w:r>
      <w:r w:rsidR="00745976" w:rsidRPr="006022B5">
        <w:rPr>
          <w:rFonts w:ascii="Verdana" w:eastAsia="Malgun Gothic" w:hAnsi="Verdana" w:cs="Arial"/>
          <w:i/>
          <w:sz w:val="18"/>
          <w:szCs w:val="18"/>
          <w:lang w:val="el-GR"/>
        </w:rPr>
        <w:t>Μεταφορές</w:t>
      </w:r>
      <w:r w:rsidR="00745976"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w:t>
      </w:r>
      <w:r w:rsidR="00EA44EA">
        <w:rPr>
          <w:rFonts w:ascii="Verdana" w:eastAsia="Malgun Gothic" w:hAnsi="Verdana" w:cs="Arial"/>
          <w:sz w:val="18"/>
          <w:szCs w:val="18"/>
          <w:lang w:val="el-GR"/>
        </w:rPr>
        <w:t>1</w:t>
      </w:r>
      <w:r w:rsidR="00F31079">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F31079">
        <w:rPr>
          <w:rFonts w:ascii="Verdana" w:eastAsia="Malgun Gothic" w:hAnsi="Verdana" w:cs="Arial"/>
          <w:sz w:val="18"/>
          <w:szCs w:val="18"/>
          <w:lang w:val="el-GR"/>
        </w:rPr>
        <w:t>8</w:t>
      </w:r>
      <w:r w:rsidRPr="006022B5">
        <w:rPr>
          <w:rFonts w:ascii="Verdana" w:eastAsia="Malgun Gothic" w:hAnsi="Verdana" w:cs="Arial"/>
          <w:sz w:val="18"/>
          <w:szCs w:val="18"/>
          <w:lang w:val="el-GR"/>
        </w:rPr>
        <w:t>%)</w:t>
      </w:r>
      <w:r w:rsidRPr="006022B5">
        <w:rPr>
          <w:rFonts w:ascii="Verdana" w:eastAsia="Malgun Gothic" w:hAnsi="Verdana" w:cs="Arial"/>
          <w:iCs/>
          <w:sz w:val="18"/>
          <w:szCs w:val="18"/>
          <w:lang w:val="el-GR"/>
        </w:rPr>
        <w:t xml:space="preserve">. </w:t>
      </w:r>
      <w:r w:rsidRPr="006022B5">
        <w:rPr>
          <w:rFonts w:ascii="Verdana" w:eastAsia="Malgun Gothic" w:hAnsi="Verdana" w:cs="Arial"/>
          <w:sz w:val="18"/>
          <w:szCs w:val="18"/>
          <w:lang w:val="el-GR"/>
        </w:rPr>
        <w:t>(Πίνακας 1)</w:t>
      </w:r>
    </w:p>
    <w:p w14:paraId="1EC1D9E9"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0DD18807" w14:textId="6903F7AD" w:rsidR="006022B5" w:rsidRPr="002809B9" w:rsidRDefault="006022B5" w:rsidP="006022B5">
      <w:pPr>
        <w:tabs>
          <w:tab w:val="left" w:pos="1080"/>
          <w:tab w:val="left" w:pos="6840"/>
        </w:tabs>
        <w:jc w:val="both"/>
        <w:rPr>
          <w:rFonts w:ascii="Verdana" w:eastAsia="Malgun Gothic" w:hAnsi="Verdana" w:cs="Arial"/>
          <w:i/>
          <w:sz w:val="18"/>
          <w:szCs w:val="18"/>
          <w:lang w:val="el-GR"/>
        </w:rPr>
      </w:pPr>
      <w:r w:rsidRPr="006022B5">
        <w:rPr>
          <w:rFonts w:ascii="Verdana" w:eastAsia="Malgun Gothic" w:hAnsi="Verdana" w:cs="Arial"/>
          <w:sz w:val="18"/>
          <w:szCs w:val="18"/>
          <w:lang w:val="el-GR"/>
        </w:rPr>
        <w:t xml:space="preserve">Σε σχέση με τον </w:t>
      </w:r>
      <w:r w:rsidR="00F31079">
        <w:rPr>
          <w:rFonts w:ascii="Verdana" w:eastAsia="Malgun Gothic" w:hAnsi="Verdana" w:cs="Arial"/>
          <w:sz w:val="18"/>
          <w:szCs w:val="18"/>
          <w:lang w:val="el-GR"/>
        </w:rPr>
        <w:t>Αύγουστο</w:t>
      </w:r>
      <w:r w:rsidRPr="006022B5">
        <w:rPr>
          <w:rFonts w:ascii="Verdana" w:eastAsia="Malgun Gothic" w:hAnsi="Verdana" w:cs="Arial"/>
          <w:sz w:val="18"/>
          <w:szCs w:val="18"/>
          <w:lang w:val="el-GR"/>
        </w:rPr>
        <w:t xml:space="preserve"> του 2022, η μεγαλύτερη μεταβολή σημειώθηκε στην κατηγορία</w:t>
      </w:r>
      <w:r w:rsidRPr="004A11EF">
        <w:rPr>
          <w:rFonts w:ascii="Verdana" w:eastAsia="Malgun Gothic" w:hAnsi="Verdana" w:cs="Arial"/>
          <w:sz w:val="18"/>
          <w:szCs w:val="18"/>
          <w:lang w:val="el-GR"/>
        </w:rPr>
        <w:t xml:space="preserve"> </w:t>
      </w:r>
      <w:r w:rsidR="008F2CDE" w:rsidRPr="008F2CDE">
        <w:rPr>
          <w:rFonts w:ascii="Verdana" w:eastAsia="Malgun Gothic" w:hAnsi="Verdana" w:cs="Arial"/>
          <w:i/>
          <w:sz w:val="18"/>
          <w:szCs w:val="18"/>
          <w:lang w:val="el-GR"/>
        </w:rPr>
        <w:t xml:space="preserve">Ένδυση και Υπόδηση </w:t>
      </w:r>
      <w:r w:rsidRPr="006022B5">
        <w:rPr>
          <w:rFonts w:ascii="Verdana" w:eastAsia="Malgun Gothic" w:hAnsi="Verdana" w:cs="Arial"/>
          <w:sz w:val="18"/>
          <w:szCs w:val="18"/>
          <w:lang w:val="el-GR"/>
        </w:rPr>
        <w:t>(</w:t>
      </w:r>
      <w:r w:rsidR="008F2CDE">
        <w:rPr>
          <w:rFonts w:ascii="Verdana" w:eastAsia="Malgun Gothic" w:hAnsi="Verdana" w:cs="Arial"/>
          <w:sz w:val="18"/>
          <w:szCs w:val="18"/>
          <w:lang w:val="el-GR"/>
        </w:rPr>
        <w:t>7</w:t>
      </w:r>
      <w:r w:rsidRPr="006022B5">
        <w:rPr>
          <w:rFonts w:ascii="Verdana" w:eastAsia="Malgun Gothic" w:hAnsi="Verdana" w:cs="Arial"/>
          <w:sz w:val="18"/>
          <w:szCs w:val="18"/>
          <w:lang w:val="el-GR"/>
        </w:rPr>
        <w:t>,</w:t>
      </w:r>
      <w:r w:rsidR="008F2CDE">
        <w:rPr>
          <w:rFonts w:ascii="Verdana" w:eastAsia="Malgun Gothic" w:hAnsi="Verdana" w:cs="Arial"/>
          <w:sz w:val="18"/>
          <w:szCs w:val="18"/>
          <w:lang w:val="el-GR"/>
        </w:rPr>
        <w:t>7</w:t>
      </w:r>
      <w:r w:rsidRPr="006022B5">
        <w:rPr>
          <w:rFonts w:ascii="Verdana" w:eastAsia="Malgun Gothic" w:hAnsi="Verdana" w:cs="Arial"/>
          <w:sz w:val="18"/>
          <w:szCs w:val="18"/>
          <w:lang w:val="el-GR"/>
        </w:rPr>
        <w:t>%)</w:t>
      </w:r>
      <w:r w:rsidR="00F93032">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(Πίνακας 1)</w:t>
      </w:r>
    </w:p>
    <w:p w14:paraId="3A5C39DA"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7F243AB5" w14:textId="2E3F15BD"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Για την περίοδο Ιανουαρίου - </w:t>
      </w:r>
      <w:r w:rsidR="001B1006">
        <w:rPr>
          <w:rFonts w:ascii="Verdana" w:eastAsia="Malgun Gothic" w:hAnsi="Verdana" w:cs="Arial"/>
          <w:sz w:val="18"/>
          <w:szCs w:val="18"/>
          <w:lang w:val="el-GR"/>
        </w:rPr>
        <w:t>Σεπτεμβρίου</w:t>
      </w:r>
      <w:r w:rsidRPr="006022B5">
        <w:rPr>
          <w:rFonts w:ascii="Verdana" w:eastAsia="Malgun Gothic" w:hAnsi="Verdana" w:cs="Arial"/>
          <w:sz w:val="18"/>
          <w:szCs w:val="18"/>
          <w:lang w:val="el-GR"/>
        </w:rPr>
        <w:t xml:space="preserve"> 2022 σε σύγκριση με την αντίστοιχη περσινή περίοδο, οι μεγαλύτερες μεταβολές παρουσιάστηκαν στις κατηγορίες </w:t>
      </w:r>
      <w:r w:rsidRPr="006022B5">
        <w:rPr>
          <w:rFonts w:ascii="Verdana" w:eastAsia="Malgun Gothic" w:hAnsi="Verdana" w:cs="Arial"/>
          <w:i/>
          <w:sz w:val="18"/>
          <w:szCs w:val="18"/>
          <w:lang w:val="el-GR"/>
        </w:rPr>
        <w:t xml:space="preserve">Στέγαση, Ύδρευση, Ηλεκτρισμός και Υγραέριο </w:t>
      </w:r>
      <w:r w:rsidRPr="006022B5">
        <w:rPr>
          <w:rFonts w:ascii="Verdana" w:eastAsia="Malgun Gothic" w:hAnsi="Verdana" w:cs="Arial"/>
          <w:iCs/>
          <w:sz w:val="18"/>
          <w:szCs w:val="18"/>
          <w:lang w:val="el-GR"/>
        </w:rPr>
        <w:t>(</w:t>
      </w:r>
      <w:r w:rsidR="0083740B">
        <w:rPr>
          <w:rFonts w:ascii="Verdana" w:eastAsia="Malgun Gothic" w:hAnsi="Verdana" w:cs="Arial"/>
          <w:iCs/>
          <w:sz w:val="18"/>
          <w:szCs w:val="18"/>
          <w:lang w:val="el-GR"/>
        </w:rPr>
        <w:t>2</w:t>
      </w:r>
      <w:r w:rsidR="00AB62D1">
        <w:rPr>
          <w:rFonts w:ascii="Verdana" w:eastAsia="Malgun Gothic" w:hAnsi="Verdana" w:cs="Arial"/>
          <w:iCs/>
          <w:sz w:val="18"/>
          <w:szCs w:val="18"/>
          <w:lang w:val="el-GR"/>
        </w:rPr>
        <w:t>1</w:t>
      </w:r>
      <w:r w:rsidRPr="006022B5">
        <w:rPr>
          <w:rFonts w:ascii="Verdana" w:eastAsia="Malgun Gothic" w:hAnsi="Verdana" w:cs="Arial"/>
          <w:iCs/>
          <w:sz w:val="18"/>
          <w:szCs w:val="18"/>
          <w:lang w:val="el-GR"/>
        </w:rPr>
        <w:t>,</w:t>
      </w:r>
      <w:r w:rsidR="001B1006">
        <w:rPr>
          <w:rFonts w:ascii="Verdana" w:eastAsia="Malgun Gothic" w:hAnsi="Verdana" w:cs="Arial"/>
          <w:iCs/>
          <w:sz w:val="18"/>
          <w:szCs w:val="18"/>
          <w:lang w:val="el-GR"/>
        </w:rPr>
        <w:t>9</w:t>
      </w:r>
      <w:r w:rsidRPr="006022B5">
        <w:rPr>
          <w:rFonts w:ascii="Verdana" w:eastAsia="Malgun Gothic" w:hAnsi="Verdana" w:cs="Arial"/>
          <w:iCs/>
          <w:sz w:val="18"/>
          <w:szCs w:val="18"/>
          <w:lang w:val="el-GR"/>
        </w:rPr>
        <w:t>%)</w:t>
      </w:r>
      <w:r w:rsidR="0083740B">
        <w:rPr>
          <w:rFonts w:ascii="Verdana" w:eastAsia="Malgun Gothic" w:hAnsi="Verdana" w:cs="Arial"/>
          <w:sz w:val="18"/>
          <w:szCs w:val="18"/>
          <w:lang w:val="el-GR"/>
        </w:rPr>
        <w:t xml:space="preserve"> και </w:t>
      </w:r>
      <w:r w:rsidRPr="006022B5">
        <w:rPr>
          <w:rFonts w:ascii="Verdana" w:eastAsia="Malgun Gothic" w:hAnsi="Verdana" w:cs="Arial"/>
          <w:i/>
          <w:iCs/>
          <w:sz w:val="18"/>
          <w:szCs w:val="18"/>
          <w:lang w:val="el-GR"/>
        </w:rPr>
        <w:t>Μεταφορές</w:t>
      </w:r>
      <w:r w:rsidRPr="006022B5">
        <w:rPr>
          <w:rFonts w:ascii="Verdana" w:eastAsia="Malgun Gothic" w:hAnsi="Verdana" w:cs="Arial"/>
          <w:sz w:val="18"/>
          <w:szCs w:val="18"/>
          <w:lang w:val="el-GR"/>
        </w:rPr>
        <w:t xml:space="preserve"> </w:t>
      </w:r>
      <w:r w:rsidRPr="006022B5">
        <w:rPr>
          <w:rFonts w:ascii="Verdana" w:eastAsia="Malgun Gothic" w:hAnsi="Verdana" w:cs="Arial"/>
          <w:iCs/>
          <w:sz w:val="18"/>
          <w:szCs w:val="18"/>
          <w:lang w:val="el-GR"/>
        </w:rPr>
        <w:t>(1</w:t>
      </w:r>
      <w:r w:rsidR="0083740B">
        <w:rPr>
          <w:rFonts w:ascii="Verdana" w:eastAsia="Malgun Gothic" w:hAnsi="Verdana" w:cs="Arial"/>
          <w:iCs/>
          <w:sz w:val="18"/>
          <w:szCs w:val="18"/>
          <w:lang w:val="el-GR"/>
        </w:rPr>
        <w:t>8</w:t>
      </w:r>
      <w:r w:rsidRPr="006022B5">
        <w:rPr>
          <w:rFonts w:ascii="Verdana" w:eastAsia="Malgun Gothic" w:hAnsi="Verdana" w:cs="Arial"/>
          <w:iCs/>
          <w:sz w:val="18"/>
          <w:szCs w:val="18"/>
          <w:lang w:val="el-GR"/>
        </w:rPr>
        <w:t>,</w:t>
      </w:r>
      <w:r w:rsidR="001B1006">
        <w:rPr>
          <w:rFonts w:ascii="Verdana" w:eastAsia="Malgun Gothic" w:hAnsi="Verdana" w:cs="Arial"/>
          <w:iCs/>
          <w:sz w:val="18"/>
          <w:szCs w:val="18"/>
          <w:lang w:val="el-GR"/>
        </w:rPr>
        <w:t>3</w:t>
      </w:r>
      <w:r w:rsidRPr="006022B5">
        <w:rPr>
          <w:rFonts w:ascii="Verdana" w:eastAsia="Malgun Gothic" w:hAnsi="Verdana" w:cs="Arial"/>
          <w:iCs/>
          <w:sz w:val="18"/>
          <w:szCs w:val="18"/>
          <w:lang w:val="el-GR"/>
        </w:rPr>
        <w:t>%)</w:t>
      </w:r>
      <w:r w:rsidR="0083740B">
        <w:rPr>
          <w:rFonts w:ascii="Verdana" w:eastAsia="Malgun Gothic" w:hAnsi="Verdana" w:cs="Arial"/>
          <w:iCs/>
          <w:sz w:val="18"/>
          <w:szCs w:val="18"/>
          <w:lang w:val="el-GR"/>
        </w:rPr>
        <w:t xml:space="preserve">. </w:t>
      </w:r>
      <w:r w:rsidRPr="006022B5">
        <w:rPr>
          <w:rFonts w:ascii="Verdana" w:eastAsia="Malgun Gothic" w:hAnsi="Verdana" w:cs="Arial"/>
          <w:sz w:val="18"/>
          <w:szCs w:val="18"/>
          <w:lang w:val="el-GR"/>
        </w:rPr>
        <w:t>(Πίνακας 1)</w:t>
      </w:r>
    </w:p>
    <w:p w14:paraId="2BED1BC7"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424F7C08"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7E561778"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Ανάλυση επιπτώσεων σε μονάδες</w:t>
      </w:r>
    </w:p>
    <w:p w14:paraId="47CF4B42"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p>
    <w:p w14:paraId="7686F5C5" w14:textId="3BD2B0DD"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Τη μεγαλύτερη επίδραση στη μεταβολή του ΔΤΚ του </w:t>
      </w:r>
      <w:r w:rsidR="004B1104">
        <w:rPr>
          <w:rFonts w:ascii="Verdana" w:hAnsi="Verdana" w:cs="Arial"/>
          <w:sz w:val="18"/>
          <w:szCs w:val="18"/>
          <w:lang w:val="el-GR"/>
        </w:rPr>
        <w:t>Σεπτεμβρίου</w:t>
      </w:r>
      <w:r w:rsidRPr="006022B5">
        <w:rPr>
          <w:rFonts w:ascii="Verdana" w:hAnsi="Verdana" w:cs="Arial"/>
          <w:sz w:val="18"/>
          <w:szCs w:val="18"/>
          <w:lang w:val="el-GR"/>
        </w:rPr>
        <w:t xml:space="preserve"> </w:t>
      </w:r>
      <w:r w:rsidRPr="006022B5">
        <w:rPr>
          <w:rFonts w:ascii="Verdana" w:eastAsia="Malgun Gothic" w:hAnsi="Verdana" w:cs="Arial"/>
          <w:sz w:val="18"/>
          <w:szCs w:val="18"/>
          <w:lang w:val="el-GR"/>
        </w:rPr>
        <w:t xml:space="preserve">2022 σε σχέση με τον </w:t>
      </w:r>
      <w:r w:rsidR="004B1104">
        <w:rPr>
          <w:rFonts w:ascii="Verdana" w:hAnsi="Verdana" w:cs="Arial"/>
          <w:sz w:val="18"/>
          <w:szCs w:val="18"/>
          <w:lang w:val="el-GR"/>
        </w:rPr>
        <w:t>Σεπτέμβριο</w:t>
      </w:r>
      <w:r w:rsidRPr="006022B5">
        <w:rPr>
          <w:rFonts w:ascii="Verdana" w:hAnsi="Verdana" w:cs="Arial"/>
          <w:sz w:val="18"/>
          <w:szCs w:val="18"/>
          <w:lang w:val="el-GR"/>
        </w:rPr>
        <w:t xml:space="preserve"> </w:t>
      </w:r>
      <w:r w:rsidRPr="006022B5">
        <w:rPr>
          <w:rFonts w:ascii="Verdana" w:eastAsia="Malgun Gothic" w:hAnsi="Verdana" w:cs="Arial"/>
          <w:sz w:val="18"/>
          <w:szCs w:val="18"/>
          <w:lang w:val="el-GR"/>
        </w:rPr>
        <w:t xml:space="preserve">του 2021 είχαν οι κατηγορίες </w:t>
      </w:r>
      <w:r w:rsidR="00C82F1B" w:rsidRPr="006022B5">
        <w:rPr>
          <w:rFonts w:ascii="Verdana" w:eastAsia="Malgun Gothic" w:hAnsi="Verdana" w:cs="Arial"/>
          <w:i/>
          <w:sz w:val="18"/>
          <w:szCs w:val="18"/>
          <w:lang w:val="el-GR"/>
        </w:rPr>
        <w:t>Στέγαση, Ύδρευση, Ηλεκτρισμός και Υγραέριο</w:t>
      </w:r>
      <w:r w:rsidR="00C82F1B" w:rsidRPr="006022B5">
        <w:rPr>
          <w:rFonts w:ascii="Verdana" w:eastAsia="Malgun Gothic" w:hAnsi="Verdana" w:cs="Arial"/>
          <w:iCs/>
          <w:sz w:val="18"/>
          <w:szCs w:val="18"/>
          <w:lang w:val="el-GR"/>
        </w:rPr>
        <w:t xml:space="preserve"> (</w:t>
      </w:r>
      <w:r w:rsidR="00C82F1B">
        <w:rPr>
          <w:rFonts w:ascii="Verdana" w:eastAsia="Malgun Gothic" w:hAnsi="Verdana" w:cs="Arial"/>
          <w:iCs/>
          <w:sz w:val="18"/>
          <w:szCs w:val="18"/>
          <w:lang w:val="el-GR"/>
        </w:rPr>
        <w:t>3</w:t>
      </w:r>
      <w:r w:rsidR="00C82F1B" w:rsidRPr="006022B5">
        <w:rPr>
          <w:rFonts w:ascii="Verdana" w:eastAsia="Malgun Gothic" w:hAnsi="Verdana" w:cs="Arial"/>
          <w:iCs/>
          <w:sz w:val="18"/>
          <w:szCs w:val="18"/>
          <w:lang w:val="el-GR"/>
        </w:rPr>
        <w:t>,</w:t>
      </w:r>
      <w:r w:rsidR="008045AC">
        <w:rPr>
          <w:rFonts w:ascii="Verdana" w:eastAsia="Malgun Gothic" w:hAnsi="Verdana" w:cs="Arial"/>
          <w:iCs/>
          <w:sz w:val="18"/>
          <w:szCs w:val="18"/>
          <w:lang w:val="el-GR"/>
        </w:rPr>
        <w:t>48</w:t>
      </w:r>
      <w:r w:rsidR="00C82F1B" w:rsidRPr="006022B5">
        <w:rPr>
          <w:rFonts w:ascii="Verdana" w:eastAsia="Malgun Gothic" w:hAnsi="Verdana" w:cs="Arial"/>
          <w:iCs/>
          <w:sz w:val="18"/>
          <w:szCs w:val="18"/>
          <w:lang w:val="el-GR"/>
        </w:rPr>
        <w:t>)</w:t>
      </w:r>
      <w:r w:rsidR="001D3C3A">
        <w:rPr>
          <w:rFonts w:ascii="Verdana" w:eastAsia="Malgun Gothic" w:hAnsi="Verdana" w:cs="Arial"/>
          <w:iCs/>
          <w:sz w:val="18"/>
          <w:szCs w:val="18"/>
          <w:lang w:val="el-GR"/>
        </w:rPr>
        <w:t xml:space="preserve"> και</w:t>
      </w:r>
      <w:r w:rsidR="00C82F1B" w:rsidRPr="00C82F1B">
        <w:rPr>
          <w:rFonts w:ascii="Verdana" w:eastAsia="Malgun Gothic" w:hAnsi="Verdana" w:cs="Arial"/>
          <w:i/>
          <w:sz w:val="18"/>
          <w:szCs w:val="18"/>
          <w:lang w:val="el-GR"/>
        </w:rPr>
        <w:t xml:space="preserve"> </w:t>
      </w:r>
      <w:r w:rsidR="00C82F1B" w:rsidRPr="006022B5">
        <w:rPr>
          <w:rFonts w:ascii="Verdana" w:eastAsia="Malgun Gothic" w:hAnsi="Verdana" w:cs="Arial"/>
          <w:i/>
          <w:sz w:val="18"/>
          <w:szCs w:val="18"/>
          <w:lang w:val="el-GR"/>
        </w:rPr>
        <w:t>Μεταφορές</w:t>
      </w:r>
      <w:r w:rsidR="00C82F1B" w:rsidRPr="006022B5">
        <w:rPr>
          <w:rFonts w:ascii="Verdana" w:eastAsia="Malgun Gothic" w:hAnsi="Verdana" w:cs="Arial"/>
          <w:iCs/>
          <w:sz w:val="18"/>
          <w:szCs w:val="18"/>
          <w:lang w:val="el-GR"/>
        </w:rPr>
        <w:t xml:space="preserve"> (</w:t>
      </w:r>
      <w:r w:rsidR="008045AC">
        <w:rPr>
          <w:rFonts w:ascii="Verdana" w:eastAsia="Malgun Gothic" w:hAnsi="Verdana" w:cs="Arial"/>
          <w:iCs/>
          <w:sz w:val="18"/>
          <w:szCs w:val="18"/>
          <w:lang w:val="el-GR"/>
        </w:rPr>
        <w:t>2</w:t>
      </w:r>
      <w:r w:rsidR="00C82F1B" w:rsidRPr="006022B5">
        <w:rPr>
          <w:rFonts w:ascii="Verdana" w:eastAsia="Malgun Gothic" w:hAnsi="Verdana" w:cs="Arial"/>
          <w:iCs/>
          <w:sz w:val="18"/>
          <w:szCs w:val="18"/>
          <w:lang w:val="el-GR"/>
        </w:rPr>
        <w:t>,</w:t>
      </w:r>
      <w:r w:rsidR="00C82F1B">
        <w:rPr>
          <w:rFonts w:ascii="Verdana" w:eastAsia="Malgun Gothic" w:hAnsi="Verdana" w:cs="Arial"/>
          <w:iCs/>
          <w:sz w:val="18"/>
          <w:szCs w:val="18"/>
          <w:lang w:val="el-GR"/>
        </w:rPr>
        <w:t>1</w:t>
      </w:r>
      <w:r w:rsidR="008045AC">
        <w:rPr>
          <w:rFonts w:ascii="Verdana" w:eastAsia="Malgun Gothic" w:hAnsi="Verdana" w:cs="Arial"/>
          <w:iCs/>
          <w:sz w:val="18"/>
          <w:szCs w:val="18"/>
          <w:lang w:val="el-GR"/>
        </w:rPr>
        <w:t>9</w:t>
      </w:r>
      <w:r w:rsidR="00C82F1B" w:rsidRPr="006022B5">
        <w:rPr>
          <w:rFonts w:ascii="Verdana" w:eastAsia="Malgun Gothic" w:hAnsi="Verdana" w:cs="Arial"/>
          <w:iCs/>
          <w:sz w:val="18"/>
          <w:szCs w:val="18"/>
          <w:lang w:val="el-GR"/>
        </w:rPr>
        <w:t>)</w:t>
      </w:r>
      <w:r w:rsidRPr="006022B5">
        <w:rPr>
          <w:rFonts w:ascii="Verdana" w:eastAsia="Malgun Gothic" w:hAnsi="Verdana" w:cs="Arial"/>
          <w:sz w:val="18"/>
          <w:szCs w:val="18"/>
          <w:lang w:val="el-GR"/>
        </w:rPr>
        <w:t>. (Πίνακας 3)</w:t>
      </w:r>
    </w:p>
    <w:p w14:paraId="328F7BC1"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458B7840" w14:textId="31EADDFB"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Τη μεγαλύτερη </w:t>
      </w:r>
      <w:r w:rsidR="00C82F1B">
        <w:rPr>
          <w:rFonts w:ascii="Verdana" w:eastAsia="Malgun Gothic" w:hAnsi="Verdana" w:cs="Arial"/>
          <w:sz w:val="18"/>
          <w:szCs w:val="18"/>
          <w:lang w:val="el-GR"/>
        </w:rPr>
        <w:t>αρνητική</w:t>
      </w:r>
      <w:r w:rsidRPr="006022B5">
        <w:rPr>
          <w:rFonts w:ascii="Verdana" w:eastAsia="Malgun Gothic" w:hAnsi="Verdana" w:cs="Arial"/>
          <w:sz w:val="18"/>
          <w:szCs w:val="18"/>
          <w:lang w:val="el-GR"/>
        </w:rPr>
        <w:t xml:space="preserve"> επίπτωση στη μεταβολή του ΔΤΚ σε σχέση με τον προηγούμενο μήνα είχ</w:t>
      </w:r>
      <w:r w:rsidR="003A38E9">
        <w:rPr>
          <w:rFonts w:ascii="Verdana" w:eastAsia="Malgun Gothic" w:hAnsi="Verdana" w:cs="Arial"/>
          <w:sz w:val="18"/>
          <w:szCs w:val="18"/>
          <w:lang w:val="el-GR"/>
        </w:rPr>
        <w:t>ε η</w:t>
      </w:r>
      <w:r w:rsidRPr="006022B5">
        <w:rPr>
          <w:rFonts w:ascii="Verdana" w:eastAsia="Malgun Gothic" w:hAnsi="Verdana" w:cs="Arial"/>
          <w:sz w:val="18"/>
          <w:szCs w:val="18"/>
          <w:lang w:val="el-GR"/>
        </w:rPr>
        <w:t xml:space="preserve"> κατηγορί</w:t>
      </w:r>
      <w:r w:rsidR="003A38E9">
        <w:rPr>
          <w:rFonts w:ascii="Verdana" w:eastAsia="Malgun Gothic" w:hAnsi="Verdana" w:cs="Arial"/>
          <w:sz w:val="18"/>
          <w:szCs w:val="18"/>
          <w:lang w:val="el-GR"/>
        </w:rPr>
        <w:t>α</w:t>
      </w:r>
      <w:r w:rsidRPr="006022B5">
        <w:rPr>
          <w:rFonts w:ascii="Verdana" w:eastAsia="Malgun Gothic" w:hAnsi="Verdana" w:cs="Arial"/>
          <w:sz w:val="18"/>
          <w:szCs w:val="18"/>
          <w:lang w:val="el-GR"/>
        </w:rPr>
        <w:t xml:space="preserve"> </w:t>
      </w:r>
      <w:r w:rsidR="00C82F1B" w:rsidRPr="006022B5">
        <w:rPr>
          <w:rFonts w:ascii="Verdana" w:eastAsia="Malgun Gothic" w:hAnsi="Verdana" w:cs="Arial"/>
          <w:i/>
          <w:sz w:val="18"/>
          <w:szCs w:val="18"/>
          <w:lang w:val="el-GR"/>
        </w:rPr>
        <w:t>Μεταφορές</w:t>
      </w:r>
      <w:r w:rsidR="00C82F1B" w:rsidRPr="006022B5">
        <w:rPr>
          <w:rFonts w:ascii="Verdana" w:eastAsia="Malgun Gothic" w:hAnsi="Verdana" w:cs="Arial"/>
          <w:iCs/>
          <w:sz w:val="18"/>
          <w:szCs w:val="18"/>
          <w:lang w:val="el-GR"/>
        </w:rPr>
        <w:t xml:space="preserve"> </w:t>
      </w:r>
      <w:r w:rsidRPr="006022B5">
        <w:rPr>
          <w:rFonts w:ascii="Verdana" w:eastAsia="Malgun Gothic" w:hAnsi="Verdana" w:cs="Arial"/>
          <w:iCs/>
          <w:sz w:val="18"/>
          <w:szCs w:val="18"/>
          <w:lang w:val="el-GR"/>
        </w:rPr>
        <w:t>(</w:t>
      </w:r>
      <w:r w:rsidR="00C82F1B">
        <w:rPr>
          <w:rFonts w:ascii="Verdana" w:eastAsia="Malgun Gothic" w:hAnsi="Verdana" w:cs="Arial"/>
          <w:iCs/>
          <w:sz w:val="18"/>
          <w:szCs w:val="18"/>
          <w:lang w:val="el-GR"/>
        </w:rPr>
        <w:t>-</w:t>
      </w:r>
      <w:r w:rsidR="008045AC">
        <w:rPr>
          <w:rFonts w:ascii="Verdana" w:eastAsia="Malgun Gothic" w:hAnsi="Verdana" w:cs="Arial"/>
          <w:iCs/>
          <w:sz w:val="18"/>
          <w:szCs w:val="18"/>
          <w:lang w:val="el-GR"/>
        </w:rPr>
        <w:t>1</w:t>
      </w:r>
      <w:r w:rsidR="00C82F1B">
        <w:rPr>
          <w:rFonts w:ascii="Verdana" w:eastAsia="Malgun Gothic" w:hAnsi="Verdana" w:cs="Arial"/>
          <w:iCs/>
          <w:sz w:val="18"/>
          <w:szCs w:val="18"/>
          <w:lang w:val="el-GR"/>
        </w:rPr>
        <w:t>,</w:t>
      </w:r>
      <w:r w:rsidR="008045AC">
        <w:rPr>
          <w:rFonts w:ascii="Verdana" w:eastAsia="Malgun Gothic" w:hAnsi="Verdana" w:cs="Arial"/>
          <w:iCs/>
          <w:sz w:val="18"/>
          <w:szCs w:val="18"/>
          <w:lang w:val="el-GR"/>
        </w:rPr>
        <w:t>03</w:t>
      </w:r>
      <w:r w:rsidRPr="006022B5">
        <w:rPr>
          <w:rFonts w:ascii="Verdana" w:eastAsia="Malgun Gothic" w:hAnsi="Verdana" w:cs="Arial"/>
          <w:iCs/>
          <w:sz w:val="18"/>
          <w:szCs w:val="18"/>
          <w:lang w:val="el-GR"/>
        </w:rPr>
        <w:t>)</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(Πίνακας 3)</w:t>
      </w:r>
    </w:p>
    <w:p w14:paraId="129100A0" w14:textId="77777777" w:rsidR="006022B5" w:rsidRPr="004A11EF" w:rsidRDefault="006022B5" w:rsidP="006022B5">
      <w:pPr>
        <w:tabs>
          <w:tab w:val="left" w:pos="1080"/>
          <w:tab w:val="left" w:pos="6840"/>
        </w:tabs>
        <w:jc w:val="both"/>
        <w:rPr>
          <w:rFonts w:ascii="Verdana" w:eastAsia="Malgun Gothic" w:hAnsi="Verdana" w:cs="Arial"/>
          <w:sz w:val="18"/>
          <w:szCs w:val="18"/>
          <w:lang w:val="el-GR"/>
        </w:rPr>
      </w:pPr>
    </w:p>
    <w:p w14:paraId="5FD1B7A4" w14:textId="2C922EDA"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Τη μεγαλύτερη επίπτωση στη μεταβολή του ΔΤΚ του</w:t>
      </w:r>
      <w:r w:rsidRPr="006022B5">
        <w:rPr>
          <w:rFonts w:ascii="Verdana" w:hAnsi="Verdana" w:cs="Arial"/>
          <w:sz w:val="18"/>
          <w:szCs w:val="18"/>
          <w:lang w:val="el-GR"/>
        </w:rPr>
        <w:t xml:space="preserve"> </w:t>
      </w:r>
      <w:r w:rsidR="001F2779">
        <w:rPr>
          <w:rFonts w:ascii="Verdana" w:hAnsi="Verdana" w:cs="Arial"/>
          <w:sz w:val="18"/>
          <w:szCs w:val="18"/>
          <w:lang w:val="el-GR"/>
        </w:rPr>
        <w:t>Σεπτεμβρίου</w:t>
      </w:r>
      <w:r w:rsidRPr="006022B5">
        <w:rPr>
          <w:rFonts w:ascii="Verdana" w:eastAsia="Malgun Gothic" w:hAnsi="Verdana" w:cs="Arial"/>
          <w:sz w:val="18"/>
          <w:szCs w:val="18"/>
          <w:lang w:val="el-GR"/>
        </w:rPr>
        <w:t xml:space="preserve"> 2022 σε σύγκριση με το δείκτη του </w:t>
      </w:r>
      <w:r w:rsidR="001F2779">
        <w:rPr>
          <w:rFonts w:ascii="Verdana" w:hAnsi="Verdana" w:cs="Arial"/>
          <w:sz w:val="18"/>
          <w:szCs w:val="18"/>
          <w:lang w:val="el-GR"/>
        </w:rPr>
        <w:t>Σεπτεμβρίου</w:t>
      </w:r>
      <w:r w:rsidRPr="006022B5">
        <w:rPr>
          <w:rFonts w:ascii="Verdana" w:eastAsia="Malgun Gothic" w:hAnsi="Verdana" w:cs="Arial"/>
          <w:sz w:val="18"/>
          <w:szCs w:val="18"/>
          <w:lang w:val="el-GR"/>
        </w:rPr>
        <w:t xml:space="preserve"> 2021 είχ</w:t>
      </w:r>
      <w:r w:rsidR="00BC31E2">
        <w:rPr>
          <w:rFonts w:ascii="Verdana" w:eastAsia="Malgun Gothic" w:hAnsi="Verdana" w:cs="Arial"/>
          <w:sz w:val="18"/>
          <w:szCs w:val="18"/>
          <w:lang w:val="el-GR"/>
        </w:rPr>
        <w:t xml:space="preserve">ε ο </w:t>
      </w:r>
      <w:r w:rsidR="00BC31E2" w:rsidRPr="006022B5">
        <w:rPr>
          <w:rFonts w:ascii="Verdana" w:eastAsia="Malgun Gothic" w:hAnsi="Verdana" w:cs="Arial"/>
          <w:i/>
          <w:iCs/>
          <w:sz w:val="18"/>
          <w:szCs w:val="18"/>
          <w:lang w:val="el-GR"/>
        </w:rPr>
        <w:t>Ηλεκτρισμός</w:t>
      </w:r>
      <w:r w:rsidR="00BC31E2" w:rsidRPr="006022B5">
        <w:rPr>
          <w:rFonts w:ascii="Verdana" w:eastAsia="Malgun Gothic" w:hAnsi="Verdana" w:cs="Arial"/>
          <w:sz w:val="18"/>
          <w:szCs w:val="18"/>
          <w:lang w:val="el-GR"/>
        </w:rPr>
        <w:t xml:space="preserve"> (</w:t>
      </w:r>
      <w:r w:rsidR="00BC31E2">
        <w:rPr>
          <w:rFonts w:ascii="Verdana" w:eastAsia="Malgun Gothic" w:hAnsi="Verdana" w:cs="Arial"/>
          <w:sz w:val="18"/>
          <w:szCs w:val="18"/>
          <w:lang/>
        </w:rPr>
        <w:t>2</w:t>
      </w:r>
      <w:r w:rsidR="00BC31E2" w:rsidRPr="006022B5">
        <w:rPr>
          <w:rFonts w:ascii="Verdana" w:eastAsia="Malgun Gothic" w:hAnsi="Verdana" w:cs="Arial"/>
          <w:sz w:val="18"/>
          <w:szCs w:val="18"/>
          <w:lang w:val="el-GR"/>
        </w:rPr>
        <w:t>,</w:t>
      </w:r>
      <w:r w:rsidR="00BC31E2">
        <w:rPr>
          <w:rFonts w:ascii="Verdana" w:eastAsia="Malgun Gothic" w:hAnsi="Verdana" w:cs="Arial"/>
          <w:sz w:val="18"/>
          <w:szCs w:val="18"/>
          <w:lang w:val="el-GR"/>
        </w:rPr>
        <w:t>28</w:t>
      </w:r>
      <w:r w:rsidR="00BC31E2"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και </w:t>
      </w:r>
      <w:r w:rsidR="00BC31E2">
        <w:rPr>
          <w:rFonts w:ascii="Verdana" w:eastAsia="Malgun Gothic" w:hAnsi="Verdana" w:cs="Arial"/>
          <w:sz w:val="18"/>
          <w:szCs w:val="18"/>
          <w:lang w:val="el-GR"/>
        </w:rPr>
        <w:t>τα</w:t>
      </w:r>
      <w:r w:rsidR="00BC31E2" w:rsidRPr="00BC31E2">
        <w:rPr>
          <w:rFonts w:ascii="Verdana" w:eastAsia="Malgun Gothic" w:hAnsi="Verdana" w:cs="Arial"/>
          <w:sz w:val="18"/>
          <w:szCs w:val="18"/>
          <w:lang w:val="el-GR"/>
        </w:rPr>
        <w:t xml:space="preserve"> </w:t>
      </w:r>
      <w:r w:rsidR="00BC31E2" w:rsidRPr="006022B5">
        <w:rPr>
          <w:rFonts w:ascii="Verdana" w:eastAsia="Malgun Gothic" w:hAnsi="Verdana" w:cs="Arial"/>
          <w:sz w:val="18"/>
          <w:szCs w:val="18"/>
          <w:lang w:val="el-GR"/>
        </w:rPr>
        <w:t>Π</w:t>
      </w:r>
      <w:r w:rsidR="00BC31E2" w:rsidRPr="006022B5">
        <w:rPr>
          <w:rFonts w:ascii="Verdana" w:eastAsia="Malgun Gothic" w:hAnsi="Verdana" w:cs="Arial"/>
          <w:i/>
          <w:iCs/>
          <w:sz w:val="18"/>
          <w:szCs w:val="18"/>
          <w:lang w:val="el-GR"/>
        </w:rPr>
        <w:t>ετρελαιοειδή</w:t>
      </w:r>
      <w:r w:rsidR="00BC31E2" w:rsidRPr="006022B5">
        <w:rPr>
          <w:rFonts w:ascii="Verdana" w:eastAsia="Malgun Gothic" w:hAnsi="Verdana" w:cs="Arial"/>
          <w:sz w:val="18"/>
          <w:szCs w:val="18"/>
          <w:lang w:val="el-GR"/>
        </w:rPr>
        <w:t xml:space="preserve"> (</w:t>
      </w:r>
      <w:r w:rsidR="00BC31E2">
        <w:rPr>
          <w:rFonts w:ascii="Verdana" w:eastAsia="Malgun Gothic" w:hAnsi="Verdana" w:cs="Arial"/>
          <w:sz w:val="18"/>
          <w:szCs w:val="18"/>
          <w:lang w:val="el-GR"/>
        </w:rPr>
        <w:t>2</w:t>
      </w:r>
      <w:r w:rsidR="00BC31E2" w:rsidRPr="006022B5">
        <w:rPr>
          <w:rFonts w:ascii="Verdana" w:eastAsia="Malgun Gothic" w:hAnsi="Verdana" w:cs="Arial"/>
          <w:sz w:val="18"/>
          <w:szCs w:val="18"/>
          <w:lang w:val="el-GR"/>
        </w:rPr>
        <w:t>,</w:t>
      </w:r>
      <w:r w:rsidR="00BC31E2">
        <w:rPr>
          <w:rFonts w:ascii="Verdana" w:eastAsia="Malgun Gothic" w:hAnsi="Verdana" w:cs="Arial"/>
          <w:sz w:val="18"/>
          <w:szCs w:val="18"/>
          <w:lang w:val="el-GR"/>
        </w:rPr>
        <w:t>10</w:t>
      </w:r>
      <w:r w:rsidR="00BC31E2" w:rsidRPr="006022B5">
        <w:rPr>
          <w:rFonts w:ascii="Verdana" w:eastAsia="Malgun Gothic" w:hAnsi="Verdana" w:cs="Arial"/>
          <w:sz w:val="18"/>
          <w:szCs w:val="18"/>
          <w:lang w:val="el-GR"/>
        </w:rPr>
        <w:t>)</w:t>
      </w:r>
      <w:r w:rsidRPr="006022B5">
        <w:rPr>
          <w:rFonts w:ascii="Verdana" w:eastAsia="Malgun Gothic" w:hAnsi="Verdana" w:cs="Arial"/>
          <w:sz w:val="18"/>
          <w:szCs w:val="18"/>
          <w:lang w:val="el-GR"/>
        </w:rPr>
        <w:t>. (Πίνακας 4)</w:t>
      </w:r>
    </w:p>
    <w:p w14:paraId="0B7EED4B"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1F61FA24" w14:textId="48A0FAF9" w:rsidR="006022B5" w:rsidRPr="006022B5" w:rsidRDefault="006022B5" w:rsidP="006022B5">
      <w:pPr>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Τέλος, </w:t>
      </w:r>
      <w:r w:rsidR="002347EE" w:rsidRPr="006022B5">
        <w:rPr>
          <w:rFonts w:ascii="Verdana" w:eastAsia="Malgun Gothic" w:hAnsi="Verdana" w:cs="Arial"/>
          <w:sz w:val="18"/>
          <w:szCs w:val="18"/>
          <w:lang w:val="el-GR"/>
        </w:rPr>
        <w:t>τα  Π</w:t>
      </w:r>
      <w:r w:rsidR="002347EE" w:rsidRPr="006022B5">
        <w:rPr>
          <w:rFonts w:ascii="Verdana" w:eastAsia="Malgun Gothic" w:hAnsi="Verdana" w:cs="Arial"/>
          <w:i/>
          <w:iCs/>
          <w:sz w:val="18"/>
          <w:szCs w:val="18"/>
          <w:lang w:val="el-GR"/>
        </w:rPr>
        <w:t>ετρελαιοειδή</w:t>
      </w:r>
      <w:r w:rsidR="002347EE"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w:t>
      </w:r>
      <w:r w:rsidR="002347EE">
        <w:rPr>
          <w:rFonts w:ascii="Verdana" w:eastAsia="Malgun Gothic" w:hAnsi="Verdana" w:cs="Arial"/>
          <w:sz w:val="18"/>
          <w:szCs w:val="18"/>
          <w:lang w:val="el-GR"/>
        </w:rPr>
        <w:t>-</w:t>
      </w:r>
      <w:r w:rsidRPr="006022B5">
        <w:rPr>
          <w:rFonts w:ascii="Verdana" w:eastAsia="Malgun Gothic" w:hAnsi="Verdana" w:cs="Arial"/>
          <w:sz w:val="18"/>
          <w:szCs w:val="18"/>
          <w:lang w:val="el-GR"/>
        </w:rPr>
        <w:t>0,</w:t>
      </w:r>
      <w:r w:rsidR="00BC31E2">
        <w:rPr>
          <w:rFonts w:ascii="Verdana" w:eastAsia="Malgun Gothic" w:hAnsi="Verdana" w:cs="Arial"/>
          <w:sz w:val="18"/>
          <w:szCs w:val="18"/>
          <w:lang w:val="el-GR"/>
        </w:rPr>
        <w:t>75</w:t>
      </w:r>
      <w:r w:rsidRPr="006022B5">
        <w:rPr>
          <w:rFonts w:ascii="Verdana" w:eastAsia="Malgun Gothic" w:hAnsi="Verdana" w:cs="Arial"/>
          <w:sz w:val="18"/>
          <w:szCs w:val="18"/>
          <w:lang w:val="el-GR"/>
        </w:rPr>
        <w:t>) είχ</w:t>
      </w:r>
      <w:r w:rsidR="00E14CAB">
        <w:rPr>
          <w:rFonts w:ascii="Verdana" w:eastAsia="Malgun Gothic" w:hAnsi="Verdana" w:cs="Arial"/>
          <w:sz w:val="18"/>
          <w:szCs w:val="18"/>
          <w:lang w:val="el-GR"/>
        </w:rPr>
        <w:t>αν</w:t>
      </w:r>
      <w:r w:rsidRPr="006022B5">
        <w:rPr>
          <w:rFonts w:ascii="Verdana" w:eastAsia="Malgun Gothic" w:hAnsi="Verdana" w:cs="Arial"/>
          <w:sz w:val="18"/>
          <w:szCs w:val="18"/>
          <w:lang w:val="el-GR"/>
        </w:rPr>
        <w:t xml:space="preserve"> την μεγαλύτερη </w:t>
      </w:r>
      <w:r w:rsidR="002347EE">
        <w:rPr>
          <w:rFonts w:ascii="Verdana" w:eastAsia="Malgun Gothic" w:hAnsi="Verdana" w:cs="Arial"/>
          <w:sz w:val="18"/>
          <w:szCs w:val="18"/>
          <w:lang w:val="el-GR"/>
        </w:rPr>
        <w:t>αρνητική</w:t>
      </w:r>
      <w:r w:rsidRPr="006022B5">
        <w:rPr>
          <w:rFonts w:ascii="Verdana" w:eastAsia="Malgun Gothic" w:hAnsi="Verdana" w:cs="Arial"/>
          <w:sz w:val="18"/>
          <w:szCs w:val="18"/>
          <w:lang w:val="el-GR"/>
        </w:rPr>
        <w:t xml:space="preserve"> επίδραση στη μεταβολή του ΔΤΚ του</w:t>
      </w:r>
      <w:r w:rsidRPr="006022B5">
        <w:rPr>
          <w:rFonts w:ascii="Verdana" w:hAnsi="Verdana" w:cs="Arial"/>
          <w:sz w:val="18"/>
          <w:szCs w:val="18"/>
          <w:lang w:val="el-GR"/>
        </w:rPr>
        <w:t xml:space="preserve"> </w:t>
      </w:r>
      <w:r w:rsidR="00BC31E2">
        <w:rPr>
          <w:rFonts w:ascii="Verdana" w:hAnsi="Verdana" w:cs="Arial"/>
          <w:sz w:val="18"/>
          <w:szCs w:val="18"/>
          <w:lang w:val="el-GR"/>
        </w:rPr>
        <w:t>Σεπτεμβρίου</w:t>
      </w:r>
      <w:r w:rsidR="00347874">
        <w:rPr>
          <w:rFonts w:ascii="Verdana" w:hAnsi="Verdana" w:cs="Arial"/>
          <w:sz w:val="18"/>
          <w:szCs w:val="18"/>
          <w:lang w:val="el-GR"/>
        </w:rPr>
        <w:t xml:space="preserve"> </w:t>
      </w:r>
      <w:r w:rsidRPr="006022B5">
        <w:rPr>
          <w:rFonts w:ascii="Verdana" w:eastAsia="Malgun Gothic" w:hAnsi="Verdana" w:cs="Arial"/>
          <w:sz w:val="18"/>
          <w:szCs w:val="18"/>
          <w:lang w:val="el-GR"/>
        </w:rPr>
        <w:t>2022 σε σχέση με τον αντίστοιχο δείκτη του προηγούμενου μήνα. (Πίνακας 5)</w:t>
      </w:r>
    </w:p>
    <w:p w14:paraId="0CC5EAC8"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tbl>
      <w:tblPr>
        <w:tblW w:w="4935" w:type="pct"/>
        <w:jc w:val="center"/>
        <w:tblLayout w:type="fixed"/>
        <w:tblLook w:val="04A0" w:firstRow="1" w:lastRow="0" w:firstColumn="1" w:lastColumn="0" w:noHBand="0" w:noVBand="1"/>
      </w:tblPr>
      <w:tblGrid>
        <w:gridCol w:w="2446"/>
        <w:gridCol w:w="1414"/>
        <w:gridCol w:w="1406"/>
        <w:gridCol w:w="1266"/>
        <w:gridCol w:w="1266"/>
        <w:gridCol w:w="1665"/>
      </w:tblGrid>
      <w:tr w:rsidR="006022B5" w:rsidRPr="00D7245F" w14:paraId="0C29CA0B" w14:textId="77777777" w:rsidTr="00740321">
        <w:trPr>
          <w:trHeight w:val="383"/>
          <w:jc w:val="center"/>
        </w:trPr>
        <w:tc>
          <w:tcPr>
            <w:tcW w:w="5000" w:type="pct"/>
            <w:gridSpan w:val="6"/>
            <w:tcBorders>
              <w:left w:val="nil"/>
              <w:bottom w:val="single" w:sz="4" w:space="0" w:color="366092"/>
            </w:tcBorders>
            <w:shd w:val="clear" w:color="FFFFFF" w:fill="FFFFFF"/>
            <w:vAlign w:val="center"/>
            <w:hideMark/>
          </w:tcPr>
          <w:p w14:paraId="1FCCBADF" w14:textId="77777777" w:rsidR="006022B5" w:rsidRPr="00D7245F" w:rsidRDefault="006022B5" w:rsidP="006022B5">
            <w:pP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Πίνακας 1</w:t>
            </w:r>
          </w:p>
        </w:tc>
      </w:tr>
      <w:tr w:rsidR="006022B5" w:rsidRPr="00D7245F" w14:paraId="2EBE9094" w14:textId="77777777" w:rsidTr="00740321">
        <w:trPr>
          <w:trHeight w:val="270"/>
          <w:jc w:val="center"/>
        </w:trPr>
        <w:tc>
          <w:tcPr>
            <w:tcW w:w="1292" w:type="pct"/>
            <w:vMerge w:val="restart"/>
            <w:tcBorders>
              <w:top w:val="single" w:sz="4" w:space="0" w:color="366092"/>
              <w:left w:val="nil"/>
              <w:bottom w:val="single" w:sz="4" w:space="0" w:color="366092"/>
            </w:tcBorders>
            <w:shd w:val="clear" w:color="FFFFFF" w:fill="FFFFFF"/>
            <w:vAlign w:val="center"/>
            <w:hideMark/>
          </w:tcPr>
          <w:p w14:paraId="3A38B0FC" w14:textId="77777777" w:rsidR="006022B5" w:rsidRPr="00D7245F" w:rsidRDefault="006022B5" w:rsidP="006022B5">
            <w:pPr>
              <w:rPr>
                <w:rFonts w:ascii="Verdana" w:eastAsia="Times New Roman" w:hAnsi="Verdana" w:cs="Arial"/>
                <w:b/>
                <w:color w:val="365F91"/>
                <w:sz w:val="18"/>
                <w:szCs w:val="18"/>
                <w:lang w:val="el-GR"/>
              </w:rPr>
            </w:pPr>
            <w:r w:rsidRPr="00D7245F">
              <w:rPr>
                <w:rFonts w:ascii="Verdana" w:eastAsia="Times New Roman" w:hAnsi="Verdana" w:cs="Arial"/>
                <w:b/>
                <w:color w:val="365F91"/>
                <w:sz w:val="18"/>
                <w:szCs w:val="18"/>
                <w:lang w:val="el-GR"/>
              </w:rPr>
              <w:t>Κατηγορίες Αγαθών και Υπηρεσιών</w:t>
            </w:r>
          </w:p>
        </w:tc>
        <w:tc>
          <w:tcPr>
            <w:tcW w:w="1490" w:type="pct"/>
            <w:gridSpan w:val="2"/>
            <w:tcBorders>
              <w:top w:val="single" w:sz="4" w:space="0" w:color="366092"/>
              <w:bottom w:val="single" w:sz="4" w:space="0" w:color="366092"/>
            </w:tcBorders>
            <w:shd w:val="clear" w:color="FFFFFF" w:fill="FFFFFF"/>
            <w:noWrap/>
            <w:vAlign w:val="center"/>
            <w:hideMark/>
          </w:tcPr>
          <w:p w14:paraId="2BEA74BC" w14:textId="77777777" w:rsidR="006022B5" w:rsidRPr="00D7245F" w:rsidRDefault="006022B5" w:rsidP="006022B5">
            <w:pPr>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ΔΤΚ (2015=100)</w:t>
            </w:r>
          </w:p>
        </w:tc>
        <w:tc>
          <w:tcPr>
            <w:tcW w:w="2218" w:type="pct"/>
            <w:gridSpan w:val="3"/>
            <w:tcBorders>
              <w:top w:val="single" w:sz="4" w:space="0" w:color="366092"/>
              <w:bottom w:val="single" w:sz="4" w:space="0" w:color="366092"/>
            </w:tcBorders>
          </w:tcPr>
          <w:p w14:paraId="5C8D2B2F" w14:textId="77777777" w:rsidR="006022B5" w:rsidRPr="00D7245F" w:rsidRDefault="006022B5" w:rsidP="006022B5">
            <w:pPr>
              <w:ind w:right="-75"/>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Μεταβολές (%)</w:t>
            </w:r>
          </w:p>
        </w:tc>
      </w:tr>
      <w:tr w:rsidR="00B26123" w:rsidRPr="00D7245F" w14:paraId="589404B7" w14:textId="77777777" w:rsidTr="00740321">
        <w:trPr>
          <w:trHeight w:val="602"/>
          <w:jc w:val="center"/>
        </w:trPr>
        <w:tc>
          <w:tcPr>
            <w:tcW w:w="1292" w:type="pct"/>
            <w:vMerge/>
            <w:tcBorders>
              <w:top w:val="single" w:sz="4" w:space="0" w:color="366092"/>
              <w:left w:val="nil"/>
              <w:bottom w:val="single" w:sz="4" w:space="0" w:color="366092"/>
            </w:tcBorders>
            <w:vAlign w:val="center"/>
            <w:hideMark/>
          </w:tcPr>
          <w:p w14:paraId="5FBD43D2" w14:textId="77777777" w:rsidR="00B26123" w:rsidRPr="00D7245F" w:rsidRDefault="00B26123" w:rsidP="00B26123">
            <w:pPr>
              <w:rPr>
                <w:rFonts w:ascii="Verdana" w:eastAsia="Times New Roman" w:hAnsi="Verdana" w:cs="Arial"/>
                <w:b/>
                <w:bCs/>
                <w:color w:val="365F91"/>
                <w:sz w:val="18"/>
                <w:szCs w:val="18"/>
                <w:lang w:val="el-GR"/>
              </w:rPr>
            </w:pPr>
          </w:p>
        </w:tc>
        <w:tc>
          <w:tcPr>
            <w:tcW w:w="747" w:type="pct"/>
            <w:tcBorders>
              <w:top w:val="single" w:sz="4" w:space="0" w:color="366092"/>
              <w:bottom w:val="single" w:sz="4" w:space="0" w:color="366092"/>
            </w:tcBorders>
            <w:shd w:val="clear" w:color="FFFFFF" w:fill="FFFFFF"/>
            <w:vAlign w:val="center"/>
            <w:hideMark/>
          </w:tcPr>
          <w:p w14:paraId="56DFDD27" w14:textId="77777777" w:rsidR="00B26123" w:rsidRPr="00D7245F" w:rsidRDefault="00B26123" w:rsidP="00B26123">
            <w:pPr>
              <w:ind w:left="-148" w:right="-73"/>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Αύγουστος</w:t>
            </w:r>
          </w:p>
          <w:p w14:paraId="7633916F" w14:textId="653401C0" w:rsidR="00B26123" w:rsidRPr="00D7245F" w:rsidRDefault="00B26123" w:rsidP="00B26123">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2022</w:t>
            </w:r>
          </w:p>
        </w:tc>
        <w:tc>
          <w:tcPr>
            <w:tcW w:w="743" w:type="pct"/>
            <w:tcBorders>
              <w:top w:val="single" w:sz="4" w:space="0" w:color="366092"/>
              <w:bottom w:val="single" w:sz="4" w:space="0" w:color="366092"/>
            </w:tcBorders>
            <w:shd w:val="clear" w:color="FFFFFF" w:fill="FFFFFF"/>
            <w:vAlign w:val="center"/>
            <w:hideMark/>
          </w:tcPr>
          <w:p w14:paraId="335F542C" w14:textId="060FAA91" w:rsidR="00B26123" w:rsidRPr="00D7245F" w:rsidRDefault="00B26123" w:rsidP="00B26123">
            <w:pPr>
              <w:ind w:left="-148" w:right="-73"/>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Σεπτέμβριος</w:t>
            </w:r>
          </w:p>
          <w:p w14:paraId="6B2CF7C5" w14:textId="77777777" w:rsidR="00B26123" w:rsidRPr="00D7245F" w:rsidRDefault="00B26123" w:rsidP="00B26123">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2022</w:t>
            </w:r>
          </w:p>
        </w:tc>
        <w:tc>
          <w:tcPr>
            <w:tcW w:w="669" w:type="pct"/>
            <w:tcBorders>
              <w:top w:val="single" w:sz="4" w:space="0" w:color="366092"/>
              <w:bottom w:val="single" w:sz="4" w:space="0" w:color="366092"/>
            </w:tcBorders>
            <w:shd w:val="clear" w:color="FFFFFF" w:fill="FFFFFF"/>
            <w:vAlign w:val="center"/>
            <w:hideMark/>
          </w:tcPr>
          <w:p w14:paraId="3C400580" w14:textId="77777777" w:rsidR="00B26123" w:rsidRPr="00D7245F" w:rsidRDefault="00B26123" w:rsidP="00B26123">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 22/</w:t>
            </w:r>
          </w:p>
          <w:p w14:paraId="683217B2" w14:textId="7F1FC3E8" w:rsidR="00B26123" w:rsidRPr="00D7245F" w:rsidRDefault="00B26123" w:rsidP="00B26123">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 21</w:t>
            </w:r>
          </w:p>
        </w:tc>
        <w:tc>
          <w:tcPr>
            <w:tcW w:w="669" w:type="pct"/>
            <w:tcBorders>
              <w:top w:val="single" w:sz="4" w:space="0" w:color="366092"/>
              <w:bottom w:val="single" w:sz="4" w:space="0" w:color="366092"/>
            </w:tcBorders>
            <w:shd w:val="clear" w:color="FFFFFF" w:fill="FFFFFF"/>
            <w:vAlign w:val="center"/>
            <w:hideMark/>
          </w:tcPr>
          <w:p w14:paraId="518A2074" w14:textId="77777777" w:rsidR="00B26123" w:rsidRPr="00D7245F" w:rsidRDefault="00B26123" w:rsidP="00B26123">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 22/</w:t>
            </w:r>
          </w:p>
          <w:p w14:paraId="4F26C48E" w14:textId="3B0BD84F" w:rsidR="00B26123" w:rsidRPr="00D7245F" w:rsidRDefault="00B26123" w:rsidP="00B26123">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 xml:space="preserve"> Αυγ 22</w:t>
            </w:r>
          </w:p>
        </w:tc>
        <w:tc>
          <w:tcPr>
            <w:tcW w:w="880" w:type="pct"/>
            <w:tcBorders>
              <w:top w:val="single" w:sz="4" w:space="0" w:color="366092"/>
              <w:bottom w:val="single" w:sz="4" w:space="0" w:color="366092"/>
            </w:tcBorders>
            <w:shd w:val="clear" w:color="FFFFFF" w:fill="FFFFFF"/>
            <w:vAlign w:val="center"/>
          </w:tcPr>
          <w:p w14:paraId="1D4F48EA" w14:textId="1643A8E1" w:rsidR="00B26123" w:rsidRPr="00D7245F" w:rsidRDefault="00B26123" w:rsidP="00B26123">
            <w:pPr>
              <w:ind w:left="-109" w:hanging="31"/>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Ιαν- Σεπ 22/</w:t>
            </w:r>
          </w:p>
          <w:p w14:paraId="05ACFDDF" w14:textId="25353A70" w:rsidR="00B26123" w:rsidRPr="00D7245F" w:rsidRDefault="00B26123" w:rsidP="00B26123">
            <w:pPr>
              <w:ind w:left="-109" w:hanging="31"/>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Ιαν- Σεπ 21</w:t>
            </w:r>
          </w:p>
        </w:tc>
      </w:tr>
      <w:tr w:rsidR="009B6663" w:rsidRPr="00D7245F" w14:paraId="36A33F74" w14:textId="77777777" w:rsidTr="009B6663">
        <w:trPr>
          <w:trHeight w:val="375"/>
          <w:jc w:val="center"/>
        </w:trPr>
        <w:tc>
          <w:tcPr>
            <w:tcW w:w="1292" w:type="pct"/>
            <w:tcBorders>
              <w:top w:val="nil"/>
              <w:left w:val="nil"/>
              <w:bottom w:val="nil"/>
            </w:tcBorders>
            <w:shd w:val="clear" w:color="FFFFFF" w:fill="FFFFFF"/>
            <w:vAlign w:val="center"/>
            <w:hideMark/>
          </w:tcPr>
          <w:p w14:paraId="4185BCDE" w14:textId="77777777" w:rsidR="009B6663" w:rsidRPr="00D7245F" w:rsidRDefault="009B6663" w:rsidP="009B6663">
            <w:pPr>
              <w:rPr>
                <w:rFonts w:ascii="Verdana" w:eastAsia="Times New Roman" w:hAnsi="Verdana" w:cs="Arial"/>
                <w:color w:val="365F91"/>
                <w:sz w:val="18"/>
                <w:szCs w:val="18"/>
                <w:lang w:val="el-GR"/>
              </w:rPr>
            </w:pPr>
            <w:bookmarkStart w:id="1" w:name="_Hlk65669389"/>
            <w:r w:rsidRPr="00D7245F">
              <w:rPr>
                <w:rFonts w:ascii="Verdana" w:eastAsia="Times New Roman" w:hAnsi="Verdana" w:cs="Arial"/>
                <w:color w:val="365F91"/>
                <w:sz w:val="18"/>
                <w:szCs w:val="18"/>
                <w:lang w:val="el-GR"/>
              </w:rPr>
              <w:t>Τρόφιμα και μη Αλκοολούχα Ποτά</w:t>
            </w:r>
            <w:bookmarkEnd w:id="1"/>
          </w:p>
        </w:tc>
        <w:tc>
          <w:tcPr>
            <w:tcW w:w="747" w:type="pct"/>
            <w:tcBorders>
              <w:top w:val="nil"/>
              <w:bottom w:val="nil"/>
            </w:tcBorders>
            <w:shd w:val="clear" w:color="000000" w:fill="FFFFFF"/>
            <w:vAlign w:val="center"/>
            <w:hideMark/>
          </w:tcPr>
          <w:p w14:paraId="42AB6910" w14:textId="01292F1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111,35</w:t>
            </w:r>
          </w:p>
        </w:tc>
        <w:tc>
          <w:tcPr>
            <w:tcW w:w="743" w:type="pct"/>
            <w:tcBorders>
              <w:top w:val="nil"/>
              <w:bottom w:val="nil"/>
            </w:tcBorders>
            <w:shd w:val="clear" w:color="000000" w:fill="FFFFFF"/>
            <w:vAlign w:val="center"/>
          </w:tcPr>
          <w:p w14:paraId="44EA718A" w14:textId="0FFC3FE2"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112</w:t>
            </w:r>
            <w:r w:rsidR="003D604F" w:rsidRPr="00D7245F">
              <w:rPr>
                <w:rFonts w:ascii="Verdana" w:hAnsi="Verdana"/>
                <w:color w:val="365F91"/>
                <w:sz w:val="18"/>
                <w:szCs w:val="18"/>
              </w:rPr>
              <w:t>,</w:t>
            </w:r>
            <w:r w:rsidRPr="00D7245F">
              <w:rPr>
                <w:rFonts w:ascii="Verdana" w:hAnsi="Verdana"/>
                <w:color w:val="365F91"/>
                <w:sz w:val="18"/>
                <w:szCs w:val="18"/>
              </w:rPr>
              <w:t>56</w:t>
            </w:r>
          </w:p>
        </w:tc>
        <w:tc>
          <w:tcPr>
            <w:tcW w:w="669" w:type="pct"/>
            <w:tcBorders>
              <w:top w:val="nil"/>
              <w:bottom w:val="nil"/>
            </w:tcBorders>
            <w:shd w:val="clear" w:color="000000" w:fill="FFFFFF"/>
            <w:vAlign w:val="center"/>
          </w:tcPr>
          <w:p w14:paraId="71129618" w14:textId="2D85DF0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7</w:t>
            </w:r>
            <w:r w:rsidR="003D604F" w:rsidRPr="00D7245F">
              <w:rPr>
                <w:rFonts w:ascii="Verdana" w:hAnsi="Verdana"/>
                <w:color w:val="365F91"/>
                <w:sz w:val="18"/>
                <w:szCs w:val="18"/>
              </w:rPr>
              <w:t>,</w:t>
            </w:r>
            <w:r w:rsidRPr="00D7245F">
              <w:rPr>
                <w:rFonts w:ascii="Verdana" w:hAnsi="Verdana"/>
                <w:color w:val="365F91"/>
                <w:sz w:val="18"/>
                <w:szCs w:val="18"/>
              </w:rPr>
              <w:t>69</w:t>
            </w:r>
          </w:p>
        </w:tc>
        <w:tc>
          <w:tcPr>
            <w:tcW w:w="669" w:type="pct"/>
            <w:tcBorders>
              <w:top w:val="nil"/>
              <w:bottom w:val="nil"/>
            </w:tcBorders>
            <w:shd w:val="clear" w:color="000000" w:fill="FFFFFF"/>
            <w:vAlign w:val="center"/>
          </w:tcPr>
          <w:p w14:paraId="71150430" w14:textId="0738C963"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w:t>
            </w:r>
            <w:r w:rsidR="003D604F" w:rsidRPr="00D7245F">
              <w:rPr>
                <w:rFonts w:ascii="Verdana" w:hAnsi="Verdana"/>
                <w:color w:val="365F91"/>
                <w:sz w:val="18"/>
                <w:szCs w:val="18"/>
              </w:rPr>
              <w:t>,</w:t>
            </w:r>
            <w:r w:rsidRPr="00D7245F">
              <w:rPr>
                <w:rFonts w:ascii="Verdana" w:hAnsi="Verdana"/>
                <w:color w:val="365F91"/>
                <w:sz w:val="18"/>
                <w:szCs w:val="18"/>
              </w:rPr>
              <w:t>09</w:t>
            </w:r>
          </w:p>
        </w:tc>
        <w:tc>
          <w:tcPr>
            <w:tcW w:w="880" w:type="pct"/>
            <w:tcBorders>
              <w:top w:val="nil"/>
              <w:bottom w:val="nil"/>
            </w:tcBorders>
            <w:shd w:val="clear" w:color="000000" w:fill="FFFFFF"/>
            <w:vAlign w:val="center"/>
          </w:tcPr>
          <w:p w14:paraId="4E4E8DD0" w14:textId="1C6074D7"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7</w:t>
            </w:r>
            <w:r w:rsidR="003D604F" w:rsidRPr="00D7245F">
              <w:rPr>
                <w:rFonts w:ascii="Verdana" w:hAnsi="Verdana"/>
                <w:color w:val="365F91"/>
                <w:sz w:val="18"/>
                <w:szCs w:val="18"/>
              </w:rPr>
              <w:t>,</w:t>
            </w:r>
            <w:r w:rsidRPr="00D7245F">
              <w:rPr>
                <w:rFonts w:ascii="Verdana" w:hAnsi="Verdana"/>
                <w:color w:val="365F91"/>
                <w:sz w:val="18"/>
                <w:szCs w:val="18"/>
              </w:rPr>
              <w:t>28</w:t>
            </w:r>
          </w:p>
        </w:tc>
      </w:tr>
      <w:tr w:rsidR="009B6663" w:rsidRPr="00D7245F" w14:paraId="02F189C8" w14:textId="77777777" w:rsidTr="009B6663">
        <w:trPr>
          <w:trHeight w:val="567"/>
          <w:jc w:val="center"/>
        </w:trPr>
        <w:tc>
          <w:tcPr>
            <w:tcW w:w="1292" w:type="pct"/>
            <w:tcBorders>
              <w:top w:val="nil"/>
              <w:left w:val="nil"/>
              <w:bottom w:val="nil"/>
            </w:tcBorders>
            <w:shd w:val="clear" w:color="FFFFFF" w:fill="FFFFFF"/>
            <w:vAlign w:val="center"/>
            <w:hideMark/>
          </w:tcPr>
          <w:p w14:paraId="2FC60548" w14:textId="77777777" w:rsidR="009B6663" w:rsidRPr="00D7245F" w:rsidRDefault="009B6663" w:rsidP="009B6663">
            <w:pPr>
              <w:rPr>
                <w:rFonts w:ascii="Verdana" w:eastAsia="Times New Roman" w:hAnsi="Verdana" w:cs="Arial"/>
                <w:color w:val="365F91"/>
                <w:sz w:val="18"/>
                <w:szCs w:val="18"/>
              </w:rPr>
            </w:pPr>
            <w:r w:rsidRPr="00D7245F">
              <w:rPr>
                <w:rFonts w:ascii="Verdana" w:eastAsia="Times New Roman" w:hAnsi="Verdana" w:cs="Arial"/>
                <w:color w:val="365F91"/>
                <w:sz w:val="18"/>
                <w:szCs w:val="18"/>
                <w:lang w:val="el-GR"/>
              </w:rPr>
              <w:t>Αλκοολούχα Π</w:t>
            </w:r>
            <w:proofErr w:type="spellStart"/>
            <w:r w:rsidRPr="00D7245F">
              <w:rPr>
                <w:rFonts w:ascii="Verdana" w:eastAsia="Times New Roman" w:hAnsi="Verdana" w:cs="Arial"/>
                <w:color w:val="365F91"/>
                <w:sz w:val="18"/>
                <w:szCs w:val="18"/>
              </w:rPr>
              <w:t>οτά</w:t>
            </w:r>
            <w:proofErr w:type="spellEnd"/>
            <w:r w:rsidRPr="00D7245F">
              <w:rPr>
                <w:rFonts w:ascii="Verdana" w:eastAsia="Times New Roman" w:hAnsi="Verdana" w:cs="Arial"/>
                <w:color w:val="365F91"/>
                <w:sz w:val="18"/>
                <w:szCs w:val="18"/>
              </w:rPr>
              <w:t xml:space="preserve"> και </w:t>
            </w:r>
            <w:r w:rsidRPr="00D7245F">
              <w:rPr>
                <w:rFonts w:ascii="Verdana" w:eastAsia="Times New Roman" w:hAnsi="Verdana" w:cs="Arial"/>
                <w:color w:val="365F91"/>
                <w:sz w:val="18"/>
                <w:szCs w:val="18"/>
                <w:lang w:val="el-GR"/>
              </w:rPr>
              <w:t>Κ</w:t>
            </w:r>
            <w:r w:rsidRPr="00D7245F">
              <w:rPr>
                <w:rFonts w:ascii="Verdana" w:eastAsia="Times New Roman" w:hAnsi="Verdana" w:cs="Arial"/>
                <w:color w:val="365F91"/>
                <w:sz w:val="18"/>
                <w:szCs w:val="18"/>
              </w:rPr>
              <w:t>απ</w:t>
            </w:r>
            <w:proofErr w:type="spellStart"/>
            <w:r w:rsidRPr="00D7245F">
              <w:rPr>
                <w:rFonts w:ascii="Verdana" w:eastAsia="Times New Roman" w:hAnsi="Verdana" w:cs="Arial"/>
                <w:color w:val="365F91"/>
                <w:sz w:val="18"/>
                <w:szCs w:val="18"/>
              </w:rPr>
              <w:t>νός</w:t>
            </w:r>
            <w:proofErr w:type="spellEnd"/>
          </w:p>
        </w:tc>
        <w:tc>
          <w:tcPr>
            <w:tcW w:w="747" w:type="pct"/>
            <w:tcBorders>
              <w:top w:val="nil"/>
              <w:bottom w:val="nil"/>
            </w:tcBorders>
            <w:shd w:val="clear" w:color="000000" w:fill="FFFFFF"/>
            <w:vAlign w:val="center"/>
            <w:hideMark/>
          </w:tcPr>
          <w:p w14:paraId="5AC56137" w14:textId="66247C9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98,32</w:t>
            </w:r>
          </w:p>
        </w:tc>
        <w:tc>
          <w:tcPr>
            <w:tcW w:w="743" w:type="pct"/>
            <w:tcBorders>
              <w:top w:val="nil"/>
              <w:bottom w:val="nil"/>
            </w:tcBorders>
            <w:shd w:val="clear" w:color="000000" w:fill="FFFFFF"/>
            <w:vAlign w:val="center"/>
          </w:tcPr>
          <w:p w14:paraId="612F4E73" w14:textId="338F60E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98</w:t>
            </w:r>
            <w:r w:rsidR="003D604F" w:rsidRPr="00D7245F">
              <w:rPr>
                <w:rFonts w:ascii="Verdana" w:hAnsi="Verdana"/>
                <w:color w:val="365F91"/>
                <w:sz w:val="18"/>
                <w:szCs w:val="18"/>
              </w:rPr>
              <w:t>,</w:t>
            </w:r>
            <w:r w:rsidRPr="00D7245F">
              <w:rPr>
                <w:rFonts w:ascii="Verdana" w:hAnsi="Verdana"/>
                <w:color w:val="365F91"/>
                <w:sz w:val="18"/>
                <w:szCs w:val="18"/>
              </w:rPr>
              <w:t>71</w:t>
            </w:r>
          </w:p>
        </w:tc>
        <w:tc>
          <w:tcPr>
            <w:tcW w:w="669" w:type="pct"/>
            <w:tcBorders>
              <w:top w:val="nil"/>
              <w:bottom w:val="nil"/>
            </w:tcBorders>
            <w:shd w:val="clear" w:color="000000" w:fill="FFFFFF"/>
            <w:vAlign w:val="center"/>
          </w:tcPr>
          <w:p w14:paraId="6EE178F3" w14:textId="281B491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w:t>
            </w:r>
            <w:r w:rsidR="003D604F" w:rsidRPr="00D7245F">
              <w:rPr>
                <w:rFonts w:ascii="Verdana" w:hAnsi="Verdana"/>
                <w:color w:val="365F91"/>
                <w:sz w:val="18"/>
                <w:szCs w:val="18"/>
              </w:rPr>
              <w:t>,</w:t>
            </w:r>
            <w:r w:rsidRPr="00D7245F">
              <w:rPr>
                <w:rFonts w:ascii="Verdana" w:hAnsi="Verdana"/>
                <w:color w:val="365F91"/>
                <w:sz w:val="18"/>
                <w:szCs w:val="18"/>
              </w:rPr>
              <w:t>08</w:t>
            </w:r>
          </w:p>
        </w:tc>
        <w:tc>
          <w:tcPr>
            <w:tcW w:w="669" w:type="pct"/>
            <w:tcBorders>
              <w:top w:val="nil"/>
              <w:bottom w:val="nil"/>
            </w:tcBorders>
            <w:shd w:val="clear" w:color="000000" w:fill="FFFFFF"/>
            <w:vAlign w:val="center"/>
          </w:tcPr>
          <w:p w14:paraId="5AEA070D" w14:textId="0B75B588"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40</w:t>
            </w:r>
          </w:p>
        </w:tc>
        <w:tc>
          <w:tcPr>
            <w:tcW w:w="880" w:type="pct"/>
            <w:tcBorders>
              <w:top w:val="nil"/>
              <w:bottom w:val="nil"/>
            </w:tcBorders>
            <w:shd w:val="clear" w:color="000000" w:fill="FFFFFF"/>
            <w:vAlign w:val="center"/>
          </w:tcPr>
          <w:p w14:paraId="5F1D5277" w14:textId="51CF3E69"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96</w:t>
            </w:r>
          </w:p>
        </w:tc>
      </w:tr>
      <w:tr w:rsidR="009B6663" w:rsidRPr="00D7245F" w14:paraId="4C3C710E" w14:textId="77777777" w:rsidTr="009B6663">
        <w:trPr>
          <w:trHeight w:val="375"/>
          <w:jc w:val="center"/>
        </w:trPr>
        <w:tc>
          <w:tcPr>
            <w:tcW w:w="1292" w:type="pct"/>
            <w:tcBorders>
              <w:top w:val="nil"/>
              <w:left w:val="nil"/>
              <w:bottom w:val="nil"/>
            </w:tcBorders>
            <w:shd w:val="clear" w:color="FFFFFF" w:fill="FFFFFF"/>
            <w:noWrap/>
            <w:vAlign w:val="center"/>
            <w:hideMark/>
          </w:tcPr>
          <w:p w14:paraId="073F7C60" w14:textId="77777777" w:rsidR="009B6663" w:rsidRPr="00D7245F" w:rsidRDefault="009B6663" w:rsidP="009B6663">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Ένδυση</w:t>
            </w:r>
            <w:proofErr w:type="spellEnd"/>
            <w:r w:rsidRPr="00D7245F">
              <w:rPr>
                <w:rFonts w:ascii="Verdana" w:eastAsia="Times New Roman" w:hAnsi="Verdana" w:cs="Arial"/>
                <w:color w:val="365F91"/>
                <w:sz w:val="18"/>
                <w:szCs w:val="18"/>
              </w:rPr>
              <w:t xml:space="preserve"> και </w:t>
            </w:r>
            <w:r w:rsidRPr="00D7245F">
              <w:rPr>
                <w:rFonts w:ascii="Verdana" w:eastAsia="Times New Roman" w:hAnsi="Verdana" w:cs="Arial"/>
                <w:color w:val="365F91"/>
                <w:sz w:val="18"/>
                <w:szCs w:val="18"/>
                <w:lang w:val="el-GR"/>
              </w:rPr>
              <w:t>Υ</w:t>
            </w:r>
            <w:r w:rsidRPr="00D7245F">
              <w:rPr>
                <w:rFonts w:ascii="Verdana" w:eastAsia="Times New Roman" w:hAnsi="Verdana" w:cs="Arial"/>
                <w:color w:val="365F91"/>
                <w:sz w:val="18"/>
                <w:szCs w:val="18"/>
              </w:rPr>
              <w:t>π</w:t>
            </w:r>
            <w:proofErr w:type="spellStart"/>
            <w:r w:rsidRPr="00D7245F">
              <w:rPr>
                <w:rFonts w:ascii="Verdana" w:eastAsia="Times New Roman" w:hAnsi="Verdana" w:cs="Arial"/>
                <w:color w:val="365F91"/>
                <w:sz w:val="18"/>
                <w:szCs w:val="18"/>
              </w:rPr>
              <w:t>όδηση</w:t>
            </w:r>
            <w:proofErr w:type="spellEnd"/>
          </w:p>
        </w:tc>
        <w:tc>
          <w:tcPr>
            <w:tcW w:w="747" w:type="pct"/>
            <w:tcBorders>
              <w:top w:val="nil"/>
              <w:bottom w:val="nil"/>
            </w:tcBorders>
            <w:shd w:val="clear" w:color="000000" w:fill="FFFFFF"/>
            <w:vAlign w:val="center"/>
            <w:hideMark/>
          </w:tcPr>
          <w:p w14:paraId="299323A1" w14:textId="7C608505"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94,05</w:t>
            </w:r>
          </w:p>
        </w:tc>
        <w:tc>
          <w:tcPr>
            <w:tcW w:w="743" w:type="pct"/>
            <w:tcBorders>
              <w:top w:val="nil"/>
              <w:bottom w:val="nil"/>
            </w:tcBorders>
            <w:shd w:val="clear" w:color="000000" w:fill="FFFFFF"/>
            <w:vAlign w:val="center"/>
          </w:tcPr>
          <w:p w14:paraId="0CCA9D2A" w14:textId="2FA975C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101</w:t>
            </w:r>
            <w:r w:rsidR="003D604F" w:rsidRPr="00D7245F">
              <w:rPr>
                <w:rFonts w:ascii="Verdana" w:hAnsi="Verdana"/>
                <w:color w:val="365F91"/>
                <w:sz w:val="18"/>
                <w:szCs w:val="18"/>
              </w:rPr>
              <w:t>,</w:t>
            </w:r>
            <w:r w:rsidRPr="00D7245F">
              <w:rPr>
                <w:rFonts w:ascii="Verdana" w:hAnsi="Verdana"/>
                <w:color w:val="365F91"/>
                <w:sz w:val="18"/>
                <w:szCs w:val="18"/>
              </w:rPr>
              <w:t>27</w:t>
            </w:r>
          </w:p>
        </w:tc>
        <w:tc>
          <w:tcPr>
            <w:tcW w:w="669" w:type="pct"/>
            <w:tcBorders>
              <w:top w:val="nil"/>
              <w:bottom w:val="nil"/>
            </w:tcBorders>
            <w:shd w:val="clear" w:color="000000" w:fill="FFFFFF"/>
            <w:vAlign w:val="center"/>
          </w:tcPr>
          <w:p w14:paraId="53FC1C00" w14:textId="4D360BF2"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13</w:t>
            </w:r>
          </w:p>
        </w:tc>
        <w:tc>
          <w:tcPr>
            <w:tcW w:w="669" w:type="pct"/>
            <w:tcBorders>
              <w:top w:val="nil"/>
              <w:bottom w:val="nil"/>
            </w:tcBorders>
            <w:shd w:val="clear" w:color="000000" w:fill="FFFFFF"/>
            <w:vAlign w:val="center"/>
          </w:tcPr>
          <w:p w14:paraId="09CB15FD" w14:textId="01896208"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7</w:t>
            </w:r>
            <w:r w:rsidR="003D604F" w:rsidRPr="00D7245F">
              <w:rPr>
                <w:rFonts w:ascii="Verdana" w:hAnsi="Verdana"/>
                <w:color w:val="365F91"/>
                <w:sz w:val="18"/>
                <w:szCs w:val="18"/>
              </w:rPr>
              <w:t>,</w:t>
            </w:r>
            <w:r w:rsidRPr="00D7245F">
              <w:rPr>
                <w:rFonts w:ascii="Verdana" w:hAnsi="Verdana"/>
                <w:color w:val="365F91"/>
                <w:sz w:val="18"/>
                <w:szCs w:val="18"/>
              </w:rPr>
              <w:t>68</w:t>
            </w:r>
          </w:p>
        </w:tc>
        <w:tc>
          <w:tcPr>
            <w:tcW w:w="880" w:type="pct"/>
            <w:tcBorders>
              <w:top w:val="nil"/>
              <w:bottom w:val="nil"/>
            </w:tcBorders>
            <w:shd w:val="clear" w:color="000000" w:fill="FFFFFF"/>
            <w:vAlign w:val="center"/>
          </w:tcPr>
          <w:p w14:paraId="4F174EF2" w14:textId="3CE35F8A"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2</w:t>
            </w:r>
            <w:r w:rsidR="003D604F" w:rsidRPr="00D7245F">
              <w:rPr>
                <w:rFonts w:ascii="Verdana" w:hAnsi="Verdana"/>
                <w:color w:val="365F91"/>
                <w:sz w:val="18"/>
                <w:szCs w:val="18"/>
              </w:rPr>
              <w:t>,</w:t>
            </w:r>
            <w:r w:rsidRPr="00D7245F">
              <w:rPr>
                <w:rFonts w:ascii="Verdana" w:hAnsi="Verdana"/>
                <w:color w:val="365F91"/>
                <w:sz w:val="18"/>
                <w:szCs w:val="18"/>
              </w:rPr>
              <w:t>24</w:t>
            </w:r>
          </w:p>
        </w:tc>
      </w:tr>
      <w:tr w:rsidR="009B6663" w:rsidRPr="00D7245F" w14:paraId="7DE9EA01" w14:textId="77777777" w:rsidTr="009B6663">
        <w:trPr>
          <w:trHeight w:val="680"/>
          <w:jc w:val="center"/>
        </w:trPr>
        <w:tc>
          <w:tcPr>
            <w:tcW w:w="1292" w:type="pct"/>
            <w:tcBorders>
              <w:top w:val="nil"/>
              <w:left w:val="nil"/>
              <w:bottom w:val="nil"/>
            </w:tcBorders>
            <w:shd w:val="clear" w:color="FFFFFF" w:fill="FFFFFF"/>
            <w:vAlign w:val="center"/>
            <w:hideMark/>
          </w:tcPr>
          <w:p w14:paraId="45CA0971" w14:textId="77777777" w:rsidR="009B6663" w:rsidRPr="00D7245F" w:rsidRDefault="009B6663" w:rsidP="009B6663">
            <w:pPr>
              <w:rPr>
                <w:rFonts w:ascii="Verdana" w:eastAsia="Times New Roman" w:hAnsi="Verdana" w:cs="Arial"/>
                <w:color w:val="365F91"/>
                <w:sz w:val="18"/>
                <w:szCs w:val="18"/>
                <w:lang w:val="el-GR"/>
              </w:rPr>
            </w:pPr>
            <w:bookmarkStart w:id="2" w:name="_Hlk65669357"/>
            <w:r w:rsidRPr="00D7245F">
              <w:rPr>
                <w:rFonts w:ascii="Verdana" w:eastAsia="Times New Roman" w:hAnsi="Verdana" w:cs="Arial"/>
                <w:color w:val="365F91"/>
                <w:sz w:val="18"/>
                <w:szCs w:val="18"/>
                <w:lang w:val="el-GR"/>
              </w:rPr>
              <w:t>Στέγαση, Ύδρευση, Ηλεκτρισμός και Υγραέριο</w:t>
            </w:r>
            <w:bookmarkEnd w:id="2"/>
          </w:p>
        </w:tc>
        <w:tc>
          <w:tcPr>
            <w:tcW w:w="747" w:type="pct"/>
            <w:tcBorders>
              <w:top w:val="nil"/>
              <w:bottom w:val="nil"/>
            </w:tcBorders>
            <w:shd w:val="clear" w:color="000000" w:fill="FFFFFF"/>
            <w:vAlign w:val="center"/>
            <w:hideMark/>
          </w:tcPr>
          <w:p w14:paraId="72D90858" w14:textId="1B6C6242"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146,55</w:t>
            </w:r>
          </w:p>
        </w:tc>
        <w:tc>
          <w:tcPr>
            <w:tcW w:w="743" w:type="pct"/>
            <w:tcBorders>
              <w:top w:val="nil"/>
              <w:bottom w:val="nil"/>
            </w:tcBorders>
            <w:shd w:val="clear" w:color="000000" w:fill="FFFFFF"/>
            <w:vAlign w:val="center"/>
          </w:tcPr>
          <w:p w14:paraId="0B21FF13" w14:textId="79C43A40"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145</w:t>
            </w:r>
            <w:r w:rsidR="003D604F" w:rsidRPr="00D7245F">
              <w:rPr>
                <w:rFonts w:ascii="Verdana" w:hAnsi="Verdana"/>
                <w:color w:val="365F91"/>
                <w:sz w:val="18"/>
                <w:szCs w:val="18"/>
              </w:rPr>
              <w:t>,</w:t>
            </w:r>
            <w:r w:rsidRPr="00D7245F">
              <w:rPr>
                <w:rFonts w:ascii="Verdana" w:hAnsi="Verdana"/>
                <w:color w:val="365F91"/>
                <w:sz w:val="18"/>
                <w:szCs w:val="18"/>
              </w:rPr>
              <w:t>10</w:t>
            </w:r>
          </w:p>
        </w:tc>
        <w:tc>
          <w:tcPr>
            <w:tcW w:w="669" w:type="pct"/>
            <w:tcBorders>
              <w:top w:val="nil"/>
              <w:bottom w:val="nil"/>
            </w:tcBorders>
            <w:shd w:val="clear" w:color="000000" w:fill="FFFFFF"/>
            <w:vAlign w:val="center"/>
          </w:tcPr>
          <w:p w14:paraId="32432CFB" w14:textId="0B02AB84"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27</w:t>
            </w:r>
            <w:r w:rsidR="003D604F" w:rsidRPr="00D7245F">
              <w:rPr>
                <w:rFonts w:ascii="Verdana" w:hAnsi="Verdana"/>
                <w:color w:val="365F91"/>
                <w:sz w:val="18"/>
                <w:szCs w:val="18"/>
              </w:rPr>
              <w:t>,</w:t>
            </w:r>
            <w:r w:rsidRPr="00D7245F">
              <w:rPr>
                <w:rFonts w:ascii="Verdana" w:hAnsi="Verdana"/>
                <w:color w:val="365F91"/>
                <w:sz w:val="18"/>
                <w:szCs w:val="18"/>
              </w:rPr>
              <w:t>26</w:t>
            </w:r>
          </w:p>
        </w:tc>
        <w:tc>
          <w:tcPr>
            <w:tcW w:w="669" w:type="pct"/>
            <w:tcBorders>
              <w:top w:val="nil"/>
              <w:bottom w:val="nil"/>
            </w:tcBorders>
            <w:shd w:val="clear" w:color="000000" w:fill="FFFFFF"/>
            <w:vAlign w:val="center"/>
          </w:tcPr>
          <w:p w14:paraId="5621720C" w14:textId="7872576D"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99</w:t>
            </w:r>
          </w:p>
        </w:tc>
        <w:tc>
          <w:tcPr>
            <w:tcW w:w="880" w:type="pct"/>
            <w:tcBorders>
              <w:top w:val="nil"/>
              <w:bottom w:val="nil"/>
            </w:tcBorders>
            <w:shd w:val="clear" w:color="000000" w:fill="FFFFFF"/>
            <w:vAlign w:val="center"/>
          </w:tcPr>
          <w:p w14:paraId="5C212088" w14:textId="3308960E"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21</w:t>
            </w:r>
            <w:r w:rsidR="003D604F" w:rsidRPr="00D7245F">
              <w:rPr>
                <w:rFonts w:ascii="Verdana" w:hAnsi="Verdana"/>
                <w:color w:val="365F91"/>
                <w:sz w:val="18"/>
                <w:szCs w:val="18"/>
              </w:rPr>
              <w:t>,</w:t>
            </w:r>
            <w:r w:rsidRPr="00D7245F">
              <w:rPr>
                <w:rFonts w:ascii="Verdana" w:hAnsi="Verdana"/>
                <w:color w:val="365F91"/>
                <w:sz w:val="18"/>
                <w:szCs w:val="18"/>
              </w:rPr>
              <w:t>91</w:t>
            </w:r>
          </w:p>
        </w:tc>
      </w:tr>
      <w:tr w:rsidR="009B6663" w:rsidRPr="00D7245F" w14:paraId="1ABDEF56" w14:textId="77777777" w:rsidTr="009B6663">
        <w:trPr>
          <w:trHeight w:val="794"/>
          <w:jc w:val="center"/>
        </w:trPr>
        <w:tc>
          <w:tcPr>
            <w:tcW w:w="1292" w:type="pct"/>
            <w:tcBorders>
              <w:top w:val="nil"/>
              <w:left w:val="nil"/>
              <w:bottom w:val="nil"/>
            </w:tcBorders>
            <w:shd w:val="clear" w:color="FFFFFF" w:fill="FFFFFF"/>
            <w:vAlign w:val="center"/>
            <w:hideMark/>
          </w:tcPr>
          <w:p w14:paraId="11C31816" w14:textId="77777777" w:rsidR="009B6663" w:rsidRPr="00D7245F" w:rsidRDefault="009B6663" w:rsidP="009B6663">
            <w:pP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 xml:space="preserve">Επίπλωση, Οικιακός Εξοπλισμός και </w:t>
            </w:r>
            <w:proofErr w:type="spellStart"/>
            <w:r w:rsidRPr="00D7245F">
              <w:rPr>
                <w:rFonts w:ascii="Verdana" w:eastAsia="Times New Roman" w:hAnsi="Verdana" w:cs="Arial"/>
                <w:color w:val="365F91"/>
                <w:sz w:val="18"/>
                <w:szCs w:val="18"/>
                <w:lang w:val="el-GR"/>
              </w:rPr>
              <w:t>Προΐόντα</w:t>
            </w:r>
            <w:proofErr w:type="spellEnd"/>
            <w:r w:rsidRPr="00D7245F">
              <w:rPr>
                <w:rFonts w:ascii="Verdana" w:eastAsia="Times New Roman" w:hAnsi="Verdana" w:cs="Arial"/>
                <w:color w:val="365F91"/>
                <w:sz w:val="18"/>
                <w:szCs w:val="18"/>
                <w:lang w:val="el-GR"/>
              </w:rPr>
              <w:t xml:space="preserve"> Καθαρισμού</w:t>
            </w:r>
          </w:p>
        </w:tc>
        <w:tc>
          <w:tcPr>
            <w:tcW w:w="747" w:type="pct"/>
            <w:tcBorders>
              <w:top w:val="nil"/>
              <w:bottom w:val="nil"/>
            </w:tcBorders>
            <w:shd w:val="clear" w:color="000000" w:fill="FFFFFF"/>
            <w:vAlign w:val="center"/>
            <w:hideMark/>
          </w:tcPr>
          <w:p w14:paraId="047FB0E1" w14:textId="7BE46A9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101,91</w:t>
            </w:r>
          </w:p>
        </w:tc>
        <w:tc>
          <w:tcPr>
            <w:tcW w:w="743" w:type="pct"/>
            <w:tcBorders>
              <w:top w:val="nil"/>
              <w:bottom w:val="nil"/>
            </w:tcBorders>
            <w:shd w:val="clear" w:color="000000" w:fill="FFFFFF"/>
            <w:vAlign w:val="center"/>
          </w:tcPr>
          <w:p w14:paraId="31B153A6" w14:textId="782BBB1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102</w:t>
            </w:r>
            <w:r w:rsidR="003D604F" w:rsidRPr="00D7245F">
              <w:rPr>
                <w:rFonts w:ascii="Verdana" w:hAnsi="Verdana"/>
                <w:color w:val="365F91"/>
                <w:sz w:val="18"/>
                <w:szCs w:val="18"/>
              </w:rPr>
              <w:t>,</w:t>
            </w:r>
            <w:r w:rsidRPr="00D7245F">
              <w:rPr>
                <w:rFonts w:ascii="Verdana" w:hAnsi="Verdana"/>
                <w:color w:val="365F91"/>
                <w:sz w:val="18"/>
                <w:szCs w:val="18"/>
              </w:rPr>
              <w:t>99</w:t>
            </w:r>
          </w:p>
        </w:tc>
        <w:tc>
          <w:tcPr>
            <w:tcW w:w="669" w:type="pct"/>
            <w:tcBorders>
              <w:top w:val="nil"/>
              <w:bottom w:val="nil"/>
            </w:tcBorders>
            <w:shd w:val="clear" w:color="000000" w:fill="FFFFFF"/>
            <w:vAlign w:val="center"/>
          </w:tcPr>
          <w:p w14:paraId="7AE2CBB6" w14:textId="1EC7C6B8"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6</w:t>
            </w:r>
            <w:r w:rsidR="003D604F" w:rsidRPr="00D7245F">
              <w:rPr>
                <w:rFonts w:ascii="Verdana" w:hAnsi="Verdana"/>
                <w:color w:val="365F91"/>
                <w:sz w:val="18"/>
                <w:szCs w:val="18"/>
              </w:rPr>
              <w:t>,</w:t>
            </w:r>
            <w:r w:rsidRPr="00D7245F">
              <w:rPr>
                <w:rFonts w:ascii="Verdana" w:hAnsi="Verdana"/>
                <w:color w:val="365F91"/>
                <w:sz w:val="18"/>
                <w:szCs w:val="18"/>
              </w:rPr>
              <w:t>25</w:t>
            </w:r>
          </w:p>
        </w:tc>
        <w:tc>
          <w:tcPr>
            <w:tcW w:w="669" w:type="pct"/>
            <w:tcBorders>
              <w:top w:val="nil"/>
              <w:bottom w:val="nil"/>
            </w:tcBorders>
            <w:shd w:val="clear" w:color="000000" w:fill="FFFFFF"/>
            <w:vAlign w:val="center"/>
          </w:tcPr>
          <w:p w14:paraId="69ADFF19" w14:textId="5A0F26F2"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w:t>
            </w:r>
            <w:r w:rsidR="003D604F" w:rsidRPr="00D7245F">
              <w:rPr>
                <w:rFonts w:ascii="Verdana" w:hAnsi="Verdana"/>
                <w:color w:val="365F91"/>
                <w:sz w:val="18"/>
                <w:szCs w:val="18"/>
              </w:rPr>
              <w:t>,</w:t>
            </w:r>
            <w:r w:rsidRPr="00D7245F">
              <w:rPr>
                <w:rFonts w:ascii="Verdana" w:hAnsi="Verdana"/>
                <w:color w:val="365F91"/>
                <w:sz w:val="18"/>
                <w:szCs w:val="18"/>
              </w:rPr>
              <w:t>06</w:t>
            </w:r>
          </w:p>
        </w:tc>
        <w:tc>
          <w:tcPr>
            <w:tcW w:w="880" w:type="pct"/>
            <w:tcBorders>
              <w:top w:val="nil"/>
              <w:bottom w:val="nil"/>
            </w:tcBorders>
            <w:shd w:val="clear" w:color="000000" w:fill="FFFFFF"/>
            <w:vAlign w:val="center"/>
          </w:tcPr>
          <w:p w14:paraId="53205732" w14:textId="058719AF"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4</w:t>
            </w:r>
            <w:r w:rsidR="003D604F" w:rsidRPr="00D7245F">
              <w:rPr>
                <w:rFonts w:ascii="Verdana" w:hAnsi="Verdana"/>
                <w:color w:val="365F91"/>
                <w:sz w:val="18"/>
                <w:szCs w:val="18"/>
              </w:rPr>
              <w:t>,</w:t>
            </w:r>
            <w:r w:rsidRPr="00D7245F">
              <w:rPr>
                <w:rFonts w:ascii="Verdana" w:hAnsi="Verdana"/>
                <w:color w:val="365F91"/>
                <w:sz w:val="18"/>
                <w:szCs w:val="18"/>
              </w:rPr>
              <w:t>58</w:t>
            </w:r>
          </w:p>
        </w:tc>
      </w:tr>
      <w:tr w:rsidR="009B6663" w:rsidRPr="00D7245F" w14:paraId="518F2609" w14:textId="77777777" w:rsidTr="009B6663">
        <w:trPr>
          <w:trHeight w:val="375"/>
          <w:jc w:val="center"/>
        </w:trPr>
        <w:tc>
          <w:tcPr>
            <w:tcW w:w="1292" w:type="pct"/>
            <w:tcBorders>
              <w:top w:val="nil"/>
              <w:left w:val="nil"/>
              <w:bottom w:val="nil"/>
            </w:tcBorders>
            <w:shd w:val="clear" w:color="FFFFFF" w:fill="FFFFFF"/>
            <w:noWrap/>
            <w:vAlign w:val="center"/>
            <w:hideMark/>
          </w:tcPr>
          <w:p w14:paraId="03936560" w14:textId="77777777" w:rsidR="009B6663" w:rsidRPr="00D7245F" w:rsidRDefault="009B6663" w:rsidP="009B6663">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Υγεί</w:t>
            </w:r>
            <w:proofErr w:type="spellEnd"/>
            <w:r w:rsidRPr="00D7245F">
              <w:rPr>
                <w:rFonts w:ascii="Verdana" w:eastAsia="Times New Roman" w:hAnsi="Verdana" w:cs="Arial"/>
                <w:color w:val="365F91"/>
                <w:sz w:val="18"/>
                <w:szCs w:val="18"/>
              </w:rPr>
              <w:t>α</w:t>
            </w:r>
          </w:p>
        </w:tc>
        <w:tc>
          <w:tcPr>
            <w:tcW w:w="747" w:type="pct"/>
            <w:tcBorders>
              <w:top w:val="nil"/>
              <w:bottom w:val="nil"/>
            </w:tcBorders>
            <w:shd w:val="clear" w:color="000000" w:fill="FFFFFF"/>
            <w:vAlign w:val="center"/>
            <w:hideMark/>
          </w:tcPr>
          <w:p w14:paraId="48A4D104" w14:textId="6D5E17D3"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103,60</w:t>
            </w:r>
          </w:p>
        </w:tc>
        <w:tc>
          <w:tcPr>
            <w:tcW w:w="743" w:type="pct"/>
            <w:tcBorders>
              <w:top w:val="nil"/>
              <w:bottom w:val="nil"/>
            </w:tcBorders>
            <w:shd w:val="clear" w:color="000000" w:fill="FFFFFF"/>
            <w:vAlign w:val="center"/>
          </w:tcPr>
          <w:p w14:paraId="75F368AE" w14:textId="7D44233C"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103</w:t>
            </w:r>
            <w:r w:rsidR="003D604F" w:rsidRPr="00D7245F">
              <w:rPr>
                <w:rFonts w:ascii="Verdana" w:hAnsi="Verdana"/>
                <w:color w:val="365F91"/>
                <w:sz w:val="18"/>
                <w:szCs w:val="18"/>
              </w:rPr>
              <w:t>,</w:t>
            </w:r>
            <w:r w:rsidRPr="00D7245F">
              <w:rPr>
                <w:rFonts w:ascii="Verdana" w:hAnsi="Verdana"/>
                <w:color w:val="365F91"/>
                <w:sz w:val="18"/>
                <w:szCs w:val="18"/>
              </w:rPr>
              <w:t>75</w:t>
            </w:r>
          </w:p>
        </w:tc>
        <w:tc>
          <w:tcPr>
            <w:tcW w:w="669" w:type="pct"/>
            <w:tcBorders>
              <w:top w:val="nil"/>
              <w:bottom w:val="nil"/>
            </w:tcBorders>
            <w:shd w:val="clear" w:color="000000" w:fill="FFFFFF"/>
            <w:vAlign w:val="center"/>
          </w:tcPr>
          <w:p w14:paraId="1603E070" w14:textId="77CD3882"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67</w:t>
            </w:r>
          </w:p>
        </w:tc>
        <w:tc>
          <w:tcPr>
            <w:tcW w:w="669" w:type="pct"/>
            <w:tcBorders>
              <w:top w:val="nil"/>
              <w:bottom w:val="nil"/>
            </w:tcBorders>
            <w:shd w:val="clear" w:color="000000" w:fill="FFFFFF"/>
            <w:vAlign w:val="center"/>
          </w:tcPr>
          <w:p w14:paraId="2DC5DAAB" w14:textId="1FFBB36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14</w:t>
            </w:r>
          </w:p>
        </w:tc>
        <w:tc>
          <w:tcPr>
            <w:tcW w:w="880" w:type="pct"/>
            <w:tcBorders>
              <w:top w:val="nil"/>
              <w:bottom w:val="nil"/>
            </w:tcBorders>
            <w:shd w:val="clear" w:color="000000" w:fill="FFFFFF"/>
            <w:vAlign w:val="center"/>
          </w:tcPr>
          <w:p w14:paraId="1A628B85" w14:textId="50E0E079"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75</w:t>
            </w:r>
          </w:p>
        </w:tc>
      </w:tr>
      <w:tr w:rsidR="009B6663" w:rsidRPr="00D7245F" w14:paraId="2B36A30C" w14:textId="77777777" w:rsidTr="009B6663">
        <w:trPr>
          <w:trHeight w:val="315"/>
          <w:jc w:val="center"/>
        </w:trPr>
        <w:tc>
          <w:tcPr>
            <w:tcW w:w="1292" w:type="pct"/>
            <w:tcBorders>
              <w:top w:val="nil"/>
              <w:left w:val="nil"/>
              <w:bottom w:val="nil"/>
            </w:tcBorders>
            <w:shd w:val="clear" w:color="FFFFFF" w:fill="FFFFFF"/>
            <w:noWrap/>
            <w:vAlign w:val="center"/>
            <w:hideMark/>
          </w:tcPr>
          <w:p w14:paraId="7BB3145D" w14:textId="77777777" w:rsidR="009B6663" w:rsidRPr="00D7245F" w:rsidRDefault="009B6663" w:rsidP="009B6663">
            <w:pPr>
              <w:rPr>
                <w:rFonts w:ascii="Verdana" w:eastAsia="Times New Roman" w:hAnsi="Verdana" w:cs="Arial"/>
                <w:color w:val="365F91"/>
                <w:sz w:val="18"/>
                <w:szCs w:val="18"/>
              </w:rPr>
            </w:pPr>
            <w:bookmarkStart w:id="3" w:name="_Hlk65667398"/>
            <w:proofErr w:type="spellStart"/>
            <w:r w:rsidRPr="00D7245F">
              <w:rPr>
                <w:rFonts w:ascii="Verdana" w:eastAsia="Times New Roman" w:hAnsi="Verdana" w:cs="Arial"/>
                <w:color w:val="365F91"/>
                <w:sz w:val="18"/>
                <w:szCs w:val="18"/>
              </w:rPr>
              <w:t>Μετ</w:t>
            </w:r>
            <w:proofErr w:type="spellEnd"/>
            <w:r w:rsidRPr="00D7245F">
              <w:rPr>
                <w:rFonts w:ascii="Verdana" w:eastAsia="Times New Roman" w:hAnsi="Verdana" w:cs="Arial"/>
                <w:color w:val="365F91"/>
                <w:sz w:val="18"/>
                <w:szCs w:val="18"/>
              </w:rPr>
              <w:t>αφορές</w:t>
            </w:r>
            <w:bookmarkEnd w:id="3"/>
          </w:p>
        </w:tc>
        <w:tc>
          <w:tcPr>
            <w:tcW w:w="747" w:type="pct"/>
            <w:tcBorders>
              <w:top w:val="nil"/>
              <w:bottom w:val="nil"/>
            </w:tcBorders>
            <w:shd w:val="clear" w:color="000000" w:fill="FFFFFF"/>
            <w:vAlign w:val="center"/>
            <w:hideMark/>
          </w:tcPr>
          <w:p w14:paraId="20211F9C" w14:textId="13EC6F59"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125,30</w:t>
            </w:r>
          </w:p>
        </w:tc>
        <w:tc>
          <w:tcPr>
            <w:tcW w:w="743" w:type="pct"/>
            <w:tcBorders>
              <w:top w:val="nil"/>
              <w:bottom w:val="nil"/>
            </w:tcBorders>
            <w:shd w:val="clear" w:color="000000" w:fill="FFFFFF"/>
            <w:vAlign w:val="center"/>
          </w:tcPr>
          <w:p w14:paraId="31C665D6" w14:textId="36F737C1"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118</w:t>
            </w:r>
            <w:r w:rsidR="003D604F" w:rsidRPr="00D7245F">
              <w:rPr>
                <w:rFonts w:ascii="Verdana" w:hAnsi="Verdana"/>
                <w:color w:val="365F91"/>
                <w:sz w:val="18"/>
                <w:szCs w:val="18"/>
              </w:rPr>
              <w:t>,</w:t>
            </w:r>
            <w:r w:rsidRPr="00D7245F">
              <w:rPr>
                <w:rFonts w:ascii="Verdana" w:hAnsi="Verdana"/>
                <w:color w:val="365F91"/>
                <w:sz w:val="18"/>
                <w:szCs w:val="18"/>
              </w:rPr>
              <w:t>51</w:t>
            </w:r>
          </w:p>
        </w:tc>
        <w:tc>
          <w:tcPr>
            <w:tcW w:w="669" w:type="pct"/>
            <w:tcBorders>
              <w:top w:val="nil"/>
              <w:bottom w:val="nil"/>
            </w:tcBorders>
            <w:shd w:val="clear" w:color="000000" w:fill="FFFFFF"/>
            <w:vAlign w:val="center"/>
          </w:tcPr>
          <w:p w14:paraId="233D8521" w14:textId="5EA7E0F6"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13</w:t>
            </w:r>
            <w:r w:rsidR="003D604F" w:rsidRPr="00D7245F">
              <w:rPr>
                <w:rFonts w:ascii="Verdana" w:hAnsi="Verdana"/>
                <w:color w:val="365F91"/>
                <w:sz w:val="18"/>
                <w:szCs w:val="18"/>
              </w:rPr>
              <w:t>,</w:t>
            </w:r>
            <w:r w:rsidRPr="00D7245F">
              <w:rPr>
                <w:rFonts w:ascii="Verdana" w:hAnsi="Verdana"/>
                <w:color w:val="365F91"/>
                <w:sz w:val="18"/>
                <w:szCs w:val="18"/>
              </w:rPr>
              <w:t>79</w:t>
            </w:r>
          </w:p>
        </w:tc>
        <w:tc>
          <w:tcPr>
            <w:tcW w:w="669" w:type="pct"/>
            <w:tcBorders>
              <w:top w:val="nil"/>
              <w:bottom w:val="nil"/>
            </w:tcBorders>
            <w:shd w:val="clear" w:color="000000" w:fill="FFFFFF"/>
            <w:vAlign w:val="center"/>
          </w:tcPr>
          <w:p w14:paraId="0A291A49" w14:textId="420F604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-5</w:t>
            </w:r>
            <w:r w:rsidR="003D604F" w:rsidRPr="00D7245F">
              <w:rPr>
                <w:rFonts w:ascii="Verdana" w:hAnsi="Verdana"/>
                <w:color w:val="365F91"/>
                <w:sz w:val="18"/>
                <w:szCs w:val="18"/>
              </w:rPr>
              <w:t>,</w:t>
            </w:r>
            <w:r w:rsidRPr="00D7245F">
              <w:rPr>
                <w:rFonts w:ascii="Verdana" w:hAnsi="Verdana"/>
                <w:color w:val="365F91"/>
                <w:sz w:val="18"/>
                <w:szCs w:val="18"/>
              </w:rPr>
              <w:t>42</w:t>
            </w:r>
          </w:p>
        </w:tc>
        <w:tc>
          <w:tcPr>
            <w:tcW w:w="880" w:type="pct"/>
            <w:tcBorders>
              <w:top w:val="nil"/>
              <w:bottom w:val="nil"/>
            </w:tcBorders>
            <w:shd w:val="clear" w:color="000000" w:fill="FFFFFF"/>
            <w:vAlign w:val="center"/>
          </w:tcPr>
          <w:p w14:paraId="65E20715" w14:textId="7767D611"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18</w:t>
            </w:r>
            <w:r w:rsidR="003D604F" w:rsidRPr="00D7245F">
              <w:rPr>
                <w:rFonts w:ascii="Verdana" w:hAnsi="Verdana"/>
                <w:color w:val="365F91"/>
                <w:sz w:val="18"/>
                <w:szCs w:val="18"/>
              </w:rPr>
              <w:t>,</w:t>
            </w:r>
            <w:r w:rsidRPr="00D7245F">
              <w:rPr>
                <w:rFonts w:ascii="Verdana" w:hAnsi="Verdana"/>
                <w:color w:val="365F91"/>
                <w:sz w:val="18"/>
                <w:szCs w:val="18"/>
              </w:rPr>
              <w:t>26</w:t>
            </w:r>
          </w:p>
        </w:tc>
      </w:tr>
      <w:tr w:rsidR="009B6663" w:rsidRPr="00D7245F" w14:paraId="5A3A2007" w14:textId="77777777" w:rsidTr="009B6663">
        <w:trPr>
          <w:trHeight w:val="375"/>
          <w:jc w:val="center"/>
        </w:trPr>
        <w:tc>
          <w:tcPr>
            <w:tcW w:w="1292" w:type="pct"/>
            <w:tcBorders>
              <w:top w:val="nil"/>
              <w:left w:val="nil"/>
              <w:bottom w:val="nil"/>
            </w:tcBorders>
            <w:shd w:val="clear" w:color="FFFFFF" w:fill="FFFFFF"/>
            <w:noWrap/>
            <w:vAlign w:val="center"/>
            <w:hideMark/>
          </w:tcPr>
          <w:p w14:paraId="6A19C4D8" w14:textId="77777777" w:rsidR="009B6663" w:rsidRPr="00D7245F" w:rsidRDefault="009B6663" w:rsidP="009B6663">
            <w:pPr>
              <w:rPr>
                <w:rFonts w:ascii="Verdana" w:eastAsia="Times New Roman" w:hAnsi="Verdana" w:cs="Arial"/>
                <w:color w:val="365F91"/>
                <w:sz w:val="18"/>
                <w:szCs w:val="18"/>
              </w:rPr>
            </w:pPr>
            <w:r w:rsidRPr="00D7245F">
              <w:rPr>
                <w:rFonts w:ascii="Verdana" w:eastAsia="Times New Roman" w:hAnsi="Verdana" w:cs="Arial"/>
                <w:color w:val="365F91"/>
                <w:sz w:val="18"/>
                <w:szCs w:val="18"/>
              </w:rPr>
              <w:t>Επ</w:t>
            </w:r>
            <w:proofErr w:type="spellStart"/>
            <w:r w:rsidRPr="00D7245F">
              <w:rPr>
                <w:rFonts w:ascii="Verdana" w:eastAsia="Times New Roman" w:hAnsi="Verdana" w:cs="Arial"/>
                <w:color w:val="365F91"/>
                <w:sz w:val="18"/>
                <w:szCs w:val="18"/>
              </w:rPr>
              <w:t>ικοινωνίες</w:t>
            </w:r>
            <w:proofErr w:type="spellEnd"/>
          </w:p>
        </w:tc>
        <w:tc>
          <w:tcPr>
            <w:tcW w:w="747" w:type="pct"/>
            <w:tcBorders>
              <w:top w:val="nil"/>
              <w:bottom w:val="nil"/>
            </w:tcBorders>
            <w:shd w:val="clear" w:color="000000" w:fill="FFFFFF"/>
            <w:vAlign w:val="center"/>
            <w:hideMark/>
          </w:tcPr>
          <w:p w14:paraId="79A1893A" w14:textId="5495E27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91,87</w:t>
            </w:r>
          </w:p>
        </w:tc>
        <w:tc>
          <w:tcPr>
            <w:tcW w:w="743" w:type="pct"/>
            <w:tcBorders>
              <w:top w:val="nil"/>
              <w:bottom w:val="nil"/>
            </w:tcBorders>
            <w:shd w:val="clear" w:color="000000" w:fill="FFFFFF"/>
            <w:vAlign w:val="center"/>
          </w:tcPr>
          <w:p w14:paraId="451A7274" w14:textId="4FD236A5"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91</w:t>
            </w:r>
            <w:r w:rsidR="003D604F" w:rsidRPr="00D7245F">
              <w:rPr>
                <w:rFonts w:ascii="Verdana" w:hAnsi="Verdana"/>
                <w:color w:val="365F91"/>
                <w:sz w:val="18"/>
                <w:szCs w:val="18"/>
              </w:rPr>
              <w:t>,</w:t>
            </w:r>
            <w:r w:rsidRPr="00D7245F">
              <w:rPr>
                <w:rFonts w:ascii="Verdana" w:hAnsi="Verdana"/>
                <w:color w:val="365F91"/>
                <w:sz w:val="18"/>
                <w:szCs w:val="18"/>
              </w:rPr>
              <w:t>87</w:t>
            </w:r>
          </w:p>
        </w:tc>
        <w:tc>
          <w:tcPr>
            <w:tcW w:w="669" w:type="pct"/>
            <w:tcBorders>
              <w:top w:val="nil"/>
              <w:bottom w:val="nil"/>
            </w:tcBorders>
            <w:shd w:val="clear" w:color="000000" w:fill="FFFFFF"/>
            <w:vAlign w:val="center"/>
          </w:tcPr>
          <w:p w14:paraId="22A593B3" w14:textId="35A71F25"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-2</w:t>
            </w:r>
            <w:r w:rsidR="003D604F" w:rsidRPr="00D7245F">
              <w:rPr>
                <w:rFonts w:ascii="Verdana" w:hAnsi="Verdana"/>
                <w:color w:val="365F91"/>
                <w:sz w:val="18"/>
                <w:szCs w:val="18"/>
              </w:rPr>
              <w:t>,</w:t>
            </w:r>
            <w:r w:rsidRPr="00D7245F">
              <w:rPr>
                <w:rFonts w:ascii="Verdana" w:hAnsi="Verdana"/>
                <w:color w:val="365F91"/>
                <w:sz w:val="18"/>
                <w:szCs w:val="18"/>
              </w:rPr>
              <w:t>30</w:t>
            </w:r>
          </w:p>
        </w:tc>
        <w:tc>
          <w:tcPr>
            <w:tcW w:w="669" w:type="pct"/>
            <w:tcBorders>
              <w:top w:val="nil"/>
              <w:bottom w:val="nil"/>
            </w:tcBorders>
            <w:shd w:val="clear" w:color="000000" w:fill="FFFFFF"/>
            <w:vAlign w:val="center"/>
          </w:tcPr>
          <w:p w14:paraId="451FFF69" w14:textId="4E4C0A6C"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00</w:t>
            </w:r>
          </w:p>
        </w:tc>
        <w:tc>
          <w:tcPr>
            <w:tcW w:w="880" w:type="pct"/>
            <w:tcBorders>
              <w:top w:val="nil"/>
              <w:bottom w:val="nil"/>
            </w:tcBorders>
            <w:shd w:val="clear" w:color="000000" w:fill="FFFFFF"/>
            <w:vAlign w:val="center"/>
          </w:tcPr>
          <w:p w14:paraId="779640A0" w14:textId="59B6CAAA"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35</w:t>
            </w:r>
          </w:p>
        </w:tc>
      </w:tr>
      <w:tr w:rsidR="009B6663" w:rsidRPr="00D7245F" w14:paraId="60C2B847" w14:textId="77777777" w:rsidTr="009B6663">
        <w:trPr>
          <w:trHeight w:val="375"/>
          <w:jc w:val="center"/>
        </w:trPr>
        <w:tc>
          <w:tcPr>
            <w:tcW w:w="1292" w:type="pct"/>
            <w:tcBorders>
              <w:top w:val="nil"/>
              <w:left w:val="nil"/>
              <w:bottom w:val="nil"/>
            </w:tcBorders>
            <w:shd w:val="clear" w:color="FFFFFF" w:fill="FFFFFF"/>
            <w:noWrap/>
            <w:vAlign w:val="center"/>
            <w:hideMark/>
          </w:tcPr>
          <w:p w14:paraId="02EB8796" w14:textId="77777777" w:rsidR="009B6663" w:rsidRPr="00D7245F" w:rsidRDefault="009B6663" w:rsidP="009B6663">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Αν</w:t>
            </w:r>
            <w:proofErr w:type="spellEnd"/>
            <w:r w:rsidRPr="00D7245F">
              <w:rPr>
                <w:rFonts w:ascii="Verdana" w:eastAsia="Times New Roman" w:hAnsi="Verdana" w:cs="Arial"/>
                <w:color w:val="365F91"/>
                <w:sz w:val="18"/>
                <w:szCs w:val="18"/>
              </w:rPr>
              <w:t xml:space="preserve">αψυχή και </w:t>
            </w:r>
            <w:r w:rsidRPr="00D7245F">
              <w:rPr>
                <w:rFonts w:ascii="Verdana" w:eastAsia="Times New Roman" w:hAnsi="Verdana" w:cs="Arial"/>
                <w:color w:val="365F91"/>
                <w:sz w:val="18"/>
                <w:szCs w:val="18"/>
                <w:lang w:val="el-GR"/>
              </w:rPr>
              <w:t>Π</w:t>
            </w:r>
            <w:proofErr w:type="spellStart"/>
            <w:r w:rsidRPr="00D7245F">
              <w:rPr>
                <w:rFonts w:ascii="Verdana" w:eastAsia="Times New Roman" w:hAnsi="Verdana" w:cs="Arial"/>
                <w:color w:val="365F91"/>
                <w:sz w:val="18"/>
                <w:szCs w:val="18"/>
              </w:rPr>
              <w:t>ολιτισμός</w:t>
            </w:r>
            <w:proofErr w:type="spellEnd"/>
          </w:p>
        </w:tc>
        <w:tc>
          <w:tcPr>
            <w:tcW w:w="747" w:type="pct"/>
            <w:tcBorders>
              <w:top w:val="nil"/>
              <w:bottom w:val="nil"/>
            </w:tcBorders>
            <w:shd w:val="clear" w:color="000000" w:fill="FFFFFF"/>
            <w:vAlign w:val="center"/>
            <w:hideMark/>
          </w:tcPr>
          <w:p w14:paraId="20BD2D35" w14:textId="4D8D941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109,47</w:t>
            </w:r>
          </w:p>
        </w:tc>
        <w:tc>
          <w:tcPr>
            <w:tcW w:w="743" w:type="pct"/>
            <w:tcBorders>
              <w:top w:val="nil"/>
              <w:bottom w:val="nil"/>
            </w:tcBorders>
            <w:shd w:val="clear" w:color="000000" w:fill="FFFFFF"/>
            <w:vAlign w:val="center"/>
          </w:tcPr>
          <w:p w14:paraId="147C0813" w14:textId="43D74B6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109</w:t>
            </w:r>
            <w:r w:rsidR="003D604F" w:rsidRPr="00D7245F">
              <w:rPr>
                <w:rFonts w:ascii="Verdana" w:hAnsi="Verdana"/>
                <w:color w:val="365F91"/>
                <w:sz w:val="18"/>
                <w:szCs w:val="18"/>
              </w:rPr>
              <w:t>,</w:t>
            </w:r>
            <w:r w:rsidRPr="00D7245F">
              <w:rPr>
                <w:rFonts w:ascii="Verdana" w:hAnsi="Verdana"/>
                <w:color w:val="365F91"/>
                <w:sz w:val="18"/>
                <w:szCs w:val="18"/>
              </w:rPr>
              <w:t>07</w:t>
            </w:r>
          </w:p>
        </w:tc>
        <w:tc>
          <w:tcPr>
            <w:tcW w:w="669" w:type="pct"/>
            <w:tcBorders>
              <w:top w:val="nil"/>
              <w:bottom w:val="nil"/>
            </w:tcBorders>
            <w:shd w:val="clear" w:color="000000" w:fill="FFFFFF"/>
            <w:vAlign w:val="center"/>
          </w:tcPr>
          <w:p w14:paraId="754E85C2" w14:textId="7ED6C03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5</w:t>
            </w:r>
            <w:r w:rsidR="003D604F" w:rsidRPr="00D7245F">
              <w:rPr>
                <w:rFonts w:ascii="Verdana" w:hAnsi="Verdana"/>
                <w:color w:val="365F91"/>
                <w:sz w:val="18"/>
                <w:szCs w:val="18"/>
              </w:rPr>
              <w:t>,</w:t>
            </w:r>
            <w:r w:rsidRPr="00D7245F">
              <w:rPr>
                <w:rFonts w:ascii="Verdana" w:hAnsi="Verdana"/>
                <w:color w:val="365F91"/>
                <w:sz w:val="18"/>
                <w:szCs w:val="18"/>
              </w:rPr>
              <w:t>56</w:t>
            </w:r>
          </w:p>
        </w:tc>
        <w:tc>
          <w:tcPr>
            <w:tcW w:w="669" w:type="pct"/>
            <w:tcBorders>
              <w:top w:val="nil"/>
              <w:bottom w:val="nil"/>
            </w:tcBorders>
            <w:shd w:val="clear" w:color="000000" w:fill="FFFFFF"/>
            <w:vAlign w:val="center"/>
          </w:tcPr>
          <w:p w14:paraId="606E60E8" w14:textId="11838397"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37</w:t>
            </w:r>
          </w:p>
        </w:tc>
        <w:tc>
          <w:tcPr>
            <w:tcW w:w="880" w:type="pct"/>
            <w:tcBorders>
              <w:top w:val="nil"/>
              <w:bottom w:val="nil"/>
            </w:tcBorders>
            <w:shd w:val="clear" w:color="000000" w:fill="FFFFFF"/>
            <w:vAlign w:val="center"/>
          </w:tcPr>
          <w:p w14:paraId="058880D2" w14:textId="4AA20A93"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3</w:t>
            </w:r>
            <w:r w:rsidR="003D604F" w:rsidRPr="00D7245F">
              <w:rPr>
                <w:rFonts w:ascii="Verdana" w:hAnsi="Verdana"/>
                <w:color w:val="365F91"/>
                <w:sz w:val="18"/>
                <w:szCs w:val="18"/>
              </w:rPr>
              <w:t>,</w:t>
            </w:r>
            <w:r w:rsidRPr="00D7245F">
              <w:rPr>
                <w:rFonts w:ascii="Verdana" w:hAnsi="Verdana"/>
                <w:color w:val="365F91"/>
                <w:sz w:val="18"/>
                <w:szCs w:val="18"/>
              </w:rPr>
              <w:t>84</w:t>
            </w:r>
          </w:p>
        </w:tc>
      </w:tr>
      <w:tr w:rsidR="009B6663" w:rsidRPr="00D7245F" w14:paraId="1D759E97" w14:textId="77777777" w:rsidTr="009B6663">
        <w:trPr>
          <w:trHeight w:val="375"/>
          <w:jc w:val="center"/>
        </w:trPr>
        <w:tc>
          <w:tcPr>
            <w:tcW w:w="1292" w:type="pct"/>
            <w:tcBorders>
              <w:top w:val="nil"/>
              <w:left w:val="nil"/>
              <w:bottom w:val="nil"/>
            </w:tcBorders>
            <w:shd w:val="clear" w:color="FFFFFF" w:fill="FFFFFF"/>
            <w:noWrap/>
            <w:vAlign w:val="center"/>
            <w:hideMark/>
          </w:tcPr>
          <w:p w14:paraId="29245A47" w14:textId="77777777" w:rsidR="009B6663" w:rsidRPr="00D7245F" w:rsidRDefault="009B6663" w:rsidP="009B6663">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Εκ</w:t>
            </w:r>
            <w:proofErr w:type="spellEnd"/>
            <w:r w:rsidRPr="00D7245F">
              <w:rPr>
                <w:rFonts w:ascii="Verdana" w:eastAsia="Times New Roman" w:hAnsi="Verdana" w:cs="Arial"/>
                <w:color w:val="365F91"/>
                <w:sz w:val="18"/>
                <w:szCs w:val="18"/>
              </w:rPr>
              <w:t>παίδευση</w:t>
            </w:r>
          </w:p>
        </w:tc>
        <w:tc>
          <w:tcPr>
            <w:tcW w:w="747" w:type="pct"/>
            <w:tcBorders>
              <w:top w:val="nil"/>
              <w:bottom w:val="nil"/>
            </w:tcBorders>
            <w:shd w:val="clear" w:color="000000" w:fill="FFFFFF"/>
            <w:vAlign w:val="center"/>
            <w:hideMark/>
          </w:tcPr>
          <w:p w14:paraId="72A83181" w14:textId="6122FD90"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107,36</w:t>
            </w:r>
          </w:p>
        </w:tc>
        <w:tc>
          <w:tcPr>
            <w:tcW w:w="743" w:type="pct"/>
            <w:tcBorders>
              <w:top w:val="nil"/>
              <w:bottom w:val="nil"/>
            </w:tcBorders>
            <w:shd w:val="clear" w:color="000000" w:fill="FFFFFF"/>
            <w:vAlign w:val="center"/>
          </w:tcPr>
          <w:p w14:paraId="3980084A" w14:textId="57C050CB"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109</w:t>
            </w:r>
            <w:r w:rsidR="003D604F" w:rsidRPr="00D7245F">
              <w:rPr>
                <w:rFonts w:ascii="Verdana" w:hAnsi="Verdana"/>
                <w:color w:val="365F91"/>
                <w:sz w:val="18"/>
                <w:szCs w:val="18"/>
              </w:rPr>
              <w:t>,</w:t>
            </w:r>
            <w:r w:rsidRPr="00D7245F">
              <w:rPr>
                <w:rFonts w:ascii="Verdana" w:hAnsi="Verdana"/>
                <w:color w:val="365F91"/>
                <w:sz w:val="18"/>
                <w:szCs w:val="18"/>
              </w:rPr>
              <w:t>08</w:t>
            </w:r>
          </w:p>
        </w:tc>
        <w:tc>
          <w:tcPr>
            <w:tcW w:w="669" w:type="pct"/>
            <w:tcBorders>
              <w:top w:val="nil"/>
              <w:bottom w:val="nil"/>
            </w:tcBorders>
            <w:shd w:val="clear" w:color="000000" w:fill="FFFFFF"/>
            <w:vAlign w:val="center"/>
          </w:tcPr>
          <w:p w14:paraId="7FCAE468" w14:textId="798991BE"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w:t>
            </w:r>
            <w:r w:rsidR="003D604F" w:rsidRPr="00D7245F">
              <w:rPr>
                <w:rFonts w:ascii="Verdana" w:hAnsi="Verdana"/>
                <w:color w:val="365F91"/>
                <w:sz w:val="18"/>
                <w:szCs w:val="18"/>
              </w:rPr>
              <w:t>,</w:t>
            </w:r>
            <w:r w:rsidRPr="00D7245F">
              <w:rPr>
                <w:rFonts w:ascii="Verdana" w:hAnsi="Verdana"/>
                <w:color w:val="365F91"/>
                <w:sz w:val="18"/>
                <w:szCs w:val="18"/>
              </w:rPr>
              <w:t>60</w:t>
            </w:r>
          </w:p>
        </w:tc>
        <w:tc>
          <w:tcPr>
            <w:tcW w:w="669" w:type="pct"/>
            <w:tcBorders>
              <w:top w:val="nil"/>
              <w:bottom w:val="nil"/>
            </w:tcBorders>
            <w:shd w:val="clear" w:color="000000" w:fill="FFFFFF"/>
            <w:vAlign w:val="center"/>
          </w:tcPr>
          <w:p w14:paraId="25A96EB5" w14:textId="4E688297"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w:t>
            </w:r>
            <w:r w:rsidR="003D604F" w:rsidRPr="00D7245F">
              <w:rPr>
                <w:rFonts w:ascii="Verdana" w:hAnsi="Verdana"/>
                <w:color w:val="365F91"/>
                <w:sz w:val="18"/>
                <w:szCs w:val="18"/>
              </w:rPr>
              <w:t>,</w:t>
            </w:r>
            <w:r w:rsidRPr="00D7245F">
              <w:rPr>
                <w:rFonts w:ascii="Verdana" w:hAnsi="Verdana"/>
                <w:color w:val="365F91"/>
                <w:sz w:val="18"/>
                <w:szCs w:val="18"/>
              </w:rPr>
              <w:t>60</w:t>
            </w:r>
          </w:p>
        </w:tc>
        <w:tc>
          <w:tcPr>
            <w:tcW w:w="880" w:type="pct"/>
            <w:tcBorders>
              <w:top w:val="nil"/>
              <w:bottom w:val="nil"/>
            </w:tcBorders>
            <w:shd w:val="clear" w:color="000000" w:fill="FFFFFF"/>
            <w:vAlign w:val="center"/>
          </w:tcPr>
          <w:p w14:paraId="7008D238" w14:textId="73372AED"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67</w:t>
            </w:r>
          </w:p>
        </w:tc>
      </w:tr>
      <w:tr w:rsidR="009B6663" w:rsidRPr="00D7245F" w14:paraId="49935294" w14:textId="77777777" w:rsidTr="009B6663">
        <w:trPr>
          <w:trHeight w:val="510"/>
          <w:jc w:val="center"/>
        </w:trPr>
        <w:tc>
          <w:tcPr>
            <w:tcW w:w="1292" w:type="pct"/>
            <w:tcBorders>
              <w:top w:val="nil"/>
              <w:left w:val="nil"/>
              <w:bottom w:val="nil"/>
            </w:tcBorders>
            <w:shd w:val="clear" w:color="FFFFFF" w:fill="FFFFFF"/>
            <w:noWrap/>
            <w:vAlign w:val="center"/>
            <w:hideMark/>
          </w:tcPr>
          <w:p w14:paraId="4451BE3A" w14:textId="77777777" w:rsidR="009B6663" w:rsidRPr="00D7245F" w:rsidRDefault="009B6663" w:rsidP="009B6663">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Εστι</w:t>
            </w:r>
            <w:proofErr w:type="spellEnd"/>
            <w:r w:rsidRPr="00D7245F">
              <w:rPr>
                <w:rFonts w:ascii="Verdana" w:eastAsia="Times New Roman" w:hAnsi="Verdana" w:cs="Arial"/>
                <w:color w:val="365F91"/>
                <w:sz w:val="18"/>
                <w:szCs w:val="18"/>
              </w:rPr>
              <w:t xml:space="preserve">ατόρια και </w:t>
            </w:r>
            <w:r w:rsidRPr="00D7245F">
              <w:rPr>
                <w:rFonts w:ascii="Verdana" w:eastAsia="Times New Roman" w:hAnsi="Verdana" w:cs="Arial"/>
                <w:color w:val="365F91"/>
                <w:sz w:val="18"/>
                <w:szCs w:val="18"/>
                <w:lang w:val="el-GR"/>
              </w:rPr>
              <w:t>Ξ</w:t>
            </w:r>
            <w:proofErr w:type="spellStart"/>
            <w:r w:rsidRPr="00D7245F">
              <w:rPr>
                <w:rFonts w:ascii="Verdana" w:eastAsia="Times New Roman" w:hAnsi="Verdana" w:cs="Arial"/>
                <w:color w:val="365F91"/>
                <w:sz w:val="18"/>
                <w:szCs w:val="18"/>
              </w:rPr>
              <w:t>ενοδοχεί</w:t>
            </w:r>
            <w:proofErr w:type="spellEnd"/>
            <w:r w:rsidRPr="00D7245F">
              <w:rPr>
                <w:rFonts w:ascii="Verdana" w:eastAsia="Times New Roman" w:hAnsi="Verdana" w:cs="Arial"/>
                <w:color w:val="365F91"/>
                <w:sz w:val="18"/>
                <w:szCs w:val="18"/>
              </w:rPr>
              <w:t>α</w:t>
            </w:r>
          </w:p>
        </w:tc>
        <w:tc>
          <w:tcPr>
            <w:tcW w:w="747" w:type="pct"/>
            <w:tcBorders>
              <w:top w:val="nil"/>
              <w:bottom w:val="nil"/>
            </w:tcBorders>
            <w:shd w:val="clear" w:color="000000" w:fill="FFFFFF"/>
            <w:vAlign w:val="center"/>
            <w:hideMark/>
          </w:tcPr>
          <w:p w14:paraId="0EFB99D4" w14:textId="7088F50F"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117,14</w:t>
            </w:r>
          </w:p>
        </w:tc>
        <w:tc>
          <w:tcPr>
            <w:tcW w:w="743" w:type="pct"/>
            <w:tcBorders>
              <w:top w:val="nil"/>
              <w:bottom w:val="nil"/>
            </w:tcBorders>
            <w:shd w:val="clear" w:color="000000" w:fill="FFFFFF"/>
            <w:vAlign w:val="center"/>
          </w:tcPr>
          <w:p w14:paraId="65491CED" w14:textId="330487EE"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117</w:t>
            </w:r>
            <w:r w:rsidR="003D604F" w:rsidRPr="00D7245F">
              <w:rPr>
                <w:rFonts w:ascii="Verdana" w:hAnsi="Verdana"/>
                <w:color w:val="365F91"/>
                <w:sz w:val="18"/>
                <w:szCs w:val="18"/>
              </w:rPr>
              <w:t>,</w:t>
            </w:r>
            <w:r w:rsidRPr="00D7245F">
              <w:rPr>
                <w:rFonts w:ascii="Verdana" w:hAnsi="Verdana"/>
                <w:color w:val="365F91"/>
                <w:sz w:val="18"/>
                <w:szCs w:val="18"/>
              </w:rPr>
              <w:t>48</w:t>
            </w:r>
          </w:p>
        </w:tc>
        <w:tc>
          <w:tcPr>
            <w:tcW w:w="669" w:type="pct"/>
            <w:tcBorders>
              <w:top w:val="nil"/>
              <w:bottom w:val="nil"/>
            </w:tcBorders>
            <w:shd w:val="clear" w:color="000000" w:fill="FFFFFF"/>
            <w:vAlign w:val="center"/>
          </w:tcPr>
          <w:p w14:paraId="40E791CE" w14:textId="4AFA17A4"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9</w:t>
            </w:r>
            <w:r w:rsidR="003D604F" w:rsidRPr="00D7245F">
              <w:rPr>
                <w:rFonts w:ascii="Verdana" w:hAnsi="Verdana"/>
                <w:color w:val="365F91"/>
                <w:sz w:val="18"/>
                <w:szCs w:val="18"/>
              </w:rPr>
              <w:t>,</w:t>
            </w:r>
            <w:r w:rsidRPr="00D7245F">
              <w:rPr>
                <w:rFonts w:ascii="Verdana" w:hAnsi="Verdana"/>
                <w:color w:val="365F91"/>
                <w:sz w:val="18"/>
                <w:szCs w:val="18"/>
              </w:rPr>
              <w:t>31</w:t>
            </w:r>
          </w:p>
        </w:tc>
        <w:tc>
          <w:tcPr>
            <w:tcW w:w="669" w:type="pct"/>
            <w:tcBorders>
              <w:top w:val="nil"/>
              <w:bottom w:val="nil"/>
            </w:tcBorders>
            <w:shd w:val="clear" w:color="000000" w:fill="FFFFFF"/>
            <w:vAlign w:val="center"/>
          </w:tcPr>
          <w:p w14:paraId="0ED16049" w14:textId="3076DFD4"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29</w:t>
            </w:r>
          </w:p>
        </w:tc>
        <w:tc>
          <w:tcPr>
            <w:tcW w:w="880" w:type="pct"/>
            <w:tcBorders>
              <w:top w:val="nil"/>
              <w:bottom w:val="nil"/>
            </w:tcBorders>
            <w:shd w:val="clear" w:color="000000" w:fill="FFFFFF"/>
            <w:vAlign w:val="center"/>
          </w:tcPr>
          <w:p w14:paraId="116778D6" w14:textId="494831D2"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7</w:t>
            </w:r>
            <w:r w:rsidR="003D604F" w:rsidRPr="00D7245F">
              <w:rPr>
                <w:rFonts w:ascii="Verdana" w:hAnsi="Verdana"/>
                <w:color w:val="365F91"/>
                <w:sz w:val="18"/>
                <w:szCs w:val="18"/>
              </w:rPr>
              <w:t>,</w:t>
            </w:r>
            <w:r w:rsidRPr="00D7245F">
              <w:rPr>
                <w:rFonts w:ascii="Verdana" w:hAnsi="Verdana"/>
                <w:color w:val="365F91"/>
                <w:sz w:val="18"/>
                <w:szCs w:val="18"/>
              </w:rPr>
              <w:t>06</w:t>
            </w:r>
          </w:p>
        </w:tc>
      </w:tr>
      <w:tr w:rsidR="009B6663" w:rsidRPr="00D7245F" w14:paraId="4E192FEB" w14:textId="77777777" w:rsidTr="009B6663">
        <w:trPr>
          <w:trHeight w:val="510"/>
          <w:jc w:val="center"/>
        </w:trPr>
        <w:tc>
          <w:tcPr>
            <w:tcW w:w="1292" w:type="pct"/>
            <w:tcBorders>
              <w:top w:val="nil"/>
              <w:left w:val="nil"/>
              <w:bottom w:val="single" w:sz="4" w:space="0" w:color="366092"/>
            </w:tcBorders>
            <w:shd w:val="clear" w:color="FFFFFF" w:fill="FFFFFF"/>
            <w:noWrap/>
            <w:vAlign w:val="center"/>
            <w:hideMark/>
          </w:tcPr>
          <w:p w14:paraId="33D3D162" w14:textId="77777777" w:rsidR="009B6663" w:rsidRPr="00D7245F" w:rsidRDefault="009B6663" w:rsidP="009B6663">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Άλλ</w:t>
            </w:r>
            <w:proofErr w:type="spellEnd"/>
            <w:r w:rsidRPr="00D7245F">
              <w:rPr>
                <w:rFonts w:ascii="Verdana" w:eastAsia="Times New Roman" w:hAnsi="Verdana" w:cs="Arial"/>
                <w:color w:val="365F91"/>
                <w:sz w:val="18"/>
                <w:szCs w:val="18"/>
              </w:rPr>
              <w:t xml:space="preserve">α </w:t>
            </w:r>
            <w:r w:rsidRPr="00D7245F">
              <w:rPr>
                <w:rFonts w:ascii="Verdana" w:eastAsia="Times New Roman" w:hAnsi="Verdana" w:cs="Arial"/>
                <w:color w:val="365F91"/>
                <w:sz w:val="18"/>
                <w:szCs w:val="18"/>
                <w:lang w:val="el-GR"/>
              </w:rPr>
              <w:t>Α</w:t>
            </w:r>
            <w:r w:rsidRPr="00D7245F">
              <w:rPr>
                <w:rFonts w:ascii="Verdana" w:eastAsia="Times New Roman" w:hAnsi="Verdana" w:cs="Arial"/>
                <w:color w:val="365F91"/>
                <w:sz w:val="18"/>
                <w:szCs w:val="18"/>
              </w:rPr>
              <w:t>γα</w:t>
            </w:r>
            <w:proofErr w:type="spellStart"/>
            <w:r w:rsidRPr="00D7245F">
              <w:rPr>
                <w:rFonts w:ascii="Verdana" w:eastAsia="Times New Roman" w:hAnsi="Verdana" w:cs="Arial"/>
                <w:color w:val="365F91"/>
                <w:sz w:val="18"/>
                <w:szCs w:val="18"/>
              </w:rPr>
              <w:t>θά</w:t>
            </w:r>
            <w:proofErr w:type="spellEnd"/>
            <w:r w:rsidRPr="00D7245F">
              <w:rPr>
                <w:rFonts w:ascii="Verdana" w:eastAsia="Times New Roman" w:hAnsi="Verdana" w:cs="Arial"/>
                <w:color w:val="365F91"/>
                <w:sz w:val="18"/>
                <w:szCs w:val="18"/>
              </w:rPr>
              <w:t xml:space="preserve"> και </w:t>
            </w:r>
            <w:r w:rsidRPr="00D7245F">
              <w:rPr>
                <w:rFonts w:ascii="Verdana" w:eastAsia="Times New Roman" w:hAnsi="Verdana" w:cs="Arial"/>
                <w:color w:val="365F91"/>
                <w:sz w:val="18"/>
                <w:szCs w:val="18"/>
                <w:lang w:val="el-GR"/>
              </w:rPr>
              <w:t>Υ</w:t>
            </w:r>
            <w:r w:rsidRPr="00D7245F">
              <w:rPr>
                <w:rFonts w:ascii="Verdana" w:eastAsia="Times New Roman" w:hAnsi="Verdana" w:cs="Arial"/>
                <w:color w:val="365F91"/>
                <w:sz w:val="18"/>
                <w:szCs w:val="18"/>
              </w:rPr>
              <w:t>π</w:t>
            </w:r>
            <w:proofErr w:type="spellStart"/>
            <w:r w:rsidRPr="00D7245F">
              <w:rPr>
                <w:rFonts w:ascii="Verdana" w:eastAsia="Times New Roman" w:hAnsi="Verdana" w:cs="Arial"/>
                <w:color w:val="365F91"/>
                <w:sz w:val="18"/>
                <w:szCs w:val="18"/>
              </w:rPr>
              <w:t>ηρεσίες</w:t>
            </w:r>
            <w:proofErr w:type="spellEnd"/>
          </w:p>
        </w:tc>
        <w:tc>
          <w:tcPr>
            <w:tcW w:w="747" w:type="pct"/>
            <w:tcBorders>
              <w:top w:val="nil"/>
              <w:bottom w:val="single" w:sz="4" w:space="0" w:color="366092"/>
            </w:tcBorders>
            <w:shd w:val="clear" w:color="000000" w:fill="FFFFFF"/>
            <w:vAlign w:val="center"/>
            <w:hideMark/>
          </w:tcPr>
          <w:p w14:paraId="6014595E" w14:textId="75C6A02C"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103,92</w:t>
            </w:r>
          </w:p>
        </w:tc>
        <w:tc>
          <w:tcPr>
            <w:tcW w:w="743" w:type="pct"/>
            <w:tcBorders>
              <w:top w:val="nil"/>
              <w:bottom w:val="single" w:sz="4" w:space="0" w:color="366092"/>
            </w:tcBorders>
            <w:shd w:val="clear" w:color="000000" w:fill="FFFFFF"/>
            <w:vAlign w:val="center"/>
          </w:tcPr>
          <w:p w14:paraId="07B550E8" w14:textId="70E2E14C"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104</w:t>
            </w:r>
            <w:r w:rsidR="003D604F" w:rsidRPr="00D7245F">
              <w:rPr>
                <w:rFonts w:ascii="Verdana" w:hAnsi="Verdana"/>
                <w:color w:val="365F91"/>
                <w:sz w:val="18"/>
                <w:szCs w:val="18"/>
              </w:rPr>
              <w:t>,</w:t>
            </w:r>
            <w:r w:rsidRPr="00D7245F">
              <w:rPr>
                <w:rFonts w:ascii="Verdana" w:hAnsi="Verdana"/>
                <w:color w:val="365F91"/>
                <w:sz w:val="18"/>
                <w:szCs w:val="18"/>
              </w:rPr>
              <w:t>60</w:t>
            </w:r>
          </w:p>
        </w:tc>
        <w:tc>
          <w:tcPr>
            <w:tcW w:w="669" w:type="pct"/>
            <w:tcBorders>
              <w:top w:val="nil"/>
              <w:bottom w:val="single" w:sz="4" w:space="0" w:color="366092"/>
            </w:tcBorders>
            <w:shd w:val="clear" w:color="000000" w:fill="FFFFFF"/>
            <w:vAlign w:val="center"/>
          </w:tcPr>
          <w:p w14:paraId="51ED7B05" w14:textId="13A6158E"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3</w:t>
            </w:r>
            <w:r w:rsidR="003D604F" w:rsidRPr="00D7245F">
              <w:rPr>
                <w:rFonts w:ascii="Verdana" w:hAnsi="Verdana"/>
                <w:color w:val="365F91"/>
                <w:sz w:val="18"/>
                <w:szCs w:val="18"/>
              </w:rPr>
              <w:t>,</w:t>
            </w:r>
            <w:r w:rsidRPr="00D7245F">
              <w:rPr>
                <w:rFonts w:ascii="Verdana" w:hAnsi="Verdana"/>
                <w:color w:val="365F91"/>
                <w:sz w:val="18"/>
                <w:szCs w:val="18"/>
              </w:rPr>
              <w:t>15</w:t>
            </w:r>
          </w:p>
        </w:tc>
        <w:tc>
          <w:tcPr>
            <w:tcW w:w="669" w:type="pct"/>
            <w:tcBorders>
              <w:top w:val="nil"/>
              <w:bottom w:val="single" w:sz="4" w:space="0" w:color="366092"/>
            </w:tcBorders>
            <w:shd w:val="clear" w:color="000000" w:fill="FFFFFF"/>
            <w:vAlign w:val="center"/>
          </w:tcPr>
          <w:p w14:paraId="1E954523" w14:textId="35FB95B8" w:rsidR="009B6663" w:rsidRPr="00D7245F" w:rsidRDefault="009B6663" w:rsidP="009B6663">
            <w:pPr>
              <w:ind w:right="284"/>
              <w:jc w:val="right"/>
              <w:rPr>
                <w:rFonts w:ascii="Verdana" w:hAnsi="Verdana"/>
                <w:color w:val="365F91"/>
                <w:sz w:val="18"/>
                <w:szCs w:val="18"/>
              </w:rPr>
            </w:pPr>
            <w:r w:rsidRPr="00D7245F">
              <w:rPr>
                <w:rFonts w:ascii="Verdana" w:hAnsi="Verdana"/>
                <w:color w:val="365F91"/>
                <w:sz w:val="18"/>
                <w:szCs w:val="18"/>
              </w:rPr>
              <w:t>0</w:t>
            </w:r>
            <w:r w:rsidR="003D604F" w:rsidRPr="00D7245F">
              <w:rPr>
                <w:rFonts w:ascii="Verdana" w:hAnsi="Verdana"/>
                <w:color w:val="365F91"/>
                <w:sz w:val="18"/>
                <w:szCs w:val="18"/>
              </w:rPr>
              <w:t>,</w:t>
            </w:r>
            <w:r w:rsidRPr="00D7245F">
              <w:rPr>
                <w:rFonts w:ascii="Verdana" w:hAnsi="Verdana"/>
                <w:color w:val="365F91"/>
                <w:sz w:val="18"/>
                <w:szCs w:val="18"/>
              </w:rPr>
              <w:t>65</w:t>
            </w:r>
          </w:p>
        </w:tc>
        <w:tc>
          <w:tcPr>
            <w:tcW w:w="880" w:type="pct"/>
            <w:tcBorders>
              <w:top w:val="nil"/>
              <w:bottom w:val="single" w:sz="4" w:space="0" w:color="366092"/>
            </w:tcBorders>
            <w:shd w:val="clear" w:color="000000" w:fill="FFFFFF"/>
            <w:vAlign w:val="center"/>
          </w:tcPr>
          <w:p w14:paraId="5F8A0CC8" w14:textId="442D9B53" w:rsidR="009B6663" w:rsidRPr="00D7245F" w:rsidRDefault="009B6663" w:rsidP="009B6663">
            <w:pPr>
              <w:ind w:right="624"/>
              <w:jc w:val="right"/>
              <w:rPr>
                <w:rFonts w:ascii="Verdana" w:hAnsi="Verdana"/>
                <w:color w:val="365F91"/>
                <w:sz w:val="18"/>
                <w:szCs w:val="18"/>
              </w:rPr>
            </w:pPr>
            <w:r w:rsidRPr="00D7245F">
              <w:rPr>
                <w:rFonts w:ascii="Verdana" w:hAnsi="Verdana"/>
                <w:color w:val="365F91"/>
                <w:sz w:val="18"/>
                <w:szCs w:val="18"/>
              </w:rPr>
              <w:t>2</w:t>
            </w:r>
            <w:r w:rsidR="003D604F" w:rsidRPr="00D7245F">
              <w:rPr>
                <w:rFonts w:ascii="Verdana" w:hAnsi="Verdana"/>
                <w:color w:val="365F91"/>
                <w:sz w:val="18"/>
                <w:szCs w:val="18"/>
              </w:rPr>
              <w:t>,</w:t>
            </w:r>
            <w:r w:rsidRPr="00D7245F">
              <w:rPr>
                <w:rFonts w:ascii="Verdana" w:hAnsi="Verdana"/>
                <w:color w:val="365F91"/>
                <w:sz w:val="18"/>
                <w:szCs w:val="18"/>
              </w:rPr>
              <w:t>25</w:t>
            </w:r>
          </w:p>
        </w:tc>
      </w:tr>
      <w:tr w:rsidR="009B6663" w:rsidRPr="00D7245F" w14:paraId="3006E43C" w14:textId="77777777" w:rsidTr="009B6663">
        <w:trPr>
          <w:trHeight w:val="567"/>
          <w:jc w:val="center"/>
        </w:trPr>
        <w:tc>
          <w:tcPr>
            <w:tcW w:w="1292" w:type="pct"/>
            <w:tcBorders>
              <w:top w:val="single" w:sz="4" w:space="0" w:color="366092"/>
              <w:left w:val="nil"/>
              <w:bottom w:val="single" w:sz="4" w:space="0" w:color="366092"/>
            </w:tcBorders>
            <w:shd w:val="clear" w:color="FFFFFF" w:fill="FFFFFF"/>
            <w:noWrap/>
            <w:vAlign w:val="center"/>
          </w:tcPr>
          <w:p w14:paraId="37502D5A" w14:textId="77777777" w:rsidR="009B6663" w:rsidRPr="00D7245F" w:rsidRDefault="009B6663" w:rsidP="009B6663">
            <w:pPr>
              <w:rPr>
                <w:rFonts w:ascii="Verdana" w:eastAsia="Times New Roman" w:hAnsi="Verdana" w:cs="Arial"/>
                <w:b/>
                <w:bCs/>
                <w:color w:val="365F91"/>
                <w:sz w:val="18"/>
                <w:szCs w:val="18"/>
              </w:rPr>
            </w:pPr>
            <w:proofErr w:type="spellStart"/>
            <w:r w:rsidRPr="00D7245F">
              <w:rPr>
                <w:rFonts w:ascii="Verdana" w:eastAsia="Times New Roman" w:hAnsi="Verdana" w:cs="Arial"/>
                <w:b/>
                <w:bCs/>
                <w:color w:val="365F91"/>
                <w:sz w:val="18"/>
                <w:szCs w:val="18"/>
              </w:rPr>
              <w:t>Γενικός</w:t>
            </w:r>
            <w:proofErr w:type="spellEnd"/>
            <w:r w:rsidRPr="00D7245F">
              <w:rPr>
                <w:rFonts w:ascii="Verdana" w:eastAsia="Times New Roman" w:hAnsi="Verdana" w:cs="Arial"/>
                <w:b/>
                <w:bCs/>
                <w:color w:val="365F91"/>
                <w:sz w:val="18"/>
                <w:szCs w:val="18"/>
              </w:rPr>
              <w:t xml:space="preserve"> </w:t>
            </w:r>
            <w:proofErr w:type="spellStart"/>
            <w:r w:rsidRPr="00D7245F">
              <w:rPr>
                <w:rFonts w:ascii="Verdana" w:eastAsia="Times New Roman" w:hAnsi="Verdana" w:cs="Arial"/>
                <w:b/>
                <w:bCs/>
                <w:color w:val="365F91"/>
                <w:sz w:val="18"/>
                <w:szCs w:val="18"/>
              </w:rPr>
              <w:t>Δείκτης</w:t>
            </w:r>
            <w:proofErr w:type="spellEnd"/>
            <w:r w:rsidRPr="00D7245F">
              <w:rPr>
                <w:rFonts w:ascii="Verdana" w:eastAsia="Times New Roman" w:hAnsi="Verdana" w:cs="Arial"/>
                <w:b/>
                <w:bCs/>
                <w:color w:val="365F91"/>
                <w:sz w:val="18"/>
                <w:szCs w:val="18"/>
              </w:rPr>
              <w:t xml:space="preserve"> </w:t>
            </w:r>
            <w:proofErr w:type="spellStart"/>
            <w:r w:rsidRPr="00D7245F">
              <w:rPr>
                <w:rFonts w:ascii="Verdana" w:eastAsia="Times New Roman" w:hAnsi="Verdana" w:cs="Arial"/>
                <w:b/>
                <w:bCs/>
                <w:color w:val="365F91"/>
                <w:sz w:val="18"/>
                <w:szCs w:val="18"/>
              </w:rPr>
              <w:t>Τιμών</w:t>
            </w:r>
            <w:proofErr w:type="spellEnd"/>
            <w:r w:rsidRPr="00D7245F">
              <w:rPr>
                <w:rFonts w:ascii="Verdana" w:eastAsia="Times New Roman" w:hAnsi="Verdana" w:cs="Arial"/>
                <w:b/>
                <w:bCs/>
                <w:color w:val="365F91"/>
                <w:sz w:val="18"/>
                <w:szCs w:val="18"/>
              </w:rPr>
              <w:t xml:space="preserve"> Κατανα</w:t>
            </w:r>
            <w:proofErr w:type="spellStart"/>
            <w:r w:rsidRPr="00D7245F">
              <w:rPr>
                <w:rFonts w:ascii="Verdana" w:eastAsia="Times New Roman" w:hAnsi="Verdana" w:cs="Arial"/>
                <w:b/>
                <w:bCs/>
                <w:color w:val="365F91"/>
                <w:sz w:val="18"/>
                <w:szCs w:val="18"/>
              </w:rPr>
              <w:t>λωτή</w:t>
            </w:r>
            <w:proofErr w:type="spellEnd"/>
          </w:p>
        </w:tc>
        <w:tc>
          <w:tcPr>
            <w:tcW w:w="747" w:type="pct"/>
            <w:tcBorders>
              <w:top w:val="single" w:sz="4" w:space="0" w:color="366092"/>
              <w:bottom w:val="single" w:sz="4" w:space="0" w:color="366092"/>
            </w:tcBorders>
            <w:shd w:val="clear" w:color="000000" w:fill="FFFFFF"/>
            <w:vAlign w:val="center"/>
          </w:tcPr>
          <w:p w14:paraId="19E8AD84" w14:textId="549F94BC" w:rsidR="009B6663" w:rsidRPr="00D7245F" w:rsidRDefault="009B6663" w:rsidP="009B6663">
            <w:pPr>
              <w:ind w:right="284"/>
              <w:jc w:val="right"/>
              <w:rPr>
                <w:rFonts w:ascii="Verdana" w:eastAsia="Times New Roman" w:hAnsi="Verdana" w:cs="Arial"/>
                <w:b/>
                <w:bCs/>
                <w:color w:val="365F91"/>
                <w:sz w:val="18"/>
                <w:szCs w:val="18"/>
                <w:lang w:val="el-GR"/>
              </w:rPr>
            </w:pPr>
            <w:r w:rsidRPr="00D7245F">
              <w:rPr>
                <w:rFonts w:ascii="Verdana" w:hAnsi="Verdana"/>
                <w:b/>
                <w:bCs/>
                <w:color w:val="365F91"/>
                <w:sz w:val="18"/>
                <w:szCs w:val="18"/>
              </w:rPr>
              <w:t>113,34</w:t>
            </w:r>
          </w:p>
        </w:tc>
        <w:tc>
          <w:tcPr>
            <w:tcW w:w="743" w:type="pct"/>
            <w:tcBorders>
              <w:top w:val="single" w:sz="4" w:space="0" w:color="366092"/>
              <w:bottom w:val="single" w:sz="4" w:space="0" w:color="366092"/>
            </w:tcBorders>
            <w:shd w:val="clear" w:color="000000" w:fill="FFFFFF"/>
            <w:vAlign w:val="center"/>
          </w:tcPr>
          <w:p w14:paraId="0E554FF0" w14:textId="0A065603" w:rsidR="009B6663" w:rsidRPr="00D7245F" w:rsidRDefault="009B6663" w:rsidP="009B6663">
            <w:pPr>
              <w:ind w:right="284"/>
              <w:jc w:val="right"/>
              <w:rPr>
                <w:rFonts w:ascii="Verdana" w:hAnsi="Verdana"/>
                <w:b/>
                <w:bCs/>
                <w:color w:val="365F91"/>
                <w:sz w:val="18"/>
                <w:szCs w:val="18"/>
              </w:rPr>
            </w:pPr>
            <w:r w:rsidRPr="00D7245F">
              <w:rPr>
                <w:rFonts w:ascii="Verdana" w:hAnsi="Verdana"/>
                <w:b/>
                <w:bCs/>
                <w:color w:val="365F91"/>
                <w:sz w:val="18"/>
                <w:szCs w:val="18"/>
              </w:rPr>
              <w:t>113</w:t>
            </w:r>
            <w:r w:rsidR="003D604F" w:rsidRPr="00D7245F">
              <w:rPr>
                <w:rFonts w:ascii="Verdana" w:hAnsi="Verdana"/>
                <w:b/>
                <w:bCs/>
                <w:color w:val="365F91"/>
                <w:sz w:val="18"/>
                <w:szCs w:val="18"/>
              </w:rPr>
              <w:t>,</w:t>
            </w:r>
            <w:r w:rsidRPr="00D7245F">
              <w:rPr>
                <w:rFonts w:ascii="Verdana" w:hAnsi="Verdana"/>
                <w:b/>
                <w:bCs/>
                <w:color w:val="365F91"/>
                <w:sz w:val="18"/>
                <w:szCs w:val="18"/>
              </w:rPr>
              <w:t>12</w:t>
            </w:r>
          </w:p>
        </w:tc>
        <w:tc>
          <w:tcPr>
            <w:tcW w:w="669" w:type="pct"/>
            <w:tcBorders>
              <w:top w:val="single" w:sz="4" w:space="0" w:color="366092"/>
              <w:bottom w:val="single" w:sz="4" w:space="0" w:color="366092"/>
            </w:tcBorders>
            <w:shd w:val="clear" w:color="000000" w:fill="FFFFFF"/>
            <w:vAlign w:val="center"/>
          </w:tcPr>
          <w:p w14:paraId="79E85964" w14:textId="1ABCAC90" w:rsidR="009B6663" w:rsidRPr="00D7245F" w:rsidRDefault="009B6663" w:rsidP="009B6663">
            <w:pPr>
              <w:ind w:right="284"/>
              <w:jc w:val="right"/>
              <w:rPr>
                <w:rFonts w:ascii="Verdana" w:hAnsi="Verdana"/>
                <w:b/>
                <w:bCs/>
                <w:color w:val="365F91"/>
                <w:sz w:val="18"/>
                <w:szCs w:val="18"/>
              </w:rPr>
            </w:pPr>
            <w:r w:rsidRPr="00D7245F">
              <w:rPr>
                <w:rFonts w:ascii="Verdana" w:hAnsi="Verdana"/>
                <w:b/>
                <w:bCs/>
                <w:color w:val="365F91"/>
                <w:sz w:val="18"/>
                <w:szCs w:val="18"/>
              </w:rPr>
              <w:t>8</w:t>
            </w:r>
            <w:r w:rsidR="003D604F" w:rsidRPr="00D7245F">
              <w:rPr>
                <w:rFonts w:ascii="Verdana" w:hAnsi="Verdana"/>
                <w:b/>
                <w:bCs/>
                <w:color w:val="365F91"/>
                <w:sz w:val="18"/>
                <w:szCs w:val="18"/>
              </w:rPr>
              <w:t>,</w:t>
            </w:r>
            <w:r w:rsidRPr="00D7245F">
              <w:rPr>
                <w:rFonts w:ascii="Verdana" w:hAnsi="Verdana"/>
                <w:b/>
                <w:bCs/>
                <w:color w:val="365F91"/>
                <w:sz w:val="18"/>
                <w:szCs w:val="18"/>
              </w:rPr>
              <w:t>74</w:t>
            </w:r>
          </w:p>
        </w:tc>
        <w:tc>
          <w:tcPr>
            <w:tcW w:w="669" w:type="pct"/>
            <w:tcBorders>
              <w:top w:val="single" w:sz="4" w:space="0" w:color="366092"/>
              <w:bottom w:val="single" w:sz="4" w:space="0" w:color="366092"/>
            </w:tcBorders>
            <w:shd w:val="clear" w:color="000000" w:fill="FFFFFF"/>
            <w:vAlign w:val="center"/>
          </w:tcPr>
          <w:p w14:paraId="61BA3BCD" w14:textId="2D756975" w:rsidR="009B6663" w:rsidRPr="00D7245F" w:rsidRDefault="009B6663" w:rsidP="009B6663">
            <w:pPr>
              <w:ind w:right="284"/>
              <w:jc w:val="right"/>
              <w:rPr>
                <w:rFonts w:ascii="Verdana" w:hAnsi="Verdana"/>
                <w:b/>
                <w:bCs/>
                <w:color w:val="365F91"/>
                <w:sz w:val="18"/>
                <w:szCs w:val="18"/>
              </w:rPr>
            </w:pPr>
            <w:r w:rsidRPr="00D7245F">
              <w:rPr>
                <w:rFonts w:ascii="Verdana" w:hAnsi="Verdana"/>
                <w:b/>
                <w:bCs/>
                <w:color w:val="365F91"/>
                <w:sz w:val="18"/>
                <w:szCs w:val="18"/>
              </w:rPr>
              <w:t>-0</w:t>
            </w:r>
            <w:r w:rsidR="003D604F" w:rsidRPr="00D7245F">
              <w:rPr>
                <w:rFonts w:ascii="Verdana" w:hAnsi="Verdana"/>
                <w:b/>
                <w:bCs/>
                <w:color w:val="365F91"/>
                <w:sz w:val="18"/>
                <w:szCs w:val="18"/>
              </w:rPr>
              <w:t>,</w:t>
            </w:r>
            <w:r w:rsidRPr="00D7245F">
              <w:rPr>
                <w:rFonts w:ascii="Verdana" w:hAnsi="Verdana"/>
                <w:b/>
                <w:bCs/>
                <w:color w:val="365F91"/>
                <w:sz w:val="18"/>
                <w:szCs w:val="18"/>
              </w:rPr>
              <w:t>19</w:t>
            </w:r>
          </w:p>
        </w:tc>
        <w:tc>
          <w:tcPr>
            <w:tcW w:w="880" w:type="pct"/>
            <w:tcBorders>
              <w:top w:val="single" w:sz="4" w:space="0" w:color="366092"/>
              <w:bottom w:val="single" w:sz="4" w:space="0" w:color="366092"/>
            </w:tcBorders>
            <w:shd w:val="clear" w:color="000000" w:fill="FFFFFF"/>
            <w:vAlign w:val="center"/>
          </w:tcPr>
          <w:p w14:paraId="409505A8" w14:textId="2C0587EE" w:rsidR="009B6663" w:rsidRPr="00D7245F" w:rsidRDefault="009B6663" w:rsidP="009B6663">
            <w:pPr>
              <w:ind w:right="624"/>
              <w:jc w:val="right"/>
              <w:rPr>
                <w:rFonts w:ascii="Verdana" w:hAnsi="Verdana"/>
                <w:b/>
                <w:bCs/>
                <w:color w:val="365F91"/>
                <w:sz w:val="18"/>
                <w:szCs w:val="18"/>
              </w:rPr>
            </w:pPr>
            <w:r w:rsidRPr="00D7245F">
              <w:rPr>
                <w:rFonts w:ascii="Verdana" w:hAnsi="Verdana"/>
                <w:b/>
                <w:bCs/>
                <w:color w:val="365F91"/>
                <w:sz w:val="18"/>
                <w:szCs w:val="18"/>
              </w:rPr>
              <w:t>8</w:t>
            </w:r>
            <w:r w:rsidR="003D604F" w:rsidRPr="00D7245F">
              <w:rPr>
                <w:rFonts w:ascii="Verdana" w:hAnsi="Verdana"/>
                <w:b/>
                <w:bCs/>
                <w:color w:val="365F91"/>
                <w:sz w:val="18"/>
                <w:szCs w:val="18"/>
              </w:rPr>
              <w:t>,</w:t>
            </w:r>
            <w:r w:rsidRPr="00D7245F">
              <w:rPr>
                <w:rFonts w:ascii="Verdana" w:hAnsi="Verdana"/>
                <w:b/>
                <w:bCs/>
                <w:color w:val="365F91"/>
                <w:sz w:val="18"/>
                <w:szCs w:val="18"/>
              </w:rPr>
              <w:t>36</w:t>
            </w:r>
          </w:p>
        </w:tc>
      </w:tr>
    </w:tbl>
    <w:p w14:paraId="136EA259" w14:textId="77777777" w:rsidR="006022B5" w:rsidRPr="006022B5" w:rsidRDefault="006022B5" w:rsidP="006022B5">
      <w:pPr>
        <w:tabs>
          <w:tab w:val="left" w:pos="1080"/>
          <w:tab w:val="left" w:pos="6840"/>
        </w:tabs>
        <w:jc w:val="both"/>
        <w:rPr>
          <w:rFonts w:ascii="Verdana" w:eastAsia="Malgun Gothic" w:hAnsi="Verdana" w:cs="Arial"/>
          <w:sz w:val="18"/>
          <w:szCs w:val="18"/>
        </w:rPr>
      </w:pPr>
    </w:p>
    <w:p w14:paraId="1656EDED" w14:textId="77777777" w:rsidR="006022B5" w:rsidRPr="006022B5" w:rsidRDefault="006022B5" w:rsidP="006022B5">
      <w:pPr>
        <w:tabs>
          <w:tab w:val="left" w:pos="1080"/>
          <w:tab w:val="left" w:pos="6840"/>
        </w:tabs>
        <w:jc w:val="both"/>
        <w:rPr>
          <w:rFonts w:ascii="Verdana" w:eastAsia="Malgun Gothic" w:hAnsi="Verdana" w:cs="Arial"/>
          <w:sz w:val="18"/>
          <w:szCs w:val="18"/>
        </w:rPr>
      </w:pPr>
    </w:p>
    <w:p w14:paraId="1FF25C6A" w14:textId="28F998D2" w:rsidR="006022B5" w:rsidRDefault="006022B5" w:rsidP="006022B5">
      <w:pPr>
        <w:tabs>
          <w:tab w:val="left" w:pos="1080"/>
          <w:tab w:val="left" w:pos="6840"/>
        </w:tabs>
        <w:jc w:val="both"/>
        <w:rPr>
          <w:rFonts w:ascii="Verdana" w:eastAsia="Malgun Gothic" w:hAnsi="Verdana" w:cs="Arial"/>
          <w:sz w:val="18"/>
          <w:szCs w:val="18"/>
        </w:rPr>
      </w:pPr>
    </w:p>
    <w:p w14:paraId="0A6867AA" w14:textId="625DA126" w:rsidR="007D398A" w:rsidRDefault="007D398A" w:rsidP="006022B5">
      <w:pPr>
        <w:tabs>
          <w:tab w:val="left" w:pos="1080"/>
          <w:tab w:val="left" w:pos="6840"/>
        </w:tabs>
        <w:jc w:val="both"/>
        <w:rPr>
          <w:rFonts w:ascii="Verdana" w:eastAsia="Malgun Gothic" w:hAnsi="Verdana" w:cs="Arial"/>
          <w:sz w:val="18"/>
          <w:szCs w:val="18"/>
        </w:rPr>
      </w:pPr>
    </w:p>
    <w:p w14:paraId="3CFC1814" w14:textId="77777777" w:rsidR="007D398A" w:rsidRPr="006022B5" w:rsidRDefault="007D398A" w:rsidP="006022B5">
      <w:pPr>
        <w:tabs>
          <w:tab w:val="left" w:pos="1080"/>
          <w:tab w:val="left" w:pos="6840"/>
        </w:tabs>
        <w:jc w:val="both"/>
        <w:rPr>
          <w:rFonts w:ascii="Verdana" w:eastAsia="Malgun Gothic" w:hAnsi="Verdana" w:cs="Arial"/>
          <w:sz w:val="18"/>
          <w:szCs w:val="18"/>
        </w:rPr>
      </w:pPr>
    </w:p>
    <w:p w14:paraId="2FD014A4"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tbl>
      <w:tblPr>
        <w:tblW w:w="4909" w:type="pct"/>
        <w:jc w:val="center"/>
        <w:tblLayout w:type="fixed"/>
        <w:tblLook w:val="04A0" w:firstRow="1" w:lastRow="0" w:firstColumn="1" w:lastColumn="0" w:noHBand="0" w:noVBand="1"/>
      </w:tblPr>
      <w:tblGrid>
        <w:gridCol w:w="3086"/>
        <w:gridCol w:w="1918"/>
        <w:gridCol w:w="2114"/>
        <w:gridCol w:w="2295"/>
      </w:tblGrid>
      <w:tr w:rsidR="006022B5" w:rsidRPr="00D7245F" w14:paraId="1B1E2683" w14:textId="77777777" w:rsidTr="00740321">
        <w:trPr>
          <w:trHeight w:val="432"/>
          <w:jc w:val="center"/>
        </w:trPr>
        <w:tc>
          <w:tcPr>
            <w:tcW w:w="5000" w:type="pct"/>
            <w:gridSpan w:val="4"/>
            <w:tcBorders>
              <w:left w:val="nil"/>
              <w:bottom w:val="single" w:sz="4" w:space="0" w:color="366092"/>
            </w:tcBorders>
            <w:shd w:val="clear" w:color="FFFFFF" w:fill="FFFFFF"/>
            <w:vAlign w:val="center"/>
            <w:hideMark/>
          </w:tcPr>
          <w:p w14:paraId="5CB4B204" w14:textId="77777777" w:rsidR="006022B5" w:rsidRPr="00D7245F" w:rsidRDefault="006022B5" w:rsidP="006022B5">
            <w:pPr>
              <w:rPr>
                <w:rFonts w:ascii="Verdana" w:eastAsia="Times New Roman" w:hAnsi="Verdana" w:cs="Arial"/>
                <w:b/>
                <w:bCs/>
                <w:color w:val="366092"/>
                <w:sz w:val="18"/>
                <w:szCs w:val="18"/>
                <w:lang w:val="el-GR"/>
              </w:rPr>
            </w:pPr>
            <w:r w:rsidRPr="00D7245F">
              <w:rPr>
                <w:rFonts w:ascii="Verdana" w:eastAsia="Times New Roman" w:hAnsi="Verdana" w:cs="Arial"/>
                <w:b/>
                <w:bCs/>
                <w:color w:val="366092"/>
                <w:sz w:val="18"/>
                <w:szCs w:val="18"/>
                <w:lang w:val="el-GR"/>
              </w:rPr>
              <w:lastRenderedPageBreak/>
              <w:t>Πίνακας 2</w:t>
            </w:r>
          </w:p>
        </w:tc>
      </w:tr>
      <w:tr w:rsidR="006022B5" w:rsidRPr="00D7245F" w14:paraId="67DAE050" w14:textId="77777777" w:rsidTr="00740321">
        <w:trPr>
          <w:trHeight w:val="315"/>
          <w:jc w:val="center"/>
        </w:trPr>
        <w:tc>
          <w:tcPr>
            <w:tcW w:w="1639" w:type="pct"/>
            <w:vMerge w:val="restart"/>
            <w:tcBorders>
              <w:top w:val="single" w:sz="4" w:space="0" w:color="366092"/>
              <w:left w:val="nil"/>
              <w:bottom w:val="single" w:sz="4" w:space="0" w:color="366092"/>
            </w:tcBorders>
            <w:shd w:val="clear" w:color="FFFFFF" w:fill="FFFFFF"/>
            <w:vAlign w:val="center"/>
            <w:hideMark/>
          </w:tcPr>
          <w:p w14:paraId="6EB82802" w14:textId="77777777" w:rsidR="006022B5" w:rsidRPr="00D7245F" w:rsidRDefault="006022B5" w:rsidP="006022B5">
            <w:pPr>
              <w:rPr>
                <w:rFonts w:ascii="Verdana" w:eastAsia="Times New Roman" w:hAnsi="Verdana" w:cs="Arial"/>
                <w:b/>
                <w:bCs/>
                <w:color w:val="366092"/>
                <w:sz w:val="18"/>
                <w:szCs w:val="18"/>
                <w:lang w:val="el-GR"/>
              </w:rPr>
            </w:pPr>
            <w:r w:rsidRPr="00D7245F">
              <w:rPr>
                <w:rFonts w:ascii="Verdana" w:eastAsia="Times New Roman" w:hAnsi="Verdana" w:cs="Arial"/>
                <w:b/>
                <w:bCs/>
                <w:color w:val="366092"/>
                <w:sz w:val="18"/>
                <w:szCs w:val="18"/>
                <w:lang w:val="el-GR"/>
              </w:rPr>
              <w:t>Οικονομικές Κατηγορίες</w:t>
            </w:r>
          </w:p>
        </w:tc>
        <w:tc>
          <w:tcPr>
            <w:tcW w:w="1019" w:type="pct"/>
            <w:vMerge w:val="restart"/>
            <w:tcBorders>
              <w:top w:val="single" w:sz="4" w:space="0" w:color="366092"/>
              <w:bottom w:val="single" w:sz="4" w:space="0" w:color="366092"/>
            </w:tcBorders>
            <w:shd w:val="clear" w:color="FFFFFF" w:fill="FFFFFF"/>
            <w:vAlign w:val="center"/>
            <w:hideMark/>
          </w:tcPr>
          <w:p w14:paraId="29E3CC50" w14:textId="77777777" w:rsidR="006022B5" w:rsidRPr="00D7245F" w:rsidRDefault="006022B5" w:rsidP="006022B5">
            <w:pPr>
              <w:jc w:val="center"/>
              <w:rPr>
                <w:rFonts w:ascii="Verdana" w:eastAsia="Times New Roman" w:hAnsi="Verdana" w:cs="Arial"/>
                <w:b/>
                <w:bCs/>
                <w:color w:val="366092"/>
                <w:sz w:val="18"/>
                <w:szCs w:val="18"/>
                <w:lang w:val="el-GR"/>
              </w:rPr>
            </w:pPr>
            <w:r w:rsidRPr="00D7245F">
              <w:rPr>
                <w:rFonts w:ascii="Verdana" w:eastAsia="Times New Roman" w:hAnsi="Verdana" w:cs="Arial"/>
                <w:b/>
                <w:bCs/>
                <w:color w:val="366092"/>
                <w:sz w:val="18"/>
                <w:szCs w:val="18"/>
                <w:lang w:val="el-GR"/>
              </w:rPr>
              <w:t>Συντελεστές Στάθμισης</w:t>
            </w:r>
          </w:p>
        </w:tc>
        <w:tc>
          <w:tcPr>
            <w:tcW w:w="2342" w:type="pct"/>
            <w:gridSpan w:val="2"/>
            <w:tcBorders>
              <w:top w:val="single" w:sz="4" w:space="0" w:color="366092"/>
              <w:bottom w:val="single" w:sz="4" w:space="0" w:color="366092"/>
              <w:right w:val="nil"/>
            </w:tcBorders>
            <w:shd w:val="clear" w:color="FFFFFF" w:fill="FFFFFF"/>
            <w:vAlign w:val="center"/>
            <w:hideMark/>
          </w:tcPr>
          <w:p w14:paraId="2321EF02" w14:textId="77777777" w:rsidR="006022B5" w:rsidRPr="00D7245F" w:rsidRDefault="006022B5" w:rsidP="006022B5">
            <w:pPr>
              <w:jc w:val="center"/>
              <w:rPr>
                <w:rFonts w:ascii="Verdana" w:eastAsia="Times New Roman" w:hAnsi="Verdana" w:cs="Arial"/>
                <w:b/>
                <w:bCs/>
                <w:color w:val="366092"/>
                <w:sz w:val="18"/>
                <w:szCs w:val="18"/>
              </w:rPr>
            </w:pPr>
            <w:r w:rsidRPr="00D7245F">
              <w:rPr>
                <w:rFonts w:ascii="Verdana" w:eastAsia="Times New Roman" w:hAnsi="Verdana" w:cs="Arial"/>
                <w:b/>
                <w:bCs/>
                <w:color w:val="366092"/>
                <w:sz w:val="18"/>
                <w:szCs w:val="18"/>
              </w:rPr>
              <w:t>Μ</w:t>
            </w:r>
            <w:proofErr w:type="spellStart"/>
            <w:r w:rsidRPr="00D7245F">
              <w:rPr>
                <w:rFonts w:ascii="Verdana" w:eastAsia="Times New Roman" w:hAnsi="Verdana" w:cs="Arial"/>
                <w:b/>
                <w:bCs/>
                <w:color w:val="366092"/>
                <w:sz w:val="18"/>
                <w:szCs w:val="18"/>
                <w:lang w:val="el-GR"/>
              </w:rPr>
              <w:t>εταβολές</w:t>
            </w:r>
            <w:proofErr w:type="spellEnd"/>
            <w:r w:rsidRPr="00D7245F">
              <w:rPr>
                <w:rFonts w:ascii="Verdana" w:eastAsia="Times New Roman" w:hAnsi="Verdana" w:cs="Arial"/>
                <w:b/>
                <w:bCs/>
                <w:color w:val="366092"/>
                <w:sz w:val="18"/>
                <w:szCs w:val="18"/>
              </w:rPr>
              <w:t xml:space="preserve"> (%)</w:t>
            </w:r>
          </w:p>
        </w:tc>
      </w:tr>
      <w:tr w:rsidR="00F95E96" w:rsidRPr="00D7245F" w14:paraId="23C7C237" w14:textId="77777777" w:rsidTr="00740321">
        <w:trPr>
          <w:trHeight w:val="700"/>
          <w:jc w:val="center"/>
        </w:trPr>
        <w:tc>
          <w:tcPr>
            <w:tcW w:w="1639" w:type="pct"/>
            <w:vMerge/>
            <w:tcBorders>
              <w:top w:val="single" w:sz="4" w:space="0" w:color="366092"/>
              <w:left w:val="nil"/>
              <w:bottom w:val="single" w:sz="4" w:space="0" w:color="366092"/>
            </w:tcBorders>
            <w:vAlign w:val="center"/>
            <w:hideMark/>
          </w:tcPr>
          <w:p w14:paraId="52DC4CEE" w14:textId="77777777" w:rsidR="00F95E96" w:rsidRPr="00D7245F" w:rsidRDefault="00F95E96" w:rsidP="00F95E96">
            <w:pPr>
              <w:rPr>
                <w:rFonts w:ascii="Verdana" w:eastAsia="Times New Roman" w:hAnsi="Verdana" w:cs="Arial"/>
                <w:b/>
                <w:bCs/>
                <w:color w:val="366092"/>
                <w:sz w:val="18"/>
                <w:szCs w:val="18"/>
              </w:rPr>
            </w:pPr>
          </w:p>
        </w:tc>
        <w:tc>
          <w:tcPr>
            <w:tcW w:w="1019" w:type="pct"/>
            <w:vMerge/>
            <w:tcBorders>
              <w:top w:val="single" w:sz="4" w:space="0" w:color="366092"/>
              <w:bottom w:val="single" w:sz="4" w:space="0" w:color="366092"/>
            </w:tcBorders>
            <w:vAlign w:val="center"/>
            <w:hideMark/>
          </w:tcPr>
          <w:p w14:paraId="68802791" w14:textId="77777777" w:rsidR="00F95E96" w:rsidRPr="00D7245F" w:rsidRDefault="00F95E96" w:rsidP="00F95E96">
            <w:pPr>
              <w:jc w:val="center"/>
              <w:rPr>
                <w:rFonts w:ascii="Verdana" w:eastAsia="Times New Roman" w:hAnsi="Verdana" w:cs="Arial"/>
                <w:b/>
                <w:bCs/>
                <w:color w:val="366092"/>
                <w:sz w:val="18"/>
                <w:szCs w:val="18"/>
              </w:rPr>
            </w:pPr>
          </w:p>
        </w:tc>
        <w:tc>
          <w:tcPr>
            <w:tcW w:w="1123" w:type="pct"/>
            <w:tcBorders>
              <w:top w:val="single" w:sz="4" w:space="0" w:color="366092"/>
              <w:bottom w:val="single" w:sz="4" w:space="0" w:color="366092"/>
            </w:tcBorders>
            <w:shd w:val="clear" w:color="FFFFFF" w:fill="FFFFFF"/>
            <w:vAlign w:val="center"/>
            <w:hideMark/>
          </w:tcPr>
          <w:p w14:paraId="61F1D757" w14:textId="3186C0C7" w:rsidR="00F95E96" w:rsidRPr="00D7245F" w:rsidRDefault="00037999" w:rsidP="00F95E96">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w:t>
            </w:r>
            <w:r w:rsidR="00F95E96" w:rsidRPr="00D7245F">
              <w:rPr>
                <w:rFonts w:ascii="Verdana" w:eastAsia="Times New Roman" w:hAnsi="Verdana" w:cs="Arial"/>
                <w:b/>
                <w:bCs/>
                <w:color w:val="365F91"/>
                <w:sz w:val="18"/>
                <w:szCs w:val="18"/>
                <w:lang w:val="el-GR"/>
              </w:rPr>
              <w:t xml:space="preserve"> 22/</w:t>
            </w:r>
          </w:p>
          <w:p w14:paraId="5D67E1B9" w14:textId="5259C2DB" w:rsidR="00F95E96" w:rsidRPr="00D7245F" w:rsidRDefault="00037999" w:rsidP="00F95E96">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 xml:space="preserve">Σεπ </w:t>
            </w:r>
            <w:r w:rsidR="00F95E96" w:rsidRPr="00D7245F">
              <w:rPr>
                <w:rFonts w:ascii="Verdana" w:eastAsia="Times New Roman" w:hAnsi="Verdana" w:cs="Arial"/>
                <w:b/>
                <w:bCs/>
                <w:color w:val="365F91"/>
                <w:sz w:val="18"/>
                <w:szCs w:val="18"/>
                <w:lang w:val="el-GR"/>
              </w:rPr>
              <w:t>21</w:t>
            </w:r>
          </w:p>
        </w:tc>
        <w:tc>
          <w:tcPr>
            <w:tcW w:w="1219" w:type="pct"/>
            <w:tcBorders>
              <w:top w:val="single" w:sz="4" w:space="0" w:color="366092"/>
              <w:bottom w:val="single" w:sz="4" w:space="0" w:color="366092"/>
              <w:right w:val="nil"/>
            </w:tcBorders>
            <w:shd w:val="clear" w:color="FFFFFF" w:fill="FFFFFF"/>
            <w:vAlign w:val="center"/>
            <w:hideMark/>
          </w:tcPr>
          <w:p w14:paraId="02F70FC2" w14:textId="6B80DA78" w:rsidR="00F95E96" w:rsidRPr="00D7245F" w:rsidRDefault="00037999" w:rsidP="00F95E96">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w:t>
            </w:r>
            <w:r w:rsidR="00F95E96" w:rsidRPr="00D7245F">
              <w:rPr>
                <w:rFonts w:ascii="Verdana" w:eastAsia="Times New Roman" w:hAnsi="Verdana" w:cs="Arial"/>
                <w:b/>
                <w:bCs/>
                <w:color w:val="365F91"/>
                <w:sz w:val="18"/>
                <w:szCs w:val="18"/>
                <w:lang w:val="el-GR"/>
              </w:rPr>
              <w:t xml:space="preserve"> 22/</w:t>
            </w:r>
          </w:p>
          <w:p w14:paraId="68FF435A" w14:textId="6AD34DE0" w:rsidR="00F95E96" w:rsidRPr="00D7245F" w:rsidRDefault="00F95E96" w:rsidP="00F95E96">
            <w:pPr>
              <w:jc w:val="center"/>
              <w:rPr>
                <w:rFonts w:ascii="Verdana" w:eastAsia="Times New Roman" w:hAnsi="Verdana" w:cs="Arial"/>
                <w:b/>
                <w:bCs/>
                <w:color w:val="366092"/>
                <w:sz w:val="18"/>
                <w:szCs w:val="18"/>
                <w:lang w:val="el-GR"/>
              </w:rPr>
            </w:pPr>
            <w:r w:rsidRPr="00D7245F">
              <w:rPr>
                <w:rFonts w:ascii="Verdana" w:eastAsia="Times New Roman" w:hAnsi="Verdana" w:cs="Arial"/>
                <w:b/>
                <w:bCs/>
                <w:color w:val="365F91"/>
                <w:sz w:val="18"/>
                <w:szCs w:val="18"/>
                <w:lang w:val="el-GR"/>
              </w:rPr>
              <w:t xml:space="preserve"> </w:t>
            </w:r>
            <w:r w:rsidR="00037999" w:rsidRPr="00D7245F">
              <w:rPr>
                <w:rFonts w:ascii="Verdana" w:eastAsia="Times New Roman" w:hAnsi="Verdana" w:cs="Arial"/>
                <w:b/>
                <w:bCs/>
                <w:color w:val="365F91"/>
                <w:sz w:val="18"/>
                <w:szCs w:val="18"/>
                <w:lang w:val="el-GR"/>
              </w:rPr>
              <w:t>Αυγ</w:t>
            </w:r>
            <w:r w:rsidRPr="00D7245F">
              <w:rPr>
                <w:rFonts w:ascii="Verdana" w:eastAsia="Times New Roman" w:hAnsi="Verdana" w:cs="Arial"/>
                <w:b/>
                <w:bCs/>
                <w:color w:val="365F91"/>
                <w:sz w:val="18"/>
                <w:szCs w:val="18"/>
                <w:lang w:val="el-GR"/>
              </w:rPr>
              <w:t xml:space="preserve"> 22</w:t>
            </w:r>
          </w:p>
        </w:tc>
      </w:tr>
      <w:tr w:rsidR="006F47C1" w:rsidRPr="00D7245F" w14:paraId="6B065B03" w14:textId="77777777" w:rsidTr="006F47C1">
        <w:trPr>
          <w:trHeight w:val="375"/>
          <w:jc w:val="center"/>
        </w:trPr>
        <w:tc>
          <w:tcPr>
            <w:tcW w:w="1639" w:type="pct"/>
            <w:tcBorders>
              <w:top w:val="nil"/>
              <w:left w:val="nil"/>
              <w:bottom w:val="nil"/>
            </w:tcBorders>
            <w:shd w:val="clear" w:color="FFFFFF" w:fill="FFFFFF"/>
            <w:noWrap/>
            <w:vAlign w:val="center"/>
            <w:hideMark/>
          </w:tcPr>
          <w:p w14:paraId="41728EBF" w14:textId="77777777" w:rsidR="006F47C1" w:rsidRPr="00D7245F" w:rsidRDefault="006F47C1" w:rsidP="006F47C1">
            <w:pPr>
              <w:ind w:left="2"/>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Γεωργικά</w:t>
            </w:r>
            <w:proofErr w:type="spellEnd"/>
            <w:r w:rsidRPr="00D7245F">
              <w:rPr>
                <w:rFonts w:ascii="Verdana" w:eastAsia="Times New Roman" w:hAnsi="Verdana" w:cs="Arial"/>
                <w:color w:val="365F91"/>
                <w:sz w:val="18"/>
                <w:szCs w:val="18"/>
              </w:rPr>
              <w:t xml:space="preserve"> </w:t>
            </w:r>
            <w:proofErr w:type="spellStart"/>
            <w:r w:rsidRPr="00D7245F">
              <w:rPr>
                <w:rFonts w:ascii="Verdana" w:eastAsia="Times New Roman" w:hAnsi="Verdana" w:cs="Arial"/>
                <w:color w:val="365F91"/>
                <w:sz w:val="18"/>
                <w:szCs w:val="18"/>
              </w:rPr>
              <w:t>Προϊόντ</w:t>
            </w:r>
            <w:proofErr w:type="spellEnd"/>
            <w:r w:rsidRPr="00D7245F">
              <w:rPr>
                <w:rFonts w:ascii="Verdana" w:eastAsia="Times New Roman" w:hAnsi="Verdana" w:cs="Arial"/>
                <w:color w:val="365F91"/>
                <w:sz w:val="18"/>
                <w:szCs w:val="18"/>
              </w:rPr>
              <w:t>α</w:t>
            </w:r>
          </w:p>
        </w:tc>
        <w:tc>
          <w:tcPr>
            <w:tcW w:w="1019" w:type="pct"/>
            <w:tcBorders>
              <w:top w:val="nil"/>
              <w:bottom w:val="nil"/>
            </w:tcBorders>
            <w:shd w:val="clear" w:color="FFFFFF" w:fill="FFFFFF"/>
            <w:noWrap/>
            <w:vAlign w:val="center"/>
            <w:hideMark/>
          </w:tcPr>
          <w:p w14:paraId="62DB1C43" w14:textId="77777777" w:rsidR="006F47C1" w:rsidRPr="00D7245F" w:rsidRDefault="006F47C1" w:rsidP="006F47C1">
            <w:pPr>
              <w:ind w:right="113"/>
              <w:jc w:val="center"/>
              <w:rPr>
                <w:rFonts w:ascii="Verdana" w:hAnsi="Verdana"/>
                <w:color w:val="365F91"/>
                <w:sz w:val="18"/>
                <w:szCs w:val="18"/>
              </w:rPr>
            </w:pPr>
            <w:r w:rsidRPr="00D7245F">
              <w:rPr>
                <w:rFonts w:ascii="Verdana" w:hAnsi="Verdana"/>
                <w:color w:val="365F91"/>
                <w:sz w:val="18"/>
                <w:szCs w:val="18"/>
              </w:rPr>
              <w:t>749</w:t>
            </w:r>
          </w:p>
        </w:tc>
        <w:tc>
          <w:tcPr>
            <w:tcW w:w="1123" w:type="pct"/>
            <w:tcBorders>
              <w:top w:val="nil"/>
              <w:bottom w:val="nil"/>
            </w:tcBorders>
            <w:shd w:val="clear" w:color="FFFFFF" w:fill="FFFFFF"/>
            <w:noWrap/>
            <w:vAlign w:val="center"/>
          </w:tcPr>
          <w:p w14:paraId="0AD81F3E" w14:textId="5AC1C91E"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1,81</w:t>
            </w:r>
          </w:p>
        </w:tc>
        <w:tc>
          <w:tcPr>
            <w:tcW w:w="1219" w:type="pct"/>
            <w:tcBorders>
              <w:top w:val="nil"/>
              <w:bottom w:val="nil"/>
              <w:right w:val="nil"/>
            </w:tcBorders>
            <w:shd w:val="clear" w:color="FFFFFF" w:fill="FFFFFF"/>
            <w:noWrap/>
            <w:vAlign w:val="center"/>
          </w:tcPr>
          <w:p w14:paraId="20334C64" w14:textId="2E74C3BB"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0,86</w:t>
            </w:r>
          </w:p>
        </w:tc>
      </w:tr>
      <w:tr w:rsidR="006F47C1" w:rsidRPr="00D7245F" w14:paraId="6A6F5649" w14:textId="77777777" w:rsidTr="006F47C1">
        <w:trPr>
          <w:trHeight w:val="567"/>
          <w:jc w:val="center"/>
        </w:trPr>
        <w:tc>
          <w:tcPr>
            <w:tcW w:w="1639" w:type="pct"/>
            <w:tcBorders>
              <w:top w:val="nil"/>
              <w:left w:val="nil"/>
              <w:bottom w:val="nil"/>
            </w:tcBorders>
            <w:shd w:val="clear" w:color="FFFFFF" w:fill="FFFFFF"/>
            <w:noWrap/>
            <w:vAlign w:val="center"/>
            <w:hideMark/>
          </w:tcPr>
          <w:p w14:paraId="6DDE7541" w14:textId="77777777" w:rsidR="006F47C1" w:rsidRPr="00D7245F" w:rsidRDefault="006F47C1" w:rsidP="006F47C1">
            <w:pPr>
              <w:ind w:left="2"/>
              <w:rPr>
                <w:rFonts w:ascii="Verdana" w:eastAsia="Times New Roman" w:hAnsi="Verdana" w:cs="Arial"/>
                <w:color w:val="365F91"/>
                <w:sz w:val="18"/>
                <w:szCs w:val="18"/>
                <w:lang w:val="el-GR"/>
              </w:rPr>
            </w:pPr>
            <w:proofErr w:type="spellStart"/>
            <w:r w:rsidRPr="00D7245F">
              <w:rPr>
                <w:rFonts w:ascii="Verdana" w:eastAsia="Times New Roman" w:hAnsi="Verdana" w:cs="Arial"/>
                <w:color w:val="365F91"/>
                <w:sz w:val="18"/>
                <w:szCs w:val="18"/>
              </w:rPr>
              <w:t>Βιομηχ</w:t>
            </w:r>
            <w:proofErr w:type="spellEnd"/>
            <w:r w:rsidRPr="00D7245F">
              <w:rPr>
                <w:rFonts w:ascii="Verdana" w:eastAsia="Times New Roman" w:hAnsi="Verdana" w:cs="Arial"/>
                <w:color w:val="365F91"/>
                <w:sz w:val="18"/>
                <w:szCs w:val="18"/>
              </w:rPr>
              <w:t xml:space="preserve">ανικά </w:t>
            </w:r>
            <w:proofErr w:type="spellStart"/>
            <w:r w:rsidRPr="00D7245F">
              <w:rPr>
                <w:rFonts w:ascii="Verdana" w:eastAsia="Times New Roman" w:hAnsi="Verdana" w:cs="Arial"/>
                <w:color w:val="365F91"/>
                <w:sz w:val="18"/>
                <w:szCs w:val="18"/>
              </w:rPr>
              <w:t>Προϊόντ</w:t>
            </w:r>
            <w:proofErr w:type="spellEnd"/>
            <w:r w:rsidRPr="00D7245F">
              <w:rPr>
                <w:rFonts w:ascii="Verdana" w:eastAsia="Times New Roman" w:hAnsi="Verdana" w:cs="Arial"/>
                <w:color w:val="365F91"/>
                <w:sz w:val="18"/>
                <w:szCs w:val="18"/>
              </w:rPr>
              <w:t xml:space="preserve">α </w:t>
            </w:r>
          </w:p>
          <w:p w14:paraId="0A451F80" w14:textId="77777777" w:rsidR="006F47C1" w:rsidRPr="00D7245F" w:rsidRDefault="006F47C1" w:rsidP="006F47C1">
            <w:pPr>
              <w:ind w:left="2"/>
              <w:rPr>
                <w:rFonts w:ascii="Verdana" w:eastAsia="Times New Roman" w:hAnsi="Verdana" w:cs="Arial"/>
                <w:color w:val="365F91"/>
                <w:sz w:val="18"/>
                <w:szCs w:val="18"/>
              </w:rPr>
            </w:pPr>
            <w:r w:rsidRPr="00D7245F">
              <w:rPr>
                <w:rFonts w:ascii="Verdana" w:eastAsia="Times New Roman" w:hAnsi="Verdana" w:cs="Arial"/>
                <w:color w:val="365F91"/>
                <w:sz w:val="18"/>
                <w:szCs w:val="18"/>
              </w:rPr>
              <w:t>(</w:t>
            </w:r>
            <w:proofErr w:type="spellStart"/>
            <w:r w:rsidRPr="00D7245F">
              <w:rPr>
                <w:rFonts w:ascii="Verdana" w:eastAsia="Times New Roman" w:hAnsi="Verdana" w:cs="Arial"/>
                <w:color w:val="365F91"/>
                <w:sz w:val="18"/>
                <w:szCs w:val="18"/>
              </w:rPr>
              <w:t>εκτός</w:t>
            </w:r>
            <w:proofErr w:type="spellEnd"/>
            <w:r w:rsidRPr="00D7245F">
              <w:rPr>
                <w:rFonts w:ascii="Verdana" w:eastAsia="Times New Roman" w:hAnsi="Verdana" w:cs="Arial"/>
                <w:color w:val="365F91"/>
                <w:sz w:val="18"/>
                <w:szCs w:val="18"/>
              </w:rPr>
              <w:t xml:space="preserve"> </w:t>
            </w:r>
            <w:proofErr w:type="spellStart"/>
            <w:r w:rsidRPr="00D7245F">
              <w:rPr>
                <w:rFonts w:ascii="Verdana" w:eastAsia="Times New Roman" w:hAnsi="Verdana" w:cs="Arial"/>
                <w:color w:val="365F91"/>
                <w:sz w:val="18"/>
                <w:szCs w:val="18"/>
              </w:rPr>
              <w:t>Πετρελ</w:t>
            </w:r>
            <w:proofErr w:type="spellEnd"/>
            <w:r w:rsidRPr="00D7245F">
              <w:rPr>
                <w:rFonts w:ascii="Verdana" w:eastAsia="Times New Roman" w:hAnsi="Verdana" w:cs="Arial"/>
                <w:color w:val="365F91"/>
                <w:sz w:val="18"/>
                <w:szCs w:val="18"/>
              </w:rPr>
              <w:t>αιοειδών)</w:t>
            </w:r>
          </w:p>
        </w:tc>
        <w:tc>
          <w:tcPr>
            <w:tcW w:w="1019" w:type="pct"/>
            <w:tcBorders>
              <w:top w:val="nil"/>
              <w:bottom w:val="nil"/>
            </w:tcBorders>
            <w:shd w:val="clear" w:color="FFFFFF" w:fill="FFFFFF"/>
            <w:noWrap/>
            <w:vAlign w:val="center"/>
            <w:hideMark/>
          </w:tcPr>
          <w:p w14:paraId="18D61FBC" w14:textId="77777777" w:rsidR="006F47C1" w:rsidRPr="00D7245F" w:rsidRDefault="006F47C1" w:rsidP="006F47C1">
            <w:pPr>
              <w:ind w:right="113"/>
              <w:jc w:val="center"/>
              <w:rPr>
                <w:rFonts w:ascii="Verdana" w:hAnsi="Verdana"/>
                <w:color w:val="365F91"/>
                <w:sz w:val="18"/>
                <w:szCs w:val="18"/>
              </w:rPr>
            </w:pPr>
            <w:r w:rsidRPr="00D7245F">
              <w:rPr>
                <w:rFonts w:ascii="Verdana" w:hAnsi="Verdana"/>
                <w:color w:val="365F91"/>
                <w:sz w:val="18"/>
                <w:szCs w:val="18"/>
              </w:rPr>
              <w:t>4021</w:t>
            </w:r>
          </w:p>
        </w:tc>
        <w:tc>
          <w:tcPr>
            <w:tcW w:w="1123" w:type="pct"/>
            <w:tcBorders>
              <w:top w:val="nil"/>
              <w:bottom w:val="nil"/>
            </w:tcBorders>
            <w:shd w:val="clear" w:color="FFFFFF" w:fill="FFFFFF"/>
            <w:noWrap/>
            <w:vAlign w:val="center"/>
          </w:tcPr>
          <w:p w14:paraId="698C258B" w14:textId="4D73D472"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6,42</w:t>
            </w:r>
          </w:p>
        </w:tc>
        <w:tc>
          <w:tcPr>
            <w:tcW w:w="1219" w:type="pct"/>
            <w:tcBorders>
              <w:top w:val="nil"/>
              <w:bottom w:val="nil"/>
              <w:right w:val="nil"/>
            </w:tcBorders>
            <w:shd w:val="clear" w:color="FFFFFF" w:fill="FFFFFF"/>
            <w:noWrap/>
            <w:vAlign w:val="center"/>
          </w:tcPr>
          <w:p w14:paraId="408932D1" w14:textId="34010444"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2,05</w:t>
            </w:r>
          </w:p>
        </w:tc>
      </w:tr>
      <w:tr w:rsidR="006F47C1" w:rsidRPr="00D7245F" w14:paraId="3370FFAD" w14:textId="77777777" w:rsidTr="006F47C1">
        <w:trPr>
          <w:trHeight w:val="375"/>
          <w:jc w:val="center"/>
        </w:trPr>
        <w:tc>
          <w:tcPr>
            <w:tcW w:w="1639" w:type="pct"/>
            <w:tcBorders>
              <w:top w:val="nil"/>
              <w:left w:val="nil"/>
              <w:bottom w:val="nil"/>
            </w:tcBorders>
            <w:shd w:val="clear" w:color="FFFFFF" w:fill="FFFFFF"/>
            <w:noWrap/>
            <w:vAlign w:val="center"/>
            <w:hideMark/>
          </w:tcPr>
          <w:p w14:paraId="4C4E30F8" w14:textId="77777777" w:rsidR="006F47C1" w:rsidRPr="00D7245F" w:rsidRDefault="006F47C1" w:rsidP="006F47C1">
            <w:pPr>
              <w:ind w:left="2"/>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Ηλεκτρισμ</w:t>
            </w:r>
            <w:proofErr w:type="spellEnd"/>
            <w:r w:rsidRPr="00D7245F">
              <w:rPr>
                <w:rFonts w:ascii="Verdana" w:eastAsia="Times New Roman" w:hAnsi="Verdana" w:cs="Arial"/>
                <w:color w:val="365F91"/>
                <w:sz w:val="18"/>
                <w:szCs w:val="18"/>
                <w:lang w:val="el-GR"/>
              </w:rPr>
              <w:t>ό</w:t>
            </w:r>
            <w:r w:rsidRPr="00D7245F">
              <w:rPr>
                <w:rFonts w:ascii="Verdana" w:eastAsia="Times New Roman" w:hAnsi="Verdana" w:cs="Arial"/>
                <w:color w:val="365F91"/>
                <w:sz w:val="18"/>
                <w:szCs w:val="18"/>
              </w:rPr>
              <w:t>ς</w:t>
            </w:r>
          </w:p>
        </w:tc>
        <w:tc>
          <w:tcPr>
            <w:tcW w:w="1019" w:type="pct"/>
            <w:tcBorders>
              <w:top w:val="nil"/>
              <w:bottom w:val="nil"/>
            </w:tcBorders>
            <w:shd w:val="clear" w:color="FFFFFF" w:fill="FFFFFF"/>
            <w:noWrap/>
            <w:vAlign w:val="center"/>
            <w:hideMark/>
          </w:tcPr>
          <w:p w14:paraId="6EB97CFF" w14:textId="77777777" w:rsidR="006F47C1" w:rsidRPr="00D7245F" w:rsidRDefault="006F47C1" w:rsidP="006F47C1">
            <w:pPr>
              <w:ind w:right="113"/>
              <w:jc w:val="center"/>
              <w:rPr>
                <w:rFonts w:ascii="Verdana" w:hAnsi="Verdana"/>
                <w:color w:val="365F91"/>
                <w:sz w:val="18"/>
                <w:szCs w:val="18"/>
              </w:rPr>
            </w:pPr>
            <w:r w:rsidRPr="00D7245F">
              <w:rPr>
                <w:rFonts w:ascii="Verdana" w:hAnsi="Verdana"/>
                <w:color w:val="365F91"/>
                <w:sz w:val="18"/>
                <w:szCs w:val="18"/>
              </w:rPr>
              <w:t>316</w:t>
            </w:r>
          </w:p>
        </w:tc>
        <w:tc>
          <w:tcPr>
            <w:tcW w:w="1123" w:type="pct"/>
            <w:tcBorders>
              <w:top w:val="nil"/>
              <w:bottom w:val="nil"/>
            </w:tcBorders>
            <w:shd w:val="clear" w:color="FFFFFF" w:fill="FFFFFF"/>
            <w:noWrap/>
            <w:vAlign w:val="center"/>
          </w:tcPr>
          <w:p w14:paraId="5CFD39D9" w14:textId="654D7D23"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59,93</w:t>
            </w:r>
          </w:p>
        </w:tc>
        <w:tc>
          <w:tcPr>
            <w:tcW w:w="1219" w:type="pct"/>
            <w:tcBorders>
              <w:top w:val="nil"/>
              <w:bottom w:val="nil"/>
              <w:right w:val="nil"/>
            </w:tcBorders>
            <w:shd w:val="clear" w:color="FFFFFF" w:fill="FFFFFF"/>
            <w:noWrap/>
            <w:vAlign w:val="center"/>
          </w:tcPr>
          <w:p w14:paraId="79A1135E" w14:textId="6FCD7FE1"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-2,40</w:t>
            </w:r>
          </w:p>
        </w:tc>
      </w:tr>
      <w:tr w:rsidR="006F47C1" w:rsidRPr="00D7245F" w14:paraId="55D46229" w14:textId="77777777" w:rsidTr="006F47C1">
        <w:trPr>
          <w:trHeight w:val="375"/>
          <w:jc w:val="center"/>
        </w:trPr>
        <w:tc>
          <w:tcPr>
            <w:tcW w:w="1639" w:type="pct"/>
            <w:tcBorders>
              <w:top w:val="nil"/>
              <w:left w:val="nil"/>
              <w:bottom w:val="nil"/>
            </w:tcBorders>
            <w:shd w:val="clear" w:color="FFFFFF" w:fill="FFFFFF"/>
            <w:noWrap/>
            <w:vAlign w:val="center"/>
            <w:hideMark/>
          </w:tcPr>
          <w:p w14:paraId="110D5383" w14:textId="77777777" w:rsidR="006F47C1" w:rsidRPr="00D7245F" w:rsidRDefault="006F47C1" w:rsidP="006F47C1">
            <w:pPr>
              <w:ind w:left="2"/>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Πετρελ</w:t>
            </w:r>
            <w:proofErr w:type="spellEnd"/>
            <w:r w:rsidRPr="00D7245F">
              <w:rPr>
                <w:rFonts w:ascii="Verdana" w:eastAsia="Times New Roman" w:hAnsi="Verdana" w:cs="Arial"/>
                <w:color w:val="365F91"/>
                <w:sz w:val="18"/>
                <w:szCs w:val="18"/>
              </w:rPr>
              <w:t>αιοειδή</w:t>
            </w:r>
          </w:p>
        </w:tc>
        <w:tc>
          <w:tcPr>
            <w:tcW w:w="1019" w:type="pct"/>
            <w:tcBorders>
              <w:top w:val="nil"/>
              <w:bottom w:val="nil"/>
            </w:tcBorders>
            <w:shd w:val="clear" w:color="FFFFFF" w:fill="FFFFFF"/>
            <w:noWrap/>
            <w:vAlign w:val="center"/>
            <w:hideMark/>
          </w:tcPr>
          <w:p w14:paraId="47497CE4" w14:textId="77777777" w:rsidR="006F47C1" w:rsidRPr="00D7245F" w:rsidRDefault="006F47C1" w:rsidP="006F47C1">
            <w:pPr>
              <w:ind w:right="113"/>
              <w:jc w:val="center"/>
              <w:rPr>
                <w:rFonts w:ascii="Verdana" w:hAnsi="Verdana"/>
                <w:color w:val="365F91"/>
                <w:sz w:val="18"/>
                <w:szCs w:val="18"/>
              </w:rPr>
            </w:pPr>
            <w:r w:rsidRPr="00D7245F">
              <w:rPr>
                <w:rFonts w:ascii="Verdana" w:hAnsi="Verdana"/>
                <w:color w:val="365F91"/>
                <w:sz w:val="18"/>
                <w:szCs w:val="18"/>
              </w:rPr>
              <w:t>871</w:t>
            </w:r>
          </w:p>
        </w:tc>
        <w:tc>
          <w:tcPr>
            <w:tcW w:w="1123" w:type="pct"/>
            <w:tcBorders>
              <w:top w:val="nil"/>
              <w:bottom w:val="nil"/>
            </w:tcBorders>
            <w:shd w:val="clear" w:color="FFFFFF" w:fill="FFFFFF"/>
            <w:noWrap/>
            <w:vAlign w:val="center"/>
          </w:tcPr>
          <w:p w14:paraId="6949086C" w14:textId="265308FF"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23,41</w:t>
            </w:r>
          </w:p>
        </w:tc>
        <w:tc>
          <w:tcPr>
            <w:tcW w:w="1219" w:type="pct"/>
            <w:tcBorders>
              <w:top w:val="nil"/>
              <w:bottom w:val="nil"/>
              <w:right w:val="nil"/>
            </w:tcBorders>
            <w:shd w:val="clear" w:color="FFFFFF" w:fill="FFFFFF"/>
            <w:noWrap/>
            <w:vAlign w:val="center"/>
          </w:tcPr>
          <w:p w14:paraId="31D51005" w14:textId="29300F94"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-6,26</w:t>
            </w:r>
          </w:p>
        </w:tc>
      </w:tr>
      <w:tr w:rsidR="006F47C1" w:rsidRPr="00D7245F" w14:paraId="00D702E5" w14:textId="77777777" w:rsidTr="006F47C1">
        <w:trPr>
          <w:trHeight w:val="375"/>
          <w:jc w:val="center"/>
        </w:trPr>
        <w:tc>
          <w:tcPr>
            <w:tcW w:w="1639" w:type="pct"/>
            <w:tcBorders>
              <w:top w:val="nil"/>
              <w:left w:val="nil"/>
            </w:tcBorders>
            <w:shd w:val="clear" w:color="FFFFFF" w:fill="FFFFFF"/>
            <w:noWrap/>
            <w:vAlign w:val="center"/>
            <w:hideMark/>
          </w:tcPr>
          <w:p w14:paraId="4FC6B0A3" w14:textId="77777777" w:rsidR="006F47C1" w:rsidRPr="00D7245F" w:rsidRDefault="006F47C1" w:rsidP="006F47C1">
            <w:pPr>
              <w:ind w:left="2"/>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Νερό</w:t>
            </w:r>
            <w:proofErr w:type="spellEnd"/>
          </w:p>
        </w:tc>
        <w:tc>
          <w:tcPr>
            <w:tcW w:w="1019" w:type="pct"/>
            <w:tcBorders>
              <w:top w:val="nil"/>
            </w:tcBorders>
            <w:shd w:val="clear" w:color="FFFFFF" w:fill="FFFFFF"/>
            <w:noWrap/>
            <w:vAlign w:val="center"/>
            <w:hideMark/>
          </w:tcPr>
          <w:p w14:paraId="14732CB7" w14:textId="77777777" w:rsidR="006F47C1" w:rsidRPr="00D7245F" w:rsidRDefault="006F47C1" w:rsidP="006F47C1">
            <w:pPr>
              <w:ind w:right="113"/>
              <w:jc w:val="center"/>
              <w:rPr>
                <w:rFonts w:ascii="Verdana" w:hAnsi="Verdana"/>
                <w:color w:val="365F91"/>
                <w:sz w:val="18"/>
                <w:szCs w:val="18"/>
              </w:rPr>
            </w:pPr>
            <w:r w:rsidRPr="00D7245F">
              <w:rPr>
                <w:rFonts w:ascii="Verdana" w:hAnsi="Verdana"/>
                <w:color w:val="365F91"/>
                <w:sz w:val="18"/>
                <w:szCs w:val="18"/>
              </w:rPr>
              <w:t>72</w:t>
            </w:r>
          </w:p>
        </w:tc>
        <w:tc>
          <w:tcPr>
            <w:tcW w:w="1123" w:type="pct"/>
            <w:tcBorders>
              <w:top w:val="nil"/>
            </w:tcBorders>
            <w:shd w:val="clear" w:color="FFFFFF" w:fill="FFFFFF"/>
            <w:noWrap/>
            <w:vAlign w:val="center"/>
          </w:tcPr>
          <w:p w14:paraId="2187379B" w14:textId="69A45A57"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0,00</w:t>
            </w:r>
          </w:p>
        </w:tc>
        <w:tc>
          <w:tcPr>
            <w:tcW w:w="1219" w:type="pct"/>
            <w:tcBorders>
              <w:top w:val="nil"/>
              <w:right w:val="nil"/>
            </w:tcBorders>
            <w:shd w:val="clear" w:color="FFFFFF" w:fill="FFFFFF"/>
            <w:noWrap/>
            <w:vAlign w:val="center"/>
          </w:tcPr>
          <w:p w14:paraId="5B6D07F4" w14:textId="2C3503CD"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0,00</w:t>
            </w:r>
          </w:p>
        </w:tc>
      </w:tr>
      <w:tr w:rsidR="006F47C1" w:rsidRPr="00D7245F" w14:paraId="1CD39D67" w14:textId="77777777" w:rsidTr="006F47C1">
        <w:trPr>
          <w:trHeight w:val="375"/>
          <w:jc w:val="center"/>
        </w:trPr>
        <w:tc>
          <w:tcPr>
            <w:tcW w:w="1639" w:type="pct"/>
            <w:tcBorders>
              <w:top w:val="nil"/>
              <w:left w:val="nil"/>
              <w:bottom w:val="single" w:sz="4" w:space="0" w:color="366092"/>
            </w:tcBorders>
            <w:shd w:val="clear" w:color="FFFFFF" w:fill="FFFFFF"/>
            <w:noWrap/>
            <w:vAlign w:val="center"/>
            <w:hideMark/>
          </w:tcPr>
          <w:p w14:paraId="5396CA35" w14:textId="77777777" w:rsidR="006F47C1" w:rsidRPr="00D7245F" w:rsidRDefault="006F47C1" w:rsidP="006F47C1">
            <w:pPr>
              <w:ind w:left="2"/>
              <w:rPr>
                <w:rFonts w:ascii="Verdana" w:eastAsia="Times New Roman" w:hAnsi="Verdana" w:cs="Arial"/>
                <w:color w:val="365F91"/>
                <w:sz w:val="18"/>
                <w:szCs w:val="18"/>
              </w:rPr>
            </w:pPr>
            <w:r w:rsidRPr="00D7245F">
              <w:rPr>
                <w:rFonts w:ascii="Verdana" w:eastAsia="Times New Roman" w:hAnsi="Verdana" w:cs="Arial"/>
                <w:color w:val="365F91"/>
                <w:sz w:val="18"/>
                <w:szCs w:val="18"/>
              </w:rPr>
              <w:t>Υπ</w:t>
            </w:r>
            <w:proofErr w:type="spellStart"/>
            <w:r w:rsidRPr="00D7245F">
              <w:rPr>
                <w:rFonts w:ascii="Verdana" w:eastAsia="Times New Roman" w:hAnsi="Verdana" w:cs="Arial"/>
                <w:color w:val="365F91"/>
                <w:sz w:val="18"/>
                <w:szCs w:val="18"/>
              </w:rPr>
              <w:t>ηρεσίες</w:t>
            </w:r>
            <w:proofErr w:type="spellEnd"/>
          </w:p>
        </w:tc>
        <w:tc>
          <w:tcPr>
            <w:tcW w:w="1019" w:type="pct"/>
            <w:tcBorders>
              <w:top w:val="nil"/>
              <w:bottom w:val="single" w:sz="4" w:space="0" w:color="366092"/>
            </w:tcBorders>
            <w:shd w:val="clear" w:color="FFFFFF" w:fill="FFFFFF"/>
            <w:noWrap/>
            <w:vAlign w:val="center"/>
            <w:hideMark/>
          </w:tcPr>
          <w:p w14:paraId="5AD823E0" w14:textId="77777777" w:rsidR="006F47C1" w:rsidRPr="00D7245F" w:rsidRDefault="006F47C1" w:rsidP="006F47C1">
            <w:pPr>
              <w:ind w:right="113"/>
              <w:jc w:val="center"/>
              <w:rPr>
                <w:rFonts w:ascii="Verdana" w:hAnsi="Verdana"/>
                <w:color w:val="365F91"/>
                <w:sz w:val="18"/>
                <w:szCs w:val="18"/>
              </w:rPr>
            </w:pPr>
            <w:r w:rsidRPr="00D7245F">
              <w:rPr>
                <w:rFonts w:ascii="Verdana" w:hAnsi="Verdana"/>
                <w:color w:val="365F91"/>
                <w:sz w:val="18"/>
                <w:szCs w:val="18"/>
              </w:rPr>
              <w:t>3971</w:t>
            </w:r>
          </w:p>
        </w:tc>
        <w:tc>
          <w:tcPr>
            <w:tcW w:w="1123" w:type="pct"/>
            <w:tcBorders>
              <w:top w:val="nil"/>
              <w:bottom w:val="single" w:sz="4" w:space="0" w:color="366092"/>
            </w:tcBorders>
            <w:shd w:val="clear" w:color="FFFFFF" w:fill="FFFFFF"/>
            <w:noWrap/>
            <w:vAlign w:val="center"/>
          </w:tcPr>
          <w:p w14:paraId="30E53EC3" w14:textId="3C99A6B8"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4,61</w:t>
            </w:r>
          </w:p>
        </w:tc>
        <w:tc>
          <w:tcPr>
            <w:tcW w:w="1219" w:type="pct"/>
            <w:tcBorders>
              <w:top w:val="nil"/>
              <w:bottom w:val="single" w:sz="4" w:space="0" w:color="366092"/>
              <w:right w:val="nil"/>
            </w:tcBorders>
            <w:shd w:val="clear" w:color="FFFFFF" w:fill="FFFFFF"/>
            <w:noWrap/>
            <w:vAlign w:val="center"/>
          </w:tcPr>
          <w:p w14:paraId="65A59861" w14:textId="06699F82" w:rsidR="006F47C1" w:rsidRPr="00D7245F" w:rsidRDefault="006F47C1" w:rsidP="006F47C1">
            <w:pPr>
              <w:ind w:right="794"/>
              <w:jc w:val="right"/>
              <w:rPr>
                <w:rFonts w:ascii="Verdana" w:hAnsi="Verdana"/>
                <w:color w:val="365F91"/>
                <w:sz w:val="18"/>
                <w:szCs w:val="18"/>
              </w:rPr>
            </w:pPr>
            <w:r w:rsidRPr="00D7245F">
              <w:rPr>
                <w:rFonts w:ascii="Verdana" w:hAnsi="Verdana"/>
                <w:color w:val="365F91"/>
                <w:sz w:val="18"/>
                <w:szCs w:val="18"/>
              </w:rPr>
              <w:t>-0,52</w:t>
            </w:r>
          </w:p>
        </w:tc>
      </w:tr>
      <w:tr w:rsidR="006022B5" w:rsidRPr="00D7245F" w14:paraId="331F509F" w14:textId="77777777" w:rsidTr="00740321">
        <w:trPr>
          <w:trHeight w:val="397"/>
          <w:jc w:val="center"/>
        </w:trPr>
        <w:tc>
          <w:tcPr>
            <w:tcW w:w="1639" w:type="pct"/>
            <w:tcBorders>
              <w:top w:val="single" w:sz="4" w:space="0" w:color="366092"/>
              <w:left w:val="nil"/>
              <w:bottom w:val="single" w:sz="4" w:space="0" w:color="366092"/>
            </w:tcBorders>
            <w:shd w:val="clear" w:color="FFFFFF" w:fill="FFFFFF"/>
            <w:noWrap/>
            <w:vAlign w:val="center"/>
          </w:tcPr>
          <w:p w14:paraId="7D4A3BED" w14:textId="77777777" w:rsidR="006022B5" w:rsidRPr="00D7245F" w:rsidRDefault="006022B5" w:rsidP="006022B5">
            <w:pPr>
              <w:rPr>
                <w:rFonts w:ascii="Verdana" w:eastAsia="Times New Roman" w:hAnsi="Verdana" w:cs="Arial"/>
                <w:b/>
                <w:bCs/>
                <w:color w:val="365F91"/>
                <w:sz w:val="18"/>
                <w:szCs w:val="18"/>
              </w:rPr>
            </w:pPr>
            <w:proofErr w:type="spellStart"/>
            <w:r w:rsidRPr="00D7245F">
              <w:rPr>
                <w:rFonts w:ascii="Verdana" w:eastAsia="Times New Roman" w:hAnsi="Verdana" w:cs="Arial"/>
                <w:b/>
                <w:bCs/>
                <w:color w:val="365F91"/>
                <w:sz w:val="18"/>
                <w:szCs w:val="18"/>
              </w:rPr>
              <w:t>Γενικός</w:t>
            </w:r>
            <w:proofErr w:type="spellEnd"/>
            <w:r w:rsidRPr="00D7245F">
              <w:rPr>
                <w:rFonts w:ascii="Verdana" w:eastAsia="Times New Roman" w:hAnsi="Verdana" w:cs="Arial"/>
                <w:b/>
                <w:bCs/>
                <w:color w:val="365F91"/>
                <w:sz w:val="18"/>
                <w:szCs w:val="18"/>
              </w:rPr>
              <w:t xml:space="preserve"> </w:t>
            </w:r>
            <w:proofErr w:type="spellStart"/>
            <w:r w:rsidRPr="00D7245F">
              <w:rPr>
                <w:rFonts w:ascii="Verdana" w:eastAsia="Times New Roman" w:hAnsi="Verdana" w:cs="Arial"/>
                <w:b/>
                <w:bCs/>
                <w:color w:val="365F91"/>
                <w:sz w:val="18"/>
                <w:szCs w:val="18"/>
              </w:rPr>
              <w:t>Δείκτης</w:t>
            </w:r>
            <w:proofErr w:type="spellEnd"/>
            <w:r w:rsidRPr="00D7245F">
              <w:rPr>
                <w:rFonts w:ascii="Verdana" w:eastAsia="Times New Roman" w:hAnsi="Verdana" w:cs="Arial"/>
                <w:b/>
                <w:bCs/>
                <w:color w:val="365F91"/>
                <w:sz w:val="18"/>
                <w:szCs w:val="18"/>
              </w:rPr>
              <w:t xml:space="preserve"> </w:t>
            </w:r>
          </w:p>
        </w:tc>
        <w:tc>
          <w:tcPr>
            <w:tcW w:w="1019" w:type="pct"/>
            <w:tcBorders>
              <w:top w:val="single" w:sz="4" w:space="0" w:color="366092"/>
              <w:bottom w:val="single" w:sz="4" w:space="0" w:color="366092"/>
            </w:tcBorders>
            <w:shd w:val="clear" w:color="FFFFFF" w:fill="FFFFFF"/>
            <w:noWrap/>
            <w:vAlign w:val="center"/>
          </w:tcPr>
          <w:p w14:paraId="23E9E631" w14:textId="77777777" w:rsidR="006022B5" w:rsidRPr="00D7245F" w:rsidRDefault="006022B5" w:rsidP="006022B5">
            <w:pPr>
              <w:ind w:right="113"/>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10000</w:t>
            </w:r>
          </w:p>
        </w:tc>
        <w:tc>
          <w:tcPr>
            <w:tcW w:w="1123" w:type="pct"/>
            <w:tcBorders>
              <w:top w:val="single" w:sz="4" w:space="0" w:color="366092"/>
              <w:bottom w:val="single" w:sz="4" w:space="0" w:color="366092"/>
            </w:tcBorders>
            <w:shd w:val="clear" w:color="FFFFFF" w:fill="FFFFFF"/>
            <w:noWrap/>
            <w:vAlign w:val="center"/>
          </w:tcPr>
          <w:p w14:paraId="5F309946" w14:textId="519AE8FA" w:rsidR="006022B5" w:rsidRPr="00D7245F" w:rsidRDefault="00F95E96" w:rsidP="006022B5">
            <w:pPr>
              <w:ind w:right="794"/>
              <w:jc w:val="right"/>
              <w:rPr>
                <w:rFonts w:ascii="Verdana" w:hAnsi="Verdana"/>
                <w:color w:val="365F91"/>
                <w:sz w:val="18"/>
                <w:szCs w:val="18"/>
                <w:lang/>
              </w:rPr>
            </w:pPr>
            <w:r w:rsidRPr="00D7245F">
              <w:rPr>
                <w:rFonts w:ascii="Verdana" w:eastAsia="Times New Roman" w:hAnsi="Verdana" w:cs="Arial"/>
                <w:b/>
                <w:bCs/>
                <w:color w:val="365F91"/>
                <w:sz w:val="18"/>
                <w:szCs w:val="18"/>
                <w:lang/>
              </w:rPr>
              <w:t>8</w:t>
            </w:r>
            <w:r w:rsidR="006022B5" w:rsidRPr="00D7245F">
              <w:rPr>
                <w:rFonts w:ascii="Verdana" w:eastAsia="Times New Roman" w:hAnsi="Verdana" w:cs="Arial"/>
                <w:b/>
                <w:bCs/>
                <w:color w:val="365F91"/>
                <w:sz w:val="18"/>
                <w:szCs w:val="18"/>
                <w:lang w:val="el-GR"/>
              </w:rPr>
              <w:t>,</w:t>
            </w:r>
            <w:r w:rsidR="006F47C1" w:rsidRPr="00D7245F">
              <w:rPr>
                <w:rFonts w:ascii="Verdana" w:eastAsia="Times New Roman" w:hAnsi="Verdana" w:cs="Arial"/>
                <w:b/>
                <w:bCs/>
                <w:color w:val="365F91"/>
                <w:sz w:val="18"/>
                <w:szCs w:val="18"/>
                <w:lang w:val="el-GR"/>
              </w:rPr>
              <w:t>74</w:t>
            </w:r>
          </w:p>
        </w:tc>
        <w:tc>
          <w:tcPr>
            <w:tcW w:w="1219" w:type="pct"/>
            <w:tcBorders>
              <w:top w:val="single" w:sz="4" w:space="0" w:color="366092"/>
              <w:bottom w:val="single" w:sz="4" w:space="0" w:color="366092"/>
              <w:right w:val="nil"/>
            </w:tcBorders>
            <w:shd w:val="clear" w:color="FFFFFF" w:fill="FFFFFF"/>
            <w:noWrap/>
            <w:vAlign w:val="center"/>
          </w:tcPr>
          <w:p w14:paraId="66750A76" w14:textId="7E3F6A11" w:rsidR="006022B5" w:rsidRPr="00D7245F" w:rsidRDefault="00F95E96" w:rsidP="006022B5">
            <w:pPr>
              <w:ind w:right="794"/>
              <w:jc w:val="right"/>
              <w:rPr>
                <w:rFonts w:ascii="Verdana" w:eastAsia="Times New Roman" w:hAnsi="Verdana" w:cs="Arial"/>
                <w:b/>
                <w:bCs/>
                <w:color w:val="365F91"/>
                <w:sz w:val="18"/>
                <w:szCs w:val="18"/>
                <w:lang/>
              </w:rPr>
            </w:pPr>
            <w:r w:rsidRPr="00D7245F">
              <w:rPr>
                <w:rFonts w:ascii="Verdana" w:eastAsia="Times New Roman" w:hAnsi="Verdana" w:cs="Arial"/>
                <w:b/>
                <w:bCs/>
                <w:color w:val="365F91"/>
                <w:sz w:val="18"/>
                <w:szCs w:val="18"/>
                <w:lang/>
              </w:rPr>
              <w:t>-0</w:t>
            </w:r>
            <w:r w:rsidR="006022B5" w:rsidRPr="00D7245F">
              <w:rPr>
                <w:rFonts w:ascii="Verdana" w:eastAsia="Times New Roman" w:hAnsi="Verdana" w:cs="Arial"/>
                <w:b/>
                <w:bCs/>
                <w:color w:val="365F91"/>
                <w:sz w:val="18"/>
                <w:szCs w:val="18"/>
                <w:lang w:val="el-GR"/>
              </w:rPr>
              <w:t>,</w:t>
            </w:r>
            <w:r w:rsidR="00037999" w:rsidRPr="00D7245F">
              <w:rPr>
                <w:rFonts w:ascii="Verdana" w:eastAsia="Times New Roman" w:hAnsi="Verdana" w:cs="Arial"/>
                <w:b/>
                <w:bCs/>
                <w:color w:val="365F91"/>
                <w:sz w:val="18"/>
                <w:szCs w:val="18"/>
                <w:lang w:val="el-GR"/>
              </w:rPr>
              <w:t>19</w:t>
            </w:r>
          </w:p>
        </w:tc>
      </w:tr>
    </w:tbl>
    <w:p w14:paraId="5364B1FC"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590D02A9" w14:textId="77777777" w:rsidR="006022B5" w:rsidRPr="006022B5" w:rsidRDefault="006022B5" w:rsidP="006022B5">
      <w:pPr>
        <w:tabs>
          <w:tab w:val="left" w:pos="1080"/>
          <w:tab w:val="left" w:pos="6840"/>
        </w:tabs>
        <w:jc w:val="center"/>
        <w:rPr>
          <w:rFonts w:ascii="Verdana" w:eastAsia="Malgun Gothic" w:hAnsi="Verdana" w:cs="Arial"/>
          <w:b/>
          <w:u w:val="single"/>
        </w:rPr>
      </w:pPr>
    </w:p>
    <w:p w14:paraId="632BFFBC"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29FEB02E" w14:textId="77777777" w:rsidR="006022B5" w:rsidRPr="006022B5" w:rsidRDefault="006022B5" w:rsidP="006022B5">
      <w:pPr>
        <w:tabs>
          <w:tab w:val="left" w:pos="1080"/>
          <w:tab w:val="left" w:pos="6840"/>
        </w:tabs>
        <w:jc w:val="both"/>
        <w:rPr>
          <w:rFonts w:ascii="Verdana" w:eastAsia="Malgun Gothic" w:hAnsi="Verdana" w:cs="Arial"/>
          <w:sz w:val="20"/>
          <w:szCs w:val="20"/>
          <w:lang w:val="el-GR"/>
        </w:rPr>
      </w:pPr>
    </w:p>
    <w:p w14:paraId="2AB9A93B" w14:textId="77777777" w:rsidR="006022B5" w:rsidRPr="006022B5" w:rsidRDefault="006022B5" w:rsidP="006022B5">
      <w:pPr>
        <w:tabs>
          <w:tab w:val="left" w:pos="1080"/>
          <w:tab w:val="left" w:pos="6840"/>
        </w:tabs>
        <w:jc w:val="both"/>
        <w:rPr>
          <w:rFonts w:ascii="Verdana" w:eastAsia="Malgun Gothic" w:hAnsi="Verdana" w:cs="Arial"/>
          <w:sz w:val="20"/>
          <w:szCs w:val="20"/>
          <w:lang w:val="el-GR"/>
        </w:rPr>
      </w:pPr>
    </w:p>
    <w:tbl>
      <w:tblPr>
        <w:tblW w:w="4944" w:type="pct"/>
        <w:jc w:val="right"/>
        <w:tblLayout w:type="fixed"/>
        <w:tblLook w:val="04A0" w:firstRow="1" w:lastRow="0" w:firstColumn="1" w:lastColumn="0" w:noHBand="0" w:noVBand="1"/>
      </w:tblPr>
      <w:tblGrid>
        <w:gridCol w:w="3258"/>
        <w:gridCol w:w="1523"/>
        <w:gridCol w:w="2353"/>
        <w:gridCol w:w="2347"/>
      </w:tblGrid>
      <w:tr w:rsidR="006022B5" w:rsidRPr="00D7245F" w14:paraId="4C388DF5" w14:textId="77777777" w:rsidTr="00740321">
        <w:trPr>
          <w:trHeight w:val="450"/>
          <w:jc w:val="right"/>
        </w:trPr>
        <w:tc>
          <w:tcPr>
            <w:tcW w:w="3762" w:type="pct"/>
            <w:gridSpan w:val="3"/>
            <w:tcBorders>
              <w:bottom w:val="single" w:sz="4" w:space="0" w:color="366092"/>
            </w:tcBorders>
            <w:shd w:val="clear" w:color="FFFFFF" w:fill="FFFFFF"/>
            <w:vAlign w:val="center"/>
            <w:hideMark/>
          </w:tcPr>
          <w:p w14:paraId="2F9E1214" w14:textId="77777777" w:rsidR="006022B5" w:rsidRPr="00D7245F" w:rsidRDefault="006022B5" w:rsidP="006022B5">
            <w:pP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Πίνακας 3</w:t>
            </w:r>
          </w:p>
        </w:tc>
        <w:tc>
          <w:tcPr>
            <w:tcW w:w="1238" w:type="pct"/>
            <w:tcBorders>
              <w:bottom w:val="single" w:sz="4" w:space="0" w:color="366092"/>
            </w:tcBorders>
            <w:shd w:val="clear" w:color="FFFFFF" w:fill="FFFFFF"/>
          </w:tcPr>
          <w:p w14:paraId="5E285458" w14:textId="77777777" w:rsidR="006022B5" w:rsidRPr="00D7245F" w:rsidRDefault="006022B5" w:rsidP="006022B5">
            <w:pPr>
              <w:rPr>
                <w:rFonts w:ascii="Verdana" w:eastAsia="Times New Roman" w:hAnsi="Verdana" w:cs="Arial"/>
                <w:b/>
                <w:bCs/>
                <w:color w:val="365F91"/>
                <w:sz w:val="18"/>
                <w:szCs w:val="18"/>
                <w:lang w:val="el-GR"/>
              </w:rPr>
            </w:pPr>
          </w:p>
        </w:tc>
      </w:tr>
      <w:tr w:rsidR="006022B5" w:rsidRPr="00D7245F" w14:paraId="32300C6F" w14:textId="77777777" w:rsidTr="00740321">
        <w:trPr>
          <w:trHeight w:val="375"/>
          <w:jc w:val="right"/>
        </w:trPr>
        <w:tc>
          <w:tcPr>
            <w:tcW w:w="1718" w:type="pct"/>
            <w:vMerge w:val="restart"/>
            <w:tcBorders>
              <w:top w:val="single" w:sz="4" w:space="0" w:color="366092"/>
              <w:bottom w:val="single" w:sz="4" w:space="0" w:color="366092"/>
            </w:tcBorders>
            <w:shd w:val="clear" w:color="FFFFFF" w:fill="FFFFFF"/>
            <w:vAlign w:val="center"/>
            <w:hideMark/>
          </w:tcPr>
          <w:p w14:paraId="30AACF9D" w14:textId="77777777" w:rsidR="006022B5" w:rsidRPr="00D7245F" w:rsidRDefault="006022B5" w:rsidP="006022B5">
            <w:pP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Κατηγορίες Αγαθών και Υπηρεσιών</w:t>
            </w:r>
          </w:p>
        </w:tc>
        <w:tc>
          <w:tcPr>
            <w:tcW w:w="803" w:type="pct"/>
            <w:vMerge w:val="restart"/>
            <w:tcBorders>
              <w:top w:val="single" w:sz="4" w:space="0" w:color="366092"/>
              <w:bottom w:val="single" w:sz="4" w:space="0" w:color="366092"/>
            </w:tcBorders>
            <w:shd w:val="clear" w:color="FFFFFF" w:fill="FFFFFF"/>
            <w:vAlign w:val="center"/>
            <w:hideMark/>
          </w:tcPr>
          <w:p w14:paraId="23EB8B2F" w14:textId="77777777" w:rsidR="006022B5" w:rsidRPr="00D7245F" w:rsidRDefault="006022B5" w:rsidP="006022B5">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Συντελεστές Στάθμισης</w:t>
            </w:r>
          </w:p>
        </w:tc>
        <w:tc>
          <w:tcPr>
            <w:tcW w:w="2479" w:type="pct"/>
            <w:gridSpan w:val="2"/>
            <w:tcBorders>
              <w:top w:val="single" w:sz="4" w:space="0" w:color="366092"/>
              <w:bottom w:val="single" w:sz="4" w:space="0" w:color="366092"/>
            </w:tcBorders>
            <w:shd w:val="clear" w:color="auto" w:fill="auto"/>
            <w:vAlign w:val="center"/>
            <w:hideMark/>
          </w:tcPr>
          <w:p w14:paraId="1E47590D" w14:textId="77777777" w:rsidR="006022B5" w:rsidRPr="00D7245F" w:rsidRDefault="006022B5" w:rsidP="006022B5">
            <w:pPr>
              <w:jc w:val="center"/>
              <w:rPr>
                <w:rFonts w:ascii="Verdana" w:eastAsia="Times New Roman" w:hAnsi="Verdana" w:cs="Arial"/>
                <w:b/>
                <w:bCs/>
                <w:color w:val="365F91"/>
                <w:sz w:val="18"/>
                <w:szCs w:val="18"/>
              </w:rPr>
            </w:pPr>
            <w:r w:rsidRPr="00D7245F">
              <w:rPr>
                <w:rFonts w:ascii="Verdana" w:eastAsia="Times New Roman" w:hAnsi="Verdana" w:cs="Arial"/>
                <w:b/>
                <w:bCs/>
                <w:color w:val="365F91"/>
                <w:sz w:val="18"/>
                <w:szCs w:val="18"/>
              </w:rPr>
              <w:t>Επίπ</w:t>
            </w:r>
            <w:proofErr w:type="spellStart"/>
            <w:r w:rsidRPr="00D7245F">
              <w:rPr>
                <w:rFonts w:ascii="Verdana" w:eastAsia="Times New Roman" w:hAnsi="Verdana" w:cs="Arial"/>
                <w:b/>
                <w:bCs/>
                <w:color w:val="365F91"/>
                <w:sz w:val="18"/>
                <w:szCs w:val="18"/>
              </w:rPr>
              <w:t>τωση</w:t>
            </w:r>
            <w:proofErr w:type="spellEnd"/>
            <w:r w:rsidRPr="00D7245F">
              <w:rPr>
                <w:rFonts w:ascii="Verdana" w:eastAsia="Times New Roman" w:hAnsi="Verdana" w:cs="Arial"/>
                <w:b/>
                <w:bCs/>
                <w:color w:val="365F91"/>
                <w:sz w:val="18"/>
                <w:szCs w:val="18"/>
              </w:rPr>
              <w:t xml:space="preserve"> (</w:t>
            </w:r>
            <w:r w:rsidRPr="00D7245F">
              <w:rPr>
                <w:rFonts w:ascii="Verdana" w:eastAsia="Times New Roman" w:hAnsi="Verdana" w:cs="Arial"/>
                <w:b/>
                <w:bCs/>
                <w:color w:val="365F91"/>
                <w:sz w:val="18"/>
                <w:szCs w:val="18"/>
                <w:lang w:val="el-GR"/>
              </w:rPr>
              <w:t>μονάδες)</w:t>
            </w:r>
          </w:p>
        </w:tc>
      </w:tr>
      <w:tr w:rsidR="004B1104" w:rsidRPr="00D7245F" w14:paraId="019AB947" w14:textId="77777777" w:rsidTr="00740321">
        <w:trPr>
          <w:trHeight w:val="615"/>
          <w:jc w:val="right"/>
        </w:trPr>
        <w:tc>
          <w:tcPr>
            <w:tcW w:w="1718" w:type="pct"/>
            <w:vMerge/>
            <w:tcBorders>
              <w:top w:val="single" w:sz="4" w:space="0" w:color="366092"/>
              <w:bottom w:val="single" w:sz="4" w:space="0" w:color="366092"/>
            </w:tcBorders>
            <w:vAlign w:val="center"/>
            <w:hideMark/>
          </w:tcPr>
          <w:p w14:paraId="7859C773" w14:textId="77777777" w:rsidR="004B1104" w:rsidRPr="00D7245F" w:rsidRDefault="004B1104" w:rsidP="004B1104">
            <w:pPr>
              <w:rPr>
                <w:rFonts w:ascii="Verdana" w:eastAsia="Times New Roman" w:hAnsi="Verdana" w:cs="Arial"/>
                <w:b/>
                <w:bCs/>
                <w:color w:val="365F91"/>
                <w:sz w:val="18"/>
                <w:szCs w:val="18"/>
              </w:rPr>
            </w:pPr>
          </w:p>
        </w:tc>
        <w:tc>
          <w:tcPr>
            <w:tcW w:w="803" w:type="pct"/>
            <w:vMerge/>
            <w:tcBorders>
              <w:top w:val="single" w:sz="4" w:space="0" w:color="366092"/>
              <w:bottom w:val="single" w:sz="4" w:space="0" w:color="366092"/>
            </w:tcBorders>
            <w:vAlign w:val="center"/>
            <w:hideMark/>
          </w:tcPr>
          <w:p w14:paraId="274591C5" w14:textId="77777777" w:rsidR="004B1104" w:rsidRPr="00D7245F" w:rsidRDefault="004B1104" w:rsidP="004B1104">
            <w:pPr>
              <w:jc w:val="center"/>
              <w:rPr>
                <w:rFonts w:ascii="Verdana" w:eastAsia="Times New Roman" w:hAnsi="Verdana" w:cs="Arial"/>
                <w:b/>
                <w:bCs/>
                <w:color w:val="365F91"/>
                <w:sz w:val="18"/>
                <w:szCs w:val="18"/>
              </w:rPr>
            </w:pPr>
          </w:p>
        </w:tc>
        <w:tc>
          <w:tcPr>
            <w:tcW w:w="1241" w:type="pct"/>
            <w:tcBorders>
              <w:top w:val="nil"/>
              <w:bottom w:val="single" w:sz="4" w:space="0" w:color="366092"/>
            </w:tcBorders>
            <w:shd w:val="clear" w:color="FFFFFF" w:fill="FFFFFF"/>
            <w:vAlign w:val="center"/>
          </w:tcPr>
          <w:p w14:paraId="295D22A9" w14:textId="77777777" w:rsidR="004B1104" w:rsidRPr="00D7245F" w:rsidRDefault="004B1104" w:rsidP="004B1104">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 22/</w:t>
            </w:r>
          </w:p>
          <w:p w14:paraId="23F64714" w14:textId="299E5F84" w:rsidR="004B1104" w:rsidRPr="00D7245F" w:rsidRDefault="0027291A" w:rsidP="0027291A">
            <w:pPr>
              <w:ind w:right="-340"/>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rPr>
              <w:t xml:space="preserve">              </w:t>
            </w:r>
            <w:r w:rsidR="004B1104" w:rsidRPr="00D7245F">
              <w:rPr>
                <w:rFonts w:ascii="Verdana" w:eastAsia="Times New Roman" w:hAnsi="Verdana" w:cs="Arial"/>
                <w:b/>
                <w:bCs/>
                <w:color w:val="365F91"/>
                <w:sz w:val="18"/>
                <w:szCs w:val="18"/>
                <w:lang w:val="el-GR"/>
              </w:rPr>
              <w:t>Σεπ 21</w:t>
            </w:r>
          </w:p>
        </w:tc>
        <w:tc>
          <w:tcPr>
            <w:tcW w:w="1238" w:type="pct"/>
            <w:tcBorders>
              <w:top w:val="nil"/>
              <w:bottom w:val="single" w:sz="4" w:space="0" w:color="366092"/>
            </w:tcBorders>
            <w:shd w:val="clear" w:color="FFFFFF" w:fill="FFFFFF"/>
            <w:vAlign w:val="center"/>
          </w:tcPr>
          <w:p w14:paraId="4D945ED8" w14:textId="77777777" w:rsidR="004B1104" w:rsidRPr="00D7245F" w:rsidRDefault="004B1104" w:rsidP="004B1104">
            <w:pPr>
              <w:jc w:val="center"/>
              <w:rPr>
                <w:rFonts w:ascii="Verdana" w:eastAsia="Times New Roman" w:hAnsi="Verdana" w:cs="Arial"/>
                <w:b/>
                <w:bCs/>
                <w:color w:val="365F91"/>
                <w:sz w:val="18"/>
                <w:szCs w:val="18"/>
                <w:lang w:val="el-GR"/>
              </w:rPr>
            </w:pPr>
            <w:r w:rsidRPr="00D7245F">
              <w:rPr>
                <w:rFonts w:ascii="Verdana" w:eastAsia="Times New Roman" w:hAnsi="Verdana" w:cs="Arial"/>
                <w:b/>
                <w:bCs/>
                <w:color w:val="365F91"/>
                <w:sz w:val="18"/>
                <w:szCs w:val="18"/>
                <w:lang w:val="el-GR"/>
              </w:rPr>
              <w:t>Σεπ 22/</w:t>
            </w:r>
          </w:p>
          <w:p w14:paraId="4C0BF3F4" w14:textId="500761AE" w:rsidR="004B1104" w:rsidRPr="00D7245F" w:rsidRDefault="004B1104" w:rsidP="004B1104">
            <w:pPr>
              <w:jc w:val="center"/>
              <w:rPr>
                <w:rFonts w:ascii="Verdana" w:eastAsia="Times New Roman" w:hAnsi="Verdana" w:cs="Arial"/>
                <w:b/>
                <w:bCs/>
                <w:color w:val="366092"/>
                <w:sz w:val="18"/>
                <w:szCs w:val="18"/>
                <w:lang w:val="el-GR"/>
              </w:rPr>
            </w:pPr>
            <w:r w:rsidRPr="00D7245F">
              <w:rPr>
                <w:rFonts w:ascii="Verdana" w:eastAsia="Times New Roman" w:hAnsi="Verdana" w:cs="Arial"/>
                <w:b/>
                <w:bCs/>
                <w:color w:val="365F91"/>
                <w:sz w:val="18"/>
                <w:szCs w:val="18"/>
                <w:lang w:val="el-GR"/>
              </w:rPr>
              <w:t xml:space="preserve"> Αυγ 22</w:t>
            </w:r>
          </w:p>
        </w:tc>
      </w:tr>
      <w:tr w:rsidR="004B1104" w:rsidRPr="00D7245F" w14:paraId="5947B44C" w14:textId="77777777" w:rsidTr="004B1104">
        <w:trPr>
          <w:trHeight w:val="375"/>
          <w:jc w:val="right"/>
        </w:trPr>
        <w:tc>
          <w:tcPr>
            <w:tcW w:w="1718" w:type="pct"/>
            <w:tcBorders>
              <w:top w:val="nil"/>
              <w:bottom w:val="nil"/>
            </w:tcBorders>
            <w:shd w:val="clear" w:color="FFFFFF" w:fill="FFFFFF"/>
            <w:vAlign w:val="center"/>
            <w:hideMark/>
          </w:tcPr>
          <w:p w14:paraId="27C27FE8" w14:textId="77777777" w:rsidR="004B1104" w:rsidRPr="00D7245F" w:rsidRDefault="004B1104" w:rsidP="004B1104">
            <w:pP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Τρόφιμα και μη Αλκοολούχα Ποτά</w:t>
            </w:r>
          </w:p>
        </w:tc>
        <w:tc>
          <w:tcPr>
            <w:tcW w:w="803" w:type="pct"/>
            <w:tcBorders>
              <w:top w:val="nil"/>
              <w:bottom w:val="nil"/>
            </w:tcBorders>
            <w:shd w:val="clear" w:color="FFFFFF" w:fill="FFFFFF"/>
            <w:vAlign w:val="center"/>
            <w:hideMark/>
          </w:tcPr>
          <w:p w14:paraId="6BB1BA13"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1906</w:t>
            </w:r>
          </w:p>
        </w:tc>
        <w:tc>
          <w:tcPr>
            <w:tcW w:w="1241" w:type="pct"/>
            <w:tcBorders>
              <w:top w:val="nil"/>
              <w:bottom w:val="nil"/>
            </w:tcBorders>
            <w:shd w:val="clear" w:color="FFFFFF" w:fill="FFFFFF"/>
            <w:vAlign w:val="center"/>
          </w:tcPr>
          <w:p w14:paraId="1C3C6B98" w14:textId="04296EF9"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1,53</w:t>
            </w:r>
          </w:p>
        </w:tc>
        <w:tc>
          <w:tcPr>
            <w:tcW w:w="1238" w:type="pct"/>
            <w:tcBorders>
              <w:top w:val="nil"/>
              <w:bottom w:val="nil"/>
            </w:tcBorders>
            <w:shd w:val="clear" w:color="FFFFFF" w:fill="FFFFFF"/>
            <w:vAlign w:val="center"/>
          </w:tcPr>
          <w:p w14:paraId="54F86BAD" w14:textId="5349517D"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0,23</w:t>
            </w:r>
          </w:p>
        </w:tc>
      </w:tr>
      <w:tr w:rsidR="004B1104" w:rsidRPr="00D7245F" w14:paraId="15E28FB3" w14:textId="77777777" w:rsidTr="004B1104">
        <w:trPr>
          <w:trHeight w:val="375"/>
          <w:jc w:val="right"/>
        </w:trPr>
        <w:tc>
          <w:tcPr>
            <w:tcW w:w="1718" w:type="pct"/>
            <w:tcBorders>
              <w:top w:val="nil"/>
              <w:bottom w:val="nil"/>
            </w:tcBorders>
            <w:shd w:val="clear" w:color="FFFFFF" w:fill="FFFFFF"/>
            <w:vAlign w:val="center"/>
            <w:hideMark/>
          </w:tcPr>
          <w:p w14:paraId="2EDCA964" w14:textId="77777777" w:rsidR="004B1104" w:rsidRPr="00D7245F" w:rsidRDefault="004B1104" w:rsidP="004B1104">
            <w:pPr>
              <w:rPr>
                <w:rFonts w:ascii="Verdana" w:eastAsia="Times New Roman" w:hAnsi="Verdana" w:cs="Arial"/>
                <w:color w:val="365F91"/>
                <w:sz w:val="18"/>
                <w:szCs w:val="18"/>
              </w:rPr>
            </w:pPr>
            <w:r w:rsidRPr="00D7245F">
              <w:rPr>
                <w:rFonts w:ascii="Verdana" w:eastAsia="Times New Roman" w:hAnsi="Verdana" w:cs="Arial"/>
                <w:color w:val="365F91"/>
                <w:sz w:val="18"/>
                <w:szCs w:val="18"/>
                <w:lang w:val="el-GR"/>
              </w:rPr>
              <w:t>Αλκοολούχα Π</w:t>
            </w:r>
            <w:proofErr w:type="spellStart"/>
            <w:r w:rsidRPr="00D7245F">
              <w:rPr>
                <w:rFonts w:ascii="Verdana" w:eastAsia="Times New Roman" w:hAnsi="Verdana" w:cs="Arial"/>
                <w:color w:val="365F91"/>
                <w:sz w:val="18"/>
                <w:szCs w:val="18"/>
              </w:rPr>
              <w:t>οτά</w:t>
            </w:r>
            <w:proofErr w:type="spellEnd"/>
            <w:r w:rsidRPr="00D7245F">
              <w:rPr>
                <w:rFonts w:ascii="Verdana" w:eastAsia="Times New Roman" w:hAnsi="Verdana" w:cs="Arial"/>
                <w:color w:val="365F91"/>
                <w:sz w:val="18"/>
                <w:szCs w:val="18"/>
              </w:rPr>
              <w:t xml:space="preserve"> και </w:t>
            </w:r>
            <w:r w:rsidRPr="00D7245F">
              <w:rPr>
                <w:rFonts w:ascii="Verdana" w:eastAsia="Times New Roman" w:hAnsi="Verdana" w:cs="Arial"/>
                <w:color w:val="365F91"/>
                <w:sz w:val="18"/>
                <w:szCs w:val="18"/>
                <w:lang w:val="el-GR"/>
              </w:rPr>
              <w:t>Κ</w:t>
            </w:r>
            <w:r w:rsidRPr="00D7245F">
              <w:rPr>
                <w:rFonts w:ascii="Verdana" w:eastAsia="Times New Roman" w:hAnsi="Verdana" w:cs="Arial"/>
                <w:color w:val="365F91"/>
                <w:sz w:val="18"/>
                <w:szCs w:val="18"/>
              </w:rPr>
              <w:t>απ</w:t>
            </w:r>
            <w:proofErr w:type="spellStart"/>
            <w:r w:rsidRPr="00D7245F">
              <w:rPr>
                <w:rFonts w:ascii="Verdana" w:eastAsia="Times New Roman" w:hAnsi="Verdana" w:cs="Arial"/>
                <w:color w:val="365F91"/>
                <w:sz w:val="18"/>
                <w:szCs w:val="18"/>
              </w:rPr>
              <w:t>νός</w:t>
            </w:r>
            <w:proofErr w:type="spellEnd"/>
          </w:p>
        </w:tc>
        <w:tc>
          <w:tcPr>
            <w:tcW w:w="803" w:type="pct"/>
            <w:tcBorders>
              <w:top w:val="nil"/>
              <w:bottom w:val="nil"/>
            </w:tcBorders>
            <w:shd w:val="clear" w:color="FFFFFF" w:fill="FFFFFF"/>
            <w:vAlign w:val="center"/>
            <w:hideMark/>
          </w:tcPr>
          <w:p w14:paraId="625B3CBD"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347</w:t>
            </w:r>
          </w:p>
        </w:tc>
        <w:tc>
          <w:tcPr>
            <w:tcW w:w="1241" w:type="pct"/>
            <w:tcBorders>
              <w:top w:val="nil"/>
              <w:bottom w:val="nil"/>
            </w:tcBorders>
            <w:shd w:val="clear" w:color="FFFFFF" w:fill="FFFFFF"/>
            <w:vAlign w:val="center"/>
          </w:tcPr>
          <w:p w14:paraId="61360F93" w14:textId="1D60DC84"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0,04</w:t>
            </w:r>
          </w:p>
        </w:tc>
        <w:tc>
          <w:tcPr>
            <w:tcW w:w="1238" w:type="pct"/>
            <w:tcBorders>
              <w:top w:val="nil"/>
              <w:bottom w:val="nil"/>
            </w:tcBorders>
            <w:shd w:val="clear" w:color="FFFFFF" w:fill="FFFFFF"/>
            <w:vAlign w:val="center"/>
          </w:tcPr>
          <w:p w14:paraId="72007056" w14:textId="00205313"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0,01</w:t>
            </w:r>
          </w:p>
        </w:tc>
      </w:tr>
      <w:tr w:rsidR="004B1104" w:rsidRPr="00D7245F" w14:paraId="108CD38A" w14:textId="77777777" w:rsidTr="004B1104">
        <w:trPr>
          <w:trHeight w:val="375"/>
          <w:jc w:val="right"/>
        </w:trPr>
        <w:tc>
          <w:tcPr>
            <w:tcW w:w="1718" w:type="pct"/>
            <w:tcBorders>
              <w:top w:val="nil"/>
              <w:bottom w:val="nil"/>
            </w:tcBorders>
            <w:shd w:val="clear" w:color="FFFFFF" w:fill="FFFFFF"/>
            <w:noWrap/>
            <w:vAlign w:val="center"/>
            <w:hideMark/>
          </w:tcPr>
          <w:p w14:paraId="2FAF94A1"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Ένδυση</w:t>
            </w:r>
            <w:proofErr w:type="spellEnd"/>
            <w:r w:rsidRPr="00D7245F">
              <w:rPr>
                <w:rFonts w:ascii="Verdana" w:eastAsia="Times New Roman" w:hAnsi="Verdana" w:cs="Arial"/>
                <w:color w:val="365F91"/>
                <w:sz w:val="18"/>
                <w:szCs w:val="18"/>
              </w:rPr>
              <w:t xml:space="preserve"> και </w:t>
            </w:r>
            <w:r w:rsidRPr="00D7245F">
              <w:rPr>
                <w:rFonts w:ascii="Verdana" w:eastAsia="Times New Roman" w:hAnsi="Verdana" w:cs="Arial"/>
                <w:color w:val="365F91"/>
                <w:sz w:val="18"/>
                <w:szCs w:val="18"/>
                <w:lang w:val="el-GR"/>
              </w:rPr>
              <w:t>Υ</w:t>
            </w:r>
            <w:r w:rsidRPr="00D7245F">
              <w:rPr>
                <w:rFonts w:ascii="Verdana" w:eastAsia="Times New Roman" w:hAnsi="Verdana" w:cs="Arial"/>
                <w:color w:val="365F91"/>
                <w:sz w:val="18"/>
                <w:szCs w:val="18"/>
              </w:rPr>
              <w:t>π</w:t>
            </w:r>
            <w:proofErr w:type="spellStart"/>
            <w:r w:rsidRPr="00D7245F">
              <w:rPr>
                <w:rFonts w:ascii="Verdana" w:eastAsia="Times New Roman" w:hAnsi="Verdana" w:cs="Arial"/>
                <w:color w:val="365F91"/>
                <w:sz w:val="18"/>
                <w:szCs w:val="18"/>
              </w:rPr>
              <w:t>όδηση</w:t>
            </w:r>
            <w:proofErr w:type="spellEnd"/>
          </w:p>
        </w:tc>
        <w:tc>
          <w:tcPr>
            <w:tcW w:w="803" w:type="pct"/>
            <w:tcBorders>
              <w:top w:val="nil"/>
              <w:bottom w:val="nil"/>
            </w:tcBorders>
            <w:shd w:val="clear" w:color="FFFFFF" w:fill="FFFFFF"/>
            <w:noWrap/>
            <w:vAlign w:val="center"/>
            <w:hideMark/>
          </w:tcPr>
          <w:p w14:paraId="7DE5ACB7"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721</w:t>
            </w:r>
          </w:p>
        </w:tc>
        <w:tc>
          <w:tcPr>
            <w:tcW w:w="1241" w:type="pct"/>
            <w:tcBorders>
              <w:top w:val="nil"/>
              <w:bottom w:val="nil"/>
            </w:tcBorders>
            <w:shd w:val="clear" w:color="FFFFFF" w:fill="FFFFFF"/>
            <w:vAlign w:val="center"/>
          </w:tcPr>
          <w:p w14:paraId="6F1FEC94" w14:textId="2450A979"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0,01</w:t>
            </w:r>
          </w:p>
        </w:tc>
        <w:tc>
          <w:tcPr>
            <w:tcW w:w="1238" w:type="pct"/>
            <w:tcBorders>
              <w:top w:val="nil"/>
              <w:bottom w:val="nil"/>
            </w:tcBorders>
            <w:shd w:val="clear" w:color="FFFFFF" w:fill="FFFFFF"/>
            <w:vAlign w:val="center"/>
          </w:tcPr>
          <w:p w14:paraId="36C3CC99" w14:textId="306481DC"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0,52</w:t>
            </w:r>
          </w:p>
        </w:tc>
      </w:tr>
      <w:tr w:rsidR="004B1104" w:rsidRPr="00D7245F" w14:paraId="318667D3" w14:textId="77777777" w:rsidTr="004B1104">
        <w:trPr>
          <w:trHeight w:val="616"/>
          <w:jc w:val="right"/>
        </w:trPr>
        <w:tc>
          <w:tcPr>
            <w:tcW w:w="1718" w:type="pct"/>
            <w:tcBorders>
              <w:top w:val="nil"/>
              <w:bottom w:val="nil"/>
            </w:tcBorders>
            <w:shd w:val="clear" w:color="FFFFFF" w:fill="FFFFFF"/>
            <w:vAlign w:val="center"/>
            <w:hideMark/>
          </w:tcPr>
          <w:p w14:paraId="059C1354" w14:textId="77777777" w:rsidR="004B1104" w:rsidRPr="00D7245F" w:rsidRDefault="004B1104" w:rsidP="004B1104">
            <w:pP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Στέγαση, Ύδρευση, Ηλεκτρισμός και Υγραέριο</w:t>
            </w:r>
          </w:p>
        </w:tc>
        <w:tc>
          <w:tcPr>
            <w:tcW w:w="803" w:type="pct"/>
            <w:tcBorders>
              <w:top w:val="nil"/>
              <w:bottom w:val="nil"/>
            </w:tcBorders>
            <w:shd w:val="clear" w:color="FFFFFF" w:fill="FFFFFF"/>
            <w:vAlign w:val="center"/>
            <w:hideMark/>
          </w:tcPr>
          <w:p w14:paraId="4F9E27D9"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1119</w:t>
            </w:r>
          </w:p>
        </w:tc>
        <w:tc>
          <w:tcPr>
            <w:tcW w:w="1241" w:type="pct"/>
            <w:tcBorders>
              <w:top w:val="nil"/>
              <w:bottom w:val="nil"/>
            </w:tcBorders>
            <w:shd w:val="clear" w:color="FFFFFF" w:fill="FFFFFF"/>
            <w:vAlign w:val="center"/>
          </w:tcPr>
          <w:p w14:paraId="016BA1BA" w14:textId="36661E42"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3,48</w:t>
            </w:r>
          </w:p>
        </w:tc>
        <w:tc>
          <w:tcPr>
            <w:tcW w:w="1238" w:type="pct"/>
            <w:tcBorders>
              <w:top w:val="nil"/>
              <w:bottom w:val="nil"/>
            </w:tcBorders>
            <w:shd w:val="clear" w:color="FFFFFF" w:fill="FFFFFF"/>
            <w:vAlign w:val="center"/>
          </w:tcPr>
          <w:p w14:paraId="192813A5" w14:textId="4D0FEEC6"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-0,16</w:t>
            </w:r>
          </w:p>
        </w:tc>
      </w:tr>
      <w:tr w:rsidR="004B1104" w:rsidRPr="00D7245F" w14:paraId="215783F0" w14:textId="77777777" w:rsidTr="004B1104">
        <w:trPr>
          <w:trHeight w:val="607"/>
          <w:jc w:val="right"/>
        </w:trPr>
        <w:tc>
          <w:tcPr>
            <w:tcW w:w="1718" w:type="pct"/>
            <w:tcBorders>
              <w:top w:val="nil"/>
              <w:bottom w:val="nil"/>
            </w:tcBorders>
            <w:shd w:val="clear" w:color="FFFFFF" w:fill="FFFFFF"/>
            <w:vAlign w:val="center"/>
            <w:hideMark/>
          </w:tcPr>
          <w:p w14:paraId="0C49E88D" w14:textId="77777777" w:rsidR="004B1104" w:rsidRPr="00D7245F" w:rsidRDefault="004B1104" w:rsidP="004B1104">
            <w:pP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 xml:space="preserve">Επίπλωση, Οικιακός Εξοπλισμός και </w:t>
            </w:r>
            <w:proofErr w:type="spellStart"/>
            <w:r w:rsidRPr="00D7245F">
              <w:rPr>
                <w:rFonts w:ascii="Verdana" w:eastAsia="Times New Roman" w:hAnsi="Verdana" w:cs="Arial"/>
                <w:color w:val="365F91"/>
                <w:sz w:val="18"/>
                <w:szCs w:val="18"/>
                <w:lang w:val="el-GR"/>
              </w:rPr>
              <w:t>Προΐόντα</w:t>
            </w:r>
            <w:proofErr w:type="spellEnd"/>
            <w:r w:rsidRPr="00D7245F">
              <w:rPr>
                <w:rFonts w:ascii="Verdana" w:eastAsia="Times New Roman" w:hAnsi="Verdana" w:cs="Arial"/>
                <w:color w:val="365F91"/>
                <w:sz w:val="18"/>
                <w:szCs w:val="18"/>
                <w:lang w:val="el-GR"/>
              </w:rPr>
              <w:t xml:space="preserve"> Καθαρισμού</w:t>
            </w:r>
          </w:p>
        </w:tc>
        <w:tc>
          <w:tcPr>
            <w:tcW w:w="803" w:type="pct"/>
            <w:tcBorders>
              <w:top w:val="nil"/>
              <w:bottom w:val="nil"/>
            </w:tcBorders>
            <w:shd w:val="clear" w:color="FFFFFF" w:fill="FFFFFF"/>
            <w:vAlign w:val="center"/>
            <w:hideMark/>
          </w:tcPr>
          <w:p w14:paraId="0A6B31B8"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644</w:t>
            </w:r>
          </w:p>
        </w:tc>
        <w:tc>
          <w:tcPr>
            <w:tcW w:w="1241" w:type="pct"/>
            <w:tcBorders>
              <w:top w:val="nil"/>
              <w:bottom w:val="nil"/>
            </w:tcBorders>
            <w:shd w:val="clear" w:color="FFFFFF" w:fill="FFFFFF"/>
            <w:vAlign w:val="center"/>
          </w:tcPr>
          <w:p w14:paraId="4D5F1C6C" w14:textId="1E1CD70E"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0,39</w:t>
            </w:r>
          </w:p>
        </w:tc>
        <w:tc>
          <w:tcPr>
            <w:tcW w:w="1238" w:type="pct"/>
            <w:tcBorders>
              <w:top w:val="nil"/>
              <w:bottom w:val="nil"/>
            </w:tcBorders>
            <w:shd w:val="clear" w:color="FFFFFF" w:fill="FFFFFF"/>
            <w:vAlign w:val="center"/>
          </w:tcPr>
          <w:p w14:paraId="54D242BF" w14:textId="79E55416"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0,07</w:t>
            </w:r>
          </w:p>
        </w:tc>
      </w:tr>
      <w:tr w:rsidR="004B1104" w:rsidRPr="00D7245F" w14:paraId="107081D7" w14:textId="77777777" w:rsidTr="004B1104">
        <w:trPr>
          <w:trHeight w:val="375"/>
          <w:jc w:val="right"/>
        </w:trPr>
        <w:tc>
          <w:tcPr>
            <w:tcW w:w="1718" w:type="pct"/>
            <w:tcBorders>
              <w:top w:val="nil"/>
              <w:bottom w:val="nil"/>
            </w:tcBorders>
            <w:shd w:val="clear" w:color="FFFFFF" w:fill="FFFFFF"/>
            <w:noWrap/>
            <w:vAlign w:val="center"/>
            <w:hideMark/>
          </w:tcPr>
          <w:p w14:paraId="356D4CE7"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Υγεί</w:t>
            </w:r>
            <w:proofErr w:type="spellEnd"/>
            <w:r w:rsidRPr="00D7245F">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3D2C1508"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637</w:t>
            </w:r>
          </w:p>
        </w:tc>
        <w:tc>
          <w:tcPr>
            <w:tcW w:w="1241" w:type="pct"/>
            <w:tcBorders>
              <w:top w:val="nil"/>
              <w:bottom w:val="nil"/>
            </w:tcBorders>
            <w:shd w:val="clear" w:color="FFFFFF" w:fill="FFFFFF"/>
            <w:vAlign w:val="center"/>
          </w:tcPr>
          <w:p w14:paraId="5F2FA8F3" w14:textId="08DCBCA0"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0,04</w:t>
            </w:r>
          </w:p>
        </w:tc>
        <w:tc>
          <w:tcPr>
            <w:tcW w:w="1238" w:type="pct"/>
            <w:tcBorders>
              <w:top w:val="nil"/>
              <w:bottom w:val="nil"/>
            </w:tcBorders>
            <w:shd w:val="clear" w:color="FFFFFF" w:fill="FFFFFF"/>
            <w:vAlign w:val="center"/>
          </w:tcPr>
          <w:p w14:paraId="42715256" w14:textId="195D1954"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0,01</w:t>
            </w:r>
          </w:p>
        </w:tc>
      </w:tr>
      <w:tr w:rsidR="004B1104" w:rsidRPr="00D7245F" w14:paraId="120C2413" w14:textId="77777777" w:rsidTr="004B1104">
        <w:trPr>
          <w:trHeight w:val="375"/>
          <w:jc w:val="right"/>
        </w:trPr>
        <w:tc>
          <w:tcPr>
            <w:tcW w:w="1718" w:type="pct"/>
            <w:tcBorders>
              <w:top w:val="nil"/>
              <w:bottom w:val="nil"/>
            </w:tcBorders>
            <w:shd w:val="clear" w:color="FFFFFF" w:fill="FFFFFF"/>
            <w:noWrap/>
            <w:vAlign w:val="center"/>
            <w:hideMark/>
          </w:tcPr>
          <w:p w14:paraId="4731CB5A"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Μετ</w:t>
            </w:r>
            <w:proofErr w:type="spellEnd"/>
            <w:r w:rsidRPr="00D7245F">
              <w:rPr>
                <w:rFonts w:ascii="Verdana" w:eastAsia="Times New Roman" w:hAnsi="Verdana" w:cs="Arial"/>
                <w:color w:val="365F91"/>
                <w:sz w:val="18"/>
                <w:szCs w:val="18"/>
              </w:rPr>
              <w:t>αφορές</w:t>
            </w:r>
          </w:p>
        </w:tc>
        <w:tc>
          <w:tcPr>
            <w:tcW w:w="803" w:type="pct"/>
            <w:tcBorders>
              <w:top w:val="nil"/>
              <w:bottom w:val="nil"/>
            </w:tcBorders>
            <w:shd w:val="clear" w:color="FFFFFF" w:fill="FFFFFF"/>
            <w:noWrap/>
            <w:vAlign w:val="center"/>
            <w:hideMark/>
          </w:tcPr>
          <w:p w14:paraId="5C532904"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1524</w:t>
            </w:r>
          </w:p>
        </w:tc>
        <w:tc>
          <w:tcPr>
            <w:tcW w:w="1241" w:type="pct"/>
            <w:tcBorders>
              <w:top w:val="nil"/>
              <w:bottom w:val="nil"/>
            </w:tcBorders>
            <w:shd w:val="clear" w:color="FFFFFF" w:fill="FFFFFF"/>
            <w:vAlign w:val="center"/>
          </w:tcPr>
          <w:p w14:paraId="7D5958D0" w14:textId="00478DA4"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2,19</w:t>
            </w:r>
          </w:p>
        </w:tc>
        <w:tc>
          <w:tcPr>
            <w:tcW w:w="1238" w:type="pct"/>
            <w:tcBorders>
              <w:top w:val="nil"/>
              <w:bottom w:val="nil"/>
            </w:tcBorders>
            <w:shd w:val="clear" w:color="FFFFFF" w:fill="FFFFFF"/>
            <w:vAlign w:val="center"/>
          </w:tcPr>
          <w:p w14:paraId="67B12603" w14:textId="3CC6BDA4"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-1,03</w:t>
            </w:r>
          </w:p>
        </w:tc>
      </w:tr>
      <w:tr w:rsidR="004B1104" w:rsidRPr="00D7245F" w14:paraId="211DF7D2" w14:textId="77777777" w:rsidTr="004B1104">
        <w:trPr>
          <w:trHeight w:val="375"/>
          <w:jc w:val="right"/>
        </w:trPr>
        <w:tc>
          <w:tcPr>
            <w:tcW w:w="1718" w:type="pct"/>
            <w:tcBorders>
              <w:top w:val="nil"/>
              <w:bottom w:val="nil"/>
            </w:tcBorders>
            <w:shd w:val="clear" w:color="FFFFFF" w:fill="FFFFFF"/>
            <w:noWrap/>
            <w:vAlign w:val="center"/>
            <w:hideMark/>
          </w:tcPr>
          <w:p w14:paraId="76D09E5A" w14:textId="77777777" w:rsidR="004B1104" w:rsidRPr="00D7245F" w:rsidRDefault="004B1104" w:rsidP="004B1104">
            <w:pPr>
              <w:rPr>
                <w:rFonts w:ascii="Verdana" w:eastAsia="Times New Roman" w:hAnsi="Verdana" w:cs="Arial"/>
                <w:color w:val="365F91"/>
                <w:sz w:val="18"/>
                <w:szCs w:val="18"/>
              </w:rPr>
            </w:pPr>
            <w:r w:rsidRPr="00D7245F">
              <w:rPr>
                <w:rFonts w:ascii="Verdana" w:eastAsia="Times New Roman" w:hAnsi="Verdana" w:cs="Arial"/>
                <w:color w:val="365F91"/>
                <w:sz w:val="18"/>
                <w:szCs w:val="18"/>
              </w:rPr>
              <w:t>Επ</w:t>
            </w:r>
            <w:proofErr w:type="spellStart"/>
            <w:r w:rsidRPr="00D7245F">
              <w:rPr>
                <w:rFonts w:ascii="Verdana" w:eastAsia="Times New Roman" w:hAnsi="Verdana" w:cs="Arial"/>
                <w:color w:val="365F91"/>
                <w:sz w:val="18"/>
                <w:szCs w:val="18"/>
              </w:rPr>
              <w:t>ικοινωνίες</w:t>
            </w:r>
            <w:proofErr w:type="spellEnd"/>
          </w:p>
        </w:tc>
        <w:tc>
          <w:tcPr>
            <w:tcW w:w="803" w:type="pct"/>
            <w:tcBorders>
              <w:top w:val="nil"/>
              <w:bottom w:val="nil"/>
            </w:tcBorders>
            <w:shd w:val="clear" w:color="FFFFFF" w:fill="FFFFFF"/>
            <w:noWrap/>
            <w:vAlign w:val="center"/>
            <w:hideMark/>
          </w:tcPr>
          <w:p w14:paraId="3C57DE67"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439</w:t>
            </w:r>
          </w:p>
        </w:tc>
        <w:tc>
          <w:tcPr>
            <w:tcW w:w="1241" w:type="pct"/>
            <w:tcBorders>
              <w:top w:val="nil"/>
              <w:bottom w:val="nil"/>
            </w:tcBorders>
            <w:shd w:val="clear" w:color="FFFFFF" w:fill="FFFFFF"/>
            <w:vAlign w:val="center"/>
          </w:tcPr>
          <w:p w14:paraId="11FBEB10" w14:textId="7ABBD570"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-0,09</w:t>
            </w:r>
          </w:p>
        </w:tc>
        <w:tc>
          <w:tcPr>
            <w:tcW w:w="1238" w:type="pct"/>
            <w:tcBorders>
              <w:top w:val="nil"/>
              <w:bottom w:val="nil"/>
            </w:tcBorders>
            <w:shd w:val="clear" w:color="FFFFFF" w:fill="FFFFFF"/>
            <w:vAlign w:val="center"/>
          </w:tcPr>
          <w:p w14:paraId="08758FE5" w14:textId="5207C8A1"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0,00</w:t>
            </w:r>
          </w:p>
        </w:tc>
      </w:tr>
      <w:tr w:rsidR="004B1104" w:rsidRPr="00D7245F" w14:paraId="5A0817DE" w14:textId="77777777" w:rsidTr="004B1104">
        <w:trPr>
          <w:trHeight w:val="375"/>
          <w:jc w:val="right"/>
        </w:trPr>
        <w:tc>
          <w:tcPr>
            <w:tcW w:w="1718" w:type="pct"/>
            <w:tcBorders>
              <w:top w:val="nil"/>
              <w:bottom w:val="nil"/>
            </w:tcBorders>
            <w:shd w:val="clear" w:color="FFFFFF" w:fill="FFFFFF"/>
            <w:noWrap/>
            <w:vAlign w:val="center"/>
            <w:hideMark/>
          </w:tcPr>
          <w:p w14:paraId="15B8EC8A"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Αν</w:t>
            </w:r>
            <w:proofErr w:type="spellEnd"/>
            <w:r w:rsidRPr="00D7245F">
              <w:rPr>
                <w:rFonts w:ascii="Verdana" w:eastAsia="Times New Roman" w:hAnsi="Verdana" w:cs="Arial"/>
                <w:color w:val="365F91"/>
                <w:sz w:val="18"/>
                <w:szCs w:val="18"/>
              </w:rPr>
              <w:t xml:space="preserve">αψυχή και </w:t>
            </w:r>
            <w:r w:rsidRPr="00D7245F">
              <w:rPr>
                <w:rFonts w:ascii="Verdana" w:eastAsia="Times New Roman" w:hAnsi="Verdana" w:cs="Arial"/>
                <w:color w:val="365F91"/>
                <w:sz w:val="18"/>
                <w:szCs w:val="18"/>
                <w:lang w:val="el-GR"/>
              </w:rPr>
              <w:t>Π</w:t>
            </w:r>
            <w:proofErr w:type="spellStart"/>
            <w:r w:rsidRPr="00D7245F">
              <w:rPr>
                <w:rFonts w:ascii="Verdana" w:eastAsia="Times New Roman" w:hAnsi="Verdana" w:cs="Arial"/>
                <w:color w:val="365F91"/>
                <w:sz w:val="18"/>
                <w:szCs w:val="18"/>
              </w:rPr>
              <w:t>ολιτισμός</w:t>
            </w:r>
            <w:proofErr w:type="spellEnd"/>
          </w:p>
        </w:tc>
        <w:tc>
          <w:tcPr>
            <w:tcW w:w="803" w:type="pct"/>
            <w:tcBorders>
              <w:top w:val="nil"/>
              <w:bottom w:val="nil"/>
            </w:tcBorders>
            <w:shd w:val="clear" w:color="FFFFFF" w:fill="FFFFFF"/>
            <w:noWrap/>
            <w:vAlign w:val="center"/>
            <w:hideMark/>
          </w:tcPr>
          <w:p w14:paraId="725714EA"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575</w:t>
            </w:r>
          </w:p>
        </w:tc>
        <w:tc>
          <w:tcPr>
            <w:tcW w:w="1241" w:type="pct"/>
            <w:tcBorders>
              <w:top w:val="nil"/>
              <w:bottom w:val="nil"/>
            </w:tcBorders>
            <w:shd w:val="clear" w:color="FFFFFF" w:fill="FFFFFF"/>
            <w:vAlign w:val="center"/>
          </w:tcPr>
          <w:p w14:paraId="11CA4A59" w14:textId="56EBF9B5"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0,33</w:t>
            </w:r>
          </w:p>
        </w:tc>
        <w:tc>
          <w:tcPr>
            <w:tcW w:w="1238" w:type="pct"/>
            <w:tcBorders>
              <w:top w:val="nil"/>
              <w:bottom w:val="nil"/>
            </w:tcBorders>
            <w:shd w:val="clear" w:color="FFFFFF" w:fill="FFFFFF"/>
            <w:vAlign w:val="center"/>
          </w:tcPr>
          <w:p w14:paraId="1892FD32" w14:textId="26D416B5"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-0,02</w:t>
            </w:r>
          </w:p>
        </w:tc>
      </w:tr>
      <w:tr w:rsidR="004B1104" w:rsidRPr="00D7245F" w14:paraId="731D634B" w14:textId="77777777" w:rsidTr="004B1104">
        <w:trPr>
          <w:trHeight w:val="375"/>
          <w:jc w:val="right"/>
        </w:trPr>
        <w:tc>
          <w:tcPr>
            <w:tcW w:w="1718" w:type="pct"/>
            <w:tcBorders>
              <w:top w:val="nil"/>
              <w:bottom w:val="nil"/>
            </w:tcBorders>
            <w:shd w:val="clear" w:color="FFFFFF" w:fill="FFFFFF"/>
            <w:noWrap/>
            <w:vAlign w:val="center"/>
            <w:hideMark/>
          </w:tcPr>
          <w:p w14:paraId="03887C0A"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Εκ</w:t>
            </w:r>
            <w:proofErr w:type="spellEnd"/>
            <w:r w:rsidRPr="00D7245F">
              <w:rPr>
                <w:rFonts w:ascii="Verdana" w:eastAsia="Times New Roman" w:hAnsi="Verdana" w:cs="Arial"/>
                <w:color w:val="365F91"/>
                <w:sz w:val="18"/>
                <w:szCs w:val="18"/>
              </w:rPr>
              <w:t>παίδευση</w:t>
            </w:r>
          </w:p>
        </w:tc>
        <w:tc>
          <w:tcPr>
            <w:tcW w:w="803" w:type="pct"/>
            <w:tcBorders>
              <w:top w:val="nil"/>
              <w:bottom w:val="nil"/>
            </w:tcBorders>
            <w:shd w:val="clear" w:color="FFFFFF" w:fill="FFFFFF"/>
            <w:noWrap/>
            <w:vAlign w:val="center"/>
            <w:hideMark/>
          </w:tcPr>
          <w:p w14:paraId="260B3DB0"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392</w:t>
            </w:r>
          </w:p>
        </w:tc>
        <w:tc>
          <w:tcPr>
            <w:tcW w:w="1241" w:type="pct"/>
            <w:tcBorders>
              <w:top w:val="nil"/>
              <w:bottom w:val="nil"/>
            </w:tcBorders>
            <w:shd w:val="clear" w:color="FFFFFF" w:fill="FFFFFF"/>
            <w:vAlign w:val="center"/>
          </w:tcPr>
          <w:p w14:paraId="184A494E" w14:textId="61CFBA7C"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0,07</w:t>
            </w:r>
          </w:p>
        </w:tc>
        <w:tc>
          <w:tcPr>
            <w:tcW w:w="1238" w:type="pct"/>
            <w:tcBorders>
              <w:top w:val="nil"/>
              <w:bottom w:val="nil"/>
            </w:tcBorders>
            <w:shd w:val="clear" w:color="FFFFFF" w:fill="FFFFFF"/>
            <w:vAlign w:val="center"/>
          </w:tcPr>
          <w:p w14:paraId="74EAE9EF" w14:textId="1107D73B"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0,07</w:t>
            </w:r>
          </w:p>
        </w:tc>
      </w:tr>
      <w:tr w:rsidR="004B1104" w:rsidRPr="00D7245F" w14:paraId="68212E85" w14:textId="77777777" w:rsidTr="004B1104">
        <w:trPr>
          <w:trHeight w:val="375"/>
          <w:jc w:val="right"/>
        </w:trPr>
        <w:tc>
          <w:tcPr>
            <w:tcW w:w="1718" w:type="pct"/>
            <w:tcBorders>
              <w:top w:val="nil"/>
              <w:bottom w:val="nil"/>
            </w:tcBorders>
            <w:shd w:val="clear" w:color="FFFFFF" w:fill="FFFFFF"/>
            <w:noWrap/>
            <w:vAlign w:val="center"/>
            <w:hideMark/>
          </w:tcPr>
          <w:p w14:paraId="49771C9F"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Εστι</w:t>
            </w:r>
            <w:proofErr w:type="spellEnd"/>
            <w:r w:rsidRPr="00D7245F">
              <w:rPr>
                <w:rFonts w:ascii="Verdana" w:eastAsia="Times New Roman" w:hAnsi="Verdana" w:cs="Arial"/>
                <w:color w:val="365F91"/>
                <w:sz w:val="18"/>
                <w:szCs w:val="18"/>
              </w:rPr>
              <w:t xml:space="preserve">ατόρια και </w:t>
            </w:r>
            <w:r w:rsidRPr="00D7245F">
              <w:rPr>
                <w:rFonts w:ascii="Verdana" w:eastAsia="Times New Roman" w:hAnsi="Verdana" w:cs="Arial"/>
                <w:color w:val="365F91"/>
                <w:sz w:val="18"/>
                <w:szCs w:val="18"/>
                <w:lang w:val="el-GR"/>
              </w:rPr>
              <w:t>Ξ</w:t>
            </w:r>
            <w:proofErr w:type="spellStart"/>
            <w:r w:rsidRPr="00D7245F">
              <w:rPr>
                <w:rFonts w:ascii="Verdana" w:eastAsia="Times New Roman" w:hAnsi="Verdana" w:cs="Arial"/>
                <w:color w:val="365F91"/>
                <w:sz w:val="18"/>
                <w:szCs w:val="18"/>
              </w:rPr>
              <w:t>ενοδοχεί</w:t>
            </w:r>
            <w:proofErr w:type="spellEnd"/>
            <w:r w:rsidRPr="00D7245F">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7991DAA6"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836</w:t>
            </w:r>
          </w:p>
        </w:tc>
        <w:tc>
          <w:tcPr>
            <w:tcW w:w="1241" w:type="pct"/>
            <w:tcBorders>
              <w:top w:val="nil"/>
              <w:bottom w:val="nil"/>
            </w:tcBorders>
            <w:shd w:val="clear" w:color="FFFFFF" w:fill="FFFFFF"/>
            <w:vAlign w:val="center"/>
          </w:tcPr>
          <w:p w14:paraId="6B7DF8CE" w14:textId="3833585E"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0,84</w:t>
            </w:r>
          </w:p>
        </w:tc>
        <w:tc>
          <w:tcPr>
            <w:tcW w:w="1238" w:type="pct"/>
            <w:tcBorders>
              <w:top w:val="nil"/>
              <w:bottom w:val="nil"/>
            </w:tcBorders>
            <w:shd w:val="clear" w:color="FFFFFF" w:fill="FFFFFF"/>
            <w:vAlign w:val="center"/>
          </w:tcPr>
          <w:p w14:paraId="5ABEE342" w14:textId="215C4200"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0,03</w:t>
            </w:r>
          </w:p>
        </w:tc>
      </w:tr>
      <w:tr w:rsidR="004B1104" w:rsidRPr="00D7245F" w14:paraId="5C63625A" w14:textId="77777777" w:rsidTr="004B1104">
        <w:trPr>
          <w:trHeight w:val="375"/>
          <w:jc w:val="right"/>
        </w:trPr>
        <w:tc>
          <w:tcPr>
            <w:tcW w:w="1718" w:type="pct"/>
            <w:tcBorders>
              <w:top w:val="nil"/>
              <w:bottom w:val="single" w:sz="4" w:space="0" w:color="366092"/>
            </w:tcBorders>
            <w:shd w:val="clear" w:color="FFFFFF" w:fill="FFFFFF"/>
            <w:noWrap/>
            <w:vAlign w:val="center"/>
            <w:hideMark/>
          </w:tcPr>
          <w:p w14:paraId="5C029276" w14:textId="77777777" w:rsidR="004B1104" w:rsidRPr="00D7245F" w:rsidRDefault="004B1104" w:rsidP="004B1104">
            <w:pPr>
              <w:rPr>
                <w:rFonts w:ascii="Verdana" w:eastAsia="Times New Roman" w:hAnsi="Verdana" w:cs="Arial"/>
                <w:color w:val="365F91"/>
                <w:sz w:val="18"/>
                <w:szCs w:val="18"/>
              </w:rPr>
            </w:pPr>
            <w:proofErr w:type="spellStart"/>
            <w:r w:rsidRPr="00D7245F">
              <w:rPr>
                <w:rFonts w:ascii="Verdana" w:eastAsia="Times New Roman" w:hAnsi="Verdana" w:cs="Arial"/>
                <w:color w:val="365F91"/>
                <w:sz w:val="18"/>
                <w:szCs w:val="18"/>
              </w:rPr>
              <w:t>Άλλ</w:t>
            </w:r>
            <w:proofErr w:type="spellEnd"/>
            <w:r w:rsidRPr="00D7245F">
              <w:rPr>
                <w:rFonts w:ascii="Verdana" w:eastAsia="Times New Roman" w:hAnsi="Verdana" w:cs="Arial"/>
                <w:color w:val="365F91"/>
                <w:sz w:val="18"/>
                <w:szCs w:val="18"/>
              </w:rPr>
              <w:t xml:space="preserve">α </w:t>
            </w:r>
            <w:r w:rsidRPr="00D7245F">
              <w:rPr>
                <w:rFonts w:ascii="Verdana" w:eastAsia="Times New Roman" w:hAnsi="Verdana" w:cs="Arial"/>
                <w:color w:val="365F91"/>
                <w:sz w:val="18"/>
                <w:szCs w:val="18"/>
                <w:lang w:val="el-GR"/>
              </w:rPr>
              <w:t>Α</w:t>
            </w:r>
            <w:r w:rsidRPr="00D7245F">
              <w:rPr>
                <w:rFonts w:ascii="Verdana" w:eastAsia="Times New Roman" w:hAnsi="Verdana" w:cs="Arial"/>
                <w:color w:val="365F91"/>
                <w:sz w:val="18"/>
                <w:szCs w:val="18"/>
              </w:rPr>
              <w:t>γα</w:t>
            </w:r>
            <w:proofErr w:type="spellStart"/>
            <w:r w:rsidRPr="00D7245F">
              <w:rPr>
                <w:rFonts w:ascii="Verdana" w:eastAsia="Times New Roman" w:hAnsi="Verdana" w:cs="Arial"/>
                <w:color w:val="365F91"/>
                <w:sz w:val="18"/>
                <w:szCs w:val="18"/>
              </w:rPr>
              <w:t>θά</w:t>
            </w:r>
            <w:proofErr w:type="spellEnd"/>
            <w:r w:rsidRPr="00D7245F">
              <w:rPr>
                <w:rFonts w:ascii="Verdana" w:eastAsia="Times New Roman" w:hAnsi="Verdana" w:cs="Arial"/>
                <w:color w:val="365F91"/>
                <w:sz w:val="18"/>
                <w:szCs w:val="18"/>
              </w:rPr>
              <w:t xml:space="preserve"> και </w:t>
            </w:r>
            <w:r w:rsidRPr="00D7245F">
              <w:rPr>
                <w:rFonts w:ascii="Verdana" w:eastAsia="Times New Roman" w:hAnsi="Verdana" w:cs="Arial"/>
                <w:color w:val="365F91"/>
                <w:sz w:val="18"/>
                <w:szCs w:val="18"/>
                <w:lang w:val="el-GR"/>
              </w:rPr>
              <w:t>Υ</w:t>
            </w:r>
            <w:r w:rsidRPr="00D7245F">
              <w:rPr>
                <w:rFonts w:ascii="Verdana" w:eastAsia="Times New Roman" w:hAnsi="Verdana" w:cs="Arial"/>
                <w:color w:val="365F91"/>
                <w:sz w:val="18"/>
                <w:szCs w:val="18"/>
              </w:rPr>
              <w:t>π</w:t>
            </w:r>
            <w:proofErr w:type="spellStart"/>
            <w:r w:rsidRPr="00D7245F">
              <w:rPr>
                <w:rFonts w:ascii="Verdana" w:eastAsia="Times New Roman" w:hAnsi="Verdana" w:cs="Arial"/>
                <w:color w:val="365F91"/>
                <w:sz w:val="18"/>
                <w:szCs w:val="18"/>
              </w:rPr>
              <w:t>ηρεσίες</w:t>
            </w:r>
            <w:proofErr w:type="spellEnd"/>
          </w:p>
        </w:tc>
        <w:tc>
          <w:tcPr>
            <w:tcW w:w="803" w:type="pct"/>
            <w:tcBorders>
              <w:top w:val="nil"/>
              <w:bottom w:val="single" w:sz="4" w:space="0" w:color="366092"/>
            </w:tcBorders>
            <w:shd w:val="clear" w:color="FFFFFF" w:fill="FFFFFF"/>
            <w:noWrap/>
            <w:vAlign w:val="center"/>
            <w:hideMark/>
          </w:tcPr>
          <w:p w14:paraId="69B99327" w14:textId="77777777" w:rsidR="004B1104" w:rsidRPr="00D7245F" w:rsidRDefault="004B1104" w:rsidP="004B1104">
            <w:pPr>
              <w:ind w:firstLineChars="100" w:firstLine="180"/>
              <w:jc w:val="center"/>
              <w:rPr>
                <w:rFonts w:ascii="Verdana" w:eastAsia="Times New Roman" w:hAnsi="Verdana" w:cs="Arial"/>
                <w:color w:val="365F91"/>
                <w:sz w:val="18"/>
                <w:szCs w:val="18"/>
                <w:lang w:val="el-GR"/>
              </w:rPr>
            </w:pPr>
            <w:r w:rsidRPr="00D7245F">
              <w:rPr>
                <w:rFonts w:ascii="Verdana" w:eastAsia="Times New Roman" w:hAnsi="Verdana" w:cs="Arial"/>
                <w:color w:val="365F91"/>
                <w:sz w:val="18"/>
                <w:szCs w:val="18"/>
                <w:lang w:val="el-GR"/>
              </w:rPr>
              <w:t>860</w:t>
            </w:r>
          </w:p>
        </w:tc>
        <w:tc>
          <w:tcPr>
            <w:tcW w:w="1241" w:type="pct"/>
            <w:tcBorders>
              <w:top w:val="nil"/>
              <w:bottom w:val="single" w:sz="4" w:space="0" w:color="366092"/>
            </w:tcBorders>
            <w:shd w:val="clear" w:color="FFFFFF" w:fill="FFFFFF"/>
            <w:vAlign w:val="center"/>
          </w:tcPr>
          <w:p w14:paraId="0F4F3AA7" w14:textId="61D9008E"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0,27</w:t>
            </w:r>
          </w:p>
        </w:tc>
        <w:tc>
          <w:tcPr>
            <w:tcW w:w="1238" w:type="pct"/>
            <w:tcBorders>
              <w:top w:val="nil"/>
              <w:bottom w:val="single" w:sz="4" w:space="0" w:color="366092"/>
            </w:tcBorders>
            <w:shd w:val="clear" w:color="FFFFFF" w:fill="FFFFFF"/>
            <w:vAlign w:val="center"/>
          </w:tcPr>
          <w:p w14:paraId="6D89D954" w14:textId="10541E11" w:rsidR="004B1104" w:rsidRPr="00D7245F" w:rsidRDefault="004B1104" w:rsidP="004B1104">
            <w:pPr>
              <w:ind w:right="851"/>
              <w:jc w:val="right"/>
              <w:rPr>
                <w:rFonts w:ascii="Verdana" w:hAnsi="Verdana"/>
                <w:color w:val="365F91"/>
                <w:sz w:val="18"/>
                <w:szCs w:val="18"/>
              </w:rPr>
            </w:pPr>
            <w:r w:rsidRPr="00D7245F">
              <w:rPr>
                <w:rFonts w:ascii="Verdana" w:hAnsi="Verdana"/>
                <w:color w:val="365F91"/>
                <w:sz w:val="18"/>
                <w:szCs w:val="18"/>
              </w:rPr>
              <w:t>0,06</w:t>
            </w:r>
          </w:p>
        </w:tc>
      </w:tr>
      <w:tr w:rsidR="004B1104" w:rsidRPr="00D7245F" w14:paraId="6771A5B6" w14:textId="77777777" w:rsidTr="004B1104">
        <w:trPr>
          <w:trHeight w:val="375"/>
          <w:jc w:val="right"/>
        </w:trPr>
        <w:tc>
          <w:tcPr>
            <w:tcW w:w="1718" w:type="pct"/>
            <w:tcBorders>
              <w:top w:val="single" w:sz="4" w:space="0" w:color="366092"/>
              <w:bottom w:val="single" w:sz="4" w:space="0" w:color="366092"/>
            </w:tcBorders>
            <w:shd w:val="clear" w:color="FFFFFF" w:fill="FFFFFF"/>
            <w:noWrap/>
            <w:vAlign w:val="center"/>
            <w:hideMark/>
          </w:tcPr>
          <w:p w14:paraId="6BC0F3D4" w14:textId="77777777" w:rsidR="004B1104" w:rsidRPr="00D7245F" w:rsidRDefault="004B1104" w:rsidP="004B1104">
            <w:pPr>
              <w:rPr>
                <w:rFonts w:ascii="Verdana" w:eastAsia="Times New Roman" w:hAnsi="Verdana" w:cs="Arial"/>
                <w:b/>
                <w:bCs/>
                <w:color w:val="365F91"/>
                <w:sz w:val="18"/>
                <w:szCs w:val="18"/>
              </w:rPr>
            </w:pPr>
            <w:proofErr w:type="spellStart"/>
            <w:r w:rsidRPr="00D7245F">
              <w:rPr>
                <w:rFonts w:ascii="Verdana" w:eastAsia="Times New Roman" w:hAnsi="Verdana" w:cs="Arial"/>
                <w:b/>
                <w:bCs/>
                <w:color w:val="365F91"/>
                <w:sz w:val="18"/>
                <w:szCs w:val="18"/>
              </w:rPr>
              <w:t>Γενικός</w:t>
            </w:r>
            <w:proofErr w:type="spellEnd"/>
            <w:r w:rsidRPr="00D7245F">
              <w:rPr>
                <w:rFonts w:ascii="Verdana" w:eastAsia="Times New Roman" w:hAnsi="Verdana" w:cs="Arial"/>
                <w:b/>
                <w:bCs/>
                <w:color w:val="365F91"/>
                <w:sz w:val="18"/>
                <w:szCs w:val="18"/>
              </w:rPr>
              <w:t xml:space="preserve"> </w:t>
            </w:r>
            <w:proofErr w:type="spellStart"/>
            <w:r w:rsidRPr="00D7245F">
              <w:rPr>
                <w:rFonts w:ascii="Verdana" w:eastAsia="Times New Roman" w:hAnsi="Verdana" w:cs="Arial"/>
                <w:b/>
                <w:bCs/>
                <w:color w:val="365F91"/>
                <w:sz w:val="18"/>
                <w:szCs w:val="18"/>
              </w:rPr>
              <w:t>Δείκτης</w:t>
            </w:r>
            <w:proofErr w:type="spellEnd"/>
            <w:r w:rsidRPr="00D7245F">
              <w:rPr>
                <w:rFonts w:ascii="Verdana" w:eastAsia="Times New Roman" w:hAnsi="Verdana" w:cs="Arial"/>
                <w:b/>
                <w:bCs/>
                <w:color w:val="365F91"/>
                <w:sz w:val="18"/>
                <w:szCs w:val="18"/>
              </w:rPr>
              <w:t xml:space="preserve"> </w:t>
            </w:r>
            <w:proofErr w:type="spellStart"/>
            <w:r w:rsidRPr="00D7245F">
              <w:rPr>
                <w:rFonts w:ascii="Verdana" w:eastAsia="Times New Roman" w:hAnsi="Verdana" w:cs="Arial"/>
                <w:b/>
                <w:bCs/>
                <w:color w:val="365F91"/>
                <w:sz w:val="18"/>
                <w:szCs w:val="18"/>
              </w:rPr>
              <w:t>Τιμών</w:t>
            </w:r>
            <w:proofErr w:type="spellEnd"/>
            <w:r w:rsidRPr="00D7245F">
              <w:rPr>
                <w:rFonts w:ascii="Verdana" w:eastAsia="Times New Roman" w:hAnsi="Verdana" w:cs="Arial"/>
                <w:b/>
                <w:bCs/>
                <w:color w:val="365F91"/>
                <w:sz w:val="18"/>
                <w:szCs w:val="18"/>
              </w:rPr>
              <w:t xml:space="preserve"> Κατανα</w:t>
            </w:r>
            <w:proofErr w:type="spellStart"/>
            <w:r w:rsidRPr="00D7245F">
              <w:rPr>
                <w:rFonts w:ascii="Verdana" w:eastAsia="Times New Roman" w:hAnsi="Verdana" w:cs="Arial"/>
                <w:b/>
                <w:bCs/>
                <w:color w:val="365F91"/>
                <w:sz w:val="18"/>
                <w:szCs w:val="18"/>
              </w:rPr>
              <w:t>λωτή</w:t>
            </w:r>
            <w:proofErr w:type="spellEnd"/>
          </w:p>
        </w:tc>
        <w:tc>
          <w:tcPr>
            <w:tcW w:w="803" w:type="pct"/>
            <w:tcBorders>
              <w:top w:val="single" w:sz="4" w:space="0" w:color="366092"/>
              <w:bottom w:val="single" w:sz="4" w:space="0" w:color="366092"/>
            </w:tcBorders>
            <w:shd w:val="clear" w:color="FFFFFF" w:fill="FFFFFF"/>
            <w:noWrap/>
            <w:vAlign w:val="center"/>
            <w:hideMark/>
          </w:tcPr>
          <w:p w14:paraId="645703C0" w14:textId="77777777" w:rsidR="004B1104" w:rsidRPr="00D7245F" w:rsidRDefault="004B1104" w:rsidP="004B1104">
            <w:pPr>
              <w:ind w:firstLineChars="100" w:firstLine="181"/>
              <w:jc w:val="center"/>
              <w:rPr>
                <w:rFonts w:ascii="Verdana" w:eastAsia="Times New Roman" w:hAnsi="Verdana" w:cs="Arial"/>
                <w:b/>
                <w:color w:val="365F91"/>
                <w:sz w:val="18"/>
                <w:szCs w:val="18"/>
                <w:lang w:val="el-GR"/>
              </w:rPr>
            </w:pPr>
            <w:r w:rsidRPr="00D7245F">
              <w:rPr>
                <w:rFonts w:ascii="Verdana" w:eastAsia="Times New Roman" w:hAnsi="Verdana" w:cs="Arial"/>
                <w:b/>
                <w:color w:val="365F91"/>
                <w:sz w:val="18"/>
                <w:szCs w:val="18"/>
                <w:lang w:val="el-GR"/>
              </w:rPr>
              <w:t>10000</w:t>
            </w:r>
          </w:p>
        </w:tc>
        <w:tc>
          <w:tcPr>
            <w:tcW w:w="1241" w:type="pct"/>
            <w:tcBorders>
              <w:top w:val="single" w:sz="4" w:space="0" w:color="366092"/>
              <w:bottom w:val="single" w:sz="4" w:space="0" w:color="366092"/>
            </w:tcBorders>
            <w:shd w:val="clear" w:color="000000" w:fill="FFFFFF"/>
            <w:vAlign w:val="center"/>
          </w:tcPr>
          <w:p w14:paraId="7937C0C7" w14:textId="00441477" w:rsidR="004B1104" w:rsidRPr="00D7245F" w:rsidRDefault="004B1104" w:rsidP="004B1104">
            <w:pPr>
              <w:ind w:right="851"/>
              <w:jc w:val="right"/>
              <w:rPr>
                <w:rFonts w:ascii="Verdana" w:hAnsi="Verdana"/>
                <w:b/>
                <w:bCs/>
                <w:color w:val="365F91"/>
                <w:sz w:val="18"/>
                <w:szCs w:val="18"/>
              </w:rPr>
            </w:pPr>
            <w:r w:rsidRPr="00D7245F">
              <w:rPr>
                <w:rFonts w:ascii="Verdana" w:hAnsi="Verdana"/>
                <w:b/>
                <w:bCs/>
                <w:color w:val="365F91"/>
                <w:sz w:val="18"/>
                <w:szCs w:val="18"/>
              </w:rPr>
              <w:t>9,09</w:t>
            </w:r>
          </w:p>
        </w:tc>
        <w:tc>
          <w:tcPr>
            <w:tcW w:w="1238" w:type="pct"/>
            <w:tcBorders>
              <w:top w:val="single" w:sz="4" w:space="0" w:color="366092"/>
              <w:bottom w:val="single" w:sz="4" w:space="0" w:color="366092"/>
            </w:tcBorders>
            <w:shd w:val="clear" w:color="000000" w:fill="FFFFFF"/>
            <w:vAlign w:val="center"/>
          </w:tcPr>
          <w:p w14:paraId="6AEB7EF0" w14:textId="62F47E6C" w:rsidR="004B1104" w:rsidRPr="00D7245F" w:rsidRDefault="004B1104" w:rsidP="004B1104">
            <w:pPr>
              <w:ind w:right="851"/>
              <w:jc w:val="right"/>
              <w:rPr>
                <w:rFonts w:ascii="Verdana" w:hAnsi="Verdana"/>
                <w:b/>
                <w:bCs/>
                <w:color w:val="365F91"/>
                <w:sz w:val="18"/>
                <w:szCs w:val="18"/>
              </w:rPr>
            </w:pPr>
            <w:r w:rsidRPr="00D7245F">
              <w:rPr>
                <w:rFonts w:ascii="Verdana" w:hAnsi="Verdana"/>
                <w:b/>
                <w:bCs/>
                <w:color w:val="365F91"/>
                <w:sz w:val="18"/>
                <w:szCs w:val="18"/>
              </w:rPr>
              <w:t>-0,22</w:t>
            </w:r>
          </w:p>
        </w:tc>
      </w:tr>
      <w:tr w:rsidR="006022B5" w:rsidRPr="00D7245F" w14:paraId="29A93ED0" w14:textId="77777777" w:rsidTr="00740321">
        <w:trPr>
          <w:trHeight w:val="440"/>
          <w:jc w:val="right"/>
        </w:trPr>
        <w:tc>
          <w:tcPr>
            <w:tcW w:w="5000" w:type="pct"/>
            <w:gridSpan w:val="4"/>
            <w:tcBorders>
              <w:top w:val="single" w:sz="4" w:space="0" w:color="366092"/>
            </w:tcBorders>
            <w:shd w:val="clear" w:color="FFFFFF" w:fill="FFFFFF"/>
            <w:noWrap/>
            <w:vAlign w:val="center"/>
            <w:hideMark/>
          </w:tcPr>
          <w:p w14:paraId="0DEF1FF2" w14:textId="77777777" w:rsidR="006022B5" w:rsidRPr="00D7245F" w:rsidRDefault="006022B5" w:rsidP="006022B5">
            <w:pPr>
              <w:rPr>
                <w:rFonts w:ascii="Verdana" w:eastAsia="Times New Roman" w:hAnsi="Verdana" w:cs="Arial"/>
                <w:bCs/>
                <w:color w:val="2F5496"/>
                <w:sz w:val="18"/>
                <w:szCs w:val="18"/>
                <w:lang w:val="el-GR"/>
              </w:rPr>
            </w:pPr>
            <w:r w:rsidRPr="00D7245F">
              <w:rPr>
                <w:rFonts w:ascii="Verdana" w:eastAsia="Times New Roman" w:hAnsi="Verdana" w:cs="Arial"/>
                <w:bCs/>
                <w:color w:val="2F5496"/>
                <w:sz w:val="18"/>
                <w:szCs w:val="18"/>
                <w:lang w:val="el-GR"/>
              </w:rPr>
              <w:t xml:space="preserve">Σημείωση: Τα αθροίσματα υπολογίζονται βάσει των επιμέρους επιπτώσεων με άπειρα δεκαδικά και δημοσιεύονται με στρογγυλοποίηση δυο δεκαδικών. Πιθανές διαφορές στα αθροίσματα είναι λόγω σφάλματος στρογγυλοποίησης.    </w:t>
            </w:r>
          </w:p>
        </w:tc>
      </w:tr>
    </w:tbl>
    <w:p w14:paraId="5CDB785E"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r w:rsidRPr="006022B5">
        <w:rPr>
          <w:rFonts w:ascii="Verdana" w:eastAsia="Malgun Gothic" w:hAnsi="Verdana" w:cs="Arial"/>
          <w:b/>
          <w:u w:val="single"/>
          <w:lang w:val="el-GR"/>
        </w:rPr>
        <w:t xml:space="preserve"> </w:t>
      </w:r>
    </w:p>
    <w:p w14:paraId="6AA5A0F0"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6F1BFB84"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1F8CD91D" w14:textId="7BFF5426" w:rsidR="006022B5" w:rsidRDefault="006022B5" w:rsidP="006022B5">
      <w:pPr>
        <w:tabs>
          <w:tab w:val="left" w:pos="1080"/>
          <w:tab w:val="left" w:pos="6840"/>
        </w:tabs>
        <w:jc w:val="center"/>
        <w:rPr>
          <w:rFonts w:ascii="Verdana" w:eastAsia="Malgun Gothic" w:hAnsi="Verdana" w:cs="Arial"/>
          <w:b/>
          <w:u w:val="single"/>
          <w:lang w:val="el-GR"/>
        </w:rPr>
      </w:pPr>
    </w:p>
    <w:p w14:paraId="0D4C205B" w14:textId="3C8201ED" w:rsidR="00075278" w:rsidRDefault="00075278" w:rsidP="006022B5">
      <w:pPr>
        <w:tabs>
          <w:tab w:val="left" w:pos="1080"/>
          <w:tab w:val="left" w:pos="6840"/>
        </w:tabs>
        <w:jc w:val="center"/>
        <w:rPr>
          <w:rFonts w:ascii="Verdana" w:eastAsia="Malgun Gothic" w:hAnsi="Verdana" w:cs="Arial"/>
          <w:b/>
          <w:u w:val="single"/>
          <w:lang w:val="el-GR"/>
        </w:rPr>
      </w:pPr>
    </w:p>
    <w:p w14:paraId="6290A3C8" w14:textId="77777777" w:rsidR="00075278" w:rsidRPr="006022B5" w:rsidRDefault="00075278" w:rsidP="006022B5">
      <w:pPr>
        <w:tabs>
          <w:tab w:val="left" w:pos="1080"/>
          <w:tab w:val="left" w:pos="6840"/>
        </w:tabs>
        <w:jc w:val="center"/>
        <w:rPr>
          <w:rFonts w:ascii="Verdana" w:eastAsia="Malgun Gothic" w:hAnsi="Verdana" w:cs="Arial"/>
          <w:b/>
          <w:u w:val="single"/>
          <w:lang w:val="el-GR"/>
        </w:rPr>
      </w:pPr>
    </w:p>
    <w:p w14:paraId="7971DF36"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208D04DE"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5D008200"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tbl>
      <w:tblPr>
        <w:tblW w:w="9461" w:type="dxa"/>
        <w:jc w:val="center"/>
        <w:tblLook w:val="04A0" w:firstRow="1" w:lastRow="0" w:firstColumn="1" w:lastColumn="0" w:noHBand="0" w:noVBand="1"/>
      </w:tblPr>
      <w:tblGrid>
        <w:gridCol w:w="6234"/>
        <w:gridCol w:w="3227"/>
      </w:tblGrid>
      <w:tr w:rsidR="006022B5" w:rsidRPr="006022B5" w14:paraId="3F2DDA13" w14:textId="77777777" w:rsidTr="00740321">
        <w:trPr>
          <w:trHeight w:val="467"/>
          <w:jc w:val="center"/>
        </w:trPr>
        <w:tc>
          <w:tcPr>
            <w:tcW w:w="9461" w:type="dxa"/>
            <w:gridSpan w:val="2"/>
            <w:tcBorders>
              <w:bottom w:val="single" w:sz="4" w:space="0" w:color="366092"/>
            </w:tcBorders>
            <w:shd w:val="clear" w:color="FFFFFF" w:fill="FFFFFF"/>
            <w:vAlign w:val="center"/>
            <w:hideMark/>
          </w:tcPr>
          <w:p w14:paraId="77883388"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Πίνακας 4</w:t>
            </w:r>
          </w:p>
        </w:tc>
      </w:tr>
      <w:tr w:rsidR="006022B5" w:rsidRPr="006022B5" w14:paraId="66D24933"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D13D382"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CA5FC70" w14:textId="77777777" w:rsidR="006022B5" w:rsidRPr="006022B5" w:rsidRDefault="006022B5" w:rsidP="006022B5">
            <w:pPr>
              <w:jc w:val="cente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Επίπτωση (μονάδες)</w:t>
            </w:r>
          </w:p>
        </w:tc>
      </w:tr>
      <w:tr w:rsidR="006022B5" w:rsidRPr="006022B5" w14:paraId="5006246C" w14:textId="77777777" w:rsidTr="00740321">
        <w:trPr>
          <w:trHeight w:val="548"/>
          <w:jc w:val="center"/>
        </w:trPr>
        <w:tc>
          <w:tcPr>
            <w:tcW w:w="6234" w:type="dxa"/>
            <w:vMerge/>
            <w:tcBorders>
              <w:bottom w:val="single" w:sz="4" w:space="0" w:color="366092"/>
            </w:tcBorders>
            <w:shd w:val="clear" w:color="FFFFFF" w:fill="FFFFFF"/>
            <w:vAlign w:val="center"/>
            <w:hideMark/>
          </w:tcPr>
          <w:p w14:paraId="2C4F14AD" w14:textId="77777777" w:rsidR="006022B5" w:rsidRPr="006022B5"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0D900F1" w14:textId="6952634F" w:rsidR="006022B5" w:rsidRPr="006022B5" w:rsidRDefault="00BC31E2" w:rsidP="00BC31E2">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Σεπ</w:t>
            </w:r>
            <w:r w:rsidRPr="006022B5">
              <w:rPr>
                <w:rFonts w:ascii="Verdana" w:eastAsia="Times New Roman" w:hAnsi="Verdana" w:cs="Arial"/>
                <w:b/>
                <w:bCs/>
                <w:color w:val="365F91"/>
                <w:sz w:val="18"/>
                <w:szCs w:val="18"/>
                <w:lang w:val="el-GR"/>
              </w:rPr>
              <w:t xml:space="preserve"> 22/</w:t>
            </w:r>
            <w:r>
              <w:rPr>
                <w:rFonts w:ascii="Verdana" w:eastAsia="Times New Roman" w:hAnsi="Verdana" w:cs="Arial"/>
                <w:b/>
                <w:bCs/>
                <w:color w:val="365F91"/>
                <w:sz w:val="18"/>
                <w:szCs w:val="18"/>
                <w:lang w:val="el-GR"/>
              </w:rPr>
              <w:t xml:space="preserve"> Σεπ</w:t>
            </w:r>
            <w:r w:rsidRPr="006022B5">
              <w:rPr>
                <w:rFonts w:ascii="Verdana" w:eastAsia="Times New Roman" w:hAnsi="Verdana" w:cs="Arial"/>
                <w:b/>
                <w:bCs/>
                <w:color w:val="365F91"/>
                <w:sz w:val="18"/>
                <w:szCs w:val="18"/>
                <w:lang w:val="el-GR"/>
              </w:rPr>
              <w:t xml:space="preserve"> 21</w:t>
            </w:r>
          </w:p>
        </w:tc>
      </w:tr>
      <w:tr w:rsidR="006022B5" w:rsidRPr="006022B5" w14:paraId="65257A6A" w14:textId="77777777" w:rsidTr="00740321">
        <w:trPr>
          <w:trHeight w:val="300"/>
          <w:jc w:val="center"/>
        </w:trPr>
        <w:tc>
          <w:tcPr>
            <w:tcW w:w="6234" w:type="dxa"/>
            <w:tcBorders>
              <w:top w:val="nil"/>
              <w:bottom w:val="nil"/>
            </w:tcBorders>
            <w:shd w:val="clear" w:color="FFFFFF" w:fill="FFFFFF"/>
            <w:vAlign w:val="center"/>
          </w:tcPr>
          <w:p w14:paraId="16B01B47"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vAlign w:val="center"/>
          </w:tcPr>
          <w:p w14:paraId="7D1336AD" w14:textId="77777777" w:rsidR="006022B5" w:rsidRPr="006022B5" w:rsidRDefault="006022B5" w:rsidP="006022B5">
            <w:pPr>
              <w:ind w:right="1296" w:firstLineChars="200" w:firstLine="360"/>
              <w:jc w:val="right"/>
              <w:rPr>
                <w:rFonts w:ascii="Verdana" w:eastAsia="Times New Roman" w:hAnsi="Verdana" w:cs="Arial"/>
                <w:bCs/>
                <w:color w:val="365F91"/>
                <w:sz w:val="18"/>
                <w:szCs w:val="18"/>
                <w:lang w:val="el-GR"/>
              </w:rPr>
            </w:pPr>
          </w:p>
        </w:tc>
      </w:tr>
      <w:tr w:rsidR="006022B5" w:rsidRPr="006022B5" w14:paraId="6E5AF7BA" w14:textId="77777777" w:rsidTr="00740321">
        <w:trPr>
          <w:trHeight w:val="300"/>
          <w:jc w:val="center"/>
        </w:trPr>
        <w:tc>
          <w:tcPr>
            <w:tcW w:w="6234" w:type="dxa"/>
            <w:tcBorders>
              <w:top w:val="nil"/>
              <w:bottom w:val="nil"/>
            </w:tcBorders>
            <w:shd w:val="clear" w:color="FFFFFF" w:fill="FFFFFF"/>
            <w:vAlign w:val="center"/>
          </w:tcPr>
          <w:p w14:paraId="69D6202D" w14:textId="486473A5" w:rsidR="006022B5" w:rsidRPr="006022B5" w:rsidRDefault="005A2F66" w:rsidP="006022B5">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Ηλεκτρισμός</w:t>
            </w:r>
          </w:p>
        </w:tc>
        <w:tc>
          <w:tcPr>
            <w:tcW w:w="3227" w:type="dxa"/>
            <w:tcBorders>
              <w:top w:val="nil"/>
              <w:bottom w:val="nil"/>
            </w:tcBorders>
            <w:shd w:val="clear" w:color="FFFFFF" w:fill="FFFFFF"/>
            <w:noWrap/>
          </w:tcPr>
          <w:p w14:paraId="569D5F39" w14:textId="776627F2" w:rsidR="006022B5" w:rsidRPr="006022B5" w:rsidRDefault="00B016E5"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2,</w:t>
            </w:r>
            <w:r w:rsidR="005A2F66">
              <w:rPr>
                <w:rFonts w:ascii="Verdana" w:eastAsia="Times New Roman" w:hAnsi="Verdana" w:cs="Arial"/>
                <w:bCs/>
                <w:color w:val="365F91"/>
                <w:sz w:val="18"/>
                <w:szCs w:val="18"/>
                <w:lang w:val="el-GR"/>
              </w:rPr>
              <w:t>28</w:t>
            </w:r>
          </w:p>
        </w:tc>
      </w:tr>
      <w:tr w:rsidR="006022B5" w:rsidRPr="006022B5" w14:paraId="33A68CE0" w14:textId="77777777" w:rsidTr="00740321">
        <w:trPr>
          <w:trHeight w:val="300"/>
          <w:jc w:val="center"/>
        </w:trPr>
        <w:tc>
          <w:tcPr>
            <w:tcW w:w="6234" w:type="dxa"/>
            <w:tcBorders>
              <w:top w:val="nil"/>
              <w:bottom w:val="nil"/>
            </w:tcBorders>
            <w:shd w:val="clear" w:color="FFFFFF" w:fill="FFFFFF"/>
            <w:vAlign w:val="center"/>
          </w:tcPr>
          <w:p w14:paraId="32DE9B99" w14:textId="3D43A845" w:rsidR="006022B5" w:rsidRPr="006022B5" w:rsidRDefault="005A2F66" w:rsidP="006022B5">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tcPr>
          <w:p w14:paraId="21040E55" w14:textId="661C3937"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2,</w:t>
            </w:r>
            <w:r w:rsidR="005A2F66">
              <w:rPr>
                <w:rFonts w:ascii="Verdana" w:eastAsia="Times New Roman" w:hAnsi="Verdana" w:cs="Arial"/>
                <w:bCs/>
                <w:color w:val="365F91"/>
                <w:sz w:val="18"/>
                <w:szCs w:val="18"/>
                <w:lang w:val="el-GR"/>
              </w:rPr>
              <w:t>10</w:t>
            </w:r>
          </w:p>
        </w:tc>
      </w:tr>
      <w:tr w:rsidR="006022B5" w:rsidRPr="006022B5" w14:paraId="11553505" w14:textId="77777777" w:rsidTr="00740321">
        <w:trPr>
          <w:trHeight w:val="300"/>
          <w:jc w:val="center"/>
        </w:trPr>
        <w:tc>
          <w:tcPr>
            <w:tcW w:w="6234" w:type="dxa"/>
            <w:tcBorders>
              <w:top w:val="nil"/>
              <w:bottom w:val="nil"/>
            </w:tcBorders>
            <w:shd w:val="clear" w:color="FFFFFF" w:fill="FFFFFF"/>
            <w:vAlign w:val="center"/>
          </w:tcPr>
          <w:p w14:paraId="1777377B" w14:textId="77777777" w:rsidR="006022B5" w:rsidRPr="006022B5" w:rsidRDefault="006022B5" w:rsidP="006022B5">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Υπηρεσίες τροφοδοσίας</w:t>
            </w:r>
          </w:p>
        </w:tc>
        <w:tc>
          <w:tcPr>
            <w:tcW w:w="3227" w:type="dxa"/>
            <w:tcBorders>
              <w:top w:val="nil"/>
              <w:bottom w:val="nil"/>
            </w:tcBorders>
            <w:shd w:val="clear" w:color="FFFFFF" w:fill="FFFFFF"/>
            <w:noWrap/>
          </w:tcPr>
          <w:p w14:paraId="539835CF" w14:textId="7AAA4061"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5A2F66">
              <w:rPr>
                <w:rFonts w:ascii="Verdana" w:eastAsia="Times New Roman" w:hAnsi="Verdana" w:cs="Arial"/>
                <w:bCs/>
                <w:color w:val="365F91"/>
                <w:sz w:val="18"/>
                <w:szCs w:val="18"/>
                <w:lang w:val="el-GR"/>
              </w:rPr>
              <w:t>81</w:t>
            </w:r>
          </w:p>
        </w:tc>
      </w:tr>
      <w:tr w:rsidR="006022B5" w:rsidRPr="006022B5" w14:paraId="29946492" w14:textId="77777777" w:rsidTr="00740321">
        <w:trPr>
          <w:trHeight w:val="300"/>
          <w:jc w:val="center"/>
        </w:trPr>
        <w:tc>
          <w:tcPr>
            <w:tcW w:w="6234" w:type="dxa"/>
            <w:tcBorders>
              <w:top w:val="nil"/>
              <w:bottom w:val="nil"/>
            </w:tcBorders>
            <w:shd w:val="clear" w:color="FFFFFF" w:fill="FFFFFF"/>
            <w:vAlign w:val="center"/>
          </w:tcPr>
          <w:p w14:paraId="0CDFCD19" w14:textId="77777777" w:rsidR="006022B5" w:rsidRPr="006022B5" w:rsidRDefault="006022B5" w:rsidP="006022B5">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Υπηρεσίες για τακτική συντήρηση κατοικίας</w:t>
            </w:r>
          </w:p>
        </w:tc>
        <w:tc>
          <w:tcPr>
            <w:tcW w:w="3227" w:type="dxa"/>
            <w:tcBorders>
              <w:top w:val="nil"/>
              <w:bottom w:val="nil"/>
            </w:tcBorders>
            <w:shd w:val="clear" w:color="FFFFFF" w:fill="FFFFFF"/>
            <w:noWrap/>
          </w:tcPr>
          <w:p w14:paraId="00CBE81E" w14:textId="2ED71599"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0,4</w:t>
            </w:r>
            <w:r w:rsidR="00B016E5">
              <w:rPr>
                <w:rFonts w:ascii="Verdana" w:eastAsia="Times New Roman" w:hAnsi="Verdana" w:cs="Arial"/>
                <w:bCs/>
                <w:color w:val="365F91"/>
                <w:sz w:val="18"/>
                <w:szCs w:val="18"/>
                <w:lang w:val="el-GR"/>
              </w:rPr>
              <w:t>3</w:t>
            </w:r>
          </w:p>
        </w:tc>
      </w:tr>
      <w:tr w:rsidR="006022B5" w:rsidRPr="006022B5" w14:paraId="44C8B095" w14:textId="77777777" w:rsidTr="00740321">
        <w:trPr>
          <w:trHeight w:val="300"/>
          <w:jc w:val="center"/>
        </w:trPr>
        <w:tc>
          <w:tcPr>
            <w:tcW w:w="6234" w:type="dxa"/>
            <w:tcBorders>
              <w:top w:val="nil"/>
              <w:bottom w:val="nil"/>
            </w:tcBorders>
            <w:shd w:val="clear" w:color="FFFFFF" w:fill="FFFFFF"/>
            <w:vAlign w:val="center"/>
          </w:tcPr>
          <w:p w14:paraId="3CE30C2F" w14:textId="17416D99" w:rsidR="006022B5" w:rsidRPr="006022B5" w:rsidRDefault="005A2F66" w:rsidP="006022B5">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Φρέσκο κρέας</w:t>
            </w:r>
          </w:p>
        </w:tc>
        <w:tc>
          <w:tcPr>
            <w:tcW w:w="3227" w:type="dxa"/>
            <w:tcBorders>
              <w:top w:val="nil"/>
              <w:bottom w:val="nil"/>
            </w:tcBorders>
            <w:shd w:val="clear" w:color="FFFFFF" w:fill="FFFFFF"/>
            <w:noWrap/>
          </w:tcPr>
          <w:p w14:paraId="6D572F91" w14:textId="7EE73F94"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0,39</w:t>
            </w:r>
          </w:p>
        </w:tc>
      </w:tr>
      <w:tr w:rsidR="006022B5" w:rsidRPr="006022B5" w14:paraId="41D589B7" w14:textId="77777777" w:rsidTr="00740321">
        <w:trPr>
          <w:trHeight w:val="300"/>
          <w:jc w:val="center"/>
        </w:trPr>
        <w:tc>
          <w:tcPr>
            <w:tcW w:w="6234" w:type="dxa"/>
            <w:tcBorders>
              <w:top w:val="nil"/>
              <w:bottom w:val="nil"/>
            </w:tcBorders>
            <w:shd w:val="clear" w:color="FFFFFF" w:fill="FFFFFF"/>
            <w:vAlign w:val="center"/>
          </w:tcPr>
          <w:p w14:paraId="622B14FA" w14:textId="3F5DCF3A" w:rsidR="006022B5" w:rsidRPr="006022B5" w:rsidRDefault="005A2F66" w:rsidP="006022B5">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Αγορά αυτοκινήτων</w:t>
            </w:r>
          </w:p>
        </w:tc>
        <w:tc>
          <w:tcPr>
            <w:tcW w:w="3227" w:type="dxa"/>
            <w:tcBorders>
              <w:top w:val="nil"/>
              <w:bottom w:val="nil"/>
            </w:tcBorders>
            <w:shd w:val="clear" w:color="FFFFFF" w:fill="FFFFFF"/>
            <w:noWrap/>
          </w:tcPr>
          <w:p w14:paraId="29D09449" w14:textId="4CED8AE1"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0,3</w:t>
            </w:r>
            <w:r w:rsidR="005A2F66">
              <w:rPr>
                <w:rFonts w:ascii="Verdana" w:eastAsia="Times New Roman" w:hAnsi="Verdana" w:cs="Arial"/>
                <w:bCs/>
                <w:color w:val="365F91"/>
                <w:sz w:val="18"/>
                <w:szCs w:val="18"/>
                <w:lang w:val="el-GR"/>
              </w:rPr>
              <w:t>5</w:t>
            </w:r>
          </w:p>
        </w:tc>
      </w:tr>
      <w:tr w:rsidR="006022B5" w:rsidRPr="006022B5" w14:paraId="4FE976D3" w14:textId="77777777" w:rsidTr="00740321">
        <w:trPr>
          <w:trHeight w:val="300"/>
          <w:jc w:val="center"/>
        </w:trPr>
        <w:tc>
          <w:tcPr>
            <w:tcW w:w="6234" w:type="dxa"/>
            <w:tcBorders>
              <w:top w:val="nil"/>
              <w:bottom w:val="nil"/>
            </w:tcBorders>
            <w:shd w:val="clear" w:color="FFFFFF" w:fill="FFFFFF"/>
            <w:vAlign w:val="center"/>
          </w:tcPr>
          <w:p w14:paraId="3810F91D" w14:textId="1CDF4F09" w:rsidR="006022B5" w:rsidRPr="006022B5" w:rsidRDefault="005A2F66" w:rsidP="006022B5">
            <w:pPr>
              <w:ind w:left="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Πατάτες</w:t>
            </w:r>
          </w:p>
        </w:tc>
        <w:tc>
          <w:tcPr>
            <w:tcW w:w="3227" w:type="dxa"/>
            <w:tcBorders>
              <w:top w:val="nil"/>
              <w:bottom w:val="nil"/>
            </w:tcBorders>
            <w:shd w:val="clear" w:color="FFFFFF" w:fill="FFFFFF"/>
            <w:noWrap/>
          </w:tcPr>
          <w:p w14:paraId="7E3199E2" w14:textId="56861631"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5A2F66">
              <w:rPr>
                <w:rFonts w:ascii="Verdana" w:eastAsia="Times New Roman" w:hAnsi="Verdana" w:cs="Arial"/>
                <w:bCs/>
                <w:color w:val="365F91"/>
                <w:sz w:val="18"/>
                <w:szCs w:val="18"/>
                <w:lang w:val="el-GR"/>
              </w:rPr>
              <w:t>22</w:t>
            </w:r>
          </w:p>
        </w:tc>
      </w:tr>
      <w:tr w:rsidR="006022B5" w:rsidRPr="00763CC6" w14:paraId="607077EF" w14:textId="77777777" w:rsidTr="00740321">
        <w:trPr>
          <w:trHeight w:val="300"/>
          <w:jc w:val="center"/>
        </w:trPr>
        <w:tc>
          <w:tcPr>
            <w:tcW w:w="6234" w:type="dxa"/>
            <w:tcBorders>
              <w:top w:val="nil"/>
            </w:tcBorders>
            <w:shd w:val="clear" w:color="FFFFFF" w:fill="FFFFFF"/>
            <w:vAlign w:val="center"/>
          </w:tcPr>
          <w:p w14:paraId="6A2FFE20"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   Διάφορα άλλα προϊόντα και υπηρεσίες</w:t>
            </w:r>
          </w:p>
        </w:tc>
        <w:tc>
          <w:tcPr>
            <w:tcW w:w="3227" w:type="dxa"/>
            <w:tcBorders>
              <w:top w:val="nil"/>
            </w:tcBorders>
            <w:shd w:val="clear" w:color="FFFFFF" w:fill="FFFFFF"/>
            <w:noWrap/>
          </w:tcPr>
          <w:p w14:paraId="4E34F38E" w14:textId="47EA7C63" w:rsidR="006022B5" w:rsidRPr="00763CC6" w:rsidRDefault="00B016E5"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3,2</w:t>
            </w:r>
            <w:r w:rsidR="005A2F66">
              <w:rPr>
                <w:rFonts w:ascii="Verdana" w:eastAsia="Times New Roman" w:hAnsi="Verdana" w:cs="Arial"/>
                <w:bCs/>
                <w:color w:val="365F91"/>
                <w:sz w:val="18"/>
                <w:szCs w:val="18"/>
                <w:lang w:val="el-GR"/>
              </w:rPr>
              <w:t>3</w:t>
            </w:r>
          </w:p>
        </w:tc>
      </w:tr>
      <w:tr w:rsidR="006022B5" w:rsidRPr="006022B5" w14:paraId="628047B3" w14:textId="77777777" w:rsidTr="00740321">
        <w:trPr>
          <w:trHeight w:val="300"/>
          <w:jc w:val="center"/>
        </w:trPr>
        <w:tc>
          <w:tcPr>
            <w:tcW w:w="6234" w:type="dxa"/>
            <w:tcBorders>
              <w:top w:val="nil"/>
            </w:tcBorders>
            <w:shd w:val="clear" w:color="FFFFFF" w:fill="FFFFFF"/>
            <w:vAlign w:val="center"/>
          </w:tcPr>
          <w:p w14:paraId="55B5F47F"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Αρνητική επίπτωση</w:t>
            </w:r>
          </w:p>
        </w:tc>
        <w:tc>
          <w:tcPr>
            <w:tcW w:w="3227" w:type="dxa"/>
            <w:tcBorders>
              <w:top w:val="nil"/>
            </w:tcBorders>
            <w:shd w:val="clear" w:color="FFFFFF" w:fill="FFFFFF"/>
            <w:noWrap/>
            <w:vAlign w:val="center"/>
          </w:tcPr>
          <w:p w14:paraId="4071A2D3" w14:textId="77777777" w:rsidR="006022B5" w:rsidRPr="006022B5" w:rsidRDefault="006022B5" w:rsidP="006022B5">
            <w:pPr>
              <w:ind w:right="1304" w:firstLineChars="200" w:firstLine="360"/>
              <w:jc w:val="right"/>
              <w:rPr>
                <w:rFonts w:ascii="Verdana" w:eastAsia="Times New Roman" w:hAnsi="Verdana" w:cs="Arial"/>
                <w:bCs/>
                <w:color w:val="365F91"/>
                <w:sz w:val="18"/>
                <w:szCs w:val="18"/>
                <w:lang w:val="el-GR"/>
              </w:rPr>
            </w:pPr>
          </w:p>
        </w:tc>
      </w:tr>
      <w:tr w:rsidR="00B016E5" w:rsidRPr="006022B5" w14:paraId="3C621233" w14:textId="77777777" w:rsidTr="00802C91">
        <w:trPr>
          <w:trHeight w:val="693"/>
          <w:jc w:val="center"/>
        </w:trPr>
        <w:tc>
          <w:tcPr>
            <w:tcW w:w="6234" w:type="dxa"/>
            <w:tcBorders>
              <w:top w:val="nil"/>
            </w:tcBorders>
            <w:shd w:val="clear" w:color="FFFFFF" w:fill="FFFFFF"/>
            <w:vAlign w:val="center"/>
          </w:tcPr>
          <w:p w14:paraId="7BADDCA8" w14:textId="13FEA0A3" w:rsidR="00B016E5" w:rsidRPr="006022B5" w:rsidRDefault="00B016E5" w:rsidP="00802C91">
            <w:pPr>
              <w:ind w:left="225"/>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Φρέσκα </w:t>
            </w:r>
            <w:r>
              <w:rPr>
                <w:rFonts w:ascii="Verdana" w:eastAsia="Times New Roman" w:hAnsi="Verdana" w:cs="Arial"/>
                <w:color w:val="365F91"/>
                <w:sz w:val="18"/>
                <w:szCs w:val="18"/>
                <w:lang w:val="el-GR"/>
              </w:rPr>
              <w:t>λαχανικά</w:t>
            </w:r>
          </w:p>
        </w:tc>
        <w:tc>
          <w:tcPr>
            <w:tcW w:w="3227" w:type="dxa"/>
            <w:tcBorders>
              <w:top w:val="nil"/>
            </w:tcBorders>
            <w:shd w:val="clear" w:color="FFFFFF" w:fill="FFFFFF"/>
            <w:noWrap/>
            <w:vAlign w:val="center"/>
          </w:tcPr>
          <w:p w14:paraId="57F7115D" w14:textId="71C2C33B" w:rsidR="00B016E5" w:rsidRPr="006022B5" w:rsidRDefault="00B016E5" w:rsidP="00802C91">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5A2F66">
              <w:rPr>
                <w:rFonts w:ascii="Verdana" w:eastAsia="Times New Roman" w:hAnsi="Verdana" w:cs="Arial"/>
                <w:bCs/>
                <w:color w:val="365F91"/>
                <w:sz w:val="18"/>
                <w:szCs w:val="18"/>
                <w:lang w:val="el-GR"/>
              </w:rPr>
              <w:t>36</w:t>
            </w:r>
          </w:p>
        </w:tc>
      </w:tr>
      <w:tr w:rsidR="006022B5" w:rsidRPr="006022B5" w14:paraId="0E0E2AF1" w14:textId="77777777" w:rsidTr="00CC6900">
        <w:trPr>
          <w:trHeight w:val="693"/>
          <w:jc w:val="center"/>
        </w:trPr>
        <w:tc>
          <w:tcPr>
            <w:tcW w:w="6234" w:type="dxa"/>
            <w:tcBorders>
              <w:top w:val="nil"/>
            </w:tcBorders>
            <w:shd w:val="clear" w:color="FFFFFF" w:fill="FFFFFF"/>
            <w:vAlign w:val="center"/>
          </w:tcPr>
          <w:p w14:paraId="6E4B9011" w14:textId="4E93A3D8" w:rsidR="006022B5" w:rsidRPr="006022B5" w:rsidRDefault="006022B5" w:rsidP="006022B5">
            <w:pPr>
              <w:ind w:left="225"/>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Φρέσκα </w:t>
            </w:r>
            <w:r w:rsidR="00763CC6">
              <w:rPr>
                <w:rFonts w:ascii="Verdana" w:eastAsia="Times New Roman" w:hAnsi="Verdana" w:cs="Arial"/>
                <w:color w:val="365F91"/>
                <w:sz w:val="18"/>
                <w:szCs w:val="18"/>
                <w:lang w:val="el-GR"/>
              </w:rPr>
              <w:t>φρούτα</w:t>
            </w:r>
          </w:p>
        </w:tc>
        <w:tc>
          <w:tcPr>
            <w:tcW w:w="3227" w:type="dxa"/>
            <w:tcBorders>
              <w:top w:val="nil"/>
            </w:tcBorders>
            <w:shd w:val="clear" w:color="FFFFFF" w:fill="FFFFFF"/>
            <w:noWrap/>
            <w:vAlign w:val="center"/>
          </w:tcPr>
          <w:p w14:paraId="63E2C78C" w14:textId="224D2C48" w:rsidR="006022B5" w:rsidRPr="006022B5" w:rsidRDefault="00763CC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5A2F66">
              <w:rPr>
                <w:rFonts w:ascii="Verdana" w:eastAsia="Times New Roman" w:hAnsi="Verdana" w:cs="Arial"/>
                <w:bCs/>
                <w:color w:val="365F91"/>
                <w:sz w:val="18"/>
                <w:szCs w:val="18"/>
                <w:lang w:val="el-GR"/>
              </w:rPr>
              <w:t>35</w:t>
            </w:r>
          </w:p>
        </w:tc>
      </w:tr>
      <w:tr w:rsidR="006022B5" w:rsidRPr="006022B5" w14:paraId="1877B084"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5092144D" w14:textId="77777777" w:rsidR="006022B5" w:rsidRPr="006022B5" w:rsidRDefault="006022B5" w:rsidP="006022B5">
            <w:pPr>
              <w:ind w:firstLineChars="100" w:firstLine="181"/>
              <w:rPr>
                <w:rFonts w:ascii="Verdana" w:eastAsia="Times New Roman" w:hAnsi="Verdana" w:cs="Arial"/>
                <w:color w:val="365F91"/>
                <w:sz w:val="18"/>
                <w:szCs w:val="18"/>
              </w:rPr>
            </w:pPr>
            <w:r w:rsidRPr="006022B5">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F21A305" w14:textId="2D70348B" w:rsidR="006022B5" w:rsidRPr="00A10411" w:rsidRDefault="00B016E5" w:rsidP="006022B5">
            <w:pPr>
              <w:ind w:right="1304" w:firstLineChars="200" w:firstLine="361"/>
              <w:jc w:val="right"/>
              <w:rPr>
                <w:rFonts w:ascii="Verdana" w:eastAsia="Times New Roman" w:hAnsi="Verdana" w:cs="Arial"/>
                <w:b/>
                <w:color w:val="365F91"/>
                <w:sz w:val="18"/>
                <w:szCs w:val="18"/>
                <w:lang w:val="el-GR"/>
              </w:rPr>
            </w:pPr>
            <w:r>
              <w:rPr>
                <w:rFonts w:ascii="Verdana" w:eastAsia="Times New Roman" w:hAnsi="Verdana" w:cs="Arial"/>
                <w:b/>
                <w:color w:val="365F91"/>
                <w:sz w:val="18"/>
                <w:szCs w:val="18"/>
                <w:lang w:val="el-GR"/>
              </w:rPr>
              <w:t>9</w:t>
            </w:r>
            <w:r w:rsidR="00D01BE4" w:rsidRPr="00A10411">
              <w:rPr>
                <w:rFonts w:ascii="Verdana" w:eastAsia="Times New Roman" w:hAnsi="Verdana" w:cs="Arial"/>
                <w:b/>
                <w:color w:val="365F91"/>
                <w:sz w:val="18"/>
                <w:szCs w:val="18"/>
                <w:lang w:val="el-GR"/>
              </w:rPr>
              <w:t>,</w:t>
            </w:r>
            <w:r w:rsidR="00C77DC0">
              <w:rPr>
                <w:rFonts w:ascii="Verdana" w:eastAsia="Times New Roman" w:hAnsi="Verdana" w:cs="Arial"/>
                <w:b/>
                <w:color w:val="365F91"/>
                <w:sz w:val="18"/>
                <w:szCs w:val="18"/>
                <w:lang w:val="el-GR"/>
              </w:rPr>
              <w:t>09</w:t>
            </w:r>
          </w:p>
        </w:tc>
      </w:tr>
    </w:tbl>
    <w:p w14:paraId="42BB662F"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n-GB"/>
        </w:rPr>
      </w:pPr>
    </w:p>
    <w:p w14:paraId="2A4BF5B0"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3F1D27E5"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5C90568E" w14:textId="77777777" w:rsidR="006022B5" w:rsidRPr="006022B5" w:rsidRDefault="006022B5" w:rsidP="006022B5">
      <w:pPr>
        <w:tabs>
          <w:tab w:val="left" w:pos="1080"/>
          <w:tab w:val="left" w:pos="6840"/>
        </w:tabs>
        <w:ind w:left="426"/>
        <w:jc w:val="both"/>
        <w:rPr>
          <w:rFonts w:ascii="Verdana" w:eastAsia="Malgun Gothic" w:hAnsi="Verdana" w:cs="Arial"/>
          <w:sz w:val="20"/>
          <w:szCs w:val="20"/>
          <w:u w:val="single"/>
          <w:lang w:val="el-GR"/>
        </w:rPr>
      </w:pPr>
    </w:p>
    <w:p w14:paraId="285561AD"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782DA6E2"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tbl>
      <w:tblPr>
        <w:tblW w:w="9461" w:type="dxa"/>
        <w:jc w:val="center"/>
        <w:tblLook w:val="04A0" w:firstRow="1" w:lastRow="0" w:firstColumn="1" w:lastColumn="0" w:noHBand="0" w:noVBand="1"/>
      </w:tblPr>
      <w:tblGrid>
        <w:gridCol w:w="6234"/>
        <w:gridCol w:w="3227"/>
      </w:tblGrid>
      <w:tr w:rsidR="006022B5" w:rsidRPr="006022B5" w14:paraId="59D19A26" w14:textId="77777777" w:rsidTr="00740321">
        <w:trPr>
          <w:trHeight w:val="467"/>
          <w:jc w:val="center"/>
        </w:trPr>
        <w:tc>
          <w:tcPr>
            <w:tcW w:w="9461" w:type="dxa"/>
            <w:gridSpan w:val="2"/>
            <w:tcBorders>
              <w:bottom w:val="single" w:sz="4" w:space="0" w:color="366092"/>
            </w:tcBorders>
            <w:shd w:val="clear" w:color="FFFFFF" w:fill="FFFFFF"/>
            <w:vAlign w:val="center"/>
            <w:hideMark/>
          </w:tcPr>
          <w:p w14:paraId="0A682EA1"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Πίνακας 5</w:t>
            </w:r>
          </w:p>
        </w:tc>
      </w:tr>
      <w:tr w:rsidR="006022B5" w:rsidRPr="006022B5" w14:paraId="5E069138"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9137E77"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BE79330" w14:textId="77777777" w:rsidR="006022B5" w:rsidRPr="006022B5" w:rsidRDefault="006022B5" w:rsidP="006022B5">
            <w:pPr>
              <w:jc w:val="cente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Επίπτωση (μονάδες)</w:t>
            </w:r>
          </w:p>
        </w:tc>
      </w:tr>
      <w:tr w:rsidR="006022B5" w:rsidRPr="006022B5" w14:paraId="0C3752BC" w14:textId="77777777" w:rsidTr="00740321">
        <w:trPr>
          <w:trHeight w:val="548"/>
          <w:jc w:val="center"/>
        </w:trPr>
        <w:tc>
          <w:tcPr>
            <w:tcW w:w="6234" w:type="dxa"/>
            <w:vMerge/>
            <w:tcBorders>
              <w:bottom w:val="single" w:sz="4" w:space="0" w:color="366092"/>
            </w:tcBorders>
            <w:shd w:val="clear" w:color="FFFFFF" w:fill="FFFFFF"/>
            <w:vAlign w:val="center"/>
            <w:hideMark/>
          </w:tcPr>
          <w:p w14:paraId="3CFE0A0E" w14:textId="77777777" w:rsidR="006022B5" w:rsidRPr="006022B5"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8D48676" w14:textId="11583F87" w:rsidR="006022B5" w:rsidRPr="006022B5" w:rsidRDefault="00D21C85" w:rsidP="00D21C85">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Σεπ</w:t>
            </w:r>
            <w:r w:rsidRPr="006022B5">
              <w:rPr>
                <w:rFonts w:ascii="Verdana" w:eastAsia="Times New Roman" w:hAnsi="Verdana" w:cs="Arial"/>
                <w:b/>
                <w:bCs/>
                <w:color w:val="365F91"/>
                <w:sz w:val="18"/>
                <w:szCs w:val="18"/>
                <w:lang w:val="el-GR"/>
              </w:rPr>
              <w:t xml:space="preserve"> 22/</w:t>
            </w:r>
            <w:r>
              <w:rPr>
                <w:rFonts w:ascii="Verdana" w:eastAsia="Times New Roman" w:hAnsi="Verdana" w:cs="Arial"/>
                <w:b/>
                <w:bCs/>
                <w:color w:val="365F91"/>
                <w:sz w:val="18"/>
                <w:szCs w:val="18"/>
                <w:lang w:val="el-GR"/>
              </w:rPr>
              <w:t xml:space="preserve"> Αυγ</w:t>
            </w:r>
            <w:r w:rsidRPr="006022B5">
              <w:rPr>
                <w:rFonts w:ascii="Verdana" w:eastAsia="Times New Roman" w:hAnsi="Verdana" w:cs="Arial"/>
                <w:b/>
                <w:bCs/>
                <w:color w:val="365F91"/>
                <w:sz w:val="18"/>
                <w:szCs w:val="18"/>
                <w:lang w:val="el-GR"/>
              </w:rPr>
              <w:t xml:space="preserve"> 22</w:t>
            </w:r>
          </w:p>
        </w:tc>
      </w:tr>
      <w:tr w:rsidR="006022B5" w:rsidRPr="006022B5" w14:paraId="08F14ADD" w14:textId="77777777" w:rsidTr="00740321">
        <w:trPr>
          <w:trHeight w:val="300"/>
          <w:jc w:val="center"/>
        </w:trPr>
        <w:tc>
          <w:tcPr>
            <w:tcW w:w="6234" w:type="dxa"/>
            <w:tcBorders>
              <w:top w:val="nil"/>
              <w:bottom w:val="nil"/>
            </w:tcBorders>
            <w:shd w:val="clear" w:color="FFFFFF" w:fill="FFFFFF"/>
            <w:vAlign w:val="center"/>
          </w:tcPr>
          <w:p w14:paraId="416D9F22"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vAlign w:val="center"/>
          </w:tcPr>
          <w:p w14:paraId="257EB4F8" w14:textId="77777777" w:rsidR="006022B5" w:rsidRPr="006022B5" w:rsidRDefault="006022B5" w:rsidP="006022B5">
            <w:pPr>
              <w:ind w:right="1296" w:firstLineChars="200" w:firstLine="360"/>
              <w:jc w:val="right"/>
              <w:rPr>
                <w:rFonts w:ascii="Verdana" w:eastAsia="Times New Roman" w:hAnsi="Verdana" w:cs="Arial"/>
                <w:color w:val="365F91"/>
                <w:sz w:val="18"/>
                <w:szCs w:val="18"/>
                <w:lang w:val="el-GR"/>
              </w:rPr>
            </w:pPr>
          </w:p>
        </w:tc>
      </w:tr>
      <w:tr w:rsidR="006022B5" w:rsidRPr="006022B5" w14:paraId="7A6A6C97" w14:textId="77777777" w:rsidTr="00740321">
        <w:trPr>
          <w:trHeight w:val="300"/>
          <w:jc w:val="center"/>
        </w:trPr>
        <w:tc>
          <w:tcPr>
            <w:tcW w:w="6234" w:type="dxa"/>
            <w:tcBorders>
              <w:top w:val="nil"/>
              <w:bottom w:val="nil"/>
            </w:tcBorders>
            <w:shd w:val="clear" w:color="FFFFFF" w:fill="FFFFFF"/>
            <w:vAlign w:val="center"/>
          </w:tcPr>
          <w:p w14:paraId="2BD1BFAD" w14:textId="6CB11D2E" w:rsidR="006022B5" w:rsidRPr="006022B5" w:rsidRDefault="0059136C" w:rsidP="006022B5">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Είδη ένδυσης</w:t>
            </w:r>
          </w:p>
        </w:tc>
        <w:tc>
          <w:tcPr>
            <w:tcW w:w="3227" w:type="dxa"/>
            <w:tcBorders>
              <w:top w:val="nil"/>
              <w:bottom w:val="nil"/>
            </w:tcBorders>
            <w:shd w:val="clear" w:color="FFFFFF" w:fill="FFFFFF"/>
            <w:noWrap/>
            <w:vAlign w:val="center"/>
          </w:tcPr>
          <w:p w14:paraId="28B31CF3" w14:textId="7617944E" w:rsidR="006022B5" w:rsidRPr="00BE0316" w:rsidRDefault="00BE031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59136C">
              <w:rPr>
                <w:rFonts w:ascii="Verdana" w:eastAsia="Times New Roman" w:hAnsi="Verdana" w:cs="Arial"/>
                <w:bCs/>
                <w:color w:val="365F91"/>
                <w:sz w:val="18"/>
                <w:szCs w:val="18"/>
                <w:lang w:val="el-GR"/>
              </w:rPr>
              <w:t>33</w:t>
            </w:r>
          </w:p>
        </w:tc>
      </w:tr>
      <w:tr w:rsidR="006022B5" w:rsidRPr="006022B5" w14:paraId="30B7EB49" w14:textId="77777777" w:rsidTr="00740321">
        <w:trPr>
          <w:trHeight w:val="300"/>
          <w:jc w:val="center"/>
        </w:trPr>
        <w:tc>
          <w:tcPr>
            <w:tcW w:w="6234" w:type="dxa"/>
            <w:tcBorders>
              <w:top w:val="nil"/>
              <w:bottom w:val="nil"/>
            </w:tcBorders>
            <w:shd w:val="clear" w:color="FFFFFF" w:fill="FFFFFF"/>
            <w:vAlign w:val="center"/>
          </w:tcPr>
          <w:p w14:paraId="7DD4C8BC" w14:textId="68D70FBA" w:rsidR="006022B5" w:rsidRPr="006022B5" w:rsidRDefault="0059136C" w:rsidP="006022B5">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Είδη υπόδησης</w:t>
            </w:r>
          </w:p>
        </w:tc>
        <w:tc>
          <w:tcPr>
            <w:tcW w:w="3227" w:type="dxa"/>
            <w:tcBorders>
              <w:top w:val="nil"/>
              <w:bottom w:val="nil"/>
            </w:tcBorders>
            <w:shd w:val="clear" w:color="FFFFFF" w:fill="FFFFFF"/>
            <w:noWrap/>
            <w:vAlign w:val="center"/>
          </w:tcPr>
          <w:p w14:paraId="6725D060" w14:textId="4FE08090" w:rsidR="006022B5" w:rsidRPr="006022B5" w:rsidRDefault="00BE031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0C5D92">
              <w:rPr>
                <w:rFonts w:ascii="Verdana" w:eastAsia="Times New Roman" w:hAnsi="Verdana" w:cs="Arial"/>
                <w:bCs/>
                <w:color w:val="365F91"/>
                <w:sz w:val="18"/>
                <w:szCs w:val="18"/>
                <w:lang w:val="el-GR"/>
              </w:rPr>
              <w:t>1</w:t>
            </w:r>
            <w:r w:rsidR="0059136C">
              <w:rPr>
                <w:rFonts w:ascii="Verdana" w:eastAsia="Times New Roman" w:hAnsi="Verdana" w:cs="Arial"/>
                <w:bCs/>
                <w:color w:val="365F91"/>
                <w:sz w:val="18"/>
                <w:szCs w:val="18"/>
                <w:lang w:val="el-GR"/>
              </w:rPr>
              <w:t>9</w:t>
            </w:r>
          </w:p>
        </w:tc>
      </w:tr>
      <w:tr w:rsidR="006022B5" w:rsidRPr="006022B5" w14:paraId="722805E6" w14:textId="77777777" w:rsidTr="00740321">
        <w:trPr>
          <w:trHeight w:val="300"/>
          <w:jc w:val="center"/>
        </w:trPr>
        <w:tc>
          <w:tcPr>
            <w:tcW w:w="6234" w:type="dxa"/>
            <w:tcBorders>
              <w:top w:val="nil"/>
              <w:bottom w:val="nil"/>
            </w:tcBorders>
            <w:shd w:val="clear" w:color="FFFFFF" w:fill="FFFFFF"/>
            <w:vAlign w:val="center"/>
          </w:tcPr>
          <w:p w14:paraId="1ACA2564" w14:textId="77777777" w:rsidR="006022B5" w:rsidRPr="006022B5" w:rsidRDefault="006022B5" w:rsidP="006022B5">
            <w:pPr>
              <w:ind w:firstLine="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Διάφορα άλλα προϊόντα και υπηρεσίες</w:t>
            </w:r>
          </w:p>
        </w:tc>
        <w:tc>
          <w:tcPr>
            <w:tcW w:w="3227" w:type="dxa"/>
            <w:tcBorders>
              <w:top w:val="nil"/>
              <w:bottom w:val="nil"/>
            </w:tcBorders>
            <w:shd w:val="clear" w:color="FFFFFF" w:fill="FFFFFF"/>
            <w:noWrap/>
            <w:vAlign w:val="center"/>
          </w:tcPr>
          <w:p w14:paraId="580926F2" w14:textId="07121256" w:rsidR="006022B5" w:rsidRPr="006022B5" w:rsidRDefault="00BE0316" w:rsidP="006022B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0C5D92">
              <w:rPr>
                <w:rFonts w:ascii="Verdana" w:eastAsia="Times New Roman" w:hAnsi="Verdana" w:cs="Arial"/>
                <w:bCs/>
                <w:color w:val="365F91"/>
                <w:sz w:val="18"/>
                <w:szCs w:val="18"/>
                <w:lang w:val="el-GR"/>
              </w:rPr>
              <w:t>3</w:t>
            </w:r>
            <w:r w:rsidR="0059136C">
              <w:rPr>
                <w:rFonts w:ascii="Verdana" w:eastAsia="Times New Roman" w:hAnsi="Verdana" w:cs="Arial"/>
                <w:bCs/>
                <w:color w:val="365F91"/>
                <w:sz w:val="18"/>
                <w:szCs w:val="18"/>
                <w:lang w:val="el-GR"/>
              </w:rPr>
              <w:t>5</w:t>
            </w:r>
          </w:p>
        </w:tc>
      </w:tr>
      <w:tr w:rsidR="006022B5" w:rsidRPr="006022B5" w14:paraId="1C42D502" w14:textId="77777777" w:rsidTr="00740321">
        <w:trPr>
          <w:trHeight w:val="300"/>
          <w:jc w:val="center"/>
        </w:trPr>
        <w:tc>
          <w:tcPr>
            <w:tcW w:w="6234" w:type="dxa"/>
            <w:tcBorders>
              <w:top w:val="nil"/>
              <w:bottom w:val="nil"/>
            </w:tcBorders>
            <w:shd w:val="clear" w:color="FFFFFF" w:fill="FFFFFF"/>
            <w:vAlign w:val="center"/>
          </w:tcPr>
          <w:p w14:paraId="04774FA8" w14:textId="77777777" w:rsidR="006022B5" w:rsidRPr="006022B5" w:rsidRDefault="006022B5" w:rsidP="006022B5">
            <w:pPr>
              <w:ind w:firstLine="231"/>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Αρνητική επίπτωση</w:t>
            </w:r>
          </w:p>
        </w:tc>
        <w:tc>
          <w:tcPr>
            <w:tcW w:w="3227" w:type="dxa"/>
            <w:tcBorders>
              <w:top w:val="nil"/>
              <w:bottom w:val="nil"/>
            </w:tcBorders>
            <w:shd w:val="clear" w:color="FFFFFF" w:fill="FFFFFF"/>
            <w:noWrap/>
            <w:vAlign w:val="center"/>
          </w:tcPr>
          <w:p w14:paraId="70378053" w14:textId="77777777" w:rsidR="006022B5" w:rsidRPr="006022B5" w:rsidRDefault="006022B5" w:rsidP="006022B5">
            <w:pPr>
              <w:ind w:right="1304" w:firstLineChars="200" w:firstLine="360"/>
              <w:jc w:val="right"/>
              <w:rPr>
                <w:rFonts w:ascii="Verdana" w:eastAsia="Times New Roman" w:hAnsi="Verdana" w:cs="Arial"/>
                <w:bCs/>
                <w:color w:val="365F91"/>
                <w:sz w:val="18"/>
                <w:szCs w:val="18"/>
                <w:lang w:val="el-GR"/>
              </w:rPr>
            </w:pPr>
          </w:p>
        </w:tc>
      </w:tr>
      <w:tr w:rsidR="0059136C" w:rsidRPr="006022B5" w14:paraId="34E67B56" w14:textId="77777777" w:rsidTr="00740321">
        <w:trPr>
          <w:trHeight w:val="300"/>
          <w:jc w:val="center"/>
        </w:trPr>
        <w:tc>
          <w:tcPr>
            <w:tcW w:w="6234" w:type="dxa"/>
            <w:tcBorders>
              <w:top w:val="nil"/>
              <w:bottom w:val="nil"/>
            </w:tcBorders>
            <w:shd w:val="clear" w:color="FFFFFF" w:fill="FFFFFF"/>
            <w:vAlign w:val="center"/>
          </w:tcPr>
          <w:p w14:paraId="2D6689AA" w14:textId="75036F87" w:rsidR="0059136C" w:rsidRPr="006022B5" w:rsidRDefault="0059136C" w:rsidP="00B016E5">
            <w:pPr>
              <w:ind w:firstLine="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vAlign w:val="center"/>
          </w:tcPr>
          <w:p w14:paraId="51BC03B1" w14:textId="12CD9EC7" w:rsidR="0059136C" w:rsidRDefault="0059136C" w:rsidP="00B016E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-0,75</w:t>
            </w:r>
          </w:p>
        </w:tc>
      </w:tr>
      <w:tr w:rsidR="00B016E5" w:rsidRPr="006022B5" w14:paraId="4923FEA5" w14:textId="77777777" w:rsidTr="00740321">
        <w:trPr>
          <w:trHeight w:val="300"/>
          <w:jc w:val="center"/>
        </w:trPr>
        <w:tc>
          <w:tcPr>
            <w:tcW w:w="6234" w:type="dxa"/>
            <w:tcBorders>
              <w:top w:val="nil"/>
              <w:bottom w:val="nil"/>
            </w:tcBorders>
            <w:shd w:val="clear" w:color="FFFFFF" w:fill="FFFFFF"/>
            <w:vAlign w:val="center"/>
          </w:tcPr>
          <w:p w14:paraId="75D4B4B6" w14:textId="69E72C1C" w:rsidR="00B016E5" w:rsidRPr="006022B5" w:rsidRDefault="0059136C" w:rsidP="00B016E5">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Αεροπορικά ναύλα</w:t>
            </w:r>
          </w:p>
        </w:tc>
        <w:tc>
          <w:tcPr>
            <w:tcW w:w="3227" w:type="dxa"/>
            <w:tcBorders>
              <w:top w:val="nil"/>
              <w:bottom w:val="nil"/>
            </w:tcBorders>
            <w:shd w:val="clear" w:color="FFFFFF" w:fill="FFFFFF"/>
            <w:noWrap/>
            <w:vAlign w:val="center"/>
          </w:tcPr>
          <w:p w14:paraId="7C259722" w14:textId="14EDFFE3" w:rsidR="00B016E5" w:rsidRPr="006022B5" w:rsidRDefault="00B016E5" w:rsidP="00B016E5">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59136C">
              <w:rPr>
                <w:rFonts w:ascii="Verdana" w:eastAsia="Times New Roman" w:hAnsi="Verdana" w:cs="Arial"/>
                <w:bCs/>
                <w:color w:val="365F91"/>
                <w:sz w:val="18"/>
                <w:szCs w:val="18"/>
                <w:lang w:val="el-GR"/>
              </w:rPr>
              <w:t>34</w:t>
            </w:r>
          </w:p>
        </w:tc>
      </w:tr>
      <w:tr w:rsidR="006022B5" w:rsidRPr="006022B5" w14:paraId="1696B547"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04ECCD32"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B88B50F" w14:textId="53564B7A" w:rsidR="006022B5" w:rsidRPr="0027291A" w:rsidRDefault="000C5D92" w:rsidP="006022B5">
            <w:pPr>
              <w:ind w:right="1296" w:firstLineChars="200" w:firstLine="361"/>
              <w:jc w:val="right"/>
              <w:rPr>
                <w:rFonts w:ascii="Verdana" w:eastAsia="Times New Roman" w:hAnsi="Verdana" w:cs="Arial"/>
                <w:b/>
                <w:color w:val="365F91"/>
                <w:sz w:val="18"/>
                <w:szCs w:val="18"/>
                <w:lang/>
              </w:rPr>
            </w:pPr>
            <w:r>
              <w:rPr>
                <w:rFonts w:ascii="Verdana" w:eastAsia="Times New Roman" w:hAnsi="Verdana" w:cs="Arial"/>
                <w:b/>
                <w:color w:val="365F91"/>
                <w:sz w:val="18"/>
                <w:szCs w:val="18"/>
                <w:lang w:val="el-GR"/>
              </w:rPr>
              <w:t>-0</w:t>
            </w:r>
            <w:r w:rsidR="00BE0316" w:rsidRPr="00A10411">
              <w:rPr>
                <w:rFonts w:ascii="Verdana" w:eastAsia="Times New Roman" w:hAnsi="Verdana" w:cs="Arial"/>
                <w:b/>
                <w:color w:val="365F91"/>
                <w:sz w:val="18"/>
                <w:szCs w:val="18"/>
                <w:lang w:val="el-GR"/>
              </w:rPr>
              <w:t>,</w:t>
            </w:r>
            <w:r>
              <w:rPr>
                <w:rFonts w:ascii="Verdana" w:eastAsia="Times New Roman" w:hAnsi="Verdana" w:cs="Arial"/>
                <w:b/>
                <w:color w:val="365F91"/>
                <w:sz w:val="18"/>
                <w:szCs w:val="18"/>
                <w:lang w:val="el-GR"/>
              </w:rPr>
              <w:t>2</w:t>
            </w:r>
            <w:r w:rsidR="0059136C">
              <w:rPr>
                <w:rFonts w:ascii="Verdana" w:eastAsia="Times New Roman" w:hAnsi="Verdana" w:cs="Arial"/>
                <w:b/>
                <w:color w:val="365F91"/>
                <w:sz w:val="18"/>
                <w:szCs w:val="18"/>
                <w:lang w:val="el-GR"/>
              </w:rPr>
              <w:t>2</w:t>
            </w:r>
          </w:p>
        </w:tc>
      </w:tr>
    </w:tbl>
    <w:p w14:paraId="2EB51A71"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74C43CFC"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27648AE1"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5730B2FA"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024F077A"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2CDE80F4" w14:textId="3657D20F" w:rsidR="006022B5" w:rsidRDefault="006022B5" w:rsidP="006022B5">
      <w:pPr>
        <w:tabs>
          <w:tab w:val="left" w:pos="1080"/>
          <w:tab w:val="left" w:pos="6840"/>
        </w:tabs>
        <w:jc w:val="both"/>
        <w:rPr>
          <w:rFonts w:ascii="Verdana" w:eastAsia="Malgun Gothic" w:hAnsi="Verdana" w:cs="Arial"/>
          <w:sz w:val="20"/>
          <w:szCs w:val="20"/>
          <w:u w:val="single"/>
          <w:lang w:val="el-GR"/>
        </w:rPr>
      </w:pPr>
    </w:p>
    <w:p w14:paraId="62226AB4" w14:textId="5D6472C0" w:rsidR="006022B5" w:rsidRDefault="006022B5" w:rsidP="006022B5">
      <w:pPr>
        <w:tabs>
          <w:tab w:val="left" w:pos="1080"/>
          <w:tab w:val="left" w:pos="6840"/>
        </w:tabs>
        <w:jc w:val="both"/>
        <w:rPr>
          <w:rFonts w:ascii="Verdana" w:eastAsia="Malgun Gothic" w:hAnsi="Verdana" w:cs="Arial"/>
          <w:sz w:val="20"/>
          <w:szCs w:val="20"/>
          <w:u w:val="single"/>
          <w:lang w:val="el-GR"/>
        </w:rPr>
      </w:pPr>
    </w:p>
    <w:p w14:paraId="71931726" w14:textId="32EC001F" w:rsidR="006022B5" w:rsidRDefault="006022B5" w:rsidP="006022B5">
      <w:pPr>
        <w:tabs>
          <w:tab w:val="left" w:pos="1080"/>
          <w:tab w:val="left" w:pos="6840"/>
        </w:tabs>
        <w:jc w:val="both"/>
        <w:rPr>
          <w:rFonts w:ascii="Verdana" w:eastAsia="Malgun Gothic" w:hAnsi="Verdana" w:cs="Arial"/>
          <w:sz w:val="20"/>
          <w:szCs w:val="20"/>
          <w:u w:val="single"/>
          <w:lang w:val="el-GR"/>
        </w:rPr>
      </w:pPr>
    </w:p>
    <w:p w14:paraId="4FFAD0D4" w14:textId="2C787014" w:rsidR="00C8341F" w:rsidRDefault="00C8341F" w:rsidP="006022B5">
      <w:pPr>
        <w:tabs>
          <w:tab w:val="left" w:pos="1080"/>
          <w:tab w:val="left" w:pos="6840"/>
        </w:tabs>
        <w:jc w:val="both"/>
        <w:rPr>
          <w:rFonts w:ascii="Verdana" w:eastAsia="Malgun Gothic" w:hAnsi="Verdana" w:cs="Arial"/>
          <w:sz w:val="20"/>
          <w:szCs w:val="20"/>
          <w:u w:val="single"/>
          <w:lang w:val="el-GR"/>
        </w:rPr>
      </w:pPr>
    </w:p>
    <w:p w14:paraId="71A4C6A9"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6F05DBDE"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r w:rsidRPr="006022B5">
        <w:rPr>
          <w:rFonts w:ascii="Verdana" w:eastAsia="Malgun Gothic" w:hAnsi="Verdana" w:cs="Arial"/>
          <w:b/>
          <w:u w:val="single"/>
          <w:lang w:val="el-GR"/>
        </w:rPr>
        <w:t>ΜΕΘΟΔΟΛΟΓΙΚΕΣ ΠΛΗΡΟΦΟΡΙΕΣ</w:t>
      </w:r>
    </w:p>
    <w:p w14:paraId="4ED0D294" w14:textId="77777777" w:rsidR="006022B5" w:rsidRPr="006022B5" w:rsidRDefault="006022B5" w:rsidP="006022B5">
      <w:pPr>
        <w:tabs>
          <w:tab w:val="left" w:pos="1080"/>
          <w:tab w:val="left" w:pos="6840"/>
        </w:tabs>
        <w:jc w:val="both"/>
        <w:rPr>
          <w:rFonts w:ascii="Verdana" w:eastAsia="Malgun Gothic" w:hAnsi="Verdana" w:cs="Arial"/>
          <w:sz w:val="20"/>
          <w:szCs w:val="20"/>
          <w:lang w:val="el-GR"/>
        </w:rPr>
      </w:pPr>
    </w:p>
    <w:p w14:paraId="3C2B4637" w14:textId="77777777" w:rsidR="006022B5" w:rsidRPr="006022B5" w:rsidRDefault="006022B5" w:rsidP="006022B5">
      <w:pPr>
        <w:tabs>
          <w:tab w:val="left" w:pos="1080"/>
          <w:tab w:val="left" w:pos="6840"/>
        </w:tabs>
        <w:jc w:val="both"/>
        <w:rPr>
          <w:rFonts w:ascii="Verdana" w:eastAsia="Malgun Gothic" w:hAnsi="Verdana" w:cs="Arial"/>
          <w:b/>
          <w:sz w:val="20"/>
          <w:szCs w:val="20"/>
          <w:u w:val="single"/>
          <w:lang w:val="el-GR"/>
        </w:rPr>
      </w:pPr>
    </w:p>
    <w:p w14:paraId="63318CA3"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Ορισμοί</w:t>
      </w:r>
    </w:p>
    <w:p w14:paraId="7EED2F30"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6C384CCE"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w:t>
      </w:r>
      <w:r w:rsidRPr="006022B5">
        <w:rPr>
          <w:rFonts w:ascii="Verdana" w:eastAsia="Malgun Gothic" w:hAnsi="Verdana" w:cs="Arial"/>
          <w:b/>
          <w:sz w:val="18"/>
          <w:szCs w:val="18"/>
          <w:lang w:val="el-GR"/>
        </w:rPr>
        <w:t>Δείκτης Τιμών Καταναλωτή (ΔΤΚ)</w:t>
      </w:r>
      <w:r w:rsidRPr="006022B5">
        <w:rPr>
          <w:rFonts w:ascii="Verdana" w:eastAsia="Malgun Gothic" w:hAnsi="Verdana" w:cs="Arial"/>
          <w:sz w:val="18"/>
          <w:szCs w:val="18"/>
          <w:lang w:val="el-GR"/>
        </w:rPr>
        <w:t xml:space="preserve"> 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 (διαμένουν στην Κύπρο ή έχουν σκοπό να διαμείνουν στην Κύπρο για ένα χρόνο τουλάχιστον). Ο ΔΤΚ αποτελεί τον επίσημο δείκτη για τον υπολογισμό του πληθωρισμού.</w:t>
      </w:r>
    </w:p>
    <w:p w14:paraId="46E76B27" w14:textId="77777777" w:rsidR="006022B5" w:rsidRPr="006022B5" w:rsidRDefault="006022B5" w:rsidP="006022B5">
      <w:pPr>
        <w:tabs>
          <w:tab w:val="left" w:pos="945"/>
        </w:tabs>
        <w:jc w:val="both"/>
        <w:rPr>
          <w:rFonts w:ascii="Verdana" w:eastAsia="Malgun Gothic" w:hAnsi="Verdana" w:cs="Arial"/>
          <w:sz w:val="18"/>
          <w:szCs w:val="18"/>
          <w:lang w:val="el-GR"/>
        </w:rPr>
      </w:pPr>
    </w:p>
    <w:p w14:paraId="37069BCC"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w:t>
      </w:r>
      <w:r w:rsidRPr="006022B5">
        <w:rPr>
          <w:rFonts w:ascii="Verdana" w:eastAsia="Malgun Gothic" w:hAnsi="Verdana" w:cs="Arial"/>
          <w:b/>
          <w:sz w:val="18"/>
          <w:szCs w:val="18"/>
          <w:lang w:val="el-GR"/>
        </w:rPr>
        <w:t>Πληθωρισμός</w:t>
      </w:r>
      <w:r w:rsidRPr="006022B5">
        <w:rPr>
          <w:rFonts w:ascii="Verdana" w:eastAsia="Malgun Gothic" w:hAnsi="Verdana" w:cs="Arial"/>
          <w:sz w:val="18"/>
          <w:szCs w:val="18"/>
          <w:lang w:val="el-GR"/>
        </w:rPr>
        <w:t xml:space="preserve"> δείχνει τη μεταβολή του ΔΤΚ σε σχέση με τον αντίστοιχο μήνα του προηγούμενου έτους.</w:t>
      </w:r>
    </w:p>
    <w:p w14:paraId="1393B8C7" w14:textId="77777777" w:rsidR="006022B5" w:rsidRPr="006022B5" w:rsidRDefault="006022B5" w:rsidP="006022B5">
      <w:pPr>
        <w:tabs>
          <w:tab w:val="left" w:pos="945"/>
        </w:tabs>
        <w:jc w:val="both"/>
        <w:rPr>
          <w:rFonts w:ascii="Verdana" w:eastAsia="Malgun Gothic" w:hAnsi="Verdana" w:cs="Arial"/>
          <w:sz w:val="18"/>
          <w:szCs w:val="18"/>
          <w:lang w:val="el-GR"/>
        </w:rPr>
      </w:pPr>
    </w:p>
    <w:p w14:paraId="252471B4"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Η </w:t>
      </w:r>
      <w:r w:rsidRPr="006022B5">
        <w:rPr>
          <w:rFonts w:ascii="Verdana" w:eastAsia="Malgun Gothic" w:hAnsi="Verdana" w:cs="Arial"/>
          <w:b/>
          <w:sz w:val="18"/>
          <w:szCs w:val="18"/>
          <w:lang w:val="el-GR"/>
        </w:rPr>
        <w:t>Επίπτωση</w:t>
      </w:r>
      <w:r w:rsidRPr="006022B5">
        <w:rPr>
          <w:rFonts w:ascii="Verdana" w:eastAsia="Malgun Gothic" w:hAnsi="Verdana" w:cs="Arial"/>
          <w:sz w:val="18"/>
          <w:szCs w:val="18"/>
          <w:lang w:val="el-GR"/>
        </w:rPr>
        <w:t xml:space="preserve"> αντιπροσωπεύει το ποσό της συνολικής μεταβολής στον ΔΤΚ το οποίο οφείλεται στην αναφερόμενη κατηγορία/αγαθό/υπηρεσία. </w:t>
      </w:r>
    </w:p>
    <w:p w14:paraId="022ABDD7" w14:textId="77777777" w:rsidR="006022B5" w:rsidRPr="006022B5" w:rsidRDefault="006022B5" w:rsidP="006022B5">
      <w:pPr>
        <w:tabs>
          <w:tab w:val="left" w:pos="945"/>
        </w:tabs>
        <w:jc w:val="both"/>
        <w:rPr>
          <w:rFonts w:ascii="Verdana" w:eastAsia="Malgun Gothic" w:hAnsi="Verdana" w:cs="Arial"/>
          <w:sz w:val="18"/>
          <w:szCs w:val="18"/>
          <w:lang w:val="el-GR"/>
        </w:rPr>
      </w:pPr>
    </w:p>
    <w:p w14:paraId="3CC1A477" w14:textId="77777777" w:rsidR="006022B5" w:rsidRPr="006022B5" w:rsidRDefault="006022B5" w:rsidP="006022B5">
      <w:pPr>
        <w:tabs>
          <w:tab w:val="left" w:pos="945"/>
        </w:tabs>
        <w:jc w:val="both"/>
        <w:rPr>
          <w:rFonts w:ascii="Verdana" w:eastAsia="Malgun Gothic" w:hAnsi="Verdana" w:cs="Arial"/>
          <w:b/>
          <w:sz w:val="18"/>
          <w:szCs w:val="18"/>
          <w:u w:val="single"/>
          <w:lang w:val="el-GR"/>
        </w:rPr>
      </w:pPr>
      <w:proofErr w:type="spellStart"/>
      <w:r w:rsidRPr="006022B5">
        <w:rPr>
          <w:rFonts w:ascii="Verdana" w:eastAsia="Malgun Gothic" w:hAnsi="Verdana" w:cs="Arial"/>
          <w:b/>
          <w:sz w:val="18"/>
          <w:szCs w:val="18"/>
          <w:u w:val="single"/>
          <w:lang w:val="el-GR"/>
        </w:rPr>
        <w:t>Τιμοληψία</w:t>
      </w:r>
      <w:proofErr w:type="spellEnd"/>
    </w:p>
    <w:p w14:paraId="6BCF4E62" w14:textId="77777777" w:rsidR="006022B5" w:rsidRPr="006022B5" w:rsidRDefault="006022B5" w:rsidP="006022B5">
      <w:pPr>
        <w:tabs>
          <w:tab w:val="left" w:pos="945"/>
        </w:tabs>
        <w:jc w:val="both"/>
        <w:rPr>
          <w:rFonts w:ascii="Verdana" w:eastAsia="Malgun Gothic" w:hAnsi="Verdana" w:cs="Arial"/>
          <w:sz w:val="18"/>
          <w:szCs w:val="18"/>
          <w:lang w:val="el-GR"/>
        </w:rPr>
      </w:pPr>
    </w:p>
    <w:p w14:paraId="0AFEFEB0"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Η </w:t>
      </w:r>
      <w:proofErr w:type="spellStart"/>
      <w:r w:rsidRPr="006022B5">
        <w:rPr>
          <w:rFonts w:ascii="Verdana" w:eastAsia="Malgun Gothic" w:hAnsi="Verdana" w:cs="Arial"/>
          <w:sz w:val="18"/>
          <w:szCs w:val="18"/>
          <w:lang w:val="el-GR"/>
        </w:rPr>
        <w:t>τιμοληψία</w:t>
      </w:r>
      <w:proofErr w:type="spellEnd"/>
      <w:r w:rsidRPr="006022B5">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Λευκωσία 42%, Λεμεσός 30%, Λάρνακα 18% και Πάφος 10%. </w:t>
      </w:r>
    </w:p>
    <w:p w14:paraId="737D6DCA" w14:textId="77777777" w:rsidR="006022B5" w:rsidRPr="006022B5" w:rsidRDefault="006022B5" w:rsidP="006022B5">
      <w:pPr>
        <w:tabs>
          <w:tab w:val="left" w:pos="945"/>
        </w:tabs>
        <w:jc w:val="both"/>
        <w:rPr>
          <w:rFonts w:ascii="Verdana" w:eastAsia="Malgun Gothic" w:hAnsi="Verdana" w:cs="Arial"/>
          <w:sz w:val="18"/>
          <w:szCs w:val="18"/>
          <w:lang w:val="el-GR"/>
        </w:rPr>
      </w:pPr>
    </w:p>
    <w:p w14:paraId="2DE9E601"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Οι τιμές των 805 ειδών και υπηρεσιών, που περιλαμβάνονται στον ΔΤΚ παρακολουθούνται και 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p>
    <w:p w14:paraId="01298584" w14:textId="77777777" w:rsidR="006022B5" w:rsidRPr="006022B5" w:rsidRDefault="006022B5" w:rsidP="006022B5">
      <w:pPr>
        <w:tabs>
          <w:tab w:val="left" w:pos="945"/>
        </w:tabs>
        <w:jc w:val="both"/>
        <w:rPr>
          <w:rFonts w:ascii="Verdana" w:eastAsia="Malgun Gothic" w:hAnsi="Verdana" w:cs="Arial"/>
          <w:sz w:val="18"/>
          <w:szCs w:val="18"/>
          <w:lang w:val="el-GR"/>
        </w:rPr>
      </w:pPr>
    </w:p>
    <w:p w14:paraId="30F3C191" w14:textId="77777777" w:rsidR="006022B5" w:rsidRPr="006022B5" w:rsidRDefault="006022B5" w:rsidP="006022B5">
      <w:pPr>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Έτος βάσης</w:t>
      </w:r>
    </w:p>
    <w:p w14:paraId="12559C64" w14:textId="77777777" w:rsidR="006022B5" w:rsidRPr="006022B5" w:rsidRDefault="006022B5" w:rsidP="006022B5">
      <w:pPr>
        <w:tabs>
          <w:tab w:val="left" w:pos="945"/>
        </w:tabs>
        <w:jc w:val="both"/>
        <w:rPr>
          <w:rFonts w:ascii="Verdana" w:eastAsia="Malgun Gothic" w:hAnsi="Verdana" w:cs="Arial"/>
          <w:sz w:val="18"/>
          <w:szCs w:val="18"/>
          <w:lang w:val="el-GR"/>
        </w:rPr>
      </w:pPr>
    </w:p>
    <w:p w14:paraId="795D5698" w14:textId="77777777" w:rsidR="006022B5" w:rsidRPr="006022B5" w:rsidRDefault="006022B5" w:rsidP="006022B5">
      <w:pPr>
        <w:jc w:val="both"/>
        <w:rPr>
          <w:rFonts w:ascii="Verdana" w:eastAsia="Malgun Gothic" w:hAnsi="Verdana" w:cs="Arial"/>
          <w:sz w:val="18"/>
          <w:szCs w:val="18"/>
          <w:lang w:val="el-GR"/>
        </w:rPr>
      </w:pPr>
      <w:r w:rsidRPr="006022B5">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0CCFF880" w14:textId="77777777" w:rsidR="006022B5" w:rsidRPr="006022B5" w:rsidRDefault="006022B5" w:rsidP="006022B5">
      <w:pPr>
        <w:jc w:val="both"/>
        <w:rPr>
          <w:rFonts w:ascii="Verdana" w:eastAsia="Malgun Gothic" w:hAnsi="Verdana" w:cs="Arial"/>
          <w:b/>
          <w:sz w:val="18"/>
          <w:szCs w:val="18"/>
          <w:lang w:val="el-GR"/>
        </w:rPr>
      </w:pPr>
    </w:p>
    <w:p w14:paraId="217CF854" w14:textId="77777777" w:rsidR="006022B5" w:rsidRPr="006022B5" w:rsidRDefault="006022B5" w:rsidP="006022B5">
      <w:pPr>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 xml:space="preserve">Ταξινόμηση                                                                                                                  </w:t>
      </w:r>
    </w:p>
    <w:p w14:paraId="524F8056"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4EFB4A91" w14:textId="77777777" w:rsidR="006022B5" w:rsidRPr="006022B5" w:rsidRDefault="006022B5" w:rsidP="006022B5">
      <w:pPr>
        <w:jc w:val="both"/>
        <w:rPr>
          <w:rFonts w:ascii="Verdana" w:eastAsia="Malgun Gothic" w:hAnsi="Verdana" w:cs="Arial"/>
          <w:sz w:val="18"/>
          <w:szCs w:val="18"/>
          <w:lang w:val="el-GR"/>
        </w:rPr>
      </w:pPr>
      <w:r w:rsidRPr="006022B5">
        <w:rPr>
          <w:rFonts w:ascii="Verdana" w:eastAsia="Malgun Gothic" w:hAnsi="Verdana" w:cs="Arial"/>
          <w:sz w:val="18"/>
          <w:szCs w:val="18"/>
          <w:lang w:val="el-GR"/>
        </w:rPr>
        <w:t>Μέχρι τον Δεκέμβριο του 2015, ο ΔΤΚ υπολογιζόταν και δημοσιευόταν βάσει της ταξινόμησης COICOP4 με την οποία η κατηγορία των προϊόντων καθορίζεται μέχρι τα τέσσερα ψηφία. Από τον Ιανουάριο του 2016, ο ΔΤΚ υπολογίζεται και δημοσιεύεται βάσει της ταξινόμησης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19688906" w14:textId="77777777" w:rsidR="006022B5" w:rsidRPr="006022B5" w:rsidRDefault="006022B5" w:rsidP="006022B5">
      <w:pPr>
        <w:jc w:val="both"/>
        <w:rPr>
          <w:rFonts w:ascii="Times New Roman" w:eastAsia="Times New Roman" w:hAnsi="Times New Roman"/>
          <w:sz w:val="18"/>
          <w:szCs w:val="18"/>
          <w:highlight w:val="yellow"/>
          <w:lang w:val="el-GR"/>
        </w:rPr>
      </w:pPr>
    </w:p>
    <w:p w14:paraId="5A5D77AE" w14:textId="77777777" w:rsidR="006022B5" w:rsidRPr="006022B5" w:rsidRDefault="006022B5" w:rsidP="006022B5">
      <w:pPr>
        <w:rPr>
          <w:rFonts w:ascii="Verdana" w:eastAsia="Malgun Gothic" w:hAnsi="Verdana" w:cs="Arial"/>
          <w:sz w:val="18"/>
          <w:szCs w:val="18"/>
          <w:lang w:val="el-GR"/>
        </w:rPr>
      </w:pPr>
      <w:r w:rsidRPr="006022B5">
        <w:rPr>
          <w:rFonts w:ascii="Verdana" w:eastAsia="Malgun Gothic" w:hAnsi="Verdana" w:cs="Arial"/>
          <w:b/>
          <w:sz w:val="18"/>
          <w:szCs w:val="18"/>
          <w:u w:val="single"/>
          <w:lang w:val="el-GR"/>
        </w:rPr>
        <w:t>Προϊόντα/Υπηρεσίες και Συντελεστές στάθμισης</w:t>
      </w:r>
    </w:p>
    <w:p w14:paraId="4EC53982"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br/>
        <w:t>Με ισχύ από τον Ιανουάριο του 2018, τόσο τα προϊόντα που περιέχονται στον ΔΤΚ όσο και οι συντελεστές στάθμισής τους αναθεωρήθηκαν. Η αναθεώρηση βασίστηκε στα αποτελέσματα της Έρευνας Οικογενειακών Προϋπολογισμών 2015/2016.</w:t>
      </w:r>
    </w:p>
    <w:p w14:paraId="7F3C0E42" w14:textId="77777777" w:rsidR="006022B5" w:rsidRPr="006022B5" w:rsidRDefault="006022B5" w:rsidP="006022B5">
      <w:pPr>
        <w:jc w:val="both"/>
        <w:rPr>
          <w:rFonts w:ascii="Verdana" w:eastAsia="Malgun Gothic" w:hAnsi="Verdana" w:cs="Arial"/>
          <w:sz w:val="18"/>
          <w:szCs w:val="18"/>
          <w:lang w:val="el-GR"/>
        </w:rPr>
      </w:pPr>
    </w:p>
    <w:p w14:paraId="3DFBF89B"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067D2B41" w14:textId="77777777" w:rsidR="006022B5" w:rsidRPr="006022B5" w:rsidRDefault="006022B5" w:rsidP="006022B5">
      <w:pPr>
        <w:rPr>
          <w:rFonts w:ascii="Verdana" w:hAnsi="Verdana"/>
          <w:i/>
          <w:iCs/>
          <w:sz w:val="18"/>
          <w:szCs w:val="18"/>
          <w:lang w:val="el-GR"/>
        </w:rPr>
      </w:pPr>
      <w:r w:rsidRPr="006022B5">
        <w:rPr>
          <w:rFonts w:ascii="Verdana" w:hAnsi="Verdana"/>
          <w:b/>
          <w:bCs/>
          <w:i/>
          <w:iCs/>
          <w:sz w:val="18"/>
          <w:szCs w:val="18"/>
          <w:lang w:val="el-GR"/>
        </w:rPr>
        <w:t>Για περισσότερες πληροφορίες:</w:t>
      </w:r>
      <w:r w:rsidRPr="006022B5">
        <w:rPr>
          <w:rFonts w:ascii="Verdana" w:hAnsi="Verdana"/>
          <w:i/>
          <w:iCs/>
          <w:sz w:val="18"/>
          <w:szCs w:val="18"/>
          <w:lang w:val="el-GR"/>
        </w:rPr>
        <w:t xml:space="preserve"> </w:t>
      </w:r>
    </w:p>
    <w:p w14:paraId="0AF10108" w14:textId="77777777" w:rsidR="006022B5" w:rsidRPr="006022B5" w:rsidRDefault="006022B5" w:rsidP="006022B5">
      <w:pPr>
        <w:rPr>
          <w:rFonts w:ascii="Verdana" w:hAnsi="Verdana"/>
          <w:sz w:val="18"/>
          <w:szCs w:val="18"/>
          <w:lang w:val="el-GR"/>
        </w:rPr>
      </w:pPr>
      <w:r w:rsidRPr="006022B5">
        <w:rPr>
          <w:rFonts w:ascii="Verdana" w:hAnsi="Verdana"/>
          <w:sz w:val="18"/>
          <w:szCs w:val="18"/>
          <w:lang w:val="el-GR"/>
        </w:rPr>
        <w:t xml:space="preserve">Πύλη Στατιστικής Υπηρεσίας, υπόθεμα </w:t>
      </w:r>
      <w:hyperlink r:id="rId9" w:history="1">
        <w:r w:rsidRPr="006022B5">
          <w:rPr>
            <w:rFonts w:ascii="Verdana" w:hAnsi="Verdana"/>
            <w:color w:val="0000FF"/>
            <w:sz w:val="18"/>
            <w:szCs w:val="18"/>
            <w:u w:val="single"/>
            <w:lang w:val="el-GR"/>
          </w:rPr>
          <w:t>Δείκτες Τιμών</w:t>
        </w:r>
      </w:hyperlink>
    </w:p>
    <w:p w14:paraId="5AC14E05" w14:textId="77777777" w:rsidR="006022B5" w:rsidRPr="006022B5" w:rsidRDefault="00D7245F" w:rsidP="006022B5">
      <w:pPr>
        <w:rPr>
          <w:rFonts w:ascii="Verdana" w:hAnsi="Verdana"/>
          <w:sz w:val="18"/>
          <w:szCs w:val="18"/>
          <w:lang w:val="el-GR"/>
        </w:rPr>
      </w:pPr>
      <w:hyperlink r:id="rId10" w:history="1">
        <w:r w:rsidR="006022B5" w:rsidRPr="006022B5">
          <w:rPr>
            <w:rFonts w:ascii="Verdana" w:hAnsi="Verdana"/>
            <w:color w:val="0000FF"/>
            <w:sz w:val="18"/>
            <w:szCs w:val="18"/>
            <w:u w:val="single"/>
          </w:rPr>
          <w:t>CYSTAT</w:t>
        </w:r>
        <w:r w:rsidR="006022B5" w:rsidRPr="006022B5">
          <w:rPr>
            <w:rFonts w:ascii="Verdana" w:hAnsi="Verdana"/>
            <w:color w:val="0000FF"/>
            <w:sz w:val="18"/>
            <w:szCs w:val="18"/>
            <w:u w:val="single"/>
            <w:lang w:val="el-GR"/>
          </w:rPr>
          <w:t>-</w:t>
        </w:r>
        <w:r w:rsidR="006022B5" w:rsidRPr="006022B5">
          <w:rPr>
            <w:rFonts w:ascii="Verdana" w:hAnsi="Verdana"/>
            <w:color w:val="0000FF"/>
            <w:sz w:val="18"/>
            <w:szCs w:val="18"/>
            <w:u w:val="single"/>
          </w:rPr>
          <w:t>DB</w:t>
        </w:r>
      </w:hyperlink>
      <w:r w:rsidR="006022B5" w:rsidRPr="006022B5">
        <w:rPr>
          <w:rFonts w:ascii="Verdana" w:hAnsi="Verdana"/>
          <w:sz w:val="18"/>
          <w:szCs w:val="18"/>
          <w:lang w:val="el-GR"/>
        </w:rPr>
        <w:t xml:space="preserve"> (Βάση Δεδομένων)</w:t>
      </w:r>
    </w:p>
    <w:p w14:paraId="44DB05E9" w14:textId="77777777" w:rsidR="006022B5" w:rsidRPr="006022B5" w:rsidRDefault="00D7245F" w:rsidP="006022B5">
      <w:pPr>
        <w:rPr>
          <w:rFonts w:ascii="Verdana" w:hAnsi="Verdana"/>
          <w:sz w:val="18"/>
          <w:szCs w:val="18"/>
          <w:lang w:val="el-GR"/>
        </w:rPr>
      </w:pPr>
      <w:hyperlink r:id="rId11" w:history="1">
        <w:r w:rsidR="006022B5" w:rsidRPr="006022B5">
          <w:rPr>
            <w:rFonts w:ascii="Verdana" w:hAnsi="Verdana"/>
            <w:color w:val="0000FF"/>
            <w:sz w:val="18"/>
            <w:szCs w:val="18"/>
            <w:u w:val="single"/>
            <w:lang w:val="el-GR"/>
          </w:rPr>
          <w:t>Προκαθορισμένοι Πίνακες</w:t>
        </w:r>
      </w:hyperlink>
      <w:r w:rsidR="006022B5" w:rsidRPr="006022B5">
        <w:rPr>
          <w:rFonts w:ascii="Verdana" w:hAnsi="Verdana"/>
          <w:sz w:val="18"/>
          <w:szCs w:val="18"/>
          <w:lang w:val="el-GR"/>
        </w:rPr>
        <w:t xml:space="preserve"> (</w:t>
      </w:r>
      <w:r w:rsidR="006022B5" w:rsidRPr="006022B5">
        <w:rPr>
          <w:rFonts w:ascii="Verdana" w:hAnsi="Verdana"/>
          <w:sz w:val="18"/>
          <w:szCs w:val="18"/>
        </w:rPr>
        <w:t>Excel</w:t>
      </w:r>
      <w:r w:rsidR="006022B5" w:rsidRPr="006022B5">
        <w:rPr>
          <w:rFonts w:ascii="Verdana" w:hAnsi="Verdana"/>
          <w:sz w:val="18"/>
          <w:szCs w:val="18"/>
          <w:lang w:val="el-GR"/>
        </w:rPr>
        <w:t>)</w:t>
      </w:r>
    </w:p>
    <w:p w14:paraId="217E8B4C" w14:textId="77777777" w:rsidR="006022B5" w:rsidRPr="006022B5" w:rsidRDefault="00D7245F" w:rsidP="006022B5">
      <w:pPr>
        <w:jc w:val="both"/>
        <w:rPr>
          <w:rFonts w:ascii="Verdana" w:hAnsi="Verdana"/>
          <w:sz w:val="18"/>
          <w:szCs w:val="18"/>
          <w:lang w:val="el-GR"/>
        </w:rPr>
      </w:pPr>
      <w:hyperlink r:id="rId12" w:tooltip="Μεθοδολογικές Πληροφορίες" w:history="1">
        <w:r w:rsidR="006022B5" w:rsidRPr="006022B5">
          <w:rPr>
            <w:rFonts w:ascii="Verdana" w:hAnsi="Verdana"/>
            <w:color w:val="0000FF"/>
            <w:sz w:val="18"/>
            <w:szCs w:val="18"/>
            <w:u w:val="single"/>
            <w:lang w:val="el-GR"/>
          </w:rPr>
          <w:t>Μεθοδολογικές Πληροφορίες</w:t>
        </w:r>
      </w:hyperlink>
    </w:p>
    <w:p w14:paraId="0EB2994F" w14:textId="77777777" w:rsidR="006022B5" w:rsidRPr="006022B5" w:rsidRDefault="006022B5" w:rsidP="006022B5">
      <w:pPr>
        <w:jc w:val="both"/>
        <w:rPr>
          <w:rFonts w:ascii="Verdana" w:hAnsi="Verdana"/>
          <w:b/>
          <w:bCs/>
          <w:sz w:val="18"/>
          <w:szCs w:val="18"/>
          <w:lang w:val="el-GR"/>
        </w:rPr>
      </w:pPr>
    </w:p>
    <w:p w14:paraId="74B0361A" w14:textId="77777777" w:rsidR="006022B5" w:rsidRPr="006022B5" w:rsidRDefault="006022B5" w:rsidP="006022B5">
      <w:pPr>
        <w:jc w:val="both"/>
        <w:rPr>
          <w:rFonts w:ascii="Verdana" w:hAnsi="Verdana" w:cs="Calibri"/>
          <w:b/>
          <w:bCs/>
          <w:sz w:val="18"/>
          <w:szCs w:val="18"/>
          <w:lang w:val="el-GR"/>
        </w:rPr>
      </w:pPr>
      <w:r w:rsidRPr="006022B5">
        <w:rPr>
          <w:rFonts w:ascii="Verdana" w:hAnsi="Verdana" w:cs="Calibri"/>
          <w:b/>
          <w:bCs/>
          <w:sz w:val="18"/>
          <w:szCs w:val="18"/>
          <w:lang w:val="el-GR"/>
        </w:rPr>
        <w:t xml:space="preserve">Οι </w:t>
      </w:r>
      <w:r w:rsidRPr="006022B5">
        <w:rPr>
          <w:rFonts w:ascii="Verdana" w:hAnsi="Verdana" w:cs="Calibri"/>
          <w:b/>
          <w:bCs/>
          <w:sz w:val="18"/>
          <w:szCs w:val="18"/>
          <w:u w:val="single"/>
          <w:lang w:val="el-GR"/>
        </w:rPr>
        <w:t>Προκαθορισμένοι Πίνακες</w:t>
      </w:r>
      <w:r w:rsidRPr="006022B5">
        <w:rPr>
          <w:rFonts w:ascii="Verdana" w:hAnsi="Verdana" w:cs="Calibri"/>
          <w:b/>
          <w:bCs/>
          <w:sz w:val="18"/>
          <w:szCs w:val="18"/>
          <w:lang w:val="el-GR"/>
        </w:rPr>
        <w:t xml:space="preserve"> σε μορφή </w:t>
      </w:r>
      <w:r w:rsidRPr="006022B5">
        <w:rPr>
          <w:rFonts w:ascii="Verdana" w:hAnsi="Verdana" w:cs="Calibri"/>
          <w:b/>
          <w:bCs/>
          <w:sz w:val="18"/>
          <w:szCs w:val="18"/>
        </w:rPr>
        <w:t>Excel</w:t>
      </w:r>
      <w:r w:rsidRPr="006022B5">
        <w:rPr>
          <w:rFonts w:ascii="Verdana" w:hAnsi="Verdana" w:cs="Calibri"/>
          <w:b/>
          <w:bCs/>
          <w:sz w:val="18"/>
          <w:szCs w:val="18"/>
          <w:lang w:val="el-GR"/>
        </w:rPr>
        <w:t xml:space="preserve"> είναι ενημερωμένοι με στοιχεία μέχρι και τον Δεκέμβριο του 2021. Για τον Ιανουάριο 2022 και νεότερα στοιχεία, ενημέρωση γίνεται μόνο στη Βάση Δεδομένων </w:t>
      </w:r>
      <w:r w:rsidRPr="006022B5">
        <w:rPr>
          <w:rFonts w:ascii="Verdana" w:hAnsi="Verdana" w:cs="Calibri"/>
          <w:b/>
          <w:bCs/>
          <w:sz w:val="18"/>
          <w:szCs w:val="18"/>
        </w:rPr>
        <w:t>CYSTAT</w:t>
      </w:r>
      <w:r w:rsidRPr="006022B5">
        <w:rPr>
          <w:rFonts w:ascii="Verdana" w:hAnsi="Verdana" w:cs="Calibri"/>
          <w:b/>
          <w:bCs/>
          <w:sz w:val="18"/>
          <w:szCs w:val="18"/>
          <w:lang w:val="el-GR"/>
        </w:rPr>
        <w:t>-</w:t>
      </w:r>
      <w:r w:rsidRPr="006022B5">
        <w:rPr>
          <w:rFonts w:ascii="Verdana" w:hAnsi="Verdana" w:cs="Calibri"/>
          <w:b/>
          <w:bCs/>
          <w:sz w:val="18"/>
          <w:szCs w:val="18"/>
        </w:rPr>
        <w:t>DB</w:t>
      </w:r>
      <w:r w:rsidRPr="006022B5">
        <w:rPr>
          <w:rFonts w:ascii="Verdana" w:hAnsi="Verdana" w:cs="Calibri"/>
          <w:b/>
          <w:bCs/>
          <w:sz w:val="18"/>
          <w:szCs w:val="18"/>
          <w:lang w:val="el-GR"/>
        </w:rPr>
        <w:t>.</w:t>
      </w:r>
    </w:p>
    <w:p w14:paraId="27186B73"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6EDED2BF" w14:textId="77777777" w:rsidR="006022B5" w:rsidRPr="006022B5" w:rsidRDefault="006022B5" w:rsidP="006022B5">
      <w:pPr>
        <w:ind w:right="-79"/>
        <w:jc w:val="both"/>
        <w:rPr>
          <w:rFonts w:ascii="Verdana" w:hAnsi="Verdana"/>
          <w:sz w:val="18"/>
          <w:szCs w:val="18"/>
          <w:lang w:val="el-GR"/>
        </w:rPr>
      </w:pPr>
      <w:r w:rsidRPr="006022B5">
        <w:rPr>
          <w:rFonts w:ascii="Verdana" w:hAnsi="Verdana"/>
          <w:i/>
          <w:sz w:val="18"/>
          <w:szCs w:val="18"/>
          <w:u w:val="single"/>
          <w:lang w:val="el-GR"/>
        </w:rPr>
        <w:t>Επικοινωνία</w:t>
      </w:r>
      <w:r w:rsidRPr="006022B5">
        <w:rPr>
          <w:rFonts w:ascii="Verdana" w:hAnsi="Verdana"/>
          <w:sz w:val="18"/>
          <w:szCs w:val="18"/>
          <w:lang w:val="el-GR"/>
        </w:rPr>
        <w:t xml:space="preserve"> </w:t>
      </w:r>
    </w:p>
    <w:p w14:paraId="7547DD86"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Κωνσταντία Παπαγεωργίου: </w:t>
      </w:r>
      <w:proofErr w:type="spellStart"/>
      <w:r w:rsidRPr="006022B5">
        <w:rPr>
          <w:rFonts w:ascii="Verdana" w:eastAsia="Malgun Gothic" w:hAnsi="Verdana" w:cs="Arial"/>
          <w:sz w:val="18"/>
          <w:szCs w:val="18"/>
          <w:lang w:val="el-GR"/>
        </w:rPr>
        <w:t>Τηλ</w:t>
      </w:r>
      <w:proofErr w:type="spellEnd"/>
      <w:r w:rsidRPr="006022B5">
        <w:rPr>
          <w:rFonts w:ascii="Verdana" w:eastAsia="Malgun Gothic" w:hAnsi="Verdana" w:cs="Arial"/>
          <w:sz w:val="18"/>
          <w:szCs w:val="18"/>
          <w:lang w:val="el-GR"/>
        </w:rPr>
        <w:t xml:space="preserve">:+35722602116, </w:t>
      </w:r>
      <w:proofErr w:type="spellStart"/>
      <w:r w:rsidRPr="006022B5">
        <w:rPr>
          <w:rFonts w:ascii="Verdana" w:eastAsia="Malgun Gothic" w:hAnsi="Verdana" w:cs="Arial"/>
          <w:sz w:val="18"/>
          <w:szCs w:val="18"/>
          <w:lang w:val="el-GR"/>
        </w:rPr>
        <w:t>Ηλ</w:t>
      </w:r>
      <w:proofErr w:type="spellEnd"/>
      <w:r w:rsidRPr="006022B5">
        <w:rPr>
          <w:rFonts w:ascii="Verdana" w:eastAsia="Malgun Gothic" w:hAnsi="Verdana" w:cs="Arial"/>
          <w:sz w:val="18"/>
          <w:szCs w:val="18"/>
          <w:lang w:val="el-GR"/>
        </w:rPr>
        <w:t xml:space="preserve">. </w:t>
      </w:r>
      <w:proofErr w:type="spellStart"/>
      <w:r w:rsidRPr="006022B5">
        <w:rPr>
          <w:rFonts w:ascii="Verdana" w:eastAsia="Malgun Gothic" w:hAnsi="Verdana" w:cs="Arial"/>
          <w:sz w:val="18"/>
          <w:szCs w:val="18"/>
          <w:lang w:val="el-GR"/>
        </w:rPr>
        <w:t>Ταχ</w:t>
      </w:r>
      <w:proofErr w:type="spellEnd"/>
      <w:r w:rsidRPr="006022B5">
        <w:rPr>
          <w:rFonts w:ascii="Verdana" w:eastAsia="Malgun Gothic" w:hAnsi="Verdana" w:cs="Arial"/>
          <w:sz w:val="18"/>
          <w:szCs w:val="18"/>
          <w:lang w:val="el-GR"/>
        </w:rPr>
        <w:t xml:space="preserve">.: </w:t>
      </w:r>
      <w:hyperlink r:id="rId13" w:history="1">
        <w:r w:rsidRPr="006022B5">
          <w:rPr>
            <w:rFonts w:ascii="Verdana" w:eastAsia="Malgun Gothic" w:hAnsi="Verdana" w:cs="Arial"/>
            <w:color w:val="0000FF"/>
            <w:sz w:val="18"/>
            <w:szCs w:val="18"/>
            <w:u w:val="single"/>
            <w:lang w:val="el-GR"/>
          </w:rPr>
          <w:t>cpapageorgiou@cystat.mof.gov.cy</w:t>
        </w:r>
      </w:hyperlink>
    </w:p>
    <w:p w14:paraId="610A4C7F"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13A37716" w14:textId="011C3740" w:rsidR="001712CF" w:rsidRDefault="001712CF" w:rsidP="000E4CB0">
      <w:pPr>
        <w:jc w:val="both"/>
        <w:rPr>
          <w:rFonts w:ascii="Verdana" w:hAnsi="Verdana" w:cs="Arial"/>
          <w:sz w:val="18"/>
          <w:szCs w:val="18"/>
          <w:lang w:val="el-GR"/>
        </w:rPr>
      </w:pPr>
    </w:p>
    <w:p w14:paraId="2437CE1C" w14:textId="0BEAC8D7" w:rsidR="00761E3A" w:rsidRDefault="00761E3A" w:rsidP="000E4CB0">
      <w:pPr>
        <w:jc w:val="both"/>
        <w:rPr>
          <w:rFonts w:ascii="Verdana" w:hAnsi="Verdana" w:cs="Arial"/>
          <w:sz w:val="18"/>
          <w:szCs w:val="18"/>
          <w:lang w:val="el-GR"/>
        </w:rPr>
      </w:pPr>
    </w:p>
    <w:sectPr w:rsidR="00761E3A" w:rsidSect="007E1AED">
      <w:headerReference w:type="even" r:id="rId14"/>
      <w:headerReference w:type="default" r:id="rId15"/>
      <w:footerReference w:type="even" r:id="rId16"/>
      <w:footerReference w:type="default" r:id="rId17"/>
      <w:headerReference w:type="first" r:id="rId18"/>
      <w:footerReference w:type="first" r:id="rId19"/>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9443" w14:textId="77777777" w:rsidR="005808AB" w:rsidRDefault="005808AB" w:rsidP="00FB398F">
      <w:r>
        <w:separator/>
      </w:r>
    </w:p>
  </w:endnote>
  <w:endnote w:type="continuationSeparator" w:id="0">
    <w:p w14:paraId="4F7E5DF0" w14:textId="77777777" w:rsidR="005808AB" w:rsidRDefault="005808AB"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3D604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FEB5" w14:textId="77777777" w:rsidR="005808AB" w:rsidRDefault="005808AB" w:rsidP="00FB398F">
      <w:r>
        <w:separator/>
      </w:r>
    </w:p>
  </w:footnote>
  <w:footnote w:type="continuationSeparator" w:id="0">
    <w:p w14:paraId="64A793AF" w14:textId="77777777" w:rsidR="005808AB" w:rsidRDefault="005808AB"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5"/>
  </w:num>
  <w:num w:numId="2" w16cid:durableId="894270092">
    <w:abstractNumId w:val="2"/>
  </w:num>
  <w:num w:numId="3" w16cid:durableId="593363562">
    <w:abstractNumId w:val="3"/>
  </w:num>
  <w:num w:numId="4" w16cid:durableId="1130973206">
    <w:abstractNumId w:val="4"/>
  </w:num>
  <w:num w:numId="5" w16cid:durableId="994458099">
    <w:abstractNumId w:val="1"/>
  </w:num>
  <w:num w:numId="6" w16cid:durableId="1395081476">
    <w:abstractNumId w:val="6"/>
  </w:num>
  <w:num w:numId="7" w16cid:durableId="29992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312"/>
    <w:rsid w:val="00025A39"/>
    <w:rsid w:val="00027853"/>
    <w:rsid w:val="00030E18"/>
    <w:rsid w:val="00031D32"/>
    <w:rsid w:val="0003603D"/>
    <w:rsid w:val="00037999"/>
    <w:rsid w:val="00045088"/>
    <w:rsid w:val="00045A06"/>
    <w:rsid w:val="00050391"/>
    <w:rsid w:val="00055291"/>
    <w:rsid w:val="000563D3"/>
    <w:rsid w:val="00057E44"/>
    <w:rsid w:val="00061299"/>
    <w:rsid w:val="00070576"/>
    <w:rsid w:val="00075278"/>
    <w:rsid w:val="000752BB"/>
    <w:rsid w:val="00081ADF"/>
    <w:rsid w:val="00084A02"/>
    <w:rsid w:val="00084BF7"/>
    <w:rsid w:val="000870E9"/>
    <w:rsid w:val="000932CF"/>
    <w:rsid w:val="00096ED8"/>
    <w:rsid w:val="000A1A88"/>
    <w:rsid w:val="000A2B5C"/>
    <w:rsid w:val="000A3601"/>
    <w:rsid w:val="000A6FA8"/>
    <w:rsid w:val="000B4BEA"/>
    <w:rsid w:val="000C1070"/>
    <w:rsid w:val="000C4E72"/>
    <w:rsid w:val="000C5D92"/>
    <w:rsid w:val="000D04BB"/>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0D4C"/>
    <w:rsid w:val="00161CF3"/>
    <w:rsid w:val="00162C00"/>
    <w:rsid w:val="001639EF"/>
    <w:rsid w:val="0016589F"/>
    <w:rsid w:val="001712CF"/>
    <w:rsid w:val="0017769A"/>
    <w:rsid w:val="00183DFC"/>
    <w:rsid w:val="00184384"/>
    <w:rsid w:val="00185FEE"/>
    <w:rsid w:val="00186717"/>
    <w:rsid w:val="00187FFC"/>
    <w:rsid w:val="0019391C"/>
    <w:rsid w:val="001A2018"/>
    <w:rsid w:val="001B1006"/>
    <w:rsid w:val="001B2C39"/>
    <w:rsid w:val="001B3675"/>
    <w:rsid w:val="001B5E10"/>
    <w:rsid w:val="001B6AB3"/>
    <w:rsid w:val="001B73D5"/>
    <w:rsid w:val="001C0681"/>
    <w:rsid w:val="001C62B3"/>
    <w:rsid w:val="001C7C8C"/>
    <w:rsid w:val="001D0D6A"/>
    <w:rsid w:val="001D20A4"/>
    <w:rsid w:val="001D3C3A"/>
    <w:rsid w:val="001D613C"/>
    <w:rsid w:val="001E00D1"/>
    <w:rsid w:val="001E0E58"/>
    <w:rsid w:val="001E14F3"/>
    <w:rsid w:val="001E15ED"/>
    <w:rsid w:val="001E61AA"/>
    <w:rsid w:val="001F2779"/>
    <w:rsid w:val="0020309E"/>
    <w:rsid w:val="00210B58"/>
    <w:rsid w:val="00222423"/>
    <w:rsid w:val="00225B28"/>
    <w:rsid w:val="00226891"/>
    <w:rsid w:val="00230D9B"/>
    <w:rsid w:val="002313AC"/>
    <w:rsid w:val="002347EE"/>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291A"/>
    <w:rsid w:val="002809B9"/>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47874"/>
    <w:rsid w:val="003522BB"/>
    <w:rsid w:val="00352F6C"/>
    <w:rsid w:val="003556EA"/>
    <w:rsid w:val="003570D2"/>
    <w:rsid w:val="00386FC7"/>
    <w:rsid w:val="00390A32"/>
    <w:rsid w:val="003A1E91"/>
    <w:rsid w:val="003A38E9"/>
    <w:rsid w:val="003A40F2"/>
    <w:rsid w:val="003A50D1"/>
    <w:rsid w:val="003B196D"/>
    <w:rsid w:val="003B2710"/>
    <w:rsid w:val="003B4608"/>
    <w:rsid w:val="003C2392"/>
    <w:rsid w:val="003C5174"/>
    <w:rsid w:val="003C5240"/>
    <w:rsid w:val="003C76E6"/>
    <w:rsid w:val="003D14E0"/>
    <w:rsid w:val="003D1EA5"/>
    <w:rsid w:val="003D3348"/>
    <w:rsid w:val="003D4E63"/>
    <w:rsid w:val="003D604F"/>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0F4C"/>
    <w:rsid w:val="00471D77"/>
    <w:rsid w:val="00475587"/>
    <w:rsid w:val="00480BC2"/>
    <w:rsid w:val="004845C3"/>
    <w:rsid w:val="004929C2"/>
    <w:rsid w:val="00493FDD"/>
    <w:rsid w:val="0049586B"/>
    <w:rsid w:val="004A11EF"/>
    <w:rsid w:val="004A3E44"/>
    <w:rsid w:val="004B1104"/>
    <w:rsid w:val="004B2018"/>
    <w:rsid w:val="004B2896"/>
    <w:rsid w:val="004B38E9"/>
    <w:rsid w:val="004B3FBA"/>
    <w:rsid w:val="004B5321"/>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0BA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808AB"/>
    <w:rsid w:val="0059136C"/>
    <w:rsid w:val="005978D4"/>
    <w:rsid w:val="005A23FA"/>
    <w:rsid w:val="005A2F66"/>
    <w:rsid w:val="005B2A67"/>
    <w:rsid w:val="005B3DCD"/>
    <w:rsid w:val="005B4AD4"/>
    <w:rsid w:val="005C2798"/>
    <w:rsid w:val="005C36C3"/>
    <w:rsid w:val="005C56EE"/>
    <w:rsid w:val="005D1714"/>
    <w:rsid w:val="005D7638"/>
    <w:rsid w:val="005F12F5"/>
    <w:rsid w:val="005F7C7D"/>
    <w:rsid w:val="006022B5"/>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77AB6"/>
    <w:rsid w:val="006804BE"/>
    <w:rsid w:val="0068434A"/>
    <w:rsid w:val="0069008E"/>
    <w:rsid w:val="0069087E"/>
    <w:rsid w:val="006925C4"/>
    <w:rsid w:val="006A02B7"/>
    <w:rsid w:val="006A7019"/>
    <w:rsid w:val="006B46D5"/>
    <w:rsid w:val="006B46F4"/>
    <w:rsid w:val="006B4E75"/>
    <w:rsid w:val="006C7AF3"/>
    <w:rsid w:val="006D0B9D"/>
    <w:rsid w:val="006D6548"/>
    <w:rsid w:val="006E0E20"/>
    <w:rsid w:val="006E4256"/>
    <w:rsid w:val="006E4BBA"/>
    <w:rsid w:val="006E5F43"/>
    <w:rsid w:val="006E60A6"/>
    <w:rsid w:val="006F0F69"/>
    <w:rsid w:val="006F116B"/>
    <w:rsid w:val="006F117F"/>
    <w:rsid w:val="006F13DF"/>
    <w:rsid w:val="006F2780"/>
    <w:rsid w:val="006F47C1"/>
    <w:rsid w:val="00702F26"/>
    <w:rsid w:val="0070313E"/>
    <w:rsid w:val="00703799"/>
    <w:rsid w:val="00705C5C"/>
    <w:rsid w:val="00711475"/>
    <w:rsid w:val="0072548A"/>
    <w:rsid w:val="007277A6"/>
    <w:rsid w:val="00740E93"/>
    <w:rsid w:val="007437AB"/>
    <w:rsid w:val="00745425"/>
    <w:rsid w:val="00745976"/>
    <w:rsid w:val="007534F8"/>
    <w:rsid w:val="007545AD"/>
    <w:rsid w:val="00761E3A"/>
    <w:rsid w:val="00763722"/>
    <w:rsid w:val="00763CC6"/>
    <w:rsid w:val="00764BC1"/>
    <w:rsid w:val="00770869"/>
    <w:rsid w:val="007738AA"/>
    <w:rsid w:val="00780A62"/>
    <w:rsid w:val="00783241"/>
    <w:rsid w:val="00784BDC"/>
    <w:rsid w:val="00792F28"/>
    <w:rsid w:val="007935CA"/>
    <w:rsid w:val="0079543F"/>
    <w:rsid w:val="00795880"/>
    <w:rsid w:val="007A0B56"/>
    <w:rsid w:val="007A4367"/>
    <w:rsid w:val="007B0867"/>
    <w:rsid w:val="007B1AC1"/>
    <w:rsid w:val="007B5A08"/>
    <w:rsid w:val="007B693D"/>
    <w:rsid w:val="007C4CDC"/>
    <w:rsid w:val="007D398A"/>
    <w:rsid w:val="007E041B"/>
    <w:rsid w:val="007E199A"/>
    <w:rsid w:val="007E1AED"/>
    <w:rsid w:val="007E2415"/>
    <w:rsid w:val="007E39F3"/>
    <w:rsid w:val="007E405E"/>
    <w:rsid w:val="007E68F4"/>
    <w:rsid w:val="007E6DE2"/>
    <w:rsid w:val="007F31BA"/>
    <w:rsid w:val="007F4078"/>
    <w:rsid w:val="0080014B"/>
    <w:rsid w:val="00801793"/>
    <w:rsid w:val="00803642"/>
    <w:rsid w:val="008045AC"/>
    <w:rsid w:val="00806EA2"/>
    <w:rsid w:val="00812A2B"/>
    <w:rsid w:val="00814A4C"/>
    <w:rsid w:val="00831AAB"/>
    <w:rsid w:val="00833BCD"/>
    <w:rsid w:val="00834B82"/>
    <w:rsid w:val="0083574E"/>
    <w:rsid w:val="0083640C"/>
    <w:rsid w:val="0083740B"/>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2CDE"/>
    <w:rsid w:val="008F61BA"/>
    <w:rsid w:val="008F6E3C"/>
    <w:rsid w:val="008F7C55"/>
    <w:rsid w:val="00914A23"/>
    <w:rsid w:val="00930754"/>
    <w:rsid w:val="00934F68"/>
    <w:rsid w:val="009355AC"/>
    <w:rsid w:val="00935F38"/>
    <w:rsid w:val="00937586"/>
    <w:rsid w:val="00947889"/>
    <w:rsid w:val="009478BD"/>
    <w:rsid w:val="00960173"/>
    <w:rsid w:val="00960E98"/>
    <w:rsid w:val="0096159A"/>
    <w:rsid w:val="00963A82"/>
    <w:rsid w:val="00972912"/>
    <w:rsid w:val="00973BFC"/>
    <w:rsid w:val="00976D1F"/>
    <w:rsid w:val="00981C81"/>
    <w:rsid w:val="009A2D24"/>
    <w:rsid w:val="009A456C"/>
    <w:rsid w:val="009B00E0"/>
    <w:rsid w:val="009B292A"/>
    <w:rsid w:val="009B6663"/>
    <w:rsid w:val="009B76D5"/>
    <w:rsid w:val="009C165D"/>
    <w:rsid w:val="009C3CEA"/>
    <w:rsid w:val="009C583D"/>
    <w:rsid w:val="009D2611"/>
    <w:rsid w:val="009D53D4"/>
    <w:rsid w:val="009D79D2"/>
    <w:rsid w:val="009E247C"/>
    <w:rsid w:val="009E31BA"/>
    <w:rsid w:val="009F0528"/>
    <w:rsid w:val="009F0806"/>
    <w:rsid w:val="009F233B"/>
    <w:rsid w:val="00A05D16"/>
    <w:rsid w:val="00A0659F"/>
    <w:rsid w:val="00A079BA"/>
    <w:rsid w:val="00A10411"/>
    <w:rsid w:val="00A14E8C"/>
    <w:rsid w:val="00A20C70"/>
    <w:rsid w:val="00A33875"/>
    <w:rsid w:val="00A360A1"/>
    <w:rsid w:val="00A402B3"/>
    <w:rsid w:val="00A51834"/>
    <w:rsid w:val="00A544B7"/>
    <w:rsid w:val="00A618CF"/>
    <w:rsid w:val="00A62770"/>
    <w:rsid w:val="00A62EEB"/>
    <w:rsid w:val="00A660FF"/>
    <w:rsid w:val="00A73395"/>
    <w:rsid w:val="00A771E3"/>
    <w:rsid w:val="00A82B4C"/>
    <w:rsid w:val="00A93A4C"/>
    <w:rsid w:val="00A94D5D"/>
    <w:rsid w:val="00AA1B13"/>
    <w:rsid w:val="00AA1D9B"/>
    <w:rsid w:val="00AA2543"/>
    <w:rsid w:val="00AA3804"/>
    <w:rsid w:val="00AA55C2"/>
    <w:rsid w:val="00AB0ACA"/>
    <w:rsid w:val="00AB1D41"/>
    <w:rsid w:val="00AB62D1"/>
    <w:rsid w:val="00AC5E9A"/>
    <w:rsid w:val="00AC704B"/>
    <w:rsid w:val="00AD553E"/>
    <w:rsid w:val="00AD5848"/>
    <w:rsid w:val="00AE5ADA"/>
    <w:rsid w:val="00AF6145"/>
    <w:rsid w:val="00B01386"/>
    <w:rsid w:val="00B016E5"/>
    <w:rsid w:val="00B01915"/>
    <w:rsid w:val="00B01BB5"/>
    <w:rsid w:val="00B026CC"/>
    <w:rsid w:val="00B03076"/>
    <w:rsid w:val="00B04AF4"/>
    <w:rsid w:val="00B05214"/>
    <w:rsid w:val="00B26123"/>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C31E2"/>
    <w:rsid w:val="00BD16FA"/>
    <w:rsid w:val="00BD41C3"/>
    <w:rsid w:val="00BD488B"/>
    <w:rsid w:val="00BD7CCC"/>
    <w:rsid w:val="00BE002A"/>
    <w:rsid w:val="00BE0283"/>
    <w:rsid w:val="00BE0316"/>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C3B"/>
    <w:rsid w:val="00C54EF9"/>
    <w:rsid w:val="00C56BBF"/>
    <w:rsid w:val="00C572AA"/>
    <w:rsid w:val="00C57A9A"/>
    <w:rsid w:val="00C6016A"/>
    <w:rsid w:val="00C60B3F"/>
    <w:rsid w:val="00C623EB"/>
    <w:rsid w:val="00C64C6B"/>
    <w:rsid w:val="00C65CA1"/>
    <w:rsid w:val="00C66F2E"/>
    <w:rsid w:val="00C6785C"/>
    <w:rsid w:val="00C70FD1"/>
    <w:rsid w:val="00C72B76"/>
    <w:rsid w:val="00C733AA"/>
    <w:rsid w:val="00C77DC0"/>
    <w:rsid w:val="00C82F1B"/>
    <w:rsid w:val="00C83027"/>
    <w:rsid w:val="00C8341F"/>
    <w:rsid w:val="00C84B8A"/>
    <w:rsid w:val="00C85E65"/>
    <w:rsid w:val="00C87CA1"/>
    <w:rsid w:val="00C911B4"/>
    <w:rsid w:val="00C91B3B"/>
    <w:rsid w:val="00C91C2D"/>
    <w:rsid w:val="00C94262"/>
    <w:rsid w:val="00C976E1"/>
    <w:rsid w:val="00CA148E"/>
    <w:rsid w:val="00CA3A9A"/>
    <w:rsid w:val="00CA3DB6"/>
    <w:rsid w:val="00CB6BC1"/>
    <w:rsid w:val="00CB7021"/>
    <w:rsid w:val="00CC6900"/>
    <w:rsid w:val="00CD3294"/>
    <w:rsid w:val="00CD4524"/>
    <w:rsid w:val="00CD784D"/>
    <w:rsid w:val="00CF3A1C"/>
    <w:rsid w:val="00CF40F8"/>
    <w:rsid w:val="00D008DA"/>
    <w:rsid w:val="00D01BE4"/>
    <w:rsid w:val="00D0416F"/>
    <w:rsid w:val="00D05851"/>
    <w:rsid w:val="00D10FED"/>
    <w:rsid w:val="00D11736"/>
    <w:rsid w:val="00D12EE8"/>
    <w:rsid w:val="00D14CDF"/>
    <w:rsid w:val="00D15FF1"/>
    <w:rsid w:val="00D167F4"/>
    <w:rsid w:val="00D2092A"/>
    <w:rsid w:val="00D21C85"/>
    <w:rsid w:val="00D2216D"/>
    <w:rsid w:val="00D31A6F"/>
    <w:rsid w:val="00D353D1"/>
    <w:rsid w:val="00D367DB"/>
    <w:rsid w:val="00D36E05"/>
    <w:rsid w:val="00D44F27"/>
    <w:rsid w:val="00D45304"/>
    <w:rsid w:val="00D46165"/>
    <w:rsid w:val="00D461C7"/>
    <w:rsid w:val="00D50424"/>
    <w:rsid w:val="00D525C9"/>
    <w:rsid w:val="00D57D3E"/>
    <w:rsid w:val="00D7245F"/>
    <w:rsid w:val="00D76249"/>
    <w:rsid w:val="00D96E33"/>
    <w:rsid w:val="00DA703D"/>
    <w:rsid w:val="00DA7D12"/>
    <w:rsid w:val="00DC23CF"/>
    <w:rsid w:val="00DC6562"/>
    <w:rsid w:val="00DD1AD8"/>
    <w:rsid w:val="00DE130D"/>
    <w:rsid w:val="00DE24CF"/>
    <w:rsid w:val="00DE407C"/>
    <w:rsid w:val="00DE7C7D"/>
    <w:rsid w:val="00DF2992"/>
    <w:rsid w:val="00DF2D0C"/>
    <w:rsid w:val="00E00058"/>
    <w:rsid w:val="00E01B9D"/>
    <w:rsid w:val="00E0468F"/>
    <w:rsid w:val="00E04F5E"/>
    <w:rsid w:val="00E0522E"/>
    <w:rsid w:val="00E120F4"/>
    <w:rsid w:val="00E14CAB"/>
    <w:rsid w:val="00E150B5"/>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44EA"/>
    <w:rsid w:val="00EA7136"/>
    <w:rsid w:val="00EB325A"/>
    <w:rsid w:val="00EC02A5"/>
    <w:rsid w:val="00EC176B"/>
    <w:rsid w:val="00EC33CD"/>
    <w:rsid w:val="00EC5BE5"/>
    <w:rsid w:val="00ED2650"/>
    <w:rsid w:val="00ED721A"/>
    <w:rsid w:val="00EE35B6"/>
    <w:rsid w:val="00EE393D"/>
    <w:rsid w:val="00EF01CF"/>
    <w:rsid w:val="00EF6A47"/>
    <w:rsid w:val="00EF7AF9"/>
    <w:rsid w:val="00F00952"/>
    <w:rsid w:val="00F01495"/>
    <w:rsid w:val="00F07913"/>
    <w:rsid w:val="00F10138"/>
    <w:rsid w:val="00F13F92"/>
    <w:rsid w:val="00F22ECA"/>
    <w:rsid w:val="00F240E8"/>
    <w:rsid w:val="00F244FA"/>
    <w:rsid w:val="00F31079"/>
    <w:rsid w:val="00F366A2"/>
    <w:rsid w:val="00F44F43"/>
    <w:rsid w:val="00F450E1"/>
    <w:rsid w:val="00F50DF4"/>
    <w:rsid w:val="00F57AFE"/>
    <w:rsid w:val="00F6278E"/>
    <w:rsid w:val="00F63C41"/>
    <w:rsid w:val="00F63E96"/>
    <w:rsid w:val="00F701E3"/>
    <w:rsid w:val="00F71008"/>
    <w:rsid w:val="00F71F8C"/>
    <w:rsid w:val="00F82286"/>
    <w:rsid w:val="00F86AD4"/>
    <w:rsid w:val="00F93032"/>
    <w:rsid w:val="00F95E96"/>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6022B5"/>
    <w:rPr>
      <w:color w:val="800080"/>
      <w:u w:val="single"/>
    </w:rPr>
  </w:style>
  <w:style w:type="character" w:styleId="UnresolvedMention">
    <w:name w:val="Unresolved Mention"/>
    <w:uiPriority w:val="99"/>
    <w:semiHidden/>
    <w:unhideWhenUsed/>
    <w:rsid w:val="0060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apageorgiou@cystat.mof.gov.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MethodologicalDetails?m=20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Price%20Indices_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Kyprianos Theodoulou</cp:lastModifiedBy>
  <cp:revision>62</cp:revision>
  <cp:lastPrinted>2022-10-06T05:19:00Z</cp:lastPrinted>
  <dcterms:created xsi:type="dcterms:W3CDTF">2022-06-09T08:07:00Z</dcterms:created>
  <dcterms:modified xsi:type="dcterms:W3CDTF">2022-10-06T08:37:00Z</dcterms:modified>
</cp:coreProperties>
</file>