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5C62" w14:textId="77777777" w:rsidR="008F40BD" w:rsidRDefault="001D0C20" w:rsidP="00DF3DF1">
      <w:pPr>
        <w:tabs>
          <w:tab w:val="left" w:pos="1080"/>
          <w:tab w:val="left" w:pos="7088"/>
        </w:tabs>
        <w:jc w:val="right"/>
        <w:rPr>
          <w:rFonts w:ascii="Arial" w:hAnsi="Arial" w:cs="Arial"/>
          <w:sz w:val="18"/>
          <w:szCs w:val="18"/>
          <w:lang w:val="el-GR"/>
        </w:rPr>
      </w:pPr>
      <w:r w:rsidRPr="005C56EE">
        <w:rPr>
          <w:rFonts w:ascii="Arial" w:hAnsi="Arial" w:cs="Arial"/>
          <w:sz w:val="18"/>
          <w:szCs w:val="18"/>
          <w:lang w:val="el-GR"/>
        </w:rPr>
        <w:tab/>
      </w:r>
    </w:p>
    <w:p w14:paraId="1298FB73" w14:textId="5BDD9318" w:rsidR="001D0C20" w:rsidRPr="002D6929" w:rsidRDefault="00C72F33" w:rsidP="00DF3DF1">
      <w:pPr>
        <w:tabs>
          <w:tab w:val="left" w:pos="1080"/>
          <w:tab w:val="left" w:pos="7088"/>
        </w:tabs>
        <w:jc w:val="right"/>
        <w:rPr>
          <w:rFonts w:ascii="Verdana" w:hAnsi="Verdana" w:cs="Arial"/>
          <w:sz w:val="18"/>
          <w:szCs w:val="18"/>
        </w:rPr>
      </w:pPr>
      <w:r w:rsidRPr="00AF2D1C">
        <w:rPr>
          <w:rFonts w:ascii="Verdana" w:hAnsi="Verdana" w:cs="Arial"/>
          <w:sz w:val="18"/>
          <w:szCs w:val="18"/>
        </w:rPr>
        <w:t>14</w:t>
      </w:r>
      <w:r w:rsidR="00DD2FE8" w:rsidRPr="002D6929">
        <w:rPr>
          <w:rFonts w:ascii="Verdana" w:hAnsi="Verdana" w:cs="Arial"/>
          <w:sz w:val="18"/>
          <w:szCs w:val="18"/>
        </w:rPr>
        <w:t xml:space="preserve"> </w:t>
      </w:r>
      <w:r>
        <w:rPr>
          <w:rFonts w:ascii="Verdana" w:hAnsi="Verdana" w:cs="Arial"/>
          <w:sz w:val="18"/>
          <w:szCs w:val="18"/>
        </w:rPr>
        <w:t>Octo</w:t>
      </w:r>
      <w:r w:rsidR="007E7858" w:rsidRPr="002D6929">
        <w:rPr>
          <w:rFonts w:ascii="Verdana" w:hAnsi="Verdana" w:cs="Arial"/>
          <w:sz w:val="18"/>
          <w:szCs w:val="18"/>
        </w:rPr>
        <w:t>ber</w:t>
      </w:r>
      <w:r w:rsidR="001D0C20" w:rsidRPr="002D6929">
        <w:rPr>
          <w:rFonts w:ascii="Verdana" w:eastAsia="Malgun Gothic" w:hAnsi="Verdana" w:cs="Arial"/>
          <w:sz w:val="18"/>
          <w:szCs w:val="18"/>
        </w:rPr>
        <w:t>, 202</w:t>
      </w:r>
      <w:r>
        <w:rPr>
          <w:rFonts w:ascii="Verdana" w:eastAsia="Malgun Gothic" w:hAnsi="Verdana" w:cs="Arial"/>
          <w:sz w:val="18"/>
          <w:szCs w:val="18"/>
        </w:rPr>
        <w:t>5</w:t>
      </w:r>
    </w:p>
    <w:p w14:paraId="11F3387B" w14:textId="77777777" w:rsidR="001D0C20" w:rsidRPr="00DF3DF1" w:rsidRDefault="001D0C20" w:rsidP="001D0C20">
      <w:pPr>
        <w:jc w:val="center"/>
        <w:rPr>
          <w:rFonts w:ascii="Verdana" w:eastAsia="Malgun Gothic" w:hAnsi="Verdana" w:cs="Arial"/>
          <w:b/>
          <w:sz w:val="20"/>
          <w:szCs w:val="20"/>
        </w:rPr>
      </w:pPr>
    </w:p>
    <w:p w14:paraId="3ACA8806" w14:textId="4BD1BC7F" w:rsidR="001D0C20" w:rsidRPr="00120FA6" w:rsidRDefault="001D0C20" w:rsidP="001D0C20">
      <w:pPr>
        <w:jc w:val="center"/>
        <w:rPr>
          <w:rFonts w:ascii="Verdana" w:eastAsia="Malgun Gothic" w:hAnsi="Verdana" w:cs="Arial"/>
          <w:b/>
          <w:sz w:val="24"/>
          <w:szCs w:val="24"/>
        </w:rPr>
      </w:pPr>
      <w:r>
        <w:rPr>
          <w:rFonts w:ascii="Verdana" w:eastAsia="Malgun Gothic" w:hAnsi="Verdana" w:cs="Arial"/>
          <w:b/>
          <w:sz w:val="24"/>
          <w:szCs w:val="24"/>
        </w:rPr>
        <w:t>PRESS RELEASE</w:t>
      </w:r>
    </w:p>
    <w:p w14:paraId="06D110A5" w14:textId="0D1A5702" w:rsidR="001D0C20" w:rsidRPr="00931164" w:rsidRDefault="00640377" w:rsidP="00640377">
      <w:pPr>
        <w:tabs>
          <w:tab w:val="left" w:pos="6165"/>
        </w:tabs>
        <w:rPr>
          <w:rFonts w:ascii="Verdana" w:eastAsia="Malgun Gothic" w:hAnsi="Verdana" w:cs="Arial"/>
        </w:rPr>
      </w:pPr>
      <w:r>
        <w:rPr>
          <w:rFonts w:ascii="Verdana" w:eastAsia="Malgun Gothic" w:hAnsi="Verdana" w:cs="Arial"/>
        </w:rPr>
        <w:tab/>
      </w:r>
    </w:p>
    <w:p w14:paraId="1D7841D7" w14:textId="6C86D182" w:rsidR="001D0C20" w:rsidRPr="007E7858" w:rsidRDefault="001D0C20" w:rsidP="001D0C20">
      <w:pPr>
        <w:pStyle w:val="Heading6"/>
        <w:jc w:val="left"/>
        <w:rPr>
          <w:rFonts w:ascii="Verdana" w:eastAsia="Malgun Gothic" w:hAnsi="Verdana" w:cs="Arial"/>
          <w:szCs w:val="22"/>
          <w:lang w:val="en-US"/>
        </w:rPr>
      </w:pPr>
      <w:r>
        <w:rPr>
          <w:rFonts w:ascii="Verdana" w:eastAsia="Malgun Gothic" w:hAnsi="Verdana" w:cs="Arial"/>
          <w:b w:val="0"/>
          <w:szCs w:val="22"/>
          <w:lang w:val="en-US"/>
        </w:rPr>
        <w:t>EARNINGS OF EMPLOYEES</w:t>
      </w:r>
      <w:r w:rsidRPr="00931164">
        <w:rPr>
          <w:rFonts w:ascii="Verdana" w:eastAsia="Malgun Gothic" w:hAnsi="Verdana" w:cs="Arial"/>
          <w:b w:val="0"/>
          <w:szCs w:val="22"/>
          <w:lang w:val="en-US"/>
        </w:rPr>
        <w:t>:</w:t>
      </w:r>
      <w:r w:rsidR="00015322">
        <w:rPr>
          <w:rFonts w:ascii="Verdana" w:eastAsia="Malgun Gothic" w:hAnsi="Verdana" w:cs="Arial"/>
          <w:b w:val="0"/>
          <w:szCs w:val="22"/>
          <w:lang w:val="en-US"/>
        </w:rPr>
        <w:t xml:space="preserve"> </w:t>
      </w:r>
      <w:r w:rsidR="006A4091" w:rsidRPr="00CF05A0">
        <w:rPr>
          <w:rFonts w:ascii="Verdana" w:eastAsia="Malgun Gothic" w:hAnsi="Verdana" w:cs="Arial"/>
          <w:szCs w:val="22"/>
          <w:lang w:val="en-US"/>
        </w:rPr>
        <w:t xml:space="preserve">2024 (FINAL DATA) </w:t>
      </w:r>
    </w:p>
    <w:p w14:paraId="1D4F3D3A" w14:textId="77777777" w:rsidR="003C4A43" w:rsidRPr="00F9547E" w:rsidRDefault="003C4A43" w:rsidP="003C4A43">
      <w:pPr>
        <w:rPr>
          <w:rFonts w:ascii="Verdana" w:eastAsia="Malgun Gothic" w:hAnsi="Verdana" w:cs="Arial"/>
        </w:rPr>
      </w:pPr>
    </w:p>
    <w:p w14:paraId="03ECA5D4" w14:textId="56A3FB49" w:rsidR="003C4A43" w:rsidRPr="006E2B8D" w:rsidRDefault="00192CC6" w:rsidP="003C4A43">
      <w:pPr>
        <w:tabs>
          <w:tab w:val="left" w:pos="1080"/>
          <w:tab w:val="left" w:pos="6840"/>
        </w:tabs>
        <w:jc w:val="center"/>
        <w:rPr>
          <w:rFonts w:ascii="Verdana" w:eastAsia="Malgun Gothic" w:hAnsi="Verdana" w:cs="Arial"/>
          <w:b/>
        </w:rPr>
      </w:pPr>
      <w:r>
        <w:rPr>
          <w:rFonts w:ascii="Verdana" w:eastAsia="Malgun Gothic" w:hAnsi="Verdana" w:cs="Arial"/>
          <w:b/>
        </w:rPr>
        <w:t>Monthly</w:t>
      </w:r>
      <w:r w:rsidR="00015322" w:rsidRPr="00AE3F67">
        <w:rPr>
          <w:rFonts w:ascii="Verdana" w:eastAsia="Malgun Gothic" w:hAnsi="Verdana" w:cs="Arial"/>
          <w:b/>
        </w:rPr>
        <w:t xml:space="preserve"> </w:t>
      </w:r>
      <w:r w:rsidR="00087996">
        <w:rPr>
          <w:rFonts w:ascii="Verdana" w:eastAsia="Malgun Gothic" w:hAnsi="Verdana" w:cs="Arial"/>
          <w:b/>
        </w:rPr>
        <w:t>E</w:t>
      </w:r>
      <w:r w:rsidR="00015322">
        <w:rPr>
          <w:rFonts w:ascii="Verdana" w:eastAsia="Malgun Gothic" w:hAnsi="Verdana" w:cs="Arial"/>
          <w:b/>
        </w:rPr>
        <w:t>arnings</w:t>
      </w:r>
      <w:r w:rsidRPr="008F40BD">
        <w:rPr>
          <w:rFonts w:ascii="Verdana" w:eastAsia="Malgun Gothic" w:hAnsi="Verdana" w:cs="Arial"/>
          <w:b/>
        </w:rPr>
        <w:t xml:space="preserve"> – </w:t>
      </w:r>
      <w:r w:rsidR="00690C8A" w:rsidRPr="00085A91">
        <w:rPr>
          <w:rFonts w:ascii="Verdana" w:eastAsia="Malgun Gothic" w:hAnsi="Verdana" w:cs="Arial"/>
          <w:b/>
        </w:rPr>
        <w:t>Average</w:t>
      </w:r>
      <w:r w:rsidR="00861E1E" w:rsidRPr="00A21560">
        <w:rPr>
          <w:rFonts w:ascii="Verdana" w:eastAsia="Malgun Gothic" w:hAnsi="Verdana" w:cs="Arial"/>
          <w:b/>
        </w:rPr>
        <w:t>:</w:t>
      </w:r>
      <w:r w:rsidRPr="00085A91">
        <w:rPr>
          <w:rFonts w:ascii="Verdana" w:eastAsia="Malgun Gothic" w:hAnsi="Verdana" w:cs="Arial"/>
          <w:b/>
        </w:rPr>
        <w:t xml:space="preserve"> €</w:t>
      </w:r>
      <w:r w:rsidR="00085A91" w:rsidRPr="00085A91">
        <w:rPr>
          <w:rFonts w:ascii="Verdana" w:eastAsia="Malgun Gothic" w:hAnsi="Verdana" w:cs="Arial"/>
          <w:b/>
        </w:rPr>
        <w:t>2</w:t>
      </w:r>
      <w:r w:rsidRPr="00085A91">
        <w:rPr>
          <w:rFonts w:ascii="Verdana" w:eastAsia="Malgun Gothic" w:hAnsi="Verdana" w:cs="Arial"/>
          <w:b/>
        </w:rPr>
        <w:t>.</w:t>
      </w:r>
      <w:r w:rsidR="00C72F33">
        <w:rPr>
          <w:rFonts w:ascii="Verdana" w:eastAsia="Malgun Gothic" w:hAnsi="Verdana" w:cs="Arial"/>
          <w:b/>
        </w:rPr>
        <w:t>483</w:t>
      </w:r>
      <w:r w:rsidRPr="00085A91">
        <w:rPr>
          <w:rFonts w:ascii="Verdana" w:eastAsia="Malgun Gothic" w:hAnsi="Verdana" w:cs="Arial"/>
          <w:b/>
        </w:rPr>
        <w:t>, Median</w:t>
      </w:r>
      <w:r w:rsidR="00861E1E" w:rsidRPr="00A21560">
        <w:rPr>
          <w:rFonts w:ascii="Verdana" w:eastAsia="Malgun Gothic" w:hAnsi="Verdana" w:cs="Arial"/>
          <w:b/>
        </w:rPr>
        <w:t>:</w:t>
      </w:r>
      <w:r w:rsidRPr="00085A91">
        <w:rPr>
          <w:rFonts w:ascii="Verdana" w:eastAsia="Malgun Gothic" w:hAnsi="Verdana" w:cs="Arial"/>
          <w:b/>
        </w:rPr>
        <w:t xml:space="preserve"> €</w:t>
      </w:r>
      <w:r w:rsidR="00085A91" w:rsidRPr="00085A91">
        <w:rPr>
          <w:rFonts w:ascii="Verdana" w:eastAsia="Malgun Gothic" w:hAnsi="Verdana" w:cs="Arial"/>
          <w:b/>
        </w:rPr>
        <w:t>1</w:t>
      </w:r>
      <w:r w:rsidRPr="00085A91">
        <w:rPr>
          <w:rFonts w:ascii="Verdana" w:eastAsia="Malgun Gothic" w:hAnsi="Verdana" w:cs="Arial"/>
          <w:b/>
        </w:rPr>
        <w:t>.</w:t>
      </w:r>
      <w:r w:rsidR="00C72F33">
        <w:rPr>
          <w:rFonts w:ascii="Verdana" w:eastAsia="Malgun Gothic" w:hAnsi="Verdana" w:cs="Arial"/>
          <w:b/>
        </w:rPr>
        <w:t>881</w:t>
      </w:r>
    </w:p>
    <w:p w14:paraId="28A25BA2" w14:textId="77777777" w:rsidR="003C4A43" w:rsidRPr="00AE3F67" w:rsidRDefault="003C4A43" w:rsidP="003C4A43">
      <w:pPr>
        <w:tabs>
          <w:tab w:val="left" w:pos="1080"/>
          <w:tab w:val="left" w:pos="6840"/>
        </w:tabs>
        <w:jc w:val="both"/>
        <w:rPr>
          <w:rFonts w:ascii="Arial" w:hAnsi="Arial" w:cs="Arial"/>
          <w:sz w:val="20"/>
          <w:szCs w:val="20"/>
        </w:rPr>
      </w:pPr>
    </w:p>
    <w:p w14:paraId="1FC456E5" w14:textId="11D97327" w:rsidR="00015322" w:rsidRPr="006E2B8D" w:rsidRDefault="008A4C5D" w:rsidP="00015322">
      <w:pPr>
        <w:tabs>
          <w:tab w:val="left" w:pos="1080"/>
          <w:tab w:val="left" w:pos="6840"/>
        </w:tabs>
        <w:jc w:val="both"/>
        <w:rPr>
          <w:rFonts w:ascii="Verdana" w:eastAsia="Malgun Gothic" w:hAnsi="Verdana" w:cs="Arial"/>
          <w:sz w:val="18"/>
          <w:szCs w:val="18"/>
        </w:rPr>
      </w:pPr>
      <w:bookmarkStart w:id="0" w:name="_Hlk210803887"/>
      <w:r>
        <w:rPr>
          <w:rFonts w:ascii="Verdana" w:eastAsia="Malgun Gothic" w:hAnsi="Verdana" w:cs="Arial"/>
          <w:sz w:val="18"/>
          <w:szCs w:val="18"/>
        </w:rPr>
        <w:t>According to the estimates of the Statistical Service, t</w:t>
      </w:r>
      <w:r w:rsidR="00015322" w:rsidRPr="00ED11A2">
        <w:rPr>
          <w:rFonts w:ascii="Verdana" w:eastAsia="Malgun Gothic" w:hAnsi="Verdana" w:cs="Arial"/>
          <w:sz w:val="18"/>
          <w:szCs w:val="18"/>
        </w:rPr>
        <w:t xml:space="preserve">he </w:t>
      </w:r>
      <w:bookmarkStart w:id="1" w:name="_Hlk181273629"/>
      <w:r w:rsidR="00015322" w:rsidRPr="00ED11A2">
        <w:rPr>
          <w:rFonts w:ascii="Verdana" w:eastAsia="Malgun Gothic" w:hAnsi="Verdana" w:cs="Arial"/>
          <w:sz w:val="18"/>
          <w:szCs w:val="18"/>
        </w:rPr>
        <w:t xml:space="preserve">average gross monthly earnings of employees </w:t>
      </w:r>
      <w:bookmarkEnd w:id="1"/>
      <w:r w:rsidR="00015322" w:rsidRPr="00ED11A2">
        <w:rPr>
          <w:rFonts w:ascii="Verdana" w:eastAsia="Malgun Gothic" w:hAnsi="Verdana" w:cs="Arial"/>
          <w:sz w:val="18"/>
          <w:szCs w:val="18"/>
        </w:rPr>
        <w:t>for 202</w:t>
      </w:r>
      <w:r w:rsidR="00C72F33">
        <w:rPr>
          <w:rFonts w:ascii="Verdana" w:eastAsia="Malgun Gothic" w:hAnsi="Verdana" w:cs="Arial"/>
          <w:sz w:val="18"/>
          <w:szCs w:val="18"/>
        </w:rPr>
        <w:t>4</w:t>
      </w:r>
      <w:r w:rsidR="00015322" w:rsidRPr="00ED11A2">
        <w:rPr>
          <w:rFonts w:ascii="Verdana" w:eastAsia="Malgun Gothic" w:hAnsi="Verdana" w:cs="Arial"/>
          <w:sz w:val="18"/>
          <w:szCs w:val="18"/>
        </w:rPr>
        <w:t xml:space="preserve"> were €</w:t>
      </w:r>
      <w:r w:rsidR="00085A91" w:rsidRPr="00ED11A2">
        <w:rPr>
          <w:rFonts w:ascii="Verdana" w:eastAsia="Malgun Gothic" w:hAnsi="Verdana" w:cs="Arial"/>
          <w:sz w:val="18"/>
          <w:szCs w:val="18"/>
        </w:rPr>
        <w:t>2</w:t>
      </w:r>
      <w:r w:rsidR="00015322" w:rsidRPr="00ED11A2">
        <w:rPr>
          <w:rFonts w:ascii="Verdana" w:eastAsia="Malgun Gothic" w:hAnsi="Verdana" w:cs="Arial"/>
          <w:sz w:val="18"/>
          <w:szCs w:val="18"/>
        </w:rPr>
        <w:t>.</w:t>
      </w:r>
      <w:r w:rsidR="00C72F33">
        <w:rPr>
          <w:rFonts w:ascii="Verdana" w:eastAsia="Malgun Gothic" w:hAnsi="Verdana" w:cs="Arial"/>
          <w:sz w:val="18"/>
          <w:szCs w:val="18"/>
        </w:rPr>
        <w:t>483</w:t>
      </w:r>
      <w:bookmarkEnd w:id="0"/>
      <w:r w:rsidR="00F2657D">
        <w:rPr>
          <w:rFonts w:ascii="Verdana" w:eastAsia="Malgun Gothic" w:hAnsi="Verdana" w:cs="Arial"/>
          <w:sz w:val="18"/>
          <w:szCs w:val="18"/>
        </w:rPr>
        <w:t xml:space="preserve"> compared to </w:t>
      </w:r>
      <w:r w:rsidR="00F2657D" w:rsidRPr="00F2657D">
        <w:rPr>
          <w:rFonts w:ascii="Verdana" w:eastAsia="Malgun Gothic" w:hAnsi="Verdana" w:cs="Arial"/>
          <w:sz w:val="18"/>
          <w:szCs w:val="18"/>
        </w:rPr>
        <w:t>€2.</w:t>
      </w:r>
      <w:r w:rsidR="00C72F33">
        <w:rPr>
          <w:rFonts w:ascii="Verdana" w:eastAsia="Malgun Gothic" w:hAnsi="Verdana" w:cs="Arial"/>
          <w:sz w:val="18"/>
          <w:szCs w:val="18"/>
        </w:rPr>
        <w:t>3</w:t>
      </w:r>
      <w:r w:rsidR="00AF2D1C">
        <w:rPr>
          <w:rFonts w:ascii="Verdana" w:eastAsia="Malgun Gothic" w:hAnsi="Verdana" w:cs="Arial"/>
          <w:sz w:val="18"/>
          <w:szCs w:val="18"/>
        </w:rPr>
        <w:t>6</w:t>
      </w:r>
      <w:r w:rsidR="00C72F33">
        <w:rPr>
          <w:rFonts w:ascii="Verdana" w:eastAsia="Malgun Gothic" w:hAnsi="Verdana" w:cs="Arial"/>
          <w:sz w:val="18"/>
          <w:szCs w:val="18"/>
        </w:rPr>
        <w:t>3</w:t>
      </w:r>
      <w:r w:rsidR="00F2657D">
        <w:rPr>
          <w:rFonts w:ascii="Verdana" w:eastAsia="Malgun Gothic" w:hAnsi="Verdana" w:cs="Arial"/>
          <w:sz w:val="18"/>
          <w:szCs w:val="18"/>
        </w:rPr>
        <w:t xml:space="preserve"> in 202</w:t>
      </w:r>
      <w:r w:rsidR="00C72F33">
        <w:rPr>
          <w:rFonts w:ascii="Verdana" w:eastAsia="Malgun Gothic" w:hAnsi="Verdana" w:cs="Arial"/>
          <w:sz w:val="18"/>
          <w:szCs w:val="18"/>
        </w:rPr>
        <w:t>3</w:t>
      </w:r>
      <w:r w:rsidR="006A3B65" w:rsidRPr="006A3B65">
        <w:rPr>
          <w:rFonts w:ascii="Verdana" w:eastAsia="Malgun Gothic" w:hAnsi="Verdana" w:cs="Arial"/>
          <w:sz w:val="18"/>
          <w:szCs w:val="18"/>
        </w:rPr>
        <w:t xml:space="preserve"> </w:t>
      </w:r>
      <w:r>
        <w:rPr>
          <w:rFonts w:ascii="Verdana" w:eastAsia="Malgun Gothic" w:hAnsi="Verdana" w:cs="Arial"/>
          <w:sz w:val="18"/>
          <w:szCs w:val="18"/>
        </w:rPr>
        <w:t xml:space="preserve">recording an increase of </w:t>
      </w:r>
      <w:r w:rsidR="00C72F33">
        <w:rPr>
          <w:rFonts w:ascii="Verdana" w:eastAsia="Malgun Gothic" w:hAnsi="Verdana" w:cs="Arial"/>
          <w:sz w:val="18"/>
          <w:szCs w:val="18"/>
        </w:rPr>
        <w:t>5</w:t>
      </w:r>
      <w:r w:rsidR="00015322" w:rsidRPr="00ED11A2">
        <w:rPr>
          <w:rFonts w:ascii="Verdana" w:eastAsia="Malgun Gothic" w:hAnsi="Verdana" w:cs="Arial"/>
          <w:sz w:val="18"/>
          <w:szCs w:val="18"/>
        </w:rPr>
        <w:t>,</w:t>
      </w:r>
      <w:r w:rsidR="00C72F33">
        <w:rPr>
          <w:rFonts w:ascii="Verdana" w:eastAsia="Malgun Gothic" w:hAnsi="Verdana" w:cs="Arial"/>
          <w:sz w:val="18"/>
          <w:szCs w:val="18"/>
        </w:rPr>
        <w:t>1</w:t>
      </w:r>
      <w:r w:rsidR="00015322" w:rsidRPr="00ED11A2">
        <w:rPr>
          <w:rFonts w:ascii="Verdana" w:eastAsia="Malgun Gothic" w:hAnsi="Verdana" w:cs="Arial"/>
          <w:sz w:val="18"/>
          <w:szCs w:val="18"/>
        </w:rPr>
        <w:t xml:space="preserve">% compared to the previous year. </w:t>
      </w:r>
      <w:r w:rsidR="00F2657D">
        <w:rPr>
          <w:rFonts w:ascii="Verdana" w:eastAsia="Malgun Gothic" w:hAnsi="Verdana" w:cs="Arial"/>
          <w:sz w:val="18"/>
          <w:szCs w:val="18"/>
        </w:rPr>
        <w:t>For 202</w:t>
      </w:r>
      <w:r w:rsidR="00C72F33">
        <w:rPr>
          <w:rFonts w:ascii="Verdana" w:eastAsia="Malgun Gothic" w:hAnsi="Verdana" w:cs="Arial"/>
          <w:sz w:val="18"/>
          <w:szCs w:val="18"/>
        </w:rPr>
        <w:t>3</w:t>
      </w:r>
      <w:r w:rsidR="00F2657D">
        <w:rPr>
          <w:rFonts w:ascii="Verdana" w:eastAsia="Malgun Gothic" w:hAnsi="Verdana" w:cs="Arial"/>
          <w:sz w:val="18"/>
          <w:szCs w:val="18"/>
        </w:rPr>
        <w:t xml:space="preserve"> the corresponding increase was 7,</w:t>
      </w:r>
      <w:r w:rsidR="00C72F33">
        <w:rPr>
          <w:rFonts w:ascii="Verdana" w:eastAsia="Malgun Gothic" w:hAnsi="Verdana" w:cs="Arial"/>
          <w:sz w:val="18"/>
          <w:szCs w:val="18"/>
        </w:rPr>
        <w:t>3</w:t>
      </w:r>
      <w:r w:rsidR="00F2657D">
        <w:rPr>
          <w:rFonts w:ascii="Verdana" w:eastAsia="Malgun Gothic" w:hAnsi="Verdana" w:cs="Arial"/>
          <w:sz w:val="18"/>
          <w:szCs w:val="18"/>
        </w:rPr>
        <w:t xml:space="preserve">%. </w:t>
      </w:r>
      <w:r w:rsidR="00015322" w:rsidRPr="00ED11A2">
        <w:rPr>
          <w:rFonts w:ascii="Verdana" w:eastAsia="Malgun Gothic" w:hAnsi="Verdana" w:cs="Arial"/>
          <w:sz w:val="18"/>
          <w:szCs w:val="18"/>
        </w:rPr>
        <w:t>Median gross monthly earnings of employees were €</w:t>
      </w:r>
      <w:r w:rsidR="00085A91" w:rsidRPr="00ED11A2">
        <w:rPr>
          <w:rFonts w:ascii="Verdana" w:eastAsia="Malgun Gothic" w:hAnsi="Verdana" w:cs="Arial"/>
          <w:sz w:val="18"/>
          <w:szCs w:val="18"/>
        </w:rPr>
        <w:t>1</w:t>
      </w:r>
      <w:r w:rsidR="00015322" w:rsidRPr="00ED11A2">
        <w:rPr>
          <w:rFonts w:ascii="Verdana" w:eastAsia="Malgun Gothic" w:hAnsi="Verdana" w:cs="Arial"/>
          <w:sz w:val="18"/>
          <w:szCs w:val="18"/>
        </w:rPr>
        <w:t>.</w:t>
      </w:r>
      <w:r w:rsidR="00C72F33">
        <w:rPr>
          <w:rFonts w:ascii="Verdana" w:eastAsia="Malgun Gothic" w:hAnsi="Verdana" w:cs="Arial"/>
          <w:sz w:val="18"/>
          <w:szCs w:val="18"/>
        </w:rPr>
        <w:t>881</w:t>
      </w:r>
      <w:r w:rsidR="00015322" w:rsidRPr="00ED11A2">
        <w:rPr>
          <w:rFonts w:ascii="Verdana" w:eastAsia="Malgun Gothic" w:hAnsi="Verdana" w:cs="Arial"/>
          <w:sz w:val="18"/>
          <w:szCs w:val="18"/>
        </w:rPr>
        <w:t>.</w:t>
      </w:r>
      <w:r w:rsidR="00015322" w:rsidRPr="00015322">
        <w:rPr>
          <w:rFonts w:ascii="Verdana" w:eastAsia="Malgun Gothic" w:hAnsi="Verdana" w:cs="Arial"/>
          <w:sz w:val="18"/>
          <w:szCs w:val="18"/>
        </w:rPr>
        <w:t xml:space="preserve"> </w:t>
      </w:r>
      <w:r w:rsidRPr="006A3B65">
        <w:rPr>
          <w:rFonts w:ascii="Verdana" w:eastAsia="Malgun Gothic" w:hAnsi="Verdana" w:cs="Arial"/>
          <w:sz w:val="18"/>
          <w:szCs w:val="18"/>
        </w:rPr>
        <w:t>(</w:t>
      </w:r>
      <w:r w:rsidR="000D2494">
        <w:rPr>
          <w:rFonts w:ascii="Verdana" w:eastAsia="Malgun Gothic" w:hAnsi="Verdana" w:cs="Arial"/>
          <w:sz w:val="18"/>
          <w:szCs w:val="18"/>
        </w:rPr>
        <w:t>Figure</w:t>
      </w:r>
      <w:r>
        <w:rPr>
          <w:rFonts w:ascii="Verdana" w:eastAsia="Malgun Gothic" w:hAnsi="Verdana" w:cs="Arial"/>
          <w:sz w:val="18"/>
          <w:szCs w:val="18"/>
        </w:rPr>
        <w:t xml:space="preserve"> 1</w:t>
      </w:r>
      <w:r w:rsidRPr="006A3B65">
        <w:rPr>
          <w:rFonts w:ascii="Verdana" w:eastAsia="Malgun Gothic" w:hAnsi="Verdana" w:cs="Arial"/>
          <w:sz w:val="18"/>
          <w:szCs w:val="18"/>
        </w:rPr>
        <w:t>)</w:t>
      </w:r>
    </w:p>
    <w:p w14:paraId="73D48F7D" w14:textId="77777777" w:rsidR="005A2230" w:rsidRDefault="005A2230" w:rsidP="00015322">
      <w:pPr>
        <w:tabs>
          <w:tab w:val="left" w:pos="1080"/>
          <w:tab w:val="left" w:pos="6840"/>
        </w:tabs>
        <w:jc w:val="both"/>
        <w:rPr>
          <w:rFonts w:ascii="Verdana" w:eastAsia="Malgun Gothic" w:hAnsi="Verdana" w:cs="Arial"/>
          <w:sz w:val="18"/>
          <w:szCs w:val="18"/>
        </w:rPr>
      </w:pPr>
    </w:p>
    <w:p w14:paraId="4A91F5FF" w14:textId="14794FF0" w:rsidR="007B2E4B" w:rsidRDefault="000814EE" w:rsidP="000017A7">
      <w:pPr>
        <w:tabs>
          <w:tab w:val="left" w:pos="142"/>
          <w:tab w:val="left" w:pos="6840"/>
        </w:tabs>
        <w:jc w:val="center"/>
        <w:rPr>
          <w:rFonts w:ascii="Verdana" w:eastAsia="Malgun Gothic" w:hAnsi="Verdana" w:cs="Arial"/>
          <w:sz w:val="18"/>
          <w:szCs w:val="18"/>
        </w:rPr>
      </w:pPr>
      <w:r>
        <w:rPr>
          <w:noProof/>
        </w:rPr>
        <w:drawing>
          <wp:inline distT="0" distB="0" distL="0" distR="0" wp14:anchorId="0CFC68C2" wp14:editId="62EEA69C">
            <wp:extent cx="6120765" cy="4612640"/>
            <wp:effectExtent l="0" t="0" r="13335" b="16510"/>
            <wp:docPr id="125598028" name="Chart 1">
              <a:extLst xmlns:a="http://schemas.openxmlformats.org/drawingml/2006/main">
                <a:ext uri="{FF2B5EF4-FFF2-40B4-BE49-F238E27FC236}">
                  <a16:creationId xmlns:a16="http://schemas.microsoft.com/office/drawing/2014/main" id="{1AA22309-15D3-4D4C-9909-A12F1C810F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663034" w14:textId="77777777" w:rsidR="00690C8A" w:rsidRDefault="00690C8A">
      <w:pPr>
        <w:rPr>
          <w:rFonts w:ascii="Verdana" w:eastAsia="Malgun Gothic" w:hAnsi="Verdana" w:cs="Arial"/>
          <w:sz w:val="18"/>
          <w:szCs w:val="18"/>
        </w:rPr>
      </w:pPr>
      <w:r>
        <w:rPr>
          <w:rFonts w:ascii="Verdana" w:eastAsia="Malgun Gothic" w:hAnsi="Verdana" w:cs="Arial"/>
          <w:sz w:val="18"/>
          <w:szCs w:val="18"/>
        </w:rPr>
        <w:br w:type="page"/>
      </w:r>
    </w:p>
    <w:p w14:paraId="32D01ECB" w14:textId="10975279" w:rsidR="005A2230" w:rsidRPr="005A2230" w:rsidRDefault="005A2230" w:rsidP="000844F7">
      <w:pPr>
        <w:jc w:val="both"/>
        <w:rPr>
          <w:rFonts w:ascii="Verdana" w:eastAsia="Malgun Gothic" w:hAnsi="Verdana" w:cs="Arial"/>
          <w:b/>
          <w:sz w:val="18"/>
          <w:szCs w:val="18"/>
        </w:rPr>
      </w:pPr>
      <w:r w:rsidRPr="005A2230">
        <w:rPr>
          <w:rFonts w:ascii="Verdana" w:eastAsia="Malgun Gothic" w:hAnsi="Verdana" w:cs="Arial"/>
          <w:b/>
          <w:sz w:val="18"/>
          <w:szCs w:val="18"/>
        </w:rPr>
        <w:lastRenderedPageBreak/>
        <w:t xml:space="preserve">Distribution of Employees by </w:t>
      </w:r>
      <w:r w:rsidR="00650FFD">
        <w:rPr>
          <w:rFonts w:ascii="Verdana" w:eastAsia="Malgun Gothic" w:hAnsi="Verdana" w:cs="Arial"/>
          <w:b/>
          <w:sz w:val="18"/>
          <w:szCs w:val="18"/>
        </w:rPr>
        <w:t>G</w:t>
      </w:r>
      <w:r w:rsidR="00B4571E">
        <w:rPr>
          <w:rFonts w:ascii="Verdana" w:eastAsia="Malgun Gothic" w:hAnsi="Verdana" w:cs="Arial"/>
          <w:b/>
          <w:sz w:val="18"/>
          <w:szCs w:val="18"/>
        </w:rPr>
        <w:t xml:space="preserve">roup of </w:t>
      </w:r>
      <w:r w:rsidRPr="005A2230">
        <w:rPr>
          <w:rFonts w:ascii="Verdana" w:eastAsia="Malgun Gothic" w:hAnsi="Verdana" w:cs="Arial"/>
          <w:b/>
          <w:sz w:val="18"/>
          <w:szCs w:val="18"/>
        </w:rPr>
        <w:t>Gross Monthly Earnings and Sex</w:t>
      </w:r>
    </w:p>
    <w:p w14:paraId="504891F6" w14:textId="77777777" w:rsidR="005A2230" w:rsidRDefault="005A2230" w:rsidP="000844F7">
      <w:pPr>
        <w:jc w:val="both"/>
        <w:rPr>
          <w:rFonts w:ascii="Verdana" w:eastAsia="Malgun Gothic" w:hAnsi="Verdana" w:cs="Arial"/>
          <w:sz w:val="18"/>
          <w:szCs w:val="18"/>
        </w:rPr>
      </w:pPr>
    </w:p>
    <w:p w14:paraId="3EC5894B" w14:textId="4DD1B3D8" w:rsidR="007330D7" w:rsidRDefault="000D2494" w:rsidP="000844F7">
      <w:pPr>
        <w:jc w:val="both"/>
        <w:rPr>
          <w:rFonts w:ascii="Verdana" w:eastAsia="Malgun Gothic" w:hAnsi="Verdana" w:cs="Arial"/>
          <w:sz w:val="18"/>
          <w:szCs w:val="18"/>
        </w:rPr>
      </w:pPr>
      <w:r>
        <w:rPr>
          <w:rFonts w:ascii="Verdana" w:eastAsia="Malgun Gothic" w:hAnsi="Verdana" w:cs="Arial"/>
          <w:sz w:val="18"/>
          <w:szCs w:val="18"/>
        </w:rPr>
        <w:t>Figure</w:t>
      </w:r>
      <w:r w:rsidR="007330D7">
        <w:rPr>
          <w:rFonts w:ascii="Verdana" w:eastAsia="Malgun Gothic" w:hAnsi="Verdana" w:cs="Arial"/>
          <w:sz w:val="18"/>
          <w:szCs w:val="18"/>
        </w:rPr>
        <w:t xml:space="preserve"> 2</w:t>
      </w:r>
      <w:r w:rsidR="001006F1">
        <w:rPr>
          <w:rFonts w:ascii="Verdana" w:eastAsia="Malgun Gothic" w:hAnsi="Verdana" w:cs="Arial"/>
          <w:sz w:val="18"/>
          <w:szCs w:val="18"/>
        </w:rPr>
        <w:t xml:space="preserve"> sho</w:t>
      </w:r>
      <w:r w:rsidR="001006F1" w:rsidRPr="004D1C6A">
        <w:rPr>
          <w:rFonts w:ascii="Verdana" w:eastAsia="Malgun Gothic" w:hAnsi="Verdana" w:cs="Arial"/>
          <w:sz w:val="18"/>
          <w:szCs w:val="18"/>
        </w:rPr>
        <w:t xml:space="preserve">ws the </w:t>
      </w:r>
      <w:r w:rsidR="000844F7" w:rsidRPr="004D1C6A">
        <w:rPr>
          <w:rFonts w:ascii="Verdana" w:eastAsia="Malgun Gothic" w:hAnsi="Verdana" w:cs="Arial"/>
          <w:sz w:val="18"/>
          <w:szCs w:val="18"/>
        </w:rPr>
        <w:t xml:space="preserve">percentage distribution of employees by </w:t>
      </w:r>
      <w:r w:rsidR="002D6929" w:rsidRPr="004D1C6A">
        <w:rPr>
          <w:rFonts w:ascii="Verdana" w:eastAsia="Malgun Gothic" w:hAnsi="Verdana" w:cs="Arial"/>
          <w:sz w:val="18"/>
          <w:szCs w:val="18"/>
        </w:rPr>
        <w:t xml:space="preserve">group of </w:t>
      </w:r>
      <w:r w:rsidR="000844F7" w:rsidRPr="004D1C6A">
        <w:rPr>
          <w:rFonts w:ascii="Verdana" w:eastAsia="Malgun Gothic" w:hAnsi="Verdana" w:cs="Arial"/>
          <w:sz w:val="18"/>
          <w:szCs w:val="18"/>
        </w:rPr>
        <w:t>monthly gross earnings and sex</w:t>
      </w:r>
      <w:r w:rsidR="001006F1" w:rsidRPr="004D1C6A">
        <w:rPr>
          <w:rFonts w:ascii="Verdana" w:eastAsia="Malgun Gothic" w:hAnsi="Verdana" w:cs="Arial"/>
          <w:sz w:val="18"/>
          <w:szCs w:val="18"/>
        </w:rPr>
        <w:t>.</w:t>
      </w:r>
      <w:r w:rsidR="000844F7" w:rsidRPr="004D1C6A">
        <w:rPr>
          <w:rFonts w:ascii="Verdana" w:eastAsia="Malgun Gothic" w:hAnsi="Verdana" w:cs="Arial"/>
          <w:sz w:val="18"/>
          <w:szCs w:val="18"/>
        </w:rPr>
        <w:t xml:space="preserve"> </w:t>
      </w:r>
    </w:p>
    <w:p w14:paraId="5E553432" w14:textId="77777777" w:rsidR="007330D7" w:rsidRDefault="007330D7" w:rsidP="000844F7">
      <w:pPr>
        <w:jc w:val="both"/>
        <w:rPr>
          <w:rFonts w:ascii="Verdana" w:eastAsia="Malgun Gothic" w:hAnsi="Verdana" w:cs="Arial"/>
          <w:sz w:val="18"/>
          <w:szCs w:val="18"/>
        </w:rPr>
      </w:pPr>
    </w:p>
    <w:p w14:paraId="56F228E1" w14:textId="3EC90021" w:rsidR="007330D7" w:rsidRDefault="001006F1" w:rsidP="000844F7">
      <w:pPr>
        <w:jc w:val="both"/>
      </w:pPr>
      <w:r w:rsidRPr="004D1C6A">
        <w:rPr>
          <w:rFonts w:ascii="Verdana" w:eastAsia="Malgun Gothic" w:hAnsi="Verdana" w:cs="Arial"/>
          <w:sz w:val="18"/>
          <w:szCs w:val="18"/>
        </w:rPr>
        <w:t>T</w:t>
      </w:r>
      <w:r w:rsidR="000844F7" w:rsidRPr="004D1C6A">
        <w:rPr>
          <w:rFonts w:ascii="Verdana" w:eastAsia="Malgun Gothic" w:hAnsi="Verdana" w:cs="Arial"/>
          <w:sz w:val="18"/>
          <w:szCs w:val="18"/>
        </w:rPr>
        <w:t>he highest percentage</w:t>
      </w:r>
      <w:r w:rsidR="00AE3F67" w:rsidRPr="004D1C6A">
        <w:rPr>
          <w:rFonts w:ascii="Verdana" w:eastAsia="Malgun Gothic" w:hAnsi="Verdana" w:cs="Arial"/>
          <w:sz w:val="18"/>
          <w:szCs w:val="18"/>
        </w:rPr>
        <w:t xml:space="preserve"> </w:t>
      </w:r>
      <w:r w:rsidR="002D6929" w:rsidRPr="004D1C6A">
        <w:rPr>
          <w:rFonts w:ascii="Verdana" w:eastAsia="Malgun Gothic" w:hAnsi="Verdana" w:cs="Arial"/>
          <w:sz w:val="18"/>
          <w:szCs w:val="18"/>
        </w:rPr>
        <w:t xml:space="preserve">of employees </w:t>
      </w:r>
      <w:r w:rsidR="00AE3F67" w:rsidRPr="004D1C6A">
        <w:rPr>
          <w:rFonts w:ascii="Verdana" w:eastAsia="Malgun Gothic" w:hAnsi="Verdana" w:cs="Arial"/>
          <w:sz w:val="18"/>
          <w:szCs w:val="18"/>
        </w:rPr>
        <w:t>(</w:t>
      </w:r>
      <w:r w:rsidR="00740981" w:rsidRPr="004D1C6A">
        <w:rPr>
          <w:rFonts w:ascii="Verdana" w:eastAsia="Malgun Gothic" w:hAnsi="Verdana" w:cs="Arial"/>
          <w:sz w:val="18"/>
          <w:szCs w:val="18"/>
        </w:rPr>
        <w:t>14</w:t>
      </w:r>
      <w:r w:rsidR="00AE3F67" w:rsidRPr="004D1C6A">
        <w:rPr>
          <w:rFonts w:ascii="Verdana" w:eastAsia="Malgun Gothic" w:hAnsi="Verdana" w:cs="Arial"/>
          <w:sz w:val="18"/>
          <w:szCs w:val="18"/>
        </w:rPr>
        <w:t>,</w:t>
      </w:r>
      <w:r w:rsidR="00D56180">
        <w:rPr>
          <w:rFonts w:ascii="Verdana" w:eastAsia="Malgun Gothic" w:hAnsi="Verdana" w:cs="Arial"/>
          <w:sz w:val="18"/>
          <w:szCs w:val="18"/>
        </w:rPr>
        <w:t>2</w:t>
      </w:r>
      <w:r w:rsidR="00AE3F67" w:rsidRPr="004D1C6A">
        <w:rPr>
          <w:rFonts w:ascii="Verdana" w:eastAsia="Malgun Gothic" w:hAnsi="Verdana" w:cs="Arial"/>
          <w:sz w:val="18"/>
          <w:szCs w:val="18"/>
        </w:rPr>
        <w:t>%)</w:t>
      </w:r>
      <w:r w:rsidR="000844F7" w:rsidRPr="004D1C6A">
        <w:rPr>
          <w:rFonts w:ascii="Verdana" w:eastAsia="Malgun Gothic" w:hAnsi="Verdana" w:cs="Arial"/>
          <w:sz w:val="18"/>
          <w:szCs w:val="18"/>
        </w:rPr>
        <w:t xml:space="preserve"> </w:t>
      </w:r>
      <w:r w:rsidR="002B53BE" w:rsidRPr="004D1C6A">
        <w:rPr>
          <w:rFonts w:ascii="Verdana" w:eastAsia="Malgun Gothic" w:hAnsi="Verdana" w:cs="Arial"/>
          <w:sz w:val="18"/>
          <w:szCs w:val="18"/>
        </w:rPr>
        <w:t>is</w:t>
      </w:r>
      <w:r w:rsidR="000844F7" w:rsidRPr="004D1C6A">
        <w:rPr>
          <w:rFonts w:ascii="Verdana" w:eastAsia="Malgun Gothic" w:hAnsi="Verdana" w:cs="Arial"/>
          <w:sz w:val="18"/>
          <w:szCs w:val="18"/>
        </w:rPr>
        <w:t xml:space="preserve"> observed among employees who </w:t>
      </w:r>
      <w:r w:rsidR="00314B8A">
        <w:rPr>
          <w:rFonts w:ascii="Verdana" w:eastAsia="Malgun Gothic" w:hAnsi="Verdana" w:cs="Arial"/>
          <w:sz w:val="18"/>
          <w:szCs w:val="18"/>
        </w:rPr>
        <w:t>earn</w:t>
      </w:r>
      <w:r w:rsidR="000844F7" w:rsidRPr="004D1C6A">
        <w:rPr>
          <w:rFonts w:ascii="Verdana" w:eastAsia="Malgun Gothic" w:hAnsi="Verdana" w:cs="Arial"/>
          <w:sz w:val="18"/>
          <w:szCs w:val="18"/>
        </w:rPr>
        <w:t xml:space="preserve"> between </w:t>
      </w:r>
      <w:r w:rsidR="00FE4243" w:rsidRPr="004D1C6A">
        <w:rPr>
          <w:rFonts w:ascii="Verdana" w:eastAsia="Malgun Gothic" w:hAnsi="Verdana" w:cs="Arial"/>
          <w:sz w:val="18"/>
          <w:szCs w:val="18"/>
        </w:rPr>
        <w:t>€</w:t>
      </w:r>
      <w:r w:rsidR="00740981" w:rsidRPr="004D1C6A">
        <w:rPr>
          <w:rFonts w:ascii="Verdana" w:eastAsia="Malgun Gothic" w:hAnsi="Verdana" w:cs="Arial"/>
          <w:sz w:val="18"/>
          <w:szCs w:val="18"/>
        </w:rPr>
        <w:t>1</w:t>
      </w:r>
      <w:r w:rsidR="00FE4243" w:rsidRPr="004D1C6A">
        <w:rPr>
          <w:rFonts w:ascii="Verdana" w:eastAsia="Malgun Gothic" w:hAnsi="Verdana" w:cs="Arial"/>
          <w:sz w:val="18"/>
          <w:szCs w:val="18"/>
        </w:rPr>
        <w:t>.</w:t>
      </w:r>
      <w:r w:rsidR="00740981" w:rsidRPr="004D1C6A">
        <w:rPr>
          <w:rFonts w:ascii="Verdana" w:eastAsia="Malgun Gothic" w:hAnsi="Verdana" w:cs="Arial"/>
          <w:sz w:val="18"/>
          <w:szCs w:val="18"/>
        </w:rPr>
        <w:t>000</w:t>
      </w:r>
      <w:r w:rsidR="000844F7" w:rsidRPr="004D1C6A">
        <w:rPr>
          <w:rFonts w:ascii="Verdana" w:eastAsia="Malgun Gothic" w:hAnsi="Verdana" w:cs="Arial"/>
          <w:sz w:val="18"/>
          <w:szCs w:val="18"/>
        </w:rPr>
        <w:t xml:space="preserve"> and </w:t>
      </w:r>
      <w:r w:rsidR="00FE4243" w:rsidRPr="004D1C6A">
        <w:rPr>
          <w:rFonts w:ascii="Verdana" w:eastAsia="Malgun Gothic" w:hAnsi="Verdana" w:cs="Arial"/>
          <w:sz w:val="18"/>
          <w:szCs w:val="18"/>
        </w:rPr>
        <w:t>€</w:t>
      </w:r>
      <w:r w:rsidR="00740981" w:rsidRPr="004D1C6A">
        <w:rPr>
          <w:rFonts w:ascii="Verdana" w:eastAsia="Malgun Gothic" w:hAnsi="Verdana" w:cs="Arial"/>
          <w:sz w:val="18"/>
          <w:szCs w:val="18"/>
        </w:rPr>
        <w:t>1</w:t>
      </w:r>
      <w:r w:rsidR="00FE4243" w:rsidRPr="004D1C6A">
        <w:rPr>
          <w:rFonts w:ascii="Verdana" w:eastAsia="Malgun Gothic" w:hAnsi="Verdana" w:cs="Arial"/>
          <w:sz w:val="18"/>
          <w:szCs w:val="18"/>
        </w:rPr>
        <w:t>.</w:t>
      </w:r>
      <w:r w:rsidR="00740981" w:rsidRPr="004D1C6A">
        <w:rPr>
          <w:rFonts w:ascii="Verdana" w:eastAsia="Malgun Gothic" w:hAnsi="Verdana" w:cs="Arial"/>
          <w:sz w:val="18"/>
          <w:szCs w:val="18"/>
        </w:rPr>
        <w:t>249</w:t>
      </w:r>
      <w:r w:rsidR="008A4C5D">
        <w:rPr>
          <w:rFonts w:ascii="Verdana" w:eastAsia="Malgun Gothic" w:hAnsi="Verdana" w:cs="Arial"/>
          <w:sz w:val="18"/>
          <w:szCs w:val="18"/>
        </w:rPr>
        <w:t xml:space="preserve">, followed by </w:t>
      </w:r>
      <w:r w:rsidR="008A4C5D">
        <w:t>t</w:t>
      </w:r>
      <w:r w:rsidR="00314B8A" w:rsidRPr="00314B8A">
        <w:t xml:space="preserve">he groups of employees who </w:t>
      </w:r>
      <w:r w:rsidR="00314B8A">
        <w:t>earn</w:t>
      </w:r>
      <w:r w:rsidR="00314B8A" w:rsidRPr="00314B8A">
        <w:t xml:space="preserve"> between €1</w:t>
      </w:r>
      <w:r w:rsidR="00314B8A">
        <w:t>.</w:t>
      </w:r>
      <w:r w:rsidR="00314B8A" w:rsidRPr="00314B8A">
        <w:t>250 and €1</w:t>
      </w:r>
      <w:r w:rsidR="00314B8A">
        <w:t>.</w:t>
      </w:r>
      <w:r w:rsidR="00314B8A" w:rsidRPr="00314B8A">
        <w:t>499 (11</w:t>
      </w:r>
      <w:r w:rsidR="00304C7E">
        <w:t>,</w:t>
      </w:r>
      <w:r w:rsidR="00D56180">
        <w:t>6</w:t>
      </w:r>
      <w:r w:rsidR="00314B8A" w:rsidRPr="00314B8A">
        <w:t xml:space="preserve">%) and those who </w:t>
      </w:r>
      <w:r w:rsidR="00B4571E">
        <w:t>earn</w:t>
      </w:r>
      <w:r w:rsidR="00314B8A" w:rsidRPr="00314B8A">
        <w:t xml:space="preserve"> between €1</w:t>
      </w:r>
      <w:r w:rsidR="00314B8A">
        <w:t>.</w:t>
      </w:r>
      <w:r w:rsidR="00314B8A" w:rsidRPr="00314B8A">
        <w:t>500 and €1</w:t>
      </w:r>
      <w:r w:rsidR="00314B8A">
        <w:t>.</w:t>
      </w:r>
      <w:r w:rsidR="00314B8A" w:rsidRPr="00314B8A">
        <w:t>749 (1</w:t>
      </w:r>
      <w:r w:rsidR="00D56180">
        <w:t>1</w:t>
      </w:r>
      <w:r w:rsidR="00764D52">
        <w:t>,</w:t>
      </w:r>
      <w:r w:rsidR="00D56180">
        <w:t>2</w:t>
      </w:r>
      <w:r w:rsidR="00314B8A" w:rsidRPr="00314B8A">
        <w:t>%).</w:t>
      </w:r>
    </w:p>
    <w:p w14:paraId="5DA4C147" w14:textId="77777777" w:rsidR="002047A6" w:rsidRPr="00D86059" w:rsidRDefault="002047A6" w:rsidP="000844F7">
      <w:pPr>
        <w:jc w:val="both"/>
        <w:rPr>
          <w:rFonts w:ascii="Verdana" w:eastAsia="Malgun Gothic" w:hAnsi="Verdana" w:cs="Arial"/>
          <w:sz w:val="18"/>
          <w:szCs w:val="18"/>
        </w:rPr>
      </w:pPr>
    </w:p>
    <w:p w14:paraId="6D65E52D" w14:textId="1D579A5D" w:rsidR="009618A8" w:rsidRDefault="00A67AB8" w:rsidP="00E605D3">
      <w:pPr>
        <w:jc w:val="center"/>
        <w:rPr>
          <w:rFonts w:ascii="Verdana" w:eastAsia="Malgun Gothic" w:hAnsi="Verdana" w:cs="Arial"/>
          <w:b/>
          <w:u w:val="single"/>
        </w:rPr>
      </w:pPr>
      <w:r>
        <w:rPr>
          <w:noProof/>
        </w:rPr>
        <w:drawing>
          <wp:inline distT="0" distB="0" distL="0" distR="0" wp14:anchorId="44C9AD03" wp14:editId="10660C4F">
            <wp:extent cx="6120000" cy="5760000"/>
            <wp:effectExtent l="0" t="0" r="14605" b="12700"/>
            <wp:docPr id="868955454" name="Chart 1">
              <a:extLst xmlns:a="http://schemas.openxmlformats.org/drawingml/2006/main">
                <a:ext uri="{FF2B5EF4-FFF2-40B4-BE49-F238E27FC236}">
                  <a16:creationId xmlns:a16="http://schemas.microsoft.com/office/drawing/2014/main" id="{89688543-ADE0-491F-82DE-55FBD631F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1ADFF7" w14:textId="540EEC42" w:rsidR="009618A8" w:rsidRDefault="009618A8">
      <w:pPr>
        <w:rPr>
          <w:rFonts w:ascii="Verdana" w:eastAsia="Malgun Gothic" w:hAnsi="Verdana" w:cs="Arial"/>
          <w:b/>
          <w:u w:val="single"/>
        </w:rPr>
      </w:pPr>
    </w:p>
    <w:p w14:paraId="62F2F310" w14:textId="1D63AB38" w:rsidR="00D56180" w:rsidRDefault="00D56180" w:rsidP="00D56180">
      <w:pPr>
        <w:jc w:val="both"/>
        <w:rPr>
          <w:rFonts w:ascii="Verdana" w:eastAsia="Malgun Gothic" w:hAnsi="Verdana" w:cs="Arial"/>
          <w:sz w:val="18"/>
          <w:szCs w:val="18"/>
        </w:rPr>
      </w:pPr>
    </w:p>
    <w:p w14:paraId="13AC473B" w14:textId="18D3CBF5" w:rsidR="00D56180" w:rsidRDefault="00D56180">
      <w:pPr>
        <w:rPr>
          <w:rFonts w:ascii="Verdana" w:eastAsia="Malgun Gothic" w:hAnsi="Verdana" w:cs="Arial"/>
          <w:sz w:val="18"/>
          <w:szCs w:val="18"/>
        </w:rPr>
      </w:pPr>
      <w:r>
        <w:rPr>
          <w:rFonts w:ascii="Verdana" w:eastAsia="Malgun Gothic" w:hAnsi="Verdana" w:cs="Arial"/>
          <w:sz w:val="18"/>
          <w:szCs w:val="18"/>
        </w:rPr>
        <w:br w:type="page"/>
      </w:r>
    </w:p>
    <w:p w14:paraId="33E6EB44" w14:textId="2F6DCF23" w:rsidR="002047A6" w:rsidRPr="002047A6" w:rsidRDefault="002047A6" w:rsidP="002047A6">
      <w:pPr>
        <w:tabs>
          <w:tab w:val="left" w:pos="1080"/>
          <w:tab w:val="left" w:pos="6840"/>
        </w:tabs>
        <w:jc w:val="both"/>
        <w:rPr>
          <w:rFonts w:ascii="Verdana" w:eastAsia="Malgun Gothic" w:hAnsi="Verdana" w:cs="Arial"/>
          <w:b/>
          <w:sz w:val="18"/>
          <w:szCs w:val="18"/>
        </w:rPr>
      </w:pPr>
      <w:r w:rsidRPr="002047A6">
        <w:rPr>
          <w:rFonts w:ascii="Verdana" w:eastAsia="Malgun Gothic" w:hAnsi="Verdana" w:cs="Arial"/>
          <w:b/>
          <w:sz w:val="18"/>
          <w:szCs w:val="18"/>
        </w:rPr>
        <w:lastRenderedPageBreak/>
        <w:t xml:space="preserve">Average Gross Monthly Earnings by </w:t>
      </w:r>
      <w:r w:rsidR="00650FFD">
        <w:rPr>
          <w:rFonts w:ascii="Verdana" w:eastAsia="Malgun Gothic" w:hAnsi="Verdana" w:cs="Arial"/>
          <w:b/>
          <w:sz w:val="18"/>
          <w:szCs w:val="18"/>
        </w:rPr>
        <w:t>B</w:t>
      </w:r>
      <w:r w:rsidRPr="002047A6">
        <w:rPr>
          <w:rFonts w:ascii="Verdana" w:eastAsia="Malgun Gothic" w:hAnsi="Verdana" w:cs="Arial"/>
          <w:b/>
          <w:sz w:val="18"/>
          <w:szCs w:val="18"/>
        </w:rPr>
        <w:t>ranch of Economic Activity</w:t>
      </w:r>
    </w:p>
    <w:p w14:paraId="6C62A6D7" w14:textId="77777777" w:rsidR="002047A6" w:rsidRDefault="002047A6" w:rsidP="002047A6">
      <w:pPr>
        <w:tabs>
          <w:tab w:val="left" w:pos="1080"/>
          <w:tab w:val="left" w:pos="6840"/>
        </w:tabs>
        <w:jc w:val="both"/>
        <w:rPr>
          <w:rFonts w:ascii="Verdana" w:eastAsia="Malgun Gothic" w:hAnsi="Verdana" w:cs="Arial"/>
          <w:sz w:val="18"/>
          <w:szCs w:val="18"/>
        </w:rPr>
      </w:pPr>
    </w:p>
    <w:p w14:paraId="74DFC6D1" w14:textId="361ADA41" w:rsidR="00D23158" w:rsidRDefault="002047A6" w:rsidP="002047A6">
      <w:pPr>
        <w:tabs>
          <w:tab w:val="left" w:pos="1080"/>
          <w:tab w:val="left" w:pos="6840"/>
        </w:tabs>
        <w:jc w:val="both"/>
        <w:rPr>
          <w:rFonts w:ascii="Verdana" w:eastAsia="Malgun Gothic" w:hAnsi="Verdana" w:cs="Arial"/>
          <w:sz w:val="18"/>
          <w:szCs w:val="18"/>
        </w:rPr>
      </w:pPr>
      <w:r w:rsidRPr="002E1A6D">
        <w:rPr>
          <w:rFonts w:ascii="Verdana" w:eastAsia="Malgun Gothic" w:hAnsi="Verdana" w:cs="Arial"/>
          <w:sz w:val="18"/>
          <w:szCs w:val="18"/>
        </w:rPr>
        <w:t xml:space="preserve">The average gross monthly earnings by branch of economic activity, </w:t>
      </w:r>
      <w:r w:rsidR="00F44E1D">
        <w:rPr>
          <w:rFonts w:ascii="Verdana" w:eastAsia="Malgun Gothic" w:hAnsi="Verdana" w:cs="Arial"/>
          <w:sz w:val="18"/>
          <w:szCs w:val="18"/>
        </w:rPr>
        <w:t>for 202</w:t>
      </w:r>
      <w:r w:rsidR="00A92FDD">
        <w:rPr>
          <w:rFonts w:ascii="Verdana" w:eastAsia="Malgun Gothic" w:hAnsi="Verdana" w:cs="Arial"/>
          <w:sz w:val="18"/>
          <w:szCs w:val="18"/>
        </w:rPr>
        <w:t>4</w:t>
      </w:r>
      <w:r w:rsidRPr="002E1A6D">
        <w:rPr>
          <w:rFonts w:ascii="Verdana" w:eastAsia="Malgun Gothic" w:hAnsi="Verdana" w:cs="Arial"/>
          <w:sz w:val="18"/>
          <w:szCs w:val="18"/>
        </w:rPr>
        <w:t>, range from €94</w:t>
      </w:r>
      <w:r w:rsidR="00A92FDD">
        <w:rPr>
          <w:rFonts w:ascii="Verdana" w:eastAsia="Malgun Gothic" w:hAnsi="Verdana" w:cs="Arial"/>
          <w:sz w:val="18"/>
          <w:szCs w:val="18"/>
        </w:rPr>
        <w:t>1</w:t>
      </w:r>
      <w:r w:rsidRPr="002E1A6D">
        <w:rPr>
          <w:rFonts w:ascii="Verdana" w:eastAsia="Malgun Gothic" w:hAnsi="Verdana" w:cs="Arial"/>
          <w:sz w:val="18"/>
          <w:szCs w:val="18"/>
        </w:rPr>
        <w:t xml:space="preserve"> in the Agriculture, Forestry</w:t>
      </w:r>
      <w:r w:rsidR="00CA0606">
        <w:rPr>
          <w:rFonts w:ascii="Verdana" w:eastAsia="Malgun Gothic" w:hAnsi="Verdana" w:cs="Arial"/>
          <w:sz w:val="18"/>
          <w:szCs w:val="18"/>
        </w:rPr>
        <w:t xml:space="preserve"> and Fishing</w:t>
      </w:r>
      <w:r w:rsidRPr="002E1A6D">
        <w:rPr>
          <w:rFonts w:ascii="Verdana" w:eastAsia="Malgun Gothic" w:hAnsi="Verdana" w:cs="Arial"/>
          <w:sz w:val="18"/>
          <w:szCs w:val="18"/>
        </w:rPr>
        <w:t xml:space="preserve"> sector to €4.</w:t>
      </w:r>
      <w:r w:rsidR="00A92FDD">
        <w:rPr>
          <w:rFonts w:ascii="Verdana" w:eastAsia="Malgun Gothic" w:hAnsi="Verdana" w:cs="Arial"/>
          <w:sz w:val="18"/>
          <w:szCs w:val="18"/>
        </w:rPr>
        <w:t>710</w:t>
      </w:r>
      <w:r w:rsidRPr="002E1A6D">
        <w:rPr>
          <w:rFonts w:ascii="Verdana" w:eastAsia="Malgun Gothic" w:hAnsi="Verdana" w:cs="Arial"/>
          <w:sz w:val="18"/>
          <w:szCs w:val="18"/>
        </w:rPr>
        <w:t xml:space="preserve"> in the Financial and Insurance Activities sector.</w:t>
      </w:r>
      <w:r>
        <w:rPr>
          <w:rFonts w:ascii="Verdana" w:eastAsia="Malgun Gothic" w:hAnsi="Verdana" w:cs="Arial"/>
          <w:sz w:val="18"/>
          <w:szCs w:val="18"/>
        </w:rPr>
        <w:t xml:space="preserve"> </w:t>
      </w:r>
    </w:p>
    <w:p w14:paraId="412C8441" w14:textId="77777777" w:rsidR="00D23158" w:rsidRDefault="00D23158" w:rsidP="002047A6">
      <w:pPr>
        <w:tabs>
          <w:tab w:val="left" w:pos="1080"/>
          <w:tab w:val="left" w:pos="6840"/>
        </w:tabs>
        <w:jc w:val="both"/>
        <w:rPr>
          <w:rFonts w:ascii="Verdana" w:eastAsia="Malgun Gothic" w:hAnsi="Verdana" w:cs="Arial"/>
          <w:sz w:val="18"/>
          <w:szCs w:val="18"/>
        </w:rPr>
      </w:pPr>
    </w:p>
    <w:p w14:paraId="433D8E93" w14:textId="7B3AE1E2" w:rsidR="002047A6" w:rsidRDefault="00831CEC" w:rsidP="00C820B2">
      <w:pPr>
        <w:tabs>
          <w:tab w:val="left" w:pos="1080"/>
          <w:tab w:val="left" w:pos="6840"/>
        </w:tabs>
        <w:jc w:val="both"/>
        <w:rPr>
          <w:rFonts w:ascii="Verdana" w:eastAsia="Malgun Gothic" w:hAnsi="Verdana" w:cs="Arial"/>
          <w:sz w:val="18"/>
          <w:szCs w:val="18"/>
        </w:rPr>
      </w:pPr>
      <w:r w:rsidRPr="00831CEC">
        <w:rPr>
          <w:rFonts w:ascii="Verdana" w:eastAsia="Malgun Gothic" w:hAnsi="Verdana" w:cs="Arial"/>
          <w:sz w:val="18"/>
          <w:szCs w:val="18"/>
        </w:rPr>
        <w:t>Compared to 2023, there is a decrease of</w:t>
      </w:r>
      <w:r>
        <w:rPr>
          <w:rFonts w:ascii="Verdana" w:eastAsia="Malgun Gothic" w:hAnsi="Verdana" w:cs="Arial"/>
          <w:sz w:val="18"/>
          <w:szCs w:val="18"/>
        </w:rPr>
        <w:t xml:space="preserve"> </w:t>
      </w:r>
      <w:r w:rsidR="00A92FDD">
        <w:rPr>
          <w:rFonts w:ascii="Verdana" w:eastAsia="Malgun Gothic" w:hAnsi="Verdana" w:cs="Arial"/>
          <w:sz w:val="18"/>
          <w:szCs w:val="18"/>
        </w:rPr>
        <w:t xml:space="preserve">2% in the </w:t>
      </w:r>
      <w:r w:rsidR="00A92FDD" w:rsidRPr="00A92FDD">
        <w:rPr>
          <w:rFonts w:ascii="Verdana" w:eastAsia="Malgun Gothic" w:hAnsi="Verdana" w:cs="Arial"/>
          <w:sz w:val="18"/>
          <w:szCs w:val="18"/>
        </w:rPr>
        <w:t xml:space="preserve">Real Estate Activities </w:t>
      </w:r>
      <w:r w:rsidR="00A92FDD">
        <w:rPr>
          <w:rFonts w:ascii="Verdana" w:eastAsia="Malgun Gothic" w:hAnsi="Verdana" w:cs="Arial"/>
          <w:sz w:val="18"/>
          <w:szCs w:val="18"/>
        </w:rPr>
        <w:t xml:space="preserve">sector and of 0,8% in the </w:t>
      </w:r>
      <w:r w:rsidR="00F9547E">
        <w:rPr>
          <w:rFonts w:ascii="Verdana" w:eastAsia="Malgun Gothic" w:hAnsi="Verdana" w:cs="Arial"/>
          <w:sz w:val="18"/>
          <w:szCs w:val="18"/>
        </w:rPr>
        <w:t xml:space="preserve">Mining and Quarrying </w:t>
      </w:r>
      <w:r w:rsidR="00A92FDD">
        <w:rPr>
          <w:rFonts w:ascii="Verdana" w:eastAsia="Malgun Gothic" w:hAnsi="Verdana" w:cs="Arial"/>
          <w:sz w:val="18"/>
          <w:szCs w:val="18"/>
        </w:rPr>
        <w:t xml:space="preserve">sector. </w:t>
      </w:r>
      <w:r w:rsidRPr="00831CEC">
        <w:rPr>
          <w:rFonts w:ascii="Verdana" w:eastAsia="Malgun Gothic" w:hAnsi="Verdana" w:cs="Arial"/>
          <w:sz w:val="18"/>
          <w:szCs w:val="18"/>
        </w:rPr>
        <w:t>It is noted that these sectors employ a small number of workers, which results in more pronounced fluctuations. This means that small changes in the composition of the workforce or other factors can have a greater impact on the results of these sectors.</w:t>
      </w:r>
      <w:r>
        <w:rPr>
          <w:rFonts w:ascii="Verdana" w:eastAsia="Malgun Gothic" w:hAnsi="Verdana" w:cs="Arial"/>
          <w:sz w:val="18"/>
          <w:szCs w:val="18"/>
        </w:rPr>
        <w:t xml:space="preserve"> </w:t>
      </w:r>
      <w:r w:rsidRPr="00831CEC">
        <w:rPr>
          <w:rFonts w:ascii="Verdana" w:eastAsia="Malgun Gothic" w:hAnsi="Verdana" w:cs="Arial"/>
          <w:sz w:val="18"/>
          <w:szCs w:val="18"/>
        </w:rPr>
        <w:t>In all other economic activity sector</w:t>
      </w:r>
      <w:r>
        <w:rPr>
          <w:rFonts w:ascii="Verdana" w:eastAsia="Malgun Gothic" w:hAnsi="Verdana" w:cs="Arial"/>
          <w:sz w:val="18"/>
          <w:szCs w:val="18"/>
        </w:rPr>
        <w:t>s</w:t>
      </w:r>
      <w:r w:rsidRPr="00831CEC">
        <w:rPr>
          <w:rFonts w:ascii="Verdana" w:eastAsia="Malgun Gothic" w:hAnsi="Verdana" w:cs="Arial"/>
          <w:sz w:val="18"/>
          <w:szCs w:val="18"/>
        </w:rPr>
        <w:t>, an increase is observed compared to the previous year, with the largest increase occurring in the</w:t>
      </w:r>
      <w:r w:rsidR="002047A6" w:rsidRPr="0011546C">
        <w:rPr>
          <w:rFonts w:ascii="Verdana" w:eastAsia="Malgun Gothic" w:hAnsi="Verdana" w:cs="Arial"/>
          <w:sz w:val="18"/>
          <w:szCs w:val="18"/>
        </w:rPr>
        <w:t xml:space="preserve"> Information and Communication sector (</w:t>
      </w:r>
      <w:r w:rsidR="00466E91">
        <w:rPr>
          <w:rFonts w:ascii="Verdana" w:eastAsia="Malgun Gothic" w:hAnsi="Verdana" w:cs="Arial"/>
          <w:sz w:val="18"/>
          <w:szCs w:val="18"/>
        </w:rPr>
        <w:t>8</w:t>
      </w:r>
      <w:r w:rsidR="002047A6" w:rsidRPr="0011546C">
        <w:rPr>
          <w:rFonts w:ascii="Verdana" w:eastAsia="Malgun Gothic" w:hAnsi="Verdana" w:cs="Arial"/>
          <w:sz w:val="18"/>
          <w:szCs w:val="18"/>
        </w:rPr>
        <w:t>,</w:t>
      </w:r>
      <w:r w:rsidR="00466E91">
        <w:rPr>
          <w:rFonts w:ascii="Verdana" w:eastAsia="Malgun Gothic" w:hAnsi="Verdana" w:cs="Arial"/>
          <w:sz w:val="18"/>
          <w:szCs w:val="18"/>
        </w:rPr>
        <w:t>1</w:t>
      </w:r>
      <w:r w:rsidR="002047A6" w:rsidRPr="0011546C">
        <w:rPr>
          <w:rFonts w:ascii="Verdana" w:eastAsia="Malgun Gothic" w:hAnsi="Verdana" w:cs="Arial"/>
          <w:sz w:val="18"/>
          <w:szCs w:val="18"/>
        </w:rPr>
        <w:t>%)</w:t>
      </w:r>
      <w:r>
        <w:rPr>
          <w:rFonts w:ascii="Verdana" w:eastAsia="Malgun Gothic" w:hAnsi="Verdana" w:cs="Arial"/>
          <w:sz w:val="18"/>
          <w:szCs w:val="18"/>
        </w:rPr>
        <w:t>, followed by the</w:t>
      </w:r>
      <w:r w:rsidR="00D23158">
        <w:rPr>
          <w:rFonts w:ascii="Verdana" w:eastAsia="Malgun Gothic" w:hAnsi="Verdana" w:cs="Arial"/>
          <w:sz w:val="18"/>
          <w:szCs w:val="18"/>
        </w:rPr>
        <w:t xml:space="preserve"> </w:t>
      </w:r>
      <w:r w:rsidR="00C820B2" w:rsidRPr="00C820B2">
        <w:rPr>
          <w:rFonts w:ascii="Verdana" w:eastAsia="Malgun Gothic" w:hAnsi="Verdana" w:cs="Arial"/>
          <w:sz w:val="18"/>
          <w:szCs w:val="18"/>
        </w:rPr>
        <w:t xml:space="preserve">Human Health and Social Work Activities </w:t>
      </w:r>
      <w:r>
        <w:rPr>
          <w:rFonts w:ascii="Verdana" w:eastAsia="Malgun Gothic" w:hAnsi="Verdana" w:cs="Arial"/>
          <w:sz w:val="18"/>
          <w:szCs w:val="18"/>
        </w:rPr>
        <w:t xml:space="preserve">sector </w:t>
      </w:r>
      <w:r w:rsidR="00C820B2" w:rsidRPr="00C820B2">
        <w:rPr>
          <w:rFonts w:ascii="Verdana" w:eastAsia="Malgun Gothic" w:hAnsi="Verdana" w:cs="Arial"/>
          <w:sz w:val="18"/>
          <w:szCs w:val="18"/>
        </w:rPr>
        <w:t xml:space="preserve">(7,6%) </w:t>
      </w:r>
      <w:r w:rsidR="00C820B2">
        <w:rPr>
          <w:rFonts w:ascii="Verdana" w:eastAsia="Malgun Gothic" w:hAnsi="Verdana" w:cs="Arial"/>
          <w:sz w:val="18"/>
          <w:szCs w:val="18"/>
        </w:rPr>
        <w:t xml:space="preserve">and </w:t>
      </w:r>
      <w:r>
        <w:rPr>
          <w:rFonts w:ascii="Verdana" w:eastAsia="Malgun Gothic" w:hAnsi="Verdana" w:cs="Arial"/>
          <w:sz w:val="18"/>
          <w:szCs w:val="18"/>
        </w:rPr>
        <w:t xml:space="preserve">the </w:t>
      </w:r>
      <w:r w:rsidR="00C820B2" w:rsidRPr="00C820B2">
        <w:rPr>
          <w:rFonts w:ascii="Verdana" w:eastAsia="Malgun Gothic" w:hAnsi="Verdana" w:cs="Arial"/>
          <w:sz w:val="18"/>
          <w:szCs w:val="18"/>
        </w:rPr>
        <w:t>Water Supply, Sewerage, Waste Management and Remediation Activities</w:t>
      </w:r>
      <w:r w:rsidR="00C820B2">
        <w:rPr>
          <w:rFonts w:ascii="Verdana" w:eastAsia="Malgun Gothic" w:hAnsi="Verdana" w:cs="Arial"/>
          <w:sz w:val="18"/>
          <w:szCs w:val="18"/>
        </w:rPr>
        <w:t xml:space="preserve"> </w:t>
      </w:r>
      <w:r>
        <w:rPr>
          <w:rFonts w:ascii="Verdana" w:eastAsia="Malgun Gothic" w:hAnsi="Verdana" w:cs="Arial"/>
          <w:sz w:val="18"/>
          <w:szCs w:val="18"/>
        </w:rPr>
        <w:t xml:space="preserve">sector </w:t>
      </w:r>
      <w:r w:rsidR="00C820B2">
        <w:rPr>
          <w:rFonts w:ascii="Verdana" w:eastAsia="Malgun Gothic" w:hAnsi="Verdana" w:cs="Arial"/>
          <w:sz w:val="18"/>
          <w:szCs w:val="18"/>
        </w:rPr>
        <w:t>(6,9%).</w:t>
      </w:r>
    </w:p>
    <w:p w14:paraId="774510D5" w14:textId="77777777" w:rsidR="00E46F6C" w:rsidRPr="00C65CC4" w:rsidRDefault="00E46F6C" w:rsidP="002047A6">
      <w:pPr>
        <w:tabs>
          <w:tab w:val="left" w:pos="1080"/>
          <w:tab w:val="left" w:pos="6840"/>
        </w:tabs>
        <w:jc w:val="both"/>
        <w:rPr>
          <w:rFonts w:ascii="Verdana" w:eastAsia="Malgun Gothic" w:hAnsi="Verdana" w:cs="Arial"/>
          <w:sz w:val="18"/>
          <w:szCs w:val="18"/>
        </w:rPr>
      </w:pPr>
    </w:p>
    <w:p w14:paraId="38B065AC" w14:textId="3ECD5188" w:rsidR="00E46F6C" w:rsidRDefault="00E46F6C"/>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737"/>
        <w:gridCol w:w="1206"/>
        <w:gridCol w:w="583"/>
        <w:gridCol w:w="1031"/>
        <w:gridCol w:w="534"/>
      </w:tblGrid>
      <w:tr w:rsidR="00650FFD" w:rsidRPr="00650FFD" w14:paraId="53CF35DD" w14:textId="77777777" w:rsidTr="00650FFD">
        <w:trPr>
          <w:trHeight w:val="317"/>
          <w:jc w:val="center"/>
        </w:trPr>
        <w:tc>
          <w:tcPr>
            <w:tcW w:w="1548" w:type="dxa"/>
            <w:tcBorders>
              <w:top w:val="nil"/>
              <w:left w:val="nil"/>
              <w:bottom w:val="single" w:sz="4" w:space="0" w:color="366092"/>
              <w:right w:val="nil"/>
            </w:tcBorders>
            <w:vAlign w:val="center"/>
          </w:tcPr>
          <w:p w14:paraId="52E7FBFB" w14:textId="2FA3C459" w:rsidR="002047A6" w:rsidRPr="00650FFD" w:rsidRDefault="002047A6" w:rsidP="00D43A1E">
            <w:pPr>
              <w:rPr>
                <w:rFonts w:ascii="Verdana" w:eastAsia="Malgun Gothic" w:hAnsi="Verdana" w:cs="Arial"/>
                <w:b/>
                <w:color w:val="366092"/>
                <w:sz w:val="18"/>
                <w:szCs w:val="18"/>
                <w:lang w:val="el-GR"/>
              </w:rPr>
            </w:pPr>
            <w:r w:rsidRPr="00650FFD">
              <w:rPr>
                <w:rFonts w:ascii="Verdana" w:eastAsia="Malgun Gothic" w:hAnsi="Verdana" w:cs="Arial"/>
                <w:b/>
                <w:color w:val="366092"/>
                <w:sz w:val="18"/>
                <w:szCs w:val="18"/>
              </w:rPr>
              <w:t>Table</w:t>
            </w:r>
            <w:r w:rsidRPr="00650FFD">
              <w:rPr>
                <w:rFonts w:ascii="Verdana" w:eastAsia="Malgun Gothic" w:hAnsi="Verdana" w:cs="Arial"/>
                <w:b/>
                <w:color w:val="366092"/>
                <w:sz w:val="18"/>
                <w:szCs w:val="18"/>
                <w:lang w:val="el-GR"/>
              </w:rPr>
              <w:t xml:space="preserve"> 1</w:t>
            </w:r>
          </w:p>
        </w:tc>
        <w:tc>
          <w:tcPr>
            <w:tcW w:w="4737" w:type="dxa"/>
            <w:tcBorders>
              <w:top w:val="nil"/>
              <w:left w:val="nil"/>
              <w:bottom w:val="single" w:sz="4" w:space="0" w:color="366092"/>
              <w:right w:val="nil"/>
            </w:tcBorders>
            <w:vAlign w:val="center"/>
          </w:tcPr>
          <w:p w14:paraId="28BAA49A" w14:textId="77777777" w:rsidR="002047A6" w:rsidRPr="00650FFD" w:rsidRDefault="002047A6" w:rsidP="00D43A1E">
            <w:pPr>
              <w:rPr>
                <w:rFonts w:ascii="Verdana" w:eastAsia="Malgun Gothic" w:hAnsi="Verdana" w:cs="Arial"/>
                <w:color w:val="366092"/>
                <w:sz w:val="18"/>
                <w:szCs w:val="18"/>
                <w:lang w:val="el-GR"/>
              </w:rPr>
            </w:pPr>
          </w:p>
        </w:tc>
        <w:tc>
          <w:tcPr>
            <w:tcW w:w="1789" w:type="dxa"/>
            <w:gridSpan w:val="2"/>
            <w:tcBorders>
              <w:top w:val="nil"/>
              <w:left w:val="nil"/>
              <w:bottom w:val="single" w:sz="4" w:space="0" w:color="366092"/>
              <w:right w:val="nil"/>
            </w:tcBorders>
            <w:vAlign w:val="center"/>
          </w:tcPr>
          <w:p w14:paraId="1B496850" w14:textId="77777777" w:rsidR="002047A6" w:rsidRPr="00650FFD" w:rsidRDefault="002047A6" w:rsidP="00D43A1E">
            <w:pPr>
              <w:jc w:val="center"/>
              <w:rPr>
                <w:rFonts w:ascii="Verdana" w:hAnsi="Verdana" w:cs="Arial"/>
                <w:color w:val="366092"/>
                <w:sz w:val="18"/>
                <w:szCs w:val="18"/>
              </w:rPr>
            </w:pPr>
          </w:p>
        </w:tc>
        <w:tc>
          <w:tcPr>
            <w:tcW w:w="1565" w:type="dxa"/>
            <w:gridSpan w:val="2"/>
            <w:tcBorders>
              <w:top w:val="nil"/>
              <w:left w:val="nil"/>
              <w:bottom w:val="single" w:sz="4" w:space="0" w:color="366092"/>
              <w:right w:val="nil"/>
            </w:tcBorders>
          </w:tcPr>
          <w:p w14:paraId="6A3379A9" w14:textId="77777777" w:rsidR="002047A6" w:rsidRPr="00650FFD" w:rsidRDefault="002047A6" w:rsidP="00D43A1E">
            <w:pPr>
              <w:jc w:val="center"/>
              <w:rPr>
                <w:rFonts w:ascii="Verdana" w:hAnsi="Verdana" w:cs="Arial"/>
                <w:color w:val="366092"/>
                <w:sz w:val="18"/>
                <w:szCs w:val="18"/>
              </w:rPr>
            </w:pPr>
          </w:p>
        </w:tc>
      </w:tr>
      <w:tr w:rsidR="00650FFD" w:rsidRPr="00650FFD" w14:paraId="2AB3300A" w14:textId="77777777" w:rsidTr="00650FFD">
        <w:trPr>
          <w:trHeight w:val="533"/>
          <w:jc w:val="center"/>
        </w:trPr>
        <w:tc>
          <w:tcPr>
            <w:tcW w:w="1548" w:type="dxa"/>
            <w:tcBorders>
              <w:top w:val="single" w:sz="4" w:space="0" w:color="366092"/>
              <w:left w:val="nil"/>
              <w:bottom w:val="single" w:sz="4" w:space="0" w:color="366092"/>
              <w:right w:val="nil"/>
            </w:tcBorders>
            <w:vAlign w:val="center"/>
          </w:tcPr>
          <w:p w14:paraId="4F524796" w14:textId="77777777" w:rsidR="002047A6" w:rsidRPr="00650FFD" w:rsidRDefault="002047A6" w:rsidP="00D43A1E">
            <w:pPr>
              <w:jc w:val="center"/>
              <w:rPr>
                <w:rFonts w:ascii="Verdana" w:eastAsia="Malgun Gothic" w:hAnsi="Verdana" w:cs="Arial"/>
                <w:color w:val="366092"/>
                <w:sz w:val="18"/>
                <w:szCs w:val="18"/>
                <w:lang w:val="el-GR"/>
              </w:rPr>
            </w:pPr>
            <w:r w:rsidRPr="00650FFD">
              <w:rPr>
                <w:rFonts w:ascii="Verdana" w:eastAsia="Malgun Gothic" w:hAnsi="Verdana" w:cs="Arial"/>
                <w:b/>
                <w:color w:val="366092"/>
                <w:sz w:val="18"/>
                <w:szCs w:val="18"/>
              </w:rPr>
              <w:t>Nace</w:t>
            </w:r>
            <w:r w:rsidRPr="00650FFD">
              <w:rPr>
                <w:rFonts w:ascii="Verdana" w:eastAsia="Malgun Gothic" w:hAnsi="Verdana" w:cs="Arial"/>
                <w:b/>
                <w:color w:val="366092"/>
                <w:sz w:val="18"/>
                <w:szCs w:val="18"/>
                <w:lang w:val="el-GR"/>
              </w:rPr>
              <w:t xml:space="preserve"> </w:t>
            </w:r>
            <w:r w:rsidRPr="00650FFD">
              <w:rPr>
                <w:rFonts w:ascii="Verdana" w:eastAsia="Malgun Gothic" w:hAnsi="Verdana" w:cs="Arial"/>
                <w:b/>
                <w:color w:val="366092"/>
                <w:sz w:val="18"/>
                <w:szCs w:val="18"/>
              </w:rPr>
              <w:t>Rev</w:t>
            </w:r>
            <w:r w:rsidRPr="00650FFD">
              <w:rPr>
                <w:rFonts w:ascii="Verdana" w:eastAsia="Malgun Gothic" w:hAnsi="Verdana" w:cs="Arial"/>
                <w:b/>
                <w:color w:val="366092"/>
                <w:sz w:val="18"/>
                <w:szCs w:val="18"/>
                <w:lang w:val="el-GR"/>
              </w:rPr>
              <w:t>.2</w:t>
            </w:r>
          </w:p>
        </w:tc>
        <w:tc>
          <w:tcPr>
            <w:tcW w:w="4737" w:type="dxa"/>
            <w:tcBorders>
              <w:top w:val="single" w:sz="4" w:space="0" w:color="366092"/>
              <w:left w:val="nil"/>
              <w:bottom w:val="single" w:sz="4" w:space="0" w:color="366092"/>
              <w:right w:val="nil"/>
            </w:tcBorders>
            <w:vAlign w:val="center"/>
          </w:tcPr>
          <w:p w14:paraId="22911957" w14:textId="77777777" w:rsidR="002047A6" w:rsidRPr="00650FFD" w:rsidRDefault="002047A6" w:rsidP="00D43A1E">
            <w:pPr>
              <w:jc w:val="center"/>
              <w:rPr>
                <w:rFonts w:ascii="Verdana" w:eastAsia="Malgun Gothic" w:hAnsi="Verdana" w:cs="Arial"/>
                <w:color w:val="366092"/>
                <w:sz w:val="18"/>
                <w:szCs w:val="18"/>
                <w:lang w:val="el-GR"/>
              </w:rPr>
            </w:pPr>
            <w:r w:rsidRPr="00650FFD">
              <w:rPr>
                <w:rFonts w:ascii="Verdana" w:eastAsia="Malgun Gothic" w:hAnsi="Verdana" w:cs="Arial"/>
                <w:b/>
                <w:color w:val="366092"/>
                <w:sz w:val="18"/>
                <w:szCs w:val="18"/>
                <w:lang w:val="el-GR"/>
              </w:rPr>
              <w:t xml:space="preserve">Economic </w:t>
            </w:r>
            <w:proofErr w:type="spellStart"/>
            <w:r w:rsidRPr="00650FFD">
              <w:rPr>
                <w:rFonts w:ascii="Verdana" w:eastAsia="Malgun Gothic" w:hAnsi="Verdana" w:cs="Arial"/>
                <w:b/>
                <w:color w:val="366092"/>
                <w:sz w:val="18"/>
                <w:szCs w:val="18"/>
                <w:lang w:val="el-GR"/>
              </w:rPr>
              <w:t>Activity</w:t>
            </w:r>
            <w:proofErr w:type="spellEnd"/>
          </w:p>
        </w:tc>
        <w:tc>
          <w:tcPr>
            <w:tcW w:w="1789" w:type="dxa"/>
            <w:gridSpan w:val="2"/>
            <w:tcBorders>
              <w:top w:val="single" w:sz="4" w:space="0" w:color="366092"/>
              <w:left w:val="nil"/>
              <w:bottom w:val="single" w:sz="4" w:space="0" w:color="366092"/>
              <w:right w:val="nil"/>
            </w:tcBorders>
            <w:vAlign w:val="center"/>
          </w:tcPr>
          <w:p w14:paraId="3385DBE6" w14:textId="77777777" w:rsidR="002047A6" w:rsidRPr="00650FFD" w:rsidRDefault="002047A6" w:rsidP="00D43A1E">
            <w:pPr>
              <w:jc w:val="center"/>
              <w:rPr>
                <w:rFonts w:ascii="Verdana" w:hAnsi="Verdana" w:cs="Arial"/>
                <w:b/>
                <w:color w:val="366092"/>
                <w:sz w:val="18"/>
                <w:szCs w:val="18"/>
                <w:lang w:val="el-GR"/>
              </w:rPr>
            </w:pPr>
            <w:r w:rsidRPr="00650FFD">
              <w:rPr>
                <w:rFonts w:ascii="Verdana" w:eastAsia="Malgun Gothic" w:hAnsi="Verdana" w:cs="Arial"/>
                <w:b/>
                <w:color w:val="366092"/>
                <w:sz w:val="18"/>
                <w:szCs w:val="18"/>
              </w:rPr>
              <w:t>Average Monthly Earnings</w:t>
            </w:r>
            <w:r w:rsidRPr="00650FFD">
              <w:rPr>
                <w:rFonts w:ascii="Verdana" w:eastAsia="Malgun Gothic" w:hAnsi="Verdana" w:cs="Arial"/>
                <w:b/>
                <w:color w:val="366092"/>
                <w:sz w:val="18"/>
                <w:szCs w:val="18"/>
                <w:lang w:val="el-GR"/>
              </w:rPr>
              <w:t xml:space="preserve"> (€)</w:t>
            </w:r>
          </w:p>
        </w:tc>
        <w:tc>
          <w:tcPr>
            <w:tcW w:w="1565" w:type="dxa"/>
            <w:gridSpan w:val="2"/>
            <w:tcBorders>
              <w:top w:val="single" w:sz="4" w:space="0" w:color="366092"/>
              <w:left w:val="nil"/>
              <w:bottom w:val="single" w:sz="4" w:space="0" w:color="366092"/>
              <w:right w:val="nil"/>
            </w:tcBorders>
            <w:vAlign w:val="center"/>
          </w:tcPr>
          <w:p w14:paraId="3151D05C" w14:textId="77777777" w:rsidR="002047A6" w:rsidRPr="00650FFD" w:rsidRDefault="002047A6" w:rsidP="00D43A1E">
            <w:pPr>
              <w:jc w:val="center"/>
              <w:rPr>
                <w:rFonts w:ascii="Verdana" w:eastAsia="Malgun Gothic" w:hAnsi="Verdana" w:cs="Arial"/>
                <w:b/>
                <w:color w:val="366092"/>
                <w:sz w:val="18"/>
                <w:szCs w:val="18"/>
              </w:rPr>
            </w:pPr>
            <w:r w:rsidRPr="00650FFD">
              <w:rPr>
                <w:rFonts w:ascii="Verdana" w:eastAsia="Malgun Gothic" w:hAnsi="Verdana" w:cs="Arial"/>
                <w:b/>
                <w:color w:val="366092"/>
                <w:sz w:val="18"/>
                <w:szCs w:val="18"/>
              </w:rPr>
              <w:t>Annual Change</w:t>
            </w:r>
            <w:r w:rsidRPr="00650FFD">
              <w:rPr>
                <w:rFonts w:ascii="Verdana" w:eastAsia="Malgun Gothic" w:hAnsi="Verdana" w:cs="Arial"/>
                <w:b/>
                <w:color w:val="366092"/>
                <w:sz w:val="18"/>
                <w:szCs w:val="18"/>
                <w:lang w:val="el-GR"/>
              </w:rPr>
              <w:t xml:space="preserve"> (</w:t>
            </w:r>
            <w:r w:rsidRPr="00650FFD">
              <w:rPr>
                <w:rFonts w:ascii="Verdana" w:eastAsia="Malgun Gothic" w:hAnsi="Verdana" w:cs="Arial"/>
                <w:b/>
                <w:color w:val="366092"/>
                <w:sz w:val="18"/>
                <w:szCs w:val="18"/>
              </w:rPr>
              <w:t>%</w:t>
            </w:r>
            <w:r w:rsidRPr="00650FFD">
              <w:rPr>
                <w:rFonts w:ascii="Verdana" w:eastAsia="Malgun Gothic" w:hAnsi="Verdana" w:cs="Arial"/>
                <w:b/>
                <w:color w:val="366092"/>
                <w:sz w:val="18"/>
                <w:szCs w:val="18"/>
                <w:lang w:val="el-GR"/>
              </w:rPr>
              <w:t>)</w:t>
            </w:r>
          </w:p>
        </w:tc>
      </w:tr>
      <w:tr w:rsidR="00650FFD" w:rsidRPr="00650FFD" w14:paraId="3044610F" w14:textId="77777777" w:rsidTr="00650FFD">
        <w:trPr>
          <w:trHeight w:val="374"/>
          <w:jc w:val="center"/>
        </w:trPr>
        <w:tc>
          <w:tcPr>
            <w:tcW w:w="1548" w:type="dxa"/>
            <w:tcBorders>
              <w:top w:val="single" w:sz="4" w:space="0" w:color="366092"/>
              <w:left w:val="nil"/>
              <w:bottom w:val="nil"/>
              <w:right w:val="nil"/>
            </w:tcBorders>
            <w:vAlign w:val="center"/>
          </w:tcPr>
          <w:p w14:paraId="3746C893" w14:textId="77777777" w:rsidR="00C820B2" w:rsidRPr="00650FFD" w:rsidRDefault="00C820B2" w:rsidP="00C820B2">
            <w:pPr>
              <w:jc w:val="center"/>
              <w:rPr>
                <w:rFonts w:ascii="Verdana" w:eastAsia="Malgun Gothic" w:hAnsi="Verdana" w:cs="Arial"/>
                <w:color w:val="366092"/>
                <w:sz w:val="18"/>
                <w:szCs w:val="18"/>
                <w:lang w:val="el-GR"/>
              </w:rPr>
            </w:pPr>
            <w:r w:rsidRPr="00650FFD">
              <w:rPr>
                <w:rFonts w:ascii="Verdana" w:eastAsia="Malgun Gothic" w:hAnsi="Verdana" w:cs="Arial"/>
                <w:color w:val="366092"/>
                <w:sz w:val="18"/>
                <w:szCs w:val="18"/>
                <w:lang w:val="el-GR"/>
              </w:rPr>
              <w:t>Α</w:t>
            </w:r>
          </w:p>
        </w:tc>
        <w:tc>
          <w:tcPr>
            <w:tcW w:w="4737" w:type="dxa"/>
            <w:tcBorders>
              <w:top w:val="single" w:sz="4" w:space="0" w:color="366092"/>
              <w:left w:val="nil"/>
              <w:bottom w:val="nil"/>
              <w:right w:val="nil"/>
            </w:tcBorders>
            <w:vAlign w:val="center"/>
          </w:tcPr>
          <w:p w14:paraId="31897A2F" w14:textId="77777777" w:rsidR="00C820B2" w:rsidRPr="00650FFD" w:rsidRDefault="00C820B2" w:rsidP="00C820B2">
            <w:pPr>
              <w:rPr>
                <w:rFonts w:ascii="Verdana" w:eastAsia="Malgun Gothic" w:hAnsi="Verdana" w:cs="Arial"/>
                <w:color w:val="366092"/>
                <w:sz w:val="18"/>
                <w:szCs w:val="18"/>
                <w:lang w:val="el-GR"/>
              </w:rPr>
            </w:pPr>
            <w:bookmarkStart w:id="2" w:name="_Hlk210735874"/>
            <w:r w:rsidRPr="00650FFD">
              <w:rPr>
                <w:rFonts w:ascii="Verdana" w:eastAsia="Malgun Gothic" w:hAnsi="Verdana" w:cs="Arial"/>
                <w:color w:val="366092"/>
                <w:sz w:val="18"/>
                <w:szCs w:val="18"/>
                <w:lang w:val="el-GR"/>
              </w:rPr>
              <w:t>A</w:t>
            </w:r>
            <w:proofErr w:type="spellStart"/>
            <w:r w:rsidRPr="00650FFD">
              <w:rPr>
                <w:rFonts w:ascii="Verdana" w:eastAsia="Malgun Gothic" w:hAnsi="Verdana" w:cs="Arial"/>
                <w:color w:val="366092"/>
                <w:sz w:val="18"/>
                <w:szCs w:val="18"/>
              </w:rPr>
              <w:t>griculture</w:t>
            </w:r>
            <w:proofErr w:type="spellEnd"/>
            <w:r w:rsidRPr="00650FFD">
              <w:rPr>
                <w:rFonts w:ascii="Verdana" w:eastAsia="Malgun Gothic" w:hAnsi="Verdana" w:cs="Arial"/>
                <w:color w:val="366092"/>
                <w:sz w:val="18"/>
                <w:szCs w:val="18"/>
                <w:lang w:val="el-GR"/>
              </w:rPr>
              <w:t>, F</w:t>
            </w:r>
            <w:proofErr w:type="spellStart"/>
            <w:r w:rsidRPr="00650FFD">
              <w:rPr>
                <w:rFonts w:ascii="Verdana" w:eastAsia="Malgun Gothic" w:hAnsi="Verdana" w:cs="Arial"/>
                <w:color w:val="366092"/>
                <w:sz w:val="18"/>
                <w:szCs w:val="18"/>
              </w:rPr>
              <w:t>orestry</w:t>
            </w:r>
            <w:proofErr w:type="spellEnd"/>
            <w:r w:rsidRPr="00650FFD">
              <w:rPr>
                <w:rFonts w:ascii="Verdana" w:eastAsia="Malgun Gothic" w:hAnsi="Verdana" w:cs="Arial"/>
                <w:color w:val="366092"/>
                <w:sz w:val="18"/>
                <w:szCs w:val="18"/>
                <w:lang w:val="el-GR"/>
              </w:rPr>
              <w:t xml:space="preserve"> </w:t>
            </w:r>
            <w:r w:rsidRPr="00650FFD">
              <w:rPr>
                <w:rFonts w:ascii="Verdana" w:eastAsia="Malgun Gothic" w:hAnsi="Verdana" w:cs="Arial"/>
                <w:color w:val="366092"/>
                <w:sz w:val="18"/>
                <w:szCs w:val="18"/>
              </w:rPr>
              <w:t>and</w:t>
            </w:r>
            <w:r w:rsidRPr="00650FFD">
              <w:rPr>
                <w:rFonts w:ascii="Verdana" w:eastAsia="Malgun Gothic" w:hAnsi="Verdana" w:cs="Arial"/>
                <w:color w:val="366092"/>
                <w:sz w:val="18"/>
                <w:szCs w:val="18"/>
                <w:lang w:val="el-GR"/>
              </w:rPr>
              <w:t xml:space="preserve"> F</w:t>
            </w:r>
            <w:proofErr w:type="spellStart"/>
            <w:r w:rsidRPr="00650FFD">
              <w:rPr>
                <w:rFonts w:ascii="Verdana" w:eastAsia="Malgun Gothic" w:hAnsi="Verdana" w:cs="Arial"/>
                <w:color w:val="366092"/>
                <w:sz w:val="18"/>
                <w:szCs w:val="18"/>
              </w:rPr>
              <w:t>ishing</w:t>
            </w:r>
            <w:bookmarkEnd w:id="2"/>
            <w:proofErr w:type="spellEnd"/>
          </w:p>
        </w:tc>
        <w:tc>
          <w:tcPr>
            <w:tcW w:w="1789" w:type="dxa"/>
            <w:gridSpan w:val="2"/>
            <w:tcBorders>
              <w:top w:val="single" w:sz="4" w:space="0" w:color="366092"/>
              <w:left w:val="nil"/>
              <w:bottom w:val="nil"/>
              <w:right w:val="nil"/>
            </w:tcBorders>
            <w:vAlign w:val="center"/>
          </w:tcPr>
          <w:p w14:paraId="02211B32" w14:textId="2CFA720E"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941</w:t>
            </w:r>
          </w:p>
        </w:tc>
        <w:tc>
          <w:tcPr>
            <w:tcW w:w="1565" w:type="dxa"/>
            <w:gridSpan w:val="2"/>
            <w:tcBorders>
              <w:top w:val="single" w:sz="4" w:space="0" w:color="366092"/>
              <w:left w:val="nil"/>
              <w:bottom w:val="nil"/>
              <w:right w:val="nil"/>
            </w:tcBorders>
            <w:vAlign w:val="center"/>
          </w:tcPr>
          <w:p w14:paraId="4B1CF088" w14:textId="69B44029"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1,8</w:t>
            </w:r>
          </w:p>
        </w:tc>
      </w:tr>
      <w:tr w:rsidR="00650FFD" w:rsidRPr="00650FFD" w14:paraId="2BD91D35" w14:textId="77777777" w:rsidTr="00D43A1E">
        <w:trPr>
          <w:trHeight w:val="374"/>
          <w:jc w:val="center"/>
        </w:trPr>
        <w:tc>
          <w:tcPr>
            <w:tcW w:w="1548" w:type="dxa"/>
            <w:tcBorders>
              <w:top w:val="nil"/>
              <w:left w:val="nil"/>
              <w:bottom w:val="nil"/>
              <w:right w:val="nil"/>
            </w:tcBorders>
            <w:vAlign w:val="center"/>
          </w:tcPr>
          <w:p w14:paraId="4A4C4A26"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B</w:t>
            </w:r>
          </w:p>
        </w:tc>
        <w:tc>
          <w:tcPr>
            <w:tcW w:w="4737" w:type="dxa"/>
            <w:tcBorders>
              <w:top w:val="nil"/>
              <w:left w:val="nil"/>
              <w:bottom w:val="nil"/>
              <w:right w:val="nil"/>
            </w:tcBorders>
            <w:vAlign w:val="center"/>
          </w:tcPr>
          <w:p w14:paraId="6BC57B81" w14:textId="77777777" w:rsidR="00C820B2" w:rsidRPr="00650FFD" w:rsidRDefault="00C820B2" w:rsidP="00C820B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Mining and Quarrying</w:t>
            </w:r>
          </w:p>
        </w:tc>
        <w:tc>
          <w:tcPr>
            <w:tcW w:w="1789" w:type="dxa"/>
            <w:gridSpan w:val="2"/>
            <w:tcBorders>
              <w:top w:val="nil"/>
              <w:left w:val="nil"/>
              <w:bottom w:val="nil"/>
              <w:right w:val="nil"/>
            </w:tcBorders>
            <w:vAlign w:val="center"/>
          </w:tcPr>
          <w:p w14:paraId="121FECB1" w14:textId="15DF9495"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3.310</w:t>
            </w:r>
          </w:p>
        </w:tc>
        <w:tc>
          <w:tcPr>
            <w:tcW w:w="1565" w:type="dxa"/>
            <w:gridSpan w:val="2"/>
            <w:tcBorders>
              <w:top w:val="nil"/>
              <w:left w:val="nil"/>
              <w:bottom w:val="nil"/>
              <w:right w:val="nil"/>
            </w:tcBorders>
            <w:vAlign w:val="center"/>
          </w:tcPr>
          <w:p w14:paraId="6DC7FA45" w14:textId="53E49D66"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-0,8</w:t>
            </w:r>
          </w:p>
        </w:tc>
      </w:tr>
      <w:tr w:rsidR="00650FFD" w:rsidRPr="00650FFD" w14:paraId="068D70B0" w14:textId="77777777" w:rsidTr="00D43A1E">
        <w:trPr>
          <w:trHeight w:val="374"/>
          <w:jc w:val="center"/>
        </w:trPr>
        <w:tc>
          <w:tcPr>
            <w:tcW w:w="1548" w:type="dxa"/>
            <w:tcBorders>
              <w:top w:val="nil"/>
              <w:left w:val="nil"/>
              <w:bottom w:val="nil"/>
              <w:right w:val="nil"/>
            </w:tcBorders>
            <w:vAlign w:val="center"/>
          </w:tcPr>
          <w:p w14:paraId="434242B6"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C</w:t>
            </w:r>
          </w:p>
        </w:tc>
        <w:tc>
          <w:tcPr>
            <w:tcW w:w="4737" w:type="dxa"/>
            <w:tcBorders>
              <w:top w:val="nil"/>
              <w:left w:val="nil"/>
              <w:bottom w:val="nil"/>
              <w:right w:val="nil"/>
            </w:tcBorders>
            <w:vAlign w:val="center"/>
          </w:tcPr>
          <w:p w14:paraId="60060C64" w14:textId="77777777" w:rsidR="00C820B2" w:rsidRPr="00650FFD" w:rsidRDefault="00C820B2" w:rsidP="00C820B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Manufacturing</w:t>
            </w:r>
          </w:p>
        </w:tc>
        <w:tc>
          <w:tcPr>
            <w:tcW w:w="1789" w:type="dxa"/>
            <w:gridSpan w:val="2"/>
            <w:tcBorders>
              <w:top w:val="nil"/>
              <w:left w:val="nil"/>
              <w:bottom w:val="nil"/>
              <w:right w:val="nil"/>
            </w:tcBorders>
            <w:vAlign w:val="center"/>
          </w:tcPr>
          <w:p w14:paraId="63165515" w14:textId="6EEF32EA"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1.870</w:t>
            </w:r>
          </w:p>
        </w:tc>
        <w:tc>
          <w:tcPr>
            <w:tcW w:w="1565" w:type="dxa"/>
            <w:gridSpan w:val="2"/>
            <w:tcBorders>
              <w:top w:val="nil"/>
              <w:left w:val="nil"/>
              <w:bottom w:val="nil"/>
              <w:right w:val="nil"/>
            </w:tcBorders>
            <w:vAlign w:val="center"/>
          </w:tcPr>
          <w:p w14:paraId="6ACAF106" w14:textId="1DC0B8AE"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5,2</w:t>
            </w:r>
          </w:p>
        </w:tc>
      </w:tr>
      <w:tr w:rsidR="00650FFD" w:rsidRPr="00650FFD" w14:paraId="52740140" w14:textId="77777777" w:rsidTr="00D43A1E">
        <w:trPr>
          <w:trHeight w:val="374"/>
          <w:jc w:val="center"/>
        </w:trPr>
        <w:tc>
          <w:tcPr>
            <w:tcW w:w="1548" w:type="dxa"/>
            <w:tcBorders>
              <w:top w:val="nil"/>
              <w:left w:val="nil"/>
              <w:bottom w:val="nil"/>
              <w:right w:val="nil"/>
            </w:tcBorders>
            <w:vAlign w:val="center"/>
          </w:tcPr>
          <w:p w14:paraId="7B28CD00"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D</w:t>
            </w:r>
          </w:p>
        </w:tc>
        <w:tc>
          <w:tcPr>
            <w:tcW w:w="4737" w:type="dxa"/>
            <w:tcBorders>
              <w:top w:val="nil"/>
              <w:left w:val="nil"/>
              <w:bottom w:val="nil"/>
              <w:right w:val="nil"/>
            </w:tcBorders>
            <w:vAlign w:val="center"/>
          </w:tcPr>
          <w:p w14:paraId="674D7AA0" w14:textId="77777777" w:rsidR="00C820B2" w:rsidRPr="00650FFD" w:rsidRDefault="00C820B2" w:rsidP="00C820B2">
            <w:pPr>
              <w:rPr>
                <w:rFonts w:ascii="Verdana" w:eastAsia="Malgun Gothic" w:hAnsi="Verdana" w:cs="Arial"/>
                <w:color w:val="366092"/>
                <w:sz w:val="18"/>
                <w:szCs w:val="18"/>
              </w:rPr>
            </w:pPr>
            <w:r w:rsidRPr="00650FFD">
              <w:rPr>
                <w:rFonts w:ascii="Verdana" w:eastAsia="Malgun Gothic" w:hAnsi="Verdana" w:cs="Arial"/>
                <w:color w:val="366092"/>
                <w:sz w:val="18"/>
                <w:szCs w:val="18"/>
              </w:rPr>
              <w:t>Electricity, Gas, Steam and Air Conditioning Supply</w:t>
            </w:r>
          </w:p>
        </w:tc>
        <w:tc>
          <w:tcPr>
            <w:tcW w:w="1789" w:type="dxa"/>
            <w:gridSpan w:val="2"/>
            <w:tcBorders>
              <w:top w:val="nil"/>
              <w:left w:val="nil"/>
              <w:bottom w:val="nil"/>
              <w:right w:val="nil"/>
            </w:tcBorders>
            <w:vAlign w:val="center"/>
          </w:tcPr>
          <w:p w14:paraId="22662F42" w14:textId="2792A30C"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3.544</w:t>
            </w:r>
          </w:p>
        </w:tc>
        <w:tc>
          <w:tcPr>
            <w:tcW w:w="1565" w:type="dxa"/>
            <w:gridSpan w:val="2"/>
            <w:tcBorders>
              <w:top w:val="nil"/>
              <w:left w:val="nil"/>
              <w:bottom w:val="nil"/>
              <w:right w:val="nil"/>
            </w:tcBorders>
            <w:vAlign w:val="center"/>
          </w:tcPr>
          <w:p w14:paraId="452FB65E" w14:textId="0CFCA548"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4,5</w:t>
            </w:r>
          </w:p>
        </w:tc>
      </w:tr>
      <w:tr w:rsidR="00650FFD" w:rsidRPr="00650FFD" w14:paraId="18204623" w14:textId="77777777" w:rsidTr="00D43A1E">
        <w:trPr>
          <w:trHeight w:val="562"/>
          <w:jc w:val="center"/>
        </w:trPr>
        <w:tc>
          <w:tcPr>
            <w:tcW w:w="1548" w:type="dxa"/>
            <w:tcBorders>
              <w:top w:val="nil"/>
              <w:left w:val="nil"/>
              <w:bottom w:val="nil"/>
              <w:right w:val="nil"/>
            </w:tcBorders>
            <w:vAlign w:val="center"/>
          </w:tcPr>
          <w:p w14:paraId="4760CA91"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E</w:t>
            </w:r>
          </w:p>
        </w:tc>
        <w:tc>
          <w:tcPr>
            <w:tcW w:w="4737" w:type="dxa"/>
            <w:tcBorders>
              <w:top w:val="nil"/>
              <w:left w:val="nil"/>
              <w:bottom w:val="nil"/>
              <w:right w:val="nil"/>
            </w:tcBorders>
            <w:vAlign w:val="center"/>
          </w:tcPr>
          <w:p w14:paraId="6748001B" w14:textId="77777777" w:rsidR="00C820B2" w:rsidRPr="00650FFD" w:rsidRDefault="00C820B2" w:rsidP="00C820B2">
            <w:pPr>
              <w:rPr>
                <w:rFonts w:ascii="Verdana" w:eastAsia="Malgun Gothic" w:hAnsi="Verdana" w:cs="Arial"/>
                <w:color w:val="366092"/>
                <w:sz w:val="18"/>
                <w:szCs w:val="18"/>
              </w:rPr>
            </w:pPr>
            <w:bookmarkStart w:id="3" w:name="_Hlk210737703"/>
            <w:r w:rsidRPr="00650FFD">
              <w:rPr>
                <w:rFonts w:ascii="Verdana" w:eastAsia="Malgun Gothic" w:hAnsi="Verdana" w:cs="Arial"/>
                <w:color w:val="366092"/>
                <w:sz w:val="18"/>
                <w:szCs w:val="18"/>
              </w:rPr>
              <w:t>Water Supply, Sewerage, Waste Management and Remediation Activities</w:t>
            </w:r>
            <w:bookmarkEnd w:id="3"/>
          </w:p>
        </w:tc>
        <w:tc>
          <w:tcPr>
            <w:tcW w:w="1789" w:type="dxa"/>
            <w:gridSpan w:val="2"/>
            <w:tcBorders>
              <w:top w:val="nil"/>
              <w:left w:val="nil"/>
              <w:bottom w:val="nil"/>
              <w:right w:val="nil"/>
            </w:tcBorders>
            <w:vAlign w:val="center"/>
          </w:tcPr>
          <w:p w14:paraId="5038E712" w14:textId="42A0AC11"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2.215</w:t>
            </w:r>
          </w:p>
        </w:tc>
        <w:tc>
          <w:tcPr>
            <w:tcW w:w="1565" w:type="dxa"/>
            <w:gridSpan w:val="2"/>
            <w:tcBorders>
              <w:top w:val="nil"/>
              <w:left w:val="nil"/>
              <w:bottom w:val="nil"/>
              <w:right w:val="nil"/>
            </w:tcBorders>
            <w:vAlign w:val="center"/>
          </w:tcPr>
          <w:p w14:paraId="32058085" w14:textId="7B9EE89D"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6,9</w:t>
            </w:r>
          </w:p>
        </w:tc>
      </w:tr>
      <w:tr w:rsidR="00650FFD" w:rsidRPr="00650FFD" w14:paraId="78A3138F" w14:textId="77777777" w:rsidTr="00D43A1E">
        <w:trPr>
          <w:trHeight w:val="374"/>
          <w:jc w:val="center"/>
        </w:trPr>
        <w:tc>
          <w:tcPr>
            <w:tcW w:w="1548" w:type="dxa"/>
            <w:tcBorders>
              <w:top w:val="nil"/>
              <w:left w:val="nil"/>
              <w:bottom w:val="nil"/>
              <w:right w:val="nil"/>
            </w:tcBorders>
            <w:vAlign w:val="center"/>
          </w:tcPr>
          <w:p w14:paraId="292F5BB2"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F</w:t>
            </w:r>
          </w:p>
        </w:tc>
        <w:tc>
          <w:tcPr>
            <w:tcW w:w="4737" w:type="dxa"/>
            <w:tcBorders>
              <w:top w:val="nil"/>
              <w:left w:val="nil"/>
              <w:bottom w:val="nil"/>
              <w:right w:val="nil"/>
            </w:tcBorders>
            <w:vAlign w:val="center"/>
          </w:tcPr>
          <w:p w14:paraId="18DD913C" w14:textId="77777777" w:rsidR="00C820B2" w:rsidRPr="00650FFD" w:rsidRDefault="00C820B2" w:rsidP="00C820B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Construction</w:t>
            </w:r>
          </w:p>
        </w:tc>
        <w:tc>
          <w:tcPr>
            <w:tcW w:w="1789" w:type="dxa"/>
            <w:gridSpan w:val="2"/>
            <w:tcBorders>
              <w:top w:val="nil"/>
              <w:left w:val="nil"/>
              <w:bottom w:val="nil"/>
              <w:right w:val="nil"/>
            </w:tcBorders>
            <w:vAlign w:val="center"/>
          </w:tcPr>
          <w:p w14:paraId="07196EE9" w14:textId="5BCD505A"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1.805</w:t>
            </w:r>
          </w:p>
        </w:tc>
        <w:tc>
          <w:tcPr>
            <w:tcW w:w="1565" w:type="dxa"/>
            <w:gridSpan w:val="2"/>
            <w:tcBorders>
              <w:top w:val="nil"/>
              <w:left w:val="nil"/>
              <w:bottom w:val="nil"/>
              <w:right w:val="nil"/>
            </w:tcBorders>
            <w:vAlign w:val="center"/>
          </w:tcPr>
          <w:p w14:paraId="75C09863" w14:textId="3774E804"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3,1</w:t>
            </w:r>
          </w:p>
        </w:tc>
      </w:tr>
      <w:tr w:rsidR="00650FFD" w:rsidRPr="00650FFD" w14:paraId="3DA19FA6" w14:textId="77777777" w:rsidTr="00D43A1E">
        <w:trPr>
          <w:trHeight w:val="562"/>
          <w:jc w:val="center"/>
        </w:trPr>
        <w:tc>
          <w:tcPr>
            <w:tcW w:w="1548" w:type="dxa"/>
            <w:tcBorders>
              <w:top w:val="nil"/>
              <w:left w:val="nil"/>
              <w:bottom w:val="nil"/>
              <w:right w:val="nil"/>
            </w:tcBorders>
            <w:vAlign w:val="center"/>
          </w:tcPr>
          <w:p w14:paraId="2332500F"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G</w:t>
            </w:r>
          </w:p>
        </w:tc>
        <w:tc>
          <w:tcPr>
            <w:tcW w:w="4737" w:type="dxa"/>
            <w:tcBorders>
              <w:top w:val="nil"/>
              <w:left w:val="nil"/>
              <w:bottom w:val="nil"/>
              <w:right w:val="nil"/>
            </w:tcBorders>
            <w:vAlign w:val="center"/>
          </w:tcPr>
          <w:p w14:paraId="5C3613B5" w14:textId="77777777" w:rsidR="00C820B2" w:rsidRPr="00650FFD" w:rsidRDefault="00C820B2" w:rsidP="00C820B2">
            <w:pPr>
              <w:rPr>
                <w:rFonts w:ascii="Verdana" w:eastAsia="Malgun Gothic" w:hAnsi="Verdana" w:cs="Arial"/>
                <w:color w:val="366092"/>
                <w:sz w:val="18"/>
                <w:szCs w:val="18"/>
              </w:rPr>
            </w:pPr>
            <w:r w:rsidRPr="00650FFD">
              <w:rPr>
                <w:rFonts w:ascii="Verdana" w:eastAsia="Malgun Gothic" w:hAnsi="Verdana" w:cs="Arial"/>
                <w:color w:val="366092"/>
                <w:sz w:val="18"/>
                <w:szCs w:val="18"/>
              </w:rPr>
              <w:t>Wholesale and Retail Trade, Repair of Motor Vehicles and Motorcycles</w:t>
            </w:r>
          </w:p>
        </w:tc>
        <w:tc>
          <w:tcPr>
            <w:tcW w:w="1789" w:type="dxa"/>
            <w:gridSpan w:val="2"/>
            <w:tcBorders>
              <w:top w:val="nil"/>
              <w:left w:val="nil"/>
              <w:bottom w:val="nil"/>
              <w:right w:val="nil"/>
            </w:tcBorders>
            <w:vAlign w:val="center"/>
          </w:tcPr>
          <w:p w14:paraId="219EF2CD" w14:textId="5F78456B"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1.781</w:t>
            </w:r>
          </w:p>
        </w:tc>
        <w:tc>
          <w:tcPr>
            <w:tcW w:w="1565" w:type="dxa"/>
            <w:gridSpan w:val="2"/>
            <w:tcBorders>
              <w:top w:val="nil"/>
              <w:left w:val="nil"/>
              <w:bottom w:val="nil"/>
              <w:right w:val="nil"/>
            </w:tcBorders>
            <w:vAlign w:val="center"/>
          </w:tcPr>
          <w:p w14:paraId="69D57976" w14:textId="7AD3504D"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4,8</w:t>
            </w:r>
          </w:p>
        </w:tc>
      </w:tr>
      <w:tr w:rsidR="00650FFD" w:rsidRPr="00650FFD" w14:paraId="63B579F8" w14:textId="77777777" w:rsidTr="00D43A1E">
        <w:trPr>
          <w:trHeight w:val="374"/>
          <w:jc w:val="center"/>
        </w:trPr>
        <w:tc>
          <w:tcPr>
            <w:tcW w:w="1548" w:type="dxa"/>
            <w:tcBorders>
              <w:top w:val="nil"/>
              <w:left w:val="nil"/>
              <w:bottom w:val="nil"/>
              <w:right w:val="nil"/>
            </w:tcBorders>
            <w:vAlign w:val="center"/>
          </w:tcPr>
          <w:p w14:paraId="7C767FD6"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H</w:t>
            </w:r>
          </w:p>
        </w:tc>
        <w:tc>
          <w:tcPr>
            <w:tcW w:w="4737" w:type="dxa"/>
            <w:tcBorders>
              <w:top w:val="nil"/>
              <w:left w:val="nil"/>
              <w:bottom w:val="nil"/>
              <w:right w:val="nil"/>
            </w:tcBorders>
            <w:vAlign w:val="center"/>
          </w:tcPr>
          <w:p w14:paraId="69134175" w14:textId="77777777" w:rsidR="00C820B2" w:rsidRPr="00650FFD" w:rsidRDefault="00C820B2" w:rsidP="00C820B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Transportation and Storage</w:t>
            </w:r>
          </w:p>
        </w:tc>
        <w:tc>
          <w:tcPr>
            <w:tcW w:w="1789" w:type="dxa"/>
            <w:gridSpan w:val="2"/>
            <w:tcBorders>
              <w:top w:val="nil"/>
              <w:left w:val="nil"/>
              <w:bottom w:val="nil"/>
              <w:right w:val="nil"/>
            </w:tcBorders>
            <w:vAlign w:val="center"/>
          </w:tcPr>
          <w:p w14:paraId="22C30424" w14:textId="393444F1"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2.658</w:t>
            </w:r>
          </w:p>
        </w:tc>
        <w:tc>
          <w:tcPr>
            <w:tcW w:w="1565" w:type="dxa"/>
            <w:gridSpan w:val="2"/>
            <w:tcBorders>
              <w:top w:val="nil"/>
              <w:left w:val="nil"/>
              <w:bottom w:val="nil"/>
              <w:right w:val="nil"/>
            </w:tcBorders>
            <w:vAlign w:val="center"/>
          </w:tcPr>
          <w:p w14:paraId="2E829C5D" w14:textId="7A1DEBE8"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5,1</w:t>
            </w:r>
          </w:p>
        </w:tc>
      </w:tr>
      <w:tr w:rsidR="00650FFD" w:rsidRPr="00650FFD" w14:paraId="68AC4271" w14:textId="77777777" w:rsidTr="00D43A1E">
        <w:trPr>
          <w:trHeight w:val="374"/>
          <w:jc w:val="center"/>
        </w:trPr>
        <w:tc>
          <w:tcPr>
            <w:tcW w:w="1548" w:type="dxa"/>
            <w:tcBorders>
              <w:top w:val="nil"/>
              <w:left w:val="nil"/>
              <w:bottom w:val="nil"/>
              <w:right w:val="nil"/>
            </w:tcBorders>
            <w:vAlign w:val="center"/>
          </w:tcPr>
          <w:p w14:paraId="4415054C"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I</w:t>
            </w:r>
          </w:p>
        </w:tc>
        <w:tc>
          <w:tcPr>
            <w:tcW w:w="4737" w:type="dxa"/>
            <w:tcBorders>
              <w:top w:val="nil"/>
              <w:left w:val="nil"/>
              <w:bottom w:val="nil"/>
              <w:right w:val="nil"/>
            </w:tcBorders>
            <w:vAlign w:val="center"/>
          </w:tcPr>
          <w:p w14:paraId="75790528" w14:textId="77777777" w:rsidR="00C820B2" w:rsidRPr="00650FFD" w:rsidRDefault="00C820B2" w:rsidP="00C820B2">
            <w:pPr>
              <w:rPr>
                <w:rFonts w:ascii="Verdana" w:eastAsia="Malgun Gothic" w:hAnsi="Verdana" w:cs="Arial"/>
                <w:color w:val="366092"/>
                <w:sz w:val="18"/>
                <w:szCs w:val="18"/>
              </w:rPr>
            </w:pPr>
            <w:r w:rsidRPr="00650FFD">
              <w:rPr>
                <w:rFonts w:ascii="Verdana" w:eastAsia="Malgun Gothic" w:hAnsi="Verdana" w:cs="Arial"/>
                <w:color w:val="366092"/>
                <w:sz w:val="18"/>
                <w:szCs w:val="18"/>
              </w:rPr>
              <w:t>Accommodation and Food Service Activities</w:t>
            </w:r>
          </w:p>
        </w:tc>
        <w:tc>
          <w:tcPr>
            <w:tcW w:w="1789" w:type="dxa"/>
            <w:gridSpan w:val="2"/>
            <w:tcBorders>
              <w:top w:val="nil"/>
              <w:left w:val="nil"/>
              <w:bottom w:val="nil"/>
              <w:right w:val="nil"/>
            </w:tcBorders>
            <w:vAlign w:val="center"/>
          </w:tcPr>
          <w:p w14:paraId="3EC7B37C" w14:textId="5D9CD43E"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1.583</w:t>
            </w:r>
          </w:p>
        </w:tc>
        <w:tc>
          <w:tcPr>
            <w:tcW w:w="1565" w:type="dxa"/>
            <w:gridSpan w:val="2"/>
            <w:tcBorders>
              <w:top w:val="nil"/>
              <w:left w:val="nil"/>
              <w:bottom w:val="nil"/>
              <w:right w:val="nil"/>
            </w:tcBorders>
            <w:vAlign w:val="center"/>
          </w:tcPr>
          <w:p w14:paraId="0E3D81E1" w14:textId="2FC56DBA"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5,8</w:t>
            </w:r>
          </w:p>
        </w:tc>
      </w:tr>
      <w:tr w:rsidR="00650FFD" w:rsidRPr="00650FFD" w14:paraId="0F85F400" w14:textId="77777777" w:rsidTr="00D43A1E">
        <w:trPr>
          <w:trHeight w:val="374"/>
          <w:jc w:val="center"/>
        </w:trPr>
        <w:tc>
          <w:tcPr>
            <w:tcW w:w="1548" w:type="dxa"/>
            <w:tcBorders>
              <w:top w:val="nil"/>
              <w:left w:val="nil"/>
              <w:bottom w:val="nil"/>
              <w:right w:val="nil"/>
            </w:tcBorders>
            <w:vAlign w:val="center"/>
          </w:tcPr>
          <w:p w14:paraId="337DE19D"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J</w:t>
            </w:r>
          </w:p>
        </w:tc>
        <w:tc>
          <w:tcPr>
            <w:tcW w:w="4737" w:type="dxa"/>
            <w:tcBorders>
              <w:top w:val="nil"/>
              <w:left w:val="nil"/>
              <w:bottom w:val="nil"/>
              <w:right w:val="nil"/>
            </w:tcBorders>
            <w:vAlign w:val="center"/>
          </w:tcPr>
          <w:p w14:paraId="7F450179" w14:textId="77777777" w:rsidR="00C820B2" w:rsidRPr="00650FFD" w:rsidRDefault="00C820B2" w:rsidP="00C820B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Information and Communication</w:t>
            </w:r>
          </w:p>
        </w:tc>
        <w:tc>
          <w:tcPr>
            <w:tcW w:w="1789" w:type="dxa"/>
            <w:gridSpan w:val="2"/>
            <w:tcBorders>
              <w:top w:val="nil"/>
              <w:left w:val="nil"/>
              <w:bottom w:val="nil"/>
              <w:right w:val="nil"/>
            </w:tcBorders>
            <w:vAlign w:val="center"/>
          </w:tcPr>
          <w:p w14:paraId="15567D10" w14:textId="182A56BA"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4.217</w:t>
            </w:r>
          </w:p>
        </w:tc>
        <w:tc>
          <w:tcPr>
            <w:tcW w:w="1565" w:type="dxa"/>
            <w:gridSpan w:val="2"/>
            <w:tcBorders>
              <w:top w:val="nil"/>
              <w:left w:val="nil"/>
              <w:bottom w:val="nil"/>
              <w:right w:val="nil"/>
            </w:tcBorders>
            <w:vAlign w:val="center"/>
          </w:tcPr>
          <w:p w14:paraId="32089D43" w14:textId="6727FF30"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8,1</w:t>
            </w:r>
          </w:p>
        </w:tc>
      </w:tr>
      <w:tr w:rsidR="00650FFD" w:rsidRPr="00650FFD" w14:paraId="3626F8F3" w14:textId="77777777" w:rsidTr="00D43A1E">
        <w:trPr>
          <w:trHeight w:val="374"/>
          <w:jc w:val="center"/>
        </w:trPr>
        <w:tc>
          <w:tcPr>
            <w:tcW w:w="1548" w:type="dxa"/>
            <w:tcBorders>
              <w:top w:val="nil"/>
              <w:left w:val="nil"/>
              <w:bottom w:val="nil"/>
              <w:right w:val="nil"/>
            </w:tcBorders>
            <w:vAlign w:val="center"/>
          </w:tcPr>
          <w:p w14:paraId="20EE639E"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K</w:t>
            </w:r>
          </w:p>
        </w:tc>
        <w:tc>
          <w:tcPr>
            <w:tcW w:w="4737" w:type="dxa"/>
            <w:tcBorders>
              <w:top w:val="nil"/>
              <w:left w:val="nil"/>
              <w:bottom w:val="nil"/>
              <w:right w:val="nil"/>
            </w:tcBorders>
            <w:vAlign w:val="center"/>
          </w:tcPr>
          <w:p w14:paraId="7470600A" w14:textId="77777777" w:rsidR="00C820B2" w:rsidRPr="00650FFD" w:rsidRDefault="00C820B2" w:rsidP="00C820B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Financial and Insurance Activities</w:t>
            </w:r>
          </w:p>
        </w:tc>
        <w:tc>
          <w:tcPr>
            <w:tcW w:w="1789" w:type="dxa"/>
            <w:gridSpan w:val="2"/>
            <w:tcBorders>
              <w:top w:val="nil"/>
              <w:left w:val="nil"/>
              <w:bottom w:val="nil"/>
              <w:right w:val="nil"/>
            </w:tcBorders>
            <w:vAlign w:val="center"/>
          </w:tcPr>
          <w:p w14:paraId="16214FF4" w14:textId="34F5E593"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4.710</w:t>
            </w:r>
          </w:p>
        </w:tc>
        <w:tc>
          <w:tcPr>
            <w:tcW w:w="1565" w:type="dxa"/>
            <w:gridSpan w:val="2"/>
            <w:tcBorders>
              <w:top w:val="nil"/>
              <w:left w:val="nil"/>
              <w:bottom w:val="nil"/>
              <w:right w:val="nil"/>
            </w:tcBorders>
            <w:vAlign w:val="center"/>
          </w:tcPr>
          <w:p w14:paraId="170501E9" w14:textId="1B7DE666"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4,8</w:t>
            </w:r>
          </w:p>
        </w:tc>
      </w:tr>
      <w:tr w:rsidR="00650FFD" w:rsidRPr="00650FFD" w14:paraId="7A59A06A" w14:textId="77777777" w:rsidTr="00D43A1E">
        <w:trPr>
          <w:trHeight w:val="374"/>
          <w:jc w:val="center"/>
        </w:trPr>
        <w:tc>
          <w:tcPr>
            <w:tcW w:w="1548" w:type="dxa"/>
            <w:tcBorders>
              <w:top w:val="nil"/>
              <w:left w:val="nil"/>
              <w:bottom w:val="nil"/>
              <w:right w:val="nil"/>
            </w:tcBorders>
            <w:vAlign w:val="center"/>
          </w:tcPr>
          <w:p w14:paraId="102949B0"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L</w:t>
            </w:r>
          </w:p>
        </w:tc>
        <w:tc>
          <w:tcPr>
            <w:tcW w:w="4737" w:type="dxa"/>
            <w:tcBorders>
              <w:top w:val="nil"/>
              <w:left w:val="nil"/>
              <w:bottom w:val="nil"/>
              <w:right w:val="nil"/>
            </w:tcBorders>
            <w:vAlign w:val="center"/>
          </w:tcPr>
          <w:p w14:paraId="1AFC9C63" w14:textId="77777777" w:rsidR="00C820B2" w:rsidRPr="00650FFD" w:rsidRDefault="00C820B2" w:rsidP="00C820B2">
            <w:pPr>
              <w:rPr>
                <w:rFonts w:ascii="Verdana" w:eastAsia="Malgun Gothic" w:hAnsi="Verdana" w:cs="Arial"/>
                <w:color w:val="366092"/>
                <w:sz w:val="18"/>
                <w:szCs w:val="18"/>
                <w:lang w:val="el-GR"/>
              </w:rPr>
            </w:pPr>
            <w:bookmarkStart w:id="4" w:name="_Hlk210735839"/>
            <w:r w:rsidRPr="00650FFD">
              <w:rPr>
                <w:rFonts w:ascii="Verdana" w:eastAsia="Malgun Gothic" w:hAnsi="Verdana" w:cs="Arial"/>
                <w:color w:val="366092"/>
                <w:sz w:val="18"/>
                <w:szCs w:val="18"/>
              </w:rPr>
              <w:t>Real Estate Activities</w:t>
            </w:r>
            <w:bookmarkEnd w:id="4"/>
          </w:p>
        </w:tc>
        <w:tc>
          <w:tcPr>
            <w:tcW w:w="1789" w:type="dxa"/>
            <w:gridSpan w:val="2"/>
            <w:tcBorders>
              <w:top w:val="nil"/>
              <w:left w:val="nil"/>
              <w:bottom w:val="nil"/>
              <w:right w:val="nil"/>
            </w:tcBorders>
            <w:vAlign w:val="center"/>
          </w:tcPr>
          <w:p w14:paraId="68084553" w14:textId="42970453"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2.001</w:t>
            </w:r>
          </w:p>
        </w:tc>
        <w:tc>
          <w:tcPr>
            <w:tcW w:w="1565" w:type="dxa"/>
            <w:gridSpan w:val="2"/>
            <w:tcBorders>
              <w:top w:val="nil"/>
              <w:left w:val="nil"/>
              <w:bottom w:val="nil"/>
              <w:right w:val="nil"/>
            </w:tcBorders>
            <w:vAlign w:val="center"/>
          </w:tcPr>
          <w:p w14:paraId="2058664F" w14:textId="73D04CB2"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-2</w:t>
            </w:r>
            <w:r w:rsidRPr="00650FFD">
              <w:rPr>
                <w:rFonts w:ascii="Verdana" w:eastAsia="Malgun Gothic" w:hAnsi="Verdana" w:cs="Arial"/>
                <w:color w:val="366092"/>
                <w:sz w:val="18"/>
                <w:szCs w:val="18"/>
                <w:lang w:val="el-GR"/>
              </w:rPr>
              <w:t>,0</w:t>
            </w:r>
          </w:p>
        </w:tc>
      </w:tr>
      <w:tr w:rsidR="00650FFD" w:rsidRPr="00650FFD" w14:paraId="6595A25F" w14:textId="77777777" w:rsidTr="00D43A1E">
        <w:trPr>
          <w:trHeight w:val="374"/>
          <w:jc w:val="center"/>
        </w:trPr>
        <w:tc>
          <w:tcPr>
            <w:tcW w:w="1548" w:type="dxa"/>
            <w:tcBorders>
              <w:top w:val="nil"/>
              <w:left w:val="nil"/>
              <w:bottom w:val="nil"/>
              <w:right w:val="nil"/>
            </w:tcBorders>
            <w:vAlign w:val="center"/>
          </w:tcPr>
          <w:p w14:paraId="5B6BF9CB"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M</w:t>
            </w:r>
          </w:p>
        </w:tc>
        <w:tc>
          <w:tcPr>
            <w:tcW w:w="4737" w:type="dxa"/>
            <w:tcBorders>
              <w:top w:val="nil"/>
              <w:left w:val="nil"/>
              <w:bottom w:val="nil"/>
              <w:right w:val="nil"/>
            </w:tcBorders>
            <w:vAlign w:val="center"/>
          </w:tcPr>
          <w:p w14:paraId="585AC12D" w14:textId="77777777" w:rsidR="00C820B2" w:rsidRPr="00650FFD" w:rsidRDefault="00C820B2" w:rsidP="00C820B2">
            <w:pPr>
              <w:rPr>
                <w:rFonts w:ascii="Verdana" w:eastAsia="Malgun Gothic" w:hAnsi="Verdana" w:cs="Arial"/>
                <w:color w:val="366092"/>
                <w:sz w:val="18"/>
                <w:szCs w:val="18"/>
              </w:rPr>
            </w:pPr>
            <w:r w:rsidRPr="00650FFD">
              <w:rPr>
                <w:rFonts w:ascii="Verdana" w:eastAsia="Malgun Gothic" w:hAnsi="Verdana" w:cs="Arial"/>
                <w:color w:val="366092"/>
                <w:sz w:val="18"/>
                <w:szCs w:val="18"/>
              </w:rPr>
              <w:t>Professional, Scientific and Technical Activities</w:t>
            </w:r>
          </w:p>
        </w:tc>
        <w:tc>
          <w:tcPr>
            <w:tcW w:w="1789" w:type="dxa"/>
            <w:gridSpan w:val="2"/>
            <w:tcBorders>
              <w:top w:val="nil"/>
              <w:left w:val="nil"/>
              <w:bottom w:val="nil"/>
              <w:right w:val="nil"/>
            </w:tcBorders>
            <w:vAlign w:val="center"/>
          </w:tcPr>
          <w:p w14:paraId="2CB1D2C9" w14:textId="46EC9CA4"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2.913</w:t>
            </w:r>
          </w:p>
        </w:tc>
        <w:tc>
          <w:tcPr>
            <w:tcW w:w="1565" w:type="dxa"/>
            <w:gridSpan w:val="2"/>
            <w:tcBorders>
              <w:top w:val="nil"/>
              <w:left w:val="nil"/>
              <w:bottom w:val="nil"/>
              <w:right w:val="nil"/>
            </w:tcBorders>
            <w:vAlign w:val="center"/>
          </w:tcPr>
          <w:p w14:paraId="3CF03107" w14:textId="467D2A92"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3</w:t>
            </w:r>
            <w:r w:rsidRPr="00650FFD">
              <w:rPr>
                <w:rFonts w:ascii="Verdana" w:eastAsia="Malgun Gothic" w:hAnsi="Verdana" w:cs="Arial"/>
                <w:color w:val="366092"/>
                <w:sz w:val="18"/>
                <w:szCs w:val="18"/>
                <w:lang w:val="el-GR"/>
              </w:rPr>
              <w:t>,0</w:t>
            </w:r>
          </w:p>
        </w:tc>
      </w:tr>
      <w:tr w:rsidR="00650FFD" w:rsidRPr="00650FFD" w14:paraId="749DAAF7" w14:textId="77777777" w:rsidTr="00D43A1E">
        <w:trPr>
          <w:trHeight w:val="374"/>
          <w:jc w:val="center"/>
        </w:trPr>
        <w:tc>
          <w:tcPr>
            <w:tcW w:w="1548" w:type="dxa"/>
            <w:tcBorders>
              <w:top w:val="nil"/>
              <w:left w:val="nil"/>
              <w:bottom w:val="nil"/>
              <w:right w:val="nil"/>
            </w:tcBorders>
            <w:vAlign w:val="center"/>
          </w:tcPr>
          <w:p w14:paraId="388305A2"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N</w:t>
            </w:r>
          </w:p>
        </w:tc>
        <w:tc>
          <w:tcPr>
            <w:tcW w:w="4737" w:type="dxa"/>
            <w:tcBorders>
              <w:top w:val="nil"/>
              <w:left w:val="nil"/>
              <w:bottom w:val="nil"/>
              <w:right w:val="nil"/>
            </w:tcBorders>
            <w:vAlign w:val="center"/>
          </w:tcPr>
          <w:p w14:paraId="157BD9A4" w14:textId="77777777" w:rsidR="00C820B2" w:rsidRPr="00650FFD" w:rsidRDefault="00C820B2" w:rsidP="00C820B2">
            <w:pPr>
              <w:rPr>
                <w:rFonts w:ascii="Verdana" w:eastAsia="Malgun Gothic" w:hAnsi="Verdana" w:cs="Arial"/>
                <w:color w:val="366092"/>
                <w:sz w:val="18"/>
                <w:szCs w:val="18"/>
              </w:rPr>
            </w:pPr>
            <w:r w:rsidRPr="00650FFD">
              <w:rPr>
                <w:rFonts w:ascii="Verdana" w:eastAsia="Malgun Gothic" w:hAnsi="Verdana" w:cs="Arial"/>
                <w:color w:val="366092"/>
                <w:sz w:val="18"/>
                <w:szCs w:val="18"/>
              </w:rPr>
              <w:t>Administrative and Support Service Activities</w:t>
            </w:r>
          </w:p>
        </w:tc>
        <w:tc>
          <w:tcPr>
            <w:tcW w:w="1789" w:type="dxa"/>
            <w:gridSpan w:val="2"/>
            <w:tcBorders>
              <w:top w:val="nil"/>
              <w:left w:val="nil"/>
              <w:bottom w:val="nil"/>
              <w:right w:val="nil"/>
            </w:tcBorders>
            <w:vAlign w:val="center"/>
          </w:tcPr>
          <w:p w14:paraId="4B592E7C" w14:textId="3739B82F"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2.287</w:t>
            </w:r>
          </w:p>
        </w:tc>
        <w:tc>
          <w:tcPr>
            <w:tcW w:w="1565" w:type="dxa"/>
            <w:gridSpan w:val="2"/>
            <w:tcBorders>
              <w:top w:val="nil"/>
              <w:left w:val="nil"/>
              <w:bottom w:val="nil"/>
              <w:right w:val="nil"/>
            </w:tcBorders>
            <w:vAlign w:val="center"/>
          </w:tcPr>
          <w:p w14:paraId="375936F2" w14:textId="24C1C1D2"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5,1</w:t>
            </w:r>
          </w:p>
        </w:tc>
      </w:tr>
      <w:tr w:rsidR="00650FFD" w:rsidRPr="00650FFD" w14:paraId="7490980A" w14:textId="77777777" w:rsidTr="00D43A1E">
        <w:trPr>
          <w:trHeight w:val="562"/>
          <w:jc w:val="center"/>
        </w:trPr>
        <w:tc>
          <w:tcPr>
            <w:tcW w:w="1548" w:type="dxa"/>
            <w:tcBorders>
              <w:top w:val="nil"/>
              <w:left w:val="nil"/>
              <w:bottom w:val="nil"/>
              <w:right w:val="nil"/>
            </w:tcBorders>
            <w:vAlign w:val="center"/>
          </w:tcPr>
          <w:p w14:paraId="5FB4C9C1" w14:textId="62393B11"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O</w:t>
            </w:r>
          </w:p>
        </w:tc>
        <w:tc>
          <w:tcPr>
            <w:tcW w:w="4737" w:type="dxa"/>
            <w:tcBorders>
              <w:top w:val="nil"/>
              <w:left w:val="nil"/>
              <w:bottom w:val="nil"/>
              <w:right w:val="nil"/>
            </w:tcBorders>
            <w:vAlign w:val="center"/>
          </w:tcPr>
          <w:p w14:paraId="35ACCD0D" w14:textId="77777777" w:rsidR="00C820B2" w:rsidRPr="00650FFD" w:rsidRDefault="00C820B2" w:rsidP="00C820B2">
            <w:pPr>
              <w:rPr>
                <w:rFonts w:ascii="Verdana" w:eastAsia="Malgun Gothic" w:hAnsi="Verdana" w:cs="Arial"/>
                <w:color w:val="366092"/>
                <w:sz w:val="18"/>
                <w:szCs w:val="18"/>
              </w:rPr>
            </w:pPr>
            <w:r w:rsidRPr="00650FFD">
              <w:rPr>
                <w:rFonts w:ascii="Verdana" w:eastAsia="Malgun Gothic" w:hAnsi="Verdana" w:cs="Arial"/>
                <w:color w:val="366092"/>
                <w:sz w:val="18"/>
                <w:szCs w:val="18"/>
              </w:rPr>
              <w:t xml:space="preserve">Public Administration and </w:t>
            </w:r>
            <w:proofErr w:type="spellStart"/>
            <w:r w:rsidRPr="00650FFD">
              <w:rPr>
                <w:rFonts w:ascii="Verdana" w:eastAsia="Malgun Gothic" w:hAnsi="Verdana" w:cs="Arial"/>
                <w:color w:val="366092"/>
                <w:sz w:val="18"/>
                <w:szCs w:val="18"/>
              </w:rPr>
              <w:t>Defence</w:t>
            </w:r>
            <w:proofErr w:type="spellEnd"/>
            <w:r w:rsidRPr="00650FFD">
              <w:rPr>
                <w:rFonts w:ascii="Verdana" w:eastAsia="Malgun Gothic" w:hAnsi="Verdana" w:cs="Arial"/>
                <w:color w:val="366092"/>
                <w:sz w:val="18"/>
                <w:szCs w:val="18"/>
              </w:rPr>
              <w:t>, Compulsory Social Security</w:t>
            </w:r>
          </w:p>
        </w:tc>
        <w:tc>
          <w:tcPr>
            <w:tcW w:w="1789" w:type="dxa"/>
            <w:gridSpan w:val="2"/>
            <w:tcBorders>
              <w:top w:val="nil"/>
              <w:left w:val="nil"/>
              <w:bottom w:val="nil"/>
              <w:right w:val="nil"/>
            </w:tcBorders>
            <w:vAlign w:val="center"/>
          </w:tcPr>
          <w:p w14:paraId="414340B1" w14:textId="744E5E28"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3.283</w:t>
            </w:r>
          </w:p>
        </w:tc>
        <w:tc>
          <w:tcPr>
            <w:tcW w:w="1565" w:type="dxa"/>
            <w:gridSpan w:val="2"/>
            <w:tcBorders>
              <w:top w:val="nil"/>
              <w:left w:val="nil"/>
              <w:bottom w:val="nil"/>
              <w:right w:val="nil"/>
            </w:tcBorders>
            <w:vAlign w:val="center"/>
          </w:tcPr>
          <w:p w14:paraId="4C159F64" w14:textId="12F30390"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4,1</w:t>
            </w:r>
          </w:p>
        </w:tc>
      </w:tr>
      <w:tr w:rsidR="00650FFD" w:rsidRPr="00650FFD" w14:paraId="433DBA6B" w14:textId="77777777" w:rsidTr="00D43A1E">
        <w:trPr>
          <w:trHeight w:val="374"/>
          <w:jc w:val="center"/>
        </w:trPr>
        <w:tc>
          <w:tcPr>
            <w:tcW w:w="1548" w:type="dxa"/>
            <w:tcBorders>
              <w:top w:val="nil"/>
              <w:left w:val="nil"/>
              <w:bottom w:val="nil"/>
              <w:right w:val="nil"/>
            </w:tcBorders>
            <w:vAlign w:val="center"/>
          </w:tcPr>
          <w:p w14:paraId="6A25BA3B" w14:textId="77777777" w:rsidR="00C820B2" w:rsidRPr="00650FFD" w:rsidRDefault="00C820B2" w:rsidP="00C820B2">
            <w:pPr>
              <w:jc w:val="center"/>
              <w:rPr>
                <w:rFonts w:ascii="Verdana" w:eastAsia="Malgun Gothic" w:hAnsi="Verdana" w:cs="Arial"/>
                <w:color w:val="366092"/>
                <w:sz w:val="18"/>
                <w:szCs w:val="18"/>
              </w:rPr>
            </w:pPr>
          </w:p>
        </w:tc>
        <w:tc>
          <w:tcPr>
            <w:tcW w:w="4737" w:type="dxa"/>
            <w:tcBorders>
              <w:top w:val="nil"/>
              <w:left w:val="nil"/>
              <w:bottom w:val="nil"/>
              <w:right w:val="nil"/>
            </w:tcBorders>
            <w:vAlign w:val="center"/>
          </w:tcPr>
          <w:p w14:paraId="44665A5A" w14:textId="6AE2A46C" w:rsidR="00C820B2" w:rsidRPr="00650FFD" w:rsidRDefault="00C820B2" w:rsidP="00C820B2">
            <w:pPr>
              <w:rPr>
                <w:rFonts w:ascii="Verdana" w:eastAsia="Malgun Gothic" w:hAnsi="Verdana" w:cs="Arial"/>
                <w:color w:val="366092"/>
                <w:sz w:val="18"/>
                <w:szCs w:val="18"/>
              </w:rPr>
            </w:pPr>
            <w:r w:rsidRPr="00650FFD">
              <w:rPr>
                <w:rFonts w:ascii="Verdana" w:eastAsia="Malgun Gothic" w:hAnsi="Verdana" w:cs="Arial"/>
                <w:color w:val="366092"/>
                <w:sz w:val="18"/>
                <w:szCs w:val="18"/>
              </w:rPr>
              <w:t>-</w:t>
            </w:r>
            <w:r w:rsidRPr="00650FFD">
              <w:rPr>
                <w:color w:val="366092"/>
              </w:rPr>
              <w:t xml:space="preserve"> </w:t>
            </w:r>
            <w:r w:rsidRPr="00650FFD">
              <w:rPr>
                <w:rFonts w:ascii="Verdana" w:eastAsia="Malgun Gothic" w:hAnsi="Verdana" w:cs="Arial"/>
                <w:color w:val="366092"/>
                <w:sz w:val="18"/>
                <w:szCs w:val="18"/>
              </w:rPr>
              <w:t>Government (Civil Service, Education and Security Forces)</w:t>
            </w:r>
          </w:p>
        </w:tc>
        <w:tc>
          <w:tcPr>
            <w:tcW w:w="1789" w:type="dxa"/>
            <w:gridSpan w:val="2"/>
            <w:tcBorders>
              <w:top w:val="nil"/>
              <w:left w:val="nil"/>
              <w:bottom w:val="nil"/>
              <w:right w:val="nil"/>
            </w:tcBorders>
            <w:vAlign w:val="center"/>
          </w:tcPr>
          <w:p w14:paraId="25A4FE45" w14:textId="14FC33BF"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3.475</w:t>
            </w:r>
          </w:p>
        </w:tc>
        <w:tc>
          <w:tcPr>
            <w:tcW w:w="1565" w:type="dxa"/>
            <w:gridSpan w:val="2"/>
            <w:tcBorders>
              <w:top w:val="nil"/>
              <w:left w:val="nil"/>
              <w:bottom w:val="nil"/>
              <w:right w:val="nil"/>
            </w:tcBorders>
            <w:vAlign w:val="center"/>
          </w:tcPr>
          <w:p w14:paraId="45BB7329" w14:textId="557D7425"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4,7</w:t>
            </w:r>
          </w:p>
        </w:tc>
      </w:tr>
      <w:tr w:rsidR="00650FFD" w:rsidRPr="00650FFD" w14:paraId="68389D2D" w14:textId="77777777" w:rsidTr="00D43A1E">
        <w:trPr>
          <w:trHeight w:val="374"/>
          <w:jc w:val="center"/>
        </w:trPr>
        <w:tc>
          <w:tcPr>
            <w:tcW w:w="1548" w:type="dxa"/>
            <w:tcBorders>
              <w:top w:val="nil"/>
              <w:left w:val="nil"/>
              <w:bottom w:val="nil"/>
              <w:right w:val="nil"/>
            </w:tcBorders>
            <w:vAlign w:val="center"/>
          </w:tcPr>
          <w:p w14:paraId="32258280" w14:textId="77777777" w:rsidR="00C820B2" w:rsidRPr="00650FFD" w:rsidRDefault="00C820B2" w:rsidP="00C820B2">
            <w:pPr>
              <w:jc w:val="center"/>
              <w:rPr>
                <w:rFonts w:ascii="Verdana" w:eastAsia="Malgun Gothic" w:hAnsi="Verdana" w:cs="Arial"/>
                <w:color w:val="366092"/>
                <w:sz w:val="18"/>
                <w:szCs w:val="18"/>
              </w:rPr>
            </w:pPr>
          </w:p>
        </w:tc>
        <w:tc>
          <w:tcPr>
            <w:tcW w:w="4737" w:type="dxa"/>
            <w:tcBorders>
              <w:top w:val="nil"/>
              <w:left w:val="nil"/>
              <w:bottom w:val="nil"/>
              <w:right w:val="nil"/>
            </w:tcBorders>
            <w:vAlign w:val="center"/>
          </w:tcPr>
          <w:p w14:paraId="640C23FE" w14:textId="4C72D6B6" w:rsidR="00C820B2" w:rsidRPr="00650FFD" w:rsidRDefault="00C820B2" w:rsidP="00C820B2">
            <w:pPr>
              <w:rPr>
                <w:rFonts w:ascii="Verdana" w:eastAsia="Malgun Gothic" w:hAnsi="Verdana" w:cs="Arial"/>
                <w:color w:val="366092"/>
                <w:sz w:val="18"/>
                <w:szCs w:val="18"/>
              </w:rPr>
            </w:pPr>
            <w:r w:rsidRPr="00650FFD">
              <w:rPr>
                <w:rFonts w:ascii="Verdana" w:eastAsia="Malgun Gothic" w:hAnsi="Verdana" w:cs="Arial"/>
                <w:color w:val="366092"/>
                <w:sz w:val="18"/>
                <w:szCs w:val="18"/>
                <w:lang w:val="el-GR"/>
              </w:rPr>
              <w:t xml:space="preserve">- </w:t>
            </w:r>
            <w:proofErr w:type="spellStart"/>
            <w:r w:rsidRPr="00650FFD">
              <w:rPr>
                <w:rFonts w:ascii="Verdana" w:eastAsia="Malgun Gothic" w:hAnsi="Verdana" w:cs="Arial"/>
                <w:color w:val="366092"/>
                <w:sz w:val="18"/>
                <w:szCs w:val="18"/>
                <w:lang w:val="el-GR"/>
              </w:rPr>
              <w:t>Other</w:t>
            </w:r>
            <w:proofErr w:type="spellEnd"/>
            <w:r w:rsidRPr="00650FFD">
              <w:rPr>
                <w:rFonts w:ascii="Verdana" w:eastAsia="Malgun Gothic" w:hAnsi="Verdana" w:cs="Arial"/>
                <w:color w:val="366092"/>
                <w:sz w:val="18"/>
                <w:szCs w:val="18"/>
              </w:rPr>
              <w:t xml:space="preserve"> public bodies</w:t>
            </w:r>
          </w:p>
        </w:tc>
        <w:tc>
          <w:tcPr>
            <w:tcW w:w="1789" w:type="dxa"/>
            <w:gridSpan w:val="2"/>
            <w:tcBorders>
              <w:top w:val="nil"/>
              <w:left w:val="nil"/>
              <w:bottom w:val="nil"/>
              <w:right w:val="nil"/>
            </w:tcBorders>
            <w:vAlign w:val="center"/>
          </w:tcPr>
          <w:p w14:paraId="40CDA9A8" w14:textId="760ADF46"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2.439</w:t>
            </w:r>
          </w:p>
        </w:tc>
        <w:tc>
          <w:tcPr>
            <w:tcW w:w="1565" w:type="dxa"/>
            <w:gridSpan w:val="2"/>
            <w:tcBorders>
              <w:top w:val="nil"/>
              <w:left w:val="nil"/>
              <w:bottom w:val="nil"/>
              <w:right w:val="nil"/>
            </w:tcBorders>
            <w:vAlign w:val="center"/>
          </w:tcPr>
          <w:p w14:paraId="2CF25877" w14:textId="03ACEC85"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3,6</w:t>
            </w:r>
          </w:p>
        </w:tc>
      </w:tr>
      <w:tr w:rsidR="00650FFD" w:rsidRPr="00650FFD" w14:paraId="40015918" w14:textId="77777777" w:rsidTr="00D43A1E">
        <w:trPr>
          <w:trHeight w:val="374"/>
          <w:jc w:val="center"/>
        </w:trPr>
        <w:tc>
          <w:tcPr>
            <w:tcW w:w="1548" w:type="dxa"/>
            <w:tcBorders>
              <w:top w:val="nil"/>
              <w:left w:val="nil"/>
              <w:bottom w:val="nil"/>
              <w:right w:val="nil"/>
            </w:tcBorders>
            <w:vAlign w:val="center"/>
          </w:tcPr>
          <w:p w14:paraId="5EF2C048"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P</w:t>
            </w:r>
          </w:p>
        </w:tc>
        <w:tc>
          <w:tcPr>
            <w:tcW w:w="4737" w:type="dxa"/>
            <w:tcBorders>
              <w:top w:val="nil"/>
              <w:left w:val="nil"/>
              <w:bottom w:val="nil"/>
              <w:right w:val="nil"/>
            </w:tcBorders>
            <w:vAlign w:val="center"/>
          </w:tcPr>
          <w:p w14:paraId="21C76A71" w14:textId="77777777" w:rsidR="00C820B2" w:rsidRPr="00650FFD" w:rsidRDefault="00C820B2" w:rsidP="00C820B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Education</w:t>
            </w:r>
          </w:p>
        </w:tc>
        <w:tc>
          <w:tcPr>
            <w:tcW w:w="1789" w:type="dxa"/>
            <w:gridSpan w:val="2"/>
            <w:tcBorders>
              <w:top w:val="nil"/>
              <w:left w:val="nil"/>
              <w:bottom w:val="nil"/>
              <w:right w:val="nil"/>
            </w:tcBorders>
            <w:vAlign w:val="center"/>
          </w:tcPr>
          <w:p w14:paraId="7A4B342F" w14:textId="6D46796D"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2.307</w:t>
            </w:r>
          </w:p>
        </w:tc>
        <w:tc>
          <w:tcPr>
            <w:tcW w:w="1565" w:type="dxa"/>
            <w:gridSpan w:val="2"/>
            <w:tcBorders>
              <w:top w:val="nil"/>
              <w:left w:val="nil"/>
              <w:bottom w:val="nil"/>
              <w:right w:val="nil"/>
            </w:tcBorders>
            <w:vAlign w:val="center"/>
          </w:tcPr>
          <w:p w14:paraId="321DE5B0" w14:textId="68D69AE8"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5,3</w:t>
            </w:r>
          </w:p>
        </w:tc>
      </w:tr>
      <w:tr w:rsidR="00650FFD" w:rsidRPr="00650FFD" w14:paraId="05124565" w14:textId="77777777" w:rsidTr="00D43A1E">
        <w:trPr>
          <w:trHeight w:val="374"/>
          <w:jc w:val="center"/>
        </w:trPr>
        <w:tc>
          <w:tcPr>
            <w:tcW w:w="1548" w:type="dxa"/>
            <w:tcBorders>
              <w:top w:val="nil"/>
              <w:left w:val="nil"/>
              <w:bottom w:val="nil"/>
              <w:right w:val="nil"/>
            </w:tcBorders>
            <w:vAlign w:val="center"/>
          </w:tcPr>
          <w:p w14:paraId="0EC3C47D"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Q</w:t>
            </w:r>
          </w:p>
        </w:tc>
        <w:tc>
          <w:tcPr>
            <w:tcW w:w="4737" w:type="dxa"/>
            <w:tcBorders>
              <w:top w:val="nil"/>
              <w:left w:val="nil"/>
              <w:bottom w:val="nil"/>
              <w:right w:val="nil"/>
            </w:tcBorders>
            <w:vAlign w:val="center"/>
          </w:tcPr>
          <w:p w14:paraId="0755AFED" w14:textId="77777777" w:rsidR="00C820B2" w:rsidRPr="00650FFD" w:rsidRDefault="00C820B2" w:rsidP="00C820B2">
            <w:pPr>
              <w:rPr>
                <w:rFonts w:ascii="Verdana" w:eastAsia="Malgun Gothic" w:hAnsi="Verdana" w:cs="Arial"/>
                <w:color w:val="366092"/>
                <w:sz w:val="18"/>
                <w:szCs w:val="18"/>
              </w:rPr>
            </w:pPr>
            <w:bookmarkStart w:id="5" w:name="_Hlk210737634"/>
            <w:r w:rsidRPr="00650FFD">
              <w:rPr>
                <w:rFonts w:ascii="Verdana" w:eastAsia="Malgun Gothic" w:hAnsi="Verdana" w:cs="Arial"/>
                <w:color w:val="366092"/>
                <w:sz w:val="18"/>
                <w:szCs w:val="18"/>
              </w:rPr>
              <w:t>Human Health and Social Work Activities</w:t>
            </w:r>
            <w:bookmarkEnd w:id="5"/>
          </w:p>
        </w:tc>
        <w:tc>
          <w:tcPr>
            <w:tcW w:w="1789" w:type="dxa"/>
            <w:gridSpan w:val="2"/>
            <w:tcBorders>
              <w:top w:val="nil"/>
              <w:left w:val="nil"/>
              <w:bottom w:val="nil"/>
              <w:right w:val="nil"/>
            </w:tcBorders>
            <w:vAlign w:val="center"/>
          </w:tcPr>
          <w:p w14:paraId="7D4AD9A1" w14:textId="35D44679"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2.126</w:t>
            </w:r>
          </w:p>
        </w:tc>
        <w:tc>
          <w:tcPr>
            <w:tcW w:w="1565" w:type="dxa"/>
            <w:gridSpan w:val="2"/>
            <w:tcBorders>
              <w:top w:val="nil"/>
              <w:left w:val="nil"/>
              <w:bottom w:val="nil"/>
              <w:right w:val="nil"/>
            </w:tcBorders>
            <w:vAlign w:val="center"/>
          </w:tcPr>
          <w:p w14:paraId="3B8C0115" w14:textId="442CE71A"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7,6</w:t>
            </w:r>
          </w:p>
        </w:tc>
      </w:tr>
      <w:tr w:rsidR="00650FFD" w:rsidRPr="00650FFD" w14:paraId="41CB30EA" w14:textId="77777777" w:rsidTr="00D43A1E">
        <w:trPr>
          <w:trHeight w:val="374"/>
          <w:jc w:val="center"/>
        </w:trPr>
        <w:tc>
          <w:tcPr>
            <w:tcW w:w="1548" w:type="dxa"/>
            <w:tcBorders>
              <w:top w:val="nil"/>
              <w:left w:val="nil"/>
              <w:bottom w:val="nil"/>
              <w:right w:val="nil"/>
            </w:tcBorders>
            <w:vAlign w:val="center"/>
          </w:tcPr>
          <w:p w14:paraId="28FCE11A"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R</w:t>
            </w:r>
          </w:p>
        </w:tc>
        <w:tc>
          <w:tcPr>
            <w:tcW w:w="4737" w:type="dxa"/>
            <w:tcBorders>
              <w:top w:val="nil"/>
              <w:left w:val="nil"/>
              <w:bottom w:val="nil"/>
              <w:right w:val="nil"/>
            </w:tcBorders>
            <w:vAlign w:val="center"/>
          </w:tcPr>
          <w:p w14:paraId="085458C6" w14:textId="77777777" w:rsidR="00C820B2" w:rsidRPr="00650FFD" w:rsidRDefault="00C820B2" w:rsidP="00C820B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Arts, Entertainment and Recreation</w:t>
            </w:r>
          </w:p>
        </w:tc>
        <w:tc>
          <w:tcPr>
            <w:tcW w:w="1789" w:type="dxa"/>
            <w:gridSpan w:val="2"/>
            <w:tcBorders>
              <w:top w:val="nil"/>
              <w:left w:val="nil"/>
              <w:bottom w:val="nil"/>
              <w:right w:val="nil"/>
            </w:tcBorders>
            <w:vAlign w:val="center"/>
          </w:tcPr>
          <w:p w14:paraId="26DE4B7E" w14:textId="70FABF38"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2.205</w:t>
            </w:r>
          </w:p>
        </w:tc>
        <w:tc>
          <w:tcPr>
            <w:tcW w:w="1565" w:type="dxa"/>
            <w:gridSpan w:val="2"/>
            <w:tcBorders>
              <w:top w:val="nil"/>
              <w:left w:val="nil"/>
              <w:bottom w:val="nil"/>
              <w:right w:val="nil"/>
            </w:tcBorders>
            <w:vAlign w:val="center"/>
          </w:tcPr>
          <w:p w14:paraId="3902F704" w14:textId="70691CA5"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5,7</w:t>
            </w:r>
          </w:p>
        </w:tc>
      </w:tr>
      <w:tr w:rsidR="00650FFD" w:rsidRPr="00650FFD" w14:paraId="646A0A50" w14:textId="77777777" w:rsidTr="00650FFD">
        <w:trPr>
          <w:trHeight w:val="374"/>
          <w:jc w:val="center"/>
        </w:trPr>
        <w:tc>
          <w:tcPr>
            <w:tcW w:w="1548" w:type="dxa"/>
            <w:tcBorders>
              <w:top w:val="nil"/>
              <w:left w:val="nil"/>
              <w:bottom w:val="single" w:sz="4" w:space="0" w:color="366092"/>
              <w:right w:val="nil"/>
            </w:tcBorders>
            <w:vAlign w:val="center"/>
          </w:tcPr>
          <w:p w14:paraId="2B206065" w14:textId="77777777" w:rsidR="00C820B2" w:rsidRPr="00650FFD" w:rsidRDefault="00C820B2" w:rsidP="00C820B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S</w:t>
            </w:r>
          </w:p>
        </w:tc>
        <w:tc>
          <w:tcPr>
            <w:tcW w:w="4737" w:type="dxa"/>
            <w:tcBorders>
              <w:top w:val="nil"/>
              <w:left w:val="nil"/>
              <w:bottom w:val="single" w:sz="4" w:space="0" w:color="366092"/>
              <w:right w:val="nil"/>
            </w:tcBorders>
            <w:vAlign w:val="center"/>
          </w:tcPr>
          <w:p w14:paraId="141EBEF0" w14:textId="77777777" w:rsidR="00C820B2" w:rsidRPr="00650FFD" w:rsidRDefault="00C820B2" w:rsidP="00C820B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Other Service Activities</w:t>
            </w:r>
          </w:p>
        </w:tc>
        <w:tc>
          <w:tcPr>
            <w:tcW w:w="1789" w:type="dxa"/>
            <w:gridSpan w:val="2"/>
            <w:tcBorders>
              <w:top w:val="nil"/>
              <w:left w:val="nil"/>
              <w:bottom w:val="single" w:sz="4" w:space="0" w:color="366092"/>
              <w:right w:val="nil"/>
            </w:tcBorders>
            <w:vAlign w:val="center"/>
          </w:tcPr>
          <w:p w14:paraId="7A8FB229" w14:textId="508A974A" w:rsidR="00C820B2" w:rsidRPr="00650FFD" w:rsidRDefault="00C820B2" w:rsidP="00C820B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1.730</w:t>
            </w:r>
          </w:p>
        </w:tc>
        <w:tc>
          <w:tcPr>
            <w:tcW w:w="1565" w:type="dxa"/>
            <w:gridSpan w:val="2"/>
            <w:tcBorders>
              <w:top w:val="nil"/>
              <w:left w:val="nil"/>
              <w:bottom w:val="single" w:sz="4" w:space="0" w:color="366092"/>
              <w:right w:val="nil"/>
            </w:tcBorders>
            <w:vAlign w:val="center"/>
          </w:tcPr>
          <w:p w14:paraId="75B2B8D7" w14:textId="39BD533F" w:rsidR="00C820B2" w:rsidRPr="00650FFD" w:rsidRDefault="00C820B2" w:rsidP="00C820B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4,2</w:t>
            </w:r>
          </w:p>
        </w:tc>
      </w:tr>
      <w:tr w:rsidR="00650FFD" w:rsidRPr="00650FFD" w14:paraId="42E500FF" w14:textId="77777777" w:rsidTr="00650FFD">
        <w:trPr>
          <w:trHeight w:val="389"/>
          <w:jc w:val="center"/>
        </w:trPr>
        <w:tc>
          <w:tcPr>
            <w:tcW w:w="1548" w:type="dxa"/>
            <w:tcBorders>
              <w:top w:val="single" w:sz="4" w:space="0" w:color="366092"/>
              <w:left w:val="nil"/>
              <w:bottom w:val="single" w:sz="4" w:space="0" w:color="366092"/>
              <w:right w:val="nil"/>
            </w:tcBorders>
            <w:vAlign w:val="center"/>
          </w:tcPr>
          <w:p w14:paraId="531A82CB" w14:textId="77777777" w:rsidR="00C820B2" w:rsidRPr="00650FFD" w:rsidRDefault="00C820B2" w:rsidP="00C820B2">
            <w:pPr>
              <w:jc w:val="center"/>
              <w:rPr>
                <w:rFonts w:ascii="Verdana" w:eastAsia="Malgun Gothic" w:hAnsi="Verdana" w:cs="Arial"/>
                <w:color w:val="366092"/>
                <w:sz w:val="18"/>
                <w:szCs w:val="18"/>
                <w:lang w:val="el-GR"/>
              </w:rPr>
            </w:pPr>
          </w:p>
        </w:tc>
        <w:tc>
          <w:tcPr>
            <w:tcW w:w="4737" w:type="dxa"/>
            <w:tcBorders>
              <w:top w:val="single" w:sz="4" w:space="0" w:color="366092"/>
              <w:left w:val="nil"/>
              <w:bottom w:val="single" w:sz="4" w:space="0" w:color="366092"/>
              <w:right w:val="nil"/>
            </w:tcBorders>
            <w:vAlign w:val="center"/>
          </w:tcPr>
          <w:p w14:paraId="3B187685" w14:textId="77777777" w:rsidR="00C820B2" w:rsidRPr="00650FFD" w:rsidRDefault="00C820B2" w:rsidP="00C820B2">
            <w:pPr>
              <w:rPr>
                <w:rFonts w:ascii="Verdana" w:eastAsia="Malgun Gothic" w:hAnsi="Verdana" w:cs="Arial"/>
                <w:b/>
                <w:color w:val="366092"/>
                <w:sz w:val="18"/>
                <w:szCs w:val="18"/>
                <w:lang w:val="el-GR"/>
              </w:rPr>
            </w:pPr>
            <w:r w:rsidRPr="00650FFD">
              <w:rPr>
                <w:rFonts w:ascii="Verdana" w:eastAsia="Malgun Gothic" w:hAnsi="Verdana" w:cs="Arial"/>
                <w:b/>
                <w:color w:val="366092"/>
                <w:sz w:val="18"/>
                <w:szCs w:val="18"/>
              </w:rPr>
              <w:t>Total</w:t>
            </w:r>
          </w:p>
        </w:tc>
        <w:tc>
          <w:tcPr>
            <w:tcW w:w="1789" w:type="dxa"/>
            <w:gridSpan w:val="2"/>
            <w:tcBorders>
              <w:top w:val="single" w:sz="4" w:space="0" w:color="366092"/>
              <w:left w:val="nil"/>
              <w:bottom w:val="single" w:sz="4" w:space="0" w:color="366092"/>
              <w:right w:val="nil"/>
            </w:tcBorders>
            <w:vAlign w:val="center"/>
          </w:tcPr>
          <w:p w14:paraId="34879ED0" w14:textId="4B447191" w:rsidR="00C820B2" w:rsidRPr="00650FFD" w:rsidRDefault="00C820B2" w:rsidP="00C820B2">
            <w:pPr>
              <w:ind w:right="432"/>
              <w:jc w:val="right"/>
              <w:rPr>
                <w:rFonts w:ascii="Verdana" w:hAnsi="Verdana" w:cs="Arial"/>
                <w:b/>
                <w:color w:val="366092"/>
                <w:sz w:val="18"/>
                <w:szCs w:val="18"/>
              </w:rPr>
            </w:pPr>
            <w:r w:rsidRPr="00650FFD">
              <w:rPr>
                <w:rFonts w:ascii="Verdana" w:eastAsia="Malgun Gothic" w:hAnsi="Verdana" w:cs="Arial"/>
                <w:b/>
                <w:color w:val="366092"/>
                <w:sz w:val="18"/>
                <w:szCs w:val="18"/>
              </w:rPr>
              <w:t>2.483</w:t>
            </w:r>
          </w:p>
        </w:tc>
        <w:tc>
          <w:tcPr>
            <w:tcW w:w="1565" w:type="dxa"/>
            <w:gridSpan w:val="2"/>
            <w:tcBorders>
              <w:top w:val="single" w:sz="4" w:space="0" w:color="366092"/>
              <w:left w:val="nil"/>
              <w:bottom w:val="single" w:sz="4" w:space="0" w:color="366092"/>
              <w:right w:val="nil"/>
            </w:tcBorders>
            <w:vAlign w:val="center"/>
          </w:tcPr>
          <w:p w14:paraId="51E46AE0" w14:textId="0A78781C" w:rsidR="00C820B2" w:rsidRPr="00650FFD" w:rsidRDefault="00C820B2" w:rsidP="00C820B2">
            <w:pPr>
              <w:ind w:right="432"/>
              <w:jc w:val="right"/>
              <w:rPr>
                <w:rFonts w:ascii="Verdana" w:eastAsia="Malgun Gothic" w:hAnsi="Verdana" w:cs="Arial"/>
                <w:b/>
                <w:color w:val="366092"/>
                <w:sz w:val="18"/>
                <w:szCs w:val="18"/>
              </w:rPr>
            </w:pPr>
            <w:r w:rsidRPr="00650FFD">
              <w:rPr>
                <w:rFonts w:ascii="Verdana" w:eastAsia="Malgun Gothic" w:hAnsi="Verdana" w:cs="Arial"/>
                <w:b/>
                <w:color w:val="366092"/>
                <w:sz w:val="18"/>
                <w:szCs w:val="18"/>
              </w:rPr>
              <w:t>5,1</w:t>
            </w:r>
          </w:p>
        </w:tc>
      </w:tr>
      <w:tr w:rsidR="00650FFD" w:rsidRPr="00650FFD" w14:paraId="7D008B34" w14:textId="77777777" w:rsidTr="00D43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4" w:type="dxa"/>
          <w:trHeight w:val="374"/>
          <w:jc w:val="center"/>
        </w:trPr>
        <w:tc>
          <w:tcPr>
            <w:tcW w:w="7491" w:type="dxa"/>
            <w:gridSpan w:val="3"/>
            <w:tcBorders>
              <w:top w:val="single" w:sz="4" w:space="0" w:color="365F91"/>
              <w:left w:val="nil"/>
              <w:bottom w:val="nil"/>
              <w:right w:val="nil"/>
            </w:tcBorders>
            <w:vAlign w:val="center"/>
          </w:tcPr>
          <w:p w14:paraId="66640682" w14:textId="77777777" w:rsidR="002047A6" w:rsidRPr="00650FFD" w:rsidRDefault="002047A6" w:rsidP="00D43A1E">
            <w:pPr>
              <w:ind w:right="1008"/>
              <w:rPr>
                <w:rFonts w:ascii="Verdana" w:hAnsi="Verdana"/>
                <w:color w:val="366092"/>
                <w:sz w:val="16"/>
                <w:szCs w:val="16"/>
              </w:rPr>
            </w:pPr>
          </w:p>
        </w:tc>
        <w:tc>
          <w:tcPr>
            <w:tcW w:w="1614" w:type="dxa"/>
            <w:gridSpan w:val="2"/>
            <w:tcBorders>
              <w:top w:val="single" w:sz="4" w:space="0" w:color="365F91"/>
              <w:left w:val="nil"/>
              <w:bottom w:val="nil"/>
              <w:right w:val="nil"/>
            </w:tcBorders>
          </w:tcPr>
          <w:p w14:paraId="265A9B32" w14:textId="77777777" w:rsidR="002047A6" w:rsidRPr="00650FFD" w:rsidRDefault="002047A6" w:rsidP="00D43A1E">
            <w:pPr>
              <w:ind w:right="1008"/>
              <w:rPr>
                <w:rFonts w:ascii="Verdana" w:hAnsi="Verdana"/>
                <w:color w:val="366092"/>
                <w:sz w:val="16"/>
                <w:szCs w:val="16"/>
              </w:rPr>
            </w:pPr>
          </w:p>
        </w:tc>
      </w:tr>
    </w:tbl>
    <w:p w14:paraId="638448D3" w14:textId="77777777" w:rsidR="00E46F6C" w:rsidRDefault="00E46F6C" w:rsidP="00C656B1">
      <w:pPr>
        <w:jc w:val="both"/>
        <w:rPr>
          <w:rFonts w:ascii="Verdana" w:eastAsia="Malgun Gothic" w:hAnsi="Verdana" w:cs="Arial"/>
          <w:sz w:val="18"/>
          <w:szCs w:val="18"/>
        </w:rPr>
      </w:pPr>
    </w:p>
    <w:p w14:paraId="195DC4F7" w14:textId="77777777" w:rsidR="00E46F6C" w:rsidRDefault="00E46F6C">
      <w:pPr>
        <w:rPr>
          <w:rFonts w:ascii="Verdana" w:eastAsia="Malgun Gothic" w:hAnsi="Verdana" w:cs="Arial"/>
          <w:sz w:val="18"/>
          <w:szCs w:val="18"/>
        </w:rPr>
      </w:pPr>
      <w:r>
        <w:rPr>
          <w:rFonts w:ascii="Verdana" w:eastAsia="Malgun Gothic" w:hAnsi="Verdana" w:cs="Arial"/>
          <w:sz w:val="18"/>
          <w:szCs w:val="18"/>
        </w:rPr>
        <w:br w:type="page"/>
      </w:r>
    </w:p>
    <w:p w14:paraId="4CA597DA" w14:textId="29F6225E" w:rsidR="00E46F6C" w:rsidRPr="00E46F6C" w:rsidRDefault="00E46F6C" w:rsidP="00C656B1">
      <w:pPr>
        <w:jc w:val="both"/>
        <w:rPr>
          <w:rFonts w:ascii="Verdana" w:eastAsia="Malgun Gothic" w:hAnsi="Verdana" w:cs="Arial"/>
          <w:b/>
          <w:sz w:val="18"/>
          <w:szCs w:val="18"/>
        </w:rPr>
      </w:pPr>
      <w:r w:rsidRPr="00E46F6C">
        <w:rPr>
          <w:rFonts w:ascii="Verdana" w:eastAsia="Malgun Gothic" w:hAnsi="Verdana" w:cs="Arial"/>
          <w:b/>
          <w:sz w:val="18"/>
          <w:szCs w:val="18"/>
        </w:rPr>
        <w:lastRenderedPageBreak/>
        <w:t>Average and Median Gross Monthly Earnings by Citizenship</w:t>
      </w:r>
    </w:p>
    <w:p w14:paraId="529D98E8" w14:textId="77777777" w:rsidR="00E46F6C" w:rsidRDefault="00E46F6C" w:rsidP="00C656B1">
      <w:pPr>
        <w:jc w:val="both"/>
        <w:rPr>
          <w:rFonts w:ascii="Verdana" w:eastAsia="Malgun Gothic" w:hAnsi="Verdana" w:cs="Arial"/>
          <w:sz w:val="18"/>
          <w:szCs w:val="18"/>
        </w:rPr>
      </w:pPr>
    </w:p>
    <w:p w14:paraId="0A9E2CC7" w14:textId="4AF0694F" w:rsidR="00980A1A" w:rsidRPr="00C87BAB" w:rsidRDefault="00980A1A" w:rsidP="00980A1A">
      <w:pPr>
        <w:jc w:val="both"/>
        <w:rPr>
          <w:rFonts w:ascii="Verdana" w:eastAsia="Malgun Gothic" w:hAnsi="Verdana" w:cs="Arial"/>
          <w:sz w:val="18"/>
          <w:szCs w:val="18"/>
        </w:rPr>
      </w:pPr>
      <w:r w:rsidRPr="00980A1A">
        <w:rPr>
          <w:rFonts w:ascii="Verdana" w:eastAsia="Malgun Gothic" w:hAnsi="Verdana" w:cs="Arial"/>
          <w:sz w:val="18"/>
          <w:szCs w:val="18"/>
        </w:rPr>
        <w:t xml:space="preserve">The average </w:t>
      </w:r>
      <w:r>
        <w:rPr>
          <w:rFonts w:ascii="Verdana" w:eastAsia="Malgun Gothic" w:hAnsi="Verdana" w:cs="Arial"/>
          <w:sz w:val="18"/>
          <w:szCs w:val="18"/>
        </w:rPr>
        <w:t xml:space="preserve">gross monthly </w:t>
      </w:r>
      <w:r w:rsidRPr="00980A1A">
        <w:rPr>
          <w:rFonts w:ascii="Verdana" w:eastAsia="Malgun Gothic" w:hAnsi="Verdana" w:cs="Arial"/>
          <w:sz w:val="18"/>
          <w:szCs w:val="18"/>
        </w:rPr>
        <w:t>earnings of Cypriots for 202</w:t>
      </w:r>
      <w:r w:rsidR="00C61C21">
        <w:rPr>
          <w:rFonts w:ascii="Verdana" w:eastAsia="Malgun Gothic" w:hAnsi="Verdana" w:cs="Arial"/>
          <w:sz w:val="18"/>
          <w:szCs w:val="18"/>
        </w:rPr>
        <w:t>4</w:t>
      </w:r>
      <w:r w:rsidRPr="00980A1A">
        <w:rPr>
          <w:rFonts w:ascii="Verdana" w:eastAsia="Malgun Gothic" w:hAnsi="Verdana" w:cs="Arial"/>
          <w:sz w:val="18"/>
          <w:szCs w:val="18"/>
        </w:rPr>
        <w:t xml:space="preserve"> were €</w:t>
      </w:r>
      <w:r w:rsidR="006C4981" w:rsidRPr="006C4981">
        <w:rPr>
          <w:rFonts w:ascii="Verdana" w:eastAsia="Malgun Gothic" w:hAnsi="Verdana" w:cs="Arial"/>
          <w:sz w:val="18"/>
          <w:szCs w:val="18"/>
        </w:rPr>
        <w:t xml:space="preserve">2.506 </w:t>
      </w:r>
      <w:r w:rsidRPr="00980A1A">
        <w:rPr>
          <w:rFonts w:ascii="Verdana" w:eastAsia="Malgun Gothic" w:hAnsi="Verdana" w:cs="Arial"/>
          <w:sz w:val="18"/>
          <w:szCs w:val="18"/>
        </w:rPr>
        <w:t>and of non-Cypriots €</w:t>
      </w:r>
      <w:r w:rsidR="006C4981" w:rsidRPr="006C4981">
        <w:rPr>
          <w:rFonts w:ascii="Verdana" w:eastAsia="Malgun Gothic" w:hAnsi="Verdana" w:cs="Arial"/>
          <w:sz w:val="18"/>
          <w:szCs w:val="18"/>
        </w:rPr>
        <w:t>2.4</w:t>
      </w:r>
      <w:r w:rsidR="00B528F8">
        <w:rPr>
          <w:rFonts w:ascii="Verdana" w:eastAsia="Malgun Gothic" w:hAnsi="Verdana" w:cs="Arial"/>
          <w:sz w:val="18"/>
          <w:szCs w:val="18"/>
        </w:rPr>
        <w:t>34</w:t>
      </w:r>
      <w:r w:rsidRPr="00980A1A">
        <w:rPr>
          <w:rFonts w:ascii="Verdana" w:eastAsia="Malgun Gothic" w:hAnsi="Verdana" w:cs="Arial"/>
          <w:sz w:val="18"/>
          <w:szCs w:val="18"/>
        </w:rPr>
        <w:t xml:space="preserve">. The </w:t>
      </w:r>
      <w:r w:rsidRPr="00C87BAB">
        <w:rPr>
          <w:rFonts w:ascii="Verdana" w:eastAsia="Malgun Gothic" w:hAnsi="Verdana" w:cs="Arial"/>
          <w:sz w:val="18"/>
          <w:szCs w:val="18"/>
        </w:rPr>
        <w:t>annual change in average gross monthly earnings for Cypriot employees was 5</w:t>
      </w:r>
      <w:r w:rsidR="00D36B9B" w:rsidRPr="00C87BAB">
        <w:rPr>
          <w:rFonts w:ascii="Verdana" w:eastAsia="Malgun Gothic" w:hAnsi="Verdana" w:cs="Arial"/>
          <w:sz w:val="18"/>
          <w:szCs w:val="18"/>
        </w:rPr>
        <w:t>,</w:t>
      </w:r>
      <w:r w:rsidR="00C87BAB" w:rsidRPr="00C87BAB">
        <w:rPr>
          <w:rFonts w:ascii="Verdana" w:eastAsia="Malgun Gothic" w:hAnsi="Verdana" w:cs="Arial"/>
          <w:sz w:val="18"/>
          <w:szCs w:val="18"/>
        </w:rPr>
        <w:t>4</w:t>
      </w:r>
      <w:r w:rsidRPr="00C87BAB">
        <w:rPr>
          <w:rFonts w:ascii="Verdana" w:eastAsia="Malgun Gothic" w:hAnsi="Verdana" w:cs="Arial"/>
          <w:sz w:val="18"/>
          <w:szCs w:val="18"/>
        </w:rPr>
        <w:t xml:space="preserve">% and for non-Cypriot employees it was </w:t>
      </w:r>
      <w:r w:rsidR="00C87BAB" w:rsidRPr="00C87BAB">
        <w:rPr>
          <w:rFonts w:ascii="Verdana" w:eastAsia="Malgun Gothic" w:hAnsi="Verdana" w:cs="Arial"/>
          <w:sz w:val="18"/>
          <w:szCs w:val="18"/>
        </w:rPr>
        <w:t>4</w:t>
      </w:r>
      <w:r w:rsidR="00D36B9B" w:rsidRPr="00C87BAB">
        <w:rPr>
          <w:rFonts w:ascii="Verdana" w:eastAsia="Malgun Gothic" w:hAnsi="Verdana" w:cs="Arial"/>
          <w:sz w:val="18"/>
          <w:szCs w:val="18"/>
        </w:rPr>
        <w:t>,</w:t>
      </w:r>
      <w:r w:rsidR="00C87BAB" w:rsidRPr="00C87BAB">
        <w:rPr>
          <w:rFonts w:ascii="Verdana" w:eastAsia="Malgun Gothic" w:hAnsi="Verdana" w:cs="Arial"/>
          <w:sz w:val="18"/>
          <w:szCs w:val="18"/>
        </w:rPr>
        <w:t>3</w:t>
      </w:r>
      <w:r w:rsidRPr="00C87BAB">
        <w:rPr>
          <w:rFonts w:ascii="Verdana" w:eastAsia="Malgun Gothic" w:hAnsi="Verdana" w:cs="Arial"/>
          <w:sz w:val="18"/>
          <w:szCs w:val="18"/>
        </w:rPr>
        <w:t>%.</w:t>
      </w:r>
      <w:r w:rsidR="00CA2DE9">
        <w:rPr>
          <w:rFonts w:ascii="Verdana" w:eastAsia="Malgun Gothic" w:hAnsi="Verdana" w:cs="Arial"/>
          <w:sz w:val="18"/>
          <w:szCs w:val="18"/>
        </w:rPr>
        <w:t xml:space="preserve"> </w:t>
      </w:r>
      <w:r w:rsidR="00CA2DE9" w:rsidRPr="00980A1A">
        <w:rPr>
          <w:rFonts w:ascii="Verdana" w:eastAsia="Malgun Gothic" w:hAnsi="Verdana" w:cs="Arial"/>
          <w:sz w:val="18"/>
          <w:szCs w:val="18"/>
        </w:rPr>
        <w:t>(Table 2)</w:t>
      </w:r>
    </w:p>
    <w:p w14:paraId="7128892F" w14:textId="77777777" w:rsidR="00980A1A" w:rsidRPr="00C87BAB" w:rsidRDefault="00980A1A" w:rsidP="00980A1A">
      <w:pPr>
        <w:jc w:val="both"/>
        <w:rPr>
          <w:rFonts w:ascii="Verdana" w:eastAsia="Malgun Gothic" w:hAnsi="Verdana" w:cs="Arial"/>
          <w:sz w:val="18"/>
          <w:szCs w:val="18"/>
        </w:rPr>
      </w:pPr>
    </w:p>
    <w:p w14:paraId="39985E40" w14:textId="1A605D63" w:rsidR="000A11C4" w:rsidRDefault="00980A1A" w:rsidP="00980A1A">
      <w:pPr>
        <w:jc w:val="both"/>
        <w:rPr>
          <w:rFonts w:ascii="Verdana" w:eastAsia="Malgun Gothic" w:hAnsi="Verdana" w:cs="Arial"/>
          <w:sz w:val="18"/>
          <w:szCs w:val="18"/>
        </w:rPr>
      </w:pPr>
      <w:r w:rsidRPr="00C87BAB">
        <w:rPr>
          <w:rFonts w:ascii="Verdana" w:eastAsia="Malgun Gothic" w:hAnsi="Verdana" w:cs="Arial"/>
          <w:sz w:val="18"/>
          <w:szCs w:val="18"/>
        </w:rPr>
        <w:t>The median gross monthly earnings for Cypriot employees were €</w:t>
      </w:r>
      <w:r w:rsidR="00C87BAB" w:rsidRPr="00C87BAB">
        <w:rPr>
          <w:rFonts w:ascii="Verdana" w:eastAsia="Malgun Gothic" w:hAnsi="Verdana" w:cs="Arial"/>
          <w:sz w:val="18"/>
          <w:szCs w:val="18"/>
        </w:rPr>
        <w:t>2</w:t>
      </w:r>
      <w:r w:rsidR="00C30352" w:rsidRPr="00C87BAB">
        <w:rPr>
          <w:rFonts w:ascii="Verdana" w:eastAsia="Malgun Gothic" w:hAnsi="Verdana" w:cs="Arial"/>
          <w:sz w:val="18"/>
          <w:szCs w:val="18"/>
        </w:rPr>
        <w:t>.</w:t>
      </w:r>
      <w:r w:rsidR="00C87BAB" w:rsidRPr="00C87BAB">
        <w:rPr>
          <w:rFonts w:ascii="Verdana" w:eastAsia="Malgun Gothic" w:hAnsi="Verdana" w:cs="Arial"/>
          <w:sz w:val="18"/>
          <w:szCs w:val="18"/>
        </w:rPr>
        <w:t>053</w:t>
      </w:r>
      <w:r w:rsidRPr="00C87BAB">
        <w:rPr>
          <w:rFonts w:ascii="Verdana" w:eastAsia="Malgun Gothic" w:hAnsi="Verdana" w:cs="Arial"/>
          <w:sz w:val="18"/>
          <w:szCs w:val="18"/>
        </w:rPr>
        <w:t xml:space="preserve"> and for non-Cypriot employees were €1</w:t>
      </w:r>
      <w:r w:rsidR="00C30352" w:rsidRPr="00C87BAB">
        <w:rPr>
          <w:rFonts w:ascii="Verdana" w:eastAsia="Malgun Gothic" w:hAnsi="Verdana" w:cs="Arial"/>
          <w:sz w:val="18"/>
          <w:szCs w:val="18"/>
        </w:rPr>
        <w:t>.</w:t>
      </w:r>
      <w:r w:rsidR="00C87BAB" w:rsidRPr="00C87BAB">
        <w:rPr>
          <w:rFonts w:ascii="Verdana" w:eastAsia="Malgun Gothic" w:hAnsi="Verdana" w:cs="Arial"/>
          <w:sz w:val="18"/>
          <w:szCs w:val="18"/>
        </w:rPr>
        <w:t>54</w:t>
      </w:r>
      <w:r w:rsidRPr="00C87BAB">
        <w:rPr>
          <w:rFonts w:ascii="Verdana" w:eastAsia="Malgun Gothic" w:hAnsi="Verdana" w:cs="Arial"/>
          <w:sz w:val="18"/>
          <w:szCs w:val="18"/>
        </w:rPr>
        <w:t>4.</w:t>
      </w:r>
    </w:p>
    <w:p w14:paraId="1621F7EA" w14:textId="3030784B" w:rsidR="00A7557E" w:rsidRDefault="00A7557E">
      <w:pPr>
        <w:rPr>
          <w:rFonts w:ascii="Verdana" w:eastAsia="Malgun Gothic"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1"/>
        <w:gridCol w:w="1769"/>
        <w:gridCol w:w="1769"/>
        <w:gridCol w:w="1520"/>
      </w:tblGrid>
      <w:tr w:rsidR="00650FFD" w:rsidRPr="00650FFD" w14:paraId="52A6040B" w14:textId="77777777" w:rsidTr="00650FFD">
        <w:trPr>
          <w:trHeight w:val="317"/>
          <w:jc w:val="center"/>
        </w:trPr>
        <w:tc>
          <w:tcPr>
            <w:tcW w:w="4581" w:type="dxa"/>
            <w:tcBorders>
              <w:top w:val="nil"/>
              <w:left w:val="nil"/>
              <w:bottom w:val="single" w:sz="4" w:space="0" w:color="366092"/>
              <w:right w:val="nil"/>
            </w:tcBorders>
            <w:vAlign w:val="center"/>
          </w:tcPr>
          <w:p w14:paraId="0B49787F" w14:textId="3C13742D" w:rsidR="00A7557E" w:rsidRPr="00650FFD" w:rsidRDefault="00A7557E" w:rsidP="003404A0">
            <w:pPr>
              <w:rPr>
                <w:rFonts w:ascii="Verdana" w:eastAsia="Malgun Gothic" w:hAnsi="Verdana" w:cs="Arial"/>
                <w:color w:val="366092"/>
                <w:sz w:val="18"/>
                <w:szCs w:val="18"/>
                <w:lang w:val="el-GR"/>
              </w:rPr>
            </w:pPr>
            <w:r w:rsidRPr="00650FFD">
              <w:rPr>
                <w:rFonts w:ascii="Verdana" w:eastAsia="Malgun Gothic" w:hAnsi="Verdana" w:cs="Arial"/>
                <w:b/>
                <w:color w:val="366092"/>
                <w:sz w:val="18"/>
                <w:szCs w:val="18"/>
              </w:rPr>
              <w:t>Table</w:t>
            </w:r>
            <w:r w:rsidRPr="00650FFD">
              <w:rPr>
                <w:rFonts w:ascii="Verdana" w:eastAsia="Malgun Gothic" w:hAnsi="Verdana" w:cs="Arial"/>
                <w:b/>
                <w:color w:val="366092"/>
                <w:sz w:val="18"/>
                <w:szCs w:val="18"/>
                <w:lang w:val="el-GR"/>
              </w:rPr>
              <w:t xml:space="preserve"> 2</w:t>
            </w:r>
          </w:p>
        </w:tc>
        <w:tc>
          <w:tcPr>
            <w:tcW w:w="1769" w:type="dxa"/>
            <w:tcBorders>
              <w:top w:val="nil"/>
              <w:left w:val="nil"/>
              <w:bottom w:val="single" w:sz="4" w:space="0" w:color="366092"/>
              <w:right w:val="nil"/>
            </w:tcBorders>
            <w:vAlign w:val="center"/>
          </w:tcPr>
          <w:p w14:paraId="1CA05304" w14:textId="77777777" w:rsidR="00A7557E" w:rsidRPr="00650FFD" w:rsidRDefault="00A7557E" w:rsidP="003404A0">
            <w:pPr>
              <w:jc w:val="center"/>
              <w:rPr>
                <w:rFonts w:ascii="Verdana" w:hAnsi="Verdana" w:cs="Arial"/>
                <w:color w:val="366092"/>
                <w:sz w:val="18"/>
                <w:szCs w:val="18"/>
                <w:lang w:val="el-GR"/>
              </w:rPr>
            </w:pPr>
          </w:p>
        </w:tc>
        <w:tc>
          <w:tcPr>
            <w:tcW w:w="1769" w:type="dxa"/>
            <w:tcBorders>
              <w:top w:val="nil"/>
              <w:left w:val="nil"/>
              <w:bottom w:val="single" w:sz="4" w:space="0" w:color="366092"/>
              <w:right w:val="nil"/>
            </w:tcBorders>
          </w:tcPr>
          <w:p w14:paraId="4D9D80BE" w14:textId="77777777" w:rsidR="00A7557E" w:rsidRPr="00650FFD" w:rsidRDefault="00A7557E" w:rsidP="003404A0">
            <w:pPr>
              <w:jc w:val="center"/>
              <w:rPr>
                <w:rFonts w:ascii="Verdana" w:hAnsi="Verdana" w:cs="Arial"/>
                <w:color w:val="366092"/>
                <w:sz w:val="18"/>
                <w:szCs w:val="18"/>
                <w:lang w:val="el-GR"/>
              </w:rPr>
            </w:pPr>
          </w:p>
        </w:tc>
        <w:tc>
          <w:tcPr>
            <w:tcW w:w="1520" w:type="dxa"/>
            <w:tcBorders>
              <w:top w:val="nil"/>
              <w:left w:val="nil"/>
              <w:bottom w:val="single" w:sz="4" w:space="0" w:color="366092"/>
              <w:right w:val="nil"/>
            </w:tcBorders>
          </w:tcPr>
          <w:p w14:paraId="2E60CD05" w14:textId="77777777" w:rsidR="00A7557E" w:rsidRPr="00650FFD" w:rsidRDefault="00A7557E" w:rsidP="003404A0">
            <w:pPr>
              <w:jc w:val="center"/>
              <w:rPr>
                <w:rFonts w:ascii="Verdana" w:hAnsi="Verdana" w:cs="Arial"/>
                <w:color w:val="366092"/>
                <w:sz w:val="18"/>
                <w:szCs w:val="18"/>
                <w:lang w:val="el-GR"/>
              </w:rPr>
            </w:pPr>
          </w:p>
        </w:tc>
      </w:tr>
      <w:tr w:rsidR="00650FFD" w:rsidRPr="00650FFD" w14:paraId="0719A3C9" w14:textId="77777777" w:rsidTr="00650FFD">
        <w:trPr>
          <w:trHeight w:val="533"/>
          <w:jc w:val="center"/>
        </w:trPr>
        <w:tc>
          <w:tcPr>
            <w:tcW w:w="4581" w:type="dxa"/>
            <w:tcBorders>
              <w:top w:val="single" w:sz="4" w:space="0" w:color="366092"/>
              <w:left w:val="nil"/>
              <w:bottom w:val="single" w:sz="4" w:space="0" w:color="366092"/>
              <w:right w:val="nil"/>
            </w:tcBorders>
            <w:vAlign w:val="center"/>
          </w:tcPr>
          <w:p w14:paraId="45F601EC" w14:textId="5E63D40B" w:rsidR="00A7557E" w:rsidRPr="00650FFD" w:rsidRDefault="00A7557E" w:rsidP="003404A0">
            <w:pPr>
              <w:jc w:val="center"/>
              <w:rPr>
                <w:rFonts w:ascii="Verdana" w:eastAsia="Malgun Gothic" w:hAnsi="Verdana" w:cs="Arial"/>
                <w:color w:val="366092"/>
                <w:sz w:val="18"/>
                <w:szCs w:val="18"/>
                <w:lang w:val="el-GR"/>
              </w:rPr>
            </w:pPr>
            <w:r w:rsidRPr="00650FFD">
              <w:rPr>
                <w:rFonts w:ascii="Verdana" w:eastAsia="Malgun Gothic" w:hAnsi="Verdana" w:cs="Arial"/>
                <w:b/>
                <w:color w:val="366092"/>
                <w:sz w:val="18"/>
                <w:szCs w:val="18"/>
              </w:rPr>
              <w:t>Citizenship</w:t>
            </w:r>
          </w:p>
        </w:tc>
        <w:tc>
          <w:tcPr>
            <w:tcW w:w="1769" w:type="dxa"/>
            <w:tcBorders>
              <w:top w:val="single" w:sz="4" w:space="0" w:color="366092"/>
              <w:left w:val="nil"/>
              <w:bottom w:val="single" w:sz="4" w:space="0" w:color="366092"/>
              <w:right w:val="nil"/>
            </w:tcBorders>
            <w:vAlign w:val="center"/>
          </w:tcPr>
          <w:p w14:paraId="09B4921B" w14:textId="43FAED55" w:rsidR="00A7557E" w:rsidRPr="00650FFD" w:rsidRDefault="00A7557E" w:rsidP="003404A0">
            <w:pPr>
              <w:jc w:val="center"/>
              <w:rPr>
                <w:rFonts w:ascii="Verdana" w:hAnsi="Verdana" w:cs="Arial"/>
                <w:b/>
                <w:color w:val="366092"/>
                <w:sz w:val="18"/>
                <w:szCs w:val="18"/>
              </w:rPr>
            </w:pPr>
            <w:r w:rsidRPr="00650FFD">
              <w:rPr>
                <w:rFonts w:ascii="Verdana" w:hAnsi="Verdana" w:cs="Arial"/>
                <w:b/>
                <w:color w:val="366092"/>
                <w:sz w:val="18"/>
                <w:szCs w:val="18"/>
              </w:rPr>
              <w:t>Cypriots</w:t>
            </w:r>
          </w:p>
        </w:tc>
        <w:tc>
          <w:tcPr>
            <w:tcW w:w="1769" w:type="dxa"/>
            <w:tcBorders>
              <w:top w:val="single" w:sz="4" w:space="0" w:color="366092"/>
              <w:left w:val="nil"/>
              <w:bottom w:val="single" w:sz="4" w:space="0" w:color="366092"/>
              <w:right w:val="nil"/>
            </w:tcBorders>
            <w:vAlign w:val="center"/>
          </w:tcPr>
          <w:p w14:paraId="6F55C157" w14:textId="03EC5516" w:rsidR="00A7557E" w:rsidRPr="00650FFD" w:rsidRDefault="00A7557E" w:rsidP="003404A0">
            <w:pPr>
              <w:jc w:val="center"/>
              <w:rPr>
                <w:rFonts w:ascii="Verdana" w:hAnsi="Verdana" w:cs="Arial"/>
                <w:b/>
                <w:color w:val="366092"/>
                <w:sz w:val="18"/>
                <w:szCs w:val="18"/>
              </w:rPr>
            </w:pPr>
            <w:r w:rsidRPr="00650FFD">
              <w:rPr>
                <w:rFonts w:ascii="Verdana" w:hAnsi="Verdana" w:cs="Arial"/>
                <w:b/>
                <w:color w:val="366092"/>
                <w:sz w:val="18"/>
                <w:szCs w:val="18"/>
              </w:rPr>
              <w:t>Non</w:t>
            </w:r>
            <w:r w:rsidRPr="00650FFD">
              <w:rPr>
                <w:rFonts w:ascii="Verdana" w:hAnsi="Verdana" w:cs="Arial"/>
                <w:b/>
                <w:color w:val="366092"/>
                <w:sz w:val="18"/>
                <w:szCs w:val="18"/>
                <w:lang w:val="el-GR"/>
              </w:rPr>
              <w:t>-</w:t>
            </w:r>
            <w:r w:rsidRPr="00650FFD">
              <w:rPr>
                <w:rFonts w:ascii="Verdana" w:hAnsi="Verdana" w:cs="Arial"/>
                <w:b/>
                <w:color w:val="366092"/>
                <w:sz w:val="18"/>
                <w:szCs w:val="18"/>
              </w:rPr>
              <w:t>Cypriots</w:t>
            </w:r>
          </w:p>
        </w:tc>
        <w:tc>
          <w:tcPr>
            <w:tcW w:w="1520" w:type="dxa"/>
            <w:tcBorders>
              <w:top w:val="single" w:sz="4" w:space="0" w:color="366092"/>
              <w:left w:val="nil"/>
              <w:bottom w:val="single" w:sz="4" w:space="0" w:color="366092"/>
              <w:right w:val="nil"/>
            </w:tcBorders>
            <w:vAlign w:val="center"/>
          </w:tcPr>
          <w:p w14:paraId="47E714E6" w14:textId="67C5E2D1" w:rsidR="00A7557E" w:rsidRPr="00650FFD" w:rsidRDefault="00A7557E" w:rsidP="003404A0">
            <w:pPr>
              <w:jc w:val="center"/>
              <w:rPr>
                <w:rFonts w:ascii="Verdana" w:hAnsi="Verdana" w:cs="Arial"/>
                <w:b/>
                <w:color w:val="366092"/>
                <w:sz w:val="18"/>
                <w:szCs w:val="18"/>
              </w:rPr>
            </w:pPr>
            <w:r w:rsidRPr="00650FFD">
              <w:rPr>
                <w:rFonts w:ascii="Verdana" w:hAnsi="Verdana" w:cs="Arial"/>
                <w:b/>
                <w:color w:val="366092"/>
                <w:sz w:val="18"/>
                <w:szCs w:val="18"/>
              </w:rPr>
              <w:t>Total</w:t>
            </w:r>
          </w:p>
        </w:tc>
      </w:tr>
      <w:tr w:rsidR="00650FFD" w:rsidRPr="00650FFD" w14:paraId="2462E74F" w14:textId="77777777" w:rsidTr="00650FFD">
        <w:trPr>
          <w:trHeight w:val="374"/>
          <w:jc w:val="center"/>
        </w:trPr>
        <w:tc>
          <w:tcPr>
            <w:tcW w:w="4581" w:type="dxa"/>
            <w:tcBorders>
              <w:top w:val="single" w:sz="4" w:space="0" w:color="366092"/>
              <w:left w:val="nil"/>
              <w:bottom w:val="nil"/>
              <w:right w:val="nil"/>
            </w:tcBorders>
            <w:vAlign w:val="center"/>
          </w:tcPr>
          <w:p w14:paraId="7DACFC87" w14:textId="330138E9" w:rsidR="00B528F8" w:rsidRPr="00650FFD" w:rsidRDefault="00B528F8" w:rsidP="00B528F8">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Average monthly earnings</w:t>
            </w:r>
            <w:r w:rsidRPr="00650FFD">
              <w:rPr>
                <w:rFonts w:ascii="Verdana" w:eastAsia="Malgun Gothic" w:hAnsi="Verdana" w:cs="Arial"/>
                <w:color w:val="366092"/>
                <w:sz w:val="18"/>
                <w:szCs w:val="18"/>
                <w:lang w:val="el-GR"/>
              </w:rPr>
              <w:t xml:space="preserve"> (€)</w:t>
            </w:r>
          </w:p>
        </w:tc>
        <w:tc>
          <w:tcPr>
            <w:tcW w:w="1769" w:type="dxa"/>
            <w:tcBorders>
              <w:top w:val="single" w:sz="4" w:space="0" w:color="366092"/>
              <w:left w:val="nil"/>
              <w:bottom w:val="nil"/>
              <w:right w:val="nil"/>
            </w:tcBorders>
            <w:vAlign w:val="center"/>
          </w:tcPr>
          <w:p w14:paraId="7060D52E" w14:textId="45109AA1" w:rsidR="00B528F8" w:rsidRPr="00650FFD" w:rsidRDefault="00B528F8" w:rsidP="00B528F8">
            <w:pPr>
              <w:ind w:right="432"/>
              <w:jc w:val="right"/>
              <w:rPr>
                <w:rFonts w:ascii="Verdana" w:eastAsia="Malgun Gothic" w:hAnsi="Verdana" w:cs="Arial"/>
                <w:color w:val="366092"/>
                <w:sz w:val="18"/>
                <w:szCs w:val="18"/>
                <w:highlight w:val="yellow"/>
              </w:rPr>
            </w:pPr>
            <w:r w:rsidRPr="00650FFD">
              <w:rPr>
                <w:rFonts w:ascii="Verdana" w:eastAsia="Malgun Gothic" w:hAnsi="Verdana" w:cs="Arial"/>
                <w:color w:val="366092"/>
                <w:sz w:val="18"/>
                <w:szCs w:val="18"/>
                <w:lang w:val="el-GR"/>
              </w:rPr>
              <w:t>2.506</w:t>
            </w:r>
          </w:p>
        </w:tc>
        <w:tc>
          <w:tcPr>
            <w:tcW w:w="1769" w:type="dxa"/>
            <w:tcBorders>
              <w:top w:val="single" w:sz="4" w:space="0" w:color="366092"/>
              <w:left w:val="nil"/>
              <w:bottom w:val="nil"/>
              <w:right w:val="nil"/>
            </w:tcBorders>
            <w:vAlign w:val="center"/>
          </w:tcPr>
          <w:p w14:paraId="4DDF3594" w14:textId="54345D25" w:rsidR="00B528F8" w:rsidRPr="00650FFD" w:rsidRDefault="00B528F8" w:rsidP="00B528F8">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lang w:val="el-GR"/>
              </w:rPr>
              <w:t>2.4</w:t>
            </w:r>
            <w:r w:rsidRPr="00650FFD">
              <w:rPr>
                <w:rFonts w:ascii="Verdana" w:eastAsia="Malgun Gothic" w:hAnsi="Verdana" w:cs="Arial"/>
                <w:color w:val="366092"/>
                <w:sz w:val="18"/>
                <w:szCs w:val="18"/>
              </w:rPr>
              <w:t>34</w:t>
            </w:r>
          </w:p>
        </w:tc>
        <w:tc>
          <w:tcPr>
            <w:tcW w:w="1520" w:type="dxa"/>
            <w:tcBorders>
              <w:top w:val="single" w:sz="4" w:space="0" w:color="366092"/>
              <w:left w:val="nil"/>
              <w:bottom w:val="nil"/>
              <w:right w:val="nil"/>
            </w:tcBorders>
            <w:vAlign w:val="center"/>
          </w:tcPr>
          <w:p w14:paraId="07174FF4" w14:textId="58AF021B" w:rsidR="00B528F8" w:rsidRPr="00650FFD" w:rsidRDefault="00B528F8" w:rsidP="00B528F8">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lang w:val="el-GR"/>
              </w:rPr>
              <w:t>2.483</w:t>
            </w:r>
          </w:p>
        </w:tc>
      </w:tr>
      <w:tr w:rsidR="00650FFD" w:rsidRPr="00650FFD" w14:paraId="3CC9D354" w14:textId="77777777" w:rsidTr="00650FFD">
        <w:trPr>
          <w:trHeight w:val="374"/>
          <w:jc w:val="center"/>
        </w:trPr>
        <w:tc>
          <w:tcPr>
            <w:tcW w:w="4581" w:type="dxa"/>
            <w:tcBorders>
              <w:top w:val="nil"/>
              <w:left w:val="nil"/>
              <w:bottom w:val="single" w:sz="4" w:space="0" w:color="366092"/>
              <w:right w:val="nil"/>
            </w:tcBorders>
            <w:vAlign w:val="center"/>
          </w:tcPr>
          <w:p w14:paraId="6ACCBB81" w14:textId="715E330A" w:rsidR="00B528F8" w:rsidRPr="00650FFD" w:rsidRDefault="00B528F8" w:rsidP="00B528F8">
            <w:pPr>
              <w:rPr>
                <w:rFonts w:ascii="Verdana" w:eastAsia="Malgun Gothic" w:hAnsi="Verdana" w:cs="Arial"/>
                <w:color w:val="366092"/>
                <w:sz w:val="18"/>
                <w:szCs w:val="18"/>
              </w:rPr>
            </w:pPr>
            <w:r w:rsidRPr="00650FFD">
              <w:rPr>
                <w:rFonts w:ascii="Verdana" w:eastAsia="Malgun Gothic" w:hAnsi="Verdana" w:cs="Arial"/>
                <w:color w:val="366092"/>
                <w:sz w:val="18"/>
                <w:szCs w:val="18"/>
              </w:rPr>
              <w:t>Annual change (%)</w:t>
            </w:r>
          </w:p>
        </w:tc>
        <w:tc>
          <w:tcPr>
            <w:tcW w:w="1769" w:type="dxa"/>
            <w:tcBorders>
              <w:top w:val="nil"/>
              <w:left w:val="nil"/>
              <w:bottom w:val="single" w:sz="4" w:space="0" w:color="366092"/>
              <w:right w:val="nil"/>
            </w:tcBorders>
            <w:vAlign w:val="center"/>
          </w:tcPr>
          <w:p w14:paraId="4B422951" w14:textId="482EDDB3" w:rsidR="00B528F8" w:rsidRPr="00650FFD" w:rsidRDefault="00B528F8" w:rsidP="00B528F8">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lang w:val="el-GR"/>
              </w:rPr>
              <w:t>5,4</w:t>
            </w:r>
          </w:p>
        </w:tc>
        <w:tc>
          <w:tcPr>
            <w:tcW w:w="1769" w:type="dxa"/>
            <w:tcBorders>
              <w:top w:val="nil"/>
              <w:left w:val="nil"/>
              <w:bottom w:val="single" w:sz="4" w:space="0" w:color="366092"/>
              <w:right w:val="nil"/>
            </w:tcBorders>
            <w:vAlign w:val="center"/>
          </w:tcPr>
          <w:p w14:paraId="4437E02B" w14:textId="03146E58" w:rsidR="00B528F8" w:rsidRPr="00650FFD" w:rsidRDefault="00B528F8" w:rsidP="00B528F8">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4</w:t>
            </w:r>
            <w:r w:rsidRPr="00650FFD">
              <w:rPr>
                <w:rFonts w:ascii="Verdana" w:eastAsia="Malgun Gothic" w:hAnsi="Verdana" w:cs="Arial"/>
                <w:color w:val="366092"/>
                <w:sz w:val="18"/>
                <w:szCs w:val="18"/>
                <w:lang w:val="el-GR"/>
              </w:rPr>
              <w:t>,</w:t>
            </w:r>
            <w:r w:rsidRPr="00650FFD">
              <w:rPr>
                <w:rFonts w:ascii="Verdana" w:eastAsia="Malgun Gothic" w:hAnsi="Verdana" w:cs="Arial"/>
                <w:color w:val="366092"/>
                <w:sz w:val="18"/>
                <w:szCs w:val="18"/>
              </w:rPr>
              <w:t>3</w:t>
            </w:r>
          </w:p>
        </w:tc>
        <w:tc>
          <w:tcPr>
            <w:tcW w:w="1520" w:type="dxa"/>
            <w:tcBorders>
              <w:top w:val="nil"/>
              <w:left w:val="nil"/>
              <w:bottom w:val="single" w:sz="4" w:space="0" w:color="366092"/>
              <w:right w:val="nil"/>
            </w:tcBorders>
            <w:vAlign w:val="center"/>
          </w:tcPr>
          <w:p w14:paraId="2E9F9FFF" w14:textId="5E18B4D8" w:rsidR="00B528F8" w:rsidRPr="00650FFD" w:rsidRDefault="00B528F8" w:rsidP="00B528F8">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lang w:val="el-GR"/>
              </w:rPr>
              <w:t>5,</w:t>
            </w:r>
            <w:r w:rsidRPr="00650FFD">
              <w:rPr>
                <w:rFonts w:ascii="Verdana" w:eastAsia="Malgun Gothic" w:hAnsi="Verdana" w:cs="Arial"/>
                <w:color w:val="366092"/>
                <w:sz w:val="18"/>
                <w:szCs w:val="18"/>
              </w:rPr>
              <w:t>1</w:t>
            </w:r>
          </w:p>
        </w:tc>
      </w:tr>
      <w:tr w:rsidR="00650FFD" w:rsidRPr="00650FFD" w14:paraId="2448DAA2" w14:textId="77777777" w:rsidTr="00650FFD">
        <w:trPr>
          <w:trHeight w:val="374"/>
          <w:jc w:val="center"/>
        </w:trPr>
        <w:tc>
          <w:tcPr>
            <w:tcW w:w="4581" w:type="dxa"/>
            <w:tcBorders>
              <w:top w:val="single" w:sz="4" w:space="0" w:color="366092"/>
              <w:left w:val="nil"/>
              <w:bottom w:val="single" w:sz="4" w:space="0" w:color="366092"/>
              <w:right w:val="nil"/>
            </w:tcBorders>
            <w:vAlign w:val="center"/>
          </w:tcPr>
          <w:p w14:paraId="015086DD" w14:textId="106D51D9" w:rsidR="00B528F8" w:rsidRPr="00650FFD" w:rsidRDefault="00B528F8" w:rsidP="00B528F8">
            <w:pPr>
              <w:rPr>
                <w:rFonts w:ascii="Verdana" w:eastAsia="Malgun Gothic" w:hAnsi="Verdana" w:cs="Arial"/>
                <w:color w:val="366092"/>
                <w:sz w:val="18"/>
                <w:szCs w:val="18"/>
              </w:rPr>
            </w:pPr>
            <w:r w:rsidRPr="00650FFD">
              <w:rPr>
                <w:rFonts w:ascii="Verdana" w:eastAsia="Malgun Gothic" w:hAnsi="Verdana" w:cs="Arial"/>
                <w:color w:val="366092"/>
                <w:sz w:val="18"/>
                <w:szCs w:val="18"/>
              </w:rPr>
              <w:t>Median monthly earnings (€)</w:t>
            </w:r>
          </w:p>
        </w:tc>
        <w:tc>
          <w:tcPr>
            <w:tcW w:w="1769" w:type="dxa"/>
            <w:tcBorders>
              <w:top w:val="single" w:sz="4" w:space="0" w:color="366092"/>
              <w:left w:val="nil"/>
              <w:bottom w:val="single" w:sz="4" w:space="0" w:color="366092"/>
              <w:right w:val="nil"/>
            </w:tcBorders>
            <w:vAlign w:val="center"/>
          </w:tcPr>
          <w:p w14:paraId="09527281" w14:textId="1E698E7B" w:rsidR="00B528F8" w:rsidRPr="00650FFD" w:rsidRDefault="00B528F8" w:rsidP="00B528F8">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w:t>
            </w:r>
            <w:r w:rsidRPr="00650FFD">
              <w:rPr>
                <w:rFonts w:ascii="Verdana" w:eastAsia="Malgun Gothic" w:hAnsi="Verdana" w:cs="Arial"/>
                <w:color w:val="366092"/>
                <w:sz w:val="18"/>
                <w:szCs w:val="18"/>
                <w:lang w:val="el-GR"/>
              </w:rPr>
              <w:t>.</w:t>
            </w:r>
            <w:r w:rsidRPr="00650FFD">
              <w:rPr>
                <w:rFonts w:ascii="Verdana" w:eastAsia="Malgun Gothic" w:hAnsi="Verdana" w:cs="Arial"/>
                <w:color w:val="366092"/>
                <w:sz w:val="18"/>
                <w:szCs w:val="18"/>
              </w:rPr>
              <w:t>053</w:t>
            </w:r>
          </w:p>
        </w:tc>
        <w:tc>
          <w:tcPr>
            <w:tcW w:w="1769" w:type="dxa"/>
            <w:tcBorders>
              <w:top w:val="single" w:sz="4" w:space="0" w:color="366092"/>
              <w:left w:val="nil"/>
              <w:bottom w:val="single" w:sz="4" w:space="0" w:color="366092"/>
              <w:right w:val="nil"/>
            </w:tcBorders>
            <w:vAlign w:val="center"/>
          </w:tcPr>
          <w:p w14:paraId="3AFF6467" w14:textId="581BAC6C" w:rsidR="00B528F8" w:rsidRPr="00650FFD" w:rsidRDefault="00B528F8" w:rsidP="00B528F8">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lang w:val="el-GR"/>
              </w:rPr>
              <w:t>1.</w:t>
            </w:r>
            <w:r w:rsidRPr="00650FFD">
              <w:rPr>
                <w:rFonts w:ascii="Verdana" w:eastAsia="Malgun Gothic" w:hAnsi="Verdana" w:cs="Arial"/>
                <w:color w:val="366092"/>
                <w:sz w:val="18"/>
                <w:szCs w:val="18"/>
              </w:rPr>
              <w:t>544</w:t>
            </w:r>
          </w:p>
        </w:tc>
        <w:tc>
          <w:tcPr>
            <w:tcW w:w="1520" w:type="dxa"/>
            <w:tcBorders>
              <w:top w:val="single" w:sz="4" w:space="0" w:color="366092"/>
              <w:left w:val="nil"/>
              <w:bottom w:val="single" w:sz="4" w:space="0" w:color="366092"/>
              <w:right w:val="nil"/>
            </w:tcBorders>
            <w:vAlign w:val="center"/>
          </w:tcPr>
          <w:p w14:paraId="72BBA8D5" w14:textId="374591EF" w:rsidR="00B528F8" w:rsidRPr="00650FFD" w:rsidRDefault="00B528F8" w:rsidP="00B528F8">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lang w:val="el-GR"/>
              </w:rPr>
              <w:t>1.881</w:t>
            </w:r>
          </w:p>
        </w:tc>
      </w:tr>
    </w:tbl>
    <w:p w14:paraId="1B872740" w14:textId="2AF984F0" w:rsidR="000A11C4" w:rsidRDefault="000A11C4">
      <w:pPr>
        <w:rPr>
          <w:rFonts w:ascii="Verdana" w:eastAsia="Malgun Gothic" w:hAnsi="Verdana" w:cs="Arial"/>
          <w:sz w:val="18"/>
          <w:szCs w:val="18"/>
        </w:rPr>
      </w:pPr>
    </w:p>
    <w:p w14:paraId="5B88E753" w14:textId="77777777" w:rsidR="0030314D" w:rsidRPr="00A7557E" w:rsidRDefault="0030314D">
      <w:pPr>
        <w:rPr>
          <w:rFonts w:ascii="Verdana" w:eastAsia="Malgun Gothic" w:hAnsi="Verdana" w:cs="Arial"/>
          <w:sz w:val="18"/>
          <w:szCs w:val="18"/>
        </w:rPr>
      </w:pPr>
    </w:p>
    <w:p w14:paraId="7DAA601A" w14:textId="7FDF96C6" w:rsidR="00E46F6C" w:rsidRPr="005A2230" w:rsidRDefault="00E46F6C" w:rsidP="00E46F6C">
      <w:pPr>
        <w:jc w:val="both"/>
        <w:rPr>
          <w:rFonts w:ascii="Verdana" w:eastAsia="Malgun Gothic" w:hAnsi="Verdana" w:cs="Arial"/>
          <w:b/>
          <w:sz w:val="18"/>
          <w:szCs w:val="18"/>
        </w:rPr>
      </w:pPr>
      <w:r w:rsidRPr="005A2230">
        <w:rPr>
          <w:rFonts w:ascii="Verdana" w:eastAsia="Malgun Gothic" w:hAnsi="Verdana" w:cs="Arial"/>
          <w:b/>
          <w:sz w:val="18"/>
          <w:szCs w:val="18"/>
        </w:rPr>
        <w:t xml:space="preserve">Distribution of Employees by Gross Monthly Earnings and </w:t>
      </w:r>
      <w:r>
        <w:rPr>
          <w:rFonts w:ascii="Verdana" w:eastAsia="Malgun Gothic" w:hAnsi="Verdana" w:cs="Arial"/>
          <w:b/>
          <w:sz w:val="18"/>
          <w:szCs w:val="18"/>
        </w:rPr>
        <w:t>Citizenship</w:t>
      </w:r>
    </w:p>
    <w:p w14:paraId="0C35C128" w14:textId="77777777" w:rsidR="00E46F6C" w:rsidRDefault="00E46F6C" w:rsidP="00E46F6C">
      <w:pPr>
        <w:jc w:val="both"/>
        <w:rPr>
          <w:rFonts w:ascii="Verdana" w:eastAsia="Malgun Gothic" w:hAnsi="Verdana" w:cs="Arial"/>
          <w:sz w:val="18"/>
          <w:szCs w:val="18"/>
        </w:rPr>
      </w:pPr>
    </w:p>
    <w:p w14:paraId="2203DB89" w14:textId="701A6824" w:rsidR="00DA52B3" w:rsidRDefault="000D2494" w:rsidP="00E46F6C">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Figure 3</w:t>
      </w:r>
      <w:r w:rsidR="0030314D" w:rsidRPr="0030314D">
        <w:rPr>
          <w:rFonts w:ascii="Verdana" w:eastAsia="Malgun Gothic" w:hAnsi="Verdana" w:cs="Arial"/>
          <w:sz w:val="18"/>
          <w:szCs w:val="18"/>
        </w:rPr>
        <w:t xml:space="preserve"> shows the percentage distribution of employees by </w:t>
      </w:r>
      <w:r w:rsidR="0030314D">
        <w:rPr>
          <w:rFonts w:ascii="Verdana" w:eastAsia="Malgun Gothic" w:hAnsi="Verdana" w:cs="Arial"/>
          <w:sz w:val="18"/>
          <w:szCs w:val="18"/>
        </w:rPr>
        <w:t xml:space="preserve">group of </w:t>
      </w:r>
      <w:r w:rsidR="0030314D" w:rsidRPr="0030314D">
        <w:rPr>
          <w:rFonts w:ascii="Verdana" w:eastAsia="Malgun Gothic" w:hAnsi="Verdana" w:cs="Arial"/>
          <w:sz w:val="18"/>
          <w:szCs w:val="18"/>
        </w:rPr>
        <w:t xml:space="preserve">gross monthly earnings and citizenship. Compared to Cypriot employees, non-Cypriot employees have higher percentages in both the lowest (&lt;€1,500) and highest (≥€6,000) earnings groups. </w:t>
      </w:r>
    </w:p>
    <w:p w14:paraId="2B1504A0" w14:textId="77777777" w:rsidR="00E46F6C" w:rsidRDefault="00E46F6C" w:rsidP="00E46F6C">
      <w:pPr>
        <w:rPr>
          <w:rFonts w:ascii="Verdana" w:eastAsia="Malgun Gothic" w:hAnsi="Verdana" w:cs="Arial"/>
          <w:b/>
          <w:color w:val="365F91"/>
          <w:sz w:val="18"/>
          <w:szCs w:val="18"/>
        </w:rPr>
      </w:pPr>
    </w:p>
    <w:p w14:paraId="4CDB8D84" w14:textId="26636D98" w:rsidR="00CA0606" w:rsidRDefault="00CA0606" w:rsidP="00E46F6C">
      <w:pPr>
        <w:rPr>
          <w:rFonts w:ascii="Verdana" w:eastAsia="Malgun Gothic" w:hAnsi="Verdana" w:cs="Arial"/>
          <w:sz w:val="18"/>
          <w:szCs w:val="18"/>
        </w:rPr>
      </w:pPr>
    </w:p>
    <w:p w14:paraId="4F70229B" w14:textId="3F20E784" w:rsidR="00CA0606" w:rsidRDefault="00985C6D" w:rsidP="00E605D3">
      <w:pPr>
        <w:jc w:val="center"/>
        <w:rPr>
          <w:rFonts w:ascii="Verdana" w:eastAsia="Malgun Gothic" w:hAnsi="Verdana" w:cs="Arial"/>
          <w:sz w:val="18"/>
          <w:szCs w:val="18"/>
        </w:rPr>
      </w:pPr>
      <w:r>
        <w:rPr>
          <w:noProof/>
        </w:rPr>
        <mc:AlternateContent>
          <mc:Choice Requires="wpg">
            <w:drawing>
              <wp:anchor distT="0" distB="0" distL="114300" distR="114300" simplePos="0" relativeHeight="251659264" behindDoc="0" locked="0" layoutInCell="1" allowOverlap="1" wp14:anchorId="6C5E7BEE" wp14:editId="7FC55683">
                <wp:simplePos x="0" y="0"/>
                <wp:positionH relativeFrom="column">
                  <wp:posOffset>0</wp:posOffset>
                </wp:positionH>
                <wp:positionV relativeFrom="paragraph">
                  <wp:posOffset>0</wp:posOffset>
                </wp:positionV>
                <wp:extent cx="6150529" cy="3200400"/>
                <wp:effectExtent l="0" t="0" r="22225" b="19050"/>
                <wp:wrapNone/>
                <wp:docPr id="28" name="Group 27">
                  <a:extLst xmlns:a="http://schemas.openxmlformats.org/drawingml/2006/main">
                    <a:ext uri="{FF2B5EF4-FFF2-40B4-BE49-F238E27FC236}">
                      <a16:creationId xmlns:a16="http://schemas.microsoft.com/office/drawing/2014/main" id="{BCD4B1E6-14D1-0D6D-823D-2DD23982162A}"/>
                    </a:ext>
                  </a:extLst>
                </wp:docPr>
                <wp:cNvGraphicFramePr/>
                <a:graphic xmlns:a="http://schemas.openxmlformats.org/drawingml/2006/main">
                  <a:graphicData uri="http://schemas.microsoft.com/office/word/2010/wordprocessingGroup">
                    <wpg:wgp>
                      <wpg:cNvGrpSpPr/>
                      <wpg:grpSpPr>
                        <a:xfrm>
                          <a:off x="0" y="0"/>
                          <a:ext cx="6150529" cy="3200400"/>
                          <a:chOff x="0" y="0"/>
                          <a:chExt cx="6150529" cy="3200400"/>
                        </a:xfrm>
                      </wpg:grpSpPr>
                      <wps:wsp>
                        <wps:cNvPr id="28058089" name="Rectangle 28058089">
                          <a:extLst>
                            <a:ext uri="{FF2B5EF4-FFF2-40B4-BE49-F238E27FC236}">
                              <a16:creationId xmlns:a16="http://schemas.microsoft.com/office/drawing/2014/main" id="{F3DEDC25-2F61-F45B-5862-A3656C7699FB}"/>
                            </a:ext>
                          </a:extLst>
                        </wps:cNvPr>
                        <wps:cNvSpPr/>
                        <wps:spPr>
                          <a:xfrm>
                            <a:off x="0" y="0"/>
                            <a:ext cx="6150529" cy="3200400"/>
                          </a:xfrm>
                          <a:prstGeom prst="rect">
                            <a:avLst/>
                          </a:prstGeom>
                          <a:solidFill>
                            <a:schemeClr val="bg1"/>
                          </a:solidFill>
                          <a:ln w="9525">
                            <a:solidFill>
                              <a:srgbClr val="558ED5">
                                <a:alpha val="50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aphicFrame>
                        <wpg:cNvPr id="1719804152" name="Chart 1719804152">
                          <a:extLst>
                            <a:ext uri="{FF2B5EF4-FFF2-40B4-BE49-F238E27FC236}">
                              <a16:creationId xmlns:a16="http://schemas.microsoft.com/office/drawing/2014/main" id="{40A63B40-ABDF-9DE1-B0CF-7C762F83ED8E}"/>
                            </a:ext>
                          </a:extLst>
                        </wpg:cNvPr>
                        <wpg:cNvFrPr/>
                        <wpg:xfrm>
                          <a:off x="168221" y="618879"/>
                          <a:ext cx="3374209" cy="2543174"/>
                        </wpg:xfrm>
                        <a:graphic>
                          <a:graphicData uri="http://schemas.openxmlformats.org/drawingml/2006/chart">
                            <c:chart xmlns:c="http://schemas.openxmlformats.org/drawingml/2006/chart" xmlns:r="http://schemas.openxmlformats.org/officeDocument/2006/relationships" r:id="rId10"/>
                          </a:graphicData>
                        </a:graphic>
                      </wpg:graphicFrame>
                      <wps:wsp>
                        <wps:cNvPr id="1699631521" name="TextBox 22">
                          <a:extLst>
                            <a:ext uri="{FF2B5EF4-FFF2-40B4-BE49-F238E27FC236}">
                              <a16:creationId xmlns:a16="http://schemas.microsoft.com/office/drawing/2014/main" id="{C971CABD-0194-B5D4-665A-A4FA459B401F}"/>
                            </a:ext>
                          </a:extLst>
                        </wps:cNvPr>
                        <wps:cNvSpPr txBox="1"/>
                        <wps:spPr>
                          <a:xfrm>
                            <a:off x="53626" y="81085"/>
                            <a:ext cx="6048110" cy="455002"/>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E155930" w14:textId="25947136" w:rsidR="00985C6D" w:rsidRDefault="000D2494" w:rsidP="00985C6D">
                              <w:pPr>
                                <w:jc w:val="center"/>
                                <w:textAlignment w:val="baseline"/>
                                <w:rPr>
                                  <w:rFonts w:ascii="Verdana" w:eastAsia="Verdana" w:hAnsi="Verdana" w:cstheme="minorBidi"/>
                                  <w:b/>
                                  <w:bCs/>
                                  <w:color w:val="000000" w:themeColor="dark1"/>
                                  <w:sz w:val="21"/>
                                  <w:szCs w:val="21"/>
                                </w:rPr>
                              </w:pPr>
                              <w:r>
                                <w:rPr>
                                  <w:rFonts w:ascii="Verdana" w:eastAsia="Verdana" w:hAnsi="Verdana" w:cstheme="minorBidi"/>
                                  <w:b/>
                                  <w:bCs/>
                                  <w:color w:val="000000" w:themeColor="dark1"/>
                                  <w:sz w:val="21"/>
                                  <w:szCs w:val="21"/>
                                </w:rPr>
                                <w:t>Figure</w:t>
                              </w:r>
                              <w:r w:rsidR="00985C6D" w:rsidRPr="00985C6D">
                                <w:rPr>
                                  <w:rFonts w:ascii="Verdana" w:eastAsia="Verdana" w:hAnsi="Verdana" w:cstheme="minorBidi"/>
                                  <w:b/>
                                  <w:bCs/>
                                  <w:color w:val="000000" w:themeColor="dark1"/>
                                  <w:sz w:val="21"/>
                                  <w:szCs w:val="21"/>
                                </w:rPr>
                                <w:t xml:space="preserve"> </w:t>
                              </w:r>
                              <w:r>
                                <w:rPr>
                                  <w:rFonts w:ascii="Verdana" w:eastAsia="Verdana" w:hAnsi="Verdana" w:cstheme="minorBidi"/>
                                  <w:b/>
                                  <w:bCs/>
                                  <w:color w:val="000000" w:themeColor="dark1"/>
                                  <w:sz w:val="21"/>
                                  <w:szCs w:val="21"/>
                                </w:rPr>
                                <w:t>3</w:t>
                              </w:r>
                              <w:r w:rsidR="00985C6D" w:rsidRPr="00985C6D">
                                <w:rPr>
                                  <w:rFonts w:ascii="Verdana" w:eastAsia="Verdana" w:hAnsi="Verdana" w:cstheme="minorBidi"/>
                                  <w:b/>
                                  <w:bCs/>
                                  <w:color w:val="000000" w:themeColor="dark1"/>
                                  <w:sz w:val="21"/>
                                  <w:szCs w:val="21"/>
                                </w:rPr>
                                <w:t xml:space="preserve">: </w:t>
                              </w:r>
                              <w:r w:rsidR="00985C6D">
                                <w:rPr>
                                  <w:rFonts w:ascii="Verdana" w:eastAsia="Verdana" w:hAnsi="Verdana" w:cstheme="minorBidi"/>
                                  <w:b/>
                                  <w:bCs/>
                                  <w:color w:val="000000" w:themeColor="dark1"/>
                                  <w:sz w:val="21"/>
                                  <w:szCs w:val="21"/>
                                </w:rPr>
                                <w:t>Distribution of Employees by Gross Monthly Earnings</w:t>
                              </w:r>
                            </w:p>
                            <w:p w14:paraId="040B4349" w14:textId="77777777" w:rsidR="00985C6D" w:rsidRDefault="00985C6D" w:rsidP="00985C6D">
                              <w:pPr>
                                <w:jc w:val="center"/>
                                <w:rPr>
                                  <w:rFonts w:ascii="Verdana" w:eastAsia="Verdana" w:hAnsi="Verdana" w:cstheme="minorBidi"/>
                                  <w:b/>
                                  <w:bCs/>
                                  <w:color w:val="000000" w:themeColor="dark1"/>
                                  <w:sz w:val="21"/>
                                  <w:szCs w:val="21"/>
                                </w:rPr>
                              </w:pPr>
                              <w:r>
                                <w:rPr>
                                  <w:rFonts w:ascii="Verdana" w:eastAsia="Verdana" w:hAnsi="Verdana" w:cstheme="minorBidi"/>
                                  <w:b/>
                                  <w:bCs/>
                                  <w:color w:val="000000" w:themeColor="dark1"/>
                                  <w:sz w:val="21"/>
                                  <w:szCs w:val="21"/>
                                </w:rPr>
                                <w:t>and Citizenship</w:t>
                              </w:r>
                              <w:r>
                                <w:rPr>
                                  <w:rFonts w:ascii="Verdana" w:eastAsia="Verdana" w:hAnsi="Verdana" w:cstheme="minorBidi"/>
                                  <w:b/>
                                  <w:bCs/>
                                  <w:color w:val="000000" w:themeColor="dark1"/>
                                  <w:sz w:val="21"/>
                                  <w:szCs w:val="21"/>
                                  <w:lang w:val="el-GR"/>
                                </w:rPr>
                                <w:t>, 2024</w:t>
                              </w:r>
                            </w:p>
                          </w:txbxContent>
                        </wps:txbx>
                        <wps:bodyPr wrap="square" rtlCol="0" anchor="t"/>
                      </wps:wsp>
                      <wpg:graphicFrame>
                        <wpg:cNvPr id="1302241746" name="Chart 1302241746">
                          <a:extLst>
                            <a:ext uri="{FF2B5EF4-FFF2-40B4-BE49-F238E27FC236}">
                              <a16:creationId xmlns:a16="http://schemas.microsoft.com/office/drawing/2014/main" id="{22657B19-B1DE-5601-9DC8-85B85130C2E9}"/>
                            </a:ext>
                          </a:extLst>
                        </wpg:cNvPr>
                        <wpg:cNvFrPr>
                          <a:graphicFrameLocks/>
                        </wpg:cNvFrPr>
                        <wpg:xfrm>
                          <a:off x="3563489" y="579194"/>
                          <a:ext cx="2493682" cy="2393970"/>
                        </wpg:xfrm>
                        <a:graphic>
                          <a:graphicData uri="http://schemas.openxmlformats.org/drawingml/2006/chart">
                            <c:chart xmlns:c="http://schemas.openxmlformats.org/drawingml/2006/chart" xmlns:r="http://schemas.openxmlformats.org/officeDocument/2006/relationships" r:id="rId11"/>
                          </a:graphicData>
                        </a:graphic>
                      </wpg:graphicFrame>
                    </wpg:wgp>
                  </a:graphicData>
                </a:graphic>
              </wp:anchor>
            </w:drawing>
          </mc:Choice>
          <mc:Fallback>
            <w:pict>
              <v:group w14:anchorId="6C5E7BEE" id="Group 27" o:spid="_x0000_s1026" style="position:absolute;left:0;text-align:left;margin-left:0;margin-top:0;width:484.3pt;height:252pt;z-index:251659264" coordsize="61505,32004"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">
                <v:rect id="Rectangle 28058089" o:spid="_x0000_s1027" style="position:absolute;width:61505;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" fillcolor="white [3212]" strokecolor="#558ed5">
                  <v:stroke opacity="32896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719804152" o:spid="_x0000_s1028" type="#_x0000_t75" style="position:absolute;left:1645;top:6217;width:33772;height:254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">
                  <v:imagedata r:id="rId12" o:title=""/>
                  <o:lock v:ext="edit" aspectratio="f"/>
                </v:shape>
                <v:shapetype id="_x0000_t202" coordsize="21600,21600" o:spt="202" path="m,l,21600r21600,l21600,xe">
                  <v:stroke joinstyle="miter"/>
                  <v:path gradientshapeok="t" o:connecttype="rect"/>
                </v:shapetype>
                <v:shape id="TextBox 22" o:spid="_x0000_s1029" type="#_x0000_t202" style="position:absolute;left:536;top:810;width:60481;height:4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" fillcolor="white [3201]" stroked="f">
                  <v:textbox>
                    <w:txbxContent>
                      <w:p w14:paraId="2E155930" w14:textId="25947136" w:rsidR="00985C6D" w:rsidRDefault="000D2494" w:rsidP="00985C6D">
                        <w:pPr>
                          <w:jc w:val="center"/>
                          <w:textAlignment w:val="baseline"/>
                          <w:rPr>
                            <w:rFonts w:ascii="Verdana" w:eastAsia="Verdana" w:hAnsi="Verdana" w:cstheme="minorBidi"/>
                            <w:b/>
                            <w:bCs/>
                            <w:color w:val="000000" w:themeColor="dark1"/>
                            <w:sz w:val="21"/>
                            <w:szCs w:val="21"/>
                          </w:rPr>
                        </w:pPr>
                        <w:r>
                          <w:rPr>
                            <w:rFonts w:ascii="Verdana" w:eastAsia="Verdana" w:hAnsi="Verdana" w:cstheme="minorBidi"/>
                            <w:b/>
                            <w:bCs/>
                            <w:color w:val="000000" w:themeColor="dark1"/>
                            <w:sz w:val="21"/>
                            <w:szCs w:val="21"/>
                          </w:rPr>
                          <w:t>Figure</w:t>
                        </w:r>
                        <w:r w:rsidR="00985C6D" w:rsidRPr="00985C6D">
                          <w:rPr>
                            <w:rFonts w:ascii="Verdana" w:eastAsia="Verdana" w:hAnsi="Verdana" w:cstheme="minorBidi"/>
                            <w:b/>
                            <w:bCs/>
                            <w:color w:val="000000" w:themeColor="dark1"/>
                            <w:sz w:val="21"/>
                            <w:szCs w:val="21"/>
                          </w:rPr>
                          <w:t xml:space="preserve"> </w:t>
                        </w:r>
                        <w:r>
                          <w:rPr>
                            <w:rFonts w:ascii="Verdana" w:eastAsia="Verdana" w:hAnsi="Verdana" w:cstheme="minorBidi"/>
                            <w:b/>
                            <w:bCs/>
                            <w:color w:val="000000" w:themeColor="dark1"/>
                            <w:sz w:val="21"/>
                            <w:szCs w:val="21"/>
                          </w:rPr>
                          <w:t>3</w:t>
                        </w:r>
                        <w:r w:rsidR="00985C6D" w:rsidRPr="00985C6D">
                          <w:rPr>
                            <w:rFonts w:ascii="Verdana" w:eastAsia="Verdana" w:hAnsi="Verdana" w:cstheme="minorBidi"/>
                            <w:b/>
                            <w:bCs/>
                            <w:color w:val="000000" w:themeColor="dark1"/>
                            <w:sz w:val="21"/>
                            <w:szCs w:val="21"/>
                          </w:rPr>
                          <w:t xml:space="preserve">: </w:t>
                        </w:r>
                        <w:r w:rsidR="00985C6D">
                          <w:rPr>
                            <w:rFonts w:ascii="Verdana" w:eastAsia="Verdana" w:hAnsi="Verdana" w:cstheme="minorBidi"/>
                            <w:b/>
                            <w:bCs/>
                            <w:color w:val="000000" w:themeColor="dark1"/>
                            <w:sz w:val="21"/>
                            <w:szCs w:val="21"/>
                          </w:rPr>
                          <w:t>Distribution of Employees by Gross Monthly Earnings</w:t>
                        </w:r>
                      </w:p>
                      <w:p w14:paraId="040B4349" w14:textId="77777777" w:rsidR="00985C6D" w:rsidRDefault="00985C6D" w:rsidP="00985C6D">
                        <w:pPr>
                          <w:jc w:val="center"/>
                          <w:rPr>
                            <w:rFonts w:ascii="Verdana" w:eastAsia="Verdana" w:hAnsi="Verdana" w:cstheme="minorBidi"/>
                            <w:b/>
                            <w:bCs/>
                            <w:color w:val="000000" w:themeColor="dark1"/>
                            <w:sz w:val="21"/>
                            <w:szCs w:val="21"/>
                          </w:rPr>
                        </w:pPr>
                        <w:r>
                          <w:rPr>
                            <w:rFonts w:ascii="Verdana" w:eastAsia="Verdana" w:hAnsi="Verdana" w:cstheme="minorBidi"/>
                            <w:b/>
                            <w:bCs/>
                            <w:color w:val="000000" w:themeColor="dark1"/>
                            <w:sz w:val="21"/>
                            <w:szCs w:val="21"/>
                          </w:rPr>
                          <w:t>and Citizenship</w:t>
                        </w:r>
                        <w:r>
                          <w:rPr>
                            <w:rFonts w:ascii="Verdana" w:eastAsia="Verdana" w:hAnsi="Verdana" w:cstheme="minorBidi"/>
                            <w:b/>
                            <w:bCs/>
                            <w:color w:val="000000" w:themeColor="dark1"/>
                            <w:sz w:val="21"/>
                            <w:szCs w:val="21"/>
                            <w:lang w:val="el-GR"/>
                          </w:rPr>
                          <w:t>, 2024</w:t>
                        </w:r>
                      </w:p>
                    </w:txbxContent>
                  </v:textbox>
                </v:shape>
                <v:shape id="Chart 1302241746" o:spid="_x0000_s1030" type="#_x0000_t75" style="position:absolute;left:38039;top:7315;width:22311;height:196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">
                  <v:imagedata r:id="rId13" o:title=""/>
                  <o:lock v:ext="edit" aspectratio="f"/>
                </v:shape>
              </v:group>
            </w:pict>
          </mc:Fallback>
        </mc:AlternateContent>
      </w:r>
    </w:p>
    <w:p w14:paraId="59A1FA0F" w14:textId="77777777" w:rsidR="00CA0606" w:rsidRDefault="00CA0606" w:rsidP="00E46F6C">
      <w:pPr>
        <w:rPr>
          <w:rFonts w:ascii="Verdana" w:eastAsia="Malgun Gothic" w:hAnsi="Verdana" w:cs="Arial"/>
          <w:sz w:val="18"/>
          <w:szCs w:val="18"/>
        </w:rPr>
      </w:pPr>
    </w:p>
    <w:p w14:paraId="73E46732" w14:textId="3602F495" w:rsidR="00CA0606" w:rsidRDefault="00CA0606" w:rsidP="004754EF">
      <w:pPr>
        <w:jc w:val="both"/>
        <w:rPr>
          <w:rFonts w:ascii="Verdana" w:eastAsia="Malgun Gothic" w:hAnsi="Verdana" w:cs="Arial"/>
          <w:b/>
          <w:sz w:val="18"/>
          <w:szCs w:val="18"/>
        </w:rPr>
      </w:pPr>
      <w:r w:rsidRPr="00CA0606">
        <w:rPr>
          <w:rFonts w:ascii="Verdana" w:eastAsia="Malgun Gothic" w:hAnsi="Verdana" w:cs="Arial"/>
          <w:b/>
          <w:sz w:val="18"/>
          <w:szCs w:val="18"/>
        </w:rPr>
        <w:t>Average gross monthly earnings by branch of Economic Activity and Citizenship</w:t>
      </w:r>
    </w:p>
    <w:p w14:paraId="2A6DB785" w14:textId="4E26366B" w:rsidR="00CA0606" w:rsidRDefault="00CA0606" w:rsidP="004754EF">
      <w:pPr>
        <w:jc w:val="both"/>
        <w:rPr>
          <w:rFonts w:ascii="Verdana" w:eastAsia="Malgun Gothic" w:hAnsi="Verdana" w:cs="Arial"/>
          <w:b/>
          <w:sz w:val="18"/>
          <w:szCs w:val="18"/>
        </w:rPr>
      </w:pPr>
    </w:p>
    <w:p w14:paraId="64B62ED6" w14:textId="58AC98CF" w:rsidR="00A7557E" w:rsidRDefault="00A7557E" w:rsidP="004754EF">
      <w:pPr>
        <w:jc w:val="both"/>
        <w:rPr>
          <w:rFonts w:ascii="Verdana" w:eastAsia="Malgun Gothic" w:hAnsi="Verdana" w:cs="Arial"/>
          <w:sz w:val="18"/>
          <w:szCs w:val="18"/>
        </w:rPr>
      </w:pPr>
      <w:r>
        <w:rPr>
          <w:rFonts w:ascii="Verdana" w:eastAsia="Malgun Gothic" w:hAnsi="Verdana" w:cs="Arial"/>
          <w:sz w:val="18"/>
          <w:szCs w:val="18"/>
        </w:rPr>
        <w:t xml:space="preserve">Average gross monthly earnings </w:t>
      </w:r>
      <w:r w:rsidRPr="002E1A6D">
        <w:rPr>
          <w:rFonts w:ascii="Verdana" w:eastAsia="Malgun Gothic" w:hAnsi="Verdana" w:cs="Arial"/>
          <w:sz w:val="18"/>
          <w:szCs w:val="18"/>
        </w:rPr>
        <w:t>by branch of economic activity</w:t>
      </w:r>
      <w:r>
        <w:rPr>
          <w:rFonts w:ascii="Verdana" w:eastAsia="Malgun Gothic" w:hAnsi="Verdana" w:cs="Arial"/>
          <w:sz w:val="18"/>
          <w:szCs w:val="18"/>
        </w:rPr>
        <w:t xml:space="preserve"> are shown in table </w:t>
      </w:r>
      <w:r w:rsidR="00CA0606">
        <w:rPr>
          <w:rFonts w:ascii="Verdana" w:eastAsia="Malgun Gothic" w:hAnsi="Verdana" w:cs="Arial"/>
          <w:sz w:val="18"/>
          <w:szCs w:val="18"/>
        </w:rPr>
        <w:t xml:space="preserve">3. </w:t>
      </w:r>
      <w:r w:rsidR="00CA0606" w:rsidRPr="00CA0606">
        <w:rPr>
          <w:rFonts w:ascii="Verdana" w:eastAsia="Malgun Gothic" w:hAnsi="Verdana" w:cs="Arial"/>
          <w:sz w:val="18"/>
          <w:szCs w:val="18"/>
        </w:rPr>
        <w:t xml:space="preserve">The average gross monthly earnings of Cypriots by </w:t>
      </w:r>
      <w:r w:rsidR="00CA0606">
        <w:rPr>
          <w:rFonts w:ascii="Verdana" w:eastAsia="Malgun Gothic" w:hAnsi="Verdana" w:cs="Arial"/>
          <w:sz w:val="18"/>
          <w:szCs w:val="18"/>
        </w:rPr>
        <w:t>branch</w:t>
      </w:r>
      <w:r w:rsidR="00CA0606" w:rsidRPr="00CA0606">
        <w:rPr>
          <w:rFonts w:ascii="Verdana" w:eastAsia="Malgun Gothic" w:hAnsi="Verdana" w:cs="Arial"/>
          <w:sz w:val="18"/>
          <w:szCs w:val="18"/>
        </w:rPr>
        <w:t xml:space="preserve"> of economic activity </w:t>
      </w:r>
      <w:r w:rsidR="001E33D4">
        <w:rPr>
          <w:rFonts w:ascii="Verdana" w:eastAsia="Malgun Gothic" w:hAnsi="Verdana" w:cs="Arial"/>
          <w:sz w:val="18"/>
          <w:szCs w:val="18"/>
        </w:rPr>
        <w:t>for 202</w:t>
      </w:r>
      <w:r w:rsidR="008C44C6" w:rsidRPr="008C44C6">
        <w:rPr>
          <w:rFonts w:ascii="Verdana" w:eastAsia="Malgun Gothic" w:hAnsi="Verdana" w:cs="Arial"/>
          <w:sz w:val="18"/>
          <w:szCs w:val="18"/>
        </w:rPr>
        <w:t>4</w:t>
      </w:r>
      <w:r w:rsidR="001E33D4">
        <w:rPr>
          <w:rFonts w:ascii="Verdana" w:eastAsia="Malgun Gothic" w:hAnsi="Verdana" w:cs="Arial"/>
          <w:sz w:val="18"/>
          <w:szCs w:val="18"/>
        </w:rPr>
        <w:t xml:space="preserve"> </w:t>
      </w:r>
      <w:r w:rsidR="00CA0606" w:rsidRPr="00CA0606">
        <w:rPr>
          <w:rFonts w:ascii="Verdana" w:eastAsia="Malgun Gothic" w:hAnsi="Verdana" w:cs="Arial"/>
          <w:sz w:val="18"/>
          <w:szCs w:val="18"/>
        </w:rPr>
        <w:t>range between €1</w:t>
      </w:r>
      <w:r w:rsidR="00B35965">
        <w:rPr>
          <w:rFonts w:ascii="Verdana" w:eastAsia="Malgun Gothic" w:hAnsi="Verdana" w:cs="Arial"/>
          <w:sz w:val="18"/>
          <w:szCs w:val="18"/>
        </w:rPr>
        <w:t>.</w:t>
      </w:r>
      <w:r w:rsidR="008C44C6" w:rsidRPr="008C44C6">
        <w:rPr>
          <w:rFonts w:ascii="Verdana" w:eastAsia="Malgun Gothic" w:hAnsi="Verdana" w:cs="Arial"/>
          <w:sz w:val="18"/>
          <w:szCs w:val="18"/>
        </w:rPr>
        <w:t>677</w:t>
      </w:r>
      <w:r w:rsidR="00CA0606" w:rsidRPr="00CA0606">
        <w:rPr>
          <w:rFonts w:ascii="Verdana" w:eastAsia="Malgun Gothic" w:hAnsi="Verdana" w:cs="Arial"/>
          <w:sz w:val="18"/>
          <w:szCs w:val="18"/>
        </w:rPr>
        <w:t xml:space="preserve"> in the Agriculture, </w:t>
      </w:r>
      <w:r w:rsidR="00E5666A" w:rsidRPr="00CA0606">
        <w:rPr>
          <w:rFonts w:ascii="Verdana" w:eastAsia="Malgun Gothic" w:hAnsi="Verdana" w:cs="Arial"/>
          <w:sz w:val="18"/>
          <w:szCs w:val="18"/>
        </w:rPr>
        <w:t xml:space="preserve">Forestry </w:t>
      </w:r>
      <w:r w:rsidR="00CA0606" w:rsidRPr="00CA0606">
        <w:rPr>
          <w:rFonts w:ascii="Verdana" w:eastAsia="Malgun Gothic" w:hAnsi="Verdana" w:cs="Arial"/>
          <w:sz w:val="18"/>
          <w:szCs w:val="18"/>
        </w:rPr>
        <w:t xml:space="preserve">and </w:t>
      </w:r>
      <w:r w:rsidR="00E5666A">
        <w:rPr>
          <w:rFonts w:ascii="Verdana" w:eastAsia="Malgun Gothic" w:hAnsi="Verdana" w:cs="Arial"/>
          <w:sz w:val="18"/>
          <w:szCs w:val="18"/>
        </w:rPr>
        <w:t xml:space="preserve">Fishing </w:t>
      </w:r>
      <w:r w:rsidR="00CA0606" w:rsidRPr="00CA0606">
        <w:rPr>
          <w:rFonts w:ascii="Verdana" w:eastAsia="Malgun Gothic" w:hAnsi="Verdana" w:cs="Arial"/>
          <w:sz w:val="18"/>
          <w:szCs w:val="18"/>
        </w:rPr>
        <w:t>sector and €</w:t>
      </w:r>
      <w:r w:rsidR="008C44C6" w:rsidRPr="008C44C6">
        <w:rPr>
          <w:rFonts w:ascii="Verdana" w:eastAsia="Malgun Gothic" w:hAnsi="Verdana" w:cs="Arial"/>
          <w:sz w:val="18"/>
          <w:szCs w:val="18"/>
        </w:rPr>
        <w:t>4</w:t>
      </w:r>
      <w:r w:rsidR="00B35965">
        <w:rPr>
          <w:rFonts w:ascii="Verdana" w:eastAsia="Malgun Gothic" w:hAnsi="Verdana" w:cs="Arial"/>
          <w:sz w:val="18"/>
          <w:szCs w:val="18"/>
        </w:rPr>
        <w:t>.</w:t>
      </w:r>
      <w:r w:rsidR="008C44C6" w:rsidRPr="008C44C6">
        <w:rPr>
          <w:rFonts w:ascii="Verdana" w:eastAsia="Malgun Gothic" w:hAnsi="Verdana" w:cs="Arial"/>
          <w:sz w:val="18"/>
          <w:szCs w:val="18"/>
        </w:rPr>
        <w:t>129</w:t>
      </w:r>
      <w:r w:rsidR="00CA0606" w:rsidRPr="00CA0606">
        <w:rPr>
          <w:rFonts w:ascii="Verdana" w:eastAsia="Malgun Gothic" w:hAnsi="Verdana" w:cs="Arial"/>
          <w:sz w:val="18"/>
          <w:szCs w:val="18"/>
        </w:rPr>
        <w:t xml:space="preserve"> in the Financial and Insurance Activities sector. The average gross monthly earnings of non-Cypriots range between €6</w:t>
      </w:r>
      <w:r w:rsidR="008C44C6" w:rsidRPr="008C44C6">
        <w:rPr>
          <w:rFonts w:ascii="Verdana" w:eastAsia="Malgun Gothic" w:hAnsi="Verdana" w:cs="Arial"/>
          <w:sz w:val="18"/>
          <w:szCs w:val="18"/>
        </w:rPr>
        <w:t>50</w:t>
      </w:r>
      <w:r w:rsidR="00CA0606" w:rsidRPr="00CA0606">
        <w:rPr>
          <w:rFonts w:ascii="Verdana" w:eastAsia="Malgun Gothic" w:hAnsi="Verdana" w:cs="Arial"/>
          <w:sz w:val="18"/>
          <w:szCs w:val="18"/>
        </w:rPr>
        <w:t xml:space="preserve"> in the Agriculture, </w:t>
      </w:r>
      <w:r w:rsidR="00E5666A">
        <w:rPr>
          <w:rFonts w:ascii="Verdana" w:eastAsia="Malgun Gothic" w:hAnsi="Verdana" w:cs="Arial"/>
          <w:sz w:val="18"/>
          <w:szCs w:val="18"/>
        </w:rPr>
        <w:t>Forestry</w:t>
      </w:r>
      <w:r w:rsidR="00CA0606" w:rsidRPr="00CA0606">
        <w:rPr>
          <w:rFonts w:ascii="Verdana" w:eastAsia="Malgun Gothic" w:hAnsi="Verdana" w:cs="Arial"/>
          <w:sz w:val="18"/>
          <w:szCs w:val="18"/>
        </w:rPr>
        <w:t xml:space="preserve"> and F</w:t>
      </w:r>
      <w:r w:rsidR="00E5666A">
        <w:rPr>
          <w:rFonts w:ascii="Verdana" w:eastAsia="Malgun Gothic" w:hAnsi="Verdana" w:cs="Arial"/>
          <w:sz w:val="18"/>
          <w:szCs w:val="18"/>
        </w:rPr>
        <w:t>ishing</w:t>
      </w:r>
      <w:r w:rsidR="00CA0606" w:rsidRPr="00CA0606">
        <w:rPr>
          <w:rFonts w:ascii="Verdana" w:eastAsia="Malgun Gothic" w:hAnsi="Verdana" w:cs="Arial"/>
          <w:sz w:val="18"/>
          <w:szCs w:val="18"/>
        </w:rPr>
        <w:t xml:space="preserve"> sector and €6</w:t>
      </w:r>
      <w:r w:rsidR="00B35965">
        <w:rPr>
          <w:rFonts w:ascii="Verdana" w:eastAsia="Malgun Gothic" w:hAnsi="Verdana" w:cs="Arial"/>
          <w:sz w:val="18"/>
          <w:szCs w:val="18"/>
        </w:rPr>
        <w:t>.</w:t>
      </w:r>
      <w:r w:rsidR="008C44C6" w:rsidRPr="008C44C6">
        <w:rPr>
          <w:rFonts w:ascii="Verdana" w:eastAsia="Malgun Gothic" w:hAnsi="Verdana" w:cs="Arial"/>
          <w:sz w:val="18"/>
          <w:szCs w:val="18"/>
        </w:rPr>
        <w:t>17</w:t>
      </w:r>
      <w:r w:rsidR="008C44C6" w:rsidRPr="00287260">
        <w:rPr>
          <w:rFonts w:ascii="Verdana" w:eastAsia="Malgun Gothic" w:hAnsi="Verdana" w:cs="Arial"/>
          <w:sz w:val="18"/>
          <w:szCs w:val="18"/>
        </w:rPr>
        <w:t>2</w:t>
      </w:r>
      <w:r w:rsidR="00CA0606" w:rsidRPr="00CA0606">
        <w:rPr>
          <w:rFonts w:ascii="Verdana" w:eastAsia="Malgun Gothic" w:hAnsi="Verdana" w:cs="Arial"/>
          <w:sz w:val="18"/>
          <w:szCs w:val="18"/>
        </w:rPr>
        <w:t xml:space="preserve"> in the Financial and Insurance Activities sector.</w:t>
      </w:r>
    </w:p>
    <w:p w14:paraId="503ED88D" w14:textId="50020EFB" w:rsidR="00303B4A" w:rsidRDefault="00303B4A">
      <w:pPr>
        <w:rPr>
          <w:rFonts w:ascii="Verdana" w:eastAsia="Malgun Gothic" w:hAnsi="Verdana" w:cs="Arial"/>
          <w:sz w:val="18"/>
          <w:szCs w:val="18"/>
        </w:rPr>
      </w:pPr>
      <w:r>
        <w:rPr>
          <w:rFonts w:ascii="Verdana" w:eastAsia="Malgun Gothic" w:hAnsi="Verdana" w:cs="Arial"/>
          <w:sz w:val="18"/>
          <w:szCs w:val="18"/>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3"/>
        <w:gridCol w:w="4739"/>
        <w:gridCol w:w="1196"/>
        <w:gridCol w:w="578"/>
        <w:gridCol w:w="1009"/>
        <w:gridCol w:w="524"/>
      </w:tblGrid>
      <w:tr w:rsidR="00650FFD" w:rsidRPr="00650FFD" w14:paraId="4BACF96A" w14:textId="77777777" w:rsidTr="00650FFD">
        <w:trPr>
          <w:trHeight w:val="317"/>
          <w:jc w:val="center"/>
        </w:trPr>
        <w:tc>
          <w:tcPr>
            <w:tcW w:w="1593" w:type="dxa"/>
            <w:tcBorders>
              <w:top w:val="nil"/>
              <w:left w:val="nil"/>
              <w:bottom w:val="single" w:sz="4" w:space="0" w:color="366092"/>
              <w:right w:val="nil"/>
            </w:tcBorders>
            <w:vAlign w:val="center"/>
          </w:tcPr>
          <w:p w14:paraId="063D3C87" w14:textId="2ACAA45D" w:rsidR="00A7557E" w:rsidRPr="00650FFD" w:rsidRDefault="00A7557E" w:rsidP="003404A0">
            <w:pPr>
              <w:rPr>
                <w:rFonts w:ascii="Verdana" w:eastAsia="Malgun Gothic" w:hAnsi="Verdana" w:cs="Arial"/>
                <w:b/>
                <w:color w:val="366092"/>
                <w:sz w:val="18"/>
                <w:szCs w:val="18"/>
              </w:rPr>
            </w:pPr>
            <w:r w:rsidRPr="00650FFD">
              <w:rPr>
                <w:rFonts w:ascii="Verdana" w:eastAsia="Malgun Gothic" w:hAnsi="Verdana" w:cs="Arial"/>
                <w:b/>
                <w:color w:val="366092"/>
                <w:sz w:val="18"/>
                <w:szCs w:val="18"/>
              </w:rPr>
              <w:lastRenderedPageBreak/>
              <w:t>Table</w:t>
            </w:r>
            <w:r w:rsidRPr="00650FFD">
              <w:rPr>
                <w:rFonts w:ascii="Verdana" w:eastAsia="Malgun Gothic" w:hAnsi="Verdana" w:cs="Arial"/>
                <w:b/>
                <w:color w:val="366092"/>
                <w:sz w:val="18"/>
                <w:szCs w:val="18"/>
                <w:lang w:val="el-GR"/>
              </w:rPr>
              <w:t xml:space="preserve"> 3</w:t>
            </w:r>
          </w:p>
        </w:tc>
        <w:tc>
          <w:tcPr>
            <w:tcW w:w="4739" w:type="dxa"/>
            <w:tcBorders>
              <w:top w:val="nil"/>
              <w:left w:val="nil"/>
              <w:bottom w:val="single" w:sz="4" w:space="0" w:color="366092"/>
              <w:right w:val="nil"/>
            </w:tcBorders>
            <w:vAlign w:val="center"/>
          </w:tcPr>
          <w:p w14:paraId="7647CCCC" w14:textId="77777777" w:rsidR="00A7557E" w:rsidRPr="00650FFD" w:rsidRDefault="00A7557E" w:rsidP="003404A0">
            <w:pPr>
              <w:rPr>
                <w:rFonts w:ascii="Verdana" w:eastAsia="Malgun Gothic" w:hAnsi="Verdana" w:cs="Arial"/>
                <w:color w:val="366092"/>
                <w:sz w:val="18"/>
                <w:szCs w:val="18"/>
                <w:lang w:val="el-GR"/>
              </w:rPr>
            </w:pPr>
          </w:p>
        </w:tc>
        <w:tc>
          <w:tcPr>
            <w:tcW w:w="1774" w:type="dxa"/>
            <w:gridSpan w:val="2"/>
            <w:tcBorders>
              <w:top w:val="nil"/>
              <w:left w:val="nil"/>
              <w:bottom w:val="single" w:sz="4" w:space="0" w:color="366092"/>
              <w:right w:val="nil"/>
            </w:tcBorders>
            <w:vAlign w:val="center"/>
          </w:tcPr>
          <w:p w14:paraId="3B88B26F" w14:textId="77777777" w:rsidR="00A7557E" w:rsidRPr="00650FFD" w:rsidRDefault="00A7557E" w:rsidP="003404A0">
            <w:pPr>
              <w:jc w:val="center"/>
              <w:rPr>
                <w:rFonts w:ascii="Verdana" w:hAnsi="Verdana" w:cs="Arial"/>
                <w:color w:val="366092"/>
                <w:sz w:val="18"/>
                <w:szCs w:val="18"/>
              </w:rPr>
            </w:pPr>
          </w:p>
        </w:tc>
        <w:tc>
          <w:tcPr>
            <w:tcW w:w="1533" w:type="dxa"/>
            <w:gridSpan w:val="2"/>
            <w:tcBorders>
              <w:top w:val="nil"/>
              <w:left w:val="nil"/>
              <w:bottom w:val="single" w:sz="4" w:space="0" w:color="366092"/>
              <w:right w:val="nil"/>
            </w:tcBorders>
          </w:tcPr>
          <w:p w14:paraId="06321DC6" w14:textId="77777777" w:rsidR="00A7557E" w:rsidRPr="00650FFD" w:rsidRDefault="00A7557E" w:rsidP="003404A0">
            <w:pPr>
              <w:jc w:val="center"/>
              <w:rPr>
                <w:rFonts w:ascii="Verdana" w:hAnsi="Verdana" w:cs="Arial"/>
                <w:color w:val="366092"/>
                <w:sz w:val="18"/>
                <w:szCs w:val="18"/>
              </w:rPr>
            </w:pPr>
          </w:p>
        </w:tc>
      </w:tr>
      <w:tr w:rsidR="00650FFD" w:rsidRPr="00650FFD" w14:paraId="5B9EDC5D" w14:textId="77777777" w:rsidTr="00650FFD">
        <w:trPr>
          <w:trHeight w:val="533"/>
          <w:jc w:val="center"/>
        </w:trPr>
        <w:tc>
          <w:tcPr>
            <w:tcW w:w="1593" w:type="dxa"/>
            <w:vMerge w:val="restart"/>
            <w:tcBorders>
              <w:top w:val="single" w:sz="4" w:space="0" w:color="366092"/>
              <w:left w:val="nil"/>
              <w:bottom w:val="single" w:sz="4" w:space="0" w:color="366092"/>
              <w:right w:val="nil"/>
            </w:tcBorders>
            <w:vAlign w:val="center"/>
          </w:tcPr>
          <w:p w14:paraId="45E93219" w14:textId="1BEF2332" w:rsidR="00A7557E" w:rsidRPr="00650FFD" w:rsidRDefault="00A7557E" w:rsidP="003404A0">
            <w:pPr>
              <w:jc w:val="center"/>
              <w:rPr>
                <w:rFonts w:ascii="Verdana" w:eastAsia="Malgun Gothic" w:hAnsi="Verdana" w:cs="Arial"/>
                <w:b/>
                <w:color w:val="366092"/>
                <w:sz w:val="18"/>
                <w:szCs w:val="18"/>
              </w:rPr>
            </w:pPr>
            <w:r w:rsidRPr="00650FFD">
              <w:rPr>
                <w:rFonts w:ascii="Verdana" w:eastAsia="Malgun Gothic" w:hAnsi="Verdana" w:cs="Arial"/>
                <w:b/>
                <w:color w:val="366092"/>
                <w:sz w:val="18"/>
                <w:szCs w:val="18"/>
              </w:rPr>
              <w:t>Nace</w:t>
            </w:r>
            <w:r w:rsidRPr="00650FFD">
              <w:rPr>
                <w:rFonts w:ascii="Verdana" w:eastAsia="Malgun Gothic" w:hAnsi="Verdana" w:cs="Arial"/>
                <w:b/>
                <w:color w:val="366092"/>
                <w:sz w:val="18"/>
                <w:szCs w:val="18"/>
                <w:lang w:val="el-GR"/>
              </w:rPr>
              <w:t xml:space="preserve"> </w:t>
            </w:r>
            <w:r w:rsidRPr="00650FFD">
              <w:rPr>
                <w:rFonts w:ascii="Verdana" w:eastAsia="Malgun Gothic" w:hAnsi="Verdana" w:cs="Arial"/>
                <w:b/>
                <w:color w:val="366092"/>
                <w:sz w:val="18"/>
                <w:szCs w:val="18"/>
              </w:rPr>
              <w:t>Rev</w:t>
            </w:r>
            <w:r w:rsidRPr="00650FFD">
              <w:rPr>
                <w:rFonts w:ascii="Verdana" w:eastAsia="Malgun Gothic" w:hAnsi="Verdana" w:cs="Arial"/>
                <w:b/>
                <w:color w:val="366092"/>
                <w:sz w:val="18"/>
                <w:szCs w:val="18"/>
                <w:lang w:val="el-GR"/>
              </w:rPr>
              <w:t>.2</w:t>
            </w:r>
          </w:p>
        </w:tc>
        <w:tc>
          <w:tcPr>
            <w:tcW w:w="4739" w:type="dxa"/>
            <w:vMerge w:val="restart"/>
            <w:tcBorders>
              <w:top w:val="single" w:sz="4" w:space="0" w:color="366092"/>
              <w:left w:val="nil"/>
              <w:bottom w:val="single" w:sz="4" w:space="0" w:color="366092"/>
              <w:right w:val="nil"/>
            </w:tcBorders>
            <w:vAlign w:val="center"/>
          </w:tcPr>
          <w:p w14:paraId="1E33B3B7" w14:textId="1FCE9748" w:rsidR="00A7557E" w:rsidRPr="00650FFD" w:rsidRDefault="00A7557E" w:rsidP="003404A0">
            <w:pPr>
              <w:jc w:val="center"/>
              <w:rPr>
                <w:rFonts w:ascii="Verdana" w:eastAsia="Malgun Gothic" w:hAnsi="Verdana" w:cs="Arial"/>
                <w:b/>
                <w:color w:val="366092"/>
                <w:sz w:val="18"/>
                <w:szCs w:val="18"/>
                <w:lang w:val="el-GR"/>
              </w:rPr>
            </w:pPr>
            <w:r w:rsidRPr="00650FFD">
              <w:rPr>
                <w:rFonts w:ascii="Verdana" w:eastAsia="Malgun Gothic" w:hAnsi="Verdana" w:cs="Arial"/>
                <w:b/>
                <w:color w:val="366092"/>
                <w:sz w:val="18"/>
                <w:szCs w:val="18"/>
                <w:lang w:val="el-GR"/>
              </w:rPr>
              <w:t xml:space="preserve">Economic </w:t>
            </w:r>
            <w:proofErr w:type="spellStart"/>
            <w:r w:rsidRPr="00650FFD">
              <w:rPr>
                <w:rFonts w:ascii="Verdana" w:eastAsia="Malgun Gothic" w:hAnsi="Verdana" w:cs="Arial"/>
                <w:b/>
                <w:color w:val="366092"/>
                <w:sz w:val="18"/>
                <w:szCs w:val="18"/>
                <w:lang w:val="el-GR"/>
              </w:rPr>
              <w:t>Activity</w:t>
            </w:r>
            <w:proofErr w:type="spellEnd"/>
          </w:p>
        </w:tc>
        <w:tc>
          <w:tcPr>
            <w:tcW w:w="3307" w:type="dxa"/>
            <w:gridSpan w:val="4"/>
            <w:tcBorders>
              <w:top w:val="single" w:sz="4" w:space="0" w:color="366092"/>
              <w:left w:val="nil"/>
              <w:bottom w:val="single" w:sz="4" w:space="0" w:color="366092"/>
              <w:right w:val="nil"/>
            </w:tcBorders>
            <w:vAlign w:val="center"/>
          </w:tcPr>
          <w:p w14:paraId="408223A9" w14:textId="4B90C0EC" w:rsidR="00A7557E" w:rsidRPr="00650FFD" w:rsidRDefault="00A7557E" w:rsidP="003404A0">
            <w:pPr>
              <w:jc w:val="center"/>
              <w:rPr>
                <w:rFonts w:ascii="Verdana" w:hAnsi="Verdana" w:cs="Arial"/>
                <w:b/>
                <w:color w:val="366092"/>
                <w:sz w:val="18"/>
                <w:szCs w:val="18"/>
                <w:lang w:val="el-GR"/>
              </w:rPr>
            </w:pPr>
            <w:r w:rsidRPr="00650FFD">
              <w:rPr>
                <w:rFonts w:ascii="Verdana" w:eastAsia="Malgun Gothic" w:hAnsi="Verdana" w:cs="Arial"/>
                <w:b/>
                <w:color w:val="366092"/>
                <w:sz w:val="18"/>
                <w:szCs w:val="18"/>
              </w:rPr>
              <w:t xml:space="preserve">Average </w:t>
            </w:r>
            <w:r w:rsidR="007373AA" w:rsidRPr="00650FFD">
              <w:rPr>
                <w:rFonts w:ascii="Verdana" w:eastAsia="Malgun Gothic" w:hAnsi="Verdana" w:cs="Arial"/>
                <w:b/>
                <w:color w:val="366092"/>
                <w:sz w:val="18"/>
                <w:szCs w:val="18"/>
              </w:rPr>
              <w:t>M</w:t>
            </w:r>
            <w:r w:rsidRPr="00650FFD">
              <w:rPr>
                <w:rFonts w:ascii="Verdana" w:eastAsia="Malgun Gothic" w:hAnsi="Verdana" w:cs="Arial"/>
                <w:b/>
                <w:color w:val="366092"/>
                <w:sz w:val="18"/>
                <w:szCs w:val="18"/>
              </w:rPr>
              <w:t xml:space="preserve">onthly </w:t>
            </w:r>
            <w:r w:rsidR="007373AA" w:rsidRPr="00650FFD">
              <w:rPr>
                <w:rFonts w:ascii="Verdana" w:eastAsia="Malgun Gothic" w:hAnsi="Verdana" w:cs="Arial"/>
                <w:b/>
                <w:color w:val="366092"/>
                <w:sz w:val="18"/>
                <w:szCs w:val="18"/>
              </w:rPr>
              <w:t>E</w:t>
            </w:r>
            <w:r w:rsidRPr="00650FFD">
              <w:rPr>
                <w:rFonts w:ascii="Verdana" w:eastAsia="Malgun Gothic" w:hAnsi="Verdana" w:cs="Arial"/>
                <w:b/>
                <w:color w:val="366092"/>
                <w:sz w:val="18"/>
                <w:szCs w:val="18"/>
              </w:rPr>
              <w:t>arnings</w:t>
            </w:r>
            <w:r w:rsidRPr="00650FFD">
              <w:rPr>
                <w:rFonts w:ascii="Verdana" w:eastAsia="Malgun Gothic" w:hAnsi="Verdana" w:cs="Arial"/>
                <w:b/>
                <w:color w:val="366092"/>
                <w:sz w:val="18"/>
                <w:szCs w:val="18"/>
                <w:lang w:val="el-GR"/>
              </w:rPr>
              <w:t xml:space="preserve"> (€)</w:t>
            </w:r>
          </w:p>
        </w:tc>
      </w:tr>
      <w:tr w:rsidR="00650FFD" w:rsidRPr="00650FFD" w14:paraId="09E7DF61" w14:textId="77777777" w:rsidTr="00650FFD">
        <w:trPr>
          <w:trHeight w:val="533"/>
          <w:jc w:val="center"/>
        </w:trPr>
        <w:tc>
          <w:tcPr>
            <w:tcW w:w="1593" w:type="dxa"/>
            <w:vMerge/>
            <w:tcBorders>
              <w:top w:val="single" w:sz="4" w:space="0" w:color="366092"/>
              <w:left w:val="nil"/>
              <w:bottom w:val="single" w:sz="4" w:space="0" w:color="366092"/>
              <w:right w:val="nil"/>
            </w:tcBorders>
            <w:vAlign w:val="center"/>
          </w:tcPr>
          <w:p w14:paraId="7878D10B" w14:textId="77777777" w:rsidR="00A7557E" w:rsidRPr="00650FFD" w:rsidRDefault="00A7557E" w:rsidP="003404A0">
            <w:pPr>
              <w:jc w:val="center"/>
              <w:rPr>
                <w:rFonts w:ascii="Verdana" w:eastAsia="Malgun Gothic" w:hAnsi="Verdana" w:cs="Arial"/>
                <w:color w:val="366092"/>
                <w:sz w:val="18"/>
                <w:szCs w:val="18"/>
                <w:lang w:val="el-GR"/>
              </w:rPr>
            </w:pPr>
          </w:p>
        </w:tc>
        <w:tc>
          <w:tcPr>
            <w:tcW w:w="4739" w:type="dxa"/>
            <w:vMerge/>
            <w:tcBorders>
              <w:top w:val="single" w:sz="4" w:space="0" w:color="366092"/>
              <w:left w:val="nil"/>
              <w:bottom w:val="single" w:sz="4" w:space="0" w:color="366092"/>
              <w:right w:val="nil"/>
            </w:tcBorders>
            <w:vAlign w:val="center"/>
          </w:tcPr>
          <w:p w14:paraId="4DF89D77" w14:textId="77777777" w:rsidR="00A7557E" w:rsidRPr="00650FFD" w:rsidRDefault="00A7557E" w:rsidP="003404A0">
            <w:pPr>
              <w:jc w:val="center"/>
              <w:rPr>
                <w:rFonts w:ascii="Verdana" w:eastAsia="Malgun Gothic" w:hAnsi="Verdana" w:cs="Arial"/>
                <w:color w:val="366092"/>
                <w:sz w:val="18"/>
                <w:szCs w:val="18"/>
                <w:lang w:val="el-GR"/>
              </w:rPr>
            </w:pPr>
          </w:p>
        </w:tc>
        <w:tc>
          <w:tcPr>
            <w:tcW w:w="1774" w:type="dxa"/>
            <w:gridSpan w:val="2"/>
            <w:tcBorders>
              <w:top w:val="single" w:sz="4" w:space="0" w:color="366092"/>
              <w:left w:val="nil"/>
              <w:bottom w:val="single" w:sz="4" w:space="0" w:color="366092"/>
              <w:right w:val="nil"/>
            </w:tcBorders>
            <w:vAlign w:val="center"/>
          </w:tcPr>
          <w:p w14:paraId="55BDAB7B" w14:textId="7D5741F5" w:rsidR="00A7557E" w:rsidRPr="00650FFD" w:rsidRDefault="00A7557E" w:rsidP="003404A0">
            <w:pPr>
              <w:jc w:val="center"/>
              <w:rPr>
                <w:rFonts w:ascii="Verdana" w:hAnsi="Verdana" w:cs="Arial"/>
                <w:b/>
                <w:color w:val="366092"/>
                <w:sz w:val="18"/>
                <w:szCs w:val="18"/>
              </w:rPr>
            </w:pPr>
            <w:r w:rsidRPr="00650FFD">
              <w:rPr>
                <w:rFonts w:ascii="Verdana" w:hAnsi="Verdana" w:cs="Arial"/>
                <w:b/>
                <w:color w:val="366092"/>
                <w:sz w:val="18"/>
                <w:szCs w:val="18"/>
              </w:rPr>
              <w:t>Cypriots</w:t>
            </w:r>
          </w:p>
        </w:tc>
        <w:tc>
          <w:tcPr>
            <w:tcW w:w="1533" w:type="dxa"/>
            <w:gridSpan w:val="2"/>
            <w:tcBorders>
              <w:top w:val="single" w:sz="4" w:space="0" w:color="366092"/>
              <w:left w:val="nil"/>
              <w:bottom w:val="single" w:sz="4" w:space="0" w:color="366092"/>
              <w:right w:val="nil"/>
            </w:tcBorders>
            <w:vAlign w:val="center"/>
          </w:tcPr>
          <w:p w14:paraId="686871EF" w14:textId="0222941C" w:rsidR="00A7557E" w:rsidRPr="00650FFD" w:rsidRDefault="00A7557E" w:rsidP="003404A0">
            <w:pPr>
              <w:jc w:val="center"/>
              <w:rPr>
                <w:rFonts w:ascii="Verdana" w:hAnsi="Verdana" w:cs="Arial"/>
                <w:b/>
                <w:color w:val="366092"/>
                <w:sz w:val="18"/>
                <w:szCs w:val="18"/>
              </w:rPr>
            </w:pPr>
            <w:r w:rsidRPr="00650FFD">
              <w:rPr>
                <w:rFonts w:ascii="Verdana" w:hAnsi="Verdana" w:cs="Arial"/>
                <w:b/>
                <w:color w:val="366092"/>
                <w:sz w:val="18"/>
                <w:szCs w:val="18"/>
              </w:rPr>
              <w:t>Non</w:t>
            </w:r>
            <w:r w:rsidRPr="00650FFD">
              <w:rPr>
                <w:rFonts w:ascii="Verdana" w:hAnsi="Verdana" w:cs="Arial"/>
                <w:b/>
                <w:color w:val="366092"/>
                <w:sz w:val="18"/>
                <w:szCs w:val="18"/>
                <w:lang w:val="el-GR"/>
              </w:rPr>
              <w:t>-</w:t>
            </w:r>
            <w:r w:rsidRPr="00650FFD">
              <w:rPr>
                <w:rFonts w:ascii="Verdana" w:hAnsi="Verdana" w:cs="Arial"/>
                <w:b/>
                <w:color w:val="366092"/>
                <w:sz w:val="18"/>
                <w:szCs w:val="18"/>
              </w:rPr>
              <w:t>Cypriots</w:t>
            </w:r>
          </w:p>
        </w:tc>
      </w:tr>
      <w:tr w:rsidR="00650FFD" w:rsidRPr="00650FFD" w14:paraId="170459CE" w14:textId="77777777" w:rsidTr="00650FFD">
        <w:trPr>
          <w:trHeight w:val="374"/>
          <w:jc w:val="center"/>
        </w:trPr>
        <w:tc>
          <w:tcPr>
            <w:tcW w:w="1593" w:type="dxa"/>
            <w:tcBorders>
              <w:top w:val="single" w:sz="4" w:space="0" w:color="366092"/>
              <w:left w:val="nil"/>
              <w:bottom w:val="nil"/>
              <w:right w:val="nil"/>
            </w:tcBorders>
            <w:vAlign w:val="center"/>
          </w:tcPr>
          <w:p w14:paraId="1F7141E4" w14:textId="77777777" w:rsidR="005F5762" w:rsidRPr="00650FFD" w:rsidRDefault="005F5762" w:rsidP="005F5762">
            <w:pPr>
              <w:jc w:val="center"/>
              <w:rPr>
                <w:rFonts w:ascii="Verdana" w:eastAsia="Malgun Gothic" w:hAnsi="Verdana" w:cs="Arial"/>
                <w:color w:val="366092"/>
                <w:sz w:val="18"/>
                <w:szCs w:val="18"/>
                <w:lang w:val="el-GR"/>
              </w:rPr>
            </w:pPr>
            <w:r w:rsidRPr="00650FFD">
              <w:rPr>
                <w:rFonts w:ascii="Verdana" w:eastAsia="Malgun Gothic" w:hAnsi="Verdana" w:cs="Arial"/>
                <w:color w:val="366092"/>
                <w:sz w:val="18"/>
                <w:szCs w:val="18"/>
                <w:lang w:val="el-GR"/>
              </w:rPr>
              <w:t>Α</w:t>
            </w:r>
          </w:p>
        </w:tc>
        <w:tc>
          <w:tcPr>
            <w:tcW w:w="4739" w:type="dxa"/>
            <w:tcBorders>
              <w:top w:val="single" w:sz="4" w:space="0" w:color="366092"/>
              <w:left w:val="nil"/>
              <w:bottom w:val="nil"/>
              <w:right w:val="nil"/>
            </w:tcBorders>
            <w:vAlign w:val="center"/>
          </w:tcPr>
          <w:p w14:paraId="56F97D67" w14:textId="6771670A"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lang w:val="el-GR"/>
              </w:rPr>
              <w:t>A</w:t>
            </w:r>
            <w:proofErr w:type="spellStart"/>
            <w:r w:rsidRPr="00650FFD">
              <w:rPr>
                <w:rFonts w:ascii="Verdana" w:eastAsia="Malgun Gothic" w:hAnsi="Verdana" w:cs="Arial"/>
                <w:color w:val="366092"/>
                <w:sz w:val="18"/>
                <w:szCs w:val="18"/>
              </w:rPr>
              <w:t>griculture</w:t>
            </w:r>
            <w:proofErr w:type="spellEnd"/>
            <w:r w:rsidRPr="00650FFD">
              <w:rPr>
                <w:rFonts w:ascii="Verdana" w:eastAsia="Malgun Gothic" w:hAnsi="Verdana" w:cs="Arial"/>
                <w:color w:val="366092"/>
                <w:sz w:val="18"/>
                <w:szCs w:val="18"/>
                <w:lang w:val="el-GR"/>
              </w:rPr>
              <w:t>, F</w:t>
            </w:r>
            <w:proofErr w:type="spellStart"/>
            <w:r w:rsidRPr="00650FFD">
              <w:rPr>
                <w:rFonts w:ascii="Verdana" w:eastAsia="Malgun Gothic" w:hAnsi="Verdana" w:cs="Arial"/>
                <w:color w:val="366092"/>
                <w:sz w:val="18"/>
                <w:szCs w:val="18"/>
              </w:rPr>
              <w:t>orestry</w:t>
            </w:r>
            <w:proofErr w:type="spellEnd"/>
            <w:r w:rsidRPr="00650FFD">
              <w:rPr>
                <w:rFonts w:ascii="Verdana" w:eastAsia="Malgun Gothic" w:hAnsi="Verdana" w:cs="Arial"/>
                <w:color w:val="366092"/>
                <w:sz w:val="18"/>
                <w:szCs w:val="18"/>
                <w:lang w:val="el-GR"/>
              </w:rPr>
              <w:t xml:space="preserve"> </w:t>
            </w:r>
            <w:r w:rsidRPr="00650FFD">
              <w:rPr>
                <w:rFonts w:ascii="Verdana" w:eastAsia="Malgun Gothic" w:hAnsi="Verdana" w:cs="Arial"/>
                <w:color w:val="366092"/>
                <w:sz w:val="18"/>
                <w:szCs w:val="18"/>
              </w:rPr>
              <w:t>and</w:t>
            </w:r>
            <w:r w:rsidRPr="00650FFD">
              <w:rPr>
                <w:rFonts w:ascii="Verdana" w:eastAsia="Malgun Gothic" w:hAnsi="Verdana" w:cs="Arial"/>
                <w:color w:val="366092"/>
                <w:sz w:val="18"/>
                <w:szCs w:val="18"/>
                <w:lang w:val="el-GR"/>
              </w:rPr>
              <w:t xml:space="preserve"> F</w:t>
            </w:r>
            <w:proofErr w:type="spellStart"/>
            <w:r w:rsidRPr="00650FFD">
              <w:rPr>
                <w:rFonts w:ascii="Verdana" w:eastAsia="Malgun Gothic" w:hAnsi="Verdana" w:cs="Arial"/>
                <w:color w:val="366092"/>
                <w:sz w:val="18"/>
                <w:szCs w:val="18"/>
              </w:rPr>
              <w:t>ishing</w:t>
            </w:r>
            <w:proofErr w:type="spellEnd"/>
          </w:p>
        </w:tc>
        <w:tc>
          <w:tcPr>
            <w:tcW w:w="1774" w:type="dxa"/>
            <w:gridSpan w:val="2"/>
            <w:tcBorders>
              <w:top w:val="single" w:sz="4" w:space="0" w:color="366092"/>
              <w:left w:val="nil"/>
              <w:bottom w:val="nil"/>
              <w:right w:val="nil"/>
            </w:tcBorders>
            <w:vAlign w:val="center"/>
          </w:tcPr>
          <w:p w14:paraId="3C4CAD63" w14:textId="27964A2E"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1.677</w:t>
            </w:r>
          </w:p>
        </w:tc>
        <w:tc>
          <w:tcPr>
            <w:tcW w:w="1533" w:type="dxa"/>
            <w:gridSpan w:val="2"/>
            <w:tcBorders>
              <w:top w:val="single" w:sz="4" w:space="0" w:color="366092"/>
              <w:left w:val="nil"/>
              <w:bottom w:val="nil"/>
              <w:right w:val="nil"/>
            </w:tcBorders>
            <w:vAlign w:val="center"/>
          </w:tcPr>
          <w:p w14:paraId="64A4880D" w14:textId="1E9A191B"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650</w:t>
            </w:r>
          </w:p>
        </w:tc>
      </w:tr>
      <w:tr w:rsidR="00650FFD" w:rsidRPr="00650FFD" w14:paraId="1B4242D2" w14:textId="77777777" w:rsidTr="003404A0">
        <w:trPr>
          <w:trHeight w:val="374"/>
          <w:jc w:val="center"/>
        </w:trPr>
        <w:tc>
          <w:tcPr>
            <w:tcW w:w="1593" w:type="dxa"/>
            <w:tcBorders>
              <w:top w:val="nil"/>
              <w:left w:val="nil"/>
              <w:bottom w:val="nil"/>
              <w:right w:val="nil"/>
            </w:tcBorders>
            <w:vAlign w:val="center"/>
          </w:tcPr>
          <w:p w14:paraId="1CF5E9B6"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B</w:t>
            </w:r>
          </w:p>
        </w:tc>
        <w:tc>
          <w:tcPr>
            <w:tcW w:w="4739" w:type="dxa"/>
            <w:tcBorders>
              <w:top w:val="nil"/>
              <w:left w:val="nil"/>
              <w:bottom w:val="nil"/>
              <w:right w:val="nil"/>
            </w:tcBorders>
            <w:vAlign w:val="center"/>
          </w:tcPr>
          <w:p w14:paraId="2113B599" w14:textId="5C049797"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Mining and Quarrying</w:t>
            </w:r>
          </w:p>
        </w:tc>
        <w:tc>
          <w:tcPr>
            <w:tcW w:w="1774" w:type="dxa"/>
            <w:gridSpan w:val="2"/>
            <w:tcBorders>
              <w:top w:val="nil"/>
              <w:left w:val="nil"/>
              <w:bottom w:val="nil"/>
              <w:right w:val="nil"/>
            </w:tcBorders>
            <w:vAlign w:val="center"/>
          </w:tcPr>
          <w:p w14:paraId="0C2A7731" w14:textId="5FCE7C9F"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3.123</w:t>
            </w:r>
          </w:p>
        </w:tc>
        <w:tc>
          <w:tcPr>
            <w:tcW w:w="1533" w:type="dxa"/>
            <w:gridSpan w:val="2"/>
            <w:tcBorders>
              <w:top w:val="nil"/>
              <w:left w:val="nil"/>
              <w:bottom w:val="nil"/>
              <w:right w:val="nil"/>
            </w:tcBorders>
            <w:vAlign w:val="center"/>
          </w:tcPr>
          <w:p w14:paraId="542B46A6" w14:textId="18099809"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4.173</w:t>
            </w:r>
          </w:p>
        </w:tc>
      </w:tr>
      <w:tr w:rsidR="00650FFD" w:rsidRPr="00650FFD" w14:paraId="0B715608" w14:textId="77777777" w:rsidTr="003404A0">
        <w:trPr>
          <w:trHeight w:val="374"/>
          <w:jc w:val="center"/>
        </w:trPr>
        <w:tc>
          <w:tcPr>
            <w:tcW w:w="1593" w:type="dxa"/>
            <w:tcBorders>
              <w:top w:val="nil"/>
              <w:left w:val="nil"/>
              <w:bottom w:val="nil"/>
              <w:right w:val="nil"/>
            </w:tcBorders>
            <w:vAlign w:val="center"/>
          </w:tcPr>
          <w:p w14:paraId="580A3712"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C</w:t>
            </w:r>
          </w:p>
        </w:tc>
        <w:tc>
          <w:tcPr>
            <w:tcW w:w="4739" w:type="dxa"/>
            <w:tcBorders>
              <w:top w:val="nil"/>
              <w:left w:val="nil"/>
              <w:bottom w:val="nil"/>
              <w:right w:val="nil"/>
            </w:tcBorders>
            <w:vAlign w:val="center"/>
          </w:tcPr>
          <w:p w14:paraId="1AEFA401" w14:textId="0B13731C"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Manufacturing</w:t>
            </w:r>
          </w:p>
        </w:tc>
        <w:tc>
          <w:tcPr>
            <w:tcW w:w="1774" w:type="dxa"/>
            <w:gridSpan w:val="2"/>
            <w:tcBorders>
              <w:top w:val="nil"/>
              <w:left w:val="nil"/>
              <w:bottom w:val="nil"/>
              <w:right w:val="nil"/>
            </w:tcBorders>
            <w:vAlign w:val="center"/>
          </w:tcPr>
          <w:p w14:paraId="76737481" w14:textId="60E06FA9"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2.002</w:t>
            </w:r>
          </w:p>
        </w:tc>
        <w:tc>
          <w:tcPr>
            <w:tcW w:w="1533" w:type="dxa"/>
            <w:gridSpan w:val="2"/>
            <w:tcBorders>
              <w:top w:val="nil"/>
              <w:left w:val="nil"/>
              <w:bottom w:val="nil"/>
              <w:right w:val="nil"/>
            </w:tcBorders>
            <w:vAlign w:val="center"/>
          </w:tcPr>
          <w:p w14:paraId="46497744" w14:textId="3A611AB4"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1.628</w:t>
            </w:r>
          </w:p>
        </w:tc>
      </w:tr>
      <w:tr w:rsidR="00650FFD" w:rsidRPr="00650FFD" w14:paraId="6BA6EA1A" w14:textId="77777777" w:rsidTr="003404A0">
        <w:trPr>
          <w:trHeight w:val="562"/>
          <w:jc w:val="center"/>
        </w:trPr>
        <w:tc>
          <w:tcPr>
            <w:tcW w:w="1593" w:type="dxa"/>
            <w:tcBorders>
              <w:top w:val="nil"/>
              <w:left w:val="nil"/>
              <w:bottom w:val="nil"/>
              <w:right w:val="nil"/>
            </w:tcBorders>
            <w:vAlign w:val="center"/>
          </w:tcPr>
          <w:p w14:paraId="15FE1AB8"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D</w:t>
            </w:r>
          </w:p>
        </w:tc>
        <w:tc>
          <w:tcPr>
            <w:tcW w:w="4739" w:type="dxa"/>
            <w:tcBorders>
              <w:top w:val="nil"/>
              <w:left w:val="nil"/>
              <w:bottom w:val="nil"/>
              <w:right w:val="nil"/>
            </w:tcBorders>
            <w:vAlign w:val="center"/>
          </w:tcPr>
          <w:p w14:paraId="5053C5F5" w14:textId="4EE31D6C" w:rsidR="005F5762" w:rsidRPr="00650FFD" w:rsidRDefault="005F5762" w:rsidP="005F5762">
            <w:pPr>
              <w:rPr>
                <w:rFonts w:ascii="Verdana" w:eastAsia="Malgun Gothic" w:hAnsi="Verdana" w:cs="Arial"/>
                <w:color w:val="366092"/>
                <w:sz w:val="18"/>
                <w:szCs w:val="18"/>
              </w:rPr>
            </w:pPr>
            <w:r w:rsidRPr="00650FFD">
              <w:rPr>
                <w:rFonts w:ascii="Verdana" w:eastAsia="Malgun Gothic" w:hAnsi="Verdana" w:cs="Arial"/>
                <w:color w:val="366092"/>
                <w:sz w:val="18"/>
                <w:szCs w:val="18"/>
              </w:rPr>
              <w:t>Electricity, Gas, Steam and Air Conditioning Supply</w:t>
            </w:r>
          </w:p>
        </w:tc>
        <w:tc>
          <w:tcPr>
            <w:tcW w:w="1774" w:type="dxa"/>
            <w:gridSpan w:val="2"/>
            <w:tcBorders>
              <w:top w:val="nil"/>
              <w:left w:val="nil"/>
              <w:bottom w:val="nil"/>
              <w:right w:val="nil"/>
            </w:tcBorders>
            <w:vAlign w:val="center"/>
          </w:tcPr>
          <w:p w14:paraId="38DE1BED" w14:textId="4F3A6F80"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3.585</w:t>
            </w:r>
          </w:p>
        </w:tc>
        <w:tc>
          <w:tcPr>
            <w:tcW w:w="1533" w:type="dxa"/>
            <w:gridSpan w:val="2"/>
            <w:tcBorders>
              <w:top w:val="nil"/>
              <w:left w:val="nil"/>
              <w:bottom w:val="nil"/>
              <w:right w:val="nil"/>
            </w:tcBorders>
            <w:vAlign w:val="center"/>
          </w:tcPr>
          <w:p w14:paraId="3BE2175C" w14:textId="61C95E61"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2.259</w:t>
            </w:r>
          </w:p>
        </w:tc>
      </w:tr>
      <w:tr w:rsidR="00650FFD" w:rsidRPr="00650FFD" w14:paraId="5C56F94B" w14:textId="77777777" w:rsidTr="003404A0">
        <w:trPr>
          <w:trHeight w:val="562"/>
          <w:jc w:val="center"/>
        </w:trPr>
        <w:tc>
          <w:tcPr>
            <w:tcW w:w="1593" w:type="dxa"/>
            <w:tcBorders>
              <w:top w:val="nil"/>
              <w:left w:val="nil"/>
              <w:bottom w:val="nil"/>
              <w:right w:val="nil"/>
            </w:tcBorders>
            <w:vAlign w:val="center"/>
          </w:tcPr>
          <w:p w14:paraId="7D6FE4CC"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E</w:t>
            </w:r>
          </w:p>
        </w:tc>
        <w:tc>
          <w:tcPr>
            <w:tcW w:w="4739" w:type="dxa"/>
            <w:tcBorders>
              <w:top w:val="nil"/>
              <w:left w:val="nil"/>
              <w:bottom w:val="nil"/>
              <w:right w:val="nil"/>
            </w:tcBorders>
            <w:vAlign w:val="center"/>
          </w:tcPr>
          <w:p w14:paraId="48A961F7" w14:textId="050B64CD" w:rsidR="005F5762" w:rsidRPr="00650FFD" w:rsidRDefault="005F5762" w:rsidP="005F5762">
            <w:pPr>
              <w:rPr>
                <w:rFonts w:ascii="Verdana" w:eastAsia="Malgun Gothic" w:hAnsi="Verdana" w:cs="Arial"/>
                <w:color w:val="366092"/>
                <w:sz w:val="18"/>
                <w:szCs w:val="18"/>
              </w:rPr>
            </w:pPr>
            <w:r w:rsidRPr="00650FFD">
              <w:rPr>
                <w:rFonts w:ascii="Verdana" w:eastAsia="Malgun Gothic" w:hAnsi="Verdana" w:cs="Arial"/>
                <w:color w:val="366092"/>
                <w:sz w:val="18"/>
                <w:szCs w:val="18"/>
              </w:rPr>
              <w:t>Water Supply, Sewerage, Waste Management and Remediation Activities</w:t>
            </w:r>
          </w:p>
        </w:tc>
        <w:tc>
          <w:tcPr>
            <w:tcW w:w="1774" w:type="dxa"/>
            <w:gridSpan w:val="2"/>
            <w:tcBorders>
              <w:top w:val="nil"/>
              <w:left w:val="nil"/>
              <w:bottom w:val="nil"/>
              <w:right w:val="nil"/>
            </w:tcBorders>
            <w:vAlign w:val="center"/>
          </w:tcPr>
          <w:p w14:paraId="25202450" w14:textId="18D0CEF5"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2.474</w:t>
            </w:r>
          </w:p>
        </w:tc>
        <w:tc>
          <w:tcPr>
            <w:tcW w:w="1533" w:type="dxa"/>
            <w:gridSpan w:val="2"/>
            <w:tcBorders>
              <w:top w:val="nil"/>
              <w:left w:val="nil"/>
              <w:bottom w:val="nil"/>
              <w:right w:val="nil"/>
            </w:tcBorders>
            <w:vAlign w:val="center"/>
          </w:tcPr>
          <w:p w14:paraId="5D1DD3E6" w14:textId="28EA73F1"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1.572</w:t>
            </w:r>
          </w:p>
        </w:tc>
      </w:tr>
      <w:tr w:rsidR="00650FFD" w:rsidRPr="00650FFD" w14:paraId="16BB5064" w14:textId="77777777" w:rsidTr="003404A0">
        <w:trPr>
          <w:trHeight w:val="374"/>
          <w:jc w:val="center"/>
        </w:trPr>
        <w:tc>
          <w:tcPr>
            <w:tcW w:w="1593" w:type="dxa"/>
            <w:tcBorders>
              <w:top w:val="nil"/>
              <w:left w:val="nil"/>
              <w:bottom w:val="nil"/>
              <w:right w:val="nil"/>
            </w:tcBorders>
            <w:vAlign w:val="center"/>
          </w:tcPr>
          <w:p w14:paraId="0FA68AD1"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F</w:t>
            </w:r>
          </w:p>
        </w:tc>
        <w:tc>
          <w:tcPr>
            <w:tcW w:w="4739" w:type="dxa"/>
            <w:tcBorders>
              <w:top w:val="nil"/>
              <w:left w:val="nil"/>
              <w:bottom w:val="nil"/>
              <w:right w:val="nil"/>
            </w:tcBorders>
            <w:vAlign w:val="center"/>
          </w:tcPr>
          <w:p w14:paraId="03281BDE" w14:textId="65F226B5"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Construction</w:t>
            </w:r>
          </w:p>
        </w:tc>
        <w:tc>
          <w:tcPr>
            <w:tcW w:w="1774" w:type="dxa"/>
            <w:gridSpan w:val="2"/>
            <w:tcBorders>
              <w:top w:val="nil"/>
              <w:left w:val="nil"/>
              <w:bottom w:val="nil"/>
              <w:right w:val="nil"/>
            </w:tcBorders>
            <w:vAlign w:val="center"/>
          </w:tcPr>
          <w:p w14:paraId="34C1C002" w14:textId="42ADA978"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1.952</w:t>
            </w:r>
          </w:p>
        </w:tc>
        <w:tc>
          <w:tcPr>
            <w:tcW w:w="1533" w:type="dxa"/>
            <w:gridSpan w:val="2"/>
            <w:tcBorders>
              <w:top w:val="nil"/>
              <w:left w:val="nil"/>
              <w:bottom w:val="nil"/>
              <w:right w:val="nil"/>
            </w:tcBorders>
            <w:vAlign w:val="center"/>
          </w:tcPr>
          <w:p w14:paraId="07EFD497" w14:textId="2F0511E5"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1.580</w:t>
            </w:r>
          </w:p>
        </w:tc>
      </w:tr>
      <w:tr w:rsidR="00650FFD" w:rsidRPr="00650FFD" w14:paraId="2219739E" w14:textId="77777777" w:rsidTr="003404A0">
        <w:trPr>
          <w:trHeight w:val="562"/>
          <w:jc w:val="center"/>
        </w:trPr>
        <w:tc>
          <w:tcPr>
            <w:tcW w:w="1593" w:type="dxa"/>
            <w:tcBorders>
              <w:top w:val="nil"/>
              <w:left w:val="nil"/>
              <w:bottom w:val="nil"/>
              <w:right w:val="nil"/>
            </w:tcBorders>
            <w:vAlign w:val="center"/>
          </w:tcPr>
          <w:p w14:paraId="2B07D443"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G</w:t>
            </w:r>
          </w:p>
        </w:tc>
        <w:tc>
          <w:tcPr>
            <w:tcW w:w="4739" w:type="dxa"/>
            <w:tcBorders>
              <w:top w:val="nil"/>
              <w:left w:val="nil"/>
              <w:bottom w:val="nil"/>
              <w:right w:val="nil"/>
            </w:tcBorders>
            <w:vAlign w:val="center"/>
          </w:tcPr>
          <w:p w14:paraId="6666D033" w14:textId="154B072F" w:rsidR="005F5762" w:rsidRPr="00650FFD" w:rsidRDefault="005F5762" w:rsidP="005F5762">
            <w:pPr>
              <w:rPr>
                <w:rFonts w:ascii="Verdana" w:eastAsia="Malgun Gothic" w:hAnsi="Verdana" w:cs="Arial"/>
                <w:color w:val="366092"/>
                <w:sz w:val="18"/>
                <w:szCs w:val="18"/>
              </w:rPr>
            </w:pPr>
            <w:r w:rsidRPr="00650FFD">
              <w:rPr>
                <w:rFonts w:ascii="Verdana" w:eastAsia="Malgun Gothic" w:hAnsi="Verdana" w:cs="Arial"/>
                <w:color w:val="366092"/>
                <w:sz w:val="18"/>
                <w:szCs w:val="18"/>
              </w:rPr>
              <w:t>Wholesale and Retail Trade, Repair of Motor Vehicles and Motorcycles</w:t>
            </w:r>
          </w:p>
        </w:tc>
        <w:tc>
          <w:tcPr>
            <w:tcW w:w="1774" w:type="dxa"/>
            <w:gridSpan w:val="2"/>
            <w:tcBorders>
              <w:top w:val="nil"/>
              <w:left w:val="nil"/>
              <w:bottom w:val="nil"/>
              <w:right w:val="nil"/>
            </w:tcBorders>
            <w:vAlign w:val="center"/>
          </w:tcPr>
          <w:p w14:paraId="114E27C5" w14:textId="525C451D"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1.831</w:t>
            </w:r>
          </w:p>
        </w:tc>
        <w:tc>
          <w:tcPr>
            <w:tcW w:w="1533" w:type="dxa"/>
            <w:gridSpan w:val="2"/>
            <w:tcBorders>
              <w:top w:val="nil"/>
              <w:left w:val="nil"/>
              <w:bottom w:val="nil"/>
              <w:right w:val="nil"/>
            </w:tcBorders>
            <w:vAlign w:val="center"/>
          </w:tcPr>
          <w:p w14:paraId="7E5871FA" w14:textId="429C8660"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1.659</w:t>
            </w:r>
          </w:p>
        </w:tc>
      </w:tr>
      <w:tr w:rsidR="00650FFD" w:rsidRPr="00650FFD" w14:paraId="7E885A0C" w14:textId="77777777" w:rsidTr="003404A0">
        <w:trPr>
          <w:trHeight w:val="374"/>
          <w:jc w:val="center"/>
        </w:trPr>
        <w:tc>
          <w:tcPr>
            <w:tcW w:w="1593" w:type="dxa"/>
            <w:tcBorders>
              <w:top w:val="nil"/>
              <w:left w:val="nil"/>
              <w:bottom w:val="nil"/>
              <w:right w:val="nil"/>
            </w:tcBorders>
            <w:vAlign w:val="center"/>
          </w:tcPr>
          <w:p w14:paraId="4575282D"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H</w:t>
            </w:r>
          </w:p>
        </w:tc>
        <w:tc>
          <w:tcPr>
            <w:tcW w:w="4739" w:type="dxa"/>
            <w:tcBorders>
              <w:top w:val="nil"/>
              <w:left w:val="nil"/>
              <w:bottom w:val="nil"/>
              <w:right w:val="nil"/>
            </w:tcBorders>
            <w:vAlign w:val="center"/>
          </w:tcPr>
          <w:p w14:paraId="3A930D88" w14:textId="35646E96"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Transportation and Storage</w:t>
            </w:r>
          </w:p>
        </w:tc>
        <w:tc>
          <w:tcPr>
            <w:tcW w:w="1774" w:type="dxa"/>
            <w:gridSpan w:val="2"/>
            <w:tcBorders>
              <w:top w:val="nil"/>
              <w:left w:val="nil"/>
              <w:bottom w:val="nil"/>
              <w:right w:val="nil"/>
            </w:tcBorders>
            <w:vAlign w:val="center"/>
          </w:tcPr>
          <w:p w14:paraId="367AE350" w14:textId="53021496"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2.601</w:t>
            </w:r>
          </w:p>
        </w:tc>
        <w:tc>
          <w:tcPr>
            <w:tcW w:w="1533" w:type="dxa"/>
            <w:gridSpan w:val="2"/>
            <w:tcBorders>
              <w:top w:val="nil"/>
              <w:left w:val="nil"/>
              <w:bottom w:val="nil"/>
              <w:right w:val="nil"/>
            </w:tcBorders>
            <w:vAlign w:val="center"/>
          </w:tcPr>
          <w:p w14:paraId="236F43CA" w14:textId="56934923"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2.767</w:t>
            </w:r>
          </w:p>
        </w:tc>
      </w:tr>
      <w:tr w:rsidR="00650FFD" w:rsidRPr="00650FFD" w14:paraId="3CA79F5C" w14:textId="77777777" w:rsidTr="00174C9D">
        <w:trPr>
          <w:trHeight w:val="562"/>
          <w:jc w:val="center"/>
        </w:trPr>
        <w:tc>
          <w:tcPr>
            <w:tcW w:w="1593" w:type="dxa"/>
            <w:tcBorders>
              <w:top w:val="nil"/>
              <w:left w:val="nil"/>
              <w:bottom w:val="nil"/>
              <w:right w:val="nil"/>
            </w:tcBorders>
            <w:vAlign w:val="center"/>
          </w:tcPr>
          <w:p w14:paraId="4FF36B01"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I</w:t>
            </w:r>
          </w:p>
        </w:tc>
        <w:tc>
          <w:tcPr>
            <w:tcW w:w="4739" w:type="dxa"/>
            <w:tcBorders>
              <w:top w:val="nil"/>
              <w:left w:val="nil"/>
              <w:bottom w:val="nil"/>
              <w:right w:val="nil"/>
            </w:tcBorders>
            <w:vAlign w:val="center"/>
          </w:tcPr>
          <w:p w14:paraId="485CEDE3" w14:textId="543321B2" w:rsidR="005F5762" w:rsidRPr="00650FFD" w:rsidRDefault="005F5762" w:rsidP="005F5762">
            <w:pPr>
              <w:rPr>
                <w:rFonts w:ascii="Verdana" w:eastAsia="Malgun Gothic" w:hAnsi="Verdana" w:cs="Arial"/>
                <w:color w:val="366092"/>
                <w:sz w:val="18"/>
                <w:szCs w:val="18"/>
              </w:rPr>
            </w:pPr>
            <w:r w:rsidRPr="00650FFD">
              <w:rPr>
                <w:rFonts w:ascii="Verdana" w:eastAsia="Malgun Gothic" w:hAnsi="Verdana" w:cs="Arial"/>
                <w:color w:val="366092"/>
                <w:sz w:val="18"/>
                <w:szCs w:val="18"/>
              </w:rPr>
              <w:t>Accommodation and Food Service Activities</w:t>
            </w:r>
          </w:p>
        </w:tc>
        <w:tc>
          <w:tcPr>
            <w:tcW w:w="1774" w:type="dxa"/>
            <w:gridSpan w:val="2"/>
            <w:tcBorders>
              <w:top w:val="nil"/>
              <w:left w:val="nil"/>
              <w:bottom w:val="nil"/>
              <w:right w:val="nil"/>
            </w:tcBorders>
            <w:vAlign w:val="center"/>
          </w:tcPr>
          <w:p w14:paraId="301F0637" w14:textId="4E975934"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1.785</w:t>
            </w:r>
          </w:p>
        </w:tc>
        <w:tc>
          <w:tcPr>
            <w:tcW w:w="1533" w:type="dxa"/>
            <w:gridSpan w:val="2"/>
            <w:tcBorders>
              <w:top w:val="nil"/>
              <w:left w:val="nil"/>
              <w:bottom w:val="nil"/>
              <w:right w:val="nil"/>
            </w:tcBorders>
            <w:vAlign w:val="center"/>
          </w:tcPr>
          <w:p w14:paraId="313E4346" w14:textId="5D3C2D91"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1.434</w:t>
            </w:r>
          </w:p>
        </w:tc>
      </w:tr>
      <w:tr w:rsidR="00650FFD" w:rsidRPr="00650FFD" w14:paraId="58FAF480" w14:textId="77777777" w:rsidTr="00174C9D">
        <w:trPr>
          <w:trHeight w:val="374"/>
          <w:jc w:val="center"/>
        </w:trPr>
        <w:tc>
          <w:tcPr>
            <w:tcW w:w="1593" w:type="dxa"/>
            <w:tcBorders>
              <w:top w:val="nil"/>
              <w:left w:val="nil"/>
              <w:bottom w:val="nil"/>
              <w:right w:val="nil"/>
            </w:tcBorders>
            <w:vAlign w:val="center"/>
          </w:tcPr>
          <w:p w14:paraId="0599587A"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J</w:t>
            </w:r>
          </w:p>
        </w:tc>
        <w:tc>
          <w:tcPr>
            <w:tcW w:w="4739" w:type="dxa"/>
            <w:tcBorders>
              <w:top w:val="nil"/>
              <w:left w:val="nil"/>
              <w:bottom w:val="nil"/>
              <w:right w:val="nil"/>
            </w:tcBorders>
            <w:vAlign w:val="center"/>
          </w:tcPr>
          <w:p w14:paraId="66E401CE" w14:textId="4FC80A35"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Information and Communication</w:t>
            </w:r>
          </w:p>
        </w:tc>
        <w:tc>
          <w:tcPr>
            <w:tcW w:w="1774" w:type="dxa"/>
            <w:gridSpan w:val="2"/>
            <w:tcBorders>
              <w:top w:val="nil"/>
              <w:left w:val="nil"/>
              <w:bottom w:val="nil"/>
              <w:right w:val="nil"/>
            </w:tcBorders>
            <w:vAlign w:val="center"/>
          </w:tcPr>
          <w:p w14:paraId="54263299" w14:textId="4E5164EA"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3.197</w:t>
            </w:r>
          </w:p>
        </w:tc>
        <w:tc>
          <w:tcPr>
            <w:tcW w:w="1533" w:type="dxa"/>
            <w:gridSpan w:val="2"/>
            <w:tcBorders>
              <w:top w:val="nil"/>
              <w:left w:val="nil"/>
              <w:bottom w:val="nil"/>
              <w:right w:val="nil"/>
            </w:tcBorders>
            <w:vAlign w:val="center"/>
          </w:tcPr>
          <w:p w14:paraId="586FED99" w14:textId="4C8234AC"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5.083</w:t>
            </w:r>
          </w:p>
        </w:tc>
      </w:tr>
      <w:tr w:rsidR="00650FFD" w:rsidRPr="00650FFD" w14:paraId="3AE313EA" w14:textId="77777777" w:rsidTr="00174C9D">
        <w:trPr>
          <w:trHeight w:val="374"/>
          <w:jc w:val="center"/>
        </w:trPr>
        <w:tc>
          <w:tcPr>
            <w:tcW w:w="1593" w:type="dxa"/>
            <w:tcBorders>
              <w:top w:val="nil"/>
              <w:left w:val="nil"/>
              <w:bottom w:val="nil"/>
              <w:right w:val="nil"/>
            </w:tcBorders>
            <w:vAlign w:val="center"/>
          </w:tcPr>
          <w:p w14:paraId="2E82BE40"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K</w:t>
            </w:r>
          </w:p>
        </w:tc>
        <w:tc>
          <w:tcPr>
            <w:tcW w:w="4739" w:type="dxa"/>
            <w:tcBorders>
              <w:top w:val="nil"/>
              <w:left w:val="nil"/>
              <w:bottom w:val="nil"/>
              <w:right w:val="nil"/>
            </w:tcBorders>
            <w:vAlign w:val="center"/>
          </w:tcPr>
          <w:p w14:paraId="68C9585E" w14:textId="5428E13F"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Financial and Insurance Activities</w:t>
            </w:r>
          </w:p>
        </w:tc>
        <w:tc>
          <w:tcPr>
            <w:tcW w:w="1774" w:type="dxa"/>
            <w:gridSpan w:val="2"/>
            <w:tcBorders>
              <w:top w:val="nil"/>
              <w:left w:val="nil"/>
              <w:bottom w:val="nil"/>
              <w:right w:val="nil"/>
            </w:tcBorders>
            <w:vAlign w:val="center"/>
          </w:tcPr>
          <w:p w14:paraId="0F4FF40E" w14:textId="31F07C4B"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4.129</w:t>
            </w:r>
          </w:p>
        </w:tc>
        <w:tc>
          <w:tcPr>
            <w:tcW w:w="1533" w:type="dxa"/>
            <w:gridSpan w:val="2"/>
            <w:tcBorders>
              <w:top w:val="nil"/>
              <w:left w:val="nil"/>
              <w:bottom w:val="nil"/>
              <w:right w:val="nil"/>
            </w:tcBorders>
            <w:vAlign w:val="center"/>
          </w:tcPr>
          <w:p w14:paraId="095271C4" w14:textId="47E8FF15"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6.172</w:t>
            </w:r>
          </w:p>
        </w:tc>
      </w:tr>
      <w:tr w:rsidR="00650FFD" w:rsidRPr="00650FFD" w14:paraId="7C7108C7" w14:textId="77777777" w:rsidTr="00174C9D">
        <w:trPr>
          <w:trHeight w:val="374"/>
          <w:jc w:val="center"/>
        </w:trPr>
        <w:tc>
          <w:tcPr>
            <w:tcW w:w="1593" w:type="dxa"/>
            <w:tcBorders>
              <w:top w:val="nil"/>
              <w:left w:val="nil"/>
              <w:bottom w:val="nil"/>
              <w:right w:val="nil"/>
            </w:tcBorders>
            <w:vAlign w:val="center"/>
          </w:tcPr>
          <w:p w14:paraId="347FDC30"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L</w:t>
            </w:r>
          </w:p>
        </w:tc>
        <w:tc>
          <w:tcPr>
            <w:tcW w:w="4739" w:type="dxa"/>
            <w:tcBorders>
              <w:top w:val="nil"/>
              <w:left w:val="nil"/>
              <w:bottom w:val="nil"/>
              <w:right w:val="nil"/>
            </w:tcBorders>
            <w:vAlign w:val="center"/>
          </w:tcPr>
          <w:p w14:paraId="282EF1A9" w14:textId="6610D299"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Real Estate Activities</w:t>
            </w:r>
          </w:p>
        </w:tc>
        <w:tc>
          <w:tcPr>
            <w:tcW w:w="1774" w:type="dxa"/>
            <w:gridSpan w:val="2"/>
            <w:tcBorders>
              <w:top w:val="nil"/>
              <w:left w:val="nil"/>
              <w:bottom w:val="nil"/>
              <w:right w:val="nil"/>
            </w:tcBorders>
            <w:vAlign w:val="center"/>
          </w:tcPr>
          <w:p w14:paraId="2BF99A2A" w14:textId="0C491844"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1.957</w:t>
            </w:r>
          </w:p>
        </w:tc>
        <w:tc>
          <w:tcPr>
            <w:tcW w:w="1533" w:type="dxa"/>
            <w:gridSpan w:val="2"/>
            <w:tcBorders>
              <w:top w:val="nil"/>
              <w:left w:val="nil"/>
              <w:bottom w:val="nil"/>
              <w:right w:val="nil"/>
            </w:tcBorders>
            <w:vAlign w:val="center"/>
          </w:tcPr>
          <w:p w14:paraId="219C18D3" w14:textId="5F607F77"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2.089</w:t>
            </w:r>
          </w:p>
        </w:tc>
      </w:tr>
      <w:tr w:rsidR="00650FFD" w:rsidRPr="00650FFD" w14:paraId="41B59CFB" w14:textId="77777777" w:rsidTr="00174C9D">
        <w:trPr>
          <w:trHeight w:val="374"/>
          <w:jc w:val="center"/>
        </w:trPr>
        <w:tc>
          <w:tcPr>
            <w:tcW w:w="1593" w:type="dxa"/>
            <w:tcBorders>
              <w:top w:val="nil"/>
              <w:left w:val="nil"/>
              <w:bottom w:val="nil"/>
              <w:right w:val="nil"/>
            </w:tcBorders>
            <w:vAlign w:val="center"/>
          </w:tcPr>
          <w:p w14:paraId="176AA7FE"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M</w:t>
            </w:r>
          </w:p>
        </w:tc>
        <w:tc>
          <w:tcPr>
            <w:tcW w:w="4739" w:type="dxa"/>
            <w:tcBorders>
              <w:top w:val="nil"/>
              <w:left w:val="nil"/>
              <w:bottom w:val="nil"/>
              <w:right w:val="nil"/>
            </w:tcBorders>
            <w:vAlign w:val="center"/>
          </w:tcPr>
          <w:p w14:paraId="71BB6BC0" w14:textId="052F9387" w:rsidR="005F5762" w:rsidRPr="00650FFD" w:rsidRDefault="005F5762" w:rsidP="005F5762">
            <w:pPr>
              <w:rPr>
                <w:rFonts w:ascii="Verdana" w:eastAsia="Malgun Gothic" w:hAnsi="Verdana" w:cs="Arial"/>
                <w:color w:val="366092"/>
                <w:sz w:val="18"/>
                <w:szCs w:val="18"/>
              </w:rPr>
            </w:pPr>
            <w:r w:rsidRPr="00650FFD">
              <w:rPr>
                <w:rFonts w:ascii="Verdana" w:eastAsia="Malgun Gothic" w:hAnsi="Verdana" w:cs="Arial"/>
                <w:color w:val="366092"/>
                <w:sz w:val="18"/>
                <w:szCs w:val="18"/>
              </w:rPr>
              <w:t>Professional, Scientific and Technical Activities</w:t>
            </w:r>
          </w:p>
        </w:tc>
        <w:tc>
          <w:tcPr>
            <w:tcW w:w="1774" w:type="dxa"/>
            <w:gridSpan w:val="2"/>
            <w:tcBorders>
              <w:top w:val="nil"/>
              <w:left w:val="nil"/>
              <w:bottom w:val="nil"/>
              <w:right w:val="nil"/>
            </w:tcBorders>
            <w:vAlign w:val="center"/>
          </w:tcPr>
          <w:p w14:paraId="3E219298" w14:textId="649ECF3E"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2.653</w:t>
            </w:r>
          </w:p>
        </w:tc>
        <w:tc>
          <w:tcPr>
            <w:tcW w:w="1533" w:type="dxa"/>
            <w:gridSpan w:val="2"/>
            <w:tcBorders>
              <w:top w:val="nil"/>
              <w:left w:val="nil"/>
              <w:bottom w:val="nil"/>
              <w:right w:val="nil"/>
            </w:tcBorders>
            <w:vAlign w:val="center"/>
          </w:tcPr>
          <w:p w14:paraId="2901B626" w14:textId="70E0E454"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3.521</w:t>
            </w:r>
          </w:p>
        </w:tc>
      </w:tr>
      <w:tr w:rsidR="00650FFD" w:rsidRPr="00650FFD" w14:paraId="02C303B9" w14:textId="77777777" w:rsidTr="00174C9D">
        <w:trPr>
          <w:trHeight w:val="374"/>
          <w:jc w:val="center"/>
        </w:trPr>
        <w:tc>
          <w:tcPr>
            <w:tcW w:w="1593" w:type="dxa"/>
            <w:tcBorders>
              <w:top w:val="nil"/>
              <w:left w:val="nil"/>
              <w:bottom w:val="nil"/>
              <w:right w:val="nil"/>
            </w:tcBorders>
            <w:vAlign w:val="center"/>
          </w:tcPr>
          <w:p w14:paraId="6F542677"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N</w:t>
            </w:r>
          </w:p>
        </w:tc>
        <w:tc>
          <w:tcPr>
            <w:tcW w:w="4739" w:type="dxa"/>
            <w:tcBorders>
              <w:top w:val="nil"/>
              <w:left w:val="nil"/>
              <w:bottom w:val="nil"/>
              <w:right w:val="nil"/>
            </w:tcBorders>
            <w:vAlign w:val="center"/>
          </w:tcPr>
          <w:p w14:paraId="0A54A8E8" w14:textId="38B9DC13" w:rsidR="005F5762" w:rsidRPr="00650FFD" w:rsidRDefault="005F5762" w:rsidP="005F5762">
            <w:pPr>
              <w:rPr>
                <w:rFonts w:ascii="Verdana" w:eastAsia="Malgun Gothic" w:hAnsi="Verdana" w:cs="Arial"/>
                <w:color w:val="366092"/>
                <w:sz w:val="18"/>
                <w:szCs w:val="18"/>
              </w:rPr>
            </w:pPr>
            <w:r w:rsidRPr="00650FFD">
              <w:rPr>
                <w:rFonts w:ascii="Verdana" w:eastAsia="Malgun Gothic" w:hAnsi="Verdana" w:cs="Arial"/>
                <w:color w:val="366092"/>
                <w:sz w:val="18"/>
                <w:szCs w:val="18"/>
              </w:rPr>
              <w:t>Administrative and Support Service Activities</w:t>
            </w:r>
          </w:p>
        </w:tc>
        <w:tc>
          <w:tcPr>
            <w:tcW w:w="1774" w:type="dxa"/>
            <w:gridSpan w:val="2"/>
            <w:tcBorders>
              <w:top w:val="nil"/>
              <w:left w:val="nil"/>
              <w:bottom w:val="nil"/>
              <w:right w:val="nil"/>
            </w:tcBorders>
            <w:vAlign w:val="center"/>
          </w:tcPr>
          <w:p w14:paraId="6CE0818E" w14:textId="00FB907F"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2.274</w:t>
            </w:r>
          </w:p>
        </w:tc>
        <w:tc>
          <w:tcPr>
            <w:tcW w:w="1533" w:type="dxa"/>
            <w:gridSpan w:val="2"/>
            <w:tcBorders>
              <w:top w:val="nil"/>
              <w:left w:val="nil"/>
              <w:bottom w:val="nil"/>
              <w:right w:val="nil"/>
            </w:tcBorders>
            <w:vAlign w:val="center"/>
          </w:tcPr>
          <w:p w14:paraId="7BD7040B" w14:textId="1A1ED943"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2.304</w:t>
            </w:r>
          </w:p>
        </w:tc>
      </w:tr>
      <w:tr w:rsidR="00650FFD" w:rsidRPr="00650FFD" w14:paraId="621E1617" w14:textId="77777777" w:rsidTr="00174C9D">
        <w:trPr>
          <w:trHeight w:val="562"/>
          <w:jc w:val="center"/>
        </w:trPr>
        <w:tc>
          <w:tcPr>
            <w:tcW w:w="1593" w:type="dxa"/>
            <w:tcBorders>
              <w:top w:val="nil"/>
              <w:left w:val="nil"/>
              <w:bottom w:val="nil"/>
              <w:right w:val="nil"/>
            </w:tcBorders>
            <w:vAlign w:val="center"/>
          </w:tcPr>
          <w:p w14:paraId="0E728F13"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O</w:t>
            </w:r>
          </w:p>
        </w:tc>
        <w:tc>
          <w:tcPr>
            <w:tcW w:w="4739" w:type="dxa"/>
            <w:tcBorders>
              <w:top w:val="nil"/>
              <w:left w:val="nil"/>
              <w:bottom w:val="nil"/>
              <w:right w:val="nil"/>
            </w:tcBorders>
            <w:vAlign w:val="center"/>
          </w:tcPr>
          <w:p w14:paraId="5BE78E97" w14:textId="2918B6E8" w:rsidR="005F5762" w:rsidRPr="00650FFD" w:rsidRDefault="005F5762" w:rsidP="005F5762">
            <w:pPr>
              <w:rPr>
                <w:rFonts w:ascii="Verdana" w:eastAsia="Malgun Gothic" w:hAnsi="Verdana" w:cs="Arial"/>
                <w:color w:val="366092"/>
                <w:sz w:val="18"/>
                <w:szCs w:val="18"/>
              </w:rPr>
            </w:pPr>
            <w:r w:rsidRPr="00650FFD">
              <w:rPr>
                <w:rFonts w:ascii="Verdana" w:eastAsia="Malgun Gothic" w:hAnsi="Verdana" w:cs="Arial"/>
                <w:color w:val="366092"/>
                <w:sz w:val="18"/>
                <w:szCs w:val="18"/>
              </w:rPr>
              <w:t xml:space="preserve">Public Administration and </w:t>
            </w:r>
            <w:proofErr w:type="spellStart"/>
            <w:r w:rsidRPr="00650FFD">
              <w:rPr>
                <w:rFonts w:ascii="Verdana" w:eastAsia="Malgun Gothic" w:hAnsi="Verdana" w:cs="Arial"/>
                <w:color w:val="366092"/>
                <w:sz w:val="18"/>
                <w:szCs w:val="18"/>
              </w:rPr>
              <w:t>Defence</w:t>
            </w:r>
            <w:proofErr w:type="spellEnd"/>
            <w:r w:rsidRPr="00650FFD">
              <w:rPr>
                <w:rFonts w:ascii="Verdana" w:eastAsia="Malgun Gothic" w:hAnsi="Verdana" w:cs="Arial"/>
                <w:color w:val="366092"/>
                <w:sz w:val="18"/>
                <w:szCs w:val="18"/>
              </w:rPr>
              <w:t>, Compulsory Social Security</w:t>
            </w:r>
          </w:p>
        </w:tc>
        <w:tc>
          <w:tcPr>
            <w:tcW w:w="1774" w:type="dxa"/>
            <w:gridSpan w:val="2"/>
            <w:tcBorders>
              <w:top w:val="nil"/>
              <w:left w:val="nil"/>
              <w:bottom w:val="nil"/>
              <w:right w:val="nil"/>
            </w:tcBorders>
            <w:vAlign w:val="center"/>
          </w:tcPr>
          <w:p w14:paraId="5D561AA9" w14:textId="053A2773"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3.278</w:t>
            </w:r>
          </w:p>
        </w:tc>
        <w:tc>
          <w:tcPr>
            <w:tcW w:w="1533" w:type="dxa"/>
            <w:gridSpan w:val="2"/>
            <w:tcBorders>
              <w:top w:val="nil"/>
              <w:left w:val="nil"/>
              <w:bottom w:val="nil"/>
              <w:right w:val="nil"/>
            </w:tcBorders>
            <w:vAlign w:val="center"/>
          </w:tcPr>
          <w:p w14:paraId="4B499D23" w14:textId="0A9BCD80"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3.444</w:t>
            </w:r>
          </w:p>
        </w:tc>
      </w:tr>
      <w:tr w:rsidR="00650FFD" w:rsidRPr="00650FFD" w14:paraId="6B4B50C7" w14:textId="77777777" w:rsidTr="003404A0">
        <w:trPr>
          <w:trHeight w:val="374"/>
          <w:jc w:val="center"/>
        </w:trPr>
        <w:tc>
          <w:tcPr>
            <w:tcW w:w="1593" w:type="dxa"/>
            <w:tcBorders>
              <w:top w:val="nil"/>
              <w:left w:val="nil"/>
              <w:bottom w:val="nil"/>
              <w:right w:val="nil"/>
            </w:tcBorders>
            <w:vAlign w:val="center"/>
          </w:tcPr>
          <w:p w14:paraId="37424A0C" w14:textId="77777777" w:rsidR="005F5762" w:rsidRPr="00650FFD" w:rsidRDefault="005F5762" w:rsidP="005F5762">
            <w:pPr>
              <w:jc w:val="center"/>
              <w:rPr>
                <w:rFonts w:ascii="Verdana" w:eastAsia="Malgun Gothic" w:hAnsi="Verdana" w:cs="Arial"/>
                <w:color w:val="366092"/>
                <w:sz w:val="18"/>
                <w:szCs w:val="18"/>
              </w:rPr>
            </w:pPr>
          </w:p>
        </w:tc>
        <w:tc>
          <w:tcPr>
            <w:tcW w:w="4739" w:type="dxa"/>
            <w:tcBorders>
              <w:top w:val="nil"/>
              <w:left w:val="nil"/>
              <w:bottom w:val="nil"/>
              <w:right w:val="nil"/>
            </w:tcBorders>
            <w:vAlign w:val="center"/>
          </w:tcPr>
          <w:p w14:paraId="051F7219" w14:textId="54ABBB94"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lang w:val="el-GR"/>
              </w:rPr>
              <w:t>-</w:t>
            </w:r>
            <w:r w:rsidRPr="00650FFD">
              <w:rPr>
                <w:color w:val="366092"/>
              </w:rPr>
              <w:t xml:space="preserve"> </w:t>
            </w:r>
            <w:proofErr w:type="spellStart"/>
            <w:r w:rsidRPr="00650FFD">
              <w:rPr>
                <w:rFonts w:ascii="Verdana" w:eastAsia="Malgun Gothic" w:hAnsi="Verdana" w:cs="Arial"/>
                <w:color w:val="366092"/>
                <w:sz w:val="18"/>
                <w:szCs w:val="18"/>
                <w:lang w:val="el-GR"/>
              </w:rPr>
              <w:t>Government</w:t>
            </w:r>
            <w:proofErr w:type="spellEnd"/>
          </w:p>
        </w:tc>
        <w:tc>
          <w:tcPr>
            <w:tcW w:w="1774" w:type="dxa"/>
            <w:gridSpan w:val="2"/>
            <w:tcBorders>
              <w:top w:val="nil"/>
              <w:left w:val="nil"/>
              <w:bottom w:val="nil"/>
              <w:right w:val="nil"/>
            </w:tcBorders>
            <w:vAlign w:val="center"/>
          </w:tcPr>
          <w:p w14:paraId="2268E45A" w14:textId="020775E6"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3.480</w:t>
            </w:r>
          </w:p>
        </w:tc>
        <w:tc>
          <w:tcPr>
            <w:tcW w:w="1533" w:type="dxa"/>
            <w:gridSpan w:val="2"/>
            <w:tcBorders>
              <w:top w:val="nil"/>
              <w:left w:val="nil"/>
              <w:bottom w:val="nil"/>
              <w:right w:val="nil"/>
            </w:tcBorders>
            <w:vAlign w:val="center"/>
          </w:tcPr>
          <w:p w14:paraId="2D0D1E2C" w14:textId="5D6FFBDE"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3.254</w:t>
            </w:r>
          </w:p>
        </w:tc>
      </w:tr>
      <w:tr w:rsidR="00650FFD" w:rsidRPr="00650FFD" w14:paraId="3578A624" w14:textId="77777777" w:rsidTr="003404A0">
        <w:trPr>
          <w:trHeight w:val="374"/>
          <w:jc w:val="center"/>
        </w:trPr>
        <w:tc>
          <w:tcPr>
            <w:tcW w:w="1593" w:type="dxa"/>
            <w:tcBorders>
              <w:top w:val="nil"/>
              <w:left w:val="nil"/>
              <w:bottom w:val="nil"/>
              <w:right w:val="nil"/>
            </w:tcBorders>
            <w:vAlign w:val="center"/>
          </w:tcPr>
          <w:p w14:paraId="4366D77B" w14:textId="77777777" w:rsidR="005F5762" w:rsidRPr="00650FFD" w:rsidRDefault="005F5762" w:rsidP="005F5762">
            <w:pPr>
              <w:jc w:val="center"/>
              <w:rPr>
                <w:rFonts w:ascii="Verdana" w:eastAsia="Malgun Gothic" w:hAnsi="Verdana" w:cs="Arial"/>
                <w:color w:val="366092"/>
                <w:sz w:val="18"/>
                <w:szCs w:val="18"/>
              </w:rPr>
            </w:pPr>
          </w:p>
        </w:tc>
        <w:tc>
          <w:tcPr>
            <w:tcW w:w="4739" w:type="dxa"/>
            <w:tcBorders>
              <w:top w:val="nil"/>
              <w:left w:val="nil"/>
              <w:bottom w:val="nil"/>
              <w:right w:val="nil"/>
            </w:tcBorders>
            <w:vAlign w:val="center"/>
          </w:tcPr>
          <w:p w14:paraId="5B6566D1" w14:textId="7305E764"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lang w:val="el-GR"/>
              </w:rPr>
              <w:t xml:space="preserve">- </w:t>
            </w:r>
            <w:proofErr w:type="spellStart"/>
            <w:r w:rsidRPr="00650FFD">
              <w:rPr>
                <w:rFonts w:ascii="Verdana" w:eastAsia="Malgun Gothic" w:hAnsi="Verdana" w:cs="Arial"/>
                <w:color w:val="366092"/>
                <w:sz w:val="18"/>
                <w:szCs w:val="18"/>
                <w:lang w:val="el-GR"/>
              </w:rPr>
              <w:t>Other</w:t>
            </w:r>
            <w:proofErr w:type="spellEnd"/>
          </w:p>
        </w:tc>
        <w:tc>
          <w:tcPr>
            <w:tcW w:w="1774" w:type="dxa"/>
            <w:gridSpan w:val="2"/>
            <w:tcBorders>
              <w:top w:val="nil"/>
              <w:left w:val="nil"/>
              <w:bottom w:val="nil"/>
              <w:right w:val="nil"/>
            </w:tcBorders>
            <w:vAlign w:val="center"/>
          </w:tcPr>
          <w:p w14:paraId="5C2657A9" w14:textId="23053546"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2.340</w:t>
            </w:r>
          </w:p>
        </w:tc>
        <w:tc>
          <w:tcPr>
            <w:tcW w:w="1533" w:type="dxa"/>
            <w:gridSpan w:val="2"/>
            <w:tcBorders>
              <w:top w:val="nil"/>
              <w:left w:val="nil"/>
              <w:bottom w:val="nil"/>
              <w:right w:val="nil"/>
            </w:tcBorders>
            <w:vAlign w:val="center"/>
          </w:tcPr>
          <w:p w14:paraId="45FDD246" w14:textId="46162167" w:rsidR="005F5762" w:rsidRPr="00650FFD" w:rsidRDefault="005F5762" w:rsidP="005F5762">
            <w:pPr>
              <w:ind w:right="432"/>
              <w:jc w:val="right"/>
              <w:rPr>
                <w:rFonts w:ascii="Verdana" w:eastAsia="Malgun Gothic" w:hAnsi="Verdana" w:cs="Arial"/>
                <w:color w:val="366092"/>
                <w:sz w:val="18"/>
                <w:szCs w:val="18"/>
              </w:rPr>
            </w:pPr>
            <w:r w:rsidRPr="00650FFD">
              <w:rPr>
                <w:rFonts w:ascii="Verdana" w:eastAsia="Malgun Gothic" w:hAnsi="Verdana" w:cs="Arial"/>
                <w:color w:val="366092"/>
                <w:sz w:val="18"/>
                <w:szCs w:val="18"/>
              </w:rPr>
              <w:t>3.707</w:t>
            </w:r>
          </w:p>
        </w:tc>
      </w:tr>
      <w:tr w:rsidR="00650FFD" w:rsidRPr="00650FFD" w14:paraId="54E1BE95" w14:textId="77777777" w:rsidTr="003404A0">
        <w:trPr>
          <w:trHeight w:val="374"/>
          <w:jc w:val="center"/>
        </w:trPr>
        <w:tc>
          <w:tcPr>
            <w:tcW w:w="1593" w:type="dxa"/>
            <w:tcBorders>
              <w:top w:val="nil"/>
              <w:left w:val="nil"/>
              <w:bottom w:val="nil"/>
              <w:right w:val="nil"/>
            </w:tcBorders>
            <w:vAlign w:val="center"/>
          </w:tcPr>
          <w:p w14:paraId="708A7D54"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P</w:t>
            </w:r>
          </w:p>
        </w:tc>
        <w:tc>
          <w:tcPr>
            <w:tcW w:w="4739" w:type="dxa"/>
            <w:tcBorders>
              <w:top w:val="nil"/>
              <w:left w:val="nil"/>
              <w:bottom w:val="nil"/>
              <w:right w:val="nil"/>
            </w:tcBorders>
            <w:vAlign w:val="center"/>
          </w:tcPr>
          <w:p w14:paraId="0BF6FFF2" w14:textId="1EF568C3"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Education</w:t>
            </w:r>
          </w:p>
        </w:tc>
        <w:tc>
          <w:tcPr>
            <w:tcW w:w="1774" w:type="dxa"/>
            <w:gridSpan w:val="2"/>
            <w:tcBorders>
              <w:top w:val="nil"/>
              <w:left w:val="nil"/>
              <w:bottom w:val="nil"/>
              <w:right w:val="nil"/>
            </w:tcBorders>
            <w:vAlign w:val="center"/>
          </w:tcPr>
          <w:p w14:paraId="1DC5A748" w14:textId="22357791" w:rsidR="005F5762" w:rsidRPr="00650FFD" w:rsidRDefault="005F5762" w:rsidP="005F576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2.280</w:t>
            </w:r>
          </w:p>
        </w:tc>
        <w:tc>
          <w:tcPr>
            <w:tcW w:w="1533" w:type="dxa"/>
            <w:gridSpan w:val="2"/>
            <w:tcBorders>
              <w:top w:val="nil"/>
              <w:left w:val="nil"/>
              <w:bottom w:val="nil"/>
              <w:right w:val="nil"/>
            </w:tcBorders>
            <w:vAlign w:val="center"/>
          </w:tcPr>
          <w:p w14:paraId="42AF29C2" w14:textId="33CBEBAA" w:rsidR="005F5762" w:rsidRPr="00650FFD" w:rsidRDefault="005F5762" w:rsidP="005F576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2.428</w:t>
            </w:r>
          </w:p>
        </w:tc>
      </w:tr>
      <w:tr w:rsidR="00650FFD" w:rsidRPr="00650FFD" w14:paraId="58994C46" w14:textId="77777777" w:rsidTr="003404A0">
        <w:trPr>
          <w:trHeight w:val="562"/>
          <w:jc w:val="center"/>
        </w:trPr>
        <w:tc>
          <w:tcPr>
            <w:tcW w:w="1593" w:type="dxa"/>
            <w:tcBorders>
              <w:top w:val="nil"/>
              <w:left w:val="nil"/>
              <w:bottom w:val="nil"/>
              <w:right w:val="nil"/>
            </w:tcBorders>
            <w:vAlign w:val="center"/>
          </w:tcPr>
          <w:p w14:paraId="7359426D"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Q</w:t>
            </w:r>
          </w:p>
        </w:tc>
        <w:tc>
          <w:tcPr>
            <w:tcW w:w="4739" w:type="dxa"/>
            <w:tcBorders>
              <w:top w:val="nil"/>
              <w:left w:val="nil"/>
              <w:bottom w:val="nil"/>
              <w:right w:val="nil"/>
            </w:tcBorders>
            <w:vAlign w:val="center"/>
          </w:tcPr>
          <w:p w14:paraId="425649CE" w14:textId="46B2BA85" w:rsidR="005F5762" w:rsidRPr="00650FFD" w:rsidRDefault="005F5762" w:rsidP="005F5762">
            <w:pPr>
              <w:rPr>
                <w:rFonts w:ascii="Verdana" w:eastAsia="Malgun Gothic" w:hAnsi="Verdana" w:cs="Arial"/>
                <w:color w:val="366092"/>
                <w:sz w:val="18"/>
                <w:szCs w:val="18"/>
              </w:rPr>
            </w:pPr>
            <w:r w:rsidRPr="00650FFD">
              <w:rPr>
                <w:rFonts w:ascii="Verdana" w:eastAsia="Malgun Gothic" w:hAnsi="Verdana" w:cs="Arial"/>
                <w:color w:val="366092"/>
                <w:sz w:val="18"/>
                <w:szCs w:val="18"/>
              </w:rPr>
              <w:t>Human Health and Social Work Activities</w:t>
            </w:r>
          </w:p>
        </w:tc>
        <w:tc>
          <w:tcPr>
            <w:tcW w:w="1774" w:type="dxa"/>
            <w:gridSpan w:val="2"/>
            <w:tcBorders>
              <w:top w:val="nil"/>
              <w:left w:val="nil"/>
              <w:bottom w:val="nil"/>
              <w:right w:val="nil"/>
            </w:tcBorders>
            <w:vAlign w:val="center"/>
          </w:tcPr>
          <w:p w14:paraId="035A4792" w14:textId="33AEF842" w:rsidR="005F5762" w:rsidRPr="00650FFD" w:rsidRDefault="005F5762" w:rsidP="005F576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2.103</w:t>
            </w:r>
          </w:p>
        </w:tc>
        <w:tc>
          <w:tcPr>
            <w:tcW w:w="1533" w:type="dxa"/>
            <w:gridSpan w:val="2"/>
            <w:tcBorders>
              <w:top w:val="nil"/>
              <w:left w:val="nil"/>
              <w:bottom w:val="nil"/>
              <w:right w:val="nil"/>
            </w:tcBorders>
            <w:vAlign w:val="center"/>
          </w:tcPr>
          <w:p w14:paraId="39785673" w14:textId="18CAE912" w:rsidR="005F5762" w:rsidRPr="00650FFD" w:rsidRDefault="005F5762" w:rsidP="005F576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2.205</w:t>
            </w:r>
          </w:p>
        </w:tc>
      </w:tr>
      <w:tr w:rsidR="00650FFD" w:rsidRPr="00650FFD" w14:paraId="38F4C973" w14:textId="77777777" w:rsidTr="003404A0">
        <w:trPr>
          <w:trHeight w:val="374"/>
          <w:jc w:val="center"/>
        </w:trPr>
        <w:tc>
          <w:tcPr>
            <w:tcW w:w="1593" w:type="dxa"/>
            <w:tcBorders>
              <w:top w:val="nil"/>
              <w:left w:val="nil"/>
              <w:bottom w:val="nil"/>
              <w:right w:val="nil"/>
            </w:tcBorders>
            <w:vAlign w:val="center"/>
          </w:tcPr>
          <w:p w14:paraId="0C0FF2BF"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R</w:t>
            </w:r>
          </w:p>
        </w:tc>
        <w:tc>
          <w:tcPr>
            <w:tcW w:w="4739" w:type="dxa"/>
            <w:tcBorders>
              <w:top w:val="nil"/>
              <w:left w:val="nil"/>
              <w:bottom w:val="nil"/>
              <w:right w:val="nil"/>
            </w:tcBorders>
            <w:vAlign w:val="center"/>
          </w:tcPr>
          <w:p w14:paraId="5AE050A4" w14:textId="104B96F4"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Arts, Entertainment and Recreation</w:t>
            </w:r>
          </w:p>
        </w:tc>
        <w:tc>
          <w:tcPr>
            <w:tcW w:w="1774" w:type="dxa"/>
            <w:gridSpan w:val="2"/>
            <w:tcBorders>
              <w:top w:val="nil"/>
              <w:left w:val="nil"/>
              <w:bottom w:val="nil"/>
              <w:right w:val="nil"/>
            </w:tcBorders>
            <w:vAlign w:val="center"/>
          </w:tcPr>
          <w:p w14:paraId="6A8299D0" w14:textId="56BD5780" w:rsidR="005F5762" w:rsidRPr="00650FFD" w:rsidRDefault="005F5762" w:rsidP="005F576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1.891</w:t>
            </w:r>
          </w:p>
        </w:tc>
        <w:tc>
          <w:tcPr>
            <w:tcW w:w="1533" w:type="dxa"/>
            <w:gridSpan w:val="2"/>
            <w:tcBorders>
              <w:top w:val="nil"/>
              <w:left w:val="nil"/>
              <w:bottom w:val="nil"/>
              <w:right w:val="nil"/>
            </w:tcBorders>
            <w:vAlign w:val="center"/>
          </w:tcPr>
          <w:p w14:paraId="2F53B288" w14:textId="06CDAFE1" w:rsidR="005F5762" w:rsidRPr="00650FFD" w:rsidRDefault="005F5762" w:rsidP="005F576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2.731</w:t>
            </w:r>
          </w:p>
        </w:tc>
      </w:tr>
      <w:tr w:rsidR="00650FFD" w:rsidRPr="00650FFD" w14:paraId="540D7E0A" w14:textId="77777777" w:rsidTr="00650FFD">
        <w:trPr>
          <w:trHeight w:val="374"/>
          <w:jc w:val="center"/>
        </w:trPr>
        <w:tc>
          <w:tcPr>
            <w:tcW w:w="1593" w:type="dxa"/>
            <w:tcBorders>
              <w:top w:val="nil"/>
              <w:left w:val="nil"/>
              <w:bottom w:val="single" w:sz="4" w:space="0" w:color="366092"/>
              <w:right w:val="nil"/>
            </w:tcBorders>
            <w:vAlign w:val="center"/>
          </w:tcPr>
          <w:p w14:paraId="21E1038A" w14:textId="77777777" w:rsidR="005F5762" w:rsidRPr="00650FFD" w:rsidRDefault="005F5762" w:rsidP="005F5762">
            <w:pPr>
              <w:jc w:val="center"/>
              <w:rPr>
                <w:rFonts w:ascii="Verdana" w:eastAsia="Malgun Gothic" w:hAnsi="Verdana" w:cs="Arial"/>
                <w:color w:val="366092"/>
                <w:sz w:val="18"/>
                <w:szCs w:val="18"/>
              </w:rPr>
            </w:pPr>
            <w:r w:rsidRPr="00650FFD">
              <w:rPr>
                <w:rFonts w:ascii="Verdana" w:eastAsia="Malgun Gothic" w:hAnsi="Verdana" w:cs="Arial"/>
                <w:color w:val="366092"/>
                <w:sz w:val="18"/>
                <w:szCs w:val="18"/>
              </w:rPr>
              <w:t>S</w:t>
            </w:r>
          </w:p>
        </w:tc>
        <w:tc>
          <w:tcPr>
            <w:tcW w:w="4739" w:type="dxa"/>
            <w:tcBorders>
              <w:top w:val="nil"/>
              <w:left w:val="nil"/>
              <w:bottom w:val="single" w:sz="4" w:space="0" w:color="366092"/>
              <w:right w:val="nil"/>
            </w:tcBorders>
            <w:vAlign w:val="center"/>
          </w:tcPr>
          <w:p w14:paraId="505198E7" w14:textId="52D78005" w:rsidR="005F5762" w:rsidRPr="00650FFD" w:rsidRDefault="005F5762" w:rsidP="005F5762">
            <w:pPr>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Other Service Activities</w:t>
            </w:r>
          </w:p>
        </w:tc>
        <w:tc>
          <w:tcPr>
            <w:tcW w:w="1774" w:type="dxa"/>
            <w:gridSpan w:val="2"/>
            <w:tcBorders>
              <w:top w:val="nil"/>
              <w:left w:val="nil"/>
              <w:bottom w:val="single" w:sz="4" w:space="0" w:color="366092"/>
              <w:right w:val="nil"/>
            </w:tcBorders>
            <w:vAlign w:val="center"/>
          </w:tcPr>
          <w:p w14:paraId="6563B29A" w14:textId="23E6BA3D" w:rsidR="005F5762" w:rsidRPr="00650FFD" w:rsidRDefault="005F5762" w:rsidP="005F576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1.819</w:t>
            </w:r>
          </w:p>
        </w:tc>
        <w:tc>
          <w:tcPr>
            <w:tcW w:w="1533" w:type="dxa"/>
            <w:gridSpan w:val="2"/>
            <w:tcBorders>
              <w:top w:val="nil"/>
              <w:left w:val="nil"/>
              <w:bottom w:val="single" w:sz="4" w:space="0" w:color="366092"/>
              <w:right w:val="nil"/>
            </w:tcBorders>
            <w:vAlign w:val="center"/>
          </w:tcPr>
          <w:p w14:paraId="3CC7B23C" w14:textId="7EB495A8" w:rsidR="005F5762" w:rsidRPr="00650FFD" w:rsidRDefault="005F5762" w:rsidP="005F5762">
            <w:pPr>
              <w:ind w:right="432"/>
              <w:jc w:val="right"/>
              <w:rPr>
                <w:rFonts w:ascii="Verdana" w:eastAsia="Malgun Gothic" w:hAnsi="Verdana" w:cs="Arial"/>
                <w:color w:val="366092"/>
                <w:sz w:val="18"/>
                <w:szCs w:val="18"/>
                <w:lang w:val="el-GR"/>
              </w:rPr>
            </w:pPr>
            <w:r w:rsidRPr="00650FFD">
              <w:rPr>
                <w:rFonts w:ascii="Verdana" w:eastAsia="Malgun Gothic" w:hAnsi="Verdana" w:cs="Arial"/>
                <w:color w:val="366092"/>
                <w:sz w:val="18"/>
                <w:szCs w:val="18"/>
              </w:rPr>
              <w:t>1.484</w:t>
            </w:r>
          </w:p>
        </w:tc>
      </w:tr>
      <w:tr w:rsidR="00650FFD" w:rsidRPr="00650FFD" w14:paraId="05AE2167" w14:textId="77777777" w:rsidTr="00650FFD">
        <w:trPr>
          <w:trHeight w:val="389"/>
          <w:jc w:val="center"/>
        </w:trPr>
        <w:tc>
          <w:tcPr>
            <w:tcW w:w="1593" w:type="dxa"/>
            <w:tcBorders>
              <w:top w:val="single" w:sz="4" w:space="0" w:color="366092"/>
              <w:left w:val="nil"/>
              <w:bottom w:val="single" w:sz="4" w:space="0" w:color="366092"/>
              <w:right w:val="nil"/>
            </w:tcBorders>
            <w:vAlign w:val="center"/>
          </w:tcPr>
          <w:p w14:paraId="24A92219" w14:textId="77777777" w:rsidR="005F5762" w:rsidRPr="00650FFD" w:rsidRDefault="005F5762" w:rsidP="005F5762">
            <w:pPr>
              <w:jc w:val="center"/>
              <w:rPr>
                <w:rFonts w:ascii="Verdana" w:eastAsia="Malgun Gothic" w:hAnsi="Verdana" w:cs="Arial"/>
                <w:color w:val="366092"/>
                <w:sz w:val="18"/>
                <w:szCs w:val="18"/>
                <w:lang w:val="el-GR"/>
              </w:rPr>
            </w:pPr>
          </w:p>
        </w:tc>
        <w:tc>
          <w:tcPr>
            <w:tcW w:w="4739" w:type="dxa"/>
            <w:tcBorders>
              <w:top w:val="single" w:sz="4" w:space="0" w:color="366092"/>
              <w:left w:val="nil"/>
              <w:bottom w:val="single" w:sz="4" w:space="0" w:color="366092"/>
              <w:right w:val="nil"/>
            </w:tcBorders>
            <w:vAlign w:val="center"/>
          </w:tcPr>
          <w:p w14:paraId="078DD21B" w14:textId="1C3788E6" w:rsidR="005F5762" w:rsidRPr="00650FFD" w:rsidRDefault="005F5762" w:rsidP="005F5762">
            <w:pPr>
              <w:rPr>
                <w:rFonts w:ascii="Verdana" w:eastAsia="Malgun Gothic" w:hAnsi="Verdana" w:cs="Arial"/>
                <w:b/>
                <w:color w:val="366092"/>
                <w:sz w:val="18"/>
                <w:szCs w:val="18"/>
                <w:lang w:val="el-GR"/>
              </w:rPr>
            </w:pPr>
            <w:r w:rsidRPr="00650FFD">
              <w:rPr>
                <w:rFonts w:ascii="Verdana" w:eastAsia="Malgun Gothic" w:hAnsi="Verdana" w:cs="Arial"/>
                <w:b/>
                <w:color w:val="366092"/>
                <w:sz w:val="18"/>
                <w:szCs w:val="18"/>
              </w:rPr>
              <w:t>Total</w:t>
            </w:r>
          </w:p>
        </w:tc>
        <w:tc>
          <w:tcPr>
            <w:tcW w:w="1774" w:type="dxa"/>
            <w:gridSpan w:val="2"/>
            <w:tcBorders>
              <w:top w:val="single" w:sz="4" w:space="0" w:color="366092"/>
              <w:left w:val="nil"/>
              <w:bottom w:val="single" w:sz="4" w:space="0" w:color="366092"/>
              <w:right w:val="nil"/>
            </w:tcBorders>
            <w:vAlign w:val="center"/>
          </w:tcPr>
          <w:p w14:paraId="66C2120D" w14:textId="1C691A2A" w:rsidR="005F5762" w:rsidRPr="00650FFD" w:rsidRDefault="005F5762" w:rsidP="005F5762">
            <w:pPr>
              <w:ind w:right="432"/>
              <w:jc w:val="right"/>
              <w:rPr>
                <w:rFonts w:ascii="Verdana" w:eastAsia="Malgun Gothic" w:hAnsi="Verdana" w:cs="Arial"/>
                <w:b/>
                <w:color w:val="366092"/>
                <w:sz w:val="18"/>
                <w:szCs w:val="18"/>
                <w:highlight w:val="yellow"/>
                <w:lang w:val="el-GR"/>
              </w:rPr>
            </w:pPr>
            <w:r w:rsidRPr="00650FFD">
              <w:rPr>
                <w:rFonts w:ascii="Verdana" w:eastAsia="Malgun Gothic" w:hAnsi="Verdana" w:cs="Arial"/>
                <w:b/>
                <w:color w:val="366092"/>
                <w:sz w:val="18"/>
                <w:szCs w:val="18"/>
              </w:rPr>
              <w:t>2.506</w:t>
            </w:r>
          </w:p>
        </w:tc>
        <w:tc>
          <w:tcPr>
            <w:tcW w:w="1533" w:type="dxa"/>
            <w:gridSpan w:val="2"/>
            <w:tcBorders>
              <w:top w:val="single" w:sz="4" w:space="0" w:color="366092"/>
              <w:left w:val="nil"/>
              <w:bottom w:val="single" w:sz="4" w:space="0" w:color="366092"/>
              <w:right w:val="nil"/>
            </w:tcBorders>
            <w:vAlign w:val="center"/>
          </w:tcPr>
          <w:p w14:paraId="3E3B5810" w14:textId="139C7E61" w:rsidR="005F5762" w:rsidRPr="00650FFD" w:rsidRDefault="005F5762" w:rsidP="005F5762">
            <w:pPr>
              <w:ind w:right="432"/>
              <w:jc w:val="right"/>
              <w:rPr>
                <w:rFonts w:ascii="Verdana" w:eastAsia="Malgun Gothic" w:hAnsi="Verdana" w:cs="Arial"/>
                <w:b/>
                <w:color w:val="366092"/>
                <w:sz w:val="18"/>
                <w:szCs w:val="18"/>
                <w:lang w:val="el-GR"/>
              </w:rPr>
            </w:pPr>
            <w:r w:rsidRPr="00650FFD">
              <w:rPr>
                <w:rFonts w:ascii="Verdana" w:eastAsia="Malgun Gothic" w:hAnsi="Verdana" w:cs="Arial"/>
                <w:b/>
                <w:color w:val="366092"/>
                <w:sz w:val="18"/>
                <w:szCs w:val="18"/>
              </w:rPr>
              <w:t>2.434</w:t>
            </w:r>
          </w:p>
        </w:tc>
      </w:tr>
      <w:tr w:rsidR="00650FFD" w:rsidRPr="00650FFD" w14:paraId="6D2ABDA3" w14:textId="77777777" w:rsidTr="00340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4" w:type="dxa"/>
          <w:trHeight w:val="259"/>
          <w:jc w:val="center"/>
        </w:trPr>
        <w:tc>
          <w:tcPr>
            <w:tcW w:w="7528" w:type="dxa"/>
            <w:gridSpan w:val="3"/>
            <w:tcBorders>
              <w:top w:val="single" w:sz="4" w:space="0" w:color="365F91"/>
              <w:left w:val="nil"/>
              <w:bottom w:val="nil"/>
              <w:right w:val="nil"/>
            </w:tcBorders>
            <w:vAlign w:val="center"/>
          </w:tcPr>
          <w:p w14:paraId="044419C1" w14:textId="77777777" w:rsidR="00A7557E" w:rsidRPr="00650FFD" w:rsidRDefault="00A7557E" w:rsidP="003404A0">
            <w:pPr>
              <w:ind w:right="1008"/>
              <w:rPr>
                <w:rFonts w:ascii="Verdana" w:hAnsi="Verdana"/>
                <w:color w:val="366092"/>
                <w:sz w:val="16"/>
                <w:szCs w:val="16"/>
                <w:lang w:val="el-GR"/>
              </w:rPr>
            </w:pPr>
          </w:p>
        </w:tc>
        <w:tc>
          <w:tcPr>
            <w:tcW w:w="1587" w:type="dxa"/>
            <w:gridSpan w:val="2"/>
            <w:tcBorders>
              <w:top w:val="single" w:sz="4" w:space="0" w:color="365F91"/>
              <w:left w:val="nil"/>
              <w:bottom w:val="nil"/>
              <w:right w:val="nil"/>
            </w:tcBorders>
          </w:tcPr>
          <w:p w14:paraId="439CB078" w14:textId="77777777" w:rsidR="00A7557E" w:rsidRPr="00650FFD" w:rsidRDefault="00A7557E" w:rsidP="003404A0">
            <w:pPr>
              <w:ind w:right="1008"/>
              <w:rPr>
                <w:rFonts w:ascii="Verdana" w:hAnsi="Verdana"/>
                <w:color w:val="366092"/>
                <w:sz w:val="16"/>
                <w:szCs w:val="16"/>
                <w:lang w:val="el-GR"/>
              </w:rPr>
            </w:pPr>
          </w:p>
        </w:tc>
      </w:tr>
    </w:tbl>
    <w:p w14:paraId="5023BE02" w14:textId="77777777" w:rsidR="000A11C4" w:rsidRPr="00A7557E" w:rsidRDefault="000A11C4">
      <w:pPr>
        <w:rPr>
          <w:rFonts w:ascii="Verdana" w:eastAsia="Malgun Gothic" w:hAnsi="Verdana" w:cs="Arial"/>
          <w:sz w:val="18"/>
          <w:szCs w:val="18"/>
        </w:rPr>
      </w:pPr>
    </w:p>
    <w:p w14:paraId="0B059EE7" w14:textId="71ADC601" w:rsidR="000A11C4" w:rsidRPr="00A7557E" w:rsidRDefault="000A11C4">
      <w:pPr>
        <w:rPr>
          <w:rFonts w:ascii="Verdana" w:eastAsia="Malgun Gothic" w:hAnsi="Verdana" w:cs="Arial"/>
          <w:sz w:val="18"/>
          <w:szCs w:val="18"/>
        </w:rPr>
      </w:pPr>
    </w:p>
    <w:p w14:paraId="3291F625" w14:textId="249CC4EE" w:rsidR="000A11C4" w:rsidRPr="00A7557E" w:rsidRDefault="000A11C4">
      <w:pPr>
        <w:rPr>
          <w:rFonts w:ascii="Verdana" w:eastAsia="Malgun Gothic" w:hAnsi="Verdana" w:cs="Arial"/>
          <w:sz w:val="18"/>
          <w:szCs w:val="18"/>
        </w:rPr>
      </w:pPr>
    </w:p>
    <w:p w14:paraId="2D3BAFFC" w14:textId="65DB21FF" w:rsidR="000A11C4" w:rsidRPr="00A7557E" w:rsidRDefault="000A11C4">
      <w:pPr>
        <w:rPr>
          <w:rFonts w:ascii="Verdana" w:eastAsia="Malgun Gothic" w:hAnsi="Verdana" w:cs="Arial"/>
          <w:sz w:val="18"/>
          <w:szCs w:val="18"/>
        </w:rPr>
      </w:pPr>
    </w:p>
    <w:p w14:paraId="22B43078" w14:textId="77777777" w:rsidR="000A11C4" w:rsidRPr="00A7557E" w:rsidRDefault="000A11C4">
      <w:pPr>
        <w:rPr>
          <w:rFonts w:ascii="Verdana" w:eastAsia="Malgun Gothic" w:hAnsi="Verdana" w:cs="Arial"/>
          <w:sz w:val="18"/>
          <w:szCs w:val="18"/>
        </w:rPr>
      </w:pPr>
    </w:p>
    <w:p w14:paraId="13F9F520" w14:textId="634D38B5" w:rsidR="003C6B55" w:rsidRDefault="003C6B55" w:rsidP="003C6B55">
      <w:pPr>
        <w:jc w:val="center"/>
        <w:rPr>
          <w:rFonts w:ascii="Verdana" w:eastAsia="Malgun Gothic" w:hAnsi="Verdana" w:cs="Arial"/>
          <w:b/>
          <w:u w:val="single"/>
        </w:rPr>
      </w:pPr>
      <w:r>
        <w:rPr>
          <w:rFonts w:ascii="Verdana" w:eastAsia="Malgun Gothic" w:hAnsi="Verdana" w:cs="Arial"/>
          <w:b/>
          <w:u w:val="single"/>
        </w:rPr>
        <w:br w:type="page"/>
      </w:r>
    </w:p>
    <w:p w14:paraId="32EA4DAA" w14:textId="1A679CE0" w:rsidR="001D0C20" w:rsidRPr="00205BA0" w:rsidRDefault="001D0C20" w:rsidP="001D0C20">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61B23212" w14:textId="77777777" w:rsidR="001D0C20" w:rsidRPr="00205BA0" w:rsidRDefault="001D0C20" w:rsidP="001D0C20">
      <w:pPr>
        <w:tabs>
          <w:tab w:val="left" w:pos="1080"/>
          <w:tab w:val="left" w:pos="6840"/>
        </w:tabs>
        <w:jc w:val="both"/>
        <w:rPr>
          <w:rFonts w:ascii="Verdana" w:eastAsia="Malgun Gothic" w:hAnsi="Verdana" w:cs="Arial"/>
          <w:b/>
          <w:sz w:val="20"/>
          <w:szCs w:val="20"/>
          <w:u w:val="single"/>
        </w:rPr>
      </w:pPr>
    </w:p>
    <w:p w14:paraId="0C37C90A" w14:textId="77777777" w:rsidR="00780EA6" w:rsidRDefault="00780EA6" w:rsidP="001D0C20">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Identity</w:t>
      </w:r>
    </w:p>
    <w:p w14:paraId="532838B5" w14:textId="77777777" w:rsidR="00780EA6" w:rsidRDefault="00780EA6" w:rsidP="001D0C20">
      <w:pPr>
        <w:tabs>
          <w:tab w:val="left" w:pos="1080"/>
          <w:tab w:val="left" w:pos="6840"/>
        </w:tabs>
        <w:jc w:val="both"/>
        <w:rPr>
          <w:rFonts w:ascii="Verdana" w:eastAsia="Malgun Gothic" w:hAnsi="Verdana" w:cs="Arial"/>
          <w:b/>
          <w:sz w:val="18"/>
          <w:szCs w:val="18"/>
          <w:u w:val="single"/>
        </w:rPr>
      </w:pPr>
    </w:p>
    <w:p w14:paraId="49145ACF" w14:textId="7E8FF939" w:rsidR="00780EA6" w:rsidRDefault="00780EA6" w:rsidP="00780EA6">
      <w:pPr>
        <w:tabs>
          <w:tab w:val="left" w:pos="945"/>
        </w:tabs>
        <w:jc w:val="both"/>
        <w:rPr>
          <w:rFonts w:ascii="Verdana" w:eastAsia="Malgun Gothic" w:hAnsi="Verdana" w:cs="Arial"/>
          <w:sz w:val="18"/>
          <w:szCs w:val="18"/>
        </w:rPr>
      </w:pPr>
      <w:r w:rsidRPr="00780EA6">
        <w:rPr>
          <w:rFonts w:ascii="Verdana" w:eastAsia="Malgun Gothic" w:hAnsi="Verdana" w:cs="Arial"/>
          <w:sz w:val="18"/>
          <w:szCs w:val="18"/>
        </w:rPr>
        <w:t xml:space="preserve">The </w:t>
      </w:r>
      <w:r w:rsidR="00581D38">
        <w:rPr>
          <w:rFonts w:ascii="Verdana" w:eastAsia="Malgun Gothic" w:hAnsi="Verdana" w:cs="Arial"/>
          <w:sz w:val="18"/>
          <w:szCs w:val="18"/>
        </w:rPr>
        <w:t>a</w:t>
      </w:r>
      <w:r w:rsidRPr="00780EA6">
        <w:rPr>
          <w:rFonts w:ascii="Verdana" w:eastAsia="Malgun Gothic" w:hAnsi="Verdana" w:cs="Arial"/>
          <w:sz w:val="18"/>
          <w:szCs w:val="18"/>
        </w:rPr>
        <w:t xml:space="preserve">verage </w:t>
      </w:r>
      <w:r w:rsidR="00082ABD">
        <w:rPr>
          <w:rFonts w:ascii="Verdana" w:eastAsia="Malgun Gothic" w:hAnsi="Verdana" w:cs="Arial"/>
          <w:sz w:val="18"/>
          <w:szCs w:val="18"/>
        </w:rPr>
        <w:t>m</w:t>
      </w:r>
      <w:r w:rsidRPr="00780EA6">
        <w:rPr>
          <w:rFonts w:ascii="Verdana" w:eastAsia="Malgun Gothic" w:hAnsi="Verdana" w:cs="Arial"/>
          <w:sz w:val="18"/>
          <w:szCs w:val="18"/>
        </w:rPr>
        <w:t xml:space="preserve">onthly </w:t>
      </w:r>
      <w:r w:rsidR="00082ABD">
        <w:rPr>
          <w:rFonts w:ascii="Verdana" w:eastAsia="Malgun Gothic" w:hAnsi="Verdana" w:cs="Arial"/>
          <w:sz w:val="18"/>
          <w:szCs w:val="18"/>
        </w:rPr>
        <w:t>e</w:t>
      </w:r>
      <w:r w:rsidRPr="00780EA6">
        <w:rPr>
          <w:rFonts w:ascii="Verdana" w:eastAsia="Malgun Gothic" w:hAnsi="Verdana" w:cs="Arial"/>
          <w:sz w:val="18"/>
          <w:szCs w:val="18"/>
        </w:rPr>
        <w:t>arnings of employees</w:t>
      </w:r>
      <w:r>
        <w:rPr>
          <w:rFonts w:ascii="Verdana" w:eastAsia="Malgun Gothic" w:hAnsi="Verdana" w:cs="Arial"/>
          <w:sz w:val="18"/>
          <w:szCs w:val="18"/>
        </w:rPr>
        <w:t xml:space="preserve"> are</w:t>
      </w:r>
      <w:r w:rsidRPr="00F3363A">
        <w:rPr>
          <w:rFonts w:ascii="Verdana" w:eastAsia="Malgun Gothic" w:hAnsi="Verdana" w:cs="Arial"/>
          <w:sz w:val="18"/>
          <w:szCs w:val="18"/>
        </w:rPr>
        <w:t xml:space="preserve"> calculated by dividing the total gross earnings before any deductions for compulsory social security contributions, by the total number of employees who received remuneration.</w:t>
      </w:r>
      <w:r w:rsidR="00D56282">
        <w:t xml:space="preserve"> </w:t>
      </w:r>
      <w:r w:rsidR="00D56282" w:rsidRPr="00D56282">
        <w:rPr>
          <w:rFonts w:ascii="Verdana" w:eastAsia="Malgun Gothic" w:hAnsi="Verdana" w:cs="Arial"/>
          <w:sz w:val="18"/>
          <w:szCs w:val="18"/>
        </w:rPr>
        <w:t xml:space="preserve">The data source is the records of the Social Insurance Services. The results </w:t>
      </w:r>
      <w:r w:rsidR="00D157BB">
        <w:rPr>
          <w:rFonts w:ascii="Verdana" w:eastAsia="Malgun Gothic" w:hAnsi="Verdana" w:cs="Arial"/>
          <w:sz w:val="18"/>
          <w:szCs w:val="18"/>
        </w:rPr>
        <w:t xml:space="preserve">are published on an annual </w:t>
      </w:r>
      <w:r w:rsidR="00D56282" w:rsidRPr="00D56282">
        <w:rPr>
          <w:rFonts w:ascii="Verdana" w:eastAsia="Malgun Gothic" w:hAnsi="Verdana" w:cs="Arial"/>
          <w:sz w:val="18"/>
          <w:szCs w:val="18"/>
        </w:rPr>
        <w:t xml:space="preserve">basis. </w:t>
      </w:r>
    </w:p>
    <w:p w14:paraId="2CEC95FC" w14:textId="77777777" w:rsidR="00780EA6" w:rsidRDefault="00780EA6" w:rsidP="00780EA6">
      <w:pPr>
        <w:tabs>
          <w:tab w:val="left" w:pos="945"/>
        </w:tabs>
        <w:jc w:val="both"/>
        <w:rPr>
          <w:rFonts w:ascii="Verdana" w:eastAsia="Malgun Gothic" w:hAnsi="Verdana" w:cs="Arial"/>
          <w:sz w:val="18"/>
          <w:szCs w:val="18"/>
        </w:rPr>
      </w:pPr>
    </w:p>
    <w:p w14:paraId="0B42B5C6" w14:textId="77777777" w:rsidR="00780EA6" w:rsidRDefault="00780EA6" w:rsidP="00780EA6">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Data coverage</w:t>
      </w:r>
    </w:p>
    <w:p w14:paraId="19441C83" w14:textId="77777777" w:rsidR="00780EA6" w:rsidRDefault="00780EA6" w:rsidP="001D0C20">
      <w:pPr>
        <w:tabs>
          <w:tab w:val="left" w:pos="1080"/>
          <w:tab w:val="left" w:pos="6840"/>
        </w:tabs>
        <w:jc w:val="both"/>
        <w:rPr>
          <w:rFonts w:ascii="Verdana" w:eastAsia="Malgun Gothic" w:hAnsi="Verdana" w:cs="Arial"/>
          <w:sz w:val="18"/>
          <w:szCs w:val="18"/>
        </w:rPr>
      </w:pPr>
    </w:p>
    <w:p w14:paraId="65068E2D" w14:textId="5E70B0D4" w:rsidR="00780EA6" w:rsidRPr="00780EA6" w:rsidRDefault="00780EA6">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A</w:t>
      </w:r>
      <w:r w:rsidRPr="00780EA6">
        <w:rPr>
          <w:rFonts w:ascii="Verdana" w:eastAsia="Malgun Gothic" w:hAnsi="Verdana" w:cs="Arial"/>
          <w:sz w:val="18"/>
          <w:szCs w:val="18"/>
        </w:rPr>
        <w:t xml:space="preserve">ll </w:t>
      </w:r>
      <w:r w:rsidR="002E5ABA">
        <w:rPr>
          <w:rFonts w:ascii="Verdana" w:eastAsia="Malgun Gothic" w:hAnsi="Verdana" w:cs="Arial"/>
          <w:sz w:val="18"/>
          <w:szCs w:val="18"/>
        </w:rPr>
        <w:t xml:space="preserve">sectors of </w:t>
      </w:r>
      <w:r w:rsidRPr="00780EA6">
        <w:rPr>
          <w:rFonts w:ascii="Verdana" w:eastAsia="Malgun Gothic" w:hAnsi="Verdana" w:cs="Arial"/>
          <w:sz w:val="18"/>
          <w:szCs w:val="18"/>
        </w:rPr>
        <w:t xml:space="preserve">economic activities </w:t>
      </w:r>
      <w:r w:rsidR="002E5ABA" w:rsidRPr="002E5ABA">
        <w:rPr>
          <w:rFonts w:ascii="Verdana" w:eastAsia="Malgun Gothic" w:hAnsi="Verdana" w:cs="Arial"/>
          <w:sz w:val="18"/>
          <w:szCs w:val="18"/>
        </w:rPr>
        <w:t xml:space="preserve">according to the Statistical Classification of Economic Activities </w:t>
      </w:r>
      <w:r w:rsidR="00976034">
        <w:rPr>
          <w:rFonts w:ascii="Verdana" w:eastAsia="Malgun Gothic" w:hAnsi="Verdana" w:cs="Arial"/>
          <w:sz w:val="18"/>
          <w:szCs w:val="18"/>
        </w:rPr>
        <w:t xml:space="preserve">in the European Community </w:t>
      </w:r>
      <w:r w:rsidR="00976034" w:rsidRPr="00472F1B">
        <w:rPr>
          <w:rFonts w:ascii="Verdana" w:eastAsia="Malgun Gothic" w:hAnsi="Verdana" w:cs="Arial"/>
          <w:sz w:val="18"/>
          <w:szCs w:val="18"/>
        </w:rPr>
        <w:t>(</w:t>
      </w:r>
      <w:r w:rsidR="002E5ABA" w:rsidRPr="002E5ABA">
        <w:rPr>
          <w:rFonts w:ascii="Verdana" w:eastAsia="Malgun Gothic" w:hAnsi="Verdana" w:cs="Arial"/>
          <w:sz w:val="18"/>
          <w:szCs w:val="18"/>
        </w:rPr>
        <w:t>NACE Rev.2</w:t>
      </w:r>
      <w:r w:rsidR="00976034" w:rsidRPr="00472F1B">
        <w:rPr>
          <w:rFonts w:ascii="Verdana" w:eastAsia="Malgun Gothic" w:hAnsi="Verdana" w:cs="Arial"/>
          <w:sz w:val="18"/>
          <w:szCs w:val="18"/>
        </w:rPr>
        <w:t>)</w:t>
      </w:r>
      <w:r w:rsidR="002E5ABA" w:rsidRPr="002E5ABA">
        <w:rPr>
          <w:rFonts w:ascii="Verdana" w:eastAsia="Malgun Gothic" w:hAnsi="Verdana" w:cs="Arial"/>
          <w:sz w:val="18"/>
          <w:szCs w:val="18"/>
        </w:rPr>
        <w:t xml:space="preserve"> </w:t>
      </w:r>
      <w:r w:rsidR="00976034">
        <w:rPr>
          <w:rFonts w:ascii="Verdana" w:eastAsia="Malgun Gothic" w:hAnsi="Verdana" w:cs="Arial"/>
          <w:sz w:val="18"/>
          <w:szCs w:val="18"/>
        </w:rPr>
        <w:t xml:space="preserve">are </w:t>
      </w:r>
      <w:r>
        <w:rPr>
          <w:rFonts w:ascii="Verdana" w:eastAsia="Malgun Gothic" w:hAnsi="Verdana" w:cs="Arial"/>
          <w:sz w:val="18"/>
          <w:szCs w:val="18"/>
        </w:rPr>
        <w:t>covered</w:t>
      </w:r>
      <w:r w:rsidR="002E5ABA">
        <w:rPr>
          <w:rFonts w:ascii="Verdana" w:eastAsia="Malgun Gothic" w:hAnsi="Verdana" w:cs="Arial"/>
          <w:sz w:val="18"/>
          <w:szCs w:val="18"/>
        </w:rPr>
        <w:t>,</w:t>
      </w:r>
      <w:r>
        <w:rPr>
          <w:rFonts w:ascii="Verdana" w:eastAsia="Malgun Gothic" w:hAnsi="Verdana" w:cs="Arial"/>
          <w:sz w:val="18"/>
          <w:szCs w:val="18"/>
        </w:rPr>
        <w:t xml:space="preserve"> </w:t>
      </w:r>
      <w:r w:rsidRPr="00780EA6">
        <w:rPr>
          <w:rFonts w:ascii="Verdana" w:eastAsia="Malgun Gothic" w:hAnsi="Verdana" w:cs="Arial"/>
          <w:sz w:val="18"/>
          <w:szCs w:val="18"/>
        </w:rPr>
        <w:t xml:space="preserve">except Section T: Activities of households as employers and Section U: Activities of extraterritorial </w:t>
      </w:r>
      <w:proofErr w:type="spellStart"/>
      <w:r w:rsidRPr="00780EA6">
        <w:rPr>
          <w:rFonts w:ascii="Verdana" w:eastAsia="Malgun Gothic" w:hAnsi="Verdana" w:cs="Arial"/>
          <w:sz w:val="18"/>
          <w:szCs w:val="18"/>
        </w:rPr>
        <w:t>organisations</w:t>
      </w:r>
      <w:proofErr w:type="spellEnd"/>
      <w:r w:rsidRPr="00780EA6">
        <w:rPr>
          <w:rFonts w:ascii="Verdana" w:eastAsia="Malgun Gothic" w:hAnsi="Verdana" w:cs="Arial"/>
          <w:sz w:val="18"/>
          <w:szCs w:val="18"/>
        </w:rPr>
        <w:t xml:space="preserve"> and bodies.</w:t>
      </w:r>
    </w:p>
    <w:p w14:paraId="47894437" w14:textId="77777777" w:rsidR="00780EA6" w:rsidRPr="00780EA6" w:rsidRDefault="00780EA6" w:rsidP="00780EA6">
      <w:pPr>
        <w:tabs>
          <w:tab w:val="left" w:pos="1080"/>
          <w:tab w:val="left" w:pos="6840"/>
        </w:tabs>
        <w:jc w:val="both"/>
        <w:rPr>
          <w:rFonts w:ascii="Verdana" w:eastAsia="Malgun Gothic" w:hAnsi="Verdana" w:cs="Arial"/>
          <w:sz w:val="18"/>
          <w:szCs w:val="18"/>
        </w:rPr>
      </w:pPr>
    </w:p>
    <w:p w14:paraId="780AD316" w14:textId="4F945AD8" w:rsidR="00780EA6" w:rsidRDefault="00780EA6" w:rsidP="00780EA6">
      <w:pPr>
        <w:tabs>
          <w:tab w:val="left" w:pos="1080"/>
          <w:tab w:val="left" w:pos="6840"/>
        </w:tabs>
        <w:jc w:val="both"/>
        <w:rPr>
          <w:rFonts w:ascii="Verdana" w:eastAsia="Malgun Gothic" w:hAnsi="Verdana" w:cs="Arial"/>
          <w:sz w:val="18"/>
          <w:szCs w:val="18"/>
        </w:rPr>
      </w:pPr>
      <w:r w:rsidRPr="00780EA6">
        <w:rPr>
          <w:rFonts w:ascii="Verdana" w:eastAsia="Malgun Gothic" w:hAnsi="Verdana" w:cs="Arial"/>
          <w:sz w:val="18"/>
          <w:szCs w:val="18"/>
        </w:rPr>
        <w:t xml:space="preserve">All employees recorded at the Social Insurance Services’ Records are covered. </w:t>
      </w:r>
      <w:r w:rsidR="003C117D" w:rsidRPr="00396B9A">
        <w:rPr>
          <w:rFonts w:ascii="Verdana" w:eastAsia="Malgun Gothic" w:hAnsi="Verdana" w:cs="Arial"/>
          <w:sz w:val="18"/>
          <w:szCs w:val="18"/>
        </w:rPr>
        <w:t xml:space="preserve">Persons with remuneration indicating that no regular work has been performed during the reference period are excluded from the data (e.g. persons who received arrear payments only, persons who worked for a limited number of hours, etc.). The minimum amount of earnings acceptable in order to be included in the data is revised every year, based on the level of the minimum wage according to the Minimum Wage </w:t>
      </w:r>
      <w:r w:rsidR="00870499" w:rsidRPr="00870499">
        <w:rPr>
          <w:rFonts w:ascii="Verdana" w:eastAsia="Malgun Gothic" w:hAnsi="Verdana" w:cs="Arial"/>
          <w:sz w:val="18"/>
          <w:szCs w:val="18"/>
        </w:rPr>
        <w:t>Order until 2022 and in accordance with the Minimum Wage Law from 2023</w:t>
      </w:r>
      <w:r w:rsidR="004C5564" w:rsidRPr="00396B9A">
        <w:rPr>
          <w:rFonts w:ascii="Verdana" w:eastAsia="Malgun Gothic" w:hAnsi="Verdana" w:cs="Arial"/>
          <w:sz w:val="18"/>
          <w:szCs w:val="18"/>
        </w:rPr>
        <w:t>.</w:t>
      </w:r>
    </w:p>
    <w:p w14:paraId="39D09F8D" w14:textId="77777777" w:rsidR="00780EA6" w:rsidRDefault="00780EA6" w:rsidP="001D0C20">
      <w:pPr>
        <w:tabs>
          <w:tab w:val="left" w:pos="1080"/>
          <w:tab w:val="left" w:pos="6840"/>
        </w:tabs>
        <w:jc w:val="both"/>
        <w:rPr>
          <w:rFonts w:ascii="Verdana" w:eastAsia="Malgun Gothic" w:hAnsi="Verdana" w:cs="Arial"/>
          <w:b/>
          <w:sz w:val="18"/>
          <w:szCs w:val="18"/>
          <w:u w:val="single"/>
        </w:rPr>
      </w:pPr>
    </w:p>
    <w:p w14:paraId="1385AE7B" w14:textId="77777777" w:rsidR="001D0C20" w:rsidRPr="00205BA0" w:rsidRDefault="001D0C20" w:rsidP="001D0C20">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Definitions </w:t>
      </w:r>
    </w:p>
    <w:p w14:paraId="0A835863" w14:textId="77777777" w:rsidR="001D0C20" w:rsidRPr="00205BA0" w:rsidRDefault="001D0C20" w:rsidP="001D0C20">
      <w:pPr>
        <w:tabs>
          <w:tab w:val="left" w:pos="1080"/>
          <w:tab w:val="left" w:pos="6840"/>
        </w:tabs>
        <w:jc w:val="both"/>
        <w:rPr>
          <w:rFonts w:ascii="Verdana" w:eastAsia="Malgun Gothic" w:hAnsi="Verdana" w:cs="Arial"/>
          <w:sz w:val="20"/>
          <w:szCs w:val="20"/>
        </w:rPr>
      </w:pPr>
    </w:p>
    <w:p w14:paraId="25AB0A6C" w14:textId="3E8A9922" w:rsidR="00A11269" w:rsidRDefault="00D157BB" w:rsidP="001D0C20">
      <w:pPr>
        <w:tabs>
          <w:tab w:val="left" w:pos="945"/>
        </w:tabs>
        <w:jc w:val="both"/>
        <w:rPr>
          <w:rFonts w:ascii="Verdana" w:eastAsia="Malgun Gothic" w:hAnsi="Verdana" w:cs="Arial"/>
          <w:sz w:val="18"/>
          <w:szCs w:val="18"/>
        </w:rPr>
      </w:pPr>
      <w:r w:rsidRPr="00D157BB">
        <w:rPr>
          <w:rFonts w:ascii="Verdana" w:eastAsia="Malgun Gothic" w:hAnsi="Verdana" w:cs="Arial"/>
          <w:sz w:val="18"/>
          <w:szCs w:val="18"/>
        </w:rPr>
        <w:t>The</w:t>
      </w:r>
      <w:r w:rsidR="00597206">
        <w:rPr>
          <w:rFonts w:ascii="Verdana" w:eastAsia="Malgun Gothic" w:hAnsi="Verdana" w:cs="Arial"/>
          <w:b/>
          <w:sz w:val="18"/>
          <w:szCs w:val="18"/>
        </w:rPr>
        <w:t xml:space="preserve"> E</w:t>
      </w:r>
      <w:r w:rsidR="001D0C20" w:rsidRPr="00F3363A">
        <w:rPr>
          <w:rFonts w:ascii="Verdana" w:eastAsia="Malgun Gothic" w:hAnsi="Verdana" w:cs="Arial"/>
          <w:b/>
          <w:sz w:val="18"/>
          <w:szCs w:val="18"/>
        </w:rPr>
        <w:t>arnings</w:t>
      </w:r>
      <w:r w:rsidR="001D0C20" w:rsidRPr="00F3363A">
        <w:rPr>
          <w:rFonts w:ascii="Verdana" w:eastAsia="Malgun Gothic" w:hAnsi="Verdana" w:cs="Arial"/>
          <w:sz w:val="18"/>
          <w:szCs w:val="18"/>
        </w:rPr>
        <w:t xml:space="preserve"> of employees include the basic salary, the </w:t>
      </w:r>
      <w:r w:rsidR="00497992" w:rsidRPr="00F3363A">
        <w:rPr>
          <w:rFonts w:ascii="Verdana" w:eastAsia="Malgun Gothic" w:hAnsi="Verdana" w:cs="Arial"/>
          <w:sz w:val="18"/>
          <w:szCs w:val="18"/>
        </w:rPr>
        <w:t>cost-of-living</w:t>
      </w:r>
      <w:r w:rsidR="001D0C20" w:rsidRPr="00F3363A">
        <w:rPr>
          <w:rFonts w:ascii="Verdana" w:eastAsia="Malgun Gothic" w:hAnsi="Verdana" w:cs="Arial"/>
          <w:sz w:val="18"/>
          <w:szCs w:val="18"/>
        </w:rPr>
        <w:t xml:space="preserve"> allowance, earnings for overtime, the Holiday Fund, any other allowances received by employees during the reference period and payments in arrears.</w:t>
      </w:r>
      <w:r w:rsidR="00A11269" w:rsidRPr="00A11269">
        <w:rPr>
          <w:rFonts w:ascii="Verdana" w:eastAsia="Malgun Gothic" w:hAnsi="Verdana" w:cs="Arial"/>
          <w:sz w:val="18"/>
          <w:szCs w:val="18"/>
        </w:rPr>
        <w:t xml:space="preserve"> </w:t>
      </w:r>
      <w:r w:rsidR="00A11269">
        <w:rPr>
          <w:rFonts w:ascii="Verdana" w:eastAsia="Malgun Gothic" w:hAnsi="Verdana" w:cs="Arial"/>
          <w:sz w:val="18"/>
          <w:szCs w:val="18"/>
        </w:rPr>
        <w:t xml:space="preserve">Allowances include both regular and irregular </w:t>
      </w:r>
      <w:r w:rsidR="004B48C2">
        <w:rPr>
          <w:rFonts w:ascii="Verdana" w:eastAsia="Malgun Gothic" w:hAnsi="Verdana" w:cs="Arial"/>
          <w:sz w:val="18"/>
          <w:szCs w:val="18"/>
        </w:rPr>
        <w:t>payments</w:t>
      </w:r>
      <w:r w:rsidR="00A11269">
        <w:rPr>
          <w:rFonts w:ascii="Verdana" w:eastAsia="Malgun Gothic" w:hAnsi="Verdana" w:cs="Arial"/>
          <w:sz w:val="18"/>
          <w:szCs w:val="18"/>
        </w:rPr>
        <w:t xml:space="preserve"> (13</w:t>
      </w:r>
      <w:r w:rsidR="00A11269" w:rsidRPr="00A11269">
        <w:rPr>
          <w:rFonts w:ascii="Verdana" w:eastAsia="Malgun Gothic" w:hAnsi="Verdana" w:cs="Arial"/>
          <w:sz w:val="18"/>
          <w:szCs w:val="18"/>
          <w:vertAlign w:val="superscript"/>
        </w:rPr>
        <w:t>th</w:t>
      </w:r>
      <w:r w:rsidR="00A11269">
        <w:rPr>
          <w:rFonts w:ascii="Verdana" w:eastAsia="Malgun Gothic" w:hAnsi="Verdana" w:cs="Arial"/>
          <w:sz w:val="18"/>
          <w:szCs w:val="18"/>
        </w:rPr>
        <w:t xml:space="preserve"> salary, 14</w:t>
      </w:r>
      <w:r w:rsidR="00A11269" w:rsidRPr="00A11269">
        <w:rPr>
          <w:rFonts w:ascii="Verdana" w:eastAsia="Malgun Gothic" w:hAnsi="Verdana" w:cs="Arial"/>
          <w:sz w:val="18"/>
          <w:szCs w:val="18"/>
          <w:vertAlign w:val="superscript"/>
        </w:rPr>
        <w:t>th</w:t>
      </w:r>
      <w:r w:rsidR="00A11269">
        <w:rPr>
          <w:rFonts w:ascii="Verdana" w:eastAsia="Malgun Gothic" w:hAnsi="Verdana" w:cs="Arial"/>
          <w:sz w:val="18"/>
          <w:szCs w:val="18"/>
        </w:rPr>
        <w:t xml:space="preserve"> salary,</w:t>
      </w:r>
      <w:r w:rsidR="00A11269" w:rsidRPr="00A11269">
        <w:rPr>
          <w:rFonts w:ascii="Verdana" w:eastAsia="Malgun Gothic" w:hAnsi="Verdana" w:cs="Arial"/>
          <w:sz w:val="18"/>
          <w:szCs w:val="18"/>
        </w:rPr>
        <w:t xml:space="preserve"> </w:t>
      </w:r>
      <w:r w:rsidR="00A11269">
        <w:rPr>
          <w:rFonts w:ascii="Verdana" w:eastAsia="Malgun Gothic" w:hAnsi="Verdana" w:cs="Arial"/>
          <w:sz w:val="18"/>
          <w:szCs w:val="18"/>
        </w:rPr>
        <w:t>bonuses etc.)</w:t>
      </w:r>
      <w:r w:rsidR="00497992">
        <w:rPr>
          <w:rFonts w:ascii="Verdana" w:eastAsia="Malgun Gothic" w:hAnsi="Verdana" w:cs="Arial"/>
          <w:sz w:val="18"/>
          <w:szCs w:val="18"/>
        </w:rPr>
        <w:t>.</w:t>
      </w:r>
    </w:p>
    <w:p w14:paraId="66218670" w14:textId="2F2F75C4" w:rsidR="00A82728" w:rsidRDefault="00A82728" w:rsidP="001D0C20">
      <w:pPr>
        <w:tabs>
          <w:tab w:val="left" w:pos="945"/>
        </w:tabs>
        <w:jc w:val="both"/>
        <w:rPr>
          <w:rFonts w:ascii="Verdana" w:eastAsia="Malgun Gothic" w:hAnsi="Verdana" w:cs="Arial"/>
          <w:sz w:val="18"/>
          <w:szCs w:val="18"/>
        </w:rPr>
      </w:pPr>
    </w:p>
    <w:p w14:paraId="4AC5BC71" w14:textId="14AF60A6" w:rsidR="00A82728" w:rsidRPr="00A11269" w:rsidRDefault="00A82728" w:rsidP="001D0C20">
      <w:pPr>
        <w:tabs>
          <w:tab w:val="left" w:pos="945"/>
        </w:tabs>
        <w:jc w:val="both"/>
        <w:rPr>
          <w:rFonts w:ascii="Verdana" w:eastAsia="Malgun Gothic" w:hAnsi="Verdana" w:cs="Arial"/>
          <w:sz w:val="18"/>
          <w:szCs w:val="18"/>
        </w:rPr>
      </w:pPr>
      <w:r w:rsidRPr="00A82728">
        <w:rPr>
          <w:rFonts w:ascii="Verdana" w:eastAsia="Malgun Gothic" w:hAnsi="Verdana" w:cs="Arial"/>
          <w:sz w:val="18"/>
          <w:szCs w:val="18"/>
        </w:rPr>
        <w:t xml:space="preserve">In </w:t>
      </w:r>
      <w:r w:rsidRPr="00A82728">
        <w:rPr>
          <w:rFonts w:ascii="Verdana" w:eastAsia="Malgun Gothic" w:hAnsi="Verdana" w:cs="Arial"/>
          <w:b/>
          <w:sz w:val="18"/>
          <w:szCs w:val="18"/>
        </w:rPr>
        <w:t>Citizenship</w:t>
      </w:r>
      <w:r w:rsidR="00A21560" w:rsidRPr="00A21560">
        <w:rPr>
          <w:rFonts w:ascii="Verdana" w:eastAsia="Malgun Gothic" w:hAnsi="Verdana" w:cs="Arial"/>
          <w:b/>
          <w:sz w:val="18"/>
          <w:szCs w:val="18"/>
        </w:rPr>
        <w:t>,</w:t>
      </w:r>
      <w:r w:rsidR="00A21560" w:rsidRPr="00A21560">
        <w:rPr>
          <w:rFonts w:ascii="Verdana" w:eastAsia="Malgun Gothic" w:hAnsi="Verdana" w:cs="Arial"/>
          <w:sz w:val="18"/>
          <w:szCs w:val="18"/>
        </w:rPr>
        <w:t xml:space="preserve"> </w:t>
      </w:r>
      <w:r w:rsidR="00A21560" w:rsidRPr="00A82728">
        <w:rPr>
          <w:rFonts w:ascii="Verdana" w:eastAsia="Malgun Gothic" w:hAnsi="Verdana" w:cs="Arial"/>
          <w:sz w:val="18"/>
          <w:szCs w:val="18"/>
        </w:rPr>
        <w:t>the category 'Cypriots'</w:t>
      </w:r>
      <w:r w:rsidRPr="00A82728">
        <w:rPr>
          <w:rFonts w:ascii="Verdana" w:eastAsia="Malgun Gothic" w:hAnsi="Verdana" w:cs="Arial"/>
          <w:sz w:val="18"/>
          <w:szCs w:val="18"/>
        </w:rPr>
        <w:t xml:space="preserve">, includes </w:t>
      </w:r>
      <w:r w:rsidR="00A21560">
        <w:rPr>
          <w:rFonts w:ascii="Verdana" w:eastAsia="Malgun Gothic" w:hAnsi="Verdana" w:cs="Arial"/>
          <w:sz w:val="18"/>
          <w:szCs w:val="18"/>
        </w:rPr>
        <w:t xml:space="preserve">the communities </w:t>
      </w:r>
      <w:r w:rsidRPr="00A82728">
        <w:rPr>
          <w:rFonts w:ascii="Verdana" w:eastAsia="Malgun Gothic" w:hAnsi="Verdana" w:cs="Arial"/>
          <w:sz w:val="18"/>
          <w:szCs w:val="18"/>
        </w:rPr>
        <w:t>Greek Cypriots</w:t>
      </w:r>
      <w:r w:rsidR="00E5666A">
        <w:rPr>
          <w:rFonts w:ascii="Verdana" w:eastAsia="Malgun Gothic" w:hAnsi="Verdana" w:cs="Arial"/>
          <w:sz w:val="18"/>
          <w:szCs w:val="18"/>
        </w:rPr>
        <w:t xml:space="preserve"> and</w:t>
      </w:r>
      <w:r w:rsidRPr="00A82728">
        <w:rPr>
          <w:rFonts w:ascii="Verdana" w:eastAsia="Malgun Gothic" w:hAnsi="Verdana" w:cs="Arial"/>
          <w:sz w:val="18"/>
          <w:szCs w:val="18"/>
        </w:rPr>
        <w:t xml:space="preserve"> Turkish Cypriots,</w:t>
      </w:r>
      <w:r w:rsidR="00383CBD">
        <w:rPr>
          <w:rFonts w:ascii="Verdana" w:eastAsia="Malgun Gothic" w:hAnsi="Verdana" w:cs="Arial"/>
          <w:sz w:val="18"/>
          <w:szCs w:val="18"/>
        </w:rPr>
        <w:t xml:space="preserve"> </w:t>
      </w:r>
      <w:r w:rsidR="00383CBD" w:rsidRPr="00A82728">
        <w:rPr>
          <w:rFonts w:ascii="Verdana" w:eastAsia="Malgun Gothic" w:hAnsi="Verdana" w:cs="Arial"/>
          <w:sz w:val="18"/>
          <w:szCs w:val="18"/>
        </w:rPr>
        <w:t xml:space="preserve">as </w:t>
      </w:r>
      <w:r w:rsidR="00383CBD">
        <w:rPr>
          <w:rFonts w:ascii="Verdana" w:eastAsia="Malgun Gothic" w:hAnsi="Verdana" w:cs="Arial"/>
          <w:sz w:val="18"/>
          <w:szCs w:val="18"/>
        </w:rPr>
        <w:t xml:space="preserve">reported </w:t>
      </w:r>
      <w:r w:rsidR="00E5666A">
        <w:rPr>
          <w:rFonts w:ascii="Verdana" w:eastAsia="Malgun Gothic" w:hAnsi="Verdana" w:cs="Arial"/>
          <w:sz w:val="18"/>
          <w:szCs w:val="18"/>
        </w:rPr>
        <w:t>at</w:t>
      </w:r>
      <w:r w:rsidR="00383CBD" w:rsidRPr="00A82728">
        <w:rPr>
          <w:rFonts w:ascii="Verdana" w:eastAsia="Malgun Gothic" w:hAnsi="Verdana" w:cs="Arial"/>
          <w:sz w:val="18"/>
          <w:szCs w:val="18"/>
        </w:rPr>
        <w:t xml:space="preserve"> the Social Insurance Services</w:t>
      </w:r>
      <w:r w:rsidR="00383CBD">
        <w:rPr>
          <w:rFonts w:ascii="Verdana" w:eastAsia="Malgun Gothic" w:hAnsi="Verdana" w:cs="Arial"/>
          <w:sz w:val="18"/>
          <w:szCs w:val="18"/>
        </w:rPr>
        <w:t>.</w:t>
      </w:r>
      <w:r w:rsidR="00383CBD" w:rsidRPr="00A82728">
        <w:rPr>
          <w:rFonts w:ascii="Verdana" w:eastAsia="Malgun Gothic" w:hAnsi="Verdana" w:cs="Arial"/>
          <w:sz w:val="18"/>
          <w:szCs w:val="18"/>
        </w:rPr>
        <w:t xml:space="preserve"> </w:t>
      </w:r>
      <w:r w:rsidR="00383CBD">
        <w:rPr>
          <w:rFonts w:ascii="Verdana" w:eastAsia="Malgun Gothic" w:hAnsi="Verdana" w:cs="Arial"/>
          <w:sz w:val="18"/>
          <w:szCs w:val="18"/>
        </w:rPr>
        <w:t>T</w:t>
      </w:r>
      <w:r w:rsidRPr="00A82728">
        <w:rPr>
          <w:rFonts w:ascii="Verdana" w:eastAsia="Malgun Gothic" w:hAnsi="Verdana" w:cs="Arial"/>
          <w:sz w:val="18"/>
          <w:szCs w:val="18"/>
        </w:rPr>
        <w:t>he category '</w:t>
      </w:r>
      <w:proofErr w:type="gramStart"/>
      <w:r w:rsidRPr="00A82728">
        <w:rPr>
          <w:rFonts w:ascii="Verdana" w:eastAsia="Malgun Gothic" w:hAnsi="Verdana" w:cs="Arial"/>
          <w:sz w:val="18"/>
          <w:szCs w:val="18"/>
        </w:rPr>
        <w:t>Non-Cypriots</w:t>
      </w:r>
      <w:proofErr w:type="gramEnd"/>
      <w:r w:rsidRPr="00A82728">
        <w:rPr>
          <w:rFonts w:ascii="Verdana" w:eastAsia="Malgun Gothic" w:hAnsi="Verdana" w:cs="Arial"/>
          <w:sz w:val="18"/>
          <w:szCs w:val="18"/>
        </w:rPr>
        <w:t>' includes all other employees.</w:t>
      </w:r>
    </w:p>
    <w:p w14:paraId="17CF9CE8" w14:textId="77777777" w:rsidR="00A11269" w:rsidRDefault="00A11269" w:rsidP="006F2C93">
      <w:pPr>
        <w:tabs>
          <w:tab w:val="left" w:pos="360"/>
          <w:tab w:val="left" w:pos="6840"/>
        </w:tabs>
        <w:ind w:right="-79"/>
        <w:jc w:val="both"/>
        <w:rPr>
          <w:rFonts w:ascii="Verdana" w:eastAsia="Malgun Gothic" w:hAnsi="Verdana" w:cs="Arial"/>
          <w:b/>
          <w:i/>
          <w:sz w:val="18"/>
          <w:szCs w:val="18"/>
        </w:rPr>
      </w:pPr>
    </w:p>
    <w:p w14:paraId="10BA69D6" w14:textId="0F004123" w:rsidR="006F2C93" w:rsidRDefault="006F2C93" w:rsidP="006F2C93">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For more information</w:t>
      </w:r>
      <w:r w:rsidRPr="0017756A">
        <w:rPr>
          <w:rFonts w:ascii="Verdana" w:eastAsia="Malgun Gothic" w:hAnsi="Verdana" w:cs="Arial"/>
          <w:b/>
          <w:i/>
          <w:sz w:val="18"/>
          <w:szCs w:val="18"/>
        </w:rPr>
        <w:t>:</w:t>
      </w:r>
    </w:p>
    <w:p w14:paraId="5A7AE7AB" w14:textId="77777777" w:rsidR="006F2C93" w:rsidRPr="0017756A" w:rsidRDefault="006F2C93" w:rsidP="006F2C93">
      <w:pPr>
        <w:tabs>
          <w:tab w:val="left" w:pos="360"/>
          <w:tab w:val="left" w:pos="6840"/>
        </w:tabs>
        <w:ind w:right="-79"/>
        <w:jc w:val="both"/>
        <w:rPr>
          <w:rFonts w:ascii="Verdana" w:eastAsia="Malgun Gothic" w:hAnsi="Verdana" w:cs="Arial"/>
          <w:b/>
          <w:i/>
          <w:sz w:val="18"/>
          <w:szCs w:val="18"/>
        </w:rPr>
      </w:pPr>
    </w:p>
    <w:p w14:paraId="38167C6A" w14:textId="77777777" w:rsidR="006F2C93" w:rsidRDefault="006F2C93" w:rsidP="006F2C93">
      <w:pPr>
        <w:rPr>
          <w:rStyle w:val="Hyperlink"/>
          <w:rFonts w:ascii="Verdana" w:hAnsi="Verdana"/>
          <w:sz w:val="18"/>
          <w:szCs w:val="18"/>
          <w:lang w:val="en-GB"/>
        </w:rPr>
      </w:pPr>
      <w:r>
        <w:rPr>
          <w:rFonts w:ascii="Verdana" w:hAnsi="Verdana"/>
          <w:sz w:val="18"/>
          <w:szCs w:val="18"/>
          <w:lang w:val="en-GB"/>
        </w:rPr>
        <w:t xml:space="preserve">CYSTAT Portal, subtheme </w:t>
      </w:r>
      <w:hyperlink r:id="rId14" w:history="1">
        <w:r w:rsidRPr="00533379">
          <w:rPr>
            <w:rStyle w:val="Hyperlink"/>
            <w:rFonts w:ascii="Verdana" w:hAnsi="Verdana"/>
            <w:sz w:val="18"/>
            <w:szCs w:val="18"/>
            <w:lang w:val="en-GB"/>
          </w:rPr>
          <w:t xml:space="preserve">Labour </w:t>
        </w:r>
        <w:r>
          <w:rPr>
            <w:rStyle w:val="Hyperlink"/>
            <w:rFonts w:ascii="Verdana" w:hAnsi="Verdana"/>
            <w:sz w:val="18"/>
            <w:szCs w:val="18"/>
            <w:lang w:val="en-GB"/>
          </w:rPr>
          <w:t>Cost and Earnings</w:t>
        </w:r>
      </w:hyperlink>
    </w:p>
    <w:p w14:paraId="51AFBA8F" w14:textId="79C832FA" w:rsidR="006F2C93" w:rsidRPr="00040F97" w:rsidRDefault="006F2C93" w:rsidP="006F2C93">
      <w:pPr>
        <w:rPr>
          <w:rFonts w:ascii="Verdana" w:hAnsi="Verdana"/>
          <w:sz w:val="18"/>
          <w:szCs w:val="18"/>
        </w:rPr>
      </w:pPr>
      <w:hyperlink r:id="rId15" w:history="1">
        <w:r w:rsidRPr="003F08FC">
          <w:rPr>
            <w:rStyle w:val="Hyperlink"/>
            <w:rFonts w:ascii="Verdana" w:hAnsi="Verdana"/>
            <w:sz w:val="18"/>
            <w:szCs w:val="18"/>
          </w:rPr>
          <w:t>CYSTAT-DB</w:t>
        </w:r>
      </w:hyperlink>
      <w:r>
        <w:rPr>
          <w:rFonts w:ascii="Verdana" w:hAnsi="Verdana"/>
          <w:sz w:val="18"/>
          <w:szCs w:val="18"/>
        </w:rPr>
        <w:t xml:space="preserve"> (Online Database) </w:t>
      </w:r>
    </w:p>
    <w:p w14:paraId="198080F5" w14:textId="7CC82F2F" w:rsidR="00947E49" w:rsidRPr="005D31F6" w:rsidRDefault="00947E49" w:rsidP="00947E49">
      <w:pPr>
        <w:jc w:val="both"/>
        <w:rPr>
          <w:rStyle w:val="Hyperlink"/>
          <w:rFonts w:ascii="Verdana" w:hAnsi="Verdana"/>
          <w:sz w:val="18"/>
          <w:szCs w:val="18"/>
        </w:rPr>
      </w:pPr>
      <w:hyperlink r:id="rId16" w:tooltip="Methodological Information" w:history="1">
        <w:r w:rsidRPr="00947E49">
          <w:rPr>
            <w:rStyle w:val="Hyperlink"/>
            <w:rFonts w:ascii="Verdana" w:hAnsi="Verdana"/>
            <w:sz w:val="18"/>
            <w:szCs w:val="18"/>
          </w:rPr>
          <w:t>Methodological Information</w:t>
        </w:r>
      </w:hyperlink>
    </w:p>
    <w:p w14:paraId="0B3EA0E9" w14:textId="77777777" w:rsidR="00597206" w:rsidRPr="005D31F6" w:rsidRDefault="00597206" w:rsidP="00947E49">
      <w:pPr>
        <w:jc w:val="both"/>
        <w:rPr>
          <w:rStyle w:val="Hyperlink"/>
          <w:rFonts w:ascii="Verdana" w:hAnsi="Verdana"/>
          <w:sz w:val="18"/>
          <w:szCs w:val="18"/>
        </w:rPr>
      </w:pPr>
    </w:p>
    <w:p w14:paraId="5037B49D" w14:textId="77777777" w:rsidR="001D0C20" w:rsidRDefault="001D0C20" w:rsidP="001D0C20">
      <w:pPr>
        <w:ind w:right="-79"/>
        <w:jc w:val="both"/>
        <w:rPr>
          <w:rFonts w:ascii="Verdana" w:eastAsia="Malgun Gothic" w:hAnsi="Verdana" w:cs="Arial"/>
          <w:i/>
          <w:sz w:val="18"/>
          <w:szCs w:val="18"/>
        </w:rPr>
      </w:pPr>
      <w:r>
        <w:rPr>
          <w:rFonts w:ascii="Verdana" w:eastAsia="Malgun Gothic" w:hAnsi="Verdana" w:cs="Arial"/>
          <w:i/>
          <w:sz w:val="18"/>
          <w:szCs w:val="18"/>
          <w:u w:val="single"/>
        </w:rPr>
        <w:t>Contact</w:t>
      </w:r>
      <w:r>
        <w:rPr>
          <w:rFonts w:ascii="Verdana" w:eastAsia="Malgun Gothic" w:hAnsi="Verdana" w:cs="Arial"/>
          <w:i/>
          <w:sz w:val="18"/>
          <w:szCs w:val="18"/>
        </w:rPr>
        <w:t xml:space="preserve"> </w:t>
      </w:r>
    </w:p>
    <w:p w14:paraId="0FC7176E" w14:textId="300C375A" w:rsidR="002D3664" w:rsidRDefault="001D0C20" w:rsidP="00A93EE1">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Phani Lagou</w:t>
      </w:r>
      <w:r w:rsidRPr="0017756A">
        <w:rPr>
          <w:rFonts w:ascii="Verdana" w:eastAsia="Malgun Gothic" w:hAnsi="Verdana" w:cs="Arial"/>
          <w:sz w:val="18"/>
          <w:szCs w:val="18"/>
        </w:rPr>
        <w:t xml:space="preserve">: </w:t>
      </w:r>
      <w:r w:rsidR="00875F3A">
        <w:rPr>
          <w:rFonts w:ascii="Verdana" w:eastAsia="Malgun Gothic" w:hAnsi="Verdana" w:cs="Arial"/>
          <w:sz w:val="18"/>
          <w:szCs w:val="18"/>
        </w:rPr>
        <w:t>Tel</w:t>
      </w:r>
      <w:r w:rsidR="00875F3A" w:rsidRPr="0017756A">
        <w:rPr>
          <w:rFonts w:ascii="Verdana" w:eastAsia="Malgun Gothic" w:hAnsi="Verdana" w:cs="Arial"/>
          <w:sz w:val="18"/>
          <w:szCs w:val="18"/>
        </w:rPr>
        <w:t>: +</w:t>
      </w:r>
      <w:r w:rsidRPr="0017756A">
        <w:rPr>
          <w:rFonts w:ascii="Verdana" w:eastAsia="Malgun Gothic" w:hAnsi="Verdana" w:cs="Arial"/>
          <w:sz w:val="18"/>
          <w:szCs w:val="18"/>
        </w:rPr>
        <w:t xml:space="preserve">35722602115, </w:t>
      </w:r>
      <w:r>
        <w:rPr>
          <w:rFonts w:ascii="Verdana" w:eastAsia="Malgun Gothic" w:hAnsi="Verdana" w:cs="Arial"/>
          <w:sz w:val="18"/>
          <w:szCs w:val="18"/>
        </w:rPr>
        <w:t>Email</w:t>
      </w:r>
      <w:r w:rsidRPr="0017756A">
        <w:rPr>
          <w:rFonts w:ascii="Verdana" w:eastAsia="Malgun Gothic" w:hAnsi="Verdana" w:cs="Arial"/>
          <w:sz w:val="18"/>
          <w:szCs w:val="18"/>
        </w:rPr>
        <w:t xml:space="preserve">: </w:t>
      </w:r>
      <w:hyperlink r:id="rId17" w:history="1">
        <w:r w:rsidRPr="0002532A">
          <w:rPr>
            <w:rStyle w:val="Hyperlink"/>
            <w:rFonts w:ascii="Verdana" w:eastAsia="Malgun Gothic" w:hAnsi="Verdana" w:cs="Arial"/>
            <w:sz w:val="18"/>
            <w:szCs w:val="18"/>
          </w:rPr>
          <w:t>plagou</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cystat</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mof</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gov</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cy</w:t>
        </w:r>
      </w:hyperlink>
      <w:r w:rsidRPr="0017756A">
        <w:rPr>
          <w:rFonts w:ascii="Verdana" w:eastAsia="Malgun Gothic" w:hAnsi="Verdana" w:cs="Arial"/>
          <w:sz w:val="18"/>
          <w:szCs w:val="18"/>
        </w:rPr>
        <w:t xml:space="preserve"> </w:t>
      </w:r>
    </w:p>
    <w:p w14:paraId="5FB44146" w14:textId="49E29BD8" w:rsidR="002D3664" w:rsidRDefault="002D3664">
      <w:pPr>
        <w:rPr>
          <w:rFonts w:ascii="Verdana" w:eastAsia="Malgun Gothic" w:hAnsi="Verdana" w:cs="Arial"/>
          <w:sz w:val="18"/>
          <w:szCs w:val="18"/>
        </w:rPr>
      </w:pPr>
    </w:p>
    <w:sectPr w:rsidR="002D3664" w:rsidSect="003D5672">
      <w:headerReference w:type="default" r:id="rId18"/>
      <w:footerReference w:type="default" r:id="rId19"/>
      <w:headerReference w:type="first" r:id="rId20"/>
      <w:footerReference w:type="first" r:id="rId21"/>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D8B1" w14:textId="77777777" w:rsidR="00107341" w:rsidRDefault="00107341" w:rsidP="00FB398F">
      <w:r>
        <w:separator/>
      </w:r>
    </w:p>
  </w:endnote>
  <w:endnote w:type="continuationSeparator" w:id="0">
    <w:p w14:paraId="29B74741" w14:textId="77777777" w:rsidR="00107341" w:rsidRDefault="0010734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2F0D"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74705A">
      <w:rPr>
        <w:noProof/>
      </w:rPr>
      <w:t>5</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CBFD" w14:textId="77777777" w:rsidR="008F40BD" w:rsidRPr="00650FFD" w:rsidRDefault="008F40BD" w:rsidP="008F40BD">
    <w:pPr>
      <w:pStyle w:val="Footer"/>
      <w:pBdr>
        <w:top w:val="single" w:sz="4" w:space="1" w:color="auto"/>
      </w:pBdr>
      <w:tabs>
        <w:tab w:val="left" w:pos="4500"/>
      </w:tabs>
      <w:ind w:hanging="567"/>
      <w:jc w:val="center"/>
      <w:rPr>
        <w:rFonts w:ascii="Verdana" w:hAnsi="Verdana"/>
        <w:sz w:val="16"/>
        <w:szCs w:val="16"/>
      </w:rPr>
    </w:pPr>
    <w:r w:rsidRPr="00650FFD">
      <w:rPr>
        <w:rFonts w:ascii="Verdana" w:hAnsi="Verdana"/>
        <w:sz w:val="16"/>
        <w:szCs w:val="16"/>
      </w:rPr>
      <w:t>Address: Michael Karaoli Str., 1444 Nicosia, Cyprus</w:t>
    </w:r>
  </w:p>
  <w:p w14:paraId="2D08B1F5" w14:textId="50FE51B1" w:rsidR="008F40BD" w:rsidRPr="00650FFD" w:rsidRDefault="008F40BD" w:rsidP="008F40BD">
    <w:pPr>
      <w:pStyle w:val="Footer"/>
      <w:tabs>
        <w:tab w:val="clear" w:pos="4320"/>
        <w:tab w:val="center" w:pos="2835"/>
        <w:tab w:val="left" w:pos="4500"/>
      </w:tabs>
      <w:ind w:hanging="567"/>
      <w:jc w:val="center"/>
      <w:rPr>
        <w:rFonts w:ascii="Verdana" w:hAnsi="Verdana"/>
        <w:sz w:val="16"/>
        <w:szCs w:val="16"/>
        <w:lang w:val="de-DE"/>
      </w:rPr>
    </w:pPr>
    <w:r w:rsidRPr="00650FFD">
      <w:rPr>
        <w:rFonts w:ascii="Verdana" w:hAnsi="Verdana"/>
        <w:sz w:val="16"/>
        <w:szCs w:val="16"/>
        <w:lang w:val="pt-PT"/>
      </w:rPr>
      <w:t>Tel.: 22 602129,</w:t>
    </w:r>
    <w:r w:rsidR="00650FFD">
      <w:rPr>
        <w:rFonts w:ascii="Verdana" w:hAnsi="Verdana"/>
        <w:sz w:val="16"/>
        <w:szCs w:val="16"/>
        <w:lang w:val="pt-PT"/>
      </w:rPr>
      <w:t xml:space="preserve"> </w:t>
    </w:r>
    <w:r w:rsidRPr="00650FFD">
      <w:rPr>
        <w:rFonts w:ascii="Verdana" w:hAnsi="Verdana"/>
        <w:sz w:val="16"/>
        <w:szCs w:val="16"/>
        <w:lang w:val="de-DE"/>
      </w:rPr>
      <w:t xml:space="preserve">E-mail: </w:t>
    </w:r>
    <w:hyperlink r:id="rId1" w:history="1">
      <w:r w:rsidRPr="00650FFD">
        <w:rPr>
          <w:rStyle w:val="Hyperlink"/>
          <w:rFonts w:ascii="Verdana" w:hAnsi="Verdana"/>
          <w:sz w:val="16"/>
          <w:szCs w:val="16"/>
          <w:lang w:val="de-DE"/>
        </w:rPr>
        <w:t>enquiries@cystat.mof.gov.cy</w:t>
      </w:r>
    </w:hyperlink>
  </w:p>
  <w:p w14:paraId="419FC006" w14:textId="17C1BF46" w:rsidR="008F40BD" w:rsidRPr="00650FFD" w:rsidRDefault="008F40BD" w:rsidP="008F40BD">
    <w:pPr>
      <w:pStyle w:val="Footer"/>
      <w:tabs>
        <w:tab w:val="left" w:pos="4500"/>
      </w:tabs>
      <w:ind w:hanging="567"/>
      <w:jc w:val="center"/>
      <w:rPr>
        <w:rFonts w:ascii="Verdana" w:hAnsi="Verdana"/>
        <w:sz w:val="16"/>
        <w:szCs w:val="16"/>
        <w:lang w:val="pt-PT"/>
      </w:rPr>
    </w:pPr>
    <w:r w:rsidRPr="00650FFD">
      <w:rPr>
        <w:rFonts w:ascii="Verdana" w:hAnsi="Verdana"/>
        <w:sz w:val="16"/>
        <w:szCs w:val="16"/>
        <w:lang w:val="pt-PT"/>
      </w:rPr>
      <w:t xml:space="preserve">Web </w:t>
    </w:r>
    <w:r w:rsidR="00650FFD">
      <w:rPr>
        <w:rFonts w:ascii="Verdana" w:hAnsi="Verdana"/>
        <w:sz w:val="16"/>
        <w:szCs w:val="16"/>
        <w:lang w:val="pt-PT"/>
      </w:rPr>
      <w:t>P</w:t>
    </w:r>
    <w:r w:rsidRPr="00650FFD">
      <w:rPr>
        <w:rFonts w:ascii="Verdana" w:hAnsi="Verdana"/>
        <w:sz w:val="16"/>
        <w:szCs w:val="16"/>
        <w:lang w:val="pt-PT"/>
      </w:rPr>
      <w:t xml:space="preserve">ortal: </w:t>
    </w:r>
    <w:hyperlink r:id="rId2" w:history="1">
      <w:r w:rsidRPr="00650FFD">
        <w:rPr>
          <w:rStyle w:val="Hyperlink"/>
          <w:rFonts w:ascii="Verdana" w:hAnsi="Verdana"/>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5B0D" w14:textId="77777777" w:rsidR="00107341" w:rsidRDefault="00107341" w:rsidP="00FB398F">
      <w:r>
        <w:separator/>
      </w:r>
    </w:p>
  </w:footnote>
  <w:footnote w:type="continuationSeparator" w:id="0">
    <w:p w14:paraId="56FA3FB3" w14:textId="77777777" w:rsidR="00107341" w:rsidRDefault="0010734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47D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AFA3" w14:textId="7D1375F5" w:rsidR="00384B73" w:rsidRDefault="00384B73" w:rsidP="00384B73">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9264" behindDoc="0" locked="0" layoutInCell="1" allowOverlap="1" wp14:anchorId="1555424A" wp14:editId="67171F2A">
          <wp:simplePos x="0" y="0"/>
          <wp:positionH relativeFrom="column">
            <wp:posOffset>523875</wp:posOffset>
          </wp:positionH>
          <wp:positionV relativeFrom="paragraph">
            <wp:posOffset>168910</wp:posOffset>
          </wp:positionV>
          <wp:extent cx="676275" cy="676275"/>
          <wp:effectExtent l="0" t="0" r="9525" b="9525"/>
          <wp:wrapNone/>
          <wp:docPr id="13" name="Picture 1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2DCDAB1" wp14:editId="2126D256">
              <wp:simplePos x="0" y="0"/>
              <wp:positionH relativeFrom="column">
                <wp:posOffset>4772660</wp:posOffset>
              </wp:positionH>
              <wp:positionV relativeFrom="paragraph">
                <wp:posOffset>-69215</wp:posOffset>
              </wp:positionV>
              <wp:extent cx="1287780" cy="1047750"/>
              <wp:effectExtent l="0" t="0" r="1714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047750"/>
                      </a:xfrm>
                      <a:prstGeom prst="rect">
                        <a:avLst/>
                      </a:prstGeom>
                      <a:solidFill>
                        <a:srgbClr val="FFFFFF"/>
                      </a:solidFill>
                      <a:ln w="9525">
                        <a:solidFill>
                          <a:srgbClr val="FFFFFF"/>
                        </a:solidFill>
                        <a:miter lim="800000"/>
                        <a:headEnd/>
                        <a:tailEnd/>
                      </a:ln>
                    </wps:spPr>
                    <wps:txbx>
                      <w:txbxContent>
                        <w:p w14:paraId="5DBECE10" w14:textId="36D03807" w:rsidR="00384B73" w:rsidRDefault="00384B73" w:rsidP="00384B73">
                          <w:r>
                            <w:rPr>
                              <w:rFonts w:cs="Calibri"/>
                              <w:noProof/>
                              <w:sz w:val="20"/>
                              <w:szCs w:val="20"/>
                              <w:lang w:val="en-CY" w:eastAsia="en-CY"/>
                            </w:rPr>
                            <w:drawing>
                              <wp:inline distT="0" distB="0" distL="0" distR="0" wp14:anchorId="5C8E64D3" wp14:editId="279FC188">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CDAB1" id="_x0000_t202" coordsize="21600,21600" o:spt="202" path="m,l,21600r21600,l21600,xe">
              <v:stroke joinstyle="miter"/>
              <v:path gradientshapeok="t" o:connecttype="rect"/>
            </v:shapetype>
            <v:shape id="Text Box 12" o:spid="_x0000_s1031" type="#_x0000_t202" style="position:absolute;left:0;text-align:left;margin-left:375.8pt;margin-top:-5.45pt;width:101.4pt;height: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MQ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4r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i&#10;PeMQEAIAACoEAAAOAAAAAAAAAAAAAAAAAC4CAABkcnMvZTJvRG9jLnhtbFBLAQItABQABgAIAAAA&#10;IQBT78aT4QAAAAsBAAAPAAAAAAAAAAAAAAAAAGoEAABkcnMvZG93bnJldi54bWxQSwUGAAAAAAQA&#10;BADzAAAAeAUAAAAA&#10;" strokecolor="white">
              <v:textbox>
                <w:txbxContent>
                  <w:p w14:paraId="5DBECE10" w14:textId="36D03807" w:rsidR="00384B73" w:rsidRDefault="00384B73" w:rsidP="00384B73">
                    <w:r>
                      <w:rPr>
                        <w:rFonts w:cs="Calibri"/>
                        <w:noProof/>
                        <w:sz w:val="20"/>
                        <w:szCs w:val="20"/>
                        <w:lang w:val="en-CY" w:eastAsia="en-CY"/>
                      </w:rPr>
                      <w:drawing>
                        <wp:inline distT="0" distB="0" distL="0" distR="0" wp14:anchorId="5C8E64D3" wp14:editId="279FC188">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DBE688D" wp14:editId="28A9F5D9">
              <wp:simplePos x="0" y="0"/>
              <wp:positionH relativeFrom="column">
                <wp:posOffset>3439160</wp:posOffset>
              </wp:positionH>
              <wp:positionV relativeFrom="paragraph">
                <wp:posOffset>-221615</wp:posOffset>
              </wp:positionV>
              <wp:extent cx="1468120" cy="1200150"/>
              <wp:effectExtent l="0" t="0" r="1714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1200150"/>
                      </a:xfrm>
                      <a:prstGeom prst="rect">
                        <a:avLst/>
                      </a:prstGeom>
                      <a:solidFill>
                        <a:srgbClr val="FFFFFF"/>
                      </a:solidFill>
                      <a:ln w="9525">
                        <a:solidFill>
                          <a:srgbClr val="FFFFFF"/>
                        </a:solidFill>
                        <a:miter lim="800000"/>
                        <a:headEnd/>
                        <a:tailEnd/>
                      </a:ln>
                    </wps:spPr>
                    <wps:txbx>
                      <w:txbxContent>
                        <w:p w14:paraId="6164D181" w14:textId="26CC0EB5" w:rsidR="00384B73" w:rsidRDefault="00384B73" w:rsidP="00384B73">
                          <w:r>
                            <w:rPr>
                              <w:rFonts w:cs="Calibri"/>
                              <w:noProof/>
                              <w:sz w:val="20"/>
                              <w:szCs w:val="20"/>
                              <w:lang w:val="en-CY" w:eastAsia="en-CY"/>
                            </w:rPr>
                            <w:drawing>
                              <wp:inline distT="0" distB="0" distL="0" distR="0" wp14:anchorId="7BF42CBA" wp14:editId="211B139C">
                                <wp:extent cx="12763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E688D" id="Text Box 6" o:spid="_x0000_s1032" type="#_x0000_t202" style="position:absolute;left:0;text-align:left;margin-left:270.8pt;margin-top:-17.45pt;width:115.6pt;height: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" strokecolor="white">
              <v:textbox>
                <w:txbxContent>
                  <w:p w14:paraId="6164D181" w14:textId="26CC0EB5" w:rsidR="00384B73" w:rsidRDefault="00384B73" w:rsidP="00384B73">
                    <w:r>
                      <w:rPr>
                        <w:rFonts w:cs="Calibri"/>
                        <w:noProof/>
                        <w:sz w:val="20"/>
                        <w:szCs w:val="20"/>
                        <w:lang w:val="en-CY" w:eastAsia="en-CY"/>
                      </w:rPr>
                      <w:drawing>
                        <wp:inline distT="0" distB="0" distL="0" distR="0" wp14:anchorId="7BF42CBA" wp14:editId="211B139C">
                          <wp:extent cx="12763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80FF33A" w14:textId="77777777" w:rsidR="00384B73" w:rsidRDefault="00384B73" w:rsidP="00384B73">
    <w:pPr>
      <w:pStyle w:val="Header"/>
      <w:tabs>
        <w:tab w:val="clear" w:pos="4153"/>
        <w:tab w:val="center" w:pos="1620"/>
        <w:tab w:val="left" w:pos="6315"/>
      </w:tabs>
      <w:spacing w:line="360" w:lineRule="auto"/>
      <w:rPr>
        <w:rFonts w:ascii="Arial" w:hAnsi="Arial" w:cs="Arial"/>
        <w:bCs/>
        <w:sz w:val="18"/>
        <w:szCs w:val="18"/>
      </w:rPr>
    </w:pPr>
    <w:r>
      <w:rPr>
        <w:rFonts w:ascii="Arial" w:hAnsi="Arial" w:cs="Arial"/>
        <w:bCs/>
        <w:sz w:val="18"/>
        <w:szCs w:val="18"/>
      </w:rPr>
      <w:tab/>
    </w:r>
  </w:p>
  <w:p w14:paraId="46F2F14E" w14:textId="77777777" w:rsidR="00384B73" w:rsidRDefault="00384B73" w:rsidP="00384B73">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1201320" w14:textId="77777777" w:rsidR="00384B73" w:rsidRDefault="00384B73" w:rsidP="00384B73">
    <w:pPr>
      <w:pStyle w:val="Header"/>
      <w:tabs>
        <w:tab w:val="clear" w:pos="4153"/>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768AB200" w14:textId="77777777" w:rsidR="00384B73" w:rsidRDefault="00384B73" w:rsidP="00384B73">
    <w:pPr>
      <w:pStyle w:val="Header"/>
      <w:tabs>
        <w:tab w:val="clear" w:pos="4153"/>
        <w:tab w:val="center" w:pos="1620"/>
        <w:tab w:val="left" w:pos="2160"/>
        <w:tab w:val="center" w:pos="7655"/>
      </w:tabs>
      <w:spacing w:line="360" w:lineRule="auto"/>
      <w:rPr>
        <w:rFonts w:ascii="Arial" w:hAnsi="Arial" w:cs="Arial"/>
        <w:bCs/>
        <w:sz w:val="18"/>
        <w:szCs w:val="18"/>
      </w:rPr>
    </w:pPr>
  </w:p>
  <w:p w14:paraId="14A93941" w14:textId="55E0D65D" w:rsidR="008F40BD" w:rsidRDefault="00384B73" w:rsidP="00384B73">
    <w:pPr>
      <w:pStyle w:val="Header"/>
      <w:tabs>
        <w:tab w:val="clear" w:pos="4153"/>
        <w:tab w:val="center" w:pos="1620"/>
        <w:tab w:val="left" w:pos="2160"/>
        <w:tab w:val="center" w:pos="7655"/>
      </w:tabs>
      <w:spacing w:line="360" w:lineRule="auto"/>
      <w:rPr>
        <w:rFonts w:ascii="Verdana" w:hAnsi="Verdana" w:cs="Arial"/>
        <w:b/>
        <w:bCs/>
        <w:sz w:val="20"/>
        <w:szCs w:val="20"/>
        <w:lang w:val="en-US"/>
      </w:rPr>
    </w:pPr>
    <w:r>
      <w:rPr>
        <w:noProof/>
      </w:rPr>
      <mc:AlternateContent>
        <mc:Choice Requires="wps">
          <w:drawing>
            <wp:anchor distT="0" distB="0" distL="114300" distR="114300" simplePos="0" relativeHeight="251662336" behindDoc="0" locked="0" layoutInCell="1" allowOverlap="1" wp14:anchorId="3CBDE887" wp14:editId="4D3A198C">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75E0F" w14:textId="77777777" w:rsidR="00384B73" w:rsidRDefault="00384B73" w:rsidP="00C40A71">
                          <w:pPr>
                            <w:spacing w:after="120"/>
                            <w:jc w:val="center"/>
                            <w:rPr>
                              <w:rFonts w:ascii="Verdana" w:hAnsi="Verdana" w:cs="Arial"/>
                              <w:b/>
                              <w:sz w:val="20"/>
                              <w:szCs w:val="20"/>
                            </w:rPr>
                          </w:pPr>
                          <w:r>
                            <w:rPr>
                              <w:rFonts w:ascii="Verdana" w:hAnsi="Verdana" w:cs="Arial"/>
                              <w:b/>
                              <w:sz w:val="20"/>
                              <w:szCs w:val="20"/>
                            </w:rPr>
                            <w:t>STATISTICAL SERVICE</w:t>
                          </w:r>
                        </w:p>
                        <w:p w14:paraId="0DC01E9F" w14:textId="77777777" w:rsidR="00384B73" w:rsidRDefault="00384B73" w:rsidP="00C40A71">
                          <w:pPr>
                            <w:spacing w:after="120"/>
                            <w:jc w:val="center"/>
                            <w:rPr>
                              <w:rFonts w:ascii="Verdana" w:hAnsi="Verdana" w:cs="Arial"/>
                              <w:sz w:val="20"/>
                              <w:szCs w:val="20"/>
                            </w:rPr>
                          </w:pPr>
                          <w:r>
                            <w:rPr>
                              <w:rFonts w:ascii="Verdana" w:hAnsi="Verdana" w:cs="Arial"/>
                              <w:sz w:val="20"/>
                              <w:szCs w:val="20"/>
                            </w:rPr>
                            <w:t>1444 NICOSIA</w:t>
                          </w:r>
                        </w:p>
                        <w:p w14:paraId="1E6383F1" w14:textId="77777777" w:rsidR="00384B73" w:rsidRDefault="00384B73" w:rsidP="00384B73">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DE887" id="Text Box 1" o:spid="_x0000_s1033" type="#_x0000_t202" style="position:absolute;margin-left:323pt;margin-top:-11.05pt;width:2in;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17575E0F" w14:textId="77777777" w:rsidR="00384B73" w:rsidRDefault="00384B73" w:rsidP="00C40A71">
                    <w:pPr>
                      <w:spacing w:after="120"/>
                      <w:jc w:val="center"/>
                      <w:rPr>
                        <w:rFonts w:ascii="Verdana" w:hAnsi="Verdana" w:cs="Arial"/>
                        <w:b/>
                        <w:sz w:val="20"/>
                        <w:szCs w:val="20"/>
                      </w:rPr>
                    </w:pPr>
                    <w:r>
                      <w:rPr>
                        <w:rFonts w:ascii="Verdana" w:hAnsi="Verdana" w:cs="Arial"/>
                        <w:b/>
                        <w:sz w:val="20"/>
                        <w:szCs w:val="20"/>
                      </w:rPr>
                      <w:t>STATISTICAL SERVICE</w:t>
                    </w:r>
                  </w:p>
                  <w:p w14:paraId="0DC01E9F" w14:textId="77777777" w:rsidR="00384B73" w:rsidRDefault="00384B73" w:rsidP="00C40A71">
                    <w:pPr>
                      <w:spacing w:after="120"/>
                      <w:jc w:val="center"/>
                      <w:rPr>
                        <w:rFonts w:ascii="Verdana" w:hAnsi="Verdana" w:cs="Arial"/>
                        <w:sz w:val="20"/>
                        <w:szCs w:val="20"/>
                      </w:rPr>
                    </w:pPr>
                    <w:r>
                      <w:rPr>
                        <w:rFonts w:ascii="Verdana" w:hAnsi="Verdana" w:cs="Arial"/>
                        <w:sz w:val="20"/>
                        <w:szCs w:val="20"/>
                      </w:rPr>
                      <w:t>1444 NICOSIA</w:t>
                    </w:r>
                  </w:p>
                  <w:p w14:paraId="1E6383F1" w14:textId="77777777" w:rsidR="00384B73" w:rsidRDefault="00384B73" w:rsidP="00384B73">
                    <w:pPr>
                      <w:jc w:val="center"/>
                      <w:rPr>
                        <w:rFonts w:ascii="Arial" w:hAnsi="Arial" w:cs="Arial"/>
                        <w:sz w:val="20"/>
                        <w:szCs w:val="20"/>
                      </w:rPr>
                    </w:pPr>
                  </w:p>
                </w:txbxContent>
              </v:textbox>
            </v:shape>
          </w:pict>
        </mc:Fallback>
      </mc:AlternateContent>
    </w:r>
    <w:r>
      <w:rPr>
        <w:rFonts w:ascii="Arial" w:hAnsi="Arial" w:cs="Arial"/>
        <w:bCs/>
        <w:sz w:val="18"/>
        <w:szCs w:val="18"/>
        <w:lang w:val="en-US"/>
      </w:rPr>
      <w:t xml:space="preserve">      </w:t>
    </w:r>
    <w:r>
      <w:rPr>
        <w:rFonts w:ascii="Verdana" w:hAnsi="Verdana" w:cs="Arial"/>
        <w:bCs/>
        <w:sz w:val="20"/>
        <w:szCs w:val="20"/>
        <w:lang w:val="en-US"/>
      </w:rPr>
      <w:t>REPUBLIC OF CYPRUS</w:t>
    </w:r>
    <w:r w:rsidR="008F40BD">
      <w:rPr>
        <w:rFonts w:ascii="Verdana" w:hAnsi="Verdana" w:cs="Arial"/>
        <w:b/>
        <w:bCs/>
        <w:sz w:val="20"/>
        <w:szCs w:val="20"/>
        <w:lang w:val="en-US"/>
      </w:rPr>
      <w:t xml:space="preserve">       </w:t>
    </w:r>
  </w:p>
  <w:p w14:paraId="0F53448A" w14:textId="77777777" w:rsidR="00C40A71" w:rsidRPr="00384B73" w:rsidRDefault="00C40A71" w:rsidP="00384B73">
    <w:pPr>
      <w:pStyle w:val="Header"/>
      <w:tabs>
        <w:tab w:val="clear" w:pos="4153"/>
        <w:tab w:val="center" w:pos="1620"/>
        <w:tab w:val="left" w:pos="2160"/>
        <w:tab w:val="center" w:pos="7655"/>
      </w:tabs>
      <w:spacing w:line="360" w:lineRule="auto"/>
      <w:rPr>
        <w:rFonts w:ascii="Arial" w:hAnsi="Arial" w:cs="Arial"/>
        <w:b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A351968"/>
    <w:multiLevelType w:val="hybridMultilevel"/>
    <w:tmpl w:val="C1AC80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72361777">
    <w:abstractNumId w:val="5"/>
  </w:num>
  <w:num w:numId="2" w16cid:durableId="2006319120">
    <w:abstractNumId w:val="1"/>
  </w:num>
  <w:num w:numId="3" w16cid:durableId="1498880424">
    <w:abstractNumId w:val="2"/>
  </w:num>
  <w:num w:numId="4" w16cid:durableId="485171525">
    <w:abstractNumId w:val="3"/>
  </w:num>
  <w:num w:numId="5" w16cid:durableId="1975019782">
    <w:abstractNumId w:val="0"/>
  </w:num>
  <w:num w:numId="6" w16cid:durableId="921335796">
    <w:abstractNumId w:val="6"/>
  </w:num>
  <w:num w:numId="7" w16cid:durableId="79840456">
    <w:abstractNumId w:val="7"/>
  </w:num>
  <w:num w:numId="8" w16cid:durableId="61025726">
    <w:abstractNumId w:val="4"/>
  </w:num>
  <w:num w:numId="9" w16cid:durableId="1960643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4C3"/>
    <w:rsid w:val="00001773"/>
    <w:rsid w:val="000017A7"/>
    <w:rsid w:val="00004F86"/>
    <w:rsid w:val="0000542E"/>
    <w:rsid w:val="000125CB"/>
    <w:rsid w:val="00013E40"/>
    <w:rsid w:val="00015322"/>
    <w:rsid w:val="00015F7C"/>
    <w:rsid w:val="000161B1"/>
    <w:rsid w:val="00025A39"/>
    <w:rsid w:val="00027853"/>
    <w:rsid w:val="000279AA"/>
    <w:rsid w:val="00030E18"/>
    <w:rsid w:val="00031D32"/>
    <w:rsid w:val="000335A0"/>
    <w:rsid w:val="0003603D"/>
    <w:rsid w:val="00036BCE"/>
    <w:rsid w:val="00036FA9"/>
    <w:rsid w:val="000370C3"/>
    <w:rsid w:val="00037489"/>
    <w:rsid w:val="0004059B"/>
    <w:rsid w:val="00045088"/>
    <w:rsid w:val="00045A06"/>
    <w:rsid w:val="00050391"/>
    <w:rsid w:val="00052304"/>
    <w:rsid w:val="00053A9D"/>
    <w:rsid w:val="00055291"/>
    <w:rsid w:val="000563D3"/>
    <w:rsid w:val="00057E44"/>
    <w:rsid w:val="00061269"/>
    <w:rsid w:val="00061299"/>
    <w:rsid w:val="00064A76"/>
    <w:rsid w:val="00070576"/>
    <w:rsid w:val="0007081E"/>
    <w:rsid w:val="00072754"/>
    <w:rsid w:val="000752BB"/>
    <w:rsid w:val="00077CEC"/>
    <w:rsid w:val="0008050F"/>
    <w:rsid w:val="000814EE"/>
    <w:rsid w:val="00081ADF"/>
    <w:rsid w:val="00082675"/>
    <w:rsid w:val="00082ABD"/>
    <w:rsid w:val="00082F37"/>
    <w:rsid w:val="000844F7"/>
    <w:rsid w:val="00084A02"/>
    <w:rsid w:val="00084BF7"/>
    <w:rsid w:val="00085A91"/>
    <w:rsid w:val="000870E9"/>
    <w:rsid w:val="00087996"/>
    <w:rsid w:val="000932CF"/>
    <w:rsid w:val="00094C1F"/>
    <w:rsid w:val="00096ED8"/>
    <w:rsid w:val="00097D62"/>
    <w:rsid w:val="000A11C4"/>
    <w:rsid w:val="000A1A4B"/>
    <w:rsid w:val="000A1A88"/>
    <w:rsid w:val="000A2B5C"/>
    <w:rsid w:val="000A3601"/>
    <w:rsid w:val="000A6FA8"/>
    <w:rsid w:val="000A77CD"/>
    <w:rsid w:val="000A77DE"/>
    <w:rsid w:val="000B1360"/>
    <w:rsid w:val="000B2390"/>
    <w:rsid w:val="000B6F3B"/>
    <w:rsid w:val="000C2E8A"/>
    <w:rsid w:val="000C4E72"/>
    <w:rsid w:val="000C7355"/>
    <w:rsid w:val="000D1E7A"/>
    <w:rsid w:val="000D2494"/>
    <w:rsid w:val="000E20B1"/>
    <w:rsid w:val="000E24B1"/>
    <w:rsid w:val="000E2735"/>
    <w:rsid w:val="000E32D6"/>
    <w:rsid w:val="000E57F2"/>
    <w:rsid w:val="000E72A7"/>
    <w:rsid w:val="000F1162"/>
    <w:rsid w:val="000F14F9"/>
    <w:rsid w:val="000F18AB"/>
    <w:rsid w:val="000F3467"/>
    <w:rsid w:val="000F3549"/>
    <w:rsid w:val="000F38DE"/>
    <w:rsid w:val="000F5D6C"/>
    <w:rsid w:val="000F6A60"/>
    <w:rsid w:val="001006F1"/>
    <w:rsid w:val="00104067"/>
    <w:rsid w:val="00106852"/>
    <w:rsid w:val="00107341"/>
    <w:rsid w:val="00110F9D"/>
    <w:rsid w:val="00111C58"/>
    <w:rsid w:val="00114A67"/>
    <w:rsid w:val="0011546C"/>
    <w:rsid w:val="0012048F"/>
    <w:rsid w:val="00120FA6"/>
    <w:rsid w:val="00121BB3"/>
    <w:rsid w:val="00122143"/>
    <w:rsid w:val="001246AE"/>
    <w:rsid w:val="001246F2"/>
    <w:rsid w:val="001248CD"/>
    <w:rsid w:val="001253B6"/>
    <w:rsid w:val="00127320"/>
    <w:rsid w:val="00127456"/>
    <w:rsid w:val="00131009"/>
    <w:rsid w:val="001312D8"/>
    <w:rsid w:val="0013137B"/>
    <w:rsid w:val="00132F90"/>
    <w:rsid w:val="0013327C"/>
    <w:rsid w:val="00133B45"/>
    <w:rsid w:val="00137032"/>
    <w:rsid w:val="0013709C"/>
    <w:rsid w:val="0014460C"/>
    <w:rsid w:val="00145386"/>
    <w:rsid w:val="00146437"/>
    <w:rsid w:val="00150B0B"/>
    <w:rsid w:val="0015118B"/>
    <w:rsid w:val="001516AB"/>
    <w:rsid w:val="001519CE"/>
    <w:rsid w:val="00152614"/>
    <w:rsid w:val="00153C0C"/>
    <w:rsid w:val="00161CF3"/>
    <w:rsid w:val="00162C00"/>
    <w:rsid w:val="001639EF"/>
    <w:rsid w:val="00164E8B"/>
    <w:rsid w:val="00164F17"/>
    <w:rsid w:val="0016589F"/>
    <w:rsid w:val="00166FC4"/>
    <w:rsid w:val="00172175"/>
    <w:rsid w:val="00176558"/>
    <w:rsid w:val="00176EA7"/>
    <w:rsid w:val="0017756A"/>
    <w:rsid w:val="0017769A"/>
    <w:rsid w:val="001819D0"/>
    <w:rsid w:val="0018363F"/>
    <w:rsid w:val="00183B49"/>
    <w:rsid w:val="00183DFC"/>
    <w:rsid w:val="00184384"/>
    <w:rsid w:val="00186717"/>
    <w:rsid w:val="00187FFC"/>
    <w:rsid w:val="00192CC6"/>
    <w:rsid w:val="001954CE"/>
    <w:rsid w:val="001955C0"/>
    <w:rsid w:val="001A2018"/>
    <w:rsid w:val="001A3DD4"/>
    <w:rsid w:val="001A7FA3"/>
    <w:rsid w:val="001B2C39"/>
    <w:rsid w:val="001B3675"/>
    <w:rsid w:val="001B54AB"/>
    <w:rsid w:val="001B5E10"/>
    <w:rsid w:val="001B5EAB"/>
    <w:rsid w:val="001B6AB3"/>
    <w:rsid w:val="001B73D5"/>
    <w:rsid w:val="001C0681"/>
    <w:rsid w:val="001C14B9"/>
    <w:rsid w:val="001C62B3"/>
    <w:rsid w:val="001C7336"/>
    <w:rsid w:val="001C7C8C"/>
    <w:rsid w:val="001D0C20"/>
    <w:rsid w:val="001D0D6A"/>
    <w:rsid w:val="001D0E21"/>
    <w:rsid w:val="001D20A4"/>
    <w:rsid w:val="001D6208"/>
    <w:rsid w:val="001E00D1"/>
    <w:rsid w:val="001E03C5"/>
    <w:rsid w:val="001E08CD"/>
    <w:rsid w:val="001E0E58"/>
    <w:rsid w:val="001E14F3"/>
    <w:rsid w:val="001E15ED"/>
    <w:rsid w:val="001E33D4"/>
    <w:rsid w:val="001E61AA"/>
    <w:rsid w:val="001E7A34"/>
    <w:rsid w:val="001F7847"/>
    <w:rsid w:val="001F7B53"/>
    <w:rsid w:val="0020309E"/>
    <w:rsid w:val="00203DFB"/>
    <w:rsid w:val="002047A6"/>
    <w:rsid w:val="00205BA0"/>
    <w:rsid w:val="00210B58"/>
    <w:rsid w:val="00212103"/>
    <w:rsid w:val="00212C75"/>
    <w:rsid w:val="00222423"/>
    <w:rsid w:val="00223CCA"/>
    <w:rsid w:val="00225B28"/>
    <w:rsid w:val="00227E98"/>
    <w:rsid w:val="002313AC"/>
    <w:rsid w:val="00231997"/>
    <w:rsid w:val="00233DBA"/>
    <w:rsid w:val="002354C8"/>
    <w:rsid w:val="00235FB2"/>
    <w:rsid w:val="00237BC1"/>
    <w:rsid w:val="00240C0A"/>
    <w:rsid w:val="002412BE"/>
    <w:rsid w:val="002430B4"/>
    <w:rsid w:val="002447D0"/>
    <w:rsid w:val="002454C5"/>
    <w:rsid w:val="00245E19"/>
    <w:rsid w:val="00246AEB"/>
    <w:rsid w:val="00250005"/>
    <w:rsid w:val="00251C72"/>
    <w:rsid w:val="0025254F"/>
    <w:rsid w:val="0025566D"/>
    <w:rsid w:val="0025595C"/>
    <w:rsid w:val="00257149"/>
    <w:rsid w:val="002576E7"/>
    <w:rsid w:val="00260357"/>
    <w:rsid w:val="0026119F"/>
    <w:rsid w:val="00264F04"/>
    <w:rsid w:val="00267554"/>
    <w:rsid w:val="00270C58"/>
    <w:rsid w:val="0027122D"/>
    <w:rsid w:val="0027301C"/>
    <w:rsid w:val="002735B4"/>
    <w:rsid w:val="00281B66"/>
    <w:rsid w:val="0028338F"/>
    <w:rsid w:val="00285C24"/>
    <w:rsid w:val="00287260"/>
    <w:rsid w:val="002915C4"/>
    <w:rsid w:val="00291A1B"/>
    <w:rsid w:val="002933CE"/>
    <w:rsid w:val="00297EA4"/>
    <w:rsid w:val="002A1D1C"/>
    <w:rsid w:val="002A4D64"/>
    <w:rsid w:val="002A7B98"/>
    <w:rsid w:val="002B0FB8"/>
    <w:rsid w:val="002B2F8B"/>
    <w:rsid w:val="002B4CCE"/>
    <w:rsid w:val="002B53BE"/>
    <w:rsid w:val="002B6554"/>
    <w:rsid w:val="002C36DA"/>
    <w:rsid w:val="002D05F0"/>
    <w:rsid w:val="002D1585"/>
    <w:rsid w:val="002D1CD1"/>
    <w:rsid w:val="002D3664"/>
    <w:rsid w:val="002D5665"/>
    <w:rsid w:val="002D6929"/>
    <w:rsid w:val="002D7D4A"/>
    <w:rsid w:val="002E1906"/>
    <w:rsid w:val="002E1A6D"/>
    <w:rsid w:val="002E2603"/>
    <w:rsid w:val="002E3846"/>
    <w:rsid w:val="002E3F78"/>
    <w:rsid w:val="002E5ABA"/>
    <w:rsid w:val="002E753A"/>
    <w:rsid w:val="002F400C"/>
    <w:rsid w:val="002F4A5C"/>
    <w:rsid w:val="002F4D76"/>
    <w:rsid w:val="002F6D26"/>
    <w:rsid w:val="002F701D"/>
    <w:rsid w:val="002F79FA"/>
    <w:rsid w:val="00300272"/>
    <w:rsid w:val="0030231E"/>
    <w:rsid w:val="0030314D"/>
    <w:rsid w:val="003031BD"/>
    <w:rsid w:val="00303B4A"/>
    <w:rsid w:val="003042C4"/>
    <w:rsid w:val="00304C7E"/>
    <w:rsid w:val="00304CB4"/>
    <w:rsid w:val="00313F37"/>
    <w:rsid w:val="003141D0"/>
    <w:rsid w:val="00314B8A"/>
    <w:rsid w:val="0031605F"/>
    <w:rsid w:val="003168C1"/>
    <w:rsid w:val="00322FBE"/>
    <w:rsid w:val="00325632"/>
    <w:rsid w:val="00326C81"/>
    <w:rsid w:val="00327549"/>
    <w:rsid w:val="003342A5"/>
    <w:rsid w:val="00336C36"/>
    <w:rsid w:val="00341FE1"/>
    <w:rsid w:val="00343815"/>
    <w:rsid w:val="00343E78"/>
    <w:rsid w:val="00346805"/>
    <w:rsid w:val="00346E70"/>
    <w:rsid w:val="003522BB"/>
    <w:rsid w:val="00352F6C"/>
    <w:rsid w:val="003534CB"/>
    <w:rsid w:val="00354BB7"/>
    <w:rsid w:val="003556EA"/>
    <w:rsid w:val="00364377"/>
    <w:rsid w:val="00367DD2"/>
    <w:rsid w:val="003711A7"/>
    <w:rsid w:val="0037203F"/>
    <w:rsid w:val="00377ABB"/>
    <w:rsid w:val="00383A81"/>
    <w:rsid w:val="00383CBD"/>
    <w:rsid w:val="00384B73"/>
    <w:rsid w:val="00384E69"/>
    <w:rsid w:val="00386FC7"/>
    <w:rsid w:val="00390A32"/>
    <w:rsid w:val="00396C89"/>
    <w:rsid w:val="0039732B"/>
    <w:rsid w:val="003A1357"/>
    <w:rsid w:val="003A40F2"/>
    <w:rsid w:val="003A50D1"/>
    <w:rsid w:val="003B196D"/>
    <w:rsid w:val="003B19E5"/>
    <w:rsid w:val="003B2710"/>
    <w:rsid w:val="003B4608"/>
    <w:rsid w:val="003B5F0F"/>
    <w:rsid w:val="003C0220"/>
    <w:rsid w:val="003C117D"/>
    <w:rsid w:val="003C1B8E"/>
    <w:rsid w:val="003C2392"/>
    <w:rsid w:val="003C371D"/>
    <w:rsid w:val="003C4A43"/>
    <w:rsid w:val="003C4B0D"/>
    <w:rsid w:val="003C5174"/>
    <w:rsid w:val="003C5240"/>
    <w:rsid w:val="003C6B55"/>
    <w:rsid w:val="003D14E0"/>
    <w:rsid w:val="003D1EA5"/>
    <w:rsid w:val="003D3348"/>
    <w:rsid w:val="003D53B4"/>
    <w:rsid w:val="003D5672"/>
    <w:rsid w:val="003D6822"/>
    <w:rsid w:val="003D724C"/>
    <w:rsid w:val="003E0CE2"/>
    <w:rsid w:val="003E7BEB"/>
    <w:rsid w:val="003F23C0"/>
    <w:rsid w:val="003F41C8"/>
    <w:rsid w:val="003F49E4"/>
    <w:rsid w:val="003F4D2F"/>
    <w:rsid w:val="003F5E32"/>
    <w:rsid w:val="003F6A0E"/>
    <w:rsid w:val="003F6EBB"/>
    <w:rsid w:val="003F75F6"/>
    <w:rsid w:val="0040144B"/>
    <w:rsid w:val="004044FA"/>
    <w:rsid w:val="00404670"/>
    <w:rsid w:val="00405D5E"/>
    <w:rsid w:val="00411D67"/>
    <w:rsid w:val="00414CA0"/>
    <w:rsid w:val="00421D2F"/>
    <w:rsid w:val="00422F54"/>
    <w:rsid w:val="004301DF"/>
    <w:rsid w:val="00431516"/>
    <w:rsid w:val="004361B3"/>
    <w:rsid w:val="004361FC"/>
    <w:rsid w:val="0044249D"/>
    <w:rsid w:val="00442FFE"/>
    <w:rsid w:val="0044379F"/>
    <w:rsid w:val="00444076"/>
    <w:rsid w:val="00446FB1"/>
    <w:rsid w:val="00447767"/>
    <w:rsid w:val="004479D6"/>
    <w:rsid w:val="00447AE0"/>
    <w:rsid w:val="00447AFB"/>
    <w:rsid w:val="0045340A"/>
    <w:rsid w:val="004606BE"/>
    <w:rsid w:val="0046078F"/>
    <w:rsid w:val="00463214"/>
    <w:rsid w:val="0046434D"/>
    <w:rsid w:val="004656FA"/>
    <w:rsid w:val="00466E91"/>
    <w:rsid w:val="004675D8"/>
    <w:rsid w:val="00471D77"/>
    <w:rsid w:val="00472F1B"/>
    <w:rsid w:val="004754EF"/>
    <w:rsid w:val="00475587"/>
    <w:rsid w:val="0047665D"/>
    <w:rsid w:val="00480BC2"/>
    <w:rsid w:val="0048294D"/>
    <w:rsid w:val="004929C2"/>
    <w:rsid w:val="00493FDD"/>
    <w:rsid w:val="0049586B"/>
    <w:rsid w:val="00497992"/>
    <w:rsid w:val="00497B46"/>
    <w:rsid w:val="004A07E2"/>
    <w:rsid w:val="004A1422"/>
    <w:rsid w:val="004A172E"/>
    <w:rsid w:val="004A3E44"/>
    <w:rsid w:val="004A6B3F"/>
    <w:rsid w:val="004A7983"/>
    <w:rsid w:val="004B2896"/>
    <w:rsid w:val="004B38E9"/>
    <w:rsid w:val="004B3FBA"/>
    <w:rsid w:val="004B48C2"/>
    <w:rsid w:val="004B556F"/>
    <w:rsid w:val="004B6599"/>
    <w:rsid w:val="004C01BE"/>
    <w:rsid w:val="004C20EF"/>
    <w:rsid w:val="004C37E4"/>
    <w:rsid w:val="004C3D50"/>
    <w:rsid w:val="004C43C0"/>
    <w:rsid w:val="004C4E49"/>
    <w:rsid w:val="004C502B"/>
    <w:rsid w:val="004C5564"/>
    <w:rsid w:val="004C5F7A"/>
    <w:rsid w:val="004C6CA7"/>
    <w:rsid w:val="004D1C6A"/>
    <w:rsid w:val="004D2EEA"/>
    <w:rsid w:val="004D4331"/>
    <w:rsid w:val="004D4357"/>
    <w:rsid w:val="004D4950"/>
    <w:rsid w:val="004E2393"/>
    <w:rsid w:val="004E27EC"/>
    <w:rsid w:val="004E3745"/>
    <w:rsid w:val="004E42BE"/>
    <w:rsid w:val="004E4F42"/>
    <w:rsid w:val="004E63D5"/>
    <w:rsid w:val="004E6A36"/>
    <w:rsid w:val="004F03FD"/>
    <w:rsid w:val="004F073F"/>
    <w:rsid w:val="004F17D5"/>
    <w:rsid w:val="004F4DC9"/>
    <w:rsid w:val="004F52F0"/>
    <w:rsid w:val="004F6250"/>
    <w:rsid w:val="004F677C"/>
    <w:rsid w:val="004F6D8F"/>
    <w:rsid w:val="00504E09"/>
    <w:rsid w:val="00505503"/>
    <w:rsid w:val="0051107B"/>
    <w:rsid w:val="00512989"/>
    <w:rsid w:val="00512F9C"/>
    <w:rsid w:val="005177E1"/>
    <w:rsid w:val="00517D2B"/>
    <w:rsid w:val="0052091E"/>
    <w:rsid w:val="00527CDB"/>
    <w:rsid w:val="0053003B"/>
    <w:rsid w:val="005317FB"/>
    <w:rsid w:val="005341C9"/>
    <w:rsid w:val="005369CA"/>
    <w:rsid w:val="00536DE9"/>
    <w:rsid w:val="005418E3"/>
    <w:rsid w:val="00541E08"/>
    <w:rsid w:val="0055789A"/>
    <w:rsid w:val="005652D1"/>
    <w:rsid w:val="00566044"/>
    <w:rsid w:val="005660A0"/>
    <w:rsid w:val="00566A4F"/>
    <w:rsid w:val="00567D64"/>
    <w:rsid w:val="00571C8B"/>
    <w:rsid w:val="00576D6D"/>
    <w:rsid w:val="00577D5D"/>
    <w:rsid w:val="0058001C"/>
    <w:rsid w:val="005815BD"/>
    <w:rsid w:val="00581D38"/>
    <w:rsid w:val="00583DCE"/>
    <w:rsid w:val="00590780"/>
    <w:rsid w:val="005918D6"/>
    <w:rsid w:val="0059478C"/>
    <w:rsid w:val="00596C2A"/>
    <w:rsid w:val="00597206"/>
    <w:rsid w:val="005978D4"/>
    <w:rsid w:val="005A2230"/>
    <w:rsid w:val="005A3E92"/>
    <w:rsid w:val="005B2A67"/>
    <w:rsid w:val="005B3DCD"/>
    <w:rsid w:val="005B4AD4"/>
    <w:rsid w:val="005B5CC7"/>
    <w:rsid w:val="005C2798"/>
    <w:rsid w:val="005C36C3"/>
    <w:rsid w:val="005C56EE"/>
    <w:rsid w:val="005C5D4B"/>
    <w:rsid w:val="005D1714"/>
    <w:rsid w:val="005D1734"/>
    <w:rsid w:val="005D2D39"/>
    <w:rsid w:val="005D31F6"/>
    <w:rsid w:val="005D7638"/>
    <w:rsid w:val="005D7B71"/>
    <w:rsid w:val="005E1E8E"/>
    <w:rsid w:val="005F03FE"/>
    <w:rsid w:val="005F12F5"/>
    <w:rsid w:val="005F380D"/>
    <w:rsid w:val="005F4B4F"/>
    <w:rsid w:val="005F5762"/>
    <w:rsid w:val="005F7C7D"/>
    <w:rsid w:val="0060256A"/>
    <w:rsid w:val="00603856"/>
    <w:rsid w:val="006044B7"/>
    <w:rsid w:val="006071CE"/>
    <w:rsid w:val="006075B5"/>
    <w:rsid w:val="006076FA"/>
    <w:rsid w:val="0061018C"/>
    <w:rsid w:val="00610909"/>
    <w:rsid w:val="0061094E"/>
    <w:rsid w:val="00613440"/>
    <w:rsid w:val="00613BE3"/>
    <w:rsid w:val="00614A70"/>
    <w:rsid w:val="00622A65"/>
    <w:rsid w:val="0062327B"/>
    <w:rsid w:val="00632777"/>
    <w:rsid w:val="00633750"/>
    <w:rsid w:val="006340D4"/>
    <w:rsid w:val="00634491"/>
    <w:rsid w:val="0063679C"/>
    <w:rsid w:val="006367D8"/>
    <w:rsid w:val="00637055"/>
    <w:rsid w:val="00640377"/>
    <w:rsid w:val="00641D59"/>
    <w:rsid w:val="00644507"/>
    <w:rsid w:val="00646880"/>
    <w:rsid w:val="00647D2A"/>
    <w:rsid w:val="00650FFD"/>
    <w:rsid w:val="006537BB"/>
    <w:rsid w:val="0065711B"/>
    <w:rsid w:val="006614C3"/>
    <w:rsid w:val="006633E3"/>
    <w:rsid w:val="00666A6C"/>
    <w:rsid w:val="00671785"/>
    <w:rsid w:val="00672BA9"/>
    <w:rsid w:val="00672CE2"/>
    <w:rsid w:val="00673005"/>
    <w:rsid w:val="00674893"/>
    <w:rsid w:val="00677C2C"/>
    <w:rsid w:val="006804BE"/>
    <w:rsid w:val="00681772"/>
    <w:rsid w:val="0068414F"/>
    <w:rsid w:val="0069008E"/>
    <w:rsid w:val="0069087E"/>
    <w:rsid w:val="00690C8A"/>
    <w:rsid w:val="00691191"/>
    <w:rsid w:val="00691793"/>
    <w:rsid w:val="006918B1"/>
    <w:rsid w:val="006925C4"/>
    <w:rsid w:val="0069309C"/>
    <w:rsid w:val="006945BE"/>
    <w:rsid w:val="00697094"/>
    <w:rsid w:val="0069792A"/>
    <w:rsid w:val="006A02B7"/>
    <w:rsid w:val="006A3B65"/>
    <w:rsid w:val="006A4091"/>
    <w:rsid w:val="006A47E3"/>
    <w:rsid w:val="006A4FBE"/>
    <w:rsid w:val="006B036F"/>
    <w:rsid w:val="006B46D5"/>
    <w:rsid w:val="006B46F4"/>
    <w:rsid w:val="006C4981"/>
    <w:rsid w:val="006C7AF3"/>
    <w:rsid w:val="006D358C"/>
    <w:rsid w:val="006D6548"/>
    <w:rsid w:val="006E0E20"/>
    <w:rsid w:val="006E2B8D"/>
    <w:rsid w:val="006E4256"/>
    <w:rsid w:val="006E4BBA"/>
    <w:rsid w:val="006E5F43"/>
    <w:rsid w:val="006E60A6"/>
    <w:rsid w:val="006E78B6"/>
    <w:rsid w:val="006F0F69"/>
    <w:rsid w:val="006F116B"/>
    <w:rsid w:val="006F117F"/>
    <w:rsid w:val="006F13DF"/>
    <w:rsid w:val="006F2C93"/>
    <w:rsid w:val="006F3971"/>
    <w:rsid w:val="006F46BC"/>
    <w:rsid w:val="006F6495"/>
    <w:rsid w:val="006F6842"/>
    <w:rsid w:val="00702F26"/>
    <w:rsid w:val="0070313E"/>
    <w:rsid w:val="00703799"/>
    <w:rsid w:val="00704F9D"/>
    <w:rsid w:val="00705C5C"/>
    <w:rsid w:val="00711475"/>
    <w:rsid w:val="00716C0F"/>
    <w:rsid w:val="0072548A"/>
    <w:rsid w:val="007277A6"/>
    <w:rsid w:val="007303FC"/>
    <w:rsid w:val="007307E4"/>
    <w:rsid w:val="00732CE5"/>
    <w:rsid w:val="007330D7"/>
    <w:rsid w:val="00733E37"/>
    <w:rsid w:val="00734B7E"/>
    <w:rsid w:val="00736836"/>
    <w:rsid w:val="007373AA"/>
    <w:rsid w:val="00740981"/>
    <w:rsid w:val="007437AB"/>
    <w:rsid w:val="007443AD"/>
    <w:rsid w:val="007450B2"/>
    <w:rsid w:val="0074585C"/>
    <w:rsid w:val="0074705A"/>
    <w:rsid w:val="00750596"/>
    <w:rsid w:val="007534F8"/>
    <w:rsid w:val="007545AD"/>
    <w:rsid w:val="00756CD4"/>
    <w:rsid w:val="00762446"/>
    <w:rsid w:val="00763722"/>
    <w:rsid w:val="00764BC1"/>
    <w:rsid w:val="00764D52"/>
    <w:rsid w:val="00766D92"/>
    <w:rsid w:val="00770869"/>
    <w:rsid w:val="00770E6B"/>
    <w:rsid w:val="007738AA"/>
    <w:rsid w:val="0078091B"/>
    <w:rsid w:val="00780A62"/>
    <w:rsid w:val="00780EA6"/>
    <w:rsid w:val="00783241"/>
    <w:rsid w:val="00784BDC"/>
    <w:rsid w:val="007859F3"/>
    <w:rsid w:val="00786DA5"/>
    <w:rsid w:val="007876E4"/>
    <w:rsid w:val="00792F28"/>
    <w:rsid w:val="0079543F"/>
    <w:rsid w:val="00795880"/>
    <w:rsid w:val="00796949"/>
    <w:rsid w:val="007A4367"/>
    <w:rsid w:val="007B0867"/>
    <w:rsid w:val="007B1AC1"/>
    <w:rsid w:val="007B2E4B"/>
    <w:rsid w:val="007B5A08"/>
    <w:rsid w:val="007B693D"/>
    <w:rsid w:val="007C06DD"/>
    <w:rsid w:val="007C0CCC"/>
    <w:rsid w:val="007E041B"/>
    <w:rsid w:val="007E0E29"/>
    <w:rsid w:val="007E199A"/>
    <w:rsid w:val="007E2415"/>
    <w:rsid w:val="007E2BF5"/>
    <w:rsid w:val="007E383B"/>
    <w:rsid w:val="007E39F3"/>
    <w:rsid w:val="007E3B41"/>
    <w:rsid w:val="007E4119"/>
    <w:rsid w:val="007E5DA0"/>
    <w:rsid w:val="007E68F4"/>
    <w:rsid w:val="007E7858"/>
    <w:rsid w:val="007F06B4"/>
    <w:rsid w:val="007F2A10"/>
    <w:rsid w:val="007F31BA"/>
    <w:rsid w:val="007F4078"/>
    <w:rsid w:val="007F5170"/>
    <w:rsid w:val="007F56F9"/>
    <w:rsid w:val="007F77C9"/>
    <w:rsid w:val="0080014B"/>
    <w:rsid w:val="00801716"/>
    <w:rsid w:val="00801793"/>
    <w:rsid w:val="00803642"/>
    <w:rsid w:val="00806EA2"/>
    <w:rsid w:val="00812A2B"/>
    <w:rsid w:val="00813A5F"/>
    <w:rsid w:val="00814A4C"/>
    <w:rsid w:val="008153DE"/>
    <w:rsid w:val="00816B97"/>
    <w:rsid w:val="0081730B"/>
    <w:rsid w:val="0082560F"/>
    <w:rsid w:val="00830641"/>
    <w:rsid w:val="00831AAB"/>
    <w:rsid w:val="00831CEC"/>
    <w:rsid w:val="008338D3"/>
    <w:rsid w:val="0083574E"/>
    <w:rsid w:val="0083640C"/>
    <w:rsid w:val="0084157B"/>
    <w:rsid w:val="00842BFB"/>
    <w:rsid w:val="00846B85"/>
    <w:rsid w:val="008474C8"/>
    <w:rsid w:val="00847DC3"/>
    <w:rsid w:val="00847F49"/>
    <w:rsid w:val="00851C89"/>
    <w:rsid w:val="0085253C"/>
    <w:rsid w:val="008535C5"/>
    <w:rsid w:val="00853765"/>
    <w:rsid w:val="00854113"/>
    <w:rsid w:val="0085499A"/>
    <w:rsid w:val="00854F85"/>
    <w:rsid w:val="0085516F"/>
    <w:rsid w:val="00856482"/>
    <w:rsid w:val="00861278"/>
    <w:rsid w:val="00861E1E"/>
    <w:rsid w:val="00866491"/>
    <w:rsid w:val="00867186"/>
    <w:rsid w:val="0086731B"/>
    <w:rsid w:val="00870499"/>
    <w:rsid w:val="00870AF6"/>
    <w:rsid w:val="00875F3A"/>
    <w:rsid w:val="00875F8A"/>
    <w:rsid w:val="00881268"/>
    <w:rsid w:val="00882614"/>
    <w:rsid w:val="0088394A"/>
    <w:rsid w:val="008860BD"/>
    <w:rsid w:val="00887399"/>
    <w:rsid w:val="0088779E"/>
    <w:rsid w:val="008912AF"/>
    <w:rsid w:val="00892114"/>
    <w:rsid w:val="00892CB9"/>
    <w:rsid w:val="008935CB"/>
    <w:rsid w:val="0089370B"/>
    <w:rsid w:val="008A0A50"/>
    <w:rsid w:val="008A21EF"/>
    <w:rsid w:val="008A4C5D"/>
    <w:rsid w:val="008A5CCD"/>
    <w:rsid w:val="008A7D13"/>
    <w:rsid w:val="008B0E7E"/>
    <w:rsid w:val="008B5EC7"/>
    <w:rsid w:val="008B5FF0"/>
    <w:rsid w:val="008B65BD"/>
    <w:rsid w:val="008B7900"/>
    <w:rsid w:val="008C44C6"/>
    <w:rsid w:val="008C6AC1"/>
    <w:rsid w:val="008C71BF"/>
    <w:rsid w:val="008C7FE0"/>
    <w:rsid w:val="008D0424"/>
    <w:rsid w:val="008D3C5A"/>
    <w:rsid w:val="008D553A"/>
    <w:rsid w:val="008D5717"/>
    <w:rsid w:val="008D5F44"/>
    <w:rsid w:val="008E2D10"/>
    <w:rsid w:val="008E34A5"/>
    <w:rsid w:val="008E44A9"/>
    <w:rsid w:val="008E6B4D"/>
    <w:rsid w:val="008E6BFF"/>
    <w:rsid w:val="008F1878"/>
    <w:rsid w:val="008F21AF"/>
    <w:rsid w:val="008F2400"/>
    <w:rsid w:val="008F40BD"/>
    <w:rsid w:val="008F61BA"/>
    <w:rsid w:val="008F6E3C"/>
    <w:rsid w:val="008F7C55"/>
    <w:rsid w:val="0090338C"/>
    <w:rsid w:val="009116A0"/>
    <w:rsid w:val="009121E9"/>
    <w:rsid w:val="00914A23"/>
    <w:rsid w:val="009160EB"/>
    <w:rsid w:val="00930754"/>
    <w:rsid w:val="00931164"/>
    <w:rsid w:val="00934F68"/>
    <w:rsid w:val="009355AC"/>
    <w:rsid w:val="00935F38"/>
    <w:rsid w:val="0093730C"/>
    <w:rsid w:val="00937586"/>
    <w:rsid w:val="00944A97"/>
    <w:rsid w:val="00947889"/>
    <w:rsid w:val="00947E49"/>
    <w:rsid w:val="00960E98"/>
    <w:rsid w:val="009618A8"/>
    <w:rsid w:val="0096254B"/>
    <w:rsid w:val="00963A82"/>
    <w:rsid w:val="009706A8"/>
    <w:rsid w:val="00970856"/>
    <w:rsid w:val="00972912"/>
    <w:rsid w:val="00972CA0"/>
    <w:rsid w:val="00976034"/>
    <w:rsid w:val="009760C3"/>
    <w:rsid w:val="00976D1F"/>
    <w:rsid w:val="00980A1A"/>
    <w:rsid w:val="00981C81"/>
    <w:rsid w:val="00985C6D"/>
    <w:rsid w:val="00986747"/>
    <w:rsid w:val="0099003A"/>
    <w:rsid w:val="00992209"/>
    <w:rsid w:val="009A2AFE"/>
    <w:rsid w:val="009A2D24"/>
    <w:rsid w:val="009A456C"/>
    <w:rsid w:val="009A46C4"/>
    <w:rsid w:val="009A4B24"/>
    <w:rsid w:val="009A545B"/>
    <w:rsid w:val="009A789B"/>
    <w:rsid w:val="009B00E0"/>
    <w:rsid w:val="009B0814"/>
    <w:rsid w:val="009B292A"/>
    <w:rsid w:val="009B2D9F"/>
    <w:rsid w:val="009B76D5"/>
    <w:rsid w:val="009C160E"/>
    <w:rsid w:val="009C165D"/>
    <w:rsid w:val="009C37F7"/>
    <w:rsid w:val="009C3CEA"/>
    <w:rsid w:val="009C583D"/>
    <w:rsid w:val="009C6BA9"/>
    <w:rsid w:val="009D2611"/>
    <w:rsid w:val="009D33E7"/>
    <w:rsid w:val="009D3410"/>
    <w:rsid w:val="009D79D2"/>
    <w:rsid w:val="009E247C"/>
    <w:rsid w:val="009E31BA"/>
    <w:rsid w:val="009E603F"/>
    <w:rsid w:val="009E7411"/>
    <w:rsid w:val="009F0528"/>
    <w:rsid w:val="009F0806"/>
    <w:rsid w:val="009F0B47"/>
    <w:rsid w:val="009F233B"/>
    <w:rsid w:val="009F2834"/>
    <w:rsid w:val="009F3750"/>
    <w:rsid w:val="009F3C8C"/>
    <w:rsid w:val="009F5913"/>
    <w:rsid w:val="00A05D16"/>
    <w:rsid w:val="00A0659F"/>
    <w:rsid w:val="00A068F1"/>
    <w:rsid w:val="00A079BA"/>
    <w:rsid w:val="00A11269"/>
    <w:rsid w:val="00A21560"/>
    <w:rsid w:val="00A21FD3"/>
    <w:rsid w:val="00A221B7"/>
    <w:rsid w:val="00A33875"/>
    <w:rsid w:val="00A360A1"/>
    <w:rsid w:val="00A40004"/>
    <w:rsid w:val="00A402B3"/>
    <w:rsid w:val="00A47CAA"/>
    <w:rsid w:val="00A51081"/>
    <w:rsid w:val="00A525E0"/>
    <w:rsid w:val="00A53839"/>
    <w:rsid w:val="00A544B7"/>
    <w:rsid w:val="00A60AC1"/>
    <w:rsid w:val="00A61477"/>
    <w:rsid w:val="00A618CF"/>
    <w:rsid w:val="00A62770"/>
    <w:rsid w:val="00A62EEB"/>
    <w:rsid w:val="00A660FF"/>
    <w:rsid w:val="00A6625A"/>
    <w:rsid w:val="00A67AB8"/>
    <w:rsid w:val="00A729F3"/>
    <w:rsid w:val="00A73395"/>
    <w:rsid w:val="00A7557E"/>
    <w:rsid w:val="00A80F21"/>
    <w:rsid w:val="00A82728"/>
    <w:rsid w:val="00A82B4C"/>
    <w:rsid w:val="00A92FDD"/>
    <w:rsid w:val="00A93A4C"/>
    <w:rsid w:val="00A93EE1"/>
    <w:rsid w:val="00A94D5D"/>
    <w:rsid w:val="00AA1D9B"/>
    <w:rsid w:val="00AA2543"/>
    <w:rsid w:val="00AA3804"/>
    <w:rsid w:val="00AA3EC6"/>
    <w:rsid w:val="00AA55C2"/>
    <w:rsid w:val="00AB0ACA"/>
    <w:rsid w:val="00AB1D41"/>
    <w:rsid w:val="00AB5FD2"/>
    <w:rsid w:val="00AC0462"/>
    <w:rsid w:val="00AC4072"/>
    <w:rsid w:val="00AC5E9A"/>
    <w:rsid w:val="00AC704B"/>
    <w:rsid w:val="00AD01F5"/>
    <w:rsid w:val="00AD4C3E"/>
    <w:rsid w:val="00AD5390"/>
    <w:rsid w:val="00AD553E"/>
    <w:rsid w:val="00AD5848"/>
    <w:rsid w:val="00AD790A"/>
    <w:rsid w:val="00AE0686"/>
    <w:rsid w:val="00AE2795"/>
    <w:rsid w:val="00AE3F67"/>
    <w:rsid w:val="00AE5ADA"/>
    <w:rsid w:val="00AE723E"/>
    <w:rsid w:val="00AF2D1C"/>
    <w:rsid w:val="00AF453B"/>
    <w:rsid w:val="00AF5A00"/>
    <w:rsid w:val="00AF6145"/>
    <w:rsid w:val="00B01386"/>
    <w:rsid w:val="00B01BB5"/>
    <w:rsid w:val="00B04AF4"/>
    <w:rsid w:val="00B05214"/>
    <w:rsid w:val="00B07AC1"/>
    <w:rsid w:val="00B1491A"/>
    <w:rsid w:val="00B159A7"/>
    <w:rsid w:val="00B1784E"/>
    <w:rsid w:val="00B26FEE"/>
    <w:rsid w:val="00B30D97"/>
    <w:rsid w:val="00B31738"/>
    <w:rsid w:val="00B3181A"/>
    <w:rsid w:val="00B32E35"/>
    <w:rsid w:val="00B35965"/>
    <w:rsid w:val="00B35A7C"/>
    <w:rsid w:val="00B428BD"/>
    <w:rsid w:val="00B42B0D"/>
    <w:rsid w:val="00B449CF"/>
    <w:rsid w:val="00B450B3"/>
    <w:rsid w:val="00B450D1"/>
    <w:rsid w:val="00B4571E"/>
    <w:rsid w:val="00B46EA6"/>
    <w:rsid w:val="00B528F8"/>
    <w:rsid w:val="00B53D47"/>
    <w:rsid w:val="00B54948"/>
    <w:rsid w:val="00B54A25"/>
    <w:rsid w:val="00B618C3"/>
    <w:rsid w:val="00B63652"/>
    <w:rsid w:val="00B668B0"/>
    <w:rsid w:val="00B70F5C"/>
    <w:rsid w:val="00B71873"/>
    <w:rsid w:val="00B73077"/>
    <w:rsid w:val="00B75AE5"/>
    <w:rsid w:val="00B76593"/>
    <w:rsid w:val="00B800C0"/>
    <w:rsid w:val="00B8132B"/>
    <w:rsid w:val="00B848FA"/>
    <w:rsid w:val="00B84C5A"/>
    <w:rsid w:val="00B858F5"/>
    <w:rsid w:val="00B85ADA"/>
    <w:rsid w:val="00B85F0D"/>
    <w:rsid w:val="00B90D2B"/>
    <w:rsid w:val="00B93668"/>
    <w:rsid w:val="00B9751E"/>
    <w:rsid w:val="00BA68C6"/>
    <w:rsid w:val="00BB12F1"/>
    <w:rsid w:val="00BB2756"/>
    <w:rsid w:val="00BB276E"/>
    <w:rsid w:val="00BB3FEE"/>
    <w:rsid w:val="00BB5EB0"/>
    <w:rsid w:val="00BB763D"/>
    <w:rsid w:val="00BB7A27"/>
    <w:rsid w:val="00BC226E"/>
    <w:rsid w:val="00BC245A"/>
    <w:rsid w:val="00BC48E7"/>
    <w:rsid w:val="00BC72C2"/>
    <w:rsid w:val="00BD16FA"/>
    <w:rsid w:val="00BD312E"/>
    <w:rsid w:val="00BD41C3"/>
    <w:rsid w:val="00BD488B"/>
    <w:rsid w:val="00BD610D"/>
    <w:rsid w:val="00BD7711"/>
    <w:rsid w:val="00BD7CCC"/>
    <w:rsid w:val="00BE002A"/>
    <w:rsid w:val="00BE1BC9"/>
    <w:rsid w:val="00BE5CDA"/>
    <w:rsid w:val="00BE608F"/>
    <w:rsid w:val="00BF231D"/>
    <w:rsid w:val="00BF23BB"/>
    <w:rsid w:val="00BF33DD"/>
    <w:rsid w:val="00BF5755"/>
    <w:rsid w:val="00BF66A2"/>
    <w:rsid w:val="00BF684B"/>
    <w:rsid w:val="00C016F3"/>
    <w:rsid w:val="00C02572"/>
    <w:rsid w:val="00C05839"/>
    <w:rsid w:val="00C15193"/>
    <w:rsid w:val="00C15609"/>
    <w:rsid w:val="00C15F6A"/>
    <w:rsid w:val="00C22C1C"/>
    <w:rsid w:val="00C23EA7"/>
    <w:rsid w:val="00C256F3"/>
    <w:rsid w:val="00C26C06"/>
    <w:rsid w:val="00C270A2"/>
    <w:rsid w:val="00C27332"/>
    <w:rsid w:val="00C275BA"/>
    <w:rsid w:val="00C30352"/>
    <w:rsid w:val="00C315B5"/>
    <w:rsid w:val="00C32D3A"/>
    <w:rsid w:val="00C35E28"/>
    <w:rsid w:val="00C40A71"/>
    <w:rsid w:val="00C426AF"/>
    <w:rsid w:val="00C469C1"/>
    <w:rsid w:val="00C4781E"/>
    <w:rsid w:val="00C50659"/>
    <w:rsid w:val="00C51B39"/>
    <w:rsid w:val="00C52028"/>
    <w:rsid w:val="00C525B0"/>
    <w:rsid w:val="00C5338A"/>
    <w:rsid w:val="00C54EF9"/>
    <w:rsid w:val="00C56BBF"/>
    <w:rsid w:val="00C5722E"/>
    <w:rsid w:val="00C572AA"/>
    <w:rsid w:val="00C57A9A"/>
    <w:rsid w:val="00C57FCA"/>
    <w:rsid w:val="00C6016A"/>
    <w:rsid w:val="00C60B3F"/>
    <w:rsid w:val="00C61C21"/>
    <w:rsid w:val="00C623EB"/>
    <w:rsid w:val="00C6258A"/>
    <w:rsid w:val="00C64C6B"/>
    <w:rsid w:val="00C65138"/>
    <w:rsid w:val="00C656B1"/>
    <w:rsid w:val="00C65CC4"/>
    <w:rsid w:val="00C66F2E"/>
    <w:rsid w:val="00C6785C"/>
    <w:rsid w:val="00C70FD1"/>
    <w:rsid w:val="00C72F33"/>
    <w:rsid w:val="00C733AA"/>
    <w:rsid w:val="00C77F6F"/>
    <w:rsid w:val="00C820B2"/>
    <w:rsid w:val="00C83027"/>
    <w:rsid w:val="00C83208"/>
    <w:rsid w:val="00C84B8A"/>
    <w:rsid w:val="00C85E65"/>
    <w:rsid w:val="00C87BAB"/>
    <w:rsid w:val="00C87CA1"/>
    <w:rsid w:val="00C911B4"/>
    <w:rsid w:val="00C91B3B"/>
    <w:rsid w:val="00C92D6E"/>
    <w:rsid w:val="00C93584"/>
    <w:rsid w:val="00C94262"/>
    <w:rsid w:val="00C94C0D"/>
    <w:rsid w:val="00C95009"/>
    <w:rsid w:val="00C976E1"/>
    <w:rsid w:val="00CA0606"/>
    <w:rsid w:val="00CA148E"/>
    <w:rsid w:val="00CA2DE9"/>
    <w:rsid w:val="00CA3A9A"/>
    <w:rsid w:val="00CA6CD1"/>
    <w:rsid w:val="00CB2F0D"/>
    <w:rsid w:val="00CB46D9"/>
    <w:rsid w:val="00CB6BC1"/>
    <w:rsid w:val="00CB7021"/>
    <w:rsid w:val="00CC1BF7"/>
    <w:rsid w:val="00CC6409"/>
    <w:rsid w:val="00CD06D5"/>
    <w:rsid w:val="00CD2A83"/>
    <w:rsid w:val="00CD3294"/>
    <w:rsid w:val="00CD4524"/>
    <w:rsid w:val="00CD784D"/>
    <w:rsid w:val="00CE217A"/>
    <w:rsid w:val="00CE5A97"/>
    <w:rsid w:val="00CF05A0"/>
    <w:rsid w:val="00CF40F8"/>
    <w:rsid w:val="00CF4F2E"/>
    <w:rsid w:val="00CF7B5C"/>
    <w:rsid w:val="00D008DA"/>
    <w:rsid w:val="00D0416F"/>
    <w:rsid w:val="00D048D6"/>
    <w:rsid w:val="00D05851"/>
    <w:rsid w:val="00D10FED"/>
    <w:rsid w:val="00D11736"/>
    <w:rsid w:val="00D12EE8"/>
    <w:rsid w:val="00D157BB"/>
    <w:rsid w:val="00D15FF1"/>
    <w:rsid w:val="00D167F4"/>
    <w:rsid w:val="00D2092A"/>
    <w:rsid w:val="00D2216D"/>
    <w:rsid w:val="00D23158"/>
    <w:rsid w:val="00D24274"/>
    <w:rsid w:val="00D31A6F"/>
    <w:rsid w:val="00D33293"/>
    <w:rsid w:val="00D353D1"/>
    <w:rsid w:val="00D367DB"/>
    <w:rsid w:val="00D36B9B"/>
    <w:rsid w:val="00D36E05"/>
    <w:rsid w:val="00D3734B"/>
    <w:rsid w:val="00D428C9"/>
    <w:rsid w:val="00D43359"/>
    <w:rsid w:val="00D44F27"/>
    <w:rsid w:val="00D44FF8"/>
    <w:rsid w:val="00D45304"/>
    <w:rsid w:val="00D461C7"/>
    <w:rsid w:val="00D46455"/>
    <w:rsid w:val="00D47072"/>
    <w:rsid w:val="00D50424"/>
    <w:rsid w:val="00D50604"/>
    <w:rsid w:val="00D51D26"/>
    <w:rsid w:val="00D52D8D"/>
    <w:rsid w:val="00D55566"/>
    <w:rsid w:val="00D56180"/>
    <w:rsid w:val="00D56282"/>
    <w:rsid w:val="00D57D3E"/>
    <w:rsid w:val="00D643F4"/>
    <w:rsid w:val="00D64FE1"/>
    <w:rsid w:val="00D65357"/>
    <w:rsid w:val="00D65428"/>
    <w:rsid w:val="00D72860"/>
    <w:rsid w:val="00D776DC"/>
    <w:rsid w:val="00D83601"/>
    <w:rsid w:val="00D83997"/>
    <w:rsid w:val="00D843F4"/>
    <w:rsid w:val="00D86059"/>
    <w:rsid w:val="00D919DC"/>
    <w:rsid w:val="00DA3A57"/>
    <w:rsid w:val="00DA52B3"/>
    <w:rsid w:val="00DA6D71"/>
    <w:rsid w:val="00DB04BE"/>
    <w:rsid w:val="00DC23CF"/>
    <w:rsid w:val="00DC3A86"/>
    <w:rsid w:val="00DC6562"/>
    <w:rsid w:val="00DD2FE8"/>
    <w:rsid w:val="00DD31B3"/>
    <w:rsid w:val="00DD3BC6"/>
    <w:rsid w:val="00DD415E"/>
    <w:rsid w:val="00DD512F"/>
    <w:rsid w:val="00DD5EF0"/>
    <w:rsid w:val="00DD767C"/>
    <w:rsid w:val="00DE130D"/>
    <w:rsid w:val="00DE24CF"/>
    <w:rsid w:val="00DE407C"/>
    <w:rsid w:val="00DE5666"/>
    <w:rsid w:val="00DE6761"/>
    <w:rsid w:val="00DE7C7D"/>
    <w:rsid w:val="00DF1AE3"/>
    <w:rsid w:val="00DF2992"/>
    <w:rsid w:val="00DF2D0C"/>
    <w:rsid w:val="00DF3DF1"/>
    <w:rsid w:val="00DF52DA"/>
    <w:rsid w:val="00DF7F1E"/>
    <w:rsid w:val="00E01B9D"/>
    <w:rsid w:val="00E04F5E"/>
    <w:rsid w:val="00E0522E"/>
    <w:rsid w:val="00E07787"/>
    <w:rsid w:val="00E115B6"/>
    <w:rsid w:val="00E120F4"/>
    <w:rsid w:val="00E155F9"/>
    <w:rsid w:val="00E17172"/>
    <w:rsid w:val="00E24EB9"/>
    <w:rsid w:val="00E25070"/>
    <w:rsid w:val="00E27EB6"/>
    <w:rsid w:val="00E3181C"/>
    <w:rsid w:val="00E31DDF"/>
    <w:rsid w:val="00E3280A"/>
    <w:rsid w:val="00E33D4B"/>
    <w:rsid w:val="00E34612"/>
    <w:rsid w:val="00E34BBD"/>
    <w:rsid w:val="00E35883"/>
    <w:rsid w:val="00E372AF"/>
    <w:rsid w:val="00E37D68"/>
    <w:rsid w:val="00E40EAE"/>
    <w:rsid w:val="00E4337E"/>
    <w:rsid w:val="00E436AC"/>
    <w:rsid w:val="00E43D62"/>
    <w:rsid w:val="00E44FF8"/>
    <w:rsid w:val="00E46F6C"/>
    <w:rsid w:val="00E5066A"/>
    <w:rsid w:val="00E52CF9"/>
    <w:rsid w:val="00E52EAE"/>
    <w:rsid w:val="00E5666A"/>
    <w:rsid w:val="00E5761D"/>
    <w:rsid w:val="00E605D3"/>
    <w:rsid w:val="00E63F34"/>
    <w:rsid w:val="00E66D60"/>
    <w:rsid w:val="00E6715A"/>
    <w:rsid w:val="00E71583"/>
    <w:rsid w:val="00E75DC9"/>
    <w:rsid w:val="00E76D6F"/>
    <w:rsid w:val="00E77FE0"/>
    <w:rsid w:val="00E81610"/>
    <w:rsid w:val="00E846FA"/>
    <w:rsid w:val="00E84910"/>
    <w:rsid w:val="00E85B28"/>
    <w:rsid w:val="00E91976"/>
    <w:rsid w:val="00E947A6"/>
    <w:rsid w:val="00E97FC7"/>
    <w:rsid w:val="00EA0690"/>
    <w:rsid w:val="00EA0E54"/>
    <w:rsid w:val="00EA3956"/>
    <w:rsid w:val="00EA5571"/>
    <w:rsid w:val="00EB20AC"/>
    <w:rsid w:val="00EB48FC"/>
    <w:rsid w:val="00EC02A5"/>
    <w:rsid w:val="00EC176B"/>
    <w:rsid w:val="00EC33CD"/>
    <w:rsid w:val="00EC376C"/>
    <w:rsid w:val="00EC56CA"/>
    <w:rsid w:val="00EC57D5"/>
    <w:rsid w:val="00EC5BE5"/>
    <w:rsid w:val="00EC77B1"/>
    <w:rsid w:val="00ED11A2"/>
    <w:rsid w:val="00ED2650"/>
    <w:rsid w:val="00ED721A"/>
    <w:rsid w:val="00ED7BDE"/>
    <w:rsid w:val="00EE048A"/>
    <w:rsid w:val="00EE393D"/>
    <w:rsid w:val="00EF01CF"/>
    <w:rsid w:val="00EF6143"/>
    <w:rsid w:val="00EF67A9"/>
    <w:rsid w:val="00EF6A66"/>
    <w:rsid w:val="00EF7AF9"/>
    <w:rsid w:val="00EF7EE2"/>
    <w:rsid w:val="00F01495"/>
    <w:rsid w:val="00F01EE6"/>
    <w:rsid w:val="00F03C20"/>
    <w:rsid w:val="00F06343"/>
    <w:rsid w:val="00F10138"/>
    <w:rsid w:val="00F12999"/>
    <w:rsid w:val="00F13F92"/>
    <w:rsid w:val="00F15918"/>
    <w:rsid w:val="00F17880"/>
    <w:rsid w:val="00F22ECA"/>
    <w:rsid w:val="00F240E8"/>
    <w:rsid w:val="00F244FA"/>
    <w:rsid w:val="00F2657D"/>
    <w:rsid w:val="00F31FD5"/>
    <w:rsid w:val="00F3363A"/>
    <w:rsid w:val="00F3513A"/>
    <w:rsid w:val="00F366A2"/>
    <w:rsid w:val="00F42E07"/>
    <w:rsid w:val="00F44E1D"/>
    <w:rsid w:val="00F44F43"/>
    <w:rsid w:val="00F450E1"/>
    <w:rsid w:val="00F45C46"/>
    <w:rsid w:val="00F473E1"/>
    <w:rsid w:val="00F50DF4"/>
    <w:rsid w:val="00F542F9"/>
    <w:rsid w:val="00F57AFE"/>
    <w:rsid w:val="00F6278E"/>
    <w:rsid w:val="00F63C41"/>
    <w:rsid w:val="00F63E96"/>
    <w:rsid w:val="00F64D64"/>
    <w:rsid w:val="00F701E3"/>
    <w:rsid w:val="00F71F8C"/>
    <w:rsid w:val="00F76BFF"/>
    <w:rsid w:val="00F80362"/>
    <w:rsid w:val="00F8143B"/>
    <w:rsid w:val="00F8354B"/>
    <w:rsid w:val="00F86AD4"/>
    <w:rsid w:val="00F92EE4"/>
    <w:rsid w:val="00F9547E"/>
    <w:rsid w:val="00FA0113"/>
    <w:rsid w:val="00FA12B2"/>
    <w:rsid w:val="00FA178C"/>
    <w:rsid w:val="00FA7610"/>
    <w:rsid w:val="00FB02BD"/>
    <w:rsid w:val="00FB0827"/>
    <w:rsid w:val="00FB398F"/>
    <w:rsid w:val="00FB3D2D"/>
    <w:rsid w:val="00FB4EF8"/>
    <w:rsid w:val="00FB6692"/>
    <w:rsid w:val="00FB78DD"/>
    <w:rsid w:val="00FC125E"/>
    <w:rsid w:val="00FC1A2B"/>
    <w:rsid w:val="00FC3EF3"/>
    <w:rsid w:val="00FC42A4"/>
    <w:rsid w:val="00FC7763"/>
    <w:rsid w:val="00FD0842"/>
    <w:rsid w:val="00FD2049"/>
    <w:rsid w:val="00FD2140"/>
    <w:rsid w:val="00FD2407"/>
    <w:rsid w:val="00FD2970"/>
    <w:rsid w:val="00FD2DAA"/>
    <w:rsid w:val="00FD3750"/>
    <w:rsid w:val="00FD5BDE"/>
    <w:rsid w:val="00FD68EC"/>
    <w:rsid w:val="00FE0476"/>
    <w:rsid w:val="00FE1A6C"/>
    <w:rsid w:val="00FE24A5"/>
    <w:rsid w:val="00FE2618"/>
    <w:rsid w:val="00FE31E5"/>
    <w:rsid w:val="00FE4243"/>
    <w:rsid w:val="00FE68F1"/>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F47B8"/>
  <w15:docId w15:val="{69456C1C-0004-43FB-8D87-056504E5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unhideWhenUsed/>
    <w:rsid w:val="00892114"/>
    <w:rPr>
      <w:sz w:val="20"/>
      <w:szCs w:val="20"/>
    </w:rPr>
  </w:style>
  <w:style w:type="character" w:customStyle="1" w:styleId="CommentTextChar">
    <w:name w:val="Comment Text Char"/>
    <w:basedOn w:val="DefaultParagraphFont"/>
    <w:link w:val="CommentText"/>
    <w:uiPriority w:val="99"/>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Revision">
    <w:name w:val="Revision"/>
    <w:hidden/>
    <w:uiPriority w:val="99"/>
    <w:semiHidden/>
    <w:rsid w:val="00DD31B3"/>
    <w:rPr>
      <w:sz w:val="22"/>
      <w:szCs w:val="22"/>
      <w:lang w:val="en-US" w:eastAsia="en-US"/>
    </w:rPr>
  </w:style>
  <w:style w:type="character" w:customStyle="1" w:styleId="UnresolvedMention2">
    <w:name w:val="Unresolved Mention2"/>
    <w:basedOn w:val="DefaultParagraphFont"/>
    <w:uiPriority w:val="99"/>
    <w:semiHidden/>
    <w:unhideWhenUsed/>
    <w:rsid w:val="00947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0718058">
      <w:bodyDiv w:val="1"/>
      <w:marLeft w:val="0"/>
      <w:marRight w:val="0"/>
      <w:marTop w:val="0"/>
      <w:marBottom w:val="0"/>
      <w:divBdr>
        <w:top w:val="none" w:sz="0" w:space="0" w:color="auto"/>
        <w:left w:val="none" w:sz="0" w:space="0" w:color="auto"/>
        <w:bottom w:val="none" w:sz="0" w:space="0" w:color="auto"/>
        <w:right w:val="none" w:sz="0" w:space="0" w:color="auto"/>
      </w:divBdr>
    </w:div>
    <w:div w:id="88725626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1601067">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6563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plagou@cystat.mof.gov.cy" TargetMode="External"/><Relationship Id="rId2" Type="http://schemas.openxmlformats.org/officeDocument/2006/relationships/numbering" Target="numbering.xml"/><Relationship Id="rId16" Type="http://schemas.openxmlformats.org/officeDocument/2006/relationships/hyperlink" Target="https://www.cystat.gov.cy/en/MethodologicalDetails?m=209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cystatdb23px.cystat.gov.cy/pxweb/en/8.CYSTAT-DB/8.CYSTAT-DB__Labour%20Cost%20and%20Earnings__"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cystat.gov.cy/en/SubthemeStatistics?s=42"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2024%20workings%20-%20&#947;&#961;&#945;&#966;&#942;&#956;&#945;&#964;&#94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2024%20workings%20-%20&#947;&#961;&#945;&#966;&#942;&#956;&#945;&#964;&#945;.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2024%20workings%20-%20&#947;&#961;&#945;&#966;&#942;&#956;&#945;&#964;&#945;.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wnloads\2024%20workings%20-%20&#947;&#961;&#945;&#966;&#942;&#956;&#945;&#964;&#94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spc="-20" baseline="0">
                <a:latin typeface="Verdana" panose="020B0604030504040204" pitchFamily="34" charset="0"/>
                <a:ea typeface="Verdana" panose="020B0604030504040204" pitchFamily="34" charset="0"/>
                <a:cs typeface="Verdana" panose="020B0604030504040204" pitchFamily="34" charset="0"/>
              </a:defRPr>
            </a:pPr>
            <a:r>
              <a:rPr lang="en-US" sz="1050" spc="-20" baseline="0">
                <a:latin typeface="Verdana" panose="020B0604030504040204" pitchFamily="34" charset="0"/>
                <a:ea typeface="Verdana" panose="020B0604030504040204" pitchFamily="34" charset="0"/>
                <a:cs typeface="Verdana" panose="020B0604030504040204" pitchFamily="34" charset="0"/>
              </a:rPr>
              <a:t>Figure</a:t>
            </a:r>
            <a:r>
              <a:rPr lang="el-GR" sz="1050" spc="-20" baseline="0">
                <a:latin typeface="Verdana" panose="020B0604030504040204" pitchFamily="34" charset="0"/>
                <a:ea typeface="Verdana" panose="020B0604030504040204" pitchFamily="34" charset="0"/>
                <a:cs typeface="Verdana" panose="020B0604030504040204" pitchFamily="34" charset="0"/>
              </a:rPr>
              <a:t> 1: </a:t>
            </a:r>
            <a:r>
              <a:rPr lang="en-US" sz="1050" spc="-20" baseline="0">
                <a:latin typeface="Verdana" panose="020B0604030504040204" pitchFamily="34" charset="0"/>
                <a:ea typeface="Verdana" panose="020B0604030504040204" pitchFamily="34" charset="0"/>
                <a:cs typeface="Verdana" panose="020B0604030504040204" pitchFamily="34" charset="0"/>
              </a:rPr>
              <a:t>Average and Median Monthly Earnings</a:t>
            </a:r>
            <a:r>
              <a:rPr lang="el-GR" sz="1050" spc="-20" baseline="0">
                <a:latin typeface="Verdana" panose="020B0604030504040204" pitchFamily="34" charset="0"/>
                <a:ea typeface="Verdana" panose="020B0604030504040204" pitchFamily="34" charset="0"/>
                <a:cs typeface="Verdana" panose="020B0604030504040204" pitchFamily="34" charset="0"/>
              </a:rPr>
              <a:t>, 2010-202</a:t>
            </a:r>
            <a:r>
              <a:rPr lang="en-US" sz="1050" spc="-20" baseline="0">
                <a:latin typeface="Verdana" panose="020B0604030504040204" pitchFamily="34" charset="0"/>
                <a:ea typeface="Verdana" panose="020B0604030504040204" pitchFamily="34" charset="0"/>
                <a:cs typeface="Verdana" panose="020B0604030504040204" pitchFamily="34" charset="0"/>
              </a:rPr>
              <a:t>4</a:t>
            </a:r>
            <a:endParaRPr lang="el-GR" sz="1050" spc="-20" baseline="0">
              <a:latin typeface="Verdana" panose="020B0604030504040204" pitchFamily="34" charset="0"/>
              <a:ea typeface="Verdana" panose="020B0604030504040204" pitchFamily="34" charset="0"/>
              <a:cs typeface="Verdana" panose="020B0604030504040204" pitchFamily="34" charset="0"/>
            </a:endParaRPr>
          </a:p>
        </c:rich>
      </c:tx>
      <c:overlay val="0"/>
    </c:title>
    <c:autoTitleDeleted val="0"/>
    <c:plotArea>
      <c:layout>
        <c:manualLayout>
          <c:layoutTarget val="inner"/>
          <c:xMode val="edge"/>
          <c:yMode val="edge"/>
          <c:x val="0.12199715633219448"/>
          <c:y val="9.7641898864809076E-2"/>
          <c:w val="0.85546452570392717"/>
          <c:h val="0.77592664258685928"/>
        </c:manualLayout>
      </c:layout>
      <c:barChart>
        <c:barDir val="col"/>
        <c:grouping val="clustered"/>
        <c:varyColors val="0"/>
        <c:ser>
          <c:idx val="0"/>
          <c:order val="0"/>
          <c:tx>
            <c:strRef>
              <c:f>'average time series'!$B$1:$D$1</c:f>
              <c:strCache>
                <c:ptCount val="1"/>
                <c:pt idx="0">
                  <c:v>Average</c:v>
                </c:pt>
              </c:strCache>
            </c:strRef>
          </c:tx>
          <c:spPr>
            <a:solidFill>
              <a:srgbClr val="A66E4A">
                <a:alpha val="85000"/>
              </a:srgbClr>
            </a:solidFill>
          </c:spPr>
          <c:invertIfNegative val="0"/>
          <c:dLbls>
            <c:dLbl>
              <c:idx val="1"/>
              <c:layout>
                <c:manualLayout>
                  <c:x val="0"/>
                  <c:y val="-1.6382868937048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61-401F-9FB0-39353FE4955D}"/>
                </c:ext>
              </c:extLst>
            </c:dLbl>
            <c:spPr>
              <a:noFill/>
              <a:ln>
                <a:noFill/>
              </a:ln>
              <a:effectLst/>
            </c:spPr>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'average time series'!$A$4:$A$18</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'average time series'!$B$4:$B$18</c:f>
              <c:numCache>
                <c:formatCode>#,##0</c:formatCode>
                <c:ptCount val="15"/>
                <c:pt idx="0">
                  <c:v>1915</c:v>
                </c:pt>
                <c:pt idx="1">
                  <c:v>1967</c:v>
                </c:pt>
                <c:pt idx="2">
                  <c:v>1988</c:v>
                </c:pt>
                <c:pt idx="3">
                  <c:v>1945</c:v>
                </c:pt>
                <c:pt idx="4">
                  <c:v>1892</c:v>
                </c:pt>
                <c:pt idx="5">
                  <c:v>1882</c:v>
                </c:pt>
                <c:pt idx="6">
                  <c:v>1879</c:v>
                </c:pt>
                <c:pt idx="7">
                  <c:v>1892</c:v>
                </c:pt>
                <c:pt idx="8">
                  <c:v>1939</c:v>
                </c:pt>
                <c:pt idx="9">
                  <c:v>1979</c:v>
                </c:pt>
                <c:pt idx="10">
                  <c:v>2003</c:v>
                </c:pt>
                <c:pt idx="11">
                  <c:v>2056</c:v>
                </c:pt>
                <c:pt idx="12">
                  <c:v>2202</c:v>
                </c:pt>
                <c:pt idx="13">
                  <c:v>2363</c:v>
                </c:pt>
                <c:pt idx="14">
                  <c:v>2483</c:v>
                </c:pt>
              </c:numCache>
            </c:numRef>
          </c:val>
          <c:extLst>
            <c:ext xmlns:c16="http://schemas.microsoft.com/office/drawing/2014/chart" uri="{C3380CC4-5D6E-409C-BE32-E72D297353CC}">
              <c16:uniqueId val="{00000001-DE61-401F-9FB0-39353FE4955D}"/>
            </c:ext>
          </c:extLst>
        </c:ser>
        <c:ser>
          <c:idx val="1"/>
          <c:order val="1"/>
          <c:tx>
            <c:strRef>
              <c:f>'average time series'!$E$1:$G$1</c:f>
              <c:strCache>
                <c:ptCount val="1"/>
                <c:pt idx="0">
                  <c:v>Median</c:v>
                </c:pt>
              </c:strCache>
            </c:strRef>
          </c:tx>
          <c:spPr>
            <a:solidFill>
              <a:srgbClr val="305070"/>
            </a:solidFill>
          </c:spPr>
          <c:invertIfNegative val="0"/>
          <c:dLbls>
            <c:dLbl>
              <c:idx val="0"/>
              <c:layout>
                <c:manualLayout>
                  <c:x val="1.4638082065467958E-2"/>
                  <c:y val="-1.0921912624699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61-401F-9FB0-39353FE4955D}"/>
                </c:ext>
              </c:extLst>
            </c:dLbl>
            <c:dLbl>
              <c:idx val="1"/>
              <c:layout>
                <c:manualLayout>
                  <c:x val="1.4638082065467958E-2"/>
                  <c:y val="-5.00581879200786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61-401F-9FB0-39353FE4955D}"/>
                </c:ext>
              </c:extLst>
            </c:dLbl>
            <c:dLbl>
              <c:idx val="2"/>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61-401F-9FB0-39353FE4955D}"/>
                </c:ext>
              </c:extLst>
            </c:dLbl>
            <c:dLbl>
              <c:idx val="3"/>
              <c:layout>
                <c:manualLayout>
                  <c:x val="1.6729236646249094E-2"/>
                  <c:y val="-5.46095631234950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61-401F-9FB0-39353FE4955D}"/>
                </c:ext>
              </c:extLst>
            </c:dLbl>
            <c:dLbl>
              <c:idx val="4"/>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E61-401F-9FB0-39353FE4955D}"/>
                </c:ext>
              </c:extLst>
            </c:dLbl>
            <c:dLbl>
              <c:idx val="5"/>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61-401F-9FB0-39353FE4955D}"/>
                </c:ext>
              </c:extLst>
            </c:dLbl>
            <c:dLbl>
              <c:idx val="6"/>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E61-401F-9FB0-39353FE4955D}"/>
                </c:ext>
              </c:extLst>
            </c:dLbl>
            <c:dLbl>
              <c:idx val="7"/>
              <c:layout>
                <c:manualLayout>
                  <c:x val="1.2546927484686743E-2"/>
                  <c:y val="-2.73047815617475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E61-401F-9FB0-39353FE4955D}"/>
                </c:ext>
              </c:extLst>
            </c:dLbl>
            <c:dLbl>
              <c:idx val="8"/>
              <c:layout>
                <c:manualLayout>
                  <c:x val="1.882039122703023E-2"/>
                  <c:y val="2.73047815617475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E61-401F-9FB0-39353FE4955D}"/>
                </c:ext>
              </c:extLst>
            </c:dLbl>
            <c:dLbl>
              <c:idx val="9"/>
              <c:layout>
                <c:manualLayout>
                  <c:x val="1.6729236646249094E-2"/>
                  <c:y val="1.0921912624699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E61-401F-9FB0-39353FE4955D}"/>
                </c:ext>
              </c:extLst>
            </c:dLbl>
            <c:dLbl>
              <c:idx val="10"/>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E61-401F-9FB0-39353FE4955D}"/>
                </c:ext>
              </c:extLst>
            </c:dLbl>
            <c:dLbl>
              <c:idx val="11"/>
              <c:layout>
                <c:manualLayout>
                  <c:x val="1.4638082065467958E-2"/>
                  <c:y val="-5.00581879200786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E61-401F-9FB0-39353FE4955D}"/>
                </c:ext>
              </c:extLst>
            </c:dLbl>
            <c:spPr>
              <a:noFill/>
              <a:ln>
                <a:noFill/>
              </a:ln>
              <a:effectLst/>
            </c:spPr>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'average time series'!$A$4:$A$18</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'average time series'!$E$4:$E$18</c:f>
              <c:numCache>
                <c:formatCode>#,##0</c:formatCode>
                <c:ptCount val="15"/>
                <c:pt idx="0">
                  <c:v>1566</c:v>
                </c:pt>
                <c:pt idx="1">
                  <c:v>1607</c:v>
                </c:pt>
                <c:pt idx="2">
                  <c:v>1611</c:v>
                </c:pt>
                <c:pt idx="3">
                  <c:v>1586</c:v>
                </c:pt>
                <c:pt idx="4">
                  <c:v>1522</c:v>
                </c:pt>
                <c:pt idx="5">
                  <c:v>1509</c:v>
                </c:pt>
                <c:pt idx="6">
                  <c:v>1498</c:v>
                </c:pt>
                <c:pt idx="7">
                  <c:v>1497</c:v>
                </c:pt>
                <c:pt idx="8">
                  <c:v>1519</c:v>
                </c:pt>
                <c:pt idx="9">
                  <c:v>1556</c:v>
                </c:pt>
                <c:pt idx="10">
                  <c:v>1573</c:v>
                </c:pt>
                <c:pt idx="11">
                  <c:v>1606</c:v>
                </c:pt>
                <c:pt idx="12">
                  <c:v>1701</c:v>
                </c:pt>
                <c:pt idx="13">
                  <c:v>1792</c:v>
                </c:pt>
                <c:pt idx="14">
                  <c:v>1881</c:v>
                </c:pt>
              </c:numCache>
            </c:numRef>
          </c:val>
          <c:extLst>
            <c:ext xmlns:c16="http://schemas.microsoft.com/office/drawing/2014/chart" uri="{C3380CC4-5D6E-409C-BE32-E72D297353CC}">
              <c16:uniqueId val="{0000000E-DE61-401F-9FB0-39353FE4955D}"/>
            </c:ext>
          </c:extLst>
        </c:ser>
        <c:dLbls>
          <c:showLegendKey val="0"/>
          <c:showVal val="0"/>
          <c:showCatName val="0"/>
          <c:showSerName val="0"/>
          <c:showPercent val="0"/>
          <c:showBubbleSize val="0"/>
        </c:dLbls>
        <c:gapWidth val="150"/>
        <c:axId val="183280000"/>
        <c:axId val="183281536"/>
      </c:barChart>
      <c:catAx>
        <c:axId val="183280000"/>
        <c:scaling>
          <c:orientation val="minMax"/>
        </c:scaling>
        <c:delete val="0"/>
        <c:axPos val="b"/>
        <c:numFmt formatCode="General" sourceLinked="1"/>
        <c:majorTickMark val="none"/>
        <c:minorTickMark val="none"/>
        <c:tickLblPos val="nextTo"/>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crossAx val="183281536"/>
        <c:crosses val="autoZero"/>
        <c:auto val="1"/>
        <c:lblAlgn val="ctr"/>
        <c:lblOffset val="100"/>
        <c:noMultiLvlLbl val="0"/>
      </c:catAx>
      <c:valAx>
        <c:axId val="183281536"/>
        <c:scaling>
          <c:orientation val="minMax"/>
          <c:min val="1000"/>
        </c:scaling>
        <c:delete val="0"/>
        <c:axPos val="l"/>
        <c:majorGridlines>
          <c:spPr>
            <a:ln>
              <a:solidFill>
                <a:schemeClr val="bg1">
                  <a:lumMod val="85000"/>
                </a:schemeClr>
              </a:solidFill>
            </a:ln>
          </c:spPr>
        </c:majorGridlines>
        <c:title>
          <c:tx>
            <c:rich>
              <a:bodyPr rot="0" vert="horz"/>
              <a:lstStyle/>
              <a:p>
                <a:pPr>
                  <a:defRPr sz="900">
                    <a:latin typeface="Verdana" panose="020B0604030504040204" pitchFamily="34" charset="0"/>
                    <a:ea typeface="Verdana" panose="020B0604030504040204" pitchFamily="34" charset="0"/>
                    <a:cs typeface="Verdana" panose="020B0604030504040204" pitchFamily="34" charset="0"/>
                  </a:defRPr>
                </a:pPr>
                <a:r>
                  <a:rPr lang="el-GR" sz="900">
                    <a:latin typeface="Verdana" panose="020B0604030504040204" pitchFamily="34" charset="0"/>
                    <a:ea typeface="Verdana" panose="020B0604030504040204" pitchFamily="34" charset="0"/>
                    <a:cs typeface="Verdana" panose="020B0604030504040204" pitchFamily="34" charset="0"/>
                  </a:rPr>
                  <a:t>€</a:t>
                </a:r>
                <a:endParaRPr lang="en-US" sz="900">
                  <a:latin typeface="Verdana" panose="020B0604030504040204" pitchFamily="34" charset="0"/>
                  <a:ea typeface="Verdana" panose="020B0604030504040204" pitchFamily="34" charset="0"/>
                  <a:cs typeface="Verdana" panose="020B0604030504040204" pitchFamily="34" charset="0"/>
                </a:endParaRPr>
              </a:p>
            </c:rich>
          </c:tx>
          <c:overlay val="0"/>
        </c:title>
        <c:numFmt formatCode="#,##0" sourceLinked="1"/>
        <c:majorTickMark val="none"/>
        <c:minorTickMark val="none"/>
        <c:tickLblPos val="nextTo"/>
        <c:spPr>
          <a:ln>
            <a:solidFill>
              <a:schemeClr val="bg1">
                <a:lumMod val="85000"/>
              </a:schemeClr>
            </a:solidFill>
          </a:ln>
        </c:spPr>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crossAx val="183280000"/>
        <c:crosses val="autoZero"/>
        <c:crossBetween val="between"/>
      </c:valAx>
    </c:plotArea>
    <c:legend>
      <c:legendPos val="b"/>
      <c:overlay val="0"/>
      <c:txPr>
        <a:bodyPr/>
        <a:lstStyle/>
        <a:p>
          <a:pPr>
            <a:defRPr sz="900" b="1">
              <a:latin typeface="Verdana" panose="020B0604030504040204" pitchFamily="34" charset="0"/>
              <a:ea typeface="Verdana" panose="020B0604030504040204" pitchFamily="34" charset="0"/>
              <a:cs typeface="Verdana" panose="020B0604030504040204" pitchFamily="34" charset="0"/>
            </a:defRPr>
          </a:pPr>
          <a:endParaRPr lang="en-CY"/>
        </a:p>
      </c:txPr>
    </c:legend>
    <c:plotVisOnly val="1"/>
    <c:dispBlanksAs val="gap"/>
    <c:showDLblsOverMax val="0"/>
  </c:chart>
  <c:spPr>
    <a:ln>
      <a:solidFill>
        <a:srgbClr val="558ED5">
          <a:alpha val="50000"/>
        </a:srgb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Verdana" panose="020B0604030504040204" pitchFamily="34" charset="0"/>
                <a:ea typeface="Verdana" panose="020B0604030504040204" pitchFamily="34" charset="0"/>
                <a:cs typeface="Verdana" panose="020B0604030504040204" pitchFamily="34" charset="0"/>
              </a:defRPr>
            </a:pPr>
            <a:r>
              <a:rPr lang="en-US" sz="1050" baseline="0">
                <a:solidFill>
                  <a:schemeClr val="tx1"/>
                </a:solidFill>
                <a:latin typeface="Verdana" panose="020B0604030504040204" pitchFamily="34" charset="0"/>
                <a:ea typeface="Verdana" panose="020B0604030504040204" pitchFamily="34" charset="0"/>
                <a:cs typeface="Verdana" panose="020B0604030504040204" pitchFamily="34" charset="0"/>
              </a:rPr>
              <a:t>Figure </a:t>
            </a:r>
            <a:r>
              <a:rPr lang="el-GR" sz="1050" baseline="0">
                <a:solidFill>
                  <a:schemeClr val="tx1"/>
                </a:solidFill>
                <a:latin typeface="Verdana" panose="020B0604030504040204" pitchFamily="34" charset="0"/>
                <a:ea typeface="Verdana" panose="020B0604030504040204" pitchFamily="34" charset="0"/>
                <a:cs typeface="Verdana" panose="020B0604030504040204" pitchFamily="34" charset="0"/>
              </a:rPr>
              <a:t>2: </a:t>
            </a:r>
            <a:r>
              <a:rPr lang="en-US" sz="1050">
                <a:solidFill>
                  <a:schemeClr val="tx1"/>
                </a:solidFill>
                <a:latin typeface="Verdana" panose="020B0604030504040204" pitchFamily="34" charset="0"/>
                <a:ea typeface="Verdana" panose="020B0604030504040204" pitchFamily="34" charset="0"/>
                <a:cs typeface="Verdana" panose="020B0604030504040204" pitchFamily="34" charset="0"/>
              </a:rPr>
              <a:t>Percentage Distribution of Employees</a:t>
            </a:r>
          </a:p>
          <a:p>
            <a:pPr>
              <a:defRPr sz="1050">
                <a:latin typeface="Verdana" panose="020B0604030504040204" pitchFamily="34" charset="0"/>
                <a:ea typeface="Verdana" panose="020B0604030504040204" pitchFamily="34" charset="0"/>
                <a:cs typeface="Verdana" panose="020B0604030504040204" pitchFamily="34" charset="0"/>
              </a:defRPr>
            </a:pPr>
            <a:r>
              <a:rPr lang="en-US" sz="1050">
                <a:solidFill>
                  <a:schemeClr val="tx1"/>
                </a:solidFill>
                <a:latin typeface="Verdana" panose="020B0604030504040204" pitchFamily="34" charset="0"/>
                <a:ea typeface="Verdana" panose="020B0604030504040204" pitchFamily="34" charset="0"/>
                <a:cs typeface="Verdana" panose="020B0604030504040204" pitchFamily="34" charset="0"/>
              </a:rPr>
              <a:t>by Monthly Gross Earnings</a:t>
            </a:r>
            <a:r>
              <a:rPr lang="el-GR" sz="1050">
                <a:solidFill>
                  <a:schemeClr val="tx1"/>
                </a:solidFill>
                <a:latin typeface="Verdana" panose="020B0604030504040204" pitchFamily="34" charset="0"/>
                <a:ea typeface="Verdana" panose="020B0604030504040204" pitchFamily="34" charset="0"/>
                <a:cs typeface="Verdana" panose="020B0604030504040204" pitchFamily="34" charset="0"/>
              </a:rPr>
              <a:t> </a:t>
            </a:r>
            <a:r>
              <a:rPr lang="el-GR" sz="1050" b="1" i="0" u="none" strike="noStrike" baseline="0">
                <a:solidFill>
                  <a:schemeClr val="tx1"/>
                </a:solidFill>
                <a:effectLst/>
              </a:rPr>
              <a:t>(€) </a:t>
            </a:r>
            <a:r>
              <a:rPr lang="en-US" sz="1050">
                <a:solidFill>
                  <a:schemeClr val="tx1"/>
                </a:solidFill>
                <a:latin typeface="Verdana" panose="020B0604030504040204" pitchFamily="34" charset="0"/>
                <a:ea typeface="Verdana" panose="020B0604030504040204" pitchFamily="34" charset="0"/>
                <a:cs typeface="Verdana" panose="020B0604030504040204" pitchFamily="34" charset="0"/>
              </a:rPr>
              <a:t>and Sex, 2024</a:t>
            </a:r>
            <a:endParaRPr lang="el-GR" sz="1050">
              <a:solidFill>
                <a:schemeClr val="tx1"/>
              </a:solidFill>
              <a:latin typeface="Verdana" panose="020B0604030504040204" pitchFamily="34" charset="0"/>
              <a:ea typeface="Verdana" panose="020B0604030504040204" pitchFamily="34" charset="0"/>
              <a:cs typeface="Verdana" panose="020B0604030504040204" pitchFamily="34" charset="0"/>
            </a:endParaRPr>
          </a:p>
        </c:rich>
      </c:tx>
      <c:overlay val="0"/>
    </c:title>
    <c:autoTitleDeleted val="0"/>
    <c:plotArea>
      <c:layout>
        <c:manualLayout>
          <c:layoutTarget val="inner"/>
          <c:xMode val="edge"/>
          <c:yMode val="edge"/>
          <c:x val="9.0981699346405223E-2"/>
          <c:y val="0.10577951388888888"/>
          <c:w val="0.88162009803921582"/>
          <c:h val="0.68363003472222217"/>
        </c:manualLayout>
      </c:layout>
      <c:barChart>
        <c:barDir val="col"/>
        <c:grouping val="clustered"/>
        <c:varyColors val="0"/>
        <c:ser>
          <c:idx val="0"/>
          <c:order val="0"/>
          <c:tx>
            <c:strRef>
              <c:f>'percentage distribution (2)'!$B$4</c:f>
              <c:strCache>
                <c:ptCount val="1"/>
                <c:pt idx="0">
                  <c:v>Total</c:v>
                </c:pt>
              </c:strCache>
            </c:strRef>
          </c:tx>
          <c:spPr>
            <a:solidFill>
              <a:srgbClr val="A0A0A0"/>
            </a:solidFill>
          </c:spPr>
          <c:invertIfNegative val="0"/>
          <c:cat>
            <c:strRef>
              <c:f>'percentage distribution (2)'!$D$3:$AA$3</c:f>
              <c:strCache>
                <c:ptCount val="24"/>
                <c:pt idx="0">
                  <c:v>&lt;€500</c:v>
                </c:pt>
                <c:pt idx="1">
                  <c:v>€500-€749</c:v>
                </c:pt>
                <c:pt idx="2">
                  <c:v>€750-€999</c:v>
                </c:pt>
                <c:pt idx="3">
                  <c:v>€1.000-€1.249</c:v>
                </c:pt>
                <c:pt idx="4">
                  <c:v>€1.250-€1.499</c:v>
                </c:pt>
                <c:pt idx="5">
                  <c:v>€1.500-€1.749</c:v>
                </c:pt>
                <c:pt idx="6">
                  <c:v>€1.750-€1.999</c:v>
                </c:pt>
                <c:pt idx="7">
                  <c:v>€2.000-€2.249</c:v>
                </c:pt>
                <c:pt idx="8">
                  <c:v>€2.250-€2.499</c:v>
                </c:pt>
                <c:pt idx="9">
                  <c:v>€2.500-€2.749</c:v>
                </c:pt>
                <c:pt idx="10">
                  <c:v>€2.750-€2.999</c:v>
                </c:pt>
                <c:pt idx="11">
                  <c:v>€3.000-€3.249</c:v>
                </c:pt>
                <c:pt idx="12">
                  <c:v>€3.250-€3.499</c:v>
                </c:pt>
                <c:pt idx="13">
                  <c:v>€3.500-€3.749</c:v>
                </c:pt>
                <c:pt idx="14">
                  <c:v>€3.750-€3.999</c:v>
                </c:pt>
                <c:pt idx="15">
                  <c:v>€4.000-€4.249</c:v>
                </c:pt>
                <c:pt idx="16">
                  <c:v>€4.250-€4.499</c:v>
                </c:pt>
                <c:pt idx="17">
                  <c:v>€4.500-€4.749</c:v>
                </c:pt>
                <c:pt idx="18">
                  <c:v>€4.750-€4.999</c:v>
                </c:pt>
                <c:pt idx="19">
                  <c:v>€5.000-€5.249</c:v>
                </c:pt>
                <c:pt idx="20">
                  <c:v>€5.250-€5.499</c:v>
                </c:pt>
                <c:pt idx="21">
                  <c:v>€5.500-€5.749</c:v>
                </c:pt>
                <c:pt idx="22">
                  <c:v>€5.750-€5.999</c:v>
                </c:pt>
                <c:pt idx="23">
                  <c:v>&gt;=€6.000</c:v>
                </c:pt>
              </c:strCache>
            </c:strRef>
          </c:cat>
          <c:val>
            <c:numRef>
              <c:f>'percentage distribution (2)'!$D$4:$AA$4</c:f>
              <c:numCache>
                <c:formatCode>0.0%</c:formatCode>
                <c:ptCount val="24"/>
                <c:pt idx="0">
                  <c:v>1.81311581559674E-2</c:v>
                </c:pt>
                <c:pt idx="1">
                  <c:v>4.8562019186862544E-2</c:v>
                </c:pt>
                <c:pt idx="2">
                  <c:v>5.8285259598169888E-2</c:v>
                </c:pt>
                <c:pt idx="3">
                  <c:v>0.14173702621819079</c:v>
                </c:pt>
                <c:pt idx="4">
                  <c:v>0.1158940948904788</c:v>
                </c:pt>
                <c:pt idx="5">
                  <c:v>0.11182923091149947</c:v>
                </c:pt>
                <c:pt idx="6">
                  <c:v>7.4306157720398391E-2</c:v>
                </c:pt>
                <c:pt idx="7">
                  <c:v>6.5283848354592611E-2</c:v>
                </c:pt>
                <c:pt idx="8">
                  <c:v>4.7574091245101285E-2</c:v>
                </c:pt>
                <c:pt idx="9">
                  <c:v>5.0300657489020309E-2</c:v>
                </c:pt>
                <c:pt idx="10">
                  <c:v>3.0969626385181234E-2</c:v>
                </c:pt>
                <c:pt idx="11">
                  <c:v>3.1011364426131612E-2</c:v>
                </c:pt>
                <c:pt idx="12">
                  <c:v>2.5379026404671753E-2</c:v>
                </c:pt>
                <c:pt idx="13">
                  <c:v>2.0508311901104585E-2</c:v>
                </c:pt>
                <c:pt idx="14">
                  <c:v>1.8360908840097927E-2</c:v>
                </c:pt>
                <c:pt idx="15">
                  <c:v>1.7147633768985305E-2</c:v>
                </c:pt>
                <c:pt idx="16">
                  <c:v>1.2172191245235307E-2</c:v>
                </c:pt>
                <c:pt idx="17">
                  <c:v>1.434582417601353E-2</c:v>
                </c:pt>
                <c:pt idx="18">
                  <c:v>1.1485045240781588E-2</c:v>
                </c:pt>
                <c:pt idx="19">
                  <c:v>1.1429713617686821E-2</c:v>
                </c:pt>
                <c:pt idx="20">
                  <c:v>8.0182988761553827E-3</c:v>
                </c:pt>
                <c:pt idx="21">
                  <c:v>8.3543092516962774E-3</c:v>
                </c:pt>
                <c:pt idx="22">
                  <c:v>6.0231056433852001E-3</c:v>
                </c:pt>
                <c:pt idx="23">
                  <c:v>5.2891096452591997E-2</c:v>
                </c:pt>
              </c:numCache>
            </c:numRef>
          </c:val>
          <c:extLst>
            <c:ext xmlns:c16="http://schemas.microsoft.com/office/drawing/2014/chart" uri="{C3380CC4-5D6E-409C-BE32-E72D297353CC}">
              <c16:uniqueId val="{00000000-8BBC-48AD-93F4-6B0DFEB136E8}"/>
            </c:ext>
          </c:extLst>
        </c:ser>
        <c:ser>
          <c:idx val="1"/>
          <c:order val="1"/>
          <c:tx>
            <c:strRef>
              <c:f>'percentage distribution (2)'!$B$5</c:f>
              <c:strCache>
                <c:ptCount val="1"/>
                <c:pt idx="0">
                  <c:v>Males</c:v>
                </c:pt>
              </c:strCache>
            </c:strRef>
          </c:tx>
          <c:spPr>
            <a:solidFill>
              <a:srgbClr val="43B3A0"/>
            </a:solidFill>
          </c:spPr>
          <c:invertIfNegative val="0"/>
          <c:dPt>
            <c:idx val="23"/>
            <c:invertIfNegative val="0"/>
            <c:bubble3D val="0"/>
            <c:spPr>
              <a:solidFill>
                <a:srgbClr val="3B9E8D"/>
              </a:solidFill>
            </c:spPr>
            <c:extLst>
              <c:ext xmlns:c16="http://schemas.microsoft.com/office/drawing/2014/chart" uri="{C3380CC4-5D6E-409C-BE32-E72D297353CC}">
                <c16:uniqueId val="{00000002-8BBC-48AD-93F4-6B0DFEB136E8}"/>
              </c:ext>
            </c:extLst>
          </c:dPt>
          <c:cat>
            <c:strRef>
              <c:f>'percentage distribution (2)'!$D$3:$AA$3</c:f>
              <c:strCache>
                <c:ptCount val="24"/>
                <c:pt idx="0">
                  <c:v>&lt;€500</c:v>
                </c:pt>
                <c:pt idx="1">
                  <c:v>€500-€749</c:v>
                </c:pt>
                <c:pt idx="2">
                  <c:v>€750-€999</c:v>
                </c:pt>
                <c:pt idx="3">
                  <c:v>€1.000-€1.249</c:v>
                </c:pt>
                <c:pt idx="4">
                  <c:v>€1.250-€1.499</c:v>
                </c:pt>
                <c:pt idx="5">
                  <c:v>€1.500-€1.749</c:v>
                </c:pt>
                <c:pt idx="6">
                  <c:v>€1.750-€1.999</c:v>
                </c:pt>
                <c:pt idx="7">
                  <c:v>€2.000-€2.249</c:v>
                </c:pt>
                <c:pt idx="8">
                  <c:v>€2.250-€2.499</c:v>
                </c:pt>
                <c:pt idx="9">
                  <c:v>€2.500-€2.749</c:v>
                </c:pt>
                <c:pt idx="10">
                  <c:v>€2.750-€2.999</c:v>
                </c:pt>
                <c:pt idx="11">
                  <c:v>€3.000-€3.249</c:v>
                </c:pt>
                <c:pt idx="12">
                  <c:v>€3.250-€3.499</c:v>
                </c:pt>
                <c:pt idx="13">
                  <c:v>€3.500-€3.749</c:v>
                </c:pt>
                <c:pt idx="14">
                  <c:v>€3.750-€3.999</c:v>
                </c:pt>
                <c:pt idx="15">
                  <c:v>€4.000-€4.249</c:v>
                </c:pt>
                <c:pt idx="16">
                  <c:v>€4.250-€4.499</c:v>
                </c:pt>
                <c:pt idx="17">
                  <c:v>€4.500-€4.749</c:v>
                </c:pt>
                <c:pt idx="18">
                  <c:v>€4.750-€4.999</c:v>
                </c:pt>
                <c:pt idx="19">
                  <c:v>€5.000-€5.249</c:v>
                </c:pt>
                <c:pt idx="20">
                  <c:v>€5.250-€5.499</c:v>
                </c:pt>
                <c:pt idx="21">
                  <c:v>€5.500-€5.749</c:v>
                </c:pt>
                <c:pt idx="22">
                  <c:v>€5.750-€5.999</c:v>
                </c:pt>
                <c:pt idx="23">
                  <c:v>&gt;=€6.000</c:v>
                </c:pt>
              </c:strCache>
            </c:strRef>
          </c:cat>
          <c:val>
            <c:numRef>
              <c:f>'percentage distribution (2)'!$D$5:$AA$5</c:f>
              <c:numCache>
                <c:formatCode>0.0%</c:formatCode>
                <c:ptCount val="24"/>
                <c:pt idx="0">
                  <c:v>2.3453662028470389E-2</c:v>
                </c:pt>
                <c:pt idx="1">
                  <c:v>4.7872252217641915E-2</c:v>
                </c:pt>
                <c:pt idx="2">
                  <c:v>5.2645070885771569E-2</c:v>
                </c:pt>
                <c:pt idx="3">
                  <c:v>0.12229954852555661</c:v>
                </c:pt>
                <c:pt idx="4">
                  <c:v>0.10268037903400776</c:v>
                </c:pt>
                <c:pt idx="5">
                  <c:v>0.1133560844023664</c:v>
                </c:pt>
                <c:pt idx="6">
                  <c:v>7.9138964856300675E-2</c:v>
                </c:pt>
                <c:pt idx="7">
                  <c:v>6.9092725692309176E-2</c:v>
                </c:pt>
                <c:pt idx="8">
                  <c:v>4.9643878285696122E-2</c:v>
                </c:pt>
                <c:pt idx="9">
                  <c:v>5.4143076079040509E-2</c:v>
                </c:pt>
                <c:pt idx="10">
                  <c:v>3.2172909045933756E-2</c:v>
                </c:pt>
                <c:pt idx="11">
                  <c:v>3.2282081011125868E-2</c:v>
                </c:pt>
                <c:pt idx="12">
                  <c:v>2.4078982462007462E-2</c:v>
                </c:pt>
                <c:pt idx="13">
                  <c:v>2.1311680432929029E-2</c:v>
                </c:pt>
                <c:pt idx="14">
                  <c:v>1.8106654100374639E-2</c:v>
                </c:pt>
                <c:pt idx="15">
                  <c:v>1.7403254982871055E-2</c:v>
                </c:pt>
                <c:pt idx="16">
                  <c:v>1.2331249853170616E-2</c:v>
                </c:pt>
                <c:pt idx="17">
                  <c:v>1.433089331687923E-2</c:v>
                </c:pt>
                <c:pt idx="18">
                  <c:v>1.0550641281651231E-2</c:v>
                </c:pt>
                <c:pt idx="19">
                  <c:v>1.2650819687989288E-2</c:v>
                </c:pt>
                <c:pt idx="20">
                  <c:v>8.1878973894081095E-3</c:v>
                </c:pt>
                <c:pt idx="21">
                  <c:v>9.2333226003932962E-3</c:v>
                </c:pt>
                <c:pt idx="22">
                  <c:v>6.4850220209527257E-3</c:v>
                </c:pt>
                <c:pt idx="23">
                  <c:v>6.6548949807152563E-2</c:v>
                </c:pt>
              </c:numCache>
            </c:numRef>
          </c:val>
          <c:extLst>
            <c:ext xmlns:c16="http://schemas.microsoft.com/office/drawing/2014/chart" uri="{C3380CC4-5D6E-409C-BE32-E72D297353CC}">
              <c16:uniqueId val="{00000003-8BBC-48AD-93F4-6B0DFEB136E8}"/>
            </c:ext>
          </c:extLst>
        </c:ser>
        <c:ser>
          <c:idx val="2"/>
          <c:order val="2"/>
          <c:tx>
            <c:strRef>
              <c:f>'percentage distribution (2)'!$B$6</c:f>
              <c:strCache>
                <c:ptCount val="1"/>
                <c:pt idx="0">
                  <c:v>Females</c:v>
                </c:pt>
              </c:strCache>
            </c:strRef>
          </c:tx>
          <c:spPr>
            <a:solidFill>
              <a:srgbClr val="D8A03D"/>
            </a:solidFill>
          </c:spPr>
          <c:invertIfNegative val="0"/>
          <c:cat>
            <c:strRef>
              <c:f>'percentage distribution (2)'!$D$3:$AA$3</c:f>
              <c:strCache>
                <c:ptCount val="24"/>
                <c:pt idx="0">
                  <c:v>&lt;€500</c:v>
                </c:pt>
                <c:pt idx="1">
                  <c:v>€500-€749</c:v>
                </c:pt>
                <c:pt idx="2">
                  <c:v>€750-€999</c:v>
                </c:pt>
                <c:pt idx="3">
                  <c:v>€1.000-€1.249</c:v>
                </c:pt>
                <c:pt idx="4">
                  <c:v>€1.250-€1.499</c:v>
                </c:pt>
                <c:pt idx="5">
                  <c:v>€1.500-€1.749</c:v>
                </c:pt>
                <c:pt idx="6">
                  <c:v>€1.750-€1.999</c:v>
                </c:pt>
                <c:pt idx="7">
                  <c:v>€2.000-€2.249</c:v>
                </c:pt>
                <c:pt idx="8">
                  <c:v>€2.250-€2.499</c:v>
                </c:pt>
                <c:pt idx="9">
                  <c:v>€2.500-€2.749</c:v>
                </c:pt>
                <c:pt idx="10">
                  <c:v>€2.750-€2.999</c:v>
                </c:pt>
                <c:pt idx="11">
                  <c:v>€3.000-€3.249</c:v>
                </c:pt>
                <c:pt idx="12">
                  <c:v>€3.250-€3.499</c:v>
                </c:pt>
                <c:pt idx="13">
                  <c:v>€3.500-€3.749</c:v>
                </c:pt>
                <c:pt idx="14">
                  <c:v>€3.750-€3.999</c:v>
                </c:pt>
                <c:pt idx="15">
                  <c:v>€4.000-€4.249</c:v>
                </c:pt>
                <c:pt idx="16">
                  <c:v>€4.250-€4.499</c:v>
                </c:pt>
                <c:pt idx="17">
                  <c:v>€4.500-€4.749</c:v>
                </c:pt>
                <c:pt idx="18">
                  <c:v>€4.750-€4.999</c:v>
                </c:pt>
                <c:pt idx="19">
                  <c:v>€5.000-€5.249</c:v>
                </c:pt>
                <c:pt idx="20">
                  <c:v>€5.250-€5.499</c:v>
                </c:pt>
                <c:pt idx="21">
                  <c:v>€5.500-€5.749</c:v>
                </c:pt>
                <c:pt idx="22">
                  <c:v>€5.750-€5.999</c:v>
                </c:pt>
                <c:pt idx="23">
                  <c:v>&gt;=€6.000</c:v>
                </c:pt>
              </c:strCache>
            </c:strRef>
          </c:cat>
          <c:val>
            <c:numRef>
              <c:f>'percentage distribution (2)'!$D$6:$AA$6</c:f>
              <c:numCache>
                <c:formatCode>0.0%</c:formatCode>
                <c:ptCount val="24"/>
                <c:pt idx="0">
                  <c:v>1.1514955527870074E-2</c:v>
                </c:pt>
                <c:pt idx="1">
                  <c:v>4.9419442336540068E-2</c:v>
                </c:pt>
                <c:pt idx="2">
                  <c:v>6.5296364197777401E-2</c:v>
                </c:pt>
                <c:pt idx="3">
                  <c:v>0.16589901727994874</c:v>
                </c:pt>
                <c:pt idx="4">
                  <c:v>0.13231956374324308</c:v>
                </c:pt>
                <c:pt idx="5">
                  <c:v>0.10993125726582828</c:v>
                </c:pt>
                <c:pt idx="6">
                  <c:v>6.8298678526473922E-2</c:v>
                </c:pt>
                <c:pt idx="7">
                  <c:v>6.0549177444893507E-2</c:v>
                </c:pt>
                <c:pt idx="8">
                  <c:v>4.5001217502663692E-2</c:v>
                </c:pt>
                <c:pt idx="9">
                  <c:v>4.5524292721137775E-2</c:v>
                </c:pt>
                <c:pt idx="10">
                  <c:v>2.9473871362147134E-2</c:v>
                </c:pt>
                <c:pt idx="11">
                  <c:v>2.9431784850315883E-2</c:v>
                </c:pt>
                <c:pt idx="12">
                  <c:v>2.6995061706127067E-2</c:v>
                </c:pt>
                <c:pt idx="13">
                  <c:v>1.9509674958997861E-2</c:v>
                </c:pt>
                <c:pt idx="14">
                  <c:v>1.8676963260622445E-2</c:v>
                </c:pt>
                <c:pt idx="15">
                  <c:v>1.6829880736273464E-2</c:v>
                </c:pt>
                <c:pt idx="16">
                  <c:v>1.1974471524394932E-2</c:v>
                </c:pt>
                <c:pt idx="17">
                  <c:v>1.4364384160526544E-2</c:v>
                </c:pt>
                <c:pt idx="18">
                  <c:v>1.264656735108783E-2</c:v>
                </c:pt>
                <c:pt idx="19">
                  <c:v>9.9118029904613925E-3</c:v>
                </c:pt>
                <c:pt idx="20">
                  <c:v>7.8074773988989652E-3</c:v>
                </c:pt>
                <c:pt idx="21">
                  <c:v>7.2616411076998136E-3</c:v>
                </c:pt>
                <c:pt idx="22">
                  <c:v>5.4489149195396077E-3</c:v>
                </c:pt>
                <c:pt idx="23">
                  <c:v>3.5913537126530518E-2</c:v>
                </c:pt>
              </c:numCache>
            </c:numRef>
          </c:val>
          <c:extLst>
            <c:ext xmlns:c16="http://schemas.microsoft.com/office/drawing/2014/chart" uri="{C3380CC4-5D6E-409C-BE32-E72D297353CC}">
              <c16:uniqueId val="{00000004-8BBC-48AD-93F4-6B0DFEB136E8}"/>
            </c:ext>
          </c:extLst>
        </c:ser>
        <c:dLbls>
          <c:showLegendKey val="0"/>
          <c:showVal val="0"/>
          <c:showCatName val="0"/>
          <c:showSerName val="0"/>
          <c:showPercent val="0"/>
          <c:showBubbleSize val="0"/>
        </c:dLbls>
        <c:gapWidth val="150"/>
        <c:axId val="184505088"/>
        <c:axId val="184506624"/>
      </c:barChart>
      <c:catAx>
        <c:axId val="184505088"/>
        <c:scaling>
          <c:orientation val="minMax"/>
        </c:scaling>
        <c:delete val="0"/>
        <c:axPos val="b"/>
        <c:numFmt formatCode="&quot;€&quot;#,##0" sourceLinked="0"/>
        <c:majorTickMark val="none"/>
        <c:minorTickMark val="none"/>
        <c:tickLblPos val="nextTo"/>
        <c:spPr>
          <a:ln>
            <a:solidFill>
              <a:srgbClr val="868686"/>
            </a:solidFill>
          </a:ln>
        </c:spPr>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crossAx val="184506624"/>
        <c:crosses val="autoZero"/>
        <c:auto val="1"/>
        <c:lblAlgn val="ctr"/>
        <c:lblOffset val="100"/>
        <c:noMultiLvlLbl val="0"/>
      </c:catAx>
      <c:valAx>
        <c:axId val="184506624"/>
        <c:scaling>
          <c:orientation val="minMax"/>
        </c:scaling>
        <c:delete val="0"/>
        <c:axPos val="l"/>
        <c:majorGridlines>
          <c:spPr>
            <a:ln w="6350">
              <a:solidFill>
                <a:schemeClr val="bg1">
                  <a:lumMod val="85000"/>
                </a:schemeClr>
              </a:solidFill>
            </a:ln>
          </c:spPr>
        </c:majorGridlines>
        <c:numFmt formatCode="0.0%" sourceLinked="1"/>
        <c:majorTickMark val="none"/>
        <c:minorTickMark val="none"/>
        <c:tickLblPos val="nextTo"/>
        <c:spPr>
          <a:ln>
            <a:solidFill>
              <a:schemeClr val="bg1">
                <a:lumMod val="85000"/>
              </a:schemeClr>
            </a:solidFill>
          </a:ln>
        </c:spPr>
        <c:txPr>
          <a:bodyPr/>
          <a:lstStyle/>
          <a:p>
            <a:pPr>
              <a:defRPr sz="900" spc="-60" baseline="0">
                <a:latin typeface="Verdana" panose="020B0604030504040204" pitchFamily="34" charset="0"/>
                <a:ea typeface="Verdana" panose="020B0604030504040204" pitchFamily="34" charset="0"/>
                <a:cs typeface="Verdana" panose="020B0604030504040204" pitchFamily="34" charset="0"/>
              </a:defRPr>
            </a:pPr>
            <a:endParaRPr lang="en-CY"/>
          </a:p>
        </c:txPr>
        <c:crossAx val="184505088"/>
        <c:crosses val="autoZero"/>
        <c:crossBetween val="between"/>
      </c:valAx>
      <c:spPr>
        <a:ln>
          <a:noFill/>
        </a:ln>
      </c:spPr>
    </c:plotArea>
    <c:legend>
      <c:legendPos val="b"/>
      <c:layout>
        <c:manualLayout>
          <c:xMode val="edge"/>
          <c:yMode val="edge"/>
          <c:x val="0.32158088235294119"/>
          <c:y val="0.94246232638888894"/>
          <c:w val="0.39907549019607841"/>
          <c:h val="3.976128472222222E-2"/>
        </c:manualLayout>
      </c:layout>
      <c:overlay val="0"/>
      <c:spPr>
        <a:noFill/>
        <a:ln>
          <a:noFill/>
        </a:ln>
      </c:spPr>
      <c:txPr>
        <a:bodyPr/>
        <a:lstStyle/>
        <a:p>
          <a:pPr>
            <a:defRPr sz="1000" b="1">
              <a:latin typeface="Verdana" panose="020B0604030504040204" pitchFamily="34" charset="0"/>
              <a:ea typeface="Verdana" panose="020B0604030504040204" pitchFamily="34" charset="0"/>
              <a:cs typeface="Verdana" panose="020B0604030504040204" pitchFamily="34" charset="0"/>
            </a:defRPr>
          </a:pPr>
          <a:endParaRPr lang="en-CY"/>
        </a:p>
      </c:txPr>
    </c:legend>
    <c:plotVisOnly val="1"/>
    <c:dispBlanksAs val="gap"/>
    <c:showDLblsOverMax val="0"/>
  </c:chart>
  <c:spPr>
    <a:ln>
      <a:solidFill>
        <a:srgbClr val="558ED5">
          <a:alpha val="50000"/>
        </a:srgb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204152032349988"/>
          <c:y val="3.703718267015941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Verdana" panose="020B0604030504040204" pitchFamily="34" charset="0"/>
              <a:ea typeface="Verdana" panose="020B0604030504040204" pitchFamily="34" charset="0"/>
              <a:cs typeface="+mn-cs"/>
            </a:defRPr>
          </a:pPr>
          <a:endParaRPr lang="en-CY"/>
        </a:p>
      </c:txPr>
    </c:title>
    <c:autoTitleDeleted val="0"/>
    <c:plotArea>
      <c:layout>
        <c:manualLayout>
          <c:layoutTarget val="inner"/>
          <c:xMode val="edge"/>
          <c:yMode val="edge"/>
          <c:x val="8.3426236814737778E-2"/>
          <c:y val="0.2194592269345314"/>
          <c:w val="0.44721348982320597"/>
          <c:h val="0.5918183340974702"/>
        </c:manualLayout>
      </c:layout>
      <c:pieChart>
        <c:varyColors val="1"/>
        <c:ser>
          <c:idx val="0"/>
          <c:order val="0"/>
          <c:tx>
            <c:strRef>
              <c:f>nationality!$AD$2</c:f>
              <c:strCache>
                <c:ptCount val="1"/>
                <c:pt idx="0">
                  <c:v>Cypriots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E6-4C8C-A27A-0B06C7FFFFD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E6-4C8C-A27A-0B06C7FFFFD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E6-4C8C-A27A-0B06C7FFFFD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0E6-4C8C-A27A-0B06C7FFFFD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0E6-4C8C-A27A-0B06C7FFFFD3}"/>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en-CY"/>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nationality!$AC$4:$AC$8</c:f>
              <c:strCache>
                <c:ptCount val="5"/>
                <c:pt idx="0">
                  <c:v>&lt;€1.500</c:v>
                </c:pt>
                <c:pt idx="1">
                  <c:v>€1.500-€2.999</c:v>
                </c:pt>
                <c:pt idx="2">
                  <c:v>€3.000-€4.499</c:v>
                </c:pt>
                <c:pt idx="3">
                  <c:v>€4.500-€5.999</c:v>
                </c:pt>
                <c:pt idx="4">
                  <c:v>&gt;=€6.000</c:v>
                </c:pt>
              </c:strCache>
            </c:strRef>
          </c:cat>
          <c:val>
            <c:numRef>
              <c:f>nationality!$AD$4:$AD$8</c:f>
              <c:numCache>
                <c:formatCode>###0.0%</c:formatCode>
                <c:ptCount val="5"/>
                <c:pt idx="0">
                  <c:v>0.32355858392121367</c:v>
                </c:pt>
                <c:pt idx="1">
                  <c:v>0.41667384169545174</c:v>
                </c:pt>
                <c:pt idx="2">
                  <c:v>0.14996839211003624</c:v>
                </c:pt>
                <c:pt idx="3">
                  <c:v>6.5514715795221654E-2</c:v>
                </c:pt>
                <c:pt idx="4">
                  <c:v>4.4284466478076698E-2</c:v>
                </c:pt>
              </c:numCache>
            </c:numRef>
          </c:val>
          <c:extLst>
            <c:ext xmlns:c16="http://schemas.microsoft.com/office/drawing/2014/chart" uri="{C3380CC4-5D6E-409C-BE32-E72D297353CC}">
              <c16:uniqueId val="{0000000A-10E6-4C8C-A27A-0B06C7FFFFD3}"/>
            </c:ext>
          </c:extLst>
        </c:ser>
        <c:ser>
          <c:idx val="1"/>
          <c:order val="1"/>
          <c:tx>
            <c:strRef>
              <c:f>nationality!$AD$30</c:f>
              <c:strCache>
                <c:ptCount val="1"/>
                <c:pt idx="0">
                  <c:v>Non-Cypriots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10E6-4C8C-A27A-0B06C7FFFFD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10E6-4C8C-A27A-0B06C7FFFFD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10E6-4C8C-A27A-0B06C7FFFFD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10E6-4C8C-A27A-0B06C7FFFFD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10E6-4C8C-A27A-0B06C7FFFFD3}"/>
              </c:ext>
            </c:extLst>
          </c:dPt>
          <c:cat>
            <c:strRef>
              <c:f>nationality!$AC$4:$AC$8</c:f>
              <c:strCache>
                <c:ptCount val="5"/>
                <c:pt idx="0">
                  <c:v>&lt;€1.500</c:v>
                </c:pt>
                <c:pt idx="1">
                  <c:v>€1.500-€2.999</c:v>
                </c:pt>
                <c:pt idx="2">
                  <c:v>€3.000-€4.499</c:v>
                </c:pt>
                <c:pt idx="3">
                  <c:v>€4.500-€5.999</c:v>
                </c:pt>
                <c:pt idx="4">
                  <c:v>&gt;=€6.000</c:v>
                </c:pt>
              </c:strCache>
            </c:strRef>
          </c:cat>
          <c:val>
            <c:numRef>
              <c:f>nationality!$AD$34:$AD$38</c:f>
              <c:numCache>
                <c:formatCode>###0.0%</c:formatCode>
                <c:ptCount val="5"/>
                <c:pt idx="0">
                  <c:v>0.50581254147488997</c:v>
                </c:pt>
                <c:pt idx="1">
                  <c:v>0.30429790656324068</c:v>
                </c:pt>
                <c:pt idx="2">
                  <c:v>7.1608336401170244E-2</c:v>
                </c:pt>
                <c:pt idx="3">
                  <c:v>4.7433387559689864E-2</c:v>
                </c:pt>
                <c:pt idx="4">
                  <c:v>7.0847828001009278E-2</c:v>
                </c:pt>
              </c:numCache>
            </c:numRef>
          </c:val>
          <c:extLst>
            <c:ext xmlns:c16="http://schemas.microsoft.com/office/drawing/2014/chart" uri="{C3380CC4-5D6E-409C-BE32-E72D297353CC}">
              <c16:uniqueId val="{00000015-10E6-4C8C-A27A-0B06C7FFFFD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166305155251816"/>
          <c:y val="0.3327499416083996"/>
          <c:w val="0.31833687197174215"/>
          <c:h val="0.39020531037199974"/>
        </c:manualLayout>
      </c:layout>
      <c:overlay val="0"/>
      <c:spPr>
        <a:noFill/>
        <a:ln>
          <a:noFill/>
        </a:ln>
        <a:effectLst/>
      </c:spPr>
      <c:txPr>
        <a:bodyPr rot="0" spcFirstLastPara="1" vertOverflow="ellipsis" vert="horz" wrap="square" anchor="ctr" anchorCtr="1"/>
        <a:lstStyle/>
        <a:p>
          <a:pPr rtl="0">
            <a:defRPr sz="800" b="1" i="0" u="none" strike="noStrike" kern="1200" baseline="0">
              <a:solidFill>
                <a:schemeClr val="tx1"/>
              </a:solidFill>
              <a:latin typeface="Verdana" panose="020B0604030504040204" pitchFamily="34" charset="0"/>
              <a:ea typeface="Verdana" panose="020B0604030504040204" pitchFamily="34" charset="0"/>
              <a:cs typeface="+mn-cs"/>
            </a:defRPr>
          </a:pPr>
          <a:endParaRPr lang="en-CY"/>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en-CY"/>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334221062170773"/>
          <c:y val="5.153364494960254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Verdana" panose="020B0604030504040204" pitchFamily="34" charset="0"/>
              <a:ea typeface="Verdana" panose="020B0604030504040204" pitchFamily="34" charset="0"/>
              <a:cs typeface="+mn-cs"/>
            </a:defRPr>
          </a:pPr>
          <a:endParaRPr lang="en-CY"/>
        </a:p>
      </c:txPr>
    </c:title>
    <c:autoTitleDeleted val="0"/>
    <c:plotArea>
      <c:layout>
        <c:manualLayout>
          <c:layoutTarget val="inner"/>
          <c:xMode val="edge"/>
          <c:yMode val="edge"/>
          <c:x val="0.2180741269661304"/>
          <c:y val="0.24728797771066471"/>
          <c:w val="0.60470054027627329"/>
          <c:h val="0.62826142349319325"/>
        </c:manualLayout>
      </c:layout>
      <c:pieChart>
        <c:varyColors val="1"/>
        <c:ser>
          <c:idx val="0"/>
          <c:order val="0"/>
          <c:tx>
            <c:strRef>
              <c:f>nationality!$AD$30</c:f>
              <c:strCache>
                <c:ptCount val="1"/>
                <c:pt idx="0">
                  <c:v>Non-Cypriots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4A-43BD-A58C-A302459F9A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4A-43BD-A58C-A302459F9A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4A-43BD-A58C-A302459F9A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4A-43BD-A58C-A302459F9AA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44A-43BD-A58C-A302459F9AA5}"/>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en-CY"/>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nationality!$AC$4:$AC$9</c:f>
              <c:strCache>
                <c:ptCount val="5"/>
                <c:pt idx="0">
                  <c:v>&lt;€1.500</c:v>
                </c:pt>
                <c:pt idx="1">
                  <c:v>€1.500-€2.999</c:v>
                </c:pt>
                <c:pt idx="2">
                  <c:v>€3.000-€4.499</c:v>
                </c:pt>
                <c:pt idx="3">
                  <c:v>€4.500-€5.999</c:v>
                </c:pt>
                <c:pt idx="4">
                  <c:v>&gt;=€6.000</c:v>
                </c:pt>
              </c:strCache>
            </c:strRef>
          </c:cat>
          <c:val>
            <c:numRef>
              <c:f>nationality!$AD$34:$AD$38</c:f>
              <c:numCache>
                <c:formatCode>###0.0%</c:formatCode>
                <c:ptCount val="5"/>
                <c:pt idx="0">
                  <c:v>0.50581254147488997</c:v>
                </c:pt>
                <c:pt idx="1">
                  <c:v>0.30429790656324068</c:v>
                </c:pt>
                <c:pt idx="2">
                  <c:v>7.1608336401170244E-2</c:v>
                </c:pt>
                <c:pt idx="3">
                  <c:v>4.7433387559689864E-2</c:v>
                </c:pt>
                <c:pt idx="4">
                  <c:v>7.0847828001009278E-2</c:v>
                </c:pt>
              </c:numCache>
            </c:numRef>
          </c:val>
          <c:extLst>
            <c:ext xmlns:c16="http://schemas.microsoft.com/office/drawing/2014/chart" uri="{C3380CC4-5D6E-409C-BE32-E72D297353CC}">
              <c16:uniqueId val="{0000000A-744A-43BD-A58C-A302459F9AA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en-C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F43CE-FA92-4E6D-8984-9BDCD248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7960</CharactersWithSpaces>
  <SharedDoc>false</SharedDoc>
  <HLinks>
    <vt:vector size="18" baseType="variant">
      <vt:variant>
        <vt:i4>4980827</vt:i4>
      </vt:variant>
      <vt:variant>
        <vt:i4>3</vt:i4>
      </vt:variant>
      <vt:variant>
        <vt:i4>0</vt:i4>
      </vt:variant>
      <vt:variant>
        <vt:i4>5</vt:i4>
      </vt:variant>
      <vt:variant>
        <vt:lpwstr>http://www.cystat.gov.cy/</vt:lpwstr>
      </vt:variant>
      <vt:variant>
        <vt:lpwstr/>
      </vt:variant>
      <vt:variant>
        <vt:i4>3014706</vt:i4>
      </vt:variant>
      <vt:variant>
        <vt:i4>0</vt:i4>
      </vt:variant>
      <vt:variant>
        <vt:i4>0</vt:i4>
      </vt:variant>
      <vt:variant>
        <vt:i4>5</vt:i4>
      </vt:variant>
      <vt:variant>
        <vt:lpwstr>https://www.census2021.cystat.gov.cy/en</vt:lpwstr>
      </vt:variant>
      <vt:variant>
        <vt:lpwstr/>
      </vt:variant>
      <vt:variant>
        <vt:i4>3014706</vt:i4>
      </vt:variant>
      <vt:variant>
        <vt:i4>-1</vt:i4>
      </vt:variant>
      <vt:variant>
        <vt:i4>1026</vt:i4>
      </vt:variant>
      <vt:variant>
        <vt:i4>4</vt:i4>
      </vt:variant>
      <vt:variant>
        <vt:lpwstr>https://www.census2021.cystat.gov.cy/en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Theodoulou  George</cp:lastModifiedBy>
  <cp:revision>9</cp:revision>
  <cp:lastPrinted>2025-10-14T09:34:00Z</cp:lastPrinted>
  <dcterms:created xsi:type="dcterms:W3CDTF">2025-10-14T08:12:00Z</dcterms:created>
  <dcterms:modified xsi:type="dcterms:W3CDTF">2025-10-14T09:52:00Z</dcterms:modified>
</cp:coreProperties>
</file>