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E8272" w14:textId="77777777" w:rsidR="007437AB" w:rsidRPr="00D66955" w:rsidRDefault="007437AB" w:rsidP="006F1E66">
      <w:pPr>
        <w:jc w:val="both"/>
        <w:rPr>
          <w:rFonts w:ascii="Verdana" w:hAnsi="Verdana" w:cs="Arial"/>
          <w:sz w:val="18"/>
          <w:szCs w:val="18"/>
        </w:rPr>
      </w:pPr>
    </w:p>
    <w:p w14:paraId="27A72E99" w14:textId="77777777" w:rsidR="00972CA0" w:rsidRPr="00C26329" w:rsidRDefault="00972CA0" w:rsidP="00072754">
      <w:pPr>
        <w:jc w:val="both"/>
        <w:rPr>
          <w:rFonts w:ascii="Verdana" w:eastAsia="Malgun Gothic" w:hAnsi="Verdana" w:cs="Arial"/>
          <w:sz w:val="18"/>
          <w:szCs w:val="18"/>
        </w:rPr>
      </w:pPr>
    </w:p>
    <w:p w14:paraId="0557EA71" w14:textId="3D612B7B" w:rsidR="006C16A4" w:rsidRPr="00D33293" w:rsidRDefault="006C16A4" w:rsidP="006C16A4">
      <w:pPr>
        <w:tabs>
          <w:tab w:val="left" w:pos="1080"/>
          <w:tab w:val="left" w:pos="7088"/>
        </w:tabs>
        <w:jc w:val="right"/>
        <w:rPr>
          <w:rFonts w:ascii="Verdana" w:hAnsi="Verdana" w:cs="Arial"/>
          <w:sz w:val="18"/>
          <w:szCs w:val="18"/>
        </w:rPr>
      </w:pPr>
      <w:r>
        <w:rPr>
          <w:rFonts w:ascii="Verdana" w:hAnsi="Verdana" w:cs="Arial"/>
          <w:sz w:val="18"/>
          <w:szCs w:val="18"/>
        </w:rPr>
        <w:t>1</w:t>
      </w:r>
      <w:r w:rsidR="00D82D23" w:rsidRPr="005F5D68">
        <w:rPr>
          <w:rFonts w:ascii="Verdana" w:hAnsi="Verdana" w:cs="Arial"/>
          <w:sz w:val="18"/>
          <w:szCs w:val="18"/>
        </w:rPr>
        <w:t>6</w:t>
      </w:r>
      <w:r>
        <w:rPr>
          <w:rFonts w:ascii="Verdana" w:hAnsi="Verdana" w:cs="Arial"/>
          <w:sz w:val="18"/>
          <w:szCs w:val="18"/>
        </w:rPr>
        <w:t xml:space="preserve"> </w:t>
      </w:r>
      <w:r w:rsidR="00D82D23">
        <w:rPr>
          <w:rFonts w:ascii="Verdana" w:hAnsi="Verdana" w:cs="Arial"/>
          <w:sz w:val="18"/>
          <w:szCs w:val="18"/>
        </w:rPr>
        <w:t>June</w:t>
      </w:r>
      <w:r>
        <w:rPr>
          <w:rFonts w:ascii="Verdana" w:eastAsia="Malgun Gothic" w:hAnsi="Verdana" w:cs="Arial"/>
          <w:sz w:val="18"/>
          <w:szCs w:val="18"/>
        </w:rPr>
        <w:t>, 202</w:t>
      </w:r>
      <w:r w:rsidR="008446F4">
        <w:rPr>
          <w:rFonts w:ascii="Verdana" w:eastAsia="Malgun Gothic" w:hAnsi="Verdana" w:cs="Arial"/>
          <w:sz w:val="18"/>
          <w:szCs w:val="18"/>
        </w:rPr>
        <w:t>5</w:t>
      </w:r>
    </w:p>
    <w:p w14:paraId="16AC3FEB" w14:textId="77777777" w:rsidR="00037B42" w:rsidRDefault="00037B42" w:rsidP="006C16A4">
      <w:pPr>
        <w:jc w:val="center"/>
        <w:rPr>
          <w:rFonts w:ascii="Verdana" w:eastAsia="Malgun Gothic" w:hAnsi="Verdana" w:cs="Arial"/>
          <w:b/>
          <w:sz w:val="24"/>
          <w:szCs w:val="24"/>
        </w:rPr>
      </w:pPr>
    </w:p>
    <w:p w14:paraId="18C9A175" w14:textId="7FB32556" w:rsidR="006C16A4" w:rsidRPr="00931164" w:rsidRDefault="006C16A4" w:rsidP="006C16A4">
      <w:pPr>
        <w:jc w:val="center"/>
        <w:rPr>
          <w:rFonts w:ascii="Verdana" w:eastAsia="Malgun Gothic" w:hAnsi="Verdana" w:cs="Arial"/>
          <w:b/>
          <w:sz w:val="24"/>
          <w:szCs w:val="24"/>
        </w:rPr>
      </w:pPr>
      <w:r>
        <w:rPr>
          <w:rFonts w:ascii="Verdana" w:eastAsia="Malgun Gothic" w:hAnsi="Verdana" w:cs="Arial"/>
          <w:b/>
          <w:sz w:val="24"/>
          <w:szCs w:val="24"/>
        </w:rPr>
        <w:t>PRESS RELEASE</w:t>
      </w:r>
    </w:p>
    <w:p w14:paraId="0A43C605" w14:textId="77777777" w:rsidR="006C16A4" w:rsidRPr="00931164" w:rsidRDefault="006C16A4" w:rsidP="006C16A4">
      <w:pPr>
        <w:rPr>
          <w:rFonts w:ascii="Verdana" w:eastAsia="Malgun Gothic" w:hAnsi="Verdana" w:cs="Arial"/>
        </w:rPr>
      </w:pPr>
    </w:p>
    <w:p w14:paraId="6510705A" w14:textId="5E19416F" w:rsidR="006C16A4" w:rsidRPr="00323E44" w:rsidRDefault="006C16A4" w:rsidP="006C16A4">
      <w:pPr>
        <w:pStyle w:val="Heading6"/>
        <w:tabs>
          <w:tab w:val="clear" w:pos="6840"/>
        </w:tabs>
        <w:jc w:val="left"/>
        <w:rPr>
          <w:rFonts w:ascii="Verdana" w:eastAsia="Malgun Gothic" w:hAnsi="Verdana" w:cs="Arial"/>
          <w:szCs w:val="22"/>
          <w:lang w:val="en-US"/>
        </w:rPr>
      </w:pPr>
      <w:r w:rsidRPr="00AD055B">
        <w:rPr>
          <w:rFonts w:ascii="Verdana" w:eastAsia="Malgun Gothic" w:hAnsi="Verdana" w:cs="Arial"/>
          <w:b w:val="0"/>
          <w:bCs w:val="0"/>
          <w:szCs w:val="22"/>
          <w:lang w:val="en-US"/>
        </w:rPr>
        <w:t>EMPLOYMENT IN THE BROAD PUBLIC SECTOR</w:t>
      </w:r>
      <w:r w:rsidRPr="002A48C3">
        <w:rPr>
          <w:rFonts w:ascii="Verdana" w:eastAsia="Malgun Gothic" w:hAnsi="Verdana" w:cs="Arial"/>
          <w:b w:val="0"/>
          <w:szCs w:val="22"/>
          <w:lang w:val="en-US"/>
        </w:rPr>
        <w:t>:</w:t>
      </w:r>
      <w:r>
        <w:rPr>
          <w:rFonts w:ascii="Verdana" w:eastAsia="Malgun Gothic" w:hAnsi="Verdana" w:cs="Arial"/>
          <w:szCs w:val="22"/>
          <w:lang w:val="en-US"/>
        </w:rPr>
        <w:t xml:space="preserve"> </w:t>
      </w:r>
      <w:r w:rsidR="00D82D23">
        <w:rPr>
          <w:rFonts w:ascii="Verdana" w:eastAsia="Malgun Gothic" w:hAnsi="Verdana" w:cs="Arial"/>
          <w:szCs w:val="22"/>
          <w:lang w:val="en-US"/>
        </w:rPr>
        <w:t>1s</w:t>
      </w:r>
      <w:r w:rsidR="008446F4">
        <w:rPr>
          <w:rFonts w:ascii="Verdana" w:eastAsia="Malgun Gothic" w:hAnsi="Verdana" w:cs="Arial"/>
          <w:szCs w:val="22"/>
          <w:lang w:val="en-US"/>
        </w:rPr>
        <w:t>t</w:t>
      </w:r>
      <w:r w:rsidR="00412485" w:rsidRPr="00156FFF">
        <w:rPr>
          <w:rFonts w:ascii="Verdana" w:eastAsia="Malgun Gothic" w:hAnsi="Verdana" w:cs="Arial"/>
          <w:szCs w:val="22"/>
          <w:lang w:val="en-US"/>
        </w:rPr>
        <w:t xml:space="preserve"> </w:t>
      </w:r>
      <w:r w:rsidRPr="00323E44">
        <w:rPr>
          <w:rFonts w:ascii="Verdana" w:eastAsia="Malgun Gothic" w:hAnsi="Verdana" w:cs="Arial"/>
          <w:szCs w:val="22"/>
          <w:lang w:val="en-US"/>
        </w:rPr>
        <w:t>QUARTER 20</w:t>
      </w:r>
      <w:r>
        <w:rPr>
          <w:rFonts w:ascii="Verdana" w:eastAsia="Malgun Gothic" w:hAnsi="Verdana" w:cs="Arial"/>
          <w:szCs w:val="22"/>
          <w:lang w:val="en-US"/>
        </w:rPr>
        <w:t>2</w:t>
      </w:r>
      <w:r w:rsidR="00D82D23">
        <w:rPr>
          <w:rFonts w:ascii="Verdana" w:eastAsia="Malgun Gothic" w:hAnsi="Verdana" w:cs="Arial"/>
          <w:szCs w:val="22"/>
          <w:lang w:val="en-US"/>
        </w:rPr>
        <w:t>5</w:t>
      </w:r>
    </w:p>
    <w:p w14:paraId="42B311EC" w14:textId="77777777" w:rsidR="006C16A4" w:rsidRPr="00931164" w:rsidRDefault="006C16A4" w:rsidP="006C16A4">
      <w:pPr>
        <w:rPr>
          <w:rFonts w:ascii="Verdana" w:eastAsia="Malgun Gothic" w:hAnsi="Verdana" w:cs="Arial"/>
        </w:rPr>
      </w:pPr>
    </w:p>
    <w:p w14:paraId="6AC373C8" w14:textId="2921DE23" w:rsidR="006C16A4" w:rsidRPr="00EB537E" w:rsidRDefault="006C16A4" w:rsidP="006C16A4">
      <w:pPr>
        <w:jc w:val="center"/>
        <w:rPr>
          <w:rFonts w:ascii="Verdana" w:eastAsia="Malgun Gothic" w:hAnsi="Verdana" w:cs="Arial"/>
          <w:b/>
        </w:rPr>
      </w:pPr>
      <w:r w:rsidRPr="00EF2C9B">
        <w:rPr>
          <w:rFonts w:ascii="Verdana" w:eastAsia="Malgun Gothic" w:hAnsi="Verdana" w:cs="Arial"/>
          <w:b/>
        </w:rPr>
        <w:t xml:space="preserve">Total </w:t>
      </w:r>
      <w:r w:rsidRPr="00EB537E">
        <w:rPr>
          <w:rFonts w:ascii="Verdana" w:eastAsia="Malgun Gothic" w:hAnsi="Verdana" w:cs="Arial"/>
          <w:b/>
        </w:rPr>
        <w:t xml:space="preserve">Employment </w:t>
      </w:r>
      <w:r>
        <w:rPr>
          <w:rFonts w:ascii="Verdana" w:eastAsia="Malgun Gothic" w:hAnsi="Verdana" w:cs="Arial"/>
          <w:b/>
        </w:rPr>
        <w:t>7</w:t>
      </w:r>
      <w:r w:rsidR="00D82D23">
        <w:rPr>
          <w:rFonts w:ascii="Verdana" w:eastAsia="Malgun Gothic" w:hAnsi="Verdana" w:cs="Arial"/>
          <w:b/>
        </w:rPr>
        <w:t>7</w:t>
      </w:r>
      <w:r w:rsidR="003A4756">
        <w:rPr>
          <w:rFonts w:ascii="Verdana" w:eastAsia="Malgun Gothic" w:hAnsi="Verdana" w:cs="Arial"/>
          <w:b/>
        </w:rPr>
        <w:t>.</w:t>
      </w:r>
      <w:r w:rsidR="00D82D23">
        <w:rPr>
          <w:rFonts w:ascii="Verdana" w:eastAsia="Malgun Gothic" w:hAnsi="Verdana" w:cs="Arial"/>
          <w:b/>
        </w:rPr>
        <w:t>0</w:t>
      </w:r>
      <w:r w:rsidR="00B50881">
        <w:rPr>
          <w:rFonts w:ascii="Verdana" w:eastAsia="Malgun Gothic" w:hAnsi="Verdana" w:cs="Arial"/>
          <w:b/>
        </w:rPr>
        <w:t>3</w:t>
      </w:r>
      <w:r w:rsidR="00D82D23">
        <w:rPr>
          <w:rFonts w:ascii="Verdana" w:eastAsia="Malgun Gothic" w:hAnsi="Verdana" w:cs="Arial"/>
          <w:b/>
        </w:rPr>
        <w:t>4</w:t>
      </w:r>
    </w:p>
    <w:p w14:paraId="673DB2D2" w14:textId="77777777" w:rsidR="006C16A4" w:rsidRPr="00EF2C9B" w:rsidRDefault="006C16A4" w:rsidP="006C16A4">
      <w:pPr>
        <w:jc w:val="both"/>
        <w:rPr>
          <w:rFonts w:ascii="Verdana" w:hAnsi="Verdana" w:cs="Arial"/>
          <w:sz w:val="18"/>
          <w:szCs w:val="18"/>
        </w:rPr>
      </w:pPr>
    </w:p>
    <w:p w14:paraId="45020319" w14:textId="5AAEBFD4" w:rsidR="006C16A4" w:rsidRPr="00F95AEC" w:rsidRDefault="006C16A4" w:rsidP="006C16A4">
      <w:pPr>
        <w:jc w:val="both"/>
        <w:rPr>
          <w:rFonts w:ascii="Verdana" w:hAnsi="Verdana" w:cs="Arial"/>
          <w:sz w:val="18"/>
          <w:szCs w:val="18"/>
        </w:rPr>
      </w:pPr>
      <w:r w:rsidRPr="00F95AEC">
        <w:rPr>
          <w:rFonts w:ascii="Verdana" w:hAnsi="Verdana" w:cs="Arial"/>
          <w:sz w:val="18"/>
          <w:szCs w:val="18"/>
        </w:rPr>
        <w:t xml:space="preserve">Total employment in the Broad Public Sector in the </w:t>
      </w:r>
      <w:r w:rsidR="00D82D23">
        <w:rPr>
          <w:rFonts w:ascii="Verdana" w:hAnsi="Verdana" w:cs="Arial"/>
          <w:sz w:val="18"/>
          <w:szCs w:val="18"/>
        </w:rPr>
        <w:t>1</w:t>
      </w:r>
      <w:r w:rsidR="00D82D23">
        <w:rPr>
          <w:rFonts w:ascii="Verdana" w:hAnsi="Verdana" w:cs="Arial"/>
          <w:sz w:val="18"/>
          <w:szCs w:val="18"/>
          <w:vertAlign w:val="superscript"/>
        </w:rPr>
        <w:t>st</w:t>
      </w:r>
      <w:r>
        <w:rPr>
          <w:rFonts w:ascii="Verdana" w:hAnsi="Verdana" w:cs="Arial"/>
          <w:sz w:val="18"/>
          <w:szCs w:val="18"/>
        </w:rPr>
        <w:t xml:space="preserve"> </w:t>
      </w:r>
      <w:r w:rsidRPr="00F95AEC">
        <w:rPr>
          <w:rFonts w:ascii="Verdana" w:hAnsi="Verdana" w:cs="Arial"/>
          <w:sz w:val="18"/>
          <w:szCs w:val="18"/>
        </w:rPr>
        <w:t>quarter of 202</w:t>
      </w:r>
      <w:r w:rsidR="00D82D23">
        <w:rPr>
          <w:rFonts w:ascii="Verdana" w:hAnsi="Verdana" w:cs="Arial"/>
          <w:sz w:val="18"/>
          <w:szCs w:val="18"/>
        </w:rPr>
        <w:t>5</w:t>
      </w:r>
      <w:r w:rsidRPr="00F95AEC">
        <w:rPr>
          <w:rFonts w:ascii="Verdana" w:hAnsi="Verdana" w:cs="Arial"/>
          <w:sz w:val="18"/>
          <w:szCs w:val="18"/>
        </w:rPr>
        <w:t xml:space="preserve"> reached </w:t>
      </w:r>
      <w:r>
        <w:rPr>
          <w:rFonts w:ascii="Verdana" w:hAnsi="Verdana" w:cs="Arial"/>
          <w:sz w:val="18"/>
          <w:szCs w:val="18"/>
        </w:rPr>
        <w:t>7</w:t>
      </w:r>
      <w:r w:rsidR="00D82D23">
        <w:rPr>
          <w:rFonts w:ascii="Verdana" w:hAnsi="Verdana" w:cs="Arial"/>
          <w:sz w:val="18"/>
          <w:szCs w:val="18"/>
        </w:rPr>
        <w:t>7</w:t>
      </w:r>
      <w:r w:rsidRPr="00F95AEC">
        <w:rPr>
          <w:rFonts w:ascii="Verdana" w:hAnsi="Verdana" w:cs="Arial"/>
          <w:sz w:val="18"/>
          <w:szCs w:val="18"/>
        </w:rPr>
        <w:t>.</w:t>
      </w:r>
      <w:r w:rsidR="00D82D23">
        <w:rPr>
          <w:rFonts w:ascii="Verdana" w:hAnsi="Verdana" w:cs="Arial"/>
          <w:sz w:val="18"/>
          <w:szCs w:val="18"/>
        </w:rPr>
        <w:t>034</w:t>
      </w:r>
      <w:r w:rsidRPr="00F95AEC">
        <w:rPr>
          <w:rFonts w:ascii="Verdana" w:hAnsi="Verdana" w:cs="Arial"/>
          <w:sz w:val="18"/>
          <w:szCs w:val="18"/>
        </w:rPr>
        <w:t xml:space="preserve"> </w:t>
      </w:r>
      <w:r>
        <w:rPr>
          <w:rFonts w:ascii="Verdana" w:hAnsi="Verdana" w:cs="Arial"/>
          <w:sz w:val="18"/>
          <w:szCs w:val="18"/>
        </w:rPr>
        <w:t>person</w:t>
      </w:r>
      <w:r w:rsidRPr="00F95AEC">
        <w:rPr>
          <w:rFonts w:ascii="Verdana" w:hAnsi="Verdana" w:cs="Arial"/>
          <w:sz w:val="18"/>
          <w:szCs w:val="18"/>
        </w:rPr>
        <w:t xml:space="preserve">s. The employment in General Government was </w:t>
      </w:r>
      <w:r w:rsidR="008446F4">
        <w:rPr>
          <w:rFonts w:ascii="Verdana" w:hAnsi="Verdana" w:cs="Arial"/>
          <w:sz w:val="18"/>
          <w:szCs w:val="18"/>
        </w:rPr>
        <w:t>7</w:t>
      </w:r>
      <w:r w:rsidR="00D82D23">
        <w:rPr>
          <w:rFonts w:ascii="Verdana" w:hAnsi="Verdana" w:cs="Arial"/>
          <w:sz w:val="18"/>
          <w:szCs w:val="18"/>
        </w:rPr>
        <w:t>2</w:t>
      </w:r>
      <w:r w:rsidRPr="00F95AEC">
        <w:rPr>
          <w:rFonts w:ascii="Verdana" w:hAnsi="Verdana" w:cs="Arial"/>
          <w:sz w:val="18"/>
          <w:szCs w:val="18"/>
        </w:rPr>
        <w:t>.</w:t>
      </w:r>
      <w:r w:rsidR="00D82D23">
        <w:rPr>
          <w:rFonts w:ascii="Verdana" w:hAnsi="Verdana" w:cs="Arial"/>
          <w:sz w:val="18"/>
          <w:szCs w:val="18"/>
        </w:rPr>
        <w:t>072</w:t>
      </w:r>
      <w:r w:rsidRPr="00F95AEC">
        <w:rPr>
          <w:rFonts w:ascii="Verdana" w:hAnsi="Verdana" w:cs="Arial"/>
          <w:sz w:val="18"/>
          <w:szCs w:val="18"/>
        </w:rPr>
        <w:t xml:space="preserve"> and in the Publicly Owned Enterprises and Companies </w:t>
      </w:r>
      <w:r w:rsidR="00E3146A" w:rsidRPr="00E3146A">
        <w:rPr>
          <w:rFonts w:ascii="Verdana" w:hAnsi="Verdana" w:cs="Arial"/>
          <w:sz w:val="18"/>
          <w:szCs w:val="18"/>
        </w:rPr>
        <w:t>4</w:t>
      </w:r>
      <w:r w:rsidRPr="00F95AEC">
        <w:rPr>
          <w:rFonts w:ascii="Verdana" w:hAnsi="Verdana" w:cs="Arial"/>
          <w:sz w:val="18"/>
          <w:szCs w:val="18"/>
        </w:rPr>
        <w:t>.</w:t>
      </w:r>
      <w:r w:rsidR="00E3146A" w:rsidRPr="00E3146A">
        <w:rPr>
          <w:rFonts w:ascii="Verdana" w:hAnsi="Verdana" w:cs="Arial"/>
          <w:sz w:val="18"/>
          <w:szCs w:val="18"/>
        </w:rPr>
        <w:t>9</w:t>
      </w:r>
      <w:r w:rsidR="008446F4">
        <w:rPr>
          <w:rFonts w:ascii="Verdana" w:hAnsi="Verdana" w:cs="Arial"/>
          <w:sz w:val="18"/>
          <w:szCs w:val="18"/>
        </w:rPr>
        <w:t>6</w:t>
      </w:r>
      <w:r w:rsidR="00D82D23">
        <w:rPr>
          <w:rFonts w:ascii="Verdana" w:hAnsi="Verdana" w:cs="Arial"/>
          <w:sz w:val="18"/>
          <w:szCs w:val="18"/>
        </w:rPr>
        <w:t>2</w:t>
      </w:r>
      <w:r w:rsidRPr="00F95AEC">
        <w:rPr>
          <w:rFonts w:ascii="Verdana" w:hAnsi="Verdana" w:cs="Arial"/>
          <w:sz w:val="18"/>
          <w:szCs w:val="18"/>
        </w:rPr>
        <w:t xml:space="preserve"> persons. </w:t>
      </w:r>
    </w:p>
    <w:p w14:paraId="793DA3A1" w14:textId="77777777" w:rsidR="006C16A4" w:rsidRPr="00916028" w:rsidRDefault="006C16A4" w:rsidP="006C16A4">
      <w:pPr>
        <w:jc w:val="both"/>
        <w:rPr>
          <w:rFonts w:ascii="Verdana" w:hAnsi="Verdana" w:cs="Arial"/>
          <w:color w:val="FF0000"/>
          <w:sz w:val="18"/>
          <w:szCs w:val="18"/>
        </w:rPr>
      </w:pPr>
    </w:p>
    <w:p w14:paraId="4CBB579D" w14:textId="2C6F11B3" w:rsidR="006C16A4" w:rsidRDefault="006C16A4" w:rsidP="006C16A4">
      <w:pPr>
        <w:jc w:val="both"/>
        <w:rPr>
          <w:rFonts w:ascii="Verdana" w:hAnsi="Verdana" w:cs="Arial"/>
          <w:sz w:val="18"/>
          <w:szCs w:val="18"/>
        </w:rPr>
      </w:pPr>
      <w:r w:rsidRPr="00F95AEC">
        <w:rPr>
          <w:rFonts w:ascii="Verdana" w:hAnsi="Verdana" w:cs="Arial"/>
          <w:sz w:val="18"/>
          <w:szCs w:val="18"/>
        </w:rPr>
        <w:t>In General Government, which consists of the Government, Non-Profit Organi</w:t>
      </w:r>
      <w:r w:rsidR="00FA5E0B">
        <w:rPr>
          <w:rFonts w:ascii="Verdana" w:hAnsi="Verdana" w:cs="Arial"/>
          <w:sz w:val="18"/>
          <w:szCs w:val="18"/>
        </w:rPr>
        <w:t>s</w:t>
      </w:r>
      <w:r w:rsidRPr="00F95AEC">
        <w:rPr>
          <w:rFonts w:ascii="Verdana" w:hAnsi="Verdana" w:cs="Arial"/>
          <w:sz w:val="18"/>
          <w:szCs w:val="18"/>
        </w:rPr>
        <w:t>ations and Local Authorities, total employment reached 5</w:t>
      </w:r>
      <w:r w:rsidR="008446F4">
        <w:rPr>
          <w:rFonts w:ascii="Verdana" w:hAnsi="Verdana" w:cs="Arial"/>
          <w:sz w:val="18"/>
          <w:szCs w:val="18"/>
        </w:rPr>
        <w:t>5</w:t>
      </w:r>
      <w:r w:rsidRPr="00F95AEC">
        <w:rPr>
          <w:rFonts w:ascii="Verdana" w:hAnsi="Verdana" w:cs="Arial"/>
          <w:sz w:val="18"/>
          <w:szCs w:val="18"/>
        </w:rPr>
        <w:t>.</w:t>
      </w:r>
      <w:r w:rsidR="00D82D23">
        <w:rPr>
          <w:rFonts w:ascii="Verdana" w:hAnsi="Verdana" w:cs="Arial"/>
          <w:sz w:val="18"/>
          <w:szCs w:val="18"/>
        </w:rPr>
        <w:t>243</w:t>
      </w:r>
      <w:r w:rsidRPr="00F95AEC">
        <w:rPr>
          <w:rFonts w:ascii="Verdana" w:hAnsi="Verdana" w:cs="Arial"/>
          <w:sz w:val="18"/>
          <w:szCs w:val="18"/>
        </w:rPr>
        <w:t xml:space="preserve">, </w:t>
      </w:r>
      <w:r w:rsidR="008446F4">
        <w:rPr>
          <w:rFonts w:ascii="Verdana" w:hAnsi="Verdana" w:cs="Arial"/>
          <w:sz w:val="18"/>
          <w:szCs w:val="18"/>
        </w:rPr>
        <w:t>11</w:t>
      </w:r>
      <w:r w:rsidRPr="00F95AEC">
        <w:rPr>
          <w:rFonts w:ascii="Verdana" w:hAnsi="Verdana" w:cs="Arial"/>
          <w:sz w:val="18"/>
          <w:szCs w:val="18"/>
        </w:rPr>
        <w:t>.</w:t>
      </w:r>
      <w:r w:rsidR="00D82D23">
        <w:rPr>
          <w:rFonts w:ascii="Verdana" w:hAnsi="Verdana" w:cs="Arial"/>
          <w:sz w:val="18"/>
          <w:szCs w:val="18"/>
        </w:rPr>
        <w:t>248</w:t>
      </w:r>
      <w:r w:rsidRPr="00F95AEC">
        <w:rPr>
          <w:rFonts w:ascii="Verdana" w:hAnsi="Verdana" w:cs="Arial"/>
          <w:sz w:val="18"/>
          <w:szCs w:val="18"/>
        </w:rPr>
        <w:t xml:space="preserve"> and </w:t>
      </w:r>
      <w:r w:rsidR="00E3146A" w:rsidRPr="00E3146A">
        <w:rPr>
          <w:rFonts w:ascii="Verdana" w:hAnsi="Verdana" w:cs="Arial"/>
          <w:sz w:val="18"/>
          <w:szCs w:val="18"/>
        </w:rPr>
        <w:t>5</w:t>
      </w:r>
      <w:r w:rsidRPr="00F95AEC">
        <w:rPr>
          <w:rFonts w:ascii="Verdana" w:hAnsi="Verdana" w:cs="Arial"/>
          <w:sz w:val="18"/>
          <w:szCs w:val="18"/>
        </w:rPr>
        <w:t>.</w:t>
      </w:r>
      <w:r w:rsidR="00D82D23">
        <w:rPr>
          <w:rFonts w:ascii="Verdana" w:hAnsi="Verdana" w:cs="Arial"/>
          <w:sz w:val="18"/>
          <w:szCs w:val="18"/>
        </w:rPr>
        <w:t>581</w:t>
      </w:r>
      <w:r w:rsidRPr="00F95AEC">
        <w:rPr>
          <w:rFonts w:ascii="Verdana" w:hAnsi="Verdana" w:cs="Arial"/>
          <w:sz w:val="18"/>
          <w:szCs w:val="18"/>
        </w:rPr>
        <w:t xml:space="preserve"> persons respectively.</w:t>
      </w:r>
    </w:p>
    <w:p w14:paraId="15F21ABA" w14:textId="77777777" w:rsidR="006855C7" w:rsidRDefault="006855C7" w:rsidP="006C16A4">
      <w:pPr>
        <w:jc w:val="both"/>
        <w:rPr>
          <w:rFonts w:ascii="Verdana" w:hAnsi="Verdana" w:cs="Arial"/>
          <w:sz w:val="18"/>
          <w:szCs w:val="18"/>
        </w:rPr>
      </w:pPr>
    </w:p>
    <w:p w14:paraId="79924966" w14:textId="21649C11" w:rsidR="000832B8" w:rsidRPr="00633ECD" w:rsidRDefault="00633ECD" w:rsidP="00B91D41">
      <w:pPr>
        <w:jc w:val="center"/>
        <w:rPr>
          <w:rFonts w:ascii="Verdana" w:hAnsi="Verdana" w:cs="Arial"/>
          <w:sz w:val="18"/>
          <w:szCs w:val="18"/>
        </w:rPr>
      </w:pPr>
      <w:r>
        <w:rPr>
          <w:rFonts w:ascii="Verdana" w:hAnsi="Verdana" w:cs="Arial"/>
          <w:noProof/>
          <w:sz w:val="18"/>
          <w:szCs w:val="18"/>
        </w:rPr>
        <w:drawing>
          <wp:inline distT="0" distB="0" distL="0" distR="0" wp14:anchorId="002AC125" wp14:editId="227C9B75">
            <wp:extent cx="6102350" cy="5206365"/>
            <wp:effectExtent l="0" t="0" r="0" b="0"/>
            <wp:docPr id="4120254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350" cy="5206365"/>
                    </a:xfrm>
                    <a:prstGeom prst="rect">
                      <a:avLst/>
                    </a:prstGeom>
                    <a:noFill/>
                  </pic:spPr>
                </pic:pic>
              </a:graphicData>
            </a:graphic>
          </wp:inline>
        </w:drawing>
      </w:r>
    </w:p>
    <w:p w14:paraId="16BE0B06" w14:textId="2BC3F35F" w:rsidR="00E3146A" w:rsidRPr="00B91D41" w:rsidRDefault="006C16A4" w:rsidP="00B91D41">
      <w:pPr>
        <w:rPr>
          <w:rFonts w:ascii="Verdana" w:eastAsia="Malgun Gothic" w:hAnsi="Verdana" w:cs="Arial"/>
          <w:sz w:val="18"/>
          <w:szCs w:val="18"/>
        </w:rPr>
      </w:pPr>
      <w:r w:rsidRPr="00F95AEC">
        <w:rPr>
          <w:rFonts w:ascii="Verdana" w:hAnsi="Verdana" w:cs="Arial"/>
          <w:sz w:val="18"/>
          <w:szCs w:val="18"/>
        </w:rPr>
        <w:lastRenderedPageBreak/>
        <w:t xml:space="preserve">The employment in the Broad Public Sector increased by </w:t>
      </w:r>
      <w:r w:rsidR="002A55A5">
        <w:rPr>
          <w:rFonts w:ascii="Verdana" w:hAnsi="Verdana" w:cs="Arial"/>
          <w:sz w:val="18"/>
          <w:szCs w:val="18"/>
        </w:rPr>
        <w:t>1.</w:t>
      </w:r>
      <w:r w:rsidR="00D053B1">
        <w:rPr>
          <w:rFonts w:ascii="Verdana" w:hAnsi="Verdana" w:cs="Arial"/>
          <w:sz w:val="18"/>
          <w:szCs w:val="18"/>
        </w:rPr>
        <w:t>311</w:t>
      </w:r>
      <w:r w:rsidRPr="00F95AEC">
        <w:rPr>
          <w:rFonts w:ascii="Verdana" w:hAnsi="Verdana" w:cs="Arial"/>
          <w:sz w:val="18"/>
          <w:szCs w:val="18"/>
        </w:rPr>
        <w:t xml:space="preserve"> persons (</w:t>
      </w:r>
      <w:r w:rsidR="00D053B1">
        <w:rPr>
          <w:rFonts w:ascii="Verdana" w:hAnsi="Verdana" w:cs="Arial"/>
          <w:sz w:val="18"/>
          <w:szCs w:val="18"/>
        </w:rPr>
        <w:t>1</w:t>
      </w:r>
      <w:r w:rsidRPr="00F95AEC">
        <w:rPr>
          <w:rFonts w:ascii="Verdana" w:hAnsi="Verdana" w:cs="Arial"/>
          <w:sz w:val="18"/>
          <w:szCs w:val="18"/>
        </w:rPr>
        <w:t>,</w:t>
      </w:r>
      <w:r w:rsidR="00D053B1">
        <w:rPr>
          <w:rFonts w:ascii="Verdana" w:hAnsi="Verdana" w:cs="Arial"/>
          <w:sz w:val="18"/>
          <w:szCs w:val="18"/>
        </w:rPr>
        <w:t>7</w:t>
      </w:r>
      <w:r w:rsidRPr="00F95AEC">
        <w:rPr>
          <w:rFonts w:ascii="Verdana" w:hAnsi="Verdana" w:cs="Arial"/>
          <w:sz w:val="18"/>
          <w:szCs w:val="18"/>
        </w:rPr>
        <w:t>%) compared to the same quarter of 20</w:t>
      </w:r>
      <w:r>
        <w:rPr>
          <w:rFonts w:ascii="Verdana" w:hAnsi="Verdana" w:cs="Arial"/>
          <w:sz w:val="18"/>
          <w:szCs w:val="18"/>
        </w:rPr>
        <w:t>2</w:t>
      </w:r>
      <w:r w:rsidR="00D053B1">
        <w:rPr>
          <w:rFonts w:ascii="Verdana" w:hAnsi="Verdana" w:cs="Arial"/>
          <w:sz w:val="18"/>
          <w:szCs w:val="18"/>
        </w:rPr>
        <w:t>4</w:t>
      </w:r>
      <w:r w:rsidRPr="00F95AEC">
        <w:rPr>
          <w:rFonts w:ascii="Verdana" w:hAnsi="Verdana" w:cs="Arial"/>
          <w:sz w:val="18"/>
          <w:szCs w:val="18"/>
        </w:rPr>
        <w:t xml:space="preserve">. </w:t>
      </w:r>
      <w:r>
        <w:rPr>
          <w:rFonts w:ascii="Verdana" w:hAnsi="Verdana" w:cs="Arial"/>
          <w:sz w:val="18"/>
          <w:szCs w:val="18"/>
        </w:rPr>
        <w:t>The</w:t>
      </w:r>
      <w:r w:rsidRPr="00F95AEC">
        <w:rPr>
          <w:rFonts w:ascii="Verdana" w:hAnsi="Verdana" w:cs="Arial"/>
          <w:sz w:val="18"/>
          <w:szCs w:val="18"/>
        </w:rPr>
        <w:t xml:space="preserve"> employment </w:t>
      </w:r>
      <w:r>
        <w:rPr>
          <w:rFonts w:ascii="Verdana" w:hAnsi="Verdana" w:cs="Arial"/>
          <w:sz w:val="18"/>
          <w:szCs w:val="18"/>
        </w:rPr>
        <w:t>i</w:t>
      </w:r>
      <w:r w:rsidRPr="00F95AEC">
        <w:rPr>
          <w:rFonts w:ascii="Verdana" w:hAnsi="Verdana" w:cs="Arial"/>
          <w:sz w:val="18"/>
          <w:szCs w:val="18"/>
        </w:rPr>
        <w:t xml:space="preserve">n Central Government </w:t>
      </w:r>
      <w:r>
        <w:rPr>
          <w:rFonts w:ascii="Verdana" w:hAnsi="Verdana" w:cs="Arial"/>
          <w:sz w:val="18"/>
          <w:szCs w:val="18"/>
        </w:rPr>
        <w:t xml:space="preserve">increased </w:t>
      </w:r>
      <w:r w:rsidRPr="00F95AEC">
        <w:rPr>
          <w:rFonts w:ascii="Verdana" w:hAnsi="Verdana" w:cs="Arial"/>
          <w:sz w:val="18"/>
          <w:szCs w:val="18"/>
        </w:rPr>
        <w:t xml:space="preserve">by </w:t>
      </w:r>
      <w:r w:rsidR="002A55A5">
        <w:rPr>
          <w:rFonts w:ascii="Verdana" w:hAnsi="Verdana" w:cs="Arial"/>
          <w:sz w:val="18"/>
          <w:szCs w:val="18"/>
        </w:rPr>
        <w:t>1.</w:t>
      </w:r>
      <w:r w:rsidR="00D053B1">
        <w:rPr>
          <w:rFonts w:ascii="Verdana" w:hAnsi="Verdana" w:cs="Arial"/>
          <w:sz w:val="18"/>
          <w:szCs w:val="18"/>
        </w:rPr>
        <w:t>026</w:t>
      </w:r>
      <w:r w:rsidR="000832B8">
        <w:rPr>
          <w:rFonts w:ascii="Verdana" w:hAnsi="Verdana" w:cs="Arial"/>
          <w:sz w:val="18"/>
          <w:szCs w:val="18"/>
        </w:rPr>
        <w:t xml:space="preserve"> </w:t>
      </w:r>
      <w:r w:rsidRPr="00F95AEC">
        <w:rPr>
          <w:rFonts w:ascii="Verdana" w:hAnsi="Verdana" w:cs="Arial"/>
          <w:sz w:val="18"/>
          <w:szCs w:val="18"/>
        </w:rPr>
        <w:t>persons (</w:t>
      </w:r>
      <w:r w:rsidR="006A3E28">
        <w:rPr>
          <w:rFonts w:ascii="Verdana" w:hAnsi="Verdana" w:cs="Arial"/>
          <w:sz w:val="18"/>
          <w:szCs w:val="18"/>
        </w:rPr>
        <w:t>1</w:t>
      </w:r>
      <w:r w:rsidRPr="00F95AEC">
        <w:rPr>
          <w:rFonts w:ascii="Verdana" w:hAnsi="Verdana" w:cs="Arial"/>
          <w:sz w:val="18"/>
          <w:szCs w:val="18"/>
        </w:rPr>
        <w:t>,</w:t>
      </w:r>
      <w:r w:rsidR="00D053B1">
        <w:rPr>
          <w:rFonts w:ascii="Verdana" w:hAnsi="Verdana" w:cs="Arial"/>
          <w:sz w:val="18"/>
          <w:szCs w:val="18"/>
        </w:rPr>
        <w:t>6</w:t>
      </w:r>
      <w:r w:rsidRPr="00F95AEC">
        <w:rPr>
          <w:rFonts w:ascii="Verdana" w:hAnsi="Verdana" w:cs="Arial"/>
          <w:sz w:val="18"/>
          <w:szCs w:val="18"/>
        </w:rPr>
        <w:t>%)</w:t>
      </w:r>
      <w:r w:rsidR="00E3146A" w:rsidRPr="00E3146A">
        <w:rPr>
          <w:rFonts w:ascii="Verdana" w:hAnsi="Verdana" w:cs="Arial"/>
          <w:sz w:val="18"/>
          <w:szCs w:val="18"/>
        </w:rPr>
        <w:t xml:space="preserve"> </w:t>
      </w:r>
      <w:r w:rsidR="00E3146A">
        <w:rPr>
          <w:rFonts w:ascii="Verdana" w:hAnsi="Verdana" w:cs="Arial"/>
          <w:sz w:val="18"/>
          <w:szCs w:val="18"/>
        </w:rPr>
        <w:t xml:space="preserve">and </w:t>
      </w:r>
      <w:r w:rsidR="00CC0A68">
        <w:rPr>
          <w:rFonts w:ascii="Verdana" w:hAnsi="Verdana" w:cs="Arial"/>
          <w:sz w:val="18"/>
          <w:szCs w:val="18"/>
        </w:rPr>
        <w:t>in</w:t>
      </w:r>
      <w:r w:rsidR="00BA5C76">
        <w:rPr>
          <w:rFonts w:ascii="Verdana" w:hAnsi="Verdana" w:cs="Arial"/>
          <w:sz w:val="18"/>
          <w:szCs w:val="18"/>
        </w:rPr>
        <w:t xml:space="preserve"> </w:t>
      </w:r>
      <w:r w:rsidR="00CC0A68" w:rsidRPr="00F95AEC">
        <w:rPr>
          <w:rFonts w:ascii="Verdana" w:hAnsi="Verdana" w:cs="Arial"/>
          <w:sz w:val="18"/>
          <w:szCs w:val="18"/>
        </w:rPr>
        <w:t>Local Authorities</w:t>
      </w:r>
      <w:r w:rsidR="00CC0A68">
        <w:rPr>
          <w:rFonts w:ascii="Verdana" w:hAnsi="Verdana" w:cs="Arial"/>
          <w:sz w:val="18"/>
          <w:szCs w:val="18"/>
        </w:rPr>
        <w:t xml:space="preserve"> by</w:t>
      </w:r>
      <w:r w:rsidR="006A3E28">
        <w:rPr>
          <w:rFonts w:ascii="Verdana" w:hAnsi="Verdana" w:cs="Arial"/>
          <w:sz w:val="18"/>
          <w:szCs w:val="18"/>
        </w:rPr>
        <w:t xml:space="preserve"> </w:t>
      </w:r>
      <w:r w:rsidR="002A55A5">
        <w:rPr>
          <w:rFonts w:ascii="Verdana" w:hAnsi="Verdana" w:cs="Arial"/>
          <w:sz w:val="18"/>
          <w:szCs w:val="18"/>
        </w:rPr>
        <w:t>1.11</w:t>
      </w:r>
      <w:r w:rsidR="00D053B1">
        <w:rPr>
          <w:rFonts w:ascii="Verdana" w:hAnsi="Verdana" w:cs="Arial"/>
          <w:sz w:val="18"/>
          <w:szCs w:val="18"/>
        </w:rPr>
        <w:t>7</w:t>
      </w:r>
      <w:r w:rsidR="00E3146A">
        <w:rPr>
          <w:rFonts w:ascii="Verdana" w:hAnsi="Verdana" w:cs="Arial"/>
          <w:sz w:val="18"/>
          <w:szCs w:val="18"/>
        </w:rPr>
        <w:t xml:space="preserve"> </w:t>
      </w:r>
      <w:r w:rsidR="00CC0A68">
        <w:rPr>
          <w:rFonts w:ascii="Verdana" w:hAnsi="Verdana" w:cs="Arial"/>
          <w:sz w:val="18"/>
          <w:szCs w:val="18"/>
        </w:rPr>
        <w:t>persons (</w:t>
      </w:r>
      <w:r w:rsidR="006A3E28">
        <w:rPr>
          <w:rFonts w:ascii="Verdana" w:hAnsi="Verdana" w:cs="Arial"/>
          <w:sz w:val="18"/>
          <w:szCs w:val="18"/>
        </w:rPr>
        <w:t>2</w:t>
      </w:r>
      <w:r w:rsidR="00D053B1">
        <w:rPr>
          <w:rFonts w:ascii="Verdana" w:hAnsi="Verdana" w:cs="Arial"/>
          <w:sz w:val="18"/>
          <w:szCs w:val="18"/>
        </w:rPr>
        <w:t>5</w:t>
      </w:r>
      <w:r w:rsidR="00CC0A68">
        <w:rPr>
          <w:rFonts w:ascii="Verdana" w:hAnsi="Verdana" w:cs="Arial"/>
          <w:sz w:val="18"/>
          <w:szCs w:val="18"/>
        </w:rPr>
        <w:t>,</w:t>
      </w:r>
      <w:r w:rsidR="00D053B1">
        <w:rPr>
          <w:rFonts w:ascii="Verdana" w:hAnsi="Verdana" w:cs="Arial"/>
          <w:sz w:val="18"/>
          <w:szCs w:val="18"/>
        </w:rPr>
        <w:t>0</w:t>
      </w:r>
      <w:r w:rsidR="00CC0A68">
        <w:rPr>
          <w:rFonts w:ascii="Verdana" w:hAnsi="Verdana" w:cs="Arial"/>
          <w:sz w:val="18"/>
          <w:szCs w:val="18"/>
        </w:rPr>
        <w:t>%)</w:t>
      </w:r>
      <w:r w:rsidR="00E3146A">
        <w:rPr>
          <w:rFonts w:ascii="Verdana" w:hAnsi="Verdana" w:cs="Arial"/>
          <w:sz w:val="18"/>
          <w:szCs w:val="18"/>
        </w:rPr>
        <w:t>, whereas</w:t>
      </w:r>
      <w:r w:rsidR="006A3E28">
        <w:rPr>
          <w:rFonts w:ascii="Verdana" w:hAnsi="Verdana" w:cs="Arial"/>
          <w:sz w:val="18"/>
          <w:szCs w:val="18"/>
        </w:rPr>
        <w:t xml:space="preserve"> </w:t>
      </w:r>
      <w:r w:rsidR="00DB2057">
        <w:rPr>
          <w:rFonts w:ascii="Verdana" w:hAnsi="Verdana" w:cs="Arial"/>
          <w:sz w:val="18"/>
          <w:szCs w:val="18"/>
        </w:rPr>
        <w:t xml:space="preserve">in </w:t>
      </w:r>
      <w:r w:rsidR="00DB2057" w:rsidRPr="00F95AEC">
        <w:rPr>
          <w:rFonts w:ascii="Verdana" w:hAnsi="Verdana" w:cs="Arial"/>
          <w:sz w:val="18"/>
          <w:szCs w:val="18"/>
        </w:rPr>
        <w:t>Publicly Owned Enterprises and Companies</w:t>
      </w:r>
      <w:r w:rsidR="00E3146A">
        <w:rPr>
          <w:rFonts w:ascii="Verdana" w:hAnsi="Verdana" w:cs="Arial"/>
          <w:sz w:val="18"/>
          <w:szCs w:val="18"/>
        </w:rPr>
        <w:t xml:space="preserve"> it decreased </w:t>
      </w:r>
      <w:r w:rsidR="00DB2057" w:rsidRPr="00F95AEC">
        <w:rPr>
          <w:rFonts w:ascii="Verdana" w:hAnsi="Verdana" w:cs="Arial"/>
          <w:sz w:val="18"/>
          <w:szCs w:val="18"/>
        </w:rPr>
        <w:t>by</w:t>
      </w:r>
      <w:r w:rsidR="00E3146A">
        <w:rPr>
          <w:rFonts w:ascii="Verdana" w:hAnsi="Verdana" w:cs="Arial"/>
          <w:sz w:val="18"/>
          <w:szCs w:val="18"/>
        </w:rPr>
        <w:t xml:space="preserve"> 8</w:t>
      </w:r>
      <w:r w:rsidR="002A55A5">
        <w:rPr>
          <w:rFonts w:ascii="Verdana" w:hAnsi="Verdana" w:cs="Arial"/>
          <w:sz w:val="18"/>
          <w:szCs w:val="18"/>
        </w:rPr>
        <w:t>3</w:t>
      </w:r>
      <w:r w:rsidR="00D053B1">
        <w:rPr>
          <w:rFonts w:ascii="Verdana" w:hAnsi="Verdana" w:cs="Arial"/>
          <w:sz w:val="18"/>
          <w:szCs w:val="18"/>
        </w:rPr>
        <w:t>2</w:t>
      </w:r>
      <w:r w:rsidR="00DB2057" w:rsidRPr="00F95AEC">
        <w:rPr>
          <w:rFonts w:ascii="Verdana" w:hAnsi="Verdana" w:cs="Arial"/>
          <w:sz w:val="18"/>
          <w:szCs w:val="18"/>
        </w:rPr>
        <w:t xml:space="preserve"> persons</w:t>
      </w:r>
      <w:r w:rsidR="006A3E28">
        <w:rPr>
          <w:rFonts w:ascii="Verdana" w:hAnsi="Verdana" w:cs="Arial"/>
          <w:sz w:val="18"/>
          <w:szCs w:val="18"/>
        </w:rPr>
        <w:t xml:space="preserve"> </w:t>
      </w:r>
      <w:r w:rsidR="00E3146A">
        <w:rPr>
          <w:rFonts w:ascii="Verdana" w:hAnsi="Verdana" w:cs="Arial"/>
          <w:sz w:val="18"/>
          <w:szCs w:val="18"/>
        </w:rPr>
        <w:t>(-14</w:t>
      </w:r>
      <w:r w:rsidR="00DB2057" w:rsidRPr="00F95AEC">
        <w:rPr>
          <w:rFonts w:ascii="Verdana" w:hAnsi="Verdana" w:cs="Arial"/>
          <w:sz w:val="18"/>
          <w:szCs w:val="18"/>
        </w:rPr>
        <w:t>,</w:t>
      </w:r>
      <w:r w:rsidR="00D053B1">
        <w:rPr>
          <w:rFonts w:ascii="Verdana" w:hAnsi="Verdana" w:cs="Arial"/>
          <w:sz w:val="18"/>
          <w:szCs w:val="18"/>
        </w:rPr>
        <w:t>4</w:t>
      </w:r>
      <w:r w:rsidR="00DB2057" w:rsidRPr="00F95AEC">
        <w:rPr>
          <w:rFonts w:ascii="Verdana" w:hAnsi="Verdana" w:cs="Arial"/>
          <w:sz w:val="18"/>
          <w:szCs w:val="18"/>
        </w:rPr>
        <w:t>%)</w:t>
      </w:r>
      <w:r w:rsidR="00DB2057">
        <w:rPr>
          <w:rFonts w:ascii="Verdana" w:hAnsi="Verdana" w:cs="Arial"/>
          <w:sz w:val="18"/>
          <w:szCs w:val="18"/>
        </w:rPr>
        <w:t>.</w:t>
      </w:r>
      <w:r w:rsidR="00D1259D" w:rsidRPr="00D1259D">
        <w:rPr>
          <w:rFonts w:ascii="Verdana" w:hAnsi="Verdana" w:cs="Arial"/>
          <w:sz w:val="18"/>
          <w:szCs w:val="18"/>
        </w:rPr>
        <w:t xml:space="preserve"> </w:t>
      </w:r>
      <w:r w:rsidR="00D1259D" w:rsidRPr="00B94785">
        <w:rPr>
          <w:rFonts w:ascii="Verdana" w:hAnsi="Verdana" w:cs="Arial"/>
          <w:sz w:val="18"/>
          <w:szCs w:val="18"/>
        </w:rPr>
        <w:t>The increase</w:t>
      </w:r>
      <w:r w:rsidR="00E3146A">
        <w:rPr>
          <w:rFonts w:ascii="Verdana" w:hAnsi="Verdana" w:cs="Arial"/>
          <w:sz w:val="18"/>
          <w:szCs w:val="18"/>
        </w:rPr>
        <w:t xml:space="preserve"> in Local Authorities employment and the respective decrease in </w:t>
      </w:r>
      <w:r w:rsidR="00E3146A" w:rsidRPr="00F95AEC">
        <w:rPr>
          <w:rFonts w:ascii="Verdana" w:hAnsi="Verdana" w:cs="Arial"/>
          <w:sz w:val="18"/>
          <w:szCs w:val="18"/>
        </w:rPr>
        <w:t>Publicly Owned Enterprises and Companies</w:t>
      </w:r>
      <w:r w:rsidR="00E3146A">
        <w:rPr>
          <w:rFonts w:ascii="Verdana" w:hAnsi="Verdana" w:cs="Arial"/>
          <w:sz w:val="18"/>
          <w:szCs w:val="18"/>
        </w:rPr>
        <w:t xml:space="preserve"> employment is </w:t>
      </w:r>
      <w:r w:rsidR="00D1259D" w:rsidRPr="00B94785">
        <w:rPr>
          <w:rFonts w:ascii="Verdana" w:hAnsi="Verdana" w:cs="Arial"/>
          <w:sz w:val="18"/>
          <w:szCs w:val="18"/>
        </w:rPr>
        <w:t>attributed to the</w:t>
      </w:r>
      <w:r w:rsidR="00E3146A">
        <w:rPr>
          <w:rFonts w:ascii="Verdana" w:hAnsi="Verdana" w:cs="Arial"/>
          <w:sz w:val="18"/>
          <w:szCs w:val="18"/>
        </w:rPr>
        <w:t xml:space="preserve"> </w:t>
      </w:r>
      <w:r w:rsidR="004A66DB">
        <w:rPr>
          <w:rFonts w:ascii="Verdana" w:hAnsi="Verdana" w:cs="Arial"/>
          <w:sz w:val="18"/>
          <w:szCs w:val="18"/>
        </w:rPr>
        <w:t xml:space="preserve">establishment </w:t>
      </w:r>
      <w:r w:rsidR="00E3146A">
        <w:rPr>
          <w:rFonts w:ascii="Verdana" w:hAnsi="Verdana" w:cs="Arial"/>
          <w:sz w:val="18"/>
          <w:szCs w:val="18"/>
        </w:rPr>
        <w:t>of the District Local Government Organisations</w:t>
      </w:r>
      <w:r w:rsidR="00192998">
        <w:rPr>
          <w:rFonts w:ascii="Verdana" w:hAnsi="Verdana" w:cs="Arial"/>
          <w:sz w:val="18"/>
          <w:szCs w:val="18"/>
        </w:rPr>
        <w:t xml:space="preserve"> (DLGO)</w:t>
      </w:r>
      <w:r w:rsidR="004A66DB">
        <w:rPr>
          <w:rFonts w:ascii="Verdana" w:hAnsi="Verdana" w:cs="Arial"/>
          <w:sz w:val="18"/>
          <w:szCs w:val="18"/>
        </w:rPr>
        <w:t xml:space="preserve"> as</w:t>
      </w:r>
      <w:r w:rsidR="00192998">
        <w:rPr>
          <w:rFonts w:ascii="Verdana" w:hAnsi="Verdana" w:cs="Arial"/>
          <w:sz w:val="18"/>
          <w:szCs w:val="18"/>
        </w:rPr>
        <w:t xml:space="preserve"> from</w:t>
      </w:r>
      <w:r w:rsidR="00FA5E0B">
        <w:rPr>
          <w:rFonts w:ascii="Verdana" w:hAnsi="Verdana" w:cs="Arial"/>
          <w:sz w:val="18"/>
          <w:szCs w:val="18"/>
        </w:rPr>
        <w:t xml:space="preserve"> the</w:t>
      </w:r>
      <w:r w:rsidR="00192998">
        <w:rPr>
          <w:rFonts w:ascii="Verdana" w:hAnsi="Verdana" w:cs="Arial"/>
          <w:sz w:val="18"/>
          <w:szCs w:val="18"/>
        </w:rPr>
        <w:t xml:space="preserve"> 1</w:t>
      </w:r>
      <w:r w:rsidR="00192998" w:rsidRPr="00192998">
        <w:rPr>
          <w:rFonts w:ascii="Verdana" w:hAnsi="Verdana" w:cs="Arial"/>
          <w:sz w:val="18"/>
          <w:szCs w:val="18"/>
          <w:vertAlign w:val="superscript"/>
        </w:rPr>
        <w:t>st</w:t>
      </w:r>
      <w:r w:rsidR="00192998">
        <w:rPr>
          <w:rFonts w:ascii="Verdana" w:hAnsi="Verdana" w:cs="Arial"/>
          <w:sz w:val="18"/>
          <w:szCs w:val="18"/>
        </w:rPr>
        <w:t xml:space="preserve"> </w:t>
      </w:r>
      <w:r w:rsidR="00FA5E0B">
        <w:rPr>
          <w:rFonts w:ascii="Verdana" w:hAnsi="Verdana" w:cs="Arial"/>
          <w:sz w:val="18"/>
          <w:szCs w:val="18"/>
        </w:rPr>
        <w:t xml:space="preserve">of </w:t>
      </w:r>
      <w:r w:rsidR="00192998">
        <w:rPr>
          <w:rFonts w:ascii="Verdana" w:hAnsi="Verdana" w:cs="Arial"/>
          <w:sz w:val="18"/>
          <w:szCs w:val="18"/>
        </w:rPr>
        <w:t>July 2024</w:t>
      </w:r>
      <w:r w:rsidR="004A66DB">
        <w:rPr>
          <w:rFonts w:ascii="Verdana" w:hAnsi="Verdana" w:cs="Arial"/>
          <w:sz w:val="18"/>
          <w:szCs w:val="18"/>
        </w:rPr>
        <w:t xml:space="preserve"> and the transfer of </w:t>
      </w:r>
      <w:r w:rsidR="00707AFE" w:rsidRPr="00192998">
        <w:rPr>
          <w:rFonts w:ascii="Verdana" w:hAnsi="Verdana" w:cs="Arial"/>
          <w:sz w:val="18"/>
          <w:szCs w:val="18"/>
        </w:rPr>
        <w:t>Sewe</w:t>
      </w:r>
      <w:r w:rsidR="00707AFE">
        <w:rPr>
          <w:rFonts w:ascii="Verdana" w:hAnsi="Verdana" w:cs="Arial"/>
          <w:sz w:val="18"/>
          <w:szCs w:val="18"/>
        </w:rPr>
        <w:t>ra</w:t>
      </w:r>
      <w:r w:rsidR="00707AFE" w:rsidRPr="00192998">
        <w:rPr>
          <w:rFonts w:ascii="Verdana" w:hAnsi="Verdana" w:cs="Arial"/>
          <w:sz w:val="18"/>
          <w:szCs w:val="18"/>
        </w:rPr>
        <w:t>ge</w:t>
      </w:r>
      <w:r w:rsidR="00192998" w:rsidRPr="00192998">
        <w:rPr>
          <w:rFonts w:ascii="Verdana" w:hAnsi="Verdana" w:cs="Arial"/>
          <w:sz w:val="18"/>
          <w:szCs w:val="18"/>
        </w:rPr>
        <w:t xml:space="preserve"> </w:t>
      </w:r>
      <w:r w:rsidR="004A66DB">
        <w:rPr>
          <w:rFonts w:ascii="Verdana" w:hAnsi="Verdana" w:cs="Arial"/>
          <w:sz w:val="18"/>
          <w:szCs w:val="18"/>
        </w:rPr>
        <w:t>Boards</w:t>
      </w:r>
      <w:r w:rsidR="004A66DB" w:rsidRPr="00192998">
        <w:rPr>
          <w:rFonts w:ascii="Verdana" w:hAnsi="Verdana" w:cs="Arial"/>
          <w:sz w:val="18"/>
          <w:szCs w:val="18"/>
        </w:rPr>
        <w:t xml:space="preserve"> </w:t>
      </w:r>
      <w:r w:rsidR="00192998">
        <w:rPr>
          <w:rFonts w:ascii="Verdana" w:hAnsi="Verdana" w:cs="Arial"/>
          <w:sz w:val="18"/>
          <w:szCs w:val="18"/>
        </w:rPr>
        <w:t>and</w:t>
      </w:r>
      <w:r w:rsidR="00192998" w:rsidRPr="00192998">
        <w:rPr>
          <w:rFonts w:ascii="Verdana" w:hAnsi="Verdana" w:cs="Arial"/>
          <w:sz w:val="18"/>
          <w:szCs w:val="18"/>
        </w:rPr>
        <w:t xml:space="preserve"> Water Boards</w:t>
      </w:r>
      <w:r w:rsidR="004A66DB">
        <w:rPr>
          <w:rFonts w:ascii="Verdana" w:hAnsi="Verdana" w:cs="Arial"/>
          <w:sz w:val="18"/>
          <w:szCs w:val="18"/>
        </w:rPr>
        <w:t xml:space="preserve"> under their jurisdiction</w:t>
      </w:r>
      <w:r w:rsidR="00192998">
        <w:rPr>
          <w:rFonts w:ascii="Verdana" w:hAnsi="Verdana" w:cs="Arial"/>
          <w:sz w:val="18"/>
          <w:szCs w:val="18"/>
        </w:rPr>
        <w:t xml:space="preserve">. </w:t>
      </w:r>
    </w:p>
    <w:p w14:paraId="0B7343BC" w14:textId="77777777" w:rsidR="00A168FC" w:rsidRDefault="00A168FC" w:rsidP="00CC0A68">
      <w:pPr>
        <w:jc w:val="both"/>
        <w:rPr>
          <w:rFonts w:ascii="Verdana" w:hAnsi="Verdana" w:cs="Arial"/>
          <w:sz w:val="18"/>
          <w:szCs w:val="18"/>
        </w:rPr>
      </w:pPr>
    </w:p>
    <w:p w14:paraId="549E5417" w14:textId="42A6BE29" w:rsidR="00C56AB3" w:rsidRDefault="006C16A4" w:rsidP="00C56AB3">
      <w:pPr>
        <w:jc w:val="both"/>
        <w:rPr>
          <w:rFonts w:ascii="Verdana" w:hAnsi="Verdana" w:cs="Arial"/>
          <w:sz w:val="18"/>
          <w:szCs w:val="18"/>
        </w:rPr>
      </w:pPr>
      <w:r w:rsidRPr="00C05D19">
        <w:rPr>
          <w:rFonts w:ascii="Verdana" w:hAnsi="Verdana" w:cs="Arial"/>
          <w:sz w:val="18"/>
          <w:szCs w:val="18"/>
        </w:rPr>
        <w:t xml:space="preserve">Compared to the </w:t>
      </w:r>
      <w:r w:rsidR="00D053B1">
        <w:rPr>
          <w:rFonts w:ascii="Verdana" w:hAnsi="Verdana" w:cs="Arial"/>
          <w:sz w:val="18"/>
          <w:szCs w:val="18"/>
        </w:rPr>
        <w:t>4</w:t>
      </w:r>
      <w:r w:rsidR="00D053B1">
        <w:rPr>
          <w:rFonts w:ascii="Verdana" w:hAnsi="Verdana" w:cs="Arial"/>
          <w:sz w:val="18"/>
          <w:szCs w:val="18"/>
          <w:vertAlign w:val="superscript"/>
        </w:rPr>
        <w:t>th</w:t>
      </w:r>
      <w:r w:rsidRPr="00C05D19">
        <w:rPr>
          <w:rFonts w:ascii="Verdana" w:hAnsi="Verdana" w:cs="Arial"/>
          <w:sz w:val="18"/>
          <w:szCs w:val="18"/>
        </w:rPr>
        <w:t xml:space="preserve"> quarter of 202</w:t>
      </w:r>
      <w:r w:rsidR="00156FFF">
        <w:rPr>
          <w:rFonts w:ascii="Verdana" w:hAnsi="Verdana" w:cs="Arial"/>
          <w:sz w:val="18"/>
          <w:szCs w:val="18"/>
        </w:rPr>
        <w:t>4</w:t>
      </w:r>
      <w:r w:rsidRPr="00C05D19">
        <w:rPr>
          <w:rFonts w:ascii="Verdana" w:hAnsi="Verdana" w:cs="Arial"/>
          <w:sz w:val="18"/>
          <w:szCs w:val="18"/>
        </w:rPr>
        <w:t>, the employment in the Broad Public Sector</w:t>
      </w:r>
      <w:r w:rsidR="006A3E28">
        <w:rPr>
          <w:rFonts w:ascii="Verdana" w:hAnsi="Verdana" w:cs="Arial"/>
          <w:sz w:val="18"/>
          <w:szCs w:val="18"/>
        </w:rPr>
        <w:t xml:space="preserve"> </w:t>
      </w:r>
      <w:r w:rsidR="002A55A5">
        <w:rPr>
          <w:rFonts w:ascii="Verdana" w:hAnsi="Verdana" w:cs="Arial"/>
          <w:sz w:val="18"/>
          <w:szCs w:val="18"/>
        </w:rPr>
        <w:t>inc</w:t>
      </w:r>
      <w:r w:rsidR="006A3E28">
        <w:rPr>
          <w:rFonts w:ascii="Verdana" w:hAnsi="Verdana" w:cs="Arial"/>
          <w:sz w:val="18"/>
          <w:szCs w:val="18"/>
        </w:rPr>
        <w:t xml:space="preserve">reased by </w:t>
      </w:r>
      <w:r w:rsidR="00D053B1">
        <w:rPr>
          <w:rFonts w:ascii="Verdana" w:hAnsi="Verdana" w:cs="Arial"/>
          <w:sz w:val="18"/>
          <w:szCs w:val="18"/>
        </w:rPr>
        <w:t>197</w:t>
      </w:r>
      <w:r w:rsidR="006A3E28">
        <w:rPr>
          <w:rFonts w:ascii="Verdana" w:hAnsi="Verdana" w:cs="Arial"/>
          <w:sz w:val="18"/>
          <w:szCs w:val="18"/>
        </w:rPr>
        <w:t xml:space="preserve"> person</w:t>
      </w:r>
      <w:r w:rsidR="002A55A5">
        <w:rPr>
          <w:rFonts w:ascii="Verdana" w:hAnsi="Verdana" w:cs="Arial"/>
          <w:sz w:val="18"/>
          <w:szCs w:val="18"/>
        </w:rPr>
        <w:t>s</w:t>
      </w:r>
      <w:r w:rsidR="006A3E28">
        <w:rPr>
          <w:rFonts w:ascii="Verdana" w:hAnsi="Verdana" w:cs="Arial"/>
          <w:sz w:val="18"/>
          <w:szCs w:val="18"/>
        </w:rPr>
        <w:t xml:space="preserve"> (</w:t>
      </w:r>
      <w:r w:rsidR="00D053B1">
        <w:rPr>
          <w:rFonts w:ascii="Verdana" w:hAnsi="Verdana" w:cs="Arial"/>
          <w:sz w:val="18"/>
          <w:szCs w:val="18"/>
        </w:rPr>
        <w:t>0</w:t>
      </w:r>
      <w:r w:rsidR="006A3E28">
        <w:rPr>
          <w:rFonts w:ascii="Verdana" w:hAnsi="Verdana" w:cs="Arial"/>
          <w:sz w:val="18"/>
          <w:szCs w:val="18"/>
        </w:rPr>
        <w:t>,</w:t>
      </w:r>
      <w:r w:rsidR="00D053B1">
        <w:rPr>
          <w:rFonts w:ascii="Verdana" w:hAnsi="Verdana" w:cs="Arial"/>
          <w:sz w:val="18"/>
          <w:szCs w:val="18"/>
        </w:rPr>
        <w:t>3</w:t>
      </w:r>
      <w:r w:rsidR="006A3E28">
        <w:rPr>
          <w:rFonts w:ascii="Verdana" w:hAnsi="Verdana" w:cs="Arial"/>
          <w:sz w:val="18"/>
          <w:szCs w:val="18"/>
        </w:rPr>
        <w:t>%)</w:t>
      </w:r>
      <w:r w:rsidR="00156FFF">
        <w:rPr>
          <w:rFonts w:ascii="Verdana" w:hAnsi="Verdana" w:cs="Arial"/>
          <w:sz w:val="18"/>
          <w:szCs w:val="18"/>
        </w:rPr>
        <w:t xml:space="preserve">. </w:t>
      </w:r>
      <w:r w:rsidR="00E9729F" w:rsidRPr="00E9729F">
        <w:rPr>
          <w:rFonts w:ascii="Verdana" w:hAnsi="Verdana" w:cs="Arial"/>
          <w:sz w:val="18"/>
          <w:szCs w:val="18"/>
        </w:rPr>
        <w:t>Employment increased in</w:t>
      </w:r>
      <w:r w:rsidR="002A55A5">
        <w:rPr>
          <w:rFonts w:ascii="Verdana" w:hAnsi="Verdana" w:cs="Arial"/>
          <w:sz w:val="18"/>
          <w:szCs w:val="18"/>
        </w:rPr>
        <w:t xml:space="preserve"> Central Government by </w:t>
      </w:r>
      <w:r w:rsidR="00D053B1">
        <w:rPr>
          <w:rFonts w:ascii="Verdana" w:hAnsi="Verdana" w:cs="Arial"/>
          <w:sz w:val="18"/>
          <w:szCs w:val="18"/>
        </w:rPr>
        <w:t>260</w:t>
      </w:r>
      <w:r w:rsidR="00E9729F" w:rsidRPr="00E9729F">
        <w:rPr>
          <w:rFonts w:ascii="Verdana" w:hAnsi="Verdana" w:cs="Arial"/>
          <w:sz w:val="18"/>
          <w:szCs w:val="18"/>
        </w:rPr>
        <w:t xml:space="preserve"> </w:t>
      </w:r>
      <w:r w:rsidR="002A55A5">
        <w:rPr>
          <w:rFonts w:ascii="Verdana" w:hAnsi="Verdana" w:cs="Arial"/>
          <w:sz w:val="18"/>
          <w:szCs w:val="18"/>
        </w:rPr>
        <w:t>persons (</w:t>
      </w:r>
      <w:r w:rsidR="00D053B1">
        <w:rPr>
          <w:rFonts w:ascii="Verdana" w:hAnsi="Verdana" w:cs="Arial"/>
          <w:sz w:val="18"/>
          <w:szCs w:val="18"/>
        </w:rPr>
        <w:t>0</w:t>
      </w:r>
      <w:r w:rsidR="002A55A5">
        <w:rPr>
          <w:rFonts w:ascii="Verdana" w:hAnsi="Verdana" w:cs="Arial"/>
          <w:sz w:val="18"/>
          <w:szCs w:val="18"/>
        </w:rPr>
        <w:t>,</w:t>
      </w:r>
      <w:r w:rsidR="00D053B1">
        <w:rPr>
          <w:rFonts w:ascii="Verdana" w:hAnsi="Verdana" w:cs="Arial"/>
          <w:sz w:val="18"/>
          <w:szCs w:val="18"/>
        </w:rPr>
        <w:t>4</w:t>
      </w:r>
      <w:r w:rsidR="002A55A5">
        <w:rPr>
          <w:rFonts w:ascii="Verdana" w:hAnsi="Verdana" w:cs="Arial"/>
          <w:sz w:val="18"/>
          <w:szCs w:val="18"/>
        </w:rPr>
        <w:t>%)</w:t>
      </w:r>
      <w:r w:rsidR="00D053B1">
        <w:rPr>
          <w:rFonts w:ascii="Verdana" w:hAnsi="Verdana" w:cs="Arial"/>
          <w:sz w:val="18"/>
          <w:szCs w:val="18"/>
        </w:rPr>
        <w:t>, whereas it decreased in</w:t>
      </w:r>
      <w:r w:rsidR="002A55A5">
        <w:rPr>
          <w:rFonts w:ascii="Verdana" w:hAnsi="Verdana" w:cs="Arial"/>
          <w:sz w:val="18"/>
          <w:szCs w:val="18"/>
        </w:rPr>
        <w:t xml:space="preserve"> </w:t>
      </w:r>
      <w:r w:rsidR="00156FFF" w:rsidRPr="00E9729F">
        <w:rPr>
          <w:rFonts w:ascii="Verdana" w:hAnsi="Verdana" w:cs="Arial"/>
          <w:sz w:val="18"/>
          <w:szCs w:val="18"/>
        </w:rPr>
        <w:t>Local Authorities</w:t>
      </w:r>
      <w:r w:rsidR="00156FFF">
        <w:rPr>
          <w:rFonts w:ascii="Verdana" w:hAnsi="Verdana" w:cs="Arial"/>
          <w:sz w:val="18"/>
          <w:szCs w:val="18"/>
        </w:rPr>
        <w:t xml:space="preserve"> </w:t>
      </w:r>
      <w:r w:rsidR="00156FFF" w:rsidRPr="00E9729F">
        <w:rPr>
          <w:rFonts w:ascii="Verdana" w:hAnsi="Verdana" w:cs="Arial"/>
          <w:sz w:val="18"/>
          <w:szCs w:val="18"/>
        </w:rPr>
        <w:t xml:space="preserve">by </w:t>
      </w:r>
      <w:r w:rsidR="00D053B1">
        <w:rPr>
          <w:rFonts w:ascii="Verdana" w:hAnsi="Verdana" w:cs="Arial"/>
          <w:sz w:val="18"/>
          <w:szCs w:val="18"/>
        </w:rPr>
        <w:t>59</w:t>
      </w:r>
      <w:r w:rsidR="00156FFF" w:rsidRPr="00E9729F">
        <w:rPr>
          <w:rFonts w:ascii="Verdana" w:hAnsi="Verdana" w:cs="Arial"/>
          <w:sz w:val="18"/>
          <w:szCs w:val="18"/>
        </w:rPr>
        <w:t xml:space="preserve"> persons (</w:t>
      </w:r>
      <w:r w:rsidR="00D053B1">
        <w:rPr>
          <w:rFonts w:ascii="Verdana" w:hAnsi="Verdana" w:cs="Arial"/>
          <w:sz w:val="18"/>
          <w:szCs w:val="18"/>
        </w:rPr>
        <w:t>-1</w:t>
      </w:r>
      <w:r w:rsidR="00156FFF" w:rsidRPr="00E9729F">
        <w:rPr>
          <w:rFonts w:ascii="Verdana" w:hAnsi="Verdana" w:cs="Arial"/>
          <w:sz w:val="18"/>
          <w:szCs w:val="18"/>
        </w:rPr>
        <w:t>,</w:t>
      </w:r>
      <w:r w:rsidR="00D053B1">
        <w:rPr>
          <w:rFonts w:ascii="Verdana" w:hAnsi="Verdana" w:cs="Arial"/>
          <w:sz w:val="18"/>
          <w:szCs w:val="18"/>
        </w:rPr>
        <w:t>0</w:t>
      </w:r>
      <w:r w:rsidR="00156FFF" w:rsidRPr="00E9729F">
        <w:rPr>
          <w:rFonts w:ascii="Verdana" w:hAnsi="Verdana" w:cs="Arial"/>
          <w:sz w:val="18"/>
          <w:szCs w:val="18"/>
        </w:rPr>
        <w:t>%)</w:t>
      </w:r>
      <w:r w:rsidR="00D053B1">
        <w:rPr>
          <w:rFonts w:ascii="Verdana" w:hAnsi="Verdana" w:cs="Arial"/>
          <w:sz w:val="18"/>
          <w:szCs w:val="18"/>
        </w:rPr>
        <w:t>. I</w:t>
      </w:r>
      <w:r w:rsidR="006A3E28" w:rsidRPr="00E9729F">
        <w:rPr>
          <w:rFonts w:ascii="Verdana" w:hAnsi="Verdana" w:cs="Arial"/>
          <w:sz w:val="18"/>
          <w:szCs w:val="18"/>
        </w:rPr>
        <w:t>n Publicly Owned Enterprises and Companies</w:t>
      </w:r>
      <w:r w:rsidR="002A55A5" w:rsidRPr="002A55A5">
        <w:rPr>
          <w:rFonts w:ascii="Verdana" w:hAnsi="Verdana" w:cs="Arial"/>
          <w:sz w:val="18"/>
          <w:szCs w:val="18"/>
        </w:rPr>
        <w:t xml:space="preserve"> </w:t>
      </w:r>
      <w:r w:rsidR="002A55A5">
        <w:rPr>
          <w:rFonts w:ascii="Verdana" w:hAnsi="Verdana" w:cs="Arial"/>
          <w:sz w:val="18"/>
          <w:szCs w:val="18"/>
        </w:rPr>
        <w:t xml:space="preserve">it remained stable in comparison to the </w:t>
      </w:r>
      <w:r w:rsidR="00D053B1">
        <w:rPr>
          <w:rFonts w:ascii="Verdana" w:hAnsi="Verdana" w:cs="Arial"/>
          <w:sz w:val="18"/>
          <w:szCs w:val="18"/>
        </w:rPr>
        <w:t>4</w:t>
      </w:r>
      <w:r w:rsidR="00D053B1">
        <w:rPr>
          <w:rFonts w:ascii="Verdana" w:hAnsi="Verdana" w:cs="Arial"/>
          <w:sz w:val="18"/>
          <w:szCs w:val="18"/>
          <w:vertAlign w:val="superscript"/>
        </w:rPr>
        <w:t>th</w:t>
      </w:r>
      <w:r w:rsidR="002A55A5">
        <w:rPr>
          <w:rFonts w:ascii="Verdana" w:hAnsi="Verdana" w:cs="Arial"/>
          <w:sz w:val="18"/>
          <w:szCs w:val="18"/>
        </w:rPr>
        <w:t xml:space="preserve"> quarter 2024.</w:t>
      </w:r>
      <w:r w:rsidR="006A3E28">
        <w:rPr>
          <w:rFonts w:ascii="Verdana" w:hAnsi="Verdana" w:cs="Arial"/>
          <w:sz w:val="18"/>
          <w:szCs w:val="18"/>
        </w:rPr>
        <w:t xml:space="preserve"> </w:t>
      </w:r>
    </w:p>
    <w:p w14:paraId="74506DD4" w14:textId="77777777" w:rsidR="00D053B1" w:rsidRDefault="00D053B1" w:rsidP="00C56AB3">
      <w:pPr>
        <w:jc w:val="both"/>
        <w:rPr>
          <w:rFonts w:ascii="Verdana" w:hAnsi="Verdana" w:cs="Arial"/>
          <w:sz w:val="18"/>
          <w:szCs w:val="18"/>
        </w:rPr>
      </w:pPr>
    </w:p>
    <w:p w14:paraId="554E7F67" w14:textId="0B675028" w:rsidR="00972CA0" w:rsidRPr="00192998" w:rsidRDefault="006064EC" w:rsidP="00192998">
      <w:pPr>
        <w:jc w:val="both"/>
        <w:rPr>
          <w:rFonts w:ascii="Verdana" w:hAnsi="Verdana" w:cs="Arial"/>
          <w:sz w:val="18"/>
          <w:szCs w:val="18"/>
        </w:rPr>
      </w:pPr>
      <w:r>
        <w:rPr>
          <w:rFonts w:ascii="Verdana" w:hAnsi="Verdana" w:cs="Arial"/>
          <w:sz w:val="18"/>
          <w:szCs w:val="18"/>
        </w:rPr>
        <w:t xml:space="preserve"> </w:t>
      </w:r>
    </w:p>
    <w:p w14:paraId="076B3D72" w14:textId="77777777" w:rsidR="00E65CB2" w:rsidRDefault="00E65CB2" w:rsidP="00072754">
      <w:pPr>
        <w:jc w:val="both"/>
        <w:rPr>
          <w:rFonts w:ascii="Verdana" w:eastAsia="Malgun Gothic" w:hAnsi="Verdana" w:cs="Arial"/>
          <w:sz w:val="18"/>
          <w:szCs w:val="18"/>
        </w:rPr>
      </w:pP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7"/>
        <w:gridCol w:w="1344"/>
        <w:gridCol w:w="1344"/>
        <w:gridCol w:w="1344"/>
        <w:gridCol w:w="236"/>
        <w:gridCol w:w="1392"/>
        <w:gridCol w:w="1429"/>
      </w:tblGrid>
      <w:tr w:rsidR="00B91D41" w:rsidRPr="00B91D41" w14:paraId="096C6266" w14:textId="77777777" w:rsidTr="00870A8B">
        <w:trPr>
          <w:trHeight w:val="389"/>
          <w:jc w:val="center"/>
        </w:trPr>
        <w:tc>
          <w:tcPr>
            <w:tcW w:w="2657" w:type="dxa"/>
            <w:tcBorders>
              <w:top w:val="nil"/>
              <w:left w:val="nil"/>
              <w:bottom w:val="single" w:sz="4" w:space="0" w:color="365F91"/>
              <w:right w:val="nil"/>
            </w:tcBorders>
            <w:vAlign w:val="center"/>
          </w:tcPr>
          <w:p w14:paraId="2735352C" w14:textId="77777777" w:rsidR="006C16A4" w:rsidRPr="00B91D41" w:rsidRDefault="006C16A4" w:rsidP="00870A8B">
            <w:pPr>
              <w:rPr>
                <w:rFonts w:ascii="Verdana" w:eastAsia="Malgun Gothic" w:hAnsi="Verdana" w:cs="Arial"/>
                <w:b/>
                <w:color w:val="366092"/>
                <w:sz w:val="18"/>
                <w:szCs w:val="18"/>
              </w:rPr>
            </w:pPr>
            <w:r w:rsidRPr="00B91D41">
              <w:rPr>
                <w:rFonts w:ascii="Verdana" w:eastAsia="Malgun Gothic" w:hAnsi="Verdana" w:cs="Arial"/>
                <w:b/>
                <w:color w:val="366092"/>
                <w:sz w:val="18"/>
                <w:szCs w:val="18"/>
              </w:rPr>
              <w:t>Table</w:t>
            </w:r>
          </w:p>
        </w:tc>
        <w:tc>
          <w:tcPr>
            <w:tcW w:w="1344" w:type="dxa"/>
            <w:tcBorders>
              <w:top w:val="nil"/>
              <w:left w:val="nil"/>
              <w:bottom w:val="single" w:sz="4" w:space="0" w:color="365F91"/>
              <w:right w:val="nil"/>
            </w:tcBorders>
          </w:tcPr>
          <w:p w14:paraId="3F458DBC" w14:textId="77777777" w:rsidR="006C16A4" w:rsidRPr="00B91D41" w:rsidRDefault="006C16A4" w:rsidP="00870A8B">
            <w:pPr>
              <w:jc w:val="both"/>
              <w:rPr>
                <w:rFonts w:ascii="Verdana" w:eastAsia="Malgun Gothic" w:hAnsi="Verdana" w:cs="Arial"/>
                <w:color w:val="366092"/>
                <w:sz w:val="18"/>
                <w:szCs w:val="18"/>
                <w:lang w:val="el-GR"/>
              </w:rPr>
            </w:pPr>
          </w:p>
        </w:tc>
        <w:tc>
          <w:tcPr>
            <w:tcW w:w="1344" w:type="dxa"/>
            <w:tcBorders>
              <w:top w:val="nil"/>
              <w:left w:val="nil"/>
              <w:bottom w:val="single" w:sz="4" w:space="0" w:color="365F91"/>
              <w:right w:val="nil"/>
            </w:tcBorders>
          </w:tcPr>
          <w:p w14:paraId="6A5B3A57" w14:textId="77777777" w:rsidR="006C16A4" w:rsidRPr="00B91D41" w:rsidRDefault="006C16A4" w:rsidP="00870A8B">
            <w:pPr>
              <w:jc w:val="both"/>
              <w:rPr>
                <w:rFonts w:ascii="Verdana" w:eastAsia="Malgun Gothic" w:hAnsi="Verdana" w:cs="Arial"/>
                <w:color w:val="366092"/>
                <w:sz w:val="18"/>
                <w:szCs w:val="18"/>
                <w:lang w:val="el-GR"/>
              </w:rPr>
            </w:pPr>
          </w:p>
        </w:tc>
        <w:tc>
          <w:tcPr>
            <w:tcW w:w="1344" w:type="dxa"/>
            <w:tcBorders>
              <w:top w:val="nil"/>
              <w:left w:val="nil"/>
              <w:bottom w:val="single" w:sz="4" w:space="0" w:color="365F91"/>
              <w:right w:val="nil"/>
            </w:tcBorders>
          </w:tcPr>
          <w:p w14:paraId="48D9FBAA" w14:textId="77777777" w:rsidR="006C16A4" w:rsidRPr="00B91D41" w:rsidRDefault="006C16A4" w:rsidP="00870A8B">
            <w:pPr>
              <w:jc w:val="both"/>
              <w:rPr>
                <w:rFonts w:ascii="Verdana" w:eastAsia="Malgun Gothic" w:hAnsi="Verdana" w:cs="Arial"/>
                <w:color w:val="366092"/>
                <w:sz w:val="18"/>
                <w:szCs w:val="18"/>
                <w:lang w:val="el-GR"/>
              </w:rPr>
            </w:pPr>
          </w:p>
        </w:tc>
        <w:tc>
          <w:tcPr>
            <w:tcW w:w="236" w:type="dxa"/>
            <w:tcBorders>
              <w:top w:val="nil"/>
              <w:left w:val="nil"/>
              <w:bottom w:val="single" w:sz="4" w:space="0" w:color="365F91"/>
              <w:right w:val="nil"/>
            </w:tcBorders>
          </w:tcPr>
          <w:p w14:paraId="6D987D59" w14:textId="77777777" w:rsidR="006C16A4" w:rsidRPr="00B91D41" w:rsidRDefault="006C16A4" w:rsidP="00870A8B">
            <w:pPr>
              <w:jc w:val="both"/>
              <w:rPr>
                <w:rFonts w:ascii="Verdana" w:eastAsia="Malgun Gothic" w:hAnsi="Verdana" w:cs="Arial"/>
                <w:color w:val="366092"/>
                <w:sz w:val="18"/>
                <w:szCs w:val="18"/>
                <w:lang w:val="el-GR"/>
              </w:rPr>
            </w:pPr>
          </w:p>
        </w:tc>
        <w:tc>
          <w:tcPr>
            <w:tcW w:w="1392" w:type="dxa"/>
            <w:tcBorders>
              <w:top w:val="nil"/>
              <w:left w:val="nil"/>
              <w:bottom w:val="single" w:sz="4" w:space="0" w:color="365F91"/>
              <w:right w:val="nil"/>
            </w:tcBorders>
          </w:tcPr>
          <w:p w14:paraId="0E0DC24F" w14:textId="77777777" w:rsidR="006C16A4" w:rsidRPr="00B91D41" w:rsidRDefault="006C16A4" w:rsidP="00870A8B">
            <w:pPr>
              <w:jc w:val="both"/>
              <w:rPr>
                <w:rFonts w:ascii="Verdana" w:eastAsia="Malgun Gothic" w:hAnsi="Verdana" w:cs="Arial"/>
                <w:color w:val="366092"/>
                <w:sz w:val="18"/>
                <w:szCs w:val="18"/>
                <w:lang w:val="el-GR"/>
              </w:rPr>
            </w:pPr>
          </w:p>
        </w:tc>
        <w:tc>
          <w:tcPr>
            <w:tcW w:w="1429" w:type="dxa"/>
            <w:tcBorders>
              <w:top w:val="nil"/>
              <w:left w:val="nil"/>
              <w:bottom w:val="single" w:sz="4" w:space="0" w:color="365F91"/>
              <w:right w:val="nil"/>
            </w:tcBorders>
          </w:tcPr>
          <w:p w14:paraId="40E417A8" w14:textId="77777777" w:rsidR="006C16A4" w:rsidRPr="00B91D41" w:rsidRDefault="006C16A4" w:rsidP="00870A8B">
            <w:pPr>
              <w:jc w:val="both"/>
              <w:rPr>
                <w:rFonts w:ascii="Verdana" w:eastAsia="Malgun Gothic" w:hAnsi="Verdana" w:cs="Arial"/>
                <w:color w:val="366092"/>
                <w:sz w:val="18"/>
                <w:szCs w:val="18"/>
                <w:lang w:val="el-GR"/>
              </w:rPr>
            </w:pPr>
          </w:p>
        </w:tc>
      </w:tr>
      <w:tr w:rsidR="00B91D41" w:rsidRPr="00B91D41" w14:paraId="4DF028CC" w14:textId="77777777" w:rsidTr="00870A8B">
        <w:trPr>
          <w:trHeight w:val="432"/>
          <w:jc w:val="center"/>
        </w:trPr>
        <w:tc>
          <w:tcPr>
            <w:tcW w:w="2657" w:type="dxa"/>
            <w:tcBorders>
              <w:top w:val="single" w:sz="4" w:space="0" w:color="365F91"/>
              <w:left w:val="nil"/>
              <w:bottom w:val="nil"/>
              <w:right w:val="nil"/>
            </w:tcBorders>
            <w:vAlign w:val="center"/>
          </w:tcPr>
          <w:p w14:paraId="1E0798C8" w14:textId="77777777" w:rsidR="006C16A4" w:rsidRPr="00B91D41" w:rsidRDefault="006C16A4" w:rsidP="00870A8B">
            <w:pPr>
              <w:rPr>
                <w:rFonts w:ascii="Verdana" w:eastAsia="Malgun Gothic" w:hAnsi="Verdana" w:cs="Arial"/>
                <w:color w:val="366092"/>
                <w:sz w:val="18"/>
                <w:szCs w:val="18"/>
                <w:lang w:val="el-GR"/>
              </w:rPr>
            </w:pPr>
          </w:p>
        </w:tc>
        <w:tc>
          <w:tcPr>
            <w:tcW w:w="4032" w:type="dxa"/>
            <w:gridSpan w:val="3"/>
            <w:tcBorders>
              <w:top w:val="single" w:sz="4" w:space="0" w:color="365F91"/>
              <w:left w:val="nil"/>
              <w:bottom w:val="single" w:sz="4" w:space="0" w:color="365F91"/>
              <w:right w:val="nil"/>
            </w:tcBorders>
            <w:vAlign w:val="center"/>
          </w:tcPr>
          <w:p w14:paraId="247CED33" w14:textId="77777777" w:rsidR="006C16A4" w:rsidRPr="00B91D41" w:rsidRDefault="006C16A4" w:rsidP="00870A8B">
            <w:pPr>
              <w:jc w:val="center"/>
              <w:rPr>
                <w:rFonts w:ascii="Verdana" w:eastAsia="Malgun Gothic" w:hAnsi="Verdana" w:cs="Arial"/>
                <w:color w:val="366092"/>
                <w:sz w:val="18"/>
                <w:szCs w:val="18"/>
              </w:rPr>
            </w:pPr>
            <w:r w:rsidRPr="00B91D41">
              <w:rPr>
                <w:rFonts w:ascii="Verdana" w:eastAsia="Malgun Gothic" w:hAnsi="Verdana" w:cs="Arial"/>
                <w:b/>
                <w:color w:val="366092"/>
                <w:sz w:val="18"/>
                <w:szCs w:val="18"/>
              </w:rPr>
              <w:t>Number of Persons</w:t>
            </w:r>
          </w:p>
        </w:tc>
        <w:tc>
          <w:tcPr>
            <w:tcW w:w="236" w:type="dxa"/>
            <w:tcBorders>
              <w:top w:val="single" w:sz="4" w:space="0" w:color="365F91"/>
              <w:left w:val="nil"/>
              <w:bottom w:val="nil"/>
              <w:right w:val="nil"/>
            </w:tcBorders>
            <w:vAlign w:val="center"/>
          </w:tcPr>
          <w:p w14:paraId="67A48E5F" w14:textId="77777777" w:rsidR="006C16A4" w:rsidRPr="00B91D41" w:rsidRDefault="006C16A4" w:rsidP="00870A8B">
            <w:pPr>
              <w:jc w:val="center"/>
              <w:rPr>
                <w:rFonts w:ascii="Verdana" w:eastAsia="Malgun Gothic" w:hAnsi="Verdana" w:cs="Arial"/>
                <w:color w:val="366092"/>
                <w:sz w:val="18"/>
                <w:szCs w:val="18"/>
                <w:lang w:val="el-GR"/>
              </w:rPr>
            </w:pPr>
          </w:p>
        </w:tc>
        <w:tc>
          <w:tcPr>
            <w:tcW w:w="2821" w:type="dxa"/>
            <w:gridSpan w:val="2"/>
            <w:tcBorders>
              <w:top w:val="single" w:sz="4" w:space="0" w:color="365F91"/>
              <w:left w:val="nil"/>
              <w:bottom w:val="single" w:sz="4" w:space="0" w:color="365F91"/>
              <w:right w:val="nil"/>
            </w:tcBorders>
            <w:vAlign w:val="center"/>
          </w:tcPr>
          <w:p w14:paraId="2EF6D257" w14:textId="77777777" w:rsidR="006C16A4" w:rsidRPr="00B91D41" w:rsidRDefault="006C16A4" w:rsidP="00870A8B">
            <w:pPr>
              <w:jc w:val="center"/>
              <w:rPr>
                <w:rFonts w:ascii="Verdana" w:eastAsia="Malgun Gothic" w:hAnsi="Verdana" w:cs="Arial"/>
                <w:color w:val="366092"/>
                <w:sz w:val="18"/>
                <w:szCs w:val="18"/>
              </w:rPr>
            </w:pPr>
            <w:r w:rsidRPr="00B91D41">
              <w:rPr>
                <w:rFonts w:ascii="Verdana" w:eastAsia="Malgun Gothic" w:hAnsi="Verdana" w:cs="Arial"/>
                <w:b/>
                <w:color w:val="366092"/>
                <w:sz w:val="18"/>
                <w:szCs w:val="18"/>
                <w:lang w:val="el-GR"/>
              </w:rPr>
              <w:t xml:space="preserve">% </w:t>
            </w:r>
            <w:r w:rsidRPr="00B91D41">
              <w:rPr>
                <w:rFonts w:ascii="Verdana" w:eastAsia="Malgun Gothic" w:hAnsi="Verdana" w:cs="Arial"/>
                <w:b/>
                <w:color w:val="366092"/>
                <w:sz w:val="18"/>
                <w:szCs w:val="18"/>
              </w:rPr>
              <w:t>Change</w:t>
            </w:r>
          </w:p>
        </w:tc>
      </w:tr>
      <w:tr w:rsidR="00B91D41" w:rsidRPr="00B91D41" w14:paraId="1A2B873C" w14:textId="77777777" w:rsidTr="00870A8B">
        <w:trPr>
          <w:trHeight w:val="576"/>
          <w:jc w:val="center"/>
        </w:trPr>
        <w:tc>
          <w:tcPr>
            <w:tcW w:w="2657" w:type="dxa"/>
            <w:tcBorders>
              <w:top w:val="nil"/>
              <w:left w:val="nil"/>
              <w:bottom w:val="single" w:sz="4" w:space="0" w:color="365F91"/>
              <w:right w:val="nil"/>
            </w:tcBorders>
            <w:vAlign w:val="center"/>
          </w:tcPr>
          <w:p w14:paraId="115A081B" w14:textId="77777777" w:rsidR="006C16A4" w:rsidRPr="00B91D41" w:rsidRDefault="006C16A4" w:rsidP="00870A8B">
            <w:pPr>
              <w:rPr>
                <w:rFonts w:ascii="Verdana" w:eastAsia="Malgun Gothic" w:hAnsi="Verdana" w:cs="Arial"/>
                <w:color w:val="366092"/>
                <w:sz w:val="18"/>
                <w:szCs w:val="18"/>
                <w:lang w:val="el-GR"/>
              </w:rPr>
            </w:pPr>
          </w:p>
        </w:tc>
        <w:tc>
          <w:tcPr>
            <w:tcW w:w="1344" w:type="dxa"/>
            <w:tcBorders>
              <w:top w:val="single" w:sz="4" w:space="0" w:color="365F91"/>
              <w:left w:val="nil"/>
              <w:bottom w:val="single" w:sz="4" w:space="0" w:color="365F91"/>
              <w:right w:val="nil"/>
            </w:tcBorders>
            <w:vAlign w:val="center"/>
          </w:tcPr>
          <w:p w14:paraId="45F5C029" w14:textId="02D664CA" w:rsidR="006C16A4" w:rsidRPr="00B91D41" w:rsidRDefault="004B13D1" w:rsidP="00870A8B">
            <w:pPr>
              <w:ind w:left="-63"/>
              <w:jc w:val="center"/>
              <w:rPr>
                <w:rFonts w:ascii="Verdana" w:eastAsia="Malgun Gothic" w:hAnsi="Verdana" w:cs="Arial"/>
                <w:b/>
                <w:color w:val="366092"/>
                <w:sz w:val="18"/>
                <w:szCs w:val="18"/>
              </w:rPr>
            </w:pPr>
            <w:r w:rsidRPr="00B91D41">
              <w:rPr>
                <w:rFonts w:ascii="Verdana" w:eastAsia="Malgun Gothic" w:hAnsi="Verdana" w:cs="Arial"/>
                <w:b/>
                <w:color w:val="366092"/>
                <w:sz w:val="18"/>
                <w:szCs w:val="18"/>
              </w:rPr>
              <w:t xml:space="preserve"> </w:t>
            </w:r>
            <w:r w:rsidR="001575B3" w:rsidRPr="00B91D41">
              <w:rPr>
                <w:rFonts w:ascii="Verdana" w:eastAsia="Malgun Gothic" w:hAnsi="Verdana" w:cs="Arial"/>
                <w:b/>
                <w:color w:val="366092"/>
                <w:sz w:val="18"/>
                <w:szCs w:val="18"/>
              </w:rPr>
              <w:t>Q</w:t>
            </w:r>
            <w:r w:rsidR="00421B7D" w:rsidRPr="00B91D41">
              <w:rPr>
                <w:rFonts w:ascii="Verdana" w:eastAsia="Malgun Gothic" w:hAnsi="Verdana" w:cs="Arial"/>
                <w:b/>
                <w:color w:val="366092"/>
                <w:sz w:val="18"/>
                <w:szCs w:val="18"/>
              </w:rPr>
              <w:t>1</w:t>
            </w:r>
            <w:r w:rsidR="006C16A4" w:rsidRPr="00B91D41">
              <w:rPr>
                <w:rFonts w:ascii="Verdana" w:eastAsia="Malgun Gothic" w:hAnsi="Verdana" w:cs="Arial"/>
                <w:b/>
                <w:color w:val="366092"/>
                <w:sz w:val="18"/>
                <w:szCs w:val="18"/>
                <w:lang w:val="el-GR"/>
              </w:rPr>
              <w:t xml:space="preserve"> 20</w:t>
            </w:r>
            <w:r w:rsidR="006C16A4" w:rsidRPr="00B91D41">
              <w:rPr>
                <w:rFonts w:ascii="Verdana" w:eastAsia="Malgun Gothic" w:hAnsi="Verdana" w:cs="Arial"/>
                <w:b/>
                <w:color w:val="366092"/>
                <w:sz w:val="18"/>
                <w:szCs w:val="18"/>
              </w:rPr>
              <w:t>2</w:t>
            </w:r>
            <w:r w:rsidR="00421B7D" w:rsidRPr="00B91D41">
              <w:rPr>
                <w:rFonts w:ascii="Verdana" w:eastAsia="Malgun Gothic" w:hAnsi="Verdana" w:cs="Arial"/>
                <w:b/>
                <w:color w:val="366092"/>
                <w:sz w:val="18"/>
                <w:szCs w:val="18"/>
              </w:rPr>
              <w:t>4</w:t>
            </w:r>
          </w:p>
        </w:tc>
        <w:tc>
          <w:tcPr>
            <w:tcW w:w="1344" w:type="dxa"/>
            <w:tcBorders>
              <w:top w:val="single" w:sz="4" w:space="0" w:color="365F91"/>
              <w:left w:val="nil"/>
              <w:bottom w:val="single" w:sz="4" w:space="0" w:color="365F91"/>
              <w:right w:val="nil"/>
            </w:tcBorders>
            <w:vAlign w:val="center"/>
          </w:tcPr>
          <w:p w14:paraId="7FD9C240" w14:textId="78A2C704" w:rsidR="006C16A4" w:rsidRPr="00B91D41" w:rsidRDefault="004B13D1" w:rsidP="00870A8B">
            <w:pPr>
              <w:ind w:left="-63"/>
              <w:jc w:val="center"/>
              <w:rPr>
                <w:rFonts w:ascii="Verdana" w:eastAsia="Malgun Gothic" w:hAnsi="Verdana" w:cs="Arial"/>
                <w:b/>
                <w:color w:val="366092"/>
                <w:sz w:val="18"/>
                <w:szCs w:val="18"/>
              </w:rPr>
            </w:pPr>
            <w:r w:rsidRPr="00B91D41">
              <w:rPr>
                <w:rFonts w:ascii="Verdana" w:eastAsia="Malgun Gothic" w:hAnsi="Verdana" w:cs="Arial"/>
                <w:b/>
                <w:color w:val="366092"/>
                <w:sz w:val="18"/>
                <w:szCs w:val="18"/>
              </w:rPr>
              <w:t xml:space="preserve"> </w:t>
            </w:r>
            <w:r w:rsidR="006C16A4" w:rsidRPr="00B91D41">
              <w:rPr>
                <w:rFonts w:ascii="Verdana" w:eastAsia="Malgun Gothic" w:hAnsi="Verdana" w:cs="Arial"/>
                <w:b/>
                <w:color w:val="366092"/>
                <w:sz w:val="18"/>
                <w:szCs w:val="18"/>
              </w:rPr>
              <w:t>Q</w:t>
            </w:r>
            <w:r w:rsidR="00421B7D" w:rsidRPr="00B91D41">
              <w:rPr>
                <w:rFonts w:ascii="Verdana" w:eastAsia="Malgun Gothic" w:hAnsi="Verdana" w:cs="Arial"/>
                <w:b/>
                <w:color w:val="366092"/>
                <w:sz w:val="18"/>
                <w:szCs w:val="18"/>
              </w:rPr>
              <w:t>4</w:t>
            </w:r>
            <w:r w:rsidR="006C16A4" w:rsidRPr="00B91D41">
              <w:rPr>
                <w:rFonts w:ascii="Verdana" w:eastAsia="Malgun Gothic" w:hAnsi="Verdana" w:cs="Arial"/>
                <w:b/>
                <w:color w:val="366092"/>
                <w:sz w:val="18"/>
                <w:szCs w:val="18"/>
                <w:lang w:val="el-GR"/>
              </w:rPr>
              <w:t xml:space="preserve"> 20</w:t>
            </w:r>
            <w:r w:rsidR="006C16A4" w:rsidRPr="00B91D41">
              <w:rPr>
                <w:rFonts w:ascii="Verdana" w:eastAsia="Malgun Gothic" w:hAnsi="Verdana" w:cs="Arial"/>
                <w:b/>
                <w:color w:val="366092"/>
                <w:sz w:val="18"/>
                <w:szCs w:val="18"/>
              </w:rPr>
              <w:t>2</w:t>
            </w:r>
            <w:r w:rsidR="00156FFF" w:rsidRPr="00B91D41">
              <w:rPr>
                <w:rFonts w:ascii="Verdana" w:eastAsia="Malgun Gothic" w:hAnsi="Verdana" w:cs="Arial"/>
                <w:b/>
                <w:color w:val="366092"/>
                <w:sz w:val="18"/>
                <w:szCs w:val="18"/>
              </w:rPr>
              <w:t>4</w:t>
            </w:r>
          </w:p>
        </w:tc>
        <w:tc>
          <w:tcPr>
            <w:tcW w:w="1344" w:type="dxa"/>
            <w:tcBorders>
              <w:top w:val="single" w:sz="4" w:space="0" w:color="365F91"/>
              <w:left w:val="nil"/>
              <w:bottom w:val="single" w:sz="4" w:space="0" w:color="365F91"/>
              <w:right w:val="nil"/>
            </w:tcBorders>
            <w:vAlign w:val="center"/>
          </w:tcPr>
          <w:p w14:paraId="5FFE1DE4" w14:textId="470364D8" w:rsidR="006C16A4" w:rsidRPr="00B91D41" w:rsidRDefault="004B13D1" w:rsidP="00870A8B">
            <w:pPr>
              <w:ind w:left="-63"/>
              <w:jc w:val="center"/>
              <w:rPr>
                <w:rFonts w:ascii="Verdana" w:eastAsia="Malgun Gothic" w:hAnsi="Verdana" w:cs="Arial"/>
                <w:b/>
                <w:color w:val="366092"/>
                <w:sz w:val="18"/>
                <w:szCs w:val="18"/>
              </w:rPr>
            </w:pPr>
            <w:r w:rsidRPr="00B91D41">
              <w:rPr>
                <w:rFonts w:ascii="Verdana" w:eastAsia="Malgun Gothic" w:hAnsi="Verdana" w:cs="Arial"/>
                <w:b/>
                <w:color w:val="366092"/>
                <w:sz w:val="18"/>
                <w:szCs w:val="18"/>
              </w:rPr>
              <w:t xml:space="preserve"> </w:t>
            </w:r>
            <w:r w:rsidR="006C16A4" w:rsidRPr="00B91D41">
              <w:rPr>
                <w:rFonts w:ascii="Verdana" w:eastAsia="Malgun Gothic" w:hAnsi="Verdana" w:cs="Arial"/>
                <w:b/>
                <w:color w:val="366092"/>
                <w:sz w:val="18"/>
                <w:szCs w:val="18"/>
              </w:rPr>
              <w:t>Q</w:t>
            </w:r>
            <w:r w:rsidR="00421B7D" w:rsidRPr="00B91D41">
              <w:rPr>
                <w:rFonts w:ascii="Verdana" w:eastAsia="Malgun Gothic" w:hAnsi="Verdana" w:cs="Arial"/>
                <w:b/>
                <w:color w:val="366092"/>
                <w:sz w:val="18"/>
                <w:szCs w:val="18"/>
              </w:rPr>
              <w:t>1</w:t>
            </w:r>
            <w:r w:rsidR="006C16A4" w:rsidRPr="00B91D41">
              <w:rPr>
                <w:rFonts w:ascii="Verdana" w:eastAsia="Malgun Gothic" w:hAnsi="Verdana" w:cs="Arial"/>
                <w:b/>
                <w:color w:val="366092"/>
                <w:sz w:val="18"/>
                <w:szCs w:val="18"/>
                <w:lang w:val="el-GR"/>
              </w:rPr>
              <w:t xml:space="preserve"> 20</w:t>
            </w:r>
            <w:r w:rsidR="006C16A4" w:rsidRPr="00B91D41">
              <w:rPr>
                <w:rFonts w:ascii="Verdana" w:eastAsia="Malgun Gothic" w:hAnsi="Verdana" w:cs="Arial"/>
                <w:b/>
                <w:color w:val="366092"/>
                <w:sz w:val="18"/>
                <w:szCs w:val="18"/>
              </w:rPr>
              <w:t>2</w:t>
            </w:r>
            <w:r w:rsidR="00421B7D" w:rsidRPr="00B91D41">
              <w:rPr>
                <w:rFonts w:ascii="Verdana" w:eastAsia="Malgun Gothic" w:hAnsi="Verdana" w:cs="Arial"/>
                <w:b/>
                <w:color w:val="366092"/>
                <w:sz w:val="18"/>
                <w:szCs w:val="18"/>
              </w:rPr>
              <w:t>5</w:t>
            </w:r>
          </w:p>
        </w:tc>
        <w:tc>
          <w:tcPr>
            <w:tcW w:w="236" w:type="dxa"/>
            <w:tcBorders>
              <w:top w:val="nil"/>
              <w:left w:val="nil"/>
              <w:bottom w:val="single" w:sz="4" w:space="0" w:color="365F91"/>
              <w:right w:val="nil"/>
            </w:tcBorders>
            <w:vAlign w:val="center"/>
          </w:tcPr>
          <w:p w14:paraId="32CD8B6C" w14:textId="77777777" w:rsidR="006C16A4" w:rsidRPr="00B91D41" w:rsidRDefault="006C16A4" w:rsidP="00870A8B">
            <w:pPr>
              <w:jc w:val="center"/>
              <w:rPr>
                <w:rFonts w:ascii="Verdana" w:eastAsia="Malgun Gothic" w:hAnsi="Verdana" w:cs="Arial"/>
                <w:color w:val="366092"/>
                <w:sz w:val="18"/>
                <w:szCs w:val="18"/>
                <w:lang w:val="el-GR"/>
              </w:rPr>
            </w:pPr>
          </w:p>
        </w:tc>
        <w:tc>
          <w:tcPr>
            <w:tcW w:w="1392" w:type="dxa"/>
            <w:tcBorders>
              <w:top w:val="single" w:sz="4" w:space="0" w:color="365F91"/>
              <w:left w:val="nil"/>
              <w:bottom w:val="single" w:sz="4" w:space="0" w:color="365F91"/>
              <w:right w:val="nil"/>
            </w:tcBorders>
            <w:vAlign w:val="center"/>
          </w:tcPr>
          <w:p w14:paraId="201A98DA" w14:textId="479AD26A" w:rsidR="004A0992" w:rsidRPr="00B91D41" w:rsidRDefault="0003089E" w:rsidP="004A0992">
            <w:pPr>
              <w:ind w:left="-53" w:right="-10"/>
              <w:jc w:val="center"/>
              <w:rPr>
                <w:rFonts w:ascii="Verdana" w:eastAsia="Malgun Gothic" w:hAnsi="Verdana" w:cs="Arial"/>
                <w:b/>
                <w:color w:val="366092"/>
                <w:sz w:val="18"/>
                <w:szCs w:val="18"/>
              </w:rPr>
            </w:pPr>
            <w:r w:rsidRPr="00B91D41">
              <w:rPr>
                <w:rFonts w:ascii="Verdana" w:eastAsia="Malgun Gothic" w:hAnsi="Verdana" w:cs="Arial"/>
                <w:b/>
                <w:color w:val="366092"/>
                <w:sz w:val="18"/>
                <w:szCs w:val="18"/>
              </w:rPr>
              <w:t xml:space="preserve">  </w:t>
            </w:r>
            <w:r w:rsidR="004A0992" w:rsidRPr="00B91D41">
              <w:rPr>
                <w:rFonts w:ascii="Verdana" w:eastAsia="Malgun Gothic" w:hAnsi="Verdana" w:cs="Arial"/>
                <w:b/>
                <w:color w:val="366092"/>
                <w:sz w:val="18"/>
                <w:szCs w:val="18"/>
              </w:rPr>
              <w:t>Q</w:t>
            </w:r>
            <w:r w:rsidR="00421B7D" w:rsidRPr="00B91D41">
              <w:rPr>
                <w:rFonts w:ascii="Verdana" w:eastAsia="Malgun Gothic" w:hAnsi="Verdana" w:cs="Arial"/>
                <w:b/>
                <w:color w:val="366092"/>
                <w:sz w:val="18"/>
                <w:szCs w:val="18"/>
              </w:rPr>
              <w:t>1</w:t>
            </w:r>
            <w:r w:rsidR="004A0992" w:rsidRPr="00B91D41">
              <w:rPr>
                <w:rFonts w:ascii="Verdana" w:eastAsia="Malgun Gothic" w:hAnsi="Verdana" w:cs="Arial"/>
                <w:b/>
                <w:color w:val="366092"/>
                <w:sz w:val="18"/>
                <w:szCs w:val="18"/>
              </w:rPr>
              <w:t xml:space="preserve"> 202</w:t>
            </w:r>
            <w:r w:rsidR="00421B7D" w:rsidRPr="00B91D41">
              <w:rPr>
                <w:rFonts w:ascii="Verdana" w:eastAsia="Malgun Gothic" w:hAnsi="Verdana" w:cs="Arial"/>
                <w:b/>
                <w:color w:val="366092"/>
                <w:sz w:val="18"/>
                <w:szCs w:val="18"/>
              </w:rPr>
              <w:t>5</w:t>
            </w:r>
            <w:r w:rsidR="004A0992" w:rsidRPr="00B91D41">
              <w:rPr>
                <w:rFonts w:ascii="Verdana" w:eastAsia="Malgun Gothic" w:hAnsi="Verdana" w:cs="Arial"/>
                <w:b/>
                <w:color w:val="366092"/>
                <w:sz w:val="18"/>
                <w:szCs w:val="18"/>
                <w:lang w:val="el-GR"/>
              </w:rPr>
              <w:t>/</w:t>
            </w:r>
            <w:r w:rsidR="004A0992" w:rsidRPr="00B91D41">
              <w:rPr>
                <w:rFonts w:ascii="Verdana" w:eastAsia="Malgun Gothic" w:hAnsi="Verdana" w:cs="Arial"/>
                <w:b/>
                <w:color w:val="366092"/>
                <w:sz w:val="18"/>
                <w:szCs w:val="18"/>
              </w:rPr>
              <w:t xml:space="preserve"> </w:t>
            </w:r>
          </w:p>
          <w:p w14:paraId="126A6EAD" w14:textId="6DEB6067" w:rsidR="006C16A4" w:rsidRPr="00B91D41" w:rsidRDefault="004A0992" w:rsidP="004A0992">
            <w:pPr>
              <w:jc w:val="center"/>
              <w:rPr>
                <w:rFonts w:ascii="Verdana" w:eastAsia="Malgun Gothic" w:hAnsi="Verdana" w:cs="Arial"/>
                <w:color w:val="366092"/>
                <w:sz w:val="18"/>
                <w:szCs w:val="18"/>
              </w:rPr>
            </w:pPr>
            <w:r w:rsidRPr="00B91D41">
              <w:rPr>
                <w:rFonts w:ascii="Verdana" w:eastAsia="Malgun Gothic" w:hAnsi="Verdana" w:cs="Arial"/>
                <w:b/>
                <w:color w:val="366092"/>
                <w:sz w:val="18"/>
                <w:szCs w:val="18"/>
              </w:rPr>
              <w:t>Q</w:t>
            </w:r>
            <w:r w:rsidR="00421B7D" w:rsidRPr="00B91D41">
              <w:rPr>
                <w:rFonts w:ascii="Verdana" w:eastAsia="Malgun Gothic" w:hAnsi="Verdana" w:cs="Arial"/>
                <w:b/>
                <w:color w:val="366092"/>
                <w:sz w:val="18"/>
                <w:szCs w:val="18"/>
              </w:rPr>
              <w:t>4</w:t>
            </w:r>
            <w:r w:rsidRPr="00B91D41">
              <w:rPr>
                <w:rFonts w:ascii="Verdana" w:eastAsia="Malgun Gothic" w:hAnsi="Verdana" w:cs="Arial"/>
                <w:b/>
                <w:color w:val="366092"/>
                <w:sz w:val="18"/>
                <w:szCs w:val="18"/>
              </w:rPr>
              <w:t xml:space="preserve"> 202</w:t>
            </w:r>
            <w:r w:rsidR="00FA5E0B" w:rsidRPr="00B91D41">
              <w:rPr>
                <w:rFonts w:ascii="Verdana" w:eastAsia="Malgun Gothic" w:hAnsi="Verdana" w:cs="Arial"/>
                <w:b/>
                <w:color w:val="366092"/>
                <w:sz w:val="18"/>
                <w:szCs w:val="18"/>
              </w:rPr>
              <w:t>4</w:t>
            </w:r>
          </w:p>
        </w:tc>
        <w:tc>
          <w:tcPr>
            <w:tcW w:w="1429" w:type="dxa"/>
            <w:tcBorders>
              <w:top w:val="single" w:sz="4" w:space="0" w:color="365F91"/>
              <w:left w:val="nil"/>
              <w:bottom w:val="single" w:sz="4" w:space="0" w:color="365F91"/>
              <w:right w:val="nil"/>
            </w:tcBorders>
            <w:vAlign w:val="center"/>
          </w:tcPr>
          <w:p w14:paraId="4FDE31DB" w14:textId="050507D0" w:rsidR="006C16A4" w:rsidRPr="00B91D41" w:rsidRDefault="0003089E" w:rsidP="00870A8B">
            <w:pPr>
              <w:ind w:left="-53" w:right="-10"/>
              <w:jc w:val="center"/>
              <w:rPr>
                <w:rFonts w:ascii="Verdana" w:eastAsia="Malgun Gothic" w:hAnsi="Verdana" w:cs="Arial"/>
                <w:color w:val="366092"/>
                <w:sz w:val="18"/>
                <w:szCs w:val="18"/>
              </w:rPr>
            </w:pPr>
            <w:r w:rsidRPr="00B91D41">
              <w:rPr>
                <w:rFonts w:ascii="Verdana" w:eastAsia="Malgun Gothic" w:hAnsi="Verdana" w:cs="Arial"/>
                <w:b/>
                <w:color w:val="366092"/>
                <w:sz w:val="18"/>
                <w:szCs w:val="18"/>
              </w:rPr>
              <w:t xml:space="preserve">  </w:t>
            </w:r>
            <w:r w:rsidR="004A0992" w:rsidRPr="00B91D41">
              <w:rPr>
                <w:rFonts w:ascii="Verdana" w:eastAsia="Malgun Gothic" w:hAnsi="Verdana" w:cs="Arial"/>
                <w:b/>
                <w:color w:val="366092"/>
                <w:sz w:val="18"/>
                <w:szCs w:val="18"/>
              </w:rPr>
              <w:t>Q</w:t>
            </w:r>
            <w:r w:rsidR="00421B7D" w:rsidRPr="00B91D41">
              <w:rPr>
                <w:rFonts w:ascii="Verdana" w:eastAsia="Malgun Gothic" w:hAnsi="Verdana" w:cs="Arial"/>
                <w:b/>
                <w:color w:val="366092"/>
                <w:sz w:val="18"/>
                <w:szCs w:val="18"/>
              </w:rPr>
              <w:t>1</w:t>
            </w:r>
            <w:r w:rsidR="004A0992" w:rsidRPr="00B91D41">
              <w:rPr>
                <w:rFonts w:ascii="Verdana" w:eastAsia="Malgun Gothic" w:hAnsi="Verdana" w:cs="Arial"/>
                <w:b/>
                <w:color w:val="366092"/>
                <w:sz w:val="18"/>
                <w:szCs w:val="18"/>
                <w:lang w:val="el-GR"/>
              </w:rPr>
              <w:t xml:space="preserve"> 20</w:t>
            </w:r>
            <w:r w:rsidR="004A0992" w:rsidRPr="00B91D41">
              <w:rPr>
                <w:rFonts w:ascii="Verdana" w:eastAsia="Malgun Gothic" w:hAnsi="Verdana" w:cs="Arial"/>
                <w:b/>
                <w:color w:val="366092"/>
                <w:sz w:val="18"/>
                <w:szCs w:val="18"/>
              </w:rPr>
              <w:t>2</w:t>
            </w:r>
            <w:r w:rsidR="00421B7D" w:rsidRPr="00B91D41">
              <w:rPr>
                <w:rFonts w:ascii="Verdana" w:eastAsia="Malgun Gothic" w:hAnsi="Verdana" w:cs="Arial"/>
                <w:b/>
                <w:color w:val="366092"/>
                <w:sz w:val="18"/>
                <w:szCs w:val="18"/>
              </w:rPr>
              <w:t>5</w:t>
            </w:r>
            <w:r w:rsidR="004A0992" w:rsidRPr="00B91D41">
              <w:rPr>
                <w:rFonts w:ascii="Verdana" w:eastAsia="Malgun Gothic" w:hAnsi="Verdana" w:cs="Arial"/>
                <w:b/>
                <w:color w:val="366092"/>
                <w:sz w:val="18"/>
                <w:szCs w:val="18"/>
                <w:lang w:val="el-GR"/>
              </w:rPr>
              <w:t>/</w:t>
            </w:r>
            <w:r w:rsidR="004A0992" w:rsidRPr="00B91D41">
              <w:rPr>
                <w:rFonts w:ascii="Verdana" w:eastAsia="Malgun Gothic" w:hAnsi="Verdana" w:cs="Arial"/>
                <w:b/>
                <w:color w:val="366092"/>
                <w:sz w:val="18"/>
                <w:szCs w:val="18"/>
              </w:rPr>
              <w:t>202</w:t>
            </w:r>
            <w:r w:rsidR="00421B7D" w:rsidRPr="00B91D41">
              <w:rPr>
                <w:rFonts w:ascii="Verdana" w:eastAsia="Malgun Gothic" w:hAnsi="Verdana" w:cs="Arial"/>
                <w:b/>
                <w:color w:val="366092"/>
                <w:sz w:val="18"/>
                <w:szCs w:val="18"/>
              </w:rPr>
              <w:t>4</w:t>
            </w:r>
          </w:p>
        </w:tc>
      </w:tr>
      <w:tr w:rsidR="00B91D41" w:rsidRPr="00B91D41" w14:paraId="1E47488C" w14:textId="77777777" w:rsidTr="00870A8B">
        <w:trPr>
          <w:trHeight w:val="504"/>
          <w:jc w:val="center"/>
        </w:trPr>
        <w:tc>
          <w:tcPr>
            <w:tcW w:w="2657" w:type="dxa"/>
            <w:tcBorders>
              <w:top w:val="single" w:sz="4" w:space="0" w:color="365F91"/>
              <w:left w:val="nil"/>
              <w:bottom w:val="nil"/>
              <w:right w:val="nil"/>
            </w:tcBorders>
            <w:vAlign w:val="center"/>
          </w:tcPr>
          <w:p w14:paraId="12EFD920" w14:textId="77777777" w:rsidR="00421B7D" w:rsidRPr="00B91D41" w:rsidRDefault="00421B7D" w:rsidP="00421B7D">
            <w:pPr>
              <w:rPr>
                <w:rFonts w:ascii="Verdana" w:eastAsia="Malgun Gothic" w:hAnsi="Verdana" w:cs="Arial"/>
                <w:b/>
                <w:color w:val="366092"/>
                <w:sz w:val="18"/>
                <w:szCs w:val="18"/>
                <w:u w:val="single"/>
              </w:rPr>
            </w:pPr>
            <w:r w:rsidRPr="00B91D41">
              <w:rPr>
                <w:rFonts w:ascii="Verdana" w:eastAsia="Malgun Gothic" w:hAnsi="Verdana" w:cs="Arial"/>
                <w:b/>
                <w:color w:val="366092"/>
                <w:sz w:val="18"/>
                <w:szCs w:val="18"/>
                <w:u w:val="single"/>
              </w:rPr>
              <w:t>General Government</w:t>
            </w:r>
          </w:p>
        </w:tc>
        <w:tc>
          <w:tcPr>
            <w:tcW w:w="1344" w:type="dxa"/>
            <w:tcBorders>
              <w:top w:val="single" w:sz="4" w:space="0" w:color="365F91"/>
              <w:left w:val="nil"/>
              <w:bottom w:val="nil"/>
              <w:right w:val="nil"/>
            </w:tcBorders>
            <w:vAlign w:val="center"/>
          </w:tcPr>
          <w:p w14:paraId="16694950" w14:textId="049F93E6" w:rsidR="00421B7D" w:rsidRPr="00B91D41" w:rsidRDefault="00421B7D" w:rsidP="00421B7D">
            <w:pPr>
              <w:ind w:right="144"/>
              <w:jc w:val="right"/>
              <w:rPr>
                <w:rFonts w:ascii="Verdana" w:eastAsia="Malgun Gothic" w:hAnsi="Verdana" w:cs="Arial"/>
                <w:b/>
                <w:color w:val="366092"/>
                <w:sz w:val="18"/>
                <w:szCs w:val="18"/>
              </w:rPr>
            </w:pPr>
            <w:r w:rsidRPr="00B91D41">
              <w:rPr>
                <w:rFonts w:ascii="Verdana" w:hAnsi="Verdana" w:cs="Arial"/>
                <w:b/>
                <w:bCs/>
                <w:color w:val="366092"/>
                <w:sz w:val="18"/>
                <w:szCs w:val="18"/>
              </w:rPr>
              <w:t>69.929</w:t>
            </w:r>
          </w:p>
        </w:tc>
        <w:tc>
          <w:tcPr>
            <w:tcW w:w="1344" w:type="dxa"/>
            <w:tcBorders>
              <w:top w:val="single" w:sz="4" w:space="0" w:color="365F91"/>
              <w:left w:val="nil"/>
              <w:bottom w:val="nil"/>
              <w:right w:val="nil"/>
            </w:tcBorders>
            <w:vAlign w:val="center"/>
          </w:tcPr>
          <w:p w14:paraId="602E4DBD" w14:textId="1B5563B4" w:rsidR="00421B7D" w:rsidRPr="00B91D41" w:rsidRDefault="00421B7D" w:rsidP="00421B7D">
            <w:pPr>
              <w:ind w:right="144"/>
              <w:jc w:val="right"/>
              <w:rPr>
                <w:rFonts w:ascii="Verdana" w:eastAsia="Malgun Gothic" w:hAnsi="Verdana" w:cs="Arial"/>
                <w:b/>
                <w:color w:val="366092"/>
                <w:sz w:val="18"/>
                <w:szCs w:val="18"/>
                <w:lang w:val="el-GR"/>
              </w:rPr>
            </w:pPr>
            <w:r w:rsidRPr="00B91D41">
              <w:rPr>
                <w:rFonts w:ascii="Verdana" w:hAnsi="Verdana" w:cs="Arial"/>
                <w:b/>
                <w:bCs/>
                <w:color w:val="366092"/>
                <w:sz w:val="18"/>
                <w:szCs w:val="18"/>
              </w:rPr>
              <w:t>71.871</w:t>
            </w:r>
          </w:p>
        </w:tc>
        <w:tc>
          <w:tcPr>
            <w:tcW w:w="1344" w:type="dxa"/>
            <w:tcBorders>
              <w:top w:val="single" w:sz="4" w:space="0" w:color="365F91"/>
              <w:left w:val="nil"/>
              <w:bottom w:val="nil"/>
              <w:right w:val="single" w:sz="4" w:space="0" w:color="365F91"/>
            </w:tcBorders>
            <w:vAlign w:val="center"/>
          </w:tcPr>
          <w:p w14:paraId="6B693708" w14:textId="3CA56644" w:rsidR="00421B7D" w:rsidRPr="00B91D41" w:rsidRDefault="00421B7D" w:rsidP="00421B7D">
            <w:pPr>
              <w:ind w:right="144"/>
              <w:jc w:val="right"/>
              <w:rPr>
                <w:rFonts w:ascii="Verdana" w:eastAsia="Malgun Gothic" w:hAnsi="Verdana" w:cs="Arial"/>
                <w:b/>
                <w:color w:val="366092"/>
                <w:sz w:val="18"/>
                <w:szCs w:val="18"/>
                <w:lang w:val="el-GR"/>
              </w:rPr>
            </w:pPr>
            <w:r w:rsidRPr="00B91D41">
              <w:rPr>
                <w:rFonts w:ascii="Verdana" w:hAnsi="Verdana" w:cs="Arial"/>
                <w:b/>
                <w:bCs/>
                <w:color w:val="366092"/>
                <w:sz w:val="18"/>
                <w:szCs w:val="18"/>
              </w:rPr>
              <w:t>72.072</w:t>
            </w:r>
          </w:p>
        </w:tc>
        <w:tc>
          <w:tcPr>
            <w:tcW w:w="236" w:type="dxa"/>
            <w:tcBorders>
              <w:top w:val="single" w:sz="4" w:space="0" w:color="365F91"/>
              <w:left w:val="single" w:sz="4" w:space="0" w:color="365F91"/>
              <w:bottom w:val="nil"/>
              <w:right w:val="single" w:sz="4" w:space="0" w:color="365F91"/>
            </w:tcBorders>
            <w:vAlign w:val="center"/>
          </w:tcPr>
          <w:p w14:paraId="3E7112E9" w14:textId="189A28A2" w:rsidR="00421B7D" w:rsidRPr="00B91D41" w:rsidRDefault="00421B7D" w:rsidP="00421B7D">
            <w:pPr>
              <w:ind w:right="144"/>
              <w:jc w:val="right"/>
              <w:rPr>
                <w:rFonts w:ascii="Verdana" w:eastAsia="Malgun Gothic" w:hAnsi="Verdana" w:cs="Arial"/>
                <w:b/>
                <w:color w:val="366092"/>
                <w:sz w:val="18"/>
                <w:szCs w:val="18"/>
                <w:lang w:val="el-GR"/>
              </w:rPr>
            </w:pPr>
            <w:r w:rsidRPr="00B91D41">
              <w:rPr>
                <w:rFonts w:ascii="Verdana" w:hAnsi="Verdana" w:cs="Arial"/>
                <w:b/>
                <w:bCs/>
                <w:color w:val="366092"/>
                <w:sz w:val="18"/>
                <w:szCs w:val="18"/>
              </w:rPr>
              <w:t> </w:t>
            </w:r>
          </w:p>
        </w:tc>
        <w:tc>
          <w:tcPr>
            <w:tcW w:w="1392" w:type="dxa"/>
            <w:tcBorders>
              <w:top w:val="single" w:sz="4" w:space="0" w:color="365F91"/>
              <w:left w:val="single" w:sz="4" w:space="0" w:color="365F91"/>
              <w:bottom w:val="nil"/>
              <w:right w:val="nil"/>
            </w:tcBorders>
            <w:vAlign w:val="center"/>
          </w:tcPr>
          <w:p w14:paraId="12EF48CB" w14:textId="55BFEADB" w:rsidR="00421B7D" w:rsidRPr="00B91D41" w:rsidRDefault="00421B7D" w:rsidP="00421B7D">
            <w:pPr>
              <w:ind w:right="340"/>
              <w:jc w:val="right"/>
              <w:rPr>
                <w:rFonts w:ascii="Verdana" w:eastAsia="Malgun Gothic" w:hAnsi="Verdana" w:cs="Arial"/>
                <w:b/>
                <w:color w:val="366092"/>
                <w:sz w:val="18"/>
                <w:szCs w:val="18"/>
              </w:rPr>
            </w:pPr>
            <w:r w:rsidRPr="00B91D41">
              <w:rPr>
                <w:rFonts w:ascii="Verdana" w:hAnsi="Verdana" w:cs="Arial"/>
                <w:b/>
                <w:bCs/>
                <w:color w:val="366092"/>
                <w:sz w:val="18"/>
                <w:szCs w:val="18"/>
              </w:rPr>
              <w:t>0,3</w:t>
            </w:r>
          </w:p>
        </w:tc>
        <w:tc>
          <w:tcPr>
            <w:tcW w:w="1429" w:type="dxa"/>
            <w:tcBorders>
              <w:top w:val="single" w:sz="4" w:space="0" w:color="365F91"/>
              <w:left w:val="nil"/>
              <w:bottom w:val="nil"/>
              <w:right w:val="nil"/>
            </w:tcBorders>
            <w:vAlign w:val="center"/>
          </w:tcPr>
          <w:p w14:paraId="00C8468D" w14:textId="5B52360E" w:rsidR="00421B7D" w:rsidRPr="00B91D41" w:rsidRDefault="00421B7D" w:rsidP="00421B7D">
            <w:pPr>
              <w:ind w:right="340"/>
              <w:jc w:val="right"/>
              <w:rPr>
                <w:rFonts w:ascii="Verdana" w:eastAsia="Malgun Gothic" w:hAnsi="Verdana" w:cs="Arial"/>
                <w:b/>
                <w:color w:val="366092"/>
                <w:sz w:val="18"/>
                <w:szCs w:val="18"/>
                <w:lang w:val="el-GR"/>
              </w:rPr>
            </w:pPr>
            <w:r w:rsidRPr="00B91D41">
              <w:rPr>
                <w:rFonts w:ascii="Verdana" w:hAnsi="Verdana" w:cs="Arial"/>
                <w:b/>
                <w:bCs/>
                <w:color w:val="366092"/>
                <w:sz w:val="18"/>
                <w:szCs w:val="18"/>
              </w:rPr>
              <w:t>3,1</w:t>
            </w:r>
          </w:p>
        </w:tc>
      </w:tr>
      <w:tr w:rsidR="00B91D41" w:rsidRPr="00B91D41" w14:paraId="748F733D" w14:textId="77777777" w:rsidTr="00870A8B">
        <w:trPr>
          <w:trHeight w:val="432"/>
          <w:jc w:val="center"/>
        </w:trPr>
        <w:tc>
          <w:tcPr>
            <w:tcW w:w="2657" w:type="dxa"/>
            <w:tcBorders>
              <w:top w:val="nil"/>
              <w:left w:val="nil"/>
              <w:bottom w:val="nil"/>
              <w:right w:val="nil"/>
            </w:tcBorders>
            <w:vAlign w:val="center"/>
          </w:tcPr>
          <w:p w14:paraId="2FB6D49D" w14:textId="77777777" w:rsidR="00421B7D" w:rsidRPr="00B91D41" w:rsidRDefault="00421B7D" w:rsidP="00421B7D">
            <w:pPr>
              <w:ind w:left="144"/>
              <w:rPr>
                <w:rFonts w:ascii="Verdana" w:eastAsia="Malgun Gothic" w:hAnsi="Verdana" w:cs="Arial"/>
                <w:b/>
                <w:color w:val="366092"/>
                <w:sz w:val="18"/>
                <w:szCs w:val="18"/>
              </w:rPr>
            </w:pPr>
            <w:r w:rsidRPr="00B91D41">
              <w:rPr>
                <w:rFonts w:ascii="Verdana" w:eastAsia="Malgun Gothic" w:hAnsi="Verdana" w:cs="Arial"/>
                <w:b/>
                <w:color w:val="366092"/>
                <w:sz w:val="18"/>
                <w:szCs w:val="18"/>
              </w:rPr>
              <w:t>Central Government</w:t>
            </w:r>
          </w:p>
        </w:tc>
        <w:tc>
          <w:tcPr>
            <w:tcW w:w="1344" w:type="dxa"/>
            <w:tcBorders>
              <w:top w:val="nil"/>
              <w:left w:val="nil"/>
              <w:bottom w:val="nil"/>
              <w:right w:val="nil"/>
            </w:tcBorders>
            <w:vAlign w:val="center"/>
          </w:tcPr>
          <w:p w14:paraId="14076165" w14:textId="2F8C7C2C" w:rsidR="00421B7D" w:rsidRPr="00B91D41" w:rsidRDefault="00421B7D" w:rsidP="00421B7D">
            <w:pPr>
              <w:ind w:right="144"/>
              <w:jc w:val="right"/>
              <w:rPr>
                <w:rFonts w:ascii="Verdana" w:eastAsia="Malgun Gothic" w:hAnsi="Verdana" w:cs="Arial"/>
                <w:b/>
                <w:color w:val="366092"/>
                <w:sz w:val="18"/>
                <w:szCs w:val="18"/>
                <w:lang w:val="el-GR"/>
              </w:rPr>
            </w:pPr>
            <w:r w:rsidRPr="00B91D41">
              <w:rPr>
                <w:rFonts w:ascii="Verdana" w:hAnsi="Verdana" w:cs="Arial"/>
                <w:b/>
                <w:bCs/>
                <w:color w:val="366092"/>
                <w:sz w:val="18"/>
                <w:szCs w:val="18"/>
              </w:rPr>
              <w:t>65.465</w:t>
            </w:r>
          </w:p>
        </w:tc>
        <w:tc>
          <w:tcPr>
            <w:tcW w:w="1344" w:type="dxa"/>
            <w:tcBorders>
              <w:top w:val="nil"/>
              <w:left w:val="nil"/>
              <w:bottom w:val="nil"/>
              <w:right w:val="nil"/>
            </w:tcBorders>
            <w:vAlign w:val="center"/>
          </w:tcPr>
          <w:p w14:paraId="7A300D0F" w14:textId="64579F45" w:rsidR="00421B7D" w:rsidRPr="00B91D41" w:rsidRDefault="00421B7D" w:rsidP="00421B7D">
            <w:pPr>
              <w:ind w:right="144"/>
              <w:jc w:val="right"/>
              <w:rPr>
                <w:rFonts w:ascii="Verdana" w:eastAsia="Malgun Gothic" w:hAnsi="Verdana" w:cs="Arial"/>
                <w:b/>
                <w:color w:val="366092"/>
                <w:sz w:val="18"/>
                <w:szCs w:val="18"/>
                <w:lang w:val="el-GR"/>
              </w:rPr>
            </w:pPr>
            <w:r w:rsidRPr="00B91D41">
              <w:rPr>
                <w:rFonts w:ascii="Verdana" w:hAnsi="Verdana" w:cs="Arial"/>
                <w:b/>
                <w:bCs/>
                <w:color w:val="366092"/>
                <w:sz w:val="18"/>
                <w:szCs w:val="18"/>
              </w:rPr>
              <w:t>66.231</w:t>
            </w:r>
          </w:p>
        </w:tc>
        <w:tc>
          <w:tcPr>
            <w:tcW w:w="1344" w:type="dxa"/>
            <w:tcBorders>
              <w:top w:val="nil"/>
              <w:left w:val="nil"/>
              <w:bottom w:val="nil"/>
              <w:right w:val="single" w:sz="4" w:space="0" w:color="365F91"/>
            </w:tcBorders>
            <w:vAlign w:val="center"/>
          </w:tcPr>
          <w:p w14:paraId="2071E4D6" w14:textId="03431F66" w:rsidR="00421B7D" w:rsidRPr="00B91D41" w:rsidRDefault="00421B7D" w:rsidP="00421B7D">
            <w:pPr>
              <w:ind w:right="144"/>
              <w:jc w:val="right"/>
              <w:rPr>
                <w:rFonts w:ascii="Verdana" w:eastAsia="Malgun Gothic" w:hAnsi="Verdana" w:cs="Arial"/>
                <w:b/>
                <w:color w:val="366092"/>
                <w:sz w:val="18"/>
                <w:szCs w:val="18"/>
                <w:lang w:val="el-GR"/>
              </w:rPr>
            </w:pPr>
            <w:r w:rsidRPr="00B91D41">
              <w:rPr>
                <w:rFonts w:ascii="Verdana" w:hAnsi="Verdana" w:cs="Arial"/>
                <w:b/>
                <w:bCs/>
                <w:color w:val="366092"/>
                <w:sz w:val="18"/>
                <w:szCs w:val="18"/>
              </w:rPr>
              <w:t>66.491</w:t>
            </w:r>
          </w:p>
        </w:tc>
        <w:tc>
          <w:tcPr>
            <w:tcW w:w="236" w:type="dxa"/>
            <w:tcBorders>
              <w:top w:val="nil"/>
              <w:left w:val="single" w:sz="4" w:space="0" w:color="365F91"/>
              <w:bottom w:val="nil"/>
              <w:right w:val="single" w:sz="4" w:space="0" w:color="365F91"/>
            </w:tcBorders>
            <w:vAlign w:val="center"/>
          </w:tcPr>
          <w:p w14:paraId="4C64A2A9" w14:textId="6FCC2F56" w:rsidR="00421B7D" w:rsidRPr="00B91D41" w:rsidRDefault="00421B7D" w:rsidP="00421B7D">
            <w:pPr>
              <w:ind w:right="144"/>
              <w:jc w:val="right"/>
              <w:rPr>
                <w:rFonts w:ascii="Verdana" w:eastAsia="Malgun Gothic" w:hAnsi="Verdana" w:cs="Arial"/>
                <w:b/>
                <w:color w:val="366092"/>
                <w:sz w:val="18"/>
                <w:szCs w:val="18"/>
                <w:lang w:val="el-GR"/>
              </w:rPr>
            </w:pPr>
            <w:r w:rsidRPr="00B91D41">
              <w:rPr>
                <w:rFonts w:ascii="Verdana" w:hAnsi="Verdana" w:cs="Arial"/>
                <w:b/>
                <w:bCs/>
                <w:color w:val="366092"/>
                <w:sz w:val="18"/>
                <w:szCs w:val="18"/>
              </w:rPr>
              <w:t> </w:t>
            </w:r>
          </w:p>
        </w:tc>
        <w:tc>
          <w:tcPr>
            <w:tcW w:w="1392" w:type="dxa"/>
            <w:tcBorders>
              <w:top w:val="nil"/>
              <w:left w:val="single" w:sz="4" w:space="0" w:color="365F91"/>
              <w:bottom w:val="nil"/>
              <w:right w:val="nil"/>
            </w:tcBorders>
            <w:vAlign w:val="center"/>
          </w:tcPr>
          <w:p w14:paraId="4BC0FAB8" w14:textId="5681AAF1" w:rsidR="00421B7D" w:rsidRPr="00B91D41" w:rsidRDefault="00421B7D" w:rsidP="00421B7D">
            <w:pPr>
              <w:ind w:right="340"/>
              <w:jc w:val="right"/>
              <w:rPr>
                <w:rFonts w:ascii="Verdana" w:eastAsia="Malgun Gothic" w:hAnsi="Verdana" w:cs="Arial"/>
                <w:b/>
                <w:color w:val="366092"/>
                <w:sz w:val="18"/>
                <w:szCs w:val="18"/>
              </w:rPr>
            </w:pPr>
            <w:r w:rsidRPr="00B91D41">
              <w:rPr>
                <w:rFonts w:ascii="Verdana" w:hAnsi="Verdana" w:cs="Arial"/>
                <w:b/>
                <w:bCs/>
                <w:color w:val="366092"/>
                <w:sz w:val="18"/>
                <w:szCs w:val="18"/>
              </w:rPr>
              <w:t>0,4</w:t>
            </w:r>
          </w:p>
        </w:tc>
        <w:tc>
          <w:tcPr>
            <w:tcW w:w="1429" w:type="dxa"/>
            <w:tcBorders>
              <w:top w:val="nil"/>
              <w:left w:val="nil"/>
              <w:bottom w:val="nil"/>
              <w:right w:val="nil"/>
            </w:tcBorders>
            <w:vAlign w:val="center"/>
          </w:tcPr>
          <w:p w14:paraId="455F5011" w14:textId="3E896FDC" w:rsidR="00421B7D" w:rsidRPr="00B91D41" w:rsidRDefault="00421B7D" w:rsidP="00421B7D">
            <w:pPr>
              <w:ind w:right="340"/>
              <w:jc w:val="right"/>
              <w:rPr>
                <w:rFonts w:ascii="Verdana" w:eastAsia="Malgun Gothic" w:hAnsi="Verdana" w:cs="Arial"/>
                <w:b/>
                <w:color w:val="366092"/>
                <w:sz w:val="18"/>
                <w:szCs w:val="18"/>
                <w:lang w:val="el-GR"/>
              </w:rPr>
            </w:pPr>
            <w:r w:rsidRPr="00B91D41">
              <w:rPr>
                <w:rFonts w:ascii="Verdana" w:hAnsi="Verdana" w:cs="Arial"/>
                <w:b/>
                <w:bCs/>
                <w:color w:val="366092"/>
                <w:sz w:val="18"/>
                <w:szCs w:val="18"/>
              </w:rPr>
              <w:t>1,6</w:t>
            </w:r>
          </w:p>
        </w:tc>
      </w:tr>
      <w:tr w:rsidR="00B91D41" w:rsidRPr="00B91D41" w14:paraId="40E2E693" w14:textId="77777777" w:rsidTr="00870A8B">
        <w:trPr>
          <w:trHeight w:val="432"/>
          <w:jc w:val="center"/>
        </w:trPr>
        <w:tc>
          <w:tcPr>
            <w:tcW w:w="2657" w:type="dxa"/>
            <w:tcBorders>
              <w:top w:val="nil"/>
              <w:left w:val="nil"/>
              <w:bottom w:val="nil"/>
              <w:right w:val="nil"/>
            </w:tcBorders>
            <w:vAlign w:val="center"/>
          </w:tcPr>
          <w:p w14:paraId="3E44EDE9" w14:textId="77777777" w:rsidR="00421B7D" w:rsidRPr="00B91D41" w:rsidRDefault="00421B7D" w:rsidP="00421B7D">
            <w:pPr>
              <w:ind w:left="288"/>
              <w:rPr>
                <w:rFonts w:ascii="Verdana" w:eastAsia="Malgun Gothic" w:hAnsi="Verdana" w:cs="Arial"/>
                <w:color w:val="366092"/>
                <w:sz w:val="18"/>
                <w:szCs w:val="18"/>
              </w:rPr>
            </w:pPr>
            <w:r w:rsidRPr="00B91D41">
              <w:rPr>
                <w:rFonts w:ascii="Verdana" w:eastAsia="Malgun Gothic" w:hAnsi="Verdana" w:cs="Arial"/>
                <w:color w:val="366092"/>
                <w:sz w:val="18"/>
                <w:szCs w:val="18"/>
              </w:rPr>
              <w:t>Government</w:t>
            </w:r>
          </w:p>
        </w:tc>
        <w:tc>
          <w:tcPr>
            <w:tcW w:w="1344" w:type="dxa"/>
            <w:tcBorders>
              <w:top w:val="nil"/>
              <w:left w:val="nil"/>
              <w:bottom w:val="nil"/>
              <w:right w:val="nil"/>
            </w:tcBorders>
            <w:vAlign w:val="center"/>
          </w:tcPr>
          <w:p w14:paraId="7567DC22" w14:textId="59755FA6" w:rsidR="00421B7D" w:rsidRPr="00B91D41" w:rsidRDefault="00421B7D" w:rsidP="00421B7D">
            <w:pPr>
              <w:ind w:right="144"/>
              <w:jc w:val="right"/>
              <w:rPr>
                <w:rFonts w:ascii="Verdana" w:eastAsia="Malgun Gothic" w:hAnsi="Verdana" w:cs="Arial"/>
                <w:color w:val="366092"/>
                <w:sz w:val="18"/>
                <w:szCs w:val="18"/>
                <w:lang w:val="el-GR"/>
              </w:rPr>
            </w:pPr>
            <w:r w:rsidRPr="00B91D41">
              <w:rPr>
                <w:rFonts w:ascii="Verdana" w:hAnsi="Verdana" w:cs="Arial"/>
                <w:color w:val="366092"/>
                <w:sz w:val="18"/>
                <w:szCs w:val="18"/>
              </w:rPr>
              <w:t>54.698</w:t>
            </w:r>
          </w:p>
        </w:tc>
        <w:tc>
          <w:tcPr>
            <w:tcW w:w="1344" w:type="dxa"/>
            <w:tcBorders>
              <w:top w:val="nil"/>
              <w:left w:val="nil"/>
              <w:bottom w:val="nil"/>
              <w:right w:val="nil"/>
            </w:tcBorders>
            <w:vAlign w:val="center"/>
          </w:tcPr>
          <w:p w14:paraId="2C74F20C" w14:textId="59C4028C" w:rsidR="00421B7D" w:rsidRPr="00B91D41" w:rsidRDefault="00421B7D" w:rsidP="00421B7D">
            <w:pPr>
              <w:ind w:right="144"/>
              <w:jc w:val="right"/>
              <w:rPr>
                <w:rFonts w:ascii="Verdana" w:eastAsia="Malgun Gothic" w:hAnsi="Verdana" w:cs="Arial"/>
                <w:color w:val="366092"/>
                <w:sz w:val="18"/>
                <w:szCs w:val="18"/>
                <w:lang w:val="el-GR"/>
              </w:rPr>
            </w:pPr>
            <w:r w:rsidRPr="00B91D41">
              <w:rPr>
                <w:rFonts w:ascii="Verdana" w:hAnsi="Verdana" w:cs="Arial"/>
                <w:color w:val="366092"/>
                <w:sz w:val="18"/>
                <w:szCs w:val="18"/>
              </w:rPr>
              <w:t>55.125</w:t>
            </w:r>
          </w:p>
        </w:tc>
        <w:tc>
          <w:tcPr>
            <w:tcW w:w="1344" w:type="dxa"/>
            <w:tcBorders>
              <w:top w:val="nil"/>
              <w:left w:val="nil"/>
              <w:bottom w:val="nil"/>
              <w:right w:val="single" w:sz="4" w:space="0" w:color="365F91"/>
            </w:tcBorders>
            <w:vAlign w:val="center"/>
          </w:tcPr>
          <w:p w14:paraId="1D768D34" w14:textId="2CDB7D16" w:rsidR="00421B7D" w:rsidRPr="00B91D41" w:rsidRDefault="00421B7D" w:rsidP="00421B7D">
            <w:pPr>
              <w:ind w:right="144"/>
              <w:jc w:val="right"/>
              <w:rPr>
                <w:rFonts w:ascii="Verdana" w:eastAsia="Malgun Gothic" w:hAnsi="Verdana" w:cs="Arial"/>
                <w:color w:val="366092"/>
                <w:sz w:val="18"/>
                <w:szCs w:val="18"/>
                <w:lang w:val="el-GR"/>
              </w:rPr>
            </w:pPr>
            <w:r w:rsidRPr="00B91D41">
              <w:rPr>
                <w:rFonts w:ascii="Verdana" w:hAnsi="Verdana" w:cs="Arial"/>
                <w:color w:val="366092"/>
                <w:sz w:val="18"/>
                <w:szCs w:val="18"/>
              </w:rPr>
              <w:t>55.243</w:t>
            </w:r>
          </w:p>
        </w:tc>
        <w:tc>
          <w:tcPr>
            <w:tcW w:w="236" w:type="dxa"/>
            <w:tcBorders>
              <w:top w:val="nil"/>
              <w:left w:val="single" w:sz="4" w:space="0" w:color="365F91"/>
              <w:bottom w:val="nil"/>
              <w:right w:val="single" w:sz="4" w:space="0" w:color="365F91"/>
            </w:tcBorders>
            <w:vAlign w:val="center"/>
          </w:tcPr>
          <w:p w14:paraId="6813CB5F" w14:textId="302A2C7E" w:rsidR="00421B7D" w:rsidRPr="00B91D41" w:rsidRDefault="00421B7D" w:rsidP="00421B7D">
            <w:pPr>
              <w:ind w:right="144"/>
              <w:jc w:val="right"/>
              <w:rPr>
                <w:rFonts w:ascii="Verdana" w:eastAsia="Malgun Gothic" w:hAnsi="Verdana" w:cs="Arial"/>
                <w:color w:val="366092"/>
                <w:sz w:val="18"/>
                <w:szCs w:val="18"/>
                <w:lang w:val="el-GR"/>
              </w:rPr>
            </w:pPr>
            <w:r w:rsidRPr="00B91D41">
              <w:rPr>
                <w:rFonts w:ascii="Verdana" w:hAnsi="Verdana" w:cs="Arial"/>
                <w:color w:val="366092"/>
                <w:sz w:val="18"/>
                <w:szCs w:val="18"/>
              </w:rPr>
              <w:t> </w:t>
            </w:r>
          </w:p>
        </w:tc>
        <w:tc>
          <w:tcPr>
            <w:tcW w:w="1392" w:type="dxa"/>
            <w:tcBorders>
              <w:top w:val="nil"/>
              <w:left w:val="single" w:sz="4" w:space="0" w:color="365F91"/>
              <w:bottom w:val="nil"/>
              <w:right w:val="nil"/>
            </w:tcBorders>
            <w:vAlign w:val="center"/>
          </w:tcPr>
          <w:p w14:paraId="5A6DE04A" w14:textId="2A345890" w:rsidR="00421B7D" w:rsidRPr="00B91D41" w:rsidRDefault="00421B7D" w:rsidP="00421B7D">
            <w:pPr>
              <w:ind w:right="340"/>
              <w:jc w:val="right"/>
              <w:rPr>
                <w:rFonts w:ascii="Verdana" w:eastAsia="Malgun Gothic" w:hAnsi="Verdana" w:cs="Arial"/>
                <w:color w:val="366092"/>
                <w:sz w:val="18"/>
                <w:szCs w:val="18"/>
                <w:lang w:val="el-GR"/>
              </w:rPr>
            </w:pPr>
            <w:r w:rsidRPr="00B91D41">
              <w:rPr>
                <w:rFonts w:ascii="Verdana" w:hAnsi="Verdana" w:cs="Arial"/>
                <w:color w:val="366092"/>
                <w:sz w:val="18"/>
                <w:szCs w:val="18"/>
              </w:rPr>
              <w:t>0,2</w:t>
            </w:r>
          </w:p>
        </w:tc>
        <w:tc>
          <w:tcPr>
            <w:tcW w:w="1429" w:type="dxa"/>
            <w:tcBorders>
              <w:top w:val="nil"/>
              <w:left w:val="nil"/>
              <w:bottom w:val="nil"/>
              <w:right w:val="nil"/>
            </w:tcBorders>
            <w:vAlign w:val="center"/>
          </w:tcPr>
          <w:p w14:paraId="44425C7C" w14:textId="033EB4BD" w:rsidR="00421B7D" w:rsidRPr="00B91D41" w:rsidRDefault="00421B7D" w:rsidP="00421B7D">
            <w:pPr>
              <w:ind w:right="340"/>
              <w:jc w:val="right"/>
              <w:rPr>
                <w:rFonts w:ascii="Verdana" w:eastAsia="Malgun Gothic" w:hAnsi="Verdana" w:cs="Arial"/>
                <w:color w:val="366092"/>
                <w:sz w:val="18"/>
                <w:szCs w:val="18"/>
                <w:lang w:val="el-GR"/>
              </w:rPr>
            </w:pPr>
            <w:r w:rsidRPr="00B91D41">
              <w:rPr>
                <w:rFonts w:ascii="Verdana" w:hAnsi="Verdana" w:cs="Arial"/>
                <w:color w:val="366092"/>
                <w:sz w:val="18"/>
                <w:szCs w:val="18"/>
              </w:rPr>
              <w:t>1,0</w:t>
            </w:r>
          </w:p>
        </w:tc>
      </w:tr>
      <w:tr w:rsidR="00B91D41" w:rsidRPr="00B91D41" w14:paraId="7079D193" w14:textId="77777777" w:rsidTr="00870A8B">
        <w:trPr>
          <w:trHeight w:val="461"/>
          <w:jc w:val="center"/>
        </w:trPr>
        <w:tc>
          <w:tcPr>
            <w:tcW w:w="2657" w:type="dxa"/>
            <w:tcBorders>
              <w:top w:val="nil"/>
              <w:left w:val="nil"/>
              <w:bottom w:val="nil"/>
              <w:right w:val="nil"/>
            </w:tcBorders>
            <w:vAlign w:val="center"/>
          </w:tcPr>
          <w:p w14:paraId="5BB473F6" w14:textId="137F93BF" w:rsidR="00421B7D" w:rsidRPr="00B91D41" w:rsidRDefault="00421B7D" w:rsidP="00421B7D">
            <w:pPr>
              <w:ind w:left="288"/>
              <w:rPr>
                <w:rFonts w:ascii="Verdana" w:eastAsia="Malgun Gothic" w:hAnsi="Verdana" w:cs="Arial"/>
                <w:color w:val="366092"/>
                <w:sz w:val="18"/>
                <w:szCs w:val="18"/>
              </w:rPr>
            </w:pPr>
            <w:r w:rsidRPr="00B91D41">
              <w:rPr>
                <w:rFonts w:ascii="Verdana" w:eastAsia="Malgun Gothic" w:hAnsi="Verdana" w:cs="Arial"/>
                <w:color w:val="366092"/>
                <w:sz w:val="18"/>
                <w:szCs w:val="18"/>
              </w:rPr>
              <w:t xml:space="preserve">Non-profit </w:t>
            </w:r>
            <w:proofErr w:type="spellStart"/>
            <w:r w:rsidRPr="00B91D41">
              <w:rPr>
                <w:rFonts w:ascii="Verdana" w:eastAsia="Malgun Gothic" w:hAnsi="Verdana" w:cs="Arial"/>
                <w:color w:val="366092"/>
                <w:sz w:val="18"/>
                <w:szCs w:val="18"/>
              </w:rPr>
              <w:t>Organisations</w:t>
            </w:r>
            <w:proofErr w:type="spellEnd"/>
          </w:p>
        </w:tc>
        <w:tc>
          <w:tcPr>
            <w:tcW w:w="1344" w:type="dxa"/>
            <w:tcBorders>
              <w:top w:val="nil"/>
              <w:left w:val="nil"/>
              <w:bottom w:val="nil"/>
              <w:right w:val="nil"/>
            </w:tcBorders>
            <w:vAlign w:val="center"/>
          </w:tcPr>
          <w:p w14:paraId="34D1870C" w14:textId="58A29B87" w:rsidR="00421B7D" w:rsidRPr="00B91D41" w:rsidRDefault="00421B7D" w:rsidP="00421B7D">
            <w:pPr>
              <w:ind w:right="144"/>
              <w:jc w:val="right"/>
              <w:rPr>
                <w:rFonts w:ascii="Verdana" w:eastAsia="Malgun Gothic" w:hAnsi="Verdana" w:cs="Arial"/>
                <w:color w:val="366092"/>
                <w:sz w:val="18"/>
                <w:szCs w:val="18"/>
                <w:lang w:val="el-GR"/>
              </w:rPr>
            </w:pPr>
            <w:r w:rsidRPr="00B91D41">
              <w:rPr>
                <w:rFonts w:ascii="Verdana" w:hAnsi="Verdana" w:cs="Arial"/>
                <w:color w:val="366092"/>
                <w:sz w:val="18"/>
                <w:szCs w:val="18"/>
              </w:rPr>
              <w:t>10.767</w:t>
            </w:r>
          </w:p>
        </w:tc>
        <w:tc>
          <w:tcPr>
            <w:tcW w:w="1344" w:type="dxa"/>
            <w:tcBorders>
              <w:top w:val="nil"/>
              <w:left w:val="nil"/>
              <w:bottom w:val="nil"/>
              <w:right w:val="nil"/>
            </w:tcBorders>
            <w:vAlign w:val="center"/>
          </w:tcPr>
          <w:p w14:paraId="6536B9AA" w14:textId="2BCC3E2B" w:rsidR="00421B7D" w:rsidRPr="00B91D41" w:rsidRDefault="00421B7D" w:rsidP="00421B7D">
            <w:pPr>
              <w:ind w:right="144"/>
              <w:jc w:val="right"/>
              <w:rPr>
                <w:rFonts w:ascii="Verdana" w:eastAsia="Malgun Gothic" w:hAnsi="Verdana" w:cs="Arial"/>
                <w:color w:val="366092"/>
                <w:sz w:val="18"/>
                <w:szCs w:val="18"/>
                <w:lang w:val="el-GR"/>
              </w:rPr>
            </w:pPr>
            <w:r w:rsidRPr="00B91D41">
              <w:rPr>
                <w:rFonts w:ascii="Verdana" w:hAnsi="Verdana" w:cs="Arial"/>
                <w:color w:val="366092"/>
                <w:sz w:val="18"/>
                <w:szCs w:val="18"/>
              </w:rPr>
              <w:t>11.106</w:t>
            </w:r>
          </w:p>
        </w:tc>
        <w:tc>
          <w:tcPr>
            <w:tcW w:w="1344" w:type="dxa"/>
            <w:tcBorders>
              <w:top w:val="nil"/>
              <w:left w:val="nil"/>
              <w:bottom w:val="nil"/>
              <w:right w:val="single" w:sz="4" w:space="0" w:color="365F91"/>
            </w:tcBorders>
            <w:vAlign w:val="center"/>
          </w:tcPr>
          <w:p w14:paraId="7F7D9495" w14:textId="39211EAF" w:rsidR="00421B7D" w:rsidRPr="00B91D41" w:rsidRDefault="00421B7D" w:rsidP="00421B7D">
            <w:pPr>
              <w:ind w:right="144"/>
              <w:jc w:val="right"/>
              <w:rPr>
                <w:rFonts w:ascii="Verdana" w:eastAsia="Malgun Gothic" w:hAnsi="Verdana" w:cs="Arial"/>
                <w:color w:val="366092"/>
                <w:sz w:val="18"/>
                <w:szCs w:val="18"/>
                <w:lang w:val="el-GR"/>
              </w:rPr>
            </w:pPr>
            <w:r w:rsidRPr="00B91D41">
              <w:rPr>
                <w:rFonts w:ascii="Verdana" w:hAnsi="Verdana" w:cs="Arial"/>
                <w:color w:val="366092"/>
                <w:sz w:val="18"/>
                <w:szCs w:val="18"/>
              </w:rPr>
              <w:t>11.248</w:t>
            </w:r>
          </w:p>
        </w:tc>
        <w:tc>
          <w:tcPr>
            <w:tcW w:w="236" w:type="dxa"/>
            <w:tcBorders>
              <w:top w:val="nil"/>
              <w:left w:val="single" w:sz="4" w:space="0" w:color="365F91"/>
              <w:bottom w:val="nil"/>
              <w:right w:val="single" w:sz="4" w:space="0" w:color="365F91"/>
            </w:tcBorders>
            <w:vAlign w:val="center"/>
          </w:tcPr>
          <w:p w14:paraId="0FBA1291" w14:textId="6ED0BC79" w:rsidR="00421B7D" w:rsidRPr="00B91D41" w:rsidRDefault="00421B7D" w:rsidP="00421B7D">
            <w:pPr>
              <w:ind w:right="144"/>
              <w:jc w:val="right"/>
              <w:rPr>
                <w:rFonts w:ascii="Verdana" w:eastAsia="Malgun Gothic" w:hAnsi="Verdana" w:cs="Arial"/>
                <w:color w:val="366092"/>
                <w:sz w:val="18"/>
                <w:szCs w:val="18"/>
                <w:lang w:val="el-GR"/>
              </w:rPr>
            </w:pPr>
            <w:r w:rsidRPr="00B91D41">
              <w:rPr>
                <w:rFonts w:ascii="Verdana" w:hAnsi="Verdana" w:cs="Arial"/>
                <w:color w:val="366092"/>
                <w:sz w:val="18"/>
                <w:szCs w:val="18"/>
              </w:rPr>
              <w:t> </w:t>
            </w:r>
          </w:p>
        </w:tc>
        <w:tc>
          <w:tcPr>
            <w:tcW w:w="1392" w:type="dxa"/>
            <w:tcBorders>
              <w:top w:val="nil"/>
              <w:left w:val="single" w:sz="4" w:space="0" w:color="365F91"/>
              <w:bottom w:val="nil"/>
              <w:right w:val="nil"/>
            </w:tcBorders>
            <w:vAlign w:val="center"/>
          </w:tcPr>
          <w:p w14:paraId="7066F0A8" w14:textId="3558373B" w:rsidR="00421B7D" w:rsidRPr="00B91D41" w:rsidRDefault="00421B7D" w:rsidP="00421B7D">
            <w:pPr>
              <w:ind w:right="340"/>
              <w:jc w:val="right"/>
              <w:rPr>
                <w:rFonts w:ascii="Verdana" w:eastAsia="Malgun Gothic" w:hAnsi="Verdana" w:cs="Arial"/>
                <w:color w:val="366092"/>
                <w:sz w:val="18"/>
                <w:szCs w:val="18"/>
              </w:rPr>
            </w:pPr>
            <w:r w:rsidRPr="00B91D41">
              <w:rPr>
                <w:rFonts w:ascii="Verdana" w:hAnsi="Verdana" w:cs="Arial"/>
                <w:color w:val="366092"/>
                <w:sz w:val="18"/>
                <w:szCs w:val="18"/>
              </w:rPr>
              <w:t>1,3</w:t>
            </w:r>
          </w:p>
        </w:tc>
        <w:tc>
          <w:tcPr>
            <w:tcW w:w="1429" w:type="dxa"/>
            <w:tcBorders>
              <w:top w:val="nil"/>
              <w:left w:val="nil"/>
              <w:bottom w:val="nil"/>
              <w:right w:val="nil"/>
            </w:tcBorders>
            <w:vAlign w:val="center"/>
          </w:tcPr>
          <w:p w14:paraId="382B4EC6" w14:textId="3647E92A" w:rsidR="00421B7D" w:rsidRPr="00B91D41" w:rsidRDefault="00421B7D" w:rsidP="00421B7D">
            <w:pPr>
              <w:ind w:right="340"/>
              <w:jc w:val="right"/>
              <w:rPr>
                <w:rFonts w:ascii="Verdana" w:eastAsia="Malgun Gothic" w:hAnsi="Verdana" w:cs="Arial"/>
                <w:color w:val="366092"/>
                <w:sz w:val="18"/>
                <w:szCs w:val="18"/>
                <w:lang w:val="el-GR"/>
              </w:rPr>
            </w:pPr>
            <w:r w:rsidRPr="00B91D41">
              <w:rPr>
                <w:rFonts w:ascii="Verdana" w:hAnsi="Verdana" w:cs="Arial"/>
                <w:color w:val="366092"/>
                <w:sz w:val="18"/>
                <w:szCs w:val="18"/>
              </w:rPr>
              <w:t>4,5</w:t>
            </w:r>
          </w:p>
        </w:tc>
      </w:tr>
      <w:tr w:rsidR="00B91D41" w:rsidRPr="00B91D41" w14:paraId="436B7F12" w14:textId="77777777" w:rsidTr="00870A8B">
        <w:trPr>
          <w:trHeight w:val="432"/>
          <w:jc w:val="center"/>
        </w:trPr>
        <w:tc>
          <w:tcPr>
            <w:tcW w:w="2657" w:type="dxa"/>
            <w:tcBorders>
              <w:top w:val="nil"/>
              <w:left w:val="nil"/>
              <w:bottom w:val="nil"/>
              <w:right w:val="nil"/>
            </w:tcBorders>
            <w:vAlign w:val="center"/>
          </w:tcPr>
          <w:p w14:paraId="0C69F7D4" w14:textId="77777777" w:rsidR="00421B7D" w:rsidRPr="00B91D41" w:rsidRDefault="00421B7D" w:rsidP="00421B7D">
            <w:pPr>
              <w:ind w:left="144"/>
              <w:rPr>
                <w:rFonts w:ascii="Verdana" w:eastAsia="Malgun Gothic" w:hAnsi="Verdana" w:cs="Arial"/>
                <w:b/>
                <w:color w:val="366092"/>
                <w:sz w:val="18"/>
                <w:szCs w:val="18"/>
              </w:rPr>
            </w:pPr>
            <w:r w:rsidRPr="00B91D41">
              <w:rPr>
                <w:rFonts w:ascii="Verdana" w:eastAsia="Malgun Gothic" w:hAnsi="Verdana" w:cs="Arial"/>
                <w:b/>
                <w:color w:val="366092"/>
                <w:sz w:val="18"/>
                <w:szCs w:val="18"/>
              </w:rPr>
              <w:t>Local Authorities</w:t>
            </w:r>
          </w:p>
        </w:tc>
        <w:tc>
          <w:tcPr>
            <w:tcW w:w="1344" w:type="dxa"/>
            <w:tcBorders>
              <w:top w:val="nil"/>
              <w:left w:val="nil"/>
              <w:bottom w:val="nil"/>
              <w:right w:val="nil"/>
            </w:tcBorders>
            <w:vAlign w:val="center"/>
          </w:tcPr>
          <w:p w14:paraId="58554A91" w14:textId="742D75DA" w:rsidR="00421B7D" w:rsidRPr="00B91D41" w:rsidRDefault="00421B7D" w:rsidP="00421B7D">
            <w:pPr>
              <w:ind w:right="144"/>
              <w:jc w:val="right"/>
              <w:rPr>
                <w:rFonts w:ascii="Verdana" w:eastAsia="Malgun Gothic" w:hAnsi="Verdana" w:cs="Arial"/>
                <w:b/>
                <w:color w:val="366092"/>
                <w:sz w:val="18"/>
                <w:szCs w:val="18"/>
                <w:lang w:val="el-GR"/>
              </w:rPr>
            </w:pPr>
            <w:r w:rsidRPr="00B91D41">
              <w:rPr>
                <w:rFonts w:ascii="Verdana" w:hAnsi="Verdana" w:cs="Arial"/>
                <w:b/>
                <w:bCs/>
                <w:color w:val="366092"/>
                <w:sz w:val="18"/>
                <w:szCs w:val="18"/>
              </w:rPr>
              <w:t>4.464</w:t>
            </w:r>
          </w:p>
        </w:tc>
        <w:tc>
          <w:tcPr>
            <w:tcW w:w="1344" w:type="dxa"/>
            <w:tcBorders>
              <w:top w:val="nil"/>
              <w:left w:val="nil"/>
              <w:bottom w:val="nil"/>
              <w:right w:val="nil"/>
            </w:tcBorders>
            <w:vAlign w:val="center"/>
          </w:tcPr>
          <w:p w14:paraId="5B1A929D" w14:textId="515E36E0" w:rsidR="00421B7D" w:rsidRPr="00B91D41" w:rsidRDefault="00421B7D" w:rsidP="00421B7D">
            <w:pPr>
              <w:ind w:right="144"/>
              <w:jc w:val="right"/>
              <w:rPr>
                <w:rFonts w:ascii="Verdana" w:eastAsia="Malgun Gothic" w:hAnsi="Verdana" w:cs="Arial"/>
                <w:b/>
                <w:color w:val="366092"/>
                <w:sz w:val="18"/>
                <w:szCs w:val="18"/>
                <w:lang w:val="el-GR"/>
              </w:rPr>
            </w:pPr>
            <w:r w:rsidRPr="00B91D41">
              <w:rPr>
                <w:rFonts w:ascii="Verdana" w:hAnsi="Verdana" w:cs="Arial"/>
                <w:b/>
                <w:bCs/>
                <w:color w:val="366092"/>
                <w:sz w:val="18"/>
                <w:szCs w:val="18"/>
              </w:rPr>
              <w:t>5.640</w:t>
            </w:r>
          </w:p>
        </w:tc>
        <w:tc>
          <w:tcPr>
            <w:tcW w:w="1344" w:type="dxa"/>
            <w:tcBorders>
              <w:top w:val="nil"/>
              <w:left w:val="nil"/>
              <w:bottom w:val="nil"/>
              <w:right w:val="single" w:sz="4" w:space="0" w:color="365F91"/>
            </w:tcBorders>
            <w:vAlign w:val="center"/>
          </w:tcPr>
          <w:p w14:paraId="25776721" w14:textId="18938133" w:rsidR="00421B7D" w:rsidRPr="00B91D41" w:rsidRDefault="00421B7D" w:rsidP="00421B7D">
            <w:pPr>
              <w:ind w:right="144"/>
              <w:jc w:val="right"/>
              <w:rPr>
                <w:rFonts w:ascii="Verdana" w:eastAsia="Malgun Gothic" w:hAnsi="Verdana" w:cs="Arial"/>
                <w:b/>
                <w:color w:val="366092"/>
                <w:sz w:val="18"/>
                <w:szCs w:val="18"/>
                <w:lang w:val="el-GR"/>
              </w:rPr>
            </w:pPr>
            <w:r w:rsidRPr="00B91D41">
              <w:rPr>
                <w:rFonts w:ascii="Verdana" w:hAnsi="Verdana" w:cs="Arial"/>
                <w:b/>
                <w:bCs/>
                <w:color w:val="366092"/>
                <w:sz w:val="18"/>
                <w:szCs w:val="18"/>
              </w:rPr>
              <w:t>5.581</w:t>
            </w:r>
          </w:p>
        </w:tc>
        <w:tc>
          <w:tcPr>
            <w:tcW w:w="236" w:type="dxa"/>
            <w:tcBorders>
              <w:top w:val="nil"/>
              <w:left w:val="single" w:sz="4" w:space="0" w:color="365F91"/>
              <w:bottom w:val="nil"/>
              <w:right w:val="single" w:sz="4" w:space="0" w:color="365F91"/>
            </w:tcBorders>
            <w:vAlign w:val="center"/>
          </w:tcPr>
          <w:p w14:paraId="70BC2B83" w14:textId="2C62FB30" w:rsidR="00421B7D" w:rsidRPr="00B91D41" w:rsidRDefault="00421B7D" w:rsidP="00421B7D">
            <w:pPr>
              <w:ind w:right="144"/>
              <w:jc w:val="right"/>
              <w:rPr>
                <w:rFonts w:ascii="Verdana" w:eastAsia="Malgun Gothic" w:hAnsi="Verdana" w:cs="Arial"/>
                <w:b/>
                <w:color w:val="366092"/>
                <w:sz w:val="18"/>
                <w:szCs w:val="18"/>
                <w:lang w:val="el-GR"/>
              </w:rPr>
            </w:pPr>
            <w:r w:rsidRPr="00B91D41">
              <w:rPr>
                <w:rFonts w:ascii="Verdana" w:hAnsi="Verdana" w:cs="Arial"/>
                <w:b/>
                <w:bCs/>
                <w:color w:val="366092"/>
                <w:sz w:val="18"/>
                <w:szCs w:val="18"/>
              </w:rPr>
              <w:t> </w:t>
            </w:r>
          </w:p>
        </w:tc>
        <w:tc>
          <w:tcPr>
            <w:tcW w:w="1392" w:type="dxa"/>
            <w:tcBorders>
              <w:top w:val="nil"/>
              <w:left w:val="single" w:sz="4" w:space="0" w:color="365F91"/>
              <w:bottom w:val="nil"/>
              <w:right w:val="nil"/>
            </w:tcBorders>
            <w:vAlign w:val="center"/>
          </w:tcPr>
          <w:p w14:paraId="7DDE2836" w14:textId="5168FC02" w:rsidR="00421B7D" w:rsidRPr="00B91D41" w:rsidRDefault="00421B7D" w:rsidP="00421B7D">
            <w:pPr>
              <w:ind w:right="340"/>
              <w:jc w:val="right"/>
              <w:rPr>
                <w:rFonts w:ascii="Verdana" w:eastAsia="Malgun Gothic" w:hAnsi="Verdana" w:cs="Arial"/>
                <w:b/>
                <w:color w:val="366092"/>
                <w:sz w:val="18"/>
                <w:szCs w:val="18"/>
                <w:lang w:val="el-GR"/>
              </w:rPr>
            </w:pPr>
            <w:r w:rsidRPr="00B91D41">
              <w:rPr>
                <w:rFonts w:ascii="Verdana" w:hAnsi="Verdana" w:cs="Arial"/>
                <w:b/>
                <w:bCs/>
                <w:color w:val="366092"/>
                <w:sz w:val="18"/>
                <w:szCs w:val="18"/>
              </w:rPr>
              <w:t>-1,0</w:t>
            </w:r>
          </w:p>
        </w:tc>
        <w:tc>
          <w:tcPr>
            <w:tcW w:w="1429" w:type="dxa"/>
            <w:tcBorders>
              <w:top w:val="nil"/>
              <w:left w:val="nil"/>
              <w:bottom w:val="nil"/>
              <w:right w:val="nil"/>
            </w:tcBorders>
            <w:vAlign w:val="center"/>
          </w:tcPr>
          <w:p w14:paraId="4EB9A7E9" w14:textId="5582A547" w:rsidR="00421B7D" w:rsidRPr="00B91D41" w:rsidRDefault="00421B7D" w:rsidP="00421B7D">
            <w:pPr>
              <w:ind w:right="340"/>
              <w:jc w:val="right"/>
              <w:rPr>
                <w:rFonts w:ascii="Verdana" w:eastAsia="Malgun Gothic" w:hAnsi="Verdana" w:cs="Arial"/>
                <w:b/>
                <w:color w:val="366092"/>
                <w:sz w:val="18"/>
                <w:szCs w:val="18"/>
                <w:lang w:val="el-GR"/>
              </w:rPr>
            </w:pPr>
            <w:r w:rsidRPr="00B91D41">
              <w:rPr>
                <w:rFonts w:ascii="Verdana" w:hAnsi="Verdana" w:cs="Arial"/>
                <w:b/>
                <w:bCs/>
                <w:color w:val="366092"/>
                <w:sz w:val="18"/>
                <w:szCs w:val="18"/>
              </w:rPr>
              <w:t>25,0</w:t>
            </w:r>
          </w:p>
        </w:tc>
      </w:tr>
      <w:tr w:rsidR="00B91D41" w:rsidRPr="00B91D41" w14:paraId="2380C6FA" w14:textId="77777777" w:rsidTr="00870A8B">
        <w:trPr>
          <w:trHeight w:val="432"/>
          <w:jc w:val="center"/>
        </w:trPr>
        <w:tc>
          <w:tcPr>
            <w:tcW w:w="2657" w:type="dxa"/>
            <w:tcBorders>
              <w:top w:val="nil"/>
              <w:left w:val="nil"/>
              <w:bottom w:val="nil"/>
              <w:right w:val="nil"/>
            </w:tcBorders>
            <w:vAlign w:val="center"/>
          </w:tcPr>
          <w:p w14:paraId="3BDA9188" w14:textId="5B427C9E" w:rsidR="00421B7D" w:rsidRPr="00B91D41" w:rsidRDefault="00421B7D" w:rsidP="00421B7D">
            <w:pPr>
              <w:ind w:left="288"/>
              <w:rPr>
                <w:rFonts w:ascii="Verdana" w:eastAsia="Malgun Gothic" w:hAnsi="Verdana" w:cs="Arial"/>
                <w:color w:val="366092"/>
                <w:sz w:val="18"/>
                <w:szCs w:val="18"/>
              </w:rPr>
            </w:pPr>
            <w:r w:rsidRPr="00B91D41">
              <w:rPr>
                <w:rFonts w:ascii="Verdana" w:eastAsia="Malgun Gothic" w:hAnsi="Verdana" w:cs="Arial"/>
                <w:color w:val="366092"/>
                <w:sz w:val="18"/>
                <w:szCs w:val="18"/>
              </w:rPr>
              <w:t xml:space="preserve">District Local Government </w:t>
            </w:r>
            <w:proofErr w:type="spellStart"/>
            <w:r w:rsidRPr="00B91D41">
              <w:rPr>
                <w:rFonts w:ascii="Verdana" w:eastAsia="Malgun Gothic" w:hAnsi="Verdana" w:cs="Arial"/>
                <w:color w:val="366092"/>
                <w:sz w:val="18"/>
                <w:szCs w:val="18"/>
              </w:rPr>
              <w:t>Organisations</w:t>
            </w:r>
            <w:proofErr w:type="spellEnd"/>
          </w:p>
        </w:tc>
        <w:tc>
          <w:tcPr>
            <w:tcW w:w="1344" w:type="dxa"/>
            <w:tcBorders>
              <w:top w:val="nil"/>
              <w:left w:val="nil"/>
              <w:bottom w:val="nil"/>
              <w:right w:val="nil"/>
            </w:tcBorders>
            <w:vAlign w:val="center"/>
          </w:tcPr>
          <w:p w14:paraId="4B0DF030" w14:textId="69E6FE01" w:rsidR="00421B7D" w:rsidRPr="00B91D41" w:rsidRDefault="00421B7D" w:rsidP="00421B7D">
            <w:pPr>
              <w:ind w:right="144"/>
              <w:jc w:val="right"/>
              <w:rPr>
                <w:rFonts w:ascii="Verdana" w:hAnsi="Verdana" w:cs="Arial"/>
                <w:color w:val="366092"/>
                <w:sz w:val="18"/>
                <w:szCs w:val="18"/>
              </w:rPr>
            </w:pPr>
            <w:proofErr w:type="spellStart"/>
            <w:r w:rsidRPr="00B91D41">
              <w:rPr>
                <w:rFonts w:ascii="Verdana" w:hAnsi="Verdana" w:cs="Arial"/>
                <w:color w:val="366092"/>
                <w:sz w:val="18"/>
                <w:szCs w:val="18"/>
              </w:rPr>
              <w:t>n.a.</w:t>
            </w:r>
            <w:proofErr w:type="spellEnd"/>
          </w:p>
        </w:tc>
        <w:tc>
          <w:tcPr>
            <w:tcW w:w="1344" w:type="dxa"/>
            <w:tcBorders>
              <w:top w:val="nil"/>
              <w:left w:val="nil"/>
              <w:bottom w:val="nil"/>
              <w:right w:val="nil"/>
            </w:tcBorders>
            <w:vAlign w:val="center"/>
          </w:tcPr>
          <w:p w14:paraId="70C43CD9" w14:textId="11CA66DF" w:rsidR="00421B7D" w:rsidRPr="00B91D41" w:rsidRDefault="00421B7D" w:rsidP="00421B7D">
            <w:pPr>
              <w:ind w:right="144"/>
              <w:jc w:val="right"/>
              <w:rPr>
                <w:rFonts w:ascii="Verdana" w:hAnsi="Verdana" w:cs="Arial"/>
                <w:color w:val="366092"/>
                <w:sz w:val="18"/>
                <w:szCs w:val="18"/>
              </w:rPr>
            </w:pPr>
            <w:r w:rsidRPr="00B91D41">
              <w:rPr>
                <w:rFonts w:ascii="Verdana" w:hAnsi="Verdana" w:cs="Arial"/>
                <w:color w:val="366092"/>
                <w:sz w:val="18"/>
                <w:szCs w:val="18"/>
              </w:rPr>
              <w:t>882</w:t>
            </w:r>
          </w:p>
        </w:tc>
        <w:tc>
          <w:tcPr>
            <w:tcW w:w="1344" w:type="dxa"/>
            <w:tcBorders>
              <w:top w:val="nil"/>
              <w:left w:val="nil"/>
              <w:bottom w:val="nil"/>
              <w:right w:val="single" w:sz="4" w:space="0" w:color="365F91"/>
            </w:tcBorders>
            <w:vAlign w:val="center"/>
          </w:tcPr>
          <w:p w14:paraId="335F41C0" w14:textId="5480B294" w:rsidR="00421B7D" w:rsidRPr="00B91D41" w:rsidRDefault="00421B7D" w:rsidP="00421B7D">
            <w:pPr>
              <w:ind w:right="144"/>
              <w:jc w:val="right"/>
              <w:rPr>
                <w:rFonts w:ascii="Verdana" w:hAnsi="Verdana" w:cs="Arial"/>
                <w:color w:val="366092"/>
                <w:sz w:val="18"/>
                <w:szCs w:val="18"/>
              </w:rPr>
            </w:pPr>
            <w:r w:rsidRPr="00B91D41">
              <w:rPr>
                <w:rFonts w:ascii="Verdana" w:hAnsi="Verdana" w:cs="Arial"/>
                <w:color w:val="366092"/>
                <w:sz w:val="18"/>
                <w:szCs w:val="18"/>
              </w:rPr>
              <w:t>927</w:t>
            </w:r>
          </w:p>
        </w:tc>
        <w:tc>
          <w:tcPr>
            <w:tcW w:w="236" w:type="dxa"/>
            <w:tcBorders>
              <w:top w:val="nil"/>
              <w:left w:val="single" w:sz="4" w:space="0" w:color="365F91"/>
              <w:bottom w:val="nil"/>
              <w:right w:val="single" w:sz="4" w:space="0" w:color="365F91"/>
            </w:tcBorders>
            <w:vAlign w:val="center"/>
          </w:tcPr>
          <w:p w14:paraId="686A3266" w14:textId="2C3D3D3D" w:rsidR="00421B7D" w:rsidRPr="00B91D41" w:rsidRDefault="00421B7D" w:rsidP="00421B7D">
            <w:pPr>
              <w:ind w:right="144"/>
              <w:jc w:val="right"/>
              <w:rPr>
                <w:rFonts w:ascii="Verdana" w:hAnsi="Verdana" w:cs="Arial"/>
                <w:color w:val="366092"/>
                <w:sz w:val="18"/>
                <w:szCs w:val="18"/>
              </w:rPr>
            </w:pPr>
            <w:r w:rsidRPr="00B91D41">
              <w:rPr>
                <w:rFonts w:ascii="Verdana" w:hAnsi="Verdana" w:cs="Arial"/>
                <w:color w:val="366092"/>
                <w:sz w:val="18"/>
                <w:szCs w:val="18"/>
              </w:rPr>
              <w:t> </w:t>
            </w:r>
          </w:p>
        </w:tc>
        <w:tc>
          <w:tcPr>
            <w:tcW w:w="1392" w:type="dxa"/>
            <w:tcBorders>
              <w:top w:val="nil"/>
              <w:left w:val="single" w:sz="4" w:space="0" w:color="365F91"/>
              <w:bottom w:val="nil"/>
              <w:right w:val="nil"/>
            </w:tcBorders>
            <w:vAlign w:val="center"/>
          </w:tcPr>
          <w:p w14:paraId="4D1C501D" w14:textId="20865B33" w:rsidR="00421B7D" w:rsidRPr="00B91D41" w:rsidRDefault="00421B7D" w:rsidP="00421B7D">
            <w:pPr>
              <w:ind w:right="340"/>
              <w:jc w:val="right"/>
              <w:rPr>
                <w:rFonts w:ascii="Verdana" w:hAnsi="Verdana" w:cs="Arial"/>
                <w:color w:val="366092"/>
                <w:sz w:val="18"/>
                <w:szCs w:val="18"/>
              </w:rPr>
            </w:pPr>
            <w:r w:rsidRPr="00B91D41">
              <w:rPr>
                <w:rFonts w:ascii="Verdana" w:hAnsi="Verdana" w:cs="Arial"/>
                <w:color w:val="366092"/>
                <w:sz w:val="18"/>
                <w:szCs w:val="18"/>
              </w:rPr>
              <w:t>5,1</w:t>
            </w:r>
          </w:p>
        </w:tc>
        <w:tc>
          <w:tcPr>
            <w:tcW w:w="1429" w:type="dxa"/>
            <w:tcBorders>
              <w:top w:val="nil"/>
              <w:left w:val="nil"/>
              <w:bottom w:val="nil"/>
              <w:right w:val="nil"/>
            </w:tcBorders>
            <w:vAlign w:val="center"/>
          </w:tcPr>
          <w:p w14:paraId="523A594D" w14:textId="192440E5" w:rsidR="00421B7D" w:rsidRPr="00B91D41" w:rsidRDefault="00421B7D" w:rsidP="00421B7D">
            <w:pPr>
              <w:ind w:right="340"/>
              <w:jc w:val="right"/>
              <w:rPr>
                <w:rFonts w:ascii="Verdana" w:hAnsi="Verdana" w:cs="Arial"/>
                <w:color w:val="366092"/>
                <w:sz w:val="18"/>
                <w:szCs w:val="18"/>
              </w:rPr>
            </w:pPr>
            <w:proofErr w:type="spellStart"/>
            <w:r w:rsidRPr="00B91D41">
              <w:rPr>
                <w:rFonts w:ascii="Verdana" w:hAnsi="Verdana" w:cs="Arial"/>
                <w:color w:val="366092"/>
                <w:sz w:val="18"/>
                <w:szCs w:val="18"/>
              </w:rPr>
              <w:t>n.a.</w:t>
            </w:r>
            <w:proofErr w:type="spellEnd"/>
          </w:p>
        </w:tc>
      </w:tr>
      <w:tr w:rsidR="00B91D41" w:rsidRPr="00B91D41" w14:paraId="0F8F8790" w14:textId="77777777" w:rsidTr="00870A8B">
        <w:trPr>
          <w:trHeight w:val="432"/>
          <w:jc w:val="center"/>
        </w:trPr>
        <w:tc>
          <w:tcPr>
            <w:tcW w:w="2657" w:type="dxa"/>
            <w:tcBorders>
              <w:top w:val="nil"/>
              <w:left w:val="nil"/>
              <w:bottom w:val="nil"/>
              <w:right w:val="nil"/>
            </w:tcBorders>
            <w:vAlign w:val="center"/>
          </w:tcPr>
          <w:p w14:paraId="0DF69ED3" w14:textId="77777777" w:rsidR="00421B7D" w:rsidRPr="00B91D41" w:rsidRDefault="00421B7D" w:rsidP="00421B7D">
            <w:pPr>
              <w:ind w:left="288"/>
              <w:rPr>
                <w:rFonts w:ascii="Verdana" w:eastAsia="Malgun Gothic" w:hAnsi="Verdana" w:cs="Arial"/>
                <w:color w:val="366092"/>
                <w:sz w:val="18"/>
                <w:szCs w:val="18"/>
              </w:rPr>
            </w:pPr>
            <w:r w:rsidRPr="00B91D41">
              <w:rPr>
                <w:rFonts w:ascii="Verdana" w:eastAsia="Malgun Gothic" w:hAnsi="Verdana" w:cs="Arial"/>
                <w:color w:val="366092"/>
                <w:sz w:val="18"/>
                <w:szCs w:val="18"/>
              </w:rPr>
              <w:t>Municipalities</w:t>
            </w:r>
          </w:p>
        </w:tc>
        <w:tc>
          <w:tcPr>
            <w:tcW w:w="1344" w:type="dxa"/>
            <w:tcBorders>
              <w:top w:val="nil"/>
              <w:left w:val="nil"/>
              <w:bottom w:val="nil"/>
              <w:right w:val="nil"/>
            </w:tcBorders>
            <w:vAlign w:val="center"/>
          </w:tcPr>
          <w:p w14:paraId="4937AA7E" w14:textId="56124552" w:rsidR="00421B7D" w:rsidRPr="00B91D41" w:rsidRDefault="00421B7D" w:rsidP="00421B7D">
            <w:pPr>
              <w:ind w:right="144"/>
              <w:jc w:val="right"/>
              <w:rPr>
                <w:rFonts w:ascii="Verdana" w:eastAsia="Malgun Gothic" w:hAnsi="Verdana" w:cs="Arial"/>
                <w:color w:val="366092"/>
                <w:sz w:val="18"/>
                <w:szCs w:val="18"/>
                <w:lang w:val="el-GR"/>
              </w:rPr>
            </w:pPr>
            <w:r w:rsidRPr="00B91D41">
              <w:rPr>
                <w:rFonts w:ascii="Verdana" w:hAnsi="Verdana" w:cs="Arial"/>
                <w:color w:val="366092"/>
                <w:sz w:val="18"/>
                <w:szCs w:val="18"/>
              </w:rPr>
              <w:t>3.344</w:t>
            </w:r>
          </w:p>
        </w:tc>
        <w:tc>
          <w:tcPr>
            <w:tcW w:w="1344" w:type="dxa"/>
            <w:tcBorders>
              <w:top w:val="nil"/>
              <w:left w:val="nil"/>
              <w:bottom w:val="nil"/>
              <w:right w:val="nil"/>
            </w:tcBorders>
            <w:vAlign w:val="center"/>
          </w:tcPr>
          <w:p w14:paraId="77947332" w14:textId="3E8D6A73" w:rsidR="00421B7D" w:rsidRPr="00B91D41" w:rsidRDefault="00421B7D" w:rsidP="00421B7D">
            <w:pPr>
              <w:ind w:right="144"/>
              <w:jc w:val="right"/>
              <w:rPr>
                <w:rFonts w:ascii="Verdana" w:eastAsia="Malgun Gothic" w:hAnsi="Verdana" w:cs="Arial"/>
                <w:color w:val="366092"/>
                <w:sz w:val="18"/>
                <w:szCs w:val="18"/>
                <w:lang w:val="el-GR"/>
              </w:rPr>
            </w:pPr>
            <w:r w:rsidRPr="00B91D41">
              <w:rPr>
                <w:rFonts w:ascii="Verdana" w:hAnsi="Verdana" w:cs="Arial"/>
                <w:color w:val="366092"/>
                <w:sz w:val="18"/>
                <w:szCs w:val="18"/>
              </w:rPr>
              <w:t>3.698</w:t>
            </w:r>
          </w:p>
        </w:tc>
        <w:tc>
          <w:tcPr>
            <w:tcW w:w="1344" w:type="dxa"/>
            <w:tcBorders>
              <w:top w:val="nil"/>
              <w:left w:val="nil"/>
              <w:bottom w:val="nil"/>
              <w:right w:val="single" w:sz="4" w:space="0" w:color="365F91"/>
            </w:tcBorders>
            <w:vAlign w:val="center"/>
          </w:tcPr>
          <w:p w14:paraId="151433B0" w14:textId="04A2EF49" w:rsidR="00421B7D" w:rsidRPr="00B91D41" w:rsidRDefault="00421B7D" w:rsidP="00421B7D">
            <w:pPr>
              <w:ind w:right="144"/>
              <w:jc w:val="right"/>
              <w:rPr>
                <w:rFonts w:ascii="Verdana" w:eastAsia="Malgun Gothic" w:hAnsi="Verdana" w:cs="Arial"/>
                <w:color w:val="366092"/>
                <w:sz w:val="18"/>
                <w:szCs w:val="18"/>
                <w:lang w:val="el-GR"/>
              </w:rPr>
            </w:pPr>
            <w:r w:rsidRPr="00B91D41">
              <w:rPr>
                <w:rFonts w:ascii="Verdana" w:hAnsi="Verdana" w:cs="Arial"/>
                <w:color w:val="366092"/>
                <w:sz w:val="18"/>
                <w:szCs w:val="18"/>
              </w:rPr>
              <w:t>3.594</w:t>
            </w:r>
          </w:p>
        </w:tc>
        <w:tc>
          <w:tcPr>
            <w:tcW w:w="236" w:type="dxa"/>
            <w:tcBorders>
              <w:top w:val="nil"/>
              <w:left w:val="single" w:sz="4" w:space="0" w:color="365F91"/>
              <w:bottom w:val="nil"/>
              <w:right w:val="single" w:sz="4" w:space="0" w:color="365F91"/>
            </w:tcBorders>
            <w:vAlign w:val="center"/>
          </w:tcPr>
          <w:p w14:paraId="430F976B" w14:textId="6D39996F" w:rsidR="00421B7D" w:rsidRPr="00B91D41" w:rsidRDefault="00421B7D" w:rsidP="00421B7D">
            <w:pPr>
              <w:ind w:right="144"/>
              <w:jc w:val="right"/>
              <w:rPr>
                <w:rFonts w:ascii="Verdana" w:eastAsia="Malgun Gothic" w:hAnsi="Verdana" w:cs="Arial"/>
                <w:color w:val="366092"/>
                <w:sz w:val="18"/>
                <w:szCs w:val="18"/>
                <w:lang w:val="el-GR"/>
              </w:rPr>
            </w:pPr>
            <w:r w:rsidRPr="00B91D41">
              <w:rPr>
                <w:rFonts w:ascii="Verdana" w:hAnsi="Verdana" w:cs="Arial"/>
                <w:color w:val="366092"/>
                <w:sz w:val="18"/>
                <w:szCs w:val="18"/>
              </w:rPr>
              <w:t> </w:t>
            </w:r>
          </w:p>
        </w:tc>
        <w:tc>
          <w:tcPr>
            <w:tcW w:w="1392" w:type="dxa"/>
            <w:tcBorders>
              <w:top w:val="nil"/>
              <w:left w:val="single" w:sz="4" w:space="0" w:color="365F91"/>
              <w:bottom w:val="nil"/>
              <w:right w:val="nil"/>
            </w:tcBorders>
            <w:vAlign w:val="center"/>
          </w:tcPr>
          <w:p w14:paraId="4830AB5A" w14:textId="3A26BC27" w:rsidR="00421B7D" w:rsidRPr="00B91D41" w:rsidRDefault="00421B7D" w:rsidP="00421B7D">
            <w:pPr>
              <w:ind w:right="340"/>
              <w:jc w:val="right"/>
              <w:rPr>
                <w:rFonts w:ascii="Verdana" w:eastAsia="Malgun Gothic" w:hAnsi="Verdana" w:cs="Arial"/>
                <w:color w:val="366092"/>
                <w:sz w:val="18"/>
                <w:szCs w:val="18"/>
                <w:lang w:val="el-GR"/>
              </w:rPr>
            </w:pPr>
            <w:r w:rsidRPr="00B91D41">
              <w:rPr>
                <w:rFonts w:ascii="Verdana" w:hAnsi="Verdana" w:cs="Arial"/>
                <w:color w:val="366092"/>
                <w:sz w:val="18"/>
                <w:szCs w:val="18"/>
              </w:rPr>
              <w:t>-2,8</w:t>
            </w:r>
          </w:p>
        </w:tc>
        <w:tc>
          <w:tcPr>
            <w:tcW w:w="1429" w:type="dxa"/>
            <w:tcBorders>
              <w:top w:val="nil"/>
              <w:left w:val="nil"/>
              <w:bottom w:val="nil"/>
              <w:right w:val="nil"/>
            </w:tcBorders>
            <w:vAlign w:val="center"/>
          </w:tcPr>
          <w:p w14:paraId="0E2A807A" w14:textId="39040C3B" w:rsidR="00421B7D" w:rsidRPr="00B91D41" w:rsidRDefault="00421B7D" w:rsidP="00421B7D">
            <w:pPr>
              <w:ind w:right="340"/>
              <w:jc w:val="right"/>
              <w:rPr>
                <w:rFonts w:ascii="Verdana" w:eastAsia="Malgun Gothic" w:hAnsi="Verdana" w:cs="Arial"/>
                <w:color w:val="366092"/>
                <w:sz w:val="18"/>
                <w:szCs w:val="18"/>
                <w:lang w:val="el-GR"/>
              </w:rPr>
            </w:pPr>
            <w:r w:rsidRPr="00B91D41">
              <w:rPr>
                <w:rFonts w:ascii="Verdana" w:hAnsi="Verdana" w:cs="Arial"/>
                <w:color w:val="366092"/>
                <w:sz w:val="18"/>
                <w:szCs w:val="18"/>
              </w:rPr>
              <w:t>7,5</w:t>
            </w:r>
          </w:p>
        </w:tc>
      </w:tr>
      <w:tr w:rsidR="00B91D41" w:rsidRPr="00B91D41" w14:paraId="7D446537" w14:textId="77777777" w:rsidTr="00870A8B">
        <w:trPr>
          <w:trHeight w:val="432"/>
          <w:jc w:val="center"/>
        </w:trPr>
        <w:tc>
          <w:tcPr>
            <w:tcW w:w="2657" w:type="dxa"/>
            <w:tcBorders>
              <w:top w:val="nil"/>
              <w:left w:val="nil"/>
              <w:bottom w:val="nil"/>
              <w:right w:val="nil"/>
            </w:tcBorders>
            <w:vAlign w:val="center"/>
          </w:tcPr>
          <w:p w14:paraId="10505E7B" w14:textId="77777777" w:rsidR="00421B7D" w:rsidRPr="00B91D41" w:rsidRDefault="00421B7D" w:rsidP="00421B7D">
            <w:pPr>
              <w:ind w:left="288"/>
              <w:rPr>
                <w:rFonts w:ascii="Verdana" w:eastAsia="Malgun Gothic" w:hAnsi="Verdana" w:cs="Arial"/>
                <w:color w:val="366092"/>
                <w:sz w:val="18"/>
                <w:szCs w:val="18"/>
              </w:rPr>
            </w:pPr>
            <w:r w:rsidRPr="00B91D41">
              <w:rPr>
                <w:rFonts w:ascii="Verdana" w:eastAsia="Malgun Gothic" w:hAnsi="Verdana" w:cs="Arial"/>
                <w:color w:val="366092"/>
                <w:sz w:val="18"/>
                <w:szCs w:val="18"/>
              </w:rPr>
              <w:t>Other Local Authorities</w:t>
            </w:r>
          </w:p>
        </w:tc>
        <w:tc>
          <w:tcPr>
            <w:tcW w:w="1344" w:type="dxa"/>
            <w:tcBorders>
              <w:top w:val="nil"/>
              <w:left w:val="nil"/>
              <w:bottom w:val="nil"/>
              <w:right w:val="nil"/>
            </w:tcBorders>
            <w:vAlign w:val="center"/>
          </w:tcPr>
          <w:p w14:paraId="76454CE0" w14:textId="3217406F" w:rsidR="00421B7D" w:rsidRPr="00B91D41" w:rsidRDefault="00421B7D" w:rsidP="00421B7D">
            <w:pPr>
              <w:ind w:right="144"/>
              <w:jc w:val="right"/>
              <w:rPr>
                <w:rFonts w:ascii="Verdana" w:eastAsia="Malgun Gothic" w:hAnsi="Verdana" w:cs="Arial"/>
                <w:color w:val="366092"/>
                <w:sz w:val="18"/>
                <w:szCs w:val="18"/>
                <w:lang w:val="el-GR"/>
              </w:rPr>
            </w:pPr>
            <w:r w:rsidRPr="00B91D41">
              <w:rPr>
                <w:rFonts w:ascii="Verdana" w:hAnsi="Verdana" w:cs="Arial"/>
                <w:color w:val="366092"/>
                <w:sz w:val="18"/>
                <w:szCs w:val="18"/>
              </w:rPr>
              <w:t>1.120</w:t>
            </w:r>
          </w:p>
        </w:tc>
        <w:tc>
          <w:tcPr>
            <w:tcW w:w="1344" w:type="dxa"/>
            <w:tcBorders>
              <w:top w:val="nil"/>
              <w:left w:val="nil"/>
              <w:bottom w:val="nil"/>
              <w:right w:val="nil"/>
            </w:tcBorders>
            <w:vAlign w:val="center"/>
          </w:tcPr>
          <w:p w14:paraId="5BA3366B" w14:textId="11E67DA0" w:rsidR="00421B7D" w:rsidRPr="00B91D41" w:rsidRDefault="00421B7D" w:rsidP="00421B7D">
            <w:pPr>
              <w:ind w:right="144"/>
              <w:jc w:val="right"/>
              <w:rPr>
                <w:rFonts w:ascii="Verdana" w:eastAsia="Malgun Gothic" w:hAnsi="Verdana" w:cs="Arial"/>
                <w:color w:val="366092"/>
                <w:sz w:val="18"/>
                <w:szCs w:val="18"/>
                <w:lang w:val="el-GR"/>
              </w:rPr>
            </w:pPr>
            <w:r w:rsidRPr="00B91D41">
              <w:rPr>
                <w:rFonts w:ascii="Verdana" w:hAnsi="Verdana" w:cs="Arial"/>
                <w:color w:val="366092"/>
                <w:sz w:val="18"/>
                <w:szCs w:val="18"/>
              </w:rPr>
              <w:t>1.060</w:t>
            </w:r>
          </w:p>
        </w:tc>
        <w:tc>
          <w:tcPr>
            <w:tcW w:w="1344" w:type="dxa"/>
            <w:tcBorders>
              <w:top w:val="nil"/>
              <w:left w:val="nil"/>
              <w:bottom w:val="nil"/>
              <w:right w:val="single" w:sz="4" w:space="0" w:color="365F91"/>
            </w:tcBorders>
            <w:vAlign w:val="center"/>
          </w:tcPr>
          <w:p w14:paraId="1F6B8941" w14:textId="656897FA" w:rsidR="00421B7D" w:rsidRPr="00B91D41" w:rsidRDefault="00421B7D" w:rsidP="00421B7D">
            <w:pPr>
              <w:ind w:right="144"/>
              <w:jc w:val="right"/>
              <w:rPr>
                <w:rFonts w:ascii="Verdana" w:eastAsia="Malgun Gothic" w:hAnsi="Verdana" w:cs="Arial"/>
                <w:color w:val="366092"/>
                <w:sz w:val="18"/>
                <w:szCs w:val="18"/>
                <w:lang w:val="el-GR"/>
              </w:rPr>
            </w:pPr>
            <w:r w:rsidRPr="00B91D41">
              <w:rPr>
                <w:rFonts w:ascii="Verdana" w:hAnsi="Verdana" w:cs="Arial"/>
                <w:color w:val="366092"/>
                <w:sz w:val="18"/>
                <w:szCs w:val="18"/>
              </w:rPr>
              <w:t>1.060</w:t>
            </w:r>
          </w:p>
        </w:tc>
        <w:tc>
          <w:tcPr>
            <w:tcW w:w="236" w:type="dxa"/>
            <w:tcBorders>
              <w:top w:val="nil"/>
              <w:left w:val="single" w:sz="4" w:space="0" w:color="365F91"/>
              <w:bottom w:val="nil"/>
              <w:right w:val="single" w:sz="4" w:space="0" w:color="365F91"/>
            </w:tcBorders>
            <w:vAlign w:val="center"/>
          </w:tcPr>
          <w:p w14:paraId="7B7D490B" w14:textId="5212A851" w:rsidR="00421B7D" w:rsidRPr="00B91D41" w:rsidRDefault="00421B7D" w:rsidP="00421B7D">
            <w:pPr>
              <w:ind w:right="144"/>
              <w:jc w:val="right"/>
              <w:rPr>
                <w:rFonts w:ascii="Verdana" w:eastAsia="Malgun Gothic" w:hAnsi="Verdana" w:cs="Arial"/>
                <w:color w:val="366092"/>
                <w:sz w:val="18"/>
                <w:szCs w:val="18"/>
                <w:lang w:val="el-GR"/>
              </w:rPr>
            </w:pPr>
            <w:r w:rsidRPr="00B91D41">
              <w:rPr>
                <w:rFonts w:ascii="Verdana" w:hAnsi="Verdana" w:cs="Arial"/>
                <w:color w:val="366092"/>
                <w:sz w:val="18"/>
                <w:szCs w:val="18"/>
              </w:rPr>
              <w:t> </w:t>
            </w:r>
          </w:p>
        </w:tc>
        <w:tc>
          <w:tcPr>
            <w:tcW w:w="1392" w:type="dxa"/>
            <w:tcBorders>
              <w:top w:val="nil"/>
              <w:left w:val="single" w:sz="4" w:space="0" w:color="365F91"/>
              <w:bottom w:val="nil"/>
              <w:right w:val="nil"/>
            </w:tcBorders>
            <w:vAlign w:val="center"/>
          </w:tcPr>
          <w:p w14:paraId="10682150" w14:textId="5FBB02ED" w:rsidR="00421B7D" w:rsidRPr="00B91D41" w:rsidRDefault="00421B7D" w:rsidP="00421B7D">
            <w:pPr>
              <w:ind w:right="340"/>
              <w:jc w:val="right"/>
              <w:rPr>
                <w:rFonts w:ascii="Verdana" w:eastAsia="Malgun Gothic" w:hAnsi="Verdana" w:cs="Arial"/>
                <w:color w:val="366092"/>
                <w:sz w:val="18"/>
                <w:szCs w:val="18"/>
                <w:lang w:val="el-GR"/>
              </w:rPr>
            </w:pPr>
            <w:r w:rsidRPr="00B91D41">
              <w:rPr>
                <w:rFonts w:ascii="Verdana" w:hAnsi="Verdana" w:cs="Arial"/>
                <w:color w:val="366092"/>
                <w:sz w:val="18"/>
                <w:szCs w:val="18"/>
              </w:rPr>
              <w:t>0,0</w:t>
            </w:r>
          </w:p>
        </w:tc>
        <w:tc>
          <w:tcPr>
            <w:tcW w:w="1429" w:type="dxa"/>
            <w:tcBorders>
              <w:top w:val="nil"/>
              <w:left w:val="nil"/>
              <w:bottom w:val="nil"/>
              <w:right w:val="nil"/>
            </w:tcBorders>
            <w:vAlign w:val="center"/>
          </w:tcPr>
          <w:p w14:paraId="05D2A659" w14:textId="65DE75D1" w:rsidR="00421B7D" w:rsidRPr="00B91D41" w:rsidRDefault="00421B7D" w:rsidP="00421B7D">
            <w:pPr>
              <w:ind w:right="340"/>
              <w:jc w:val="right"/>
              <w:rPr>
                <w:rFonts w:ascii="Verdana" w:eastAsia="Malgun Gothic" w:hAnsi="Verdana" w:cs="Arial"/>
                <w:color w:val="366092"/>
                <w:sz w:val="18"/>
                <w:szCs w:val="18"/>
                <w:lang w:val="el-GR"/>
              </w:rPr>
            </w:pPr>
            <w:r w:rsidRPr="00B91D41">
              <w:rPr>
                <w:rFonts w:ascii="Verdana" w:hAnsi="Verdana" w:cs="Arial"/>
                <w:color w:val="366092"/>
                <w:sz w:val="18"/>
                <w:szCs w:val="18"/>
              </w:rPr>
              <w:t>-5,4</w:t>
            </w:r>
          </w:p>
        </w:tc>
      </w:tr>
      <w:tr w:rsidR="00B91D41" w:rsidRPr="00B91D41" w14:paraId="7C1D1392" w14:textId="77777777" w:rsidTr="00870A8B">
        <w:trPr>
          <w:trHeight w:val="1109"/>
          <w:jc w:val="center"/>
        </w:trPr>
        <w:tc>
          <w:tcPr>
            <w:tcW w:w="2657" w:type="dxa"/>
            <w:tcBorders>
              <w:top w:val="nil"/>
              <w:left w:val="nil"/>
              <w:bottom w:val="single" w:sz="4" w:space="0" w:color="365F91"/>
              <w:right w:val="nil"/>
            </w:tcBorders>
            <w:vAlign w:val="center"/>
          </w:tcPr>
          <w:p w14:paraId="43EBFAB9" w14:textId="77777777" w:rsidR="00421B7D" w:rsidRPr="00B91D41" w:rsidRDefault="00421B7D" w:rsidP="00421B7D">
            <w:pPr>
              <w:rPr>
                <w:rFonts w:ascii="Verdana" w:eastAsia="Malgun Gothic" w:hAnsi="Verdana" w:cs="Arial"/>
                <w:b/>
                <w:color w:val="366092"/>
                <w:sz w:val="18"/>
                <w:szCs w:val="18"/>
                <w:u w:val="single"/>
              </w:rPr>
            </w:pPr>
            <w:r w:rsidRPr="00B91D41">
              <w:rPr>
                <w:rFonts w:ascii="Verdana" w:eastAsia="Malgun Gothic" w:hAnsi="Verdana" w:cs="Arial"/>
                <w:b/>
                <w:color w:val="366092"/>
                <w:sz w:val="18"/>
                <w:szCs w:val="18"/>
                <w:u w:val="single"/>
              </w:rPr>
              <w:t>Publicly Owned Enterprises and Companies</w:t>
            </w:r>
          </w:p>
        </w:tc>
        <w:tc>
          <w:tcPr>
            <w:tcW w:w="1344" w:type="dxa"/>
            <w:tcBorders>
              <w:top w:val="nil"/>
              <w:left w:val="nil"/>
              <w:bottom w:val="single" w:sz="4" w:space="0" w:color="365F91"/>
              <w:right w:val="nil"/>
            </w:tcBorders>
            <w:vAlign w:val="center"/>
          </w:tcPr>
          <w:p w14:paraId="4EFE5BE7" w14:textId="75BE2EDB" w:rsidR="00421B7D" w:rsidRPr="00B91D41" w:rsidRDefault="00421B7D" w:rsidP="00421B7D">
            <w:pPr>
              <w:ind w:right="144"/>
              <w:jc w:val="right"/>
              <w:rPr>
                <w:rFonts w:ascii="Verdana" w:eastAsia="Malgun Gothic" w:hAnsi="Verdana" w:cs="Arial"/>
                <w:b/>
                <w:color w:val="366092"/>
                <w:sz w:val="18"/>
                <w:szCs w:val="18"/>
                <w:lang w:val="el-GR"/>
              </w:rPr>
            </w:pPr>
            <w:r w:rsidRPr="00B91D41">
              <w:rPr>
                <w:rFonts w:ascii="Verdana" w:hAnsi="Verdana" w:cs="Arial"/>
                <w:b/>
                <w:bCs/>
                <w:color w:val="366092"/>
                <w:sz w:val="18"/>
                <w:szCs w:val="18"/>
              </w:rPr>
              <w:t>5.794</w:t>
            </w:r>
          </w:p>
        </w:tc>
        <w:tc>
          <w:tcPr>
            <w:tcW w:w="1344" w:type="dxa"/>
            <w:tcBorders>
              <w:top w:val="nil"/>
              <w:left w:val="nil"/>
              <w:bottom w:val="single" w:sz="4" w:space="0" w:color="365F91"/>
              <w:right w:val="nil"/>
            </w:tcBorders>
            <w:vAlign w:val="center"/>
          </w:tcPr>
          <w:p w14:paraId="0F189ED0" w14:textId="70853EF8" w:rsidR="00421B7D" w:rsidRPr="00B91D41" w:rsidRDefault="00421B7D" w:rsidP="00421B7D">
            <w:pPr>
              <w:ind w:right="144"/>
              <w:jc w:val="right"/>
              <w:rPr>
                <w:rFonts w:ascii="Verdana" w:eastAsia="Malgun Gothic" w:hAnsi="Verdana" w:cs="Arial"/>
                <w:b/>
                <w:color w:val="366092"/>
                <w:sz w:val="18"/>
                <w:szCs w:val="18"/>
                <w:lang w:val="el-GR"/>
              </w:rPr>
            </w:pPr>
            <w:r w:rsidRPr="00B91D41">
              <w:rPr>
                <w:rFonts w:ascii="Verdana" w:hAnsi="Verdana" w:cs="Arial"/>
                <w:b/>
                <w:bCs/>
                <w:color w:val="366092"/>
                <w:sz w:val="18"/>
                <w:szCs w:val="18"/>
              </w:rPr>
              <w:t>4.966</w:t>
            </w:r>
          </w:p>
        </w:tc>
        <w:tc>
          <w:tcPr>
            <w:tcW w:w="1344" w:type="dxa"/>
            <w:tcBorders>
              <w:top w:val="nil"/>
              <w:left w:val="nil"/>
              <w:bottom w:val="single" w:sz="4" w:space="0" w:color="365F91"/>
              <w:right w:val="single" w:sz="4" w:space="0" w:color="365F91"/>
            </w:tcBorders>
            <w:vAlign w:val="center"/>
          </w:tcPr>
          <w:p w14:paraId="3E9148A3" w14:textId="65536390" w:rsidR="00421B7D" w:rsidRPr="00B91D41" w:rsidRDefault="00421B7D" w:rsidP="00421B7D">
            <w:pPr>
              <w:ind w:right="144"/>
              <w:jc w:val="right"/>
              <w:rPr>
                <w:rFonts w:ascii="Verdana" w:eastAsia="Malgun Gothic" w:hAnsi="Verdana" w:cs="Arial"/>
                <w:b/>
                <w:color w:val="366092"/>
                <w:sz w:val="18"/>
                <w:szCs w:val="18"/>
                <w:lang w:val="el-GR"/>
              </w:rPr>
            </w:pPr>
            <w:r w:rsidRPr="00B91D41">
              <w:rPr>
                <w:rFonts w:ascii="Verdana" w:hAnsi="Verdana" w:cs="Arial"/>
                <w:b/>
                <w:bCs/>
                <w:color w:val="366092"/>
                <w:sz w:val="18"/>
                <w:szCs w:val="18"/>
              </w:rPr>
              <w:t>4.962</w:t>
            </w:r>
          </w:p>
        </w:tc>
        <w:tc>
          <w:tcPr>
            <w:tcW w:w="236" w:type="dxa"/>
            <w:tcBorders>
              <w:top w:val="nil"/>
              <w:left w:val="single" w:sz="4" w:space="0" w:color="365F91"/>
              <w:bottom w:val="single" w:sz="4" w:space="0" w:color="365F91"/>
              <w:right w:val="single" w:sz="4" w:space="0" w:color="365F91"/>
            </w:tcBorders>
            <w:vAlign w:val="center"/>
          </w:tcPr>
          <w:p w14:paraId="669C5C18" w14:textId="0D70458C" w:rsidR="00421B7D" w:rsidRPr="00B91D41" w:rsidRDefault="00421B7D" w:rsidP="00421B7D">
            <w:pPr>
              <w:ind w:right="144"/>
              <w:jc w:val="right"/>
              <w:rPr>
                <w:rFonts w:ascii="Verdana" w:eastAsia="Malgun Gothic" w:hAnsi="Verdana" w:cs="Arial"/>
                <w:b/>
                <w:color w:val="366092"/>
                <w:sz w:val="18"/>
                <w:szCs w:val="18"/>
                <w:lang w:val="el-GR"/>
              </w:rPr>
            </w:pPr>
            <w:r w:rsidRPr="00B91D41">
              <w:rPr>
                <w:rFonts w:ascii="Verdana" w:hAnsi="Verdana" w:cs="Arial"/>
                <w:b/>
                <w:bCs/>
                <w:color w:val="366092"/>
                <w:sz w:val="18"/>
                <w:szCs w:val="18"/>
              </w:rPr>
              <w:t> </w:t>
            </w:r>
          </w:p>
        </w:tc>
        <w:tc>
          <w:tcPr>
            <w:tcW w:w="1392" w:type="dxa"/>
            <w:tcBorders>
              <w:top w:val="nil"/>
              <w:left w:val="single" w:sz="4" w:space="0" w:color="365F91"/>
              <w:bottom w:val="single" w:sz="4" w:space="0" w:color="365F91"/>
              <w:right w:val="nil"/>
            </w:tcBorders>
            <w:vAlign w:val="center"/>
          </w:tcPr>
          <w:p w14:paraId="1785FE7B" w14:textId="0FECBB7A" w:rsidR="00421B7D" w:rsidRPr="00B91D41" w:rsidRDefault="00421B7D" w:rsidP="00421B7D">
            <w:pPr>
              <w:ind w:right="340"/>
              <w:jc w:val="right"/>
              <w:rPr>
                <w:rFonts w:ascii="Verdana" w:eastAsia="Malgun Gothic" w:hAnsi="Verdana" w:cs="Arial"/>
                <w:b/>
                <w:color w:val="366092"/>
                <w:sz w:val="18"/>
                <w:szCs w:val="18"/>
              </w:rPr>
            </w:pPr>
            <w:r w:rsidRPr="00B91D41">
              <w:rPr>
                <w:rFonts w:ascii="Verdana" w:hAnsi="Verdana" w:cs="Arial"/>
                <w:b/>
                <w:bCs/>
                <w:color w:val="366092"/>
                <w:sz w:val="18"/>
                <w:szCs w:val="18"/>
              </w:rPr>
              <w:t>-0,1</w:t>
            </w:r>
          </w:p>
        </w:tc>
        <w:tc>
          <w:tcPr>
            <w:tcW w:w="1429" w:type="dxa"/>
            <w:tcBorders>
              <w:top w:val="nil"/>
              <w:left w:val="nil"/>
              <w:bottom w:val="single" w:sz="4" w:space="0" w:color="365F91"/>
              <w:right w:val="nil"/>
            </w:tcBorders>
            <w:vAlign w:val="center"/>
          </w:tcPr>
          <w:p w14:paraId="0A806E88" w14:textId="5A5768E2" w:rsidR="00421B7D" w:rsidRPr="00B91D41" w:rsidRDefault="00421B7D" w:rsidP="00421B7D">
            <w:pPr>
              <w:ind w:right="340"/>
              <w:jc w:val="right"/>
              <w:rPr>
                <w:rFonts w:ascii="Verdana" w:eastAsia="Malgun Gothic" w:hAnsi="Verdana" w:cs="Arial"/>
                <w:b/>
                <w:color w:val="366092"/>
                <w:sz w:val="18"/>
                <w:szCs w:val="18"/>
                <w:lang w:val="el-GR"/>
              </w:rPr>
            </w:pPr>
            <w:r w:rsidRPr="00B91D41">
              <w:rPr>
                <w:rFonts w:ascii="Verdana" w:hAnsi="Verdana" w:cs="Arial"/>
                <w:b/>
                <w:bCs/>
                <w:color w:val="366092"/>
                <w:sz w:val="18"/>
                <w:szCs w:val="18"/>
              </w:rPr>
              <w:t>-14,4</w:t>
            </w:r>
          </w:p>
        </w:tc>
      </w:tr>
      <w:tr w:rsidR="00B91D41" w:rsidRPr="00B91D41" w14:paraId="55A43021" w14:textId="77777777" w:rsidTr="00870A8B">
        <w:trPr>
          <w:trHeight w:val="547"/>
          <w:jc w:val="center"/>
        </w:trPr>
        <w:tc>
          <w:tcPr>
            <w:tcW w:w="2657" w:type="dxa"/>
            <w:tcBorders>
              <w:top w:val="single" w:sz="4" w:space="0" w:color="365F91"/>
              <w:left w:val="nil"/>
              <w:bottom w:val="single" w:sz="4" w:space="0" w:color="365F91"/>
              <w:right w:val="nil"/>
            </w:tcBorders>
            <w:vAlign w:val="center"/>
          </w:tcPr>
          <w:p w14:paraId="0284C2C7" w14:textId="77777777" w:rsidR="00421B7D" w:rsidRPr="00B91D41" w:rsidRDefault="00421B7D" w:rsidP="00421B7D">
            <w:pPr>
              <w:rPr>
                <w:rFonts w:ascii="Verdana" w:eastAsia="Malgun Gothic" w:hAnsi="Verdana" w:cs="Arial"/>
                <w:b/>
                <w:color w:val="366092"/>
                <w:sz w:val="18"/>
                <w:szCs w:val="18"/>
              </w:rPr>
            </w:pPr>
            <w:r w:rsidRPr="00B91D41">
              <w:rPr>
                <w:rFonts w:ascii="Verdana" w:eastAsia="Malgun Gothic" w:hAnsi="Verdana" w:cs="Arial"/>
                <w:b/>
                <w:color w:val="366092"/>
                <w:sz w:val="18"/>
                <w:szCs w:val="18"/>
              </w:rPr>
              <w:t>Broad Public Sector</w:t>
            </w:r>
          </w:p>
        </w:tc>
        <w:tc>
          <w:tcPr>
            <w:tcW w:w="1344" w:type="dxa"/>
            <w:tcBorders>
              <w:top w:val="single" w:sz="4" w:space="0" w:color="365F91"/>
              <w:left w:val="nil"/>
              <w:bottom w:val="single" w:sz="4" w:space="0" w:color="365F91"/>
              <w:right w:val="nil"/>
            </w:tcBorders>
            <w:vAlign w:val="center"/>
          </w:tcPr>
          <w:p w14:paraId="3A30EDC9" w14:textId="10A8E1A0" w:rsidR="00421B7D" w:rsidRPr="00B91D41" w:rsidRDefault="00421B7D" w:rsidP="00421B7D">
            <w:pPr>
              <w:ind w:right="144"/>
              <w:jc w:val="right"/>
              <w:rPr>
                <w:rFonts w:ascii="Verdana" w:eastAsia="Malgun Gothic" w:hAnsi="Verdana" w:cs="Arial"/>
                <w:b/>
                <w:color w:val="366092"/>
                <w:sz w:val="18"/>
                <w:szCs w:val="18"/>
                <w:lang w:val="el-GR"/>
              </w:rPr>
            </w:pPr>
            <w:r w:rsidRPr="00B91D41">
              <w:rPr>
                <w:rFonts w:ascii="Verdana" w:hAnsi="Verdana" w:cs="Arial"/>
                <w:b/>
                <w:bCs/>
                <w:color w:val="366092"/>
                <w:sz w:val="18"/>
                <w:szCs w:val="18"/>
              </w:rPr>
              <w:t>75.723</w:t>
            </w:r>
          </w:p>
        </w:tc>
        <w:tc>
          <w:tcPr>
            <w:tcW w:w="1344" w:type="dxa"/>
            <w:tcBorders>
              <w:top w:val="single" w:sz="4" w:space="0" w:color="365F91"/>
              <w:left w:val="nil"/>
              <w:bottom w:val="single" w:sz="4" w:space="0" w:color="365F91"/>
              <w:right w:val="nil"/>
            </w:tcBorders>
            <w:vAlign w:val="center"/>
          </w:tcPr>
          <w:p w14:paraId="021F1948" w14:textId="0B16C4E8" w:rsidR="00421B7D" w:rsidRPr="00B91D41" w:rsidRDefault="00421B7D" w:rsidP="00421B7D">
            <w:pPr>
              <w:ind w:right="144"/>
              <w:jc w:val="right"/>
              <w:rPr>
                <w:rFonts w:ascii="Verdana" w:eastAsia="Malgun Gothic" w:hAnsi="Verdana" w:cs="Arial"/>
                <w:b/>
                <w:color w:val="366092"/>
                <w:sz w:val="18"/>
                <w:szCs w:val="18"/>
                <w:lang w:val="el-GR"/>
              </w:rPr>
            </w:pPr>
            <w:r w:rsidRPr="00B91D41">
              <w:rPr>
                <w:rFonts w:ascii="Verdana" w:hAnsi="Verdana" w:cs="Arial"/>
                <w:b/>
                <w:bCs/>
                <w:color w:val="366092"/>
                <w:sz w:val="18"/>
                <w:szCs w:val="18"/>
              </w:rPr>
              <w:t>76.837</w:t>
            </w:r>
          </w:p>
        </w:tc>
        <w:tc>
          <w:tcPr>
            <w:tcW w:w="1344" w:type="dxa"/>
            <w:tcBorders>
              <w:top w:val="single" w:sz="4" w:space="0" w:color="365F91"/>
              <w:left w:val="nil"/>
              <w:bottom w:val="single" w:sz="4" w:space="0" w:color="365F91"/>
              <w:right w:val="single" w:sz="4" w:space="0" w:color="365F91"/>
            </w:tcBorders>
            <w:vAlign w:val="center"/>
          </w:tcPr>
          <w:p w14:paraId="7E19A0CA" w14:textId="451C34DE" w:rsidR="00421B7D" w:rsidRPr="00B91D41" w:rsidRDefault="00421B7D" w:rsidP="00421B7D">
            <w:pPr>
              <w:ind w:right="144"/>
              <w:jc w:val="right"/>
              <w:rPr>
                <w:rFonts w:ascii="Verdana" w:eastAsia="Malgun Gothic" w:hAnsi="Verdana" w:cs="Arial"/>
                <w:b/>
                <w:color w:val="366092"/>
                <w:sz w:val="18"/>
                <w:szCs w:val="18"/>
                <w:lang w:val="el-GR"/>
              </w:rPr>
            </w:pPr>
            <w:r w:rsidRPr="00B91D41">
              <w:rPr>
                <w:rFonts w:ascii="Verdana" w:hAnsi="Verdana" w:cs="Arial"/>
                <w:b/>
                <w:bCs/>
                <w:color w:val="366092"/>
                <w:sz w:val="18"/>
                <w:szCs w:val="18"/>
              </w:rPr>
              <w:t>77.034</w:t>
            </w:r>
          </w:p>
        </w:tc>
        <w:tc>
          <w:tcPr>
            <w:tcW w:w="236" w:type="dxa"/>
            <w:tcBorders>
              <w:top w:val="single" w:sz="4" w:space="0" w:color="365F91"/>
              <w:left w:val="single" w:sz="4" w:space="0" w:color="365F91"/>
              <w:bottom w:val="single" w:sz="4" w:space="0" w:color="365F91"/>
              <w:right w:val="single" w:sz="4" w:space="0" w:color="365F91"/>
            </w:tcBorders>
            <w:vAlign w:val="center"/>
          </w:tcPr>
          <w:p w14:paraId="383A6A15" w14:textId="0C59B620" w:rsidR="00421B7D" w:rsidRPr="00B91D41" w:rsidRDefault="00421B7D" w:rsidP="00421B7D">
            <w:pPr>
              <w:ind w:right="144"/>
              <w:jc w:val="right"/>
              <w:rPr>
                <w:rFonts w:ascii="Verdana" w:eastAsia="Malgun Gothic" w:hAnsi="Verdana" w:cs="Arial"/>
                <w:b/>
                <w:color w:val="366092"/>
                <w:sz w:val="18"/>
                <w:szCs w:val="18"/>
                <w:lang w:val="el-GR"/>
              </w:rPr>
            </w:pPr>
            <w:r w:rsidRPr="00B91D41">
              <w:rPr>
                <w:rFonts w:ascii="Verdana" w:hAnsi="Verdana" w:cs="Arial"/>
                <w:b/>
                <w:bCs/>
                <w:color w:val="366092"/>
                <w:sz w:val="18"/>
                <w:szCs w:val="18"/>
              </w:rPr>
              <w:t> </w:t>
            </w:r>
          </w:p>
        </w:tc>
        <w:tc>
          <w:tcPr>
            <w:tcW w:w="1392" w:type="dxa"/>
            <w:tcBorders>
              <w:top w:val="single" w:sz="4" w:space="0" w:color="365F91"/>
              <w:left w:val="single" w:sz="4" w:space="0" w:color="365F91"/>
              <w:bottom w:val="single" w:sz="4" w:space="0" w:color="365F91"/>
              <w:right w:val="nil"/>
            </w:tcBorders>
            <w:vAlign w:val="center"/>
          </w:tcPr>
          <w:p w14:paraId="34048C69" w14:textId="7BFDACB7" w:rsidR="00421B7D" w:rsidRPr="00B91D41" w:rsidRDefault="00421B7D" w:rsidP="00421B7D">
            <w:pPr>
              <w:ind w:right="340"/>
              <w:jc w:val="right"/>
              <w:rPr>
                <w:rFonts w:ascii="Verdana" w:eastAsia="Malgun Gothic" w:hAnsi="Verdana" w:cs="Arial"/>
                <w:b/>
                <w:color w:val="366092"/>
                <w:sz w:val="18"/>
                <w:szCs w:val="18"/>
              </w:rPr>
            </w:pPr>
            <w:r w:rsidRPr="00B91D41">
              <w:rPr>
                <w:rFonts w:ascii="Verdana" w:hAnsi="Verdana" w:cs="Arial"/>
                <w:b/>
                <w:bCs/>
                <w:color w:val="366092"/>
                <w:sz w:val="18"/>
                <w:szCs w:val="18"/>
              </w:rPr>
              <w:t>0,3</w:t>
            </w:r>
          </w:p>
        </w:tc>
        <w:tc>
          <w:tcPr>
            <w:tcW w:w="1429" w:type="dxa"/>
            <w:tcBorders>
              <w:top w:val="single" w:sz="4" w:space="0" w:color="365F91"/>
              <w:left w:val="nil"/>
              <w:bottom w:val="single" w:sz="4" w:space="0" w:color="365F91"/>
              <w:right w:val="nil"/>
            </w:tcBorders>
            <w:vAlign w:val="center"/>
          </w:tcPr>
          <w:p w14:paraId="2D8B5763" w14:textId="6E14DE2F" w:rsidR="00421B7D" w:rsidRPr="00B91D41" w:rsidRDefault="00421B7D" w:rsidP="00421B7D">
            <w:pPr>
              <w:ind w:right="340"/>
              <w:jc w:val="right"/>
              <w:rPr>
                <w:rFonts w:ascii="Verdana" w:eastAsia="Malgun Gothic" w:hAnsi="Verdana" w:cs="Arial"/>
                <w:b/>
                <w:color w:val="366092"/>
                <w:sz w:val="18"/>
                <w:szCs w:val="18"/>
                <w:lang w:val="el-GR"/>
              </w:rPr>
            </w:pPr>
            <w:r w:rsidRPr="00B91D41">
              <w:rPr>
                <w:rFonts w:ascii="Verdana" w:hAnsi="Verdana" w:cs="Arial"/>
                <w:b/>
                <w:bCs/>
                <w:color w:val="366092"/>
                <w:sz w:val="18"/>
                <w:szCs w:val="18"/>
              </w:rPr>
              <w:t>1,7</w:t>
            </w:r>
          </w:p>
        </w:tc>
      </w:tr>
    </w:tbl>
    <w:p w14:paraId="78C9E3D9" w14:textId="77777777" w:rsidR="00FB48D5" w:rsidRPr="00B91D41" w:rsidRDefault="00FB48D5" w:rsidP="00FB48D5">
      <w:pPr>
        <w:rPr>
          <w:rFonts w:ascii="Verdana" w:eastAsia="Malgun Gothic" w:hAnsi="Verdana" w:cs="Arial"/>
          <w:color w:val="366092"/>
          <w:sz w:val="16"/>
          <w:szCs w:val="18"/>
        </w:rPr>
      </w:pPr>
      <w:proofErr w:type="spellStart"/>
      <w:r w:rsidRPr="00B91D41">
        <w:rPr>
          <w:rFonts w:ascii="Verdana" w:eastAsia="Malgun Gothic" w:hAnsi="Verdana" w:cs="Arial"/>
          <w:color w:val="366092"/>
          <w:sz w:val="16"/>
          <w:szCs w:val="18"/>
        </w:rPr>
        <w:t>n.a.</w:t>
      </w:r>
      <w:proofErr w:type="spellEnd"/>
      <w:r w:rsidRPr="00B91D41">
        <w:rPr>
          <w:rFonts w:ascii="Verdana" w:eastAsia="Malgun Gothic" w:hAnsi="Verdana" w:cs="Arial"/>
          <w:color w:val="366092"/>
          <w:sz w:val="16"/>
          <w:szCs w:val="18"/>
        </w:rPr>
        <w:t>: Not applicable</w:t>
      </w:r>
    </w:p>
    <w:p w14:paraId="61EF8BD4" w14:textId="77777777" w:rsidR="006C16A4" w:rsidRPr="00C26329" w:rsidRDefault="006C16A4" w:rsidP="00072754">
      <w:pPr>
        <w:jc w:val="both"/>
        <w:rPr>
          <w:rFonts w:ascii="Verdana" w:eastAsia="Malgun Gothic" w:hAnsi="Verdana" w:cs="Arial"/>
          <w:sz w:val="18"/>
          <w:szCs w:val="18"/>
        </w:rPr>
      </w:pPr>
    </w:p>
    <w:p w14:paraId="3F7A74F3" w14:textId="77777777" w:rsidR="00972CA0" w:rsidRPr="00C26329" w:rsidRDefault="00972CA0" w:rsidP="00072754">
      <w:pPr>
        <w:jc w:val="both"/>
        <w:rPr>
          <w:rFonts w:ascii="Verdana" w:eastAsia="Malgun Gothic" w:hAnsi="Verdana" w:cs="Arial"/>
          <w:sz w:val="18"/>
          <w:szCs w:val="18"/>
        </w:rPr>
      </w:pPr>
    </w:p>
    <w:p w14:paraId="0EF6D563" w14:textId="77777777" w:rsidR="00972CA0" w:rsidRPr="00C26329" w:rsidRDefault="00972CA0" w:rsidP="00072754">
      <w:pPr>
        <w:jc w:val="both"/>
        <w:rPr>
          <w:rFonts w:ascii="Verdana" w:eastAsia="Malgun Gothic" w:hAnsi="Verdana" w:cs="Arial"/>
          <w:sz w:val="18"/>
          <w:szCs w:val="18"/>
        </w:rPr>
      </w:pPr>
    </w:p>
    <w:p w14:paraId="2E64F741" w14:textId="77777777" w:rsidR="00972CA0" w:rsidRPr="00C26329" w:rsidRDefault="00972CA0" w:rsidP="00072754">
      <w:pPr>
        <w:jc w:val="both"/>
        <w:rPr>
          <w:rFonts w:ascii="Verdana" w:eastAsia="Malgun Gothic" w:hAnsi="Verdana" w:cs="Arial"/>
          <w:sz w:val="18"/>
          <w:szCs w:val="18"/>
        </w:rPr>
      </w:pPr>
    </w:p>
    <w:p w14:paraId="726E4C9B" w14:textId="77777777" w:rsidR="00691191" w:rsidRPr="00C26329" w:rsidRDefault="00691191" w:rsidP="00072754">
      <w:pPr>
        <w:jc w:val="both"/>
        <w:rPr>
          <w:rFonts w:ascii="Verdana" w:eastAsia="Malgun Gothic" w:hAnsi="Verdana" w:cs="Arial"/>
          <w:sz w:val="18"/>
          <w:szCs w:val="18"/>
        </w:rPr>
      </w:pPr>
    </w:p>
    <w:p w14:paraId="0C7DC7E7" w14:textId="77777777" w:rsidR="00691191" w:rsidRPr="00C26329" w:rsidRDefault="00691191" w:rsidP="00072754">
      <w:pPr>
        <w:jc w:val="both"/>
        <w:rPr>
          <w:rFonts w:ascii="Verdana" w:eastAsia="Malgun Gothic" w:hAnsi="Verdana" w:cs="Arial"/>
          <w:sz w:val="18"/>
          <w:szCs w:val="18"/>
        </w:rPr>
      </w:pPr>
    </w:p>
    <w:p w14:paraId="506AAA7B" w14:textId="04B7CF79" w:rsidR="00691191" w:rsidRPr="00C26329" w:rsidRDefault="00691191" w:rsidP="00072754">
      <w:pPr>
        <w:jc w:val="both"/>
        <w:rPr>
          <w:rFonts w:ascii="Verdana" w:eastAsia="Malgun Gothic" w:hAnsi="Verdana" w:cs="Arial"/>
          <w:sz w:val="18"/>
          <w:szCs w:val="18"/>
        </w:rPr>
      </w:pPr>
    </w:p>
    <w:p w14:paraId="271B080D" w14:textId="77777777" w:rsidR="00691191" w:rsidRPr="00C26329" w:rsidRDefault="00691191" w:rsidP="00072754">
      <w:pPr>
        <w:jc w:val="both"/>
        <w:rPr>
          <w:rFonts w:ascii="Verdana" w:eastAsia="Malgun Gothic" w:hAnsi="Verdana" w:cs="Arial"/>
          <w:sz w:val="18"/>
          <w:szCs w:val="18"/>
        </w:rPr>
      </w:pPr>
    </w:p>
    <w:p w14:paraId="5310AC9E" w14:textId="77777777" w:rsidR="00691191" w:rsidRPr="00C26329" w:rsidRDefault="00691191" w:rsidP="00072754">
      <w:pPr>
        <w:jc w:val="both"/>
        <w:rPr>
          <w:rFonts w:ascii="Verdana" w:eastAsia="Malgun Gothic" w:hAnsi="Verdana" w:cs="Arial"/>
          <w:sz w:val="18"/>
          <w:szCs w:val="18"/>
        </w:rPr>
      </w:pPr>
    </w:p>
    <w:p w14:paraId="4188C987" w14:textId="77777777" w:rsidR="00691191" w:rsidRPr="00B91D41" w:rsidRDefault="00691191" w:rsidP="00072754">
      <w:pPr>
        <w:jc w:val="both"/>
        <w:rPr>
          <w:rFonts w:ascii="Verdana" w:eastAsia="Malgun Gothic" w:hAnsi="Verdana" w:cs="Arial"/>
          <w:sz w:val="18"/>
          <w:szCs w:val="18"/>
          <w:lang w:val="en-GB"/>
        </w:rPr>
      </w:pPr>
    </w:p>
    <w:p w14:paraId="37A80CEC" w14:textId="77777777" w:rsidR="00691191" w:rsidRPr="00C26329" w:rsidRDefault="00691191" w:rsidP="00072754">
      <w:pPr>
        <w:jc w:val="both"/>
        <w:rPr>
          <w:rFonts w:ascii="Verdana" w:eastAsia="Malgun Gothic" w:hAnsi="Verdana" w:cs="Arial"/>
          <w:sz w:val="18"/>
          <w:szCs w:val="18"/>
        </w:rPr>
      </w:pPr>
    </w:p>
    <w:p w14:paraId="45047B26" w14:textId="77777777" w:rsidR="00691191" w:rsidRPr="00C26329" w:rsidRDefault="00691191" w:rsidP="00072754">
      <w:pPr>
        <w:jc w:val="both"/>
        <w:rPr>
          <w:rFonts w:ascii="Verdana" w:eastAsia="Malgun Gothic" w:hAnsi="Verdana" w:cs="Arial"/>
          <w:sz w:val="18"/>
          <w:szCs w:val="18"/>
        </w:rPr>
      </w:pPr>
    </w:p>
    <w:p w14:paraId="57F52A3C" w14:textId="77777777" w:rsidR="00691191" w:rsidRPr="00C26329" w:rsidRDefault="00691191" w:rsidP="00072754">
      <w:pPr>
        <w:jc w:val="both"/>
        <w:rPr>
          <w:rFonts w:ascii="Verdana" w:eastAsia="Malgun Gothic" w:hAnsi="Verdana" w:cs="Arial"/>
          <w:sz w:val="18"/>
          <w:szCs w:val="18"/>
        </w:rPr>
      </w:pPr>
    </w:p>
    <w:p w14:paraId="736219EF" w14:textId="77777777" w:rsidR="00691191" w:rsidRPr="00C26329" w:rsidRDefault="00691191" w:rsidP="00072754">
      <w:pPr>
        <w:jc w:val="both"/>
        <w:rPr>
          <w:rFonts w:ascii="Verdana" w:eastAsia="Malgun Gothic" w:hAnsi="Verdana" w:cs="Arial"/>
          <w:sz w:val="18"/>
          <w:szCs w:val="18"/>
        </w:rPr>
      </w:pPr>
    </w:p>
    <w:p w14:paraId="1589D35F" w14:textId="77777777" w:rsidR="00691191" w:rsidRPr="00C26329" w:rsidRDefault="00691191" w:rsidP="00072754">
      <w:pPr>
        <w:jc w:val="both"/>
        <w:rPr>
          <w:rFonts w:ascii="Verdana" w:eastAsia="Malgun Gothic" w:hAnsi="Verdana" w:cs="Arial"/>
          <w:sz w:val="18"/>
          <w:szCs w:val="18"/>
        </w:rPr>
      </w:pPr>
    </w:p>
    <w:p w14:paraId="637EAC91" w14:textId="77777777" w:rsidR="00691191" w:rsidRPr="00C26329" w:rsidRDefault="00691191" w:rsidP="00072754">
      <w:pPr>
        <w:jc w:val="both"/>
        <w:rPr>
          <w:rFonts w:ascii="Verdana" w:eastAsia="Malgun Gothic" w:hAnsi="Verdana" w:cs="Arial"/>
          <w:sz w:val="18"/>
          <w:szCs w:val="18"/>
        </w:rPr>
      </w:pPr>
    </w:p>
    <w:p w14:paraId="0DAF1457" w14:textId="77777777" w:rsidR="00691191" w:rsidRPr="00C26329" w:rsidRDefault="00691191" w:rsidP="00072754">
      <w:pPr>
        <w:jc w:val="both"/>
        <w:rPr>
          <w:rFonts w:ascii="Verdana" w:eastAsia="Malgun Gothic" w:hAnsi="Verdana" w:cs="Arial"/>
          <w:sz w:val="18"/>
          <w:szCs w:val="18"/>
        </w:rPr>
      </w:pPr>
    </w:p>
    <w:p w14:paraId="547FA885" w14:textId="77777777" w:rsidR="00691191" w:rsidRPr="00FB48D5" w:rsidRDefault="00691191" w:rsidP="00072754">
      <w:pPr>
        <w:jc w:val="both"/>
        <w:rPr>
          <w:rFonts w:ascii="Verdana" w:eastAsia="Malgun Gothic" w:hAnsi="Verdana" w:cs="Arial"/>
          <w:sz w:val="18"/>
          <w:szCs w:val="18"/>
        </w:rPr>
      </w:pPr>
    </w:p>
    <w:p w14:paraId="017CDC7A" w14:textId="77777777" w:rsidR="00227D31" w:rsidRDefault="00227D31" w:rsidP="00072754">
      <w:pPr>
        <w:jc w:val="both"/>
        <w:rPr>
          <w:rFonts w:ascii="Verdana" w:eastAsia="Malgun Gothic" w:hAnsi="Verdana" w:cs="Arial"/>
          <w:sz w:val="18"/>
          <w:szCs w:val="18"/>
        </w:rPr>
      </w:pPr>
    </w:p>
    <w:p w14:paraId="6159CE2D" w14:textId="77777777" w:rsidR="003168E2" w:rsidRPr="00C26329" w:rsidRDefault="003168E2" w:rsidP="00072754">
      <w:pPr>
        <w:jc w:val="both"/>
        <w:rPr>
          <w:rFonts w:ascii="Verdana" w:eastAsia="Malgun Gothic" w:hAnsi="Verdana" w:cs="Arial"/>
          <w:sz w:val="18"/>
          <w:szCs w:val="18"/>
        </w:rPr>
      </w:pPr>
    </w:p>
    <w:p w14:paraId="5E9F461F" w14:textId="77777777" w:rsidR="00B91D41" w:rsidRDefault="00B91D41" w:rsidP="006C16A4">
      <w:pPr>
        <w:jc w:val="center"/>
        <w:rPr>
          <w:rFonts w:ascii="Verdana" w:eastAsia="Malgun Gothic" w:hAnsi="Verdana" w:cs="Arial"/>
          <w:b/>
          <w:u w:val="single"/>
        </w:rPr>
      </w:pPr>
    </w:p>
    <w:p w14:paraId="6FA9B180" w14:textId="77777777" w:rsidR="006C16A4" w:rsidRPr="00205BA0" w:rsidRDefault="006C16A4" w:rsidP="006C16A4">
      <w:pPr>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5C0B7A81" w14:textId="77777777" w:rsidR="006C16A4" w:rsidRPr="00D33293" w:rsidRDefault="006C16A4" w:rsidP="006C16A4">
      <w:pPr>
        <w:rPr>
          <w:rFonts w:ascii="Verdana" w:eastAsia="Malgun Gothic" w:hAnsi="Verdana" w:cs="Arial"/>
          <w:sz w:val="18"/>
          <w:szCs w:val="18"/>
        </w:rPr>
      </w:pPr>
    </w:p>
    <w:p w14:paraId="3F677C35" w14:textId="77777777" w:rsidR="006C16A4" w:rsidRDefault="006C16A4" w:rsidP="006C16A4">
      <w:pPr>
        <w:jc w:val="both"/>
        <w:rPr>
          <w:rFonts w:ascii="Verdana" w:eastAsia="Malgun Gothic" w:hAnsi="Verdana" w:cs="Arial"/>
          <w:b/>
          <w:sz w:val="18"/>
          <w:szCs w:val="18"/>
          <w:u w:val="single"/>
        </w:rPr>
      </w:pPr>
      <w:r>
        <w:rPr>
          <w:rFonts w:ascii="Verdana" w:eastAsia="Malgun Gothic" w:hAnsi="Verdana" w:cs="Arial"/>
          <w:b/>
          <w:sz w:val="18"/>
          <w:szCs w:val="18"/>
          <w:u w:val="single"/>
        </w:rPr>
        <w:t>Coverage</w:t>
      </w:r>
    </w:p>
    <w:p w14:paraId="0014D2D4" w14:textId="77777777" w:rsidR="006C16A4" w:rsidRPr="0017756A" w:rsidRDefault="006C16A4" w:rsidP="006C16A4">
      <w:pPr>
        <w:jc w:val="both"/>
        <w:rPr>
          <w:rFonts w:ascii="Verdana" w:eastAsia="Malgun Gothic" w:hAnsi="Verdana" w:cs="Arial"/>
          <w:b/>
          <w:sz w:val="18"/>
          <w:szCs w:val="18"/>
          <w:u w:val="single"/>
        </w:rPr>
      </w:pPr>
    </w:p>
    <w:p w14:paraId="39E8ACC3" w14:textId="41CCFA7A" w:rsidR="006C16A4" w:rsidRDefault="006C16A4" w:rsidP="006C16A4">
      <w:pPr>
        <w:jc w:val="both"/>
      </w:pPr>
      <w:r w:rsidRPr="001D6A31">
        <w:rPr>
          <w:rFonts w:ascii="Verdana" w:eastAsia="Malgun Gothic" w:hAnsi="Verdana" w:cs="Arial"/>
          <w:sz w:val="18"/>
          <w:szCs w:val="18"/>
        </w:rPr>
        <w:t>The employment in the</w:t>
      </w:r>
      <w:r w:rsidR="00185188">
        <w:rPr>
          <w:rFonts w:ascii="Verdana" w:eastAsia="Malgun Gothic" w:hAnsi="Verdana" w:cs="Arial"/>
          <w:sz w:val="18"/>
          <w:szCs w:val="18"/>
        </w:rPr>
        <w:t xml:space="preserve"> </w:t>
      </w:r>
      <w:r w:rsidRPr="00E53881">
        <w:rPr>
          <w:rFonts w:ascii="Verdana" w:eastAsia="Malgun Gothic" w:hAnsi="Verdana" w:cs="Arial"/>
          <w:b/>
          <w:sz w:val="18"/>
          <w:szCs w:val="18"/>
        </w:rPr>
        <w:t xml:space="preserve">Broad Public </w:t>
      </w:r>
      <w:r w:rsidR="00185188" w:rsidRPr="00E53881">
        <w:rPr>
          <w:rFonts w:ascii="Verdana" w:eastAsia="Malgun Gothic" w:hAnsi="Verdana" w:cs="Arial"/>
          <w:b/>
          <w:sz w:val="18"/>
          <w:szCs w:val="18"/>
        </w:rPr>
        <w:t>Sector</w:t>
      </w:r>
      <w:r w:rsidR="00185188">
        <w:rPr>
          <w:rFonts w:ascii="Verdana" w:eastAsia="Malgun Gothic" w:hAnsi="Verdana" w:cs="Arial"/>
          <w:sz w:val="18"/>
          <w:szCs w:val="18"/>
        </w:rPr>
        <w:t xml:space="preserve"> </w:t>
      </w:r>
      <w:r w:rsidRPr="001D6A31">
        <w:rPr>
          <w:rFonts w:ascii="Verdana" w:eastAsia="Malgun Gothic" w:hAnsi="Verdana" w:cs="Arial"/>
          <w:sz w:val="18"/>
          <w:szCs w:val="18"/>
        </w:rPr>
        <w:t xml:space="preserve">includes employment </w:t>
      </w:r>
      <w:r w:rsidR="00185188" w:rsidRPr="001D6A31">
        <w:rPr>
          <w:rFonts w:ascii="Verdana" w:eastAsia="Malgun Gothic" w:hAnsi="Verdana" w:cs="Arial"/>
          <w:sz w:val="18"/>
          <w:szCs w:val="18"/>
        </w:rPr>
        <w:t>in</w:t>
      </w:r>
      <w:r w:rsidR="00185188">
        <w:rPr>
          <w:rFonts w:ascii="Verdana" w:eastAsia="Malgun Gothic" w:hAnsi="Verdana" w:cs="Arial"/>
          <w:sz w:val="18"/>
          <w:szCs w:val="18"/>
        </w:rPr>
        <w:t xml:space="preserve"> </w:t>
      </w:r>
      <w:r w:rsidRPr="001D6A31">
        <w:rPr>
          <w:rFonts w:ascii="Verdana" w:eastAsia="Malgun Gothic" w:hAnsi="Verdana" w:cs="Arial"/>
          <w:sz w:val="18"/>
          <w:szCs w:val="18"/>
        </w:rPr>
        <w:t xml:space="preserve">General Government </w:t>
      </w:r>
      <w:r w:rsidR="00185188" w:rsidRPr="001D6A31">
        <w:rPr>
          <w:rFonts w:ascii="Verdana" w:eastAsia="Malgun Gothic" w:hAnsi="Verdana" w:cs="Arial"/>
          <w:sz w:val="18"/>
          <w:szCs w:val="18"/>
        </w:rPr>
        <w:t>Sector</w:t>
      </w:r>
      <w:r w:rsidR="00185188">
        <w:rPr>
          <w:rFonts w:ascii="Verdana" w:eastAsia="Malgun Gothic" w:hAnsi="Verdana" w:cs="Arial"/>
          <w:sz w:val="18"/>
          <w:szCs w:val="18"/>
        </w:rPr>
        <w:t xml:space="preserve"> </w:t>
      </w:r>
      <w:r w:rsidRPr="001D6A31">
        <w:rPr>
          <w:rFonts w:ascii="Verdana" w:eastAsia="Malgun Gothic" w:hAnsi="Verdana" w:cs="Arial"/>
          <w:sz w:val="18"/>
          <w:szCs w:val="18"/>
        </w:rPr>
        <w:t xml:space="preserve">and </w:t>
      </w:r>
      <w:r w:rsidR="00185188" w:rsidRPr="001D6A31">
        <w:rPr>
          <w:rFonts w:ascii="Verdana" w:eastAsia="Malgun Gothic" w:hAnsi="Verdana" w:cs="Arial"/>
          <w:sz w:val="18"/>
          <w:szCs w:val="18"/>
        </w:rPr>
        <w:t>in</w:t>
      </w:r>
      <w:r w:rsidR="00185188">
        <w:rPr>
          <w:rFonts w:ascii="Verdana" w:eastAsia="Malgun Gothic" w:hAnsi="Verdana" w:cs="Arial"/>
          <w:sz w:val="18"/>
          <w:szCs w:val="18"/>
        </w:rPr>
        <w:t xml:space="preserve"> </w:t>
      </w:r>
      <w:r w:rsidRPr="001D6A31">
        <w:rPr>
          <w:rFonts w:ascii="Verdana" w:eastAsia="Malgun Gothic" w:hAnsi="Verdana" w:cs="Arial"/>
          <w:sz w:val="18"/>
          <w:szCs w:val="18"/>
        </w:rPr>
        <w:t>Publicly Owned Enterprises and Companies.</w:t>
      </w:r>
      <w:r w:rsidRPr="001D6A31">
        <w:t xml:space="preserve"> </w:t>
      </w:r>
    </w:p>
    <w:p w14:paraId="2E3892F4" w14:textId="77777777" w:rsidR="006C16A4" w:rsidRDefault="006C16A4" w:rsidP="006C16A4">
      <w:pPr>
        <w:jc w:val="both"/>
      </w:pPr>
    </w:p>
    <w:p w14:paraId="4B6A6126" w14:textId="28063050" w:rsidR="006C16A4" w:rsidRDefault="006C16A4" w:rsidP="006C16A4">
      <w:pPr>
        <w:jc w:val="both"/>
        <w:rPr>
          <w:rFonts w:ascii="Verdana" w:eastAsia="Malgun Gothic" w:hAnsi="Verdana" w:cs="Arial"/>
          <w:sz w:val="18"/>
          <w:szCs w:val="18"/>
        </w:rPr>
      </w:pPr>
      <w:r w:rsidRPr="00643437">
        <w:rPr>
          <w:rFonts w:ascii="Verdana" w:eastAsia="Malgun Gothic" w:hAnsi="Verdana" w:cs="Arial"/>
          <w:b/>
          <w:bCs/>
          <w:sz w:val="18"/>
          <w:szCs w:val="18"/>
        </w:rPr>
        <w:t xml:space="preserve">General Government </w:t>
      </w:r>
      <w:r w:rsidR="006F2F67" w:rsidRPr="00643437">
        <w:rPr>
          <w:rFonts w:ascii="Verdana" w:eastAsia="Malgun Gothic" w:hAnsi="Verdana" w:cs="Arial"/>
          <w:b/>
          <w:bCs/>
          <w:sz w:val="18"/>
          <w:szCs w:val="18"/>
        </w:rPr>
        <w:t>Sector</w:t>
      </w:r>
      <w:r w:rsidR="006F2F67">
        <w:rPr>
          <w:rFonts w:ascii="Verdana" w:eastAsia="Malgun Gothic" w:hAnsi="Verdana" w:cs="Arial"/>
          <w:sz w:val="18"/>
          <w:szCs w:val="18"/>
        </w:rPr>
        <w:t xml:space="preserve"> </w:t>
      </w:r>
      <w:r w:rsidR="006F2F67" w:rsidRPr="001D6A31">
        <w:rPr>
          <w:rFonts w:ascii="Verdana" w:eastAsia="Malgun Gothic" w:hAnsi="Verdana" w:cs="Arial"/>
          <w:sz w:val="18"/>
          <w:szCs w:val="18"/>
        </w:rPr>
        <w:t>includes</w:t>
      </w:r>
      <w:r w:rsidR="006F2F67">
        <w:rPr>
          <w:rFonts w:ascii="Verdana" w:eastAsia="Malgun Gothic" w:hAnsi="Verdana" w:cs="Arial"/>
          <w:sz w:val="18"/>
          <w:szCs w:val="18"/>
        </w:rPr>
        <w:t xml:space="preserve"> </w:t>
      </w:r>
      <w:r w:rsidRPr="001D6A31">
        <w:rPr>
          <w:rFonts w:ascii="Verdana" w:eastAsia="Malgun Gothic" w:hAnsi="Verdana" w:cs="Arial"/>
          <w:sz w:val="18"/>
          <w:szCs w:val="18"/>
        </w:rPr>
        <w:t xml:space="preserve">Central </w:t>
      </w:r>
      <w:r w:rsidR="006F2F67" w:rsidRPr="001D6A31">
        <w:rPr>
          <w:rFonts w:ascii="Verdana" w:eastAsia="Malgun Gothic" w:hAnsi="Verdana" w:cs="Arial"/>
          <w:sz w:val="18"/>
          <w:szCs w:val="18"/>
        </w:rPr>
        <w:t>Government</w:t>
      </w:r>
      <w:r w:rsidR="006F2F67">
        <w:rPr>
          <w:rFonts w:ascii="Verdana" w:eastAsia="Malgun Gothic" w:hAnsi="Verdana" w:cs="Arial"/>
          <w:sz w:val="18"/>
          <w:szCs w:val="18"/>
        </w:rPr>
        <w:t xml:space="preserve"> </w:t>
      </w:r>
      <w:r w:rsidR="006F2F67" w:rsidRPr="001D6A31">
        <w:rPr>
          <w:rFonts w:ascii="Verdana" w:eastAsia="Malgun Gothic" w:hAnsi="Verdana" w:cs="Arial"/>
          <w:sz w:val="18"/>
          <w:szCs w:val="18"/>
        </w:rPr>
        <w:t>and</w:t>
      </w:r>
      <w:r w:rsidR="006F2F67">
        <w:rPr>
          <w:rFonts w:ascii="Verdana" w:eastAsia="Malgun Gothic" w:hAnsi="Verdana" w:cs="Arial"/>
          <w:sz w:val="18"/>
          <w:szCs w:val="18"/>
        </w:rPr>
        <w:t xml:space="preserve"> </w:t>
      </w:r>
      <w:r w:rsidRPr="001D6A31">
        <w:rPr>
          <w:rFonts w:ascii="Verdana" w:eastAsia="Malgun Gothic" w:hAnsi="Verdana" w:cs="Arial"/>
          <w:sz w:val="18"/>
          <w:szCs w:val="18"/>
        </w:rPr>
        <w:t>Local Authorities.</w:t>
      </w:r>
      <w:r>
        <w:rPr>
          <w:rFonts w:ascii="Verdana" w:eastAsia="Malgun Gothic" w:hAnsi="Verdana" w:cs="Arial"/>
          <w:sz w:val="18"/>
          <w:szCs w:val="18"/>
        </w:rPr>
        <w:t xml:space="preserve"> </w:t>
      </w:r>
    </w:p>
    <w:p w14:paraId="4B1DC5B9" w14:textId="77777777" w:rsidR="006C16A4" w:rsidRDefault="006C16A4" w:rsidP="006C16A4">
      <w:pPr>
        <w:jc w:val="both"/>
        <w:rPr>
          <w:rFonts w:ascii="Verdana" w:eastAsia="Malgun Gothic" w:hAnsi="Verdana" w:cs="Arial"/>
          <w:sz w:val="18"/>
          <w:szCs w:val="18"/>
        </w:rPr>
      </w:pPr>
    </w:p>
    <w:p w14:paraId="503718A8" w14:textId="4E5F8E37" w:rsidR="006C16A4" w:rsidRPr="00D537A3" w:rsidRDefault="006C16A4" w:rsidP="006C16A4">
      <w:pPr>
        <w:jc w:val="both"/>
        <w:rPr>
          <w:rFonts w:ascii="Verdana" w:eastAsia="Malgun Gothic" w:hAnsi="Verdana" w:cs="Arial"/>
          <w:sz w:val="18"/>
          <w:szCs w:val="18"/>
        </w:rPr>
      </w:pPr>
      <w:r w:rsidRPr="00E53881">
        <w:rPr>
          <w:rFonts w:ascii="Verdana" w:eastAsia="Malgun Gothic" w:hAnsi="Verdana" w:cs="Arial"/>
          <w:b/>
          <w:sz w:val="18"/>
          <w:szCs w:val="18"/>
        </w:rPr>
        <w:t xml:space="preserve">Central </w:t>
      </w:r>
      <w:r w:rsidR="00F0123B" w:rsidRPr="00E53881">
        <w:rPr>
          <w:rFonts w:ascii="Verdana" w:eastAsia="Malgun Gothic" w:hAnsi="Verdana" w:cs="Arial"/>
          <w:b/>
          <w:sz w:val="18"/>
          <w:szCs w:val="18"/>
        </w:rPr>
        <w:t>Government</w:t>
      </w:r>
      <w:r w:rsidR="00F0123B">
        <w:rPr>
          <w:rFonts w:ascii="Verdana" w:eastAsia="Malgun Gothic" w:hAnsi="Verdana" w:cs="Arial"/>
          <w:sz w:val="18"/>
          <w:szCs w:val="18"/>
        </w:rPr>
        <w:t xml:space="preserve"> </w:t>
      </w:r>
      <w:r w:rsidR="00F0123B" w:rsidRPr="005671FE">
        <w:rPr>
          <w:rFonts w:ascii="Verdana" w:eastAsia="Malgun Gothic" w:hAnsi="Verdana" w:cs="Arial"/>
          <w:sz w:val="18"/>
          <w:szCs w:val="18"/>
        </w:rPr>
        <w:t>includes</w:t>
      </w:r>
      <w:r w:rsidR="00F0123B">
        <w:rPr>
          <w:rFonts w:ascii="Verdana" w:eastAsia="Malgun Gothic" w:hAnsi="Verdana" w:cs="Arial"/>
          <w:sz w:val="18"/>
          <w:szCs w:val="18"/>
        </w:rPr>
        <w:t xml:space="preserve"> </w:t>
      </w:r>
      <w:r w:rsidR="00F0123B" w:rsidRPr="005671FE">
        <w:rPr>
          <w:rFonts w:ascii="Verdana" w:eastAsia="Malgun Gothic" w:hAnsi="Verdana" w:cs="Arial"/>
          <w:sz w:val="18"/>
          <w:szCs w:val="18"/>
        </w:rPr>
        <w:t>Government</w:t>
      </w:r>
      <w:r w:rsidR="00F0123B">
        <w:rPr>
          <w:rFonts w:ascii="Verdana" w:eastAsia="Malgun Gothic" w:hAnsi="Verdana" w:cs="Arial"/>
          <w:sz w:val="18"/>
          <w:szCs w:val="18"/>
        </w:rPr>
        <w:t xml:space="preserve"> </w:t>
      </w:r>
      <w:r w:rsidR="00F0123B" w:rsidRPr="005671FE">
        <w:rPr>
          <w:rFonts w:ascii="Verdana" w:eastAsia="Malgun Gothic" w:hAnsi="Verdana" w:cs="Arial"/>
          <w:sz w:val="18"/>
          <w:szCs w:val="18"/>
        </w:rPr>
        <w:t>and</w:t>
      </w:r>
      <w:r w:rsidR="00F0123B">
        <w:rPr>
          <w:rFonts w:ascii="Verdana" w:eastAsia="Malgun Gothic" w:hAnsi="Verdana" w:cs="Arial"/>
          <w:sz w:val="18"/>
          <w:szCs w:val="18"/>
        </w:rPr>
        <w:t xml:space="preserve"> </w:t>
      </w:r>
      <w:r w:rsidRPr="005671FE">
        <w:rPr>
          <w:rFonts w:ascii="Verdana" w:eastAsia="Malgun Gothic" w:hAnsi="Verdana" w:cs="Arial"/>
          <w:sz w:val="18"/>
          <w:szCs w:val="18"/>
        </w:rPr>
        <w:t xml:space="preserve">Non-Profit </w:t>
      </w:r>
      <w:r>
        <w:rPr>
          <w:rFonts w:ascii="Verdana" w:eastAsia="Malgun Gothic" w:hAnsi="Verdana" w:cs="Arial"/>
          <w:sz w:val="18"/>
          <w:szCs w:val="18"/>
        </w:rPr>
        <w:t>Organization</w:t>
      </w:r>
      <w:r w:rsidRPr="005671FE">
        <w:rPr>
          <w:rFonts w:ascii="Verdana" w:eastAsia="Malgun Gothic" w:hAnsi="Verdana" w:cs="Arial"/>
          <w:sz w:val="18"/>
          <w:szCs w:val="18"/>
        </w:rPr>
        <w:t>s</w:t>
      </w:r>
      <w:r w:rsidR="00F0123B" w:rsidRPr="005671FE">
        <w:rPr>
          <w:rFonts w:ascii="Verdana" w:eastAsia="Malgun Gothic" w:hAnsi="Verdana" w:cs="Arial"/>
          <w:sz w:val="18"/>
          <w:szCs w:val="18"/>
        </w:rPr>
        <w:t>.</w:t>
      </w:r>
      <w:r w:rsidR="00F0123B">
        <w:rPr>
          <w:rFonts w:ascii="Verdana" w:eastAsia="Malgun Gothic" w:hAnsi="Verdana" w:cs="Arial"/>
          <w:sz w:val="18"/>
          <w:szCs w:val="18"/>
        </w:rPr>
        <w:t xml:space="preserve"> </w:t>
      </w:r>
      <w:r w:rsidR="00F0123B" w:rsidRPr="005671FE">
        <w:rPr>
          <w:rFonts w:ascii="Verdana" w:eastAsia="Malgun Gothic" w:hAnsi="Verdana" w:cs="Arial"/>
          <w:sz w:val="18"/>
          <w:szCs w:val="18"/>
        </w:rPr>
        <w:t>Government</w:t>
      </w:r>
      <w:r w:rsidR="00F0123B">
        <w:rPr>
          <w:rFonts w:ascii="Verdana" w:eastAsia="Malgun Gothic" w:hAnsi="Verdana" w:cs="Arial"/>
          <w:sz w:val="18"/>
          <w:szCs w:val="18"/>
        </w:rPr>
        <w:t xml:space="preserve"> </w:t>
      </w:r>
      <w:r w:rsidRPr="005671FE">
        <w:rPr>
          <w:rFonts w:ascii="Verdana" w:eastAsia="Malgun Gothic" w:hAnsi="Verdana" w:cs="Arial"/>
          <w:sz w:val="18"/>
          <w:szCs w:val="18"/>
        </w:rPr>
        <w:t>includes Civil Service, Educational Service, Police Service,</w:t>
      </w:r>
      <w:r w:rsidRPr="005671FE">
        <w:t xml:space="preserve"> </w:t>
      </w:r>
      <w:r w:rsidRPr="00032B52">
        <w:rPr>
          <w:rFonts w:ascii="Verdana" w:eastAsia="Malgun Gothic" w:hAnsi="Verdana" w:cs="Arial"/>
          <w:sz w:val="18"/>
          <w:szCs w:val="18"/>
        </w:rPr>
        <w:t xml:space="preserve">Fire Service, Hourly </w:t>
      </w:r>
      <w:r>
        <w:rPr>
          <w:rFonts w:ascii="Verdana" w:eastAsia="Malgun Gothic" w:hAnsi="Verdana" w:cs="Arial"/>
          <w:sz w:val="18"/>
          <w:szCs w:val="18"/>
        </w:rPr>
        <w:t>P</w:t>
      </w:r>
      <w:r w:rsidRPr="00032B52">
        <w:rPr>
          <w:rFonts w:ascii="Verdana" w:eastAsia="Malgun Gothic" w:hAnsi="Verdana" w:cs="Arial"/>
          <w:sz w:val="18"/>
          <w:szCs w:val="18"/>
        </w:rPr>
        <w:t xml:space="preserve">aid </w:t>
      </w:r>
      <w:r>
        <w:rPr>
          <w:rFonts w:ascii="Verdana" w:eastAsia="Malgun Gothic" w:hAnsi="Verdana" w:cs="Arial"/>
          <w:sz w:val="18"/>
          <w:szCs w:val="18"/>
        </w:rPr>
        <w:t>W</w:t>
      </w:r>
      <w:r w:rsidRPr="00032B52">
        <w:rPr>
          <w:rFonts w:ascii="Verdana" w:eastAsia="Malgun Gothic" w:hAnsi="Verdana" w:cs="Arial"/>
          <w:sz w:val="18"/>
          <w:szCs w:val="18"/>
        </w:rPr>
        <w:t>orkers and Military Personnel</w:t>
      </w:r>
      <w:r w:rsidR="00F0123B" w:rsidRPr="00032B52">
        <w:rPr>
          <w:rFonts w:ascii="Verdana" w:eastAsia="Malgun Gothic" w:hAnsi="Verdana" w:cs="Arial"/>
          <w:sz w:val="18"/>
          <w:szCs w:val="18"/>
        </w:rPr>
        <w:t>.</w:t>
      </w:r>
      <w:r w:rsidR="00F0123B">
        <w:rPr>
          <w:rFonts w:ascii="Verdana" w:eastAsia="Malgun Gothic" w:hAnsi="Verdana" w:cs="Arial"/>
          <w:sz w:val="18"/>
          <w:szCs w:val="18"/>
        </w:rPr>
        <w:t xml:space="preserve"> </w:t>
      </w:r>
      <w:r w:rsidRPr="00032B52">
        <w:rPr>
          <w:rFonts w:ascii="Verdana" w:eastAsia="Malgun Gothic" w:hAnsi="Verdana" w:cs="Arial"/>
          <w:sz w:val="18"/>
          <w:szCs w:val="18"/>
        </w:rPr>
        <w:t xml:space="preserve">Non-Profit </w:t>
      </w:r>
      <w:r w:rsidR="00F0123B" w:rsidRPr="00032B52">
        <w:rPr>
          <w:rFonts w:ascii="Verdana" w:eastAsia="Malgun Gothic" w:hAnsi="Verdana" w:cs="Arial"/>
          <w:sz w:val="18"/>
          <w:szCs w:val="18"/>
        </w:rPr>
        <w:t>Organizations</w:t>
      </w:r>
      <w:r w:rsidR="00F0123B">
        <w:rPr>
          <w:rFonts w:ascii="Verdana" w:eastAsia="Malgun Gothic" w:hAnsi="Verdana" w:cs="Arial"/>
          <w:sz w:val="18"/>
          <w:szCs w:val="18"/>
        </w:rPr>
        <w:t xml:space="preserve"> </w:t>
      </w:r>
      <w:r w:rsidRPr="00032B52">
        <w:rPr>
          <w:rFonts w:ascii="Verdana" w:eastAsia="Malgun Gothic" w:hAnsi="Verdana" w:cs="Arial"/>
          <w:sz w:val="18"/>
          <w:szCs w:val="18"/>
        </w:rPr>
        <w:t xml:space="preserve">include School Committees, University of Cyprus, Cyprus University of Technology, Open University, </w:t>
      </w:r>
      <w:r w:rsidRPr="00E41922">
        <w:rPr>
          <w:rFonts w:ascii="Verdana" w:eastAsia="Malgun Gothic" w:hAnsi="Verdana" w:cs="Arial"/>
          <w:sz w:val="18"/>
          <w:szCs w:val="18"/>
        </w:rPr>
        <w:t>Cyprus Athletic Organization, Cyprus Theatrical Organization, Youth Organization,</w:t>
      </w:r>
      <w:r w:rsidR="00175E05" w:rsidRPr="00175E05">
        <w:rPr>
          <w:rFonts w:ascii="Verdana" w:eastAsia="Malgun Gothic" w:hAnsi="Verdana" w:cs="Arial"/>
          <w:sz w:val="18"/>
          <w:szCs w:val="18"/>
        </w:rPr>
        <w:t xml:space="preserve"> </w:t>
      </w:r>
      <w:r w:rsidRPr="00E41922">
        <w:rPr>
          <w:rFonts w:ascii="Verdana" w:eastAsia="Malgun Gothic" w:hAnsi="Verdana" w:cs="Arial"/>
          <w:sz w:val="18"/>
          <w:szCs w:val="18"/>
        </w:rPr>
        <w:t>Investment Promotion Foundation, Symphony Orchestra Foundation, Cyprus</w:t>
      </w:r>
      <w:r>
        <w:rPr>
          <w:rFonts w:ascii="Verdana" w:eastAsia="Malgun Gothic" w:hAnsi="Verdana" w:cs="Arial"/>
          <w:sz w:val="18"/>
          <w:szCs w:val="18"/>
        </w:rPr>
        <w:t xml:space="preserve"> National Addictions Authority</w:t>
      </w:r>
      <w:r w:rsidRPr="00E41922">
        <w:rPr>
          <w:rFonts w:ascii="Verdana" w:eastAsia="Malgun Gothic" w:hAnsi="Verdana" w:cs="Arial"/>
          <w:sz w:val="18"/>
          <w:szCs w:val="18"/>
        </w:rPr>
        <w:t>, Bank of Cyprus Oncology Centre, Cyprus Broad</w:t>
      </w:r>
      <w:r>
        <w:rPr>
          <w:rFonts w:ascii="Verdana" w:eastAsia="Malgun Gothic" w:hAnsi="Verdana" w:cs="Arial"/>
          <w:sz w:val="18"/>
          <w:szCs w:val="18"/>
        </w:rPr>
        <w:t>c</w:t>
      </w:r>
      <w:r w:rsidRPr="00E41922">
        <w:rPr>
          <w:rFonts w:ascii="Verdana" w:eastAsia="Malgun Gothic" w:hAnsi="Verdana" w:cs="Arial"/>
          <w:sz w:val="18"/>
          <w:szCs w:val="18"/>
        </w:rPr>
        <w:t xml:space="preserve">asting Corporation, Cyprus News Agency, Cyprus Agricultural Payment Organization, Cyprus Petroleum Company, </w:t>
      </w:r>
      <w:r w:rsidRPr="00032B52">
        <w:rPr>
          <w:rFonts w:ascii="Verdana" w:eastAsia="Malgun Gothic" w:hAnsi="Verdana" w:cs="Arial"/>
          <w:sz w:val="18"/>
          <w:szCs w:val="18"/>
        </w:rPr>
        <w:t xml:space="preserve">Central Agency of Equal Distribution of Burden, Research </w:t>
      </w:r>
      <w:r w:rsidR="007C71E8">
        <w:rPr>
          <w:rFonts w:ascii="Verdana" w:eastAsia="Malgun Gothic" w:hAnsi="Verdana" w:cs="Arial"/>
          <w:sz w:val="18"/>
          <w:szCs w:val="18"/>
        </w:rPr>
        <w:t xml:space="preserve">and Innovation </w:t>
      </w:r>
      <w:r w:rsidRPr="00032B52">
        <w:rPr>
          <w:rFonts w:ascii="Verdana" w:eastAsia="Malgun Gothic" w:hAnsi="Verdana" w:cs="Arial"/>
          <w:sz w:val="18"/>
          <w:szCs w:val="18"/>
        </w:rPr>
        <w:t>Foundation, Fauna Fund, Human Resource Development Authority, Office of the Commissioner of Electr</w:t>
      </w:r>
      <w:r w:rsidR="001D1AEF">
        <w:rPr>
          <w:rFonts w:ascii="Verdana" w:eastAsia="Malgun Gothic" w:hAnsi="Verdana" w:cs="Arial"/>
          <w:sz w:val="18"/>
          <w:szCs w:val="18"/>
        </w:rPr>
        <w:t>onic</w:t>
      </w:r>
      <w:r w:rsidRPr="00032B52">
        <w:rPr>
          <w:rFonts w:ascii="Verdana" w:eastAsia="Malgun Gothic" w:hAnsi="Verdana" w:cs="Arial"/>
          <w:sz w:val="18"/>
          <w:szCs w:val="18"/>
        </w:rPr>
        <w:t xml:space="preserve"> Communications and Postal Regulation, Cyprus </w:t>
      </w:r>
      <w:proofErr w:type="spellStart"/>
      <w:r w:rsidRPr="00032B52">
        <w:rPr>
          <w:rFonts w:ascii="Verdana" w:eastAsia="Malgun Gothic" w:hAnsi="Verdana" w:cs="Arial"/>
          <w:sz w:val="18"/>
          <w:szCs w:val="18"/>
        </w:rPr>
        <w:t>Radiotelevision</w:t>
      </w:r>
      <w:proofErr w:type="spellEnd"/>
      <w:r w:rsidRPr="00032B52">
        <w:rPr>
          <w:rFonts w:ascii="Verdana" w:eastAsia="Malgun Gothic" w:hAnsi="Verdana" w:cs="Arial"/>
          <w:sz w:val="18"/>
          <w:szCs w:val="18"/>
        </w:rPr>
        <w:t xml:space="preserve"> Authority, Cyprus Energy Regulatory Authority</w:t>
      </w:r>
      <w:r>
        <w:rPr>
          <w:rFonts w:ascii="Verdana" w:eastAsia="Malgun Gothic" w:hAnsi="Verdana" w:cs="Arial"/>
          <w:sz w:val="18"/>
          <w:szCs w:val="18"/>
        </w:rPr>
        <w:t>,</w:t>
      </w:r>
      <w:r w:rsidRPr="003F67DB">
        <w:rPr>
          <w:rFonts w:ascii="Verdana" w:eastAsia="Malgun Gothic" w:hAnsi="Verdana" w:cs="Arial"/>
          <w:sz w:val="18"/>
          <w:szCs w:val="18"/>
        </w:rPr>
        <w:t xml:space="preserve"> </w:t>
      </w:r>
      <w:r w:rsidRPr="00342B52">
        <w:rPr>
          <w:rFonts w:ascii="Verdana" w:eastAsia="Malgun Gothic" w:hAnsi="Verdana" w:cs="Arial"/>
          <w:sz w:val="18"/>
          <w:szCs w:val="18"/>
        </w:rPr>
        <w:t>Pancyprian Refugees Union, Cyprus Standard Organization, Cyprus Asset Management Company Limited</w:t>
      </w:r>
      <w:r>
        <w:rPr>
          <w:rFonts w:ascii="Verdana" w:eastAsia="Malgun Gothic" w:hAnsi="Verdana" w:cs="Arial"/>
          <w:sz w:val="18"/>
          <w:szCs w:val="18"/>
        </w:rPr>
        <w:t xml:space="preserve">, </w:t>
      </w:r>
      <w:r w:rsidRPr="00342B52">
        <w:rPr>
          <w:rFonts w:ascii="Verdana" w:eastAsia="Malgun Gothic" w:hAnsi="Verdana" w:cs="Arial"/>
          <w:sz w:val="18"/>
          <w:szCs w:val="18"/>
        </w:rPr>
        <w:t>State Health Services Organizatio</w:t>
      </w:r>
      <w:r>
        <w:rPr>
          <w:rFonts w:ascii="Verdana" w:eastAsia="Malgun Gothic" w:hAnsi="Verdana" w:cs="Arial"/>
          <w:sz w:val="18"/>
          <w:szCs w:val="18"/>
        </w:rPr>
        <w:t xml:space="preserve">n and National Betting Authority. </w:t>
      </w:r>
      <w:r w:rsidR="00B81B9A" w:rsidRPr="00B81B9A">
        <w:rPr>
          <w:rFonts w:ascii="Verdana" w:eastAsia="Malgun Gothic" w:hAnsi="Verdana" w:cs="Arial"/>
          <w:sz w:val="18"/>
          <w:szCs w:val="18"/>
        </w:rPr>
        <w:t>As from January 2023, Hourly Paid Workers from the Ministry of Health (Government) have been included to the State Health Services Organisation (Non-Profit Organizations).</w:t>
      </w:r>
    </w:p>
    <w:p w14:paraId="6CB9C5B0" w14:textId="77777777" w:rsidR="006C16A4" w:rsidRDefault="006C16A4" w:rsidP="006C16A4">
      <w:pPr>
        <w:jc w:val="both"/>
        <w:rPr>
          <w:rFonts w:ascii="Verdana" w:eastAsia="Malgun Gothic" w:hAnsi="Verdana" w:cs="Arial"/>
          <w:sz w:val="18"/>
          <w:szCs w:val="18"/>
        </w:rPr>
      </w:pPr>
    </w:p>
    <w:p w14:paraId="2DE1D6EB" w14:textId="2E192D72" w:rsidR="006C16A4" w:rsidRDefault="006C16A4" w:rsidP="006C16A4">
      <w:pPr>
        <w:jc w:val="both"/>
        <w:rPr>
          <w:rFonts w:ascii="Verdana" w:eastAsia="Malgun Gothic" w:hAnsi="Verdana" w:cs="Arial"/>
          <w:sz w:val="18"/>
          <w:szCs w:val="18"/>
        </w:rPr>
      </w:pPr>
      <w:r w:rsidRPr="00D537A3">
        <w:rPr>
          <w:rFonts w:ascii="Verdana" w:eastAsia="Malgun Gothic" w:hAnsi="Verdana" w:cs="Arial"/>
          <w:b/>
          <w:bCs/>
          <w:sz w:val="18"/>
          <w:szCs w:val="18"/>
        </w:rPr>
        <w:t>Local Authorities</w:t>
      </w:r>
      <w:r w:rsidR="00F0123B">
        <w:rPr>
          <w:rFonts w:ascii="Verdana" w:eastAsia="Malgun Gothic" w:hAnsi="Verdana" w:cs="Arial"/>
          <w:sz w:val="18"/>
          <w:szCs w:val="18"/>
        </w:rPr>
        <w:t xml:space="preserve"> </w:t>
      </w:r>
      <w:r w:rsidRPr="001D6A31">
        <w:rPr>
          <w:rFonts w:ascii="Verdana" w:eastAsia="Malgun Gothic" w:hAnsi="Verdana" w:cs="Arial"/>
          <w:sz w:val="18"/>
          <w:szCs w:val="18"/>
        </w:rPr>
        <w:t xml:space="preserve">include </w:t>
      </w:r>
      <w:r w:rsidR="00CD15DB" w:rsidRPr="008D79BE">
        <w:rPr>
          <w:rFonts w:ascii="Verdana" w:eastAsia="Malgun Gothic" w:hAnsi="Verdana" w:cs="Arial"/>
          <w:sz w:val="18"/>
          <w:szCs w:val="18"/>
        </w:rPr>
        <w:t xml:space="preserve">District Local Government Organisations, </w:t>
      </w:r>
      <w:r w:rsidRPr="001D6A31">
        <w:rPr>
          <w:rFonts w:ascii="Verdana" w:eastAsia="Malgun Gothic" w:hAnsi="Verdana" w:cs="Arial"/>
          <w:sz w:val="18"/>
          <w:szCs w:val="18"/>
        </w:rPr>
        <w:t>Municipalities and other Local Authorities.</w:t>
      </w:r>
    </w:p>
    <w:p w14:paraId="4BFEB117" w14:textId="77777777" w:rsidR="006C16A4" w:rsidRDefault="006C16A4" w:rsidP="006C16A4">
      <w:pPr>
        <w:jc w:val="both"/>
        <w:rPr>
          <w:rFonts w:ascii="Verdana" w:eastAsia="Malgun Gothic" w:hAnsi="Verdana" w:cs="Arial"/>
          <w:sz w:val="18"/>
          <w:szCs w:val="18"/>
        </w:rPr>
      </w:pPr>
    </w:p>
    <w:p w14:paraId="04DC9048" w14:textId="14B00610" w:rsidR="006C16A4" w:rsidRDefault="006C16A4" w:rsidP="006C16A4">
      <w:pPr>
        <w:jc w:val="both"/>
        <w:rPr>
          <w:rFonts w:ascii="Verdana" w:eastAsia="Malgun Gothic" w:hAnsi="Verdana" w:cs="Arial"/>
          <w:sz w:val="18"/>
          <w:szCs w:val="18"/>
        </w:rPr>
      </w:pPr>
      <w:r w:rsidRPr="00E53881">
        <w:rPr>
          <w:rFonts w:ascii="Verdana" w:eastAsia="Malgun Gothic" w:hAnsi="Verdana" w:cs="Arial"/>
          <w:b/>
          <w:sz w:val="18"/>
          <w:szCs w:val="18"/>
        </w:rPr>
        <w:t>Publicly Owned Enterprises and Companies</w:t>
      </w:r>
      <w:r w:rsidRPr="005671FE">
        <w:rPr>
          <w:rFonts w:ascii="Verdana" w:eastAsia="Malgun Gothic" w:hAnsi="Verdana" w:cs="Arial"/>
          <w:sz w:val="18"/>
          <w:szCs w:val="18"/>
        </w:rPr>
        <w:t> include: Cyprus Telecommunication Authority, Electricity Authority of Cyprus,</w:t>
      </w:r>
      <w:r w:rsidRPr="005671FE">
        <w:t xml:space="preserve"> </w:t>
      </w:r>
      <w:r w:rsidRPr="00032B52">
        <w:rPr>
          <w:rFonts w:ascii="Verdana" w:eastAsia="Malgun Gothic" w:hAnsi="Verdana" w:cs="Arial"/>
          <w:sz w:val="18"/>
          <w:szCs w:val="18"/>
        </w:rPr>
        <w:t xml:space="preserve">Cyprus Port Authority, </w:t>
      </w:r>
      <w:r w:rsidR="00707AFE">
        <w:rPr>
          <w:rFonts w:ascii="Verdana" w:eastAsia="Malgun Gothic" w:hAnsi="Verdana" w:cs="Arial"/>
          <w:sz w:val="18"/>
          <w:szCs w:val="18"/>
        </w:rPr>
        <w:t>Sewerage</w:t>
      </w:r>
      <w:r w:rsidRPr="00032B52">
        <w:rPr>
          <w:rFonts w:ascii="Verdana" w:eastAsia="Malgun Gothic" w:hAnsi="Verdana" w:cs="Arial"/>
          <w:sz w:val="18"/>
          <w:szCs w:val="18"/>
        </w:rPr>
        <w:t xml:space="preserve"> Boards, Water Boards,</w:t>
      </w:r>
      <w:r w:rsidR="00175E05" w:rsidRPr="00175E05">
        <w:rPr>
          <w:rFonts w:ascii="Verdana" w:eastAsia="Malgun Gothic" w:hAnsi="Verdana" w:cs="Arial"/>
          <w:sz w:val="18"/>
          <w:szCs w:val="18"/>
        </w:rPr>
        <w:t xml:space="preserve"> </w:t>
      </w:r>
      <w:r w:rsidRPr="00E41922">
        <w:rPr>
          <w:rFonts w:ascii="Verdana" w:eastAsia="Malgun Gothic" w:hAnsi="Verdana" w:cs="Arial"/>
          <w:sz w:val="18"/>
          <w:szCs w:val="18"/>
        </w:rPr>
        <w:t>Forest Industries, Cyprus Stock Exchange, Home Finance Organization, Cyprus Potato</w:t>
      </w:r>
      <w:r w:rsidRPr="00032B52">
        <w:rPr>
          <w:rFonts w:ascii="Verdana" w:eastAsia="Malgun Gothic" w:hAnsi="Verdana" w:cs="Arial"/>
          <w:sz w:val="18"/>
          <w:szCs w:val="18"/>
        </w:rPr>
        <w:t xml:space="preserve"> Marketing Board, Cyprus Securities and Exchange Commission, Cyprus Land Development Corporation, Cyprus Scientific and Technical Chamber, Precious Metals Engraving Organization, Council for the Registration and Control of Building Contractors, Board for the Registration of the Real Estate Agencies, Council of Commercial Agents, Cyprus Certification Company and Health Insurance Organization.</w:t>
      </w:r>
    </w:p>
    <w:p w14:paraId="1C97D43A" w14:textId="41FD305B" w:rsidR="006C16A4" w:rsidRDefault="006C16A4" w:rsidP="006C16A4">
      <w:pPr>
        <w:jc w:val="both"/>
        <w:rPr>
          <w:rFonts w:ascii="Verdana" w:eastAsia="Malgun Gothic" w:hAnsi="Verdana" w:cs="Arial"/>
          <w:sz w:val="18"/>
          <w:szCs w:val="18"/>
        </w:rPr>
      </w:pPr>
    </w:p>
    <w:p w14:paraId="1858041E" w14:textId="423B414D" w:rsidR="00686D7A" w:rsidRPr="00686D7A" w:rsidRDefault="000B37AD" w:rsidP="006C16A4">
      <w:pPr>
        <w:jc w:val="both"/>
        <w:rPr>
          <w:rFonts w:ascii="Verdana" w:eastAsia="Malgun Gothic" w:hAnsi="Verdana" w:cs="Arial"/>
          <w:b/>
          <w:bCs/>
          <w:sz w:val="18"/>
          <w:szCs w:val="18"/>
          <w:u w:val="single"/>
        </w:rPr>
      </w:pPr>
      <w:bookmarkStart w:id="0" w:name="_Hlk121910920"/>
      <w:r>
        <w:rPr>
          <w:rFonts w:ascii="Verdana" w:eastAsia="Malgun Gothic" w:hAnsi="Verdana" w:cs="Arial"/>
          <w:b/>
          <w:bCs/>
          <w:sz w:val="18"/>
          <w:szCs w:val="18"/>
          <w:u w:val="single"/>
        </w:rPr>
        <w:t xml:space="preserve">Clarifications on the </w:t>
      </w:r>
      <w:r w:rsidR="002B3974">
        <w:rPr>
          <w:rFonts w:ascii="Verdana" w:eastAsia="Malgun Gothic" w:hAnsi="Verdana" w:cs="Arial"/>
          <w:b/>
          <w:bCs/>
          <w:sz w:val="18"/>
          <w:szCs w:val="18"/>
          <w:u w:val="single"/>
        </w:rPr>
        <w:t>C</w:t>
      </w:r>
      <w:r>
        <w:rPr>
          <w:rFonts w:ascii="Verdana" w:eastAsia="Malgun Gothic" w:hAnsi="Verdana" w:cs="Arial"/>
          <w:b/>
          <w:bCs/>
          <w:sz w:val="18"/>
          <w:szCs w:val="18"/>
          <w:u w:val="single"/>
        </w:rPr>
        <w:t xml:space="preserve">lassification of </w:t>
      </w:r>
      <w:r w:rsidR="002B3974">
        <w:rPr>
          <w:rFonts w:ascii="Verdana" w:eastAsia="Malgun Gothic" w:hAnsi="Verdana" w:cs="Arial"/>
          <w:b/>
          <w:bCs/>
          <w:sz w:val="18"/>
          <w:szCs w:val="18"/>
          <w:u w:val="single"/>
        </w:rPr>
        <w:t>E</w:t>
      </w:r>
      <w:r>
        <w:rPr>
          <w:rFonts w:ascii="Verdana" w:eastAsia="Malgun Gothic" w:hAnsi="Verdana" w:cs="Arial"/>
          <w:b/>
          <w:bCs/>
          <w:sz w:val="18"/>
          <w:szCs w:val="18"/>
          <w:u w:val="single"/>
        </w:rPr>
        <w:t xml:space="preserve">ntities </w:t>
      </w:r>
      <w:bookmarkEnd w:id="0"/>
    </w:p>
    <w:p w14:paraId="13736FED" w14:textId="77777777" w:rsidR="00686D7A" w:rsidRDefault="00686D7A" w:rsidP="006C16A4">
      <w:pPr>
        <w:jc w:val="both"/>
        <w:rPr>
          <w:rFonts w:ascii="Verdana" w:eastAsia="Malgun Gothic" w:hAnsi="Verdana" w:cs="Arial"/>
          <w:sz w:val="18"/>
          <w:szCs w:val="18"/>
        </w:rPr>
      </w:pPr>
    </w:p>
    <w:p w14:paraId="3F87E835" w14:textId="04936E4F" w:rsidR="00686D7A" w:rsidRDefault="00686D7A" w:rsidP="006C16A4">
      <w:pPr>
        <w:jc w:val="both"/>
        <w:rPr>
          <w:rFonts w:ascii="Verdana" w:eastAsia="Malgun Gothic" w:hAnsi="Verdana" w:cs="Arial"/>
          <w:sz w:val="18"/>
          <w:szCs w:val="18"/>
        </w:rPr>
      </w:pPr>
      <w:bookmarkStart w:id="1" w:name="_Hlk121910955"/>
      <w:r w:rsidRPr="00686D7A">
        <w:rPr>
          <w:rFonts w:ascii="Verdana" w:eastAsia="Malgun Gothic" w:hAnsi="Verdana" w:cs="Arial"/>
          <w:sz w:val="18"/>
          <w:szCs w:val="18"/>
        </w:rPr>
        <w:t>1. From the first quarter of 2015 onwards Fauna Fund, Human Resource Development Authority, Office of the Commissioner of Electr</w:t>
      </w:r>
      <w:r w:rsidR="003A6A31">
        <w:rPr>
          <w:rFonts w:ascii="Verdana" w:eastAsia="Malgun Gothic" w:hAnsi="Verdana" w:cs="Arial"/>
          <w:sz w:val="18"/>
          <w:szCs w:val="18"/>
        </w:rPr>
        <w:t>onic</w:t>
      </w:r>
      <w:r w:rsidRPr="00686D7A">
        <w:rPr>
          <w:rFonts w:ascii="Verdana" w:eastAsia="Malgun Gothic" w:hAnsi="Verdana" w:cs="Arial"/>
          <w:sz w:val="18"/>
          <w:szCs w:val="18"/>
        </w:rPr>
        <w:t xml:space="preserve"> Communications and Postal Regulation, Cyprus </w:t>
      </w:r>
      <w:proofErr w:type="spellStart"/>
      <w:r w:rsidRPr="00686D7A">
        <w:rPr>
          <w:rFonts w:ascii="Verdana" w:eastAsia="Malgun Gothic" w:hAnsi="Verdana" w:cs="Arial"/>
          <w:sz w:val="18"/>
          <w:szCs w:val="18"/>
        </w:rPr>
        <w:t>Radiotelevision</w:t>
      </w:r>
      <w:proofErr w:type="spellEnd"/>
      <w:r w:rsidRPr="00686D7A">
        <w:rPr>
          <w:rFonts w:ascii="Verdana" w:eastAsia="Malgun Gothic" w:hAnsi="Verdana" w:cs="Arial"/>
          <w:sz w:val="18"/>
          <w:szCs w:val="18"/>
        </w:rPr>
        <w:t xml:space="preserve"> Authority, Cyprus Energy </w:t>
      </w:r>
      <w:r w:rsidR="00AC414D" w:rsidRPr="00686D7A">
        <w:rPr>
          <w:rFonts w:ascii="Verdana" w:eastAsia="Malgun Gothic" w:hAnsi="Verdana" w:cs="Arial"/>
          <w:sz w:val="18"/>
          <w:szCs w:val="18"/>
        </w:rPr>
        <w:t>Regulatory</w:t>
      </w:r>
      <w:r w:rsidRPr="00686D7A">
        <w:rPr>
          <w:rFonts w:ascii="Verdana" w:eastAsia="Malgun Gothic" w:hAnsi="Verdana" w:cs="Arial"/>
          <w:sz w:val="18"/>
          <w:szCs w:val="18"/>
        </w:rPr>
        <w:t xml:space="preserve"> Authority, Pancyprian Refugees Union have been moved from Publicly Owned Enterprises and Companies to Non-Profit Organizations due to revision in the classification of the organizations. Cyprus Certification Company has moved to Publicly Owned Enterprises and Companies.</w:t>
      </w:r>
    </w:p>
    <w:p w14:paraId="59723DBB" w14:textId="77777777" w:rsidR="00686D7A" w:rsidRDefault="00686D7A" w:rsidP="006C16A4">
      <w:pPr>
        <w:jc w:val="both"/>
        <w:rPr>
          <w:rFonts w:ascii="Verdana" w:eastAsia="Malgun Gothic" w:hAnsi="Verdana" w:cs="Arial"/>
          <w:sz w:val="18"/>
          <w:szCs w:val="18"/>
        </w:rPr>
      </w:pPr>
    </w:p>
    <w:p w14:paraId="142AB446" w14:textId="468FCF42" w:rsidR="00C7292C" w:rsidRDefault="00686D7A" w:rsidP="006C16A4">
      <w:pPr>
        <w:jc w:val="both"/>
        <w:rPr>
          <w:rFonts w:ascii="Verdana" w:eastAsia="Malgun Gothic" w:hAnsi="Verdana" w:cs="Arial"/>
          <w:sz w:val="18"/>
          <w:szCs w:val="18"/>
        </w:rPr>
      </w:pPr>
      <w:r w:rsidRPr="00686D7A">
        <w:rPr>
          <w:rFonts w:ascii="Verdana" w:eastAsia="Malgun Gothic" w:hAnsi="Verdana" w:cs="Arial"/>
          <w:sz w:val="18"/>
          <w:szCs w:val="18"/>
        </w:rPr>
        <w:t xml:space="preserve">2. </w:t>
      </w:r>
      <w:r w:rsidR="00C7292C" w:rsidRPr="00686D7A">
        <w:rPr>
          <w:rFonts w:ascii="Verdana" w:eastAsia="Malgun Gothic" w:hAnsi="Verdana" w:cs="Arial"/>
          <w:sz w:val="18"/>
          <w:szCs w:val="18"/>
        </w:rPr>
        <w:t>From the first quarter of 20</w:t>
      </w:r>
      <w:r w:rsidR="00C7292C" w:rsidRPr="006C2A65">
        <w:rPr>
          <w:rFonts w:ascii="Verdana" w:eastAsia="Malgun Gothic" w:hAnsi="Verdana" w:cs="Arial"/>
          <w:sz w:val="18"/>
          <w:szCs w:val="18"/>
        </w:rPr>
        <w:t>1</w:t>
      </w:r>
      <w:r w:rsidR="00C7292C">
        <w:rPr>
          <w:rFonts w:ascii="Verdana" w:eastAsia="Malgun Gothic" w:hAnsi="Verdana" w:cs="Arial"/>
          <w:sz w:val="18"/>
          <w:szCs w:val="18"/>
        </w:rPr>
        <w:t xml:space="preserve">5 </w:t>
      </w:r>
      <w:r w:rsidR="00C7292C" w:rsidRPr="00686D7A">
        <w:rPr>
          <w:rFonts w:ascii="Verdana" w:eastAsia="Malgun Gothic" w:hAnsi="Verdana" w:cs="Arial"/>
          <w:sz w:val="18"/>
          <w:szCs w:val="18"/>
        </w:rPr>
        <w:t>the Cyprus Institute of Energy</w:t>
      </w:r>
      <w:r w:rsidR="00C7292C">
        <w:rPr>
          <w:rFonts w:ascii="Verdana" w:eastAsia="Malgun Gothic" w:hAnsi="Verdana" w:cs="Arial"/>
          <w:sz w:val="18"/>
          <w:szCs w:val="18"/>
        </w:rPr>
        <w:t xml:space="preserve"> </w:t>
      </w:r>
      <w:r w:rsidR="00C7292C" w:rsidRPr="00686D7A">
        <w:rPr>
          <w:rFonts w:ascii="Verdana" w:eastAsia="Malgun Gothic" w:hAnsi="Verdana" w:cs="Arial"/>
          <w:sz w:val="18"/>
          <w:szCs w:val="18"/>
        </w:rPr>
        <w:t>ha</w:t>
      </w:r>
      <w:r w:rsidR="00C7292C">
        <w:rPr>
          <w:rFonts w:ascii="Verdana" w:eastAsia="Malgun Gothic" w:hAnsi="Verdana" w:cs="Arial"/>
          <w:sz w:val="18"/>
          <w:szCs w:val="18"/>
        </w:rPr>
        <w:t>s</w:t>
      </w:r>
      <w:r w:rsidR="00C7292C" w:rsidRPr="00686D7A">
        <w:rPr>
          <w:rFonts w:ascii="Verdana" w:eastAsia="Malgun Gothic" w:hAnsi="Verdana" w:cs="Arial"/>
          <w:sz w:val="18"/>
          <w:szCs w:val="18"/>
        </w:rPr>
        <w:t xml:space="preserve"> been moved from </w:t>
      </w:r>
      <w:r w:rsidR="00C7292C" w:rsidRPr="00C7292C">
        <w:rPr>
          <w:rFonts w:ascii="Verdana" w:eastAsia="Malgun Gothic" w:hAnsi="Verdana" w:cs="Arial"/>
          <w:sz w:val="18"/>
          <w:szCs w:val="18"/>
        </w:rPr>
        <w:t>‘</w:t>
      </w:r>
      <w:r w:rsidR="00C7292C" w:rsidRPr="00686D7A">
        <w:rPr>
          <w:rFonts w:ascii="Verdana" w:eastAsia="Malgun Gothic" w:hAnsi="Verdana" w:cs="Arial"/>
          <w:sz w:val="18"/>
          <w:szCs w:val="18"/>
        </w:rPr>
        <w:t>Non-Profit Organizations</w:t>
      </w:r>
      <w:r w:rsidR="00C7292C" w:rsidRPr="00C7292C">
        <w:rPr>
          <w:rFonts w:ascii="Verdana" w:eastAsia="Malgun Gothic" w:hAnsi="Verdana" w:cs="Arial"/>
          <w:sz w:val="18"/>
          <w:szCs w:val="18"/>
        </w:rPr>
        <w:t>’</w:t>
      </w:r>
      <w:r w:rsidR="00C7292C" w:rsidRPr="00686D7A">
        <w:rPr>
          <w:rFonts w:ascii="Verdana" w:eastAsia="Malgun Gothic" w:hAnsi="Verdana" w:cs="Arial"/>
          <w:sz w:val="18"/>
          <w:szCs w:val="18"/>
        </w:rPr>
        <w:t xml:space="preserve"> to Government</w:t>
      </w:r>
      <w:r w:rsidR="00C7292C" w:rsidRPr="005C74FA">
        <w:rPr>
          <w:rFonts w:ascii="Verdana" w:eastAsia="Malgun Gothic" w:hAnsi="Verdana" w:cs="Arial"/>
          <w:sz w:val="18"/>
          <w:szCs w:val="18"/>
        </w:rPr>
        <w:t xml:space="preserve"> </w:t>
      </w:r>
      <w:r w:rsidR="00C7292C">
        <w:rPr>
          <w:rFonts w:ascii="Verdana" w:eastAsia="Malgun Gothic" w:hAnsi="Verdana" w:cs="Arial"/>
          <w:sz w:val="18"/>
          <w:szCs w:val="18"/>
        </w:rPr>
        <w:t>(Energy Service).</w:t>
      </w:r>
    </w:p>
    <w:p w14:paraId="0F01791C" w14:textId="77777777" w:rsidR="00C7292C" w:rsidRDefault="00C7292C" w:rsidP="006C16A4">
      <w:pPr>
        <w:jc w:val="both"/>
        <w:rPr>
          <w:rFonts w:ascii="Verdana" w:eastAsia="Malgun Gothic" w:hAnsi="Verdana" w:cs="Arial"/>
          <w:sz w:val="18"/>
          <w:szCs w:val="18"/>
        </w:rPr>
      </w:pPr>
    </w:p>
    <w:p w14:paraId="07B66D62" w14:textId="636B9C54" w:rsidR="00686D7A" w:rsidRDefault="00C7292C" w:rsidP="006C16A4">
      <w:pPr>
        <w:jc w:val="both"/>
        <w:rPr>
          <w:rFonts w:ascii="Verdana" w:eastAsia="Malgun Gothic" w:hAnsi="Verdana" w:cs="Arial"/>
          <w:sz w:val="18"/>
          <w:szCs w:val="18"/>
        </w:rPr>
      </w:pPr>
      <w:r w:rsidRPr="00C7292C">
        <w:rPr>
          <w:rFonts w:ascii="Verdana" w:eastAsia="Malgun Gothic" w:hAnsi="Verdana" w:cs="Arial"/>
          <w:sz w:val="18"/>
          <w:szCs w:val="18"/>
        </w:rPr>
        <w:t xml:space="preserve">3. </w:t>
      </w:r>
      <w:r w:rsidR="00686D7A" w:rsidRPr="00686D7A">
        <w:rPr>
          <w:rFonts w:ascii="Verdana" w:eastAsia="Malgun Gothic" w:hAnsi="Verdana" w:cs="Arial"/>
          <w:sz w:val="18"/>
          <w:szCs w:val="18"/>
        </w:rPr>
        <w:t>From the fourth quarter of 2018 in the 'Non-Profit organizations', Cyprus Asset Management Company Limited was included.</w:t>
      </w:r>
    </w:p>
    <w:p w14:paraId="14667D12" w14:textId="77777777" w:rsidR="00686D7A" w:rsidRDefault="00686D7A" w:rsidP="006C16A4">
      <w:pPr>
        <w:jc w:val="both"/>
        <w:rPr>
          <w:rFonts w:ascii="Verdana" w:eastAsia="Malgun Gothic" w:hAnsi="Verdana" w:cs="Arial"/>
          <w:sz w:val="18"/>
          <w:szCs w:val="18"/>
        </w:rPr>
      </w:pPr>
    </w:p>
    <w:p w14:paraId="2CA1B98D" w14:textId="17B6D5F1" w:rsidR="00686D7A" w:rsidRDefault="00175E05" w:rsidP="006C16A4">
      <w:pPr>
        <w:jc w:val="both"/>
        <w:rPr>
          <w:rFonts w:ascii="Verdana" w:eastAsia="Malgun Gothic" w:hAnsi="Verdana" w:cs="Arial"/>
          <w:sz w:val="18"/>
          <w:szCs w:val="18"/>
        </w:rPr>
      </w:pPr>
      <w:r w:rsidRPr="00175E05">
        <w:rPr>
          <w:rFonts w:ascii="Verdana" w:eastAsia="Malgun Gothic" w:hAnsi="Verdana" w:cs="Arial"/>
          <w:sz w:val="18"/>
          <w:szCs w:val="18"/>
        </w:rPr>
        <w:t>4</w:t>
      </w:r>
      <w:r w:rsidR="00686D7A" w:rsidRPr="00686D7A">
        <w:rPr>
          <w:rFonts w:ascii="Verdana" w:eastAsia="Malgun Gothic" w:hAnsi="Verdana" w:cs="Arial"/>
          <w:sz w:val="18"/>
          <w:szCs w:val="18"/>
        </w:rPr>
        <w:t xml:space="preserve">. From the first quarter of 2019 in the 'Non-Profit Organizations', the State Health Services </w:t>
      </w:r>
      <w:r w:rsidR="00AC414D" w:rsidRPr="00686D7A">
        <w:rPr>
          <w:rFonts w:ascii="Verdana" w:eastAsia="Malgun Gothic" w:hAnsi="Verdana" w:cs="Arial"/>
          <w:sz w:val="18"/>
          <w:szCs w:val="18"/>
        </w:rPr>
        <w:t>Organization</w:t>
      </w:r>
      <w:r w:rsidR="00686D7A" w:rsidRPr="00686D7A">
        <w:rPr>
          <w:rFonts w:ascii="Verdana" w:eastAsia="Malgun Gothic" w:hAnsi="Verdana" w:cs="Arial"/>
          <w:sz w:val="18"/>
          <w:szCs w:val="18"/>
        </w:rPr>
        <w:t xml:space="preserve"> was included.</w:t>
      </w:r>
    </w:p>
    <w:p w14:paraId="5C3A3612" w14:textId="77777777" w:rsidR="00174EEB" w:rsidRDefault="00174EEB" w:rsidP="006C16A4">
      <w:pPr>
        <w:jc w:val="both"/>
        <w:rPr>
          <w:rFonts w:ascii="Verdana" w:eastAsia="Malgun Gothic" w:hAnsi="Verdana" w:cs="Arial"/>
          <w:sz w:val="18"/>
          <w:szCs w:val="18"/>
        </w:rPr>
      </w:pPr>
    </w:p>
    <w:p w14:paraId="1DFD4117" w14:textId="6F885577" w:rsidR="00174EEB" w:rsidRPr="005C74FA" w:rsidRDefault="00174EEB" w:rsidP="00174EEB">
      <w:pPr>
        <w:jc w:val="both"/>
        <w:rPr>
          <w:rFonts w:ascii="Verdana" w:eastAsia="Malgun Gothic" w:hAnsi="Verdana" w:cs="Arial"/>
          <w:sz w:val="18"/>
          <w:szCs w:val="18"/>
        </w:rPr>
      </w:pPr>
      <w:r w:rsidRPr="00174EEB">
        <w:rPr>
          <w:rFonts w:ascii="Verdana" w:eastAsia="Malgun Gothic" w:hAnsi="Verdana" w:cs="Arial"/>
          <w:sz w:val="18"/>
          <w:szCs w:val="18"/>
        </w:rPr>
        <w:t>5</w:t>
      </w:r>
      <w:r w:rsidRPr="00686D7A">
        <w:rPr>
          <w:rFonts w:ascii="Verdana" w:eastAsia="Malgun Gothic" w:hAnsi="Verdana" w:cs="Arial"/>
          <w:sz w:val="18"/>
          <w:szCs w:val="18"/>
        </w:rPr>
        <w:t>. From the first quarter of 20</w:t>
      </w:r>
      <w:r w:rsidRPr="006C2A65">
        <w:rPr>
          <w:rFonts w:ascii="Verdana" w:eastAsia="Malgun Gothic" w:hAnsi="Verdana" w:cs="Arial"/>
          <w:sz w:val="18"/>
          <w:szCs w:val="18"/>
        </w:rPr>
        <w:t>19</w:t>
      </w:r>
      <w:r w:rsidRPr="00686D7A">
        <w:rPr>
          <w:rFonts w:ascii="Verdana" w:eastAsia="Malgun Gothic" w:hAnsi="Verdana" w:cs="Arial"/>
          <w:sz w:val="18"/>
          <w:szCs w:val="18"/>
        </w:rPr>
        <w:t xml:space="preserve"> </w:t>
      </w:r>
      <w:r>
        <w:rPr>
          <w:rFonts w:ascii="Verdana" w:eastAsia="Malgun Gothic" w:hAnsi="Verdana" w:cs="Arial"/>
          <w:sz w:val="18"/>
          <w:szCs w:val="18"/>
        </w:rPr>
        <w:t>t</w:t>
      </w:r>
      <w:r w:rsidRPr="00686D7A">
        <w:rPr>
          <w:rFonts w:ascii="Verdana" w:eastAsia="Malgun Gothic" w:hAnsi="Verdana" w:cs="Arial"/>
          <w:sz w:val="18"/>
          <w:szCs w:val="18"/>
        </w:rPr>
        <w:t>he Cyprus Tourism Organization</w:t>
      </w:r>
      <w:r>
        <w:rPr>
          <w:rFonts w:ascii="Verdana" w:eastAsia="Malgun Gothic" w:hAnsi="Verdana" w:cs="Arial"/>
          <w:sz w:val="18"/>
          <w:szCs w:val="18"/>
        </w:rPr>
        <w:t xml:space="preserve"> </w:t>
      </w:r>
      <w:r w:rsidRPr="00686D7A">
        <w:rPr>
          <w:rFonts w:ascii="Verdana" w:eastAsia="Malgun Gothic" w:hAnsi="Verdana" w:cs="Arial"/>
          <w:sz w:val="18"/>
          <w:szCs w:val="18"/>
        </w:rPr>
        <w:t>ha</w:t>
      </w:r>
      <w:r>
        <w:rPr>
          <w:rFonts w:ascii="Verdana" w:eastAsia="Malgun Gothic" w:hAnsi="Verdana" w:cs="Arial"/>
          <w:sz w:val="18"/>
          <w:szCs w:val="18"/>
        </w:rPr>
        <w:t>s</w:t>
      </w:r>
      <w:r w:rsidRPr="00686D7A">
        <w:rPr>
          <w:rFonts w:ascii="Verdana" w:eastAsia="Malgun Gothic" w:hAnsi="Verdana" w:cs="Arial"/>
          <w:sz w:val="18"/>
          <w:szCs w:val="18"/>
        </w:rPr>
        <w:t xml:space="preserve"> been moved from </w:t>
      </w:r>
      <w:r w:rsidRPr="00C7292C">
        <w:rPr>
          <w:rFonts w:ascii="Verdana" w:eastAsia="Malgun Gothic" w:hAnsi="Verdana" w:cs="Arial"/>
          <w:sz w:val="18"/>
          <w:szCs w:val="18"/>
        </w:rPr>
        <w:t>‘</w:t>
      </w:r>
      <w:r w:rsidRPr="00686D7A">
        <w:rPr>
          <w:rFonts w:ascii="Verdana" w:eastAsia="Malgun Gothic" w:hAnsi="Verdana" w:cs="Arial"/>
          <w:sz w:val="18"/>
          <w:szCs w:val="18"/>
        </w:rPr>
        <w:t>Non-Profit Organizations</w:t>
      </w:r>
      <w:r w:rsidRPr="00C7292C">
        <w:rPr>
          <w:rFonts w:ascii="Verdana" w:eastAsia="Malgun Gothic" w:hAnsi="Verdana" w:cs="Arial"/>
          <w:sz w:val="18"/>
          <w:szCs w:val="18"/>
        </w:rPr>
        <w:t>’</w:t>
      </w:r>
      <w:r w:rsidRPr="00686D7A">
        <w:rPr>
          <w:rFonts w:ascii="Verdana" w:eastAsia="Malgun Gothic" w:hAnsi="Verdana" w:cs="Arial"/>
          <w:sz w:val="18"/>
          <w:szCs w:val="18"/>
        </w:rPr>
        <w:t xml:space="preserve"> to Government</w:t>
      </w:r>
      <w:r w:rsidRPr="005C74FA">
        <w:rPr>
          <w:rFonts w:ascii="Verdana" w:eastAsia="Malgun Gothic" w:hAnsi="Verdana" w:cs="Arial"/>
          <w:sz w:val="18"/>
          <w:szCs w:val="18"/>
        </w:rPr>
        <w:t xml:space="preserve"> </w:t>
      </w:r>
      <w:r>
        <w:rPr>
          <w:rFonts w:ascii="Verdana" w:eastAsia="Malgun Gothic" w:hAnsi="Verdana" w:cs="Arial"/>
          <w:sz w:val="18"/>
          <w:szCs w:val="18"/>
        </w:rPr>
        <w:t>(Deputy Ministry of Tourism).</w:t>
      </w:r>
    </w:p>
    <w:p w14:paraId="59FFF920" w14:textId="77777777" w:rsidR="00175E05" w:rsidRDefault="00175E05" w:rsidP="006C16A4">
      <w:pPr>
        <w:jc w:val="both"/>
        <w:rPr>
          <w:rFonts w:ascii="Verdana" w:eastAsia="Malgun Gothic" w:hAnsi="Verdana" w:cs="Arial"/>
          <w:sz w:val="18"/>
          <w:szCs w:val="18"/>
        </w:rPr>
      </w:pPr>
    </w:p>
    <w:p w14:paraId="1B1307E5" w14:textId="6BC8B74D" w:rsidR="00174EEB" w:rsidRDefault="00174EEB" w:rsidP="00174EEB">
      <w:pPr>
        <w:jc w:val="both"/>
        <w:rPr>
          <w:rFonts w:ascii="Verdana" w:eastAsia="Malgun Gothic" w:hAnsi="Verdana" w:cs="Arial"/>
          <w:sz w:val="18"/>
          <w:szCs w:val="18"/>
        </w:rPr>
      </w:pPr>
      <w:r w:rsidRPr="00174EEB">
        <w:rPr>
          <w:rFonts w:ascii="Verdana" w:eastAsia="Malgun Gothic" w:hAnsi="Verdana" w:cs="Arial"/>
          <w:sz w:val="18"/>
          <w:szCs w:val="18"/>
        </w:rPr>
        <w:t>6</w:t>
      </w:r>
      <w:r>
        <w:rPr>
          <w:rFonts w:ascii="Verdana" w:eastAsia="Malgun Gothic" w:hAnsi="Verdana" w:cs="Arial"/>
          <w:sz w:val="18"/>
          <w:szCs w:val="18"/>
        </w:rPr>
        <w:t xml:space="preserve">. </w:t>
      </w:r>
      <w:r w:rsidRPr="00686D7A">
        <w:rPr>
          <w:rFonts w:ascii="Verdana" w:eastAsia="Malgun Gothic" w:hAnsi="Verdana" w:cs="Arial"/>
          <w:sz w:val="18"/>
          <w:szCs w:val="18"/>
        </w:rPr>
        <w:t>From the first quarter of 20</w:t>
      </w:r>
      <w:r>
        <w:rPr>
          <w:rFonts w:ascii="Verdana" w:eastAsia="Malgun Gothic" w:hAnsi="Verdana" w:cs="Arial"/>
          <w:sz w:val="18"/>
          <w:szCs w:val="18"/>
        </w:rPr>
        <w:t xml:space="preserve">20 </w:t>
      </w:r>
      <w:r w:rsidRPr="00686D7A">
        <w:rPr>
          <w:rFonts w:ascii="Verdana" w:eastAsia="Malgun Gothic" w:hAnsi="Verdana" w:cs="Arial"/>
          <w:sz w:val="18"/>
          <w:szCs w:val="18"/>
        </w:rPr>
        <w:t>the Cyprus Cultural Foundation ha</w:t>
      </w:r>
      <w:r>
        <w:rPr>
          <w:rFonts w:ascii="Verdana" w:eastAsia="Malgun Gothic" w:hAnsi="Verdana" w:cs="Arial"/>
          <w:sz w:val="18"/>
          <w:szCs w:val="18"/>
        </w:rPr>
        <w:t>s</w:t>
      </w:r>
      <w:r w:rsidRPr="00686D7A">
        <w:rPr>
          <w:rFonts w:ascii="Verdana" w:eastAsia="Malgun Gothic" w:hAnsi="Verdana" w:cs="Arial"/>
          <w:sz w:val="18"/>
          <w:szCs w:val="18"/>
        </w:rPr>
        <w:t xml:space="preserve"> been moved from </w:t>
      </w:r>
      <w:r w:rsidRPr="00C7292C">
        <w:rPr>
          <w:rFonts w:ascii="Verdana" w:eastAsia="Malgun Gothic" w:hAnsi="Verdana" w:cs="Arial"/>
          <w:sz w:val="18"/>
          <w:szCs w:val="18"/>
        </w:rPr>
        <w:t>‘</w:t>
      </w:r>
      <w:r w:rsidRPr="00686D7A">
        <w:rPr>
          <w:rFonts w:ascii="Verdana" w:eastAsia="Malgun Gothic" w:hAnsi="Verdana" w:cs="Arial"/>
          <w:sz w:val="18"/>
          <w:szCs w:val="18"/>
        </w:rPr>
        <w:t>Non-Profit Organizations</w:t>
      </w:r>
      <w:r w:rsidRPr="00C7292C">
        <w:rPr>
          <w:rFonts w:ascii="Verdana" w:eastAsia="Malgun Gothic" w:hAnsi="Verdana" w:cs="Arial"/>
          <w:sz w:val="18"/>
          <w:szCs w:val="18"/>
        </w:rPr>
        <w:t>’</w:t>
      </w:r>
      <w:r w:rsidRPr="00686D7A">
        <w:rPr>
          <w:rFonts w:ascii="Verdana" w:eastAsia="Malgun Gothic" w:hAnsi="Verdana" w:cs="Arial"/>
          <w:sz w:val="18"/>
          <w:szCs w:val="18"/>
        </w:rPr>
        <w:t xml:space="preserve"> to Government</w:t>
      </w:r>
      <w:r>
        <w:rPr>
          <w:rFonts w:ascii="Verdana" w:eastAsia="Malgun Gothic" w:hAnsi="Verdana" w:cs="Arial"/>
          <w:sz w:val="18"/>
          <w:szCs w:val="18"/>
        </w:rPr>
        <w:t>.</w:t>
      </w:r>
    </w:p>
    <w:p w14:paraId="0E2D081A" w14:textId="77777777" w:rsidR="00174EEB" w:rsidRDefault="00174EEB" w:rsidP="00174EEB">
      <w:pPr>
        <w:jc w:val="both"/>
        <w:rPr>
          <w:rFonts w:ascii="Verdana" w:eastAsia="Malgun Gothic" w:hAnsi="Verdana" w:cs="Arial"/>
          <w:sz w:val="18"/>
          <w:szCs w:val="18"/>
        </w:rPr>
      </w:pPr>
    </w:p>
    <w:p w14:paraId="41332E26" w14:textId="002C68B4" w:rsidR="005C74FA" w:rsidRDefault="00174EEB" w:rsidP="00174EEB">
      <w:pPr>
        <w:jc w:val="both"/>
        <w:rPr>
          <w:rFonts w:ascii="Verdana" w:eastAsia="Malgun Gothic" w:hAnsi="Verdana" w:cs="Arial"/>
          <w:sz w:val="18"/>
          <w:szCs w:val="18"/>
        </w:rPr>
      </w:pPr>
      <w:r w:rsidRPr="00174EEB">
        <w:rPr>
          <w:rFonts w:ascii="Verdana" w:eastAsia="Malgun Gothic" w:hAnsi="Verdana" w:cs="Arial"/>
          <w:sz w:val="18"/>
          <w:szCs w:val="18"/>
        </w:rPr>
        <w:t>7</w:t>
      </w:r>
      <w:r w:rsidR="00175E05">
        <w:rPr>
          <w:rFonts w:ascii="Verdana" w:eastAsia="Malgun Gothic" w:hAnsi="Verdana" w:cs="Arial"/>
          <w:sz w:val="18"/>
          <w:szCs w:val="18"/>
        </w:rPr>
        <w:t xml:space="preserve">. </w:t>
      </w:r>
      <w:r w:rsidR="00175E05" w:rsidRPr="00686D7A">
        <w:rPr>
          <w:rFonts w:ascii="Verdana" w:eastAsia="Malgun Gothic" w:hAnsi="Verdana" w:cs="Arial"/>
          <w:sz w:val="18"/>
          <w:szCs w:val="18"/>
        </w:rPr>
        <w:t xml:space="preserve">From the </w:t>
      </w:r>
      <w:r w:rsidR="00175E05">
        <w:rPr>
          <w:rFonts w:ascii="Verdana" w:eastAsia="Malgun Gothic" w:hAnsi="Verdana" w:cs="Arial"/>
          <w:sz w:val="18"/>
          <w:szCs w:val="18"/>
        </w:rPr>
        <w:t>third</w:t>
      </w:r>
      <w:r w:rsidR="00175E05" w:rsidRPr="00686D7A">
        <w:rPr>
          <w:rFonts w:ascii="Verdana" w:eastAsia="Malgun Gothic" w:hAnsi="Verdana" w:cs="Arial"/>
          <w:sz w:val="18"/>
          <w:szCs w:val="18"/>
        </w:rPr>
        <w:t xml:space="preserve"> quarter of 20</w:t>
      </w:r>
      <w:r w:rsidR="00175E05">
        <w:rPr>
          <w:rFonts w:ascii="Verdana" w:eastAsia="Malgun Gothic" w:hAnsi="Verdana" w:cs="Arial"/>
          <w:sz w:val="18"/>
          <w:szCs w:val="18"/>
        </w:rPr>
        <w:t xml:space="preserve">19 the </w:t>
      </w:r>
      <w:r w:rsidR="00175E05" w:rsidRPr="00686D7A">
        <w:rPr>
          <w:rFonts w:ascii="Verdana" w:eastAsia="Malgun Gothic" w:hAnsi="Verdana" w:cs="Arial"/>
          <w:sz w:val="18"/>
          <w:szCs w:val="18"/>
        </w:rPr>
        <w:t>Agricultural Insurance Organization ha</w:t>
      </w:r>
      <w:r w:rsidR="00175E05">
        <w:rPr>
          <w:rFonts w:ascii="Verdana" w:eastAsia="Malgun Gothic" w:hAnsi="Verdana" w:cs="Arial"/>
          <w:sz w:val="18"/>
          <w:szCs w:val="18"/>
        </w:rPr>
        <w:t>s</w:t>
      </w:r>
      <w:r w:rsidR="00175E05" w:rsidRPr="00686D7A">
        <w:rPr>
          <w:rFonts w:ascii="Verdana" w:eastAsia="Malgun Gothic" w:hAnsi="Verdana" w:cs="Arial"/>
          <w:sz w:val="18"/>
          <w:szCs w:val="18"/>
        </w:rPr>
        <w:t xml:space="preserve"> been moved from </w:t>
      </w:r>
      <w:r w:rsidR="00175E05" w:rsidRPr="00C7292C">
        <w:rPr>
          <w:rFonts w:ascii="Verdana" w:eastAsia="Malgun Gothic" w:hAnsi="Verdana" w:cs="Arial"/>
          <w:sz w:val="18"/>
          <w:szCs w:val="18"/>
        </w:rPr>
        <w:t>‘</w:t>
      </w:r>
      <w:r w:rsidR="00175E05" w:rsidRPr="00686D7A">
        <w:rPr>
          <w:rFonts w:ascii="Verdana" w:eastAsia="Malgun Gothic" w:hAnsi="Verdana" w:cs="Arial"/>
          <w:sz w:val="18"/>
          <w:szCs w:val="18"/>
        </w:rPr>
        <w:t>Non-Profit Organizations</w:t>
      </w:r>
      <w:r w:rsidR="00175E05" w:rsidRPr="00C7292C">
        <w:rPr>
          <w:rFonts w:ascii="Verdana" w:eastAsia="Malgun Gothic" w:hAnsi="Verdana" w:cs="Arial"/>
          <w:sz w:val="18"/>
          <w:szCs w:val="18"/>
        </w:rPr>
        <w:t>’</w:t>
      </w:r>
      <w:r w:rsidR="00175E05" w:rsidRPr="00686D7A">
        <w:rPr>
          <w:rFonts w:ascii="Verdana" w:eastAsia="Malgun Gothic" w:hAnsi="Verdana" w:cs="Arial"/>
          <w:sz w:val="18"/>
          <w:szCs w:val="18"/>
        </w:rPr>
        <w:t xml:space="preserve"> to Government.</w:t>
      </w:r>
    </w:p>
    <w:p w14:paraId="2F0EE575" w14:textId="77777777" w:rsidR="00686D7A" w:rsidRDefault="00686D7A" w:rsidP="006C16A4">
      <w:pPr>
        <w:jc w:val="both"/>
        <w:rPr>
          <w:rFonts w:ascii="Verdana" w:eastAsia="Malgun Gothic" w:hAnsi="Verdana" w:cs="Arial"/>
          <w:sz w:val="18"/>
          <w:szCs w:val="18"/>
        </w:rPr>
      </w:pPr>
    </w:p>
    <w:p w14:paraId="2934D945" w14:textId="0B841007" w:rsidR="00686D7A" w:rsidRDefault="00175E05" w:rsidP="006C16A4">
      <w:pPr>
        <w:jc w:val="both"/>
        <w:rPr>
          <w:rFonts w:ascii="Verdana" w:eastAsia="Malgun Gothic" w:hAnsi="Verdana" w:cs="Arial"/>
          <w:sz w:val="18"/>
          <w:szCs w:val="18"/>
        </w:rPr>
      </w:pPr>
      <w:r w:rsidRPr="00175E05">
        <w:rPr>
          <w:rFonts w:ascii="Verdana" w:eastAsia="Malgun Gothic" w:hAnsi="Verdana" w:cs="Arial"/>
          <w:sz w:val="18"/>
          <w:szCs w:val="18"/>
        </w:rPr>
        <w:t>8</w:t>
      </w:r>
      <w:r w:rsidR="00686D7A" w:rsidRPr="00686D7A">
        <w:rPr>
          <w:rFonts w:ascii="Verdana" w:eastAsia="Malgun Gothic" w:hAnsi="Verdana" w:cs="Arial"/>
          <w:sz w:val="18"/>
          <w:szCs w:val="18"/>
        </w:rPr>
        <w:t xml:space="preserve">. </w:t>
      </w:r>
      <w:r w:rsidR="00C7292C" w:rsidRPr="00686D7A">
        <w:rPr>
          <w:rFonts w:ascii="Verdana" w:eastAsia="Malgun Gothic" w:hAnsi="Verdana" w:cs="Arial"/>
          <w:sz w:val="18"/>
          <w:szCs w:val="18"/>
        </w:rPr>
        <w:t xml:space="preserve">From the </w:t>
      </w:r>
      <w:r w:rsidR="00C7292C">
        <w:rPr>
          <w:rFonts w:ascii="Verdana" w:eastAsia="Malgun Gothic" w:hAnsi="Verdana" w:cs="Arial"/>
          <w:sz w:val="18"/>
          <w:szCs w:val="18"/>
        </w:rPr>
        <w:t>third</w:t>
      </w:r>
      <w:r w:rsidR="00C7292C" w:rsidRPr="00686D7A">
        <w:rPr>
          <w:rFonts w:ascii="Verdana" w:eastAsia="Malgun Gothic" w:hAnsi="Verdana" w:cs="Arial"/>
          <w:sz w:val="18"/>
          <w:szCs w:val="18"/>
        </w:rPr>
        <w:t xml:space="preserve"> quarter of 20</w:t>
      </w:r>
      <w:r w:rsidR="00C7292C">
        <w:rPr>
          <w:rFonts w:ascii="Verdana" w:eastAsia="Malgun Gothic" w:hAnsi="Verdana" w:cs="Arial"/>
          <w:sz w:val="18"/>
          <w:szCs w:val="18"/>
        </w:rPr>
        <w:t>20 t</w:t>
      </w:r>
      <w:r w:rsidR="00686D7A" w:rsidRPr="00686D7A">
        <w:rPr>
          <w:rFonts w:ascii="Verdana" w:eastAsia="Malgun Gothic" w:hAnsi="Verdana" w:cs="Arial"/>
          <w:sz w:val="18"/>
          <w:szCs w:val="18"/>
        </w:rPr>
        <w:t xml:space="preserve">he Grain Commission has been moved from </w:t>
      </w:r>
      <w:r w:rsidR="00C7292C" w:rsidRPr="00C7292C">
        <w:rPr>
          <w:rFonts w:ascii="Verdana" w:eastAsia="Malgun Gothic" w:hAnsi="Verdana" w:cs="Arial"/>
          <w:sz w:val="18"/>
          <w:szCs w:val="18"/>
        </w:rPr>
        <w:t>‘</w:t>
      </w:r>
      <w:r w:rsidR="00686D7A" w:rsidRPr="00686D7A">
        <w:rPr>
          <w:rFonts w:ascii="Verdana" w:eastAsia="Malgun Gothic" w:hAnsi="Verdana" w:cs="Arial"/>
          <w:sz w:val="18"/>
          <w:szCs w:val="18"/>
        </w:rPr>
        <w:t>Publicly Owned Enterprises and Companies</w:t>
      </w:r>
      <w:r w:rsidR="00C7292C" w:rsidRPr="00C7292C">
        <w:rPr>
          <w:rFonts w:ascii="Verdana" w:eastAsia="Malgun Gothic" w:hAnsi="Verdana" w:cs="Arial"/>
          <w:sz w:val="18"/>
          <w:szCs w:val="18"/>
        </w:rPr>
        <w:t>’</w:t>
      </w:r>
      <w:r w:rsidR="00686D7A" w:rsidRPr="00686D7A">
        <w:rPr>
          <w:rFonts w:ascii="Verdana" w:eastAsia="Malgun Gothic" w:hAnsi="Verdana" w:cs="Arial"/>
          <w:sz w:val="18"/>
          <w:szCs w:val="18"/>
        </w:rPr>
        <w:t xml:space="preserve"> to </w:t>
      </w:r>
      <w:r w:rsidR="00AC414D" w:rsidRPr="00686D7A">
        <w:rPr>
          <w:rFonts w:ascii="Verdana" w:eastAsia="Malgun Gothic" w:hAnsi="Verdana" w:cs="Arial"/>
          <w:sz w:val="18"/>
          <w:szCs w:val="18"/>
        </w:rPr>
        <w:t>Government</w:t>
      </w:r>
      <w:r w:rsidR="00686D7A" w:rsidRPr="00686D7A">
        <w:rPr>
          <w:rFonts w:ascii="Verdana" w:eastAsia="Malgun Gothic" w:hAnsi="Verdana" w:cs="Arial"/>
          <w:sz w:val="18"/>
          <w:szCs w:val="18"/>
        </w:rPr>
        <w:t>.</w:t>
      </w:r>
    </w:p>
    <w:p w14:paraId="6467A539" w14:textId="77777777" w:rsidR="00175E05" w:rsidRDefault="00175E05" w:rsidP="006C16A4">
      <w:pPr>
        <w:jc w:val="both"/>
        <w:rPr>
          <w:rFonts w:ascii="Verdana" w:eastAsia="Malgun Gothic" w:hAnsi="Verdana" w:cs="Arial"/>
          <w:sz w:val="18"/>
          <w:szCs w:val="18"/>
        </w:rPr>
      </w:pPr>
    </w:p>
    <w:p w14:paraId="4B62E2A4" w14:textId="4A329D15" w:rsidR="00175E05" w:rsidRDefault="00175E05" w:rsidP="00175E05">
      <w:pPr>
        <w:jc w:val="both"/>
        <w:rPr>
          <w:rFonts w:ascii="Verdana" w:eastAsia="Malgun Gothic" w:hAnsi="Verdana" w:cs="Arial"/>
          <w:sz w:val="18"/>
          <w:szCs w:val="18"/>
        </w:rPr>
      </w:pPr>
      <w:r w:rsidRPr="00175E05">
        <w:rPr>
          <w:rFonts w:ascii="Verdana" w:eastAsia="Malgun Gothic" w:hAnsi="Verdana" w:cs="Arial"/>
          <w:sz w:val="18"/>
          <w:szCs w:val="18"/>
        </w:rPr>
        <w:t>9</w:t>
      </w:r>
      <w:r w:rsidRPr="00686D7A">
        <w:rPr>
          <w:rFonts w:ascii="Verdana" w:eastAsia="Malgun Gothic" w:hAnsi="Verdana" w:cs="Arial"/>
          <w:sz w:val="18"/>
          <w:szCs w:val="18"/>
        </w:rPr>
        <w:t>. From the first quarter of 2022 in the 'Non-Profit organizations', the National Betting Authority was included</w:t>
      </w:r>
      <w:r w:rsidRPr="00175E05">
        <w:rPr>
          <w:rFonts w:ascii="Verdana" w:eastAsia="Malgun Gothic" w:hAnsi="Verdana" w:cs="Arial"/>
          <w:sz w:val="18"/>
          <w:szCs w:val="18"/>
        </w:rPr>
        <w:t>.</w:t>
      </w:r>
    </w:p>
    <w:p w14:paraId="1890E420" w14:textId="77777777" w:rsidR="00CD15DB" w:rsidRDefault="00CD15DB" w:rsidP="00175E05">
      <w:pPr>
        <w:jc w:val="both"/>
        <w:rPr>
          <w:rFonts w:ascii="Verdana" w:eastAsia="Malgun Gothic" w:hAnsi="Verdana" w:cs="Arial"/>
          <w:sz w:val="18"/>
          <w:szCs w:val="18"/>
        </w:rPr>
      </w:pPr>
    </w:p>
    <w:p w14:paraId="688AB089" w14:textId="679FDB1C" w:rsidR="00CD15DB" w:rsidRPr="008D79BE" w:rsidRDefault="00CD15DB" w:rsidP="00175E05">
      <w:pPr>
        <w:jc w:val="both"/>
        <w:rPr>
          <w:rFonts w:ascii="Verdana" w:eastAsia="Malgun Gothic" w:hAnsi="Verdana" w:cs="Arial"/>
          <w:sz w:val="18"/>
          <w:szCs w:val="18"/>
        </w:rPr>
      </w:pPr>
      <w:r w:rsidRPr="008D79BE">
        <w:rPr>
          <w:rFonts w:ascii="Verdana" w:eastAsia="Malgun Gothic" w:hAnsi="Verdana" w:cs="Arial"/>
          <w:sz w:val="18"/>
          <w:szCs w:val="18"/>
        </w:rPr>
        <w:lastRenderedPageBreak/>
        <w:t xml:space="preserve">10. From the third quarter of 2024 </w:t>
      </w:r>
      <w:r w:rsidR="00707AFE" w:rsidRPr="008D79BE">
        <w:rPr>
          <w:rFonts w:ascii="Verdana" w:eastAsia="Malgun Gothic" w:hAnsi="Verdana" w:cs="Arial"/>
          <w:sz w:val="18"/>
          <w:szCs w:val="18"/>
        </w:rPr>
        <w:t>the newly established District Local Government Organisations</w:t>
      </w:r>
      <w:r w:rsidR="009675F7" w:rsidRPr="008D79BE">
        <w:rPr>
          <w:rFonts w:ascii="Verdana" w:eastAsia="Malgun Gothic" w:hAnsi="Verdana" w:cs="Arial"/>
          <w:sz w:val="18"/>
          <w:szCs w:val="18"/>
        </w:rPr>
        <w:t xml:space="preserve"> (DLGOs)</w:t>
      </w:r>
      <w:r w:rsidR="00707AFE" w:rsidRPr="008D79BE">
        <w:rPr>
          <w:rFonts w:ascii="Verdana" w:eastAsia="Malgun Gothic" w:hAnsi="Verdana" w:cs="Arial"/>
          <w:sz w:val="18"/>
          <w:szCs w:val="18"/>
        </w:rPr>
        <w:t xml:space="preserve"> have been added </w:t>
      </w:r>
      <w:r w:rsidRPr="008D79BE">
        <w:rPr>
          <w:rFonts w:ascii="Verdana" w:eastAsia="Malgun Gothic" w:hAnsi="Verdana" w:cs="Arial"/>
          <w:sz w:val="18"/>
          <w:szCs w:val="18"/>
        </w:rPr>
        <w:t>in ‘Local Authorities’</w:t>
      </w:r>
      <w:r w:rsidR="00707AFE" w:rsidRPr="008D79BE">
        <w:rPr>
          <w:rFonts w:ascii="Verdana" w:eastAsia="Malgun Gothic" w:hAnsi="Verdana" w:cs="Arial"/>
          <w:sz w:val="18"/>
          <w:szCs w:val="18"/>
        </w:rPr>
        <w:t xml:space="preserve">. Activities of </w:t>
      </w:r>
      <w:r w:rsidRPr="008D79BE">
        <w:rPr>
          <w:rFonts w:ascii="Verdana" w:eastAsia="Malgun Gothic" w:hAnsi="Verdana" w:cs="Arial"/>
          <w:sz w:val="18"/>
          <w:szCs w:val="18"/>
        </w:rPr>
        <w:t>Sew</w:t>
      </w:r>
      <w:r w:rsidR="00707AFE" w:rsidRPr="008D79BE">
        <w:rPr>
          <w:rFonts w:ascii="Verdana" w:eastAsia="Malgun Gothic" w:hAnsi="Verdana" w:cs="Arial"/>
          <w:sz w:val="18"/>
          <w:szCs w:val="18"/>
        </w:rPr>
        <w:t>er</w:t>
      </w:r>
      <w:r w:rsidRPr="008D79BE">
        <w:rPr>
          <w:rFonts w:ascii="Verdana" w:eastAsia="Malgun Gothic" w:hAnsi="Verdana" w:cs="Arial"/>
          <w:sz w:val="18"/>
          <w:szCs w:val="18"/>
        </w:rPr>
        <w:t xml:space="preserve">age </w:t>
      </w:r>
      <w:r w:rsidR="00707AFE" w:rsidRPr="008D79BE">
        <w:rPr>
          <w:rFonts w:ascii="Verdana" w:eastAsia="Malgun Gothic" w:hAnsi="Verdana" w:cs="Arial"/>
          <w:sz w:val="18"/>
          <w:szCs w:val="18"/>
        </w:rPr>
        <w:t xml:space="preserve">Boards </w:t>
      </w:r>
      <w:r w:rsidRPr="008D79BE">
        <w:rPr>
          <w:rFonts w:ascii="Verdana" w:eastAsia="Malgun Gothic" w:hAnsi="Verdana" w:cs="Arial"/>
          <w:sz w:val="18"/>
          <w:szCs w:val="18"/>
        </w:rPr>
        <w:t xml:space="preserve">and Water Boards </w:t>
      </w:r>
      <w:r w:rsidR="00707AFE" w:rsidRPr="008D79BE">
        <w:rPr>
          <w:rFonts w:ascii="Verdana" w:eastAsia="Malgun Gothic" w:hAnsi="Verdana" w:cs="Arial"/>
          <w:sz w:val="18"/>
          <w:szCs w:val="18"/>
        </w:rPr>
        <w:t>were transferred under the jurisdiction of the DLGOs and therefore they</w:t>
      </w:r>
      <w:r w:rsidRPr="008D79BE">
        <w:rPr>
          <w:rFonts w:ascii="Verdana" w:eastAsia="Malgun Gothic" w:hAnsi="Verdana" w:cs="Arial"/>
          <w:sz w:val="18"/>
          <w:szCs w:val="18"/>
        </w:rPr>
        <w:t xml:space="preserve"> </w:t>
      </w:r>
      <w:r w:rsidR="00707AFE" w:rsidRPr="008D79BE">
        <w:rPr>
          <w:rFonts w:ascii="Verdana" w:eastAsia="Malgun Gothic" w:hAnsi="Verdana" w:cs="Arial"/>
          <w:sz w:val="18"/>
          <w:szCs w:val="18"/>
        </w:rPr>
        <w:t xml:space="preserve">were </w:t>
      </w:r>
      <w:r w:rsidR="009675F7" w:rsidRPr="008D79BE">
        <w:rPr>
          <w:rFonts w:ascii="Verdana" w:eastAsia="Malgun Gothic" w:hAnsi="Verdana" w:cs="Arial"/>
          <w:sz w:val="18"/>
          <w:szCs w:val="18"/>
        </w:rPr>
        <w:t>re</w:t>
      </w:r>
      <w:r w:rsidR="00707AFE" w:rsidRPr="008D79BE">
        <w:rPr>
          <w:rFonts w:ascii="Verdana" w:eastAsia="Malgun Gothic" w:hAnsi="Verdana" w:cs="Arial"/>
          <w:sz w:val="18"/>
          <w:szCs w:val="18"/>
        </w:rPr>
        <w:t xml:space="preserve">moved </w:t>
      </w:r>
      <w:r w:rsidRPr="008D79BE">
        <w:rPr>
          <w:rFonts w:ascii="Verdana" w:eastAsia="Malgun Gothic" w:hAnsi="Verdana" w:cs="Arial"/>
          <w:sz w:val="18"/>
          <w:szCs w:val="18"/>
        </w:rPr>
        <w:t xml:space="preserve">from ‘Publicly Owned Enterprises and Companies’. </w:t>
      </w:r>
    </w:p>
    <w:p w14:paraId="413FB95B" w14:textId="77777777" w:rsidR="00CD15DB" w:rsidRPr="00175E05" w:rsidRDefault="00CD15DB" w:rsidP="00175E05">
      <w:pPr>
        <w:jc w:val="both"/>
        <w:rPr>
          <w:rFonts w:ascii="Verdana" w:eastAsia="Malgun Gothic" w:hAnsi="Verdana" w:cs="Arial"/>
          <w:sz w:val="18"/>
          <w:szCs w:val="18"/>
        </w:rPr>
      </w:pPr>
    </w:p>
    <w:bookmarkEnd w:id="1"/>
    <w:p w14:paraId="59E80172" w14:textId="1F4A3F18" w:rsidR="006C16A4" w:rsidRDefault="006C16A4" w:rsidP="006C16A4">
      <w:pPr>
        <w:jc w:val="both"/>
        <w:rPr>
          <w:rFonts w:ascii="Verdana" w:eastAsia="Malgun Gothic" w:hAnsi="Verdana" w:cs="Arial"/>
          <w:b/>
          <w:sz w:val="18"/>
          <w:szCs w:val="18"/>
          <w:u w:val="single"/>
        </w:rPr>
      </w:pPr>
      <w:r w:rsidRPr="0017756A">
        <w:rPr>
          <w:rFonts w:ascii="Verdana" w:eastAsia="Malgun Gothic" w:hAnsi="Verdana" w:cs="Arial"/>
          <w:b/>
          <w:sz w:val="18"/>
          <w:szCs w:val="18"/>
          <w:u w:val="single"/>
        </w:rPr>
        <w:t xml:space="preserve">Collection of </w:t>
      </w:r>
      <w:r w:rsidR="00E65CB2">
        <w:rPr>
          <w:rFonts w:ascii="Verdana" w:eastAsia="Malgun Gothic" w:hAnsi="Verdana" w:cs="Arial"/>
          <w:b/>
          <w:sz w:val="18"/>
          <w:szCs w:val="18"/>
          <w:u w:val="single"/>
        </w:rPr>
        <w:t>D</w:t>
      </w:r>
      <w:r w:rsidRPr="0017756A">
        <w:rPr>
          <w:rFonts w:ascii="Verdana" w:eastAsia="Malgun Gothic" w:hAnsi="Verdana" w:cs="Arial"/>
          <w:b/>
          <w:sz w:val="18"/>
          <w:szCs w:val="18"/>
          <w:u w:val="single"/>
        </w:rPr>
        <w:t>ata</w:t>
      </w:r>
    </w:p>
    <w:p w14:paraId="348C619C" w14:textId="77777777" w:rsidR="006C16A4" w:rsidRPr="0017756A" w:rsidRDefault="006C16A4" w:rsidP="006C16A4">
      <w:pPr>
        <w:jc w:val="both"/>
        <w:rPr>
          <w:rFonts w:ascii="Verdana" w:eastAsia="Malgun Gothic" w:hAnsi="Verdana" w:cs="Arial"/>
          <w:b/>
          <w:sz w:val="18"/>
          <w:szCs w:val="18"/>
          <w:u w:val="single"/>
        </w:rPr>
      </w:pPr>
    </w:p>
    <w:p w14:paraId="0889666E" w14:textId="77777777" w:rsidR="006C16A4" w:rsidRDefault="006C16A4" w:rsidP="006C16A4">
      <w:pPr>
        <w:jc w:val="both"/>
        <w:rPr>
          <w:rFonts w:ascii="Verdana" w:eastAsia="Malgun Gothic" w:hAnsi="Verdana" w:cs="Arial"/>
          <w:sz w:val="18"/>
          <w:szCs w:val="18"/>
        </w:rPr>
      </w:pPr>
      <w:r w:rsidRPr="001D6A31">
        <w:rPr>
          <w:rFonts w:ascii="Verdana" w:eastAsia="Malgun Gothic" w:hAnsi="Verdana" w:cs="Arial"/>
          <w:sz w:val="18"/>
          <w:szCs w:val="18"/>
        </w:rPr>
        <w:t xml:space="preserve">Data concerning employment in Government is provided </w:t>
      </w:r>
      <w:r>
        <w:rPr>
          <w:rFonts w:ascii="Verdana" w:eastAsia="Malgun Gothic" w:hAnsi="Verdana" w:cs="Arial"/>
          <w:sz w:val="18"/>
          <w:szCs w:val="18"/>
        </w:rPr>
        <w:t xml:space="preserve">by </w:t>
      </w:r>
      <w:r w:rsidRPr="001D6A31">
        <w:rPr>
          <w:rFonts w:ascii="Verdana" w:eastAsia="Malgun Gothic" w:hAnsi="Verdana" w:cs="Arial"/>
          <w:sz w:val="18"/>
          <w:szCs w:val="18"/>
        </w:rPr>
        <w:t xml:space="preserve">the Treasury </w:t>
      </w:r>
      <w:r>
        <w:rPr>
          <w:rFonts w:ascii="Verdana" w:eastAsia="Malgun Gothic" w:hAnsi="Verdana" w:cs="Arial"/>
          <w:sz w:val="18"/>
          <w:szCs w:val="18"/>
        </w:rPr>
        <w:t xml:space="preserve">of the Republic </w:t>
      </w:r>
      <w:r w:rsidRPr="001D6A31">
        <w:rPr>
          <w:rFonts w:ascii="Verdana" w:eastAsia="Malgun Gothic" w:hAnsi="Verdana" w:cs="Arial"/>
          <w:sz w:val="18"/>
          <w:szCs w:val="18"/>
        </w:rPr>
        <w:t xml:space="preserve">and refers to the number of persons that were employed in </w:t>
      </w:r>
      <w:r>
        <w:rPr>
          <w:rFonts w:ascii="Verdana" w:eastAsia="Malgun Gothic" w:hAnsi="Verdana" w:cs="Arial"/>
          <w:sz w:val="18"/>
          <w:szCs w:val="18"/>
        </w:rPr>
        <w:t xml:space="preserve">the reference quarter, </w:t>
      </w:r>
      <w:r w:rsidRPr="00E53881">
        <w:rPr>
          <w:rFonts w:ascii="Verdana" w:eastAsia="Malgun Gothic" w:hAnsi="Verdana" w:cs="Arial"/>
          <w:sz w:val="18"/>
          <w:szCs w:val="18"/>
        </w:rPr>
        <w:t>wh</w:t>
      </w:r>
      <w:r>
        <w:rPr>
          <w:rFonts w:ascii="Verdana" w:eastAsia="Malgun Gothic" w:hAnsi="Verdana" w:cs="Arial"/>
          <w:sz w:val="18"/>
          <w:szCs w:val="18"/>
        </w:rPr>
        <w:t>ile</w:t>
      </w:r>
      <w:r w:rsidRPr="00E53881">
        <w:rPr>
          <w:rFonts w:ascii="Verdana" w:eastAsia="Malgun Gothic" w:hAnsi="Verdana" w:cs="Arial"/>
          <w:sz w:val="18"/>
          <w:szCs w:val="18"/>
        </w:rPr>
        <w:t xml:space="preserve"> for the remaining sectors data is collected</w:t>
      </w:r>
      <w:r>
        <w:rPr>
          <w:rFonts w:ascii="Verdana" w:eastAsia="Malgun Gothic" w:hAnsi="Verdana" w:cs="Arial"/>
          <w:sz w:val="18"/>
          <w:szCs w:val="18"/>
        </w:rPr>
        <w:t xml:space="preserve"> </w:t>
      </w:r>
      <w:r w:rsidRPr="00E53881">
        <w:rPr>
          <w:rFonts w:ascii="Verdana" w:eastAsia="Malgun Gothic" w:hAnsi="Verdana" w:cs="Arial"/>
          <w:sz w:val="18"/>
          <w:szCs w:val="18"/>
        </w:rPr>
        <w:t xml:space="preserve">from the </w:t>
      </w:r>
      <w:r>
        <w:rPr>
          <w:rFonts w:ascii="Verdana" w:eastAsia="Malgun Gothic" w:hAnsi="Verdana" w:cs="Arial"/>
          <w:sz w:val="18"/>
          <w:szCs w:val="18"/>
        </w:rPr>
        <w:t>Organization</w:t>
      </w:r>
      <w:r w:rsidRPr="00E53881">
        <w:rPr>
          <w:rFonts w:ascii="Verdana" w:eastAsia="Malgun Gothic" w:hAnsi="Verdana" w:cs="Arial"/>
          <w:sz w:val="18"/>
          <w:szCs w:val="18"/>
        </w:rPr>
        <w:t xml:space="preserve">s </w:t>
      </w:r>
      <w:r>
        <w:rPr>
          <w:rFonts w:ascii="Verdana" w:eastAsia="Malgun Gothic" w:hAnsi="Verdana" w:cs="Arial"/>
          <w:sz w:val="18"/>
          <w:szCs w:val="18"/>
        </w:rPr>
        <w:t>on a quarterly basis via a telephone survey.</w:t>
      </w:r>
    </w:p>
    <w:p w14:paraId="1A2B4BC0" w14:textId="77777777" w:rsidR="006C16A4" w:rsidRDefault="006C16A4" w:rsidP="006C16A4">
      <w:pPr>
        <w:jc w:val="both"/>
        <w:rPr>
          <w:rFonts w:ascii="Verdana" w:eastAsia="Malgun Gothic" w:hAnsi="Verdana" w:cs="Arial"/>
          <w:sz w:val="18"/>
          <w:szCs w:val="18"/>
        </w:rPr>
      </w:pPr>
    </w:p>
    <w:p w14:paraId="0A05CAA9" w14:textId="77777777" w:rsidR="006C16A4" w:rsidRPr="0017756A" w:rsidRDefault="006C16A4" w:rsidP="006C16A4">
      <w:pPr>
        <w:jc w:val="both"/>
        <w:rPr>
          <w:rFonts w:ascii="Verdana" w:eastAsia="Malgun Gothic" w:hAnsi="Verdana" w:cs="Arial"/>
          <w:sz w:val="18"/>
          <w:szCs w:val="18"/>
        </w:rPr>
      </w:pPr>
    </w:p>
    <w:p w14:paraId="1B3C7AEE" w14:textId="77777777" w:rsidR="006C16A4" w:rsidRDefault="006C16A4" w:rsidP="006C16A4">
      <w:pPr>
        <w:rPr>
          <w:rFonts w:ascii="Verdana" w:hAnsi="Verdana"/>
          <w:b/>
          <w:bCs/>
          <w:i/>
          <w:iCs/>
          <w:sz w:val="18"/>
          <w:szCs w:val="18"/>
          <w:lang w:val="en-GB"/>
        </w:rPr>
      </w:pPr>
      <w:r>
        <w:rPr>
          <w:rFonts w:ascii="Verdana" w:hAnsi="Verdana"/>
          <w:b/>
          <w:bCs/>
          <w:i/>
          <w:iCs/>
          <w:sz w:val="18"/>
          <w:szCs w:val="18"/>
          <w:lang w:val="en-GB"/>
        </w:rPr>
        <w:t xml:space="preserve">For more information: </w:t>
      </w:r>
    </w:p>
    <w:p w14:paraId="7A44C583" w14:textId="77777777" w:rsidR="006C16A4" w:rsidRDefault="006C16A4" w:rsidP="006C16A4">
      <w:pPr>
        <w:rPr>
          <w:rFonts w:ascii="Verdana" w:hAnsi="Verdana"/>
          <w:sz w:val="18"/>
          <w:szCs w:val="18"/>
        </w:rPr>
      </w:pPr>
      <w:r>
        <w:rPr>
          <w:rFonts w:ascii="Verdana" w:hAnsi="Verdana"/>
          <w:sz w:val="18"/>
          <w:szCs w:val="18"/>
          <w:lang w:val="en-GB"/>
        </w:rPr>
        <w:t xml:space="preserve">CYSTAT Portal, subtheme </w:t>
      </w:r>
      <w:hyperlink r:id="rId9" w:history="1">
        <w:r>
          <w:rPr>
            <w:rStyle w:val="Hyperlink"/>
            <w:rFonts w:ascii="Verdana" w:hAnsi="Verdana"/>
            <w:sz w:val="18"/>
            <w:szCs w:val="18"/>
            <w:lang w:val="en-GB"/>
          </w:rPr>
          <w:t>Labour Market</w:t>
        </w:r>
      </w:hyperlink>
    </w:p>
    <w:p w14:paraId="3B5A369D" w14:textId="77777777" w:rsidR="006C16A4" w:rsidRDefault="006C16A4" w:rsidP="006C16A4">
      <w:pPr>
        <w:rPr>
          <w:rFonts w:ascii="Verdana" w:hAnsi="Verdana"/>
          <w:sz w:val="18"/>
          <w:szCs w:val="18"/>
        </w:rPr>
      </w:pPr>
      <w:hyperlink r:id="rId10" w:history="1">
        <w:r>
          <w:rPr>
            <w:rStyle w:val="Hyperlink"/>
            <w:rFonts w:ascii="Verdana" w:hAnsi="Verdana"/>
            <w:sz w:val="18"/>
            <w:szCs w:val="18"/>
          </w:rPr>
          <w:t>CYSTAT-DB</w:t>
        </w:r>
      </w:hyperlink>
      <w:r>
        <w:rPr>
          <w:rFonts w:ascii="Verdana" w:hAnsi="Verdana"/>
          <w:sz w:val="18"/>
          <w:szCs w:val="18"/>
        </w:rPr>
        <w:t xml:space="preserve"> (Online Database) </w:t>
      </w:r>
    </w:p>
    <w:p w14:paraId="5BA8256D" w14:textId="230F8CA8" w:rsidR="006C16A4" w:rsidRDefault="006C16A4" w:rsidP="006C16A4">
      <w:pPr>
        <w:jc w:val="both"/>
        <w:rPr>
          <w:rFonts w:ascii="Verdana" w:hAnsi="Verdana"/>
          <w:sz w:val="18"/>
          <w:szCs w:val="18"/>
        </w:rPr>
      </w:pPr>
      <w:hyperlink r:id="rId11" w:history="1">
        <w:r w:rsidRPr="001A1419">
          <w:rPr>
            <w:rStyle w:val="Hyperlink"/>
            <w:rFonts w:ascii="Verdana" w:hAnsi="Verdana"/>
            <w:sz w:val="18"/>
            <w:szCs w:val="18"/>
          </w:rPr>
          <w:t>Methodological Information</w:t>
        </w:r>
      </w:hyperlink>
    </w:p>
    <w:p w14:paraId="5CB09FB0" w14:textId="77777777" w:rsidR="006C16A4" w:rsidRDefault="006C16A4" w:rsidP="006C16A4">
      <w:pPr>
        <w:jc w:val="both"/>
        <w:rPr>
          <w:rFonts w:ascii="Verdana" w:hAnsi="Verdana"/>
          <w:sz w:val="18"/>
          <w:szCs w:val="18"/>
        </w:rPr>
      </w:pPr>
    </w:p>
    <w:p w14:paraId="60CED050" w14:textId="77777777" w:rsidR="006C16A4" w:rsidRPr="003407D3" w:rsidRDefault="006C16A4" w:rsidP="006C16A4">
      <w:pPr>
        <w:ind w:right="-79"/>
        <w:jc w:val="both"/>
        <w:rPr>
          <w:rFonts w:ascii="Verdana" w:eastAsia="Malgun Gothic" w:hAnsi="Verdana" w:cs="Arial"/>
          <w:i/>
          <w:sz w:val="18"/>
          <w:szCs w:val="18"/>
        </w:rPr>
      </w:pPr>
      <w:r w:rsidRPr="003407D3">
        <w:rPr>
          <w:rFonts w:ascii="Verdana" w:eastAsia="Malgun Gothic" w:hAnsi="Verdana" w:cs="Arial"/>
          <w:i/>
          <w:sz w:val="18"/>
          <w:szCs w:val="18"/>
          <w:u w:val="single"/>
        </w:rPr>
        <w:t>Contact</w:t>
      </w:r>
      <w:r w:rsidRPr="003407D3">
        <w:rPr>
          <w:rFonts w:ascii="Verdana" w:eastAsia="Malgun Gothic" w:hAnsi="Verdana" w:cs="Arial"/>
          <w:i/>
          <w:sz w:val="18"/>
          <w:szCs w:val="18"/>
        </w:rPr>
        <w:t xml:space="preserve"> </w:t>
      </w:r>
    </w:p>
    <w:p w14:paraId="791A89AA" w14:textId="77777777" w:rsidR="006C16A4" w:rsidRPr="0017756A" w:rsidRDefault="006C16A4" w:rsidP="006C16A4">
      <w:pPr>
        <w:ind w:right="-79"/>
        <w:jc w:val="both"/>
        <w:rPr>
          <w:rFonts w:ascii="Verdana" w:eastAsia="Malgun Gothic" w:hAnsi="Verdana" w:cs="Arial"/>
          <w:sz w:val="18"/>
          <w:szCs w:val="18"/>
        </w:rPr>
      </w:pPr>
      <w:r>
        <w:rPr>
          <w:rFonts w:ascii="Verdana" w:eastAsia="Malgun Gothic" w:hAnsi="Verdana" w:cs="Arial"/>
          <w:sz w:val="18"/>
          <w:szCs w:val="18"/>
        </w:rPr>
        <w:t>Maria Kkoushi</w:t>
      </w:r>
      <w:r w:rsidRPr="0017756A">
        <w:rPr>
          <w:rFonts w:ascii="Verdana" w:eastAsia="Malgun Gothic" w:hAnsi="Verdana" w:cs="Arial"/>
          <w:sz w:val="18"/>
          <w:szCs w:val="18"/>
        </w:rPr>
        <w:t xml:space="preserve">: </w:t>
      </w:r>
      <w:r>
        <w:rPr>
          <w:rFonts w:ascii="Verdana" w:eastAsia="Malgun Gothic" w:hAnsi="Verdana" w:cs="Arial"/>
          <w:sz w:val="18"/>
          <w:szCs w:val="18"/>
        </w:rPr>
        <w:t>Tel</w:t>
      </w:r>
      <w:r w:rsidRPr="0008709F">
        <w:rPr>
          <w:rFonts w:ascii="Verdana" w:eastAsia="Malgun Gothic" w:hAnsi="Verdana" w:cs="Arial"/>
          <w:sz w:val="18"/>
          <w:szCs w:val="18"/>
        </w:rPr>
        <w:t>:</w:t>
      </w:r>
      <w:r w:rsidRPr="004B2679">
        <w:rPr>
          <w:rFonts w:ascii="Verdana" w:eastAsia="Malgun Gothic" w:hAnsi="Verdana" w:cs="Arial"/>
          <w:sz w:val="18"/>
          <w:szCs w:val="18"/>
        </w:rPr>
        <w:t xml:space="preserve"> </w:t>
      </w:r>
      <w:r>
        <w:rPr>
          <w:rFonts w:ascii="Verdana" w:eastAsia="Malgun Gothic" w:hAnsi="Verdana" w:cs="Arial"/>
          <w:sz w:val="18"/>
          <w:szCs w:val="18"/>
        </w:rPr>
        <w:t>+357-22602235</w:t>
      </w:r>
      <w:r w:rsidRPr="0008709F">
        <w:rPr>
          <w:rFonts w:ascii="Verdana" w:eastAsia="Malgun Gothic" w:hAnsi="Verdana" w:cs="Arial"/>
          <w:sz w:val="18"/>
          <w:szCs w:val="18"/>
        </w:rPr>
        <w:t xml:space="preserve">, </w:t>
      </w:r>
      <w:r>
        <w:rPr>
          <w:rFonts w:ascii="Verdana" w:eastAsia="Malgun Gothic" w:hAnsi="Verdana" w:cs="Arial"/>
          <w:sz w:val="18"/>
          <w:szCs w:val="18"/>
        </w:rPr>
        <w:t>Email</w:t>
      </w:r>
      <w:r w:rsidRPr="0008709F">
        <w:rPr>
          <w:rFonts w:ascii="Verdana" w:eastAsia="Malgun Gothic" w:hAnsi="Verdana" w:cs="Arial"/>
          <w:sz w:val="18"/>
          <w:szCs w:val="18"/>
        </w:rPr>
        <w:t xml:space="preserve">: </w:t>
      </w:r>
      <w:hyperlink r:id="rId12" w:history="1">
        <w:r w:rsidRPr="009D14CD">
          <w:rPr>
            <w:rStyle w:val="Hyperlink"/>
            <w:rFonts w:ascii="Verdana" w:eastAsia="Malgun Gothic" w:hAnsi="Verdana" w:cs="Arial"/>
            <w:sz w:val="18"/>
            <w:szCs w:val="18"/>
          </w:rPr>
          <w:t>mkkoushi@cystat.mof.gov.cy</w:t>
        </w:r>
      </w:hyperlink>
    </w:p>
    <w:p w14:paraId="6FDD815F" w14:textId="77777777" w:rsidR="00691191" w:rsidRPr="00C26329" w:rsidRDefault="00691191" w:rsidP="00072754">
      <w:pPr>
        <w:jc w:val="both"/>
        <w:rPr>
          <w:rFonts w:ascii="Verdana" w:eastAsia="Malgun Gothic" w:hAnsi="Verdana" w:cs="Arial"/>
          <w:sz w:val="18"/>
          <w:szCs w:val="18"/>
        </w:rPr>
      </w:pPr>
    </w:p>
    <w:p w14:paraId="1FB9184B" w14:textId="77777777" w:rsidR="00691191" w:rsidRPr="00C26329" w:rsidRDefault="00691191" w:rsidP="00072754">
      <w:pPr>
        <w:jc w:val="both"/>
        <w:rPr>
          <w:rFonts w:ascii="Verdana" w:eastAsia="Malgun Gothic" w:hAnsi="Verdana" w:cs="Arial"/>
          <w:sz w:val="18"/>
          <w:szCs w:val="18"/>
        </w:rPr>
      </w:pPr>
    </w:p>
    <w:p w14:paraId="1AE5B59D" w14:textId="77777777" w:rsidR="00691191" w:rsidRPr="00C26329" w:rsidRDefault="00691191" w:rsidP="00072754">
      <w:pPr>
        <w:jc w:val="both"/>
        <w:rPr>
          <w:rFonts w:ascii="Verdana" w:eastAsia="Malgun Gothic" w:hAnsi="Verdana" w:cs="Arial"/>
          <w:sz w:val="18"/>
          <w:szCs w:val="18"/>
        </w:rPr>
      </w:pPr>
    </w:p>
    <w:p w14:paraId="7974FCA2" w14:textId="77777777" w:rsidR="00691191" w:rsidRPr="00C26329" w:rsidRDefault="00691191" w:rsidP="00072754">
      <w:pPr>
        <w:jc w:val="both"/>
        <w:rPr>
          <w:rFonts w:ascii="Verdana" w:eastAsia="Malgun Gothic" w:hAnsi="Verdana" w:cs="Arial"/>
          <w:sz w:val="18"/>
          <w:szCs w:val="18"/>
        </w:rPr>
      </w:pPr>
    </w:p>
    <w:p w14:paraId="180CC053" w14:textId="77777777" w:rsidR="00691191" w:rsidRPr="00C26329" w:rsidRDefault="00691191" w:rsidP="00072754">
      <w:pPr>
        <w:jc w:val="both"/>
        <w:rPr>
          <w:rFonts w:ascii="Verdana" w:eastAsia="Malgun Gothic" w:hAnsi="Verdana" w:cs="Arial"/>
          <w:sz w:val="18"/>
          <w:szCs w:val="18"/>
        </w:rPr>
      </w:pPr>
    </w:p>
    <w:p w14:paraId="3C3AF22A" w14:textId="77777777" w:rsidR="00691191" w:rsidRPr="00C26329" w:rsidRDefault="00691191" w:rsidP="00072754">
      <w:pPr>
        <w:jc w:val="both"/>
        <w:rPr>
          <w:rFonts w:ascii="Verdana" w:eastAsia="Malgun Gothic" w:hAnsi="Verdana" w:cs="Arial"/>
          <w:sz w:val="18"/>
          <w:szCs w:val="18"/>
        </w:rPr>
      </w:pPr>
    </w:p>
    <w:p w14:paraId="5CDD842B" w14:textId="77777777" w:rsidR="00E01B9D" w:rsidRPr="00C26329" w:rsidRDefault="00E01B9D" w:rsidP="00072754">
      <w:pPr>
        <w:jc w:val="both"/>
        <w:rPr>
          <w:rFonts w:ascii="Verdana" w:eastAsia="Malgun Gothic" w:hAnsi="Verdana" w:cs="Arial"/>
          <w:sz w:val="18"/>
          <w:szCs w:val="18"/>
        </w:rPr>
      </w:pPr>
    </w:p>
    <w:p w14:paraId="39246094" w14:textId="77777777" w:rsidR="00E01B9D" w:rsidRPr="00C26329" w:rsidRDefault="00E01B9D" w:rsidP="00072754">
      <w:pPr>
        <w:jc w:val="both"/>
        <w:rPr>
          <w:rFonts w:ascii="Verdana" w:eastAsia="Malgun Gothic" w:hAnsi="Verdana" w:cs="Arial"/>
          <w:sz w:val="18"/>
          <w:szCs w:val="18"/>
        </w:rPr>
      </w:pPr>
    </w:p>
    <w:p w14:paraId="4399EA61" w14:textId="77777777" w:rsidR="00E01B9D" w:rsidRPr="00C26329" w:rsidRDefault="00E01B9D" w:rsidP="00072754">
      <w:pPr>
        <w:jc w:val="both"/>
        <w:rPr>
          <w:rFonts w:ascii="Verdana" w:eastAsia="Malgun Gothic" w:hAnsi="Verdana" w:cs="Arial"/>
          <w:sz w:val="18"/>
          <w:szCs w:val="18"/>
        </w:rPr>
      </w:pPr>
    </w:p>
    <w:p w14:paraId="02C15233" w14:textId="77777777" w:rsidR="00E01B9D" w:rsidRPr="00C26329" w:rsidRDefault="00E01B9D" w:rsidP="00072754">
      <w:pPr>
        <w:jc w:val="both"/>
        <w:rPr>
          <w:rFonts w:ascii="Verdana" w:eastAsia="Malgun Gothic" w:hAnsi="Verdana" w:cs="Arial"/>
          <w:sz w:val="18"/>
          <w:szCs w:val="18"/>
        </w:rPr>
      </w:pPr>
    </w:p>
    <w:p w14:paraId="4D7B2287" w14:textId="77777777" w:rsidR="000B6F3B" w:rsidRPr="00C26329" w:rsidRDefault="000B6F3B" w:rsidP="00072754">
      <w:pPr>
        <w:jc w:val="both"/>
        <w:rPr>
          <w:rFonts w:ascii="Verdana" w:eastAsia="Malgun Gothic" w:hAnsi="Verdana" w:cs="Arial"/>
          <w:sz w:val="18"/>
          <w:szCs w:val="18"/>
        </w:rPr>
      </w:pPr>
    </w:p>
    <w:p w14:paraId="07E87123" w14:textId="77777777" w:rsidR="000B6F3B" w:rsidRPr="00C26329" w:rsidRDefault="000B6F3B" w:rsidP="00072754">
      <w:pPr>
        <w:jc w:val="both"/>
        <w:rPr>
          <w:rFonts w:ascii="Verdana" w:eastAsia="Malgun Gothic" w:hAnsi="Verdana" w:cs="Arial"/>
          <w:sz w:val="18"/>
          <w:szCs w:val="18"/>
        </w:rPr>
      </w:pPr>
    </w:p>
    <w:p w14:paraId="7B48F8E5" w14:textId="77777777" w:rsidR="000B6F3B" w:rsidRPr="00C26329" w:rsidRDefault="000B6F3B" w:rsidP="00072754">
      <w:pPr>
        <w:jc w:val="both"/>
        <w:rPr>
          <w:rFonts w:ascii="Verdana" w:eastAsia="Malgun Gothic" w:hAnsi="Verdana" w:cs="Arial"/>
          <w:sz w:val="18"/>
          <w:szCs w:val="18"/>
        </w:rPr>
      </w:pPr>
    </w:p>
    <w:p w14:paraId="5A69251E" w14:textId="77777777" w:rsidR="00C26329" w:rsidRPr="00C26329" w:rsidRDefault="00C26329" w:rsidP="00072754">
      <w:pPr>
        <w:jc w:val="both"/>
        <w:rPr>
          <w:rFonts w:ascii="Verdana" w:eastAsia="Malgun Gothic" w:hAnsi="Verdana" w:cs="Arial"/>
          <w:sz w:val="18"/>
          <w:szCs w:val="18"/>
        </w:rPr>
      </w:pPr>
    </w:p>
    <w:sectPr w:rsidR="00C26329" w:rsidRPr="00C26329" w:rsidSect="00541384">
      <w:headerReference w:type="default" r:id="rId13"/>
      <w:footerReference w:type="default" r:id="rId14"/>
      <w:headerReference w:type="first" r:id="rId15"/>
      <w:footerReference w:type="first" r:id="rId16"/>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D08C1" w14:textId="77777777" w:rsidR="002C6D0A" w:rsidRDefault="002C6D0A" w:rsidP="00FB398F">
      <w:r>
        <w:separator/>
      </w:r>
    </w:p>
  </w:endnote>
  <w:endnote w:type="continuationSeparator" w:id="0">
    <w:p w14:paraId="037DEB8A" w14:textId="77777777" w:rsidR="002C6D0A" w:rsidRDefault="002C6D0A"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4638E">
      <w:rPr>
        <w:noProof/>
      </w:rPr>
      <w:t>4</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98E35" w14:textId="77777777" w:rsidR="002C20B6" w:rsidRPr="00A9717C" w:rsidRDefault="002C20B6" w:rsidP="002C20B6">
    <w:pPr>
      <w:pStyle w:val="Footer"/>
      <w:pBdr>
        <w:top w:val="single" w:sz="4" w:space="1" w:color="auto"/>
      </w:pBdr>
      <w:tabs>
        <w:tab w:val="left" w:pos="4500"/>
      </w:tabs>
      <w:jc w:val="center"/>
      <w:rPr>
        <w:rFonts w:ascii="Verdana" w:hAnsi="Verdana" w:cs="Arial"/>
        <w:sz w:val="16"/>
        <w:szCs w:val="16"/>
      </w:rPr>
    </w:pPr>
    <w:r w:rsidRPr="00A9717C">
      <w:rPr>
        <w:rFonts w:ascii="Verdana" w:hAnsi="Verdana" w:cs="Arial"/>
        <w:sz w:val="16"/>
        <w:szCs w:val="16"/>
      </w:rPr>
      <w:t>Address: Michael Karaoli Str., 1444 Nicosia, Cyprus</w:t>
    </w:r>
  </w:p>
  <w:p w14:paraId="2D0166B7" w14:textId="77777777" w:rsidR="002C20B6" w:rsidRPr="00A9717C" w:rsidRDefault="002C20B6" w:rsidP="002C20B6">
    <w:pPr>
      <w:pStyle w:val="Footer"/>
      <w:tabs>
        <w:tab w:val="left" w:pos="4500"/>
      </w:tabs>
      <w:jc w:val="center"/>
      <w:rPr>
        <w:rFonts w:ascii="Verdana" w:hAnsi="Verdana" w:cs="Arial"/>
        <w:sz w:val="16"/>
        <w:szCs w:val="16"/>
        <w:lang w:val="pt-PT"/>
      </w:rPr>
    </w:pPr>
    <w:r w:rsidRPr="00A9717C">
      <w:rPr>
        <w:rFonts w:ascii="Verdana" w:hAnsi="Verdana" w:cs="Arial"/>
        <w:sz w:val="16"/>
        <w:szCs w:val="16"/>
        <w:lang w:val="pt-PT"/>
      </w:rPr>
      <w:t xml:space="preserve">Tel.: 22 602129, E-mail: </w:t>
    </w:r>
    <w:hyperlink r:id="rId1" w:history="1">
      <w:r w:rsidRPr="00A9717C">
        <w:rPr>
          <w:rStyle w:val="Hyperlink"/>
          <w:rFonts w:ascii="Verdana" w:hAnsi="Verdana" w:cs="Arial"/>
          <w:sz w:val="16"/>
          <w:szCs w:val="16"/>
          <w:lang w:val="pt-PT"/>
        </w:rPr>
        <w:t>enquiries@cystat.mof.gov.cy</w:t>
      </w:r>
    </w:hyperlink>
  </w:p>
  <w:p w14:paraId="53D85FE4" w14:textId="71EF717F" w:rsidR="004E4F42" w:rsidRPr="00D82D23" w:rsidRDefault="002C20B6" w:rsidP="002C20B6">
    <w:pPr>
      <w:pStyle w:val="Footer"/>
      <w:tabs>
        <w:tab w:val="left" w:pos="4500"/>
      </w:tabs>
      <w:jc w:val="center"/>
      <w:rPr>
        <w:rFonts w:ascii="Verdana" w:hAnsi="Verdana" w:cs="Arial"/>
        <w:sz w:val="16"/>
        <w:szCs w:val="16"/>
        <w:lang w:val="pt-PT"/>
      </w:rPr>
    </w:pPr>
    <w:r w:rsidRPr="008513FA">
      <w:rPr>
        <w:rFonts w:ascii="Verdana" w:hAnsi="Verdana" w:cs="Arial"/>
        <w:sz w:val="16"/>
        <w:szCs w:val="16"/>
        <w:lang w:val="pt-PT"/>
      </w:rPr>
      <w:t xml:space="preserve">Web Portal: </w:t>
    </w:r>
    <w:hyperlink r:id="rId2" w:history="1">
      <w:r w:rsidRPr="008513FA">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51544" w14:textId="77777777" w:rsidR="002C6D0A" w:rsidRDefault="002C6D0A" w:rsidP="00FB398F">
      <w:r>
        <w:separator/>
      </w:r>
    </w:p>
  </w:footnote>
  <w:footnote w:type="continuationSeparator" w:id="0">
    <w:p w14:paraId="34747CD2" w14:textId="77777777" w:rsidR="002C6D0A" w:rsidRDefault="002C6D0A"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lang w:val="en-GB" w:eastAsia="en-GB"/>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lang w:val="en-GB" w:eastAsia="en-GB"/>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lang w:val="en-GB" w:eastAsia="en-GB"/>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lang w:val="en-GB" w:eastAsia="en-GB"/>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7F98A521" w:rsidR="00364377" w:rsidRPr="00351755" w:rsidRDefault="00572BC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27122D">
      <w:rPr>
        <w:rFonts w:ascii="Arial" w:hAnsi="Arial" w:cs="Arial"/>
        <w:bCs/>
        <w:noProof/>
        <w:sz w:val="18"/>
        <w:szCs w:val="18"/>
        <w:lang w:val="en-GB" w:eastAsia="en-GB"/>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351755" w:rsidRDefault="0060256A" w:rsidP="0060256A">
                          <w:pPr>
                            <w:jc w:val="center"/>
                            <w:rPr>
                              <w:rFonts w:ascii="Verdana" w:hAnsi="Verdana" w:cs="Arial"/>
                              <w:b/>
                              <w:sz w:val="20"/>
                              <w:szCs w:val="20"/>
                            </w:rPr>
                          </w:pPr>
                          <w:r w:rsidRPr="00351755">
                            <w:rPr>
                              <w:rFonts w:ascii="Verdana" w:hAnsi="Verdana" w:cs="Arial"/>
                              <w:b/>
                              <w:sz w:val="20"/>
                              <w:szCs w:val="20"/>
                            </w:rPr>
                            <w:t>STATISTICAL SERVICE</w:t>
                          </w:r>
                        </w:p>
                        <w:p w14:paraId="2E0D10D7" w14:textId="77777777" w:rsidR="0060256A" w:rsidRPr="00351755" w:rsidRDefault="0060256A" w:rsidP="0060256A">
                          <w:pPr>
                            <w:jc w:val="center"/>
                            <w:rPr>
                              <w:rFonts w:ascii="Verdana" w:hAnsi="Verdana" w:cs="Arial"/>
                              <w:b/>
                              <w:sz w:val="20"/>
                              <w:szCs w:val="20"/>
                            </w:rPr>
                          </w:pPr>
                          <w:r w:rsidRPr="00351755">
                            <w:rPr>
                              <w:rFonts w:ascii="Verdana" w:hAnsi="Verdana" w:cs="Arial"/>
                              <w:b/>
                              <w:sz w:val="20"/>
                              <w:szCs w:val="20"/>
                            </w:rPr>
                            <w:t xml:space="preserve">OF </w:t>
                          </w:r>
                          <w:smartTag w:uri="urn:schemas-microsoft-com:office:smarttags" w:element="country-region">
                            <w:smartTag w:uri="urn:schemas-microsoft-com:office:smarttags" w:element="place">
                              <w:r w:rsidRPr="00351755">
                                <w:rPr>
                                  <w:rFonts w:ascii="Verdana" w:hAnsi="Verdana" w:cs="Arial"/>
                                  <w:b/>
                                  <w:sz w:val="20"/>
                                  <w:szCs w:val="20"/>
                                </w:rPr>
                                <w:t>CYPRUS</w:t>
                              </w:r>
                            </w:smartTag>
                          </w:smartTag>
                        </w:p>
                        <w:p w14:paraId="464BD7D4" w14:textId="77777777" w:rsidR="0060256A" w:rsidRPr="00351755" w:rsidRDefault="0060256A" w:rsidP="0060256A">
                          <w:pPr>
                            <w:jc w:val="center"/>
                            <w:rPr>
                              <w:rFonts w:ascii="Verdana" w:hAnsi="Verdana" w:cs="Arial"/>
                              <w:sz w:val="20"/>
                              <w:szCs w:val="20"/>
                            </w:rPr>
                          </w:pPr>
                          <w:r w:rsidRPr="00351755">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351755" w:rsidRDefault="0060256A" w:rsidP="0060256A">
                    <w:pPr>
                      <w:jc w:val="center"/>
                      <w:rPr>
                        <w:rFonts w:ascii="Verdana" w:hAnsi="Verdana" w:cs="Arial"/>
                        <w:b/>
                        <w:sz w:val="20"/>
                        <w:szCs w:val="20"/>
                      </w:rPr>
                    </w:pPr>
                    <w:r w:rsidRPr="00351755">
                      <w:rPr>
                        <w:rFonts w:ascii="Verdana" w:hAnsi="Verdana" w:cs="Arial"/>
                        <w:b/>
                        <w:sz w:val="20"/>
                        <w:szCs w:val="20"/>
                      </w:rPr>
                      <w:t>STATISTICAL SERVICE</w:t>
                    </w:r>
                  </w:p>
                  <w:p w14:paraId="2E0D10D7" w14:textId="77777777" w:rsidR="0060256A" w:rsidRPr="00351755" w:rsidRDefault="0060256A" w:rsidP="0060256A">
                    <w:pPr>
                      <w:jc w:val="center"/>
                      <w:rPr>
                        <w:rFonts w:ascii="Verdana" w:hAnsi="Verdana" w:cs="Arial"/>
                        <w:b/>
                        <w:sz w:val="20"/>
                        <w:szCs w:val="20"/>
                      </w:rPr>
                    </w:pPr>
                    <w:r w:rsidRPr="00351755">
                      <w:rPr>
                        <w:rFonts w:ascii="Verdana" w:hAnsi="Verdana" w:cs="Arial"/>
                        <w:b/>
                        <w:sz w:val="20"/>
                        <w:szCs w:val="20"/>
                      </w:rPr>
                      <w:t xml:space="preserve">OF </w:t>
                    </w:r>
                    <w:smartTag w:uri="urn:schemas-microsoft-com:office:smarttags" w:element="country-region">
                      <w:smartTag w:uri="urn:schemas-microsoft-com:office:smarttags" w:element="place">
                        <w:r w:rsidRPr="00351755">
                          <w:rPr>
                            <w:rFonts w:ascii="Verdana" w:hAnsi="Verdana" w:cs="Arial"/>
                            <w:b/>
                            <w:sz w:val="20"/>
                            <w:szCs w:val="20"/>
                          </w:rPr>
                          <w:t>CYPRUS</w:t>
                        </w:r>
                      </w:smartTag>
                    </w:smartTag>
                  </w:p>
                  <w:p w14:paraId="464BD7D4" w14:textId="77777777" w:rsidR="0060256A" w:rsidRPr="00351755" w:rsidRDefault="0060256A" w:rsidP="0060256A">
                    <w:pPr>
                      <w:jc w:val="center"/>
                      <w:rPr>
                        <w:rFonts w:ascii="Verdana" w:hAnsi="Verdana" w:cs="Arial"/>
                        <w:sz w:val="20"/>
                        <w:szCs w:val="20"/>
                      </w:rPr>
                    </w:pPr>
                    <w:r w:rsidRPr="00351755">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364377" w:rsidRPr="00351755">
      <w:rPr>
        <w:rFonts w:ascii="Verdana" w:hAnsi="Verdana" w:cs="Arial"/>
        <w:bCs/>
        <w:sz w:val="20"/>
        <w:szCs w:val="20"/>
        <w:lang w:val="en-US"/>
      </w:rPr>
      <w:t>REPUBLIC OF CYPRUS</w:t>
    </w:r>
    <w:r w:rsidR="00364377" w:rsidRPr="00351755">
      <w:rPr>
        <w:rFonts w:ascii="Verdana" w:hAnsi="Verdana"/>
        <w:b/>
        <w:bCs/>
        <w:sz w:val="20"/>
        <w:szCs w:val="20"/>
        <w:lang w:val="en-US"/>
      </w:rPr>
      <w:t xml:space="preserve"> </w:t>
    </w:r>
    <w:r w:rsidR="00364377" w:rsidRPr="00351755">
      <w:rPr>
        <w:rFonts w:ascii="Verdana" w:hAnsi="Verdana"/>
        <w:b/>
        <w:bCs/>
        <w:sz w:val="20"/>
        <w:szCs w:val="20"/>
        <w:lang w:val="en-US"/>
      </w:rPr>
      <w:tab/>
    </w:r>
  </w:p>
  <w:p w14:paraId="7A5CA03F" w14:textId="48B22C10"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2021662276">
    <w:abstractNumId w:val="4"/>
  </w:num>
  <w:num w:numId="2" w16cid:durableId="983462363">
    <w:abstractNumId w:val="1"/>
  </w:num>
  <w:num w:numId="3" w16cid:durableId="708648221">
    <w:abstractNumId w:val="2"/>
  </w:num>
  <w:num w:numId="4" w16cid:durableId="904800481">
    <w:abstractNumId w:val="3"/>
  </w:num>
  <w:num w:numId="5" w16cid:durableId="324548829">
    <w:abstractNumId w:val="0"/>
  </w:num>
  <w:num w:numId="6" w16cid:durableId="547644730">
    <w:abstractNumId w:val="5"/>
  </w:num>
  <w:num w:numId="7" w16cid:durableId="18814749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98F"/>
    <w:rsid w:val="00004F86"/>
    <w:rsid w:val="0000542E"/>
    <w:rsid w:val="00013E40"/>
    <w:rsid w:val="000161B1"/>
    <w:rsid w:val="0002511F"/>
    <w:rsid w:val="00025A39"/>
    <w:rsid w:val="00027853"/>
    <w:rsid w:val="0003089E"/>
    <w:rsid w:val="00030E18"/>
    <w:rsid w:val="00031D32"/>
    <w:rsid w:val="0003603D"/>
    <w:rsid w:val="00036FA9"/>
    <w:rsid w:val="00037B42"/>
    <w:rsid w:val="00045088"/>
    <w:rsid w:val="00045A06"/>
    <w:rsid w:val="00050391"/>
    <w:rsid w:val="00055291"/>
    <w:rsid w:val="000563D3"/>
    <w:rsid w:val="00057E44"/>
    <w:rsid w:val="00061299"/>
    <w:rsid w:val="00070576"/>
    <w:rsid w:val="00072754"/>
    <w:rsid w:val="000752BB"/>
    <w:rsid w:val="00077FB9"/>
    <w:rsid w:val="00081ADF"/>
    <w:rsid w:val="000832B8"/>
    <w:rsid w:val="00084A02"/>
    <w:rsid w:val="00084BF7"/>
    <w:rsid w:val="000870E9"/>
    <w:rsid w:val="000932CF"/>
    <w:rsid w:val="00096ED8"/>
    <w:rsid w:val="000A1A88"/>
    <w:rsid w:val="000A2B5C"/>
    <w:rsid w:val="000A3601"/>
    <w:rsid w:val="000A6FA8"/>
    <w:rsid w:val="000B37AD"/>
    <w:rsid w:val="000B6F3B"/>
    <w:rsid w:val="000C4E72"/>
    <w:rsid w:val="000C73CC"/>
    <w:rsid w:val="000D1E7A"/>
    <w:rsid w:val="000D2FDE"/>
    <w:rsid w:val="000E0398"/>
    <w:rsid w:val="000E1E2F"/>
    <w:rsid w:val="000E24B1"/>
    <w:rsid w:val="000E2735"/>
    <w:rsid w:val="000E32D6"/>
    <w:rsid w:val="000E57F2"/>
    <w:rsid w:val="000E72A7"/>
    <w:rsid w:val="000F1162"/>
    <w:rsid w:val="000F3467"/>
    <w:rsid w:val="000F38DE"/>
    <w:rsid w:val="000F5D6C"/>
    <w:rsid w:val="00106852"/>
    <w:rsid w:val="00110F9D"/>
    <w:rsid w:val="00114A67"/>
    <w:rsid w:val="00122143"/>
    <w:rsid w:val="00122B9E"/>
    <w:rsid w:val="00123552"/>
    <w:rsid w:val="001253B6"/>
    <w:rsid w:val="00127320"/>
    <w:rsid w:val="00127456"/>
    <w:rsid w:val="001312D8"/>
    <w:rsid w:val="0013137B"/>
    <w:rsid w:val="00134AE0"/>
    <w:rsid w:val="001431D1"/>
    <w:rsid w:val="0015118B"/>
    <w:rsid w:val="001519CE"/>
    <w:rsid w:val="001554F5"/>
    <w:rsid w:val="00156FFF"/>
    <w:rsid w:val="001575B3"/>
    <w:rsid w:val="00161CF3"/>
    <w:rsid w:val="00162C00"/>
    <w:rsid w:val="001639EF"/>
    <w:rsid w:val="0016589F"/>
    <w:rsid w:val="00166FC4"/>
    <w:rsid w:val="00174EEB"/>
    <w:rsid w:val="00175E05"/>
    <w:rsid w:val="00176558"/>
    <w:rsid w:val="0017756A"/>
    <w:rsid w:val="0017769A"/>
    <w:rsid w:val="00183DFC"/>
    <w:rsid w:val="00184384"/>
    <w:rsid w:val="00185188"/>
    <w:rsid w:val="00186717"/>
    <w:rsid w:val="00187FFC"/>
    <w:rsid w:val="00192998"/>
    <w:rsid w:val="001A102F"/>
    <w:rsid w:val="001A1419"/>
    <w:rsid w:val="001A2018"/>
    <w:rsid w:val="001A3DD4"/>
    <w:rsid w:val="001B2C39"/>
    <w:rsid w:val="001B3675"/>
    <w:rsid w:val="001B54AB"/>
    <w:rsid w:val="001B5E10"/>
    <w:rsid w:val="001B6AB3"/>
    <w:rsid w:val="001B73D5"/>
    <w:rsid w:val="001C0681"/>
    <w:rsid w:val="001C14B9"/>
    <w:rsid w:val="001C62B3"/>
    <w:rsid w:val="001C7C8C"/>
    <w:rsid w:val="001D0D6A"/>
    <w:rsid w:val="001D1AEF"/>
    <w:rsid w:val="001D20A4"/>
    <w:rsid w:val="001E00D1"/>
    <w:rsid w:val="001E0E58"/>
    <w:rsid w:val="001E14F3"/>
    <w:rsid w:val="001E15ED"/>
    <w:rsid w:val="001E19AD"/>
    <w:rsid w:val="001E50D7"/>
    <w:rsid w:val="001E61AA"/>
    <w:rsid w:val="001E7D09"/>
    <w:rsid w:val="0020309E"/>
    <w:rsid w:val="00205BA0"/>
    <w:rsid w:val="00210B58"/>
    <w:rsid w:val="00213456"/>
    <w:rsid w:val="00222423"/>
    <w:rsid w:val="00225B28"/>
    <w:rsid w:val="00227D31"/>
    <w:rsid w:val="002313AC"/>
    <w:rsid w:val="00235FB2"/>
    <w:rsid w:val="00237BC1"/>
    <w:rsid w:val="002430B4"/>
    <w:rsid w:val="002447D0"/>
    <w:rsid w:val="00244AED"/>
    <w:rsid w:val="002454C5"/>
    <w:rsid w:val="00245E19"/>
    <w:rsid w:val="0024685F"/>
    <w:rsid w:val="00246AEB"/>
    <w:rsid w:val="00250005"/>
    <w:rsid w:val="0025254F"/>
    <w:rsid w:val="0025566D"/>
    <w:rsid w:val="0025595C"/>
    <w:rsid w:val="00257149"/>
    <w:rsid w:val="002576E7"/>
    <w:rsid w:val="00260357"/>
    <w:rsid w:val="00264F04"/>
    <w:rsid w:val="00267554"/>
    <w:rsid w:val="0027122D"/>
    <w:rsid w:val="0028338F"/>
    <w:rsid w:val="00285C24"/>
    <w:rsid w:val="002915C4"/>
    <w:rsid w:val="002A1D1C"/>
    <w:rsid w:val="002A4D64"/>
    <w:rsid w:val="002A55A5"/>
    <w:rsid w:val="002A6576"/>
    <w:rsid w:val="002B3974"/>
    <w:rsid w:val="002B6554"/>
    <w:rsid w:val="002C20B6"/>
    <w:rsid w:val="002C6D0A"/>
    <w:rsid w:val="002D05F0"/>
    <w:rsid w:val="002D7D4A"/>
    <w:rsid w:val="002E1906"/>
    <w:rsid w:val="002E3846"/>
    <w:rsid w:val="002E3F78"/>
    <w:rsid w:val="002F400C"/>
    <w:rsid w:val="002F4D76"/>
    <w:rsid w:val="002F6D26"/>
    <w:rsid w:val="0030231E"/>
    <w:rsid w:val="003042C4"/>
    <w:rsid w:val="00304CB4"/>
    <w:rsid w:val="00310687"/>
    <w:rsid w:val="00313F37"/>
    <w:rsid w:val="003141D0"/>
    <w:rsid w:val="003168C1"/>
    <w:rsid w:val="003168E2"/>
    <w:rsid w:val="00322FBE"/>
    <w:rsid w:val="00325632"/>
    <w:rsid w:val="00327549"/>
    <w:rsid w:val="003342A5"/>
    <w:rsid w:val="00336C36"/>
    <w:rsid w:val="0034155C"/>
    <w:rsid w:val="00343815"/>
    <w:rsid w:val="00344FA3"/>
    <w:rsid w:val="00345ACF"/>
    <w:rsid w:val="00351755"/>
    <w:rsid w:val="003522BB"/>
    <w:rsid w:val="00352F6C"/>
    <w:rsid w:val="003539DA"/>
    <w:rsid w:val="003556EA"/>
    <w:rsid w:val="003615F6"/>
    <w:rsid w:val="00364377"/>
    <w:rsid w:val="00376BB1"/>
    <w:rsid w:val="00377ABB"/>
    <w:rsid w:val="003802A4"/>
    <w:rsid w:val="003834FB"/>
    <w:rsid w:val="003854F5"/>
    <w:rsid w:val="00386FC7"/>
    <w:rsid w:val="00390A32"/>
    <w:rsid w:val="00396C89"/>
    <w:rsid w:val="003A11C7"/>
    <w:rsid w:val="003A40F2"/>
    <w:rsid w:val="003A4756"/>
    <w:rsid w:val="003A50D1"/>
    <w:rsid w:val="003A6A31"/>
    <w:rsid w:val="003B196D"/>
    <w:rsid w:val="003B2710"/>
    <w:rsid w:val="003B4048"/>
    <w:rsid w:val="003B4608"/>
    <w:rsid w:val="003B69C1"/>
    <w:rsid w:val="003C1188"/>
    <w:rsid w:val="003C1B8E"/>
    <w:rsid w:val="003C2392"/>
    <w:rsid w:val="003C5174"/>
    <w:rsid w:val="003C5240"/>
    <w:rsid w:val="003D14E0"/>
    <w:rsid w:val="003D1BB0"/>
    <w:rsid w:val="003D1EA5"/>
    <w:rsid w:val="003D2FF2"/>
    <w:rsid w:val="003D3348"/>
    <w:rsid w:val="003D3CF8"/>
    <w:rsid w:val="003D4943"/>
    <w:rsid w:val="003D6822"/>
    <w:rsid w:val="003D724C"/>
    <w:rsid w:val="003E0CE2"/>
    <w:rsid w:val="003E2DE2"/>
    <w:rsid w:val="003F49E4"/>
    <w:rsid w:val="003F4D2F"/>
    <w:rsid w:val="003F5E32"/>
    <w:rsid w:val="003F75F6"/>
    <w:rsid w:val="004039E5"/>
    <w:rsid w:val="00404670"/>
    <w:rsid w:val="00412485"/>
    <w:rsid w:val="00414CA0"/>
    <w:rsid w:val="00417634"/>
    <w:rsid w:val="00421B7D"/>
    <w:rsid w:val="00422F54"/>
    <w:rsid w:val="00431516"/>
    <w:rsid w:val="004361B3"/>
    <w:rsid w:val="0044249D"/>
    <w:rsid w:val="0044379F"/>
    <w:rsid w:val="004463BA"/>
    <w:rsid w:val="00446FB1"/>
    <w:rsid w:val="0046078F"/>
    <w:rsid w:val="00463214"/>
    <w:rsid w:val="0046434D"/>
    <w:rsid w:val="004656FA"/>
    <w:rsid w:val="00471D77"/>
    <w:rsid w:val="0047322B"/>
    <w:rsid w:val="00475587"/>
    <w:rsid w:val="00477538"/>
    <w:rsid w:val="00480BC2"/>
    <w:rsid w:val="004929C2"/>
    <w:rsid w:val="00493FDD"/>
    <w:rsid w:val="0049586B"/>
    <w:rsid w:val="004A0992"/>
    <w:rsid w:val="004A3E44"/>
    <w:rsid w:val="004A66DB"/>
    <w:rsid w:val="004A7983"/>
    <w:rsid w:val="004B13D1"/>
    <w:rsid w:val="004B2896"/>
    <w:rsid w:val="004B38E9"/>
    <w:rsid w:val="004B3FBA"/>
    <w:rsid w:val="004B556F"/>
    <w:rsid w:val="004B6599"/>
    <w:rsid w:val="004C35CE"/>
    <w:rsid w:val="004C415C"/>
    <w:rsid w:val="004C6CA7"/>
    <w:rsid w:val="004D4357"/>
    <w:rsid w:val="004D4950"/>
    <w:rsid w:val="004D4B76"/>
    <w:rsid w:val="004E2393"/>
    <w:rsid w:val="004E27EC"/>
    <w:rsid w:val="004E3745"/>
    <w:rsid w:val="004E42BE"/>
    <w:rsid w:val="004E4F42"/>
    <w:rsid w:val="004E63D5"/>
    <w:rsid w:val="004F03FD"/>
    <w:rsid w:val="004F2602"/>
    <w:rsid w:val="004F4DC9"/>
    <w:rsid w:val="004F52F0"/>
    <w:rsid w:val="004F6250"/>
    <w:rsid w:val="004F677C"/>
    <w:rsid w:val="004F6D8F"/>
    <w:rsid w:val="004F70D1"/>
    <w:rsid w:val="00505503"/>
    <w:rsid w:val="0051107B"/>
    <w:rsid w:val="00512F94"/>
    <w:rsid w:val="00512F9C"/>
    <w:rsid w:val="00527CDB"/>
    <w:rsid w:val="005317FB"/>
    <w:rsid w:val="005338DD"/>
    <w:rsid w:val="005341C9"/>
    <w:rsid w:val="005369CA"/>
    <w:rsid w:val="00536DE9"/>
    <w:rsid w:val="00540668"/>
    <w:rsid w:val="00541384"/>
    <w:rsid w:val="005419F6"/>
    <w:rsid w:val="00541E08"/>
    <w:rsid w:val="00546EE1"/>
    <w:rsid w:val="00547118"/>
    <w:rsid w:val="0054779E"/>
    <w:rsid w:val="00552882"/>
    <w:rsid w:val="0055789A"/>
    <w:rsid w:val="005652D1"/>
    <w:rsid w:val="005660A0"/>
    <w:rsid w:val="00566A4F"/>
    <w:rsid w:val="00567D64"/>
    <w:rsid w:val="005716EF"/>
    <w:rsid w:val="00572BC2"/>
    <w:rsid w:val="00580F9C"/>
    <w:rsid w:val="005938ED"/>
    <w:rsid w:val="0059478C"/>
    <w:rsid w:val="005978D4"/>
    <w:rsid w:val="005B2A67"/>
    <w:rsid w:val="005B3DCD"/>
    <w:rsid w:val="005B4AD4"/>
    <w:rsid w:val="005B5CC7"/>
    <w:rsid w:val="005C2430"/>
    <w:rsid w:val="005C2798"/>
    <w:rsid w:val="005C36C3"/>
    <w:rsid w:val="005C56EE"/>
    <w:rsid w:val="005C5D4B"/>
    <w:rsid w:val="005C74FA"/>
    <w:rsid w:val="005D1714"/>
    <w:rsid w:val="005D2D39"/>
    <w:rsid w:val="005D359E"/>
    <w:rsid w:val="005D7638"/>
    <w:rsid w:val="005F12F5"/>
    <w:rsid w:val="005F4B4F"/>
    <w:rsid w:val="005F59D3"/>
    <w:rsid w:val="005F5D68"/>
    <w:rsid w:val="005F7C7D"/>
    <w:rsid w:val="0060256A"/>
    <w:rsid w:val="006043A9"/>
    <w:rsid w:val="006044B7"/>
    <w:rsid w:val="00605013"/>
    <w:rsid w:val="006064EC"/>
    <w:rsid w:val="006071CE"/>
    <w:rsid w:val="006075B5"/>
    <w:rsid w:val="0061018C"/>
    <w:rsid w:val="0061094E"/>
    <w:rsid w:val="00612937"/>
    <w:rsid w:val="00613440"/>
    <w:rsid w:val="00613BE3"/>
    <w:rsid w:val="006141C5"/>
    <w:rsid w:val="00622B7E"/>
    <w:rsid w:val="0062327B"/>
    <w:rsid w:val="00632777"/>
    <w:rsid w:val="00633750"/>
    <w:rsid w:val="00633ECD"/>
    <w:rsid w:val="00634491"/>
    <w:rsid w:val="00636218"/>
    <w:rsid w:val="0063679C"/>
    <w:rsid w:val="00637055"/>
    <w:rsid w:val="006412A8"/>
    <w:rsid w:val="00641D59"/>
    <w:rsid w:val="00644507"/>
    <w:rsid w:val="00646880"/>
    <w:rsid w:val="00647D2A"/>
    <w:rsid w:val="006537BB"/>
    <w:rsid w:val="006570AA"/>
    <w:rsid w:val="0065711B"/>
    <w:rsid w:val="00664F60"/>
    <w:rsid w:val="00671785"/>
    <w:rsid w:val="00672BA9"/>
    <w:rsid w:val="00673005"/>
    <w:rsid w:val="006804BE"/>
    <w:rsid w:val="006855C7"/>
    <w:rsid w:val="00686D7A"/>
    <w:rsid w:val="0069008E"/>
    <w:rsid w:val="006906CC"/>
    <w:rsid w:val="0069087E"/>
    <w:rsid w:val="00691191"/>
    <w:rsid w:val="006925C4"/>
    <w:rsid w:val="0069309C"/>
    <w:rsid w:val="0069673E"/>
    <w:rsid w:val="006A02B7"/>
    <w:rsid w:val="006A3E28"/>
    <w:rsid w:val="006A7938"/>
    <w:rsid w:val="006B46D5"/>
    <w:rsid w:val="006B46F4"/>
    <w:rsid w:val="006C12CF"/>
    <w:rsid w:val="006C16A4"/>
    <w:rsid w:val="006C2A65"/>
    <w:rsid w:val="006C7AF3"/>
    <w:rsid w:val="006D6548"/>
    <w:rsid w:val="006D70C6"/>
    <w:rsid w:val="006E0E20"/>
    <w:rsid w:val="006E4256"/>
    <w:rsid w:val="006E47D2"/>
    <w:rsid w:val="006E4BBA"/>
    <w:rsid w:val="006E5F43"/>
    <w:rsid w:val="006E60A6"/>
    <w:rsid w:val="006F0F69"/>
    <w:rsid w:val="006F116B"/>
    <w:rsid w:val="006F117F"/>
    <w:rsid w:val="006F13DF"/>
    <w:rsid w:val="006F1E66"/>
    <w:rsid w:val="006F2F67"/>
    <w:rsid w:val="00702F26"/>
    <w:rsid w:val="0070313E"/>
    <w:rsid w:val="00703799"/>
    <w:rsid w:val="00705C5C"/>
    <w:rsid w:val="00707AFE"/>
    <w:rsid w:val="0071135C"/>
    <w:rsid w:val="00711475"/>
    <w:rsid w:val="0072461A"/>
    <w:rsid w:val="0072548A"/>
    <w:rsid w:val="007277A6"/>
    <w:rsid w:val="00740ABB"/>
    <w:rsid w:val="007437AB"/>
    <w:rsid w:val="007534F8"/>
    <w:rsid w:val="007545AD"/>
    <w:rsid w:val="00763722"/>
    <w:rsid w:val="007639F8"/>
    <w:rsid w:val="00764BC1"/>
    <w:rsid w:val="00770869"/>
    <w:rsid w:val="007738AA"/>
    <w:rsid w:val="00780A62"/>
    <w:rsid w:val="00783241"/>
    <w:rsid w:val="007838EC"/>
    <w:rsid w:val="00784BDC"/>
    <w:rsid w:val="00792A26"/>
    <w:rsid w:val="00792F28"/>
    <w:rsid w:val="0079543F"/>
    <w:rsid w:val="00795880"/>
    <w:rsid w:val="007A4367"/>
    <w:rsid w:val="007B0867"/>
    <w:rsid w:val="007B1AC1"/>
    <w:rsid w:val="007B5746"/>
    <w:rsid w:val="007B5A08"/>
    <w:rsid w:val="007B693D"/>
    <w:rsid w:val="007B7DAB"/>
    <w:rsid w:val="007C71E8"/>
    <w:rsid w:val="007E041B"/>
    <w:rsid w:val="007E199A"/>
    <w:rsid w:val="007E2415"/>
    <w:rsid w:val="007E39F3"/>
    <w:rsid w:val="007E68F4"/>
    <w:rsid w:val="007F31BA"/>
    <w:rsid w:val="007F4078"/>
    <w:rsid w:val="0080014B"/>
    <w:rsid w:val="00801793"/>
    <w:rsid w:val="00803642"/>
    <w:rsid w:val="00806EA2"/>
    <w:rsid w:val="008129DD"/>
    <w:rsid w:val="00812A2B"/>
    <w:rsid w:val="00814A4C"/>
    <w:rsid w:val="00831AAB"/>
    <w:rsid w:val="00833ADC"/>
    <w:rsid w:val="0083574E"/>
    <w:rsid w:val="0083640C"/>
    <w:rsid w:val="0084157B"/>
    <w:rsid w:val="00842BFB"/>
    <w:rsid w:val="008446F4"/>
    <w:rsid w:val="00846B85"/>
    <w:rsid w:val="00847DC3"/>
    <w:rsid w:val="00847F49"/>
    <w:rsid w:val="008535C5"/>
    <w:rsid w:val="00853765"/>
    <w:rsid w:val="0085516F"/>
    <w:rsid w:val="008567A0"/>
    <w:rsid w:val="00860C58"/>
    <w:rsid w:val="00861278"/>
    <w:rsid w:val="00867186"/>
    <w:rsid w:val="00870AF6"/>
    <w:rsid w:val="00881268"/>
    <w:rsid w:val="0088394A"/>
    <w:rsid w:val="00883C4F"/>
    <w:rsid w:val="008860BD"/>
    <w:rsid w:val="00887399"/>
    <w:rsid w:val="0088779E"/>
    <w:rsid w:val="008912AF"/>
    <w:rsid w:val="00892114"/>
    <w:rsid w:val="00892CB9"/>
    <w:rsid w:val="008935CB"/>
    <w:rsid w:val="008A4470"/>
    <w:rsid w:val="008A539E"/>
    <w:rsid w:val="008B0E7E"/>
    <w:rsid w:val="008B5FF0"/>
    <w:rsid w:val="008B65BD"/>
    <w:rsid w:val="008B7900"/>
    <w:rsid w:val="008C71BF"/>
    <w:rsid w:val="008C7FE0"/>
    <w:rsid w:val="008D2240"/>
    <w:rsid w:val="008D5717"/>
    <w:rsid w:val="008D79BE"/>
    <w:rsid w:val="008E1C99"/>
    <w:rsid w:val="008E44A9"/>
    <w:rsid w:val="008E6B4D"/>
    <w:rsid w:val="008E6BFF"/>
    <w:rsid w:val="008F21AF"/>
    <w:rsid w:val="008F2400"/>
    <w:rsid w:val="008F61BA"/>
    <w:rsid w:val="008F6E3C"/>
    <w:rsid w:val="008F7C55"/>
    <w:rsid w:val="0090338C"/>
    <w:rsid w:val="00914A23"/>
    <w:rsid w:val="009306D1"/>
    <w:rsid w:val="00930754"/>
    <w:rsid w:val="00931164"/>
    <w:rsid w:val="00934F68"/>
    <w:rsid w:val="009355AC"/>
    <w:rsid w:val="00935F38"/>
    <w:rsid w:val="00937586"/>
    <w:rsid w:val="00945FD8"/>
    <w:rsid w:val="00947889"/>
    <w:rsid w:val="00960E98"/>
    <w:rsid w:val="00963A82"/>
    <w:rsid w:val="009675F7"/>
    <w:rsid w:val="00972912"/>
    <w:rsid w:val="00972CA0"/>
    <w:rsid w:val="00976D1F"/>
    <w:rsid w:val="00981C81"/>
    <w:rsid w:val="009855AA"/>
    <w:rsid w:val="00992209"/>
    <w:rsid w:val="009A2D24"/>
    <w:rsid w:val="009A456C"/>
    <w:rsid w:val="009A4B24"/>
    <w:rsid w:val="009B00E0"/>
    <w:rsid w:val="009B292A"/>
    <w:rsid w:val="009B76D5"/>
    <w:rsid w:val="009C165D"/>
    <w:rsid w:val="009C37F7"/>
    <w:rsid w:val="009C3CEA"/>
    <w:rsid w:val="009C583D"/>
    <w:rsid w:val="009D2611"/>
    <w:rsid w:val="009D79D2"/>
    <w:rsid w:val="009E247C"/>
    <w:rsid w:val="009E31BA"/>
    <w:rsid w:val="009F0528"/>
    <w:rsid w:val="009F0806"/>
    <w:rsid w:val="009F0B47"/>
    <w:rsid w:val="009F233B"/>
    <w:rsid w:val="00A0099B"/>
    <w:rsid w:val="00A05D16"/>
    <w:rsid w:val="00A0659F"/>
    <w:rsid w:val="00A079BA"/>
    <w:rsid w:val="00A133BE"/>
    <w:rsid w:val="00A15E54"/>
    <w:rsid w:val="00A168FC"/>
    <w:rsid w:val="00A33875"/>
    <w:rsid w:val="00A34716"/>
    <w:rsid w:val="00A360A1"/>
    <w:rsid w:val="00A402B3"/>
    <w:rsid w:val="00A5335D"/>
    <w:rsid w:val="00A544B7"/>
    <w:rsid w:val="00A618CF"/>
    <w:rsid w:val="00A62770"/>
    <w:rsid w:val="00A62EEB"/>
    <w:rsid w:val="00A63D65"/>
    <w:rsid w:val="00A660FF"/>
    <w:rsid w:val="00A6625A"/>
    <w:rsid w:val="00A73395"/>
    <w:rsid w:val="00A82B4C"/>
    <w:rsid w:val="00A85AFC"/>
    <w:rsid w:val="00A91AEB"/>
    <w:rsid w:val="00A93A4C"/>
    <w:rsid w:val="00A94D5D"/>
    <w:rsid w:val="00AA1D9B"/>
    <w:rsid w:val="00AA2543"/>
    <w:rsid w:val="00AA3804"/>
    <w:rsid w:val="00AA55C2"/>
    <w:rsid w:val="00AB0ACA"/>
    <w:rsid w:val="00AB1D41"/>
    <w:rsid w:val="00AC414D"/>
    <w:rsid w:val="00AC5E9A"/>
    <w:rsid w:val="00AC6ABD"/>
    <w:rsid w:val="00AC704B"/>
    <w:rsid w:val="00AD553E"/>
    <w:rsid w:val="00AD5848"/>
    <w:rsid w:val="00AE5ADA"/>
    <w:rsid w:val="00AE7DE0"/>
    <w:rsid w:val="00AF2391"/>
    <w:rsid w:val="00AF553F"/>
    <w:rsid w:val="00AF6145"/>
    <w:rsid w:val="00B01386"/>
    <w:rsid w:val="00B01B29"/>
    <w:rsid w:val="00B01BB5"/>
    <w:rsid w:val="00B04AF4"/>
    <w:rsid w:val="00B05214"/>
    <w:rsid w:val="00B05707"/>
    <w:rsid w:val="00B0736F"/>
    <w:rsid w:val="00B30D97"/>
    <w:rsid w:val="00B31738"/>
    <w:rsid w:val="00B3181A"/>
    <w:rsid w:val="00B3567D"/>
    <w:rsid w:val="00B35A7C"/>
    <w:rsid w:val="00B450D1"/>
    <w:rsid w:val="00B50881"/>
    <w:rsid w:val="00B53D47"/>
    <w:rsid w:val="00B54A25"/>
    <w:rsid w:val="00B618C3"/>
    <w:rsid w:val="00B63652"/>
    <w:rsid w:val="00B668B0"/>
    <w:rsid w:val="00B70F5C"/>
    <w:rsid w:val="00B71873"/>
    <w:rsid w:val="00B75AE5"/>
    <w:rsid w:val="00B800C0"/>
    <w:rsid w:val="00B8132B"/>
    <w:rsid w:val="00B81B9A"/>
    <w:rsid w:val="00B84C5A"/>
    <w:rsid w:val="00B858F5"/>
    <w:rsid w:val="00B85ADA"/>
    <w:rsid w:val="00B91D41"/>
    <w:rsid w:val="00B93668"/>
    <w:rsid w:val="00B94785"/>
    <w:rsid w:val="00BA5C76"/>
    <w:rsid w:val="00BA68C6"/>
    <w:rsid w:val="00BB12F1"/>
    <w:rsid w:val="00BB276E"/>
    <w:rsid w:val="00BB3FEE"/>
    <w:rsid w:val="00BB5EB0"/>
    <w:rsid w:val="00BB7A27"/>
    <w:rsid w:val="00BB7DA1"/>
    <w:rsid w:val="00BC245A"/>
    <w:rsid w:val="00BC340C"/>
    <w:rsid w:val="00BD16FA"/>
    <w:rsid w:val="00BD41C3"/>
    <w:rsid w:val="00BD488B"/>
    <w:rsid w:val="00BD48BA"/>
    <w:rsid w:val="00BD7CCC"/>
    <w:rsid w:val="00BE002A"/>
    <w:rsid w:val="00BE1BC9"/>
    <w:rsid w:val="00BE5CDA"/>
    <w:rsid w:val="00BE608F"/>
    <w:rsid w:val="00BF23BB"/>
    <w:rsid w:val="00BF33DD"/>
    <w:rsid w:val="00BF5755"/>
    <w:rsid w:val="00BF684B"/>
    <w:rsid w:val="00C016F3"/>
    <w:rsid w:val="00C14CAB"/>
    <w:rsid w:val="00C15193"/>
    <w:rsid w:val="00C15609"/>
    <w:rsid w:val="00C15F6A"/>
    <w:rsid w:val="00C21433"/>
    <w:rsid w:val="00C23EA7"/>
    <w:rsid w:val="00C256F3"/>
    <w:rsid w:val="00C26329"/>
    <w:rsid w:val="00C270A2"/>
    <w:rsid w:val="00C315B5"/>
    <w:rsid w:val="00C31EBA"/>
    <w:rsid w:val="00C32D3A"/>
    <w:rsid w:val="00C35E28"/>
    <w:rsid w:val="00C426AF"/>
    <w:rsid w:val="00C4638E"/>
    <w:rsid w:val="00C469C1"/>
    <w:rsid w:val="00C50659"/>
    <w:rsid w:val="00C51B39"/>
    <w:rsid w:val="00C5338A"/>
    <w:rsid w:val="00C54EF9"/>
    <w:rsid w:val="00C56AB3"/>
    <w:rsid w:val="00C56BBF"/>
    <w:rsid w:val="00C572AA"/>
    <w:rsid w:val="00C57A9A"/>
    <w:rsid w:val="00C6016A"/>
    <w:rsid w:val="00C60B3F"/>
    <w:rsid w:val="00C623EB"/>
    <w:rsid w:val="00C6258A"/>
    <w:rsid w:val="00C627CB"/>
    <w:rsid w:val="00C64C6B"/>
    <w:rsid w:val="00C65138"/>
    <w:rsid w:val="00C66F2E"/>
    <w:rsid w:val="00C6785C"/>
    <w:rsid w:val="00C70FD1"/>
    <w:rsid w:val="00C7292C"/>
    <w:rsid w:val="00C733AA"/>
    <w:rsid w:val="00C80F8C"/>
    <w:rsid w:val="00C83027"/>
    <w:rsid w:val="00C84B8A"/>
    <w:rsid w:val="00C85E65"/>
    <w:rsid w:val="00C87CA1"/>
    <w:rsid w:val="00C911B4"/>
    <w:rsid w:val="00C91B3B"/>
    <w:rsid w:val="00C94262"/>
    <w:rsid w:val="00C976E1"/>
    <w:rsid w:val="00CA148E"/>
    <w:rsid w:val="00CA3A9A"/>
    <w:rsid w:val="00CA689B"/>
    <w:rsid w:val="00CB6BC1"/>
    <w:rsid w:val="00CB7021"/>
    <w:rsid w:val="00CC0A68"/>
    <w:rsid w:val="00CD15DB"/>
    <w:rsid w:val="00CD3294"/>
    <w:rsid w:val="00CD4524"/>
    <w:rsid w:val="00CD784D"/>
    <w:rsid w:val="00CF2E1E"/>
    <w:rsid w:val="00CF40F8"/>
    <w:rsid w:val="00D008DA"/>
    <w:rsid w:val="00D0416F"/>
    <w:rsid w:val="00D053B1"/>
    <w:rsid w:val="00D05851"/>
    <w:rsid w:val="00D10FED"/>
    <w:rsid w:val="00D11736"/>
    <w:rsid w:val="00D1259D"/>
    <w:rsid w:val="00D12EE8"/>
    <w:rsid w:val="00D15FF1"/>
    <w:rsid w:val="00D167F4"/>
    <w:rsid w:val="00D2092A"/>
    <w:rsid w:val="00D2216D"/>
    <w:rsid w:val="00D31A6F"/>
    <w:rsid w:val="00D33293"/>
    <w:rsid w:val="00D353D1"/>
    <w:rsid w:val="00D367DB"/>
    <w:rsid w:val="00D36E05"/>
    <w:rsid w:val="00D44F27"/>
    <w:rsid w:val="00D45304"/>
    <w:rsid w:val="00D461C7"/>
    <w:rsid w:val="00D50424"/>
    <w:rsid w:val="00D55B79"/>
    <w:rsid w:val="00D57D3E"/>
    <w:rsid w:val="00D66955"/>
    <w:rsid w:val="00D71D82"/>
    <w:rsid w:val="00D82D23"/>
    <w:rsid w:val="00D843F4"/>
    <w:rsid w:val="00DB2057"/>
    <w:rsid w:val="00DC23CF"/>
    <w:rsid w:val="00DC60A9"/>
    <w:rsid w:val="00DC6562"/>
    <w:rsid w:val="00DD75B1"/>
    <w:rsid w:val="00DE130D"/>
    <w:rsid w:val="00DE24CF"/>
    <w:rsid w:val="00DE27C2"/>
    <w:rsid w:val="00DE407C"/>
    <w:rsid w:val="00DE7C7D"/>
    <w:rsid w:val="00DF2992"/>
    <w:rsid w:val="00DF2D0C"/>
    <w:rsid w:val="00E01B9D"/>
    <w:rsid w:val="00E04F5E"/>
    <w:rsid w:val="00E0522E"/>
    <w:rsid w:val="00E120F4"/>
    <w:rsid w:val="00E155F9"/>
    <w:rsid w:val="00E17172"/>
    <w:rsid w:val="00E31254"/>
    <w:rsid w:val="00E3146A"/>
    <w:rsid w:val="00E3181C"/>
    <w:rsid w:val="00E3280A"/>
    <w:rsid w:val="00E372AF"/>
    <w:rsid w:val="00E37D68"/>
    <w:rsid w:val="00E40EAE"/>
    <w:rsid w:val="00E436AC"/>
    <w:rsid w:val="00E44FF8"/>
    <w:rsid w:val="00E5066A"/>
    <w:rsid w:val="00E51AF7"/>
    <w:rsid w:val="00E52CF9"/>
    <w:rsid w:val="00E63F34"/>
    <w:rsid w:val="00E65CB2"/>
    <w:rsid w:val="00E6715A"/>
    <w:rsid w:val="00E716CC"/>
    <w:rsid w:val="00E75DC9"/>
    <w:rsid w:val="00E81610"/>
    <w:rsid w:val="00E84910"/>
    <w:rsid w:val="00E85B28"/>
    <w:rsid w:val="00E91976"/>
    <w:rsid w:val="00E936F6"/>
    <w:rsid w:val="00E947A6"/>
    <w:rsid w:val="00E9729F"/>
    <w:rsid w:val="00E97FC7"/>
    <w:rsid w:val="00EA0690"/>
    <w:rsid w:val="00EA3956"/>
    <w:rsid w:val="00EA5571"/>
    <w:rsid w:val="00EC02A5"/>
    <w:rsid w:val="00EC176B"/>
    <w:rsid w:val="00EC33CD"/>
    <w:rsid w:val="00EC3EF9"/>
    <w:rsid w:val="00EC5BE5"/>
    <w:rsid w:val="00ED2650"/>
    <w:rsid w:val="00ED721A"/>
    <w:rsid w:val="00EE393D"/>
    <w:rsid w:val="00EF01CF"/>
    <w:rsid w:val="00EF1FDE"/>
    <w:rsid w:val="00EF2E53"/>
    <w:rsid w:val="00EF6A66"/>
    <w:rsid w:val="00EF7AF9"/>
    <w:rsid w:val="00F0123B"/>
    <w:rsid w:val="00F01495"/>
    <w:rsid w:val="00F01EE6"/>
    <w:rsid w:val="00F10138"/>
    <w:rsid w:val="00F13F92"/>
    <w:rsid w:val="00F1559F"/>
    <w:rsid w:val="00F22ECA"/>
    <w:rsid w:val="00F240E8"/>
    <w:rsid w:val="00F244FA"/>
    <w:rsid w:val="00F3363A"/>
    <w:rsid w:val="00F366A2"/>
    <w:rsid w:val="00F44F43"/>
    <w:rsid w:val="00F450E1"/>
    <w:rsid w:val="00F50DF4"/>
    <w:rsid w:val="00F57AFE"/>
    <w:rsid w:val="00F6278E"/>
    <w:rsid w:val="00F63C41"/>
    <w:rsid w:val="00F63E96"/>
    <w:rsid w:val="00F701E3"/>
    <w:rsid w:val="00F71F8C"/>
    <w:rsid w:val="00F8007C"/>
    <w:rsid w:val="00F80362"/>
    <w:rsid w:val="00F8143B"/>
    <w:rsid w:val="00F86AD4"/>
    <w:rsid w:val="00F92EE4"/>
    <w:rsid w:val="00F973F9"/>
    <w:rsid w:val="00FA0113"/>
    <w:rsid w:val="00FA12B2"/>
    <w:rsid w:val="00FA2A6C"/>
    <w:rsid w:val="00FA5E0B"/>
    <w:rsid w:val="00FA7610"/>
    <w:rsid w:val="00FB02BD"/>
    <w:rsid w:val="00FB2C43"/>
    <w:rsid w:val="00FB398F"/>
    <w:rsid w:val="00FB48D5"/>
    <w:rsid w:val="00FB4EF8"/>
    <w:rsid w:val="00FB6692"/>
    <w:rsid w:val="00FB78DD"/>
    <w:rsid w:val="00FC125E"/>
    <w:rsid w:val="00FC2D3F"/>
    <w:rsid w:val="00FC3EF3"/>
    <w:rsid w:val="00FD2049"/>
    <w:rsid w:val="00FD2140"/>
    <w:rsid w:val="00FD2BAA"/>
    <w:rsid w:val="00FD5964"/>
    <w:rsid w:val="00FD5BDE"/>
    <w:rsid w:val="00FD68EC"/>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749E9073"/>
  <w15:docId w15:val="{A392F149-7611-49EB-99D3-D1331751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basedOn w:val="DefaultParagraphFont"/>
    <w:uiPriority w:val="99"/>
    <w:semiHidden/>
    <w:unhideWhenUsed/>
    <w:rsid w:val="001A1419"/>
    <w:rPr>
      <w:color w:val="605E5C"/>
      <w:shd w:val="clear" w:color="auto" w:fill="E1DFDD"/>
    </w:rPr>
  </w:style>
  <w:style w:type="paragraph" w:styleId="Revision">
    <w:name w:val="Revision"/>
    <w:hidden/>
    <w:uiPriority w:val="99"/>
    <w:semiHidden/>
    <w:rsid w:val="00B3567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kkoushi@cystat.mof.gov.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MethodologicalDetails?m=225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n/8.CYSTAT-DB/8.CYSTAT-DB__Labour%20Market__" TargetMode="External"/><Relationship Id="rId4" Type="http://schemas.openxmlformats.org/officeDocument/2006/relationships/settings" Target="settings.xml"/><Relationship Id="rId9" Type="http://schemas.openxmlformats.org/officeDocument/2006/relationships/hyperlink" Target="https://www.cystat.gov.cy/en/SubthemeStatistics?s=43"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E4ECD-6FC3-4C72-9DDE-3C6E79AB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7238</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Theodoulou  George</cp:lastModifiedBy>
  <cp:revision>5</cp:revision>
  <cp:lastPrinted>2025-06-16T11:55:00Z</cp:lastPrinted>
  <dcterms:created xsi:type="dcterms:W3CDTF">2025-06-16T11:55:00Z</dcterms:created>
  <dcterms:modified xsi:type="dcterms:W3CDTF">2025-06-16T11:59:00Z</dcterms:modified>
</cp:coreProperties>
</file>