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3283" w14:textId="3E1E455E" w:rsidR="007437AB" w:rsidRPr="001641C1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192E813E" w:rsidR="00573F8E" w:rsidRPr="009E3041" w:rsidRDefault="001B40A9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9F5F84">
        <w:rPr>
          <w:rFonts w:ascii="Verdana" w:hAnsi="Verdana" w:cs="Arial"/>
          <w:sz w:val="18"/>
          <w:szCs w:val="18"/>
          <w:lang w:val="el-GR"/>
        </w:rPr>
        <w:t>7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 w:rsidR="003E49BE">
        <w:rPr>
          <w:rFonts w:ascii="Verdana" w:hAnsi="Verdana" w:cs="Arial"/>
          <w:sz w:val="18"/>
          <w:szCs w:val="18"/>
          <w:lang w:val="el-GR"/>
        </w:rPr>
        <w:t>Ιουνίου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>, 202</w:t>
      </w:r>
      <w:r w:rsidR="00B614E6" w:rsidRPr="009E3041">
        <w:rPr>
          <w:rFonts w:ascii="Verdana" w:hAnsi="Verdana" w:cs="Arial"/>
          <w:sz w:val="18"/>
          <w:szCs w:val="18"/>
          <w:lang w:val="el-GR"/>
        </w:rPr>
        <w:t>4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1F315BF1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3E49BE">
        <w:rPr>
          <w:rFonts w:ascii="Verdana" w:eastAsia="Malgun Gothic" w:hAnsi="Verdana" w:cs="Arial"/>
          <w:bCs w:val="0"/>
          <w:sz w:val="21"/>
          <w:szCs w:val="21"/>
        </w:rPr>
        <w:t>1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FF1ADA" w:rsidRPr="00FF1ADA">
        <w:rPr>
          <w:rFonts w:ascii="Verdana" w:eastAsia="Malgun Gothic" w:hAnsi="Verdana" w:cs="Arial"/>
          <w:sz w:val="21"/>
          <w:szCs w:val="21"/>
        </w:rPr>
        <w:t>4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2C2FCEA8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3E49BE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3E49BE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3E49BE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3E49BE">
        <w:rPr>
          <w:rFonts w:ascii="Verdana" w:hAnsi="Verdana"/>
          <w:b/>
          <w:bCs/>
          <w:lang w:val="el-GR"/>
        </w:rPr>
        <w:t>6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53A9ED9A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3E49BE" w:rsidRPr="0037070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370706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3E49BE" w:rsidRPr="00370706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</w:t>
      </w:r>
      <w:bookmarkStart w:id="0" w:name="_Hlk160611332"/>
      <w:r w:rsidRPr="00370706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666F42" w:rsidRPr="00370706">
        <w:rPr>
          <w:rFonts w:ascii="Verdana" w:eastAsia="Malgun Gothic" w:hAnsi="Verdana" w:cs="Arial"/>
          <w:sz w:val="18"/>
          <w:szCs w:val="18"/>
          <w:lang w:val="el-GR"/>
        </w:rPr>
        <w:t>7</w:t>
      </w:r>
      <w:bookmarkEnd w:id="0"/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4.58</w:t>
      </w:r>
      <w:r w:rsidR="001641C1" w:rsidRPr="00503723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άτομα, εκ των οποίων 4</w:t>
      </w:r>
      <w:r w:rsidR="001B6DDA" w:rsidRPr="00370706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09</w:t>
      </w:r>
      <w:r w:rsidR="00503723" w:rsidRPr="00503723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 w:rsidR="009B6DCC" w:rsidRPr="00370706">
        <w:rPr>
          <w:rFonts w:ascii="Verdana" w:eastAsia="Malgun Gothic" w:hAnsi="Verdana" w:cs="Arial"/>
          <w:sz w:val="18"/>
          <w:szCs w:val="18"/>
          <w:lang w:val="el-GR"/>
        </w:rPr>
        <w:t>49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B6DCC" w:rsidRPr="00370706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503723" w:rsidRPr="00503723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Pr="00370706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5BD95AE4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370706">
        <w:rPr>
          <w:rFonts w:ascii="Verdana" w:hAnsi="Verdana"/>
          <w:bCs/>
          <w:iCs/>
          <w:sz w:val="18"/>
          <w:szCs w:val="18"/>
          <w:lang w:val="el-GR"/>
        </w:rPr>
        <w:t>Συγκριτικά με το αντίστοιχο τρίμηνο του 202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, η συνολική απασχόληση για το 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1</w:t>
      </w:r>
      <w:r w:rsidRPr="00370706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4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αυξήθηκε κατά 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1B40A9" w:rsidRPr="00370706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%. Οι σημαντικότερες ποσοστιαίες αυξήσεις παρατηρήθηκαν στους τομείς </w:t>
      </w:r>
      <w:r w:rsidR="00536203"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των Διοικητικών και Υποστηρικτικών Δραστηριοτήτων </w:t>
      </w:r>
      <w:r w:rsidR="00536203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(NACE Ν), </w:t>
      </w:r>
      <w:r w:rsidR="0052152A">
        <w:rPr>
          <w:rFonts w:ascii="Verdana" w:hAnsi="Verdana"/>
          <w:bCs/>
          <w:iCs/>
          <w:sz w:val="18"/>
          <w:szCs w:val="18"/>
          <w:lang w:val="el-GR"/>
        </w:rPr>
        <w:t>της Εκπαίδευσης (</w:t>
      </w:r>
      <w:r w:rsidR="0052152A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NACE </w:t>
      </w:r>
      <w:r w:rsidR="0052152A">
        <w:rPr>
          <w:rFonts w:ascii="Verdana" w:hAnsi="Verdana"/>
          <w:bCs/>
          <w:iCs/>
          <w:sz w:val="18"/>
          <w:szCs w:val="18"/>
        </w:rPr>
        <w:t>P</w:t>
      </w:r>
      <w:r w:rsidR="0052152A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323A14" w:rsidRPr="00323A14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52152A">
        <w:rPr>
          <w:rFonts w:ascii="Verdana" w:hAnsi="Verdana"/>
          <w:bCs/>
          <w:iCs/>
          <w:sz w:val="18"/>
          <w:szCs w:val="18"/>
          <w:lang w:val="el-GR"/>
        </w:rPr>
        <w:t>και</w:t>
      </w:r>
      <w:r w:rsidR="00E20CA4" w:rsidRPr="00E20CA4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536203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των </w:t>
      </w:r>
      <w:r w:rsidR="00DE73ED" w:rsidRPr="00DE73ED">
        <w:rPr>
          <w:rFonts w:ascii="Verdana" w:hAnsi="Verdana"/>
          <w:bCs/>
          <w:iCs/>
          <w:sz w:val="18"/>
          <w:szCs w:val="18"/>
          <w:lang w:val="el-GR"/>
        </w:rPr>
        <w:t>Δραστηρι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ο</w:t>
      </w:r>
      <w:r w:rsidR="00DE73ED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ή</w:t>
      </w:r>
      <w:r w:rsidR="00DE73ED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ων</w:t>
      </w:r>
      <w:r w:rsidR="00DE73ED" w:rsidRPr="00DE73ED">
        <w:rPr>
          <w:rFonts w:ascii="Verdana" w:hAnsi="Verdana"/>
          <w:bCs/>
          <w:iCs/>
          <w:sz w:val="18"/>
          <w:szCs w:val="18"/>
          <w:lang w:val="el-GR"/>
        </w:rPr>
        <w:t xml:space="preserve"> Υπηρεσιών Παροχής Καταλύματος και Υπηρεσιών Εστίασης</w:t>
      </w:r>
      <w:r w:rsidR="009E3041" w:rsidRPr="009E3041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536203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(NACE </w:t>
      </w:r>
      <w:r w:rsidR="00E20CA4">
        <w:rPr>
          <w:rFonts w:ascii="Verdana" w:hAnsi="Verdana"/>
          <w:bCs/>
          <w:iCs/>
          <w:sz w:val="18"/>
          <w:szCs w:val="18"/>
        </w:rPr>
        <w:t>I</w:t>
      </w:r>
      <w:r w:rsidR="0052152A">
        <w:rPr>
          <w:rFonts w:ascii="Verdana" w:hAnsi="Verdana"/>
          <w:bCs/>
          <w:iCs/>
          <w:sz w:val="18"/>
          <w:szCs w:val="18"/>
          <w:lang w:val="el-GR"/>
        </w:rPr>
        <w:t>).</w:t>
      </w:r>
    </w:p>
    <w:p w14:paraId="15236589" w14:textId="77777777" w:rsidR="00573F8E" w:rsidRPr="00C24715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B77C47" w14:textId="0123BB76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3AD8B713" w14:textId="63D7706D" w:rsidR="00573F8E" w:rsidRPr="00525B09" w:rsidRDefault="00525B09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3D23F920" wp14:editId="148F986E">
            <wp:extent cx="6059805" cy="4005580"/>
            <wp:effectExtent l="0" t="0" r="0" b="0"/>
            <wp:docPr id="6716024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E9804" w14:textId="483AD0C2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7493B57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6F425BA" w14:textId="77777777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lastRenderedPageBreak/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3C8E2AE9" w14:textId="3C80D3D1" w:rsidR="00BF5394" w:rsidRPr="0052152A" w:rsidRDefault="00573F8E" w:rsidP="00BF5394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3E49B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3E49BE">
        <w:rPr>
          <w:rFonts w:ascii="Verdana" w:hAnsi="Verdana"/>
          <w:bCs/>
          <w:iCs/>
          <w:sz w:val="18"/>
          <w:szCs w:val="18"/>
          <w:lang w:val="el-GR"/>
        </w:rPr>
        <w:t>4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στις </w:t>
      </w:r>
      <w:bookmarkStart w:id="1" w:name="_Hlk160611370"/>
      <w:r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9446CC" w:rsidRPr="00370706">
        <w:rPr>
          <w:rFonts w:ascii="Verdana" w:hAnsi="Verdana"/>
          <w:bCs/>
          <w:iCs/>
          <w:sz w:val="18"/>
          <w:szCs w:val="18"/>
          <w:lang w:val="el-GR"/>
        </w:rPr>
        <w:t>17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.</w:t>
      </w:r>
      <w:r w:rsidR="009446CC" w:rsidRPr="00370706">
        <w:rPr>
          <w:rFonts w:ascii="Verdana" w:hAnsi="Verdana"/>
          <w:bCs/>
          <w:iCs/>
          <w:sz w:val="18"/>
          <w:szCs w:val="18"/>
          <w:lang w:val="el-GR"/>
        </w:rPr>
        <w:t>668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bookmarkEnd w:id="1"/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χιλιάδες, με ποσοστό αύξησης 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6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3E49BE" w:rsidRPr="00370706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. Οι σημαντικότερες ποσοστιαίες αυξήσεις παρατηρήθηκαν στους τομείς </w:t>
      </w:r>
      <w:r w:rsidR="001B6DDA"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των Διοικητικών και Υποστηρικτικών Δραστηριοτήτων </w:t>
      </w:r>
      <w:r w:rsidR="001B6DDA" w:rsidRPr="00536203">
        <w:rPr>
          <w:rFonts w:ascii="Verdana" w:hAnsi="Verdana"/>
          <w:bCs/>
          <w:iCs/>
          <w:sz w:val="18"/>
          <w:szCs w:val="18"/>
          <w:lang w:val="el-GR"/>
        </w:rPr>
        <w:t>(NACE Ν)</w:t>
      </w:r>
      <w:r w:rsidR="001B6DDA" w:rsidRPr="001B6DDA">
        <w:rPr>
          <w:rFonts w:ascii="Verdana" w:hAnsi="Verdana"/>
          <w:bCs/>
          <w:iCs/>
          <w:sz w:val="18"/>
          <w:szCs w:val="18"/>
          <w:lang w:val="el-GR"/>
        </w:rPr>
        <w:t xml:space="preserve">, </w:t>
      </w:r>
      <w:r w:rsidR="0052152A">
        <w:rPr>
          <w:rFonts w:ascii="Verdana" w:hAnsi="Verdana"/>
          <w:bCs/>
          <w:iCs/>
          <w:sz w:val="18"/>
          <w:szCs w:val="18"/>
          <w:lang w:val="el-GR"/>
        </w:rPr>
        <w:t>της Εκπαίδευσης (</w:t>
      </w:r>
      <w:r w:rsidR="0052152A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NACE </w:t>
      </w:r>
      <w:r w:rsidR="0052152A">
        <w:rPr>
          <w:rFonts w:ascii="Verdana" w:hAnsi="Verdana"/>
          <w:bCs/>
          <w:iCs/>
          <w:sz w:val="18"/>
          <w:szCs w:val="18"/>
        </w:rPr>
        <w:t>P</w:t>
      </w:r>
      <w:r w:rsidR="0052152A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8752F9" w:rsidRPr="008752F9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52152A">
        <w:rPr>
          <w:rFonts w:ascii="Verdana" w:hAnsi="Verdana"/>
          <w:bCs/>
          <w:iCs/>
          <w:sz w:val="18"/>
          <w:szCs w:val="18"/>
          <w:lang w:val="el-GR"/>
        </w:rPr>
        <w:t xml:space="preserve">και </w:t>
      </w:r>
      <w:r w:rsidR="00536203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των 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>Δραστηρι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ο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ή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ων</w:t>
      </w:r>
      <w:r w:rsidR="00E20CA4" w:rsidRPr="00DE73ED">
        <w:rPr>
          <w:rFonts w:ascii="Verdana" w:hAnsi="Verdana"/>
          <w:bCs/>
          <w:iCs/>
          <w:sz w:val="18"/>
          <w:szCs w:val="18"/>
          <w:lang w:val="el-GR"/>
        </w:rPr>
        <w:t xml:space="preserve"> Υπηρεσιών Παροχής Καταλύματος και Υπηρεσιών Εστίασης</w:t>
      </w:r>
      <w:r w:rsidR="00E20CA4" w:rsidRPr="009E3041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E20CA4" w:rsidRPr="00536203">
        <w:rPr>
          <w:rFonts w:ascii="Verdana" w:hAnsi="Verdana"/>
          <w:bCs/>
          <w:iCs/>
          <w:sz w:val="18"/>
          <w:szCs w:val="18"/>
          <w:lang w:val="el-GR"/>
        </w:rPr>
        <w:t xml:space="preserve">(NACE </w:t>
      </w:r>
      <w:r w:rsidR="00E20CA4">
        <w:rPr>
          <w:rFonts w:ascii="Verdana" w:hAnsi="Verdana"/>
          <w:bCs/>
          <w:iCs/>
          <w:sz w:val="18"/>
          <w:szCs w:val="18"/>
        </w:rPr>
        <w:t>I</w:t>
      </w:r>
      <w:r w:rsidR="00E20CA4">
        <w:rPr>
          <w:rFonts w:ascii="Verdana" w:hAnsi="Verdana"/>
          <w:bCs/>
          <w:iCs/>
          <w:sz w:val="18"/>
          <w:szCs w:val="18"/>
          <w:lang w:val="el-GR"/>
        </w:rPr>
        <w:t>).</w:t>
      </w:r>
    </w:p>
    <w:p w14:paraId="17630AC5" w14:textId="67DF495B" w:rsidR="00573F8E" w:rsidRDefault="00573F8E" w:rsidP="00536203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4DA0D426" w14:textId="77777777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6B9700B9" w:rsidR="00573F8E" w:rsidRDefault="00525B09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151DC5C0" wp14:editId="67B37B88">
            <wp:extent cx="6071870" cy="4011295"/>
            <wp:effectExtent l="0" t="0" r="5080" b="8255"/>
            <wp:docPr id="7293799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999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416482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5DB29BB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0A9539B" w14:textId="77777777" w:rsidR="00D2505B" w:rsidRDefault="00D2505B">
      <w:pPr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3DBC3728" w14:textId="7E2BC81F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573F8E">
      <w:pPr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09BEC1ED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F8E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F8E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F8E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6224B0E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F8E" w:rsidRPr="00573F8E">
        <w:rPr>
          <w:rFonts w:ascii="Verdana" w:hAnsi="Verdana"/>
          <w:sz w:val="18"/>
          <w:szCs w:val="18"/>
          <w:lang w:val="el-GR"/>
        </w:rPr>
        <w:t xml:space="preserve"> (</w:t>
      </w:r>
      <w:r w:rsidR="00573F8E" w:rsidRPr="00573F8E">
        <w:rPr>
          <w:rFonts w:ascii="Verdana" w:hAnsi="Verdana"/>
          <w:sz w:val="18"/>
          <w:szCs w:val="18"/>
        </w:rPr>
        <w:t>Excel</w:t>
      </w:r>
      <w:r w:rsidR="00573F8E" w:rsidRPr="00573F8E">
        <w:rPr>
          <w:rFonts w:ascii="Verdana" w:hAnsi="Verdana"/>
          <w:sz w:val="18"/>
          <w:szCs w:val="18"/>
          <w:lang w:val="el-GR"/>
        </w:rPr>
        <w:t>)</w:t>
      </w:r>
    </w:p>
    <w:p w14:paraId="1CA64D80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6D3BD097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73F8E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73F8E">
        <w:rPr>
          <w:rFonts w:ascii="Verdana" w:hAnsi="Verdana"/>
          <w:b/>
          <w:bCs/>
          <w:sz w:val="18"/>
          <w:szCs w:val="18"/>
        </w:rPr>
        <w:t>Excel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 w:rsidRPr="00573F8E">
        <w:rPr>
          <w:rFonts w:ascii="Verdana" w:hAnsi="Verdana"/>
          <w:b/>
          <w:bCs/>
          <w:sz w:val="18"/>
          <w:szCs w:val="18"/>
        </w:rPr>
        <w:t>CYSTAT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73F8E">
        <w:rPr>
          <w:rFonts w:ascii="Verdana" w:hAnsi="Verdana"/>
          <w:b/>
          <w:bCs/>
          <w:sz w:val="18"/>
          <w:szCs w:val="18"/>
        </w:rPr>
        <w:t>DB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ABE11BD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4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D053C" w14:textId="77777777" w:rsidR="006220E0" w:rsidRDefault="006220E0" w:rsidP="00FB398F">
      <w:r>
        <w:separator/>
      </w:r>
    </w:p>
  </w:endnote>
  <w:endnote w:type="continuationSeparator" w:id="0">
    <w:p w14:paraId="201FA747" w14:textId="77777777" w:rsidR="006220E0" w:rsidRDefault="006220E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525B09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37715" w14:textId="77777777" w:rsidR="006220E0" w:rsidRDefault="006220E0" w:rsidP="00FB398F">
      <w:r>
        <w:separator/>
      </w:r>
    </w:p>
  </w:footnote>
  <w:footnote w:type="continuationSeparator" w:id="0">
    <w:p w14:paraId="3659B1B0" w14:textId="77777777" w:rsidR="006220E0" w:rsidRDefault="006220E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538154">
    <w:abstractNumId w:val="4"/>
  </w:num>
  <w:num w:numId="2" w16cid:durableId="2117629250">
    <w:abstractNumId w:val="1"/>
  </w:num>
  <w:num w:numId="3" w16cid:durableId="2143690121">
    <w:abstractNumId w:val="2"/>
  </w:num>
  <w:num w:numId="4" w16cid:durableId="1744645568">
    <w:abstractNumId w:val="3"/>
  </w:num>
  <w:num w:numId="5" w16cid:durableId="1906715304">
    <w:abstractNumId w:val="0"/>
  </w:num>
  <w:num w:numId="6" w16cid:durableId="1620574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8B2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41C1"/>
    <w:rsid w:val="0016589F"/>
    <w:rsid w:val="00167B20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40A9"/>
    <w:rsid w:val="001B5E10"/>
    <w:rsid w:val="001B6AB3"/>
    <w:rsid w:val="001B6DDA"/>
    <w:rsid w:val="001B73D5"/>
    <w:rsid w:val="001C0681"/>
    <w:rsid w:val="001C4B16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4BAD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3A14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70706"/>
    <w:rsid w:val="00386FC7"/>
    <w:rsid w:val="00390A32"/>
    <w:rsid w:val="003A1E91"/>
    <w:rsid w:val="003A40F2"/>
    <w:rsid w:val="003A50D1"/>
    <w:rsid w:val="003B196D"/>
    <w:rsid w:val="003B2710"/>
    <w:rsid w:val="003B4608"/>
    <w:rsid w:val="003B4C4A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9BE"/>
    <w:rsid w:val="003F49E4"/>
    <w:rsid w:val="003F4D2F"/>
    <w:rsid w:val="003F5E32"/>
    <w:rsid w:val="003F75F6"/>
    <w:rsid w:val="00402109"/>
    <w:rsid w:val="0040467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40A8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3723"/>
    <w:rsid w:val="00505503"/>
    <w:rsid w:val="0051107B"/>
    <w:rsid w:val="00512F9C"/>
    <w:rsid w:val="0052152A"/>
    <w:rsid w:val="00525B09"/>
    <w:rsid w:val="00527CDB"/>
    <w:rsid w:val="005341C9"/>
    <w:rsid w:val="00536203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8190E"/>
    <w:rsid w:val="005978D4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20E0"/>
    <w:rsid w:val="0062327B"/>
    <w:rsid w:val="00631166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6F42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01D"/>
    <w:rsid w:val="007A4367"/>
    <w:rsid w:val="007B0867"/>
    <w:rsid w:val="007B1AC1"/>
    <w:rsid w:val="007B5A08"/>
    <w:rsid w:val="007B693D"/>
    <w:rsid w:val="007C4CDC"/>
    <w:rsid w:val="007D6C7E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52F9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46CC"/>
    <w:rsid w:val="00947889"/>
    <w:rsid w:val="009478BD"/>
    <w:rsid w:val="00960E98"/>
    <w:rsid w:val="00963A82"/>
    <w:rsid w:val="00972912"/>
    <w:rsid w:val="00973BFC"/>
    <w:rsid w:val="00976D1F"/>
    <w:rsid w:val="00981C81"/>
    <w:rsid w:val="009A2D24"/>
    <w:rsid w:val="009A456C"/>
    <w:rsid w:val="009B00E0"/>
    <w:rsid w:val="009B292A"/>
    <w:rsid w:val="009B6DCC"/>
    <w:rsid w:val="009B76D5"/>
    <w:rsid w:val="009C165D"/>
    <w:rsid w:val="009C3CEA"/>
    <w:rsid w:val="009C583D"/>
    <w:rsid w:val="009D2611"/>
    <w:rsid w:val="009D79D2"/>
    <w:rsid w:val="009E247C"/>
    <w:rsid w:val="009E3041"/>
    <w:rsid w:val="009E31BA"/>
    <w:rsid w:val="009F0528"/>
    <w:rsid w:val="009F0806"/>
    <w:rsid w:val="009F233B"/>
    <w:rsid w:val="009F5F84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3D58"/>
    <w:rsid w:val="00B04AF4"/>
    <w:rsid w:val="00B05214"/>
    <w:rsid w:val="00B30D97"/>
    <w:rsid w:val="00B31074"/>
    <w:rsid w:val="00B3181A"/>
    <w:rsid w:val="00B35A7C"/>
    <w:rsid w:val="00B44ECD"/>
    <w:rsid w:val="00B450D1"/>
    <w:rsid w:val="00B53D47"/>
    <w:rsid w:val="00B54A25"/>
    <w:rsid w:val="00B614E6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D16FA"/>
    <w:rsid w:val="00BD41C3"/>
    <w:rsid w:val="00BD488B"/>
    <w:rsid w:val="00BD7CCC"/>
    <w:rsid w:val="00BE002A"/>
    <w:rsid w:val="00BE0283"/>
    <w:rsid w:val="00BE1BC9"/>
    <w:rsid w:val="00BE55CC"/>
    <w:rsid w:val="00BE5CDA"/>
    <w:rsid w:val="00BE608F"/>
    <w:rsid w:val="00BF23BB"/>
    <w:rsid w:val="00BF33DD"/>
    <w:rsid w:val="00BF5394"/>
    <w:rsid w:val="00BF5755"/>
    <w:rsid w:val="00BF684B"/>
    <w:rsid w:val="00C016F3"/>
    <w:rsid w:val="00C15193"/>
    <w:rsid w:val="00C15609"/>
    <w:rsid w:val="00C15F6A"/>
    <w:rsid w:val="00C23EA7"/>
    <w:rsid w:val="00C24715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1E2"/>
    <w:rsid w:val="00D10FED"/>
    <w:rsid w:val="00D11736"/>
    <w:rsid w:val="00D12EE8"/>
    <w:rsid w:val="00D14CDF"/>
    <w:rsid w:val="00D15FF1"/>
    <w:rsid w:val="00D167F4"/>
    <w:rsid w:val="00D2092A"/>
    <w:rsid w:val="00D2216D"/>
    <w:rsid w:val="00D2505B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06DA"/>
    <w:rsid w:val="00DC23CF"/>
    <w:rsid w:val="00DC6562"/>
    <w:rsid w:val="00DE130D"/>
    <w:rsid w:val="00DE24CF"/>
    <w:rsid w:val="00DE407C"/>
    <w:rsid w:val="00DE73ED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0C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ADA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l/MethodologicalDetails?m=214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National%20Account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demetri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CE6F-2F3F-4B31-A2CA-20380AF9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25</cp:revision>
  <cp:lastPrinted>2024-06-05T10:45:00Z</cp:lastPrinted>
  <dcterms:created xsi:type="dcterms:W3CDTF">2023-09-06T07:51:00Z</dcterms:created>
  <dcterms:modified xsi:type="dcterms:W3CDTF">2024-06-07T06:18:00Z</dcterms:modified>
</cp:coreProperties>
</file>