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8272" w14:textId="6DDC6A78" w:rsidR="007437AB" w:rsidRDefault="007437AB" w:rsidP="006F1E66">
      <w:pPr>
        <w:jc w:val="both"/>
        <w:rPr>
          <w:rFonts w:ascii="Verdana" w:hAnsi="Verdana" w:cs="Arial"/>
          <w:sz w:val="18"/>
          <w:szCs w:val="18"/>
          <w:lang w:val="el-GR"/>
        </w:rPr>
      </w:pPr>
    </w:p>
    <w:p w14:paraId="3BED5D5A" w14:textId="77777777" w:rsidR="00980ECC" w:rsidRDefault="00980ECC" w:rsidP="006F1E66">
      <w:pPr>
        <w:jc w:val="both"/>
        <w:rPr>
          <w:rFonts w:ascii="Verdana" w:hAnsi="Verdana" w:cs="Arial"/>
          <w:sz w:val="18"/>
          <w:szCs w:val="18"/>
          <w:lang w:val="el-GR"/>
        </w:rPr>
      </w:pPr>
    </w:p>
    <w:p w14:paraId="046BC060" w14:textId="0E14F588" w:rsidR="00980ECC" w:rsidRPr="009713EA" w:rsidRDefault="00980ECC" w:rsidP="00980ECC">
      <w:pPr>
        <w:tabs>
          <w:tab w:val="left" w:pos="1080"/>
          <w:tab w:val="left" w:pos="7088"/>
        </w:tabs>
        <w:jc w:val="right"/>
        <w:rPr>
          <w:rFonts w:ascii="Verdana" w:hAnsi="Verdana" w:cs="Arial"/>
          <w:sz w:val="18"/>
          <w:szCs w:val="18"/>
        </w:rPr>
      </w:pPr>
      <w:r w:rsidRPr="00FB0750">
        <w:rPr>
          <w:rFonts w:ascii="Verdana" w:hAnsi="Verdana" w:cs="Arial"/>
          <w:sz w:val="18"/>
          <w:szCs w:val="18"/>
        </w:rPr>
        <w:t xml:space="preserve">           </w:t>
      </w:r>
      <w:r w:rsidR="00C61919" w:rsidRPr="00D03489">
        <w:rPr>
          <w:rFonts w:ascii="Verdana" w:hAnsi="Verdana" w:cs="Arial"/>
          <w:sz w:val="18"/>
          <w:szCs w:val="18"/>
        </w:rPr>
        <w:t>7</w:t>
      </w:r>
      <w:r w:rsidRPr="00FB0750">
        <w:rPr>
          <w:rFonts w:ascii="Verdana" w:hAnsi="Verdana" w:cs="Arial"/>
          <w:sz w:val="18"/>
          <w:szCs w:val="18"/>
        </w:rPr>
        <w:t xml:space="preserve"> </w:t>
      </w:r>
      <w:r w:rsidR="00380EC8">
        <w:rPr>
          <w:rFonts w:ascii="Verdana" w:hAnsi="Verdana" w:cs="Arial"/>
          <w:sz w:val="18"/>
          <w:szCs w:val="18"/>
        </w:rPr>
        <w:t>June</w:t>
      </w:r>
      <w:r w:rsidRPr="00FB0750">
        <w:rPr>
          <w:rFonts w:ascii="Verdana" w:hAnsi="Verdana" w:cs="Arial"/>
          <w:sz w:val="18"/>
          <w:szCs w:val="18"/>
        </w:rPr>
        <w:t>, 202</w:t>
      </w:r>
      <w:r w:rsidR="00191774">
        <w:rPr>
          <w:rFonts w:ascii="Verdana" w:hAnsi="Verdana" w:cs="Arial"/>
          <w:sz w:val="18"/>
          <w:szCs w:val="18"/>
        </w:rPr>
        <w:t>4</w:t>
      </w:r>
    </w:p>
    <w:p w14:paraId="34BFE291" w14:textId="77777777" w:rsidR="00980ECC" w:rsidRDefault="00980ECC" w:rsidP="00980ECC">
      <w:pPr>
        <w:rPr>
          <w:rFonts w:ascii="Verdana" w:eastAsia="Malgun Gothic" w:hAnsi="Verdana" w:cs="Arial"/>
          <w:b/>
          <w:sz w:val="18"/>
          <w:szCs w:val="18"/>
        </w:rPr>
      </w:pPr>
    </w:p>
    <w:p w14:paraId="0EA1399C" w14:textId="77777777" w:rsidR="00E4519A" w:rsidRPr="00FB0750" w:rsidRDefault="00E4519A" w:rsidP="00980ECC">
      <w:pPr>
        <w:rPr>
          <w:rFonts w:ascii="Verdana" w:eastAsia="Malgun Gothic" w:hAnsi="Verdana" w:cs="Arial"/>
          <w:b/>
          <w:sz w:val="18"/>
          <w:szCs w:val="18"/>
        </w:rPr>
      </w:pPr>
    </w:p>
    <w:p w14:paraId="4063974A" w14:textId="77777777" w:rsidR="00980ECC" w:rsidRPr="006E4E4D" w:rsidRDefault="00980ECC" w:rsidP="00980ECC">
      <w:pPr>
        <w:jc w:val="center"/>
        <w:rPr>
          <w:rFonts w:ascii="Verdana" w:eastAsia="Malgun Gothic" w:hAnsi="Verdana" w:cs="Arial"/>
          <w:b/>
          <w:sz w:val="24"/>
          <w:szCs w:val="24"/>
        </w:rPr>
      </w:pPr>
      <w:r>
        <w:rPr>
          <w:rFonts w:ascii="Verdana" w:eastAsia="Malgun Gothic" w:hAnsi="Verdana" w:cs="Arial"/>
          <w:b/>
          <w:sz w:val="24"/>
          <w:szCs w:val="24"/>
        </w:rPr>
        <w:t>PRESS RELEASE</w:t>
      </w:r>
    </w:p>
    <w:p w14:paraId="47AFB7B7" w14:textId="77777777" w:rsidR="00980ECC" w:rsidRPr="006E4E4D" w:rsidRDefault="00980ECC" w:rsidP="00980ECC">
      <w:pPr>
        <w:rPr>
          <w:rFonts w:ascii="Verdana" w:eastAsia="Malgun Gothic" w:hAnsi="Verdana" w:cs="Arial"/>
        </w:rPr>
      </w:pPr>
    </w:p>
    <w:p w14:paraId="3B27CC69" w14:textId="5A5B0633" w:rsidR="00980ECC" w:rsidRPr="00004D35" w:rsidRDefault="00980ECC" w:rsidP="00980ECC">
      <w:pPr>
        <w:pStyle w:val="Heading6"/>
        <w:tabs>
          <w:tab w:val="clear" w:pos="6840"/>
        </w:tabs>
        <w:jc w:val="left"/>
        <w:rPr>
          <w:rFonts w:ascii="Verdana" w:eastAsia="Malgun Gothic" w:hAnsi="Verdana" w:cs="Arial"/>
          <w:b w:val="0"/>
          <w:szCs w:val="22"/>
          <w:lang w:val="en-US"/>
        </w:rPr>
      </w:pPr>
      <w:r w:rsidRPr="003757B5">
        <w:rPr>
          <w:rFonts w:ascii="Verdana" w:eastAsia="Malgun Gothic" w:hAnsi="Verdana" w:cs="Arial"/>
          <w:b w:val="0"/>
          <w:szCs w:val="22"/>
          <w:lang w:val="en-US"/>
        </w:rPr>
        <w:t>EMPLOYMENT - NATIONAL ACCOUNTS:</w:t>
      </w:r>
      <w:r>
        <w:rPr>
          <w:rFonts w:ascii="Verdana" w:eastAsia="Malgun Gothic" w:hAnsi="Verdana" w:cs="Arial"/>
          <w:b w:val="0"/>
          <w:szCs w:val="22"/>
          <w:lang w:val="en-US"/>
        </w:rPr>
        <w:t xml:space="preserve"> </w:t>
      </w:r>
      <w:r w:rsidR="00380EC8">
        <w:rPr>
          <w:rFonts w:ascii="Verdana" w:eastAsia="Malgun Gothic" w:hAnsi="Verdana" w:cs="Arial"/>
          <w:szCs w:val="22"/>
          <w:lang w:val="en-US"/>
        </w:rPr>
        <w:t>1st</w:t>
      </w:r>
      <w:r>
        <w:rPr>
          <w:rFonts w:ascii="Verdana" w:eastAsia="Malgun Gothic" w:hAnsi="Verdana" w:cs="Arial"/>
          <w:szCs w:val="22"/>
          <w:lang w:val="en-US"/>
        </w:rPr>
        <w:t xml:space="preserve"> </w:t>
      </w:r>
      <w:r w:rsidRPr="003757B5">
        <w:rPr>
          <w:rFonts w:ascii="Verdana" w:eastAsia="Malgun Gothic" w:hAnsi="Verdana" w:cs="Arial"/>
          <w:szCs w:val="22"/>
          <w:lang w:val="en-US"/>
        </w:rPr>
        <w:t>QUARTER 20</w:t>
      </w:r>
      <w:r>
        <w:rPr>
          <w:rFonts w:ascii="Verdana" w:eastAsia="Malgun Gothic" w:hAnsi="Verdana" w:cs="Arial"/>
          <w:szCs w:val="22"/>
          <w:lang w:val="en-US"/>
        </w:rPr>
        <w:t>2</w:t>
      </w:r>
      <w:r w:rsidR="00380EC8">
        <w:rPr>
          <w:rFonts w:ascii="Verdana" w:eastAsia="Malgun Gothic" w:hAnsi="Verdana" w:cs="Arial"/>
          <w:szCs w:val="22"/>
          <w:lang w:val="en-US"/>
        </w:rPr>
        <w:t>4</w:t>
      </w:r>
      <w:r w:rsidR="007C3AF6" w:rsidRPr="007C3AF6">
        <w:rPr>
          <w:rFonts w:ascii="Verdana" w:eastAsia="Malgun Gothic" w:hAnsi="Verdana" w:cs="Arial"/>
          <w:szCs w:val="22"/>
          <w:lang w:val="en-US"/>
        </w:rPr>
        <w:t xml:space="preserve"> </w:t>
      </w:r>
      <w:r w:rsidR="007C3AF6" w:rsidRPr="007C3AF6">
        <w:rPr>
          <w:rFonts w:ascii="Verdana" w:eastAsia="Malgun Gothic" w:hAnsi="Verdana" w:cs="Arial"/>
          <w:b w:val="0"/>
          <w:bCs w:val="0"/>
          <w:szCs w:val="22"/>
          <w:lang w:val="en-US"/>
        </w:rPr>
        <w:t>(Provisional Estimate)</w:t>
      </w:r>
    </w:p>
    <w:p w14:paraId="00D9A553" w14:textId="77777777" w:rsidR="00980ECC" w:rsidRDefault="00980ECC" w:rsidP="00980ECC">
      <w:pPr>
        <w:rPr>
          <w:rFonts w:ascii="Verdana" w:eastAsia="Malgun Gothic" w:hAnsi="Verdana" w:cs="Arial"/>
          <w:sz w:val="18"/>
          <w:szCs w:val="18"/>
        </w:rPr>
      </w:pPr>
      <w:bookmarkStart w:id="0" w:name="_Hlk57720576"/>
    </w:p>
    <w:p w14:paraId="5CB3C9C5" w14:textId="77777777" w:rsidR="00E4519A" w:rsidRDefault="00E4519A" w:rsidP="00980ECC">
      <w:pPr>
        <w:rPr>
          <w:rFonts w:ascii="Verdana" w:eastAsia="Malgun Gothic" w:hAnsi="Verdana" w:cs="Arial"/>
          <w:sz w:val="18"/>
          <w:szCs w:val="18"/>
        </w:rPr>
      </w:pPr>
    </w:p>
    <w:p w14:paraId="38A81813" w14:textId="2394913F" w:rsidR="00980ECC" w:rsidRPr="00886F1C" w:rsidRDefault="00980ECC" w:rsidP="00980ECC">
      <w:pPr>
        <w:jc w:val="center"/>
        <w:rPr>
          <w:rFonts w:ascii="Verdana" w:eastAsia="Malgun Gothic" w:hAnsi="Verdana" w:cs="Arial"/>
          <w:b/>
          <w:bCs/>
        </w:rPr>
      </w:pPr>
      <w:r w:rsidRPr="00886F1C">
        <w:rPr>
          <w:rFonts w:ascii="Verdana" w:eastAsia="Malgun Gothic" w:hAnsi="Verdana" w:cs="Arial"/>
          <w:b/>
          <w:bCs/>
        </w:rPr>
        <w:t>Annual Change +</w:t>
      </w:r>
      <w:r w:rsidR="006B67CD">
        <w:rPr>
          <w:rFonts w:ascii="Verdana" w:eastAsia="Malgun Gothic" w:hAnsi="Verdana" w:cs="Arial"/>
          <w:b/>
          <w:bCs/>
        </w:rPr>
        <w:t>2</w:t>
      </w:r>
      <w:r w:rsidRPr="00886F1C">
        <w:rPr>
          <w:rFonts w:ascii="Verdana" w:eastAsia="Malgun Gothic" w:hAnsi="Verdana" w:cs="Arial"/>
          <w:b/>
          <w:bCs/>
        </w:rPr>
        <w:t>,</w:t>
      </w:r>
      <w:r w:rsidR="006B67CD">
        <w:rPr>
          <w:rFonts w:ascii="Verdana" w:eastAsia="Malgun Gothic" w:hAnsi="Verdana" w:cs="Arial"/>
          <w:b/>
          <w:bCs/>
        </w:rPr>
        <w:t>2</w:t>
      </w:r>
      <w:r w:rsidRPr="00886F1C">
        <w:rPr>
          <w:rFonts w:ascii="Verdana" w:eastAsia="Malgun Gothic" w:hAnsi="Verdana" w:cs="Arial"/>
          <w:b/>
          <w:bCs/>
        </w:rPr>
        <w:t>% in Persons and +</w:t>
      </w:r>
      <w:r w:rsidR="006B67CD">
        <w:rPr>
          <w:rFonts w:ascii="Verdana" w:eastAsia="Malgun Gothic" w:hAnsi="Verdana" w:cs="Arial"/>
          <w:b/>
          <w:bCs/>
        </w:rPr>
        <w:t>2</w:t>
      </w:r>
      <w:r w:rsidRPr="00886F1C">
        <w:rPr>
          <w:rFonts w:ascii="Verdana" w:eastAsia="Malgun Gothic" w:hAnsi="Verdana" w:cs="Arial"/>
          <w:b/>
          <w:bCs/>
        </w:rPr>
        <w:t>,</w:t>
      </w:r>
      <w:r w:rsidR="006B67CD">
        <w:rPr>
          <w:rFonts w:ascii="Verdana" w:eastAsia="Malgun Gothic" w:hAnsi="Verdana" w:cs="Arial"/>
          <w:b/>
          <w:bCs/>
        </w:rPr>
        <w:t>6</w:t>
      </w:r>
      <w:r w:rsidRPr="00886F1C">
        <w:rPr>
          <w:rFonts w:ascii="Verdana" w:eastAsia="Malgun Gothic" w:hAnsi="Verdana" w:cs="Arial"/>
          <w:b/>
          <w:bCs/>
        </w:rPr>
        <w:t>% in Hours Worked</w:t>
      </w:r>
    </w:p>
    <w:p w14:paraId="23B07037" w14:textId="77777777" w:rsidR="00980ECC" w:rsidRDefault="00980ECC" w:rsidP="00980ECC">
      <w:pPr>
        <w:rPr>
          <w:rFonts w:ascii="Verdana" w:eastAsia="Malgun Gothic" w:hAnsi="Verdana" w:cs="Arial"/>
          <w:sz w:val="18"/>
          <w:szCs w:val="18"/>
        </w:rPr>
      </w:pPr>
    </w:p>
    <w:p w14:paraId="42CDAEB8" w14:textId="77777777" w:rsidR="00980ECC" w:rsidRDefault="00980ECC" w:rsidP="00980ECC">
      <w:pPr>
        <w:rPr>
          <w:rFonts w:ascii="Verdana" w:eastAsia="Malgun Gothic" w:hAnsi="Verdana" w:cs="Arial"/>
          <w:sz w:val="18"/>
          <w:szCs w:val="18"/>
        </w:rPr>
      </w:pPr>
    </w:p>
    <w:p w14:paraId="67B4A048" w14:textId="77777777" w:rsidR="00980ECC" w:rsidRPr="00FB0750" w:rsidRDefault="00980ECC" w:rsidP="00980ECC">
      <w:pPr>
        <w:rPr>
          <w:rFonts w:ascii="Verdana" w:eastAsia="Malgun Gothic" w:hAnsi="Verdana" w:cs="Arial"/>
          <w:b/>
          <w:bCs/>
          <w:sz w:val="18"/>
          <w:szCs w:val="18"/>
          <w:u w:val="single"/>
        </w:rPr>
      </w:pPr>
      <w:r w:rsidRPr="00FB0750">
        <w:rPr>
          <w:rFonts w:ascii="Verdana" w:eastAsia="Malgun Gothic" w:hAnsi="Verdana" w:cs="Arial"/>
          <w:b/>
          <w:bCs/>
          <w:sz w:val="18"/>
          <w:szCs w:val="18"/>
          <w:u w:val="single"/>
        </w:rPr>
        <w:t>Persons</w:t>
      </w:r>
    </w:p>
    <w:p w14:paraId="1775E963" w14:textId="77777777" w:rsidR="00980ECC" w:rsidRPr="003757B5" w:rsidRDefault="00980ECC" w:rsidP="00980ECC">
      <w:pPr>
        <w:rPr>
          <w:rFonts w:ascii="Verdana" w:eastAsia="Malgun Gothic" w:hAnsi="Verdana" w:cs="Arial"/>
          <w:sz w:val="18"/>
          <w:szCs w:val="18"/>
        </w:rPr>
      </w:pPr>
    </w:p>
    <w:bookmarkEnd w:id="0"/>
    <w:p w14:paraId="21873EC7" w14:textId="3CAEA10C" w:rsidR="00980ECC" w:rsidRPr="0064330B" w:rsidRDefault="00980ECC" w:rsidP="00980ECC">
      <w:pPr>
        <w:spacing w:line="276" w:lineRule="auto"/>
        <w:jc w:val="both"/>
        <w:rPr>
          <w:rFonts w:ascii="Verdana" w:eastAsia="Malgun Gothic" w:hAnsi="Verdana" w:cs="Arial"/>
          <w:sz w:val="18"/>
          <w:szCs w:val="18"/>
        </w:rPr>
      </w:pPr>
      <w:r>
        <w:rPr>
          <w:rFonts w:ascii="Verdana" w:eastAsia="Malgun Gothic" w:hAnsi="Verdana" w:cs="Arial"/>
          <w:sz w:val="18"/>
          <w:szCs w:val="18"/>
        </w:rPr>
        <w:t xml:space="preserve">Total Employment for the </w:t>
      </w:r>
      <w:r w:rsidR="00380EC8">
        <w:rPr>
          <w:rFonts w:ascii="Verdana" w:eastAsia="Malgun Gothic" w:hAnsi="Verdana" w:cs="Arial"/>
          <w:sz w:val="18"/>
          <w:szCs w:val="18"/>
        </w:rPr>
        <w:t>1</w:t>
      </w:r>
      <w:r w:rsidR="00380EC8">
        <w:rPr>
          <w:rFonts w:ascii="Verdana" w:eastAsia="Malgun Gothic" w:hAnsi="Verdana" w:cs="Arial"/>
          <w:sz w:val="18"/>
          <w:szCs w:val="18"/>
          <w:vertAlign w:val="superscript"/>
        </w:rPr>
        <w:t>st</w:t>
      </w:r>
      <w:r>
        <w:rPr>
          <w:rFonts w:ascii="Verdana" w:eastAsia="Malgun Gothic" w:hAnsi="Verdana" w:cs="Arial"/>
          <w:sz w:val="18"/>
          <w:szCs w:val="18"/>
        </w:rPr>
        <w:t xml:space="preserve"> quarter of 202</w:t>
      </w:r>
      <w:r w:rsidR="00380EC8">
        <w:rPr>
          <w:rFonts w:ascii="Verdana" w:eastAsia="Malgun Gothic" w:hAnsi="Verdana" w:cs="Arial"/>
          <w:sz w:val="18"/>
          <w:szCs w:val="18"/>
        </w:rPr>
        <w:t>4</w:t>
      </w:r>
      <w:r>
        <w:rPr>
          <w:rFonts w:ascii="Verdana" w:eastAsia="Malgun Gothic" w:hAnsi="Verdana" w:cs="Arial"/>
          <w:sz w:val="18"/>
          <w:szCs w:val="18"/>
        </w:rPr>
        <w:t xml:space="preserve"> is estimated </w:t>
      </w:r>
      <w:r w:rsidRPr="0064330B">
        <w:rPr>
          <w:rFonts w:ascii="Verdana" w:eastAsia="Malgun Gothic" w:hAnsi="Verdana" w:cs="Arial"/>
          <w:sz w:val="18"/>
          <w:szCs w:val="18"/>
        </w:rPr>
        <w:t xml:space="preserve">at </w:t>
      </w:r>
      <w:bookmarkStart w:id="1" w:name="_Hlk160611332"/>
      <w:r w:rsidR="0064330B" w:rsidRPr="0064330B">
        <w:rPr>
          <w:rFonts w:ascii="Verdana" w:eastAsia="Malgun Gothic" w:hAnsi="Verdana" w:cs="Arial"/>
          <w:sz w:val="18"/>
          <w:szCs w:val="18"/>
        </w:rPr>
        <w:t>47</w:t>
      </w:r>
      <w:bookmarkEnd w:id="1"/>
      <w:r w:rsidR="0064330B" w:rsidRPr="0064330B">
        <w:rPr>
          <w:rFonts w:ascii="Verdana" w:eastAsia="Malgun Gothic" w:hAnsi="Verdana" w:cs="Arial"/>
          <w:sz w:val="18"/>
          <w:szCs w:val="18"/>
        </w:rPr>
        <w:t>4.58</w:t>
      </w:r>
      <w:r w:rsidR="0060691E">
        <w:rPr>
          <w:rFonts w:ascii="Verdana" w:eastAsia="Malgun Gothic" w:hAnsi="Verdana" w:cs="Arial"/>
          <w:sz w:val="18"/>
          <w:szCs w:val="18"/>
        </w:rPr>
        <w:t>7</w:t>
      </w:r>
      <w:r w:rsidR="0064330B" w:rsidRPr="0064330B">
        <w:rPr>
          <w:rFonts w:ascii="Verdana" w:eastAsia="Malgun Gothic" w:hAnsi="Verdana" w:cs="Arial"/>
          <w:sz w:val="18"/>
          <w:szCs w:val="18"/>
        </w:rPr>
        <w:t xml:space="preserve"> </w:t>
      </w:r>
      <w:r w:rsidRPr="0064330B">
        <w:rPr>
          <w:rFonts w:ascii="Verdana" w:eastAsia="Malgun Gothic" w:hAnsi="Verdana" w:cs="Arial"/>
          <w:sz w:val="18"/>
          <w:szCs w:val="18"/>
        </w:rPr>
        <w:t xml:space="preserve">persons, of which </w:t>
      </w:r>
      <w:r w:rsidR="0064330B" w:rsidRPr="0064330B">
        <w:rPr>
          <w:rFonts w:ascii="Verdana" w:eastAsia="Malgun Gothic" w:hAnsi="Verdana" w:cs="Arial"/>
          <w:sz w:val="18"/>
          <w:szCs w:val="18"/>
        </w:rPr>
        <w:t>425.09</w:t>
      </w:r>
      <w:r w:rsidR="0060691E">
        <w:rPr>
          <w:rFonts w:ascii="Verdana" w:eastAsia="Malgun Gothic" w:hAnsi="Verdana" w:cs="Arial"/>
          <w:sz w:val="18"/>
          <w:szCs w:val="18"/>
        </w:rPr>
        <w:t>0</w:t>
      </w:r>
      <w:r w:rsidR="0064330B" w:rsidRPr="0064330B">
        <w:rPr>
          <w:rFonts w:ascii="Verdana" w:eastAsia="Malgun Gothic" w:hAnsi="Verdana" w:cs="Arial"/>
          <w:sz w:val="18"/>
          <w:szCs w:val="18"/>
        </w:rPr>
        <w:t xml:space="preserve"> </w:t>
      </w:r>
      <w:r w:rsidRPr="0064330B">
        <w:rPr>
          <w:rFonts w:ascii="Verdana" w:eastAsia="Malgun Gothic" w:hAnsi="Verdana" w:cs="Arial"/>
          <w:sz w:val="18"/>
          <w:szCs w:val="18"/>
        </w:rPr>
        <w:t xml:space="preserve">are employees and </w:t>
      </w:r>
      <w:r w:rsidR="0064330B" w:rsidRPr="0064330B">
        <w:rPr>
          <w:rFonts w:ascii="Verdana" w:eastAsia="Malgun Gothic" w:hAnsi="Verdana" w:cs="Arial"/>
          <w:sz w:val="18"/>
          <w:szCs w:val="18"/>
        </w:rPr>
        <w:t>49.49</w:t>
      </w:r>
      <w:r w:rsidR="0060691E">
        <w:rPr>
          <w:rFonts w:ascii="Verdana" w:eastAsia="Malgun Gothic" w:hAnsi="Verdana" w:cs="Arial"/>
          <w:sz w:val="18"/>
          <w:szCs w:val="18"/>
        </w:rPr>
        <w:t>7</w:t>
      </w:r>
      <w:r w:rsidR="0064330B" w:rsidRPr="0064330B">
        <w:rPr>
          <w:rFonts w:ascii="Verdana" w:eastAsia="Malgun Gothic" w:hAnsi="Verdana" w:cs="Arial"/>
          <w:sz w:val="18"/>
          <w:szCs w:val="18"/>
        </w:rPr>
        <w:t xml:space="preserve"> </w:t>
      </w:r>
      <w:r w:rsidRPr="0064330B">
        <w:rPr>
          <w:rFonts w:ascii="Verdana" w:eastAsia="Malgun Gothic" w:hAnsi="Verdana" w:cs="Arial"/>
          <w:sz w:val="18"/>
          <w:szCs w:val="18"/>
        </w:rPr>
        <w:t>are self-employed.</w:t>
      </w:r>
    </w:p>
    <w:p w14:paraId="5C801A87" w14:textId="77777777" w:rsidR="00980ECC" w:rsidRDefault="00980ECC" w:rsidP="00980ECC">
      <w:pPr>
        <w:spacing w:line="276" w:lineRule="auto"/>
        <w:jc w:val="both"/>
        <w:rPr>
          <w:rFonts w:ascii="Verdana" w:eastAsia="Malgun Gothic" w:hAnsi="Verdana" w:cs="Arial"/>
          <w:sz w:val="18"/>
          <w:szCs w:val="18"/>
        </w:rPr>
      </w:pPr>
    </w:p>
    <w:p w14:paraId="39869CC3" w14:textId="114CF946" w:rsidR="00980ECC" w:rsidRDefault="00980ECC" w:rsidP="00980ECC">
      <w:pPr>
        <w:jc w:val="both"/>
        <w:rPr>
          <w:rFonts w:ascii="Verdana" w:hAnsi="Verdana" w:cs="Arial"/>
          <w:sz w:val="18"/>
          <w:szCs w:val="18"/>
        </w:rPr>
      </w:pPr>
      <w:r w:rsidRPr="00FB0750">
        <w:rPr>
          <w:rFonts w:ascii="Verdana" w:hAnsi="Verdana" w:cs="Arial"/>
          <w:sz w:val="18"/>
          <w:szCs w:val="18"/>
        </w:rPr>
        <w:t>Compared to the corresponding quarter of 202</w:t>
      </w:r>
      <w:r w:rsidR="00380EC8">
        <w:rPr>
          <w:rFonts w:ascii="Verdana" w:hAnsi="Verdana" w:cs="Arial"/>
          <w:sz w:val="18"/>
          <w:szCs w:val="18"/>
        </w:rPr>
        <w:t>3</w:t>
      </w:r>
      <w:r w:rsidRPr="00FB0750">
        <w:rPr>
          <w:rFonts w:ascii="Verdana" w:hAnsi="Verdana" w:cs="Arial"/>
          <w:sz w:val="18"/>
          <w:szCs w:val="18"/>
        </w:rPr>
        <w:t xml:space="preserve">, total employment increased by </w:t>
      </w:r>
      <w:r w:rsidR="0064330B">
        <w:rPr>
          <w:rFonts w:ascii="Verdana" w:hAnsi="Verdana" w:cs="Arial"/>
          <w:sz w:val="18"/>
          <w:szCs w:val="18"/>
        </w:rPr>
        <w:t>2</w:t>
      </w:r>
      <w:r w:rsidR="00C61919">
        <w:rPr>
          <w:rFonts w:ascii="Verdana" w:hAnsi="Verdana" w:cs="Arial"/>
          <w:sz w:val="18"/>
          <w:szCs w:val="18"/>
        </w:rPr>
        <w:t>,</w:t>
      </w:r>
      <w:r w:rsidR="0064330B">
        <w:rPr>
          <w:rFonts w:ascii="Verdana" w:hAnsi="Verdana" w:cs="Arial"/>
          <w:sz w:val="18"/>
          <w:szCs w:val="18"/>
        </w:rPr>
        <w:t>2</w:t>
      </w:r>
      <w:r w:rsidRPr="00FB0750">
        <w:rPr>
          <w:rFonts w:ascii="Verdana" w:hAnsi="Verdana" w:cs="Arial"/>
          <w:sz w:val="18"/>
          <w:szCs w:val="18"/>
        </w:rPr>
        <w:t xml:space="preserve">% for the </w:t>
      </w:r>
      <w:r w:rsidR="00380EC8">
        <w:rPr>
          <w:rFonts w:ascii="Verdana" w:hAnsi="Verdana" w:cs="Arial"/>
          <w:sz w:val="18"/>
          <w:szCs w:val="18"/>
        </w:rPr>
        <w:t>1</w:t>
      </w:r>
      <w:r w:rsidR="00380EC8">
        <w:rPr>
          <w:rFonts w:ascii="Verdana" w:eastAsia="Malgun Gothic" w:hAnsi="Verdana" w:cs="Arial"/>
          <w:sz w:val="18"/>
          <w:szCs w:val="18"/>
          <w:vertAlign w:val="superscript"/>
        </w:rPr>
        <w:t>st</w:t>
      </w:r>
      <w:r w:rsidR="00C61919">
        <w:rPr>
          <w:rFonts w:ascii="Verdana" w:hAnsi="Verdana" w:cs="Arial"/>
          <w:sz w:val="18"/>
          <w:szCs w:val="18"/>
        </w:rPr>
        <w:t xml:space="preserve"> </w:t>
      </w:r>
      <w:r w:rsidRPr="00FB0750">
        <w:rPr>
          <w:rFonts w:ascii="Verdana" w:hAnsi="Verdana" w:cs="Arial"/>
          <w:sz w:val="18"/>
          <w:szCs w:val="18"/>
        </w:rPr>
        <w:t>quarter of 202</w:t>
      </w:r>
      <w:r w:rsidR="00380EC8">
        <w:rPr>
          <w:rFonts w:ascii="Verdana" w:hAnsi="Verdana" w:cs="Arial"/>
          <w:sz w:val="18"/>
          <w:szCs w:val="18"/>
        </w:rPr>
        <w:t>4</w:t>
      </w:r>
      <w:r w:rsidRPr="00FB0750">
        <w:rPr>
          <w:rFonts w:ascii="Verdana" w:hAnsi="Verdana" w:cs="Arial"/>
          <w:sz w:val="18"/>
          <w:szCs w:val="18"/>
        </w:rPr>
        <w:t xml:space="preserve">. </w:t>
      </w:r>
      <w:r w:rsidRPr="00B9440D">
        <w:rPr>
          <w:rFonts w:ascii="Verdana" w:hAnsi="Verdana" w:cs="Arial"/>
          <w:sz w:val="18"/>
          <w:szCs w:val="18"/>
        </w:rPr>
        <w:t>The most significant percentage increases were observed in the economic activities of</w:t>
      </w:r>
      <w:r w:rsidR="00C55F3A">
        <w:rPr>
          <w:rFonts w:ascii="Verdana" w:hAnsi="Verdana" w:cs="Arial"/>
          <w:sz w:val="18"/>
          <w:szCs w:val="18"/>
        </w:rPr>
        <w:t xml:space="preserve"> </w:t>
      </w:r>
      <w:r w:rsidR="00C55F3A" w:rsidRPr="00B9440D">
        <w:rPr>
          <w:rFonts w:ascii="Verdana" w:hAnsi="Verdana" w:cs="Arial"/>
          <w:sz w:val="18"/>
          <w:szCs w:val="18"/>
        </w:rPr>
        <w:t xml:space="preserve">Administrative and Supporting Service activities (NACE </w:t>
      </w:r>
      <w:r w:rsidR="00C55F3A" w:rsidRPr="00B9440D">
        <w:rPr>
          <w:rFonts w:ascii="Verdana" w:hAnsi="Verdana" w:cs="Arial"/>
          <w:sz w:val="18"/>
          <w:szCs w:val="18"/>
          <w:lang w:val="el-GR"/>
        </w:rPr>
        <w:t>Ν</w:t>
      </w:r>
      <w:r w:rsidR="00C55F3A" w:rsidRPr="00B9440D">
        <w:rPr>
          <w:rFonts w:ascii="Verdana" w:hAnsi="Verdana" w:cs="Arial"/>
          <w:sz w:val="18"/>
          <w:szCs w:val="18"/>
        </w:rPr>
        <w:t>)</w:t>
      </w:r>
      <w:r w:rsidR="00C55F3A">
        <w:rPr>
          <w:rFonts w:ascii="Verdana" w:hAnsi="Verdana" w:cs="Arial"/>
          <w:sz w:val="18"/>
          <w:szCs w:val="18"/>
        </w:rPr>
        <w:t>,</w:t>
      </w:r>
      <w:r w:rsidR="00BD679B" w:rsidRPr="00BD679B">
        <w:rPr>
          <w:rFonts w:ascii="Verdana" w:hAnsi="Verdana" w:cs="Arial"/>
          <w:sz w:val="18"/>
          <w:szCs w:val="18"/>
        </w:rPr>
        <w:t xml:space="preserve"> </w:t>
      </w:r>
      <w:r w:rsidR="00BD679B">
        <w:rPr>
          <w:rFonts w:ascii="Verdana" w:hAnsi="Verdana" w:cs="Arial"/>
          <w:sz w:val="18"/>
          <w:szCs w:val="18"/>
        </w:rPr>
        <w:t>Education (NACE P</w:t>
      </w:r>
      <w:r w:rsidR="002D6DAA">
        <w:rPr>
          <w:rFonts w:ascii="Verdana" w:hAnsi="Verdana" w:cs="Arial"/>
          <w:sz w:val="18"/>
          <w:szCs w:val="18"/>
        </w:rPr>
        <w:t>)</w:t>
      </w:r>
      <w:r w:rsidR="00BD679B">
        <w:rPr>
          <w:rFonts w:ascii="Verdana" w:hAnsi="Verdana" w:cs="Arial"/>
          <w:sz w:val="18"/>
          <w:szCs w:val="18"/>
        </w:rPr>
        <w:t xml:space="preserve"> and</w:t>
      </w:r>
      <w:r w:rsidR="00C55F3A">
        <w:rPr>
          <w:rFonts w:ascii="Verdana" w:hAnsi="Verdana" w:cs="Arial"/>
          <w:sz w:val="18"/>
          <w:szCs w:val="18"/>
        </w:rPr>
        <w:t xml:space="preserve"> </w:t>
      </w:r>
      <w:r w:rsidR="00515D44" w:rsidRPr="00515D44">
        <w:rPr>
          <w:rFonts w:ascii="Verdana" w:hAnsi="Verdana" w:cs="Arial"/>
          <w:sz w:val="18"/>
          <w:szCs w:val="18"/>
        </w:rPr>
        <w:t xml:space="preserve">Accommodation and </w:t>
      </w:r>
      <w:r w:rsidR="00CD2729">
        <w:rPr>
          <w:rFonts w:ascii="Verdana" w:hAnsi="Verdana" w:cs="Arial"/>
          <w:sz w:val="18"/>
          <w:szCs w:val="18"/>
        </w:rPr>
        <w:t>F</w:t>
      </w:r>
      <w:r w:rsidR="00515D44" w:rsidRPr="00515D44">
        <w:rPr>
          <w:rFonts w:ascii="Verdana" w:hAnsi="Verdana" w:cs="Arial"/>
          <w:sz w:val="18"/>
          <w:szCs w:val="18"/>
        </w:rPr>
        <w:t xml:space="preserve">ood </w:t>
      </w:r>
      <w:r w:rsidR="00CD2729">
        <w:rPr>
          <w:rFonts w:ascii="Verdana" w:hAnsi="Verdana" w:cs="Arial"/>
          <w:sz w:val="18"/>
          <w:szCs w:val="18"/>
        </w:rPr>
        <w:t>S</w:t>
      </w:r>
      <w:r w:rsidR="00515D44" w:rsidRPr="00515D44">
        <w:rPr>
          <w:rFonts w:ascii="Verdana" w:hAnsi="Verdana" w:cs="Arial"/>
          <w:sz w:val="18"/>
          <w:szCs w:val="18"/>
        </w:rPr>
        <w:t xml:space="preserve">ervice activities </w:t>
      </w:r>
      <w:r w:rsidR="001C07FA" w:rsidRPr="00B9440D">
        <w:rPr>
          <w:rFonts w:ascii="Verdana" w:hAnsi="Verdana" w:cs="Arial"/>
          <w:sz w:val="18"/>
          <w:szCs w:val="18"/>
        </w:rPr>
        <w:t xml:space="preserve">(NACE </w:t>
      </w:r>
      <w:r w:rsidR="00515D44">
        <w:rPr>
          <w:rFonts w:ascii="Verdana" w:hAnsi="Verdana" w:cs="Arial"/>
          <w:sz w:val="18"/>
          <w:szCs w:val="18"/>
        </w:rPr>
        <w:t>I</w:t>
      </w:r>
      <w:r w:rsidR="00C55F3A">
        <w:rPr>
          <w:rFonts w:ascii="Verdana" w:hAnsi="Verdana" w:cs="Arial"/>
          <w:sz w:val="18"/>
          <w:szCs w:val="18"/>
        </w:rPr>
        <w:t>)</w:t>
      </w:r>
      <w:r w:rsidR="001C07FA">
        <w:rPr>
          <w:rFonts w:ascii="Verdana" w:hAnsi="Verdana" w:cs="Arial"/>
          <w:sz w:val="18"/>
          <w:szCs w:val="18"/>
        </w:rPr>
        <w:t>.</w:t>
      </w:r>
    </w:p>
    <w:p w14:paraId="33E6E8DD" w14:textId="77777777" w:rsidR="001F0B4B" w:rsidRPr="00FB0750" w:rsidRDefault="001F0B4B" w:rsidP="00980ECC">
      <w:pPr>
        <w:jc w:val="both"/>
        <w:rPr>
          <w:rFonts w:ascii="Verdana" w:hAnsi="Verdana" w:cs="Arial"/>
          <w:sz w:val="18"/>
          <w:szCs w:val="18"/>
        </w:rPr>
      </w:pPr>
    </w:p>
    <w:p w14:paraId="53475F31" w14:textId="77777777" w:rsidR="00E4519A" w:rsidRDefault="00E4519A" w:rsidP="00980ECC">
      <w:pPr>
        <w:jc w:val="both"/>
        <w:rPr>
          <w:rFonts w:ascii="Verdana" w:hAnsi="Verdana" w:cs="Arial"/>
          <w:sz w:val="18"/>
          <w:szCs w:val="18"/>
        </w:rPr>
      </w:pPr>
    </w:p>
    <w:p w14:paraId="26F81665" w14:textId="53586146" w:rsidR="00980ECC" w:rsidRDefault="0064330B" w:rsidP="00980ECC">
      <w:pPr>
        <w:jc w:val="center"/>
        <w:rPr>
          <w:rFonts w:ascii="Verdana" w:hAnsi="Verdana" w:cs="Arial"/>
          <w:sz w:val="18"/>
          <w:szCs w:val="18"/>
        </w:rPr>
      </w:pPr>
      <w:r>
        <w:rPr>
          <w:noProof/>
        </w:rPr>
        <w:drawing>
          <wp:inline distT="0" distB="0" distL="0" distR="0" wp14:anchorId="00988A62" wp14:editId="77017DCE">
            <wp:extent cx="6048373" cy="4181475"/>
            <wp:effectExtent l="0" t="0" r="10160" b="9525"/>
            <wp:docPr id="9" name="Chart 9">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7FE94D" w14:textId="77777777" w:rsidR="00980ECC" w:rsidRDefault="00980ECC" w:rsidP="00980ECC">
      <w:pPr>
        <w:jc w:val="both"/>
        <w:rPr>
          <w:rFonts w:ascii="Verdana" w:hAnsi="Verdana" w:cs="Arial"/>
          <w:sz w:val="18"/>
          <w:szCs w:val="18"/>
        </w:rPr>
      </w:pPr>
    </w:p>
    <w:p w14:paraId="4425E2D3" w14:textId="77777777" w:rsidR="00980ECC" w:rsidRDefault="00980ECC" w:rsidP="00980ECC">
      <w:pPr>
        <w:jc w:val="both"/>
        <w:rPr>
          <w:rFonts w:ascii="Verdana" w:hAnsi="Verdana" w:cs="Arial"/>
          <w:sz w:val="18"/>
          <w:szCs w:val="18"/>
        </w:rPr>
      </w:pPr>
    </w:p>
    <w:p w14:paraId="7C7B86CD" w14:textId="77777777" w:rsidR="00980ECC" w:rsidRPr="00FB0750" w:rsidRDefault="00980ECC" w:rsidP="00980ECC">
      <w:pPr>
        <w:jc w:val="both"/>
        <w:rPr>
          <w:rFonts w:ascii="Verdana" w:hAnsi="Verdana" w:cs="Arial"/>
          <w:b/>
          <w:bCs/>
          <w:sz w:val="18"/>
          <w:szCs w:val="18"/>
          <w:u w:val="single"/>
        </w:rPr>
      </w:pPr>
      <w:r w:rsidRPr="00FB0750">
        <w:rPr>
          <w:rFonts w:ascii="Verdana" w:hAnsi="Verdana" w:cs="Arial"/>
          <w:b/>
          <w:bCs/>
          <w:sz w:val="18"/>
          <w:szCs w:val="18"/>
          <w:u w:val="single"/>
        </w:rPr>
        <w:lastRenderedPageBreak/>
        <w:t>Hours Worked</w:t>
      </w:r>
    </w:p>
    <w:p w14:paraId="29EF519F" w14:textId="77777777" w:rsidR="00980ECC" w:rsidRDefault="00980ECC" w:rsidP="00980ECC">
      <w:pPr>
        <w:jc w:val="both"/>
        <w:rPr>
          <w:rFonts w:ascii="Verdana" w:hAnsi="Verdana" w:cs="Arial"/>
          <w:sz w:val="18"/>
          <w:szCs w:val="18"/>
        </w:rPr>
      </w:pPr>
    </w:p>
    <w:p w14:paraId="6F69AAD5" w14:textId="10798B44" w:rsidR="00CD2729" w:rsidRDefault="00980ECC" w:rsidP="00CD2729">
      <w:pPr>
        <w:jc w:val="both"/>
        <w:rPr>
          <w:rFonts w:ascii="Verdana" w:hAnsi="Verdana" w:cs="Arial"/>
          <w:sz w:val="18"/>
          <w:szCs w:val="18"/>
        </w:rPr>
      </w:pPr>
      <w:r w:rsidRPr="00FB0750">
        <w:rPr>
          <w:rFonts w:ascii="Verdana" w:hAnsi="Verdana" w:cs="Arial"/>
          <w:sz w:val="18"/>
          <w:szCs w:val="18"/>
        </w:rPr>
        <w:t xml:space="preserve">Actual hours worked for the </w:t>
      </w:r>
      <w:r w:rsidR="00380EC8">
        <w:rPr>
          <w:rFonts w:ascii="Verdana" w:hAnsi="Verdana" w:cs="Arial"/>
          <w:sz w:val="18"/>
          <w:szCs w:val="18"/>
        </w:rPr>
        <w:t>1</w:t>
      </w:r>
      <w:r w:rsidR="00380EC8">
        <w:rPr>
          <w:rFonts w:ascii="Verdana" w:eastAsia="Malgun Gothic" w:hAnsi="Verdana" w:cs="Arial"/>
          <w:sz w:val="18"/>
          <w:szCs w:val="18"/>
          <w:vertAlign w:val="superscript"/>
        </w:rPr>
        <w:t>st</w:t>
      </w:r>
      <w:r w:rsidRPr="00FB0750">
        <w:rPr>
          <w:rFonts w:ascii="Verdana" w:hAnsi="Verdana" w:cs="Arial"/>
          <w:sz w:val="18"/>
          <w:szCs w:val="18"/>
        </w:rPr>
        <w:t xml:space="preserve"> quarter of 202</w:t>
      </w:r>
      <w:r w:rsidR="00380EC8">
        <w:rPr>
          <w:rFonts w:ascii="Verdana" w:hAnsi="Verdana" w:cs="Arial"/>
          <w:sz w:val="18"/>
          <w:szCs w:val="18"/>
        </w:rPr>
        <w:t>4</w:t>
      </w:r>
      <w:r w:rsidRPr="00FB0750">
        <w:rPr>
          <w:rFonts w:ascii="Verdana" w:hAnsi="Verdana" w:cs="Arial"/>
          <w:sz w:val="18"/>
          <w:szCs w:val="18"/>
        </w:rPr>
        <w:t xml:space="preserve"> are estimated at 2</w:t>
      </w:r>
      <w:r w:rsidR="0064330B">
        <w:rPr>
          <w:rFonts w:ascii="Verdana" w:hAnsi="Verdana" w:cs="Arial"/>
          <w:sz w:val="18"/>
          <w:szCs w:val="18"/>
        </w:rPr>
        <w:t>17</w:t>
      </w:r>
      <w:r w:rsidRPr="00FB0750">
        <w:rPr>
          <w:rFonts w:ascii="Verdana" w:hAnsi="Verdana" w:cs="Arial"/>
          <w:sz w:val="18"/>
          <w:szCs w:val="18"/>
        </w:rPr>
        <w:t>.</w:t>
      </w:r>
      <w:r w:rsidR="0064330B">
        <w:rPr>
          <w:rFonts w:ascii="Verdana" w:hAnsi="Verdana" w:cs="Arial"/>
          <w:sz w:val="18"/>
          <w:szCs w:val="18"/>
        </w:rPr>
        <w:t>668</w:t>
      </w:r>
      <w:r w:rsidRPr="00FB0750">
        <w:rPr>
          <w:rFonts w:ascii="Verdana" w:hAnsi="Verdana" w:cs="Arial"/>
          <w:sz w:val="18"/>
          <w:szCs w:val="18"/>
        </w:rPr>
        <w:t xml:space="preserve"> thousand; an increase of </w:t>
      </w:r>
      <w:r w:rsidR="0064330B">
        <w:rPr>
          <w:rFonts w:ascii="Verdana" w:hAnsi="Verdana" w:cs="Arial"/>
          <w:sz w:val="18"/>
          <w:szCs w:val="18"/>
        </w:rPr>
        <w:t>2</w:t>
      </w:r>
      <w:r w:rsidRPr="00FB0750">
        <w:rPr>
          <w:rFonts w:ascii="Verdana" w:hAnsi="Verdana" w:cs="Arial"/>
          <w:sz w:val="18"/>
          <w:szCs w:val="18"/>
        </w:rPr>
        <w:t>,</w:t>
      </w:r>
      <w:r w:rsidR="0064330B">
        <w:rPr>
          <w:rFonts w:ascii="Verdana" w:hAnsi="Verdana" w:cs="Arial"/>
          <w:sz w:val="18"/>
          <w:szCs w:val="18"/>
        </w:rPr>
        <w:t>6</w:t>
      </w:r>
      <w:r w:rsidRPr="00FB0750">
        <w:rPr>
          <w:rFonts w:ascii="Verdana" w:hAnsi="Verdana" w:cs="Arial"/>
          <w:sz w:val="18"/>
          <w:szCs w:val="18"/>
        </w:rPr>
        <w:t>% compared to the corresponding quarter of 202</w:t>
      </w:r>
      <w:r w:rsidR="00380EC8">
        <w:rPr>
          <w:rFonts w:ascii="Verdana" w:hAnsi="Verdana" w:cs="Arial"/>
          <w:sz w:val="18"/>
          <w:szCs w:val="18"/>
        </w:rPr>
        <w:t>3</w:t>
      </w:r>
      <w:r w:rsidRPr="00FB0750">
        <w:rPr>
          <w:rFonts w:ascii="Verdana" w:hAnsi="Verdana" w:cs="Arial"/>
          <w:sz w:val="18"/>
          <w:szCs w:val="18"/>
        </w:rPr>
        <w:t xml:space="preserve">. The most significant percentage increases were observed in the </w:t>
      </w:r>
      <w:r w:rsidRPr="00B9440D">
        <w:rPr>
          <w:rFonts w:ascii="Verdana" w:hAnsi="Verdana" w:cs="Arial"/>
          <w:sz w:val="18"/>
          <w:szCs w:val="18"/>
        </w:rPr>
        <w:t xml:space="preserve">economic activities of </w:t>
      </w:r>
      <w:r w:rsidR="00231F7B" w:rsidRPr="00B9440D">
        <w:rPr>
          <w:rFonts w:ascii="Verdana" w:hAnsi="Verdana" w:cs="Arial"/>
          <w:sz w:val="18"/>
          <w:szCs w:val="18"/>
        </w:rPr>
        <w:t xml:space="preserve">Administrative and Supporting Service activities (NACE </w:t>
      </w:r>
      <w:r w:rsidR="00231F7B" w:rsidRPr="00B9440D">
        <w:rPr>
          <w:rFonts w:ascii="Verdana" w:hAnsi="Verdana" w:cs="Arial"/>
          <w:sz w:val="18"/>
          <w:szCs w:val="18"/>
          <w:lang w:val="el-GR"/>
        </w:rPr>
        <w:t>Ν</w:t>
      </w:r>
      <w:r w:rsidR="00231F7B" w:rsidRPr="00B9440D">
        <w:rPr>
          <w:rFonts w:ascii="Verdana" w:hAnsi="Verdana" w:cs="Arial"/>
          <w:sz w:val="18"/>
          <w:szCs w:val="18"/>
        </w:rPr>
        <w:t>)</w:t>
      </w:r>
      <w:r w:rsidR="00231F7B">
        <w:rPr>
          <w:rFonts w:ascii="Verdana" w:hAnsi="Verdana" w:cs="Arial"/>
          <w:sz w:val="18"/>
          <w:szCs w:val="18"/>
        </w:rPr>
        <w:t xml:space="preserve">, </w:t>
      </w:r>
      <w:r w:rsidR="00BD679B">
        <w:rPr>
          <w:rFonts w:ascii="Verdana" w:hAnsi="Verdana" w:cs="Arial"/>
          <w:sz w:val="18"/>
          <w:szCs w:val="18"/>
        </w:rPr>
        <w:t>Education (NACE P</w:t>
      </w:r>
      <w:r w:rsidR="00446274">
        <w:rPr>
          <w:rFonts w:ascii="Verdana" w:hAnsi="Verdana" w:cs="Arial"/>
          <w:sz w:val="18"/>
          <w:szCs w:val="18"/>
        </w:rPr>
        <w:t>)</w:t>
      </w:r>
      <w:r w:rsidR="002D6DAA">
        <w:rPr>
          <w:rFonts w:ascii="Verdana" w:hAnsi="Verdana" w:cs="Arial"/>
          <w:sz w:val="18"/>
          <w:szCs w:val="18"/>
        </w:rPr>
        <w:t xml:space="preserve"> </w:t>
      </w:r>
      <w:r w:rsidR="00BD679B">
        <w:rPr>
          <w:rFonts w:ascii="Verdana" w:hAnsi="Verdana" w:cs="Arial"/>
          <w:sz w:val="18"/>
          <w:szCs w:val="18"/>
        </w:rPr>
        <w:t xml:space="preserve">and </w:t>
      </w:r>
      <w:r w:rsidR="00CD2729" w:rsidRPr="00515D44">
        <w:rPr>
          <w:rFonts w:ascii="Verdana" w:hAnsi="Verdana" w:cs="Arial"/>
          <w:sz w:val="18"/>
          <w:szCs w:val="18"/>
        </w:rPr>
        <w:t xml:space="preserve">Accommodation and </w:t>
      </w:r>
      <w:r w:rsidR="00CD2729">
        <w:rPr>
          <w:rFonts w:ascii="Verdana" w:hAnsi="Verdana" w:cs="Arial"/>
          <w:sz w:val="18"/>
          <w:szCs w:val="18"/>
        </w:rPr>
        <w:t>F</w:t>
      </w:r>
      <w:r w:rsidR="00CD2729" w:rsidRPr="00515D44">
        <w:rPr>
          <w:rFonts w:ascii="Verdana" w:hAnsi="Verdana" w:cs="Arial"/>
          <w:sz w:val="18"/>
          <w:szCs w:val="18"/>
        </w:rPr>
        <w:t xml:space="preserve">ood </w:t>
      </w:r>
      <w:r w:rsidR="00CD2729">
        <w:rPr>
          <w:rFonts w:ascii="Verdana" w:hAnsi="Verdana" w:cs="Arial"/>
          <w:sz w:val="18"/>
          <w:szCs w:val="18"/>
        </w:rPr>
        <w:t>S</w:t>
      </w:r>
      <w:r w:rsidR="00CD2729" w:rsidRPr="00515D44">
        <w:rPr>
          <w:rFonts w:ascii="Verdana" w:hAnsi="Verdana" w:cs="Arial"/>
          <w:sz w:val="18"/>
          <w:szCs w:val="18"/>
        </w:rPr>
        <w:t xml:space="preserve">ervice activities </w:t>
      </w:r>
      <w:r w:rsidR="00CD2729" w:rsidRPr="00B9440D">
        <w:rPr>
          <w:rFonts w:ascii="Verdana" w:hAnsi="Verdana" w:cs="Arial"/>
          <w:sz w:val="18"/>
          <w:szCs w:val="18"/>
        </w:rPr>
        <w:t xml:space="preserve">(NACE </w:t>
      </w:r>
      <w:r w:rsidR="00CD2729">
        <w:rPr>
          <w:rFonts w:ascii="Verdana" w:hAnsi="Verdana" w:cs="Arial"/>
          <w:sz w:val="18"/>
          <w:szCs w:val="18"/>
        </w:rPr>
        <w:t>I).</w:t>
      </w:r>
    </w:p>
    <w:p w14:paraId="7268682B" w14:textId="4BAB1F23" w:rsidR="00980ECC" w:rsidRDefault="00980ECC" w:rsidP="00980ECC">
      <w:pPr>
        <w:jc w:val="both"/>
        <w:rPr>
          <w:rFonts w:ascii="Verdana" w:hAnsi="Verdana" w:cs="Arial"/>
          <w:sz w:val="18"/>
          <w:szCs w:val="18"/>
        </w:rPr>
      </w:pPr>
    </w:p>
    <w:p w14:paraId="7ED653AF" w14:textId="77777777" w:rsidR="0004511C" w:rsidRDefault="0004511C" w:rsidP="00980ECC">
      <w:pPr>
        <w:jc w:val="both"/>
        <w:rPr>
          <w:rFonts w:ascii="Verdana" w:hAnsi="Verdana" w:cs="Arial"/>
          <w:sz w:val="18"/>
          <w:szCs w:val="18"/>
        </w:rPr>
      </w:pPr>
    </w:p>
    <w:p w14:paraId="50BB9640" w14:textId="569F3C3C" w:rsidR="00980ECC" w:rsidRDefault="00980ECC" w:rsidP="00980ECC">
      <w:pPr>
        <w:jc w:val="both"/>
        <w:rPr>
          <w:rFonts w:ascii="Verdana" w:hAnsi="Verdana" w:cs="Arial"/>
          <w:sz w:val="18"/>
          <w:szCs w:val="18"/>
        </w:rPr>
      </w:pPr>
    </w:p>
    <w:p w14:paraId="477FE4F9" w14:textId="2088B526" w:rsidR="00980ECC" w:rsidRDefault="004C22AC" w:rsidP="00980ECC">
      <w:pPr>
        <w:jc w:val="both"/>
        <w:rPr>
          <w:rFonts w:ascii="Verdana" w:hAnsi="Verdana" w:cs="Arial"/>
          <w:sz w:val="18"/>
          <w:szCs w:val="18"/>
        </w:rPr>
      </w:pPr>
      <w:r>
        <w:rPr>
          <w:noProof/>
        </w:rPr>
        <w:drawing>
          <wp:inline distT="0" distB="0" distL="0" distR="0" wp14:anchorId="379A2947" wp14:editId="302E64A8">
            <wp:extent cx="6038851" cy="4219575"/>
            <wp:effectExtent l="0" t="0" r="0" b="9525"/>
            <wp:docPr id="8" name="Chart 8">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80087D" w14:textId="77777777" w:rsidR="00980ECC" w:rsidRDefault="00980ECC" w:rsidP="00980ECC">
      <w:pPr>
        <w:jc w:val="both"/>
        <w:rPr>
          <w:rFonts w:ascii="Verdana" w:hAnsi="Verdana" w:cs="Arial"/>
          <w:sz w:val="18"/>
          <w:szCs w:val="18"/>
        </w:rPr>
      </w:pPr>
    </w:p>
    <w:p w14:paraId="1AD269B2" w14:textId="77777777" w:rsidR="00980ECC" w:rsidRDefault="00980ECC" w:rsidP="00980ECC">
      <w:pPr>
        <w:jc w:val="both"/>
        <w:rPr>
          <w:rFonts w:ascii="Verdana" w:hAnsi="Verdana" w:cs="Arial"/>
          <w:sz w:val="18"/>
          <w:szCs w:val="18"/>
        </w:rPr>
      </w:pPr>
    </w:p>
    <w:p w14:paraId="152D93AE" w14:textId="77777777" w:rsidR="00980ECC" w:rsidRDefault="00980ECC" w:rsidP="00980ECC">
      <w:pPr>
        <w:jc w:val="both"/>
        <w:rPr>
          <w:rFonts w:ascii="Verdana" w:hAnsi="Verdana" w:cs="Arial"/>
          <w:sz w:val="18"/>
          <w:szCs w:val="18"/>
        </w:rPr>
      </w:pPr>
    </w:p>
    <w:p w14:paraId="10872EAA" w14:textId="77777777" w:rsidR="00980ECC" w:rsidRDefault="00980ECC" w:rsidP="00980ECC">
      <w:pPr>
        <w:jc w:val="both"/>
        <w:rPr>
          <w:rFonts w:ascii="Verdana" w:hAnsi="Verdana" w:cs="Arial"/>
          <w:sz w:val="18"/>
          <w:szCs w:val="18"/>
        </w:rPr>
      </w:pPr>
    </w:p>
    <w:p w14:paraId="2D15E8EE" w14:textId="77777777" w:rsidR="00980ECC" w:rsidRDefault="00980ECC" w:rsidP="00980ECC">
      <w:pPr>
        <w:jc w:val="both"/>
        <w:rPr>
          <w:rFonts w:ascii="Verdana" w:hAnsi="Verdana" w:cs="Arial"/>
          <w:sz w:val="18"/>
          <w:szCs w:val="18"/>
        </w:rPr>
      </w:pPr>
    </w:p>
    <w:p w14:paraId="3C95BCA4" w14:textId="77777777" w:rsidR="00980ECC" w:rsidRDefault="00980ECC" w:rsidP="00980ECC">
      <w:pPr>
        <w:jc w:val="both"/>
        <w:rPr>
          <w:rFonts w:ascii="Verdana" w:hAnsi="Verdana" w:cs="Arial"/>
          <w:sz w:val="18"/>
          <w:szCs w:val="18"/>
        </w:rPr>
      </w:pPr>
    </w:p>
    <w:p w14:paraId="5772B2AC" w14:textId="77777777" w:rsidR="00980ECC" w:rsidRDefault="00980ECC" w:rsidP="00980ECC">
      <w:pPr>
        <w:jc w:val="both"/>
        <w:rPr>
          <w:rFonts w:ascii="Verdana" w:hAnsi="Verdana" w:cs="Arial"/>
          <w:sz w:val="18"/>
          <w:szCs w:val="18"/>
        </w:rPr>
      </w:pPr>
    </w:p>
    <w:p w14:paraId="663D5B2E" w14:textId="77777777" w:rsidR="00980ECC" w:rsidRDefault="00980ECC" w:rsidP="00980ECC">
      <w:pPr>
        <w:jc w:val="both"/>
        <w:rPr>
          <w:rFonts w:ascii="Verdana" w:hAnsi="Verdana" w:cs="Arial"/>
          <w:sz w:val="18"/>
          <w:szCs w:val="18"/>
        </w:rPr>
      </w:pPr>
    </w:p>
    <w:p w14:paraId="5ADFE6B9" w14:textId="77777777" w:rsidR="00980ECC" w:rsidRDefault="00980ECC" w:rsidP="00980ECC">
      <w:pPr>
        <w:jc w:val="both"/>
        <w:rPr>
          <w:rFonts w:ascii="Verdana" w:hAnsi="Verdana" w:cs="Arial"/>
          <w:sz w:val="18"/>
          <w:szCs w:val="18"/>
        </w:rPr>
      </w:pPr>
    </w:p>
    <w:p w14:paraId="5AA34071" w14:textId="77777777" w:rsidR="00980ECC" w:rsidRDefault="00980ECC" w:rsidP="00980ECC">
      <w:pPr>
        <w:jc w:val="both"/>
        <w:rPr>
          <w:rFonts w:ascii="Verdana" w:hAnsi="Verdana" w:cs="Arial"/>
          <w:sz w:val="18"/>
          <w:szCs w:val="18"/>
        </w:rPr>
      </w:pPr>
    </w:p>
    <w:p w14:paraId="43EC04D8" w14:textId="77777777" w:rsidR="00980ECC" w:rsidRDefault="00980ECC" w:rsidP="00980ECC">
      <w:pPr>
        <w:jc w:val="both"/>
        <w:rPr>
          <w:rFonts w:ascii="Verdana" w:hAnsi="Verdana" w:cs="Arial"/>
          <w:sz w:val="18"/>
          <w:szCs w:val="18"/>
        </w:rPr>
      </w:pPr>
    </w:p>
    <w:p w14:paraId="5082AB7C" w14:textId="77777777" w:rsidR="00980ECC" w:rsidRDefault="00980ECC" w:rsidP="00980ECC">
      <w:pPr>
        <w:jc w:val="both"/>
        <w:rPr>
          <w:rFonts w:ascii="Verdana" w:hAnsi="Verdana" w:cs="Arial"/>
          <w:sz w:val="18"/>
          <w:szCs w:val="18"/>
        </w:rPr>
      </w:pPr>
    </w:p>
    <w:p w14:paraId="0B4C9322" w14:textId="77777777" w:rsidR="00980ECC" w:rsidRDefault="00980ECC" w:rsidP="00980ECC">
      <w:pPr>
        <w:jc w:val="both"/>
        <w:rPr>
          <w:rFonts w:ascii="Verdana" w:hAnsi="Verdana" w:cs="Arial"/>
          <w:sz w:val="18"/>
          <w:szCs w:val="18"/>
        </w:rPr>
      </w:pPr>
    </w:p>
    <w:p w14:paraId="3E1AAA13" w14:textId="77777777" w:rsidR="00980ECC" w:rsidRDefault="00980ECC" w:rsidP="00980ECC">
      <w:pPr>
        <w:jc w:val="both"/>
        <w:rPr>
          <w:rFonts w:ascii="Verdana" w:hAnsi="Verdana" w:cs="Arial"/>
          <w:sz w:val="18"/>
          <w:szCs w:val="18"/>
        </w:rPr>
      </w:pPr>
    </w:p>
    <w:p w14:paraId="1FFB69CE" w14:textId="77777777" w:rsidR="00980ECC" w:rsidRDefault="00980ECC" w:rsidP="00980ECC">
      <w:pPr>
        <w:jc w:val="both"/>
        <w:rPr>
          <w:rFonts w:ascii="Verdana" w:hAnsi="Verdana" w:cs="Arial"/>
          <w:sz w:val="18"/>
          <w:szCs w:val="18"/>
        </w:rPr>
      </w:pPr>
    </w:p>
    <w:p w14:paraId="33828EC1" w14:textId="77777777" w:rsidR="00541C40" w:rsidRDefault="00541C40">
      <w:pPr>
        <w:rPr>
          <w:rFonts w:ascii="Verdana" w:eastAsia="Malgun Gothic" w:hAnsi="Verdana" w:cs="Arial"/>
          <w:b/>
          <w:u w:val="single"/>
        </w:rPr>
      </w:pPr>
      <w:r>
        <w:rPr>
          <w:rFonts w:ascii="Verdana" w:eastAsia="Malgun Gothic" w:hAnsi="Verdana" w:cs="Arial"/>
          <w:b/>
          <w:u w:val="single"/>
        </w:rPr>
        <w:br w:type="page"/>
      </w:r>
    </w:p>
    <w:p w14:paraId="0B16C195" w14:textId="5BBB1787" w:rsidR="00980ECC" w:rsidRPr="00002FB8" w:rsidRDefault="00980ECC" w:rsidP="00980ECC">
      <w:pPr>
        <w:ind w:left="2160" w:firstLine="720"/>
        <w:rPr>
          <w:rFonts w:ascii="Verdana" w:eastAsia="Malgun Gothic" w:hAnsi="Verdana" w:cs="Arial"/>
          <w:b/>
          <w:u w:val="single"/>
        </w:rPr>
      </w:pPr>
      <w:r w:rsidRPr="00002FB8">
        <w:rPr>
          <w:rFonts w:ascii="Verdana" w:eastAsia="Malgun Gothic" w:hAnsi="Verdana" w:cs="Arial"/>
          <w:b/>
          <w:u w:val="single"/>
        </w:rPr>
        <w:lastRenderedPageBreak/>
        <w:t>METHODOLOGICAL NOTES</w:t>
      </w:r>
    </w:p>
    <w:p w14:paraId="030D1805" w14:textId="77777777" w:rsidR="00980ECC" w:rsidRPr="00980ECC" w:rsidRDefault="00980ECC" w:rsidP="00980ECC">
      <w:pPr>
        <w:jc w:val="both"/>
        <w:rPr>
          <w:rFonts w:ascii="Verdana" w:hAnsi="Verdana" w:cs="Arial"/>
          <w:sz w:val="18"/>
          <w:szCs w:val="18"/>
        </w:rPr>
      </w:pPr>
    </w:p>
    <w:p w14:paraId="285F35B5" w14:textId="09522483" w:rsidR="00980ECC" w:rsidRDefault="00980ECC" w:rsidP="00980ECC">
      <w:pPr>
        <w:jc w:val="both"/>
        <w:rPr>
          <w:rFonts w:ascii="Verdana" w:hAnsi="Verdana"/>
          <w:sz w:val="18"/>
          <w:szCs w:val="18"/>
          <w:shd w:val="clear" w:color="auto" w:fill="FFFFFF"/>
        </w:rPr>
      </w:pPr>
    </w:p>
    <w:p w14:paraId="2F4F5848" w14:textId="7C644830" w:rsidR="00980ECC" w:rsidRDefault="00980ECC" w:rsidP="00980ECC">
      <w:pPr>
        <w:jc w:val="both"/>
        <w:rPr>
          <w:rFonts w:ascii="Verdana" w:hAnsi="Verdana"/>
          <w:sz w:val="18"/>
          <w:szCs w:val="18"/>
          <w:shd w:val="clear" w:color="auto" w:fill="FFFFFF"/>
        </w:rPr>
      </w:pPr>
      <w:r w:rsidRPr="00C464C4">
        <w:rPr>
          <w:rFonts w:ascii="Verdana" w:eastAsia="Malgun Gothic" w:hAnsi="Verdana" w:cs="Arial"/>
          <w:b/>
          <w:sz w:val="18"/>
          <w:szCs w:val="18"/>
          <w:u w:val="single"/>
        </w:rPr>
        <w:t xml:space="preserve">Data </w:t>
      </w:r>
      <w:r>
        <w:rPr>
          <w:rFonts w:ascii="Verdana" w:eastAsia="Malgun Gothic" w:hAnsi="Verdana" w:cs="Arial"/>
          <w:b/>
          <w:sz w:val="18"/>
          <w:szCs w:val="18"/>
          <w:u w:val="single"/>
        </w:rPr>
        <w:t>C</w:t>
      </w:r>
      <w:r w:rsidRPr="00C464C4">
        <w:rPr>
          <w:rFonts w:ascii="Verdana" w:eastAsia="Malgun Gothic" w:hAnsi="Verdana" w:cs="Arial"/>
          <w:b/>
          <w:sz w:val="18"/>
          <w:szCs w:val="18"/>
          <w:u w:val="single"/>
        </w:rPr>
        <w:t xml:space="preserve">overage and </w:t>
      </w:r>
      <w:r>
        <w:rPr>
          <w:rFonts w:ascii="Verdana" w:eastAsia="Malgun Gothic" w:hAnsi="Verdana" w:cs="Arial"/>
          <w:b/>
          <w:sz w:val="18"/>
          <w:szCs w:val="18"/>
          <w:u w:val="single"/>
        </w:rPr>
        <w:t>Methodology</w:t>
      </w:r>
    </w:p>
    <w:p w14:paraId="56D1F0B6" w14:textId="77777777" w:rsidR="00980ECC" w:rsidRPr="00980ECC" w:rsidRDefault="00980ECC" w:rsidP="00980ECC">
      <w:pPr>
        <w:jc w:val="both"/>
        <w:rPr>
          <w:rFonts w:ascii="Verdana" w:hAnsi="Verdana"/>
          <w:sz w:val="18"/>
          <w:szCs w:val="18"/>
          <w:shd w:val="clear" w:color="auto" w:fill="FFFFFF"/>
        </w:rPr>
      </w:pPr>
    </w:p>
    <w:p w14:paraId="679C3BF1"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Information is provided for the number of persons employed and hours worked by economic activity and professional status (self-employed and employees).</w:t>
      </w:r>
    </w:p>
    <w:p w14:paraId="295279EC" w14:textId="77777777" w:rsidR="00980ECC" w:rsidRDefault="00980ECC" w:rsidP="00980ECC">
      <w:pPr>
        <w:jc w:val="both"/>
        <w:rPr>
          <w:rFonts w:ascii="Verdana" w:hAnsi="Verdana"/>
          <w:sz w:val="18"/>
          <w:szCs w:val="18"/>
          <w:shd w:val="clear" w:color="auto" w:fill="FFFFFF"/>
        </w:rPr>
      </w:pPr>
    </w:p>
    <w:p w14:paraId="6FB47F90" w14:textId="4F0C6383"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The statistical data for the number of persons employed and hours worked are given by economic activity and professional status (self-employed and employees), based on NACE Rev.2 Classification System and according to the methodology for the estimation of national accounts employment based on the European System of Accounts 2010 (ESA 2010).</w:t>
      </w:r>
    </w:p>
    <w:p w14:paraId="3F9EF84F" w14:textId="77777777" w:rsidR="00980ECC" w:rsidRDefault="00980ECC" w:rsidP="00980ECC">
      <w:pPr>
        <w:jc w:val="both"/>
        <w:rPr>
          <w:rFonts w:ascii="Verdana" w:hAnsi="Verdana"/>
          <w:sz w:val="18"/>
          <w:szCs w:val="18"/>
          <w:shd w:val="clear" w:color="auto" w:fill="FFFFFF"/>
        </w:rPr>
      </w:pPr>
    </w:p>
    <w:p w14:paraId="611AA495" w14:textId="7112C387" w:rsidR="00980ECC" w:rsidRDefault="00980ECC" w:rsidP="00980ECC">
      <w:pPr>
        <w:jc w:val="both"/>
        <w:rPr>
          <w:rFonts w:ascii="Verdana" w:hAnsi="Verdana"/>
          <w:sz w:val="18"/>
          <w:szCs w:val="18"/>
          <w:shd w:val="clear" w:color="auto" w:fill="FFFFFF"/>
        </w:rPr>
      </w:pPr>
      <w:r>
        <w:rPr>
          <w:rFonts w:ascii="Verdana" w:eastAsia="Malgun Gothic" w:hAnsi="Verdana" w:cs="Arial"/>
          <w:b/>
          <w:sz w:val="18"/>
          <w:szCs w:val="18"/>
          <w:u w:val="single"/>
        </w:rPr>
        <w:t xml:space="preserve">Source of </w:t>
      </w:r>
      <w:r w:rsidRPr="00C464C4">
        <w:rPr>
          <w:rFonts w:ascii="Verdana" w:eastAsia="Malgun Gothic" w:hAnsi="Verdana" w:cs="Arial"/>
          <w:b/>
          <w:sz w:val="18"/>
          <w:szCs w:val="18"/>
          <w:u w:val="single"/>
        </w:rPr>
        <w:t>Data</w:t>
      </w:r>
    </w:p>
    <w:p w14:paraId="0354EFF2" w14:textId="77777777" w:rsidR="00980ECC" w:rsidRDefault="00980ECC" w:rsidP="00980ECC">
      <w:pPr>
        <w:jc w:val="both"/>
        <w:rPr>
          <w:rFonts w:ascii="Verdana" w:hAnsi="Verdana"/>
          <w:sz w:val="18"/>
          <w:szCs w:val="18"/>
          <w:shd w:val="clear" w:color="auto" w:fill="FFFFFF"/>
        </w:rPr>
      </w:pPr>
    </w:p>
    <w:p w14:paraId="7A8EB08B" w14:textId="77E4105E"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In order to derive the data, the following data sources are used:</w:t>
      </w:r>
    </w:p>
    <w:p w14:paraId="4F17C0CD"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Employment and Job Vacancies Survey,</w:t>
      </w:r>
    </w:p>
    <w:p w14:paraId="5D4C5F7F"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Labor Force Survey,</w:t>
      </w:r>
    </w:p>
    <w:p w14:paraId="55F881F9"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Employment (in persons) from the Social Insurance Register,</w:t>
      </w:r>
    </w:p>
    <w:p w14:paraId="399F0A72" w14:textId="77777777" w:rsidR="00980ECC" w:rsidRPr="00980ECC" w:rsidRDefault="00980ECC" w:rsidP="00980ECC">
      <w:pPr>
        <w:jc w:val="both"/>
        <w:rPr>
          <w:rFonts w:ascii="Verdana" w:hAnsi="Verdana"/>
          <w:sz w:val="18"/>
          <w:szCs w:val="18"/>
          <w:shd w:val="clear" w:color="auto" w:fill="FFFFFF"/>
        </w:rPr>
      </w:pPr>
      <w:r w:rsidRPr="00980ECC">
        <w:rPr>
          <w:rFonts w:ascii="Verdana" w:hAnsi="Verdana"/>
          <w:sz w:val="18"/>
          <w:szCs w:val="18"/>
          <w:shd w:val="clear" w:color="auto" w:fill="FFFFFF"/>
        </w:rPr>
        <w:t>- Treasury of the Republic of Cyprus.</w:t>
      </w:r>
    </w:p>
    <w:p w14:paraId="25607ADA" w14:textId="77777777" w:rsidR="00980ECC" w:rsidRPr="00980ECC" w:rsidRDefault="00980ECC" w:rsidP="00980ECC">
      <w:pPr>
        <w:jc w:val="both"/>
        <w:rPr>
          <w:rFonts w:ascii="Verdana" w:hAnsi="Verdana"/>
          <w:sz w:val="18"/>
          <w:szCs w:val="18"/>
          <w:shd w:val="clear" w:color="auto" w:fill="FFFFFF"/>
        </w:rPr>
      </w:pPr>
    </w:p>
    <w:p w14:paraId="5615DB78" w14:textId="77777777" w:rsidR="00980ECC" w:rsidRPr="00980ECC" w:rsidRDefault="00980ECC" w:rsidP="00980ECC">
      <w:pPr>
        <w:jc w:val="both"/>
        <w:rPr>
          <w:rFonts w:ascii="Verdana" w:hAnsi="Verdana" w:cs="Arial"/>
          <w:sz w:val="18"/>
          <w:szCs w:val="18"/>
        </w:rPr>
      </w:pPr>
    </w:p>
    <w:p w14:paraId="1F9176F1" w14:textId="77777777" w:rsidR="00980ECC" w:rsidRPr="00980ECC" w:rsidRDefault="00980ECC" w:rsidP="00980ECC">
      <w:pPr>
        <w:rPr>
          <w:rFonts w:ascii="Verdana" w:hAnsi="Verdana"/>
          <w:b/>
          <w:i/>
          <w:sz w:val="18"/>
          <w:szCs w:val="18"/>
        </w:rPr>
      </w:pPr>
      <w:r w:rsidRPr="00980ECC">
        <w:rPr>
          <w:rFonts w:ascii="Verdana" w:hAnsi="Verdana"/>
          <w:b/>
          <w:i/>
          <w:sz w:val="18"/>
          <w:szCs w:val="18"/>
          <w:lang w:val="en-GB"/>
        </w:rPr>
        <w:t xml:space="preserve">For more information: </w:t>
      </w:r>
    </w:p>
    <w:p w14:paraId="2A8CC80E" w14:textId="77777777" w:rsidR="00980ECC" w:rsidRPr="00980ECC" w:rsidRDefault="00980ECC" w:rsidP="00980ECC">
      <w:pPr>
        <w:rPr>
          <w:rFonts w:ascii="Verdana" w:hAnsi="Verdana"/>
          <w:sz w:val="18"/>
          <w:szCs w:val="18"/>
        </w:rPr>
      </w:pPr>
      <w:r w:rsidRPr="00980ECC">
        <w:rPr>
          <w:rFonts w:ascii="Verdana" w:hAnsi="Verdana"/>
          <w:sz w:val="18"/>
          <w:szCs w:val="18"/>
          <w:lang w:val="en-GB"/>
        </w:rPr>
        <w:t xml:space="preserve">CYSTAT Portal, subtheme </w:t>
      </w:r>
      <w:hyperlink r:id="rId10" w:history="1">
        <w:r w:rsidRPr="00980ECC">
          <w:rPr>
            <w:rStyle w:val="Hyperlink"/>
            <w:rFonts w:ascii="Verdana" w:hAnsi="Verdana"/>
            <w:sz w:val="18"/>
            <w:szCs w:val="18"/>
            <w:lang w:val="en-GB"/>
          </w:rPr>
          <w:t>National Accounts</w:t>
        </w:r>
      </w:hyperlink>
    </w:p>
    <w:p w14:paraId="75E38604" w14:textId="77777777" w:rsidR="00980ECC" w:rsidRPr="00980ECC" w:rsidRDefault="00000000" w:rsidP="00980ECC">
      <w:pPr>
        <w:rPr>
          <w:rFonts w:ascii="Verdana" w:hAnsi="Verdana"/>
          <w:sz w:val="18"/>
          <w:szCs w:val="18"/>
        </w:rPr>
      </w:pPr>
      <w:hyperlink r:id="rId11" w:history="1">
        <w:r w:rsidR="00980ECC" w:rsidRPr="00980ECC">
          <w:rPr>
            <w:rStyle w:val="Hyperlink"/>
            <w:rFonts w:ascii="Verdana" w:hAnsi="Verdana"/>
            <w:sz w:val="18"/>
            <w:szCs w:val="18"/>
          </w:rPr>
          <w:t>CYSTAT-DB</w:t>
        </w:r>
      </w:hyperlink>
      <w:r w:rsidR="00980ECC" w:rsidRPr="00980ECC">
        <w:rPr>
          <w:rFonts w:ascii="Verdana" w:hAnsi="Verdana"/>
          <w:sz w:val="18"/>
          <w:szCs w:val="18"/>
        </w:rPr>
        <w:t xml:space="preserve"> (Online Database) </w:t>
      </w:r>
    </w:p>
    <w:p w14:paraId="34994BDA" w14:textId="77777777" w:rsidR="00980ECC" w:rsidRPr="00980ECC" w:rsidRDefault="00000000" w:rsidP="00980ECC">
      <w:pPr>
        <w:jc w:val="both"/>
        <w:rPr>
          <w:rFonts w:ascii="Verdana" w:hAnsi="Verdana"/>
          <w:sz w:val="18"/>
          <w:szCs w:val="18"/>
        </w:rPr>
      </w:pPr>
      <w:hyperlink r:id="rId12" w:history="1">
        <w:r w:rsidR="00980ECC" w:rsidRPr="00980ECC">
          <w:rPr>
            <w:rStyle w:val="Hyperlink"/>
            <w:rFonts w:ascii="Verdana" w:hAnsi="Verdana"/>
            <w:sz w:val="18"/>
            <w:szCs w:val="18"/>
          </w:rPr>
          <w:t>Predefined Tables</w:t>
        </w:r>
      </w:hyperlink>
      <w:r w:rsidR="00980ECC" w:rsidRPr="00980ECC">
        <w:rPr>
          <w:rFonts w:ascii="Verdana" w:hAnsi="Verdana"/>
          <w:sz w:val="18"/>
          <w:szCs w:val="18"/>
        </w:rPr>
        <w:t xml:space="preserve"> (Excel)</w:t>
      </w:r>
    </w:p>
    <w:p w14:paraId="77FFC288" w14:textId="77777777" w:rsidR="00980ECC" w:rsidRPr="00980ECC" w:rsidRDefault="00000000" w:rsidP="00980ECC">
      <w:pPr>
        <w:jc w:val="both"/>
        <w:rPr>
          <w:rFonts w:ascii="Verdana" w:hAnsi="Verdana"/>
          <w:sz w:val="18"/>
          <w:szCs w:val="18"/>
        </w:rPr>
      </w:pPr>
      <w:hyperlink r:id="rId13" w:history="1">
        <w:r w:rsidR="00980ECC" w:rsidRPr="00980ECC">
          <w:rPr>
            <w:rStyle w:val="Hyperlink"/>
            <w:rFonts w:ascii="Verdana" w:hAnsi="Verdana"/>
            <w:sz w:val="18"/>
            <w:szCs w:val="18"/>
          </w:rPr>
          <w:t>Methodological Information</w:t>
        </w:r>
      </w:hyperlink>
    </w:p>
    <w:p w14:paraId="29D6E188" w14:textId="77777777" w:rsidR="00980ECC" w:rsidRPr="00980ECC" w:rsidRDefault="00980ECC" w:rsidP="00980ECC">
      <w:pPr>
        <w:jc w:val="both"/>
        <w:rPr>
          <w:rFonts w:ascii="Verdana" w:hAnsi="Verdana"/>
          <w:b/>
          <w:bCs/>
          <w:sz w:val="18"/>
          <w:szCs w:val="18"/>
          <w:lang w:val="en-CY"/>
        </w:rPr>
      </w:pPr>
    </w:p>
    <w:p w14:paraId="3396D747" w14:textId="77777777" w:rsidR="00980ECC" w:rsidRPr="00980ECC" w:rsidRDefault="00980ECC" w:rsidP="00980ECC">
      <w:pPr>
        <w:jc w:val="both"/>
        <w:rPr>
          <w:rFonts w:ascii="Verdana" w:hAnsi="Verdana"/>
          <w:b/>
          <w:bCs/>
          <w:sz w:val="18"/>
          <w:szCs w:val="18"/>
          <w:lang w:val="en-CY"/>
        </w:rPr>
      </w:pPr>
      <w:r w:rsidRPr="00980ECC">
        <w:rPr>
          <w:rFonts w:ascii="Verdana" w:hAnsi="Verdana"/>
          <w:b/>
          <w:sz w:val="18"/>
          <w:szCs w:val="18"/>
        </w:rPr>
        <w:t xml:space="preserve">The data included in the </w:t>
      </w:r>
      <w:r w:rsidRPr="00980ECC">
        <w:rPr>
          <w:rFonts w:ascii="Verdana" w:hAnsi="Verdana"/>
          <w:b/>
          <w:sz w:val="18"/>
          <w:szCs w:val="18"/>
          <w:u w:val="single"/>
        </w:rPr>
        <w:t>Predefined Tables</w:t>
      </w:r>
      <w:r w:rsidRPr="00980ECC">
        <w:rPr>
          <w:rFonts w:ascii="Verdana" w:hAnsi="Verdana"/>
          <w:b/>
          <w:sz w:val="18"/>
          <w:szCs w:val="18"/>
        </w:rPr>
        <w:t xml:space="preserve"> in Excel format are available up to 4th Quarter 2021. Data from the 1st Quarter 2022 onwards are available only in the CYSTAT-DB Online Database.</w:t>
      </w:r>
    </w:p>
    <w:p w14:paraId="3CCD9376" w14:textId="77777777" w:rsidR="00980ECC" w:rsidRPr="00980ECC" w:rsidRDefault="00980ECC" w:rsidP="00980ECC">
      <w:pPr>
        <w:rPr>
          <w:rFonts w:ascii="Verdana" w:hAnsi="Verdana"/>
          <w:b/>
          <w:bCs/>
          <w:sz w:val="18"/>
          <w:szCs w:val="18"/>
          <w:lang w:val="en-CY"/>
        </w:rPr>
      </w:pPr>
    </w:p>
    <w:p w14:paraId="359EF973" w14:textId="77777777" w:rsidR="00980ECC" w:rsidRPr="00980ECC" w:rsidRDefault="00980ECC" w:rsidP="00980ECC">
      <w:pPr>
        <w:jc w:val="both"/>
        <w:rPr>
          <w:rFonts w:ascii="Verdana" w:eastAsia="Malgun Gothic" w:hAnsi="Verdana" w:cs="Arial"/>
          <w:i/>
          <w:sz w:val="18"/>
          <w:szCs w:val="18"/>
          <w:lang w:val="pt-PT"/>
        </w:rPr>
      </w:pPr>
      <w:r w:rsidRPr="00980ECC">
        <w:rPr>
          <w:rFonts w:ascii="Verdana" w:eastAsia="Malgun Gothic" w:hAnsi="Verdana" w:cs="Arial"/>
          <w:i/>
          <w:sz w:val="18"/>
          <w:szCs w:val="18"/>
          <w:u w:val="single"/>
          <w:lang w:val="pt-PT"/>
        </w:rPr>
        <w:t>Contact</w:t>
      </w:r>
      <w:r w:rsidRPr="00980ECC">
        <w:rPr>
          <w:rFonts w:ascii="Verdana" w:eastAsia="Malgun Gothic" w:hAnsi="Verdana" w:cs="Arial"/>
          <w:i/>
          <w:sz w:val="18"/>
          <w:szCs w:val="18"/>
          <w:lang w:val="pt-PT"/>
        </w:rPr>
        <w:t xml:space="preserve"> </w:t>
      </w:r>
    </w:p>
    <w:p w14:paraId="2ED4739D" w14:textId="77777777" w:rsidR="00980ECC" w:rsidRPr="00980ECC" w:rsidRDefault="00980ECC" w:rsidP="00980ECC">
      <w:pPr>
        <w:rPr>
          <w:rFonts w:ascii="Verdana" w:eastAsia="Malgun Gothic" w:hAnsi="Verdana" w:cs="Arial"/>
          <w:sz w:val="18"/>
          <w:szCs w:val="18"/>
          <w:lang w:val="pt-PT"/>
        </w:rPr>
      </w:pPr>
      <w:r w:rsidRPr="00980ECC">
        <w:rPr>
          <w:rFonts w:ascii="Verdana" w:eastAsia="Malgun Gothic" w:hAnsi="Verdana" w:cs="Arial"/>
          <w:sz w:val="18"/>
          <w:szCs w:val="18"/>
          <w:lang w:val="pt-PT"/>
        </w:rPr>
        <w:t xml:space="preserve">Demetriou Stavroula: </w:t>
      </w:r>
      <w:r w:rsidRPr="00980ECC">
        <w:rPr>
          <w:rFonts w:ascii="Verdana" w:eastAsia="Malgun Gothic" w:hAnsi="Verdana" w:cs="Arial"/>
          <w:sz w:val="18"/>
          <w:szCs w:val="18"/>
          <w:lang w:val="el-GR"/>
        </w:rPr>
        <w:t>Τ</w:t>
      </w:r>
      <w:r w:rsidRPr="00980ECC">
        <w:rPr>
          <w:rFonts w:ascii="Verdana" w:eastAsia="Malgun Gothic" w:hAnsi="Verdana" w:cs="Arial"/>
          <w:sz w:val="18"/>
          <w:szCs w:val="18"/>
          <w:lang w:val="pt-PT"/>
        </w:rPr>
        <w:t xml:space="preserve">el: +35722602205, Email: </w:t>
      </w:r>
      <w:hyperlink r:id="rId14" w:history="1">
        <w:r w:rsidRPr="00980ECC">
          <w:rPr>
            <w:rStyle w:val="Hyperlink"/>
            <w:rFonts w:ascii="Verdana" w:hAnsi="Verdana"/>
            <w:sz w:val="18"/>
            <w:szCs w:val="18"/>
            <w:lang w:val="pt-PT"/>
          </w:rPr>
          <w:t>sdemetri</w:t>
        </w:r>
        <w:r w:rsidRPr="00980ECC">
          <w:rPr>
            <w:rStyle w:val="Hyperlink"/>
            <w:rFonts w:ascii="Verdana" w:eastAsia="Malgun Gothic" w:hAnsi="Verdana" w:cs="Arial"/>
            <w:sz w:val="18"/>
            <w:szCs w:val="18"/>
            <w:lang w:val="pt-PT"/>
          </w:rPr>
          <w:t>ou@cystat.mof.gov.cy</w:t>
        </w:r>
      </w:hyperlink>
    </w:p>
    <w:p w14:paraId="276428C6" w14:textId="77777777" w:rsidR="00980ECC" w:rsidRPr="00980ECC" w:rsidRDefault="00980ECC" w:rsidP="00980ECC">
      <w:pPr>
        <w:tabs>
          <w:tab w:val="left" w:pos="2212"/>
        </w:tabs>
        <w:rPr>
          <w:rFonts w:ascii="Verdana" w:eastAsia="Malgun Gothic" w:hAnsi="Verdana" w:cs="Arial"/>
          <w:sz w:val="18"/>
          <w:szCs w:val="18"/>
          <w:lang w:val="pt-PT"/>
        </w:rPr>
      </w:pPr>
      <w:r w:rsidRPr="00980ECC">
        <w:rPr>
          <w:rFonts w:ascii="Verdana" w:eastAsia="Malgun Gothic" w:hAnsi="Verdana" w:cs="Arial"/>
          <w:sz w:val="18"/>
          <w:szCs w:val="18"/>
          <w:lang w:val="pt-PT"/>
        </w:rPr>
        <w:tab/>
      </w:r>
    </w:p>
    <w:p w14:paraId="53DBE10E" w14:textId="77777777" w:rsidR="00980ECC" w:rsidRPr="00980ECC" w:rsidRDefault="00980ECC" w:rsidP="006F1E66">
      <w:pPr>
        <w:jc w:val="both"/>
        <w:rPr>
          <w:rFonts w:ascii="Verdana" w:hAnsi="Verdana" w:cs="Arial"/>
          <w:sz w:val="18"/>
          <w:szCs w:val="18"/>
          <w:lang w:val="pt-PT"/>
        </w:rPr>
      </w:pPr>
    </w:p>
    <w:p w14:paraId="663F5B87" w14:textId="5FFBC9C2" w:rsidR="00972CA0" w:rsidRPr="00972CA0" w:rsidRDefault="00463214" w:rsidP="00C26329">
      <w:pPr>
        <w:jc w:val="both"/>
        <w:rPr>
          <w:rFonts w:ascii="Verdana" w:eastAsia="Malgun Gothic" w:hAnsi="Verdana" w:cs="Arial"/>
          <w:sz w:val="18"/>
          <w:szCs w:val="18"/>
        </w:rPr>
      </w:pPr>
      <w:r w:rsidRPr="00980ECC">
        <w:rPr>
          <w:rFonts w:ascii="Arial" w:hAnsi="Arial" w:cs="Arial"/>
          <w:sz w:val="20"/>
          <w:szCs w:val="20"/>
        </w:rPr>
        <w:tab/>
      </w:r>
      <w:r w:rsidRPr="00980ECC">
        <w:rPr>
          <w:rFonts w:ascii="Arial" w:hAnsi="Arial" w:cs="Arial"/>
          <w:sz w:val="18"/>
          <w:szCs w:val="18"/>
        </w:rPr>
        <w:tab/>
      </w:r>
    </w:p>
    <w:p w14:paraId="27A72E99" w14:textId="77777777" w:rsidR="00972CA0" w:rsidRPr="00C26329" w:rsidRDefault="00972CA0" w:rsidP="00072754">
      <w:pPr>
        <w:jc w:val="both"/>
        <w:rPr>
          <w:rFonts w:ascii="Verdana" w:eastAsia="Malgun Gothic" w:hAnsi="Verdana" w:cs="Arial"/>
          <w:sz w:val="18"/>
          <w:szCs w:val="18"/>
        </w:rPr>
      </w:pPr>
    </w:p>
    <w:p w14:paraId="53B37447" w14:textId="77777777" w:rsidR="00972CA0" w:rsidRPr="00C26329" w:rsidRDefault="00972CA0" w:rsidP="00072754">
      <w:pPr>
        <w:jc w:val="both"/>
        <w:rPr>
          <w:rFonts w:ascii="Verdana" w:eastAsia="Malgun Gothic" w:hAnsi="Verdana" w:cs="Arial"/>
          <w:sz w:val="18"/>
          <w:szCs w:val="18"/>
        </w:rPr>
      </w:pP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1050D5FA" w14:textId="77777777" w:rsidR="00972CA0" w:rsidRPr="00C26329" w:rsidRDefault="00972CA0" w:rsidP="00072754">
      <w:pPr>
        <w:jc w:val="both"/>
        <w:rPr>
          <w:rFonts w:ascii="Verdana" w:eastAsia="Malgun Gothic" w:hAnsi="Verdana" w:cs="Arial"/>
          <w:sz w:val="18"/>
          <w:szCs w:val="18"/>
        </w:rPr>
      </w:pPr>
    </w:p>
    <w:p w14:paraId="082D84DB" w14:textId="77777777" w:rsidR="00972CA0" w:rsidRPr="00C26329" w:rsidRDefault="00972CA0" w:rsidP="00072754">
      <w:pPr>
        <w:jc w:val="both"/>
        <w:rPr>
          <w:rFonts w:ascii="Verdana" w:eastAsia="Malgun Gothic" w:hAnsi="Verdana" w:cs="Arial"/>
          <w:sz w:val="18"/>
          <w:szCs w:val="18"/>
        </w:rPr>
      </w:pPr>
    </w:p>
    <w:p w14:paraId="554E7F67" w14:textId="77777777" w:rsidR="00972CA0" w:rsidRPr="00C26329" w:rsidRDefault="00972CA0" w:rsidP="00072754">
      <w:pPr>
        <w:jc w:val="both"/>
        <w:rPr>
          <w:rFonts w:ascii="Verdana" w:eastAsia="Malgun Gothic" w:hAnsi="Verdana" w:cs="Arial"/>
          <w:sz w:val="18"/>
          <w:szCs w:val="18"/>
        </w:rPr>
      </w:pPr>
    </w:p>
    <w:p w14:paraId="3F7A74F3" w14:textId="77777777" w:rsidR="00972CA0" w:rsidRPr="00C26329" w:rsidRDefault="00972CA0" w:rsidP="00072754">
      <w:pPr>
        <w:jc w:val="both"/>
        <w:rPr>
          <w:rFonts w:ascii="Verdana" w:eastAsia="Malgun Gothic" w:hAnsi="Verdana" w:cs="Arial"/>
          <w:sz w:val="18"/>
          <w:szCs w:val="18"/>
        </w:rPr>
      </w:pPr>
    </w:p>
    <w:p w14:paraId="57E562A5" w14:textId="77777777" w:rsidR="00972CA0" w:rsidRPr="00C26329" w:rsidRDefault="00972CA0" w:rsidP="00072754">
      <w:pPr>
        <w:jc w:val="both"/>
        <w:rPr>
          <w:rFonts w:ascii="Verdana" w:eastAsia="Malgun Gothic" w:hAnsi="Verdana" w:cs="Arial"/>
          <w:sz w:val="18"/>
          <w:szCs w:val="18"/>
        </w:rPr>
      </w:pPr>
    </w:p>
    <w:p w14:paraId="16064204" w14:textId="77777777" w:rsidR="00972CA0" w:rsidRPr="00C26329" w:rsidRDefault="00972CA0" w:rsidP="00072754">
      <w:pPr>
        <w:jc w:val="both"/>
        <w:rPr>
          <w:rFonts w:ascii="Verdana" w:eastAsia="Malgun Gothic" w:hAnsi="Verdana" w:cs="Arial"/>
          <w:sz w:val="18"/>
          <w:szCs w:val="18"/>
        </w:rPr>
      </w:pPr>
    </w:p>
    <w:p w14:paraId="091F406A" w14:textId="77777777" w:rsidR="00972CA0" w:rsidRPr="00C26329" w:rsidRDefault="00972CA0" w:rsidP="00072754">
      <w:pPr>
        <w:jc w:val="both"/>
        <w:rPr>
          <w:rFonts w:ascii="Verdana" w:eastAsia="Malgun Gothic" w:hAnsi="Verdana" w:cs="Arial"/>
          <w:sz w:val="18"/>
          <w:szCs w:val="18"/>
        </w:rPr>
      </w:pPr>
    </w:p>
    <w:p w14:paraId="0EF6D563" w14:textId="77777777" w:rsidR="00972CA0" w:rsidRPr="00C26329" w:rsidRDefault="00972CA0" w:rsidP="00072754">
      <w:pPr>
        <w:jc w:val="both"/>
        <w:rPr>
          <w:rFonts w:ascii="Verdana" w:eastAsia="Malgun Gothic" w:hAnsi="Verdana" w:cs="Arial"/>
          <w:sz w:val="18"/>
          <w:szCs w:val="18"/>
        </w:rPr>
      </w:pPr>
    </w:p>
    <w:p w14:paraId="2E64F741" w14:textId="77777777" w:rsidR="00972CA0" w:rsidRPr="00C26329" w:rsidRDefault="00972CA0" w:rsidP="00072754">
      <w:pPr>
        <w:jc w:val="both"/>
        <w:rPr>
          <w:rFonts w:ascii="Verdana" w:eastAsia="Malgun Gothic" w:hAnsi="Verdana" w:cs="Arial"/>
          <w:sz w:val="18"/>
          <w:szCs w:val="18"/>
        </w:rPr>
      </w:pPr>
    </w:p>
    <w:p w14:paraId="726E4C9B" w14:textId="77777777" w:rsidR="00691191" w:rsidRPr="00C26329" w:rsidRDefault="00691191" w:rsidP="00072754">
      <w:pPr>
        <w:jc w:val="both"/>
        <w:rPr>
          <w:rFonts w:ascii="Verdana" w:eastAsia="Malgun Gothic" w:hAnsi="Verdana" w:cs="Arial"/>
          <w:sz w:val="18"/>
          <w:szCs w:val="18"/>
        </w:rPr>
      </w:pPr>
    </w:p>
    <w:p w14:paraId="0C7DC7E7" w14:textId="77777777" w:rsidR="00691191" w:rsidRPr="00C26329" w:rsidRDefault="00691191" w:rsidP="00072754">
      <w:pPr>
        <w:jc w:val="both"/>
        <w:rPr>
          <w:rFonts w:ascii="Verdana" w:eastAsia="Malgun Gothic" w:hAnsi="Verdana" w:cs="Arial"/>
          <w:sz w:val="18"/>
          <w:szCs w:val="18"/>
        </w:rPr>
      </w:pPr>
    </w:p>
    <w:p w14:paraId="506AAA7B" w14:textId="77777777" w:rsidR="00691191" w:rsidRPr="00C26329" w:rsidRDefault="00691191" w:rsidP="00072754">
      <w:pPr>
        <w:jc w:val="both"/>
        <w:rPr>
          <w:rFonts w:ascii="Verdana" w:eastAsia="Malgun Gothic" w:hAnsi="Verdana" w:cs="Arial"/>
          <w:sz w:val="18"/>
          <w:szCs w:val="18"/>
        </w:rPr>
      </w:pPr>
    </w:p>
    <w:p w14:paraId="271B080D" w14:textId="77777777" w:rsidR="00691191" w:rsidRPr="00C26329" w:rsidRDefault="00691191" w:rsidP="00072754">
      <w:pPr>
        <w:jc w:val="both"/>
        <w:rPr>
          <w:rFonts w:ascii="Verdana" w:eastAsia="Malgun Gothic" w:hAnsi="Verdana" w:cs="Arial"/>
          <w:sz w:val="18"/>
          <w:szCs w:val="18"/>
        </w:rPr>
      </w:pPr>
    </w:p>
    <w:p w14:paraId="5310AC9E" w14:textId="77777777" w:rsidR="00691191" w:rsidRPr="00C26329" w:rsidRDefault="00691191" w:rsidP="00072754">
      <w:pPr>
        <w:jc w:val="both"/>
        <w:rPr>
          <w:rFonts w:ascii="Verdana" w:eastAsia="Malgun Gothic" w:hAnsi="Verdana" w:cs="Arial"/>
          <w:sz w:val="18"/>
          <w:szCs w:val="18"/>
        </w:rPr>
      </w:pPr>
    </w:p>
    <w:p w14:paraId="41BB17B1" w14:textId="77777777" w:rsidR="00691191" w:rsidRPr="00C26329" w:rsidRDefault="00691191" w:rsidP="00072754">
      <w:pPr>
        <w:jc w:val="both"/>
        <w:rPr>
          <w:rFonts w:ascii="Verdana" w:eastAsia="Malgun Gothic" w:hAnsi="Verdana" w:cs="Arial"/>
          <w:sz w:val="18"/>
          <w:szCs w:val="18"/>
        </w:rPr>
      </w:pPr>
    </w:p>
    <w:p w14:paraId="4188C987" w14:textId="77777777" w:rsidR="00691191" w:rsidRPr="00C26329" w:rsidRDefault="00691191" w:rsidP="00072754">
      <w:pPr>
        <w:jc w:val="both"/>
        <w:rPr>
          <w:rFonts w:ascii="Verdana" w:eastAsia="Malgun Gothic" w:hAnsi="Verdana" w:cs="Arial"/>
          <w:sz w:val="18"/>
          <w:szCs w:val="18"/>
        </w:rPr>
      </w:pPr>
    </w:p>
    <w:p w14:paraId="37A80CEC" w14:textId="77777777" w:rsidR="00691191" w:rsidRPr="00C26329" w:rsidRDefault="00691191" w:rsidP="00072754">
      <w:pPr>
        <w:jc w:val="both"/>
        <w:rPr>
          <w:rFonts w:ascii="Verdana" w:eastAsia="Malgun Gothic" w:hAnsi="Verdana" w:cs="Arial"/>
          <w:sz w:val="18"/>
          <w:szCs w:val="18"/>
        </w:rPr>
      </w:pPr>
    </w:p>
    <w:p w14:paraId="45047B26" w14:textId="77777777" w:rsidR="00691191" w:rsidRPr="00C26329" w:rsidRDefault="00691191" w:rsidP="00072754">
      <w:pPr>
        <w:jc w:val="both"/>
        <w:rPr>
          <w:rFonts w:ascii="Verdana" w:eastAsia="Malgun Gothic" w:hAnsi="Verdana" w:cs="Arial"/>
          <w:sz w:val="18"/>
          <w:szCs w:val="18"/>
        </w:rPr>
      </w:pPr>
    </w:p>
    <w:p w14:paraId="57F52A3C" w14:textId="77777777" w:rsidR="00691191" w:rsidRPr="00C26329" w:rsidRDefault="00691191" w:rsidP="00072754">
      <w:pPr>
        <w:jc w:val="both"/>
        <w:rPr>
          <w:rFonts w:ascii="Verdana" w:eastAsia="Malgun Gothic" w:hAnsi="Verdana" w:cs="Arial"/>
          <w:sz w:val="18"/>
          <w:szCs w:val="18"/>
        </w:rPr>
      </w:pPr>
    </w:p>
    <w:p w14:paraId="736219EF" w14:textId="77777777" w:rsidR="00691191" w:rsidRPr="00C26329" w:rsidRDefault="00691191" w:rsidP="00072754">
      <w:pPr>
        <w:jc w:val="both"/>
        <w:rPr>
          <w:rFonts w:ascii="Verdana" w:eastAsia="Malgun Gothic" w:hAnsi="Verdana" w:cs="Arial"/>
          <w:sz w:val="18"/>
          <w:szCs w:val="18"/>
        </w:rPr>
      </w:pPr>
    </w:p>
    <w:p w14:paraId="1589D35F" w14:textId="77777777" w:rsidR="00691191" w:rsidRPr="00C26329" w:rsidRDefault="00691191" w:rsidP="00072754">
      <w:pPr>
        <w:jc w:val="both"/>
        <w:rPr>
          <w:rFonts w:ascii="Verdana" w:eastAsia="Malgun Gothic" w:hAnsi="Verdana" w:cs="Arial"/>
          <w:sz w:val="18"/>
          <w:szCs w:val="18"/>
        </w:rPr>
      </w:pPr>
    </w:p>
    <w:p w14:paraId="637EAC91" w14:textId="77777777" w:rsidR="00691191" w:rsidRPr="00C26329" w:rsidRDefault="00691191" w:rsidP="00072754">
      <w:pPr>
        <w:jc w:val="both"/>
        <w:rPr>
          <w:rFonts w:ascii="Verdana" w:eastAsia="Malgun Gothic" w:hAnsi="Verdana" w:cs="Arial"/>
          <w:sz w:val="18"/>
          <w:szCs w:val="18"/>
        </w:rPr>
      </w:pPr>
    </w:p>
    <w:p w14:paraId="0DAF1457" w14:textId="77777777" w:rsidR="00691191" w:rsidRPr="00C26329" w:rsidRDefault="00691191" w:rsidP="00072754">
      <w:pPr>
        <w:jc w:val="both"/>
        <w:rPr>
          <w:rFonts w:ascii="Verdana" w:eastAsia="Malgun Gothic" w:hAnsi="Verdana" w:cs="Arial"/>
          <w:sz w:val="18"/>
          <w:szCs w:val="18"/>
        </w:rPr>
      </w:pPr>
    </w:p>
    <w:p w14:paraId="10AC0308" w14:textId="77777777" w:rsidR="00691191" w:rsidRPr="00C26329" w:rsidRDefault="00691191" w:rsidP="00072754">
      <w:pPr>
        <w:jc w:val="both"/>
        <w:rPr>
          <w:rFonts w:ascii="Verdana" w:eastAsia="Malgun Gothic" w:hAnsi="Verdana" w:cs="Arial"/>
          <w:sz w:val="18"/>
          <w:szCs w:val="18"/>
        </w:rPr>
      </w:pPr>
    </w:p>
    <w:p w14:paraId="31FD10F1" w14:textId="77777777" w:rsidR="00691191" w:rsidRPr="00C26329" w:rsidRDefault="00691191" w:rsidP="00072754">
      <w:pPr>
        <w:jc w:val="both"/>
        <w:rPr>
          <w:rFonts w:ascii="Verdana" w:eastAsia="Malgun Gothic" w:hAnsi="Verdana" w:cs="Arial"/>
          <w:sz w:val="18"/>
          <w:szCs w:val="18"/>
        </w:rPr>
      </w:pPr>
    </w:p>
    <w:p w14:paraId="547FA885" w14:textId="77777777" w:rsidR="00691191" w:rsidRPr="00C26329" w:rsidRDefault="00691191" w:rsidP="00072754">
      <w:pPr>
        <w:jc w:val="both"/>
        <w:rPr>
          <w:rFonts w:ascii="Verdana" w:eastAsia="Malgun Gothic" w:hAnsi="Verdana" w:cs="Arial"/>
          <w:sz w:val="18"/>
          <w:szCs w:val="18"/>
        </w:rPr>
      </w:pPr>
    </w:p>
    <w:p w14:paraId="4070CE48" w14:textId="77777777" w:rsidR="00691191" w:rsidRPr="00C26329" w:rsidRDefault="00691191" w:rsidP="00072754">
      <w:pPr>
        <w:jc w:val="both"/>
        <w:rPr>
          <w:rFonts w:ascii="Verdana" w:eastAsia="Malgun Gothic" w:hAnsi="Verdana" w:cs="Arial"/>
          <w:sz w:val="18"/>
          <w:szCs w:val="18"/>
        </w:rPr>
      </w:pPr>
    </w:p>
    <w:sectPr w:rsidR="00691191" w:rsidRPr="00C26329" w:rsidSect="005938ED">
      <w:headerReference w:type="default" r:id="rId15"/>
      <w:footerReference w:type="default" r:id="rId16"/>
      <w:headerReference w:type="first" r:id="rId17"/>
      <w:footerReference w:type="first" r:id="rId18"/>
      <w:pgSz w:w="11907" w:h="16840" w:code="9"/>
      <w:pgMar w:top="810" w:right="1185" w:bottom="1021" w:left="1134"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004412" w14:textId="77777777" w:rsidR="001255B8" w:rsidRDefault="001255B8" w:rsidP="00FB398F">
      <w:r>
        <w:separator/>
      </w:r>
    </w:p>
  </w:endnote>
  <w:endnote w:type="continuationSeparator" w:id="0">
    <w:p w14:paraId="4AC7D3DF" w14:textId="77777777" w:rsidR="001255B8" w:rsidRDefault="001255B8"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1E52CC32"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Karaoli Str., 1444 Nicosia, Cyprus</w:t>
    </w:r>
  </w:p>
  <w:p w14:paraId="5BFB5428" w14:textId="111B6790" w:rsidR="0060256A" w:rsidRPr="00122143" w:rsidRDefault="00122143" w:rsidP="0060256A">
    <w:pPr>
      <w:pStyle w:val="Footer"/>
      <w:tabs>
        <w:tab w:val="left" w:pos="4500"/>
      </w:tabs>
      <w:jc w:val="center"/>
      <w:rPr>
        <w:rFonts w:ascii="Arial" w:hAnsi="Arial" w:cs="Arial"/>
        <w:i/>
        <w:iCs/>
        <w:sz w:val="16"/>
        <w:szCs w:val="16"/>
      </w:rPr>
    </w:pPr>
    <w:r>
      <w:rPr>
        <w:rFonts w:ascii="Arial" w:hAnsi="Arial" w:cs="Arial"/>
        <w:i/>
        <w:iCs/>
        <w:sz w:val="16"/>
        <w:szCs w:val="16"/>
      </w:rPr>
      <w:t xml:space="preserve">Tel.:  22 602129, </w:t>
    </w:r>
    <w:r w:rsidR="0060256A" w:rsidRPr="00122143">
      <w:rPr>
        <w:rFonts w:ascii="Arial" w:hAnsi="Arial" w:cs="Arial"/>
        <w:i/>
        <w:iCs/>
        <w:sz w:val="16"/>
        <w:szCs w:val="16"/>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C9B725" w14:textId="77777777" w:rsidR="001255B8" w:rsidRDefault="001255B8" w:rsidP="00FB398F">
      <w:r>
        <w:separator/>
      </w:r>
    </w:p>
  </w:footnote>
  <w:footnote w:type="continuationSeparator" w:id="0">
    <w:p w14:paraId="6F84CD36" w14:textId="77777777" w:rsidR="001255B8" w:rsidRDefault="001255B8"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place">
                            <w:smartTag w:uri="urn:schemas-microsoft-com:office:smarttags" w:element="country-region">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 xml:space="preserve">OF </w:t>
                    </w:r>
                    <w:smartTag w:uri="urn:schemas-microsoft-com:office:smarttags" w:element="country-region">
                      <w:smartTag w:uri="urn:schemas-microsoft-com:office:smarttags" w:element="place">
                        <w:r w:rsidRPr="00BA5A5E">
                          <w:rPr>
                            <w:rFonts w:ascii="Arial" w:hAnsi="Arial" w:cs="Arial"/>
                            <w:b/>
                            <w:sz w:val="20"/>
                            <w:szCs w:val="20"/>
                          </w:rPr>
                          <w:t>CYPRUS</w:t>
                        </w:r>
                      </w:smartTag>
                    </w:smartTag>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405B285B"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07306729">
    <w:abstractNumId w:val="4"/>
  </w:num>
  <w:num w:numId="2" w16cid:durableId="1551722351">
    <w:abstractNumId w:val="1"/>
  </w:num>
  <w:num w:numId="3" w16cid:durableId="1689873574">
    <w:abstractNumId w:val="2"/>
  </w:num>
  <w:num w:numId="4" w16cid:durableId="1756853884">
    <w:abstractNumId w:val="3"/>
  </w:num>
  <w:num w:numId="5" w16cid:durableId="1765999714">
    <w:abstractNumId w:val="0"/>
  </w:num>
  <w:num w:numId="6" w16cid:durableId="888028351">
    <w:abstractNumId w:val="5"/>
  </w:num>
  <w:num w:numId="7" w16cid:durableId="1895775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603D"/>
    <w:rsid w:val="00036FA9"/>
    <w:rsid w:val="00045088"/>
    <w:rsid w:val="0004511C"/>
    <w:rsid w:val="00045A06"/>
    <w:rsid w:val="00050391"/>
    <w:rsid w:val="00055291"/>
    <w:rsid w:val="000563D3"/>
    <w:rsid w:val="00057E44"/>
    <w:rsid w:val="00061299"/>
    <w:rsid w:val="00070576"/>
    <w:rsid w:val="00072754"/>
    <w:rsid w:val="000752BB"/>
    <w:rsid w:val="00081ADF"/>
    <w:rsid w:val="00084A02"/>
    <w:rsid w:val="00084BF7"/>
    <w:rsid w:val="000870E9"/>
    <w:rsid w:val="000932CF"/>
    <w:rsid w:val="00096ED8"/>
    <w:rsid w:val="000A1A88"/>
    <w:rsid w:val="000A2B5C"/>
    <w:rsid w:val="000A3601"/>
    <w:rsid w:val="000A6FA8"/>
    <w:rsid w:val="000B6F3B"/>
    <w:rsid w:val="000C4E72"/>
    <w:rsid w:val="000D1E7A"/>
    <w:rsid w:val="000E24B1"/>
    <w:rsid w:val="000E2735"/>
    <w:rsid w:val="000E32D6"/>
    <w:rsid w:val="000E57F2"/>
    <w:rsid w:val="000E72A7"/>
    <w:rsid w:val="000F1162"/>
    <w:rsid w:val="000F3467"/>
    <w:rsid w:val="000F38DE"/>
    <w:rsid w:val="000F5D6C"/>
    <w:rsid w:val="00106852"/>
    <w:rsid w:val="00110F9D"/>
    <w:rsid w:val="00114A67"/>
    <w:rsid w:val="00122143"/>
    <w:rsid w:val="001253B6"/>
    <w:rsid w:val="001255B8"/>
    <w:rsid w:val="00127320"/>
    <w:rsid w:val="00127456"/>
    <w:rsid w:val="001312D8"/>
    <w:rsid w:val="0013137B"/>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91774"/>
    <w:rsid w:val="0019714A"/>
    <w:rsid w:val="001A2018"/>
    <w:rsid w:val="001A3DD4"/>
    <w:rsid w:val="001B0B57"/>
    <w:rsid w:val="001B2C39"/>
    <w:rsid w:val="001B3675"/>
    <w:rsid w:val="001B54AB"/>
    <w:rsid w:val="001B5E10"/>
    <w:rsid w:val="001B6AB3"/>
    <w:rsid w:val="001B73D5"/>
    <w:rsid w:val="001C0681"/>
    <w:rsid w:val="001C07FA"/>
    <w:rsid w:val="001C14B9"/>
    <w:rsid w:val="001C2C49"/>
    <w:rsid w:val="001C62B3"/>
    <w:rsid w:val="001C7C8C"/>
    <w:rsid w:val="001D0D6A"/>
    <w:rsid w:val="001D20A4"/>
    <w:rsid w:val="001D34BE"/>
    <w:rsid w:val="001E00D1"/>
    <w:rsid w:val="001E0E58"/>
    <w:rsid w:val="001E14F3"/>
    <w:rsid w:val="001E15ED"/>
    <w:rsid w:val="001E61AA"/>
    <w:rsid w:val="001E7D09"/>
    <w:rsid w:val="001F0B4B"/>
    <w:rsid w:val="0020309E"/>
    <w:rsid w:val="00205BA0"/>
    <w:rsid w:val="00210B58"/>
    <w:rsid w:val="00222423"/>
    <w:rsid w:val="00225B28"/>
    <w:rsid w:val="002313AC"/>
    <w:rsid w:val="00231F7B"/>
    <w:rsid w:val="00235FB2"/>
    <w:rsid w:val="00237BC1"/>
    <w:rsid w:val="002430B4"/>
    <w:rsid w:val="002447D0"/>
    <w:rsid w:val="002454C5"/>
    <w:rsid w:val="00245E19"/>
    <w:rsid w:val="0024685F"/>
    <w:rsid w:val="00246AEB"/>
    <w:rsid w:val="00250005"/>
    <w:rsid w:val="0025254F"/>
    <w:rsid w:val="0025566D"/>
    <w:rsid w:val="0025595C"/>
    <w:rsid w:val="00257149"/>
    <w:rsid w:val="002576E7"/>
    <w:rsid w:val="00260357"/>
    <w:rsid w:val="00264F04"/>
    <w:rsid w:val="00267554"/>
    <w:rsid w:val="0027122D"/>
    <w:rsid w:val="0028338F"/>
    <w:rsid w:val="00285C24"/>
    <w:rsid w:val="002915C4"/>
    <w:rsid w:val="002A1D1C"/>
    <w:rsid w:val="002A4D64"/>
    <w:rsid w:val="002B6554"/>
    <w:rsid w:val="002D05F0"/>
    <w:rsid w:val="002D6DAA"/>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522BB"/>
    <w:rsid w:val="00352F6C"/>
    <w:rsid w:val="003556EA"/>
    <w:rsid w:val="00364377"/>
    <w:rsid w:val="00377ABB"/>
    <w:rsid w:val="00380EC8"/>
    <w:rsid w:val="003854F5"/>
    <w:rsid w:val="00386FC7"/>
    <w:rsid w:val="00390A32"/>
    <w:rsid w:val="00396C89"/>
    <w:rsid w:val="003A40F2"/>
    <w:rsid w:val="003A50D1"/>
    <w:rsid w:val="003B196D"/>
    <w:rsid w:val="003B2710"/>
    <w:rsid w:val="003B4608"/>
    <w:rsid w:val="003C1B8E"/>
    <w:rsid w:val="003C2392"/>
    <w:rsid w:val="003C5174"/>
    <w:rsid w:val="003C5240"/>
    <w:rsid w:val="003D14E0"/>
    <w:rsid w:val="003D1EA5"/>
    <w:rsid w:val="003D3348"/>
    <w:rsid w:val="003D6822"/>
    <w:rsid w:val="003D724C"/>
    <w:rsid w:val="003E0CE2"/>
    <w:rsid w:val="003F49E4"/>
    <w:rsid w:val="003F4D2F"/>
    <w:rsid w:val="003F5E32"/>
    <w:rsid w:val="003F75F6"/>
    <w:rsid w:val="00404670"/>
    <w:rsid w:val="00414CA0"/>
    <w:rsid w:val="00422F54"/>
    <w:rsid w:val="00431516"/>
    <w:rsid w:val="004361B3"/>
    <w:rsid w:val="0044249D"/>
    <w:rsid w:val="0044379F"/>
    <w:rsid w:val="00446274"/>
    <w:rsid w:val="00446FB1"/>
    <w:rsid w:val="0046078F"/>
    <w:rsid w:val="00463214"/>
    <w:rsid w:val="0046434D"/>
    <w:rsid w:val="004656FA"/>
    <w:rsid w:val="00471D77"/>
    <w:rsid w:val="00475587"/>
    <w:rsid w:val="00480BC2"/>
    <w:rsid w:val="004929C2"/>
    <w:rsid w:val="00493FDD"/>
    <w:rsid w:val="0049586B"/>
    <w:rsid w:val="004A3E44"/>
    <w:rsid w:val="004A7983"/>
    <w:rsid w:val="004B2896"/>
    <w:rsid w:val="004B38E9"/>
    <w:rsid w:val="004B3FBA"/>
    <w:rsid w:val="004B556F"/>
    <w:rsid w:val="004B6599"/>
    <w:rsid w:val="004C22AC"/>
    <w:rsid w:val="004C35CE"/>
    <w:rsid w:val="004C6CA7"/>
    <w:rsid w:val="004D4357"/>
    <w:rsid w:val="004D4950"/>
    <w:rsid w:val="004E2393"/>
    <w:rsid w:val="004E27EC"/>
    <w:rsid w:val="004E3745"/>
    <w:rsid w:val="004E42BE"/>
    <w:rsid w:val="004E4F42"/>
    <w:rsid w:val="004E63D5"/>
    <w:rsid w:val="004F03FD"/>
    <w:rsid w:val="004F4DC9"/>
    <w:rsid w:val="004F52F0"/>
    <w:rsid w:val="004F6250"/>
    <w:rsid w:val="004F677C"/>
    <w:rsid w:val="004F6D8F"/>
    <w:rsid w:val="00505503"/>
    <w:rsid w:val="0051107B"/>
    <w:rsid w:val="00512F9C"/>
    <w:rsid w:val="00515D44"/>
    <w:rsid w:val="00527CDB"/>
    <w:rsid w:val="005317FB"/>
    <w:rsid w:val="005341C9"/>
    <w:rsid w:val="005369CA"/>
    <w:rsid w:val="00536DE9"/>
    <w:rsid w:val="00540668"/>
    <w:rsid w:val="00541C40"/>
    <w:rsid w:val="00541E08"/>
    <w:rsid w:val="0055789A"/>
    <w:rsid w:val="005578CD"/>
    <w:rsid w:val="005652D1"/>
    <w:rsid w:val="005660A0"/>
    <w:rsid w:val="00566A4F"/>
    <w:rsid w:val="00567D64"/>
    <w:rsid w:val="00572BC2"/>
    <w:rsid w:val="005938ED"/>
    <w:rsid w:val="0059478C"/>
    <w:rsid w:val="005978D4"/>
    <w:rsid w:val="005B2A67"/>
    <w:rsid w:val="005B3DCD"/>
    <w:rsid w:val="005B4AD4"/>
    <w:rsid w:val="005B5CC7"/>
    <w:rsid w:val="005C2798"/>
    <w:rsid w:val="005C36C3"/>
    <w:rsid w:val="005C554C"/>
    <w:rsid w:val="005C56EE"/>
    <w:rsid w:val="005C5D4B"/>
    <w:rsid w:val="005D1714"/>
    <w:rsid w:val="005D2D39"/>
    <w:rsid w:val="005D7638"/>
    <w:rsid w:val="005F12F5"/>
    <w:rsid w:val="005F4B4F"/>
    <w:rsid w:val="005F7C7D"/>
    <w:rsid w:val="0060256A"/>
    <w:rsid w:val="006044B7"/>
    <w:rsid w:val="0060691E"/>
    <w:rsid w:val="006071CE"/>
    <w:rsid w:val="006075B5"/>
    <w:rsid w:val="0061018C"/>
    <w:rsid w:val="0061094E"/>
    <w:rsid w:val="00613440"/>
    <w:rsid w:val="00613BE3"/>
    <w:rsid w:val="0062327B"/>
    <w:rsid w:val="00632777"/>
    <w:rsid w:val="00633750"/>
    <w:rsid w:val="00634491"/>
    <w:rsid w:val="0063679C"/>
    <w:rsid w:val="00637055"/>
    <w:rsid w:val="00641D59"/>
    <w:rsid w:val="0064330B"/>
    <w:rsid w:val="00644507"/>
    <w:rsid w:val="00646880"/>
    <w:rsid w:val="00647D2A"/>
    <w:rsid w:val="006537BB"/>
    <w:rsid w:val="0065711B"/>
    <w:rsid w:val="00671785"/>
    <w:rsid w:val="00672BA9"/>
    <w:rsid w:val="00673005"/>
    <w:rsid w:val="006804BE"/>
    <w:rsid w:val="0069008E"/>
    <w:rsid w:val="0069087E"/>
    <w:rsid w:val="00691191"/>
    <w:rsid w:val="006925C4"/>
    <w:rsid w:val="0069309C"/>
    <w:rsid w:val="006A02B7"/>
    <w:rsid w:val="006B46D5"/>
    <w:rsid w:val="006B46F4"/>
    <w:rsid w:val="006B493F"/>
    <w:rsid w:val="006B67CD"/>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5C5C"/>
    <w:rsid w:val="00711475"/>
    <w:rsid w:val="007178CA"/>
    <w:rsid w:val="0072548A"/>
    <w:rsid w:val="007277A6"/>
    <w:rsid w:val="007437AB"/>
    <w:rsid w:val="007534F8"/>
    <w:rsid w:val="007545AD"/>
    <w:rsid w:val="00763722"/>
    <w:rsid w:val="00764BC1"/>
    <w:rsid w:val="00770869"/>
    <w:rsid w:val="007738AA"/>
    <w:rsid w:val="00780A62"/>
    <w:rsid w:val="00783241"/>
    <w:rsid w:val="007838EC"/>
    <w:rsid w:val="00784BDC"/>
    <w:rsid w:val="00787074"/>
    <w:rsid w:val="00792F28"/>
    <w:rsid w:val="0079543F"/>
    <w:rsid w:val="00795880"/>
    <w:rsid w:val="007A4367"/>
    <w:rsid w:val="007B0867"/>
    <w:rsid w:val="007B1AC1"/>
    <w:rsid w:val="007B420F"/>
    <w:rsid w:val="007B5A08"/>
    <w:rsid w:val="007B693D"/>
    <w:rsid w:val="007C3AF6"/>
    <w:rsid w:val="007D0338"/>
    <w:rsid w:val="007E041B"/>
    <w:rsid w:val="007E199A"/>
    <w:rsid w:val="007E2415"/>
    <w:rsid w:val="007E39F3"/>
    <w:rsid w:val="007E68F4"/>
    <w:rsid w:val="007F31BA"/>
    <w:rsid w:val="007F4078"/>
    <w:rsid w:val="0080014B"/>
    <w:rsid w:val="00801793"/>
    <w:rsid w:val="00803642"/>
    <w:rsid w:val="00806EA2"/>
    <w:rsid w:val="00812A2B"/>
    <w:rsid w:val="00814A4C"/>
    <w:rsid w:val="00831AAB"/>
    <w:rsid w:val="0083574E"/>
    <w:rsid w:val="0083640C"/>
    <w:rsid w:val="0084157B"/>
    <w:rsid w:val="00842BFB"/>
    <w:rsid w:val="00846B85"/>
    <w:rsid w:val="00847DC3"/>
    <w:rsid w:val="00847F49"/>
    <w:rsid w:val="008535C5"/>
    <w:rsid w:val="00853765"/>
    <w:rsid w:val="0085516F"/>
    <w:rsid w:val="00861278"/>
    <w:rsid w:val="00866AA7"/>
    <w:rsid w:val="00867186"/>
    <w:rsid w:val="00870AF6"/>
    <w:rsid w:val="00881268"/>
    <w:rsid w:val="0088394A"/>
    <w:rsid w:val="008860BD"/>
    <w:rsid w:val="00887399"/>
    <w:rsid w:val="0088779E"/>
    <w:rsid w:val="008912AF"/>
    <w:rsid w:val="00892114"/>
    <w:rsid w:val="00892CB9"/>
    <w:rsid w:val="008935CB"/>
    <w:rsid w:val="008B0E7E"/>
    <w:rsid w:val="008B5FF0"/>
    <w:rsid w:val="008B65BD"/>
    <w:rsid w:val="008B7900"/>
    <w:rsid w:val="008C71BF"/>
    <w:rsid w:val="008C7FE0"/>
    <w:rsid w:val="008D5717"/>
    <w:rsid w:val="008E44A9"/>
    <w:rsid w:val="008E6B4D"/>
    <w:rsid w:val="008E6BFF"/>
    <w:rsid w:val="008F21AF"/>
    <w:rsid w:val="008F2400"/>
    <w:rsid w:val="008F61BA"/>
    <w:rsid w:val="008F6E3C"/>
    <w:rsid w:val="008F7C55"/>
    <w:rsid w:val="0090338C"/>
    <w:rsid w:val="00914A23"/>
    <w:rsid w:val="00922818"/>
    <w:rsid w:val="00930754"/>
    <w:rsid w:val="00931164"/>
    <w:rsid w:val="00934F68"/>
    <w:rsid w:val="009355AC"/>
    <w:rsid w:val="00935F38"/>
    <w:rsid w:val="00937586"/>
    <w:rsid w:val="00947889"/>
    <w:rsid w:val="0095405B"/>
    <w:rsid w:val="00960E98"/>
    <w:rsid w:val="00963A82"/>
    <w:rsid w:val="00972912"/>
    <w:rsid w:val="00972CA0"/>
    <w:rsid w:val="00976D1F"/>
    <w:rsid w:val="00980ECC"/>
    <w:rsid w:val="00981C81"/>
    <w:rsid w:val="00992209"/>
    <w:rsid w:val="00993ABA"/>
    <w:rsid w:val="009A2D24"/>
    <w:rsid w:val="009A456C"/>
    <w:rsid w:val="009A4B24"/>
    <w:rsid w:val="009B00E0"/>
    <w:rsid w:val="009B292A"/>
    <w:rsid w:val="009B76D5"/>
    <w:rsid w:val="009C165D"/>
    <w:rsid w:val="009C37F7"/>
    <w:rsid w:val="009C3CEA"/>
    <w:rsid w:val="009C583D"/>
    <w:rsid w:val="009D2611"/>
    <w:rsid w:val="009D79D2"/>
    <w:rsid w:val="009E247C"/>
    <w:rsid w:val="009E31BA"/>
    <w:rsid w:val="009F0528"/>
    <w:rsid w:val="009F0806"/>
    <w:rsid w:val="009F0B47"/>
    <w:rsid w:val="009F233B"/>
    <w:rsid w:val="00A05D16"/>
    <w:rsid w:val="00A0659F"/>
    <w:rsid w:val="00A079BA"/>
    <w:rsid w:val="00A10A5A"/>
    <w:rsid w:val="00A33875"/>
    <w:rsid w:val="00A360A1"/>
    <w:rsid w:val="00A402B3"/>
    <w:rsid w:val="00A50AA1"/>
    <w:rsid w:val="00A544B7"/>
    <w:rsid w:val="00A618CF"/>
    <w:rsid w:val="00A62770"/>
    <w:rsid w:val="00A62EEB"/>
    <w:rsid w:val="00A660FF"/>
    <w:rsid w:val="00A6625A"/>
    <w:rsid w:val="00A66266"/>
    <w:rsid w:val="00A72D91"/>
    <w:rsid w:val="00A73395"/>
    <w:rsid w:val="00A82B4C"/>
    <w:rsid w:val="00A93A4C"/>
    <w:rsid w:val="00A94D5D"/>
    <w:rsid w:val="00AA1D9B"/>
    <w:rsid w:val="00AA2543"/>
    <w:rsid w:val="00AA3804"/>
    <w:rsid w:val="00AA55C2"/>
    <w:rsid w:val="00AB0ACA"/>
    <w:rsid w:val="00AB1D41"/>
    <w:rsid w:val="00AC5E9A"/>
    <w:rsid w:val="00AC704B"/>
    <w:rsid w:val="00AD553E"/>
    <w:rsid w:val="00AD5848"/>
    <w:rsid w:val="00AE5ADA"/>
    <w:rsid w:val="00AF6145"/>
    <w:rsid w:val="00B01386"/>
    <w:rsid w:val="00B01BB5"/>
    <w:rsid w:val="00B04AF4"/>
    <w:rsid w:val="00B05214"/>
    <w:rsid w:val="00B0736F"/>
    <w:rsid w:val="00B12479"/>
    <w:rsid w:val="00B30D97"/>
    <w:rsid w:val="00B31738"/>
    <w:rsid w:val="00B3181A"/>
    <w:rsid w:val="00B35A7C"/>
    <w:rsid w:val="00B450D1"/>
    <w:rsid w:val="00B53D47"/>
    <w:rsid w:val="00B54A25"/>
    <w:rsid w:val="00B618C3"/>
    <w:rsid w:val="00B63652"/>
    <w:rsid w:val="00B668B0"/>
    <w:rsid w:val="00B70F5C"/>
    <w:rsid w:val="00B71873"/>
    <w:rsid w:val="00B75AE5"/>
    <w:rsid w:val="00B800C0"/>
    <w:rsid w:val="00B8132B"/>
    <w:rsid w:val="00B84C5A"/>
    <w:rsid w:val="00B858F5"/>
    <w:rsid w:val="00B85ADA"/>
    <w:rsid w:val="00B93668"/>
    <w:rsid w:val="00B9440D"/>
    <w:rsid w:val="00BA68C6"/>
    <w:rsid w:val="00BB12F1"/>
    <w:rsid w:val="00BB276E"/>
    <w:rsid w:val="00BB3FEE"/>
    <w:rsid w:val="00BB5EB0"/>
    <w:rsid w:val="00BB7A27"/>
    <w:rsid w:val="00BC245A"/>
    <w:rsid w:val="00BC340C"/>
    <w:rsid w:val="00BD16FA"/>
    <w:rsid w:val="00BD41C3"/>
    <w:rsid w:val="00BD488B"/>
    <w:rsid w:val="00BD679B"/>
    <w:rsid w:val="00BD7CCC"/>
    <w:rsid w:val="00BE002A"/>
    <w:rsid w:val="00BE1BC9"/>
    <w:rsid w:val="00BE5CDA"/>
    <w:rsid w:val="00BE608F"/>
    <w:rsid w:val="00BF23BB"/>
    <w:rsid w:val="00BF33DD"/>
    <w:rsid w:val="00BF5755"/>
    <w:rsid w:val="00BF5DFA"/>
    <w:rsid w:val="00BF684B"/>
    <w:rsid w:val="00C016F3"/>
    <w:rsid w:val="00C15193"/>
    <w:rsid w:val="00C15609"/>
    <w:rsid w:val="00C15F6A"/>
    <w:rsid w:val="00C23EA7"/>
    <w:rsid w:val="00C256F3"/>
    <w:rsid w:val="00C26329"/>
    <w:rsid w:val="00C270A2"/>
    <w:rsid w:val="00C315B5"/>
    <w:rsid w:val="00C32D3A"/>
    <w:rsid w:val="00C35E28"/>
    <w:rsid w:val="00C426AF"/>
    <w:rsid w:val="00C469C1"/>
    <w:rsid w:val="00C50659"/>
    <w:rsid w:val="00C51B39"/>
    <w:rsid w:val="00C5338A"/>
    <w:rsid w:val="00C54EF9"/>
    <w:rsid w:val="00C55F3A"/>
    <w:rsid w:val="00C56BBF"/>
    <w:rsid w:val="00C572AA"/>
    <w:rsid w:val="00C57A9A"/>
    <w:rsid w:val="00C6016A"/>
    <w:rsid w:val="00C60B3F"/>
    <w:rsid w:val="00C61919"/>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20AA"/>
    <w:rsid w:val="00C94262"/>
    <w:rsid w:val="00C976E1"/>
    <w:rsid w:val="00CA148E"/>
    <w:rsid w:val="00CA3A9A"/>
    <w:rsid w:val="00CB6BC1"/>
    <w:rsid w:val="00CB7021"/>
    <w:rsid w:val="00CC73BF"/>
    <w:rsid w:val="00CD2729"/>
    <w:rsid w:val="00CD3294"/>
    <w:rsid w:val="00CD4524"/>
    <w:rsid w:val="00CD784D"/>
    <w:rsid w:val="00CF40F8"/>
    <w:rsid w:val="00D008DA"/>
    <w:rsid w:val="00D03489"/>
    <w:rsid w:val="00D0416F"/>
    <w:rsid w:val="00D05851"/>
    <w:rsid w:val="00D101E2"/>
    <w:rsid w:val="00D10FED"/>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843F4"/>
    <w:rsid w:val="00D90561"/>
    <w:rsid w:val="00DA417F"/>
    <w:rsid w:val="00DA7165"/>
    <w:rsid w:val="00DC23CF"/>
    <w:rsid w:val="00DC6562"/>
    <w:rsid w:val="00DE130D"/>
    <w:rsid w:val="00DE24CF"/>
    <w:rsid w:val="00DE407C"/>
    <w:rsid w:val="00DE7C7D"/>
    <w:rsid w:val="00DF2992"/>
    <w:rsid w:val="00DF2D0C"/>
    <w:rsid w:val="00E01B9D"/>
    <w:rsid w:val="00E04F5E"/>
    <w:rsid w:val="00E0522E"/>
    <w:rsid w:val="00E11177"/>
    <w:rsid w:val="00E120F4"/>
    <w:rsid w:val="00E155F9"/>
    <w:rsid w:val="00E17172"/>
    <w:rsid w:val="00E3181C"/>
    <w:rsid w:val="00E3280A"/>
    <w:rsid w:val="00E372AF"/>
    <w:rsid w:val="00E37D68"/>
    <w:rsid w:val="00E40EAE"/>
    <w:rsid w:val="00E436AC"/>
    <w:rsid w:val="00E44FF8"/>
    <w:rsid w:val="00E4519A"/>
    <w:rsid w:val="00E5066A"/>
    <w:rsid w:val="00E52CF9"/>
    <w:rsid w:val="00E63F34"/>
    <w:rsid w:val="00E6715A"/>
    <w:rsid w:val="00E75DC9"/>
    <w:rsid w:val="00E81610"/>
    <w:rsid w:val="00E84910"/>
    <w:rsid w:val="00E85B28"/>
    <w:rsid w:val="00E91976"/>
    <w:rsid w:val="00E947A6"/>
    <w:rsid w:val="00E97FC7"/>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22ECA"/>
    <w:rsid w:val="00F240E8"/>
    <w:rsid w:val="00F244FA"/>
    <w:rsid w:val="00F3363A"/>
    <w:rsid w:val="00F366A2"/>
    <w:rsid w:val="00F44F43"/>
    <w:rsid w:val="00F450E1"/>
    <w:rsid w:val="00F50DF4"/>
    <w:rsid w:val="00F57AFE"/>
    <w:rsid w:val="00F6278E"/>
    <w:rsid w:val="00F63C41"/>
    <w:rsid w:val="00F63E96"/>
    <w:rsid w:val="00F701E3"/>
    <w:rsid w:val="00F71F8C"/>
    <w:rsid w:val="00F80362"/>
    <w:rsid w:val="00F8143B"/>
    <w:rsid w:val="00F86AD4"/>
    <w:rsid w:val="00F92EE4"/>
    <w:rsid w:val="00F9511F"/>
    <w:rsid w:val="00FA0113"/>
    <w:rsid w:val="00FA12B2"/>
    <w:rsid w:val="00FA7610"/>
    <w:rsid w:val="00FB02BD"/>
    <w:rsid w:val="00FB398F"/>
    <w:rsid w:val="00FB4EF8"/>
    <w:rsid w:val="00FB6692"/>
    <w:rsid w:val="00FB78DD"/>
    <w:rsid w:val="00FC125E"/>
    <w:rsid w:val="00FC3EF3"/>
    <w:rsid w:val="00FC6357"/>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cystat.gov.cy/en/MethodologicalDetails?m=215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KeyFiguresList?s=45"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ystatdb.cystat.gov.cy/pxweb/en/8.CYSTAT-DB/8.CYSTAT-DB__National%20Accounts__"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ystat.gov.cy/en/SubthemeStatistics?s=4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mailto:sdemetriou@cystat.mof.gov.cy"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0.emf"/><Relationship Id="rId2" Type="http://schemas.openxmlformats.org/officeDocument/2006/relationships/image" Target="media/image2.emf"/><Relationship Id="rId1" Type="http://schemas.openxmlformats.org/officeDocument/2006/relationships/image" Target="media/image1.png"/><Relationship Id="rId5" Type="http://schemas.openxmlformats.org/officeDocument/2006/relationships/image" Target="media/image30.emf"/><Relationship Id="rId4" Type="http://schemas.openxmlformats.org/officeDocument/2006/relationships/image" Target="media/image3.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en-US" sz="1100">
                <a:latin typeface="Verdana" pitchFamily="34" charset="0"/>
                <a:ea typeface="Verdana" pitchFamily="34" charset="0"/>
                <a:cs typeface="Verdana" pitchFamily="34" charset="0"/>
              </a:rPr>
              <a:t>Employment</a:t>
            </a:r>
            <a:r>
              <a:rPr lang="en-US" sz="1100" baseline="0">
                <a:latin typeface="Verdana" pitchFamily="34" charset="0"/>
                <a:ea typeface="Verdana" pitchFamily="34" charset="0"/>
                <a:cs typeface="Verdana" pitchFamily="34" charset="0"/>
              </a:rPr>
              <a:t> in Persons</a:t>
            </a:r>
            <a:endParaRPr lang="en-US" sz="1100">
              <a:latin typeface="Verdana" pitchFamily="34" charset="0"/>
              <a:ea typeface="Verdana" pitchFamily="34" charset="0"/>
              <a:cs typeface="Verdana" pitchFamily="34" charset="0"/>
            </a:endParaRPr>
          </a:p>
        </c:rich>
      </c:tx>
      <c:layout>
        <c:manualLayout>
          <c:xMode val="edge"/>
          <c:yMode val="edge"/>
          <c:x val="0.34445641269477195"/>
          <c:y val="1.8939382577177852E-2"/>
        </c:manualLayout>
      </c:layout>
      <c:overlay val="0"/>
    </c:title>
    <c:autoTitleDeleted val="0"/>
    <c:plotArea>
      <c:layout>
        <c:manualLayout>
          <c:layoutTarget val="inner"/>
          <c:xMode val="edge"/>
          <c:yMode val="edge"/>
          <c:x val="0.10586496154032121"/>
          <c:y val="0.11013201320132013"/>
          <c:w val="0.84198010060282724"/>
          <c:h val="0.7268901387326584"/>
        </c:manualLayout>
      </c:layout>
      <c:lineChart>
        <c:grouping val="standard"/>
        <c:varyColors val="0"/>
        <c:ser>
          <c:idx val="0"/>
          <c:order val="0"/>
          <c:tx>
            <c:strRef>
              <c:f>Graph!$D$2</c:f>
              <c:strCache>
                <c:ptCount val="1"/>
                <c:pt idx="0">
                  <c:v>Persons</c:v>
                </c:pt>
              </c:strCache>
            </c:strRef>
          </c:tx>
          <c:marker>
            <c:symbol val="none"/>
          </c:marker>
          <c:cat>
            <c:multiLvlStrRef>
              <c:f>Graph!$B$31:$C$59</c:f>
              <c:multiLvlStrCache>
                <c:ptCount val="29"/>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pt idx="25">
                    <c:v>Q2</c:v>
                  </c:pt>
                  <c:pt idx="26">
                    <c:v>Q3</c:v>
                  </c:pt>
                  <c:pt idx="27">
                    <c:v>Q4</c:v>
                  </c:pt>
                  <c:pt idx="28">
                    <c:v>Q1</c:v>
                  </c:pt>
                </c:lvl>
                <c:lvl>
                  <c:pt idx="0">
                    <c:v>2017</c:v>
                  </c:pt>
                  <c:pt idx="4">
                    <c:v>2018</c:v>
                  </c:pt>
                  <c:pt idx="8">
                    <c:v>2019</c:v>
                  </c:pt>
                  <c:pt idx="12">
                    <c:v>2020</c:v>
                  </c:pt>
                  <c:pt idx="16">
                    <c:v>2021</c:v>
                  </c:pt>
                  <c:pt idx="20">
                    <c:v>2022</c:v>
                  </c:pt>
                  <c:pt idx="24">
                    <c:v>2023</c:v>
                  </c:pt>
                  <c:pt idx="28">
                    <c:v>2024</c:v>
                  </c:pt>
                </c:lvl>
              </c:multiLvlStrCache>
            </c:multiLvlStrRef>
          </c:cat>
          <c:val>
            <c:numRef>
              <c:f>Graph!$D$31:$D$59</c:f>
              <c:numCache>
                <c:formatCode>#,##0</c:formatCode>
                <c:ptCount val="29"/>
                <c:pt idx="0">
                  <c:v>386613.2211368226</c:v>
                </c:pt>
                <c:pt idx="1">
                  <c:v>410143.81218332215</c:v>
                </c:pt>
                <c:pt idx="2">
                  <c:v>417388.47940095305</c:v>
                </c:pt>
                <c:pt idx="3">
                  <c:v>414377.57884998881</c:v>
                </c:pt>
                <c:pt idx="4">
                  <c:v>407983.18780348927</c:v>
                </c:pt>
                <c:pt idx="5">
                  <c:v>432804.72113682266</c:v>
                </c:pt>
                <c:pt idx="6">
                  <c:v>439274.55502112018</c:v>
                </c:pt>
                <c:pt idx="7">
                  <c:v>435537.35447015596</c:v>
                </c:pt>
                <c:pt idx="8">
                  <c:v>425004.92436416313</c:v>
                </c:pt>
                <c:pt idx="9">
                  <c:v>449512.36549900402</c:v>
                </c:pt>
                <c:pt idx="10">
                  <c:v>455038.06507552828</c:v>
                </c:pt>
                <c:pt idx="11">
                  <c:v>451009.60824601242</c:v>
                </c:pt>
                <c:pt idx="12">
                  <c:v>436241.19716118678</c:v>
                </c:pt>
                <c:pt idx="13">
                  <c:v>439337.18734750029</c:v>
                </c:pt>
                <c:pt idx="14">
                  <c:v>442896.16595999128</c:v>
                </c:pt>
                <c:pt idx="15">
                  <c:v>440946.08917121618</c:v>
                </c:pt>
                <c:pt idx="16">
                  <c:v>443524.35231278272</c:v>
                </c:pt>
                <c:pt idx="17">
                  <c:v>454669.95089564414</c:v>
                </c:pt>
                <c:pt idx="18">
                  <c:v>459467.63291287282</c:v>
                </c:pt>
                <c:pt idx="19">
                  <c:v>457347.69984400523</c:v>
                </c:pt>
                <c:pt idx="20">
                  <c:v>455287.1722498358</c:v>
                </c:pt>
                <c:pt idx="21">
                  <c:v>467081.9948400596</c:v>
                </c:pt>
                <c:pt idx="22">
                  <c:v>475369.77883007342</c:v>
                </c:pt>
                <c:pt idx="23">
                  <c:v>471359.79325172765</c:v>
                </c:pt>
                <c:pt idx="24">
                  <c:v>464583.94550086855</c:v>
                </c:pt>
                <c:pt idx="25">
                  <c:v>474309.1947099035</c:v>
                </c:pt>
                <c:pt idx="26">
                  <c:v>481321.15162985167</c:v>
                </c:pt>
                <c:pt idx="27">
                  <c:v>476768.91473259183</c:v>
                </c:pt>
                <c:pt idx="28">
                  <c:v>474589.49461877381</c:v>
                </c:pt>
              </c:numCache>
            </c:numRef>
          </c:val>
          <c:smooth val="0"/>
          <c:extLst>
            <c:ext xmlns:c16="http://schemas.microsoft.com/office/drawing/2014/chart" uri="{C3380CC4-5D6E-409C-BE32-E72D297353CC}">
              <c16:uniqueId val="{00000000-5E02-4DFB-9112-A44921FE11C4}"/>
            </c:ext>
          </c:extLst>
        </c:ser>
        <c:dLbls>
          <c:showLegendKey val="0"/>
          <c:showVal val="0"/>
          <c:showCatName val="0"/>
          <c:showSerName val="0"/>
          <c:showPercent val="0"/>
          <c:showBubbleSize val="0"/>
        </c:dLbls>
        <c:smooth val="0"/>
        <c:axId val="23093632"/>
        <c:axId val="23095168"/>
      </c:lineChart>
      <c:catAx>
        <c:axId val="23093632"/>
        <c:scaling>
          <c:orientation val="minMax"/>
        </c:scaling>
        <c:delete val="0"/>
        <c:axPos val="b"/>
        <c:numFmt formatCode="General" sourceLinked="0"/>
        <c:majorTickMark val="none"/>
        <c:minorTickMark val="none"/>
        <c:tickLblPos val="nextTo"/>
        <c:txPr>
          <a:bodyPr rot="0" vert="horz"/>
          <a:lstStyle/>
          <a:p>
            <a:pPr>
              <a:defRPr sz="900">
                <a:solidFill>
                  <a:sysClr val="windowText" lastClr="000000"/>
                </a:solidFill>
                <a:latin typeface="Verdana" pitchFamily="34" charset="0"/>
                <a:ea typeface="Verdana" pitchFamily="34" charset="0"/>
                <a:cs typeface="Verdana" pitchFamily="34" charset="0"/>
              </a:defRPr>
            </a:pPr>
            <a:endParaRPr lang="en-CY"/>
          </a:p>
        </c:txPr>
        <c:crossAx val="23095168"/>
        <c:crosses val="autoZero"/>
        <c:auto val="1"/>
        <c:lblAlgn val="ctr"/>
        <c:lblOffset val="100"/>
        <c:noMultiLvlLbl val="0"/>
      </c:catAx>
      <c:valAx>
        <c:axId val="23095168"/>
        <c:scaling>
          <c:orientation val="minMax"/>
          <c:min val="340000"/>
        </c:scaling>
        <c:delete val="0"/>
        <c:axPos val="l"/>
        <c:majorGridlines>
          <c:spPr>
            <a:ln>
              <a:solidFill>
                <a:schemeClr val="bg1">
                  <a:lumMod val="85000"/>
                </a:schemeClr>
              </a:solidFill>
            </a:ln>
          </c:spPr>
        </c:majorGridlines>
        <c:numFmt formatCode="#,##0" sourceLinked="1"/>
        <c:majorTickMark val="none"/>
        <c:minorTickMark val="none"/>
        <c:tickLblPos val="nextTo"/>
        <c:spPr>
          <a:ln w="9525">
            <a:noFill/>
          </a:ln>
        </c:spPr>
        <c:txPr>
          <a:bodyPr/>
          <a:lstStyle/>
          <a:p>
            <a:pPr>
              <a:defRPr sz="900">
                <a:solidFill>
                  <a:sysClr val="windowText" lastClr="000000"/>
                </a:solidFill>
                <a:latin typeface="Verdana" pitchFamily="34" charset="0"/>
                <a:ea typeface="Verdana" pitchFamily="34" charset="0"/>
                <a:cs typeface="Verdana" pitchFamily="34" charset="0"/>
              </a:defRPr>
            </a:pPr>
            <a:endParaRPr lang="en-CY"/>
          </a:p>
        </c:txPr>
        <c:crossAx val="23093632"/>
        <c:crosses val="autoZero"/>
        <c:crossBetween val="between"/>
      </c:valAx>
    </c:plotArea>
    <c:legend>
      <c:legendPos val="b"/>
      <c:layout>
        <c:manualLayout>
          <c:xMode val="edge"/>
          <c:yMode val="edge"/>
          <c:x val="0.18150087796499395"/>
          <c:y val="0.95088513935758023"/>
          <c:w val="0.61468605547972244"/>
          <c:h val="4.166929133858268E-2"/>
        </c:manualLayout>
      </c:layout>
      <c:overlay val="0"/>
      <c:txPr>
        <a:bodyPr/>
        <a:lstStyle/>
        <a:p>
          <a:pPr>
            <a:defRPr sz="900" b="1">
              <a:solidFill>
                <a:sysClr val="windowText" lastClr="000000"/>
              </a:solidFill>
              <a:latin typeface="Verdana" pitchFamily="34" charset="0"/>
              <a:ea typeface="Verdana" pitchFamily="34" charset="0"/>
              <a:cs typeface="Verdana" pitchFamily="34" charset="0"/>
            </a:defRPr>
          </a:pPr>
          <a:endParaRPr lang="en-CY"/>
        </a:p>
      </c:txPr>
    </c:legend>
    <c:plotVisOnly val="1"/>
    <c:dispBlanksAs val="gap"/>
    <c:showDLblsOverMax val="0"/>
  </c:chart>
  <c:spPr>
    <a:ln>
      <a:solidFill>
        <a:srgbClr val="558ED5">
          <a:alpha val="50196"/>
        </a:srgbClr>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n-lt"/>
                <a:ea typeface="+mn-ea"/>
                <a:cs typeface="+mn-cs"/>
              </a:defRPr>
            </a:pPr>
            <a:r>
              <a:rPr lang="en-US" sz="1100">
                <a:latin typeface="Verdana" pitchFamily="34" charset="0"/>
                <a:ea typeface="Verdana" pitchFamily="34" charset="0"/>
                <a:cs typeface="Verdana" pitchFamily="34" charset="0"/>
              </a:rPr>
              <a:t>Employment</a:t>
            </a:r>
            <a:r>
              <a:rPr lang="en-US" sz="1100" baseline="0">
                <a:latin typeface="Verdana" pitchFamily="34" charset="0"/>
                <a:ea typeface="Verdana" pitchFamily="34" charset="0"/>
                <a:cs typeface="Verdana" pitchFamily="34" charset="0"/>
              </a:rPr>
              <a:t> in </a:t>
            </a:r>
            <a:r>
              <a:rPr lang="en-US" sz="1100">
                <a:latin typeface="Verdana" pitchFamily="34" charset="0"/>
                <a:ea typeface="Verdana" pitchFamily="34" charset="0"/>
                <a:cs typeface="Verdana" pitchFamily="34" charset="0"/>
              </a:rPr>
              <a:t>Hours Worked</a:t>
            </a:r>
          </a:p>
        </c:rich>
      </c:tx>
      <c:layout>
        <c:manualLayout>
          <c:xMode val="edge"/>
          <c:yMode val="edge"/>
          <c:x val="0.29594842730013232"/>
          <c:y val="1.5873019840774865E-2"/>
        </c:manualLayout>
      </c:layout>
      <c:overlay val="0"/>
    </c:title>
    <c:autoTitleDeleted val="0"/>
    <c:plotArea>
      <c:layout>
        <c:manualLayout>
          <c:layoutTarget val="inner"/>
          <c:xMode val="edge"/>
          <c:yMode val="edge"/>
          <c:x val="0.10586496154032121"/>
          <c:y val="0.11013201320132013"/>
          <c:w val="0.84198010060282724"/>
          <c:h val="0.703236021306342"/>
        </c:manualLayout>
      </c:layout>
      <c:lineChart>
        <c:grouping val="standard"/>
        <c:varyColors val="0"/>
        <c:ser>
          <c:idx val="1"/>
          <c:order val="0"/>
          <c:tx>
            <c:strRef>
              <c:f>Graph!$E$2:$F$2</c:f>
              <c:strCache>
                <c:ptCount val="1"/>
                <c:pt idx="0">
                  <c:v>Thousand Hours Worked</c:v>
                </c:pt>
              </c:strCache>
            </c:strRef>
          </c:tx>
          <c:marker>
            <c:symbol val="none"/>
          </c:marker>
          <c:cat>
            <c:multiLvlStrRef>
              <c:f>Graph!$B$31:$C$59</c:f>
              <c:multiLvlStrCache>
                <c:ptCount val="29"/>
                <c:lvl>
                  <c:pt idx="0">
                    <c:v>Q1</c:v>
                  </c:pt>
                  <c:pt idx="1">
                    <c:v>Q2</c:v>
                  </c:pt>
                  <c:pt idx="2">
                    <c:v>Q3</c:v>
                  </c:pt>
                  <c:pt idx="3">
                    <c:v>Q4</c:v>
                  </c:pt>
                  <c:pt idx="4">
                    <c:v>Q1</c:v>
                  </c:pt>
                  <c:pt idx="5">
                    <c:v>Q2</c:v>
                  </c:pt>
                  <c:pt idx="6">
                    <c:v>Q3</c:v>
                  </c:pt>
                  <c:pt idx="7">
                    <c:v>Q4</c:v>
                  </c:pt>
                  <c:pt idx="8">
                    <c:v>Q1</c:v>
                  </c:pt>
                  <c:pt idx="9">
                    <c:v>Q2</c:v>
                  </c:pt>
                  <c:pt idx="10">
                    <c:v>Q3</c:v>
                  </c:pt>
                  <c:pt idx="11">
                    <c:v>Q4</c:v>
                  </c:pt>
                  <c:pt idx="12">
                    <c:v>Q1</c:v>
                  </c:pt>
                  <c:pt idx="13">
                    <c:v>Q2</c:v>
                  </c:pt>
                  <c:pt idx="14">
                    <c:v>Q3</c:v>
                  </c:pt>
                  <c:pt idx="15">
                    <c:v>Q4</c:v>
                  </c:pt>
                  <c:pt idx="16">
                    <c:v>Q1</c:v>
                  </c:pt>
                  <c:pt idx="17">
                    <c:v>Q2</c:v>
                  </c:pt>
                  <c:pt idx="18">
                    <c:v>Q3</c:v>
                  </c:pt>
                  <c:pt idx="19">
                    <c:v>Q4</c:v>
                  </c:pt>
                  <c:pt idx="20">
                    <c:v>Q1</c:v>
                  </c:pt>
                  <c:pt idx="21">
                    <c:v>Q2</c:v>
                  </c:pt>
                  <c:pt idx="22">
                    <c:v>Q3</c:v>
                  </c:pt>
                  <c:pt idx="23">
                    <c:v>Q4</c:v>
                  </c:pt>
                  <c:pt idx="24">
                    <c:v>Q1</c:v>
                  </c:pt>
                  <c:pt idx="25">
                    <c:v>Q2</c:v>
                  </c:pt>
                  <c:pt idx="26">
                    <c:v>Q3</c:v>
                  </c:pt>
                  <c:pt idx="27">
                    <c:v>Q4</c:v>
                  </c:pt>
                  <c:pt idx="28">
                    <c:v>Q1</c:v>
                  </c:pt>
                </c:lvl>
                <c:lvl>
                  <c:pt idx="0">
                    <c:v>2017</c:v>
                  </c:pt>
                  <c:pt idx="4">
                    <c:v>2018</c:v>
                  </c:pt>
                  <c:pt idx="8">
                    <c:v>2019</c:v>
                  </c:pt>
                  <c:pt idx="12">
                    <c:v>2020</c:v>
                  </c:pt>
                  <c:pt idx="16">
                    <c:v>2021</c:v>
                  </c:pt>
                  <c:pt idx="20">
                    <c:v>2022</c:v>
                  </c:pt>
                  <c:pt idx="24">
                    <c:v>2023</c:v>
                  </c:pt>
                  <c:pt idx="28">
                    <c:v>2024</c:v>
                  </c:pt>
                </c:lvl>
              </c:multiLvlStrCache>
            </c:multiLvlStrRef>
          </c:cat>
          <c:val>
            <c:numRef>
              <c:f>Graph!$F$31:$F$59</c:f>
              <c:numCache>
                <c:formatCode>General</c:formatCode>
                <c:ptCount val="29"/>
                <c:pt idx="0">
                  <c:v>179336</c:v>
                </c:pt>
                <c:pt idx="1">
                  <c:v>189517</c:v>
                </c:pt>
                <c:pt idx="2">
                  <c:v>182837</c:v>
                </c:pt>
                <c:pt idx="3">
                  <c:v>189896</c:v>
                </c:pt>
                <c:pt idx="4">
                  <c:v>187710</c:v>
                </c:pt>
                <c:pt idx="5">
                  <c:v>198740</c:v>
                </c:pt>
                <c:pt idx="6">
                  <c:v>191034</c:v>
                </c:pt>
                <c:pt idx="7">
                  <c:v>198454</c:v>
                </c:pt>
                <c:pt idx="8">
                  <c:v>196562</c:v>
                </c:pt>
                <c:pt idx="9">
                  <c:v>208171</c:v>
                </c:pt>
                <c:pt idx="10">
                  <c:v>199949</c:v>
                </c:pt>
                <c:pt idx="11">
                  <c:v>206589</c:v>
                </c:pt>
                <c:pt idx="12">
                  <c:v>199286</c:v>
                </c:pt>
                <c:pt idx="13">
                  <c:v>178504</c:v>
                </c:pt>
                <c:pt idx="14">
                  <c:v>189048</c:v>
                </c:pt>
                <c:pt idx="15">
                  <c:v>193156</c:v>
                </c:pt>
                <c:pt idx="16">
                  <c:v>199347</c:v>
                </c:pt>
                <c:pt idx="17">
                  <c:v>205780</c:v>
                </c:pt>
                <c:pt idx="18">
                  <c:v>204402</c:v>
                </c:pt>
                <c:pt idx="19">
                  <c:v>209834</c:v>
                </c:pt>
                <c:pt idx="20">
                  <c:v>206953</c:v>
                </c:pt>
                <c:pt idx="21">
                  <c:v>215470</c:v>
                </c:pt>
                <c:pt idx="22">
                  <c:v>213335</c:v>
                </c:pt>
                <c:pt idx="23">
                  <c:v>217573</c:v>
                </c:pt>
                <c:pt idx="24">
                  <c:v>212215</c:v>
                </c:pt>
                <c:pt idx="25">
                  <c:v>218201</c:v>
                </c:pt>
                <c:pt idx="26">
                  <c:v>216986</c:v>
                </c:pt>
                <c:pt idx="27">
                  <c:v>220830</c:v>
                </c:pt>
                <c:pt idx="28">
                  <c:v>217668</c:v>
                </c:pt>
              </c:numCache>
            </c:numRef>
          </c:val>
          <c:smooth val="0"/>
          <c:extLst>
            <c:ext xmlns:c16="http://schemas.microsoft.com/office/drawing/2014/chart" uri="{C3380CC4-5D6E-409C-BE32-E72D297353CC}">
              <c16:uniqueId val="{00000000-CEBB-4BD5-B4E8-BB5A74DB7291}"/>
            </c:ext>
          </c:extLst>
        </c:ser>
        <c:dLbls>
          <c:showLegendKey val="0"/>
          <c:showVal val="0"/>
          <c:showCatName val="0"/>
          <c:showSerName val="0"/>
          <c:showPercent val="0"/>
          <c:showBubbleSize val="0"/>
        </c:dLbls>
        <c:smooth val="0"/>
        <c:axId val="23078400"/>
        <c:axId val="23079936"/>
      </c:lineChart>
      <c:catAx>
        <c:axId val="23078400"/>
        <c:scaling>
          <c:orientation val="minMax"/>
        </c:scaling>
        <c:delete val="0"/>
        <c:axPos val="b"/>
        <c:numFmt formatCode="General" sourceLinked="0"/>
        <c:majorTickMark val="none"/>
        <c:minorTickMark val="none"/>
        <c:tickLblPos val="nextTo"/>
        <c:txPr>
          <a:bodyPr rot="0" vert="horz"/>
          <a:lstStyle/>
          <a:p>
            <a:pPr>
              <a:defRPr sz="900">
                <a:solidFill>
                  <a:sysClr val="windowText" lastClr="000000"/>
                </a:solidFill>
                <a:latin typeface="Verdana" pitchFamily="34" charset="0"/>
                <a:ea typeface="Verdana" pitchFamily="34" charset="0"/>
                <a:cs typeface="Verdana" pitchFamily="34" charset="0"/>
              </a:defRPr>
            </a:pPr>
            <a:endParaRPr lang="en-CY"/>
          </a:p>
        </c:txPr>
        <c:crossAx val="23079936"/>
        <c:crosses val="autoZero"/>
        <c:auto val="1"/>
        <c:lblAlgn val="ctr"/>
        <c:lblOffset val="100"/>
        <c:noMultiLvlLbl val="0"/>
      </c:catAx>
      <c:valAx>
        <c:axId val="23079936"/>
        <c:scaling>
          <c:orientation val="minMax"/>
          <c:min val="150000"/>
        </c:scaling>
        <c:delete val="0"/>
        <c:axPos val="l"/>
        <c:majorGridlines>
          <c:spPr>
            <a:ln>
              <a:solidFill>
                <a:schemeClr val="bg1">
                  <a:lumMod val="85000"/>
                </a:schemeClr>
              </a:solidFill>
            </a:ln>
          </c:spPr>
        </c:majorGridlines>
        <c:numFmt formatCode="#,##0" sourceLinked="0"/>
        <c:majorTickMark val="none"/>
        <c:minorTickMark val="none"/>
        <c:tickLblPos val="nextTo"/>
        <c:spPr>
          <a:ln w="9525">
            <a:noFill/>
          </a:ln>
        </c:spPr>
        <c:txPr>
          <a:bodyPr/>
          <a:lstStyle/>
          <a:p>
            <a:pPr>
              <a:defRPr sz="900">
                <a:solidFill>
                  <a:sysClr val="windowText" lastClr="000000"/>
                </a:solidFill>
                <a:latin typeface="Verdana" pitchFamily="34" charset="0"/>
                <a:ea typeface="Verdana" pitchFamily="34" charset="0"/>
                <a:cs typeface="Verdana" pitchFamily="34" charset="0"/>
              </a:defRPr>
            </a:pPr>
            <a:endParaRPr lang="en-CY"/>
          </a:p>
        </c:txPr>
        <c:crossAx val="23078400"/>
        <c:crosses val="autoZero"/>
        <c:crossBetween val="between"/>
      </c:valAx>
    </c:plotArea>
    <c:legend>
      <c:legendPos val="b"/>
      <c:layout>
        <c:manualLayout>
          <c:xMode val="edge"/>
          <c:yMode val="edge"/>
          <c:x val="0.19050990771463999"/>
          <c:y val="0.95368302804225169"/>
          <c:w val="0.61468605547972244"/>
          <c:h val="3.8653427984858886E-2"/>
        </c:manualLayout>
      </c:layout>
      <c:overlay val="0"/>
      <c:txPr>
        <a:bodyPr/>
        <a:lstStyle/>
        <a:p>
          <a:pPr>
            <a:defRPr sz="900" b="1">
              <a:latin typeface="Verdana" pitchFamily="34" charset="0"/>
              <a:ea typeface="Verdana" pitchFamily="34" charset="0"/>
              <a:cs typeface="Verdana" pitchFamily="34" charset="0"/>
            </a:defRPr>
          </a:pPr>
          <a:endParaRPr lang="en-CY"/>
        </a:p>
      </c:txPr>
    </c:legend>
    <c:plotVisOnly val="1"/>
    <c:dispBlanksAs val="gap"/>
    <c:showDLblsOverMax val="0"/>
  </c:chart>
  <c:spPr>
    <a:ln>
      <a:solidFill>
        <a:srgbClr val="558ED5">
          <a:alpha val="49804"/>
        </a:srgbClr>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04BEA2-DEE3-4422-B37A-36D447DFB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1543</TotalTime>
  <Pages>3</Pages>
  <Words>400</Words>
  <Characters>2282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2677</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32</cp:revision>
  <cp:lastPrinted>2024-06-05T10:48:00Z</cp:lastPrinted>
  <dcterms:created xsi:type="dcterms:W3CDTF">2023-09-06T08:05:00Z</dcterms:created>
  <dcterms:modified xsi:type="dcterms:W3CDTF">2024-06-07T06:21:00Z</dcterms:modified>
</cp:coreProperties>
</file>