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3283" w14:textId="3E1E455E" w:rsidR="007437AB" w:rsidRPr="001641C1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39CCA4EE" w:rsidR="00573F8E" w:rsidRPr="009E3041" w:rsidRDefault="00A455C6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D1638F">
        <w:rPr>
          <w:rFonts w:ascii="Verdana" w:hAnsi="Verdana" w:cs="Arial"/>
          <w:sz w:val="18"/>
          <w:szCs w:val="18"/>
          <w:lang w:val="el-GR"/>
        </w:rPr>
        <w:t>6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Σεπτεμβρίου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>, 202</w:t>
      </w:r>
      <w:r w:rsidR="00B614E6" w:rsidRPr="009E3041">
        <w:rPr>
          <w:rFonts w:ascii="Verdana" w:hAnsi="Verdana" w:cs="Arial"/>
          <w:sz w:val="18"/>
          <w:szCs w:val="18"/>
          <w:lang w:val="el-GR"/>
        </w:rPr>
        <w:t>4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01E5F597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A455C6">
        <w:rPr>
          <w:rFonts w:ascii="Verdana" w:eastAsia="Malgun Gothic" w:hAnsi="Verdana" w:cs="Arial"/>
          <w:bCs w:val="0"/>
          <w:sz w:val="21"/>
          <w:szCs w:val="21"/>
        </w:rPr>
        <w:t>2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FF1ADA" w:rsidRPr="00FF1ADA">
        <w:rPr>
          <w:rFonts w:ascii="Verdana" w:eastAsia="Malgun Gothic" w:hAnsi="Verdana" w:cs="Arial"/>
          <w:sz w:val="21"/>
          <w:szCs w:val="21"/>
        </w:rPr>
        <w:t>4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3E04B063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3E49BE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D1638F" w:rsidRPr="00D1638F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3E49BE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D1638F" w:rsidRPr="00D1638F">
        <w:rPr>
          <w:rFonts w:ascii="Verdana" w:hAnsi="Verdana"/>
          <w:b/>
          <w:bCs/>
          <w:lang w:val="el-GR"/>
        </w:rPr>
        <w:t>3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3A8E7EA4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A455C6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370706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3E49BE" w:rsidRPr="00370706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</w:t>
      </w:r>
      <w:bookmarkStart w:id="0" w:name="_Hlk160611332"/>
      <w:r w:rsidRPr="00370706">
        <w:rPr>
          <w:rFonts w:ascii="Verdana" w:eastAsia="Malgun Gothic" w:hAnsi="Verdana" w:cs="Arial"/>
          <w:sz w:val="18"/>
          <w:szCs w:val="18"/>
          <w:lang w:val="el-GR"/>
        </w:rPr>
        <w:t>4</w:t>
      </w:r>
      <w:bookmarkEnd w:id="0"/>
      <w:r w:rsidR="00D1638F" w:rsidRPr="00D1638F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4.</w:t>
      </w:r>
      <w:r w:rsidR="00D1638F" w:rsidRPr="00D1638F">
        <w:rPr>
          <w:rFonts w:ascii="Verdana" w:eastAsia="Malgun Gothic" w:hAnsi="Verdana" w:cs="Arial"/>
          <w:sz w:val="18"/>
          <w:szCs w:val="18"/>
          <w:lang w:val="el-GR"/>
        </w:rPr>
        <w:t>308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άτομα, εκ των οποίων 4</w:t>
      </w:r>
      <w:r w:rsidR="00D1638F" w:rsidRPr="00D1638F">
        <w:rPr>
          <w:rFonts w:ascii="Verdana" w:eastAsia="Malgun Gothic" w:hAnsi="Verdana" w:cs="Arial"/>
          <w:sz w:val="18"/>
          <w:szCs w:val="18"/>
          <w:lang w:val="el-GR"/>
        </w:rPr>
        <w:t>34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D1638F" w:rsidRPr="00D1638F">
        <w:rPr>
          <w:rFonts w:ascii="Verdana" w:eastAsia="Malgun Gothic" w:hAnsi="Verdana" w:cs="Arial"/>
          <w:sz w:val="18"/>
          <w:szCs w:val="18"/>
          <w:lang w:val="el-GR"/>
        </w:rPr>
        <w:t>770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 w:rsidR="009B6DCC" w:rsidRPr="00370706">
        <w:rPr>
          <w:rFonts w:ascii="Verdana" w:eastAsia="Malgun Gothic" w:hAnsi="Verdana" w:cs="Arial"/>
          <w:sz w:val="18"/>
          <w:szCs w:val="18"/>
          <w:lang w:val="el-GR"/>
        </w:rPr>
        <w:t>49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D1638F" w:rsidRPr="00D1638F">
        <w:rPr>
          <w:rFonts w:ascii="Verdana" w:eastAsia="Malgun Gothic" w:hAnsi="Verdana" w:cs="Arial"/>
          <w:sz w:val="18"/>
          <w:szCs w:val="18"/>
          <w:lang w:val="el-GR"/>
        </w:rPr>
        <w:t>538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Pr="00370706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3CDB809C" w:rsidR="00573F8E" w:rsidRPr="00E076FF" w:rsidRDefault="00573F8E" w:rsidP="00573F8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076FF">
        <w:rPr>
          <w:rFonts w:ascii="Verdana" w:eastAsia="Malgun Gothic" w:hAnsi="Verdana" w:cs="Arial"/>
          <w:sz w:val="18"/>
          <w:szCs w:val="18"/>
          <w:lang w:val="el-GR"/>
        </w:rPr>
        <w:t>Συγκριτικά με το αντίστοιχο τρίμηνο του 202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η συνολική απασχόληση για το </w:t>
      </w:r>
      <w:r w:rsidR="00A455C6" w:rsidRPr="00E076FF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>ο τρίμηνο του 202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κατά 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1B40A9" w:rsidRPr="00E076FF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1638F" w:rsidRPr="00E076FF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%. Οι σημαντικότερες ποσοστιαίες αυξήσεις παρατηρήθηκαν στους τομείς 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της Εκπαίδευσης (NACE P)</w:t>
      </w:r>
      <w:r w:rsidR="00E076FF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των Διοικητικών και Υποστηρικτικών Δραστηριοτήτων (NACE Ν), </w:t>
      </w:r>
      <w:r w:rsidR="00B27755">
        <w:rPr>
          <w:rFonts w:ascii="Verdana" w:eastAsia="Malgun Gothic" w:hAnsi="Verdana" w:cs="Arial"/>
          <w:sz w:val="18"/>
          <w:szCs w:val="18"/>
          <w:lang w:val="el-GR"/>
        </w:rPr>
        <w:t xml:space="preserve">της </w:t>
      </w:r>
      <w:r w:rsidR="00E076FF" w:rsidRPr="00E076FF">
        <w:rPr>
          <w:rFonts w:ascii="Verdana" w:eastAsia="Malgun Gothic" w:hAnsi="Verdana" w:cs="Arial"/>
          <w:sz w:val="18"/>
          <w:szCs w:val="18"/>
          <w:lang w:val="el-GR"/>
        </w:rPr>
        <w:t>Μεταφοράς και Αποθήκευσης (NACE Η</w:t>
      </w:r>
      <w:r w:rsidR="009159FB" w:rsidRPr="00B27755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B27755" w:rsidRPr="00B27755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B27755">
        <w:rPr>
          <w:rFonts w:ascii="Verdana" w:eastAsia="Malgun Gothic" w:hAnsi="Verdana" w:cs="Arial"/>
          <w:sz w:val="18"/>
          <w:szCs w:val="18"/>
          <w:lang w:val="el-GR"/>
        </w:rPr>
        <w:t xml:space="preserve">των </w:t>
      </w:r>
      <w:r w:rsidR="00B27755" w:rsidRPr="00B27755">
        <w:rPr>
          <w:rFonts w:ascii="Verdana" w:eastAsia="Malgun Gothic" w:hAnsi="Verdana" w:cs="Arial"/>
          <w:sz w:val="18"/>
          <w:szCs w:val="18"/>
          <w:lang w:val="el-GR"/>
        </w:rPr>
        <w:t>Δραστηριοτήτ</w:t>
      </w:r>
      <w:r w:rsidR="00B27755"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="00B27755" w:rsidRPr="00B27755">
        <w:rPr>
          <w:rFonts w:ascii="Verdana" w:eastAsia="Malgun Gothic" w:hAnsi="Verdana" w:cs="Arial"/>
          <w:sz w:val="18"/>
          <w:szCs w:val="18"/>
          <w:lang w:val="el-GR"/>
        </w:rPr>
        <w:t xml:space="preserve"> Σχετικ</w:t>
      </w:r>
      <w:r w:rsidR="00B27755">
        <w:rPr>
          <w:rFonts w:ascii="Verdana" w:eastAsia="Malgun Gothic" w:hAnsi="Verdana" w:cs="Arial"/>
          <w:sz w:val="18"/>
          <w:szCs w:val="18"/>
          <w:lang w:val="el-GR"/>
        </w:rPr>
        <w:t>ών</w:t>
      </w:r>
      <w:r w:rsidR="00B27755" w:rsidRPr="00B27755">
        <w:rPr>
          <w:rFonts w:ascii="Verdana" w:eastAsia="Malgun Gothic" w:hAnsi="Verdana" w:cs="Arial"/>
          <w:sz w:val="18"/>
          <w:szCs w:val="18"/>
          <w:lang w:val="el-GR"/>
        </w:rPr>
        <w:t xml:space="preserve"> με την Ανθρώπινη Υγεία και την Κοινωνική Μέριμνα  </w:t>
      </w:r>
      <w:r w:rsidR="00B27755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B27755">
        <w:rPr>
          <w:rFonts w:ascii="Verdana" w:eastAsia="Malgun Gothic" w:hAnsi="Verdana" w:cs="Arial"/>
          <w:sz w:val="18"/>
          <w:szCs w:val="18"/>
        </w:rPr>
        <w:t>Q</w:t>
      </w:r>
      <w:r w:rsidR="00B27755" w:rsidRPr="00B27755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B27755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B27755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των </w:t>
      </w:r>
      <w:r w:rsidR="00B27755" w:rsidRPr="00DE73ED">
        <w:rPr>
          <w:rFonts w:ascii="Verdana" w:hAnsi="Verdana"/>
          <w:bCs/>
          <w:iCs/>
          <w:sz w:val="18"/>
          <w:szCs w:val="18"/>
          <w:lang w:val="el-GR"/>
        </w:rPr>
        <w:t>Δραστηρι</w:t>
      </w:r>
      <w:r w:rsidR="00B27755">
        <w:rPr>
          <w:rFonts w:ascii="Verdana" w:hAnsi="Verdana"/>
          <w:bCs/>
          <w:iCs/>
          <w:sz w:val="18"/>
          <w:szCs w:val="18"/>
          <w:lang w:val="el-GR"/>
        </w:rPr>
        <w:t>ο</w:t>
      </w:r>
      <w:r w:rsidR="00B27755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B27755">
        <w:rPr>
          <w:rFonts w:ascii="Verdana" w:hAnsi="Verdana"/>
          <w:bCs/>
          <w:iCs/>
          <w:sz w:val="18"/>
          <w:szCs w:val="18"/>
          <w:lang w:val="el-GR"/>
        </w:rPr>
        <w:t>ή</w:t>
      </w:r>
      <w:r w:rsidR="00B27755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B27755">
        <w:rPr>
          <w:rFonts w:ascii="Verdana" w:hAnsi="Verdana"/>
          <w:bCs/>
          <w:iCs/>
          <w:sz w:val="18"/>
          <w:szCs w:val="18"/>
          <w:lang w:val="el-GR"/>
        </w:rPr>
        <w:t>ων</w:t>
      </w:r>
      <w:r w:rsidR="00B27755" w:rsidRPr="00DE73ED">
        <w:rPr>
          <w:rFonts w:ascii="Verdana" w:hAnsi="Verdana"/>
          <w:bCs/>
          <w:iCs/>
          <w:sz w:val="18"/>
          <w:szCs w:val="18"/>
          <w:lang w:val="el-GR"/>
        </w:rPr>
        <w:t xml:space="preserve"> Υπηρεσιών Παροχής Καταλύματος και Υπηρεσιών Εστίασης</w:t>
      </w:r>
      <w:r w:rsidR="00B27755" w:rsidRPr="009E3041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B27755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(NACE </w:t>
      </w:r>
      <w:r w:rsidR="00B27755">
        <w:rPr>
          <w:rFonts w:ascii="Verdana" w:hAnsi="Verdana"/>
          <w:bCs/>
          <w:iCs/>
          <w:sz w:val="18"/>
          <w:szCs w:val="18"/>
        </w:rPr>
        <w:t>I</w:t>
      </w:r>
      <w:r w:rsidR="00B27755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6B77C47" w14:textId="0123BB76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3AD8B713" w14:textId="14D3E821" w:rsidR="00573F8E" w:rsidRPr="00400A53" w:rsidRDefault="00400A53" w:rsidP="00BC5EE2">
      <w:pPr>
        <w:jc w:val="center"/>
        <w:rPr>
          <w:rFonts w:ascii="Verdana" w:hAnsi="Verdana"/>
          <w:bCs/>
          <w:iCs/>
          <w:sz w:val="18"/>
          <w:szCs w:val="18"/>
        </w:rPr>
      </w:pPr>
      <w:r>
        <w:rPr>
          <w:noProof/>
        </w:rPr>
        <w:drawing>
          <wp:inline distT="0" distB="0" distL="0" distR="0" wp14:anchorId="207CEDEA" wp14:editId="73BFFF20">
            <wp:extent cx="6048373" cy="3990973"/>
            <wp:effectExtent l="0" t="0" r="10160" b="1016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E9804" w14:textId="483AD0C2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6F425BA" w14:textId="77777777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lastRenderedPageBreak/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3C8E2AE9" w14:textId="27A47678" w:rsidR="00BF5394" w:rsidRPr="0052152A" w:rsidRDefault="00573F8E" w:rsidP="00BF5394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A455C6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3E49BE">
        <w:rPr>
          <w:rFonts w:ascii="Verdana" w:hAnsi="Verdana"/>
          <w:bCs/>
          <w:iCs/>
          <w:sz w:val="18"/>
          <w:szCs w:val="18"/>
          <w:lang w:val="el-GR"/>
        </w:rPr>
        <w:t>4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στις </w:t>
      </w:r>
      <w:bookmarkStart w:id="1" w:name="_Hlk160611370"/>
      <w:r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D1638F" w:rsidRPr="00D1638F">
        <w:rPr>
          <w:rFonts w:ascii="Verdana" w:hAnsi="Verdana"/>
          <w:bCs/>
          <w:iCs/>
          <w:sz w:val="18"/>
          <w:szCs w:val="18"/>
          <w:lang w:val="el-GR"/>
        </w:rPr>
        <w:t>23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.</w:t>
      </w:r>
      <w:r w:rsidR="00D1638F" w:rsidRPr="00D1638F">
        <w:rPr>
          <w:rFonts w:ascii="Verdana" w:hAnsi="Verdana"/>
          <w:bCs/>
          <w:iCs/>
          <w:sz w:val="18"/>
          <w:szCs w:val="18"/>
          <w:lang w:val="el-GR"/>
        </w:rPr>
        <w:t>299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bookmarkEnd w:id="1"/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χιλιάδες, με ποσοστό αύξησης 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D1638F" w:rsidRPr="00400A53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. Οι σημαντικότερες ποσοστιαίες αυξήσεις παρατηρήθηκαν στους τομείς 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>της Εκπαίδευσης (</w:t>
      </w:r>
      <w:r w:rsidR="00E076FF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NACE </w:t>
      </w:r>
      <w:r w:rsidR="00E076FF">
        <w:rPr>
          <w:rFonts w:ascii="Verdana" w:hAnsi="Verdana"/>
          <w:bCs/>
          <w:iCs/>
          <w:sz w:val="18"/>
          <w:szCs w:val="18"/>
        </w:rPr>
        <w:t>P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E076FF" w:rsidRPr="00E076FF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E076FF" w:rsidRPr="008752F9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1B6DDA"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των Διοικητικών και Υποστηρικτικών Δραστηριοτήτων </w:t>
      </w:r>
      <w:r w:rsidR="001B6DDA" w:rsidRPr="00536203">
        <w:rPr>
          <w:rFonts w:ascii="Verdana" w:hAnsi="Verdana"/>
          <w:bCs/>
          <w:iCs/>
          <w:sz w:val="18"/>
          <w:szCs w:val="18"/>
          <w:lang w:val="el-GR"/>
        </w:rPr>
        <w:t>(NACE Ν)</w:t>
      </w:r>
      <w:r w:rsidR="001B6DDA" w:rsidRPr="001B6DDA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E076FF" w:rsidRPr="00E076FF">
        <w:rPr>
          <w:lang w:val="el-GR"/>
        </w:rPr>
        <w:t xml:space="preserve"> </w:t>
      </w:r>
      <w:r w:rsidR="00536203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των 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>Δραστηρι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ο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ή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ων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 xml:space="preserve"> Υπηρεσιών Παροχής Καταλύματος και Υπηρεσιών Εστίασης</w:t>
      </w:r>
      <w:r w:rsidR="00E20CA4" w:rsidRPr="009E3041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E20CA4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(NACE </w:t>
      </w:r>
      <w:r w:rsidR="00E20CA4">
        <w:rPr>
          <w:rFonts w:ascii="Verdana" w:hAnsi="Verdana"/>
          <w:bCs/>
          <w:iCs/>
          <w:sz w:val="18"/>
          <w:szCs w:val="18"/>
        </w:rPr>
        <w:t>I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E076FF" w:rsidRPr="00E076F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 xml:space="preserve">και </w:t>
      </w:r>
      <w:r w:rsidR="00E076FF" w:rsidRPr="00E076FF">
        <w:rPr>
          <w:rFonts w:ascii="Verdana" w:hAnsi="Verdana"/>
          <w:bCs/>
          <w:iCs/>
          <w:sz w:val="18"/>
          <w:szCs w:val="18"/>
          <w:lang w:val="el-GR"/>
        </w:rPr>
        <w:t>Μεταφορ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>άς</w:t>
      </w:r>
      <w:r w:rsidR="00E076FF" w:rsidRPr="00E076FF">
        <w:rPr>
          <w:rFonts w:ascii="Verdana" w:hAnsi="Verdana"/>
          <w:bCs/>
          <w:iCs/>
          <w:sz w:val="18"/>
          <w:szCs w:val="18"/>
          <w:lang w:val="el-GR"/>
        </w:rPr>
        <w:t xml:space="preserve"> και Αποθ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>ή</w:t>
      </w:r>
      <w:r w:rsidR="00E076FF" w:rsidRPr="00E076FF">
        <w:rPr>
          <w:rFonts w:ascii="Verdana" w:hAnsi="Verdana"/>
          <w:bCs/>
          <w:iCs/>
          <w:sz w:val="18"/>
          <w:szCs w:val="18"/>
          <w:lang w:val="el-GR"/>
        </w:rPr>
        <w:t>κευση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>ς</w:t>
      </w:r>
      <w:r w:rsidR="00E076FF" w:rsidRPr="00E076F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>(</w:t>
      </w:r>
      <w:r w:rsidR="00E076FF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NACE </w:t>
      </w:r>
      <w:r w:rsidR="00E076FF">
        <w:rPr>
          <w:rFonts w:ascii="Verdana" w:hAnsi="Verdana"/>
          <w:bCs/>
          <w:iCs/>
          <w:sz w:val="18"/>
          <w:szCs w:val="18"/>
          <w:lang w:val="el-GR"/>
        </w:rPr>
        <w:t>Η)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.</w:t>
      </w:r>
    </w:p>
    <w:p w14:paraId="17630AC5" w14:textId="67DF495B" w:rsidR="00573F8E" w:rsidRDefault="00573F8E" w:rsidP="00536203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4DA0D426" w14:textId="77777777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23778781" w:rsidR="00573F8E" w:rsidRDefault="005A02F9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3B962C84" wp14:editId="4E6E2009">
            <wp:extent cx="6057900" cy="4048125"/>
            <wp:effectExtent l="0" t="0" r="0" b="952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BE999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416482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5DB29BB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0A9539B" w14:textId="77777777" w:rsidR="00D2505B" w:rsidRDefault="00D2505B">
      <w:pPr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3DBC3728" w14:textId="7E2BC81F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573F8E">
      <w:pPr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09BEC1ED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F8E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F8E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F8E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6224B0E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F8E" w:rsidRPr="00573F8E">
        <w:rPr>
          <w:rFonts w:ascii="Verdana" w:hAnsi="Verdana"/>
          <w:sz w:val="18"/>
          <w:szCs w:val="18"/>
          <w:lang w:val="el-GR"/>
        </w:rPr>
        <w:t xml:space="preserve"> (</w:t>
      </w:r>
      <w:r w:rsidR="00573F8E" w:rsidRPr="00573F8E">
        <w:rPr>
          <w:rFonts w:ascii="Verdana" w:hAnsi="Verdana"/>
          <w:sz w:val="18"/>
          <w:szCs w:val="18"/>
        </w:rPr>
        <w:t>Excel</w:t>
      </w:r>
      <w:r w:rsidR="00573F8E" w:rsidRPr="00573F8E">
        <w:rPr>
          <w:rFonts w:ascii="Verdana" w:hAnsi="Verdana"/>
          <w:sz w:val="18"/>
          <w:szCs w:val="18"/>
          <w:lang w:val="el-GR"/>
        </w:rPr>
        <w:t>)</w:t>
      </w:r>
    </w:p>
    <w:p w14:paraId="1CA64D80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6D3BD097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73F8E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73F8E">
        <w:rPr>
          <w:rFonts w:ascii="Verdana" w:hAnsi="Verdana"/>
          <w:b/>
          <w:bCs/>
          <w:sz w:val="18"/>
          <w:szCs w:val="18"/>
        </w:rPr>
        <w:t>Excel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 w:rsidRPr="00573F8E">
        <w:rPr>
          <w:rFonts w:ascii="Verdana" w:hAnsi="Verdana"/>
          <w:b/>
          <w:bCs/>
          <w:sz w:val="18"/>
          <w:szCs w:val="18"/>
        </w:rPr>
        <w:t>CYSTAT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73F8E">
        <w:rPr>
          <w:rFonts w:ascii="Verdana" w:hAnsi="Verdana"/>
          <w:b/>
          <w:bCs/>
          <w:sz w:val="18"/>
          <w:szCs w:val="18"/>
        </w:rPr>
        <w:t>DB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ABE11BD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4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A86D" w14:textId="77777777" w:rsidR="008602CF" w:rsidRDefault="008602CF" w:rsidP="00FB398F">
      <w:r>
        <w:separator/>
      </w:r>
    </w:p>
  </w:endnote>
  <w:endnote w:type="continuationSeparator" w:id="0">
    <w:p w14:paraId="5245ED78" w14:textId="77777777" w:rsidR="008602CF" w:rsidRDefault="008602C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F5643D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6BF16" w14:textId="77777777" w:rsidR="008602CF" w:rsidRDefault="008602CF" w:rsidP="00FB398F">
      <w:r>
        <w:separator/>
      </w:r>
    </w:p>
  </w:footnote>
  <w:footnote w:type="continuationSeparator" w:id="0">
    <w:p w14:paraId="10995D69" w14:textId="77777777" w:rsidR="008602CF" w:rsidRDefault="008602C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306652">
    <w:abstractNumId w:val="4"/>
  </w:num>
  <w:num w:numId="2" w16cid:durableId="1233126100">
    <w:abstractNumId w:val="1"/>
  </w:num>
  <w:num w:numId="3" w16cid:durableId="644044137">
    <w:abstractNumId w:val="2"/>
  </w:num>
  <w:num w:numId="4" w16cid:durableId="526800013">
    <w:abstractNumId w:val="3"/>
  </w:num>
  <w:num w:numId="5" w16cid:durableId="1859613584">
    <w:abstractNumId w:val="0"/>
  </w:num>
  <w:num w:numId="6" w16cid:durableId="46223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8B2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41C1"/>
    <w:rsid w:val="0016589F"/>
    <w:rsid w:val="00167B20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40A9"/>
    <w:rsid w:val="001B5E10"/>
    <w:rsid w:val="001B6AB3"/>
    <w:rsid w:val="001B6DDA"/>
    <w:rsid w:val="001B73D5"/>
    <w:rsid w:val="001C0681"/>
    <w:rsid w:val="001C4B16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4BAD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3A14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70706"/>
    <w:rsid w:val="00386FC7"/>
    <w:rsid w:val="00390A32"/>
    <w:rsid w:val="003A1E91"/>
    <w:rsid w:val="003A40F2"/>
    <w:rsid w:val="003A50D1"/>
    <w:rsid w:val="003B196D"/>
    <w:rsid w:val="003B2710"/>
    <w:rsid w:val="003B4608"/>
    <w:rsid w:val="003B4C4A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9BE"/>
    <w:rsid w:val="003F49E4"/>
    <w:rsid w:val="003F4D2F"/>
    <w:rsid w:val="003F5E32"/>
    <w:rsid w:val="003F75F6"/>
    <w:rsid w:val="00400A53"/>
    <w:rsid w:val="00402109"/>
    <w:rsid w:val="0040467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40A8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3723"/>
    <w:rsid w:val="00505503"/>
    <w:rsid w:val="0051107B"/>
    <w:rsid w:val="00512F9C"/>
    <w:rsid w:val="0052152A"/>
    <w:rsid w:val="00527CDB"/>
    <w:rsid w:val="005341C9"/>
    <w:rsid w:val="00536203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978D4"/>
    <w:rsid w:val="005A02F9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166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6F42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01D"/>
    <w:rsid w:val="007A4367"/>
    <w:rsid w:val="007B0867"/>
    <w:rsid w:val="007B1AC1"/>
    <w:rsid w:val="007B5A08"/>
    <w:rsid w:val="007B693D"/>
    <w:rsid w:val="007C4CDC"/>
    <w:rsid w:val="007D6C7E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02CF"/>
    <w:rsid w:val="00867186"/>
    <w:rsid w:val="00870AF6"/>
    <w:rsid w:val="008752F9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159FB"/>
    <w:rsid w:val="00930754"/>
    <w:rsid w:val="00934F68"/>
    <w:rsid w:val="009355AC"/>
    <w:rsid w:val="00935F38"/>
    <w:rsid w:val="00937586"/>
    <w:rsid w:val="009446CC"/>
    <w:rsid w:val="00947889"/>
    <w:rsid w:val="009478BD"/>
    <w:rsid w:val="00960E98"/>
    <w:rsid w:val="00963A82"/>
    <w:rsid w:val="00965DA6"/>
    <w:rsid w:val="00972912"/>
    <w:rsid w:val="00973BFC"/>
    <w:rsid w:val="00976D1F"/>
    <w:rsid w:val="00981C81"/>
    <w:rsid w:val="009A2D24"/>
    <w:rsid w:val="009A456C"/>
    <w:rsid w:val="009B00E0"/>
    <w:rsid w:val="009B292A"/>
    <w:rsid w:val="009B6DCC"/>
    <w:rsid w:val="009B76D5"/>
    <w:rsid w:val="009C165D"/>
    <w:rsid w:val="009C3CEA"/>
    <w:rsid w:val="009C583D"/>
    <w:rsid w:val="009D2611"/>
    <w:rsid w:val="009D79D2"/>
    <w:rsid w:val="009E247C"/>
    <w:rsid w:val="009E3041"/>
    <w:rsid w:val="009E31BA"/>
    <w:rsid w:val="009F0528"/>
    <w:rsid w:val="009F0806"/>
    <w:rsid w:val="009F233B"/>
    <w:rsid w:val="009F5F84"/>
    <w:rsid w:val="00A05D16"/>
    <w:rsid w:val="00A0659F"/>
    <w:rsid w:val="00A079BA"/>
    <w:rsid w:val="00A14E8C"/>
    <w:rsid w:val="00A20C70"/>
    <w:rsid w:val="00A33875"/>
    <w:rsid w:val="00A360A1"/>
    <w:rsid w:val="00A402B3"/>
    <w:rsid w:val="00A455C6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3D58"/>
    <w:rsid w:val="00B04AF4"/>
    <w:rsid w:val="00B05214"/>
    <w:rsid w:val="00B27755"/>
    <w:rsid w:val="00B30D97"/>
    <w:rsid w:val="00B31074"/>
    <w:rsid w:val="00B3181A"/>
    <w:rsid w:val="00B35A7C"/>
    <w:rsid w:val="00B44ECD"/>
    <w:rsid w:val="00B450D1"/>
    <w:rsid w:val="00B53D47"/>
    <w:rsid w:val="00B54A25"/>
    <w:rsid w:val="00B614E6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C5EE2"/>
    <w:rsid w:val="00BD16FA"/>
    <w:rsid w:val="00BD41C3"/>
    <w:rsid w:val="00BD488B"/>
    <w:rsid w:val="00BD7CCC"/>
    <w:rsid w:val="00BE002A"/>
    <w:rsid w:val="00BE0283"/>
    <w:rsid w:val="00BE1BC9"/>
    <w:rsid w:val="00BE55CC"/>
    <w:rsid w:val="00BE5CDA"/>
    <w:rsid w:val="00BE608F"/>
    <w:rsid w:val="00BF23BB"/>
    <w:rsid w:val="00BF33DD"/>
    <w:rsid w:val="00BF5394"/>
    <w:rsid w:val="00BF5755"/>
    <w:rsid w:val="00BF684B"/>
    <w:rsid w:val="00C016F3"/>
    <w:rsid w:val="00C15193"/>
    <w:rsid w:val="00C15609"/>
    <w:rsid w:val="00C15F6A"/>
    <w:rsid w:val="00C23EA7"/>
    <w:rsid w:val="00C24715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50F8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38F"/>
    <w:rsid w:val="00D167F4"/>
    <w:rsid w:val="00D2092A"/>
    <w:rsid w:val="00D2216D"/>
    <w:rsid w:val="00D2505B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06DA"/>
    <w:rsid w:val="00DC23CF"/>
    <w:rsid w:val="00DC6562"/>
    <w:rsid w:val="00DE130D"/>
    <w:rsid w:val="00DE24CF"/>
    <w:rsid w:val="00DE407C"/>
    <w:rsid w:val="00DE73ED"/>
    <w:rsid w:val="00DE7C7D"/>
    <w:rsid w:val="00DF2992"/>
    <w:rsid w:val="00DF2D0C"/>
    <w:rsid w:val="00E00058"/>
    <w:rsid w:val="00E01B9D"/>
    <w:rsid w:val="00E0468F"/>
    <w:rsid w:val="00E04F5E"/>
    <w:rsid w:val="00E0522E"/>
    <w:rsid w:val="00E076FF"/>
    <w:rsid w:val="00E120F4"/>
    <w:rsid w:val="00E17172"/>
    <w:rsid w:val="00E20C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643D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180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ADA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cystat.gov.cy/el/MethodologicalDetails?m=214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National%20Account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sdemetri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l-GR" sz="1100">
                <a:latin typeface="Verdana" pitchFamily="34" charset="0"/>
                <a:ea typeface="Verdana" pitchFamily="34" charset="0"/>
                <a:cs typeface="Verdana" pitchFamily="34" charset="0"/>
              </a:rPr>
              <a:t>Απασχόληση</a:t>
            </a:r>
            <a:r>
              <a:rPr lang="el-GR" sz="1100" baseline="0">
                <a:latin typeface="Verdana" pitchFamily="34" charset="0"/>
                <a:ea typeface="Verdana" pitchFamily="34" charset="0"/>
                <a:cs typeface="Verdana" pitchFamily="34" charset="0"/>
              </a:rPr>
              <a:t> σε Άτομα</a:t>
            </a:r>
            <a:endParaRPr lang="en-US" sz="1100">
              <a:latin typeface="Verdana" pitchFamily="34" charset="0"/>
              <a:ea typeface="Verdana" pitchFamily="34" charset="0"/>
              <a:cs typeface="Verdana" pitchFamily="34" charset="0"/>
            </a:endParaRPr>
          </a:p>
        </c:rich>
      </c:tx>
      <c:layout>
        <c:manualLayout>
          <c:xMode val="edge"/>
          <c:yMode val="edge"/>
          <c:x val="0.3573535597145146"/>
          <c:y val="1.43884711823407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86496154032121"/>
          <c:y val="0.10376767770666452"/>
          <c:w val="0.87071703585689919"/>
          <c:h val="0.72020181544701001"/>
        </c:manualLayout>
      </c:layout>
      <c:lineChart>
        <c:grouping val="standard"/>
        <c:varyColors val="0"/>
        <c:ser>
          <c:idx val="0"/>
          <c:order val="0"/>
          <c:tx>
            <c:strRef>
              <c:f>Γράφημα!$D$2</c:f>
              <c:strCache>
                <c:ptCount val="1"/>
                <c:pt idx="0">
                  <c:v>Άτομα </c:v>
                </c:pt>
              </c:strCache>
            </c:strRef>
          </c:tx>
          <c:marker>
            <c:symbol val="none"/>
          </c:marker>
          <c:cat>
            <c:multiLvlStrRef>
              <c:f>Γράφημα!$B$31:$C$60</c:f>
              <c:multiLvlStrCache>
                <c:ptCount val="30"/>
                <c:lvl>
                  <c:pt idx="0">
                    <c:v>Τ1</c:v>
                  </c:pt>
                  <c:pt idx="1">
                    <c:v>Τ2</c:v>
                  </c:pt>
                  <c:pt idx="2">
                    <c:v>Τ3</c:v>
                  </c:pt>
                  <c:pt idx="3">
                    <c:v>Τ4</c:v>
                  </c:pt>
                  <c:pt idx="4">
                    <c:v>Τ1</c:v>
                  </c:pt>
                  <c:pt idx="5">
                    <c:v>Τ2</c:v>
                  </c:pt>
                  <c:pt idx="6">
                    <c:v>Τ3</c:v>
                  </c:pt>
                  <c:pt idx="7">
                    <c:v>Τ4</c:v>
                  </c:pt>
                  <c:pt idx="8">
                    <c:v>Τ1</c:v>
                  </c:pt>
                  <c:pt idx="9">
                    <c:v>Τ2</c:v>
                  </c:pt>
                  <c:pt idx="10">
                    <c:v>Τ3</c:v>
                  </c:pt>
                  <c:pt idx="11">
                    <c:v>Τ4</c:v>
                  </c:pt>
                  <c:pt idx="12">
                    <c:v>Τ1</c:v>
                  </c:pt>
                  <c:pt idx="13">
                    <c:v>Τ2</c:v>
                  </c:pt>
                  <c:pt idx="14">
                    <c:v>Τ3</c:v>
                  </c:pt>
                  <c:pt idx="15">
                    <c:v>Τ4</c:v>
                  </c:pt>
                  <c:pt idx="16">
                    <c:v>Τ1</c:v>
                  </c:pt>
                  <c:pt idx="17">
                    <c:v>Τ2</c:v>
                  </c:pt>
                  <c:pt idx="18">
                    <c:v>Τ3</c:v>
                  </c:pt>
                  <c:pt idx="19">
                    <c:v>Τ4</c:v>
                  </c:pt>
                  <c:pt idx="20">
                    <c:v>Τ1</c:v>
                  </c:pt>
                  <c:pt idx="21">
                    <c:v>Τ2</c:v>
                  </c:pt>
                  <c:pt idx="22">
                    <c:v>Τ3</c:v>
                  </c:pt>
                  <c:pt idx="23">
                    <c:v>Τ4</c:v>
                  </c:pt>
                  <c:pt idx="24">
                    <c:v>Τ1</c:v>
                  </c:pt>
                  <c:pt idx="25">
                    <c:v>Τ2</c:v>
                  </c:pt>
                  <c:pt idx="26">
                    <c:v>Τ3</c:v>
                  </c:pt>
                  <c:pt idx="27">
                    <c:v>Τ4</c:v>
                  </c:pt>
                  <c:pt idx="28">
                    <c:v>Τ1</c:v>
                  </c:pt>
                  <c:pt idx="29">
                    <c:v>Τ2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Γράφημα!$D$31:$D$60</c:f>
              <c:numCache>
                <c:formatCode>#,##0</c:formatCode>
                <c:ptCount val="30"/>
                <c:pt idx="0">
                  <c:v>386613.2211368226</c:v>
                </c:pt>
                <c:pt idx="1">
                  <c:v>410143.81218332215</c:v>
                </c:pt>
                <c:pt idx="2">
                  <c:v>417388.47940095305</c:v>
                </c:pt>
                <c:pt idx="3">
                  <c:v>414377.57884998881</c:v>
                </c:pt>
                <c:pt idx="4">
                  <c:v>407983.18780348927</c:v>
                </c:pt>
                <c:pt idx="5">
                  <c:v>432804.72113682266</c:v>
                </c:pt>
                <c:pt idx="6">
                  <c:v>439274.55502112018</c:v>
                </c:pt>
                <c:pt idx="7">
                  <c:v>435537.35447015596</c:v>
                </c:pt>
                <c:pt idx="8">
                  <c:v>425004.92436416313</c:v>
                </c:pt>
                <c:pt idx="9">
                  <c:v>449512.36549900402</c:v>
                </c:pt>
                <c:pt idx="10">
                  <c:v>455038.06507552828</c:v>
                </c:pt>
                <c:pt idx="11">
                  <c:v>451009.60824601242</c:v>
                </c:pt>
                <c:pt idx="12">
                  <c:v>436241.19716118678</c:v>
                </c:pt>
                <c:pt idx="13">
                  <c:v>439337.18734750029</c:v>
                </c:pt>
                <c:pt idx="14">
                  <c:v>442896.16595999128</c:v>
                </c:pt>
                <c:pt idx="15">
                  <c:v>440946.08917121618</c:v>
                </c:pt>
                <c:pt idx="16">
                  <c:v>443524.35231278272</c:v>
                </c:pt>
                <c:pt idx="17">
                  <c:v>454669.95089564414</c:v>
                </c:pt>
                <c:pt idx="18">
                  <c:v>459467.63291287282</c:v>
                </c:pt>
                <c:pt idx="19">
                  <c:v>457347.69984400523</c:v>
                </c:pt>
                <c:pt idx="20">
                  <c:v>455287.1722498358</c:v>
                </c:pt>
                <c:pt idx="21">
                  <c:v>467081.9948400596</c:v>
                </c:pt>
                <c:pt idx="22">
                  <c:v>475369.77883007342</c:v>
                </c:pt>
                <c:pt idx="23">
                  <c:v>471359.79325172765</c:v>
                </c:pt>
                <c:pt idx="24">
                  <c:v>464583.94550086855</c:v>
                </c:pt>
                <c:pt idx="25">
                  <c:v>474309.1947099035</c:v>
                </c:pt>
                <c:pt idx="26">
                  <c:v>481321.15162985167</c:v>
                </c:pt>
                <c:pt idx="27">
                  <c:v>476768.91473259183</c:v>
                </c:pt>
                <c:pt idx="28">
                  <c:v>474589.49461877381</c:v>
                </c:pt>
                <c:pt idx="29">
                  <c:v>484309.56689487566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9F-4BDB-8CBD-D8F3A6D8F9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344256"/>
        <c:axId val="23345792"/>
      </c:lineChart>
      <c:catAx>
        <c:axId val="23344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900">
                <a:solidFill>
                  <a:sysClr val="windowText" lastClr="000000"/>
                </a:solidFill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23345792"/>
        <c:crosses val="autoZero"/>
        <c:auto val="1"/>
        <c:lblAlgn val="ctr"/>
        <c:lblOffset val="100"/>
        <c:noMultiLvlLbl val="0"/>
      </c:catAx>
      <c:valAx>
        <c:axId val="23345792"/>
        <c:scaling>
          <c:orientation val="minMax"/>
          <c:min val="3400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solidFill>
                  <a:sysClr val="windowText" lastClr="000000"/>
                </a:solidFill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23344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050994018708076"/>
          <c:y val="0.94776762458678621"/>
          <c:w val="0.61468605547972244"/>
          <c:h val="3.8169639333566027E-2"/>
        </c:manualLayout>
      </c:layout>
      <c:overlay val="0"/>
      <c:txPr>
        <a:bodyPr/>
        <a:lstStyle/>
        <a:p>
          <a:pPr>
            <a:defRPr sz="9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defRPr>
          </a:pPr>
          <a:endParaRPr lang="en-CY"/>
        </a:p>
      </c:txPr>
    </c:legend>
    <c:plotVisOnly val="1"/>
    <c:dispBlanksAs val="gap"/>
    <c:showDLblsOverMax val="0"/>
  </c:chart>
  <c:spPr>
    <a:ln>
      <a:solidFill>
        <a:srgbClr val="558ED5">
          <a:alpha val="50196"/>
        </a:srgbClr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l-GR" sz="1050">
                <a:latin typeface="Verdana" pitchFamily="34" charset="0"/>
                <a:ea typeface="Verdana" pitchFamily="34" charset="0"/>
                <a:cs typeface="Verdana" pitchFamily="34" charset="0"/>
              </a:rPr>
              <a:t>Απασχόληση</a:t>
            </a:r>
            <a:r>
              <a:rPr lang="el-GR" sz="1050" baseline="0">
                <a:latin typeface="Verdana" pitchFamily="34" charset="0"/>
                <a:ea typeface="Verdana" pitchFamily="34" charset="0"/>
                <a:cs typeface="Verdana" pitchFamily="34" charset="0"/>
              </a:rPr>
              <a:t> σε Ώρες Εργασίας</a:t>
            </a:r>
            <a:endParaRPr lang="en-US" sz="1050">
              <a:latin typeface="Verdana" pitchFamily="34" charset="0"/>
              <a:ea typeface="Verdana" pitchFamily="34" charset="0"/>
              <a:cs typeface="Verdana" pitchFamily="34" charset="0"/>
            </a:endParaRPr>
          </a:p>
        </c:rich>
      </c:tx>
      <c:layout>
        <c:manualLayout>
          <c:xMode val="edge"/>
          <c:yMode val="edge"/>
          <c:x val="0.30278090264696639"/>
          <c:y val="1.0942879404354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86496154032121"/>
          <c:y val="0.10557702647743368"/>
          <c:w val="0.86576835516001072"/>
          <c:h val="0.72029753273402508"/>
        </c:manualLayout>
      </c:layout>
      <c:lineChart>
        <c:grouping val="standard"/>
        <c:varyColors val="0"/>
        <c:ser>
          <c:idx val="1"/>
          <c:order val="0"/>
          <c:tx>
            <c:strRef>
              <c:f>Γράφημα!$E$2</c:f>
              <c:strCache>
                <c:ptCount val="1"/>
                <c:pt idx="0">
                  <c:v>Χιλιάδες Ώρες Εργασίας</c:v>
                </c:pt>
              </c:strCache>
            </c:strRef>
          </c:tx>
          <c:marker>
            <c:symbol val="none"/>
          </c:marker>
          <c:cat>
            <c:multiLvlStrRef>
              <c:f>Γράφημα!$B$31:$C$60</c:f>
              <c:multiLvlStrCache>
                <c:ptCount val="30"/>
                <c:lvl>
                  <c:pt idx="0">
                    <c:v>Τ1</c:v>
                  </c:pt>
                  <c:pt idx="1">
                    <c:v>Τ2</c:v>
                  </c:pt>
                  <c:pt idx="2">
                    <c:v>Τ3</c:v>
                  </c:pt>
                  <c:pt idx="3">
                    <c:v>Τ4</c:v>
                  </c:pt>
                  <c:pt idx="4">
                    <c:v>Τ1</c:v>
                  </c:pt>
                  <c:pt idx="5">
                    <c:v>Τ2</c:v>
                  </c:pt>
                  <c:pt idx="6">
                    <c:v>Τ3</c:v>
                  </c:pt>
                  <c:pt idx="7">
                    <c:v>Τ4</c:v>
                  </c:pt>
                  <c:pt idx="8">
                    <c:v>Τ1</c:v>
                  </c:pt>
                  <c:pt idx="9">
                    <c:v>Τ2</c:v>
                  </c:pt>
                  <c:pt idx="10">
                    <c:v>Τ3</c:v>
                  </c:pt>
                  <c:pt idx="11">
                    <c:v>Τ4</c:v>
                  </c:pt>
                  <c:pt idx="12">
                    <c:v>Τ1</c:v>
                  </c:pt>
                  <c:pt idx="13">
                    <c:v>Τ2</c:v>
                  </c:pt>
                  <c:pt idx="14">
                    <c:v>Τ3</c:v>
                  </c:pt>
                  <c:pt idx="15">
                    <c:v>Τ4</c:v>
                  </c:pt>
                  <c:pt idx="16">
                    <c:v>Τ1</c:v>
                  </c:pt>
                  <c:pt idx="17">
                    <c:v>Τ2</c:v>
                  </c:pt>
                  <c:pt idx="18">
                    <c:v>Τ3</c:v>
                  </c:pt>
                  <c:pt idx="19">
                    <c:v>Τ4</c:v>
                  </c:pt>
                  <c:pt idx="20">
                    <c:v>Τ1</c:v>
                  </c:pt>
                  <c:pt idx="21">
                    <c:v>Τ2</c:v>
                  </c:pt>
                  <c:pt idx="22">
                    <c:v>Τ3</c:v>
                  </c:pt>
                  <c:pt idx="23">
                    <c:v>Τ4</c:v>
                  </c:pt>
                  <c:pt idx="24">
                    <c:v>Τ1</c:v>
                  </c:pt>
                  <c:pt idx="25">
                    <c:v>Τ2</c:v>
                  </c:pt>
                  <c:pt idx="26">
                    <c:v>Τ3</c:v>
                  </c:pt>
                  <c:pt idx="27">
                    <c:v>Τ4</c:v>
                  </c:pt>
                  <c:pt idx="28">
                    <c:v>Τ1</c:v>
                  </c:pt>
                  <c:pt idx="29">
                    <c:v>Τ2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Γράφημα!$F$31:$F$60</c:f>
              <c:numCache>
                <c:formatCode>General</c:formatCode>
                <c:ptCount val="30"/>
                <c:pt idx="0">
                  <c:v>179336</c:v>
                </c:pt>
                <c:pt idx="1">
                  <c:v>189517</c:v>
                </c:pt>
                <c:pt idx="2">
                  <c:v>182837</c:v>
                </c:pt>
                <c:pt idx="3">
                  <c:v>189896</c:v>
                </c:pt>
                <c:pt idx="4">
                  <c:v>187710</c:v>
                </c:pt>
                <c:pt idx="5">
                  <c:v>198740</c:v>
                </c:pt>
                <c:pt idx="6">
                  <c:v>191034</c:v>
                </c:pt>
                <c:pt idx="7">
                  <c:v>198454</c:v>
                </c:pt>
                <c:pt idx="8">
                  <c:v>196562</c:v>
                </c:pt>
                <c:pt idx="9">
                  <c:v>208171</c:v>
                </c:pt>
                <c:pt idx="10">
                  <c:v>199949</c:v>
                </c:pt>
                <c:pt idx="11">
                  <c:v>206589</c:v>
                </c:pt>
                <c:pt idx="12">
                  <c:v>199286</c:v>
                </c:pt>
                <c:pt idx="13">
                  <c:v>178504</c:v>
                </c:pt>
                <c:pt idx="14">
                  <c:v>189048</c:v>
                </c:pt>
                <c:pt idx="15">
                  <c:v>193156</c:v>
                </c:pt>
                <c:pt idx="16">
                  <c:v>199347</c:v>
                </c:pt>
                <c:pt idx="17">
                  <c:v>205780</c:v>
                </c:pt>
                <c:pt idx="18">
                  <c:v>204402</c:v>
                </c:pt>
                <c:pt idx="19">
                  <c:v>209834</c:v>
                </c:pt>
                <c:pt idx="20">
                  <c:v>206953</c:v>
                </c:pt>
                <c:pt idx="21">
                  <c:v>215470</c:v>
                </c:pt>
                <c:pt idx="22">
                  <c:v>213335</c:v>
                </c:pt>
                <c:pt idx="23">
                  <c:v>217573</c:v>
                </c:pt>
                <c:pt idx="24">
                  <c:v>212215</c:v>
                </c:pt>
                <c:pt idx="25">
                  <c:v>218201</c:v>
                </c:pt>
                <c:pt idx="26">
                  <c:v>216986</c:v>
                </c:pt>
                <c:pt idx="27">
                  <c:v>220830</c:v>
                </c:pt>
                <c:pt idx="28">
                  <c:v>217668</c:v>
                </c:pt>
                <c:pt idx="29">
                  <c:v>223299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BD-438F-8BF8-EF8DAFBFF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129088"/>
        <c:axId val="23331584"/>
      </c:lineChart>
      <c:catAx>
        <c:axId val="23129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900">
                <a:solidFill>
                  <a:sysClr val="windowText" lastClr="000000"/>
                </a:solidFill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23331584"/>
        <c:crossesAt val="140000"/>
        <c:auto val="1"/>
        <c:lblAlgn val="ctr"/>
        <c:lblOffset val="100"/>
        <c:noMultiLvlLbl val="0"/>
      </c:catAx>
      <c:valAx>
        <c:axId val="23331584"/>
        <c:scaling>
          <c:orientation val="minMax"/>
          <c:min val="1500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solidFill>
                  <a:sysClr val="windowText" lastClr="000000"/>
                </a:solidFill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23129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755345364681322"/>
          <c:y val="0.95391327236263646"/>
          <c:w val="0.61468605547972244"/>
          <c:h val="3.8352446356093896E-2"/>
        </c:manualLayout>
      </c:layout>
      <c:overlay val="0"/>
      <c:txPr>
        <a:bodyPr/>
        <a:lstStyle/>
        <a:p>
          <a:pPr>
            <a:defRPr sz="9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defRPr>
          </a:pPr>
          <a:endParaRPr lang="en-CY"/>
        </a:p>
      </c:txPr>
    </c:legend>
    <c:plotVisOnly val="1"/>
    <c:dispBlanksAs val="gap"/>
    <c:showDLblsOverMax val="0"/>
  </c:chart>
  <c:spPr>
    <a:ln>
      <a:solidFill>
        <a:srgbClr val="558ED5">
          <a:alpha val="50196"/>
        </a:srgb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2FF3-CA13-426D-95FC-48C18B0F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32</cp:revision>
  <cp:lastPrinted>2024-09-06T07:07:00Z</cp:lastPrinted>
  <dcterms:created xsi:type="dcterms:W3CDTF">2023-09-06T07:51:00Z</dcterms:created>
  <dcterms:modified xsi:type="dcterms:W3CDTF">2024-09-06T07:08:00Z</dcterms:modified>
</cp:coreProperties>
</file>