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F20DE9" w14:textId="77777777" w:rsidR="00573F8E" w:rsidRPr="0017683B" w:rsidRDefault="00573F8E" w:rsidP="00573F8E">
      <w:pPr>
        <w:ind w:right="107"/>
        <w:jc w:val="right"/>
        <w:rPr>
          <w:rFonts w:ascii="Verdana" w:hAnsi="Verdana" w:cs="Arial"/>
          <w:sz w:val="18"/>
          <w:szCs w:val="18"/>
          <w:lang w:val="el-GR"/>
        </w:rPr>
      </w:pPr>
      <w:r w:rsidRPr="0096265F">
        <w:rPr>
          <w:rFonts w:ascii="Verdana" w:hAnsi="Verdana" w:cs="Arial"/>
          <w:sz w:val="18"/>
          <w:szCs w:val="18"/>
          <w:lang w:val="el-GR"/>
        </w:rPr>
        <w:t>8</w:t>
      </w:r>
      <w:r w:rsidRPr="0017683B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Μαρτίου</w:t>
      </w:r>
      <w:r w:rsidRPr="0017683B">
        <w:rPr>
          <w:rFonts w:ascii="Verdana" w:hAnsi="Verdana" w:cs="Arial"/>
          <w:sz w:val="18"/>
          <w:szCs w:val="18"/>
          <w:lang w:val="el-GR"/>
        </w:rPr>
        <w:t>, 202</w:t>
      </w:r>
      <w:r>
        <w:rPr>
          <w:rFonts w:ascii="Verdana" w:hAnsi="Verdana" w:cs="Arial"/>
          <w:sz w:val="18"/>
          <w:szCs w:val="18"/>
          <w:lang w:val="el-GR"/>
        </w:rPr>
        <w:t>3</w:t>
      </w:r>
    </w:p>
    <w:p w14:paraId="6C0C6953" w14:textId="77777777" w:rsidR="00573F8E" w:rsidRPr="004A288B" w:rsidRDefault="00573F8E" w:rsidP="00573F8E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33319282" w14:textId="77777777" w:rsidR="00573F8E" w:rsidRDefault="00573F8E" w:rsidP="00573F8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0FCE5AB9" w14:textId="77777777" w:rsidR="00573F8E" w:rsidRPr="00CD3311" w:rsidRDefault="00573F8E" w:rsidP="00573F8E">
      <w:pPr>
        <w:rPr>
          <w:rFonts w:ascii="Verdana" w:eastAsia="Malgun Gothic" w:hAnsi="Verdana" w:cs="Arial"/>
          <w:lang w:val="el-GR"/>
        </w:rPr>
      </w:pPr>
    </w:p>
    <w:p w14:paraId="7A7B2858" w14:textId="77777777" w:rsidR="00573F8E" w:rsidRPr="00FD7C37" w:rsidRDefault="00573F8E" w:rsidP="00573F8E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b w:val="0"/>
          <w:sz w:val="21"/>
          <w:szCs w:val="21"/>
        </w:rPr>
      </w:pPr>
      <w:r w:rsidRPr="00FD7C37">
        <w:rPr>
          <w:rFonts w:ascii="Verdana" w:eastAsia="Malgun Gothic" w:hAnsi="Verdana" w:cs="Arial"/>
          <w:b w:val="0"/>
          <w:sz w:val="21"/>
          <w:szCs w:val="21"/>
        </w:rPr>
        <w:t xml:space="preserve">ΑΠΑΣΧΟΛΗΣΗ-ΕΘΝΙΚΟΙ ΛΟΓΑΡΙΑΣΜΟΙ: </w:t>
      </w:r>
      <w:r>
        <w:rPr>
          <w:rFonts w:ascii="Verdana" w:eastAsia="Malgun Gothic" w:hAnsi="Verdana" w:cs="Arial"/>
          <w:sz w:val="21"/>
          <w:szCs w:val="21"/>
        </w:rPr>
        <w:t>4</w:t>
      </w:r>
      <w:r w:rsidRPr="00FD7C37">
        <w:rPr>
          <w:rFonts w:ascii="Verdana" w:eastAsia="Malgun Gothic" w:hAnsi="Verdana" w:cs="Arial"/>
          <w:sz w:val="21"/>
          <w:szCs w:val="21"/>
          <w:vertAlign w:val="superscript"/>
        </w:rPr>
        <w:t>ο</w:t>
      </w:r>
      <w:r w:rsidRPr="00FD7C37">
        <w:rPr>
          <w:rFonts w:ascii="Verdana" w:eastAsia="Malgun Gothic" w:hAnsi="Verdana" w:cs="Arial"/>
          <w:sz w:val="21"/>
          <w:szCs w:val="21"/>
        </w:rPr>
        <w:t xml:space="preserve"> ΤΡΙΜΗΝΟ 2022</w:t>
      </w:r>
      <w:r w:rsidRPr="00FD7C37">
        <w:rPr>
          <w:rFonts w:ascii="Verdana" w:eastAsia="Malgun Gothic" w:hAnsi="Verdana" w:cs="Arial"/>
          <w:b w:val="0"/>
          <w:sz w:val="21"/>
          <w:szCs w:val="21"/>
        </w:rPr>
        <w:t xml:space="preserve"> (Προκαταρκτική Εκτίμηση)</w:t>
      </w:r>
    </w:p>
    <w:p w14:paraId="61C7C090" w14:textId="77777777" w:rsid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4733333F" w14:textId="77777777" w:rsidR="00573F8E" w:rsidRPr="00C53620" w:rsidRDefault="00573F8E" w:rsidP="00573F8E">
      <w:pPr>
        <w:jc w:val="center"/>
        <w:rPr>
          <w:rFonts w:ascii="Verdana" w:hAnsi="Verdana"/>
          <w:b/>
          <w:bCs/>
          <w:lang w:val="el-GR"/>
        </w:rPr>
      </w:pPr>
      <w:r w:rsidRPr="00C53620">
        <w:rPr>
          <w:rFonts w:ascii="Verdana" w:hAnsi="Verdana"/>
          <w:b/>
          <w:bCs/>
          <w:lang w:val="el-GR"/>
        </w:rPr>
        <w:t>Ετήσια Μεταβολή +3,0% στα Άτομα και +</w:t>
      </w:r>
      <w:r>
        <w:rPr>
          <w:rFonts w:ascii="Verdana" w:hAnsi="Verdana"/>
          <w:b/>
          <w:bCs/>
          <w:lang w:val="el-GR"/>
        </w:rPr>
        <w:t>3</w:t>
      </w:r>
      <w:r w:rsidRPr="00C53620">
        <w:rPr>
          <w:rFonts w:ascii="Verdana" w:hAnsi="Verdana"/>
          <w:b/>
          <w:bCs/>
          <w:lang w:val="el-GR"/>
        </w:rPr>
        <w:t>,</w:t>
      </w:r>
      <w:r>
        <w:rPr>
          <w:rFonts w:ascii="Verdana" w:hAnsi="Verdana"/>
          <w:b/>
          <w:bCs/>
          <w:lang w:val="el-GR"/>
        </w:rPr>
        <w:t>5</w:t>
      </w:r>
      <w:r w:rsidRPr="00C53620">
        <w:rPr>
          <w:rFonts w:ascii="Verdana" w:hAnsi="Verdana"/>
          <w:b/>
          <w:bCs/>
          <w:lang w:val="el-GR"/>
        </w:rPr>
        <w:t>% στις Ώρες Εργασίας</w:t>
      </w:r>
    </w:p>
    <w:p w14:paraId="1241D70C" w14:textId="77777777" w:rsid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02E3B510" w14:textId="77777777" w:rsidR="00573F8E" w:rsidRPr="00FD7C37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74A5E826" w14:textId="77777777" w:rsidR="00573F8E" w:rsidRPr="00FD7C37" w:rsidRDefault="00573F8E" w:rsidP="00573F8E">
      <w:pPr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 w:rsidRPr="00FD7C37">
        <w:rPr>
          <w:rFonts w:ascii="Verdana" w:hAnsi="Verdana"/>
          <w:b/>
          <w:bCs/>
          <w:sz w:val="18"/>
          <w:szCs w:val="18"/>
          <w:u w:val="single"/>
          <w:lang w:val="el-GR"/>
        </w:rPr>
        <w:t>Άτομα</w:t>
      </w:r>
    </w:p>
    <w:p w14:paraId="1BC7E2A2" w14:textId="77777777" w:rsidR="00573F8E" w:rsidRDefault="00573F8E" w:rsidP="00573F8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E4E2FC0" w14:textId="77777777" w:rsidR="00573F8E" w:rsidRPr="00E95CB4" w:rsidRDefault="00573F8E" w:rsidP="00573F8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Το σύνολο των εργαζομένων που απασχολούνταν κατά το </w:t>
      </w:r>
      <w:r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2022 υπολογίζεται στα 46</w:t>
      </w:r>
      <w:r>
        <w:rPr>
          <w:rFonts w:ascii="Verdana" w:eastAsia="Malgun Gothic" w:hAnsi="Verdana" w:cs="Arial"/>
          <w:sz w:val="18"/>
          <w:szCs w:val="18"/>
          <w:lang w:val="el-GR"/>
        </w:rPr>
        <w:t>1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>
        <w:rPr>
          <w:rFonts w:ascii="Verdana" w:eastAsia="Malgun Gothic" w:hAnsi="Verdana" w:cs="Arial"/>
          <w:sz w:val="18"/>
          <w:szCs w:val="18"/>
          <w:lang w:val="el-GR"/>
        </w:rPr>
        <w:t>34</w:t>
      </w:r>
      <w:r w:rsidRPr="00F0522B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άτομα, εκ των οποίων 41</w:t>
      </w:r>
      <w:r>
        <w:rPr>
          <w:rFonts w:ascii="Verdana" w:eastAsia="Malgun Gothic" w:hAnsi="Verdana" w:cs="Arial"/>
          <w:sz w:val="18"/>
          <w:szCs w:val="18"/>
          <w:lang w:val="el-GR"/>
        </w:rPr>
        <w:t>0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.63</w:t>
      </w:r>
      <w:r w:rsidRPr="00F0522B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είναι υπάλληλοι και </w:t>
      </w:r>
      <w:r>
        <w:rPr>
          <w:rFonts w:ascii="Verdana" w:eastAsia="Malgun Gothic" w:hAnsi="Verdana" w:cs="Arial"/>
          <w:sz w:val="18"/>
          <w:szCs w:val="18"/>
          <w:lang w:val="el-GR"/>
        </w:rPr>
        <w:t>50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>
        <w:rPr>
          <w:rFonts w:ascii="Verdana" w:eastAsia="Malgun Gothic" w:hAnsi="Verdana" w:cs="Arial"/>
          <w:sz w:val="18"/>
          <w:szCs w:val="18"/>
          <w:lang w:val="el-GR"/>
        </w:rPr>
        <w:t>711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αυτοαπασχολούμενοι. </w:t>
      </w:r>
    </w:p>
    <w:p w14:paraId="788ABCDA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D7BEACE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Συγκριτικά με το αντίστοιχο τρίμηνο του 2021, η συνολική απασχόληση για το </w:t>
      </w:r>
      <w:r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τρίμηνο του 2022 αυξήθηκε κατά 3%. Οι σημαντικότερες ποσοστιαίες αυξήσεις παρατηρήθηκαν στους τομείς της Ενημέρωσης Και Επικοινωνίας (NACE J),</w:t>
      </w:r>
      <w:r w:rsidRPr="0096265F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των Δραστηριοτήτων Υπηρεσιών Παροχής Καταλύματος και Υπηρεσιών Εστίασης (NACE I), των 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Επαγγελματικ</w:t>
      </w:r>
      <w:r>
        <w:rPr>
          <w:rFonts w:ascii="Verdana" w:hAnsi="Verdana"/>
          <w:bCs/>
          <w:iCs/>
          <w:sz w:val="18"/>
          <w:szCs w:val="18"/>
          <w:lang w:val="el-GR"/>
        </w:rPr>
        <w:t>ών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, Επιστημονικ</w:t>
      </w:r>
      <w:r>
        <w:rPr>
          <w:rFonts w:ascii="Verdana" w:hAnsi="Verdana"/>
          <w:bCs/>
          <w:iCs/>
          <w:sz w:val="18"/>
          <w:szCs w:val="18"/>
          <w:lang w:val="el-GR"/>
        </w:rPr>
        <w:t>ών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>
        <w:rPr>
          <w:rFonts w:ascii="Verdana" w:hAnsi="Verdana"/>
          <w:bCs/>
          <w:iCs/>
          <w:sz w:val="18"/>
          <w:szCs w:val="18"/>
          <w:lang w:val="el-GR"/>
        </w:rPr>
        <w:t>κ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αι Τεχνικ</w:t>
      </w:r>
      <w:r>
        <w:rPr>
          <w:rFonts w:ascii="Verdana" w:hAnsi="Verdana"/>
          <w:bCs/>
          <w:iCs/>
          <w:sz w:val="18"/>
          <w:szCs w:val="18"/>
          <w:lang w:val="el-GR"/>
        </w:rPr>
        <w:t>ών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Δραστηριοτ</w:t>
      </w:r>
      <w:r>
        <w:rPr>
          <w:rFonts w:ascii="Verdana" w:hAnsi="Verdana"/>
          <w:bCs/>
          <w:iCs/>
          <w:sz w:val="18"/>
          <w:szCs w:val="18"/>
          <w:lang w:val="el-GR"/>
        </w:rPr>
        <w:t>ή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τ</w:t>
      </w:r>
      <w:r>
        <w:rPr>
          <w:rFonts w:ascii="Verdana" w:hAnsi="Verdana"/>
          <w:bCs/>
          <w:iCs/>
          <w:sz w:val="18"/>
          <w:szCs w:val="18"/>
          <w:lang w:val="el-GR"/>
        </w:rPr>
        <w:t>ων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>
        <w:rPr>
          <w:rFonts w:ascii="Verdana" w:hAnsi="Verdana"/>
          <w:bCs/>
          <w:iCs/>
          <w:sz w:val="18"/>
          <w:szCs w:val="18"/>
          <w:lang w:val="el-GR"/>
        </w:rPr>
        <w:t>(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NACE </w:t>
      </w:r>
      <w:r>
        <w:rPr>
          <w:rFonts w:ascii="Verdana" w:hAnsi="Verdana"/>
          <w:bCs/>
          <w:iCs/>
          <w:sz w:val="18"/>
          <w:szCs w:val="18"/>
          <w:lang w:val="el-GR"/>
        </w:rPr>
        <w:t>Μ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) και </w:t>
      </w:r>
      <w:r>
        <w:rPr>
          <w:rFonts w:ascii="Verdana" w:hAnsi="Verdana"/>
          <w:bCs/>
          <w:iCs/>
          <w:sz w:val="18"/>
          <w:szCs w:val="18"/>
          <w:lang w:val="el-GR"/>
        </w:rPr>
        <w:t xml:space="preserve">των 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Διοικητικ</w:t>
      </w:r>
      <w:r>
        <w:rPr>
          <w:rFonts w:ascii="Verdana" w:hAnsi="Verdana"/>
          <w:bCs/>
          <w:iCs/>
          <w:sz w:val="18"/>
          <w:szCs w:val="18"/>
          <w:lang w:val="el-GR"/>
        </w:rPr>
        <w:t>ών κ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αι Υποστηρικτικ</w:t>
      </w:r>
      <w:r>
        <w:rPr>
          <w:rFonts w:ascii="Verdana" w:hAnsi="Verdana"/>
          <w:bCs/>
          <w:iCs/>
          <w:sz w:val="18"/>
          <w:szCs w:val="18"/>
          <w:lang w:val="el-GR"/>
        </w:rPr>
        <w:t xml:space="preserve">ών 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Δραστηριοτ</w:t>
      </w:r>
      <w:r>
        <w:rPr>
          <w:rFonts w:ascii="Verdana" w:hAnsi="Verdana"/>
          <w:bCs/>
          <w:iCs/>
          <w:sz w:val="18"/>
          <w:szCs w:val="18"/>
          <w:lang w:val="el-GR"/>
        </w:rPr>
        <w:t>ήτων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(NACE </w:t>
      </w:r>
      <w:r>
        <w:rPr>
          <w:rFonts w:ascii="Verdana" w:hAnsi="Verdana"/>
          <w:bCs/>
          <w:iCs/>
          <w:sz w:val="18"/>
          <w:szCs w:val="18"/>
          <w:lang w:val="el-GR"/>
        </w:rPr>
        <w:t>Ν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).</w:t>
      </w:r>
    </w:p>
    <w:p w14:paraId="15EBEB88" w14:textId="5F6A8955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523658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6B77C47" w14:textId="77777777" w:rsidR="00573F8E" w:rsidRDefault="00573F8E" w:rsidP="00573F8E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noProof/>
          <w:sz w:val="18"/>
          <w:szCs w:val="18"/>
          <w:lang w:val="el-GR"/>
        </w:rPr>
        <w:drawing>
          <wp:inline distT="0" distB="0" distL="0" distR="0" wp14:anchorId="71405E06" wp14:editId="4D640CE8">
            <wp:extent cx="6090285" cy="3822700"/>
            <wp:effectExtent l="0" t="0" r="571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8B713" w14:textId="09FB0294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7D9E9804" w14:textId="483AD0C2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13676D55" w14:textId="01DA1AF8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27493B57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26F425BA" w14:textId="77777777" w:rsidR="00573F8E" w:rsidRPr="00B82456" w:rsidRDefault="00573F8E" w:rsidP="00573F8E">
      <w:pPr>
        <w:jc w:val="both"/>
        <w:rPr>
          <w:rFonts w:ascii="Verdana" w:hAnsi="Verdana"/>
          <w:b/>
          <w:iCs/>
          <w:sz w:val="18"/>
          <w:szCs w:val="18"/>
          <w:u w:val="single"/>
          <w:lang w:val="el-GR"/>
        </w:rPr>
      </w:pPr>
      <w:r w:rsidRPr="00FD7C37">
        <w:rPr>
          <w:rFonts w:ascii="Verdana" w:hAnsi="Verdana"/>
          <w:b/>
          <w:iCs/>
          <w:sz w:val="18"/>
          <w:szCs w:val="18"/>
          <w:u w:val="single"/>
          <w:lang w:val="el-GR"/>
        </w:rPr>
        <w:lastRenderedPageBreak/>
        <w:t>Ώρες Εργασίας</w:t>
      </w:r>
    </w:p>
    <w:p w14:paraId="7F581188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70A57AC0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Οι πραγματικές ώρες εργασίας για το </w:t>
      </w:r>
      <w:r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τρίμηνο του 2022 υπολογίζονται στις </w:t>
      </w:r>
      <w:r>
        <w:rPr>
          <w:rFonts w:ascii="Verdana" w:hAnsi="Verdana"/>
          <w:bCs/>
          <w:iCs/>
          <w:sz w:val="18"/>
          <w:szCs w:val="18"/>
          <w:lang w:val="el-GR"/>
        </w:rPr>
        <w:t>211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.</w:t>
      </w:r>
      <w:r>
        <w:rPr>
          <w:rFonts w:ascii="Verdana" w:hAnsi="Verdana"/>
          <w:bCs/>
          <w:iCs/>
          <w:sz w:val="18"/>
          <w:szCs w:val="18"/>
          <w:lang w:val="el-GR"/>
        </w:rPr>
        <w:t>235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χιλιάδες, με ποσοστό αύξησης </w:t>
      </w:r>
      <w:r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,</w:t>
      </w:r>
      <w:r>
        <w:rPr>
          <w:rFonts w:ascii="Verdana" w:hAnsi="Verdana"/>
          <w:bCs/>
          <w:iCs/>
          <w:sz w:val="18"/>
          <w:szCs w:val="18"/>
          <w:lang w:val="el-GR"/>
        </w:rPr>
        <w:t>5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% σε σχέση με το αντίστοιχο τρίμηνο του 2021. Οι σημαντικότερες ποσοστιαίες αυξήσεις παρατηρήθηκαν στους τομείς των Δραστηριοτήτων Υπηρεσιών Παροχής Καταλύματος και Υπηρεσιών Εστίασης (NACE I), της Ενημέρωσης Και Επικοινωνίας</w:t>
      </w:r>
      <w:r w:rsidRPr="00B82456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(NACE J), των 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Επαγγελματικ</w:t>
      </w:r>
      <w:r>
        <w:rPr>
          <w:rFonts w:ascii="Verdana" w:hAnsi="Verdana"/>
          <w:bCs/>
          <w:iCs/>
          <w:sz w:val="18"/>
          <w:szCs w:val="18"/>
          <w:lang w:val="el-GR"/>
        </w:rPr>
        <w:t>ών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, Επιστημονικ</w:t>
      </w:r>
      <w:r>
        <w:rPr>
          <w:rFonts w:ascii="Verdana" w:hAnsi="Verdana"/>
          <w:bCs/>
          <w:iCs/>
          <w:sz w:val="18"/>
          <w:szCs w:val="18"/>
          <w:lang w:val="el-GR"/>
        </w:rPr>
        <w:t>ών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>
        <w:rPr>
          <w:rFonts w:ascii="Verdana" w:hAnsi="Verdana"/>
          <w:bCs/>
          <w:iCs/>
          <w:sz w:val="18"/>
          <w:szCs w:val="18"/>
          <w:lang w:val="el-GR"/>
        </w:rPr>
        <w:t>κ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αι Τεχνικ</w:t>
      </w:r>
      <w:r>
        <w:rPr>
          <w:rFonts w:ascii="Verdana" w:hAnsi="Verdana"/>
          <w:bCs/>
          <w:iCs/>
          <w:sz w:val="18"/>
          <w:szCs w:val="18"/>
          <w:lang w:val="el-GR"/>
        </w:rPr>
        <w:t>ών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Δραστηριοτ</w:t>
      </w:r>
      <w:r>
        <w:rPr>
          <w:rFonts w:ascii="Verdana" w:hAnsi="Verdana"/>
          <w:bCs/>
          <w:iCs/>
          <w:sz w:val="18"/>
          <w:szCs w:val="18"/>
          <w:lang w:val="el-GR"/>
        </w:rPr>
        <w:t>ή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τ</w:t>
      </w:r>
      <w:r>
        <w:rPr>
          <w:rFonts w:ascii="Verdana" w:hAnsi="Verdana"/>
          <w:bCs/>
          <w:iCs/>
          <w:sz w:val="18"/>
          <w:szCs w:val="18"/>
          <w:lang w:val="el-GR"/>
        </w:rPr>
        <w:t>ων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>
        <w:rPr>
          <w:rFonts w:ascii="Verdana" w:hAnsi="Verdana"/>
          <w:bCs/>
          <w:iCs/>
          <w:sz w:val="18"/>
          <w:szCs w:val="18"/>
          <w:lang w:val="el-GR"/>
        </w:rPr>
        <w:t>(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NACE </w:t>
      </w:r>
      <w:r>
        <w:rPr>
          <w:rFonts w:ascii="Verdana" w:hAnsi="Verdana"/>
          <w:bCs/>
          <w:iCs/>
          <w:sz w:val="18"/>
          <w:szCs w:val="18"/>
          <w:lang w:val="el-GR"/>
        </w:rPr>
        <w:t>Μ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) και </w:t>
      </w:r>
      <w:r>
        <w:rPr>
          <w:rFonts w:ascii="Verdana" w:hAnsi="Verdana"/>
          <w:bCs/>
          <w:iCs/>
          <w:sz w:val="18"/>
          <w:szCs w:val="18"/>
          <w:lang w:val="el-GR"/>
        </w:rPr>
        <w:t xml:space="preserve">των 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Διοικητικ</w:t>
      </w:r>
      <w:r>
        <w:rPr>
          <w:rFonts w:ascii="Verdana" w:hAnsi="Verdana"/>
          <w:bCs/>
          <w:iCs/>
          <w:sz w:val="18"/>
          <w:szCs w:val="18"/>
          <w:lang w:val="el-GR"/>
        </w:rPr>
        <w:t>ών κ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αι Υποστηρικτικ</w:t>
      </w:r>
      <w:r>
        <w:rPr>
          <w:rFonts w:ascii="Verdana" w:hAnsi="Verdana"/>
          <w:bCs/>
          <w:iCs/>
          <w:sz w:val="18"/>
          <w:szCs w:val="18"/>
          <w:lang w:val="el-GR"/>
        </w:rPr>
        <w:t xml:space="preserve">ών 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>Δραστηριοτ</w:t>
      </w:r>
      <w:r>
        <w:rPr>
          <w:rFonts w:ascii="Verdana" w:hAnsi="Verdana"/>
          <w:bCs/>
          <w:iCs/>
          <w:sz w:val="18"/>
          <w:szCs w:val="18"/>
          <w:lang w:val="el-GR"/>
        </w:rPr>
        <w:t>ήτων</w:t>
      </w:r>
      <w:r w:rsidRPr="001C6FAC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(NACE </w:t>
      </w:r>
      <w:r>
        <w:rPr>
          <w:rFonts w:ascii="Verdana" w:hAnsi="Verdana"/>
          <w:bCs/>
          <w:iCs/>
          <w:sz w:val="18"/>
          <w:szCs w:val="18"/>
          <w:lang w:val="el-GR"/>
        </w:rPr>
        <w:t>Ν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).</w:t>
      </w:r>
    </w:p>
    <w:p w14:paraId="17630AC5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DA0D426" w14:textId="77777777" w:rsidR="00573F8E" w:rsidRDefault="00573F8E" w:rsidP="00573F8E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14:paraId="2DF79291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noProof/>
          <w:sz w:val="18"/>
          <w:szCs w:val="18"/>
          <w:lang w:val="el-GR"/>
        </w:rPr>
        <w:drawing>
          <wp:inline distT="0" distB="0" distL="0" distR="0" wp14:anchorId="124FFC85" wp14:editId="219744CC">
            <wp:extent cx="6096635" cy="38284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E9993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6416482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5DB29BB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3DCC6CD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7C34E1C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2A986562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37638F1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5973554F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89C96C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6A5163C0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F6CA892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68BD17E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CF08A32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2F25538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25BBE98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4FAFC5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BAFA911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CF5B6A3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96C4D4D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ADE64C2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0CC1B87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148D49A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6210C127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7CEF1A0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918611E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57527524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164DD98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6595B8D4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BE08817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2FD1A37D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32CEE3C" w14:textId="3F7648A2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7CD3908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DBC3728" w14:textId="77777777" w:rsidR="00573F8E" w:rsidRPr="00BC4530" w:rsidRDefault="00573F8E" w:rsidP="00573F8E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BC4530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89CDEAE" w14:textId="77777777" w:rsidR="00573F8E" w:rsidRPr="00573F8E" w:rsidRDefault="00573F8E" w:rsidP="00573F8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B6D1B07" w14:textId="365823C9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51D172A" w14:textId="507ECA43" w:rsidR="00573F8E" w:rsidRPr="00A618CF" w:rsidRDefault="00573F8E" w:rsidP="00573F8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412D1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και μεθοδολογία</w:t>
      </w:r>
    </w:p>
    <w:p w14:paraId="53B2C2F1" w14:textId="77777777" w:rsidR="00573F8E" w:rsidRPr="00573F8E" w:rsidRDefault="00573F8E" w:rsidP="00573F8E">
      <w:pPr>
        <w:rPr>
          <w:rFonts w:ascii="Verdana" w:hAnsi="Verdana"/>
          <w:bCs/>
          <w:iCs/>
          <w:color w:val="00B050"/>
          <w:sz w:val="18"/>
          <w:szCs w:val="18"/>
          <w:lang w:val="el-GR"/>
        </w:rPr>
      </w:pPr>
    </w:p>
    <w:p w14:paraId="0BED8ADE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Παρέχεται πληροφόρηση σχετικά με τον αριθμό των απασχολουμένων και τις ώρες εργασίας κατά οικονομική δραστηριότητα και επαγγελματική υπόσταση (αυτοαπασχολούμενοι και υπάλληλοι).</w:t>
      </w:r>
    </w:p>
    <w:p w14:paraId="5E3FD9B2" w14:textId="77777777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2F52F08" w14:textId="5711BB00" w:rsidR="00573F8E" w:rsidRP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Τα στατιστικά στοιχεία για τον αριθμό των απασχολουμένων και τις ώρες εργασίας κατά οικονομική δραστηριότητα και επαγγελματική υπόσταση (αυτοαπασχολούμενοι και υπάλληλοι) παρουσιάζονται</w:t>
      </w:r>
      <w:r w:rsidRPr="00573F8E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 βάση το Σύστημα Ταξινόμησης </w:t>
      </w:r>
      <w:r w:rsidRPr="00573F8E">
        <w:rPr>
          <w:rFonts w:ascii="Verdana" w:hAnsi="Verdana"/>
          <w:sz w:val="18"/>
          <w:szCs w:val="18"/>
          <w:shd w:val="clear" w:color="auto" w:fill="FFFFFF"/>
        </w:rPr>
        <w:t>NACE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Αναθ.2 και τη μεθοδολογία για τον υπολογισμό της απασχόλησης στους εθνικούς λογαριασμούς με βάση το Ευρωπαϊκό Σύστημα Οικονομικών Λογαριασμών 2010 (ΕΣΛ 2010).</w:t>
      </w:r>
    </w:p>
    <w:p w14:paraId="647C0A14" w14:textId="40D6DD70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41F2E74" w14:textId="6AC761E1" w:rsidR="00573F8E" w:rsidRPr="00A618CF" w:rsidRDefault="00573F8E" w:rsidP="00573F8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Πηγή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412D1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4450A037" w14:textId="77777777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31A0B38" w14:textId="528F74AE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Για την εξαγωγή των στοιχείων, χρησιμοποιούνται στοιχεία σε τριμηνιαία βάση από τις πιο κάτω πηγές: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br/>
        <w:t>- Έρευνα Απασχόλησης και Κενών Θέσεων,</w:t>
      </w:r>
    </w:p>
    <w:p w14:paraId="192D177F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Έρευνα Εργατικού Δυναμικού,</w:t>
      </w:r>
    </w:p>
    <w:p w14:paraId="71EB26CC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Απασχόληση (σε άτομα) από το Μητρώο Κοινωνικών Ασφαλίσεων,</w:t>
      </w:r>
    </w:p>
    <w:p w14:paraId="653C51C6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Γενικό Λογιστήριο της Δημοκρατίας.</w:t>
      </w:r>
    </w:p>
    <w:p w14:paraId="561A07E6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04514F0" w14:textId="77777777" w:rsidR="00573F8E" w:rsidRP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540E85E" w14:textId="77777777" w:rsidR="00573F8E" w:rsidRPr="00573F8E" w:rsidRDefault="00573F8E" w:rsidP="00573F8E">
      <w:pPr>
        <w:rPr>
          <w:rFonts w:ascii="Verdana" w:hAnsi="Verdana"/>
          <w:i/>
          <w:sz w:val="18"/>
          <w:szCs w:val="18"/>
          <w:lang w:val="el-GR"/>
        </w:rPr>
      </w:pPr>
      <w:r w:rsidRPr="00573F8E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573F8E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61F4C4B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0" w:history="1"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Εθνικοί Λογ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α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ριασμοί</w:t>
        </w:r>
      </w:hyperlink>
    </w:p>
    <w:p w14:paraId="09BEC1ED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Pr="00573F8E">
          <w:rPr>
            <w:rStyle w:val="Hyperlink"/>
            <w:rFonts w:ascii="Verdana" w:hAnsi="Verdana"/>
            <w:sz w:val="18"/>
            <w:szCs w:val="18"/>
          </w:rPr>
          <w:t>CYST</w:t>
        </w:r>
        <w:r w:rsidRPr="00573F8E">
          <w:rPr>
            <w:rStyle w:val="Hyperlink"/>
            <w:rFonts w:ascii="Verdana" w:hAnsi="Verdana"/>
            <w:sz w:val="18"/>
            <w:szCs w:val="18"/>
          </w:rPr>
          <w:t>A</w:t>
        </w:r>
        <w:r w:rsidRPr="00573F8E">
          <w:rPr>
            <w:rStyle w:val="Hyperlink"/>
            <w:rFonts w:ascii="Verdana" w:hAnsi="Verdana"/>
            <w:sz w:val="18"/>
            <w:szCs w:val="18"/>
          </w:rPr>
          <w:t>T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Pr="00573F8E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Pr="00573F8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6224B0E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α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κες</w:t>
        </w:r>
      </w:hyperlink>
      <w:r w:rsidRPr="00573F8E">
        <w:rPr>
          <w:rFonts w:ascii="Verdana" w:hAnsi="Verdana"/>
          <w:sz w:val="18"/>
          <w:szCs w:val="18"/>
          <w:lang w:val="el-GR"/>
        </w:rPr>
        <w:t xml:space="preserve"> (</w:t>
      </w:r>
      <w:r w:rsidRPr="00573F8E">
        <w:rPr>
          <w:rFonts w:ascii="Verdana" w:hAnsi="Verdana"/>
          <w:sz w:val="18"/>
          <w:szCs w:val="18"/>
        </w:rPr>
        <w:t>Excel</w:t>
      </w:r>
      <w:r w:rsidRPr="00573F8E">
        <w:rPr>
          <w:rFonts w:ascii="Verdana" w:hAnsi="Verdana"/>
          <w:sz w:val="18"/>
          <w:szCs w:val="18"/>
          <w:lang w:val="el-GR"/>
        </w:rPr>
        <w:t>)</w:t>
      </w:r>
    </w:p>
    <w:p w14:paraId="1CA64D80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  <w:hyperlink r:id="rId13" w:history="1"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ί</w:t>
        </w:r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ες</w:t>
        </w:r>
      </w:hyperlink>
    </w:p>
    <w:p w14:paraId="32F7F341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6D3BD097" w14:textId="77777777" w:rsidR="00573F8E" w:rsidRPr="00573F8E" w:rsidRDefault="00573F8E" w:rsidP="00573F8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73F8E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73F8E">
        <w:rPr>
          <w:rFonts w:ascii="Verdana" w:hAnsi="Verdana"/>
          <w:b/>
          <w:bCs/>
          <w:sz w:val="18"/>
          <w:szCs w:val="18"/>
        </w:rPr>
        <w:t>Excel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 w:rsidRPr="00573F8E">
        <w:rPr>
          <w:rFonts w:ascii="Verdana" w:hAnsi="Verdana"/>
          <w:b/>
          <w:bCs/>
          <w:sz w:val="18"/>
          <w:szCs w:val="18"/>
        </w:rPr>
        <w:t>CYSTAT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73F8E">
        <w:rPr>
          <w:rFonts w:ascii="Verdana" w:hAnsi="Verdana"/>
          <w:b/>
          <w:bCs/>
          <w:sz w:val="18"/>
          <w:szCs w:val="18"/>
        </w:rPr>
        <w:t>DB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ABE11BD" w14:textId="77777777" w:rsidR="00573F8E" w:rsidRPr="00573F8E" w:rsidRDefault="00573F8E" w:rsidP="00573F8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58BB5441" w14:textId="77777777" w:rsidR="00573F8E" w:rsidRPr="00573F8E" w:rsidRDefault="00573F8E" w:rsidP="00573F8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259C1E3A" w14:textId="77777777" w:rsidR="00573F8E" w:rsidRPr="00573F8E" w:rsidRDefault="00573F8E" w:rsidP="00573F8E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Δημητρίου Σταυρούλα: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:+35722602205, 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4" w:history="1">
        <w:r w:rsidRPr="00573F8E">
          <w:rPr>
            <w:rStyle w:val="Hyperlink"/>
            <w:rFonts w:ascii="Verdana" w:hAnsi="Verdana"/>
            <w:sz w:val="18"/>
            <w:szCs w:val="18"/>
          </w:rPr>
          <w:t>sdemetri</w:t>
        </w:r>
        <w:r w:rsidRPr="00573F8E">
          <w:rPr>
            <w:rStyle w:val="Hyperlink"/>
            <w:rFonts w:ascii="Verdana" w:eastAsia="Malgun Gothic" w:hAnsi="Verdana" w:cs="Arial"/>
            <w:sz w:val="18"/>
            <w:szCs w:val="18"/>
          </w:rPr>
          <w:t>ou</w:t>
        </w:r>
        <w:r w:rsidRPr="00573F8E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61AE0C0D" w14:textId="6D1142DC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3A167D2E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CD2156" w14:textId="578488A1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27A5EA9" w14:textId="7B8E2885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B58030" w14:textId="29036D4F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852833" w14:textId="2663DE5B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561AE1" w14:textId="62521110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657F2A" w14:textId="2DCC1466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3751FE" w14:textId="77777777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412D1A" w:rsidSect="007E1AE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9E00" w14:textId="77777777" w:rsidR="00C95CDB" w:rsidRDefault="00C95CDB" w:rsidP="00FB398F">
      <w:r>
        <w:separator/>
      </w:r>
    </w:p>
  </w:endnote>
  <w:endnote w:type="continuationSeparator" w:id="0">
    <w:p w14:paraId="7561AC76" w14:textId="77777777" w:rsidR="00C95CDB" w:rsidRDefault="00C95CDB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.:  22 602129,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573F8E">
      <w:rPr>
        <w:lang w:val="el-GR"/>
      </w:rPr>
      <w:instrText xml:space="preserve"> "</w:instrText>
    </w:r>
    <w:r w:rsidR="00000000">
      <w:instrText>mailto</w:instrText>
    </w:r>
    <w:r w:rsidR="00000000" w:rsidRPr="00573F8E">
      <w:rPr>
        <w:lang w:val="el-GR"/>
      </w:rPr>
      <w:instrText>:</w:instrText>
    </w:r>
    <w:r w:rsidR="00000000">
      <w:instrText>enquiries</w:instrText>
    </w:r>
    <w:r w:rsidR="00000000" w:rsidRPr="00573F8E">
      <w:rPr>
        <w:lang w:val="el-GR"/>
      </w:rPr>
      <w:instrText>@</w:instrText>
    </w:r>
    <w:r w:rsidR="00000000">
      <w:instrText>cystat</w:instrText>
    </w:r>
    <w:r w:rsidR="00000000" w:rsidRPr="00573F8E">
      <w:rPr>
        <w:lang w:val="el-GR"/>
      </w:rPr>
      <w:instrText>.</w:instrText>
    </w:r>
    <w:r w:rsidR="00000000">
      <w:instrText>mof</w:instrText>
    </w:r>
    <w:r w:rsidR="00000000" w:rsidRPr="00573F8E">
      <w:rPr>
        <w:lang w:val="el-GR"/>
      </w:rPr>
      <w:instrText>.</w:instrText>
    </w:r>
    <w:r w:rsidR="00000000">
      <w:instrText>gov</w:instrText>
    </w:r>
    <w:r w:rsidR="00000000" w:rsidRPr="00573F8E">
      <w:rPr>
        <w:lang w:val="el-GR"/>
      </w:rPr>
      <w:instrText>.</w:instrText>
    </w:r>
    <w:r w:rsidR="00000000">
      <w:instrText>cy</w:instrText>
    </w:r>
    <w:r w:rsidR="00000000" w:rsidRPr="00573F8E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7FEB" w14:textId="77777777" w:rsidR="00C95CDB" w:rsidRDefault="00C95CDB" w:rsidP="00FB398F">
      <w:r>
        <w:separator/>
      </w:r>
    </w:p>
  </w:footnote>
  <w:footnote w:type="continuationSeparator" w:id="0">
    <w:p w14:paraId="4E1EDDBB" w14:textId="77777777" w:rsidR="00C95CDB" w:rsidRDefault="00C95CDB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2D1A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F8E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5CDB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12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ystat.gov.cy/el/MethodologicalDetails?m=21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KeyFiguresList?s=4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National%20Accounts_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ystat.gov.cy/el/SubthemeStatistics?s=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demetriou@cystat.mof.gov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3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</cp:revision>
  <cp:lastPrinted>2016-09-28T08:22:00Z</cp:lastPrinted>
  <dcterms:created xsi:type="dcterms:W3CDTF">2022-06-09T08:07:00Z</dcterms:created>
  <dcterms:modified xsi:type="dcterms:W3CDTF">2023-03-06T11:50:00Z</dcterms:modified>
</cp:coreProperties>
</file>