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314E" w14:textId="77777777" w:rsidR="00BB7EC0" w:rsidRPr="00045BEE" w:rsidRDefault="0023237B" w:rsidP="00FD381E">
      <w:pPr>
        <w:tabs>
          <w:tab w:val="left" w:pos="1080"/>
          <w:tab w:val="left" w:pos="7088"/>
        </w:tabs>
        <w:ind w:right="57"/>
        <w:jc w:val="both"/>
        <w:rPr>
          <w:rFonts w:ascii="Verdana" w:hAnsi="Verdana" w:cs="Arial"/>
          <w:sz w:val="18"/>
          <w:szCs w:val="18"/>
          <w:lang w:val="el-GR"/>
        </w:rPr>
      </w:pPr>
      <w:r w:rsidRPr="00EE2DCB">
        <w:rPr>
          <w:rFonts w:ascii="Verdana" w:hAnsi="Verdana" w:cs="Arial"/>
          <w:sz w:val="18"/>
          <w:szCs w:val="18"/>
          <w:lang w:val="el-GR"/>
        </w:rPr>
        <w:t xml:space="preserve">                                                                                                           </w:t>
      </w:r>
      <w:r w:rsidR="007D4956">
        <w:rPr>
          <w:rFonts w:ascii="Verdana" w:hAnsi="Verdana" w:cs="Arial"/>
          <w:sz w:val="18"/>
          <w:szCs w:val="18"/>
          <w:lang w:val="el-GR"/>
        </w:rPr>
        <w:t xml:space="preserve">      </w:t>
      </w:r>
    </w:p>
    <w:p w14:paraId="3FABAA8F" w14:textId="77777777" w:rsidR="00BB7EC0" w:rsidRPr="00045BEE" w:rsidRDefault="00BB7EC0" w:rsidP="00FD381E">
      <w:pPr>
        <w:tabs>
          <w:tab w:val="left" w:pos="1080"/>
          <w:tab w:val="left" w:pos="7088"/>
        </w:tabs>
        <w:ind w:right="57"/>
        <w:jc w:val="both"/>
        <w:rPr>
          <w:rFonts w:ascii="Verdana" w:hAnsi="Verdana" w:cs="Arial"/>
          <w:sz w:val="18"/>
          <w:szCs w:val="18"/>
          <w:lang w:val="el-GR"/>
        </w:rPr>
      </w:pPr>
    </w:p>
    <w:p w14:paraId="465EF4F7" w14:textId="1091D9DE" w:rsidR="00D966DB" w:rsidRPr="00AC6A35" w:rsidRDefault="00E6170B" w:rsidP="00D966DB">
      <w:pPr>
        <w:jc w:val="right"/>
        <w:rPr>
          <w:rFonts w:ascii="Verdana" w:eastAsia="Malgun Gothic" w:hAnsi="Verdana" w:cs="Arial"/>
          <w:sz w:val="18"/>
          <w:szCs w:val="18"/>
          <w:lang w:val="el-GR"/>
        </w:rPr>
      </w:pPr>
      <w:r w:rsidRPr="00AC6A35">
        <w:rPr>
          <w:rFonts w:ascii="Verdana" w:hAnsi="Verdana" w:cs="Arial"/>
          <w:sz w:val="18"/>
          <w:szCs w:val="18"/>
          <w:lang w:val="el-GR"/>
        </w:rPr>
        <w:t>9</w:t>
      </w:r>
      <w:r w:rsidR="00D966DB" w:rsidRPr="00AC6A35">
        <w:rPr>
          <w:rFonts w:ascii="Verdana" w:hAnsi="Verdana" w:cs="Arial"/>
          <w:sz w:val="18"/>
          <w:szCs w:val="18"/>
          <w:lang w:val="el-GR"/>
        </w:rPr>
        <w:t xml:space="preserve"> </w:t>
      </w:r>
      <w:r w:rsidRPr="00AC6A35">
        <w:rPr>
          <w:rFonts w:ascii="Verdana" w:hAnsi="Verdana" w:cs="Arial"/>
          <w:sz w:val="18"/>
          <w:szCs w:val="18"/>
          <w:lang w:val="el-GR"/>
        </w:rPr>
        <w:t>Δεκεμβρίου</w:t>
      </w:r>
      <w:r w:rsidR="00D966DB" w:rsidRPr="00AC6A35">
        <w:rPr>
          <w:rFonts w:ascii="Verdana" w:eastAsia="Malgun Gothic" w:hAnsi="Verdana" w:cs="Arial"/>
          <w:sz w:val="18"/>
          <w:szCs w:val="18"/>
          <w:lang w:val="el-GR"/>
        </w:rPr>
        <w:t>, 2025</w:t>
      </w:r>
    </w:p>
    <w:p w14:paraId="43E87189" w14:textId="77777777" w:rsidR="00D966DB" w:rsidRDefault="00D966DB" w:rsidP="00D966DB">
      <w:pPr>
        <w:jc w:val="right"/>
        <w:rPr>
          <w:rFonts w:ascii="Verdana" w:eastAsia="Malgun Gothic" w:hAnsi="Verdana" w:cs="Arial"/>
          <w:sz w:val="18"/>
          <w:szCs w:val="18"/>
          <w:lang w:val="el-GR"/>
        </w:rPr>
      </w:pPr>
    </w:p>
    <w:p w14:paraId="261C8DE8" w14:textId="77777777" w:rsidR="00D966DB" w:rsidRPr="00E428AE" w:rsidRDefault="00D966DB" w:rsidP="00D966DB">
      <w:pPr>
        <w:jc w:val="right"/>
        <w:rPr>
          <w:rFonts w:ascii="Verdana" w:eastAsia="Malgun Gothic" w:hAnsi="Verdana" w:cs="Arial"/>
          <w:sz w:val="18"/>
          <w:szCs w:val="18"/>
          <w:lang w:val="el-GR"/>
        </w:rPr>
      </w:pPr>
    </w:p>
    <w:p w14:paraId="307CC810" w14:textId="77777777" w:rsidR="00D966DB" w:rsidRPr="00E428AE" w:rsidRDefault="00D966DB" w:rsidP="00D966DB">
      <w:pPr>
        <w:jc w:val="center"/>
        <w:rPr>
          <w:rFonts w:ascii="Verdana" w:eastAsia="Malgun Gothic" w:hAnsi="Verdana" w:cs="Arial"/>
          <w:b/>
          <w:sz w:val="24"/>
          <w:szCs w:val="24"/>
          <w:lang w:val="el-GR"/>
        </w:rPr>
      </w:pPr>
      <w:r w:rsidRPr="00E428AE">
        <w:rPr>
          <w:rFonts w:ascii="Verdana" w:eastAsia="Malgun Gothic" w:hAnsi="Verdana" w:cs="Arial"/>
          <w:b/>
          <w:sz w:val="24"/>
          <w:szCs w:val="24"/>
          <w:lang w:val="el-GR"/>
        </w:rPr>
        <w:t>ΔΕΛΤΙΟ ΤΥΠΟΥ</w:t>
      </w:r>
    </w:p>
    <w:p w14:paraId="3E13CBEE" w14:textId="77777777" w:rsidR="00D966DB" w:rsidRPr="009C3ECD" w:rsidRDefault="00D966DB" w:rsidP="00D966DB">
      <w:pPr>
        <w:rPr>
          <w:rFonts w:ascii="Verdana" w:eastAsia="Malgun Gothic" w:hAnsi="Verdana" w:cs="Arial"/>
          <w:lang w:val="el-GR"/>
        </w:rPr>
      </w:pPr>
    </w:p>
    <w:p w14:paraId="5BAD18B8" w14:textId="2BD7078F" w:rsidR="00DE0CF0" w:rsidRPr="00987578" w:rsidRDefault="00D966DB" w:rsidP="00D966DB">
      <w:pPr>
        <w:keepNext/>
        <w:tabs>
          <w:tab w:val="left" w:pos="6840"/>
        </w:tabs>
        <w:jc w:val="center"/>
        <w:outlineLvl w:val="5"/>
        <w:rPr>
          <w:rFonts w:ascii="Verdana" w:eastAsia="Malgun Gothic" w:hAnsi="Verdana" w:cs="Arial"/>
          <w:b/>
          <w:u w:val="single"/>
          <w:lang w:val="el-GR"/>
        </w:rPr>
      </w:pPr>
      <w:r w:rsidRPr="00E428AE">
        <w:rPr>
          <w:rFonts w:ascii="Verdana" w:eastAsia="Malgun Gothic" w:hAnsi="Verdana" w:cs="Arial"/>
          <w:b/>
          <w:u w:val="single"/>
          <w:lang w:val="el-GR"/>
        </w:rPr>
        <w:t xml:space="preserve">ΑΠΟΤΕΛΕΣΜΑΤΑ </w:t>
      </w:r>
      <w:r w:rsidR="00444076">
        <w:rPr>
          <w:rFonts w:ascii="Verdana" w:eastAsia="Malgun Gothic" w:hAnsi="Verdana" w:cs="Arial"/>
          <w:b/>
          <w:u w:val="single"/>
          <w:lang w:val="el-GR"/>
        </w:rPr>
        <w:t xml:space="preserve">ΤΗΣ </w:t>
      </w:r>
      <w:r w:rsidRPr="00AC6942">
        <w:rPr>
          <w:rFonts w:ascii="Verdana" w:eastAsia="Malgun Gothic" w:hAnsi="Verdana" w:cs="Arial"/>
          <w:b/>
          <w:u w:val="single"/>
          <w:lang w:val="el-GR"/>
        </w:rPr>
        <w:t>ΕΡΕΥΝΑ</w:t>
      </w:r>
      <w:r>
        <w:rPr>
          <w:rFonts w:ascii="Verdana" w:eastAsia="Malgun Gothic" w:hAnsi="Verdana" w:cs="Arial"/>
          <w:b/>
          <w:u w:val="single"/>
          <w:lang w:val="el-GR"/>
        </w:rPr>
        <w:t>Σ</w:t>
      </w:r>
      <w:r w:rsidRPr="00AC6942">
        <w:rPr>
          <w:rFonts w:ascii="Verdana" w:eastAsia="Malgun Gothic" w:hAnsi="Verdana" w:cs="Arial"/>
          <w:b/>
          <w:u w:val="single"/>
          <w:lang w:val="el-GR"/>
        </w:rPr>
        <w:t xml:space="preserve"> ΔΙΑΡΘΡΩΣΗΣ</w:t>
      </w:r>
      <w:r w:rsidRPr="00E428AE">
        <w:rPr>
          <w:rFonts w:ascii="Verdana" w:eastAsia="Malgun Gothic" w:hAnsi="Verdana" w:cs="Arial"/>
          <w:b/>
          <w:u w:val="single"/>
          <w:lang w:val="el-GR"/>
        </w:rPr>
        <w:t xml:space="preserve"> ΓΕΩΡΓΙΚΩΝ ΚΑΙ </w:t>
      </w:r>
    </w:p>
    <w:p w14:paraId="18833331" w14:textId="0C455A7D" w:rsidR="00D966DB" w:rsidRPr="00E428AE" w:rsidRDefault="00D966DB" w:rsidP="00D966DB">
      <w:pPr>
        <w:keepNext/>
        <w:tabs>
          <w:tab w:val="left" w:pos="6840"/>
        </w:tabs>
        <w:jc w:val="center"/>
        <w:outlineLvl w:val="5"/>
        <w:rPr>
          <w:rFonts w:ascii="Verdana" w:eastAsia="Malgun Gothic" w:hAnsi="Verdana" w:cs="Arial"/>
          <w:b/>
          <w:u w:val="single"/>
          <w:lang w:val="el-GR"/>
        </w:rPr>
      </w:pPr>
      <w:r w:rsidRPr="00E428AE">
        <w:rPr>
          <w:rFonts w:ascii="Verdana" w:eastAsia="Malgun Gothic" w:hAnsi="Verdana" w:cs="Arial"/>
          <w:b/>
          <w:u w:val="single"/>
          <w:lang w:val="el-GR"/>
        </w:rPr>
        <w:t>ΚΤΗΝΟΤΡΟΦΙΚΩΝ ΕΚΜΕΤΑΛΛΕΥΣΕΩΝ 202</w:t>
      </w:r>
      <w:r>
        <w:rPr>
          <w:rFonts w:ascii="Verdana" w:eastAsia="Malgun Gothic" w:hAnsi="Verdana" w:cs="Arial"/>
          <w:b/>
          <w:u w:val="single"/>
          <w:lang w:val="el-GR"/>
        </w:rPr>
        <w:t>3</w:t>
      </w:r>
    </w:p>
    <w:p w14:paraId="7C4FAE72" w14:textId="77777777" w:rsidR="00D966DB" w:rsidRPr="009C3ECD" w:rsidRDefault="00D966DB" w:rsidP="00D966DB">
      <w:pPr>
        <w:jc w:val="both"/>
        <w:rPr>
          <w:rFonts w:ascii="Verdana" w:hAnsi="Verdana"/>
          <w:b/>
          <w:bCs/>
          <w:lang w:val="el-GR"/>
        </w:rPr>
      </w:pPr>
    </w:p>
    <w:p w14:paraId="17E44ED7" w14:textId="77777777" w:rsidR="00D966DB" w:rsidRDefault="00D966DB" w:rsidP="00D966DB">
      <w:pPr>
        <w:jc w:val="both"/>
        <w:rPr>
          <w:rFonts w:ascii="Verdana" w:hAnsi="Verdana" w:cs="Calibri"/>
          <w:sz w:val="18"/>
          <w:szCs w:val="18"/>
          <w:lang w:val="el-GR"/>
        </w:rPr>
      </w:pPr>
      <w:r w:rsidRPr="00E428AE">
        <w:rPr>
          <w:rFonts w:ascii="Verdana" w:hAnsi="Verdana" w:cs="Calibri"/>
          <w:sz w:val="18"/>
          <w:szCs w:val="18"/>
          <w:lang w:val="el-GR"/>
        </w:rPr>
        <w:t xml:space="preserve">Η Στατιστική Υπηρεσία ανακοινώνει τα αποτελέσματα της </w:t>
      </w:r>
      <w:r>
        <w:rPr>
          <w:rFonts w:ascii="Verdana" w:hAnsi="Verdana" w:cs="Calibri"/>
          <w:sz w:val="18"/>
          <w:szCs w:val="18"/>
          <w:lang w:val="el-GR"/>
        </w:rPr>
        <w:t xml:space="preserve">Έρευνας Διάρθρωσης </w:t>
      </w:r>
      <w:r w:rsidRPr="00E428AE">
        <w:rPr>
          <w:rFonts w:ascii="Verdana" w:hAnsi="Verdana" w:cs="Calibri"/>
          <w:sz w:val="18"/>
          <w:szCs w:val="18"/>
          <w:lang w:val="el-GR"/>
        </w:rPr>
        <w:t>Γεωργικών και Κτηνοτροφικών Εκμεταλλεύσεων 202</w:t>
      </w:r>
      <w:r>
        <w:rPr>
          <w:rFonts w:ascii="Verdana" w:hAnsi="Verdana" w:cs="Calibri"/>
          <w:sz w:val="18"/>
          <w:szCs w:val="18"/>
          <w:lang w:val="el-GR"/>
        </w:rPr>
        <w:t>3</w:t>
      </w:r>
      <w:r w:rsidRPr="00E428AE">
        <w:rPr>
          <w:rFonts w:ascii="Verdana" w:hAnsi="Verdana" w:cs="Calibri"/>
          <w:sz w:val="18"/>
          <w:szCs w:val="18"/>
          <w:lang w:val="el-GR"/>
        </w:rPr>
        <w:t xml:space="preserve">. </w:t>
      </w:r>
    </w:p>
    <w:p w14:paraId="2CB158A9" w14:textId="77777777" w:rsidR="00D966DB" w:rsidRDefault="00D966DB" w:rsidP="00D966DB">
      <w:pPr>
        <w:jc w:val="both"/>
        <w:rPr>
          <w:rFonts w:ascii="Verdana" w:hAnsi="Verdana" w:cs="Calibri"/>
          <w:sz w:val="18"/>
          <w:szCs w:val="18"/>
          <w:lang w:val="el-GR"/>
        </w:rPr>
      </w:pPr>
    </w:p>
    <w:p w14:paraId="2AA31AF8" w14:textId="77777777" w:rsidR="00D966DB" w:rsidRPr="00E428AE" w:rsidRDefault="00D966DB" w:rsidP="00D966DB">
      <w:pPr>
        <w:tabs>
          <w:tab w:val="left" w:pos="324"/>
        </w:tabs>
        <w:rPr>
          <w:rFonts w:ascii="Verdana" w:hAnsi="Verdana" w:cs="Calibri"/>
          <w:b/>
          <w:sz w:val="18"/>
          <w:szCs w:val="18"/>
          <w:u w:val="single"/>
          <w:lang w:val="el-GR"/>
        </w:rPr>
      </w:pPr>
      <w:r w:rsidRPr="00E428AE">
        <w:rPr>
          <w:rFonts w:ascii="Verdana" w:hAnsi="Verdana" w:cs="Calibri"/>
          <w:b/>
          <w:sz w:val="18"/>
          <w:szCs w:val="18"/>
          <w:u w:val="single"/>
          <w:lang w:val="el-GR"/>
        </w:rPr>
        <w:t>Εκμεταλλεύσεις και Γεωργική Έκταση</w:t>
      </w:r>
    </w:p>
    <w:p w14:paraId="4E4E7230" w14:textId="77777777" w:rsidR="00D966DB" w:rsidRPr="00E428AE" w:rsidRDefault="00D966DB" w:rsidP="00D966DB">
      <w:pPr>
        <w:jc w:val="both"/>
        <w:rPr>
          <w:rFonts w:ascii="Verdana" w:hAnsi="Verdana" w:cs="Calibri"/>
          <w:sz w:val="18"/>
          <w:szCs w:val="18"/>
          <w:lang w:val="el-GR"/>
        </w:rPr>
      </w:pPr>
    </w:p>
    <w:p w14:paraId="327F69F7" w14:textId="77777777" w:rsidR="00D966DB" w:rsidRPr="00E428AE" w:rsidRDefault="00D966DB" w:rsidP="00D966DB">
      <w:pPr>
        <w:jc w:val="both"/>
        <w:rPr>
          <w:rFonts w:ascii="Verdana" w:hAnsi="Verdana" w:cs="Calibri"/>
          <w:sz w:val="18"/>
          <w:szCs w:val="18"/>
          <w:lang w:val="el-GR"/>
        </w:rPr>
      </w:pPr>
      <w:bookmarkStart w:id="0" w:name="_Hlk212796203"/>
      <w:r w:rsidRPr="00E428AE">
        <w:rPr>
          <w:rFonts w:ascii="Verdana" w:hAnsi="Verdana" w:cs="Calibri"/>
          <w:sz w:val="18"/>
          <w:szCs w:val="18"/>
          <w:lang w:val="el-GR"/>
        </w:rPr>
        <w:t xml:space="preserve">Ο συνολικός αριθμός των εκμεταλλεύσεων που καταγράφηκαν στην </w:t>
      </w:r>
      <w:r>
        <w:rPr>
          <w:rFonts w:ascii="Verdana" w:hAnsi="Verdana" w:cs="Calibri"/>
          <w:sz w:val="18"/>
          <w:szCs w:val="18"/>
          <w:lang w:val="el-GR"/>
        </w:rPr>
        <w:t xml:space="preserve">Έρευνα </w:t>
      </w:r>
      <w:r w:rsidRPr="00E428AE">
        <w:rPr>
          <w:rFonts w:ascii="Verdana" w:hAnsi="Verdana" w:cs="Calibri"/>
          <w:sz w:val="18"/>
          <w:szCs w:val="18"/>
          <w:lang w:val="el-GR"/>
        </w:rPr>
        <w:t>του 202</w:t>
      </w:r>
      <w:r>
        <w:rPr>
          <w:rFonts w:ascii="Verdana" w:hAnsi="Verdana" w:cs="Calibri"/>
          <w:sz w:val="18"/>
          <w:szCs w:val="18"/>
          <w:lang w:val="el-GR"/>
        </w:rPr>
        <w:t>3</w:t>
      </w:r>
      <w:r w:rsidRPr="00E428AE">
        <w:rPr>
          <w:rFonts w:ascii="Verdana" w:hAnsi="Verdana" w:cs="Calibri"/>
          <w:sz w:val="18"/>
          <w:szCs w:val="18"/>
          <w:lang w:val="el-GR"/>
        </w:rPr>
        <w:t xml:space="preserve"> ήταν 3</w:t>
      </w:r>
      <w:r>
        <w:rPr>
          <w:rFonts w:ascii="Verdana" w:hAnsi="Verdana" w:cs="Calibri"/>
          <w:sz w:val="18"/>
          <w:szCs w:val="18"/>
          <w:lang w:val="el-GR"/>
        </w:rPr>
        <w:t>2</w:t>
      </w:r>
      <w:r w:rsidRPr="00E428AE">
        <w:rPr>
          <w:rFonts w:ascii="Verdana" w:hAnsi="Verdana" w:cs="Calibri"/>
          <w:sz w:val="18"/>
          <w:szCs w:val="18"/>
          <w:lang w:val="el-GR"/>
        </w:rPr>
        <w:t>.0</w:t>
      </w:r>
      <w:r>
        <w:rPr>
          <w:rFonts w:ascii="Verdana" w:hAnsi="Verdana" w:cs="Calibri"/>
          <w:sz w:val="18"/>
          <w:szCs w:val="18"/>
          <w:lang w:val="el-GR"/>
        </w:rPr>
        <w:t>23</w:t>
      </w:r>
      <w:r w:rsidRPr="00E428AE">
        <w:rPr>
          <w:rFonts w:ascii="Verdana" w:hAnsi="Verdana" w:cs="Calibri"/>
          <w:sz w:val="18"/>
          <w:szCs w:val="18"/>
          <w:lang w:val="el-GR"/>
        </w:rPr>
        <w:t xml:space="preserve">, σημειώνοντας μείωση </w:t>
      </w:r>
      <w:r>
        <w:rPr>
          <w:rFonts w:ascii="Verdana" w:hAnsi="Verdana" w:cs="Calibri"/>
          <w:sz w:val="18"/>
          <w:szCs w:val="18"/>
          <w:lang w:val="el-GR"/>
        </w:rPr>
        <w:t>5</w:t>
      </w:r>
      <w:r w:rsidRPr="00E428AE">
        <w:rPr>
          <w:rFonts w:ascii="Verdana" w:hAnsi="Verdana" w:cs="Calibri"/>
          <w:sz w:val="18"/>
          <w:szCs w:val="18"/>
          <w:lang w:val="el-GR"/>
        </w:rPr>
        <w:t>,</w:t>
      </w:r>
      <w:r>
        <w:rPr>
          <w:rFonts w:ascii="Verdana" w:hAnsi="Verdana" w:cs="Calibri"/>
          <w:sz w:val="18"/>
          <w:szCs w:val="18"/>
          <w:lang w:val="el-GR"/>
        </w:rPr>
        <w:t>9</w:t>
      </w:r>
      <w:r w:rsidRPr="00E428AE">
        <w:rPr>
          <w:rFonts w:ascii="Verdana" w:hAnsi="Verdana" w:cs="Calibri"/>
          <w:sz w:val="18"/>
          <w:szCs w:val="18"/>
          <w:lang w:val="el-GR"/>
        </w:rPr>
        <w:t>% σε σύγκριση με την Απογραφή του 20</w:t>
      </w:r>
      <w:r>
        <w:rPr>
          <w:rFonts w:ascii="Verdana" w:hAnsi="Verdana" w:cs="Calibri"/>
          <w:sz w:val="18"/>
          <w:szCs w:val="18"/>
          <w:lang w:val="el-GR"/>
        </w:rPr>
        <w:t>2</w:t>
      </w:r>
      <w:r w:rsidRPr="00E428AE">
        <w:rPr>
          <w:rFonts w:ascii="Verdana" w:hAnsi="Verdana" w:cs="Calibri"/>
          <w:sz w:val="18"/>
          <w:szCs w:val="18"/>
          <w:lang w:val="el-GR"/>
        </w:rPr>
        <w:t xml:space="preserve">0. </w:t>
      </w:r>
    </w:p>
    <w:p w14:paraId="5D10E9FE" w14:textId="77777777" w:rsidR="00D966DB" w:rsidRPr="00E428AE" w:rsidRDefault="00D966DB" w:rsidP="00D966DB">
      <w:pPr>
        <w:jc w:val="both"/>
        <w:rPr>
          <w:rFonts w:ascii="Verdana" w:hAnsi="Verdana" w:cs="Calibri"/>
          <w:sz w:val="18"/>
          <w:szCs w:val="18"/>
          <w:lang w:val="el-GR"/>
        </w:rPr>
      </w:pPr>
    </w:p>
    <w:p w14:paraId="6CED9721" w14:textId="7BE43A4C" w:rsidR="00D966DB" w:rsidRPr="00E428AE" w:rsidRDefault="00D966DB" w:rsidP="00D966DB">
      <w:pPr>
        <w:jc w:val="both"/>
        <w:rPr>
          <w:rFonts w:ascii="Verdana" w:hAnsi="Verdana"/>
          <w:sz w:val="18"/>
          <w:szCs w:val="18"/>
          <w:lang w:val="el-GR"/>
        </w:rPr>
      </w:pPr>
      <w:r w:rsidRPr="00E428AE">
        <w:rPr>
          <w:rFonts w:ascii="Verdana" w:hAnsi="Verdana" w:cs="Calibri"/>
          <w:sz w:val="18"/>
          <w:szCs w:val="18"/>
          <w:lang w:val="el-GR"/>
        </w:rPr>
        <w:t>Η συνολική γεωργική έκταση το 202</w:t>
      </w:r>
      <w:r>
        <w:rPr>
          <w:rFonts w:ascii="Verdana" w:hAnsi="Verdana" w:cs="Calibri"/>
          <w:sz w:val="18"/>
          <w:szCs w:val="18"/>
          <w:lang w:val="el-GR"/>
        </w:rPr>
        <w:t>3</w:t>
      </w:r>
      <w:r w:rsidRPr="00E428AE">
        <w:rPr>
          <w:rFonts w:ascii="Verdana" w:hAnsi="Verdana" w:cs="Calibri"/>
          <w:sz w:val="18"/>
          <w:szCs w:val="18"/>
          <w:lang w:val="el-GR"/>
        </w:rPr>
        <w:t xml:space="preserve"> ήταν </w:t>
      </w:r>
      <w:r w:rsidRPr="00A5457F">
        <w:rPr>
          <w:rFonts w:ascii="Verdana" w:hAnsi="Verdana" w:cs="Calibri"/>
          <w:sz w:val="18"/>
          <w:szCs w:val="18"/>
          <w:lang w:val="el-GR"/>
        </w:rPr>
        <w:t>1</w:t>
      </w:r>
      <w:r>
        <w:rPr>
          <w:rFonts w:ascii="Verdana" w:hAnsi="Verdana" w:cs="Calibri"/>
          <w:sz w:val="18"/>
          <w:szCs w:val="18"/>
          <w:lang w:val="el-GR"/>
        </w:rPr>
        <w:t>.</w:t>
      </w:r>
      <w:r w:rsidRPr="00A5457F">
        <w:rPr>
          <w:rFonts w:ascii="Verdana" w:hAnsi="Verdana" w:cs="Calibri"/>
          <w:sz w:val="18"/>
          <w:szCs w:val="18"/>
          <w:lang w:val="el-GR"/>
        </w:rPr>
        <w:t>413</w:t>
      </w:r>
      <w:r>
        <w:rPr>
          <w:rFonts w:ascii="Verdana" w:hAnsi="Verdana" w:cs="Calibri"/>
          <w:sz w:val="18"/>
          <w:szCs w:val="18"/>
          <w:lang w:val="el-GR"/>
        </w:rPr>
        <w:t>.</w:t>
      </w:r>
      <w:r w:rsidRPr="00A5457F">
        <w:rPr>
          <w:rFonts w:ascii="Verdana" w:hAnsi="Verdana" w:cs="Calibri"/>
          <w:sz w:val="18"/>
          <w:szCs w:val="18"/>
          <w:lang w:val="el-GR"/>
        </w:rPr>
        <w:t>590</w:t>
      </w:r>
      <w:r w:rsidRPr="00E428AE">
        <w:rPr>
          <w:rFonts w:ascii="Verdana" w:hAnsi="Verdana" w:cs="Calibri"/>
          <w:sz w:val="18"/>
          <w:szCs w:val="18"/>
          <w:lang w:val="el-GR"/>
        </w:rPr>
        <w:t xml:space="preserve"> δεκάρια, παρουσιάζοντας </w:t>
      </w:r>
      <w:r>
        <w:rPr>
          <w:rFonts w:ascii="Verdana" w:hAnsi="Verdana" w:cs="Calibri"/>
          <w:sz w:val="18"/>
          <w:szCs w:val="18"/>
          <w:lang w:val="el-GR"/>
        </w:rPr>
        <w:t xml:space="preserve">μείωση </w:t>
      </w:r>
      <w:r w:rsidRPr="00E428AE">
        <w:rPr>
          <w:rFonts w:ascii="Verdana" w:hAnsi="Verdana" w:cs="Calibri"/>
          <w:sz w:val="18"/>
          <w:szCs w:val="18"/>
          <w:lang w:val="el-GR"/>
        </w:rPr>
        <w:t xml:space="preserve">της τάξης του </w:t>
      </w:r>
      <w:r>
        <w:rPr>
          <w:rFonts w:ascii="Verdana" w:hAnsi="Verdana" w:cs="Calibri"/>
          <w:sz w:val="18"/>
          <w:szCs w:val="18"/>
          <w:lang w:val="el-GR"/>
        </w:rPr>
        <w:t>3</w:t>
      </w:r>
      <w:r w:rsidRPr="00E428AE">
        <w:rPr>
          <w:rFonts w:ascii="Verdana" w:hAnsi="Verdana" w:cs="Calibri"/>
          <w:sz w:val="18"/>
          <w:szCs w:val="18"/>
          <w:lang w:val="el-GR"/>
        </w:rPr>
        <w:t>,</w:t>
      </w:r>
      <w:r>
        <w:rPr>
          <w:rFonts w:ascii="Verdana" w:hAnsi="Verdana" w:cs="Calibri"/>
          <w:sz w:val="18"/>
          <w:szCs w:val="18"/>
          <w:lang w:val="el-GR"/>
        </w:rPr>
        <w:t>4</w:t>
      </w:r>
      <w:r w:rsidRPr="00E428AE">
        <w:rPr>
          <w:rFonts w:ascii="Verdana" w:hAnsi="Verdana" w:cs="Calibri"/>
          <w:sz w:val="18"/>
          <w:szCs w:val="18"/>
          <w:lang w:val="el-GR"/>
        </w:rPr>
        <w:t>% σε σχέση με το 20</w:t>
      </w:r>
      <w:r>
        <w:rPr>
          <w:rFonts w:ascii="Verdana" w:hAnsi="Verdana" w:cs="Calibri"/>
          <w:sz w:val="18"/>
          <w:szCs w:val="18"/>
          <w:lang w:val="el-GR"/>
        </w:rPr>
        <w:t>2</w:t>
      </w:r>
      <w:r w:rsidRPr="00E428AE">
        <w:rPr>
          <w:rFonts w:ascii="Verdana" w:hAnsi="Verdana" w:cs="Calibri"/>
          <w:sz w:val="18"/>
          <w:szCs w:val="18"/>
          <w:lang w:val="el-GR"/>
        </w:rPr>
        <w:t xml:space="preserve">0. Από αυτήν, τα </w:t>
      </w:r>
      <w:r w:rsidRPr="00A5457F">
        <w:rPr>
          <w:rFonts w:ascii="Verdana" w:hAnsi="Verdana" w:cs="Calibri"/>
          <w:sz w:val="18"/>
          <w:szCs w:val="18"/>
          <w:lang w:val="el-GR"/>
        </w:rPr>
        <w:t>1</w:t>
      </w:r>
      <w:r>
        <w:rPr>
          <w:rFonts w:ascii="Verdana" w:hAnsi="Verdana" w:cs="Calibri"/>
          <w:sz w:val="18"/>
          <w:szCs w:val="18"/>
          <w:lang w:val="el-GR"/>
        </w:rPr>
        <w:t>.</w:t>
      </w:r>
      <w:r w:rsidRPr="00A5457F">
        <w:rPr>
          <w:rFonts w:ascii="Verdana" w:hAnsi="Verdana" w:cs="Calibri"/>
          <w:sz w:val="18"/>
          <w:szCs w:val="18"/>
          <w:lang w:val="el-GR"/>
        </w:rPr>
        <w:t>298</w:t>
      </w:r>
      <w:r>
        <w:rPr>
          <w:rFonts w:ascii="Verdana" w:hAnsi="Verdana" w:cs="Calibri"/>
          <w:sz w:val="18"/>
          <w:szCs w:val="18"/>
          <w:lang w:val="el-GR"/>
        </w:rPr>
        <w:t>.</w:t>
      </w:r>
      <w:r w:rsidRPr="00A5457F">
        <w:rPr>
          <w:rFonts w:ascii="Verdana" w:hAnsi="Verdana" w:cs="Calibri"/>
          <w:sz w:val="18"/>
          <w:szCs w:val="18"/>
          <w:lang w:val="el-GR"/>
        </w:rPr>
        <w:t>470</w:t>
      </w:r>
      <w:r w:rsidRPr="00E428AE">
        <w:rPr>
          <w:rFonts w:ascii="Verdana" w:hAnsi="Verdana" w:cs="Calibri"/>
          <w:sz w:val="18"/>
          <w:szCs w:val="18"/>
          <w:lang w:val="el-GR"/>
        </w:rPr>
        <w:t xml:space="preserve"> δεκάρια ήταν χρησιμοποιούμενη γεωργική έκταση (</w:t>
      </w:r>
      <w:r w:rsidR="00DE0CF0" w:rsidRPr="00DE0CF0">
        <w:rPr>
          <w:rFonts w:ascii="Verdana" w:hAnsi="Verdana" w:cs="Calibri"/>
          <w:sz w:val="18"/>
          <w:szCs w:val="18"/>
          <w:lang w:val="el-GR"/>
        </w:rPr>
        <w:t>-</w:t>
      </w:r>
      <w:r w:rsidRPr="00E428AE">
        <w:rPr>
          <w:rFonts w:ascii="Verdana" w:hAnsi="Verdana" w:cs="Calibri"/>
          <w:sz w:val="18"/>
          <w:szCs w:val="18"/>
          <w:lang w:val="el-GR"/>
        </w:rPr>
        <w:t>3,</w:t>
      </w:r>
      <w:r>
        <w:rPr>
          <w:rFonts w:ascii="Verdana" w:hAnsi="Verdana" w:cs="Calibri"/>
          <w:sz w:val="18"/>
          <w:szCs w:val="18"/>
          <w:lang w:val="el-GR"/>
        </w:rPr>
        <w:t>2</w:t>
      </w:r>
      <w:r w:rsidRPr="00E428AE">
        <w:rPr>
          <w:rFonts w:ascii="Verdana" w:hAnsi="Verdana" w:cs="Calibri"/>
          <w:sz w:val="18"/>
          <w:szCs w:val="18"/>
          <w:lang w:val="el-GR"/>
        </w:rPr>
        <w:t>% σε σχέση με το 20</w:t>
      </w:r>
      <w:r>
        <w:rPr>
          <w:rFonts w:ascii="Verdana" w:hAnsi="Verdana" w:cs="Calibri"/>
          <w:sz w:val="18"/>
          <w:szCs w:val="18"/>
          <w:lang w:val="el-GR"/>
        </w:rPr>
        <w:t>2</w:t>
      </w:r>
      <w:r w:rsidRPr="00E428AE">
        <w:rPr>
          <w:rFonts w:ascii="Verdana" w:hAnsi="Verdana" w:cs="Calibri"/>
          <w:sz w:val="18"/>
          <w:szCs w:val="18"/>
          <w:lang w:val="el-GR"/>
        </w:rPr>
        <w:t xml:space="preserve">0), τα </w:t>
      </w:r>
      <w:r w:rsidRPr="00E428AE">
        <w:rPr>
          <w:rFonts w:ascii="Verdana" w:hAnsi="Verdana"/>
          <w:sz w:val="18"/>
          <w:szCs w:val="18"/>
          <w:lang w:val="el-GR"/>
        </w:rPr>
        <w:t>8</w:t>
      </w:r>
      <w:r>
        <w:rPr>
          <w:rFonts w:ascii="Verdana" w:hAnsi="Verdana"/>
          <w:sz w:val="18"/>
          <w:szCs w:val="18"/>
          <w:lang w:val="el-GR"/>
        </w:rPr>
        <w:t>0</w:t>
      </w:r>
      <w:r w:rsidRPr="00E428AE">
        <w:rPr>
          <w:rFonts w:ascii="Verdana" w:hAnsi="Verdana"/>
          <w:sz w:val="18"/>
          <w:szCs w:val="18"/>
          <w:lang w:val="el-GR"/>
        </w:rPr>
        <w:t>.</w:t>
      </w:r>
      <w:r>
        <w:rPr>
          <w:rFonts w:ascii="Verdana" w:hAnsi="Verdana"/>
          <w:sz w:val="18"/>
          <w:szCs w:val="18"/>
          <w:lang w:val="el-GR"/>
        </w:rPr>
        <w:t>701</w:t>
      </w:r>
      <w:r w:rsidRPr="00E428AE">
        <w:rPr>
          <w:rFonts w:ascii="Verdana" w:hAnsi="Verdana"/>
          <w:sz w:val="18"/>
          <w:szCs w:val="18"/>
          <w:lang w:val="el-GR"/>
        </w:rPr>
        <w:t xml:space="preserve"> δεκάρια ήταν εγκαταλελειμμένες ή ακαλλιέργητες εκτάσεις (</w:t>
      </w:r>
      <w:r w:rsidR="00DE0CF0" w:rsidRPr="00DE0CF0">
        <w:rPr>
          <w:rFonts w:ascii="Verdana" w:hAnsi="Verdana"/>
          <w:sz w:val="18"/>
          <w:szCs w:val="18"/>
          <w:lang w:val="el-GR"/>
        </w:rPr>
        <w:t>-</w:t>
      </w:r>
      <w:r w:rsidRPr="00E428AE">
        <w:rPr>
          <w:rFonts w:ascii="Verdana" w:hAnsi="Verdana"/>
          <w:sz w:val="18"/>
          <w:szCs w:val="18"/>
          <w:lang w:val="el-GR"/>
        </w:rPr>
        <w:t>3,</w:t>
      </w:r>
      <w:r>
        <w:rPr>
          <w:rFonts w:ascii="Verdana" w:hAnsi="Verdana"/>
          <w:sz w:val="18"/>
          <w:szCs w:val="18"/>
          <w:lang w:val="el-GR"/>
        </w:rPr>
        <w:t>2</w:t>
      </w:r>
      <w:r w:rsidRPr="00E428AE">
        <w:rPr>
          <w:rFonts w:ascii="Verdana" w:hAnsi="Verdana"/>
          <w:sz w:val="18"/>
          <w:szCs w:val="18"/>
          <w:lang w:val="el-GR"/>
        </w:rPr>
        <w:t xml:space="preserve">%), τα </w:t>
      </w:r>
      <w:r>
        <w:rPr>
          <w:rFonts w:ascii="Verdana" w:hAnsi="Verdana"/>
          <w:sz w:val="18"/>
          <w:szCs w:val="18"/>
          <w:lang w:val="el-GR"/>
        </w:rPr>
        <w:t>28</w:t>
      </w:r>
      <w:r w:rsidRPr="00E428AE">
        <w:rPr>
          <w:rFonts w:ascii="Verdana" w:hAnsi="Verdana"/>
          <w:sz w:val="18"/>
          <w:szCs w:val="18"/>
          <w:lang w:val="el-GR"/>
        </w:rPr>
        <w:t>.</w:t>
      </w:r>
      <w:r>
        <w:rPr>
          <w:rFonts w:ascii="Verdana" w:hAnsi="Verdana"/>
          <w:sz w:val="18"/>
          <w:szCs w:val="18"/>
          <w:lang w:val="el-GR"/>
        </w:rPr>
        <w:t>899</w:t>
      </w:r>
      <w:r w:rsidRPr="00E428AE">
        <w:rPr>
          <w:rFonts w:ascii="Verdana" w:hAnsi="Verdana"/>
          <w:sz w:val="18"/>
          <w:szCs w:val="18"/>
          <w:lang w:val="el-GR"/>
        </w:rPr>
        <w:t xml:space="preserve"> δεκάρια ήταν γη που κατελάμβαναν κτίρια όπως αποθήκες, στάβλοι και άλλες εγκαταστάσεις, καθώς και αυλές ή δρόμοι μέσα στην εκμετάλλευση (</w:t>
      </w:r>
      <w:r w:rsidR="00DE0CF0" w:rsidRPr="00DE0CF0">
        <w:rPr>
          <w:rFonts w:ascii="Verdana" w:hAnsi="Verdana"/>
          <w:sz w:val="18"/>
          <w:szCs w:val="18"/>
          <w:lang w:val="el-GR"/>
        </w:rPr>
        <w:t>-</w:t>
      </w:r>
      <w:r w:rsidRPr="00E428AE">
        <w:rPr>
          <w:rFonts w:ascii="Verdana" w:hAnsi="Verdana"/>
          <w:sz w:val="18"/>
          <w:szCs w:val="18"/>
          <w:lang w:val="el-GR"/>
        </w:rPr>
        <w:t>11,</w:t>
      </w:r>
      <w:r>
        <w:rPr>
          <w:rFonts w:ascii="Verdana" w:hAnsi="Verdana"/>
          <w:sz w:val="18"/>
          <w:szCs w:val="18"/>
          <w:lang w:val="el-GR"/>
        </w:rPr>
        <w:t>8</w:t>
      </w:r>
      <w:r w:rsidRPr="00E428AE">
        <w:rPr>
          <w:rFonts w:ascii="Verdana" w:hAnsi="Verdana"/>
          <w:sz w:val="18"/>
          <w:szCs w:val="18"/>
          <w:lang w:val="el-GR"/>
        </w:rPr>
        <w:t>%)</w:t>
      </w:r>
      <w:r w:rsidR="00987578" w:rsidRPr="00987578">
        <w:rPr>
          <w:rFonts w:ascii="Verdana" w:hAnsi="Verdana"/>
          <w:sz w:val="18"/>
          <w:szCs w:val="18"/>
          <w:lang w:val="el-GR"/>
        </w:rPr>
        <w:t>,</w:t>
      </w:r>
      <w:r w:rsidRPr="00E428AE">
        <w:rPr>
          <w:rFonts w:ascii="Verdana" w:hAnsi="Verdana"/>
          <w:sz w:val="18"/>
          <w:szCs w:val="18"/>
          <w:lang w:val="el-GR"/>
        </w:rPr>
        <w:t xml:space="preserve"> </w:t>
      </w:r>
      <w:r w:rsidR="00DE0CF0">
        <w:rPr>
          <w:rFonts w:ascii="Verdana" w:hAnsi="Verdana"/>
          <w:sz w:val="18"/>
          <w:szCs w:val="18"/>
          <w:lang w:val="el-GR"/>
        </w:rPr>
        <w:t>ενώ</w:t>
      </w:r>
      <w:r w:rsidRPr="00E428AE">
        <w:rPr>
          <w:rFonts w:ascii="Verdana" w:hAnsi="Verdana"/>
          <w:sz w:val="18"/>
          <w:szCs w:val="18"/>
          <w:lang w:val="el-GR"/>
        </w:rPr>
        <w:t xml:space="preserve"> τα υπόλοιπα 5.</w:t>
      </w:r>
      <w:r>
        <w:rPr>
          <w:rFonts w:ascii="Verdana" w:hAnsi="Verdana"/>
          <w:sz w:val="18"/>
          <w:szCs w:val="18"/>
          <w:lang w:val="el-GR"/>
        </w:rPr>
        <w:t>520</w:t>
      </w:r>
      <w:r w:rsidRPr="00E428AE">
        <w:rPr>
          <w:rFonts w:ascii="Verdana" w:hAnsi="Verdana"/>
          <w:sz w:val="18"/>
          <w:szCs w:val="18"/>
          <w:lang w:val="el-GR"/>
        </w:rPr>
        <w:t xml:space="preserve"> δεκάρια ήταν δασικές εκτάσεις (</w:t>
      </w:r>
      <w:r w:rsidR="00DE0CF0" w:rsidRPr="00DE0CF0">
        <w:rPr>
          <w:rFonts w:ascii="Verdana" w:hAnsi="Verdana"/>
          <w:sz w:val="18"/>
          <w:szCs w:val="18"/>
          <w:lang w:val="el-GR"/>
        </w:rPr>
        <w:t>+</w:t>
      </w:r>
      <w:r>
        <w:rPr>
          <w:rFonts w:ascii="Verdana" w:hAnsi="Verdana"/>
          <w:sz w:val="18"/>
          <w:szCs w:val="18"/>
          <w:lang w:val="el-GR"/>
        </w:rPr>
        <w:t>2</w:t>
      </w:r>
      <w:r w:rsidRPr="00E428AE">
        <w:rPr>
          <w:rFonts w:ascii="Verdana" w:hAnsi="Verdana"/>
          <w:sz w:val="18"/>
          <w:szCs w:val="18"/>
          <w:lang w:val="el-GR"/>
        </w:rPr>
        <w:t>,</w:t>
      </w:r>
      <w:r>
        <w:rPr>
          <w:rFonts w:ascii="Verdana" w:hAnsi="Verdana"/>
          <w:sz w:val="18"/>
          <w:szCs w:val="18"/>
          <w:lang w:val="el-GR"/>
        </w:rPr>
        <w:t>7</w:t>
      </w:r>
      <w:r w:rsidRPr="00E428AE">
        <w:rPr>
          <w:rFonts w:ascii="Verdana" w:hAnsi="Verdana"/>
          <w:sz w:val="18"/>
          <w:szCs w:val="18"/>
          <w:lang w:val="el-GR"/>
        </w:rPr>
        <w:t>%).</w:t>
      </w:r>
    </w:p>
    <w:p w14:paraId="71CBAF5E" w14:textId="77777777" w:rsidR="00D966DB" w:rsidRPr="00E428AE" w:rsidRDefault="00D966DB" w:rsidP="00D966DB">
      <w:pPr>
        <w:jc w:val="both"/>
        <w:rPr>
          <w:rFonts w:ascii="Verdana" w:hAnsi="Verdana" w:cs="Calibri"/>
          <w:b/>
          <w:bCs/>
          <w:sz w:val="18"/>
          <w:szCs w:val="18"/>
          <w:lang w:val="el-GR"/>
        </w:rPr>
      </w:pPr>
    </w:p>
    <w:p w14:paraId="2E139605" w14:textId="77777777" w:rsidR="00D966DB" w:rsidRPr="00E428AE" w:rsidRDefault="00D966DB" w:rsidP="00D966DB">
      <w:pPr>
        <w:jc w:val="both"/>
        <w:rPr>
          <w:rFonts w:ascii="Verdana" w:hAnsi="Verdana" w:cs="Calibri"/>
          <w:sz w:val="18"/>
          <w:szCs w:val="18"/>
          <w:lang w:val="el-GR"/>
        </w:rPr>
      </w:pPr>
      <w:r w:rsidRPr="00E428AE">
        <w:rPr>
          <w:rFonts w:ascii="Verdana" w:hAnsi="Verdana" w:cs="Calibri"/>
          <w:sz w:val="18"/>
          <w:szCs w:val="18"/>
          <w:lang w:val="el-GR"/>
        </w:rPr>
        <w:t>Η μέση χρησιμοποιούμενη γεωργική έκταση ανά εκμετάλλευση υπολογίστηκε το 202</w:t>
      </w:r>
      <w:r>
        <w:rPr>
          <w:rFonts w:ascii="Verdana" w:hAnsi="Verdana" w:cs="Calibri"/>
          <w:sz w:val="18"/>
          <w:szCs w:val="18"/>
          <w:lang w:val="el-GR"/>
        </w:rPr>
        <w:t>3</w:t>
      </w:r>
      <w:r w:rsidRPr="00E428AE">
        <w:rPr>
          <w:rFonts w:ascii="Verdana" w:hAnsi="Verdana" w:cs="Calibri"/>
          <w:sz w:val="18"/>
          <w:szCs w:val="18"/>
          <w:lang w:val="el-GR"/>
        </w:rPr>
        <w:t xml:space="preserve"> στα </w:t>
      </w:r>
      <w:r>
        <w:rPr>
          <w:rFonts w:ascii="Verdana" w:hAnsi="Verdana" w:cs="Calibri"/>
          <w:sz w:val="18"/>
          <w:szCs w:val="18"/>
          <w:lang w:val="el-GR"/>
        </w:rPr>
        <w:t>41</w:t>
      </w:r>
      <w:r w:rsidRPr="00E428AE">
        <w:rPr>
          <w:rFonts w:ascii="Verdana" w:hAnsi="Verdana" w:cs="Calibri"/>
          <w:sz w:val="18"/>
          <w:szCs w:val="18"/>
          <w:lang w:val="el-GR"/>
        </w:rPr>
        <w:t xml:space="preserve"> δεκάρια, σημειώνοντας αύξηση της τάξης του </w:t>
      </w:r>
      <w:r>
        <w:rPr>
          <w:rFonts w:ascii="Verdana" w:hAnsi="Verdana" w:cs="Calibri"/>
          <w:sz w:val="18"/>
          <w:szCs w:val="18"/>
          <w:lang w:val="el-GR"/>
        </w:rPr>
        <w:t>5</w:t>
      </w:r>
      <w:r w:rsidRPr="00E428AE">
        <w:rPr>
          <w:rFonts w:ascii="Verdana" w:hAnsi="Verdana" w:cs="Calibri"/>
          <w:sz w:val="18"/>
          <w:szCs w:val="18"/>
          <w:lang w:val="el-GR"/>
        </w:rPr>
        <w:t>,</w:t>
      </w:r>
      <w:r>
        <w:rPr>
          <w:rFonts w:ascii="Verdana" w:hAnsi="Verdana" w:cs="Calibri"/>
          <w:sz w:val="18"/>
          <w:szCs w:val="18"/>
          <w:lang w:val="el-GR"/>
        </w:rPr>
        <w:t>1</w:t>
      </w:r>
      <w:r w:rsidRPr="00E428AE">
        <w:rPr>
          <w:rFonts w:ascii="Verdana" w:hAnsi="Verdana" w:cs="Calibri"/>
          <w:sz w:val="18"/>
          <w:szCs w:val="18"/>
          <w:lang w:val="el-GR"/>
        </w:rPr>
        <w:t>% σε σχέση με το 20</w:t>
      </w:r>
      <w:r>
        <w:rPr>
          <w:rFonts w:ascii="Verdana" w:hAnsi="Verdana" w:cs="Calibri"/>
          <w:sz w:val="18"/>
          <w:szCs w:val="18"/>
          <w:lang w:val="el-GR"/>
        </w:rPr>
        <w:t>2</w:t>
      </w:r>
      <w:r w:rsidRPr="00E428AE">
        <w:rPr>
          <w:rFonts w:ascii="Verdana" w:hAnsi="Verdana" w:cs="Calibri"/>
          <w:sz w:val="18"/>
          <w:szCs w:val="18"/>
          <w:lang w:val="el-GR"/>
        </w:rPr>
        <w:t>0.</w:t>
      </w:r>
    </w:p>
    <w:p w14:paraId="406F14CF" w14:textId="77777777" w:rsidR="00D966DB" w:rsidRPr="00E428AE" w:rsidRDefault="00D966DB" w:rsidP="00D966DB">
      <w:pPr>
        <w:jc w:val="both"/>
        <w:rPr>
          <w:rFonts w:ascii="Verdana" w:hAnsi="Verdana" w:cs="Calibri"/>
          <w:sz w:val="18"/>
          <w:szCs w:val="18"/>
          <w:lang w:val="el-GR"/>
        </w:rPr>
      </w:pPr>
    </w:p>
    <w:p w14:paraId="007E1E9F" w14:textId="4CBA5CE3" w:rsidR="00D966DB" w:rsidRPr="00E428AE" w:rsidRDefault="00D966DB" w:rsidP="00D966DB">
      <w:pPr>
        <w:jc w:val="both"/>
        <w:rPr>
          <w:rFonts w:ascii="Verdana" w:hAnsi="Verdana" w:cs="Calibri"/>
          <w:sz w:val="18"/>
          <w:szCs w:val="18"/>
          <w:lang w:val="el-GR"/>
        </w:rPr>
      </w:pPr>
      <w:r w:rsidRPr="00E428AE">
        <w:rPr>
          <w:rFonts w:ascii="Verdana" w:hAnsi="Verdana" w:cs="Calibri"/>
          <w:sz w:val="18"/>
          <w:szCs w:val="18"/>
          <w:lang w:val="el-GR"/>
        </w:rPr>
        <w:t>Η κατανομή της χρησιμοποιούμενης γεωργικής έκτασης στις διάφορες επαρχίες και η μεταβολή σε σχέση με την Απογραφή του 20</w:t>
      </w:r>
      <w:r>
        <w:rPr>
          <w:rFonts w:ascii="Verdana" w:hAnsi="Verdana" w:cs="Calibri"/>
          <w:sz w:val="18"/>
          <w:szCs w:val="18"/>
          <w:lang w:val="el-GR"/>
        </w:rPr>
        <w:t>2</w:t>
      </w:r>
      <w:r w:rsidRPr="00E428AE">
        <w:rPr>
          <w:rFonts w:ascii="Verdana" w:hAnsi="Verdana" w:cs="Calibri"/>
          <w:sz w:val="18"/>
          <w:szCs w:val="18"/>
          <w:lang w:val="el-GR"/>
        </w:rPr>
        <w:t xml:space="preserve">0 παρουσιάζονται στον Πίνακα 1 </w:t>
      </w:r>
      <w:r w:rsidR="00E6170B">
        <w:rPr>
          <w:rFonts w:ascii="Verdana" w:hAnsi="Verdana" w:cs="Calibri"/>
          <w:sz w:val="18"/>
          <w:szCs w:val="18"/>
          <w:lang w:val="el-GR"/>
        </w:rPr>
        <w:t xml:space="preserve">με βάση τον τόπο όπου </w:t>
      </w:r>
      <w:r w:rsidRPr="00E428AE">
        <w:rPr>
          <w:rFonts w:ascii="Verdana" w:hAnsi="Verdana" w:cs="Calibri"/>
          <w:sz w:val="18"/>
          <w:szCs w:val="18"/>
          <w:lang w:val="el-GR"/>
        </w:rPr>
        <w:t xml:space="preserve">βρίσκονται οι εκτάσεις. </w:t>
      </w:r>
    </w:p>
    <w:bookmarkEnd w:id="0"/>
    <w:p w14:paraId="01696FF0" w14:textId="77777777" w:rsidR="00D966DB" w:rsidRDefault="00D966DB" w:rsidP="00D966DB">
      <w:pPr>
        <w:jc w:val="both"/>
        <w:rPr>
          <w:rFonts w:ascii="Verdana" w:hAnsi="Verdana" w:cs="Calibri"/>
          <w:sz w:val="18"/>
          <w:szCs w:val="18"/>
          <w:lang w:val="el-GR"/>
        </w:rPr>
      </w:pPr>
    </w:p>
    <w:p w14:paraId="44F80A2D" w14:textId="77777777" w:rsidR="00D966DB" w:rsidRPr="00E428AE" w:rsidRDefault="00D966DB" w:rsidP="00D966DB">
      <w:pPr>
        <w:jc w:val="both"/>
        <w:rPr>
          <w:rFonts w:ascii="Verdana" w:hAnsi="Verdana" w:cs="Calibri"/>
          <w:sz w:val="18"/>
          <w:szCs w:val="18"/>
          <w:lang w:val="el-GR"/>
        </w:rPr>
      </w:pPr>
    </w:p>
    <w:tbl>
      <w:tblPr>
        <w:tblW w:w="9220" w:type="dxa"/>
        <w:jc w:val="center"/>
        <w:tblLook w:val="04A0" w:firstRow="1" w:lastRow="0" w:firstColumn="1" w:lastColumn="0" w:noHBand="0" w:noVBand="1"/>
      </w:tblPr>
      <w:tblGrid>
        <w:gridCol w:w="2670"/>
        <w:gridCol w:w="2304"/>
        <w:gridCol w:w="2304"/>
        <w:gridCol w:w="1942"/>
      </w:tblGrid>
      <w:tr w:rsidR="00935BEC" w:rsidRPr="00935BEC" w14:paraId="184F7247" w14:textId="77777777" w:rsidTr="00790B7E">
        <w:trPr>
          <w:trHeight w:val="315"/>
          <w:jc w:val="center"/>
        </w:trPr>
        <w:tc>
          <w:tcPr>
            <w:tcW w:w="9220" w:type="dxa"/>
            <w:gridSpan w:val="4"/>
            <w:tcBorders>
              <w:top w:val="nil"/>
              <w:left w:val="nil"/>
              <w:bottom w:val="single" w:sz="4" w:space="0" w:color="366092"/>
              <w:right w:val="nil"/>
            </w:tcBorders>
            <w:shd w:val="clear" w:color="000000" w:fill="FFFFFF"/>
            <w:vAlign w:val="center"/>
            <w:hideMark/>
          </w:tcPr>
          <w:p w14:paraId="7AAB4A54" w14:textId="77777777" w:rsidR="00D966DB" w:rsidRPr="00935BEC" w:rsidRDefault="00D966DB" w:rsidP="00BF034F">
            <w:pP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Πίνακας 1</w:t>
            </w:r>
          </w:p>
        </w:tc>
      </w:tr>
      <w:tr w:rsidR="00935BEC" w:rsidRPr="00935BEC" w14:paraId="6F0BDB62" w14:textId="77777777" w:rsidTr="00790B7E">
        <w:trPr>
          <w:trHeight w:val="825"/>
          <w:jc w:val="center"/>
        </w:trPr>
        <w:tc>
          <w:tcPr>
            <w:tcW w:w="2670" w:type="dxa"/>
            <w:vMerge w:val="restart"/>
            <w:tcBorders>
              <w:top w:val="single" w:sz="4" w:space="0" w:color="366092"/>
              <w:left w:val="nil"/>
              <w:bottom w:val="single" w:sz="4" w:space="0" w:color="366092"/>
              <w:right w:val="nil"/>
            </w:tcBorders>
            <w:shd w:val="clear" w:color="000000" w:fill="FFFFFF"/>
            <w:vAlign w:val="center"/>
            <w:hideMark/>
          </w:tcPr>
          <w:p w14:paraId="3ADFC7B7" w14:textId="77777777" w:rsidR="00D966DB" w:rsidRPr="00935BEC" w:rsidRDefault="00D966DB" w:rsidP="00BF034F">
            <w:pP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Επαρχία</w:t>
            </w:r>
          </w:p>
        </w:tc>
        <w:tc>
          <w:tcPr>
            <w:tcW w:w="4608" w:type="dxa"/>
            <w:gridSpan w:val="2"/>
            <w:tcBorders>
              <w:top w:val="single" w:sz="4" w:space="0" w:color="366092"/>
              <w:left w:val="nil"/>
              <w:bottom w:val="single" w:sz="4" w:space="0" w:color="366092"/>
              <w:right w:val="nil"/>
            </w:tcBorders>
            <w:shd w:val="clear" w:color="000000" w:fill="FFFFFF"/>
            <w:vAlign w:val="center"/>
            <w:hideMark/>
          </w:tcPr>
          <w:p w14:paraId="35FD7A9E" w14:textId="77777777" w:rsidR="00D966DB" w:rsidRPr="00935BEC" w:rsidRDefault="00D966DB" w:rsidP="00BF034F">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Χρησιμοποιούμενη Γεωργική Έκταση (δεκάρια)</w:t>
            </w:r>
          </w:p>
        </w:tc>
        <w:tc>
          <w:tcPr>
            <w:tcW w:w="1942" w:type="dxa"/>
            <w:tcBorders>
              <w:top w:val="single" w:sz="4" w:space="0" w:color="366092"/>
              <w:left w:val="nil"/>
              <w:right w:val="nil"/>
            </w:tcBorders>
            <w:shd w:val="clear" w:color="000000" w:fill="FFFFFF"/>
            <w:vAlign w:val="center"/>
            <w:hideMark/>
          </w:tcPr>
          <w:p w14:paraId="5855CFA5" w14:textId="3EAE5B61" w:rsidR="00D966DB" w:rsidRPr="00935BEC" w:rsidRDefault="00645C87" w:rsidP="00BF034F">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lang w:val="el-GR"/>
              </w:rPr>
              <w:t>Μ</w:t>
            </w:r>
            <w:r w:rsidR="00D966DB" w:rsidRPr="00935BEC">
              <w:rPr>
                <w:rFonts w:ascii="Verdana" w:eastAsia="Times New Roman" w:hAnsi="Verdana" w:cs="Calibri"/>
                <w:b/>
                <w:bCs/>
                <w:color w:val="366092"/>
                <w:sz w:val="18"/>
                <w:szCs w:val="18"/>
              </w:rPr>
              <w:t>εταβ</w:t>
            </w:r>
            <w:proofErr w:type="spellStart"/>
            <w:r w:rsidR="00D966DB" w:rsidRPr="00935BEC">
              <w:rPr>
                <w:rFonts w:ascii="Verdana" w:eastAsia="Times New Roman" w:hAnsi="Verdana" w:cs="Calibri"/>
                <w:b/>
                <w:bCs/>
                <w:color w:val="366092"/>
                <w:sz w:val="18"/>
                <w:szCs w:val="18"/>
              </w:rPr>
              <w:t>ολή</w:t>
            </w:r>
            <w:proofErr w:type="spellEnd"/>
            <w:r w:rsidR="00D966DB" w:rsidRPr="00935BEC">
              <w:rPr>
                <w:rFonts w:ascii="Verdana" w:eastAsia="Times New Roman" w:hAnsi="Verdana" w:cs="Calibri"/>
                <w:b/>
                <w:bCs/>
                <w:color w:val="366092"/>
                <w:sz w:val="18"/>
                <w:szCs w:val="18"/>
              </w:rPr>
              <w:t xml:space="preserve"> 202</w:t>
            </w:r>
            <w:r w:rsidR="00D966DB" w:rsidRPr="00935BEC">
              <w:rPr>
                <w:rFonts w:ascii="Verdana" w:eastAsia="Times New Roman" w:hAnsi="Verdana" w:cs="Calibri"/>
                <w:b/>
                <w:bCs/>
                <w:color w:val="366092"/>
                <w:sz w:val="18"/>
                <w:szCs w:val="18"/>
                <w:lang w:val="el-GR"/>
              </w:rPr>
              <w:t>3</w:t>
            </w:r>
            <w:r w:rsidR="00D966DB" w:rsidRPr="00935BEC">
              <w:rPr>
                <w:rFonts w:ascii="Verdana" w:eastAsia="Times New Roman" w:hAnsi="Verdana" w:cs="Calibri"/>
                <w:b/>
                <w:bCs/>
                <w:color w:val="366092"/>
                <w:sz w:val="18"/>
                <w:szCs w:val="18"/>
              </w:rPr>
              <w:t>/20</w:t>
            </w:r>
            <w:r w:rsidR="00D966DB" w:rsidRPr="00935BEC">
              <w:rPr>
                <w:rFonts w:ascii="Verdana" w:eastAsia="Times New Roman" w:hAnsi="Verdana" w:cs="Calibri"/>
                <w:b/>
                <w:bCs/>
                <w:color w:val="366092"/>
                <w:sz w:val="18"/>
                <w:szCs w:val="18"/>
                <w:lang w:val="el-GR"/>
              </w:rPr>
              <w:t>2</w:t>
            </w:r>
            <w:r w:rsidR="00D966DB" w:rsidRPr="00935BEC">
              <w:rPr>
                <w:rFonts w:ascii="Verdana" w:eastAsia="Times New Roman" w:hAnsi="Verdana" w:cs="Calibri"/>
                <w:b/>
                <w:bCs/>
                <w:color w:val="366092"/>
                <w:sz w:val="18"/>
                <w:szCs w:val="18"/>
              </w:rPr>
              <w:t>0</w:t>
            </w:r>
          </w:p>
        </w:tc>
      </w:tr>
      <w:tr w:rsidR="00935BEC" w:rsidRPr="00935BEC" w14:paraId="7E540BB5" w14:textId="77777777" w:rsidTr="00790B7E">
        <w:trPr>
          <w:trHeight w:val="465"/>
          <w:jc w:val="center"/>
        </w:trPr>
        <w:tc>
          <w:tcPr>
            <w:tcW w:w="2670" w:type="dxa"/>
            <w:vMerge/>
            <w:tcBorders>
              <w:top w:val="single" w:sz="4" w:space="0" w:color="366092"/>
              <w:left w:val="nil"/>
              <w:bottom w:val="single" w:sz="4" w:space="0" w:color="366092"/>
              <w:right w:val="nil"/>
            </w:tcBorders>
            <w:vAlign w:val="center"/>
            <w:hideMark/>
          </w:tcPr>
          <w:p w14:paraId="34EC34C4" w14:textId="77777777" w:rsidR="00D966DB" w:rsidRPr="00935BEC" w:rsidRDefault="00D966DB" w:rsidP="00BF034F">
            <w:pPr>
              <w:rPr>
                <w:rFonts w:ascii="Verdana" w:eastAsia="Times New Roman" w:hAnsi="Verdana" w:cs="Calibri"/>
                <w:b/>
                <w:bCs/>
                <w:color w:val="366092"/>
                <w:sz w:val="18"/>
                <w:szCs w:val="18"/>
              </w:rPr>
            </w:pPr>
          </w:p>
        </w:tc>
        <w:tc>
          <w:tcPr>
            <w:tcW w:w="2304" w:type="dxa"/>
            <w:tcBorders>
              <w:top w:val="single" w:sz="4" w:space="0" w:color="366092"/>
              <w:left w:val="nil"/>
              <w:bottom w:val="single" w:sz="4" w:space="0" w:color="366092"/>
              <w:right w:val="nil"/>
            </w:tcBorders>
            <w:shd w:val="clear" w:color="000000" w:fill="FFFFFF"/>
            <w:noWrap/>
            <w:vAlign w:val="center"/>
            <w:hideMark/>
          </w:tcPr>
          <w:p w14:paraId="64B107E9" w14:textId="77777777" w:rsidR="00D966DB" w:rsidRPr="00935BEC" w:rsidRDefault="00D966DB" w:rsidP="00BF034F">
            <w:pPr>
              <w:jc w:val="center"/>
              <w:rPr>
                <w:rFonts w:ascii="Verdana" w:eastAsia="Times New Roman" w:hAnsi="Verdana" w:cs="Calibri"/>
                <w:b/>
                <w:bCs/>
                <w:color w:val="366092"/>
                <w:sz w:val="18"/>
                <w:szCs w:val="18"/>
                <w:lang w:val="el-GR"/>
              </w:rPr>
            </w:pPr>
            <w:r w:rsidRPr="00935BEC">
              <w:rPr>
                <w:rFonts w:ascii="Verdana" w:eastAsia="Times New Roman" w:hAnsi="Verdana" w:cs="Calibri"/>
                <w:b/>
                <w:bCs/>
                <w:color w:val="366092"/>
                <w:sz w:val="18"/>
                <w:szCs w:val="18"/>
              </w:rPr>
              <w:t>202</w:t>
            </w:r>
            <w:r w:rsidRPr="00935BEC">
              <w:rPr>
                <w:rFonts w:ascii="Verdana" w:eastAsia="Times New Roman" w:hAnsi="Verdana" w:cs="Calibri"/>
                <w:b/>
                <w:bCs/>
                <w:color w:val="366092"/>
                <w:sz w:val="18"/>
                <w:szCs w:val="18"/>
                <w:lang w:val="el-GR"/>
              </w:rPr>
              <w:t>3</w:t>
            </w:r>
          </w:p>
        </w:tc>
        <w:tc>
          <w:tcPr>
            <w:tcW w:w="2304" w:type="dxa"/>
            <w:tcBorders>
              <w:top w:val="single" w:sz="4" w:space="0" w:color="366092"/>
              <w:left w:val="nil"/>
              <w:bottom w:val="single" w:sz="4" w:space="0" w:color="366092"/>
              <w:right w:val="nil"/>
            </w:tcBorders>
            <w:shd w:val="clear" w:color="000000" w:fill="FFFFFF"/>
            <w:noWrap/>
            <w:vAlign w:val="center"/>
            <w:hideMark/>
          </w:tcPr>
          <w:p w14:paraId="76896523" w14:textId="77777777" w:rsidR="00D966DB" w:rsidRPr="00935BEC" w:rsidRDefault="00D966DB" w:rsidP="00BF034F">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20</w:t>
            </w:r>
            <w:r w:rsidRPr="00935BEC">
              <w:rPr>
                <w:rFonts w:ascii="Verdana" w:eastAsia="Times New Roman" w:hAnsi="Verdana" w:cs="Calibri"/>
                <w:b/>
                <w:bCs/>
                <w:color w:val="366092"/>
                <w:sz w:val="18"/>
                <w:szCs w:val="18"/>
                <w:lang w:val="el-GR"/>
              </w:rPr>
              <w:t>2</w:t>
            </w:r>
            <w:r w:rsidRPr="00935BEC">
              <w:rPr>
                <w:rFonts w:ascii="Verdana" w:eastAsia="Times New Roman" w:hAnsi="Verdana" w:cs="Calibri"/>
                <w:b/>
                <w:bCs/>
                <w:color w:val="366092"/>
                <w:sz w:val="18"/>
                <w:szCs w:val="18"/>
              </w:rPr>
              <w:t>0</w:t>
            </w:r>
          </w:p>
        </w:tc>
        <w:tc>
          <w:tcPr>
            <w:tcW w:w="1942" w:type="dxa"/>
            <w:tcBorders>
              <w:left w:val="nil"/>
              <w:bottom w:val="single" w:sz="4" w:space="0" w:color="366092"/>
              <w:right w:val="nil"/>
            </w:tcBorders>
            <w:shd w:val="clear" w:color="000000" w:fill="FFFFFF"/>
            <w:vAlign w:val="center"/>
            <w:hideMark/>
          </w:tcPr>
          <w:p w14:paraId="0FF9D459" w14:textId="77777777" w:rsidR="00D966DB" w:rsidRPr="00935BEC" w:rsidRDefault="00D966DB" w:rsidP="00BF034F">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w:t>
            </w:r>
          </w:p>
        </w:tc>
      </w:tr>
      <w:tr w:rsidR="00935BEC" w:rsidRPr="00935BEC" w14:paraId="06B27A90" w14:textId="77777777" w:rsidTr="00790B7E">
        <w:trPr>
          <w:trHeight w:val="315"/>
          <w:jc w:val="center"/>
        </w:trPr>
        <w:tc>
          <w:tcPr>
            <w:tcW w:w="2670" w:type="dxa"/>
            <w:tcBorders>
              <w:top w:val="single" w:sz="4" w:space="0" w:color="366092"/>
              <w:left w:val="nil"/>
              <w:bottom w:val="single" w:sz="4" w:space="0" w:color="366092"/>
              <w:right w:val="nil"/>
            </w:tcBorders>
            <w:shd w:val="clear" w:color="000000" w:fill="FFFFFF"/>
            <w:noWrap/>
            <w:vAlign w:val="center"/>
            <w:hideMark/>
          </w:tcPr>
          <w:p w14:paraId="7952137D" w14:textId="77777777" w:rsidR="00D966DB" w:rsidRPr="00935BEC" w:rsidRDefault="00D966DB" w:rsidP="00BF034F">
            <w:pPr>
              <w:ind w:firstLineChars="100" w:firstLine="181"/>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ΣΥΝΟΛΟ</w:t>
            </w:r>
          </w:p>
        </w:tc>
        <w:tc>
          <w:tcPr>
            <w:tcW w:w="2304" w:type="dxa"/>
            <w:tcBorders>
              <w:top w:val="single" w:sz="4" w:space="0" w:color="366092"/>
              <w:left w:val="nil"/>
              <w:bottom w:val="single" w:sz="4" w:space="0" w:color="366092"/>
              <w:right w:val="nil"/>
            </w:tcBorders>
            <w:shd w:val="clear" w:color="000000" w:fill="FFFFFF"/>
            <w:noWrap/>
            <w:vAlign w:val="center"/>
            <w:hideMark/>
          </w:tcPr>
          <w:p w14:paraId="5CC2A29C" w14:textId="77777777" w:rsidR="00D966DB" w:rsidRPr="00935BEC" w:rsidRDefault="00D966DB" w:rsidP="00BF034F">
            <w:pPr>
              <w:ind w:right="567"/>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1</w:t>
            </w: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298</w:t>
            </w: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470</w:t>
            </w:r>
          </w:p>
        </w:tc>
        <w:tc>
          <w:tcPr>
            <w:tcW w:w="2304" w:type="dxa"/>
            <w:tcBorders>
              <w:top w:val="single" w:sz="4" w:space="0" w:color="366092"/>
              <w:left w:val="nil"/>
              <w:bottom w:val="single" w:sz="4" w:space="0" w:color="366092"/>
              <w:right w:val="nil"/>
            </w:tcBorders>
            <w:shd w:val="clear" w:color="000000" w:fill="FFFFFF"/>
            <w:noWrap/>
            <w:vAlign w:val="center"/>
            <w:hideMark/>
          </w:tcPr>
          <w:p w14:paraId="31E532C8" w14:textId="77777777" w:rsidR="00D966DB" w:rsidRPr="00935BEC" w:rsidRDefault="00D966DB" w:rsidP="00BF034F">
            <w:pPr>
              <w:ind w:right="567"/>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1.341.359</w:t>
            </w:r>
          </w:p>
        </w:tc>
        <w:tc>
          <w:tcPr>
            <w:tcW w:w="1942" w:type="dxa"/>
            <w:tcBorders>
              <w:top w:val="single" w:sz="4" w:space="0" w:color="366092"/>
              <w:left w:val="nil"/>
              <w:bottom w:val="single" w:sz="4" w:space="0" w:color="366092"/>
              <w:right w:val="nil"/>
            </w:tcBorders>
            <w:shd w:val="clear" w:color="000000" w:fill="FFFFFF"/>
            <w:noWrap/>
            <w:vAlign w:val="center"/>
            <w:hideMark/>
          </w:tcPr>
          <w:p w14:paraId="40DA0304" w14:textId="77777777" w:rsidR="00D966DB" w:rsidRPr="00935BEC" w:rsidRDefault="00D966DB" w:rsidP="00935BEC">
            <w:pPr>
              <w:ind w:right="680"/>
              <w:jc w:val="right"/>
              <w:rPr>
                <w:rFonts w:ascii="Verdana" w:eastAsia="Times New Roman" w:hAnsi="Verdana" w:cs="Calibri"/>
                <w:b/>
                <w:bCs/>
                <w:color w:val="366092"/>
                <w:sz w:val="18"/>
                <w:szCs w:val="18"/>
                <w:lang w:val="el-GR"/>
              </w:rPr>
            </w:pP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3,</w:t>
            </w:r>
            <w:r w:rsidRPr="00935BEC">
              <w:rPr>
                <w:rFonts w:ascii="Verdana" w:eastAsia="Times New Roman" w:hAnsi="Verdana" w:cs="Calibri"/>
                <w:b/>
                <w:bCs/>
                <w:color w:val="366092"/>
                <w:sz w:val="18"/>
                <w:szCs w:val="18"/>
                <w:lang w:val="el-GR"/>
              </w:rPr>
              <w:t>2</w:t>
            </w:r>
          </w:p>
        </w:tc>
      </w:tr>
      <w:tr w:rsidR="00935BEC" w:rsidRPr="00935BEC" w14:paraId="544C2E16" w14:textId="77777777" w:rsidTr="00790B7E">
        <w:trPr>
          <w:trHeight w:val="300"/>
          <w:jc w:val="center"/>
        </w:trPr>
        <w:tc>
          <w:tcPr>
            <w:tcW w:w="2670" w:type="dxa"/>
            <w:tcBorders>
              <w:top w:val="single" w:sz="4" w:space="0" w:color="366092"/>
              <w:left w:val="nil"/>
              <w:bottom w:val="nil"/>
              <w:right w:val="nil"/>
            </w:tcBorders>
            <w:shd w:val="clear" w:color="000000" w:fill="FFFFFF"/>
            <w:noWrap/>
            <w:vAlign w:val="center"/>
            <w:hideMark/>
          </w:tcPr>
          <w:p w14:paraId="08148C15" w14:textId="77777777" w:rsidR="00D966DB" w:rsidRPr="00935BEC" w:rsidRDefault="00D966DB" w:rsidP="00BF034F">
            <w:pPr>
              <w:ind w:firstLineChars="100" w:firstLine="180"/>
              <w:rPr>
                <w:rFonts w:ascii="Verdana" w:eastAsia="Times New Roman" w:hAnsi="Verdana" w:cs="Calibri"/>
                <w:color w:val="366092"/>
                <w:sz w:val="18"/>
                <w:szCs w:val="18"/>
              </w:rPr>
            </w:pPr>
            <w:r w:rsidRPr="00935BEC">
              <w:rPr>
                <w:rFonts w:ascii="Verdana" w:eastAsia="Times New Roman" w:hAnsi="Verdana" w:cs="Calibri"/>
                <w:color w:val="366092"/>
                <w:sz w:val="18"/>
                <w:szCs w:val="18"/>
              </w:rPr>
              <w:t>Λευκωσία</w:t>
            </w:r>
          </w:p>
        </w:tc>
        <w:tc>
          <w:tcPr>
            <w:tcW w:w="2304" w:type="dxa"/>
            <w:tcBorders>
              <w:top w:val="single" w:sz="4" w:space="0" w:color="366092"/>
              <w:left w:val="nil"/>
              <w:bottom w:val="nil"/>
              <w:right w:val="nil"/>
            </w:tcBorders>
            <w:shd w:val="clear" w:color="000000" w:fill="FFFFFF"/>
            <w:noWrap/>
            <w:vAlign w:val="center"/>
            <w:hideMark/>
          </w:tcPr>
          <w:p w14:paraId="174EA3B9"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413</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014</w:t>
            </w:r>
          </w:p>
        </w:tc>
        <w:tc>
          <w:tcPr>
            <w:tcW w:w="2304" w:type="dxa"/>
            <w:tcBorders>
              <w:top w:val="single" w:sz="4" w:space="0" w:color="366092"/>
              <w:left w:val="nil"/>
              <w:bottom w:val="nil"/>
              <w:right w:val="nil"/>
            </w:tcBorders>
            <w:shd w:val="clear" w:color="000000" w:fill="FFFFFF"/>
            <w:noWrap/>
            <w:vAlign w:val="center"/>
            <w:hideMark/>
          </w:tcPr>
          <w:p w14:paraId="3EEBBC7C"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415.993</w:t>
            </w:r>
          </w:p>
        </w:tc>
        <w:tc>
          <w:tcPr>
            <w:tcW w:w="1942" w:type="dxa"/>
            <w:tcBorders>
              <w:top w:val="single" w:sz="4" w:space="0" w:color="366092"/>
              <w:left w:val="nil"/>
              <w:bottom w:val="nil"/>
              <w:right w:val="nil"/>
            </w:tcBorders>
            <w:shd w:val="clear" w:color="000000" w:fill="FFFFFF"/>
            <w:noWrap/>
            <w:vAlign w:val="center"/>
            <w:hideMark/>
          </w:tcPr>
          <w:p w14:paraId="74AAB770" w14:textId="77777777" w:rsidR="00D966DB" w:rsidRPr="00935BEC" w:rsidRDefault="00D966DB" w:rsidP="00935BEC">
            <w:pPr>
              <w:ind w:right="680"/>
              <w:jc w:val="right"/>
              <w:rPr>
                <w:rFonts w:ascii="Verdana" w:eastAsia="Times New Roman" w:hAnsi="Verdana" w:cs="Calibri"/>
                <w:color w:val="366092"/>
                <w:sz w:val="18"/>
                <w:szCs w:val="18"/>
                <w:lang w:val="el-GR"/>
              </w:rPr>
            </w:pPr>
            <w:r w:rsidRPr="00935BEC">
              <w:rPr>
                <w:rFonts w:ascii="Verdana" w:eastAsia="Times New Roman" w:hAnsi="Verdana" w:cs="Calibri"/>
                <w:color w:val="366092"/>
                <w:sz w:val="18"/>
                <w:szCs w:val="18"/>
                <w:lang w:val="el-GR"/>
              </w:rPr>
              <w:t>-0</w:t>
            </w:r>
            <w:r w:rsidRPr="00935BEC">
              <w:rPr>
                <w:rFonts w:ascii="Verdana" w:eastAsia="Times New Roman" w:hAnsi="Verdana" w:cs="Calibri"/>
                <w:color w:val="366092"/>
                <w:sz w:val="18"/>
                <w:szCs w:val="18"/>
              </w:rPr>
              <w:t>,</w:t>
            </w:r>
            <w:r w:rsidRPr="00935BEC">
              <w:rPr>
                <w:rFonts w:ascii="Verdana" w:eastAsia="Times New Roman" w:hAnsi="Verdana" w:cs="Calibri"/>
                <w:color w:val="366092"/>
                <w:sz w:val="18"/>
                <w:szCs w:val="18"/>
                <w:lang w:val="el-GR"/>
              </w:rPr>
              <w:t>7</w:t>
            </w:r>
          </w:p>
        </w:tc>
      </w:tr>
      <w:tr w:rsidR="00935BEC" w:rsidRPr="00935BEC" w14:paraId="268C314F" w14:textId="77777777" w:rsidTr="00935BEC">
        <w:trPr>
          <w:trHeight w:val="300"/>
          <w:jc w:val="center"/>
        </w:trPr>
        <w:tc>
          <w:tcPr>
            <w:tcW w:w="2670" w:type="dxa"/>
            <w:tcBorders>
              <w:top w:val="nil"/>
              <w:left w:val="nil"/>
              <w:bottom w:val="nil"/>
              <w:right w:val="nil"/>
            </w:tcBorders>
            <w:shd w:val="clear" w:color="000000" w:fill="FFFFFF"/>
            <w:noWrap/>
            <w:vAlign w:val="center"/>
            <w:hideMark/>
          </w:tcPr>
          <w:p w14:paraId="0990D923" w14:textId="77777777" w:rsidR="00D966DB" w:rsidRPr="00935BEC" w:rsidRDefault="00D966DB" w:rsidP="00BF034F">
            <w:pPr>
              <w:ind w:firstLineChars="100" w:firstLine="180"/>
              <w:rPr>
                <w:rFonts w:ascii="Verdana" w:eastAsia="Times New Roman" w:hAnsi="Verdana" w:cs="Calibri"/>
                <w:color w:val="366092"/>
                <w:sz w:val="18"/>
                <w:szCs w:val="18"/>
              </w:rPr>
            </w:pPr>
            <w:r w:rsidRPr="00935BEC">
              <w:rPr>
                <w:rFonts w:ascii="Verdana" w:eastAsia="Times New Roman" w:hAnsi="Verdana" w:cs="Calibri"/>
                <w:color w:val="366092"/>
                <w:sz w:val="18"/>
                <w:szCs w:val="18"/>
              </w:rPr>
              <w:t>Αμμόχωστος</w:t>
            </w:r>
          </w:p>
        </w:tc>
        <w:tc>
          <w:tcPr>
            <w:tcW w:w="2304" w:type="dxa"/>
            <w:tcBorders>
              <w:top w:val="nil"/>
              <w:left w:val="nil"/>
              <w:bottom w:val="nil"/>
              <w:right w:val="nil"/>
            </w:tcBorders>
            <w:shd w:val="clear" w:color="000000" w:fill="FFFFFF"/>
            <w:noWrap/>
            <w:vAlign w:val="center"/>
            <w:hideMark/>
          </w:tcPr>
          <w:p w14:paraId="14E6D0B6"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114</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777</w:t>
            </w:r>
          </w:p>
        </w:tc>
        <w:tc>
          <w:tcPr>
            <w:tcW w:w="2304" w:type="dxa"/>
            <w:tcBorders>
              <w:top w:val="nil"/>
              <w:left w:val="nil"/>
              <w:bottom w:val="nil"/>
              <w:right w:val="nil"/>
            </w:tcBorders>
            <w:shd w:val="clear" w:color="000000" w:fill="FFFFFF"/>
            <w:noWrap/>
            <w:vAlign w:val="center"/>
            <w:hideMark/>
          </w:tcPr>
          <w:p w14:paraId="75E1840C"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107.392</w:t>
            </w:r>
          </w:p>
        </w:tc>
        <w:tc>
          <w:tcPr>
            <w:tcW w:w="1942" w:type="dxa"/>
            <w:tcBorders>
              <w:top w:val="nil"/>
              <w:left w:val="nil"/>
              <w:bottom w:val="nil"/>
              <w:right w:val="nil"/>
            </w:tcBorders>
            <w:shd w:val="clear" w:color="000000" w:fill="FFFFFF"/>
            <w:noWrap/>
            <w:vAlign w:val="center"/>
            <w:hideMark/>
          </w:tcPr>
          <w:p w14:paraId="6793A775" w14:textId="77777777" w:rsidR="00D966DB" w:rsidRPr="00935BEC" w:rsidRDefault="00D966DB" w:rsidP="00935BEC">
            <w:pPr>
              <w:ind w:right="680"/>
              <w:jc w:val="right"/>
              <w:rPr>
                <w:rFonts w:ascii="Verdana" w:eastAsia="Times New Roman" w:hAnsi="Verdana" w:cs="Calibri"/>
                <w:color w:val="366092"/>
                <w:sz w:val="18"/>
                <w:szCs w:val="18"/>
                <w:lang w:val="el-GR"/>
              </w:rPr>
            </w:pPr>
            <w:r w:rsidRPr="00935BEC">
              <w:rPr>
                <w:rFonts w:ascii="Verdana" w:eastAsia="Times New Roman" w:hAnsi="Verdana" w:cs="Calibri"/>
                <w:color w:val="366092"/>
                <w:sz w:val="18"/>
                <w:szCs w:val="18"/>
              </w:rPr>
              <w:t>6,</w:t>
            </w:r>
            <w:r w:rsidRPr="00935BEC">
              <w:rPr>
                <w:rFonts w:ascii="Verdana" w:eastAsia="Times New Roman" w:hAnsi="Verdana" w:cs="Calibri"/>
                <w:color w:val="366092"/>
                <w:sz w:val="18"/>
                <w:szCs w:val="18"/>
                <w:lang w:val="el-GR"/>
              </w:rPr>
              <w:t>9</w:t>
            </w:r>
          </w:p>
        </w:tc>
      </w:tr>
      <w:tr w:rsidR="00935BEC" w:rsidRPr="00935BEC" w14:paraId="7EA7AC53" w14:textId="77777777" w:rsidTr="00935BEC">
        <w:trPr>
          <w:trHeight w:val="300"/>
          <w:jc w:val="center"/>
        </w:trPr>
        <w:tc>
          <w:tcPr>
            <w:tcW w:w="2670" w:type="dxa"/>
            <w:tcBorders>
              <w:top w:val="nil"/>
              <w:left w:val="nil"/>
              <w:bottom w:val="nil"/>
              <w:right w:val="nil"/>
            </w:tcBorders>
            <w:shd w:val="clear" w:color="000000" w:fill="FFFFFF"/>
            <w:noWrap/>
            <w:vAlign w:val="center"/>
            <w:hideMark/>
          </w:tcPr>
          <w:p w14:paraId="6B4C7C90" w14:textId="77777777" w:rsidR="00D966DB" w:rsidRPr="00935BEC" w:rsidRDefault="00D966DB" w:rsidP="00BF034F">
            <w:pPr>
              <w:ind w:firstLineChars="100" w:firstLine="180"/>
              <w:rPr>
                <w:rFonts w:ascii="Verdana" w:eastAsia="Times New Roman" w:hAnsi="Verdana" w:cs="Calibri"/>
                <w:color w:val="366092"/>
                <w:sz w:val="18"/>
                <w:szCs w:val="18"/>
              </w:rPr>
            </w:pPr>
            <w:r w:rsidRPr="00935BEC">
              <w:rPr>
                <w:rFonts w:ascii="Verdana" w:eastAsia="Times New Roman" w:hAnsi="Verdana" w:cs="Calibri"/>
                <w:color w:val="366092"/>
                <w:sz w:val="18"/>
                <w:szCs w:val="18"/>
              </w:rPr>
              <w:t>Λάρνακα</w:t>
            </w:r>
          </w:p>
        </w:tc>
        <w:tc>
          <w:tcPr>
            <w:tcW w:w="2304" w:type="dxa"/>
            <w:tcBorders>
              <w:top w:val="nil"/>
              <w:left w:val="nil"/>
              <w:bottom w:val="nil"/>
              <w:right w:val="nil"/>
            </w:tcBorders>
            <w:shd w:val="clear" w:color="000000" w:fill="FFFFFF"/>
            <w:noWrap/>
            <w:vAlign w:val="center"/>
            <w:hideMark/>
          </w:tcPr>
          <w:p w14:paraId="70538A7C"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371</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683</w:t>
            </w:r>
          </w:p>
        </w:tc>
        <w:tc>
          <w:tcPr>
            <w:tcW w:w="2304" w:type="dxa"/>
            <w:tcBorders>
              <w:top w:val="nil"/>
              <w:left w:val="nil"/>
              <w:bottom w:val="nil"/>
              <w:right w:val="nil"/>
            </w:tcBorders>
            <w:shd w:val="clear" w:color="000000" w:fill="FFFFFF"/>
            <w:noWrap/>
            <w:vAlign w:val="center"/>
            <w:hideMark/>
          </w:tcPr>
          <w:p w14:paraId="4FF49FB9"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383.024</w:t>
            </w:r>
          </w:p>
        </w:tc>
        <w:tc>
          <w:tcPr>
            <w:tcW w:w="1942" w:type="dxa"/>
            <w:tcBorders>
              <w:top w:val="nil"/>
              <w:left w:val="nil"/>
              <w:bottom w:val="nil"/>
              <w:right w:val="nil"/>
            </w:tcBorders>
            <w:shd w:val="clear" w:color="000000" w:fill="FFFFFF"/>
            <w:noWrap/>
            <w:vAlign w:val="center"/>
            <w:hideMark/>
          </w:tcPr>
          <w:p w14:paraId="76A04C9A" w14:textId="77777777" w:rsidR="00D966DB" w:rsidRPr="00935BEC" w:rsidRDefault="00D966DB" w:rsidP="00935BEC">
            <w:pPr>
              <w:ind w:right="680"/>
              <w:jc w:val="right"/>
              <w:rPr>
                <w:rFonts w:ascii="Verdana" w:eastAsia="Times New Roman" w:hAnsi="Verdana" w:cs="Calibri"/>
                <w:color w:val="366092"/>
                <w:sz w:val="18"/>
                <w:szCs w:val="18"/>
                <w:lang w:val="el-GR"/>
              </w:rPr>
            </w:pPr>
            <w:r w:rsidRPr="00935BEC">
              <w:rPr>
                <w:rFonts w:ascii="Verdana" w:eastAsia="Times New Roman" w:hAnsi="Verdana" w:cs="Calibri"/>
                <w:color w:val="366092"/>
                <w:sz w:val="18"/>
                <w:szCs w:val="18"/>
                <w:lang w:val="el-GR"/>
              </w:rPr>
              <w:t>-3</w:t>
            </w:r>
            <w:r w:rsidRPr="00935BEC">
              <w:rPr>
                <w:rFonts w:ascii="Verdana" w:eastAsia="Times New Roman" w:hAnsi="Verdana" w:cs="Calibri"/>
                <w:color w:val="366092"/>
                <w:sz w:val="18"/>
                <w:szCs w:val="18"/>
              </w:rPr>
              <w:t>,</w:t>
            </w:r>
            <w:r w:rsidRPr="00935BEC">
              <w:rPr>
                <w:rFonts w:ascii="Verdana" w:eastAsia="Times New Roman" w:hAnsi="Verdana" w:cs="Calibri"/>
                <w:color w:val="366092"/>
                <w:sz w:val="18"/>
                <w:szCs w:val="18"/>
                <w:lang w:val="el-GR"/>
              </w:rPr>
              <w:t>0</w:t>
            </w:r>
          </w:p>
        </w:tc>
      </w:tr>
      <w:tr w:rsidR="00935BEC" w:rsidRPr="00935BEC" w14:paraId="3C6EB85F" w14:textId="77777777" w:rsidTr="00935BEC">
        <w:trPr>
          <w:trHeight w:val="300"/>
          <w:jc w:val="center"/>
        </w:trPr>
        <w:tc>
          <w:tcPr>
            <w:tcW w:w="2670" w:type="dxa"/>
            <w:tcBorders>
              <w:top w:val="nil"/>
              <w:left w:val="nil"/>
              <w:bottom w:val="nil"/>
              <w:right w:val="nil"/>
            </w:tcBorders>
            <w:shd w:val="clear" w:color="000000" w:fill="FFFFFF"/>
            <w:noWrap/>
            <w:vAlign w:val="center"/>
            <w:hideMark/>
          </w:tcPr>
          <w:p w14:paraId="018ADA14" w14:textId="77777777" w:rsidR="00D966DB" w:rsidRPr="00935BEC" w:rsidRDefault="00D966DB" w:rsidP="00BF034F">
            <w:pPr>
              <w:ind w:firstLineChars="100" w:firstLine="180"/>
              <w:rPr>
                <w:rFonts w:ascii="Verdana" w:eastAsia="Times New Roman" w:hAnsi="Verdana" w:cs="Calibri"/>
                <w:color w:val="366092"/>
                <w:sz w:val="18"/>
                <w:szCs w:val="18"/>
              </w:rPr>
            </w:pPr>
            <w:r w:rsidRPr="00935BEC">
              <w:rPr>
                <w:rFonts w:ascii="Verdana" w:eastAsia="Times New Roman" w:hAnsi="Verdana" w:cs="Calibri"/>
                <w:color w:val="366092"/>
                <w:sz w:val="18"/>
                <w:szCs w:val="18"/>
              </w:rPr>
              <w:t>Λεμεσός</w:t>
            </w:r>
          </w:p>
        </w:tc>
        <w:tc>
          <w:tcPr>
            <w:tcW w:w="2304" w:type="dxa"/>
            <w:tcBorders>
              <w:top w:val="nil"/>
              <w:left w:val="nil"/>
              <w:bottom w:val="nil"/>
              <w:right w:val="nil"/>
            </w:tcBorders>
            <w:shd w:val="clear" w:color="000000" w:fill="FFFFFF"/>
            <w:noWrap/>
            <w:vAlign w:val="center"/>
            <w:hideMark/>
          </w:tcPr>
          <w:p w14:paraId="46DCD05C"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161</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181</w:t>
            </w:r>
          </w:p>
        </w:tc>
        <w:tc>
          <w:tcPr>
            <w:tcW w:w="2304" w:type="dxa"/>
            <w:tcBorders>
              <w:top w:val="nil"/>
              <w:left w:val="nil"/>
              <w:bottom w:val="nil"/>
              <w:right w:val="nil"/>
            </w:tcBorders>
            <w:shd w:val="clear" w:color="000000" w:fill="FFFFFF"/>
            <w:noWrap/>
            <w:vAlign w:val="center"/>
            <w:hideMark/>
          </w:tcPr>
          <w:p w14:paraId="203241E0"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173.549</w:t>
            </w:r>
          </w:p>
        </w:tc>
        <w:tc>
          <w:tcPr>
            <w:tcW w:w="1942" w:type="dxa"/>
            <w:tcBorders>
              <w:top w:val="nil"/>
              <w:left w:val="nil"/>
              <w:bottom w:val="nil"/>
              <w:right w:val="nil"/>
            </w:tcBorders>
            <w:shd w:val="clear" w:color="000000" w:fill="FFFFFF"/>
            <w:noWrap/>
            <w:vAlign w:val="center"/>
            <w:hideMark/>
          </w:tcPr>
          <w:p w14:paraId="4315F542" w14:textId="77777777" w:rsidR="00D966DB" w:rsidRPr="00935BEC" w:rsidRDefault="00D966DB" w:rsidP="00935BEC">
            <w:pPr>
              <w:ind w:right="680"/>
              <w:jc w:val="right"/>
              <w:rPr>
                <w:rFonts w:ascii="Verdana" w:eastAsia="Times New Roman" w:hAnsi="Verdana" w:cs="Calibri"/>
                <w:color w:val="366092"/>
                <w:sz w:val="18"/>
                <w:szCs w:val="18"/>
                <w:lang w:val="el-GR"/>
              </w:rPr>
            </w:pPr>
            <w:r w:rsidRPr="00935BEC">
              <w:rPr>
                <w:rFonts w:ascii="Verdana" w:eastAsia="Times New Roman" w:hAnsi="Verdana" w:cs="Calibri"/>
                <w:color w:val="366092"/>
                <w:sz w:val="18"/>
                <w:szCs w:val="18"/>
              </w:rPr>
              <w:t xml:space="preserve"> </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7,</w:t>
            </w:r>
            <w:r w:rsidRPr="00935BEC">
              <w:rPr>
                <w:rFonts w:ascii="Verdana" w:eastAsia="Times New Roman" w:hAnsi="Verdana" w:cs="Calibri"/>
                <w:color w:val="366092"/>
                <w:sz w:val="18"/>
                <w:szCs w:val="18"/>
                <w:lang w:val="el-GR"/>
              </w:rPr>
              <w:t>1</w:t>
            </w:r>
          </w:p>
        </w:tc>
      </w:tr>
      <w:tr w:rsidR="00935BEC" w:rsidRPr="00935BEC" w14:paraId="0300E84E" w14:textId="77777777" w:rsidTr="00790B7E">
        <w:trPr>
          <w:trHeight w:val="315"/>
          <w:jc w:val="center"/>
        </w:trPr>
        <w:tc>
          <w:tcPr>
            <w:tcW w:w="2670" w:type="dxa"/>
            <w:tcBorders>
              <w:top w:val="nil"/>
              <w:left w:val="nil"/>
              <w:bottom w:val="single" w:sz="4" w:space="0" w:color="366092"/>
              <w:right w:val="nil"/>
            </w:tcBorders>
            <w:shd w:val="clear" w:color="000000" w:fill="FFFFFF"/>
            <w:noWrap/>
            <w:vAlign w:val="center"/>
            <w:hideMark/>
          </w:tcPr>
          <w:p w14:paraId="7EA3F4B7" w14:textId="77777777" w:rsidR="00D966DB" w:rsidRPr="00935BEC" w:rsidRDefault="00D966DB" w:rsidP="00BF034F">
            <w:pPr>
              <w:ind w:firstLineChars="100" w:firstLine="180"/>
              <w:rPr>
                <w:rFonts w:ascii="Verdana" w:eastAsia="Times New Roman" w:hAnsi="Verdana" w:cs="Calibri"/>
                <w:color w:val="366092"/>
                <w:sz w:val="18"/>
                <w:szCs w:val="18"/>
              </w:rPr>
            </w:pPr>
            <w:r w:rsidRPr="00935BEC">
              <w:rPr>
                <w:rFonts w:ascii="Verdana" w:eastAsia="Times New Roman" w:hAnsi="Verdana" w:cs="Calibri"/>
                <w:color w:val="366092"/>
                <w:sz w:val="18"/>
                <w:szCs w:val="18"/>
              </w:rPr>
              <w:t>Πάφος</w:t>
            </w:r>
          </w:p>
        </w:tc>
        <w:tc>
          <w:tcPr>
            <w:tcW w:w="2304" w:type="dxa"/>
            <w:tcBorders>
              <w:top w:val="nil"/>
              <w:left w:val="nil"/>
              <w:bottom w:val="single" w:sz="4" w:space="0" w:color="366092"/>
              <w:right w:val="nil"/>
            </w:tcBorders>
            <w:shd w:val="clear" w:color="000000" w:fill="FFFFFF"/>
            <w:noWrap/>
            <w:vAlign w:val="center"/>
            <w:hideMark/>
          </w:tcPr>
          <w:p w14:paraId="72F0195F"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237</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816</w:t>
            </w:r>
          </w:p>
        </w:tc>
        <w:tc>
          <w:tcPr>
            <w:tcW w:w="2304" w:type="dxa"/>
            <w:tcBorders>
              <w:top w:val="nil"/>
              <w:left w:val="nil"/>
              <w:bottom w:val="single" w:sz="4" w:space="0" w:color="366092"/>
              <w:right w:val="nil"/>
            </w:tcBorders>
            <w:shd w:val="clear" w:color="000000" w:fill="FFFFFF"/>
            <w:noWrap/>
            <w:vAlign w:val="center"/>
            <w:hideMark/>
          </w:tcPr>
          <w:p w14:paraId="000A4C53" w14:textId="77777777" w:rsidR="00D966DB" w:rsidRPr="00935BEC" w:rsidRDefault="00D966DB" w:rsidP="00BF034F">
            <w:pPr>
              <w:ind w:right="56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261.400</w:t>
            </w:r>
          </w:p>
        </w:tc>
        <w:tc>
          <w:tcPr>
            <w:tcW w:w="1942" w:type="dxa"/>
            <w:tcBorders>
              <w:top w:val="nil"/>
              <w:left w:val="nil"/>
              <w:bottom w:val="single" w:sz="4" w:space="0" w:color="366092"/>
              <w:right w:val="nil"/>
            </w:tcBorders>
            <w:shd w:val="clear" w:color="000000" w:fill="FFFFFF"/>
            <w:noWrap/>
            <w:vAlign w:val="center"/>
            <w:hideMark/>
          </w:tcPr>
          <w:p w14:paraId="261EB48A" w14:textId="77777777" w:rsidR="00D966DB" w:rsidRPr="00935BEC" w:rsidRDefault="00D966DB" w:rsidP="00935BEC">
            <w:pPr>
              <w:ind w:right="680"/>
              <w:jc w:val="right"/>
              <w:rPr>
                <w:rFonts w:ascii="Verdana" w:eastAsia="Times New Roman" w:hAnsi="Verdana" w:cs="Calibri"/>
                <w:color w:val="366092"/>
                <w:sz w:val="18"/>
                <w:szCs w:val="18"/>
                <w:lang w:val="el-GR"/>
              </w:rPr>
            </w:pPr>
            <w:r w:rsidRPr="00935BEC">
              <w:rPr>
                <w:rFonts w:ascii="Verdana" w:eastAsia="Times New Roman" w:hAnsi="Verdana" w:cs="Calibri"/>
                <w:color w:val="366092"/>
                <w:sz w:val="18"/>
                <w:szCs w:val="18"/>
              </w:rPr>
              <w:t xml:space="preserve"> </w:t>
            </w:r>
            <w:r w:rsidRPr="00935BEC">
              <w:rPr>
                <w:rFonts w:ascii="Verdana" w:eastAsia="Times New Roman" w:hAnsi="Verdana" w:cs="Calibri"/>
                <w:color w:val="366092"/>
                <w:sz w:val="18"/>
                <w:szCs w:val="18"/>
                <w:lang w:val="el-GR"/>
              </w:rPr>
              <w:t>-9</w:t>
            </w:r>
            <w:r w:rsidRPr="00935BEC">
              <w:rPr>
                <w:rFonts w:ascii="Verdana" w:eastAsia="Times New Roman" w:hAnsi="Verdana" w:cs="Calibri"/>
                <w:color w:val="366092"/>
                <w:sz w:val="18"/>
                <w:szCs w:val="18"/>
              </w:rPr>
              <w:t>,</w:t>
            </w:r>
            <w:r w:rsidRPr="00935BEC">
              <w:rPr>
                <w:rFonts w:ascii="Verdana" w:eastAsia="Times New Roman" w:hAnsi="Verdana" w:cs="Calibri"/>
                <w:color w:val="366092"/>
                <w:sz w:val="18"/>
                <w:szCs w:val="18"/>
                <w:lang w:val="el-GR"/>
              </w:rPr>
              <w:t>0</w:t>
            </w:r>
          </w:p>
        </w:tc>
      </w:tr>
    </w:tbl>
    <w:p w14:paraId="54DCB51A" w14:textId="77777777" w:rsidR="00D966DB" w:rsidRDefault="00D966DB" w:rsidP="00D966DB">
      <w:pPr>
        <w:jc w:val="both"/>
        <w:rPr>
          <w:rFonts w:ascii="Verdana" w:hAnsi="Verdana"/>
          <w:noProof/>
          <w:sz w:val="18"/>
          <w:szCs w:val="18"/>
          <w:lang w:val="el-GR"/>
        </w:rPr>
      </w:pPr>
    </w:p>
    <w:p w14:paraId="321C8C34" w14:textId="77777777" w:rsidR="00D966DB" w:rsidRDefault="00D966DB" w:rsidP="00D966DB">
      <w:pPr>
        <w:jc w:val="both"/>
        <w:rPr>
          <w:rFonts w:ascii="Verdana" w:hAnsi="Verdana"/>
          <w:noProof/>
          <w:sz w:val="18"/>
          <w:szCs w:val="18"/>
          <w:lang w:val="el-GR"/>
        </w:rPr>
      </w:pPr>
    </w:p>
    <w:p w14:paraId="0C3B64A3" w14:textId="77777777" w:rsidR="00D966DB" w:rsidRPr="00E428AE" w:rsidRDefault="00D966DB" w:rsidP="00D966DB">
      <w:pPr>
        <w:tabs>
          <w:tab w:val="left" w:pos="324"/>
        </w:tabs>
        <w:rPr>
          <w:rFonts w:ascii="Verdana" w:hAnsi="Verdana" w:cs="Calibri"/>
          <w:b/>
          <w:sz w:val="18"/>
          <w:szCs w:val="18"/>
          <w:u w:val="single"/>
          <w:lang w:val="el-GR"/>
        </w:rPr>
      </w:pPr>
      <w:r w:rsidRPr="00E428AE">
        <w:rPr>
          <w:rFonts w:ascii="Verdana" w:hAnsi="Verdana" w:cs="Calibri"/>
          <w:b/>
          <w:sz w:val="18"/>
          <w:szCs w:val="18"/>
          <w:u w:val="single"/>
          <w:lang w:val="el-GR"/>
        </w:rPr>
        <w:t>Κάτοχοι ή Διαχειριστές Εκμεταλλεύσεων</w:t>
      </w:r>
    </w:p>
    <w:p w14:paraId="5D90681A" w14:textId="77777777" w:rsidR="00D966DB" w:rsidRPr="00E428AE" w:rsidRDefault="00D966DB" w:rsidP="00D966DB">
      <w:pPr>
        <w:tabs>
          <w:tab w:val="left" w:pos="324"/>
        </w:tabs>
        <w:rPr>
          <w:rFonts w:ascii="Verdana" w:hAnsi="Verdana" w:cs="Calibri"/>
          <w:sz w:val="18"/>
          <w:szCs w:val="18"/>
          <w:lang w:val="el-GR"/>
        </w:rPr>
      </w:pPr>
    </w:p>
    <w:p w14:paraId="07F691B4" w14:textId="61D20D22" w:rsidR="00D966DB" w:rsidRPr="00E428AE" w:rsidRDefault="00D966DB" w:rsidP="00D966DB">
      <w:pPr>
        <w:jc w:val="both"/>
        <w:rPr>
          <w:rFonts w:ascii="Verdana" w:hAnsi="Verdana"/>
          <w:sz w:val="18"/>
          <w:szCs w:val="18"/>
          <w:lang w:val="el-GR"/>
        </w:rPr>
      </w:pPr>
      <w:bookmarkStart w:id="1" w:name="_Hlk212796650"/>
      <w:r w:rsidRPr="00E428AE">
        <w:rPr>
          <w:rFonts w:ascii="Verdana" w:hAnsi="Verdana"/>
          <w:sz w:val="18"/>
          <w:szCs w:val="18"/>
          <w:lang w:val="el-GR"/>
        </w:rPr>
        <w:t xml:space="preserve">Το </w:t>
      </w:r>
      <w:r w:rsidRPr="00E428AE">
        <w:rPr>
          <w:rFonts w:ascii="Verdana" w:hAnsi="Verdana" w:cs="Calibri"/>
          <w:sz w:val="18"/>
          <w:szCs w:val="18"/>
          <w:lang w:val="el-GR"/>
        </w:rPr>
        <w:t>9</w:t>
      </w:r>
      <w:r>
        <w:rPr>
          <w:rFonts w:ascii="Verdana" w:hAnsi="Verdana" w:cs="Calibri"/>
          <w:sz w:val="18"/>
          <w:szCs w:val="18"/>
          <w:lang w:val="el-GR"/>
        </w:rPr>
        <w:t>6</w:t>
      </w:r>
      <w:r w:rsidRPr="00E428AE">
        <w:rPr>
          <w:rFonts w:ascii="Verdana" w:hAnsi="Verdana" w:cs="Calibri"/>
          <w:sz w:val="18"/>
          <w:szCs w:val="18"/>
          <w:lang w:val="el-GR"/>
        </w:rPr>
        <w:t>,</w:t>
      </w:r>
      <w:r>
        <w:rPr>
          <w:rFonts w:ascii="Verdana" w:hAnsi="Verdana" w:cs="Calibri"/>
          <w:sz w:val="18"/>
          <w:szCs w:val="18"/>
          <w:lang w:val="el-GR"/>
        </w:rPr>
        <w:t>9</w:t>
      </w:r>
      <w:r w:rsidRPr="00E428AE">
        <w:rPr>
          <w:rFonts w:ascii="Verdana" w:hAnsi="Verdana" w:cs="Calibri"/>
          <w:sz w:val="18"/>
          <w:szCs w:val="18"/>
          <w:lang w:val="el-GR"/>
        </w:rPr>
        <w:t xml:space="preserve">% των γεωργικών και κτηνοτροφικών εκμεταλλεύσεων ανήκουν σε φυσικά πρόσωπα (ατομικές ή </w:t>
      </w:r>
      <w:proofErr w:type="spellStart"/>
      <w:r w:rsidRPr="00E428AE">
        <w:rPr>
          <w:rFonts w:ascii="Verdana" w:hAnsi="Verdana" w:cs="Calibri"/>
          <w:sz w:val="18"/>
          <w:szCs w:val="18"/>
          <w:lang w:val="el-GR"/>
        </w:rPr>
        <w:t>συνδιαχείριση</w:t>
      </w:r>
      <w:proofErr w:type="spellEnd"/>
      <w:r w:rsidRPr="00E428AE">
        <w:rPr>
          <w:rFonts w:ascii="Verdana" w:hAnsi="Verdana" w:cs="Calibri"/>
          <w:sz w:val="18"/>
          <w:szCs w:val="18"/>
          <w:lang w:val="el-GR"/>
        </w:rPr>
        <w:t>), το 0,2% στο δημόσιο ή σε νομικό πρόσωπο δημοσίου δικαίου (ΝΠΔΔ) και το υπόλοιπο 2,</w:t>
      </w:r>
      <w:r>
        <w:rPr>
          <w:rFonts w:ascii="Verdana" w:hAnsi="Verdana" w:cs="Calibri"/>
          <w:sz w:val="18"/>
          <w:szCs w:val="18"/>
          <w:lang w:val="el-GR"/>
        </w:rPr>
        <w:t>9</w:t>
      </w:r>
      <w:r w:rsidRPr="00E428AE">
        <w:rPr>
          <w:rFonts w:ascii="Verdana" w:hAnsi="Verdana" w:cs="Calibri"/>
          <w:sz w:val="18"/>
          <w:szCs w:val="18"/>
          <w:lang w:val="el-GR"/>
        </w:rPr>
        <w:t xml:space="preserve">% λειτουργούν ως </w:t>
      </w:r>
      <w:r w:rsidRPr="00E428AE">
        <w:rPr>
          <w:rFonts w:ascii="Verdana" w:eastAsia="Malgun Gothic" w:hAnsi="Verdana" w:cs="Calibri"/>
          <w:sz w:val="18"/>
          <w:szCs w:val="18"/>
          <w:lang w:val="el-GR"/>
        </w:rPr>
        <w:t>εταιρείες, συνεταιρισμοί ή με άλλη</w:t>
      </w:r>
      <w:r w:rsidRPr="00E428AE">
        <w:rPr>
          <w:rFonts w:ascii="Verdana" w:hAnsi="Verdana" w:cs="Calibri"/>
          <w:sz w:val="18"/>
          <w:szCs w:val="18"/>
          <w:lang w:val="el-GR"/>
        </w:rPr>
        <w:t xml:space="preserve"> μορφή. </w:t>
      </w:r>
      <w:r w:rsidRPr="00E428AE">
        <w:rPr>
          <w:rFonts w:ascii="Verdana" w:hAnsi="Verdana"/>
          <w:sz w:val="18"/>
          <w:szCs w:val="18"/>
          <w:lang w:val="el-GR"/>
        </w:rPr>
        <w:t>Σε σύγκριση με την Απογραφή του 20</w:t>
      </w:r>
      <w:r>
        <w:rPr>
          <w:rFonts w:ascii="Verdana" w:hAnsi="Verdana"/>
          <w:sz w:val="18"/>
          <w:szCs w:val="18"/>
          <w:lang w:val="el-GR"/>
        </w:rPr>
        <w:t>2</w:t>
      </w:r>
      <w:r w:rsidRPr="00E428AE">
        <w:rPr>
          <w:rFonts w:ascii="Verdana" w:hAnsi="Verdana"/>
          <w:sz w:val="18"/>
          <w:szCs w:val="18"/>
          <w:lang w:val="el-GR"/>
        </w:rPr>
        <w:t>0, παρατηρήθηκε μείωση στο ποσοστό των εκμεταλλεύσεων που ανήκουν σε φυσικά πρόσωπα (9</w:t>
      </w:r>
      <w:r>
        <w:rPr>
          <w:rFonts w:ascii="Verdana" w:hAnsi="Verdana"/>
          <w:sz w:val="18"/>
          <w:szCs w:val="18"/>
          <w:lang w:val="el-GR"/>
        </w:rPr>
        <w:t>7</w:t>
      </w:r>
      <w:r w:rsidRPr="00E428AE">
        <w:rPr>
          <w:rFonts w:ascii="Verdana" w:hAnsi="Verdana"/>
          <w:sz w:val="18"/>
          <w:szCs w:val="18"/>
          <w:lang w:val="el-GR"/>
        </w:rPr>
        <w:t>,</w:t>
      </w:r>
      <w:r>
        <w:rPr>
          <w:rFonts w:ascii="Verdana" w:hAnsi="Verdana"/>
          <w:sz w:val="18"/>
          <w:szCs w:val="18"/>
          <w:lang w:val="el-GR"/>
        </w:rPr>
        <w:t>5</w:t>
      </w:r>
      <w:r w:rsidRPr="00E428AE">
        <w:rPr>
          <w:rFonts w:ascii="Verdana" w:hAnsi="Verdana"/>
          <w:sz w:val="18"/>
          <w:szCs w:val="18"/>
          <w:lang w:val="el-GR"/>
        </w:rPr>
        <w:t>% το 20</w:t>
      </w:r>
      <w:r>
        <w:rPr>
          <w:rFonts w:ascii="Verdana" w:hAnsi="Verdana"/>
          <w:sz w:val="18"/>
          <w:szCs w:val="18"/>
          <w:lang w:val="el-GR"/>
        </w:rPr>
        <w:t>2</w:t>
      </w:r>
      <w:r w:rsidRPr="00E428AE">
        <w:rPr>
          <w:rFonts w:ascii="Verdana" w:hAnsi="Verdana"/>
          <w:sz w:val="18"/>
          <w:szCs w:val="18"/>
          <w:lang w:val="el-GR"/>
        </w:rPr>
        <w:t>0) και αύξηση στο ποσοστό των εταιρειών (</w:t>
      </w:r>
      <w:r>
        <w:rPr>
          <w:rFonts w:ascii="Verdana" w:hAnsi="Verdana"/>
          <w:sz w:val="18"/>
          <w:szCs w:val="18"/>
          <w:lang w:val="el-GR"/>
        </w:rPr>
        <w:t>2</w:t>
      </w:r>
      <w:r w:rsidRPr="00E428AE">
        <w:rPr>
          <w:rFonts w:ascii="Verdana" w:hAnsi="Verdana"/>
          <w:sz w:val="18"/>
          <w:szCs w:val="18"/>
          <w:lang w:val="el-GR"/>
        </w:rPr>
        <w:t>,</w:t>
      </w:r>
      <w:r>
        <w:rPr>
          <w:rFonts w:ascii="Verdana" w:hAnsi="Verdana"/>
          <w:sz w:val="18"/>
          <w:szCs w:val="18"/>
          <w:lang w:val="el-GR"/>
        </w:rPr>
        <w:t>3</w:t>
      </w:r>
      <w:r w:rsidRPr="00E428AE">
        <w:rPr>
          <w:rFonts w:ascii="Verdana" w:hAnsi="Verdana"/>
          <w:sz w:val="18"/>
          <w:szCs w:val="18"/>
          <w:lang w:val="el-GR"/>
        </w:rPr>
        <w:t>% το 20</w:t>
      </w:r>
      <w:r>
        <w:rPr>
          <w:rFonts w:ascii="Verdana" w:hAnsi="Verdana"/>
          <w:sz w:val="18"/>
          <w:szCs w:val="18"/>
          <w:lang w:val="el-GR"/>
        </w:rPr>
        <w:t>2</w:t>
      </w:r>
      <w:r w:rsidRPr="00E428AE">
        <w:rPr>
          <w:rFonts w:ascii="Verdana" w:hAnsi="Verdana"/>
          <w:sz w:val="18"/>
          <w:szCs w:val="18"/>
          <w:lang w:val="el-GR"/>
        </w:rPr>
        <w:t xml:space="preserve">0), ενώ το μερίδιο του δημοσίου ή των ΝΠΔΔ παραμένει </w:t>
      </w:r>
      <w:r w:rsidR="00E6170B">
        <w:rPr>
          <w:rFonts w:ascii="Verdana" w:hAnsi="Verdana"/>
          <w:sz w:val="18"/>
          <w:szCs w:val="18"/>
          <w:lang w:val="el-GR"/>
        </w:rPr>
        <w:t>σταθερό</w:t>
      </w:r>
      <w:r w:rsidR="00822E20">
        <w:rPr>
          <w:rFonts w:ascii="Verdana" w:hAnsi="Verdana"/>
          <w:sz w:val="18"/>
          <w:szCs w:val="18"/>
          <w:lang w:val="el-GR"/>
        </w:rPr>
        <w:t xml:space="preserve"> </w:t>
      </w:r>
      <w:r w:rsidRPr="00E428AE">
        <w:rPr>
          <w:rFonts w:ascii="Verdana" w:hAnsi="Verdana"/>
          <w:sz w:val="18"/>
          <w:szCs w:val="18"/>
          <w:lang w:val="el-GR"/>
        </w:rPr>
        <w:t>στο 0,2%.</w:t>
      </w:r>
    </w:p>
    <w:bookmarkEnd w:id="1"/>
    <w:p w14:paraId="19405B38" w14:textId="77777777" w:rsidR="00D966DB" w:rsidRPr="00E428AE" w:rsidRDefault="00D966DB" w:rsidP="00D966DB">
      <w:pPr>
        <w:ind w:left="720"/>
        <w:jc w:val="both"/>
        <w:rPr>
          <w:rFonts w:ascii="Verdana" w:hAnsi="Verdana"/>
          <w:sz w:val="18"/>
          <w:szCs w:val="18"/>
          <w:lang w:val="el-GR"/>
        </w:rPr>
      </w:pPr>
    </w:p>
    <w:p w14:paraId="54F828FE" w14:textId="7A05DACF" w:rsidR="00D966DB" w:rsidRPr="00E428AE" w:rsidRDefault="00D966DB" w:rsidP="00D966DB">
      <w:pPr>
        <w:jc w:val="both"/>
        <w:rPr>
          <w:rFonts w:ascii="Verdana" w:hAnsi="Verdana"/>
          <w:sz w:val="18"/>
          <w:szCs w:val="18"/>
          <w:lang w:val="el-GR"/>
        </w:rPr>
      </w:pPr>
      <w:bookmarkStart w:id="2" w:name="_Hlk212796746"/>
      <w:r w:rsidRPr="00E428AE">
        <w:rPr>
          <w:rFonts w:ascii="Verdana" w:hAnsi="Verdana"/>
          <w:sz w:val="18"/>
          <w:szCs w:val="18"/>
          <w:lang w:val="el-GR"/>
        </w:rPr>
        <w:lastRenderedPageBreak/>
        <w:t xml:space="preserve">Η </w:t>
      </w:r>
      <w:r>
        <w:rPr>
          <w:rFonts w:ascii="Verdana" w:hAnsi="Verdana"/>
          <w:sz w:val="18"/>
          <w:szCs w:val="18"/>
          <w:lang w:val="el-GR"/>
        </w:rPr>
        <w:t>Έρευνα</w:t>
      </w:r>
      <w:r w:rsidRPr="00E428AE">
        <w:rPr>
          <w:rFonts w:ascii="Verdana" w:hAnsi="Verdana"/>
          <w:sz w:val="18"/>
          <w:szCs w:val="18"/>
          <w:lang w:val="el-GR"/>
        </w:rPr>
        <w:t xml:space="preserve"> του 202</w:t>
      </w:r>
      <w:r>
        <w:rPr>
          <w:rFonts w:ascii="Verdana" w:hAnsi="Verdana"/>
          <w:sz w:val="18"/>
          <w:szCs w:val="18"/>
          <w:lang w:val="el-GR"/>
        </w:rPr>
        <w:t>3</w:t>
      </w:r>
      <w:r w:rsidRPr="00E428AE">
        <w:rPr>
          <w:rFonts w:ascii="Verdana" w:hAnsi="Verdana"/>
          <w:sz w:val="18"/>
          <w:szCs w:val="18"/>
          <w:lang w:val="el-GR"/>
        </w:rPr>
        <w:t xml:space="preserve"> έδειξε ότι το 5</w:t>
      </w:r>
      <w:r w:rsidRPr="0045497B">
        <w:rPr>
          <w:rFonts w:ascii="Verdana" w:hAnsi="Verdana"/>
          <w:sz w:val="18"/>
          <w:szCs w:val="18"/>
          <w:lang w:val="el-GR"/>
        </w:rPr>
        <w:t>4</w:t>
      </w:r>
      <w:r w:rsidRPr="00E428AE">
        <w:rPr>
          <w:rFonts w:ascii="Verdana" w:hAnsi="Verdana"/>
          <w:sz w:val="18"/>
          <w:szCs w:val="18"/>
          <w:lang w:val="el-GR"/>
        </w:rPr>
        <w:t>,</w:t>
      </w:r>
      <w:r w:rsidRPr="0045497B">
        <w:rPr>
          <w:rFonts w:ascii="Verdana" w:hAnsi="Verdana"/>
          <w:sz w:val="18"/>
          <w:szCs w:val="18"/>
          <w:lang w:val="el-GR"/>
        </w:rPr>
        <w:t>5</w:t>
      </w:r>
      <w:r w:rsidRPr="00E428AE">
        <w:rPr>
          <w:rFonts w:ascii="Verdana" w:hAnsi="Verdana"/>
          <w:sz w:val="18"/>
          <w:szCs w:val="18"/>
          <w:lang w:val="el-GR"/>
        </w:rPr>
        <w:t>% των κατόχων και μελών του νοικοκυριού είχαν τη γεωργία ή/και την κτηνοτροφία ως κύριο ή μοναδικό επάγγελμα, ενώ το 4</w:t>
      </w:r>
      <w:r w:rsidRPr="0045497B">
        <w:rPr>
          <w:rFonts w:ascii="Verdana" w:hAnsi="Verdana"/>
          <w:sz w:val="18"/>
          <w:szCs w:val="18"/>
          <w:lang w:val="el-GR"/>
        </w:rPr>
        <w:t>5</w:t>
      </w:r>
      <w:r w:rsidRPr="00E428AE">
        <w:rPr>
          <w:rFonts w:ascii="Verdana" w:hAnsi="Verdana"/>
          <w:sz w:val="18"/>
          <w:szCs w:val="18"/>
          <w:lang w:val="el-GR"/>
        </w:rPr>
        <w:t>,</w:t>
      </w:r>
      <w:r w:rsidRPr="0045497B">
        <w:rPr>
          <w:rFonts w:ascii="Verdana" w:hAnsi="Verdana"/>
          <w:sz w:val="18"/>
          <w:szCs w:val="18"/>
          <w:lang w:val="el-GR"/>
        </w:rPr>
        <w:t>5</w:t>
      </w:r>
      <w:r w:rsidRPr="00E428AE">
        <w:rPr>
          <w:rFonts w:ascii="Verdana" w:hAnsi="Verdana"/>
          <w:sz w:val="18"/>
          <w:szCs w:val="18"/>
          <w:lang w:val="el-GR"/>
        </w:rPr>
        <w:t xml:space="preserve">% </w:t>
      </w:r>
      <w:proofErr w:type="spellStart"/>
      <w:r w:rsidRPr="00E428AE">
        <w:rPr>
          <w:rFonts w:ascii="Verdana" w:hAnsi="Verdana"/>
          <w:sz w:val="18"/>
          <w:szCs w:val="18"/>
          <w:lang w:val="el-GR"/>
        </w:rPr>
        <w:t>εργοδοτούνταν</w:t>
      </w:r>
      <w:proofErr w:type="spellEnd"/>
      <w:r w:rsidRPr="00E428AE">
        <w:rPr>
          <w:rFonts w:ascii="Verdana" w:hAnsi="Verdana"/>
          <w:sz w:val="18"/>
          <w:szCs w:val="18"/>
          <w:lang w:val="el-GR"/>
        </w:rPr>
        <w:t xml:space="preserve"> κυρίως σε άλλους τομείς οικονομικής δραστηριότητας (έναντι </w:t>
      </w:r>
      <w:r w:rsidRPr="0045497B">
        <w:rPr>
          <w:rFonts w:ascii="Verdana" w:hAnsi="Verdana"/>
          <w:sz w:val="18"/>
          <w:szCs w:val="18"/>
          <w:lang w:val="el-GR"/>
        </w:rPr>
        <w:t>5</w:t>
      </w:r>
      <w:r w:rsidR="003C6C8B" w:rsidRPr="003C6C8B">
        <w:rPr>
          <w:rFonts w:ascii="Verdana" w:hAnsi="Verdana"/>
          <w:sz w:val="18"/>
          <w:szCs w:val="18"/>
          <w:lang w:val="el-GR"/>
        </w:rPr>
        <w:t>1</w:t>
      </w:r>
      <w:r w:rsidRPr="00E428AE">
        <w:rPr>
          <w:rFonts w:ascii="Verdana" w:hAnsi="Verdana"/>
          <w:sz w:val="18"/>
          <w:szCs w:val="18"/>
          <w:lang w:val="el-GR"/>
        </w:rPr>
        <w:t>,</w:t>
      </w:r>
      <w:r w:rsidR="003C6C8B" w:rsidRPr="003C6C8B">
        <w:rPr>
          <w:rFonts w:ascii="Verdana" w:hAnsi="Verdana"/>
          <w:sz w:val="18"/>
          <w:szCs w:val="18"/>
          <w:lang w:val="el-GR"/>
        </w:rPr>
        <w:t>7</w:t>
      </w:r>
      <w:r w:rsidRPr="00E428AE">
        <w:rPr>
          <w:rFonts w:ascii="Verdana" w:hAnsi="Verdana"/>
          <w:sz w:val="18"/>
          <w:szCs w:val="18"/>
          <w:lang w:val="el-GR"/>
        </w:rPr>
        <w:t xml:space="preserve">% και </w:t>
      </w:r>
      <w:r w:rsidRPr="0045497B">
        <w:rPr>
          <w:rFonts w:ascii="Verdana" w:hAnsi="Verdana"/>
          <w:sz w:val="18"/>
          <w:szCs w:val="18"/>
          <w:lang w:val="el-GR"/>
        </w:rPr>
        <w:t>48</w:t>
      </w:r>
      <w:r w:rsidRPr="00E428AE">
        <w:rPr>
          <w:rFonts w:ascii="Verdana" w:hAnsi="Verdana"/>
          <w:sz w:val="18"/>
          <w:szCs w:val="18"/>
          <w:lang w:val="el-GR"/>
        </w:rPr>
        <w:t>,</w:t>
      </w:r>
      <w:r w:rsidRPr="0045497B">
        <w:rPr>
          <w:rFonts w:ascii="Verdana" w:hAnsi="Verdana"/>
          <w:sz w:val="18"/>
          <w:szCs w:val="18"/>
          <w:lang w:val="el-GR"/>
        </w:rPr>
        <w:t>3</w:t>
      </w:r>
      <w:r w:rsidRPr="00E428AE">
        <w:rPr>
          <w:rFonts w:ascii="Verdana" w:hAnsi="Verdana"/>
          <w:sz w:val="18"/>
          <w:szCs w:val="18"/>
          <w:lang w:val="el-GR"/>
        </w:rPr>
        <w:t>% αντίστοιχα το 20</w:t>
      </w:r>
      <w:r w:rsidRPr="0045497B">
        <w:rPr>
          <w:rFonts w:ascii="Verdana" w:hAnsi="Verdana"/>
          <w:sz w:val="18"/>
          <w:szCs w:val="18"/>
          <w:lang w:val="el-GR"/>
        </w:rPr>
        <w:t>2</w:t>
      </w:r>
      <w:r w:rsidRPr="00E428AE">
        <w:rPr>
          <w:rFonts w:ascii="Verdana" w:hAnsi="Verdana"/>
          <w:sz w:val="18"/>
          <w:szCs w:val="18"/>
          <w:lang w:val="el-GR"/>
        </w:rPr>
        <w:t xml:space="preserve">0). </w:t>
      </w:r>
    </w:p>
    <w:p w14:paraId="4F497436" w14:textId="77777777" w:rsidR="00D966DB" w:rsidRPr="00E428AE" w:rsidRDefault="00D966DB" w:rsidP="00D966DB">
      <w:pPr>
        <w:jc w:val="both"/>
        <w:rPr>
          <w:rFonts w:ascii="Verdana" w:hAnsi="Verdana"/>
          <w:sz w:val="18"/>
          <w:szCs w:val="18"/>
          <w:lang w:val="el-GR"/>
        </w:rPr>
      </w:pPr>
    </w:p>
    <w:p w14:paraId="4FFC1096" w14:textId="76B7C783" w:rsidR="00D966DB" w:rsidRPr="00E428AE" w:rsidRDefault="00987578" w:rsidP="00D966DB">
      <w:pPr>
        <w:jc w:val="both"/>
        <w:rPr>
          <w:rFonts w:ascii="Verdana" w:hAnsi="Verdana"/>
          <w:sz w:val="18"/>
          <w:szCs w:val="18"/>
          <w:lang w:val="el-GR"/>
        </w:rPr>
      </w:pPr>
      <w:r>
        <w:rPr>
          <w:rFonts w:ascii="Verdana" w:hAnsi="Verdana"/>
          <w:sz w:val="18"/>
          <w:szCs w:val="18"/>
          <w:lang w:val="el-GR"/>
        </w:rPr>
        <w:t>Το μερίδιο των α</w:t>
      </w:r>
      <w:r w:rsidR="00D966DB" w:rsidRPr="00E428AE">
        <w:rPr>
          <w:rFonts w:ascii="Verdana" w:hAnsi="Verdana"/>
          <w:sz w:val="18"/>
          <w:szCs w:val="18"/>
          <w:lang w:val="el-GR"/>
        </w:rPr>
        <w:t>ν</w:t>
      </w:r>
      <w:r>
        <w:rPr>
          <w:rFonts w:ascii="Verdana" w:hAnsi="Verdana"/>
          <w:sz w:val="18"/>
          <w:szCs w:val="18"/>
          <w:lang w:val="el-GR"/>
        </w:rPr>
        <w:t>δ</w:t>
      </w:r>
      <w:r w:rsidR="00D966DB" w:rsidRPr="00E428AE">
        <w:rPr>
          <w:rFonts w:ascii="Verdana" w:hAnsi="Verdana"/>
          <w:sz w:val="18"/>
          <w:szCs w:val="18"/>
          <w:lang w:val="el-GR"/>
        </w:rPr>
        <w:t>ρ</w:t>
      </w:r>
      <w:r>
        <w:rPr>
          <w:rFonts w:ascii="Verdana" w:hAnsi="Verdana"/>
          <w:sz w:val="18"/>
          <w:szCs w:val="18"/>
          <w:lang w:val="el-GR"/>
        </w:rPr>
        <w:t>ών</w:t>
      </w:r>
      <w:r w:rsidR="00D966DB" w:rsidRPr="00E428AE">
        <w:rPr>
          <w:rFonts w:ascii="Verdana" w:hAnsi="Verdana"/>
          <w:sz w:val="18"/>
          <w:szCs w:val="18"/>
          <w:lang w:val="el-GR"/>
        </w:rPr>
        <w:t xml:space="preserve"> </w:t>
      </w:r>
      <w:r w:rsidRPr="00E428AE">
        <w:rPr>
          <w:rFonts w:ascii="Verdana" w:hAnsi="Verdana"/>
          <w:sz w:val="18"/>
          <w:szCs w:val="18"/>
          <w:lang w:val="el-GR"/>
        </w:rPr>
        <w:t xml:space="preserve">κατόχων ή διαχειριστών των εκμεταλλεύσεων </w:t>
      </w:r>
      <w:r>
        <w:rPr>
          <w:rFonts w:ascii="Verdana" w:hAnsi="Verdana"/>
          <w:sz w:val="18"/>
          <w:szCs w:val="18"/>
          <w:lang w:val="el-GR"/>
        </w:rPr>
        <w:t>το 2023 αυξήθηκε στο</w:t>
      </w:r>
      <w:r w:rsidR="00D966DB" w:rsidRPr="00E428AE">
        <w:rPr>
          <w:rFonts w:ascii="Verdana" w:hAnsi="Verdana"/>
          <w:sz w:val="18"/>
          <w:szCs w:val="18"/>
          <w:lang w:val="el-GR"/>
        </w:rPr>
        <w:t xml:space="preserve"> 8</w:t>
      </w:r>
      <w:r w:rsidR="00D966DB" w:rsidRPr="0045497B">
        <w:rPr>
          <w:rFonts w:ascii="Verdana" w:hAnsi="Verdana"/>
          <w:sz w:val="18"/>
          <w:szCs w:val="18"/>
          <w:lang w:val="el-GR"/>
        </w:rPr>
        <w:t>2</w:t>
      </w:r>
      <w:r w:rsidR="00D966DB" w:rsidRPr="00E428AE">
        <w:rPr>
          <w:rFonts w:ascii="Verdana" w:hAnsi="Verdana"/>
          <w:sz w:val="18"/>
          <w:szCs w:val="18"/>
          <w:lang w:val="el-GR"/>
        </w:rPr>
        <w:t>,</w:t>
      </w:r>
      <w:r w:rsidR="00D966DB" w:rsidRPr="0045497B">
        <w:rPr>
          <w:rFonts w:ascii="Verdana" w:hAnsi="Verdana"/>
          <w:sz w:val="18"/>
          <w:szCs w:val="18"/>
          <w:lang w:val="el-GR"/>
        </w:rPr>
        <w:t>5</w:t>
      </w:r>
      <w:r w:rsidR="00D966DB" w:rsidRPr="00E428AE">
        <w:rPr>
          <w:rFonts w:ascii="Verdana" w:hAnsi="Verdana"/>
          <w:sz w:val="18"/>
          <w:szCs w:val="18"/>
          <w:lang w:val="el-GR"/>
        </w:rPr>
        <w:t>% του συνόλου σε σύγκριση με 7</w:t>
      </w:r>
      <w:r w:rsidR="00D966DB" w:rsidRPr="0045497B">
        <w:rPr>
          <w:rFonts w:ascii="Verdana" w:hAnsi="Verdana"/>
          <w:sz w:val="18"/>
          <w:szCs w:val="18"/>
          <w:lang w:val="el-GR"/>
        </w:rPr>
        <w:t>8</w:t>
      </w:r>
      <w:r w:rsidR="00D966DB" w:rsidRPr="00E428AE">
        <w:rPr>
          <w:rFonts w:ascii="Verdana" w:hAnsi="Verdana"/>
          <w:sz w:val="18"/>
          <w:szCs w:val="18"/>
          <w:lang w:val="el-GR"/>
        </w:rPr>
        <w:t>,</w:t>
      </w:r>
      <w:r w:rsidR="00D966DB" w:rsidRPr="0045497B">
        <w:rPr>
          <w:rFonts w:ascii="Verdana" w:hAnsi="Verdana"/>
          <w:sz w:val="18"/>
          <w:szCs w:val="18"/>
          <w:lang w:val="el-GR"/>
        </w:rPr>
        <w:t>8</w:t>
      </w:r>
      <w:r w:rsidR="00D966DB" w:rsidRPr="00E428AE">
        <w:rPr>
          <w:rFonts w:ascii="Verdana" w:hAnsi="Verdana"/>
          <w:sz w:val="18"/>
          <w:szCs w:val="18"/>
          <w:lang w:val="el-GR"/>
        </w:rPr>
        <w:t>% το 20</w:t>
      </w:r>
      <w:r w:rsidR="00D966DB" w:rsidRPr="0045497B">
        <w:rPr>
          <w:rFonts w:ascii="Verdana" w:hAnsi="Verdana"/>
          <w:sz w:val="18"/>
          <w:szCs w:val="18"/>
          <w:lang w:val="el-GR"/>
        </w:rPr>
        <w:t>2</w:t>
      </w:r>
      <w:r w:rsidR="00D966DB" w:rsidRPr="00E428AE">
        <w:rPr>
          <w:rFonts w:ascii="Verdana" w:hAnsi="Verdana"/>
          <w:sz w:val="18"/>
          <w:szCs w:val="18"/>
          <w:lang w:val="el-GR"/>
        </w:rPr>
        <w:t xml:space="preserve">0. </w:t>
      </w:r>
      <w:r>
        <w:rPr>
          <w:rFonts w:ascii="Verdana" w:hAnsi="Verdana"/>
          <w:sz w:val="18"/>
          <w:szCs w:val="18"/>
          <w:lang w:val="el-GR"/>
        </w:rPr>
        <w:t>Στον αντίποδα, τ</w:t>
      </w:r>
      <w:r w:rsidR="00D966DB" w:rsidRPr="00E428AE">
        <w:rPr>
          <w:rFonts w:ascii="Verdana" w:hAnsi="Verdana"/>
          <w:sz w:val="18"/>
          <w:szCs w:val="18"/>
          <w:lang w:val="el-GR"/>
        </w:rPr>
        <w:t>ο μερίδιο των γυναικών κατόχων ή διαχειριστών περιορίστηκε στο 1</w:t>
      </w:r>
      <w:r w:rsidR="00D966DB" w:rsidRPr="0045497B">
        <w:rPr>
          <w:rFonts w:ascii="Verdana" w:hAnsi="Verdana"/>
          <w:sz w:val="18"/>
          <w:szCs w:val="18"/>
          <w:lang w:val="el-GR"/>
        </w:rPr>
        <w:t>7</w:t>
      </w:r>
      <w:r w:rsidR="00D966DB" w:rsidRPr="00E428AE">
        <w:rPr>
          <w:rFonts w:ascii="Verdana" w:hAnsi="Verdana"/>
          <w:sz w:val="18"/>
          <w:szCs w:val="18"/>
          <w:lang w:val="el-GR"/>
        </w:rPr>
        <w:t>,</w:t>
      </w:r>
      <w:r w:rsidR="00D966DB" w:rsidRPr="0045497B">
        <w:rPr>
          <w:rFonts w:ascii="Verdana" w:hAnsi="Verdana"/>
          <w:sz w:val="18"/>
          <w:szCs w:val="18"/>
          <w:lang w:val="el-GR"/>
        </w:rPr>
        <w:t>5</w:t>
      </w:r>
      <w:r w:rsidR="00D966DB" w:rsidRPr="00E428AE">
        <w:rPr>
          <w:rFonts w:ascii="Verdana" w:hAnsi="Verdana"/>
          <w:sz w:val="18"/>
          <w:szCs w:val="18"/>
          <w:lang w:val="el-GR"/>
        </w:rPr>
        <w:t>% το 202</w:t>
      </w:r>
      <w:r w:rsidR="00D966DB" w:rsidRPr="0045497B">
        <w:rPr>
          <w:rFonts w:ascii="Verdana" w:hAnsi="Verdana"/>
          <w:sz w:val="18"/>
          <w:szCs w:val="18"/>
          <w:lang w:val="el-GR"/>
        </w:rPr>
        <w:t>3</w:t>
      </w:r>
      <w:r w:rsidR="00D966DB" w:rsidRPr="00E428AE">
        <w:rPr>
          <w:rFonts w:ascii="Verdana" w:hAnsi="Verdana"/>
          <w:sz w:val="18"/>
          <w:szCs w:val="18"/>
          <w:lang w:val="el-GR"/>
        </w:rPr>
        <w:t xml:space="preserve"> από 2</w:t>
      </w:r>
      <w:r w:rsidR="00D966DB" w:rsidRPr="0045497B">
        <w:rPr>
          <w:rFonts w:ascii="Verdana" w:hAnsi="Verdana"/>
          <w:sz w:val="18"/>
          <w:szCs w:val="18"/>
          <w:lang w:val="el-GR"/>
        </w:rPr>
        <w:t>1</w:t>
      </w:r>
      <w:r w:rsidR="00D966DB" w:rsidRPr="00E428AE">
        <w:rPr>
          <w:rFonts w:ascii="Verdana" w:hAnsi="Verdana"/>
          <w:sz w:val="18"/>
          <w:szCs w:val="18"/>
          <w:lang w:val="el-GR"/>
        </w:rPr>
        <w:t>,</w:t>
      </w:r>
      <w:r w:rsidR="00D966DB" w:rsidRPr="0045497B">
        <w:rPr>
          <w:rFonts w:ascii="Verdana" w:hAnsi="Verdana"/>
          <w:sz w:val="18"/>
          <w:szCs w:val="18"/>
          <w:lang w:val="el-GR"/>
        </w:rPr>
        <w:t>2</w:t>
      </w:r>
      <w:r w:rsidR="00D966DB" w:rsidRPr="00E428AE">
        <w:rPr>
          <w:rFonts w:ascii="Verdana" w:hAnsi="Verdana"/>
          <w:sz w:val="18"/>
          <w:szCs w:val="18"/>
          <w:lang w:val="el-GR"/>
        </w:rPr>
        <w:t>% το 20</w:t>
      </w:r>
      <w:r w:rsidR="00D966DB" w:rsidRPr="0045497B">
        <w:rPr>
          <w:rFonts w:ascii="Verdana" w:hAnsi="Verdana"/>
          <w:sz w:val="18"/>
          <w:szCs w:val="18"/>
          <w:lang w:val="el-GR"/>
        </w:rPr>
        <w:t>2</w:t>
      </w:r>
      <w:r w:rsidR="00D966DB" w:rsidRPr="00E428AE">
        <w:rPr>
          <w:rFonts w:ascii="Verdana" w:hAnsi="Verdana"/>
          <w:sz w:val="18"/>
          <w:szCs w:val="18"/>
          <w:lang w:val="el-GR"/>
        </w:rPr>
        <w:t>0.</w:t>
      </w:r>
    </w:p>
    <w:p w14:paraId="14152396" w14:textId="77777777" w:rsidR="00D966DB" w:rsidRPr="00E428AE" w:rsidRDefault="00D966DB" w:rsidP="00D966DB">
      <w:pPr>
        <w:jc w:val="both"/>
        <w:rPr>
          <w:rFonts w:ascii="Verdana" w:hAnsi="Verdana"/>
          <w:sz w:val="18"/>
          <w:szCs w:val="18"/>
          <w:lang w:val="el-GR"/>
        </w:rPr>
      </w:pPr>
    </w:p>
    <w:p w14:paraId="0A02E3D9" w14:textId="17599B5A" w:rsidR="00D966DB" w:rsidRPr="00E428AE" w:rsidRDefault="00D966DB" w:rsidP="00D966DB">
      <w:pPr>
        <w:jc w:val="both"/>
        <w:rPr>
          <w:rFonts w:ascii="Verdana" w:hAnsi="Verdana"/>
          <w:sz w:val="18"/>
          <w:szCs w:val="18"/>
          <w:lang w:val="el-GR"/>
        </w:rPr>
      </w:pPr>
      <w:r w:rsidRPr="00E428AE">
        <w:rPr>
          <w:rFonts w:ascii="Verdana" w:hAnsi="Verdana"/>
          <w:sz w:val="18"/>
          <w:szCs w:val="18"/>
          <w:lang w:val="el-GR"/>
        </w:rPr>
        <w:t>Η μέση ηλικία των κατόχων ή διαχειριστών των εκμεταλλεύσεων παρέμεινε σταθερή στα 63 έτη όπως και στην Απογραφή του 20</w:t>
      </w:r>
      <w:r w:rsidRPr="00033284">
        <w:rPr>
          <w:rFonts w:ascii="Verdana" w:hAnsi="Verdana"/>
          <w:sz w:val="18"/>
          <w:szCs w:val="18"/>
          <w:lang w:val="el-GR"/>
        </w:rPr>
        <w:t>2</w:t>
      </w:r>
      <w:r w:rsidRPr="00E428AE">
        <w:rPr>
          <w:rFonts w:ascii="Verdana" w:hAnsi="Verdana"/>
          <w:sz w:val="18"/>
          <w:szCs w:val="18"/>
          <w:lang w:val="el-GR"/>
        </w:rPr>
        <w:t xml:space="preserve">0. Με βάση την ηλικιακή κατανομή τους, το </w:t>
      </w:r>
      <w:r w:rsidRPr="00033284">
        <w:rPr>
          <w:rFonts w:ascii="Verdana" w:hAnsi="Verdana"/>
          <w:sz w:val="18"/>
          <w:szCs w:val="18"/>
          <w:lang w:val="el-GR"/>
        </w:rPr>
        <w:t>1</w:t>
      </w:r>
      <w:r w:rsidRPr="00E428AE">
        <w:rPr>
          <w:rFonts w:ascii="Verdana" w:hAnsi="Verdana"/>
          <w:sz w:val="18"/>
          <w:szCs w:val="18"/>
          <w:lang w:val="el-GR"/>
        </w:rPr>
        <w:t>,</w:t>
      </w:r>
      <w:r w:rsidRPr="00033284">
        <w:rPr>
          <w:rFonts w:ascii="Verdana" w:hAnsi="Verdana"/>
          <w:sz w:val="18"/>
          <w:szCs w:val="18"/>
          <w:lang w:val="el-GR"/>
        </w:rPr>
        <w:t>8</w:t>
      </w:r>
      <w:r w:rsidRPr="00E428AE">
        <w:rPr>
          <w:rFonts w:ascii="Verdana" w:hAnsi="Verdana"/>
          <w:sz w:val="18"/>
          <w:szCs w:val="18"/>
          <w:lang w:val="el-GR"/>
        </w:rPr>
        <w:t xml:space="preserve">% των εκμεταλλεύσεων τύγχανε κατοχής ή διαχείρισης από άτομα κάτω των 35 ετών, το </w:t>
      </w:r>
      <w:r w:rsidRPr="00033284">
        <w:rPr>
          <w:rFonts w:ascii="Verdana" w:hAnsi="Verdana"/>
          <w:sz w:val="18"/>
          <w:szCs w:val="18"/>
          <w:lang w:val="el-GR"/>
        </w:rPr>
        <w:t>17</w:t>
      </w:r>
      <w:r w:rsidRPr="00E428AE">
        <w:rPr>
          <w:rFonts w:ascii="Verdana" w:hAnsi="Verdana"/>
          <w:sz w:val="18"/>
          <w:szCs w:val="18"/>
          <w:lang w:val="el-GR"/>
        </w:rPr>
        <w:t>,</w:t>
      </w:r>
      <w:r w:rsidRPr="00033284">
        <w:rPr>
          <w:rFonts w:ascii="Verdana" w:hAnsi="Verdana"/>
          <w:sz w:val="18"/>
          <w:szCs w:val="18"/>
          <w:lang w:val="el-GR"/>
        </w:rPr>
        <w:t>4</w:t>
      </w:r>
      <w:r w:rsidRPr="00E428AE">
        <w:rPr>
          <w:rFonts w:ascii="Verdana" w:hAnsi="Verdana"/>
          <w:sz w:val="18"/>
          <w:szCs w:val="18"/>
          <w:lang w:val="el-GR"/>
        </w:rPr>
        <w:t>% από άτομα μεταξύ 35 και 54 ετών, το 5</w:t>
      </w:r>
      <w:r w:rsidRPr="00033284">
        <w:rPr>
          <w:rFonts w:ascii="Verdana" w:hAnsi="Verdana"/>
          <w:sz w:val="18"/>
          <w:szCs w:val="18"/>
          <w:lang w:val="el-GR"/>
        </w:rPr>
        <w:t>8</w:t>
      </w:r>
      <w:r w:rsidRPr="00E428AE">
        <w:rPr>
          <w:rFonts w:ascii="Verdana" w:hAnsi="Verdana"/>
          <w:sz w:val="18"/>
          <w:szCs w:val="18"/>
          <w:lang w:val="el-GR"/>
        </w:rPr>
        <w:t>,</w:t>
      </w:r>
      <w:r w:rsidRPr="00033284">
        <w:rPr>
          <w:rFonts w:ascii="Verdana" w:hAnsi="Verdana"/>
          <w:sz w:val="18"/>
          <w:szCs w:val="18"/>
          <w:lang w:val="el-GR"/>
        </w:rPr>
        <w:t>7</w:t>
      </w:r>
      <w:r w:rsidRPr="00E428AE">
        <w:rPr>
          <w:rFonts w:ascii="Verdana" w:hAnsi="Verdana"/>
          <w:sz w:val="18"/>
          <w:szCs w:val="18"/>
          <w:lang w:val="el-GR"/>
        </w:rPr>
        <w:t xml:space="preserve">% από άτομα </w:t>
      </w:r>
      <w:r w:rsidRPr="00E428AE">
        <w:rPr>
          <w:rFonts w:ascii="Verdana" w:hAnsi="Verdana" w:cs="Calibri"/>
          <w:sz w:val="18"/>
          <w:szCs w:val="18"/>
          <w:lang w:val="el-GR"/>
        </w:rPr>
        <w:t xml:space="preserve">μεταξύ 55 και 74 ετών και το </w:t>
      </w:r>
      <w:r w:rsidRPr="00852064">
        <w:rPr>
          <w:rFonts w:ascii="Verdana" w:hAnsi="Verdana" w:cs="Calibri"/>
          <w:sz w:val="18"/>
          <w:szCs w:val="18"/>
          <w:lang w:val="el-GR"/>
        </w:rPr>
        <w:t>22</w:t>
      </w:r>
      <w:r w:rsidRPr="00E428AE">
        <w:rPr>
          <w:rFonts w:ascii="Verdana" w:hAnsi="Verdana" w:cs="Calibri"/>
          <w:sz w:val="18"/>
          <w:szCs w:val="18"/>
          <w:lang w:val="el-GR"/>
        </w:rPr>
        <w:t>,</w:t>
      </w:r>
      <w:r w:rsidRPr="00852064">
        <w:rPr>
          <w:rFonts w:ascii="Verdana" w:hAnsi="Verdana" w:cs="Calibri"/>
          <w:sz w:val="18"/>
          <w:szCs w:val="18"/>
          <w:lang w:val="el-GR"/>
        </w:rPr>
        <w:t>0</w:t>
      </w:r>
      <w:r w:rsidRPr="00E428AE">
        <w:rPr>
          <w:rFonts w:ascii="Verdana" w:hAnsi="Verdana" w:cs="Calibri"/>
          <w:sz w:val="18"/>
          <w:szCs w:val="18"/>
          <w:lang w:val="el-GR"/>
        </w:rPr>
        <w:t>% από άτομα 75 ετών και άνω.</w:t>
      </w:r>
      <w:r w:rsidRPr="00E428AE">
        <w:rPr>
          <w:rFonts w:ascii="Verdana" w:hAnsi="Verdana"/>
          <w:sz w:val="18"/>
          <w:szCs w:val="18"/>
          <w:lang w:val="el-GR"/>
        </w:rPr>
        <w:t xml:space="preserve"> Οι σημαντικότερες αλλαγές που παρατηρήθηκαν στην ηλικιακή διάρθρωση των κατόχων ήταν η αύξηση του ποσοστού των κατόχων ηλικίας άνω των </w:t>
      </w:r>
      <w:r w:rsidRPr="00852064">
        <w:rPr>
          <w:rFonts w:ascii="Verdana" w:hAnsi="Verdana"/>
          <w:sz w:val="18"/>
          <w:szCs w:val="18"/>
          <w:lang w:val="el-GR"/>
        </w:rPr>
        <w:t>7</w:t>
      </w:r>
      <w:r w:rsidRPr="00E428AE">
        <w:rPr>
          <w:rFonts w:ascii="Verdana" w:hAnsi="Verdana"/>
          <w:sz w:val="18"/>
          <w:szCs w:val="18"/>
          <w:lang w:val="el-GR"/>
        </w:rPr>
        <w:t xml:space="preserve">5 ετών, ενώ οι </w:t>
      </w:r>
      <w:r>
        <w:rPr>
          <w:rFonts w:ascii="Verdana" w:hAnsi="Verdana"/>
          <w:sz w:val="18"/>
          <w:szCs w:val="18"/>
          <w:lang w:val="el-GR"/>
        </w:rPr>
        <w:t xml:space="preserve">υπόλοιπες </w:t>
      </w:r>
      <w:r w:rsidRPr="00E428AE">
        <w:rPr>
          <w:rFonts w:ascii="Verdana" w:hAnsi="Verdana"/>
          <w:sz w:val="18"/>
          <w:szCs w:val="18"/>
          <w:lang w:val="el-GR"/>
        </w:rPr>
        <w:t>ηλικ</w:t>
      </w:r>
      <w:r w:rsidR="003C6C8B">
        <w:rPr>
          <w:rFonts w:ascii="Verdana" w:hAnsi="Verdana"/>
          <w:sz w:val="18"/>
          <w:szCs w:val="18"/>
          <w:lang w:val="el-GR"/>
        </w:rPr>
        <w:t>ιακές</w:t>
      </w:r>
      <w:r w:rsidRPr="00E428AE">
        <w:rPr>
          <w:rFonts w:ascii="Verdana" w:hAnsi="Verdana"/>
          <w:sz w:val="18"/>
          <w:szCs w:val="18"/>
          <w:lang w:val="el-GR"/>
        </w:rPr>
        <w:t xml:space="preserve"> </w:t>
      </w:r>
      <w:r w:rsidR="003C6C8B">
        <w:rPr>
          <w:rFonts w:ascii="Verdana" w:hAnsi="Verdana"/>
          <w:sz w:val="18"/>
          <w:szCs w:val="18"/>
          <w:lang w:val="el-GR"/>
        </w:rPr>
        <w:t xml:space="preserve">ομάδες </w:t>
      </w:r>
      <w:r w:rsidRPr="00E428AE">
        <w:rPr>
          <w:rFonts w:ascii="Verdana" w:hAnsi="Verdana"/>
          <w:sz w:val="18"/>
          <w:szCs w:val="18"/>
          <w:lang w:val="el-GR"/>
        </w:rPr>
        <w:t>παρουσίασαν μείωση στην ποσοστιαία κατανομή τους σε σχέση με το 20</w:t>
      </w:r>
      <w:r>
        <w:rPr>
          <w:rFonts w:ascii="Verdana" w:hAnsi="Verdana"/>
          <w:sz w:val="18"/>
          <w:szCs w:val="18"/>
          <w:lang w:val="el-GR"/>
        </w:rPr>
        <w:t>2</w:t>
      </w:r>
      <w:r w:rsidRPr="00E428AE">
        <w:rPr>
          <w:rFonts w:ascii="Verdana" w:hAnsi="Verdana"/>
          <w:sz w:val="18"/>
          <w:szCs w:val="18"/>
          <w:lang w:val="el-GR"/>
        </w:rPr>
        <w:t xml:space="preserve">0. </w:t>
      </w:r>
    </w:p>
    <w:p w14:paraId="2BEBB1B5" w14:textId="77777777" w:rsidR="00D966DB" w:rsidRPr="00E428AE" w:rsidRDefault="00D966DB" w:rsidP="00D966DB">
      <w:pPr>
        <w:jc w:val="both"/>
        <w:rPr>
          <w:rFonts w:ascii="Verdana" w:hAnsi="Verdana"/>
          <w:sz w:val="18"/>
          <w:szCs w:val="18"/>
          <w:lang w:val="el-GR"/>
        </w:rPr>
      </w:pPr>
    </w:p>
    <w:p w14:paraId="0C0D373C" w14:textId="049EB2E7" w:rsidR="00D966DB" w:rsidRPr="00E428AE" w:rsidRDefault="00D966DB" w:rsidP="00D966DB">
      <w:pPr>
        <w:jc w:val="both"/>
        <w:rPr>
          <w:rFonts w:ascii="Verdana" w:hAnsi="Verdana"/>
          <w:sz w:val="18"/>
          <w:szCs w:val="18"/>
          <w:lang w:val="el-GR"/>
        </w:rPr>
      </w:pPr>
      <w:r w:rsidRPr="00E428AE">
        <w:rPr>
          <w:rFonts w:ascii="Verdana" w:hAnsi="Verdana"/>
          <w:sz w:val="18"/>
          <w:szCs w:val="18"/>
          <w:lang w:val="el-GR"/>
        </w:rPr>
        <w:t xml:space="preserve">Η πλειοψηφία των κατόχων ή διαχειριστών των γεωργικών και κτηνοτροφικών εκμεταλλεύσεων </w:t>
      </w:r>
      <w:r w:rsidR="003C6C8B">
        <w:rPr>
          <w:rFonts w:ascii="Verdana" w:hAnsi="Verdana"/>
          <w:sz w:val="18"/>
          <w:szCs w:val="18"/>
          <w:lang w:val="el-GR"/>
        </w:rPr>
        <w:t xml:space="preserve">(63,9%) </w:t>
      </w:r>
      <w:r w:rsidRPr="00E428AE">
        <w:rPr>
          <w:rFonts w:ascii="Verdana" w:hAnsi="Verdana"/>
          <w:sz w:val="18"/>
          <w:szCs w:val="18"/>
          <w:lang w:val="el-GR"/>
        </w:rPr>
        <w:t>είχε μόνο πρακτική πείρα, το 3</w:t>
      </w:r>
      <w:r>
        <w:rPr>
          <w:rFonts w:ascii="Verdana" w:hAnsi="Verdana"/>
          <w:sz w:val="18"/>
          <w:szCs w:val="18"/>
          <w:lang w:val="el-GR"/>
        </w:rPr>
        <w:t>5</w:t>
      </w:r>
      <w:r w:rsidRPr="00E428AE">
        <w:rPr>
          <w:rFonts w:ascii="Verdana" w:hAnsi="Verdana"/>
          <w:sz w:val="18"/>
          <w:szCs w:val="18"/>
          <w:lang w:val="el-GR"/>
        </w:rPr>
        <w:t>,</w:t>
      </w:r>
      <w:r>
        <w:rPr>
          <w:rFonts w:ascii="Verdana" w:hAnsi="Verdana"/>
          <w:sz w:val="18"/>
          <w:szCs w:val="18"/>
          <w:lang w:val="el-GR"/>
        </w:rPr>
        <w:t>9</w:t>
      </w:r>
      <w:r w:rsidRPr="00E428AE">
        <w:rPr>
          <w:rFonts w:ascii="Verdana" w:hAnsi="Verdana"/>
          <w:sz w:val="18"/>
          <w:szCs w:val="18"/>
          <w:lang w:val="el-GR"/>
        </w:rPr>
        <w:t xml:space="preserve">% </w:t>
      </w:r>
      <w:r w:rsidR="00987578">
        <w:rPr>
          <w:rFonts w:ascii="Verdana" w:hAnsi="Verdana"/>
          <w:sz w:val="18"/>
          <w:szCs w:val="18"/>
          <w:lang w:val="el-GR"/>
        </w:rPr>
        <w:t xml:space="preserve">είχε </w:t>
      </w:r>
      <w:r w:rsidRPr="00E428AE">
        <w:rPr>
          <w:rFonts w:ascii="Verdana" w:hAnsi="Verdana"/>
          <w:sz w:val="18"/>
          <w:szCs w:val="18"/>
          <w:lang w:val="el-GR"/>
        </w:rPr>
        <w:t xml:space="preserve">βασική γεωργική εκπαίδευση </w:t>
      </w:r>
      <w:r w:rsidR="00987578">
        <w:rPr>
          <w:rFonts w:ascii="Verdana" w:hAnsi="Verdana"/>
          <w:sz w:val="18"/>
          <w:szCs w:val="18"/>
          <w:lang w:val="el-GR"/>
        </w:rPr>
        <w:t xml:space="preserve">ενώ </w:t>
      </w:r>
      <w:r w:rsidRPr="00E428AE">
        <w:rPr>
          <w:rFonts w:ascii="Verdana" w:hAnsi="Verdana"/>
          <w:sz w:val="18"/>
          <w:szCs w:val="18"/>
          <w:lang w:val="el-GR"/>
        </w:rPr>
        <w:t xml:space="preserve">μόνο το </w:t>
      </w:r>
      <w:r>
        <w:rPr>
          <w:rFonts w:ascii="Verdana" w:hAnsi="Verdana"/>
          <w:sz w:val="18"/>
          <w:szCs w:val="18"/>
          <w:lang w:val="el-GR"/>
        </w:rPr>
        <w:t>0</w:t>
      </w:r>
      <w:r w:rsidRPr="00E428AE">
        <w:rPr>
          <w:rFonts w:ascii="Verdana" w:hAnsi="Verdana"/>
          <w:sz w:val="18"/>
          <w:szCs w:val="18"/>
          <w:lang w:val="el-GR"/>
        </w:rPr>
        <w:t>,</w:t>
      </w:r>
      <w:r>
        <w:rPr>
          <w:rFonts w:ascii="Verdana" w:hAnsi="Verdana"/>
          <w:sz w:val="18"/>
          <w:szCs w:val="18"/>
          <w:lang w:val="el-GR"/>
        </w:rPr>
        <w:t>7</w:t>
      </w:r>
      <w:r w:rsidRPr="00E428AE">
        <w:rPr>
          <w:rFonts w:ascii="Verdana" w:hAnsi="Verdana"/>
          <w:sz w:val="18"/>
          <w:szCs w:val="18"/>
          <w:lang w:val="el-GR"/>
        </w:rPr>
        <w:t xml:space="preserve">% </w:t>
      </w:r>
      <w:r w:rsidR="00987578">
        <w:rPr>
          <w:rFonts w:ascii="Verdana" w:hAnsi="Verdana"/>
          <w:sz w:val="18"/>
          <w:szCs w:val="18"/>
          <w:lang w:val="el-GR"/>
        </w:rPr>
        <w:t xml:space="preserve">είχε </w:t>
      </w:r>
      <w:r w:rsidRPr="00E428AE">
        <w:rPr>
          <w:rFonts w:ascii="Verdana" w:hAnsi="Verdana"/>
          <w:sz w:val="18"/>
          <w:szCs w:val="18"/>
          <w:lang w:val="el-GR"/>
        </w:rPr>
        <w:t>πλήρη γεωργική εκπαίδευση. Τα αντίστοιχα ποσοστά στην Απογραφή του 20</w:t>
      </w:r>
      <w:r>
        <w:rPr>
          <w:rFonts w:ascii="Verdana" w:hAnsi="Verdana"/>
          <w:sz w:val="18"/>
          <w:szCs w:val="18"/>
          <w:lang w:val="el-GR"/>
        </w:rPr>
        <w:t>2</w:t>
      </w:r>
      <w:r w:rsidRPr="00E428AE">
        <w:rPr>
          <w:rFonts w:ascii="Verdana" w:hAnsi="Verdana"/>
          <w:sz w:val="18"/>
          <w:szCs w:val="18"/>
          <w:lang w:val="el-GR"/>
        </w:rPr>
        <w:t xml:space="preserve">0 ήταν </w:t>
      </w:r>
      <w:r>
        <w:rPr>
          <w:rFonts w:ascii="Verdana" w:hAnsi="Verdana"/>
          <w:sz w:val="18"/>
          <w:szCs w:val="18"/>
          <w:lang w:val="el-GR"/>
        </w:rPr>
        <w:t>68</w:t>
      </w:r>
      <w:r w:rsidRPr="00E428AE">
        <w:rPr>
          <w:rFonts w:ascii="Verdana" w:hAnsi="Verdana"/>
          <w:sz w:val="18"/>
          <w:szCs w:val="18"/>
          <w:lang w:val="el-GR"/>
        </w:rPr>
        <w:t>,</w:t>
      </w:r>
      <w:r>
        <w:rPr>
          <w:rFonts w:ascii="Verdana" w:hAnsi="Verdana"/>
          <w:sz w:val="18"/>
          <w:szCs w:val="18"/>
          <w:lang w:val="el-GR"/>
        </w:rPr>
        <w:t>5</w:t>
      </w:r>
      <w:r w:rsidRPr="00E428AE">
        <w:rPr>
          <w:rFonts w:ascii="Verdana" w:hAnsi="Verdana"/>
          <w:sz w:val="18"/>
          <w:szCs w:val="18"/>
          <w:lang w:val="el-GR"/>
        </w:rPr>
        <w:t xml:space="preserve">%, </w:t>
      </w:r>
      <w:r>
        <w:rPr>
          <w:rFonts w:ascii="Verdana" w:hAnsi="Verdana"/>
          <w:sz w:val="18"/>
          <w:szCs w:val="18"/>
          <w:lang w:val="el-GR"/>
        </w:rPr>
        <w:t>30</w:t>
      </w:r>
      <w:r w:rsidRPr="00E428AE">
        <w:rPr>
          <w:rFonts w:ascii="Verdana" w:hAnsi="Verdana"/>
          <w:sz w:val="18"/>
          <w:szCs w:val="18"/>
          <w:lang w:val="el-GR"/>
        </w:rPr>
        <w:t>,</w:t>
      </w:r>
      <w:r>
        <w:rPr>
          <w:rFonts w:ascii="Verdana" w:hAnsi="Verdana"/>
          <w:sz w:val="18"/>
          <w:szCs w:val="18"/>
          <w:lang w:val="el-GR"/>
        </w:rPr>
        <w:t>4</w:t>
      </w:r>
      <w:r w:rsidRPr="00E428AE">
        <w:rPr>
          <w:rFonts w:ascii="Verdana" w:hAnsi="Verdana"/>
          <w:sz w:val="18"/>
          <w:szCs w:val="18"/>
          <w:lang w:val="el-GR"/>
        </w:rPr>
        <w:t xml:space="preserve">% και </w:t>
      </w:r>
      <w:r>
        <w:rPr>
          <w:rFonts w:ascii="Verdana" w:hAnsi="Verdana"/>
          <w:sz w:val="18"/>
          <w:szCs w:val="18"/>
          <w:lang w:val="el-GR"/>
        </w:rPr>
        <w:t>1</w:t>
      </w:r>
      <w:r w:rsidRPr="00E428AE">
        <w:rPr>
          <w:rFonts w:ascii="Verdana" w:hAnsi="Verdana"/>
          <w:sz w:val="18"/>
          <w:szCs w:val="18"/>
          <w:lang w:val="el-GR"/>
        </w:rPr>
        <w:t>,</w:t>
      </w:r>
      <w:r>
        <w:rPr>
          <w:rFonts w:ascii="Verdana" w:hAnsi="Verdana"/>
          <w:sz w:val="18"/>
          <w:szCs w:val="18"/>
          <w:lang w:val="el-GR"/>
        </w:rPr>
        <w:t>1</w:t>
      </w:r>
      <w:r w:rsidRPr="00E428AE">
        <w:rPr>
          <w:rFonts w:ascii="Verdana" w:hAnsi="Verdana"/>
          <w:sz w:val="18"/>
          <w:szCs w:val="18"/>
          <w:lang w:val="el-GR"/>
        </w:rPr>
        <w:t>%.</w:t>
      </w:r>
    </w:p>
    <w:bookmarkEnd w:id="2"/>
    <w:p w14:paraId="720CC166" w14:textId="77777777" w:rsidR="00D966DB" w:rsidRPr="00E428AE" w:rsidRDefault="00D966DB" w:rsidP="00D966DB">
      <w:pPr>
        <w:jc w:val="both"/>
        <w:rPr>
          <w:rFonts w:ascii="Verdana" w:hAnsi="Verdana"/>
          <w:sz w:val="18"/>
          <w:szCs w:val="18"/>
          <w:lang w:val="el-GR"/>
        </w:rPr>
      </w:pPr>
    </w:p>
    <w:p w14:paraId="6E6466A1" w14:textId="77777777" w:rsidR="00D966DB" w:rsidRPr="00E428AE" w:rsidRDefault="00D966DB" w:rsidP="00D966DB">
      <w:pPr>
        <w:jc w:val="both"/>
        <w:rPr>
          <w:rFonts w:ascii="Verdana" w:hAnsi="Verdana" w:cs="Calibri"/>
          <w:b/>
          <w:bCs/>
          <w:sz w:val="18"/>
          <w:szCs w:val="18"/>
          <w:u w:val="single"/>
          <w:lang w:val="el-GR"/>
        </w:rPr>
      </w:pPr>
      <w:proofErr w:type="spellStart"/>
      <w:r w:rsidRPr="00E428AE">
        <w:rPr>
          <w:rFonts w:ascii="Verdana" w:hAnsi="Verdana" w:cs="Calibri"/>
          <w:b/>
          <w:bCs/>
          <w:sz w:val="18"/>
          <w:szCs w:val="18"/>
          <w:u w:val="single"/>
          <w:lang w:val="el-GR"/>
        </w:rPr>
        <w:t>Διακατοχή</w:t>
      </w:r>
      <w:proofErr w:type="spellEnd"/>
      <w:r w:rsidRPr="00E428AE">
        <w:rPr>
          <w:rFonts w:ascii="Verdana" w:hAnsi="Verdana" w:cs="Calibri"/>
          <w:b/>
          <w:bCs/>
          <w:sz w:val="18"/>
          <w:szCs w:val="18"/>
          <w:u w:val="single"/>
          <w:lang w:val="el-GR"/>
        </w:rPr>
        <w:t xml:space="preserve"> και Χρήση Γης</w:t>
      </w:r>
    </w:p>
    <w:p w14:paraId="1CC22301" w14:textId="77777777" w:rsidR="00D966DB" w:rsidRPr="00E428AE" w:rsidRDefault="00D966DB" w:rsidP="00D966DB">
      <w:pPr>
        <w:jc w:val="both"/>
        <w:rPr>
          <w:rFonts w:ascii="Verdana" w:hAnsi="Verdana" w:cs="Calibri"/>
          <w:b/>
          <w:bCs/>
          <w:sz w:val="18"/>
          <w:szCs w:val="18"/>
          <w:u w:val="single"/>
          <w:lang w:val="el-GR"/>
        </w:rPr>
      </w:pPr>
    </w:p>
    <w:p w14:paraId="5EC5A239" w14:textId="77777777" w:rsidR="00D966DB" w:rsidRPr="00E428AE" w:rsidRDefault="00D966DB" w:rsidP="00D966DB">
      <w:pPr>
        <w:jc w:val="both"/>
        <w:rPr>
          <w:rFonts w:ascii="Verdana" w:hAnsi="Verdana" w:cs="Calibri"/>
          <w:sz w:val="18"/>
          <w:szCs w:val="18"/>
          <w:lang w:val="el-GR"/>
        </w:rPr>
      </w:pPr>
      <w:bookmarkStart w:id="3" w:name="_Hlk212797069"/>
      <w:r w:rsidRPr="00E428AE">
        <w:rPr>
          <w:rFonts w:ascii="Verdana" w:hAnsi="Verdana" w:cs="Calibri"/>
          <w:sz w:val="18"/>
          <w:szCs w:val="18"/>
          <w:lang w:val="el-GR"/>
        </w:rPr>
        <w:t>Από τη συνολική χρησιμοποιούμενη γεωργική έκταση, αύξηση καταγράφηκε στο ποσοστό της ενοικιαζόμενης ως προς το σύνολο (από 5</w:t>
      </w:r>
      <w:r>
        <w:rPr>
          <w:rFonts w:ascii="Verdana" w:hAnsi="Verdana" w:cs="Calibri"/>
          <w:sz w:val="18"/>
          <w:szCs w:val="18"/>
          <w:lang w:val="el-GR"/>
        </w:rPr>
        <w:t>7</w:t>
      </w:r>
      <w:r w:rsidRPr="00E428AE">
        <w:rPr>
          <w:rFonts w:ascii="Verdana" w:hAnsi="Verdana" w:cs="Calibri"/>
          <w:sz w:val="18"/>
          <w:szCs w:val="18"/>
          <w:lang w:val="el-GR"/>
        </w:rPr>
        <w:t>,</w:t>
      </w:r>
      <w:r>
        <w:rPr>
          <w:rFonts w:ascii="Verdana" w:hAnsi="Verdana" w:cs="Calibri"/>
          <w:sz w:val="18"/>
          <w:szCs w:val="18"/>
          <w:lang w:val="el-GR"/>
        </w:rPr>
        <w:t>4</w:t>
      </w:r>
      <w:r w:rsidRPr="00E428AE">
        <w:rPr>
          <w:rFonts w:ascii="Verdana" w:hAnsi="Verdana" w:cs="Calibri"/>
          <w:sz w:val="18"/>
          <w:szCs w:val="18"/>
          <w:lang w:val="el-GR"/>
        </w:rPr>
        <w:t>% το 20</w:t>
      </w:r>
      <w:r>
        <w:rPr>
          <w:rFonts w:ascii="Verdana" w:hAnsi="Verdana" w:cs="Calibri"/>
          <w:sz w:val="18"/>
          <w:szCs w:val="18"/>
          <w:lang w:val="el-GR"/>
        </w:rPr>
        <w:t>2</w:t>
      </w:r>
      <w:r w:rsidRPr="00E428AE">
        <w:rPr>
          <w:rFonts w:ascii="Verdana" w:hAnsi="Verdana" w:cs="Calibri"/>
          <w:sz w:val="18"/>
          <w:szCs w:val="18"/>
          <w:lang w:val="el-GR"/>
        </w:rPr>
        <w:t>0 σε 5</w:t>
      </w:r>
      <w:r>
        <w:rPr>
          <w:rFonts w:ascii="Verdana" w:hAnsi="Verdana" w:cs="Calibri"/>
          <w:sz w:val="18"/>
          <w:szCs w:val="18"/>
          <w:lang w:val="el-GR"/>
        </w:rPr>
        <w:t>8</w:t>
      </w:r>
      <w:r w:rsidRPr="00E428AE">
        <w:rPr>
          <w:rFonts w:ascii="Verdana" w:hAnsi="Verdana" w:cs="Calibri"/>
          <w:sz w:val="18"/>
          <w:szCs w:val="18"/>
          <w:lang w:val="el-GR"/>
        </w:rPr>
        <w:t>,</w:t>
      </w:r>
      <w:r>
        <w:rPr>
          <w:rFonts w:ascii="Verdana" w:hAnsi="Verdana" w:cs="Calibri"/>
          <w:sz w:val="18"/>
          <w:szCs w:val="18"/>
          <w:lang w:val="el-GR"/>
        </w:rPr>
        <w:t>3</w:t>
      </w:r>
      <w:r w:rsidRPr="00E428AE">
        <w:rPr>
          <w:rFonts w:ascii="Verdana" w:hAnsi="Verdana" w:cs="Calibri"/>
          <w:sz w:val="18"/>
          <w:szCs w:val="18"/>
          <w:lang w:val="el-GR"/>
        </w:rPr>
        <w:t>% το 202</w:t>
      </w:r>
      <w:r>
        <w:rPr>
          <w:rFonts w:ascii="Verdana" w:hAnsi="Verdana" w:cs="Calibri"/>
          <w:sz w:val="18"/>
          <w:szCs w:val="18"/>
          <w:lang w:val="el-GR"/>
        </w:rPr>
        <w:t>3</w:t>
      </w:r>
      <w:r w:rsidRPr="00E428AE">
        <w:rPr>
          <w:rFonts w:ascii="Verdana" w:hAnsi="Verdana" w:cs="Calibri"/>
          <w:sz w:val="18"/>
          <w:szCs w:val="18"/>
          <w:lang w:val="el-GR"/>
        </w:rPr>
        <w:t>), ενώ μείωση παρατηρήθηκε στο ποσοστό της ιδιόκτητης (από 4</w:t>
      </w:r>
      <w:r>
        <w:rPr>
          <w:rFonts w:ascii="Verdana" w:hAnsi="Verdana" w:cs="Calibri"/>
          <w:sz w:val="18"/>
          <w:szCs w:val="18"/>
          <w:lang w:val="el-GR"/>
        </w:rPr>
        <w:t>1</w:t>
      </w:r>
      <w:r w:rsidRPr="00E428AE">
        <w:rPr>
          <w:rFonts w:ascii="Verdana" w:hAnsi="Verdana" w:cs="Calibri"/>
          <w:sz w:val="18"/>
          <w:szCs w:val="18"/>
          <w:lang w:val="el-GR"/>
        </w:rPr>
        <w:t>,</w:t>
      </w:r>
      <w:r>
        <w:rPr>
          <w:rFonts w:ascii="Verdana" w:hAnsi="Verdana" w:cs="Calibri"/>
          <w:sz w:val="18"/>
          <w:szCs w:val="18"/>
          <w:lang w:val="el-GR"/>
        </w:rPr>
        <w:t>6</w:t>
      </w:r>
      <w:r w:rsidRPr="00E428AE">
        <w:rPr>
          <w:rFonts w:ascii="Verdana" w:hAnsi="Verdana" w:cs="Calibri"/>
          <w:sz w:val="18"/>
          <w:szCs w:val="18"/>
          <w:lang w:val="el-GR"/>
        </w:rPr>
        <w:t>% το 20</w:t>
      </w:r>
      <w:r>
        <w:rPr>
          <w:rFonts w:ascii="Verdana" w:hAnsi="Verdana" w:cs="Calibri"/>
          <w:sz w:val="18"/>
          <w:szCs w:val="18"/>
          <w:lang w:val="el-GR"/>
        </w:rPr>
        <w:t>2</w:t>
      </w:r>
      <w:r w:rsidRPr="00E428AE">
        <w:rPr>
          <w:rFonts w:ascii="Verdana" w:hAnsi="Verdana" w:cs="Calibri"/>
          <w:sz w:val="18"/>
          <w:szCs w:val="18"/>
          <w:lang w:val="el-GR"/>
        </w:rPr>
        <w:t>0 σε 4</w:t>
      </w:r>
      <w:r>
        <w:rPr>
          <w:rFonts w:ascii="Verdana" w:hAnsi="Verdana" w:cs="Calibri"/>
          <w:sz w:val="18"/>
          <w:szCs w:val="18"/>
          <w:lang w:val="el-GR"/>
        </w:rPr>
        <w:t>0</w:t>
      </w:r>
      <w:r w:rsidRPr="00E428AE">
        <w:rPr>
          <w:rFonts w:ascii="Verdana" w:hAnsi="Verdana" w:cs="Calibri"/>
          <w:sz w:val="18"/>
          <w:szCs w:val="18"/>
          <w:lang w:val="el-GR"/>
        </w:rPr>
        <w:t>,</w:t>
      </w:r>
      <w:r>
        <w:rPr>
          <w:rFonts w:ascii="Verdana" w:hAnsi="Verdana" w:cs="Calibri"/>
          <w:sz w:val="18"/>
          <w:szCs w:val="18"/>
          <w:lang w:val="el-GR"/>
        </w:rPr>
        <w:t>5</w:t>
      </w:r>
      <w:r w:rsidRPr="00E428AE">
        <w:rPr>
          <w:rFonts w:ascii="Verdana" w:hAnsi="Verdana" w:cs="Calibri"/>
          <w:sz w:val="18"/>
          <w:szCs w:val="18"/>
          <w:lang w:val="el-GR"/>
        </w:rPr>
        <w:t>% το 202</w:t>
      </w:r>
      <w:r>
        <w:rPr>
          <w:rFonts w:ascii="Verdana" w:hAnsi="Verdana" w:cs="Calibri"/>
          <w:sz w:val="18"/>
          <w:szCs w:val="18"/>
          <w:lang w:val="el-GR"/>
        </w:rPr>
        <w:t>3</w:t>
      </w:r>
      <w:r w:rsidRPr="00E428AE">
        <w:rPr>
          <w:rFonts w:ascii="Verdana" w:hAnsi="Verdana" w:cs="Calibri"/>
          <w:sz w:val="18"/>
          <w:szCs w:val="18"/>
          <w:lang w:val="el-GR"/>
        </w:rPr>
        <w:t xml:space="preserve">). Η κοινόχρηστη ή άλλης μορφής έκταση </w:t>
      </w:r>
      <w:r>
        <w:rPr>
          <w:rFonts w:ascii="Verdana" w:hAnsi="Verdana" w:cs="Calibri"/>
          <w:sz w:val="18"/>
          <w:szCs w:val="18"/>
          <w:lang w:val="el-GR"/>
        </w:rPr>
        <w:t xml:space="preserve">αυξήθηκε </w:t>
      </w:r>
      <w:r w:rsidRPr="00E428AE">
        <w:rPr>
          <w:rFonts w:ascii="Verdana" w:hAnsi="Verdana" w:cs="Calibri"/>
          <w:sz w:val="18"/>
          <w:szCs w:val="18"/>
          <w:lang w:val="el-GR"/>
        </w:rPr>
        <w:t xml:space="preserve">από </w:t>
      </w:r>
      <w:r>
        <w:rPr>
          <w:rFonts w:ascii="Verdana" w:hAnsi="Verdana" w:cs="Calibri"/>
          <w:sz w:val="18"/>
          <w:szCs w:val="18"/>
          <w:lang w:val="el-GR"/>
        </w:rPr>
        <w:t>0</w:t>
      </w:r>
      <w:r w:rsidRPr="00E428AE">
        <w:rPr>
          <w:rFonts w:ascii="Verdana" w:hAnsi="Verdana" w:cs="Calibri"/>
          <w:sz w:val="18"/>
          <w:szCs w:val="18"/>
          <w:lang w:val="el-GR"/>
        </w:rPr>
        <w:t>,</w:t>
      </w:r>
      <w:r>
        <w:rPr>
          <w:rFonts w:ascii="Verdana" w:hAnsi="Verdana" w:cs="Calibri"/>
          <w:sz w:val="18"/>
          <w:szCs w:val="18"/>
          <w:lang w:val="el-GR"/>
        </w:rPr>
        <w:t>7</w:t>
      </w:r>
      <w:r w:rsidRPr="00E428AE">
        <w:rPr>
          <w:rFonts w:ascii="Verdana" w:hAnsi="Verdana" w:cs="Calibri"/>
          <w:sz w:val="18"/>
          <w:szCs w:val="18"/>
          <w:lang w:val="el-GR"/>
        </w:rPr>
        <w:t>% το 20</w:t>
      </w:r>
      <w:r>
        <w:rPr>
          <w:rFonts w:ascii="Verdana" w:hAnsi="Verdana" w:cs="Calibri"/>
          <w:sz w:val="18"/>
          <w:szCs w:val="18"/>
          <w:lang w:val="el-GR"/>
        </w:rPr>
        <w:t>2</w:t>
      </w:r>
      <w:r w:rsidRPr="00E428AE">
        <w:rPr>
          <w:rFonts w:ascii="Verdana" w:hAnsi="Verdana" w:cs="Calibri"/>
          <w:sz w:val="18"/>
          <w:szCs w:val="18"/>
          <w:lang w:val="el-GR"/>
        </w:rPr>
        <w:t>0 σε 0,</w:t>
      </w:r>
      <w:r>
        <w:rPr>
          <w:rFonts w:ascii="Verdana" w:hAnsi="Verdana" w:cs="Calibri"/>
          <w:sz w:val="18"/>
          <w:szCs w:val="18"/>
          <w:lang w:val="el-GR"/>
        </w:rPr>
        <w:t>8</w:t>
      </w:r>
      <w:r w:rsidRPr="00E428AE">
        <w:rPr>
          <w:rFonts w:ascii="Verdana" w:hAnsi="Verdana" w:cs="Calibri"/>
          <w:sz w:val="18"/>
          <w:szCs w:val="18"/>
          <w:lang w:val="el-GR"/>
        </w:rPr>
        <w:t>% το 202</w:t>
      </w:r>
      <w:r>
        <w:rPr>
          <w:rFonts w:ascii="Verdana" w:hAnsi="Verdana" w:cs="Calibri"/>
          <w:sz w:val="18"/>
          <w:szCs w:val="18"/>
          <w:lang w:val="el-GR"/>
        </w:rPr>
        <w:t>3</w:t>
      </w:r>
      <w:r w:rsidRPr="00E428AE">
        <w:rPr>
          <w:rFonts w:ascii="Verdana" w:hAnsi="Verdana" w:cs="Calibri"/>
          <w:sz w:val="18"/>
          <w:szCs w:val="18"/>
          <w:lang w:val="el-GR"/>
        </w:rPr>
        <w:t>, ενώ η μεσιακή παρέμεινε σταθερή στο 0,3%.</w:t>
      </w:r>
    </w:p>
    <w:p w14:paraId="5EED3BC6" w14:textId="77777777" w:rsidR="00D966DB" w:rsidRPr="00E428AE" w:rsidRDefault="00D966DB" w:rsidP="00D966DB">
      <w:pPr>
        <w:jc w:val="both"/>
        <w:rPr>
          <w:rFonts w:ascii="Verdana" w:hAnsi="Verdana" w:cs="Calibri"/>
          <w:sz w:val="18"/>
          <w:szCs w:val="18"/>
          <w:lang w:val="el-GR"/>
        </w:rPr>
      </w:pPr>
    </w:p>
    <w:p w14:paraId="03643CBE" w14:textId="3C13661B" w:rsidR="007351E7" w:rsidRPr="00E428AE" w:rsidRDefault="007351E7" w:rsidP="007351E7">
      <w:pPr>
        <w:jc w:val="both"/>
        <w:rPr>
          <w:rFonts w:ascii="Verdana" w:hAnsi="Verdana"/>
          <w:sz w:val="18"/>
          <w:szCs w:val="18"/>
          <w:lang w:val="el-GR"/>
        </w:rPr>
      </w:pPr>
      <w:r w:rsidRPr="00E428AE">
        <w:rPr>
          <w:rFonts w:ascii="Verdana" w:hAnsi="Verdana"/>
          <w:sz w:val="18"/>
          <w:szCs w:val="18"/>
          <w:lang w:val="el-GR"/>
        </w:rPr>
        <w:t>Σε σχέση με τη χρήση της γης, αύξηση κατά 0,</w:t>
      </w:r>
      <w:r>
        <w:rPr>
          <w:rFonts w:ascii="Verdana" w:hAnsi="Verdana"/>
          <w:sz w:val="18"/>
          <w:szCs w:val="18"/>
          <w:lang w:val="el-GR"/>
        </w:rPr>
        <w:t>3</w:t>
      </w:r>
      <w:r w:rsidRPr="00E428AE">
        <w:rPr>
          <w:rFonts w:ascii="Verdana" w:hAnsi="Verdana"/>
          <w:sz w:val="18"/>
          <w:szCs w:val="18"/>
          <w:lang w:val="el-GR"/>
        </w:rPr>
        <w:t xml:space="preserve">% παρατηρήθηκε </w:t>
      </w:r>
      <w:r w:rsidR="003C6C8B">
        <w:rPr>
          <w:rFonts w:ascii="Verdana" w:hAnsi="Verdana"/>
          <w:sz w:val="18"/>
          <w:szCs w:val="18"/>
          <w:lang w:val="el-GR"/>
        </w:rPr>
        <w:t xml:space="preserve">στις εκτάσεις </w:t>
      </w:r>
      <w:r w:rsidRPr="00E428AE">
        <w:rPr>
          <w:rFonts w:ascii="Verdana" w:hAnsi="Verdana"/>
          <w:sz w:val="18"/>
          <w:szCs w:val="18"/>
          <w:lang w:val="el-GR"/>
        </w:rPr>
        <w:t>σε θερμοκήπια ή ψηλά προσπελάσιμα στέγαστρα, ενώ μείωση κατά 6,</w:t>
      </w:r>
      <w:r>
        <w:rPr>
          <w:rFonts w:ascii="Verdana" w:hAnsi="Verdana"/>
          <w:sz w:val="18"/>
          <w:szCs w:val="18"/>
          <w:lang w:val="el-GR"/>
        </w:rPr>
        <w:t>7</w:t>
      </w:r>
      <w:r w:rsidRPr="00E428AE">
        <w:rPr>
          <w:rFonts w:ascii="Verdana" w:hAnsi="Verdana"/>
          <w:sz w:val="18"/>
          <w:szCs w:val="18"/>
          <w:lang w:val="el-GR"/>
        </w:rPr>
        <w:t>% σημειώθηκε στους μόνιμους βοσκότοπους</w:t>
      </w:r>
      <w:r>
        <w:rPr>
          <w:rFonts w:ascii="Verdana" w:hAnsi="Verdana"/>
          <w:sz w:val="18"/>
          <w:szCs w:val="18"/>
          <w:lang w:val="el-GR"/>
        </w:rPr>
        <w:t>, 3</w:t>
      </w:r>
      <w:r w:rsidRPr="00E428AE">
        <w:rPr>
          <w:rFonts w:ascii="Verdana" w:hAnsi="Verdana"/>
          <w:sz w:val="18"/>
          <w:szCs w:val="18"/>
          <w:lang w:val="el-GR"/>
        </w:rPr>
        <w:t>,</w:t>
      </w:r>
      <w:r>
        <w:rPr>
          <w:rFonts w:ascii="Verdana" w:hAnsi="Verdana"/>
          <w:sz w:val="18"/>
          <w:szCs w:val="18"/>
          <w:lang w:val="el-GR"/>
        </w:rPr>
        <w:t>6</w:t>
      </w:r>
      <w:r w:rsidRPr="00E428AE">
        <w:rPr>
          <w:rFonts w:ascii="Verdana" w:hAnsi="Verdana"/>
          <w:sz w:val="18"/>
          <w:szCs w:val="18"/>
          <w:lang w:val="el-GR"/>
        </w:rPr>
        <w:t xml:space="preserve">% στις εκτάσεις των ετήσιων καλλιεργειών στο ύπαιθρο </w:t>
      </w:r>
      <w:r>
        <w:rPr>
          <w:rFonts w:ascii="Verdana" w:hAnsi="Verdana"/>
          <w:sz w:val="18"/>
          <w:szCs w:val="18"/>
          <w:lang w:val="el-GR"/>
        </w:rPr>
        <w:t>και 1</w:t>
      </w:r>
      <w:r w:rsidRPr="00E428AE">
        <w:rPr>
          <w:rFonts w:ascii="Verdana" w:hAnsi="Verdana"/>
          <w:sz w:val="18"/>
          <w:szCs w:val="18"/>
          <w:lang w:val="el-GR"/>
        </w:rPr>
        <w:t>,</w:t>
      </w:r>
      <w:r>
        <w:rPr>
          <w:rFonts w:ascii="Verdana" w:hAnsi="Verdana"/>
          <w:sz w:val="18"/>
          <w:szCs w:val="18"/>
          <w:lang w:val="el-GR"/>
        </w:rPr>
        <w:t>5</w:t>
      </w:r>
      <w:r w:rsidRPr="00E428AE">
        <w:rPr>
          <w:rFonts w:ascii="Verdana" w:hAnsi="Verdana"/>
          <w:sz w:val="18"/>
          <w:szCs w:val="18"/>
          <w:lang w:val="el-GR"/>
        </w:rPr>
        <w:t>% στις εκτάσεις των πολυετών (μόνιμων) καλλιεργειών στο ύπαιθρο, σε σύγκριση με την Απογραφή του 20</w:t>
      </w:r>
      <w:r>
        <w:rPr>
          <w:rFonts w:ascii="Verdana" w:hAnsi="Verdana"/>
          <w:sz w:val="18"/>
          <w:szCs w:val="18"/>
          <w:lang w:val="el-GR"/>
        </w:rPr>
        <w:t>2</w:t>
      </w:r>
      <w:r w:rsidRPr="00E428AE">
        <w:rPr>
          <w:rFonts w:ascii="Verdana" w:hAnsi="Verdana"/>
          <w:sz w:val="18"/>
          <w:szCs w:val="18"/>
          <w:lang w:val="el-GR"/>
        </w:rPr>
        <w:t>0.</w:t>
      </w:r>
    </w:p>
    <w:p w14:paraId="02ECC011" w14:textId="77777777" w:rsidR="007351E7" w:rsidRPr="00E428AE" w:rsidRDefault="007351E7" w:rsidP="007351E7">
      <w:pPr>
        <w:jc w:val="both"/>
        <w:rPr>
          <w:rFonts w:ascii="Verdana" w:hAnsi="Verdana"/>
          <w:sz w:val="18"/>
          <w:szCs w:val="18"/>
          <w:lang w:val="el-GR"/>
        </w:rPr>
      </w:pPr>
    </w:p>
    <w:p w14:paraId="566F926A" w14:textId="09517EAC" w:rsidR="00D966DB" w:rsidRDefault="007351E7" w:rsidP="007351E7">
      <w:pPr>
        <w:jc w:val="both"/>
        <w:rPr>
          <w:rFonts w:ascii="Verdana" w:hAnsi="Verdana"/>
          <w:sz w:val="18"/>
          <w:szCs w:val="18"/>
          <w:lang w:val="el-GR"/>
        </w:rPr>
      </w:pPr>
      <w:bookmarkStart w:id="4" w:name="_Hlk212797378"/>
      <w:bookmarkEnd w:id="3"/>
      <w:r w:rsidRPr="00E428AE">
        <w:rPr>
          <w:rFonts w:ascii="Verdana" w:hAnsi="Verdana"/>
          <w:sz w:val="18"/>
          <w:szCs w:val="18"/>
          <w:lang w:val="el-GR"/>
        </w:rPr>
        <w:t xml:space="preserve">Από τις </w:t>
      </w:r>
      <w:r w:rsidRPr="00E428AE">
        <w:rPr>
          <w:rFonts w:ascii="Verdana" w:hAnsi="Verdana"/>
          <w:b/>
          <w:bCs/>
          <w:sz w:val="18"/>
          <w:szCs w:val="18"/>
          <w:lang w:val="el-GR"/>
        </w:rPr>
        <w:t>ετήσιες καλλιέργειες στο ύπαιθρο</w:t>
      </w:r>
      <w:r w:rsidRPr="00E428AE">
        <w:rPr>
          <w:rFonts w:ascii="Verdana" w:hAnsi="Verdana"/>
          <w:sz w:val="18"/>
          <w:szCs w:val="18"/>
          <w:lang w:val="el-GR"/>
        </w:rPr>
        <w:t xml:space="preserve">, τα φυτά που συγκομίζονται χλωρά (πράσινα) και προορίζονται κυρίως για ζωοτροφές ή βόσκηση καταλαμβάνουν το </w:t>
      </w:r>
      <w:r>
        <w:rPr>
          <w:rFonts w:ascii="Verdana" w:hAnsi="Verdana"/>
          <w:sz w:val="18"/>
          <w:szCs w:val="18"/>
          <w:lang w:val="el-GR"/>
        </w:rPr>
        <w:t>43</w:t>
      </w:r>
      <w:r w:rsidRPr="00E428AE">
        <w:rPr>
          <w:rFonts w:ascii="Verdana" w:hAnsi="Verdana"/>
          <w:sz w:val="18"/>
          <w:szCs w:val="18"/>
          <w:lang w:val="el-GR"/>
        </w:rPr>
        <w:t xml:space="preserve">,7% του συνόλου της χρησιμοποιούμενης γεωργικής έκτασης, με τις μεγαλύτερες εκτάσεις να καλλιεργούνται στην </w:t>
      </w:r>
      <w:r>
        <w:rPr>
          <w:rFonts w:ascii="Verdana" w:hAnsi="Verdana"/>
          <w:sz w:val="18"/>
          <w:szCs w:val="18"/>
          <w:lang w:val="el-GR"/>
        </w:rPr>
        <w:t xml:space="preserve">επαρχία Λάρνακας </w:t>
      </w:r>
      <w:r w:rsidRPr="00E428AE">
        <w:rPr>
          <w:rFonts w:ascii="Verdana" w:hAnsi="Verdana"/>
          <w:sz w:val="18"/>
          <w:szCs w:val="18"/>
          <w:lang w:val="el-GR"/>
        </w:rPr>
        <w:t>(</w:t>
      </w:r>
      <w:r w:rsidRPr="00C85309">
        <w:rPr>
          <w:rFonts w:ascii="Verdana" w:hAnsi="Verdana"/>
          <w:sz w:val="18"/>
          <w:szCs w:val="18"/>
          <w:lang w:val="el-GR"/>
        </w:rPr>
        <w:t>229</w:t>
      </w:r>
      <w:r>
        <w:rPr>
          <w:rFonts w:ascii="Verdana" w:hAnsi="Verdana"/>
          <w:sz w:val="18"/>
          <w:szCs w:val="18"/>
          <w:lang w:val="el-GR"/>
        </w:rPr>
        <w:t>.</w:t>
      </w:r>
      <w:r w:rsidRPr="00C85309">
        <w:rPr>
          <w:rFonts w:ascii="Verdana" w:hAnsi="Verdana"/>
          <w:sz w:val="18"/>
          <w:szCs w:val="18"/>
          <w:lang w:val="el-GR"/>
        </w:rPr>
        <w:t xml:space="preserve">917 </w:t>
      </w:r>
      <w:r w:rsidRPr="00E428AE">
        <w:rPr>
          <w:rFonts w:ascii="Verdana" w:hAnsi="Verdana"/>
          <w:sz w:val="18"/>
          <w:szCs w:val="18"/>
          <w:lang w:val="el-GR"/>
        </w:rPr>
        <w:t>δεκάρια). Ακολουθούν τα διάφορα είδη σιτηρών για την παραγωγή καρπού</w:t>
      </w:r>
      <w:r w:rsidR="003C6C8B">
        <w:rPr>
          <w:rFonts w:ascii="Verdana" w:hAnsi="Verdana"/>
          <w:sz w:val="18"/>
          <w:szCs w:val="18"/>
          <w:lang w:val="el-GR"/>
        </w:rPr>
        <w:t>,</w:t>
      </w:r>
      <w:r w:rsidRPr="00E428AE">
        <w:rPr>
          <w:rFonts w:ascii="Verdana" w:hAnsi="Verdana"/>
          <w:sz w:val="18"/>
          <w:szCs w:val="18"/>
          <w:lang w:val="el-GR"/>
        </w:rPr>
        <w:t xml:space="preserve"> που αποτελούν το </w:t>
      </w:r>
      <w:r>
        <w:rPr>
          <w:rFonts w:ascii="Verdana" w:hAnsi="Verdana"/>
          <w:sz w:val="18"/>
          <w:szCs w:val="18"/>
          <w:lang w:val="el-GR"/>
        </w:rPr>
        <w:t>19</w:t>
      </w:r>
      <w:r w:rsidRPr="00E428AE">
        <w:rPr>
          <w:rFonts w:ascii="Verdana" w:hAnsi="Verdana"/>
          <w:sz w:val="18"/>
          <w:szCs w:val="18"/>
          <w:lang w:val="el-GR"/>
        </w:rPr>
        <w:t>,</w:t>
      </w:r>
      <w:r>
        <w:rPr>
          <w:rFonts w:ascii="Verdana" w:hAnsi="Verdana"/>
          <w:sz w:val="18"/>
          <w:szCs w:val="18"/>
          <w:lang w:val="el-GR"/>
        </w:rPr>
        <w:t>0</w:t>
      </w:r>
      <w:r w:rsidRPr="00E428AE">
        <w:rPr>
          <w:rFonts w:ascii="Verdana" w:hAnsi="Verdana"/>
          <w:sz w:val="18"/>
          <w:szCs w:val="18"/>
          <w:lang w:val="el-GR"/>
        </w:rPr>
        <w:t>% του συνόλου</w:t>
      </w:r>
      <w:r w:rsidR="003C6C8B">
        <w:rPr>
          <w:rFonts w:ascii="Verdana" w:hAnsi="Verdana"/>
          <w:sz w:val="18"/>
          <w:szCs w:val="18"/>
          <w:lang w:val="el-GR"/>
        </w:rPr>
        <w:t>,</w:t>
      </w:r>
      <w:r w:rsidRPr="00E428AE">
        <w:rPr>
          <w:rFonts w:ascii="Verdana" w:hAnsi="Verdana"/>
          <w:sz w:val="18"/>
          <w:szCs w:val="18"/>
          <w:lang w:val="el-GR"/>
        </w:rPr>
        <w:t xml:space="preserve"> με τις μεγαλύτερες εκτάσεις να σπέρνονται </w:t>
      </w:r>
      <w:r>
        <w:rPr>
          <w:rFonts w:ascii="Verdana" w:hAnsi="Verdana"/>
          <w:sz w:val="18"/>
          <w:szCs w:val="18"/>
          <w:lang w:val="el-GR"/>
        </w:rPr>
        <w:t xml:space="preserve">στην επαρχία Λευκωσίας </w:t>
      </w:r>
      <w:r w:rsidRPr="00E428AE">
        <w:rPr>
          <w:rFonts w:ascii="Verdana" w:hAnsi="Verdana"/>
          <w:sz w:val="18"/>
          <w:szCs w:val="18"/>
          <w:lang w:val="el-GR"/>
        </w:rPr>
        <w:t>(</w:t>
      </w:r>
      <w:r>
        <w:rPr>
          <w:rFonts w:ascii="Verdana" w:hAnsi="Verdana"/>
          <w:sz w:val="18"/>
          <w:szCs w:val="18"/>
          <w:lang w:val="el-GR"/>
        </w:rPr>
        <w:t>117</w:t>
      </w:r>
      <w:r w:rsidRPr="00E428AE">
        <w:rPr>
          <w:rFonts w:ascii="Verdana" w:hAnsi="Verdana"/>
          <w:sz w:val="18"/>
          <w:szCs w:val="18"/>
          <w:lang w:val="el-GR"/>
        </w:rPr>
        <w:t>.</w:t>
      </w:r>
      <w:r>
        <w:rPr>
          <w:rFonts w:ascii="Verdana" w:hAnsi="Verdana"/>
          <w:sz w:val="18"/>
          <w:szCs w:val="18"/>
          <w:lang w:val="el-GR"/>
        </w:rPr>
        <w:t>182</w:t>
      </w:r>
      <w:r w:rsidRPr="00E428AE">
        <w:rPr>
          <w:rFonts w:ascii="Verdana" w:hAnsi="Verdana"/>
          <w:sz w:val="18"/>
          <w:szCs w:val="18"/>
          <w:lang w:val="el-GR"/>
        </w:rPr>
        <w:t xml:space="preserve"> δεκάρια).</w:t>
      </w:r>
    </w:p>
    <w:p w14:paraId="1150E0F3" w14:textId="77777777" w:rsidR="00D966DB" w:rsidRPr="00E428AE" w:rsidRDefault="00D966DB" w:rsidP="00D966DB">
      <w:pPr>
        <w:jc w:val="both"/>
        <w:rPr>
          <w:rFonts w:ascii="Verdana" w:hAnsi="Verdana"/>
          <w:sz w:val="18"/>
          <w:szCs w:val="18"/>
          <w:lang w:val="el-GR"/>
        </w:rPr>
      </w:pPr>
    </w:p>
    <w:p w14:paraId="66D28817" w14:textId="7EC41C57" w:rsidR="00D966DB" w:rsidRDefault="00D966DB" w:rsidP="00D966DB">
      <w:pPr>
        <w:jc w:val="both"/>
        <w:rPr>
          <w:rFonts w:ascii="Verdana" w:hAnsi="Verdana"/>
          <w:sz w:val="18"/>
          <w:szCs w:val="18"/>
          <w:lang w:val="el-GR"/>
        </w:rPr>
      </w:pPr>
      <w:r w:rsidRPr="00E428AE">
        <w:rPr>
          <w:rFonts w:ascii="Verdana" w:hAnsi="Verdana"/>
          <w:sz w:val="18"/>
          <w:szCs w:val="18"/>
          <w:lang w:val="el-GR"/>
        </w:rPr>
        <w:t>Σημαντικές μεταβολές καταγράφηκαν στις εκτάσεις των ετήσιων καλλιεργειών στο ύπαιθρο, ειδικότερα στ</w:t>
      </w:r>
      <w:r w:rsidR="00113E7C">
        <w:rPr>
          <w:rFonts w:ascii="Verdana" w:hAnsi="Verdana"/>
          <w:sz w:val="18"/>
          <w:szCs w:val="18"/>
          <w:lang w:val="el-GR"/>
        </w:rPr>
        <w:t>ην αγρανάπαυση,</w:t>
      </w:r>
      <w:r w:rsidRPr="00E428AE">
        <w:rPr>
          <w:rFonts w:ascii="Verdana" w:hAnsi="Verdana"/>
          <w:sz w:val="18"/>
          <w:szCs w:val="18"/>
          <w:lang w:val="el-GR"/>
        </w:rPr>
        <w:t xml:space="preserve"> </w:t>
      </w:r>
      <w:r w:rsidR="00113E7C">
        <w:rPr>
          <w:rFonts w:ascii="Verdana" w:hAnsi="Verdana"/>
          <w:sz w:val="18"/>
          <w:szCs w:val="18"/>
          <w:lang w:val="el-GR"/>
        </w:rPr>
        <w:t>στα φ</w:t>
      </w:r>
      <w:r w:rsidR="00113E7C" w:rsidRPr="00113E7C">
        <w:rPr>
          <w:rFonts w:ascii="Verdana" w:hAnsi="Verdana"/>
          <w:sz w:val="18"/>
          <w:szCs w:val="18"/>
          <w:lang w:val="el-GR"/>
        </w:rPr>
        <w:t>υτά με ριζώματα ή κονδύλους</w:t>
      </w:r>
      <w:r w:rsidR="00113E7C">
        <w:rPr>
          <w:rFonts w:ascii="Verdana" w:hAnsi="Verdana"/>
          <w:sz w:val="18"/>
          <w:szCs w:val="18"/>
          <w:lang w:val="el-GR"/>
        </w:rPr>
        <w:t xml:space="preserve"> και στα ν</w:t>
      </w:r>
      <w:r w:rsidR="00113E7C" w:rsidRPr="00113E7C">
        <w:rPr>
          <w:rFonts w:ascii="Verdana" w:hAnsi="Verdana"/>
          <w:sz w:val="18"/>
          <w:szCs w:val="18"/>
          <w:lang w:val="el-GR"/>
        </w:rPr>
        <w:t>ωπά λαχανικά, πεπονοειδή και φράουλες</w:t>
      </w:r>
      <w:r w:rsidRPr="00E428AE">
        <w:rPr>
          <w:rFonts w:ascii="Verdana" w:hAnsi="Verdana"/>
          <w:sz w:val="18"/>
          <w:szCs w:val="18"/>
          <w:lang w:val="el-GR"/>
        </w:rPr>
        <w:t xml:space="preserve">, που </w:t>
      </w:r>
      <w:r w:rsidR="00113E7C">
        <w:rPr>
          <w:rFonts w:ascii="Verdana" w:hAnsi="Verdana"/>
          <w:sz w:val="18"/>
          <w:szCs w:val="18"/>
          <w:lang w:val="el-GR"/>
        </w:rPr>
        <w:t xml:space="preserve">μειώθηκαν </w:t>
      </w:r>
      <w:r w:rsidRPr="00E428AE">
        <w:rPr>
          <w:rFonts w:ascii="Verdana" w:hAnsi="Verdana"/>
          <w:sz w:val="18"/>
          <w:szCs w:val="18"/>
          <w:lang w:val="el-GR"/>
        </w:rPr>
        <w:t xml:space="preserve">κατά </w:t>
      </w:r>
      <w:r w:rsidR="00113E7C">
        <w:rPr>
          <w:rFonts w:ascii="Verdana" w:hAnsi="Verdana"/>
          <w:sz w:val="18"/>
          <w:szCs w:val="18"/>
          <w:lang w:val="el-GR"/>
        </w:rPr>
        <w:t>28</w:t>
      </w:r>
      <w:r w:rsidRPr="00E428AE">
        <w:rPr>
          <w:rFonts w:ascii="Verdana" w:hAnsi="Verdana"/>
          <w:sz w:val="18"/>
          <w:szCs w:val="18"/>
          <w:lang w:val="el-GR"/>
        </w:rPr>
        <w:t>,</w:t>
      </w:r>
      <w:r w:rsidR="00113E7C">
        <w:rPr>
          <w:rFonts w:ascii="Verdana" w:hAnsi="Verdana"/>
          <w:sz w:val="18"/>
          <w:szCs w:val="18"/>
          <w:lang w:val="el-GR"/>
        </w:rPr>
        <w:t>4</w:t>
      </w:r>
      <w:r w:rsidRPr="00E428AE">
        <w:rPr>
          <w:rFonts w:ascii="Verdana" w:hAnsi="Verdana"/>
          <w:sz w:val="18"/>
          <w:szCs w:val="18"/>
          <w:lang w:val="el-GR"/>
        </w:rPr>
        <w:t xml:space="preserve">%, </w:t>
      </w:r>
      <w:r w:rsidR="00113E7C">
        <w:rPr>
          <w:rFonts w:ascii="Verdana" w:hAnsi="Verdana"/>
          <w:sz w:val="18"/>
          <w:szCs w:val="18"/>
          <w:lang w:val="el-GR"/>
        </w:rPr>
        <w:t>19</w:t>
      </w:r>
      <w:r w:rsidRPr="00E428AE">
        <w:rPr>
          <w:rFonts w:ascii="Verdana" w:hAnsi="Verdana"/>
          <w:sz w:val="18"/>
          <w:szCs w:val="18"/>
          <w:lang w:val="el-GR"/>
        </w:rPr>
        <w:t>,</w:t>
      </w:r>
      <w:r w:rsidR="00113E7C">
        <w:rPr>
          <w:rFonts w:ascii="Verdana" w:hAnsi="Verdana"/>
          <w:sz w:val="18"/>
          <w:szCs w:val="18"/>
          <w:lang w:val="el-GR"/>
        </w:rPr>
        <w:t>9</w:t>
      </w:r>
      <w:r w:rsidRPr="00E428AE">
        <w:rPr>
          <w:rFonts w:ascii="Verdana" w:hAnsi="Verdana"/>
          <w:sz w:val="18"/>
          <w:szCs w:val="18"/>
          <w:lang w:val="el-GR"/>
        </w:rPr>
        <w:t xml:space="preserve">% και </w:t>
      </w:r>
      <w:r w:rsidR="00113E7C">
        <w:rPr>
          <w:rFonts w:ascii="Verdana" w:hAnsi="Verdana"/>
          <w:sz w:val="18"/>
          <w:szCs w:val="18"/>
          <w:lang w:val="el-GR"/>
        </w:rPr>
        <w:t>14</w:t>
      </w:r>
      <w:r w:rsidRPr="00E428AE">
        <w:rPr>
          <w:rFonts w:ascii="Verdana" w:hAnsi="Verdana"/>
          <w:sz w:val="18"/>
          <w:szCs w:val="18"/>
          <w:lang w:val="el-GR"/>
        </w:rPr>
        <w:t>,</w:t>
      </w:r>
      <w:r w:rsidR="00113E7C">
        <w:rPr>
          <w:rFonts w:ascii="Verdana" w:hAnsi="Verdana"/>
          <w:sz w:val="18"/>
          <w:szCs w:val="18"/>
          <w:lang w:val="el-GR"/>
        </w:rPr>
        <w:t>2</w:t>
      </w:r>
      <w:r w:rsidRPr="00E428AE">
        <w:rPr>
          <w:rFonts w:ascii="Verdana" w:hAnsi="Verdana"/>
          <w:sz w:val="18"/>
          <w:szCs w:val="18"/>
          <w:lang w:val="el-GR"/>
        </w:rPr>
        <w:t>% αντίστοιχα σε σχέση με το 20</w:t>
      </w:r>
      <w:r w:rsidR="00113E7C">
        <w:rPr>
          <w:rFonts w:ascii="Verdana" w:hAnsi="Verdana"/>
          <w:sz w:val="18"/>
          <w:szCs w:val="18"/>
          <w:lang w:val="el-GR"/>
        </w:rPr>
        <w:t>2</w:t>
      </w:r>
      <w:r w:rsidRPr="00E428AE">
        <w:rPr>
          <w:rFonts w:ascii="Verdana" w:hAnsi="Verdana"/>
          <w:sz w:val="18"/>
          <w:szCs w:val="18"/>
          <w:lang w:val="el-GR"/>
        </w:rPr>
        <w:t xml:space="preserve">0. Οι καλλιέργειες </w:t>
      </w:r>
      <w:r w:rsidR="00113E7C">
        <w:rPr>
          <w:rFonts w:ascii="Verdana" w:hAnsi="Verdana"/>
          <w:sz w:val="18"/>
          <w:szCs w:val="18"/>
          <w:lang w:val="el-GR"/>
        </w:rPr>
        <w:t xml:space="preserve">των φυτών </w:t>
      </w:r>
      <w:r w:rsidR="00113E7C" w:rsidRPr="00E428AE">
        <w:rPr>
          <w:rFonts w:ascii="Verdana" w:hAnsi="Verdana"/>
          <w:sz w:val="18"/>
          <w:szCs w:val="18"/>
          <w:lang w:val="el-GR"/>
        </w:rPr>
        <w:t xml:space="preserve">που συγκομίζονται χλωρά </w:t>
      </w:r>
      <w:r w:rsidRPr="00E428AE">
        <w:rPr>
          <w:rFonts w:ascii="Verdana" w:hAnsi="Verdana"/>
          <w:sz w:val="18"/>
          <w:szCs w:val="18"/>
          <w:lang w:val="el-GR"/>
        </w:rPr>
        <w:t xml:space="preserve">και των </w:t>
      </w:r>
      <w:proofErr w:type="spellStart"/>
      <w:r w:rsidRPr="00E428AE">
        <w:rPr>
          <w:rFonts w:ascii="Verdana" w:hAnsi="Verdana"/>
          <w:sz w:val="18"/>
          <w:szCs w:val="18"/>
          <w:lang w:val="el-GR"/>
        </w:rPr>
        <w:t>ανθέων</w:t>
      </w:r>
      <w:proofErr w:type="spellEnd"/>
      <w:r w:rsidRPr="00E428AE">
        <w:rPr>
          <w:rFonts w:ascii="Verdana" w:hAnsi="Verdana"/>
          <w:sz w:val="18"/>
          <w:szCs w:val="18"/>
          <w:lang w:val="el-GR"/>
        </w:rPr>
        <w:t xml:space="preserve"> και διακοσμητικών φυτών </w:t>
      </w:r>
      <w:r w:rsidR="00113E7C">
        <w:rPr>
          <w:rFonts w:ascii="Verdana" w:hAnsi="Verdana"/>
          <w:sz w:val="18"/>
          <w:szCs w:val="18"/>
          <w:lang w:val="el-GR"/>
        </w:rPr>
        <w:t xml:space="preserve">αυξήθηκαν </w:t>
      </w:r>
      <w:r w:rsidRPr="00E428AE">
        <w:rPr>
          <w:rFonts w:ascii="Verdana" w:hAnsi="Verdana"/>
          <w:sz w:val="18"/>
          <w:szCs w:val="18"/>
          <w:lang w:val="el-GR"/>
        </w:rPr>
        <w:t xml:space="preserve">σε έκταση κατά </w:t>
      </w:r>
      <w:r w:rsidR="00113E7C">
        <w:rPr>
          <w:rFonts w:ascii="Verdana" w:hAnsi="Verdana"/>
          <w:sz w:val="18"/>
          <w:szCs w:val="18"/>
          <w:lang w:val="el-GR"/>
        </w:rPr>
        <w:t>9</w:t>
      </w:r>
      <w:r w:rsidRPr="00E428AE">
        <w:rPr>
          <w:rFonts w:ascii="Verdana" w:hAnsi="Verdana"/>
          <w:sz w:val="18"/>
          <w:szCs w:val="18"/>
          <w:lang w:val="el-GR"/>
        </w:rPr>
        <w:t>,</w:t>
      </w:r>
      <w:r w:rsidR="00113E7C">
        <w:rPr>
          <w:rFonts w:ascii="Verdana" w:hAnsi="Verdana"/>
          <w:sz w:val="18"/>
          <w:szCs w:val="18"/>
          <w:lang w:val="el-GR"/>
        </w:rPr>
        <w:t>3</w:t>
      </w:r>
      <w:r w:rsidRPr="00E428AE">
        <w:rPr>
          <w:rFonts w:ascii="Verdana" w:hAnsi="Verdana"/>
          <w:sz w:val="18"/>
          <w:szCs w:val="18"/>
          <w:lang w:val="el-GR"/>
        </w:rPr>
        <w:t xml:space="preserve">% και </w:t>
      </w:r>
      <w:r w:rsidR="00113E7C">
        <w:rPr>
          <w:rFonts w:ascii="Verdana" w:hAnsi="Verdana"/>
          <w:sz w:val="18"/>
          <w:szCs w:val="18"/>
          <w:lang w:val="el-GR"/>
        </w:rPr>
        <w:t>7</w:t>
      </w:r>
      <w:r w:rsidRPr="00E428AE">
        <w:rPr>
          <w:rFonts w:ascii="Verdana" w:hAnsi="Verdana"/>
          <w:sz w:val="18"/>
          <w:szCs w:val="18"/>
          <w:lang w:val="el-GR"/>
        </w:rPr>
        <w:t>,</w:t>
      </w:r>
      <w:r w:rsidR="00113E7C">
        <w:rPr>
          <w:rFonts w:ascii="Verdana" w:hAnsi="Verdana"/>
          <w:sz w:val="18"/>
          <w:szCs w:val="18"/>
          <w:lang w:val="el-GR"/>
        </w:rPr>
        <w:t>5</w:t>
      </w:r>
      <w:r w:rsidRPr="00E428AE">
        <w:rPr>
          <w:rFonts w:ascii="Verdana" w:hAnsi="Verdana"/>
          <w:sz w:val="18"/>
          <w:szCs w:val="18"/>
          <w:lang w:val="el-GR"/>
        </w:rPr>
        <w:t>% αντίστοιχα σε σύγκριση με το 20</w:t>
      </w:r>
      <w:r w:rsidR="00113E7C">
        <w:rPr>
          <w:rFonts w:ascii="Verdana" w:hAnsi="Verdana"/>
          <w:sz w:val="18"/>
          <w:szCs w:val="18"/>
          <w:lang w:val="el-GR"/>
        </w:rPr>
        <w:t>2</w:t>
      </w:r>
      <w:r w:rsidRPr="00E428AE">
        <w:rPr>
          <w:rFonts w:ascii="Verdana" w:hAnsi="Verdana"/>
          <w:sz w:val="18"/>
          <w:szCs w:val="18"/>
          <w:lang w:val="el-GR"/>
        </w:rPr>
        <w:t>0.</w:t>
      </w:r>
    </w:p>
    <w:bookmarkEnd w:id="4"/>
    <w:p w14:paraId="35BBD4F0" w14:textId="77777777" w:rsidR="00D966DB" w:rsidRPr="00E428AE" w:rsidRDefault="00D966DB" w:rsidP="00D966DB">
      <w:pPr>
        <w:jc w:val="both"/>
        <w:rPr>
          <w:rFonts w:ascii="Verdana" w:hAnsi="Verdana"/>
          <w:sz w:val="18"/>
          <w:szCs w:val="18"/>
          <w:lang w:val="el-GR"/>
        </w:rPr>
      </w:pPr>
    </w:p>
    <w:p w14:paraId="01E4DB53" w14:textId="1A288E76" w:rsidR="00D966DB" w:rsidRPr="00E428AE" w:rsidRDefault="007351E7" w:rsidP="00D966DB">
      <w:pPr>
        <w:jc w:val="center"/>
        <w:rPr>
          <w:rFonts w:ascii="Verdana" w:hAnsi="Verdana"/>
          <w:sz w:val="18"/>
          <w:szCs w:val="18"/>
          <w:lang w:val="el-GR"/>
        </w:rPr>
      </w:pPr>
      <w:r>
        <w:rPr>
          <w:noProof/>
        </w:rPr>
        <w:drawing>
          <wp:inline distT="0" distB="0" distL="0" distR="0" wp14:anchorId="20EE036F" wp14:editId="6C2B714C">
            <wp:extent cx="6076949" cy="3038475"/>
            <wp:effectExtent l="0" t="0" r="635" b="9525"/>
            <wp:docPr id="250256769" name="Chart 1">
              <a:extLst xmlns:a="http://schemas.openxmlformats.org/drawingml/2006/main">
                <a:ext uri="{FF2B5EF4-FFF2-40B4-BE49-F238E27FC236}">
                  <a16:creationId xmlns:a16="http://schemas.microsoft.com/office/drawing/2014/main" id="{8A030A24-D4EF-B828-B431-EA5B28BEA4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BEB45A" w14:textId="77777777" w:rsidR="00D966DB" w:rsidRPr="00E428AE" w:rsidRDefault="00D966DB" w:rsidP="00D966DB">
      <w:pPr>
        <w:jc w:val="both"/>
        <w:rPr>
          <w:rFonts w:ascii="Verdana" w:hAnsi="Verdana"/>
          <w:sz w:val="18"/>
          <w:szCs w:val="18"/>
          <w:lang w:val="el-GR"/>
        </w:rPr>
      </w:pPr>
    </w:p>
    <w:p w14:paraId="0619B931" w14:textId="068D5DA5" w:rsidR="00D966DB" w:rsidRPr="00E428AE" w:rsidRDefault="00D966DB" w:rsidP="00D966DB">
      <w:pPr>
        <w:jc w:val="both"/>
        <w:rPr>
          <w:rFonts w:ascii="Verdana" w:hAnsi="Verdana"/>
          <w:sz w:val="18"/>
          <w:szCs w:val="18"/>
          <w:lang w:val="el-GR"/>
        </w:rPr>
      </w:pPr>
      <w:bookmarkStart w:id="5" w:name="_Hlk212798598"/>
      <w:r w:rsidRPr="00E428AE">
        <w:rPr>
          <w:rFonts w:ascii="Verdana" w:hAnsi="Verdana"/>
          <w:sz w:val="18"/>
          <w:szCs w:val="18"/>
          <w:lang w:val="el-GR"/>
        </w:rPr>
        <w:lastRenderedPageBreak/>
        <w:t xml:space="preserve">Από τις </w:t>
      </w:r>
      <w:r w:rsidRPr="00E428AE">
        <w:rPr>
          <w:rFonts w:ascii="Verdana" w:hAnsi="Verdana"/>
          <w:b/>
          <w:bCs/>
          <w:sz w:val="18"/>
          <w:szCs w:val="18"/>
          <w:lang w:val="el-GR"/>
        </w:rPr>
        <w:t>μόνιμες καλλιέργειες στο ύπαιθρο</w:t>
      </w:r>
      <w:r w:rsidRPr="00E428AE">
        <w:rPr>
          <w:rFonts w:ascii="Verdana" w:hAnsi="Verdana"/>
          <w:sz w:val="18"/>
          <w:szCs w:val="18"/>
          <w:lang w:val="el-GR"/>
        </w:rPr>
        <w:t>, οι ελαιώνες καταλαμβάνουν το μεγαλύτερο μερίδιο έκτασης (9,</w:t>
      </w:r>
      <w:r w:rsidR="00113E7C">
        <w:rPr>
          <w:rFonts w:ascii="Verdana" w:hAnsi="Verdana"/>
          <w:sz w:val="18"/>
          <w:szCs w:val="18"/>
          <w:lang w:val="el-GR"/>
        </w:rPr>
        <w:t>2</w:t>
      </w:r>
      <w:r w:rsidRPr="00E428AE">
        <w:rPr>
          <w:rFonts w:ascii="Verdana" w:hAnsi="Verdana"/>
          <w:sz w:val="18"/>
          <w:szCs w:val="18"/>
          <w:lang w:val="el-GR"/>
        </w:rPr>
        <w:t>%) με τα περισσότερα δένδρα να βρίσκονται στ</w:t>
      </w:r>
      <w:r w:rsidR="00113E7C">
        <w:rPr>
          <w:rFonts w:ascii="Verdana" w:hAnsi="Verdana"/>
          <w:sz w:val="18"/>
          <w:szCs w:val="18"/>
          <w:lang w:val="el-GR"/>
        </w:rPr>
        <w:t xml:space="preserve">ην επαρχία Λευκωσίας </w:t>
      </w:r>
      <w:r w:rsidRPr="00E428AE">
        <w:rPr>
          <w:rFonts w:ascii="Verdana" w:hAnsi="Verdana"/>
          <w:sz w:val="18"/>
          <w:szCs w:val="18"/>
          <w:lang w:val="el-GR"/>
        </w:rPr>
        <w:t xml:space="preserve">(έκταση </w:t>
      </w:r>
      <w:r w:rsidR="00113E7C">
        <w:rPr>
          <w:rFonts w:ascii="Verdana" w:hAnsi="Verdana"/>
          <w:sz w:val="18"/>
          <w:szCs w:val="18"/>
          <w:lang w:val="el-GR"/>
        </w:rPr>
        <w:t>36</w:t>
      </w:r>
      <w:r w:rsidRPr="00E428AE">
        <w:rPr>
          <w:rFonts w:ascii="Verdana" w:hAnsi="Verdana"/>
          <w:sz w:val="18"/>
          <w:szCs w:val="18"/>
          <w:lang w:val="el-GR"/>
        </w:rPr>
        <w:t>.</w:t>
      </w:r>
      <w:r w:rsidR="00113E7C">
        <w:rPr>
          <w:rFonts w:ascii="Verdana" w:hAnsi="Verdana"/>
          <w:sz w:val="18"/>
          <w:szCs w:val="18"/>
          <w:lang w:val="el-GR"/>
        </w:rPr>
        <w:t>574</w:t>
      </w:r>
      <w:r w:rsidRPr="00E428AE">
        <w:rPr>
          <w:rFonts w:ascii="Verdana" w:hAnsi="Verdana"/>
          <w:sz w:val="18"/>
          <w:szCs w:val="18"/>
          <w:lang w:val="el-GR"/>
        </w:rPr>
        <w:t xml:space="preserve"> </w:t>
      </w:r>
      <w:proofErr w:type="spellStart"/>
      <w:r w:rsidRPr="00E428AE">
        <w:rPr>
          <w:rFonts w:ascii="Verdana" w:hAnsi="Verdana"/>
          <w:sz w:val="18"/>
          <w:szCs w:val="18"/>
          <w:lang w:val="el-GR"/>
        </w:rPr>
        <w:t>δεκαρίων</w:t>
      </w:r>
      <w:proofErr w:type="spellEnd"/>
      <w:r w:rsidRPr="00E428AE">
        <w:rPr>
          <w:rFonts w:ascii="Verdana" w:hAnsi="Verdana"/>
          <w:sz w:val="18"/>
          <w:szCs w:val="18"/>
          <w:lang w:val="el-GR"/>
        </w:rPr>
        <w:t xml:space="preserve">). Ακολουθούν οι αμπελώνες με 4,9% επί του συνόλου της χρησιμοποιούμενης γεωργικής έκτασης, με τις μεγαλύτερες εκτάσεις να καταγράφονται στην </w:t>
      </w:r>
      <w:r w:rsidR="00113E7C">
        <w:rPr>
          <w:rFonts w:ascii="Verdana" w:hAnsi="Verdana"/>
          <w:sz w:val="18"/>
          <w:szCs w:val="18"/>
          <w:lang w:val="el-GR"/>
        </w:rPr>
        <w:t>επαρχία Λεμεσού</w:t>
      </w:r>
      <w:r w:rsidRPr="00E428AE">
        <w:rPr>
          <w:rFonts w:ascii="Verdana" w:hAnsi="Verdana"/>
          <w:sz w:val="18"/>
          <w:szCs w:val="18"/>
          <w:lang w:val="el-GR"/>
        </w:rPr>
        <w:t xml:space="preserve"> (</w:t>
      </w:r>
      <w:r w:rsidR="00113E7C">
        <w:rPr>
          <w:rFonts w:ascii="Verdana" w:hAnsi="Verdana"/>
          <w:sz w:val="18"/>
          <w:szCs w:val="18"/>
          <w:lang w:val="el-GR"/>
        </w:rPr>
        <w:t>28</w:t>
      </w:r>
      <w:r w:rsidRPr="00E428AE">
        <w:rPr>
          <w:rFonts w:ascii="Verdana" w:hAnsi="Verdana"/>
          <w:sz w:val="18"/>
          <w:szCs w:val="18"/>
          <w:lang w:val="el-GR"/>
        </w:rPr>
        <w:t>.</w:t>
      </w:r>
      <w:r w:rsidR="00113E7C">
        <w:rPr>
          <w:rFonts w:ascii="Verdana" w:hAnsi="Verdana"/>
          <w:sz w:val="18"/>
          <w:szCs w:val="18"/>
          <w:lang w:val="el-GR"/>
        </w:rPr>
        <w:t>729</w:t>
      </w:r>
      <w:r w:rsidRPr="00E428AE">
        <w:rPr>
          <w:rFonts w:ascii="Verdana" w:hAnsi="Verdana"/>
          <w:sz w:val="18"/>
          <w:szCs w:val="18"/>
          <w:lang w:val="el-GR"/>
        </w:rPr>
        <w:t xml:space="preserve"> δεκάρια).</w:t>
      </w:r>
    </w:p>
    <w:p w14:paraId="23E244C6" w14:textId="77777777" w:rsidR="00D966DB" w:rsidRPr="00E428AE" w:rsidRDefault="00D966DB" w:rsidP="00D966DB">
      <w:pPr>
        <w:jc w:val="both"/>
        <w:rPr>
          <w:rFonts w:ascii="Verdana" w:hAnsi="Verdana"/>
          <w:sz w:val="18"/>
          <w:szCs w:val="18"/>
          <w:lang w:val="el-GR"/>
        </w:rPr>
      </w:pPr>
    </w:p>
    <w:p w14:paraId="3A752DB5" w14:textId="4E100275" w:rsidR="00D966DB" w:rsidRPr="00E428AE" w:rsidRDefault="00D966DB" w:rsidP="00D966DB">
      <w:pPr>
        <w:jc w:val="both"/>
        <w:rPr>
          <w:rFonts w:ascii="Verdana" w:hAnsi="Verdana"/>
          <w:sz w:val="18"/>
          <w:szCs w:val="18"/>
          <w:lang w:val="el-GR"/>
        </w:rPr>
      </w:pPr>
      <w:r w:rsidRPr="00E428AE">
        <w:rPr>
          <w:rFonts w:ascii="Verdana" w:hAnsi="Verdana"/>
          <w:sz w:val="18"/>
          <w:szCs w:val="18"/>
          <w:lang w:val="el-GR"/>
        </w:rPr>
        <w:t xml:space="preserve">Αξιοσημείωτη αύξηση της τάξης του </w:t>
      </w:r>
      <w:r w:rsidR="00C44B06" w:rsidRPr="00C44B06">
        <w:rPr>
          <w:rFonts w:ascii="Verdana" w:hAnsi="Verdana"/>
          <w:sz w:val="18"/>
          <w:szCs w:val="18"/>
          <w:lang w:val="el-GR"/>
        </w:rPr>
        <w:t>66</w:t>
      </w:r>
      <w:r w:rsidRPr="00E428AE">
        <w:rPr>
          <w:rFonts w:ascii="Verdana" w:hAnsi="Verdana"/>
          <w:sz w:val="18"/>
          <w:szCs w:val="18"/>
          <w:lang w:val="el-GR"/>
        </w:rPr>
        <w:t>,</w:t>
      </w:r>
      <w:r w:rsidR="00C44B06" w:rsidRPr="00C44B06">
        <w:rPr>
          <w:rFonts w:ascii="Verdana" w:hAnsi="Verdana"/>
          <w:sz w:val="18"/>
          <w:szCs w:val="18"/>
          <w:lang w:val="el-GR"/>
        </w:rPr>
        <w:t>1</w:t>
      </w:r>
      <w:r w:rsidRPr="00E428AE">
        <w:rPr>
          <w:rFonts w:ascii="Verdana" w:hAnsi="Verdana"/>
          <w:sz w:val="18"/>
          <w:szCs w:val="18"/>
          <w:lang w:val="el-GR"/>
        </w:rPr>
        <w:t xml:space="preserve">% σημειώθηκε στην </w:t>
      </w:r>
      <w:proofErr w:type="spellStart"/>
      <w:r w:rsidRPr="00E428AE">
        <w:rPr>
          <w:rFonts w:ascii="Verdana" w:hAnsi="Verdana"/>
          <w:sz w:val="18"/>
          <w:szCs w:val="18"/>
          <w:lang w:val="el-GR"/>
        </w:rPr>
        <w:t>καλλιεργηθείσα</w:t>
      </w:r>
      <w:proofErr w:type="spellEnd"/>
      <w:r w:rsidRPr="00E428AE">
        <w:rPr>
          <w:rFonts w:ascii="Verdana" w:hAnsi="Verdana"/>
          <w:sz w:val="18"/>
          <w:szCs w:val="18"/>
          <w:lang w:val="el-GR"/>
        </w:rPr>
        <w:t xml:space="preserve"> έκταση </w:t>
      </w:r>
      <w:r w:rsidR="003C6C8B">
        <w:rPr>
          <w:rFonts w:ascii="Verdana" w:hAnsi="Verdana"/>
          <w:sz w:val="18"/>
          <w:szCs w:val="18"/>
          <w:lang w:val="el-GR"/>
        </w:rPr>
        <w:t>με</w:t>
      </w:r>
      <w:r w:rsidRPr="00E428AE">
        <w:rPr>
          <w:rFonts w:ascii="Verdana" w:hAnsi="Verdana"/>
          <w:sz w:val="18"/>
          <w:szCs w:val="18"/>
          <w:lang w:val="el-GR"/>
        </w:rPr>
        <w:t xml:space="preserve"> </w:t>
      </w:r>
      <w:r w:rsidR="00C44B06">
        <w:rPr>
          <w:rFonts w:ascii="Verdana" w:hAnsi="Verdana"/>
          <w:sz w:val="18"/>
          <w:szCs w:val="18"/>
          <w:lang w:val="el-GR"/>
        </w:rPr>
        <w:t>σαρκώδεις καρπ</w:t>
      </w:r>
      <w:r w:rsidR="003C6C8B">
        <w:rPr>
          <w:rFonts w:ascii="Verdana" w:hAnsi="Verdana"/>
          <w:sz w:val="18"/>
          <w:szCs w:val="18"/>
          <w:lang w:val="el-GR"/>
        </w:rPr>
        <w:t>ούς</w:t>
      </w:r>
      <w:r w:rsidR="00C44B06">
        <w:rPr>
          <w:rFonts w:ascii="Verdana" w:hAnsi="Verdana"/>
          <w:sz w:val="18"/>
          <w:szCs w:val="18"/>
          <w:lang w:val="el-GR"/>
        </w:rPr>
        <w:t xml:space="preserve"> σ</w:t>
      </w:r>
      <w:r w:rsidRPr="00E428AE">
        <w:rPr>
          <w:rFonts w:ascii="Verdana" w:hAnsi="Verdana"/>
          <w:sz w:val="18"/>
          <w:szCs w:val="18"/>
          <w:lang w:val="el-GR"/>
        </w:rPr>
        <w:t>ε σύγκριση με το 20</w:t>
      </w:r>
      <w:r w:rsidR="00C44B06">
        <w:rPr>
          <w:rFonts w:ascii="Verdana" w:hAnsi="Verdana"/>
          <w:sz w:val="18"/>
          <w:szCs w:val="18"/>
          <w:lang w:val="el-GR"/>
        </w:rPr>
        <w:t>2</w:t>
      </w:r>
      <w:r w:rsidRPr="00E428AE">
        <w:rPr>
          <w:rFonts w:ascii="Verdana" w:hAnsi="Verdana"/>
          <w:sz w:val="18"/>
          <w:szCs w:val="18"/>
          <w:lang w:val="el-GR"/>
        </w:rPr>
        <w:t>0, ενώ μείωση παρουσιάστηκε στα δένδρα για καρπούς με κέλυφος (</w:t>
      </w:r>
      <w:r w:rsidR="00822E20">
        <w:rPr>
          <w:rFonts w:ascii="Verdana" w:hAnsi="Verdana"/>
          <w:sz w:val="18"/>
          <w:szCs w:val="18"/>
          <w:lang w:val="el-GR"/>
        </w:rPr>
        <w:t>-</w:t>
      </w:r>
      <w:r w:rsidRPr="00E428AE">
        <w:rPr>
          <w:rFonts w:ascii="Verdana" w:hAnsi="Verdana"/>
          <w:sz w:val="18"/>
          <w:szCs w:val="18"/>
          <w:lang w:val="el-GR"/>
        </w:rPr>
        <w:t>9,</w:t>
      </w:r>
      <w:r w:rsidR="00C44B06">
        <w:rPr>
          <w:rFonts w:ascii="Verdana" w:hAnsi="Verdana"/>
          <w:sz w:val="18"/>
          <w:szCs w:val="18"/>
          <w:lang w:val="el-GR"/>
        </w:rPr>
        <w:t>9</w:t>
      </w:r>
      <w:r w:rsidRPr="00E428AE">
        <w:rPr>
          <w:rFonts w:ascii="Verdana" w:hAnsi="Verdana"/>
          <w:sz w:val="18"/>
          <w:szCs w:val="18"/>
          <w:lang w:val="el-GR"/>
        </w:rPr>
        <w:t>%), στα</w:t>
      </w:r>
      <w:r w:rsidR="00C44B06">
        <w:rPr>
          <w:rFonts w:ascii="Verdana" w:hAnsi="Verdana"/>
          <w:sz w:val="18"/>
          <w:szCs w:val="18"/>
          <w:lang w:val="el-GR"/>
        </w:rPr>
        <w:t xml:space="preserve"> φυτώρια </w:t>
      </w:r>
      <w:r w:rsidRPr="00E428AE">
        <w:rPr>
          <w:rFonts w:ascii="Verdana" w:hAnsi="Verdana"/>
          <w:sz w:val="18"/>
          <w:szCs w:val="18"/>
          <w:lang w:val="el-GR"/>
        </w:rPr>
        <w:t>(</w:t>
      </w:r>
      <w:r w:rsidR="00822E20">
        <w:rPr>
          <w:rFonts w:ascii="Verdana" w:hAnsi="Verdana"/>
          <w:sz w:val="18"/>
          <w:szCs w:val="18"/>
          <w:lang w:val="el-GR"/>
        </w:rPr>
        <w:t>-</w:t>
      </w:r>
      <w:r w:rsidR="00C44B06">
        <w:rPr>
          <w:rFonts w:ascii="Verdana" w:hAnsi="Verdana"/>
          <w:sz w:val="18"/>
          <w:szCs w:val="18"/>
          <w:lang w:val="el-GR"/>
        </w:rPr>
        <w:t>6</w:t>
      </w:r>
      <w:r w:rsidRPr="00E428AE">
        <w:rPr>
          <w:rFonts w:ascii="Verdana" w:hAnsi="Verdana"/>
          <w:sz w:val="18"/>
          <w:szCs w:val="18"/>
          <w:lang w:val="el-GR"/>
        </w:rPr>
        <w:t>,</w:t>
      </w:r>
      <w:r w:rsidR="00C44B06">
        <w:rPr>
          <w:rFonts w:ascii="Verdana" w:hAnsi="Verdana"/>
          <w:sz w:val="18"/>
          <w:szCs w:val="18"/>
          <w:lang w:val="el-GR"/>
        </w:rPr>
        <w:t>3</w:t>
      </w:r>
      <w:r w:rsidRPr="00E428AE">
        <w:rPr>
          <w:rFonts w:ascii="Verdana" w:hAnsi="Verdana"/>
          <w:sz w:val="18"/>
          <w:szCs w:val="18"/>
          <w:lang w:val="el-GR"/>
        </w:rPr>
        <w:t xml:space="preserve">%) και στα </w:t>
      </w:r>
      <w:r w:rsidR="00C44B06">
        <w:rPr>
          <w:rFonts w:ascii="Verdana" w:hAnsi="Verdana"/>
          <w:sz w:val="18"/>
          <w:szCs w:val="18"/>
          <w:lang w:val="el-GR"/>
        </w:rPr>
        <w:t xml:space="preserve">αμπέλια </w:t>
      </w:r>
      <w:r w:rsidRPr="00E428AE">
        <w:rPr>
          <w:rFonts w:ascii="Verdana" w:hAnsi="Verdana"/>
          <w:sz w:val="18"/>
          <w:szCs w:val="18"/>
          <w:lang w:val="el-GR"/>
        </w:rPr>
        <w:t>(</w:t>
      </w:r>
      <w:r w:rsidR="00822E20">
        <w:rPr>
          <w:rFonts w:ascii="Verdana" w:hAnsi="Verdana"/>
          <w:sz w:val="18"/>
          <w:szCs w:val="18"/>
          <w:lang w:val="el-GR"/>
        </w:rPr>
        <w:t>-</w:t>
      </w:r>
      <w:r w:rsidR="00C44B06">
        <w:rPr>
          <w:rFonts w:ascii="Verdana" w:hAnsi="Verdana"/>
          <w:sz w:val="18"/>
          <w:szCs w:val="18"/>
          <w:lang w:val="el-GR"/>
        </w:rPr>
        <w:t>3</w:t>
      </w:r>
      <w:r w:rsidRPr="00E428AE">
        <w:rPr>
          <w:rFonts w:ascii="Verdana" w:hAnsi="Verdana"/>
          <w:sz w:val="18"/>
          <w:szCs w:val="18"/>
          <w:lang w:val="el-GR"/>
        </w:rPr>
        <w:t>,</w:t>
      </w:r>
      <w:r w:rsidR="00C44B06">
        <w:rPr>
          <w:rFonts w:ascii="Verdana" w:hAnsi="Verdana"/>
          <w:sz w:val="18"/>
          <w:szCs w:val="18"/>
          <w:lang w:val="el-GR"/>
        </w:rPr>
        <w:t>4</w:t>
      </w:r>
      <w:r w:rsidRPr="00E428AE">
        <w:rPr>
          <w:rFonts w:ascii="Verdana" w:hAnsi="Verdana"/>
          <w:sz w:val="18"/>
          <w:szCs w:val="18"/>
          <w:lang w:val="el-GR"/>
        </w:rPr>
        <w:t>%).</w:t>
      </w:r>
    </w:p>
    <w:bookmarkEnd w:id="5"/>
    <w:p w14:paraId="3C67410F" w14:textId="77777777" w:rsidR="00D966DB" w:rsidRPr="00E428AE" w:rsidRDefault="00D966DB" w:rsidP="00D966DB">
      <w:pPr>
        <w:jc w:val="both"/>
        <w:rPr>
          <w:rFonts w:ascii="Verdana" w:eastAsia="Malgun Gothic" w:hAnsi="Verdana" w:cs="Calibri"/>
          <w:sz w:val="18"/>
          <w:szCs w:val="18"/>
          <w:lang w:val="el-GR"/>
        </w:rPr>
      </w:pPr>
    </w:p>
    <w:p w14:paraId="6037C127" w14:textId="3DD7517F" w:rsidR="00D966DB" w:rsidRPr="00E428AE" w:rsidRDefault="00C44B06" w:rsidP="00D966DB">
      <w:pPr>
        <w:tabs>
          <w:tab w:val="left" w:pos="1080"/>
          <w:tab w:val="left" w:pos="6840"/>
        </w:tabs>
        <w:jc w:val="center"/>
        <w:rPr>
          <w:rFonts w:ascii="Verdana" w:eastAsia="Malgun Gothic" w:hAnsi="Verdana" w:cs="Calibri"/>
          <w:sz w:val="18"/>
          <w:szCs w:val="18"/>
          <w:lang w:val="el-GR"/>
        </w:rPr>
      </w:pPr>
      <w:r>
        <w:rPr>
          <w:noProof/>
        </w:rPr>
        <w:drawing>
          <wp:inline distT="0" distB="0" distL="0" distR="0" wp14:anchorId="085E5CEB" wp14:editId="271F4670">
            <wp:extent cx="6067424" cy="2962274"/>
            <wp:effectExtent l="0" t="0" r="10160" b="10160"/>
            <wp:docPr id="785593826" name="Chart 1">
              <a:extLst xmlns:a="http://schemas.openxmlformats.org/drawingml/2006/main">
                <a:ext uri="{FF2B5EF4-FFF2-40B4-BE49-F238E27FC236}">
                  <a16:creationId xmlns:a16="http://schemas.microsoft.com/office/drawing/2014/main" id="{8E4EDA58-9BBE-4E44-B557-1659F84E3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F9D3CD" w14:textId="77777777" w:rsidR="00D966DB" w:rsidRPr="00E428AE" w:rsidRDefault="00D966DB" w:rsidP="00D966DB">
      <w:pPr>
        <w:tabs>
          <w:tab w:val="left" w:pos="1080"/>
          <w:tab w:val="left" w:pos="6840"/>
        </w:tabs>
        <w:jc w:val="both"/>
        <w:rPr>
          <w:rFonts w:ascii="Verdana" w:hAnsi="Verdana" w:cs="Calibri"/>
          <w:sz w:val="18"/>
          <w:szCs w:val="18"/>
          <w:lang w:val="el-GR"/>
        </w:rPr>
      </w:pPr>
    </w:p>
    <w:p w14:paraId="6C3F491F" w14:textId="0D7FF607" w:rsidR="00D966DB" w:rsidRPr="00E428AE" w:rsidRDefault="00D966DB" w:rsidP="00D966DB">
      <w:pPr>
        <w:jc w:val="both"/>
        <w:rPr>
          <w:rFonts w:ascii="Verdana" w:hAnsi="Verdana" w:cs="Calibri"/>
          <w:sz w:val="18"/>
          <w:szCs w:val="18"/>
          <w:lang w:val="el-GR"/>
        </w:rPr>
      </w:pPr>
      <w:bookmarkStart w:id="6" w:name="_Hlk212798818"/>
      <w:r w:rsidRPr="00E428AE">
        <w:rPr>
          <w:rFonts w:ascii="Verdana" w:hAnsi="Verdana" w:cs="Calibri"/>
          <w:sz w:val="18"/>
          <w:szCs w:val="18"/>
          <w:lang w:val="el-GR"/>
        </w:rPr>
        <w:t xml:space="preserve">Οι μεγαλύτερες εκτάσεις μόνιμων βοσκότοπων </w:t>
      </w:r>
      <w:r w:rsidR="006B564E">
        <w:rPr>
          <w:rFonts w:ascii="Verdana" w:hAnsi="Verdana" w:cs="Calibri"/>
          <w:sz w:val="18"/>
          <w:szCs w:val="18"/>
          <w:lang w:val="el-GR"/>
        </w:rPr>
        <w:t xml:space="preserve">δηλώθηκαν </w:t>
      </w:r>
      <w:r w:rsidRPr="00E428AE">
        <w:rPr>
          <w:rFonts w:ascii="Verdana" w:hAnsi="Verdana" w:cs="Calibri"/>
          <w:sz w:val="18"/>
          <w:szCs w:val="18"/>
          <w:lang w:val="el-GR"/>
        </w:rPr>
        <w:t>στην επαρχία Πάφου με 1</w:t>
      </w:r>
      <w:r w:rsidR="00C44B06">
        <w:rPr>
          <w:rFonts w:ascii="Verdana" w:hAnsi="Verdana" w:cs="Calibri"/>
          <w:sz w:val="18"/>
          <w:szCs w:val="18"/>
          <w:lang w:val="el-GR"/>
        </w:rPr>
        <w:t>5</w:t>
      </w:r>
      <w:r w:rsidRPr="00E428AE">
        <w:rPr>
          <w:rFonts w:ascii="Verdana" w:hAnsi="Verdana" w:cs="Calibri"/>
          <w:sz w:val="18"/>
          <w:szCs w:val="18"/>
          <w:lang w:val="el-GR"/>
        </w:rPr>
        <w:t>.</w:t>
      </w:r>
      <w:r w:rsidR="00C44B06">
        <w:rPr>
          <w:rFonts w:ascii="Verdana" w:hAnsi="Verdana" w:cs="Calibri"/>
          <w:sz w:val="18"/>
          <w:szCs w:val="18"/>
          <w:lang w:val="el-GR"/>
        </w:rPr>
        <w:t>421</w:t>
      </w:r>
      <w:r w:rsidRPr="00E428AE">
        <w:rPr>
          <w:rFonts w:ascii="Verdana" w:hAnsi="Verdana" w:cs="Calibri"/>
          <w:sz w:val="18"/>
          <w:szCs w:val="18"/>
          <w:lang w:val="el-GR"/>
        </w:rPr>
        <w:t xml:space="preserve"> δεκάρια.</w:t>
      </w:r>
    </w:p>
    <w:p w14:paraId="52E50872" w14:textId="77777777" w:rsidR="00D966DB" w:rsidRPr="00E428AE" w:rsidRDefault="00D966DB" w:rsidP="00D966DB">
      <w:pPr>
        <w:jc w:val="both"/>
        <w:rPr>
          <w:rFonts w:ascii="Verdana" w:hAnsi="Verdana" w:cs="Calibri"/>
          <w:sz w:val="18"/>
          <w:szCs w:val="18"/>
          <w:lang w:val="el-GR"/>
        </w:rPr>
      </w:pPr>
    </w:p>
    <w:p w14:paraId="3781E3B1" w14:textId="72ADE2B4" w:rsidR="00D966DB" w:rsidRPr="00E428AE" w:rsidRDefault="00D966DB" w:rsidP="00D966DB">
      <w:pPr>
        <w:jc w:val="both"/>
        <w:rPr>
          <w:rFonts w:ascii="Verdana" w:hAnsi="Verdana" w:cs="Calibri"/>
          <w:sz w:val="18"/>
          <w:szCs w:val="18"/>
          <w:lang w:val="el-GR"/>
        </w:rPr>
      </w:pPr>
      <w:r w:rsidRPr="00E428AE">
        <w:rPr>
          <w:rFonts w:ascii="Verdana" w:hAnsi="Verdana" w:cs="Calibri"/>
          <w:sz w:val="18"/>
          <w:szCs w:val="18"/>
          <w:lang w:val="el-GR"/>
        </w:rPr>
        <w:t>Οι μεγαλύτερες εκτάσεις καλλιεργειών σε θερμοκήπια ή κάτω από ψηλά προσπελάσιμα στέγαστρα καταγράφηκαν στ</w:t>
      </w:r>
      <w:r w:rsidR="00C44B06">
        <w:rPr>
          <w:rFonts w:ascii="Verdana" w:hAnsi="Verdana" w:cs="Calibri"/>
          <w:sz w:val="18"/>
          <w:szCs w:val="18"/>
          <w:lang w:val="el-GR"/>
        </w:rPr>
        <w:t xml:space="preserve">ην επαρχία Λάρνακας </w:t>
      </w:r>
      <w:r w:rsidRPr="00E428AE">
        <w:rPr>
          <w:rFonts w:ascii="Verdana" w:hAnsi="Verdana" w:cs="Calibri"/>
          <w:sz w:val="18"/>
          <w:szCs w:val="18"/>
          <w:lang w:val="el-GR"/>
        </w:rPr>
        <w:t xml:space="preserve">με </w:t>
      </w:r>
      <w:r w:rsidR="00C44B06">
        <w:rPr>
          <w:rFonts w:ascii="Verdana" w:hAnsi="Verdana" w:cs="Calibri"/>
          <w:sz w:val="18"/>
          <w:szCs w:val="18"/>
          <w:lang w:val="el-GR"/>
        </w:rPr>
        <w:t>1.886</w:t>
      </w:r>
      <w:r w:rsidRPr="00E428AE">
        <w:rPr>
          <w:rFonts w:ascii="Verdana" w:hAnsi="Verdana" w:cs="Calibri"/>
          <w:sz w:val="18"/>
          <w:szCs w:val="18"/>
          <w:lang w:val="el-GR"/>
        </w:rPr>
        <w:t xml:space="preserve"> δεκάρια.</w:t>
      </w:r>
    </w:p>
    <w:bookmarkEnd w:id="6"/>
    <w:p w14:paraId="26D935C3" w14:textId="77777777" w:rsidR="00D966DB" w:rsidRPr="009C3ECD" w:rsidRDefault="00D966DB" w:rsidP="00D966DB">
      <w:pPr>
        <w:ind w:left="324" w:hanging="324"/>
        <w:jc w:val="both"/>
        <w:rPr>
          <w:rFonts w:ascii="Verdana" w:hAnsi="Verdana"/>
          <w:bCs/>
          <w:sz w:val="18"/>
          <w:szCs w:val="18"/>
          <w:u w:val="single"/>
          <w:lang w:val="el-GR"/>
        </w:rPr>
      </w:pPr>
    </w:p>
    <w:p w14:paraId="75F03987" w14:textId="77777777" w:rsidR="00D966DB" w:rsidRPr="00E428AE" w:rsidRDefault="00D966DB" w:rsidP="00D966DB">
      <w:pPr>
        <w:ind w:left="324" w:hanging="324"/>
        <w:jc w:val="both"/>
        <w:rPr>
          <w:rFonts w:ascii="Verdana" w:hAnsi="Verdana"/>
          <w:b/>
          <w:sz w:val="18"/>
          <w:szCs w:val="18"/>
          <w:u w:val="single"/>
          <w:lang w:val="el-GR"/>
        </w:rPr>
      </w:pPr>
      <w:r w:rsidRPr="00E428AE">
        <w:rPr>
          <w:rFonts w:ascii="Verdana" w:hAnsi="Verdana"/>
          <w:b/>
          <w:sz w:val="18"/>
          <w:szCs w:val="18"/>
          <w:u w:val="single"/>
          <w:lang w:val="el-GR"/>
        </w:rPr>
        <w:t>Άρδευση</w:t>
      </w:r>
    </w:p>
    <w:p w14:paraId="1BDBD905" w14:textId="77777777" w:rsidR="00D966DB" w:rsidRPr="00E428AE" w:rsidRDefault="00D966DB" w:rsidP="00D966DB">
      <w:pPr>
        <w:jc w:val="both"/>
        <w:rPr>
          <w:rFonts w:ascii="Verdana" w:hAnsi="Verdana"/>
          <w:sz w:val="18"/>
          <w:szCs w:val="18"/>
          <w:lang w:val="el-GR"/>
        </w:rPr>
      </w:pPr>
    </w:p>
    <w:p w14:paraId="5C215AB9" w14:textId="3A1C3C58" w:rsidR="00D966DB" w:rsidRPr="00E428AE" w:rsidRDefault="00D966DB" w:rsidP="00D966DB">
      <w:pPr>
        <w:jc w:val="both"/>
        <w:rPr>
          <w:rFonts w:ascii="Verdana" w:hAnsi="Verdana"/>
          <w:sz w:val="18"/>
          <w:szCs w:val="18"/>
          <w:lang w:val="el-GR"/>
        </w:rPr>
      </w:pPr>
      <w:bookmarkStart w:id="7" w:name="_Hlk212798928"/>
      <w:r w:rsidRPr="00E428AE">
        <w:rPr>
          <w:rFonts w:ascii="Verdana" w:hAnsi="Verdana"/>
          <w:sz w:val="18"/>
          <w:szCs w:val="18"/>
          <w:lang w:val="el-GR"/>
        </w:rPr>
        <w:t>Η συνολική αρδεύσιμη έκταση που καταγράφηκε το 202</w:t>
      </w:r>
      <w:r w:rsidR="00702C7C">
        <w:rPr>
          <w:rFonts w:ascii="Verdana" w:hAnsi="Verdana"/>
          <w:sz w:val="18"/>
          <w:szCs w:val="18"/>
          <w:lang w:val="el-GR"/>
        </w:rPr>
        <w:t>3</w:t>
      </w:r>
      <w:r w:rsidRPr="00E428AE">
        <w:rPr>
          <w:rFonts w:ascii="Verdana" w:hAnsi="Verdana"/>
          <w:sz w:val="18"/>
          <w:szCs w:val="18"/>
          <w:lang w:val="el-GR"/>
        </w:rPr>
        <w:t xml:space="preserve"> ήταν </w:t>
      </w:r>
      <w:r w:rsidR="00702C7C" w:rsidRPr="00702C7C">
        <w:rPr>
          <w:rFonts w:ascii="Verdana" w:hAnsi="Verdana"/>
          <w:sz w:val="18"/>
          <w:szCs w:val="18"/>
          <w:lang w:val="el-GR"/>
        </w:rPr>
        <w:t>306</w:t>
      </w:r>
      <w:r w:rsidR="00702C7C">
        <w:rPr>
          <w:rFonts w:ascii="Verdana" w:hAnsi="Verdana"/>
          <w:sz w:val="18"/>
          <w:szCs w:val="18"/>
          <w:lang w:val="el-GR"/>
        </w:rPr>
        <w:t>.</w:t>
      </w:r>
      <w:r w:rsidR="00702C7C" w:rsidRPr="00702C7C">
        <w:rPr>
          <w:rFonts w:ascii="Verdana" w:hAnsi="Verdana"/>
          <w:sz w:val="18"/>
          <w:szCs w:val="18"/>
          <w:lang w:val="el-GR"/>
        </w:rPr>
        <w:t>634</w:t>
      </w:r>
      <w:r w:rsidRPr="00E428AE">
        <w:rPr>
          <w:rFonts w:ascii="Verdana" w:hAnsi="Verdana"/>
          <w:sz w:val="18"/>
          <w:szCs w:val="18"/>
          <w:lang w:val="el-GR"/>
        </w:rPr>
        <w:t xml:space="preserve"> δεκάρια, σημειώνοντας μείωση </w:t>
      </w:r>
      <w:r w:rsidR="00702C7C">
        <w:rPr>
          <w:rFonts w:ascii="Verdana" w:hAnsi="Verdana"/>
          <w:sz w:val="18"/>
          <w:szCs w:val="18"/>
          <w:lang w:val="el-GR"/>
        </w:rPr>
        <w:t>19</w:t>
      </w:r>
      <w:r w:rsidRPr="00E428AE">
        <w:rPr>
          <w:rFonts w:ascii="Verdana" w:hAnsi="Verdana"/>
          <w:sz w:val="18"/>
          <w:szCs w:val="18"/>
          <w:lang w:val="el-GR"/>
        </w:rPr>
        <w:t>,</w:t>
      </w:r>
      <w:r w:rsidR="00702C7C">
        <w:rPr>
          <w:rFonts w:ascii="Verdana" w:hAnsi="Verdana"/>
          <w:sz w:val="18"/>
          <w:szCs w:val="18"/>
          <w:lang w:val="el-GR"/>
        </w:rPr>
        <w:t>6</w:t>
      </w:r>
      <w:r w:rsidRPr="00E428AE">
        <w:rPr>
          <w:rFonts w:ascii="Verdana" w:hAnsi="Verdana"/>
          <w:sz w:val="18"/>
          <w:szCs w:val="18"/>
          <w:lang w:val="el-GR"/>
        </w:rPr>
        <w:t xml:space="preserve">% σε σύγκριση με </w:t>
      </w:r>
      <w:r w:rsidR="00753819" w:rsidRPr="00753819">
        <w:rPr>
          <w:rFonts w:ascii="Verdana" w:hAnsi="Verdana"/>
          <w:sz w:val="18"/>
          <w:szCs w:val="18"/>
          <w:lang w:val="el-GR"/>
        </w:rPr>
        <w:t>381</w:t>
      </w:r>
      <w:r w:rsidR="00753819">
        <w:rPr>
          <w:rFonts w:ascii="Verdana" w:hAnsi="Verdana"/>
          <w:sz w:val="18"/>
          <w:szCs w:val="18"/>
          <w:lang w:val="el-GR"/>
        </w:rPr>
        <w:t>.</w:t>
      </w:r>
      <w:r w:rsidR="00753819" w:rsidRPr="00753819">
        <w:rPr>
          <w:rFonts w:ascii="Verdana" w:hAnsi="Verdana"/>
          <w:sz w:val="18"/>
          <w:szCs w:val="18"/>
          <w:lang w:val="el-GR"/>
        </w:rPr>
        <w:t xml:space="preserve">250 </w:t>
      </w:r>
      <w:r w:rsidRPr="00E428AE">
        <w:rPr>
          <w:rFonts w:ascii="Verdana" w:hAnsi="Verdana"/>
          <w:sz w:val="18"/>
          <w:szCs w:val="18"/>
          <w:lang w:val="el-GR"/>
        </w:rPr>
        <w:t>δεκάρια το 20</w:t>
      </w:r>
      <w:r w:rsidR="00753819">
        <w:rPr>
          <w:rFonts w:ascii="Verdana" w:hAnsi="Verdana"/>
          <w:sz w:val="18"/>
          <w:szCs w:val="18"/>
          <w:lang w:val="el-GR"/>
        </w:rPr>
        <w:t>2</w:t>
      </w:r>
      <w:r w:rsidRPr="00E428AE">
        <w:rPr>
          <w:rFonts w:ascii="Verdana" w:hAnsi="Verdana"/>
          <w:sz w:val="18"/>
          <w:szCs w:val="18"/>
          <w:lang w:val="el-GR"/>
        </w:rPr>
        <w:t xml:space="preserve">0. Η συνολική έκταση που καταγράφηκε ως </w:t>
      </w:r>
      <w:proofErr w:type="spellStart"/>
      <w:r w:rsidRPr="00E428AE">
        <w:rPr>
          <w:rFonts w:ascii="Verdana" w:hAnsi="Verdana"/>
          <w:sz w:val="18"/>
          <w:szCs w:val="18"/>
          <w:lang w:val="el-GR"/>
        </w:rPr>
        <w:t>αρδευθείσα</w:t>
      </w:r>
      <w:proofErr w:type="spellEnd"/>
      <w:r w:rsidRPr="00E428AE">
        <w:rPr>
          <w:rFonts w:ascii="Verdana" w:hAnsi="Verdana"/>
          <w:sz w:val="18"/>
          <w:szCs w:val="18"/>
          <w:lang w:val="el-GR"/>
        </w:rPr>
        <w:t xml:space="preserve"> μειώθηκε κατά </w:t>
      </w:r>
      <w:r w:rsidR="00753819">
        <w:rPr>
          <w:rFonts w:ascii="Verdana" w:hAnsi="Verdana"/>
          <w:sz w:val="18"/>
          <w:szCs w:val="18"/>
          <w:lang w:val="el-GR"/>
        </w:rPr>
        <w:t>5</w:t>
      </w:r>
      <w:r w:rsidRPr="00E428AE">
        <w:rPr>
          <w:rFonts w:ascii="Verdana" w:hAnsi="Verdana"/>
          <w:sz w:val="18"/>
          <w:szCs w:val="18"/>
          <w:lang w:val="el-GR"/>
        </w:rPr>
        <w:t>,</w:t>
      </w:r>
      <w:r w:rsidR="00753819">
        <w:rPr>
          <w:rFonts w:ascii="Verdana" w:hAnsi="Verdana"/>
          <w:sz w:val="18"/>
          <w:szCs w:val="18"/>
          <w:lang w:val="el-GR"/>
        </w:rPr>
        <w:t>7</w:t>
      </w:r>
      <w:r w:rsidRPr="00E428AE">
        <w:rPr>
          <w:rFonts w:ascii="Verdana" w:hAnsi="Verdana"/>
          <w:sz w:val="18"/>
          <w:szCs w:val="18"/>
          <w:lang w:val="el-GR"/>
        </w:rPr>
        <w:t xml:space="preserve">% στα </w:t>
      </w:r>
      <w:r w:rsidR="00753819" w:rsidRPr="00753819">
        <w:rPr>
          <w:rFonts w:ascii="Verdana" w:hAnsi="Verdana"/>
          <w:sz w:val="18"/>
          <w:szCs w:val="18"/>
          <w:lang w:val="el-GR"/>
        </w:rPr>
        <w:t>251</w:t>
      </w:r>
      <w:r w:rsidR="00753819">
        <w:rPr>
          <w:rFonts w:ascii="Verdana" w:hAnsi="Verdana"/>
          <w:sz w:val="18"/>
          <w:szCs w:val="18"/>
          <w:lang w:val="el-GR"/>
        </w:rPr>
        <w:t>.</w:t>
      </w:r>
      <w:r w:rsidR="00753819" w:rsidRPr="00753819">
        <w:rPr>
          <w:rFonts w:ascii="Verdana" w:hAnsi="Verdana"/>
          <w:sz w:val="18"/>
          <w:szCs w:val="18"/>
          <w:lang w:val="el-GR"/>
        </w:rPr>
        <w:t>040</w:t>
      </w:r>
      <w:r w:rsidR="00753819">
        <w:rPr>
          <w:rFonts w:ascii="Verdana" w:hAnsi="Verdana"/>
          <w:sz w:val="18"/>
          <w:szCs w:val="18"/>
          <w:lang w:val="el-GR"/>
        </w:rPr>
        <w:t xml:space="preserve"> </w:t>
      </w:r>
      <w:r w:rsidRPr="00E428AE">
        <w:rPr>
          <w:rFonts w:ascii="Verdana" w:hAnsi="Verdana"/>
          <w:sz w:val="18"/>
          <w:szCs w:val="18"/>
          <w:lang w:val="el-GR"/>
        </w:rPr>
        <w:t xml:space="preserve">δεκάρια, από </w:t>
      </w:r>
      <w:r w:rsidR="00753819" w:rsidRPr="00E428AE">
        <w:rPr>
          <w:rFonts w:ascii="Verdana" w:hAnsi="Verdana"/>
          <w:sz w:val="18"/>
          <w:szCs w:val="18"/>
          <w:lang w:val="el-GR"/>
        </w:rPr>
        <w:t>266.076</w:t>
      </w:r>
      <w:r w:rsidRPr="00E428AE">
        <w:rPr>
          <w:rFonts w:ascii="Verdana" w:hAnsi="Verdana"/>
          <w:sz w:val="18"/>
          <w:szCs w:val="18"/>
          <w:lang w:val="el-GR"/>
        </w:rPr>
        <w:t xml:space="preserve"> δεκάρια το 20</w:t>
      </w:r>
      <w:r w:rsidR="00753819">
        <w:rPr>
          <w:rFonts w:ascii="Verdana" w:hAnsi="Verdana"/>
          <w:sz w:val="18"/>
          <w:szCs w:val="18"/>
          <w:lang w:val="el-GR"/>
        </w:rPr>
        <w:t>2</w:t>
      </w:r>
      <w:r w:rsidRPr="00E428AE">
        <w:rPr>
          <w:rFonts w:ascii="Verdana" w:hAnsi="Verdana"/>
          <w:sz w:val="18"/>
          <w:szCs w:val="18"/>
          <w:lang w:val="el-GR"/>
        </w:rPr>
        <w:t xml:space="preserve">0. </w:t>
      </w:r>
    </w:p>
    <w:p w14:paraId="06A2571C" w14:textId="77777777" w:rsidR="00D966DB" w:rsidRPr="00E428AE" w:rsidRDefault="00D966DB" w:rsidP="00D966DB">
      <w:pPr>
        <w:jc w:val="both"/>
        <w:rPr>
          <w:rFonts w:ascii="Verdana" w:hAnsi="Verdana"/>
          <w:sz w:val="18"/>
          <w:szCs w:val="18"/>
          <w:lang w:val="el-GR"/>
        </w:rPr>
      </w:pPr>
    </w:p>
    <w:p w14:paraId="1CF46FDE" w14:textId="5144B2AA" w:rsidR="00D966DB" w:rsidRPr="00E428AE" w:rsidRDefault="00D966DB" w:rsidP="00D966DB">
      <w:pPr>
        <w:jc w:val="both"/>
        <w:rPr>
          <w:rFonts w:ascii="Verdana" w:hAnsi="Verdana"/>
          <w:sz w:val="18"/>
          <w:szCs w:val="18"/>
          <w:lang w:val="el-GR"/>
        </w:rPr>
      </w:pPr>
      <w:r w:rsidRPr="00E428AE">
        <w:rPr>
          <w:rFonts w:ascii="Verdana" w:hAnsi="Verdana"/>
          <w:sz w:val="18"/>
          <w:szCs w:val="18"/>
          <w:lang w:val="el-GR"/>
        </w:rPr>
        <w:t>Από τις εκτάσεις στο ύπαιθρο, οι πατάτες, τα άνθη και διακοσμητικά φυτά</w:t>
      </w:r>
      <w:r w:rsidR="00CA4039">
        <w:rPr>
          <w:rFonts w:ascii="Verdana" w:hAnsi="Verdana"/>
          <w:sz w:val="18"/>
          <w:szCs w:val="18"/>
          <w:lang w:val="el-GR"/>
        </w:rPr>
        <w:t>, οι φ</w:t>
      </w:r>
      <w:r w:rsidR="00CA4039" w:rsidRPr="00CA4039">
        <w:rPr>
          <w:rFonts w:ascii="Verdana" w:hAnsi="Verdana"/>
          <w:sz w:val="18"/>
          <w:szCs w:val="18"/>
          <w:lang w:val="el-GR"/>
        </w:rPr>
        <w:t xml:space="preserve">υτείες σποροπαραγωγής και </w:t>
      </w:r>
      <w:r w:rsidR="00CA4039">
        <w:rPr>
          <w:rFonts w:ascii="Verdana" w:hAnsi="Verdana"/>
          <w:sz w:val="18"/>
          <w:szCs w:val="18"/>
          <w:lang w:val="el-GR"/>
        </w:rPr>
        <w:t xml:space="preserve">τα </w:t>
      </w:r>
      <w:proofErr w:type="spellStart"/>
      <w:r w:rsidR="00CA4039" w:rsidRPr="00CA4039">
        <w:rPr>
          <w:rFonts w:ascii="Verdana" w:hAnsi="Verdana"/>
          <w:sz w:val="18"/>
          <w:szCs w:val="18"/>
          <w:lang w:val="el-GR"/>
        </w:rPr>
        <w:t>σπορόφυτα</w:t>
      </w:r>
      <w:proofErr w:type="spellEnd"/>
      <w:r w:rsidR="003C6C8B">
        <w:rPr>
          <w:rFonts w:ascii="Verdana" w:hAnsi="Verdana"/>
          <w:sz w:val="18"/>
          <w:szCs w:val="18"/>
          <w:lang w:val="el-GR"/>
        </w:rPr>
        <w:t>,</w:t>
      </w:r>
      <w:r w:rsidR="00822E20">
        <w:rPr>
          <w:rFonts w:ascii="Verdana" w:hAnsi="Verdana"/>
          <w:sz w:val="18"/>
          <w:szCs w:val="18"/>
          <w:lang w:val="el-GR"/>
        </w:rPr>
        <w:t xml:space="preserve"> καθώς </w:t>
      </w:r>
      <w:r w:rsidR="00CA4039">
        <w:rPr>
          <w:rFonts w:ascii="Verdana" w:hAnsi="Verdana"/>
          <w:sz w:val="18"/>
          <w:szCs w:val="18"/>
          <w:lang w:val="el-GR"/>
        </w:rPr>
        <w:t>και τα φυτώρια</w:t>
      </w:r>
      <w:r w:rsidR="003C6C8B">
        <w:rPr>
          <w:rFonts w:ascii="Verdana" w:hAnsi="Verdana"/>
          <w:sz w:val="18"/>
          <w:szCs w:val="18"/>
          <w:lang w:val="el-GR"/>
        </w:rPr>
        <w:t>,</w:t>
      </w:r>
      <w:r w:rsidR="00CA4039">
        <w:rPr>
          <w:rFonts w:ascii="Verdana" w:hAnsi="Verdana"/>
          <w:sz w:val="18"/>
          <w:szCs w:val="18"/>
          <w:lang w:val="el-GR"/>
        </w:rPr>
        <w:t xml:space="preserve"> </w:t>
      </w:r>
      <w:r w:rsidRPr="00E428AE">
        <w:rPr>
          <w:rFonts w:ascii="Verdana" w:hAnsi="Verdana"/>
          <w:sz w:val="18"/>
          <w:szCs w:val="18"/>
          <w:lang w:val="el-GR"/>
        </w:rPr>
        <w:t xml:space="preserve">ήταν οι κυριότερες κατηγορίες καλλιεργειών με </w:t>
      </w:r>
      <w:r w:rsidR="00822E20">
        <w:rPr>
          <w:rFonts w:ascii="Verdana" w:hAnsi="Verdana"/>
          <w:sz w:val="18"/>
          <w:szCs w:val="18"/>
          <w:lang w:val="el-GR"/>
        </w:rPr>
        <w:t>το σύνολο των εκτάσε</w:t>
      </w:r>
      <w:r w:rsidR="003C6C8B">
        <w:rPr>
          <w:rFonts w:ascii="Verdana" w:hAnsi="Verdana"/>
          <w:sz w:val="18"/>
          <w:szCs w:val="18"/>
          <w:lang w:val="el-GR"/>
        </w:rPr>
        <w:t>ώ</w:t>
      </w:r>
      <w:r w:rsidR="00822E20">
        <w:rPr>
          <w:rFonts w:ascii="Verdana" w:hAnsi="Verdana"/>
          <w:sz w:val="18"/>
          <w:szCs w:val="18"/>
          <w:lang w:val="el-GR"/>
        </w:rPr>
        <w:t>ν</w:t>
      </w:r>
      <w:r w:rsidRPr="00E428AE">
        <w:rPr>
          <w:rFonts w:ascii="Verdana" w:hAnsi="Verdana"/>
          <w:sz w:val="18"/>
          <w:szCs w:val="18"/>
          <w:lang w:val="el-GR"/>
        </w:rPr>
        <w:t xml:space="preserve"> τους να αρδεύονται. Από τις ετήσιες καλλιέργειες στο ύπαιθρο ακολουθούν τα </w:t>
      </w:r>
      <w:r w:rsidR="00CA4039">
        <w:rPr>
          <w:rFonts w:ascii="Verdana" w:hAnsi="Verdana"/>
          <w:sz w:val="18"/>
          <w:szCs w:val="18"/>
          <w:lang w:val="el-GR"/>
        </w:rPr>
        <w:t>ν</w:t>
      </w:r>
      <w:r w:rsidR="00CA4039" w:rsidRPr="00CA4039">
        <w:rPr>
          <w:rFonts w:ascii="Verdana" w:hAnsi="Verdana"/>
          <w:sz w:val="18"/>
          <w:szCs w:val="18"/>
          <w:lang w:val="el-GR"/>
        </w:rPr>
        <w:t>ωπά λαχανικά, πεπονοειδή και φράουλες</w:t>
      </w:r>
      <w:r w:rsidR="00CA4039">
        <w:rPr>
          <w:rFonts w:ascii="Verdana" w:hAnsi="Verdana"/>
          <w:sz w:val="18"/>
          <w:szCs w:val="18"/>
          <w:lang w:val="el-GR"/>
        </w:rPr>
        <w:t xml:space="preserve"> </w:t>
      </w:r>
      <w:r w:rsidR="00822E20" w:rsidRPr="00E428AE">
        <w:rPr>
          <w:rFonts w:ascii="Verdana" w:hAnsi="Verdana"/>
          <w:sz w:val="18"/>
          <w:szCs w:val="18"/>
          <w:lang w:val="el-GR"/>
        </w:rPr>
        <w:t xml:space="preserve">και βιομηχανικά φυτά </w:t>
      </w:r>
      <w:r w:rsidRPr="00E428AE">
        <w:rPr>
          <w:rFonts w:ascii="Verdana" w:hAnsi="Verdana"/>
          <w:sz w:val="18"/>
          <w:szCs w:val="18"/>
          <w:lang w:val="el-GR"/>
        </w:rPr>
        <w:t xml:space="preserve">με </w:t>
      </w:r>
      <w:proofErr w:type="spellStart"/>
      <w:r w:rsidRPr="00E428AE">
        <w:rPr>
          <w:rFonts w:ascii="Verdana" w:hAnsi="Verdana"/>
          <w:sz w:val="18"/>
          <w:szCs w:val="18"/>
          <w:lang w:val="el-GR"/>
        </w:rPr>
        <w:t>αρδευθείσα</w:t>
      </w:r>
      <w:proofErr w:type="spellEnd"/>
      <w:r w:rsidRPr="00E428AE">
        <w:rPr>
          <w:rFonts w:ascii="Verdana" w:hAnsi="Verdana"/>
          <w:sz w:val="18"/>
          <w:szCs w:val="18"/>
          <w:lang w:val="el-GR"/>
        </w:rPr>
        <w:t xml:space="preserve"> έκταση </w:t>
      </w:r>
      <w:r w:rsidR="00CA4039">
        <w:rPr>
          <w:rFonts w:ascii="Verdana" w:hAnsi="Verdana"/>
          <w:sz w:val="18"/>
          <w:szCs w:val="18"/>
          <w:lang w:val="el-GR"/>
        </w:rPr>
        <w:t>99,7</w:t>
      </w:r>
      <w:r w:rsidRPr="00E428AE">
        <w:rPr>
          <w:rFonts w:ascii="Verdana" w:hAnsi="Verdana"/>
          <w:sz w:val="18"/>
          <w:szCs w:val="18"/>
          <w:lang w:val="el-GR"/>
        </w:rPr>
        <w:t xml:space="preserve">% </w:t>
      </w:r>
      <w:r w:rsidR="006B564E">
        <w:rPr>
          <w:rFonts w:ascii="Verdana" w:hAnsi="Verdana"/>
          <w:sz w:val="18"/>
          <w:szCs w:val="18"/>
          <w:lang w:val="el-GR"/>
        </w:rPr>
        <w:t>και</w:t>
      </w:r>
      <w:r w:rsidRPr="00E428AE">
        <w:rPr>
          <w:rFonts w:ascii="Verdana" w:hAnsi="Verdana"/>
          <w:sz w:val="18"/>
          <w:szCs w:val="18"/>
          <w:lang w:val="el-GR"/>
        </w:rPr>
        <w:t xml:space="preserve"> </w:t>
      </w:r>
      <w:r w:rsidR="00CA4039">
        <w:rPr>
          <w:rFonts w:ascii="Verdana" w:hAnsi="Verdana"/>
          <w:sz w:val="18"/>
          <w:szCs w:val="18"/>
          <w:lang w:val="el-GR"/>
        </w:rPr>
        <w:t>82,4</w:t>
      </w:r>
      <w:r w:rsidRPr="00E428AE">
        <w:rPr>
          <w:rFonts w:ascii="Verdana" w:hAnsi="Verdana"/>
          <w:sz w:val="18"/>
          <w:szCs w:val="18"/>
          <w:lang w:val="el-GR"/>
        </w:rPr>
        <w:t>%</w:t>
      </w:r>
      <w:r w:rsidR="00822E20">
        <w:rPr>
          <w:rFonts w:ascii="Verdana" w:hAnsi="Verdana"/>
          <w:sz w:val="18"/>
          <w:szCs w:val="18"/>
          <w:lang w:val="el-GR"/>
        </w:rPr>
        <w:t xml:space="preserve"> αντίστοιχα</w:t>
      </w:r>
      <w:r w:rsidRPr="00E428AE">
        <w:rPr>
          <w:rFonts w:ascii="Verdana" w:hAnsi="Verdana"/>
          <w:sz w:val="18"/>
          <w:szCs w:val="18"/>
          <w:lang w:val="el-GR"/>
        </w:rPr>
        <w:t xml:space="preserve">. </w:t>
      </w:r>
    </w:p>
    <w:p w14:paraId="68744EF2" w14:textId="77777777" w:rsidR="00D966DB" w:rsidRPr="00E428AE" w:rsidRDefault="00D966DB" w:rsidP="00D966DB">
      <w:pPr>
        <w:jc w:val="both"/>
        <w:rPr>
          <w:rFonts w:ascii="Verdana" w:hAnsi="Verdana"/>
          <w:sz w:val="18"/>
          <w:szCs w:val="18"/>
          <w:lang w:val="el-GR"/>
        </w:rPr>
      </w:pPr>
    </w:p>
    <w:p w14:paraId="510575B3" w14:textId="697792D2" w:rsidR="00D966DB" w:rsidRPr="00E428AE" w:rsidRDefault="00D966DB" w:rsidP="00D966DB">
      <w:pPr>
        <w:jc w:val="both"/>
        <w:rPr>
          <w:rFonts w:ascii="Verdana" w:hAnsi="Verdana"/>
          <w:sz w:val="18"/>
          <w:szCs w:val="18"/>
          <w:lang w:val="el-GR"/>
        </w:rPr>
      </w:pPr>
      <w:r w:rsidRPr="00E428AE">
        <w:rPr>
          <w:rFonts w:ascii="Verdana" w:hAnsi="Verdana"/>
          <w:sz w:val="18"/>
          <w:szCs w:val="18"/>
          <w:lang w:val="el-GR"/>
        </w:rPr>
        <w:t>Στις μόνιμες καλλιέργειες στο ύπαιθρο</w:t>
      </w:r>
      <w:r w:rsidR="00386E91">
        <w:rPr>
          <w:rFonts w:ascii="Verdana" w:hAnsi="Verdana"/>
          <w:sz w:val="18"/>
          <w:szCs w:val="18"/>
          <w:lang w:val="el-GR"/>
        </w:rPr>
        <w:t>, τ</w:t>
      </w:r>
      <w:r w:rsidRPr="00E428AE">
        <w:rPr>
          <w:rFonts w:ascii="Verdana" w:hAnsi="Verdana"/>
          <w:sz w:val="18"/>
          <w:szCs w:val="18"/>
          <w:lang w:val="el-GR"/>
        </w:rPr>
        <w:t xml:space="preserve">α </w:t>
      </w:r>
      <w:r w:rsidR="00386E91">
        <w:rPr>
          <w:rFonts w:ascii="Verdana" w:hAnsi="Verdana"/>
          <w:sz w:val="18"/>
          <w:szCs w:val="18"/>
          <w:lang w:val="el-GR"/>
        </w:rPr>
        <w:t xml:space="preserve">εσπεριδοειδή, τα </w:t>
      </w:r>
      <w:proofErr w:type="spellStart"/>
      <w:r w:rsidRPr="00E428AE">
        <w:rPr>
          <w:rFonts w:ascii="Verdana" w:hAnsi="Verdana"/>
          <w:sz w:val="18"/>
          <w:szCs w:val="18"/>
          <w:lang w:val="el-GR"/>
        </w:rPr>
        <w:t>μηλοειδή</w:t>
      </w:r>
      <w:proofErr w:type="spellEnd"/>
      <w:r w:rsidRPr="00E428AE">
        <w:rPr>
          <w:rFonts w:ascii="Verdana" w:hAnsi="Verdana"/>
          <w:sz w:val="18"/>
          <w:szCs w:val="18"/>
          <w:lang w:val="el-GR"/>
        </w:rPr>
        <w:t xml:space="preserve"> και </w:t>
      </w:r>
      <w:r w:rsidR="00386E91">
        <w:rPr>
          <w:rFonts w:ascii="Verdana" w:hAnsi="Verdana"/>
          <w:sz w:val="18"/>
          <w:szCs w:val="18"/>
          <w:lang w:val="el-GR"/>
        </w:rPr>
        <w:t xml:space="preserve">τα </w:t>
      </w:r>
      <w:proofErr w:type="spellStart"/>
      <w:r w:rsidRPr="00E428AE">
        <w:rPr>
          <w:rFonts w:ascii="Verdana" w:hAnsi="Verdana"/>
          <w:sz w:val="18"/>
          <w:szCs w:val="18"/>
          <w:lang w:val="el-GR"/>
        </w:rPr>
        <w:t>πυρηνόκαρπα</w:t>
      </w:r>
      <w:proofErr w:type="spellEnd"/>
      <w:r w:rsidRPr="00E428AE">
        <w:rPr>
          <w:rFonts w:ascii="Verdana" w:hAnsi="Verdana"/>
          <w:sz w:val="18"/>
          <w:szCs w:val="18"/>
          <w:lang w:val="el-GR"/>
        </w:rPr>
        <w:t xml:space="preserve"> δένδρα </w:t>
      </w:r>
      <w:r w:rsidR="00386E91" w:rsidRPr="00E428AE">
        <w:rPr>
          <w:rFonts w:ascii="Verdana" w:hAnsi="Verdana"/>
          <w:sz w:val="18"/>
          <w:szCs w:val="18"/>
          <w:lang w:val="el-GR"/>
        </w:rPr>
        <w:t>ήταν οι κυριότερες κατηγορίες καλλιεργειών με άνω του 9</w:t>
      </w:r>
      <w:r w:rsidR="00386E91">
        <w:rPr>
          <w:rFonts w:ascii="Verdana" w:hAnsi="Verdana"/>
          <w:sz w:val="18"/>
          <w:szCs w:val="18"/>
          <w:lang w:val="el-GR"/>
        </w:rPr>
        <w:t>5</w:t>
      </w:r>
      <w:r w:rsidR="00386E91" w:rsidRPr="00E428AE">
        <w:rPr>
          <w:rFonts w:ascii="Verdana" w:hAnsi="Verdana"/>
          <w:sz w:val="18"/>
          <w:szCs w:val="18"/>
          <w:lang w:val="el-GR"/>
        </w:rPr>
        <w:t>,0% των εκτάσεών τους να αρδεύονται.</w:t>
      </w:r>
      <w:r w:rsidR="003E1E17">
        <w:rPr>
          <w:rFonts w:ascii="Verdana" w:hAnsi="Verdana"/>
          <w:sz w:val="18"/>
          <w:szCs w:val="18"/>
          <w:lang w:val="el-GR"/>
        </w:rPr>
        <w:t xml:space="preserve"> </w:t>
      </w:r>
      <w:r w:rsidR="003C6C8B">
        <w:rPr>
          <w:rFonts w:ascii="Verdana" w:hAnsi="Verdana"/>
          <w:sz w:val="18"/>
          <w:szCs w:val="18"/>
          <w:lang w:val="el-GR"/>
        </w:rPr>
        <w:t>Άλλες</w:t>
      </w:r>
      <w:r w:rsidR="003E1E17">
        <w:rPr>
          <w:rFonts w:ascii="Verdana" w:hAnsi="Verdana"/>
          <w:sz w:val="18"/>
          <w:szCs w:val="18"/>
          <w:lang w:val="el-GR"/>
        </w:rPr>
        <w:t xml:space="preserve"> μόνιμες καλλιέργειες στο ύπαιθρο που κυρίως αρδεύονται </w:t>
      </w:r>
      <w:r w:rsidR="003C6C8B">
        <w:rPr>
          <w:rFonts w:ascii="Verdana" w:hAnsi="Verdana"/>
          <w:sz w:val="18"/>
          <w:szCs w:val="18"/>
          <w:lang w:val="el-GR"/>
        </w:rPr>
        <w:t>είναι</w:t>
      </w:r>
      <w:r w:rsidR="006B564E">
        <w:rPr>
          <w:rFonts w:ascii="Verdana" w:hAnsi="Verdana"/>
          <w:sz w:val="18"/>
          <w:szCs w:val="18"/>
          <w:lang w:val="el-GR"/>
        </w:rPr>
        <w:t xml:space="preserve"> </w:t>
      </w:r>
      <w:r w:rsidR="003E1E17">
        <w:rPr>
          <w:rFonts w:ascii="Verdana" w:hAnsi="Verdana"/>
          <w:sz w:val="18"/>
          <w:szCs w:val="18"/>
          <w:lang w:val="el-GR"/>
        </w:rPr>
        <w:t>τα φ</w:t>
      </w:r>
      <w:r w:rsidR="003E1E17" w:rsidRPr="003E1E17">
        <w:rPr>
          <w:rFonts w:ascii="Verdana" w:hAnsi="Verdana"/>
          <w:sz w:val="18"/>
          <w:szCs w:val="18"/>
          <w:lang w:val="el-GR"/>
        </w:rPr>
        <w:t>ρούτα καλλιεργειών υποτροπικών και τροπικών κλιμάτων</w:t>
      </w:r>
      <w:r w:rsidR="003E1E17">
        <w:rPr>
          <w:rFonts w:ascii="Verdana" w:hAnsi="Verdana"/>
          <w:sz w:val="18"/>
          <w:szCs w:val="18"/>
          <w:lang w:val="el-GR"/>
        </w:rPr>
        <w:t xml:space="preserve"> </w:t>
      </w:r>
      <w:r w:rsidRPr="00E428AE">
        <w:rPr>
          <w:rFonts w:ascii="Verdana" w:hAnsi="Verdana"/>
          <w:sz w:val="18"/>
          <w:szCs w:val="18"/>
          <w:lang w:val="el-GR"/>
        </w:rPr>
        <w:t>με 9</w:t>
      </w:r>
      <w:r w:rsidR="003E1E17">
        <w:rPr>
          <w:rFonts w:ascii="Verdana" w:hAnsi="Verdana"/>
          <w:sz w:val="18"/>
          <w:szCs w:val="18"/>
          <w:lang w:val="el-GR"/>
        </w:rPr>
        <w:t>1,9</w:t>
      </w:r>
      <w:r w:rsidRPr="00E428AE">
        <w:rPr>
          <w:rFonts w:ascii="Verdana" w:hAnsi="Verdana"/>
          <w:sz w:val="18"/>
          <w:szCs w:val="18"/>
          <w:lang w:val="el-GR"/>
        </w:rPr>
        <w:t xml:space="preserve">% της έκτασής τους να ποτίζεται, </w:t>
      </w:r>
      <w:r w:rsidR="003E1E17">
        <w:rPr>
          <w:rFonts w:ascii="Verdana" w:hAnsi="Verdana"/>
          <w:sz w:val="18"/>
          <w:szCs w:val="18"/>
          <w:lang w:val="el-GR"/>
        </w:rPr>
        <w:t xml:space="preserve">οι σαρκώδεις καρποί </w:t>
      </w:r>
      <w:r w:rsidRPr="00E428AE">
        <w:rPr>
          <w:rFonts w:ascii="Verdana" w:hAnsi="Verdana"/>
          <w:sz w:val="18"/>
          <w:szCs w:val="18"/>
          <w:lang w:val="el-GR"/>
        </w:rPr>
        <w:t xml:space="preserve">με </w:t>
      </w:r>
      <w:proofErr w:type="spellStart"/>
      <w:r w:rsidRPr="00E428AE">
        <w:rPr>
          <w:rFonts w:ascii="Verdana" w:hAnsi="Verdana"/>
          <w:sz w:val="18"/>
          <w:szCs w:val="18"/>
          <w:lang w:val="el-GR"/>
        </w:rPr>
        <w:t>αρδευθείσα</w:t>
      </w:r>
      <w:proofErr w:type="spellEnd"/>
      <w:r w:rsidRPr="00E428AE">
        <w:rPr>
          <w:rFonts w:ascii="Verdana" w:hAnsi="Verdana"/>
          <w:sz w:val="18"/>
          <w:szCs w:val="18"/>
          <w:lang w:val="el-GR"/>
        </w:rPr>
        <w:t xml:space="preserve"> έκταση </w:t>
      </w:r>
      <w:r w:rsidR="003E1E17">
        <w:rPr>
          <w:rFonts w:ascii="Verdana" w:hAnsi="Verdana"/>
          <w:sz w:val="18"/>
          <w:szCs w:val="18"/>
          <w:lang w:val="el-GR"/>
        </w:rPr>
        <w:t>85,8</w:t>
      </w:r>
      <w:r w:rsidRPr="00E428AE">
        <w:rPr>
          <w:rFonts w:ascii="Verdana" w:hAnsi="Verdana"/>
          <w:sz w:val="18"/>
          <w:szCs w:val="18"/>
          <w:lang w:val="el-GR"/>
        </w:rPr>
        <w:t xml:space="preserve">% και τα </w:t>
      </w:r>
      <w:proofErr w:type="spellStart"/>
      <w:r w:rsidR="003E1E17" w:rsidRPr="00E428AE">
        <w:rPr>
          <w:rFonts w:ascii="Verdana" w:hAnsi="Verdana"/>
          <w:sz w:val="18"/>
          <w:szCs w:val="18"/>
          <w:lang w:val="el-GR"/>
        </w:rPr>
        <w:t>ελαιόδενδρα</w:t>
      </w:r>
      <w:proofErr w:type="spellEnd"/>
      <w:r w:rsidR="003E1E17" w:rsidRPr="00E428AE">
        <w:rPr>
          <w:rFonts w:ascii="Verdana" w:hAnsi="Verdana"/>
          <w:sz w:val="18"/>
          <w:szCs w:val="18"/>
          <w:lang w:val="el-GR"/>
        </w:rPr>
        <w:t xml:space="preserve"> </w:t>
      </w:r>
      <w:r w:rsidRPr="00E428AE">
        <w:rPr>
          <w:rFonts w:ascii="Verdana" w:hAnsi="Verdana"/>
          <w:sz w:val="18"/>
          <w:szCs w:val="18"/>
          <w:lang w:val="el-GR"/>
        </w:rPr>
        <w:t xml:space="preserve">με </w:t>
      </w:r>
      <w:r w:rsidR="003E1E17">
        <w:rPr>
          <w:rFonts w:ascii="Verdana" w:hAnsi="Verdana"/>
          <w:sz w:val="18"/>
          <w:szCs w:val="18"/>
          <w:lang w:val="el-GR"/>
        </w:rPr>
        <w:t>6</w:t>
      </w:r>
      <w:r w:rsidRPr="00E428AE">
        <w:rPr>
          <w:rFonts w:ascii="Verdana" w:hAnsi="Verdana"/>
          <w:sz w:val="18"/>
          <w:szCs w:val="18"/>
          <w:lang w:val="el-GR"/>
        </w:rPr>
        <w:t>6,</w:t>
      </w:r>
      <w:r w:rsidR="003E1E17">
        <w:rPr>
          <w:rFonts w:ascii="Verdana" w:hAnsi="Verdana"/>
          <w:sz w:val="18"/>
          <w:szCs w:val="18"/>
          <w:lang w:val="el-GR"/>
        </w:rPr>
        <w:t>7</w:t>
      </w:r>
      <w:r w:rsidRPr="00E428AE">
        <w:rPr>
          <w:rFonts w:ascii="Verdana" w:hAnsi="Verdana"/>
          <w:sz w:val="18"/>
          <w:szCs w:val="18"/>
          <w:lang w:val="el-GR"/>
        </w:rPr>
        <w:t xml:space="preserve">%. </w:t>
      </w:r>
      <w:r w:rsidR="006B564E">
        <w:rPr>
          <w:rFonts w:ascii="Verdana" w:hAnsi="Verdana"/>
          <w:sz w:val="18"/>
          <w:szCs w:val="18"/>
          <w:lang w:val="el-GR"/>
        </w:rPr>
        <w:t xml:space="preserve">Μόνο </w:t>
      </w:r>
      <w:r w:rsidR="006B564E" w:rsidRPr="00E428AE">
        <w:rPr>
          <w:rFonts w:ascii="Verdana" w:hAnsi="Verdana"/>
          <w:sz w:val="18"/>
          <w:szCs w:val="18"/>
          <w:lang w:val="el-GR"/>
        </w:rPr>
        <w:t>το 1</w:t>
      </w:r>
      <w:r w:rsidR="006B564E">
        <w:rPr>
          <w:rFonts w:ascii="Verdana" w:hAnsi="Verdana"/>
          <w:sz w:val="18"/>
          <w:szCs w:val="18"/>
          <w:lang w:val="el-GR"/>
        </w:rPr>
        <w:t>4</w:t>
      </w:r>
      <w:r w:rsidR="006B564E" w:rsidRPr="00E428AE">
        <w:rPr>
          <w:rFonts w:ascii="Verdana" w:hAnsi="Verdana"/>
          <w:sz w:val="18"/>
          <w:szCs w:val="18"/>
          <w:lang w:val="el-GR"/>
        </w:rPr>
        <w:t>,</w:t>
      </w:r>
      <w:r w:rsidR="006B564E">
        <w:rPr>
          <w:rFonts w:ascii="Verdana" w:hAnsi="Verdana"/>
          <w:sz w:val="18"/>
          <w:szCs w:val="18"/>
          <w:lang w:val="el-GR"/>
        </w:rPr>
        <w:t>1</w:t>
      </w:r>
      <w:r w:rsidR="006B564E" w:rsidRPr="00E428AE">
        <w:rPr>
          <w:rFonts w:ascii="Verdana" w:hAnsi="Verdana"/>
          <w:sz w:val="18"/>
          <w:szCs w:val="18"/>
          <w:lang w:val="el-GR"/>
        </w:rPr>
        <w:t>%</w:t>
      </w:r>
      <w:r w:rsidR="006B564E">
        <w:rPr>
          <w:rFonts w:ascii="Verdana" w:hAnsi="Verdana"/>
          <w:sz w:val="18"/>
          <w:szCs w:val="18"/>
          <w:lang w:val="el-GR"/>
        </w:rPr>
        <w:t xml:space="preserve"> </w:t>
      </w:r>
      <w:r w:rsidRPr="00E428AE">
        <w:rPr>
          <w:rFonts w:ascii="Verdana" w:hAnsi="Verdana"/>
          <w:sz w:val="18"/>
          <w:szCs w:val="18"/>
          <w:lang w:val="el-GR"/>
        </w:rPr>
        <w:t>τη</w:t>
      </w:r>
      <w:r w:rsidR="006B564E">
        <w:rPr>
          <w:rFonts w:ascii="Verdana" w:hAnsi="Verdana"/>
          <w:sz w:val="18"/>
          <w:szCs w:val="18"/>
          <w:lang w:val="el-GR"/>
        </w:rPr>
        <w:t>ς</w:t>
      </w:r>
      <w:r w:rsidRPr="00E428AE">
        <w:rPr>
          <w:rFonts w:ascii="Verdana" w:hAnsi="Verdana"/>
          <w:sz w:val="18"/>
          <w:szCs w:val="18"/>
          <w:lang w:val="el-GR"/>
        </w:rPr>
        <w:t xml:space="preserve"> έκταση</w:t>
      </w:r>
      <w:r w:rsidR="006B564E">
        <w:rPr>
          <w:rFonts w:ascii="Verdana" w:hAnsi="Verdana"/>
          <w:sz w:val="18"/>
          <w:szCs w:val="18"/>
          <w:lang w:val="el-GR"/>
        </w:rPr>
        <w:t>ς</w:t>
      </w:r>
      <w:r w:rsidRPr="00E428AE">
        <w:rPr>
          <w:rFonts w:ascii="Verdana" w:hAnsi="Verdana"/>
          <w:sz w:val="18"/>
          <w:szCs w:val="18"/>
          <w:lang w:val="el-GR"/>
        </w:rPr>
        <w:t xml:space="preserve"> </w:t>
      </w:r>
      <w:r w:rsidR="003C6C8B">
        <w:rPr>
          <w:rFonts w:ascii="Verdana" w:hAnsi="Verdana"/>
          <w:sz w:val="18"/>
          <w:szCs w:val="18"/>
          <w:lang w:val="el-GR"/>
        </w:rPr>
        <w:t>με</w:t>
      </w:r>
      <w:r w:rsidR="006B564E">
        <w:rPr>
          <w:rFonts w:ascii="Verdana" w:hAnsi="Verdana"/>
          <w:sz w:val="18"/>
          <w:szCs w:val="18"/>
          <w:lang w:val="el-GR"/>
        </w:rPr>
        <w:t xml:space="preserve"> αμπ</w:t>
      </w:r>
      <w:r w:rsidR="003C6C8B">
        <w:rPr>
          <w:rFonts w:ascii="Verdana" w:hAnsi="Verdana"/>
          <w:sz w:val="18"/>
          <w:szCs w:val="18"/>
          <w:lang w:val="el-GR"/>
        </w:rPr>
        <w:t>έ</w:t>
      </w:r>
      <w:r w:rsidR="006B564E">
        <w:rPr>
          <w:rFonts w:ascii="Verdana" w:hAnsi="Verdana"/>
          <w:sz w:val="18"/>
          <w:szCs w:val="18"/>
          <w:lang w:val="el-GR"/>
        </w:rPr>
        <w:t>λι</w:t>
      </w:r>
      <w:r w:rsidR="003C6C8B">
        <w:rPr>
          <w:rFonts w:ascii="Verdana" w:hAnsi="Verdana"/>
          <w:sz w:val="18"/>
          <w:szCs w:val="18"/>
          <w:lang w:val="el-GR"/>
        </w:rPr>
        <w:t>α</w:t>
      </w:r>
      <w:r w:rsidR="006B564E">
        <w:rPr>
          <w:rFonts w:ascii="Verdana" w:hAnsi="Verdana"/>
          <w:sz w:val="18"/>
          <w:szCs w:val="18"/>
          <w:lang w:val="el-GR"/>
        </w:rPr>
        <w:t xml:space="preserve"> </w:t>
      </w:r>
      <w:r w:rsidRPr="00E428AE">
        <w:rPr>
          <w:rFonts w:ascii="Verdana" w:hAnsi="Verdana"/>
          <w:sz w:val="18"/>
          <w:szCs w:val="18"/>
          <w:lang w:val="el-GR"/>
        </w:rPr>
        <w:t xml:space="preserve">αρδευόταν, ενώ </w:t>
      </w:r>
      <w:r w:rsidR="006B6D58">
        <w:rPr>
          <w:rFonts w:ascii="Verdana" w:hAnsi="Verdana"/>
          <w:sz w:val="18"/>
          <w:szCs w:val="18"/>
          <w:lang w:val="el-GR"/>
        </w:rPr>
        <w:t xml:space="preserve">η </w:t>
      </w:r>
      <w:r w:rsidR="003C6C8B">
        <w:rPr>
          <w:rFonts w:ascii="Verdana" w:hAnsi="Verdana"/>
          <w:sz w:val="18"/>
          <w:szCs w:val="18"/>
          <w:lang w:val="el-GR"/>
        </w:rPr>
        <w:t>άρδευση</w:t>
      </w:r>
      <w:r w:rsidR="006B6D58">
        <w:rPr>
          <w:rFonts w:ascii="Verdana" w:hAnsi="Verdana"/>
          <w:sz w:val="18"/>
          <w:szCs w:val="18"/>
          <w:lang w:val="el-GR"/>
        </w:rPr>
        <w:t xml:space="preserve"> των </w:t>
      </w:r>
      <w:r w:rsidRPr="00E428AE">
        <w:rPr>
          <w:rFonts w:ascii="Verdana" w:hAnsi="Verdana"/>
          <w:sz w:val="18"/>
          <w:szCs w:val="18"/>
          <w:lang w:val="el-GR"/>
        </w:rPr>
        <w:t>υπόλοιπ</w:t>
      </w:r>
      <w:r w:rsidR="006B6D58">
        <w:rPr>
          <w:rFonts w:ascii="Verdana" w:hAnsi="Verdana"/>
          <w:sz w:val="18"/>
          <w:szCs w:val="18"/>
          <w:lang w:val="el-GR"/>
        </w:rPr>
        <w:t xml:space="preserve">ων </w:t>
      </w:r>
      <w:r w:rsidRPr="00E428AE">
        <w:rPr>
          <w:rFonts w:ascii="Verdana" w:hAnsi="Verdana"/>
          <w:sz w:val="18"/>
          <w:szCs w:val="18"/>
          <w:lang w:val="el-GR"/>
        </w:rPr>
        <w:t>καλλι</w:t>
      </w:r>
      <w:r w:rsidR="006B6D58">
        <w:rPr>
          <w:rFonts w:ascii="Verdana" w:hAnsi="Verdana"/>
          <w:sz w:val="18"/>
          <w:szCs w:val="18"/>
          <w:lang w:val="el-GR"/>
        </w:rPr>
        <w:t>ε</w:t>
      </w:r>
      <w:r w:rsidRPr="00E428AE">
        <w:rPr>
          <w:rFonts w:ascii="Verdana" w:hAnsi="Verdana"/>
          <w:sz w:val="18"/>
          <w:szCs w:val="18"/>
          <w:lang w:val="el-GR"/>
        </w:rPr>
        <w:t>ργει</w:t>
      </w:r>
      <w:r w:rsidR="006B6D58">
        <w:rPr>
          <w:rFonts w:ascii="Verdana" w:hAnsi="Verdana"/>
          <w:sz w:val="18"/>
          <w:szCs w:val="18"/>
          <w:lang w:val="el-GR"/>
        </w:rPr>
        <w:t xml:space="preserve">ών στηριζόταν </w:t>
      </w:r>
      <w:r w:rsidR="003C6C8B">
        <w:rPr>
          <w:rFonts w:ascii="Verdana" w:hAnsi="Verdana"/>
          <w:sz w:val="18"/>
          <w:szCs w:val="18"/>
          <w:lang w:val="el-GR"/>
        </w:rPr>
        <w:t>κυρίως στο νερό της βροχής</w:t>
      </w:r>
      <w:r w:rsidRPr="00E428AE">
        <w:rPr>
          <w:rFonts w:ascii="Verdana" w:hAnsi="Verdana"/>
          <w:sz w:val="18"/>
          <w:szCs w:val="18"/>
          <w:lang w:val="el-GR"/>
        </w:rPr>
        <w:t>.</w:t>
      </w:r>
    </w:p>
    <w:p w14:paraId="5981416C" w14:textId="77777777" w:rsidR="00D966DB" w:rsidRDefault="00D966DB" w:rsidP="00D966DB">
      <w:pPr>
        <w:jc w:val="both"/>
        <w:rPr>
          <w:rFonts w:ascii="Verdana" w:hAnsi="Verdana"/>
          <w:sz w:val="18"/>
          <w:szCs w:val="18"/>
          <w:lang w:val="el-GR"/>
        </w:rPr>
      </w:pPr>
    </w:p>
    <w:p w14:paraId="69C4EF0B" w14:textId="4618352B" w:rsidR="003E1E17" w:rsidRPr="00E428AE" w:rsidRDefault="006B6D58" w:rsidP="00D966DB">
      <w:pPr>
        <w:jc w:val="both"/>
        <w:rPr>
          <w:rFonts w:ascii="Verdana" w:hAnsi="Verdana"/>
          <w:sz w:val="18"/>
          <w:szCs w:val="18"/>
          <w:lang w:val="el-GR"/>
        </w:rPr>
      </w:pPr>
      <w:r>
        <w:rPr>
          <w:rFonts w:ascii="Verdana" w:hAnsi="Verdana"/>
          <w:sz w:val="18"/>
          <w:szCs w:val="18"/>
          <w:lang w:val="el-GR"/>
        </w:rPr>
        <w:t xml:space="preserve">Κατά το έτος </w:t>
      </w:r>
      <w:r w:rsidR="00822E20">
        <w:rPr>
          <w:rFonts w:ascii="Verdana" w:hAnsi="Verdana"/>
          <w:sz w:val="18"/>
          <w:szCs w:val="18"/>
          <w:lang w:val="el-GR"/>
        </w:rPr>
        <w:t>2023</w:t>
      </w:r>
      <w:r w:rsidR="003C6C8B">
        <w:rPr>
          <w:rFonts w:ascii="Verdana" w:hAnsi="Verdana"/>
          <w:sz w:val="18"/>
          <w:szCs w:val="18"/>
          <w:lang w:val="el-GR"/>
        </w:rPr>
        <w:t>,</w:t>
      </w:r>
      <w:r w:rsidR="00822E20">
        <w:rPr>
          <w:rFonts w:ascii="Verdana" w:hAnsi="Verdana"/>
          <w:sz w:val="18"/>
          <w:szCs w:val="18"/>
          <w:lang w:val="el-GR"/>
        </w:rPr>
        <w:t xml:space="preserve"> </w:t>
      </w:r>
      <w:r>
        <w:rPr>
          <w:rFonts w:ascii="Verdana" w:hAnsi="Verdana"/>
          <w:sz w:val="18"/>
          <w:szCs w:val="18"/>
          <w:lang w:val="el-GR"/>
        </w:rPr>
        <w:t xml:space="preserve">η κυριότερη μέθοδος άρδευσης </w:t>
      </w:r>
      <w:r w:rsidR="006E47B9">
        <w:rPr>
          <w:rFonts w:ascii="Verdana" w:hAnsi="Verdana"/>
          <w:sz w:val="18"/>
          <w:szCs w:val="18"/>
          <w:lang w:val="el-GR"/>
        </w:rPr>
        <w:t xml:space="preserve">που χρησιμοποίησαν οι καλλιεργητές </w:t>
      </w:r>
      <w:r>
        <w:rPr>
          <w:rFonts w:ascii="Verdana" w:hAnsi="Verdana"/>
          <w:sz w:val="18"/>
          <w:szCs w:val="18"/>
          <w:lang w:val="el-GR"/>
        </w:rPr>
        <w:t xml:space="preserve">ήταν </w:t>
      </w:r>
      <w:r w:rsidR="006E47B9">
        <w:rPr>
          <w:rFonts w:ascii="Verdana" w:hAnsi="Verdana"/>
          <w:sz w:val="18"/>
          <w:szCs w:val="18"/>
          <w:lang w:val="el-GR"/>
        </w:rPr>
        <w:t>η άρδευση με σταγόνες</w:t>
      </w:r>
      <w:r w:rsidR="003C6C8B">
        <w:rPr>
          <w:rFonts w:ascii="Verdana" w:hAnsi="Verdana"/>
          <w:sz w:val="18"/>
          <w:szCs w:val="18"/>
          <w:lang w:val="el-GR"/>
        </w:rPr>
        <w:t>,</w:t>
      </w:r>
      <w:r>
        <w:rPr>
          <w:rFonts w:ascii="Verdana" w:hAnsi="Verdana"/>
          <w:sz w:val="18"/>
          <w:szCs w:val="18"/>
          <w:lang w:val="el-GR"/>
        </w:rPr>
        <w:t xml:space="preserve"> η οποία κάλυψε το </w:t>
      </w:r>
      <w:r w:rsidR="006E47B9">
        <w:rPr>
          <w:rFonts w:ascii="Verdana" w:hAnsi="Verdana"/>
          <w:sz w:val="18"/>
          <w:szCs w:val="18"/>
          <w:lang w:val="el-GR"/>
        </w:rPr>
        <w:t xml:space="preserve">78,4% της </w:t>
      </w:r>
      <w:proofErr w:type="spellStart"/>
      <w:r w:rsidR="006E47B9">
        <w:rPr>
          <w:rFonts w:ascii="Verdana" w:hAnsi="Verdana"/>
          <w:sz w:val="18"/>
          <w:szCs w:val="18"/>
          <w:lang w:val="el-GR"/>
        </w:rPr>
        <w:t>αρδευθείσας</w:t>
      </w:r>
      <w:proofErr w:type="spellEnd"/>
      <w:r w:rsidR="006E47B9">
        <w:rPr>
          <w:rFonts w:ascii="Verdana" w:hAnsi="Verdana"/>
          <w:sz w:val="18"/>
          <w:szCs w:val="18"/>
          <w:lang w:val="el-GR"/>
        </w:rPr>
        <w:t xml:space="preserve"> έκτασης (</w:t>
      </w:r>
      <w:r w:rsidR="006E47B9" w:rsidRPr="006E47B9">
        <w:rPr>
          <w:rFonts w:ascii="Verdana" w:hAnsi="Verdana"/>
          <w:sz w:val="18"/>
          <w:szCs w:val="18"/>
          <w:lang w:val="el-GR"/>
        </w:rPr>
        <w:t>196</w:t>
      </w:r>
      <w:r w:rsidR="006E47B9">
        <w:rPr>
          <w:rFonts w:ascii="Verdana" w:hAnsi="Verdana"/>
          <w:sz w:val="18"/>
          <w:szCs w:val="18"/>
          <w:lang w:val="el-GR"/>
        </w:rPr>
        <w:t>.</w:t>
      </w:r>
      <w:r w:rsidR="006E47B9" w:rsidRPr="006E47B9">
        <w:rPr>
          <w:rFonts w:ascii="Verdana" w:hAnsi="Verdana"/>
          <w:sz w:val="18"/>
          <w:szCs w:val="18"/>
          <w:lang w:val="el-GR"/>
        </w:rPr>
        <w:t>835</w:t>
      </w:r>
      <w:r w:rsidR="006E47B9">
        <w:rPr>
          <w:rFonts w:ascii="Verdana" w:hAnsi="Verdana"/>
          <w:sz w:val="18"/>
          <w:szCs w:val="18"/>
          <w:lang w:val="el-GR"/>
        </w:rPr>
        <w:t xml:space="preserve"> δεκάρια)</w:t>
      </w:r>
      <w:r>
        <w:rPr>
          <w:rFonts w:ascii="Verdana" w:hAnsi="Verdana"/>
          <w:sz w:val="18"/>
          <w:szCs w:val="18"/>
          <w:lang w:val="el-GR"/>
        </w:rPr>
        <w:t>.</w:t>
      </w:r>
      <w:r w:rsidR="006E47B9">
        <w:rPr>
          <w:rFonts w:ascii="Verdana" w:hAnsi="Verdana"/>
          <w:sz w:val="18"/>
          <w:szCs w:val="18"/>
          <w:lang w:val="el-GR"/>
        </w:rPr>
        <w:t xml:space="preserve"> </w:t>
      </w:r>
      <w:r>
        <w:rPr>
          <w:rFonts w:ascii="Verdana" w:hAnsi="Verdana"/>
          <w:sz w:val="18"/>
          <w:szCs w:val="18"/>
          <w:lang w:val="el-GR"/>
        </w:rPr>
        <w:t>Α</w:t>
      </w:r>
      <w:r w:rsidR="006E47B9">
        <w:rPr>
          <w:rFonts w:ascii="Verdana" w:hAnsi="Verdana"/>
          <w:sz w:val="18"/>
          <w:szCs w:val="18"/>
          <w:lang w:val="el-GR"/>
        </w:rPr>
        <w:t>κολο</w:t>
      </w:r>
      <w:r>
        <w:rPr>
          <w:rFonts w:ascii="Verdana" w:hAnsi="Verdana"/>
          <w:sz w:val="18"/>
          <w:szCs w:val="18"/>
          <w:lang w:val="el-GR"/>
        </w:rPr>
        <w:t xml:space="preserve">ύθησε </w:t>
      </w:r>
      <w:r w:rsidR="006E47B9">
        <w:rPr>
          <w:rFonts w:ascii="Verdana" w:hAnsi="Verdana"/>
          <w:sz w:val="18"/>
          <w:szCs w:val="18"/>
          <w:lang w:val="el-GR"/>
        </w:rPr>
        <w:t>η άρδευση με τεχνητή βροχή</w:t>
      </w:r>
      <w:r>
        <w:rPr>
          <w:rFonts w:ascii="Verdana" w:hAnsi="Verdana"/>
          <w:sz w:val="18"/>
          <w:szCs w:val="18"/>
          <w:lang w:val="el-GR"/>
        </w:rPr>
        <w:t>,</w:t>
      </w:r>
      <w:r w:rsidR="006E47B9">
        <w:rPr>
          <w:rFonts w:ascii="Verdana" w:hAnsi="Verdana"/>
          <w:sz w:val="18"/>
          <w:szCs w:val="18"/>
          <w:lang w:val="el-GR"/>
        </w:rPr>
        <w:t xml:space="preserve"> με </w:t>
      </w:r>
      <w:r w:rsidR="003C6C8B">
        <w:rPr>
          <w:rFonts w:ascii="Verdana" w:hAnsi="Verdana"/>
          <w:sz w:val="18"/>
          <w:szCs w:val="18"/>
          <w:lang w:val="el-GR"/>
        </w:rPr>
        <w:t>1</w:t>
      </w:r>
      <w:r w:rsidR="006E47B9">
        <w:rPr>
          <w:rFonts w:ascii="Verdana" w:hAnsi="Verdana"/>
          <w:sz w:val="18"/>
          <w:szCs w:val="18"/>
          <w:lang w:val="el-GR"/>
        </w:rPr>
        <w:t>4,4% (</w:t>
      </w:r>
      <w:r w:rsidR="006E47B9" w:rsidRPr="006E47B9">
        <w:rPr>
          <w:rFonts w:ascii="Verdana" w:hAnsi="Verdana"/>
          <w:sz w:val="18"/>
          <w:szCs w:val="18"/>
          <w:lang w:val="el-GR"/>
        </w:rPr>
        <w:t>36</w:t>
      </w:r>
      <w:r w:rsidR="006E47B9">
        <w:rPr>
          <w:rFonts w:ascii="Verdana" w:hAnsi="Verdana"/>
          <w:sz w:val="18"/>
          <w:szCs w:val="18"/>
          <w:lang w:val="el-GR"/>
        </w:rPr>
        <w:t>.</w:t>
      </w:r>
      <w:r w:rsidR="006E47B9" w:rsidRPr="006E47B9">
        <w:rPr>
          <w:rFonts w:ascii="Verdana" w:hAnsi="Verdana"/>
          <w:sz w:val="18"/>
          <w:szCs w:val="18"/>
          <w:lang w:val="el-GR"/>
        </w:rPr>
        <w:t>040</w:t>
      </w:r>
      <w:r w:rsidR="006E47B9">
        <w:rPr>
          <w:rFonts w:ascii="Verdana" w:hAnsi="Verdana"/>
          <w:sz w:val="18"/>
          <w:szCs w:val="18"/>
          <w:lang w:val="el-GR"/>
        </w:rPr>
        <w:t xml:space="preserve"> δεκάρια) και το υπόλοιπο 7,2% </w:t>
      </w:r>
      <w:r>
        <w:rPr>
          <w:rFonts w:ascii="Verdana" w:hAnsi="Verdana"/>
          <w:sz w:val="18"/>
          <w:szCs w:val="18"/>
          <w:lang w:val="el-GR"/>
        </w:rPr>
        <w:t xml:space="preserve">(18.166 δεκάρια) </w:t>
      </w:r>
      <w:r w:rsidR="006E47B9">
        <w:rPr>
          <w:rFonts w:ascii="Verdana" w:hAnsi="Verdana"/>
          <w:sz w:val="18"/>
          <w:szCs w:val="18"/>
          <w:lang w:val="el-GR"/>
        </w:rPr>
        <w:t>κατέχει η επιφανειακή άρδευση.</w:t>
      </w:r>
      <w:r w:rsidR="00A81560">
        <w:rPr>
          <w:rFonts w:ascii="Verdana" w:hAnsi="Verdana"/>
          <w:sz w:val="18"/>
          <w:szCs w:val="18"/>
          <w:lang w:val="el-GR"/>
        </w:rPr>
        <w:t xml:space="preserve"> </w:t>
      </w:r>
      <w:r w:rsidR="006E47B9">
        <w:rPr>
          <w:rFonts w:ascii="Verdana" w:hAnsi="Verdana"/>
          <w:sz w:val="18"/>
          <w:szCs w:val="18"/>
          <w:lang w:val="el-GR"/>
        </w:rPr>
        <w:t xml:space="preserve">   </w:t>
      </w:r>
    </w:p>
    <w:bookmarkEnd w:id="7"/>
    <w:p w14:paraId="778A6BA3" w14:textId="77777777" w:rsidR="00D966DB" w:rsidRPr="00E428AE" w:rsidRDefault="00D966DB" w:rsidP="00D966DB">
      <w:pPr>
        <w:ind w:left="324" w:hanging="324"/>
        <w:rPr>
          <w:rFonts w:ascii="Verdana" w:hAnsi="Verdana"/>
          <w:b/>
          <w:sz w:val="18"/>
          <w:szCs w:val="18"/>
          <w:u w:val="single"/>
          <w:lang w:val="el-GR"/>
        </w:rPr>
      </w:pPr>
    </w:p>
    <w:p w14:paraId="145055DC" w14:textId="77777777" w:rsidR="00D966DB" w:rsidRPr="00E428AE" w:rsidRDefault="00D966DB" w:rsidP="00D966DB">
      <w:pPr>
        <w:ind w:left="324" w:hanging="324"/>
        <w:rPr>
          <w:rFonts w:ascii="Verdana" w:hAnsi="Verdana"/>
          <w:b/>
          <w:sz w:val="18"/>
          <w:szCs w:val="18"/>
          <w:u w:val="single"/>
          <w:lang w:val="el-GR"/>
        </w:rPr>
      </w:pPr>
      <w:r w:rsidRPr="00E428AE">
        <w:rPr>
          <w:rFonts w:ascii="Verdana" w:hAnsi="Verdana"/>
          <w:b/>
          <w:sz w:val="18"/>
          <w:szCs w:val="18"/>
          <w:u w:val="single"/>
          <w:lang w:val="el-GR"/>
        </w:rPr>
        <w:t>Κτηνοτροφία</w:t>
      </w:r>
    </w:p>
    <w:p w14:paraId="68FAA652" w14:textId="77777777" w:rsidR="00D966DB" w:rsidRPr="00E428AE" w:rsidRDefault="00D966DB" w:rsidP="00D966DB">
      <w:pPr>
        <w:ind w:left="324" w:hanging="324"/>
        <w:rPr>
          <w:rFonts w:ascii="Verdana" w:hAnsi="Verdana"/>
          <w:sz w:val="18"/>
          <w:szCs w:val="18"/>
          <w:lang w:val="el-GR"/>
        </w:rPr>
      </w:pPr>
    </w:p>
    <w:p w14:paraId="72CB89FA" w14:textId="7FA9B0F3" w:rsidR="00D966DB" w:rsidRPr="00E428AE" w:rsidRDefault="00D966DB" w:rsidP="00D966DB">
      <w:pPr>
        <w:jc w:val="both"/>
        <w:rPr>
          <w:rFonts w:ascii="Verdana" w:hAnsi="Verdana"/>
          <w:sz w:val="18"/>
          <w:szCs w:val="18"/>
          <w:lang w:val="el-GR"/>
        </w:rPr>
      </w:pPr>
      <w:bookmarkStart w:id="8" w:name="_Hlk212801228"/>
      <w:r w:rsidRPr="00E428AE">
        <w:rPr>
          <w:rFonts w:ascii="Verdana" w:hAnsi="Verdana"/>
          <w:sz w:val="18"/>
          <w:szCs w:val="18"/>
          <w:lang w:val="el-GR"/>
        </w:rPr>
        <w:t>Τα κυριότερα χαρακτηριστικά και η διάρθρωση των εκμεταλλεύσεων που κατείχαν άμεσα ή διαχειρίζονταν ζώα αναφέρονται στην 31</w:t>
      </w:r>
      <w:r w:rsidRPr="00E428AE">
        <w:rPr>
          <w:rFonts w:ascii="Verdana" w:hAnsi="Verdana"/>
          <w:sz w:val="18"/>
          <w:szCs w:val="18"/>
          <w:vertAlign w:val="superscript"/>
          <w:lang w:val="el-GR"/>
        </w:rPr>
        <w:t>η</w:t>
      </w:r>
      <w:r w:rsidRPr="00E428AE">
        <w:rPr>
          <w:rFonts w:ascii="Verdana" w:hAnsi="Verdana"/>
          <w:sz w:val="18"/>
          <w:szCs w:val="18"/>
          <w:lang w:val="el-GR"/>
        </w:rPr>
        <w:t xml:space="preserve"> Δεκεμβρίου 202</w:t>
      </w:r>
      <w:r w:rsidR="00A81560">
        <w:rPr>
          <w:rFonts w:ascii="Verdana" w:hAnsi="Verdana"/>
          <w:sz w:val="18"/>
          <w:szCs w:val="18"/>
          <w:lang w:val="el-GR"/>
        </w:rPr>
        <w:t>3</w:t>
      </w:r>
      <w:r w:rsidRPr="00E428AE">
        <w:rPr>
          <w:rFonts w:ascii="Verdana" w:hAnsi="Verdana"/>
          <w:sz w:val="18"/>
          <w:szCs w:val="18"/>
          <w:lang w:val="el-GR"/>
        </w:rPr>
        <w:t>.</w:t>
      </w:r>
    </w:p>
    <w:p w14:paraId="05793522" w14:textId="77777777" w:rsidR="00D966DB" w:rsidRPr="00E428AE" w:rsidRDefault="00D966DB" w:rsidP="00D966DB">
      <w:pPr>
        <w:jc w:val="both"/>
        <w:rPr>
          <w:rFonts w:ascii="Verdana" w:hAnsi="Verdana"/>
          <w:sz w:val="18"/>
          <w:szCs w:val="18"/>
          <w:lang w:val="el-GR"/>
        </w:rPr>
      </w:pPr>
    </w:p>
    <w:p w14:paraId="15F80FD4" w14:textId="0DBD30BF" w:rsidR="00D966DB" w:rsidRPr="00E428AE" w:rsidRDefault="00D966DB" w:rsidP="00D966DB">
      <w:pPr>
        <w:jc w:val="both"/>
        <w:rPr>
          <w:rFonts w:ascii="Verdana" w:hAnsi="Verdana"/>
          <w:sz w:val="18"/>
          <w:szCs w:val="18"/>
          <w:lang w:val="el-GR"/>
        </w:rPr>
      </w:pPr>
      <w:r w:rsidRPr="00E428AE">
        <w:rPr>
          <w:rFonts w:ascii="Verdana" w:hAnsi="Verdana" w:cs="Calibri"/>
          <w:sz w:val="18"/>
          <w:szCs w:val="18"/>
          <w:lang w:val="el-GR"/>
        </w:rPr>
        <w:t>Ο συνολικός αριθμός εκμεταλλεύσεων με βοοειδή ήταν 3</w:t>
      </w:r>
      <w:r w:rsidR="00541BA0">
        <w:rPr>
          <w:rFonts w:ascii="Verdana" w:hAnsi="Verdana" w:cs="Calibri"/>
          <w:sz w:val="18"/>
          <w:szCs w:val="18"/>
          <w:lang w:val="el-GR"/>
        </w:rPr>
        <w:t>42</w:t>
      </w:r>
      <w:r w:rsidRPr="00E428AE">
        <w:rPr>
          <w:rFonts w:ascii="Verdana" w:hAnsi="Verdana" w:cs="Calibri"/>
          <w:sz w:val="18"/>
          <w:szCs w:val="18"/>
          <w:lang w:val="el-GR"/>
        </w:rPr>
        <w:t>, παρουσιάζοντας αύξηση 1</w:t>
      </w:r>
      <w:r w:rsidR="00541BA0">
        <w:rPr>
          <w:rFonts w:ascii="Verdana" w:hAnsi="Verdana" w:cs="Calibri"/>
          <w:sz w:val="18"/>
          <w:szCs w:val="18"/>
          <w:lang w:val="el-GR"/>
        </w:rPr>
        <w:t>0</w:t>
      </w:r>
      <w:r w:rsidRPr="00E428AE">
        <w:rPr>
          <w:rFonts w:ascii="Verdana" w:hAnsi="Verdana" w:cs="Calibri"/>
          <w:sz w:val="18"/>
          <w:szCs w:val="18"/>
          <w:lang w:val="el-GR"/>
        </w:rPr>
        <w:t>,</w:t>
      </w:r>
      <w:r w:rsidR="00541BA0">
        <w:rPr>
          <w:rFonts w:ascii="Verdana" w:hAnsi="Verdana" w:cs="Calibri"/>
          <w:sz w:val="18"/>
          <w:szCs w:val="18"/>
          <w:lang w:val="el-GR"/>
        </w:rPr>
        <w:t>0</w:t>
      </w:r>
      <w:r w:rsidRPr="00E428AE">
        <w:rPr>
          <w:rFonts w:ascii="Verdana" w:hAnsi="Verdana" w:cs="Calibri"/>
          <w:sz w:val="18"/>
          <w:szCs w:val="18"/>
          <w:lang w:val="el-GR"/>
        </w:rPr>
        <w:t xml:space="preserve">% σε σχέση με </w:t>
      </w:r>
      <w:r w:rsidR="00541BA0">
        <w:rPr>
          <w:rFonts w:ascii="Verdana" w:hAnsi="Verdana" w:cs="Calibri"/>
          <w:sz w:val="18"/>
          <w:szCs w:val="18"/>
          <w:lang w:val="el-GR"/>
        </w:rPr>
        <w:t>311</w:t>
      </w:r>
      <w:r w:rsidRPr="00E428AE">
        <w:rPr>
          <w:rFonts w:ascii="Verdana" w:hAnsi="Verdana" w:cs="Calibri"/>
          <w:sz w:val="18"/>
          <w:szCs w:val="18"/>
          <w:lang w:val="el-GR"/>
        </w:rPr>
        <w:t xml:space="preserve"> που </w:t>
      </w:r>
      <w:r w:rsidR="00822E20">
        <w:rPr>
          <w:rFonts w:ascii="Verdana" w:hAnsi="Verdana" w:cs="Calibri"/>
          <w:sz w:val="18"/>
          <w:szCs w:val="18"/>
          <w:lang w:val="el-GR"/>
        </w:rPr>
        <w:t>αριθμούσε</w:t>
      </w:r>
      <w:r w:rsidRPr="00E428AE">
        <w:rPr>
          <w:rFonts w:ascii="Verdana" w:hAnsi="Verdana" w:cs="Calibri"/>
          <w:sz w:val="18"/>
          <w:szCs w:val="18"/>
          <w:lang w:val="el-GR"/>
        </w:rPr>
        <w:t xml:space="preserve"> το 20</w:t>
      </w:r>
      <w:r w:rsidR="00541BA0">
        <w:rPr>
          <w:rFonts w:ascii="Verdana" w:hAnsi="Verdana" w:cs="Calibri"/>
          <w:sz w:val="18"/>
          <w:szCs w:val="18"/>
          <w:lang w:val="el-GR"/>
        </w:rPr>
        <w:t>2</w:t>
      </w:r>
      <w:r w:rsidRPr="00E428AE">
        <w:rPr>
          <w:rFonts w:ascii="Verdana" w:hAnsi="Verdana" w:cs="Calibri"/>
          <w:sz w:val="18"/>
          <w:szCs w:val="18"/>
          <w:lang w:val="el-GR"/>
        </w:rPr>
        <w:t xml:space="preserve">0. </w:t>
      </w:r>
      <w:r w:rsidRPr="00E428AE">
        <w:rPr>
          <w:rFonts w:ascii="Verdana" w:hAnsi="Verdana"/>
          <w:sz w:val="18"/>
          <w:szCs w:val="18"/>
          <w:lang w:val="el-GR"/>
        </w:rPr>
        <w:t>Ο πληθυσμός των βοοειδών που καταγράφηκε ήταν 8</w:t>
      </w:r>
      <w:r w:rsidR="00541BA0">
        <w:rPr>
          <w:rFonts w:ascii="Verdana" w:hAnsi="Verdana"/>
          <w:sz w:val="18"/>
          <w:szCs w:val="18"/>
          <w:lang w:val="el-GR"/>
        </w:rPr>
        <w:t>6</w:t>
      </w:r>
      <w:r w:rsidRPr="00E428AE">
        <w:rPr>
          <w:rFonts w:ascii="Verdana" w:hAnsi="Verdana"/>
          <w:sz w:val="18"/>
          <w:szCs w:val="18"/>
          <w:lang w:val="el-GR"/>
        </w:rPr>
        <w:t>.</w:t>
      </w:r>
      <w:r w:rsidR="00541BA0">
        <w:rPr>
          <w:rFonts w:ascii="Verdana" w:hAnsi="Verdana"/>
          <w:sz w:val="18"/>
          <w:szCs w:val="18"/>
          <w:lang w:val="el-GR"/>
        </w:rPr>
        <w:t>992</w:t>
      </w:r>
      <w:r w:rsidRPr="00E428AE">
        <w:rPr>
          <w:rFonts w:ascii="Verdana" w:hAnsi="Verdana"/>
          <w:sz w:val="18"/>
          <w:szCs w:val="18"/>
          <w:lang w:val="el-GR"/>
        </w:rPr>
        <w:t xml:space="preserve"> κεφαλές, εκ των οποίων το 2</w:t>
      </w:r>
      <w:r w:rsidR="00541BA0">
        <w:rPr>
          <w:rFonts w:ascii="Verdana" w:hAnsi="Verdana"/>
          <w:sz w:val="18"/>
          <w:szCs w:val="18"/>
          <w:lang w:val="el-GR"/>
        </w:rPr>
        <w:t>7</w:t>
      </w:r>
      <w:r w:rsidRPr="00E428AE">
        <w:rPr>
          <w:rFonts w:ascii="Verdana" w:hAnsi="Verdana"/>
          <w:sz w:val="18"/>
          <w:szCs w:val="18"/>
          <w:lang w:val="el-GR"/>
        </w:rPr>
        <w:t>,</w:t>
      </w:r>
      <w:r w:rsidR="00541BA0">
        <w:rPr>
          <w:rFonts w:ascii="Verdana" w:hAnsi="Verdana"/>
          <w:sz w:val="18"/>
          <w:szCs w:val="18"/>
          <w:lang w:val="el-GR"/>
        </w:rPr>
        <w:t>0</w:t>
      </w:r>
      <w:r w:rsidRPr="00E428AE">
        <w:rPr>
          <w:rFonts w:ascii="Verdana" w:hAnsi="Verdana"/>
          <w:sz w:val="18"/>
          <w:szCs w:val="18"/>
          <w:lang w:val="el-GR"/>
        </w:rPr>
        <w:t>% (23.4</w:t>
      </w:r>
      <w:r w:rsidR="00541BA0">
        <w:rPr>
          <w:rFonts w:ascii="Verdana" w:hAnsi="Verdana"/>
          <w:sz w:val="18"/>
          <w:szCs w:val="18"/>
          <w:lang w:val="el-GR"/>
        </w:rPr>
        <w:t>63</w:t>
      </w:r>
      <w:r w:rsidRPr="00E428AE">
        <w:rPr>
          <w:rFonts w:ascii="Verdana" w:hAnsi="Verdana"/>
          <w:sz w:val="18"/>
          <w:szCs w:val="18"/>
          <w:lang w:val="el-GR"/>
        </w:rPr>
        <w:t xml:space="preserve"> κεφαλές) ήταν κάτω του ενός έτους, το 1</w:t>
      </w:r>
      <w:r w:rsidR="00541BA0">
        <w:rPr>
          <w:rFonts w:ascii="Verdana" w:hAnsi="Verdana"/>
          <w:sz w:val="18"/>
          <w:szCs w:val="18"/>
          <w:lang w:val="el-GR"/>
        </w:rPr>
        <w:t>7,5</w:t>
      </w:r>
      <w:r w:rsidRPr="00E428AE">
        <w:rPr>
          <w:rFonts w:ascii="Verdana" w:hAnsi="Verdana"/>
          <w:sz w:val="18"/>
          <w:szCs w:val="18"/>
          <w:lang w:val="el-GR"/>
        </w:rPr>
        <w:t>% (1</w:t>
      </w:r>
      <w:r w:rsidR="00541BA0">
        <w:rPr>
          <w:rFonts w:ascii="Verdana" w:hAnsi="Verdana"/>
          <w:sz w:val="18"/>
          <w:szCs w:val="18"/>
          <w:lang w:val="el-GR"/>
        </w:rPr>
        <w:t>5</w:t>
      </w:r>
      <w:r w:rsidRPr="00E428AE">
        <w:rPr>
          <w:rFonts w:ascii="Verdana" w:hAnsi="Verdana"/>
          <w:sz w:val="18"/>
          <w:szCs w:val="18"/>
          <w:lang w:val="el-GR"/>
        </w:rPr>
        <w:t>.</w:t>
      </w:r>
      <w:r w:rsidR="00541BA0">
        <w:rPr>
          <w:rFonts w:ascii="Verdana" w:hAnsi="Verdana"/>
          <w:sz w:val="18"/>
          <w:szCs w:val="18"/>
          <w:lang w:val="el-GR"/>
        </w:rPr>
        <w:t>248</w:t>
      </w:r>
      <w:r w:rsidRPr="00E428AE">
        <w:rPr>
          <w:rFonts w:ascii="Verdana" w:hAnsi="Verdana"/>
          <w:sz w:val="18"/>
          <w:szCs w:val="18"/>
          <w:lang w:val="el-GR"/>
        </w:rPr>
        <w:t xml:space="preserve"> κεφαλές) ήταν 1 μέχρι 2 ετών και το </w:t>
      </w:r>
      <w:r w:rsidR="00D929EC">
        <w:rPr>
          <w:rFonts w:ascii="Verdana" w:hAnsi="Verdana"/>
          <w:sz w:val="18"/>
          <w:szCs w:val="18"/>
          <w:lang w:val="el-GR"/>
        </w:rPr>
        <w:t xml:space="preserve">υπόλοιπο </w:t>
      </w:r>
      <w:r w:rsidRPr="00E428AE">
        <w:rPr>
          <w:rFonts w:ascii="Verdana" w:hAnsi="Verdana"/>
          <w:sz w:val="18"/>
          <w:szCs w:val="18"/>
          <w:lang w:val="el-GR"/>
        </w:rPr>
        <w:t>55,</w:t>
      </w:r>
      <w:r w:rsidR="00361A35">
        <w:rPr>
          <w:rFonts w:ascii="Verdana" w:hAnsi="Verdana"/>
          <w:sz w:val="18"/>
          <w:szCs w:val="18"/>
          <w:lang w:val="el-GR"/>
        </w:rPr>
        <w:t>5</w:t>
      </w:r>
      <w:r w:rsidRPr="00E428AE">
        <w:rPr>
          <w:rFonts w:ascii="Verdana" w:hAnsi="Verdana"/>
          <w:sz w:val="18"/>
          <w:szCs w:val="18"/>
          <w:lang w:val="el-GR"/>
        </w:rPr>
        <w:t>% (4</w:t>
      </w:r>
      <w:r w:rsidR="00361A35">
        <w:rPr>
          <w:rFonts w:ascii="Verdana" w:hAnsi="Verdana"/>
          <w:sz w:val="18"/>
          <w:szCs w:val="18"/>
          <w:lang w:val="el-GR"/>
        </w:rPr>
        <w:t>8</w:t>
      </w:r>
      <w:r w:rsidRPr="00E428AE">
        <w:rPr>
          <w:rFonts w:ascii="Verdana" w:hAnsi="Verdana"/>
          <w:sz w:val="18"/>
          <w:szCs w:val="18"/>
          <w:lang w:val="el-GR"/>
        </w:rPr>
        <w:t>.</w:t>
      </w:r>
      <w:r w:rsidR="00361A35">
        <w:rPr>
          <w:rFonts w:ascii="Verdana" w:hAnsi="Verdana"/>
          <w:sz w:val="18"/>
          <w:szCs w:val="18"/>
          <w:lang w:val="el-GR"/>
        </w:rPr>
        <w:t>281</w:t>
      </w:r>
      <w:r w:rsidRPr="00E428AE">
        <w:rPr>
          <w:rFonts w:ascii="Verdana" w:hAnsi="Verdana"/>
          <w:sz w:val="18"/>
          <w:szCs w:val="18"/>
          <w:lang w:val="el-GR"/>
        </w:rPr>
        <w:t xml:space="preserve"> κεφαλές) ήταν 2 ετών και άνω. </w:t>
      </w:r>
    </w:p>
    <w:p w14:paraId="6883ED83" w14:textId="77777777" w:rsidR="00D966DB" w:rsidRPr="00E428AE" w:rsidRDefault="00D966DB" w:rsidP="00D966DB">
      <w:pPr>
        <w:jc w:val="both"/>
        <w:rPr>
          <w:rFonts w:ascii="Verdana" w:hAnsi="Verdana"/>
          <w:sz w:val="18"/>
          <w:szCs w:val="18"/>
          <w:lang w:val="el-GR"/>
        </w:rPr>
      </w:pPr>
    </w:p>
    <w:p w14:paraId="283BAEF5" w14:textId="44650E23" w:rsidR="00D966DB" w:rsidRPr="00E428AE" w:rsidRDefault="00D966DB" w:rsidP="00D966DB">
      <w:pPr>
        <w:jc w:val="both"/>
        <w:rPr>
          <w:rFonts w:ascii="Verdana" w:hAnsi="Verdana"/>
          <w:sz w:val="18"/>
          <w:szCs w:val="18"/>
          <w:lang w:val="el-GR"/>
        </w:rPr>
      </w:pPr>
      <w:r w:rsidRPr="00E428AE">
        <w:rPr>
          <w:rFonts w:ascii="Verdana" w:hAnsi="Verdana"/>
          <w:sz w:val="18"/>
          <w:szCs w:val="18"/>
          <w:lang w:val="el-GR"/>
        </w:rPr>
        <w:t>Μόνο 15</w:t>
      </w:r>
      <w:r w:rsidR="00361A35">
        <w:rPr>
          <w:rFonts w:ascii="Verdana" w:hAnsi="Verdana"/>
          <w:sz w:val="18"/>
          <w:szCs w:val="18"/>
          <w:lang w:val="el-GR"/>
        </w:rPr>
        <w:t>3</w:t>
      </w:r>
      <w:r w:rsidRPr="00E428AE">
        <w:rPr>
          <w:rFonts w:ascii="Verdana" w:hAnsi="Verdana"/>
          <w:sz w:val="18"/>
          <w:szCs w:val="18"/>
          <w:lang w:val="el-GR"/>
        </w:rPr>
        <w:t xml:space="preserve"> εκμεταλλεύσεις δήλωσαν χοίρους</w:t>
      </w:r>
      <w:r w:rsidR="00BB1E78">
        <w:rPr>
          <w:rFonts w:ascii="Verdana" w:hAnsi="Verdana"/>
          <w:sz w:val="18"/>
          <w:szCs w:val="18"/>
          <w:lang w:val="el-GR"/>
        </w:rPr>
        <w:t xml:space="preserve"> </w:t>
      </w:r>
      <w:r w:rsidRPr="00E428AE">
        <w:rPr>
          <w:rFonts w:ascii="Verdana" w:hAnsi="Verdana"/>
          <w:sz w:val="18"/>
          <w:szCs w:val="18"/>
          <w:lang w:val="el-GR"/>
        </w:rPr>
        <w:t xml:space="preserve">σε σύγκριση με </w:t>
      </w:r>
      <w:r w:rsidR="00361A35">
        <w:rPr>
          <w:rFonts w:ascii="Verdana" w:hAnsi="Verdana"/>
          <w:sz w:val="18"/>
          <w:szCs w:val="18"/>
          <w:lang w:val="el-GR"/>
        </w:rPr>
        <w:t>156</w:t>
      </w:r>
      <w:r w:rsidRPr="00E428AE">
        <w:rPr>
          <w:rFonts w:ascii="Verdana" w:hAnsi="Verdana"/>
          <w:sz w:val="18"/>
          <w:szCs w:val="18"/>
          <w:lang w:val="el-GR"/>
        </w:rPr>
        <w:t xml:space="preserve"> εκμεταλλεύσεις που είχαν καταγραφεί το 20</w:t>
      </w:r>
      <w:r w:rsidR="00361A35">
        <w:rPr>
          <w:rFonts w:ascii="Verdana" w:hAnsi="Verdana"/>
          <w:sz w:val="18"/>
          <w:szCs w:val="18"/>
          <w:lang w:val="el-GR"/>
        </w:rPr>
        <w:t>2</w:t>
      </w:r>
      <w:r w:rsidRPr="00E428AE">
        <w:rPr>
          <w:rFonts w:ascii="Verdana" w:hAnsi="Verdana"/>
          <w:sz w:val="18"/>
          <w:szCs w:val="18"/>
          <w:lang w:val="el-GR"/>
        </w:rPr>
        <w:t xml:space="preserve">0. Παρ’ όλα αυτά, ο αριθμός των χοίρων </w:t>
      </w:r>
      <w:r w:rsidR="00361A35">
        <w:rPr>
          <w:rFonts w:ascii="Verdana" w:hAnsi="Verdana"/>
          <w:sz w:val="18"/>
          <w:szCs w:val="18"/>
          <w:lang w:val="el-GR"/>
        </w:rPr>
        <w:t>αυξήθηκε και από 3</w:t>
      </w:r>
      <w:r w:rsidRPr="00E428AE">
        <w:rPr>
          <w:rFonts w:ascii="Verdana" w:hAnsi="Verdana"/>
          <w:sz w:val="18"/>
          <w:szCs w:val="18"/>
          <w:lang w:val="el-GR"/>
        </w:rPr>
        <w:t>23.522 κεφαλές</w:t>
      </w:r>
      <w:r w:rsidR="00361A35">
        <w:rPr>
          <w:rFonts w:ascii="Verdana" w:hAnsi="Verdana"/>
          <w:sz w:val="18"/>
          <w:szCs w:val="18"/>
          <w:lang w:val="el-GR"/>
        </w:rPr>
        <w:t xml:space="preserve"> που καταγράφηκαν το 2020 έφτασε τις </w:t>
      </w:r>
      <w:r w:rsidR="00361A35" w:rsidRPr="00361A35">
        <w:rPr>
          <w:rFonts w:ascii="Verdana" w:hAnsi="Verdana"/>
          <w:sz w:val="18"/>
          <w:szCs w:val="18"/>
          <w:lang w:val="el-GR"/>
        </w:rPr>
        <w:t>336</w:t>
      </w:r>
      <w:r w:rsidR="00361A35">
        <w:rPr>
          <w:rFonts w:ascii="Verdana" w:hAnsi="Verdana"/>
          <w:sz w:val="18"/>
          <w:szCs w:val="18"/>
          <w:lang w:val="el-GR"/>
        </w:rPr>
        <w:t>.</w:t>
      </w:r>
      <w:r w:rsidR="00361A35" w:rsidRPr="00361A35">
        <w:rPr>
          <w:rFonts w:ascii="Verdana" w:hAnsi="Verdana"/>
          <w:sz w:val="18"/>
          <w:szCs w:val="18"/>
          <w:lang w:val="el-GR"/>
        </w:rPr>
        <w:t>533</w:t>
      </w:r>
      <w:r w:rsidR="00361A35">
        <w:rPr>
          <w:rFonts w:ascii="Verdana" w:hAnsi="Verdana"/>
          <w:sz w:val="18"/>
          <w:szCs w:val="18"/>
          <w:lang w:val="el-GR"/>
        </w:rPr>
        <w:t xml:space="preserve"> κεφαλές το 2023.</w:t>
      </w:r>
      <w:r w:rsidRPr="00E428AE">
        <w:rPr>
          <w:rFonts w:ascii="Verdana" w:hAnsi="Verdana"/>
          <w:sz w:val="18"/>
          <w:szCs w:val="18"/>
          <w:lang w:val="el-GR"/>
        </w:rPr>
        <w:t xml:space="preserve"> </w:t>
      </w:r>
      <w:r w:rsidR="00361A35">
        <w:rPr>
          <w:rFonts w:ascii="Verdana" w:hAnsi="Verdana"/>
          <w:sz w:val="18"/>
          <w:szCs w:val="18"/>
          <w:lang w:val="el-GR"/>
        </w:rPr>
        <w:t>Α</w:t>
      </w:r>
      <w:r w:rsidRPr="00E428AE">
        <w:rPr>
          <w:rFonts w:ascii="Verdana" w:hAnsi="Verdana"/>
          <w:sz w:val="18"/>
          <w:szCs w:val="18"/>
          <w:lang w:val="el-GR"/>
        </w:rPr>
        <w:t xml:space="preserve">πό </w:t>
      </w:r>
      <w:r w:rsidR="00361A35">
        <w:rPr>
          <w:rFonts w:ascii="Verdana" w:hAnsi="Verdana"/>
          <w:sz w:val="18"/>
          <w:szCs w:val="18"/>
          <w:lang w:val="el-GR"/>
        </w:rPr>
        <w:t xml:space="preserve">το σύνολο των χοίρων </w:t>
      </w:r>
      <w:r w:rsidRPr="00E428AE">
        <w:rPr>
          <w:rFonts w:ascii="Verdana" w:hAnsi="Verdana"/>
          <w:sz w:val="18"/>
          <w:szCs w:val="18"/>
          <w:lang w:val="el-GR"/>
        </w:rPr>
        <w:t>το 10,</w:t>
      </w:r>
      <w:r w:rsidR="00361A35">
        <w:rPr>
          <w:rFonts w:ascii="Verdana" w:hAnsi="Verdana"/>
          <w:sz w:val="18"/>
          <w:szCs w:val="18"/>
          <w:lang w:val="el-GR"/>
        </w:rPr>
        <w:t>7</w:t>
      </w:r>
      <w:r w:rsidRPr="00E428AE">
        <w:rPr>
          <w:rFonts w:ascii="Verdana" w:hAnsi="Verdana"/>
          <w:sz w:val="18"/>
          <w:szCs w:val="18"/>
          <w:lang w:val="el-GR"/>
        </w:rPr>
        <w:t xml:space="preserve">% καταλαμβάνουν οι </w:t>
      </w:r>
      <w:proofErr w:type="spellStart"/>
      <w:r w:rsidRPr="00E428AE">
        <w:rPr>
          <w:rFonts w:ascii="Verdana" w:hAnsi="Verdana"/>
          <w:sz w:val="18"/>
          <w:szCs w:val="18"/>
          <w:lang w:val="el-GR"/>
        </w:rPr>
        <w:t>χοιρομητέρες</w:t>
      </w:r>
      <w:proofErr w:type="spellEnd"/>
      <w:r w:rsidRPr="00E428AE">
        <w:rPr>
          <w:rFonts w:ascii="Verdana" w:hAnsi="Verdana"/>
          <w:sz w:val="18"/>
          <w:szCs w:val="18"/>
          <w:lang w:val="el-GR"/>
        </w:rPr>
        <w:t xml:space="preserve"> αναπαραγωγής (</w:t>
      </w:r>
      <w:r w:rsidR="00361A35" w:rsidRPr="00361A35">
        <w:rPr>
          <w:rFonts w:ascii="Verdana" w:hAnsi="Verdana"/>
          <w:sz w:val="18"/>
          <w:szCs w:val="18"/>
          <w:lang w:val="el-GR"/>
        </w:rPr>
        <w:t>35</w:t>
      </w:r>
      <w:r w:rsidR="00361A35">
        <w:rPr>
          <w:rFonts w:ascii="Verdana" w:hAnsi="Verdana"/>
          <w:sz w:val="18"/>
          <w:szCs w:val="18"/>
          <w:lang w:val="el-GR"/>
        </w:rPr>
        <w:t>.</w:t>
      </w:r>
      <w:r w:rsidR="00361A35" w:rsidRPr="00361A35">
        <w:rPr>
          <w:rFonts w:ascii="Verdana" w:hAnsi="Verdana"/>
          <w:sz w:val="18"/>
          <w:szCs w:val="18"/>
          <w:lang w:val="el-GR"/>
        </w:rPr>
        <w:t xml:space="preserve">943 </w:t>
      </w:r>
      <w:r w:rsidRPr="00E428AE">
        <w:rPr>
          <w:rFonts w:ascii="Verdana" w:hAnsi="Verdana"/>
          <w:sz w:val="18"/>
          <w:szCs w:val="18"/>
          <w:lang w:val="el-GR"/>
        </w:rPr>
        <w:t>κεφαλές), το 3</w:t>
      </w:r>
      <w:r w:rsidR="00361A35">
        <w:rPr>
          <w:rFonts w:ascii="Verdana" w:hAnsi="Verdana"/>
          <w:sz w:val="18"/>
          <w:szCs w:val="18"/>
          <w:lang w:val="el-GR"/>
        </w:rPr>
        <w:t>5,3</w:t>
      </w:r>
      <w:r w:rsidRPr="00E428AE">
        <w:rPr>
          <w:rFonts w:ascii="Verdana" w:hAnsi="Verdana"/>
          <w:sz w:val="18"/>
          <w:szCs w:val="18"/>
          <w:lang w:val="el-GR"/>
        </w:rPr>
        <w:t>% τα χοιρίδια βάρους ζώντος ζώου κάτω των 20 κιλών (</w:t>
      </w:r>
      <w:r w:rsidR="00361A35" w:rsidRPr="00361A35">
        <w:rPr>
          <w:rFonts w:ascii="Verdana" w:hAnsi="Verdana"/>
          <w:sz w:val="18"/>
          <w:szCs w:val="18"/>
          <w:lang w:val="el-GR"/>
        </w:rPr>
        <w:t>118</w:t>
      </w:r>
      <w:r w:rsidR="00361A35">
        <w:rPr>
          <w:rFonts w:ascii="Verdana" w:hAnsi="Verdana"/>
          <w:sz w:val="18"/>
          <w:szCs w:val="18"/>
          <w:lang w:val="el-GR"/>
        </w:rPr>
        <w:t>.</w:t>
      </w:r>
      <w:r w:rsidR="00361A35" w:rsidRPr="00361A35">
        <w:rPr>
          <w:rFonts w:ascii="Verdana" w:hAnsi="Verdana"/>
          <w:sz w:val="18"/>
          <w:szCs w:val="18"/>
          <w:lang w:val="el-GR"/>
        </w:rPr>
        <w:t xml:space="preserve">701 </w:t>
      </w:r>
      <w:r w:rsidRPr="00E428AE">
        <w:rPr>
          <w:rFonts w:ascii="Verdana" w:hAnsi="Verdana"/>
          <w:sz w:val="18"/>
          <w:szCs w:val="18"/>
          <w:lang w:val="el-GR"/>
        </w:rPr>
        <w:t>κεφαλές) και το 5</w:t>
      </w:r>
      <w:r w:rsidR="00361A35">
        <w:rPr>
          <w:rFonts w:ascii="Verdana" w:hAnsi="Verdana"/>
          <w:sz w:val="18"/>
          <w:szCs w:val="18"/>
          <w:lang w:val="el-GR"/>
        </w:rPr>
        <w:t>4,0</w:t>
      </w:r>
      <w:r w:rsidRPr="00E428AE">
        <w:rPr>
          <w:rFonts w:ascii="Verdana" w:hAnsi="Verdana"/>
          <w:sz w:val="18"/>
          <w:szCs w:val="18"/>
          <w:lang w:val="el-GR"/>
        </w:rPr>
        <w:t>% διάφοροι άλλοι χοίροι (</w:t>
      </w:r>
      <w:r w:rsidR="00361A35" w:rsidRPr="00361A35">
        <w:rPr>
          <w:rFonts w:ascii="Verdana" w:hAnsi="Verdana"/>
          <w:sz w:val="18"/>
          <w:szCs w:val="18"/>
          <w:lang w:val="el-GR"/>
        </w:rPr>
        <w:t>181</w:t>
      </w:r>
      <w:r w:rsidR="00361A35">
        <w:rPr>
          <w:rFonts w:ascii="Verdana" w:hAnsi="Verdana"/>
          <w:sz w:val="18"/>
          <w:szCs w:val="18"/>
          <w:lang w:val="el-GR"/>
        </w:rPr>
        <w:t>.</w:t>
      </w:r>
      <w:r w:rsidR="00361A35" w:rsidRPr="00361A35">
        <w:rPr>
          <w:rFonts w:ascii="Verdana" w:hAnsi="Verdana"/>
          <w:sz w:val="18"/>
          <w:szCs w:val="18"/>
          <w:lang w:val="el-GR"/>
        </w:rPr>
        <w:t xml:space="preserve">888 </w:t>
      </w:r>
      <w:r w:rsidRPr="00E428AE">
        <w:rPr>
          <w:rFonts w:ascii="Verdana" w:hAnsi="Verdana"/>
          <w:sz w:val="18"/>
          <w:szCs w:val="18"/>
          <w:lang w:val="el-GR"/>
        </w:rPr>
        <w:t xml:space="preserve">κεφαλές). </w:t>
      </w:r>
    </w:p>
    <w:bookmarkEnd w:id="8"/>
    <w:p w14:paraId="14B3A3DB" w14:textId="77777777" w:rsidR="00D966DB" w:rsidRPr="00E428AE" w:rsidRDefault="00D966DB" w:rsidP="00D966DB">
      <w:pPr>
        <w:jc w:val="both"/>
        <w:rPr>
          <w:rFonts w:ascii="Verdana" w:hAnsi="Verdana"/>
          <w:sz w:val="18"/>
          <w:szCs w:val="18"/>
          <w:lang w:val="el-GR"/>
        </w:rPr>
      </w:pPr>
    </w:p>
    <w:p w14:paraId="4AA1BA89" w14:textId="08179B35" w:rsidR="00D966DB" w:rsidRPr="00E428AE" w:rsidRDefault="00D966DB" w:rsidP="00D966DB">
      <w:pPr>
        <w:jc w:val="both"/>
        <w:rPr>
          <w:rFonts w:ascii="Verdana" w:hAnsi="Verdana"/>
          <w:sz w:val="18"/>
          <w:szCs w:val="18"/>
          <w:lang w:val="el-GR"/>
        </w:rPr>
      </w:pPr>
      <w:bookmarkStart w:id="9" w:name="_Hlk212802216"/>
      <w:r w:rsidRPr="00E428AE">
        <w:rPr>
          <w:rFonts w:ascii="Verdana" w:hAnsi="Verdana" w:cs="Calibri"/>
          <w:sz w:val="18"/>
          <w:szCs w:val="18"/>
          <w:lang w:val="el-GR"/>
        </w:rPr>
        <w:t xml:space="preserve">Ο συνολικός αριθμός εκμεταλλεύσεων με </w:t>
      </w:r>
      <w:proofErr w:type="spellStart"/>
      <w:r w:rsidRPr="00E428AE">
        <w:rPr>
          <w:rFonts w:ascii="Verdana" w:hAnsi="Verdana" w:cs="Calibri"/>
          <w:sz w:val="18"/>
          <w:szCs w:val="18"/>
          <w:lang w:val="el-GR"/>
        </w:rPr>
        <w:t>προβατοειδή</w:t>
      </w:r>
      <w:proofErr w:type="spellEnd"/>
      <w:r w:rsidRPr="00E428AE">
        <w:rPr>
          <w:rFonts w:ascii="Verdana" w:hAnsi="Verdana" w:cs="Calibri"/>
          <w:sz w:val="18"/>
          <w:szCs w:val="18"/>
          <w:lang w:val="el-GR"/>
        </w:rPr>
        <w:t xml:space="preserve"> έφτασε τις 1.</w:t>
      </w:r>
      <w:r w:rsidR="00361A35">
        <w:rPr>
          <w:rFonts w:ascii="Verdana" w:hAnsi="Verdana" w:cs="Calibri"/>
          <w:sz w:val="18"/>
          <w:szCs w:val="18"/>
          <w:lang w:val="el-GR"/>
        </w:rPr>
        <w:t>342</w:t>
      </w:r>
      <w:r w:rsidRPr="00E428AE">
        <w:rPr>
          <w:rFonts w:ascii="Verdana" w:hAnsi="Verdana" w:cs="Calibri"/>
          <w:sz w:val="18"/>
          <w:szCs w:val="18"/>
          <w:lang w:val="el-GR"/>
        </w:rPr>
        <w:t xml:space="preserve"> σε σύγκριση με 1.</w:t>
      </w:r>
      <w:r w:rsidR="00361A35">
        <w:rPr>
          <w:rFonts w:ascii="Verdana" w:hAnsi="Verdana" w:cs="Calibri"/>
          <w:sz w:val="18"/>
          <w:szCs w:val="18"/>
          <w:lang w:val="el-GR"/>
        </w:rPr>
        <w:t>509</w:t>
      </w:r>
      <w:r w:rsidRPr="00E428AE">
        <w:rPr>
          <w:rFonts w:ascii="Verdana" w:hAnsi="Verdana" w:cs="Calibri"/>
          <w:sz w:val="18"/>
          <w:szCs w:val="18"/>
          <w:lang w:val="el-GR"/>
        </w:rPr>
        <w:t xml:space="preserve"> εκμεταλλεύσεις το 20</w:t>
      </w:r>
      <w:r w:rsidR="00361A35">
        <w:rPr>
          <w:rFonts w:ascii="Verdana" w:hAnsi="Verdana" w:cs="Calibri"/>
          <w:sz w:val="18"/>
          <w:szCs w:val="18"/>
          <w:lang w:val="el-GR"/>
        </w:rPr>
        <w:t>2</w:t>
      </w:r>
      <w:r w:rsidRPr="00E428AE">
        <w:rPr>
          <w:rFonts w:ascii="Verdana" w:hAnsi="Verdana" w:cs="Calibri"/>
          <w:sz w:val="18"/>
          <w:szCs w:val="18"/>
          <w:lang w:val="el-GR"/>
        </w:rPr>
        <w:t xml:space="preserve">0, σημειώνοντας </w:t>
      </w:r>
      <w:r w:rsidR="00361A35">
        <w:rPr>
          <w:rFonts w:ascii="Verdana" w:hAnsi="Verdana" w:cs="Calibri"/>
          <w:sz w:val="18"/>
          <w:szCs w:val="18"/>
          <w:lang w:val="el-GR"/>
        </w:rPr>
        <w:t xml:space="preserve">μείωση </w:t>
      </w:r>
      <w:r w:rsidRPr="00E428AE">
        <w:rPr>
          <w:rFonts w:ascii="Verdana" w:hAnsi="Verdana" w:cs="Calibri"/>
          <w:sz w:val="18"/>
          <w:szCs w:val="18"/>
          <w:lang w:val="el-GR"/>
        </w:rPr>
        <w:t xml:space="preserve">της τάξης του </w:t>
      </w:r>
      <w:r w:rsidR="00361A35">
        <w:rPr>
          <w:rFonts w:ascii="Verdana" w:hAnsi="Verdana" w:cs="Calibri"/>
          <w:sz w:val="18"/>
          <w:szCs w:val="18"/>
          <w:lang w:val="el-GR"/>
        </w:rPr>
        <w:t>11,1</w:t>
      </w:r>
      <w:r w:rsidRPr="00E428AE">
        <w:rPr>
          <w:rFonts w:ascii="Verdana" w:hAnsi="Verdana" w:cs="Calibri"/>
          <w:sz w:val="18"/>
          <w:szCs w:val="18"/>
          <w:lang w:val="el-GR"/>
        </w:rPr>
        <w:t xml:space="preserve">%. </w:t>
      </w:r>
      <w:r w:rsidRPr="00E428AE">
        <w:rPr>
          <w:rFonts w:ascii="Verdana" w:hAnsi="Verdana"/>
          <w:sz w:val="18"/>
          <w:szCs w:val="18"/>
          <w:lang w:val="el-GR"/>
        </w:rPr>
        <w:t xml:space="preserve">Ο συνολικός αριθμός των προβάτων που καταγράφηκε έφτασε τα </w:t>
      </w:r>
      <w:r w:rsidR="00361A35" w:rsidRPr="00361A35">
        <w:rPr>
          <w:rFonts w:ascii="Verdana" w:hAnsi="Verdana"/>
          <w:sz w:val="18"/>
          <w:szCs w:val="18"/>
          <w:lang w:val="el-GR"/>
        </w:rPr>
        <w:t>327</w:t>
      </w:r>
      <w:r w:rsidR="00361A35">
        <w:rPr>
          <w:rFonts w:ascii="Verdana" w:hAnsi="Verdana"/>
          <w:sz w:val="18"/>
          <w:szCs w:val="18"/>
          <w:lang w:val="el-GR"/>
        </w:rPr>
        <w:t>.</w:t>
      </w:r>
      <w:r w:rsidR="00361A35" w:rsidRPr="00361A35">
        <w:rPr>
          <w:rFonts w:ascii="Verdana" w:hAnsi="Verdana"/>
          <w:sz w:val="18"/>
          <w:szCs w:val="18"/>
          <w:lang w:val="el-GR"/>
        </w:rPr>
        <w:t>427</w:t>
      </w:r>
      <w:r w:rsidRPr="00E428AE">
        <w:rPr>
          <w:rFonts w:ascii="Verdana" w:hAnsi="Verdana"/>
          <w:sz w:val="18"/>
          <w:szCs w:val="18"/>
          <w:lang w:val="el-GR"/>
        </w:rPr>
        <w:t>. Από αυτά, το 7</w:t>
      </w:r>
      <w:r w:rsidR="00361A35">
        <w:rPr>
          <w:rFonts w:ascii="Verdana" w:hAnsi="Verdana"/>
          <w:sz w:val="18"/>
          <w:szCs w:val="18"/>
          <w:lang w:val="el-GR"/>
        </w:rPr>
        <w:t>5</w:t>
      </w:r>
      <w:r w:rsidRPr="00E428AE">
        <w:rPr>
          <w:rFonts w:ascii="Verdana" w:hAnsi="Verdana"/>
          <w:sz w:val="18"/>
          <w:szCs w:val="18"/>
          <w:lang w:val="el-GR"/>
        </w:rPr>
        <w:t>,8% (</w:t>
      </w:r>
      <w:r w:rsidR="00361A35" w:rsidRPr="00361A35">
        <w:rPr>
          <w:rFonts w:ascii="Verdana" w:hAnsi="Verdana"/>
          <w:sz w:val="18"/>
          <w:szCs w:val="18"/>
          <w:lang w:val="el-GR"/>
        </w:rPr>
        <w:t>248</w:t>
      </w:r>
      <w:r w:rsidR="00361A35">
        <w:rPr>
          <w:rFonts w:ascii="Verdana" w:hAnsi="Verdana"/>
          <w:sz w:val="18"/>
          <w:szCs w:val="18"/>
          <w:lang w:val="el-GR"/>
        </w:rPr>
        <w:t>.</w:t>
      </w:r>
      <w:r w:rsidR="00361A35" w:rsidRPr="00361A35">
        <w:rPr>
          <w:rFonts w:ascii="Verdana" w:hAnsi="Verdana"/>
          <w:sz w:val="18"/>
          <w:szCs w:val="18"/>
          <w:lang w:val="el-GR"/>
        </w:rPr>
        <w:t xml:space="preserve">152 </w:t>
      </w:r>
      <w:r w:rsidRPr="00E428AE">
        <w:rPr>
          <w:rFonts w:ascii="Verdana" w:hAnsi="Verdana"/>
          <w:sz w:val="18"/>
          <w:szCs w:val="18"/>
          <w:lang w:val="el-GR"/>
        </w:rPr>
        <w:t>κεφαλές) ήταν προβατίνες αναπαραγωγής και το 2</w:t>
      </w:r>
      <w:r w:rsidR="00361A35">
        <w:rPr>
          <w:rFonts w:ascii="Verdana" w:hAnsi="Verdana"/>
          <w:sz w:val="18"/>
          <w:szCs w:val="18"/>
          <w:lang w:val="el-GR"/>
        </w:rPr>
        <w:t>4,2</w:t>
      </w:r>
      <w:r w:rsidRPr="00E428AE">
        <w:rPr>
          <w:rFonts w:ascii="Verdana" w:hAnsi="Verdana"/>
          <w:sz w:val="18"/>
          <w:szCs w:val="18"/>
          <w:lang w:val="el-GR"/>
        </w:rPr>
        <w:t>% (</w:t>
      </w:r>
      <w:r w:rsidR="00361A35" w:rsidRPr="00361A35">
        <w:rPr>
          <w:rFonts w:ascii="Verdana" w:hAnsi="Verdana"/>
          <w:sz w:val="18"/>
          <w:szCs w:val="18"/>
          <w:lang w:val="el-GR"/>
        </w:rPr>
        <w:t>79</w:t>
      </w:r>
      <w:r w:rsidR="00361A35">
        <w:rPr>
          <w:rFonts w:ascii="Verdana" w:hAnsi="Verdana"/>
          <w:sz w:val="18"/>
          <w:szCs w:val="18"/>
          <w:lang w:val="el-GR"/>
        </w:rPr>
        <w:t>.</w:t>
      </w:r>
      <w:r w:rsidR="00361A35" w:rsidRPr="00361A35">
        <w:rPr>
          <w:rFonts w:ascii="Verdana" w:hAnsi="Verdana"/>
          <w:sz w:val="18"/>
          <w:szCs w:val="18"/>
          <w:lang w:val="el-GR"/>
        </w:rPr>
        <w:t xml:space="preserve">275 </w:t>
      </w:r>
      <w:r w:rsidRPr="00E428AE">
        <w:rPr>
          <w:rFonts w:ascii="Verdana" w:hAnsi="Verdana"/>
          <w:sz w:val="18"/>
          <w:szCs w:val="18"/>
          <w:lang w:val="el-GR"/>
        </w:rPr>
        <w:t>κεφαλές) άλλα πρόβατα.</w:t>
      </w:r>
    </w:p>
    <w:p w14:paraId="397DF987" w14:textId="77777777" w:rsidR="00D966DB" w:rsidRPr="00E428AE" w:rsidRDefault="00D966DB" w:rsidP="00D966DB">
      <w:pPr>
        <w:jc w:val="both"/>
        <w:rPr>
          <w:rFonts w:ascii="Verdana" w:hAnsi="Verdana"/>
          <w:sz w:val="18"/>
          <w:szCs w:val="18"/>
          <w:lang w:val="el-GR"/>
        </w:rPr>
      </w:pPr>
    </w:p>
    <w:p w14:paraId="30DA8F21" w14:textId="46561584" w:rsidR="00D966DB" w:rsidRPr="00E428AE" w:rsidRDefault="00D966DB" w:rsidP="00D966DB">
      <w:pPr>
        <w:jc w:val="both"/>
        <w:rPr>
          <w:rFonts w:ascii="Verdana" w:hAnsi="Verdana" w:cs="Calibri"/>
          <w:sz w:val="18"/>
          <w:szCs w:val="18"/>
          <w:lang w:val="el-GR"/>
        </w:rPr>
      </w:pPr>
      <w:r w:rsidRPr="00E428AE">
        <w:rPr>
          <w:rFonts w:ascii="Verdana" w:hAnsi="Verdana"/>
          <w:sz w:val="18"/>
          <w:szCs w:val="18"/>
          <w:lang w:val="el-GR"/>
        </w:rPr>
        <w:t xml:space="preserve">Μείωση κατά </w:t>
      </w:r>
      <w:r w:rsidR="00361A35">
        <w:rPr>
          <w:rFonts w:ascii="Verdana" w:hAnsi="Verdana"/>
          <w:sz w:val="18"/>
          <w:szCs w:val="18"/>
          <w:lang w:val="el-GR"/>
        </w:rPr>
        <w:t>8</w:t>
      </w:r>
      <w:r w:rsidRPr="00E428AE">
        <w:rPr>
          <w:rFonts w:ascii="Verdana" w:hAnsi="Verdana"/>
          <w:sz w:val="18"/>
          <w:szCs w:val="18"/>
          <w:lang w:val="el-GR"/>
        </w:rPr>
        <w:t>,</w:t>
      </w:r>
      <w:r w:rsidR="00361A35">
        <w:rPr>
          <w:rFonts w:ascii="Verdana" w:hAnsi="Verdana"/>
          <w:sz w:val="18"/>
          <w:szCs w:val="18"/>
          <w:lang w:val="el-GR"/>
        </w:rPr>
        <w:t>1</w:t>
      </w:r>
      <w:r w:rsidRPr="00E428AE">
        <w:rPr>
          <w:rFonts w:ascii="Verdana" w:hAnsi="Verdana"/>
          <w:sz w:val="18"/>
          <w:szCs w:val="18"/>
          <w:lang w:val="el-GR"/>
        </w:rPr>
        <w:t>% σε σχέση με το 20</w:t>
      </w:r>
      <w:r w:rsidR="00361A35">
        <w:rPr>
          <w:rFonts w:ascii="Verdana" w:hAnsi="Verdana"/>
          <w:sz w:val="18"/>
          <w:szCs w:val="18"/>
          <w:lang w:val="el-GR"/>
        </w:rPr>
        <w:t>2</w:t>
      </w:r>
      <w:r w:rsidRPr="00E428AE">
        <w:rPr>
          <w:rFonts w:ascii="Verdana" w:hAnsi="Verdana"/>
          <w:sz w:val="18"/>
          <w:szCs w:val="18"/>
          <w:lang w:val="el-GR"/>
        </w:rPr>
        <w:t xml:space="preserve">0 σημειώθηκε στις εκμεταλλεύσεις που διαχειρίζονται </w:t>
      </w:r>
      <w:proofErr w:type="spellStart"/>
      <w:r w:rsidRPr="00E428AE">
        <w:rPr>
          <w:rFonts w:ascii="Verdana" w:hAnsi="Verdana"/>
          <w:sz w:val="18"/>
          <w:szCs w:val="18"/>
          <w:lang w:val="el-GR"/>
        </w:rPr>
        <w:t>αιγοειδή</w:t>
      </w:r>
      <w:proofErr w:type="spellEnd"/>
      <w:r w:rsidRPr="00E428AE">
        <w:rPr>
          <w:rFonts w:ascii="Verdana" w:hAnsi="Verdana"/>
          <w:sz w:val="18"/>
          <w:szCs w:val="18"/>
          <w:lang w:val="el-GR"/>
        </w:rPr>
        <w:t xml:space="preserve"> </w:t>
      </w:r>
      <w:r w:rsidRPr="00E428AE">
        <w:rPr>
          <w:rFonts w:ascii="Verdana" w:hAnsi="Verdana" w:cs="Calibri"/>
          <w:sz w:val="18"/>
          <w:szCs w:val="18"/>
          <w:lang w:val="el-GR"/>
        </w:rPr>
        <w:t xml:space="preserve">(από </w:t>
      </w:r>
      <w:r w:rsidRPr="00E428AE">
        <w:rPr>
          <w:rFonts w:ascii="Verdana" w:hAnsi="Verdana"/>
          <w:sz w:val="18"/>
          <w:szCs w:val="18"/>
          <w:lang w:val="el-GR"/>
        </w:rPr>
        <w:t>1.</w:t>
      </w:r>
      <w:r w:rsidR="002A21A5">
        <w:rPr>
          <w:rFonts w:ascii="Verdana" w:hAnsi="Verdana"/>
          <w:sz w:val="18"/>
          <w:szCs w:val="18"/>
          <w:lang w:val="el-GR"/>
        </w:rPr>
        <w:t>587</w:t>
      </w:r>
      <w:r w:rsidRPr="00E428AE">
        <w:rPr>
          <w:rFonts w:ascii="Verdana" w:hAnsi="Verdana"/>
          <w:sz w:val="18"/>
          <w:szCs w:val="18"/>
          <w:lang w:val="el-GR"/>
        </w:rPr>
        <w:t xml:space="preserve"> το 20</w:t>
      </w:r>
      <w:r w:rsidR="002A21A5">
        <w:rPr>
          <w:rFonts w:ascii="Verdana" w:hAnsi="Verdana"/>
          <w:sz w:val="18"/>
          <w:szCs w:val="18"/>
          <w:lang w:val="el-GR"/>
        </w:rPr>
        <w:t>2</w:t>
      </w:r>
      <w:r w:rsidRPr="00E428AE">
        <w:rPr>
          <w:rFonts w:ascii="Verdana" w:hAnsi="Verdana"/>
          <w:sz w:val="18"/>
          <w:szCs w:val="18"/>
          <w:lang w:val="el-GR"/>
        </w:rPr>
        <w:t>0 σε 1.</w:t>
      </w:r>
      <w:r w:rsidR="002A21A5">
        <w:rPr>
          <w:rFonts w:ascii="Verdana" w:hAnsi="Verdana"/>
          <w:sz w:val="18"/>
          <w:szCs w:val="18"/>
          <w:lang w:val="el-GR"/>
        </w:rPr>
        <w:t>459</w:t>
      </w:r>
      <w:r w:rsidRPr="00E428AE">
        <w:rPr>
          <w:rFonts w:ascii="Verdana" w:hAnsi="Verdana"/>
          <w:sz w:val="18"/>
          <w:szCs w:val="18"/>
          <w:lang w:val="el-GR"/>
        </w:rPr>
        <w:t xml:space="preserve"> το 202</w:t>
      </w:r>
      <w:r w:rsidR="002A21A5">
        <w:rPr>
          <w:rFonts w:ascii="Verdana" w:hAnsi="Verdana"/>
          <w:sz w:val="18"/>
          <w:szCs w:val="18"/>
          <w:lang w:val="el-GR"/>
        </w:rPr>
        <w:t>3</w:t>
      </w:r>
      <w:r w:rsidRPr="00E428AE">
        <w:rPr>
          <w:rFonts w:ascii="Verdana" w:hAnsi="Verdana"/>
          <w:sz w:val="18"/>
          <w:szCs w:val="18"/>
          <w:lang w:val="el-GR"/>
        </w:rPr>
        <w:t xml:space="preserve">). Ο συνολικός αριθμός των ζώων που καταγράφηκε ήταν </w:t>
      </w:r>
      <w:r w:rsidR="002A21A5" w:rsidRPr="002A21A5">
        <w:rPr>
          <w:rFonts w:ascii="Verdana" w:hAnsi="Verdana"/>
          <w:sz w:val="18"/>
          <w:szCs w:val="18"/>
          <w:lang w:val="el-GR"/>
        </w:rPr>
        <w:t>227</w:t>
      </w:r>
      <w:r w:rsidR="002A21A5">
        <w:rPr>
          <w:rFonts w:ascii="Verdana" w:hAnsi="Verdana"/>
          <w:sz w:val="18"/>
          <w:szCs w:val="18"/>
          <w:lang w:val="el-GR"/>
        </w:rPr>
        <w:t>.</w:t>
      </w:r>
      <w:r w:rsidR="002A21A5" w:rsidRPr="002A21A5">
        <w:rPr>
          <w:rFonts w:ascii="Verdana" w:hAnsi="Verdana"/>
          <w:sz w:val="18"/>
          <w:szCs w:val="18"/>
          <w:lang w:val="el-GR"/>
        </w:rPr>
        <w:t>307</w:t>
      </w:r>
      <w:r w:rsidRPr="00E428AE">
        <w:rPr>
          <w:rFonts w:ascii="Verdana" w:hAnsi="Verdana"/>
          <w:sz w:val="18"/>
          <w:szCs w:val="18"/>
          <w:lang w:val="el-GR"/>
        </w:rPr>
        <w:t>, με την πλειοψηφία (7</w:t>
      </w:r>
      <w:r w:rsidR="002A21A5">
        <w:rPr>
          <w:rFonts w:ascii="Verdana" w:hAnsi="Verdana"/>
          <w:sz w:val="18"/>
          <w:szCs w:val="18"/>
          <w:lang w:val="el-GR"/>
        </w:rPr>
        <w:t>3,6</w:t>
      </w:r>
      <w:r w:rsidRPr="00E428AE">
        <w:rPr>
          <w:rFonts w:ascii="Verdana" w:hAnsi="Verdana"/>
          <w:sz w:val="18"/>
          <w:szCs w:val="18"/>
          <w:lang w:val="el-GR"/>
        </w:rPr>
        <w:t>%) να είναι θηλυκά αναπαραγωγής (</w:t>
      </w:r>
      <w:r w:rsidR="002A21A5" w:rsidRPr="002A21A5">
        <w:rPr>
          <w:rFonts w:ascii="Verdana" w:hAnsi="Verdana"/>
          <w:sz w:val="18"/>
          <w:szCs w:val="18"/>
          <w:lang w:val="el-GR"/>
        </w:rPr>
        <w:t>167</w:t>
      </w:r>
      <w:r w:rsidR="002A21A5">
        <w:rPr>
          <w:rFonts w:ascii="Verdana" w:hAnsi="Verdana"/>
          <w:sz w:val="18"/>
          <w:szCs w:val="18"/>
          <w:lang w:val="el-GR"/>
        </w:rPr>
        <w:t>.</w:t>
      </w:r>
      <w:r w:rsidR="002A21A5" w:rsidRPr="002A21A5">
        <w:rPr>
          <w:rFonts w:ascii="Verdana" w:hAnsi="Verdana"/>
          <w:sz w:val="18"/>
          <w:szCs w:val="18"/>
          <w:lang w:val="el-GR"/>
        </w:rPr>
        <w:t xml:space="preserve">361 </w:t>
      </w:r>
      <w:r w:rsidRPr="00E428AE">
        <w:rPr>
          <w:rFonts w:ascii="Verdana" w:hAnsi="Verdana"/>
          <w:sz w:val="18"/>
          <w:szCs w:val="18"/>
          <w:lang w:val="el-GR"/>
        </w:rPr>
        <w:t>κεφαλές) και τα υπόλοιπα (</w:t>
      </w:r>
      <w:r w:rsidR="002A21A5">
        <w:rPr>
          <w:rFonts w:ascii="Verdana" w:hAnsi="Verdana"/>
          <w:sz w:val="18"/>
          <w:szCs w:val="18"/>
          <w:lang w:val="el-GR"/>
        </w:rPr>
        <w:t>2</w:t>
      </w:r>
      <w:r w:rsidR="00BB1E78">
        <w:rPr>
          <w:rFonts w:ascii="Verdana" w:hAnsi="Verdana"/>
          <w:sz w:val="18"/>
          <w:szCs w:val="18"/>
          <w:lang w:val="el-GR"/>
        </w:rPr>
        <w:t>6</w:t>
      </w:r>
      <w:r w:rsidR="002A21A5">
        <w:rPr>
          <w:rFonts w:ascii="Verdana" w:hAnsi="Verdana"/>
          <w:sz w:val="18"/>
          <w:szCs w:val="18"/>
          <w:lang w:val="el-GR"/>
        </w:rPr>
        <w:t>,</w:t>
      </w:r>
      <w:r w:rsidR="00BB1E78">
        <w:rPr>
          <w:rFonts w:ascii="Verdana" w:hAnsi="Verdana"/>
          <w:sz w:val="18"/>
          <w:szCs w:val="18"/>
          <w:lang w:val="el-GR"/>
        </w:rPr>
        <w:t>4</w:t>
      </w:r>
      <w:r w:rsidRPr="00E428AE">
        <w:rPr>
          <w:rFonts w:ascii="Verdana" w:hAnsi="Verdana"/>
          <w:sz w:val="18"/>
          <w:szCs w:val="18"/>
          <w:lang w:val="el-GR"/>
        </w:rPr>
        <w:t xml:space="preserve">%) να είναι άλλα </w:t>
      </w:r>
      <w:proofErr w:type="spellStart"/>
      <w:r w:rsidRPr="00E428AE">
        <w:rPr>
          <w:rFonts w:ascii="Verdana" w:hAnsi="Verdana"/>
          <w:sz w:val="18"/>
          <w:szCs w:val="18"/>
          <w:lang w:val="el-GR"/>
        </w:rPr>
        <w:t>αιγοειδή</w:t>
      </w:r>
      <w:proofErr w:type="spellEnd"/>
      <w:r w:rsidRPr="00E428AE">
        <w:rPr>
          <w:rFonts w:ascii="Verdana" w:hAnsi="Verdana"/>
          <w:sz w:val="18"/>
          <w:szCs w:val="18"/>
          <w:lang w:val="el-GR"/>
        </w:rPr>
        <w:t xml:space="preserve"> (</w:t>
      </w:r>
      <w:r w:rsidR="002A21A5" w:rsidRPr="002A21A5">
        <w:rPr>
          <w:rFonts w:ascii="Verdana" w:hAnsi="Verdana"/>
          <w:sz w:val="18"/>
          <w:szCs w:val="18"/>
          <w:lang w:val="el-GR"/>
        </w:rPr>
        <w:t>59</w:t>
      </w:r>
      <w:r w:rsidR="002A21A5">
        <w:rPr>
          <w:rFonts w:ascii="Verdana" w:hAnsi="Verdana"/>
          <w:sz w:val="18"/>
          <w:szCs w:val="18"/>
          <w:lang w:val="el-GR"/>
        </w:rPr>
        <w:t>.</w:t>
      </w:r>
      <w:r w:rsidR="002A21A5" w:rsidRPr="002A21A5">
        <w:rPr>
          <w:rFonts w:ascii="Verdana" w:hAnsi="Verdana"/>
          <w:sz w:val="18"/>
          <w:szCs w:val="18"/>
          <w:lang w:val="el-GR"/>
        </w:rPr>
        <w:t xml:space="preserve">946 </w:t>
      </w:r>
      <w:r w:rsidRPr="00E428AE">
        <w:rPr>
          <w:rFonts w:ascii="Verdana" w:hAnsi="Verdana"/>
          <w:sz w:val="18"/>
          <w:szCs w:val="18"/>
          <w:lang w:val="el-GR"/>
        </w:rPr>
        <w:t>κεφαλές).</w:t>
      </w:r>
    </w:p>
    <w:p w14:paraId="4BB1ABB8" w14:textId="77777777" w:rsidR="00D966DB" w:rsidRPr="00E428AE" w:rsidRDefault="00D966DB" w:rsidP="00D966DB">
      <w:pPr>
        <w:jc w:val="both"/>
        <w:rPr>
          <w:rFonts w:ascii="Verdana" w:hAnsi="Verdana"/>
          <w:sz w:val="18"/>
          <w:szCs w:val="18"/>
          <w:lang w:val="el-GR"/>
        </w:rPr>
      </w:pPr>
    </w:p>
    <w:p w14:paraId="7A159DAA" w14:textId="24E78E3F" w:rsidR="00D966DB" w:rsidRPr="00DE0CF0" w:rsidRDefault="00D966DB" w:rsidP="00D966DB">
      <w:pPr>
        <w:jc w:val="both"/>
        <w:rPr>
          <w:rFonts w:ascii="Verdana" w:hAnsi="Verdana"/>
          <w:sz w:val="18"/>
          <w:szCs w:val="18"/>
          <w:lang w:val="el-GR"/>
        </w:rPr>
      </w:pPr>
      <w:r w:rsidRPr="00E428AE">
        <w:rPr>
          <w:rFonts w:ascii="Verdana" w:hAnsi="Verdana"/>
          <w:sz w:val="18"/>
          <w:szCs w:val="18"/>
          <w:lang w:val="el-GR"/>
        </w:rPr>
        <w:t xml:space="preserve">Ο συνολικός αριθμός των εκμεταλλεύσεων που εκτρέφουν κοτόπουλα </w:t>
      </w:r>
      <w:proofErr w:type="spellStart"/>
      <w:r w:rsidRPr="00E428AE">
        <w:rPr>
          <w:rFonts w:ascii="Verdana" w:hAnsi="Verdana"/>
          <w:sz w:val="18"/>
          <w:szCs w:val="18"/>
          <w:lang w:val="el-GR"/>
        </w:rPr>
        <w:t>κρεατοπαραγωγής</w:t>
      </w:r>
      <w:proofErr w:type="spellEnd"/>
      <w:r w:rsidRPr="00E428AE">
        <w:rPr>
          <w:rFonts w:ascii="Verdana" w:hAnsi="Verdana"/>
          <w:sz w:val="18"/>
          <w:szCs w:val="18"/>
          <w:lang w:val="el-GR"/>
        </w:rPr>
        <w:t xml:space="preserve"> </w:t>
      </w:r>
      <w:r w:rsidR="002A21A5">
        <w:rPr>
          <w:rFonts w:ascii="Verdana" w:hAnsi="Verdana"/>
          <w:sz w:val="18"/>
          <w:szCs w:val="18"/>
          <w:lang w:val="el-GR"/>
        </w:rPr>
        <w:t>σημείωσε σημαντική μείωση της τάξης του 33,4</w:t>
      </w:r>
      <w:r w:rsidRPr="00E428AE">
        <w:rPr>
          <w:rFonts w:ascii="Verdana" w:hAnsi="Verdana"/>
          <w:sz w:val="18"/>
          <w:szCs w:val="18"/>
          <w:lang w:val="el-GR"/>
        </w:rPr>
        <w:t xml:space="preserve">% (από </w:t>
      </w:r>
      <w:r w:rsidR="002A21A5">
        <w:rPr>
          <w:rFonts w:ascii="Verdana" w:hAnsi="Verdana"/>
          <w:sz w:val="18"/>
          <w:szCs w:val="18"/>
          <w:lang w:val="el-GR"/>
        </w:rPr>
        <w:t>1</w:t>
      </w:r>
      <w:r w:rsidRPr="00E428AE">
        <w:rPr>
          <w:rFonts w:ascii="Verdana" w:hAnsi="Verdana"/>
          <w:sz w:val="18"/>
          <w:szCs w:val="18"/>
          <w:lang w:val="el-GR"/>
        </w:rPr>
        <w:t>.</w:t>
      </w:r>
      <w:r w:rsidR="002A21A5">
        <w:rPr>
          <w:rFonts w:ascii="Verdana" w:hAnsi="Verdana"/>
          <w:sz w:val="18"/>
          <w:szCs w:val="18"/>
          <w:lang w:val="el-GR"/>
        </w:rPr>
        <w:t>176</w:t>
      </w:r>
      <w:r w:rsidRPr="00E428AE">
        <w:rPr>
          <w:rFonts w:ascii="Verdana" w:hAnsi="Verdana"/>
          <w:sz w:val="18"/>
          <w:szCs w:val="18"/>
          <w:lang w:val="el-GR"/>
        </w:rPr>
        <w:t xml:space="preserve"> το 20</w:t>
      </w:r>
      <w:r w:rsidR="002A21A5">
        <w:rPr>
          <w:rFonts w:ascii="Verdana" w:hAnsi="Verdana"/>
          <w:sz w:val="18"/>
          <w:szCs w:val="18"/>
          <w:lang w:val="el-GR"/>
        </w:rPr>
        <w:t>2</w:t>
      </w:r>
      <w:r w:rsidRPr="00E428AE">
        <w:rPr>
          <w:rFonts w:ascii="Verdana" w:hAnsi="Verdana"/>
          <w:sz w:val="18"/>
          <w:szCs w:val="18"/>
          <w:lang w:val="el-GR"/>
        </w:rPr>
        <w:t xml:space="preserve">0 σε </w:t>
      </w:r>
      <w:r w:rsidR="002A21A5">
        <w:rPr>
          <w:rFonts w:ascii="Verdana" w:hAnsi="Verdana"/>
          <w:sz w:val="18"/>
          <w:szCs w:val="18"/>
          <w:lang w:val="el-GR"/>
        </w:rPr>
        <w:t>783</w:t>
      </w:r>
      <w:r w:rsidRPr="00E428AE">
        <w:rPr>
          <w:rFonts w:ascii="Verdana" w:hAnsi="Verdana"/>
          <w:sz w:val="18"/>
          <w:szCs w:val="18"/>
          <w:lang w:val="el-GR"/>
        </w:rPr>
        <w:t xml:space="preserve"> το 202</w:t>
      </w:r>
      <w:r w:rsidR="002A21A5">
        <w:rPr>
          <w:rFonts w:ascii="Verdana" w:hAnsi="Verdana"/>
          <w:sz w:val="18"/>
          <w:szCs w:val="18"/>
          <w:lang w:val="el-GR"/>
        </w:rPr>
        <w:t>3</w:t>
      </w:r>
      <w:r w:rsidRPr="00E428AE">
        <w:rPr>
          <w:rFonts w:ascii="Verdana" w:hAnsi="Verdana"/>
          <w:sz w:val="18"/>
          <w:szCs w:val="18"/>
          <w:lang w:val="el-GR"/>
        </w:rPr>
        <w:t xml:space="preserve">). Μείωση παρουσιάστηκε επίσης στον αριθμό των εκμεταλλεύσεων που εκτρέφουν όρνιθες </w:t>
      </w:r>
      <w:proofErr w:type="spellStart"/>
      <w:r w:rsidRPr="00E428AE">
        <w:rPr>
          <w:rFonts w:ascii="Verdana" w:hAnsi="Verdana"/>
          <w:sz w:val="18"/>
          <w:szCs w:val="18"/>
          <w:lang w:val="el-GR"/>
        </w:rPr>
        <w:t>αυγοπαραγωγής</w:t>
      </w:r>
      <w:proofErr w:type="spellEnd"/>
      <w:r w:rsidRPr="00E428AE">
        <w:rPr>
          <w:rFonts w:ascii="Verdana" w:hAnsi="Verdana"/>
          <w:sz w:val="18"/>
          <w:szCs w:val="18"/>
          <w:lang w:val="el-GR"/>
        </w:rPr>
        <w:t xml:space="preserve">, κατά </w:t>
      </w:r>
      <w:r w:rsidR="002A21A5">
        <w:rPr>
          <w:rFonts w:ascii="Verdana" w:hAnsi="Verdana"/>
          <w:sz w:val="18"/>
          <w:szCs w:val="18"/>
          <w:lang w:val="el-GR"/>
        </w:rPr>
        <w:t>23,1</w:t>
      </w:r>
      <w:r w:rsidRPr="00E428AE">
        <w:rPr>
          <w:rFonts w:ascii="Verdana" w:hAnsi="Verdana"/>
          <w:sz w:val="18"/>
          <w:szCs w:val="18"/>
          <w:lang w:val="el-GR"/>
        </w:rPr>
        <w:t xml:space="preserve">% (από </w:t>
      </w:r>
      <w:r w:rsidR="002A21A5">
        <w:rPr>
          <w:rFonts w:ascii="Verdana" w:hAnsi="Verdana"/>
          <w:sz w:val="18"/>
          <w:szCs w:val="18"/>
          <w:lang w:val="el-GR"/>
        </w:rPr>
        <w:t>6</w:t>
      </w:r>
      <w:r w:rsidRPr="00E428AE">
        <w:rPr>
          <w:rFonts w:ascii="Verdana" w:hAnsi="Verdana"/>
          <w:sz w:val="18"/>
          <w:szCs w:val="18"/>
          <w:lang w:val="el-GR"/>
        </w:rPr>
        <w:t>.</w:t>
      </w:r>
      <w:r w:rsidR="002A21A5">
        <w:rPr>
          <w:rFonts w:ascii="Verdana" w:hAnsi="Verdana"/>
          <w:sz w:val="18"/>
          <w:szCs w:val="18"/>
          <w:lang w:val="el-GR"/>
        </w:rPr>
        <w:t>192</w:t>
      </w:r>
      <w:r w:rsidRPr="00E428AE">
        <w:rPr>
          <w:rFonts w:ascii="Verdana" w:hAnsi="Verdana"/>
          <w:sz w:val="18"/>
          <w:szCs w:val="18"/>
          <w:lang w:val="el-GR"/>
        </w:rPr>
        <w:t xml:space="preserve"> το 20</w:t>
      </w:r>
      <w:r w:rsidR="002A21A5">
        <w:rPr>
          <w:rFonts w:ascii="Verdana" w:hAnsi="Verdana"/>
          <w:sz w:val="18"/>
          <w:szCs w:val="18"/>
          <w:lang w:val="el-GR"/>
        </w:rPr>
        <w:t>2</w:t>
      </w:r>
      <w:r w:rsidRPr="00E428AE">
        <w:rPr>
          <w:rFonts w:ascii="Verdana" w:hAnsi="Verdana"/>
          <w:sz w:val="18"/>
          <w:szCs w:val="18"/>
          <w:lang w:val="el-GR"/>
        </w:rPr>
        <w:t xml:space="preserve">0 σε </w:t>
      </w:r>
      <w:r w:rsidR="002A21A5">
        <w:rPr>
          <w:rFonts w:ascii="Verdana" w:hAnsi="Verdana"/>
          <w:sz w:val="18"/>
          <w:szCs w:val="18"/>
          <w:lang w:val="el-GR"/>
        </w:rPr>
        <w:t>4</w:t>
      </w:r>
      <w:r w:rsidRPr="00E428AE">
        <w:rPr>
          <w:rFonts w:ascii="Verdana" w:hAnsi="Verdana"/>
          <w:sz w:val="18"/>
          <w:szCs w:val="18"/>
          <w:lang w:val="el-GR"/>
        </w:rPr>
        <w:t>.</w:t>
      </w:r>
      <w:r w:rsidR="002A21A5">
        <w:rPr>
          <w:rFonts w:ascii="Verdana" w:hAnsi="Verdana"/>
          <w:sz w:val="18"/>
          <w:szCs w:val="18"/>
          <w:lang w:val="el-GR"/>
        </w:rPr>
        <w:t>763</w:t>
      </w:r>
      <w:r w:rsidRPr="00E428AE">
        <w:rPr>
          <w:rFonts w:ascii="Verdana" w:hAnsi="Verdana"/>
          <w:sz w:val="18"/>
          <w:szCs w:val="18"/>
          <w:lang w:val="el-GR"/>
        </w:rPr>
        <w:t xml:space="preserve"> το 202</w:t>
      </w:r>
      <w:r w:rsidR="002A21A5">
        <w:rPr>
          <w:rFonts w:ascii="Verdana" w:hAnsi="Verdana"/>
          <w:sz w:val="18"/>
          <w:szCs w:val="18"/>
          <w:lang w:val="el-GR"/>
        </w:rPr>
        <w:t>3</w:t>
      </w:r>
      <w:r w:rsidRPr="00E428AE">
        <w:rPr>
          <w:rFonts w:ascii="Verdana" w:hAnsi="Verdana"/>
          <w:sz w:val="18"/>
          <w:szCs w:val="18"/>
          <w:lang w:val="el-GR"/>
        </w:rPr>
        <w:t xml:space="preserve">). </w:t>
      </w:r>
    </w:p>
    <w:p w14:paraId="14ECFBE3" w14:textId="77777777" w:rsidR="00326800" w:rsidRPr="00DE0CF0" w:rsidRDefault="00326800" w:rsidP="00D966DB">
      <w:pPr>
        <w:jc w:val="both"/>
        <w:rPr>
          <w:rFonts w:ascii="Verdana" w:hAnsi="Verdana"/>
          <w:sz w:val="18"/>
          <w:szCs w:val="18"/>
          <w:lang w:val="el-GR"/>
        </w:rPr>
      </w:pPr>
    </w:p>
    <w:bookmarkEnd w:id="9"/>
    <w:p w14:paraId="7A879E6C" w14:textId="78C008D0" w:rsidR="00D966DB" w:rsidRPr="00326800" w:rsidRDefault="00D966DB" w:rsidP="00326800">
      <w:pPr>
        <w:rPr>
          <w:rFonts w:ascii="Verdana" w:hAnsi="Verdana"/>
          <w:sz w:val="18"/>
          <w:szCs w:val="18"/>
          <w:lang w:val="el-GR"/>
        </w:rPr>
      </w:pPr>
      <w:r w:rsidRPr="00E428AE">
        <w:rPr>
          <w:rFonts w:ascii="Verdana" w:hAnsi="Verdana"/>
          <w:b/>
          <w:sz w:val="18"/>
          <w:szCs w:val="18"/>
          <w:u w:val="single"/>
          <w:lang w:val="el-GR"/>
        </w:rPr>
        <w:t>Βιολογική Καλλιέργεια και Εκτροφή</w:t>
      </w:r>
    </w:p>
    <w:p w14:paraId="3FD57DE9" w14:textId="77777777" w:rsidR="00D966DB" w:rsidRPr="00E428AE" w:rsidRDefault="00D966DB" w:rsidP="00D966DB">
      <w:pPr>
        <w:ind w:left="324" w:hanging="324"/>
        <w:jc w:val="both"/>
        <w:rPr>
          <w:rFonts w:ascii="Verdana" w:hAnsi="Verdana"/>
          <w:sz w:val="18"/>
          <w:szCs w:val="18"/>
          <w:lang w:val="el-GR"/>
        </w:rPr>
      </w:pPr>
    </w:p>
    <w:p w14:paraId="7C4C240A" w14:textId="0AC99DAB" w:rsidR="00D966DB" w:rsidRPr="00E428AE" w:rsidRDefault="00D966DB" w:rsidP="00D966DB">
      <w:pPr>
        <w:jc w:val="both"/>
        <w:rPr>
          <w:rFonts w:ascii="Verdana" w:hAnsi="Verdana"/>
          <w:sz w:val="18"/>
          <w:szCs w:val="18"/>
          <w:lang w:val="el-GR"/>
        </w:rPr>
      </w:pPr>
      <w:bookmarkStart w:id="10" w:name="_Hlk212802546"/>
      <w:r w:rsidRPr="00E428AE">
        <w:rPr>
          <w:rFonts w:ascii="Verdana" w:hAnsi="Verdana"/>
          <w:sz w:val="18"/>
          <w:szCs w:val="18"/>
          <w:lang w:val="el-GR"/>
        </w:rPr>
        <w:t xml:space="preserve">Ο συνολικός αριθμός των γεωργικών και κτηνοτροφικών εκμεταλλεύσεων </w:t>
      </w:r>
      <w:r w:rsidR="006B6D58">
        <w:rPr>
          <w:rFonts w:ascii="Verdana" w:hAnsi="Verdana"/>
          <w:sz w:val="18"/>
          <w:szCs w:val="18"/>
          <w:lang w:val="el-GR"/>
        </w:rPr>
        <w:t>στις οποίες</w:t>
      </w:r>
      <w:r w:rsidR="00BB1E78">
        <w:rPr>
          <w:rFonts w:ascii="Verdana" w:hAnsi="Verdana"/>
          <w:sz w:val="18"/>
          <w:szCs w:val="18"/>
          <w:lang w:val="el-GR"/>
        </w:rPr>
        <w:t>,</w:t>
      </w:r>
      <w:r w:rsidR="006B6D58">
        <w:rPr>
          <w:rFonts w:ascii="Verdana" w:hAnsi="Verdana"/>
          <w:sz w:val="18"/>
          <w:szCs w:val="18"/>
          <w:lang w:val="el-GR"/>
        </w:rPr>
        <w:t xml:space="preserve"> </w:t>
      </w:r>
      <w:r w:rsidRPr="00E428AE">
        <w:rPr>
          <w:rFonts w:ascii="Verdana" w:hAnsi="Verdana"/>
          <w:sz w:val="18"/>
          <w:szCs w:val="18"/>
          <w:lang w:val="el-GR"/>
        </w:rPr>
        <w:t>είτε εφαρμό</w:t>
      </w:r>
      <w:r w:rsidR="006B6D58">
        <w:rPr>
          <w:rFonts w:ascii="Verdana" w:hAnsi="Verdana"/>
          <w:sz w:val="18"/>
          <w:szCs w:val="18"/>
          <w:lang w:val="el-GR"/>
        </w:rPr>
        <w:t xml:space="preserve">στηκαν </w:t>
      </w:r>
      <w:r w:rsidRPr="00E428AE">
        <w:rPr>
          <w:rFonts w:ascii="Verdana" w:hAnsi="Verdana"/>
          <w:sz w:val="18"/>
          <w:szCs w:val="18"/>
          <w:lang w:val="el-GR"/>
        </w:rPr>
        <w:t>και πιστοποι</w:t>
      </w:r>
      <w:r w:rsidR="006B6D58">
        <w:rPr>
          <w:rFonts w:ascii="Verdana" w:hAnsi="Verdana"/>
          <w:sz w:val="18"/>
          <w:szCs w:val="18"/>
          <w:lang w:val="el-GR"/>
        </w:rPr>
        <w:t xml:space="preserve">ήθηκαν </w:t>
      </w:r>
      <w:r w:rsidRPr="00E428AE">
        <w:rPr>
          <w:rFonts w:ascii="Verdana" w:hAnsi="Verdana"/>
          <w:sz w:val="18"/>
          <w:szCs w:val="18"/>
          <w:lang w:val="el-GR"/>
        </w:rPr>
        <w:t>είτε τελούν υπό μεταβατικό καθεστώς προς πιστοποίηση μέθοδοι βιολογικής καλλιέργειας και εκτροφής</w:t>
      </w:r>
      <w:r w:rsidR="006B6D58">
        <w:rPr>
          <w:rFonts w:ascii="Verdana" w:hAnsi="Verdana"/>
          <w:sz w:val="18"/>
          <w:szCs w:val="18"/>
          <w:lang w:val="el-GR"/>
        </w:rPr>
        <w:t>,</w:t>
      </w:r>
      <w:r w:rsidR="006E45BA">
        <w:rPr>
          <w:rFonts w:ascii="Verdana" w:hAnsi="Verdana"/>
          <w:sz w:val="18"/>
          <w:szCs w:val="18"/>
          <w:lang w:val="el-GR"/>
        </w:rPr>
        <w:t xml:space="preserve"> </w:t>
      </w:r>
      <w:r w:rsidR="006B6D58">
        <w:rPr>
          <w:rFonts w:ascii="Verdana" w:hAnsi="Verdana"/>
          <w:sz w:val="18"/>
          <w:szCs w:val="18"/>
          <w:lang w:val="el-GR"/>
        </w:rPr>
        <w:t>παρουσίασε μείωση κ</w:t>
      </w:r>
      <w:r w:rsidR="006E45BA">
        <w:rPr>
          <w:rFonts w:ascii="Verdana" w:hAnsi="Verdana"/>
          <w:sz w:val="18"/>
          <w:szCs w:val="18"/>
          <w:lang w:val="el-GR"/>
        </w:rPr>
        <w:t>ατά 4,2%</w:t>
      </w:r>
      <w:r w:rsidRPr="00E428AE">
        <w:rPr>
          <w:rFonts w:ascii="Verdana" w:hAnsi="Verdana"/>
          <w:sz w:val="18"/>
          <w:szCs w:val="18"/>
          <w:lang w:val="el-GR"/>
        </w:rPr>
        <w:t xml:space="preserve"> φτάνοντας τις 1.</w:t>
      </w:r>
      <w:r w:rsidR="006E45BA">
        <w:rPr>
          <w:rFonts w:ascii="Verdana" w:hAnsi="Verdana"/>
          <w:sz w:val="18"/>
          <w:szCs w:val="18"/>
          <w:lang w:val="el-GR"/>
        </w:rPr>
        <w:t>197</w:t>
      </w:r>
      <w:r w:rsidRPr="00E428AE">
        <w:rPr>
          <w:rFonts w:ascii="Verdana" w:hAnsi="Verdana"/>
          <w:sz w:val="18"/>
          <w:szCs w:val="18"/>
          <w:lang w:val="el-GR"/>
        </w:rPr>
        <w:t xml:space="preserve"> εκμεταλλεύσεις το 202</w:t>
      </w:r>
      <w:r w:rsidR="006E45BA">
        <w:rPr>
          <w:rFonts w:ascii="Verdana" w:hAnsi="Verdana"/>
          <w:sz w:val="18"/>
          <w:szCs w:val="18"/>
          <w:lang w:val="el-GR"/>
        </w:rPr>
        <w:t>3</w:t>
      </w:r>
      <w:r w:rsidRPr="00E428AE">
        <w:rPr>
          <w:rFonts w:ascii="Verdana" w:hAnsi="Verdana"/>
          <w:sz w:val="18"/>
          <w:szCs w:val="18"/>
          <w:lang w:val="el-GR"/>
        </w:rPr>
        <w:t xml:space="preserve"> από τις </w:t>
      </w:r>
      <w:r w:rsidR="00DF5BAF">
        <w:rPr>
          <w:rFonts w:ascii="Verdana" w:hAnsi="Verdana"/>
          <w:sz w:val="18"/>
          <w:szCs w:val="18"/>
          <w:lang w:val="el-GR"/>
        </w:rPr>
        <w:t>1.250</w:t>
      </w:r>
      <w:r w:rsidRPr="00E428AE">
        <w:rPr>
          <w:rFonts w:ascii="Verdana" w:hAnsi="Verdana"/>
          <w:sz w:val="18"/>
          <w:szCs w:val="18"/>
          <w:lang w:val="el-GR"/>
        </w:rPr>
        <w:t xml:space="preserve"> το 20</w:t>
      </w:r>
      <w:r w:rsidR="00DF5BAF">
        <w:rPr>
          <w:rFonts w:ascii="Verdana" w:hAnsi="Verdana"/>
          <w:sz w:val="18"/>
          <w:szCs w:val="18"/>
          <w:lang w:val="el-GR"/>
        </w:rPr>
        <w:t>2</w:t>
      </w:r>
      <w:r w:rsidRPr="00E428AE">
        <w:rPr>
          <w:rFonts w:ascii="Verdana" w:hAnsi="Verdana"/>
          <w:sz w:val="18"/>
          <w:szCs w:val="18"/>
          <w:lang w:val="el-GR"/>
        </w:rPr>
        <w:t>0.</w:t>
      </w:r>
    </w:p>
    <w:p w14:paraId="100F9004" w14:textId="77777777" w:rsidR="00D966DB" w:rsidRPr="00E428AE" w:rsidRDefault="00D966DB" w:rsidP="00D966DB">
      <w:pPr>
        <w:jc w:val="both"/>
        <w:rPr>
          <w:rFonts w:ascii="Verdana" w:hAnsi="Verdana"/>
          <w:sz w:val="18"/>
          <w:szCs w:val="18"/>
          <w:lang w:val="el-GR"/>
        </w:rPr>
      </w:pPr>
    </w:p>
    <w:p w14:paraId="4014B103" w14:textId="5F2EC7FE" w:rsidR="00D966DB" w:rsidRPr="00E428AE" w:rsidRDefault="00D966DB" w:rsidP="00D966DB">
      <w:pPr>
        <w:jc w:val="both"/>
        <w:rPr>
          <w:rFonts w:ascii="Verdana" w:hAnsi="Verdana"/>
          <w:sz w:val="18"/>
          <w:szCs w:val="18"/>
          <w:lang w:val="el-GR"/>
        </w:rPr>
      </w:pPr>
      <w:r w:rsidRPr="00E428AE">
        <w:rPr>
          <w:rFonts w:ascii="Verdana" w:hAnsi="Verdana"/>
          <w:sz w:val="18"/>
          <w:szCs w:val="18"/>
          <w:lang w:val="el-GR"/>
        </w:rPr>
        <w:t>Η συνολική έκταση των βιολογικών καλλιεργειών το 202</w:t>
      </w:r>
      <w:r w:rsidR="00DF5BAF">
        <w:rPr>
          <w:rFonts w:ascii="Verdana" w:hAnsi="Verdana"/>
          <w:sz w:val="18"/>
          <w:szCs w:val="18"/>
          <w:lang w:val="el-GR"/>
        </w:rPr>
        <w:t>3</w:t>
      </w:r>
      <w:r w:rsidRPr="00E428AE">
        <w:rPr>
          <w:rFonts w:ascii="Verdana" w:hAnsi="Verdana"/>
          <w:sz w:val="18"/>
          <w:szCs w:val="18"/>
          <w:lang w:val="el-GR"/>
        </w:rPr>
        <w:t xml:space="preserve"> αυξήθηκε κατά </w:t>
      </w:r>
      <w:r w:rsidR="00DF5BAF">
        <w:rPr>
          <w:rFonts w:ascii="Verdana" w:hAnsi="Verdana"/>
          <w:sz w:val="18"/>
          <w:szCs w:val="18"/>
          <w:lang w:val="el-GR"/>
        </w:rPr>
        <w:t>30,2</w:t>
      </w:r>
      <w:r w:rsidRPr="00E428AE">
        <w:rPr>
          <w:rFonts w:ascii="Verdana" w:hAnsi="Verdana"/>
          <w:sz w:val="18"/>
          <w:szCs w:val="18"/>
          <w:lang w:val="el-GR"/>
        </w:rPr>
        <w:t>%</w:t>
      </w:r>
      <w:r w:rsidR="006B6D58">
        <w:rPr>
          <w:rFonts w:ascii="Verdana" w:hAnsi="Verdana"/>
          <w:sz w:val="18"/>
          <w:szCs w:val="18"/>
          <w:lang w:val="el-GR"/>
        </w:rPr>
        <w:t xml:space="preserve"> και </w:t>
      </w:r>
      <w:r w:rsidRPr="00E428AE">
        <w:rPr>
          <w:rFonts w:ascii="Verdana" w:hAnsi="Verdana"/>
          <w:sz w:val="18"/>
          <w:szCs w:val="18"/>
          <w:lang w:val="el-GR"/>
        </w:rPr>
        <w:t xml:space="preserve">από </w:t>
      </w:r>
      <w:r w:rsidR="00DF5BAF" w:rsidRPr="00E428AE">
        <w:rPr>
          <w:rFonts w:ascii="Verdana" w:hAnsi="Verdana"/>
          <w:sz w:val="18"/>
          <w:szCs w:val="18"/>
          <w:lang w:val="el-GR"/>
        </w:rPr>
        <w:t xml:space="preserve">54.650 </w:t>
      </w:r>
      <w:r w:rsidRPr="00E428AE">
        <w:rPr>
          <w:rFonts w:ascii="Verdana" w:hAnsi="Verdana"/>
          <w:sz w:val="18"/>
          <w:szCs w:val="18"/>
          <w:lang w:val="el-GR"/>
        </w:rPr>
        <w:t>δεκάρια το 20</w:t>
      </w:r>
      <w:r w:rsidR="00DF5BAF">
        <w:rPr>
          <w:rFonts w:ascii="Verdana" w:hAnsi="Verdana"/>
          <w:sz w:val="18"/>
          <w:szCs w:val="18"/>
          <w:lang w:val="el-GR"/>
        </w:rPr>
        <w:t>2</w:t>
      </w:r>
      <w:r w:rsidRPr="00E428AE">
        <w:rPr>
          <w:rFonts w:ascii="Verdana" w:hAnsi="Verdana"/>
          <w:sz w:val="18"/>
          <w:szCs w:val="18"/>
          <w:lang w:val="el-GR"/>
        </w:rPr>
        <w:t xml:space="preserve">0 </w:t>
      </w:r>
      <w:r w:rsidR="006B6D58">
        <w:rPr>
          <w:rFonts w:ascii="Verdana" w:hAnsi="Verdana"/>
          <w:sz w:val="18"/>
          <w:szCs w:val="18"/>
          <w:lang w:val="el-GR"/>
        </w:rPr>
        <w:t xml:space="preserve">έφτασε </w:t>
      </w:r>
      <w:r w:rsidRPr="00E428AE">
        <w:rPr>
          <w:rFonts w:ascii="Verdana" w:hAnsi="Verdana"/>
          <w:sz w:val="18"/>
          <w:szCs w:val="18"/>
          <w:lang w:val="el-GR"/>
        </w:rPr>
        <w:t xml:space="preserve">σε </w:t>
      </w:r>
      <w:r w:rsidR="00DF5BAF">
        <w:rPr>
          <w:rFonts w:ascii="Verdana" w:hAnsi="Verdana"/>
          <w:sz w:val="18"/>
          <w:szCs w:val="18"/>
          <w:lang w:val="el-GR"/>
        </w:rPr>
        <w:t>71</w:t>
      </w:r>
      <w:r w:rsidRPr="00E428AE">
        <w:rPr>
          <w:rFonts w:ascii="Verdana" w:hAnsi="Verdana"/>
          <w:sz w:val="18"/>
          <w:szCs w:val="18"/>
          <w:lang w:val="el-GR"/>
        </w:rPr>
        <w:t>.</w:t>
      </w:r>
      <w:r w:rsidR="00DF5BAF">
        <w:rPr>
          <w:rFonts w:ascii="Verdana" w:hAnsi="Verdana"/>
          <w:sz w:val="18"/>
          <w:szCs w:val="18"/>
          <w:lang w:val="el-GR"/>
        </w:rPr>
        <w:t>145</w:t>
      </w:r>
      <w:r w:rsidRPr="00E428AE">
        <w:rPr>
          <w:rFonts w:ascii="Verdana" w:hAnsi="Verdana"/>
          <w:sz w:val="18"/>
          <w:szCs w:val="18"/>
          <w:lang w:val="el-GR"/>
        </w:rPr>
        <w:t xml:space="preserve"> δεκάρια το 202</w:t>
      </w:r>
      <w:r w:rsidR="00DF5BAF">
        <w:rPr>
          <w:rFonts w:ascii="Verdana" w:hAnsi="Verdana"/>
          <w:sz w:val="18"/>
          <w:szCs w:val="18"/>
          <w:lang w:val="el-GR"/>
        </w:rPr>
        <w:t>3</w:t>
      </w:r>
      <w:r w:rsidR="006B6D58">
        <w:rPr>
          <w:rFonts w:ascii="Verdana" w:hAnsi="Verdana"/>
          <w:sz w:val="18"/>
          <w:szCs w:val="18"/>
          <w:lang w:val="el-GR"/>
        </w:rPr>
        <w:t xml:space="preserve">, γεγονός που υποδηλώνει επέκταση των βιολογικών πρακτικών σε επίπεδο καλλιεργούμενων εκτάσεων, παρά τη μικρή μείωση </w:t>
      </w:r>
      <w:r w:rsidR="00BB1E78">
        <w:rPr>
          <w:rFonts w:ascii="Verdana" w:hAnsi="Verdana"/>
          <w:sz w:val="18"/>
          <w:szCs w:val="18"/>
          <w:lang w:val="el-GR"/>
        </w:rPr>
        <w:t>στον</w:t>
      </w:r>
      <w:r w:rsidR="006B6D58">
        <w:rPr>
          <w:rFonts w:ascii="Verdana" w:hAnsi="Verdana"/>
          <w:sz w:val="18"/>
          <w:szCs w:val="18"/>
          <w:lang w:val="el-GR"/>
        </w:rPr>
        <w:t xml:space="preserve"> αριθμ</w:t>
      </w:r>
      <w:r w:rsidR="00BB1E78">
        <w:rPr>
          <w:rFonts w:ascii="Verdana" w:hAnsi="Verdana"/>
          <w:sz w:val="18"/>
          <w:szCs w:val="18"/>
          <w:lang w:val="el-GR"/>
        </w:rPr>
        <w:t>ό</w:t>
      </w:r>
      <w:r w:rsidR="006B6D58">
        <w:rPr>
          <w:rFonts w:ascii="Verdana" w:hAnsi="Verdana"/>
          <w:sz w:val="18"/>
          <w:szCs w:val="18"/>
          <w:lang w:val="el-GR"/>
        </w:rPr>
        <w:t xml:space="preserve"> των εκμεταλλεύσεων</w:t>
      </w:r>
      <w:r w:rsidRPr="00E428AE">
        <w:rPr>
          <w:rFonts w:ascii="Verdana" w:hAnsi="Verdana"/>
          <w:sz w:val="18"/>
          <w:szCs w:val="18"/>
          <w:lang w:val="el-GR"/>
        </w:rPr>
        <w:t xml:space="preserve">. </w:t>
      </w:r>
    </w:p>
    <w:bookmarkEnd w:id="10"/>
    <w:p w14:paraId="74D78578" w14:textId="77777777" w:rsidR="00D966DB" w:rsidRPr="00E428AE" w:rsidRDefault="00D966DB" w:rsidP="00D966DB">
      <w:pPr>
        <w:jc w:val="both"/>
        <w:rPr>
          <w:rFonts w:ascii="Verdana" w:hAnsi="Verdana" w:cs="Calibri"/>
          <w:sz w:val="18"/>
          <w:szCs w:val="18"/>
          <w:lang w:val="el-GR"/>
        </w:rPr>
      </w:pPr>
    </w:p>
    <w:p w14:paraId="0B285471" w14:textId="77777777" w:rsidR="00D966DB" w:rsidRPr="00E428AE" w:rsidRDefault="00D966DB" w:rsidP="00D966DB">
      <w:pPr>
        <w:ind w:left="324" w:hanging="324"/>
        <w:jc w:val="both"/>
        <w:rPr>
          <w:rFonts w:ascii="Verdana" w:hAnsi="Verdana"/>
          <w:b/>
          <w:sz w:val="18"/>
          <w:szCs w:val="18"/>
          <w:u w:val="single"/>
          <w:lang w:val="el-GR"/>
        </w:rPr>
      </w:pPr>
      <w:r w:rsidRPr="00E428AE">
        <w:rPr>
          <w:rFonts w:ascii="Verdana" w:hAnsi="Verdana"/>
          <w:b/>
          <w:sz w:val="18"/>
          <w:szCs w:val="18"/>
          <w:u w:val="single"/>
          <w:lang w:val="el-GR"/>
        </w:rPr>
        <w:t>Απασχόληση</w:t>
      </w:r>
    </w:p>
    <w:p w14:paraId="253C32AB" w14:textId="77777777" w:rsidR="00D966DB" w:rsidRPr="00E428AE" w:rsidRDefault="00D966DB" w:rsidP="00D966DB">
      <w:pPr>
        <w:ind w:left="324" w:hanging="324"/>
        <w:jc w:val="both"/>
        <w:rPr>
          <w:rFonts w:ascii="Verdana" w:hAnsi="Verdana"/>
          <w:b/>
          <w:sz w:val="18"/>
          <w:szCs w:val="18"/>
          <w:u w:val="single"/>
          <w:lang w:val="el-GR"/>
        </w:rPr>
      </w:pPr>
    </w:p>
    <w:p w14:paraId="117085C4" w14:textId="5780CFE4" w:rsidR="00D966DB" w:rsidRPr="00E428AE" w:rsidRDefault="00D966DB" w:rsidP="00D966DB">
      <w:pPr>
        <w:jc w:val="both"/>
        <w:rPr>
          <w:rFonts w:ascii="Verdana" w:hAnsi="Verdana"/>
          <w:sz w:val="18"/>
          <w:szCs w:val="18"/>
          <w:lang w:val="el-GR"/>
        </w:rPr>
      </w:pPr>
      <w:bookmarkStart w:id="11" w:name="_Hlk212802785"/>
      <w:r w:rsidRPr="00E428AE">
        <w:rPr>
          <w:rFonts w:ascii="Verdana" w:hAnsi="Verdana"/>
          <w:sz w:val="18"/>
          <w:szCs w:val="18"/>
          <w:lang w:val="el-GR"/>
        </w:rPr>
        <w:t xml:space="preserve">Με βάση τα αποτελέσματα της </w:t>
      </w:r>
      <w:r w:rsidR="004C4358">
        <w:rPr>
          <w:rFonts w:ascii="Verdana" w:hAnsi="Verdana"/>
          <w:sz w:val="18"/>
          <w:szCs w:val="18"/>
          <w:lang w:val="el-GR"/>
        </w:rPr>
        <w:t xml:space="preserve">Έρευνας </w:t>
      </w:r>
      <w:r w:rsidRPr="00E428AE">
        <w:rPr>
          <w:rFonts w:ascii="Verdana" w:hAnsi="Verdana"/>
          <w:sz w:val="18"/>
          <w:szCs w:val="18"/>
          <w:lang w:val="el-GR"/>
        </w:rPr>
        <w:t>του 202</w:t>
      </w:r>
      <w:r w:rsidR="004C4358">
        <w:rPr>
          <w:rFonts w:ascii="Verdana" w:hAnsi="Verdana"/>
          <w:sz w:val="18"/>
          <w:szCs w:val="18"/>
          <w:lang w:val="el-GR"/>
        </w:rPr>
        <w:t>3</w:t>
      </w:r>
      <w:r w:rsidRPr="00E428AE">
        <w:rPr>
          <w:rFonts w:ascii="Verdana" w:hAnsi="Verdana"/>
          <w:sz w:val="18"/>
          <w:szCs w:val="18"/>
          <w:lang w:val="el-GR"/>
        </w:rPr>
        <w:t>, προκύπτει ότι ο συνολικός όγκος εργασίας στις γεωργοκτηνοτροφικές εκμεταλλεύσεις το 202</w:t>
      </w:r>
      <w:r w:rsidR="004C4358">
        <w:rPr>
          <w:rFonts w:ascii="Verdana" w:hAnsi="Verdana"/>
          <w:sz w:val="18"/>
          <w:szCs w:val="18"/>
          <w:lang w:val="el-GR"/>
        </w:rPr>
        <w:t>3</w:t>
      </w:r>
      <w:r w:rsidRPr="00E428AE">
        <w:rPr>
          <w:rFonts w:ascii="Verdana" w:hAnsi="Verdana"/>
          <w:sz w:val="18"/>
          <w:szCs w:val="18"/>
          <w:lang w:val="el-GR"/>
        </w:rPr>
        <w:t xml:space="preserve"> έφτασε τις </w:t>
      </w:r>
      <w:r w:rsidR="004C4358" w:rsidRPr="004C4358">
        <w:rPr>
          <w:rFonts w:ascii="Verdana" w:hAnsi="Verdana"/>
          <w:sz w:val="18"/>
          <w:szCs w:val="18"/>
          <w:lang w:val="el-GR"/>
        </w:rPr>
        <w:t>4</w:t>
      </w:r>
      <w:r w:rsidR="004C4358">
        <w:rPr>
          <w:rFonts w:ascii="Verdana" w:hAnsi="Verdana"/>
          <w:sz w:val="18"/>
          <w:szCs w:val="18"/>
          <w:lang w:val="el-GR"/>
        </w:rPr>
        <w:t>.</w:t>
      </w:r>
      <w:r w:rsidR="004C4358" w:rsidRPr="004C4358">
        <w:rPr>
          <w:rFonts w:ascii="Verdana" w:hAnsi="Verdana"/>
          <w:sz w:val="18"/>
          <w:szCs w:val="18"/>
          <w:lang w:val="el-GR"/>
        </w:rPr>
        <w:t>560</w:t>
      </w:r>
      <w:r w:rsidR="004C4358">
        <w:rPr>
          <w:rFonts w:ascii="Verdana" w:hAnsi="Verdana"/>
          <w:sz w:val="18"/>
          <w:szCs w:val="18"/>
          <w:lang w:val="el-GR"/>
        </w:rPr>
        <w:t>.</w:t>
      </w:r>
      <w:r w:rsidR="004C4358" w:rsidRPr="004C4358">
        <w:rPr>
          <w:rFonts w:ascii="Verdana" w:hAnsi="Verdana"/>
          <w:sz w:val="18"/>
          <w:szCs w:val="18"/>
          <w:lang w:val="el-GR"/>
        </w:rPr>
        <w:t>686</w:t>
      </w:r>
      <w:r w:rsidRPr="00E428AE">
        <w:rPr>
          <w:rFonts w:ascii="Verdana" w:hAnsi="Verdana"/>
          <w:sz w:val="18"/>
          <w:szCs w:val="18"/>
          <w:lang w:val="el-GR"/>
        </w:rPr>
        <w:t xml:space="preserve"> εργάσιμες ημέρες που ισοδυναμεί σε 1</w:t>
      </w:r>
      <w:r w:rsidR="004C4358">
        <w:rPr>
          <w:rFonts w:ascii="Verdana" w:hAnsi="Verdana"/>
          <w:sz w:val="18"/>
          <w:szCs w:val="18"/>
          <w:lang w:val="el-GR"/>
        </w:rPr>
        <w:t>8</w:t>
      </w:r>
      <w:r w:rsidRPr="00E428AE">
        <w:rPr>
          <w:rFonts w:ascii="Verdana" w:hAnsi="Verdana"/>
          <w:sz w:val="18"/>
          <w:szCs w:val="18"/>
          <w:lang w:val="el-GR"/>
        </w:rPr>
        <w:t>.</w:t>
      </w:r>
      <w:r w:rsidR="004C4358">
        <w:rPr>
          <w:rFonts w:ascii="Verdana" w:hAnsi="Verdana"/>
          <w:sz w:val="18"/>
          <w:szCs w:val="18"/>
          <w:lang w:val="el-GR"/>
        </w:rPr>
        <w:t>615</w:t>
      </w:r>
      <w:r w:rsidRPr="00E428AE">
        <w:rPr>
          <w:rFonts w:ascii="Verdana" w:hAnsi="Verdana"/>
          <w:sz w:val="18"/>
          <w:szCs w:val="18"/>
          <w:lang w:val="el-GR"/>
        </w:rPr>
        <w:t xml:space="preserve"> πλήρως απασχολούμενα άτομα, σημειώνοντας μείωση </w:t>
      </w:r>
      <w:r w:rsidR="004C4358">
        <w:rPr>
          <w:rFonts w:ascii="Verdana" w:hAnsi="Verdana"/>
          <w:sz w:val="18"/>
          <w:szCs w:val="18"/>
          <w:lang w:val="el-GR"/>
        </w:rPr>
        <w:t>2,7</w:t>
      </w:r>
      <w:r w:rsidRPr="00E428AE">
        <w:rPr>
          <w:rFonts w:ascii="Verdana" w:hAnsi="Verdana"/>
          <w:sz w:val="18"/>
          <w:szCs w:val="18"/>
          <w:lang w:val="el-GR"/>
        </w:rPr>
        <w:t>% σε σχέση με το 20</w:t>
      </w:r>
      <w:r w:rsidR="004C4358">
        <w:rPr>
          <w:rFonts w:ascii="Verdana" w:hAnsi="Verdana"/>
          <w:sz w:val="18"/>
          <w:szCs w:val="18"/>
          <w:lang w:val="el-GR"/>
        </w:rPr>
        <w:t>2</w:t>
      </w:r>
      <w:r w:rsidRPr="00E428AE">
        <w:rPr>
          <w:rFonts w:ascii="Verdana" w:hAnsi="Verdana"/>
          <w:sz w:val="18"/>
          <w:szCs w:val="18"/>
          <w:lang w:val="el-GR"/>
        </w:rPr>
        <w:t xml:space="preserve">0. </w:t>
      </w:r>
      <w:r w:rsidR="00BB1E78">
        <w:rPr>
          <w:rFonts w:ascii="Verdana" w:hAnsi="Verdana"/>
          <w:sz w:val="18"/>
          <w:szCs w:val="18"/>
          <w:lang w:val="el-GR"/>
        </w:rPr>
        <w:t xml:space="preserve">Οι ημέρες εργασίας </w:t>
      </w:r>
      <w:r w:rsidRPr="00E428AE">
        <w:rPr>
          <w:rFonts w:ascii="Verdana" w:hAnsi="Verdana"/>
          <w:sz w:val="18"/>
          <w:szCs w:val="18"/>
          <w:lang w:val="el-GR"/>
        </w:rPr>
        <w:t>των κατόχων και μελών των νοικοκυριών τους μειώθηκ</w:t>
      </w:r>
      <w:r w:rsidR="00BB1E78">
        <w:rPr>
          <w:rFonts w:ascii="Verdana" w:hAnsi="Verdana"/>
          <w:sz w:val="18"/>
          <w:szCs w:val="18"/>
          <w:lang w:val="el-GR"/>
        </w:rPr>
        <w:t>αν</w:t>
      </w:r>
      <w:r w:rsidRPr="00E428AE">
        <w:rPr>
          <w:rFonts w:ascii="Verdana" w:hAnsi="Verdana"/>
          <w:sz w:val="18"/>
          <w:szCs w:val="18"/>
          <w:lang w:val="el-GR"/>
        </w:rPr>
        <w:t xml:space="preserve"> κατά </w:t>
      </w:r>
      <w:r w:rsidR="004C4358">
        <w:rPr>
          <w:rFonts w:ascii="Verdana" w:hAnsi="Verdana"/>
          <w:sz w:val="18"/>
          <w:szCs w:val="18"/>
          <w:lang w:val="el-GR"/>
        </w:rPr>
        <w:t>13,8</w:t>
      </w:r>
      <w:r w:rsidR="00C47BD2">
        <w:rPr>
          <w:rFonts w:ascii="Verdana" w:hAnsi="Verdana"/>
          <w:sz w:val="18"/>
          <w:szCs w:val="18"/>
          <w:lang w:val="el-GR"/>
        </w:rPr>
        <w:t>%</w:t>
      </w:r>
      <w:r w:rsidR="004C4358">
        <w:rPr>
          <w:rFonts w:ascii="Verdana" w:hAnsi="Verdana"/>
          <w:sz w:val="18"/>
          <w:szCs w:val="18"/>
          <w:lang w:val="el-GR"/>
        </w:rPr>
        <w:t>,</w:t>
      </w:r>
      <w:r w:rsidRPr="00E428AE">
        <w:rPr>
          <w:rFonts w:ascii="Verdana" w:hAnsi="Verdana"/>
          <w:sz w:val="18"/>
          <w:szCs w:val="18"/>
          <w:lang w:val="el-GR"/>
        </w:rPr>
        <w:t xml:space="preserve"> ενώ </w:t>
      </w:r>
      <w:r w:rsidR="00BB1E78">
        <w:rPr>
          <w:rFonts w:ascii="Verdana" w:hAnsi="Verdana"/>
          <w:sz w:val="18"/>
          <w:szCs w:val="18"/>
          <w:lang w:val="el-GR"/>
        </w:rPr>
        <w:t>αυξήθηκαν</w:t>
      </w:r>
      <w:r w:rsidRPr="00E428AE">
        <w:rPr>
          <w:rFonts w:ascii="Verdana" w:hAnsi="Verdana"/>
          <w:sz w:val="18"/>
          <w:szCs w:val="18"/>
          <w:lang w:val="el-GR"/>
        </w:rPr>
        <w:t xml:space="preserve"> των μόνιμων εργατών κατά 3</w:t>
      </w:r>
      <w:r w:rsidR="004C4358">
        <w:rPr>
          <w:rFonts w:ascii="Verdana" w:hAnsi="Verdana"/>
          <w:sz w:val="18"/>
          <w:szCs w:val="18"/>
          <w:lang w:val="el-GR"/>
        </w:rPr>
        <w:t>5,9</w:t>
      </w:r>
      <w:r w:rsidR="004C4358" w:rsidRPr="00E428AE">
        <w:rPr>
          <w:rFonts w:ascii="Verdana" w:hAnsi="Verdana"/>
          <w:sz w:val="18"/>
          <w:szCs w:val="18"/>
          <w:lang w:val="el-GR"/>
        </w:rPr>
        <w:t xml:space="preserve">% και των εποχικών εργατών κατά </w:t>
      </w:r>
      <w:r w:rsidR="004C4358">
        <w:rPr>
          <w:rFonts w:ascii="Verdana" w:hAnsi="Verdana"/>
          <w:sz w:val="18"/>
          <w:szCs w:val="18"/>
          <w:lang w:val="el-GR"/>
        </w:rPr>
        <w:t>6,4</w:t>
      </w:r>
      <w:r w:rsidR="004C4358" w:rsidRPr="00E428AE">
        <w:rPr>
          <w:rFonts w:ascii="Verdana" w:hAnsi="Verdana"/>
          <w:sz w:val="18"/>
          <w:szCs w:val="18"/>
          <w:lang w:val="el-GR"/>
        </w:rPr>
        <w:t>%</w:t>
      </w:r>
      <w:r w:rsidR="004C4358">
        <w:rPr>
          <w:rFonts w:ascii="Verdana" w:hAnsi="Verdana"/>
          <w:sz w:val="18"/>
          <w:szCs w:val="18"/>
          <w:lang w:val="el-GR"/>
        </w:rPr>
        <w:t xml:space="preserve"> </w:t>
      </w:r>
      <w:r w:rsidRPr="00E428AE">
        <w:rPr>
          <w:rFonts w:ascii="Verdana" w:hAnsi="Verdana"/>
          <w:sz w:val="18"/>
          <w:szCs w:val="18"/>
          <w:lang w:val="el-GR"/>
        </w:rPr>
        <w:t>σε σχέση με το 20</w:t>
      </w:r>
      <w:r w:rsidR="004C4358">
        <w:rPr>
          <w:rFonts w:ascii="Verdana" w:hAnsi="Verdana"/>
          <w:sz w:val="18"/>
          <w:szCs w:val="18"/>
          <w:lang w:val="el-GR"/>
        </w:rPr>
        <w:t>2</w:t>
      </w:r>
      <w:r w:rsidRPr="00E428AE">
        <w:rPr>
          <w:rFonts w:ascii="Verdana" w:hAnsi="Verdana"/>
          <w:sz w:val="18"/>
          <w:szCs w:val="18"/>
          <w:lang w:val="el-GR"/>
        </w:rPr>
        <w:t xml:space="preserve">0. </w:t>
      </w:r>
    </w:p>
    <w:p w14:paraId="24C87A29" w14:textId="77777777" w:rsidR="00D966DB" w:rsidRPr="00E428AE" w:rsidRDefault="00D966DB" w:rsidP="00D966DB">
      <w:pPr>
        <w:jc w:val="both"/>
        <w:rPr>
          <w:rFonts w:ascii="Verdana" w:hAnsi="Verdana"/>
          <w:sz w:val="18"/>
          <w:szCs w:val="18"/>
          <w:lang w:val="el-GR"/>
        </w:rPr>
      </w:pPr>
    </w:p>
    <w:p w14:paraId="28185DB1" w14:textId="5A9D8BF5" w:rsidR="00D966DB" w:rsidRDefault="00D966DB" w:rsidP="00D966DB">
      <w:pPr>
        <w:jc w:val="both"/>
        <w:rPr>
          <w:rFonts w:ascii="Verdana" w:hAnsi="Verdana"/>
          <w:sz w:val="18"/>
          <w:szCs w:val="18"/>
          <w:lang w:val="el-GR"/>
        </w:rPr>
      </w:pPr>
      <w:r w:rsidRPr="00E428AE">
        <w:rPr>
          <w:rFonts w:ascii="Verdana" w:hAnsi="Verdana"/>
          <w:sz w:val="18"/>
          <w:szCs w:val="18"/>
          <w:lang w:val="el-GR"/>
        </w:rPr>
        <w:t>Από τον συνολικό αριθμό απασχολουμένων στις εκμεταλλεύσεις (</w:t>
      </w:r>
      <w:r w:rsidR="004C4358">
        <w:rPr>
          <w:rFonts w:ascii="Verdana" w:hAnsi="Verdana"/>
          <w:sz w:val="18"/>
          <w:szCs w:val="18"/>
          <w:lang w:val="el-GR"/>
        </w:rPr>
        <w:t>93</w:t>
      </w:r>
      <w:r w:rsidRPr="00E428AE">
        <w:rPr>
          <w:rFonts w:ascii="Verdana" w:hAnsi="Verdana"/>
          <w:sz w:val="18"/>
          <w:szCs w:val="18"/>
          <w:lang w:val="el-GR"/>
        </w:rPr>
        <w:t>.</w:t>
      </w:r>
      <w:r w:rsidR="004C4358">
        <w:rPr>
          <w:rFonts w:ascii="Verdana" w:hAnsi="Verdana"/>
          <w:sz w:val="18"/>
          <w:szCs w:val="18"/>
          <w:lang w:val="el-GR"/>
        </w:rPr>
        <w:t>830</w:t>
      </w:r>
      <w:r w:rsidRPr="00E428AE">
        <w:rPr>
          <w:rFonts w:ascii="Verdana" w:hAnsi="Verdana"/>
          <w:sz w:val="18"/>
          <w:szCs w:val="18"/>
          <w:lang w:val="el-GR"/>
        </w:rPr>
        <w:t xml:space="preserve"> άτομα), το 6</w:t>
      </w:r>
      <w:r w:rsidR="00C47BD2" w:rsidRPr="00C47BD2">
        <w:rPr>
          <w:rFonts w:ascii="Verdana" w:hAnsi="Verdana"/>
          <w:sz w:val="18"/>
          <w:szCs w:val="18"/>
          <w:lang w:val="el-GR"/>
        </w:rPr>
        <w:t>9</w:t>
      </w:r>
      <w:r w:rsidRPr="00E428AE">
        <w:rPr>
          <w:rFonts w:ascii="Verdana" w:hAnsi="Verdana"/>
          <w:sz w:val="18"/>
          <w:szCs w:val="18"/>
          <w:lang w:val="el-GR"/>
        </w:rPr>
        <w:t>,</w:t>
      </w:r>
      <w:r w:rsidR="00C47BD2" w:rsidRPr="00C47BD2">
        <w:rPr>
          <w:rFonts w:ascii="Verdana" w:hAnsi="Verdana"/>
          <w:sz w:val="18"/>
          <w:szCs w:val="18"/>
          <w:lang w:val="el-GR"/>
        </w:rPr>
        <w:t>6</w:t>
      </w:r>
      <w:r w:rsidRPr="00E428AE">
        <w:rPr>
          <w:rFonts w:ascii="Verdana" w:hAnsi="Verdana"/>
          <w:sz w:val="18"/>
          <w:szCs w:val="18"/>
          <w:lang w:val="el-GR"/>
        </w:rPr>
        <w:t>% ήταν άνδρες (Πίνακας 2). Σε σχέση με το 20</w:t>
      </w:r>
      <w:r w:rsidR="00C47BD2" w:rsidRPr="00C47BD2">
        <w:rPr>
          <w:rFonts w:ascii="Verdana" w:hAnsi="Verdana"/>
          <w:sz w:val="18"/>
          <w:szCs w:val="18"/>
          <w:lang w:val="el-GR"/>
        </w:rPr>
        <w:t>2</w:t>
      </w:r>
      <w:r w:rsidRPr="00E428AE">
        <w:rPr>
          <w:rFonts w:ascii="Verdana" w:hAnsi="Verdana"/>
          <w:sz w:val="18"/>
          <w:szCs w:val="18"/>
          <w:lang w:val="el-GR"/>
        </w:rPr>
        <w:t xml:space="preserve">0, </w:t>
      </w:r>
      <w:r w:rsidR="00822E20">
        <w:rPr>
          <w:rFonts w:ascii="Verdana" w:hAnsi="Verdana"/>
          <w:sz w:val="18"/>
          <w:szCs w:val="18"/>
          <w:lang w:val="el-GR"/>
        </w:rPr>
        <w:t>ο</w:t>
      </w:r>
      <w:r w:rsidRPr="00E428AE">
        <w:rPr>
          <w:rFonts w:ascii="Verdana" w:hAnsi="Verdana"/>
          <w:sz w:val="18"/>
          <w:szCs w:val="18"/>
          <w:lang w:val="el-GR"/>
        </w:rPr>
        <w:t xml:space="preserve"> αριθμός των απασχολο</w:t>
      </w:r>
      <w:r w:rsidR="00BB1E78">
        <w:rPr>
          <w:rFonts w:ascii="Verdana" w:hAnsi="Verdana"/>
          <w:sz w:val="18"/>
          <w:szCs w:val="18"/>
          <w:lang w:val="el-GR"/>
        </w:rPr>
        <w:t>ύ</w:t>
      </w:r>
      <w:r w:rsidRPr="00E428AE">
        <w:rPr>
          <w:rFonts w:ascii="Verdana" w:hAnsi="Verdana"/>
          <w:sz w:val="18"/>
          <w:szCs w:val="18"/>
          <w:lang w:val="el-GR"/>
        </w:rPr>
        <w:t>μ</w:t>
      </w:r>
      <w:r w:rsidR="00BB1E78">
        <w:rPr>
          <w:rFonts w:ascii="Verdana" w:hAnsi="Verdana"/>
          <w:sz w:val="18"/>
          <w:szCs w:val="18"/>
          <w:lang w:val="el-GR"/>
        </w:rPr>
        <w:t>ε</w:t>
      </w:r>
      <w:r w:rsidRPr="00E428AE">
        <w:rPr>
          <w:rFonts w:ascii="Verdana" w:hAnsi="Verdana"/>
          <w:sz w:val="18"/>
          <w:szCs w:val="18"/>
          <w:lang w:val="el-GR"/>
        </w:rPr>
        <w:t xml:space="preserve">νων </w:t>
      </w:r>
      <w:r w:rsidR="00987578" w:rsidRPr="00E428AE">
        <w:rPr>
          <w:rFonts w:ascii="Verdana" w:hAnsi="Verdana"/>
          <w:sz w:val="18"/>
          <w:szCs w:val="18"/>
          <w:lang w:val="el-GR"/>
        </w:rPr>
        <w:t xml:space="preserve">ανδρών </w:t>
      </w:r>
      <w:r w:rsidR="00C47BD2">
        <w:rPr>
          <w:rFonts w:ascii="Verdana" w:hAnsi="Verdana"/>
          <w:sz w:val="18"/>
          <w:szCs w:val="18"/>
          <w:lang w:val="el-GR"/>
        </w:rPr>
        <w:t xml:space="preserve">μειώθηκε </w:t>
      </w:r>
      <w:r w:rsidRPr="00E428AE">
        <w:rPr>
          <w:rFonts w:ascii="Verdana" w:hAnsi="Verdana"/>
          <w:sz w:val="18"/>
          <w:szCs w:val="18"/>
          <w:lang w:val="el-GR"/>
        </w:rPr>
        <w:t xml:space="preserve">κατά </w:t>
      </w:r>
      <w:r w:rsidR="00C47BD2">
        <w:rPr>
          <w:rFonts w:ascii="Verdana" w:hAnsi="Verdana"/>
          <w:sz w:val="18"/>
          <w:szCs w:val="18"/>
          <w:lang w:val="el-GR"/>
        </w:rPr>
        <w:t>5</w:t>
      </w:r>
      <w:r w:rsidRPr="00E428AE">
        <w:rPr>
          <w:rFonts w:ascii="Verdana" w:hAnsi="Verdana"/>
          <w:sz w:val="18"/>
          <w:szCs w:val="18"/>
          <w:lang w:val="el-GR"/>
        </w:rPr>
        <w:t>,</w:t>
      </w:r>
      <w:r w:rsidR="00C47BD2">
        <w:rPr>
          <w:rFonts w:ascii="Verdana" w:hAnsi="Verdana"/>
          <w:sz w:val="18"/>
          <w:szCs w:val="18"/>
          <w:lang w:val="el-GR"/>
        </w:rPr>
        <w:t>9</w:t>
      </w:r>
      <w:r w:rsidRPr="00E428AE">
        <w:rPr>
          <w:rFonts w:ascii="Verdana" w:hAnsi="Verdana"/>
          <w:sz w:val="18"/>
          <w:szCs w:val="18"/>
          <w:lang w:val="el-GR"/>
        </w:rPr>
        <w:t>%</w:t>
      </w:r>
      <w:r w:rsidR="00C47BD2">
        <w:rPr>
          <w:rFonts w:ascii="Verdana" w:hAnsi="Verdana"/>
          <w:sz w:val="18"/>
          <w:szCs w:val="18"/>
          <w:lang w:val="el-GR"/>
        </w:rPr>
        <w:t xml:space="preserve"> και </w:t>
      </w:r>
      <w:r w:rsidRPr="00E428AE">
        <w:rPr>
          <w:rFonts w:ascii="Verdana" w:hAnsi="Verdana"/>
          <w:sz w:val="18"/>
          <w:szCs w:val="18"/>
          <w:lang w:val="el-GR"/>
        </w:rPr>
        <w:t xml:space="preserve">των </w:t>
      </w:r>
      <w:r w:rsidR="00987578" w:rsidRPr="00E428AE">
        <w:rPr>
          <w:rFonts w:ascii="Verdana" w:hAnsi="Verdana"/>
          <w:sz w:val="18"/>
          <w:szCs w:val="18"/>
          <w:lang w:val="el-GR"/>
        </w:rPr>
        <w:t>απασχολο</w:t>
      </w:r>
      <w:r w:rsidR="00BB1E78">
        <w:rPr>
          <w:rFonts w:ascii="Verdana" w:hAnsi="Verdana"/>
          <w:sz w:val="18"/>
          <w:szCs w:val="18"/>
          <w:lang w:val="el-GR"/>
        </w:rPr>
        <w:t>ύ</w:t>
      </w:r>
      <w:r w:rsidR="00987578" w:rsidRPr="00E428AE">
        <w:rPr>
          <w:rFonts w:ascii="Verdana" w:hAnsi="Verdana"/>
          <w:sz w:val="18"/>
          <w:szCs w:val="18"/>
          <w:lang w:val="el-GR"/>
        </w:rPr>
        <w:t>μ</w:t>
      </w:r>
      <w:r w:rsidR="00BB1E78">
        <w:rPr>
          <w:rFonts w:ascii="Verdana" w:hAnsi="Verdana"/>
          <w:sz w:val="18"/>
          <w:szCs w:val="18"/>
          <w:lang w:val="el-GR"/>
        </w:rPr>
        <w:t>ε</w:t>
      </w:r>
      <w:r w:rsidR="00987578" w:rsidRPr="00E428AE">
        <w:rPr>
          <w:rFonts w:ascii="Verdana" w:hAnsi="Verdana"/>
          <w:sz w:val="18"/>
          <w:szCs w:val="18"/>
          <w:lang w:val="el-GR"/>
        </w:rPr>
        <w:t xml:space="preserve">νων </w:t>
      </w:r>
      <w:r w:rsidRPr="00E428AE">
        <w:rPr>
          <w:rFonts w:ascii="Verdana" w:hAnsi="Verdana"/>
          <w:sz w:val="18"/>
          <w:szCs w:val="18"/>
          <w:lang w:val="el-GR"/>
        </w:rPr>
        <w:t xml:space="preserve">γυναικών κατά </w:t>
      </w:r>
      <w:r w:rsidR="00C47BD2">
        <w:rPr>
          <w:rFonts w:ascii="Verdana" w:hAnsi="Verdana"/>
          <w:sz w:val="18"/>
          <w:szCs w:val="18"/>
          <w:lang w:val="el-GR"/>
        </w:rPr>
        <w:t>20</w:t>
      </w:r>
      <w:r w:rsidRPr="00E428AE">
        <w:rPr>
          <w:rFonts w:ascii="Verdana" w:hAnsi="Verdana"/>
          <w:sz w:val="18"/>
          <w:szCs w:val="18"/>
          <w:lang w:val="el-GR"/>
        </w:rPr>
        <w:t>,</w:t>
      </w:r>
      <w:r w:rsidR="00C47BD2">
        <w:rPr>
          <w:rFonts w:ascii="Verdana" w:hAnsi="Verdana"/>
          <w:sz w:val="18"/>
          <w:szCs w:val="18"/>
          <w:lang w:val="el-GR"/>
        </w:rPr>
        <w:t>2</w:t>
      </w:r>
      <w:r w:rsidRPr="00E428AE">
        <w:rPr>
          <w:rFonts w:ascii="Verdana" w:hAnsi="Verdana"/>
          <w:sz w:val="18"/>
          <w:szCs w:val="18"/>
          <w:lang w:val="el-GR"/>
        </w:rPr>
        <w:t>%.</w:t>
      </w:r>
      <w:bookmarkEnd w:id="11"/>
    </w:p>
    <w:p w14:paraId="49CF1AD4" w14:textId="77777777" w:rsidR="00D966DB" w:rsidRPr="00E428AE" w:rsidRDefault="00D966DB" w:rsidP="00D966DB">
      <w:pPr>
        <w:jc w:val="both"/>
        <w:rPr>
          <w:rFonts w:ascii="Verdana" w:hAnsi="Verdana"/>
          <w:sz w:val="18"/>
          <w:szCs w:val="18"/>
          <w:lang w:val="el-GR"/>
        </w:rPr>
      </w:pPr>
    </w:p>
    <w:tbl>
      <w:tblPr>
        <w:tblW w:w="9682" w:type="dxa"/>
        <w:jc w:val="center"/>
        <w:tblLook w:val="04A0" w:firstRow="1" w:lastRow="0" w:firstColumn="1" w:lastColumn="0" w:noHBand="0" w:noVBand="1"/>
      </w:tblPr>
      <w:tblGrid>
        <w:gridCol w:w="3320"/>
        <w:gridCol w:w="1260"/>
        <w:gridCol w:w="1202"/>
        <w:gridCol w:w="1240"/>
        <w:gridCol w:w="1240"/>
        <w:gridCol w:w="1420"/>
      </w:tblGrid>
      <w:tr w:rsidR="00935BEC" w:rsidRPr="00935BEC" w14:paraId="2AEEA50C" w14:textId="77777777" w:rsidTr="00A8239F">
        <w:trPr>
          <w:trHeight w:val="300"/>
          <w:jc w:val="center"/>
        </w:trPr>
        <w:tc>
          <w:tcPr>
            <w:tcW w:w="3320" w:type="dxa"/>
            <w:tcBorders>
              <w:top w:val="nil"/>
              <w:left w:val="nil"/>
              <w:bottom w:val="single" w:sz="4" w:space="0" w:color="366092"/>
              <w:right w:val="nil"/>
            </w:tcBorders>
            <w:shd w:val="clear" w:color="000000" w:fill="FFFFFF"/>
            <w:noWrap/>
            <w:vAlign w:val="bottom"/>
            <w:hideMark/>
          </w:tcPr>
          <w:p w14:paraId="29451474" w14:textId="77777777" w:rsidR="00D966DB" w:rsidRPr="00935BEC" w:rsidRDefault="00D966DB" w:rsidP="00BF034F">
            <w:pP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Πίνακας 2</w:t>
            </w:r>
          </w:p>
        </w:tc>
        <w:tc>
          <w:tcPr>
            <w:tcW w:w="1260" w:type="dxa"/>
            <w:tcBorders>
              <w:top w:val="nil"/>
              <w:left w:val="nil"/>
              <w:bottom w:val="single" w:sz="4" w:space="0" w:color="366092"/>
              <w:right w:val="nil"/>
            </w:tcBorders>
            <w:shd w:val="clear" w:color="000000" w:fill="FFFFFF"/>
            <w:noWrap/>
            <w:vAlign w:val="bottom"/>
            <w:hideMark/>
          </w:tcPr>
          <w:p w14:paraId="5A2E6D06" w14:textId="77777777" w:rsidR="00D966DB" w:rsidRPr="00935BEC" w:rsidRDefault="00D966DB" w:rsidP="00BF034F">
            <w:pPr>
              <w:rPr>
                <w:rFonts w:ascii="Verdana" w:eastAsia="Times New Roman" w:hAnsi="Verdana" w:cs="Calibri"/>
                <w:color w:val="366092"/>
                <w:sz w:val="18"/>
                <w:szCs w:val="18"/>
              </w:rPr>
            </w:pPr>
            <w:r w:rsidRPr="00935BEC">
              <w:rPr>
                <w:rFonts w:ascii="Verdana" w:eastAsia="Times New Roman" w:hAnsi="Verdana" w:cs="Calibri"/>
                <w:color w:val="366092"/>
                <w:sz w:val="18"/>
                <w:szCs w:val="18"/>
              </w:rPr>
              <w:t> </w:t>
            </w:r>
          </w:p>
        </w:tc>
        <w:tc>
          <w:tcPr>
            <w:tcW w:w="1202" w:type="dxa"/>
            <w:tcBorders>
              <w:top w:val="nil"/>
              <w:left w:val="nil"/>
              <w:bottom w:val="single" w:sz="4" w:space="0" w:color="366092"/>
              <w:right w:val="nil"/>
            </w:tcBorders>
            <w:shd w:val="clear" w:color="000000" w:fill="FFFFFF"/>
            <w:noWrap/>
            <w:vAlign w:val="bottom"/>
            <w:hideMark/>
          </w:tcPr>
          <w:p w14:paraId="42195293" w14:textId="77777777" w:rsidR="00D966DB" w:rsidRPr="00935BEC" w:rsidRDefault="00D966DB" w:rsidP="00BF034F">
            <w:pPr>
              <w:rPr>
                <w:rFonts w:ascii="Verdana" w:eastAsia="Times New Roman" w:hAnsi="Verdana" w:cs="Calibri"/>
                <w:color w:val="366092"/>
                <w:sz w:val="18"/>
                <w:szCs w:val="18"/>
              </w:rPr>
            </w:pPr>
            <w:r w:rsidRPr="00935BEC">
              <w:rPr>
                <w:rFonts w:ascii="Verdana" w:eastAsia="Times New Roman" w:hAnsi="Verdana" w:cs="Calibri"/>
                <w:color w:val="366092"/>
                <w:sz w:val="18"/>
                <w:szCs w:val="18"/>
              </w:rPr>
              <w:t> </w:t>
            </w:r>
          </w:p>
        </w:tc>
        <w:tc>
          <w:tcPr>
            <w:tcW w:w="1240" w:type="dxa"/>
            <w:tcBorders>
              <w:top w:val="nil"/>
              <w:left w:val="nil"/>
              <w:bottom w:val="single" w:sz="4" w:space="0" w:color="366092"/>
              <w:right w:val="nil"/>
            </w:tcBorders>
            <w:shd w:val="clear" w:color="000000" w:fill="FFFFFF"/>
            <w:noWrap/>
            <w:vAlign w:val="bottom"/>
            <w:hideMark/>
          </w:tcPr>
          <w:p w14:paraId="6081B19C" w14:textId="77777777" w:rsidR="00D966DB" w:rsidRPr="00935BEC" w:rsidRDefault="00D966DB" w:rsidP="00BF034F">
            <w:pPr>
              <w:rPr>
                <w:rFonts w:ascii="Verdana" w:eastAsia="Times New Roman" w:hAnsi="Verdana" w:cs="Calibri"/>
                <w:color w:val="366092"/>
                <w:sz w:val="18"/>
                <w:szCs w:val="18"/>
              </w:rPr>
            </w:pPr>
            <w:r w:rsidRPr="00935BEC">
              <w:rPr>
                <w:rFonts w:ascii="Verdana" w:eastAsia="Times New Roman" w:hAnsi="Verdana" w:cs="Calibri"/>
                <w:color w:val="366092"/>
                <w:sz w:val="18"/>
                <w:szCs w:val="18"/>
              </w:rPr>
              <w:t> </w:t>
            </w:r>
          </w:p>
        </w:tc>
        <w:tc>
          <w:tcPr>
            <w:tcW w:w="1240" w:type="dxa"/>
            <w:tcBorders>
              <w:top w:val="nil"/>
              <w:left w:val="nil"/>
              <w:bottom w:val="single" w:sz="4" w:space="0" w:color="366092"/>
              <w:right w:val="nil"/>
            </w:tcBorders>
            <w:shd w:val="clear" w:color="000000" w:fill="FFFFFF"/>
            <w:noWrap/>
            <w:vAlign w:val="bottom"/>
            <w:hideMark/>
          </w:tcPr>
          <w:p w14:paraId="6A879033" w14:textId="77777777" w:rsidR="00D966DB" w:rsidRPr="00935BEC" w:rsidRDefault="00D966DB" w:rsidP="00BF034F">
            <w:pPr>
              <w:rPr>
                <w:rFonts w:ascii="Verdana" w:eastAsia="Times New Roman" w:hAnsi="Verdana" w:cs="Calibri"/>
                <w:color w:val="366092"/>
                <w:sz w:val="18"/>
                <w:szCs w:val="18"/>
              </w:rPr>
            </w:pPr>
            <w:r w:rsidRPr="00935BEC">
              <w:rPr>
                <w:rFonts w:ascii="Verdana" w:eastAsia="Times New Roman" w:hAnsi="Verdana" w:cs="Calibri"/>
                <w:color w:val="366092"/>
                <w:sz w:val="18"/>
                <w:szCs w:val="18"/>
              </w:rPr>
              <w:t> </w:t>
            </w:r>
          </w:p>
        </w:tc>
        <w:tc>
          <w:tcPr>
            <w:tcW w:w="1420" w:type="dxa"/>
            <w:tcBorders>
              <w:top w:val="nil"/>
              <w:left w:val="nil"/>
              <w:bottom w:val="single" w:sz="4" w:space="0" w:color="366092"/>
              <w:right w:val="nil"/>
            </w:tcBorders>
            <w:shd w:val="clear" w:color="000000" w:fill="FFFFFF"/>
            <w:noWrap/>
            <w:vAlign w:val="bottom"/>
            <w:hideMark/>
          </w:tcPr>
          <w:p w14:paraId="6DB3EF42" w14:textId="77777777" w:rsidR="00D966DB" w:rsidRPr="00935BEC" w:rsidRDefault="00D966DB" w:rsidP="00BF034F">
            <w:pPr>
              <w:rPr>
                <w:rFonts w:ascii="Verdana" w:eastAsia="Times New Roman" w:hAnsi="Verdana" w:cs="Calibri"/>
                <w:color w:val="366092"/>
                <w:sz w:val="18"/>
                <w:szCs w:val="18"/>
              </w:rPr>
            </w:pPr>
            <w:r w:rsidRPr="00935BEC">
              <w:rPr>
                <w:rFonts w:ascii="Verdana" w:eastAsia="Times New Roman" w:hAnsi="Verdana" w:cs="Calibri"/>
                <w:color w:val="366092"/>
                <w:sz w:val="18"/>
                <w:szCs w:val="18"/>
              </w:rPr>
              <w:t> </w:t>
            </w:r>
          </w:p>
        </w:tc>
      </w:tr>
      <w:tr w:rsidR="00935BEC" w:rsidRPr="00935BEC" w14:paraId="13A6E945" w14:textId="77777777" w:rsidTr="00A8239F">
        <w:trPr>
          <w:trHeight w:val="405"/>
          <w:jc w:val="center"/>
        </w:trPr>
        <w:tc>
          <w:tcPr>
            <w:tcW w:w="3320" w:type="dxa"/>
            <w:vMerge w:val="restart"/>
            <w:tcBorders>
              <w:top w:val="single" w:sz="4" w:space="0" w:color="366092"/>
              <w:left w:val="nil"/>
              <w:bottom w:val="single" w:sz="4" w:space="0" w:color="366092"/>
              <w:right w:val="nil"/>
            </w:tcBorders>
            <w:shd w:val="clear" w:color="000000" w:fill="FFFFFF"/>
            <w:noWrap/>
            <w:vAlign w:val="center"/>
            <w:hideMark/>
          </w:tcPr>
          <w:p w14:paraId="203E90C2" w14:textId="77777777" w:rsidR="00552A50" w:rsidRPr="00935BEC" w:rsidRDefault="00552A50" w:rsidP="00552A50">
            <w:pPr>
              <w:jc w:val="center"/>
              <w:rPr>
                <w:rFonts w:ascii="Verdana" w:eastAsia="Times New Roman" w:hAnsi="Verdana" w:cs="Calibri"/>
                <w:b/>
                <w:bCs/>
                <w:color w:val="366092"/>
                <w:sz w:val="18"/>
                <w:szCs w:val="18"/>
                <w:lang w:val="el-GR"/>
              </w:rPr>
            </w:pPr>
            <w:r w:rsidRPr="00935BEC">
              <w:rPr>
                <w:rFonts w:ascii="Verdana" w:eastAsia="Times New Roman" w:hAnsi="Verdana" w:cs="Calibri"/>
                <w:b/>
                <w:bCs/>
                <w:color w:val="366092"/>
                <w:sz w:val="18"/>
                <w:szCs w:val="18"/>
                <w:lang w:val="el-GR"/>
              </w:rPr>
              <w:t>Α</w:t>
            </w:r>
            <w:r w:rsidRPr="00935BEC">
              <w:rPr>
                <w:rFonts w:ascii="Verdana" w:eastAsia="Times New Roman" w:hAnsi="Verdana" w:cs="Calibri"/>
                <w:b/>
                <w:bCs/>
                <w:color w:val="366092"/>
                <w:sz w:val="18"/>
                <w:szCs w:val="18"/>
              </w:rPr>
              <w:t>πα</w:t>
            </w:r>
            <w:proofErr w:type="spellStart"/>
            <w:r w:rsidRPr="00935BEC">
              <w:rPr>
                <w:rFonts w:ascii="Verdana" w:eastAsia="Times New Roman" w:hAnsi="Verdana" w:cs="Calibri"/>
                <w:b/>
                <w:bCs/>
                <w:color w:val="366092"/>
                <w:sz w:val="18"/>
                <w:szCs w:val="18"/>
              </w:rPr>
              <w:t>σχολο</w:t>
            </w:r>
            <w:proofErr w:type="spellEnd"/>
            <w:r w:rsidRPr="00935BEC">
              <w:rPr>
                <w:rFonts w:ascii="Verdana" w:eastAsia="Times New Roman" w:hAnsi="Verdana" w:cs="Calibri"/>
                <w:b/>
                <w:bCs/>
                <w:color w:val="366092"/>
                <w:sz w:val="18"/>
                <w:szCs w:val="18"/>
                <w:lang w:val="el-GR"/>
              </w:rPr>
              <w:t>ύ</w:t>
            </w:r>
            <w:r w:rsidRPr="00935BEC">
              <w:rPr>
                <w:rFonts w:ascii="Verdana" w:eastAsia="Times New Roman" w:hAnsi="Verdana" w:cs="Calibri"/>
                <w:b/>
                <w:bCs/>
                <w:color w:val="366092"/>
                <w:sz w:val="18"/>
                <w:szCs w:val="18"/>
              </w:rPr>
              <w:t>μ</w:t>
            </w:r>
            <w:proofErr w:type="spellStart"/>
            <w:r w:rsidRPr="00935BEC">
              <w:rPr>
                <w:rFonts w:ascii="Verdana" w:eastAsia="Times New Roman" w:hAnsi="Verdana" w:cs="Calibri"/>
                <w:b/>
                <w:bCs/>
                <w:color w:val="366092"/>
                <w:sz w:val="18"/>
                <w:szCs w:val="18"/>
                <w:lang w:val="el-GR"/>
              </w:rPr>
              <w:t>ενοι</w:t>
            </w:r>
            <w:proofErr w:type="spellEnd"/>
          </w:p>
          <w:p w14:paraId="1B441C53" w14:textId="77777777" w:rsidR="00552A50" w:rsidRPr="00935BEC" w:rsidRDefault="00552A50" w:rsidP="00552A50">
            <w:pPr>
              <w:jc w:val="center"/>
              <w:rPr>
                <w:rFonts w:ascii="Verdana" w:eastAsia="Times New Roman" w:hAnsi="Verdana" w:cs="Calibri"/>
                <w:b/>
                <w:bCs/>
                <w:color w:val="366092"/>
                <w:sz w:val="18"/>
                <w:szCs w:val="18"/>
                <w:lang w:val="el-GR"/>
              </w:rPr>
            </w:pPr>
          </w:p>
        </w:tc>
        <w:tc>
          <w:tcPr>
            <w:tcW w:w="2462" w:type="dxa"/>
            <w:gridSpan w:val="2"/>
            <w:tcBorders>
              <w:top w:val="single" w:sz="4" w:space="0" w:color="366092"/>
              <w:left w:val="nil"/>
              <w:bottom w:val="single" w:sz="4" w:space="0" w:color="366092"/>
              <w:right w:val="nil"/>
            </w:tcBorders>
            <w:shd w:val="clear" w:color="000000" w:fill="FFFFFF"/>
            <w:noWrap/>
            <w:vAlign w:val="center"/>
            <w:hideMark/>
          </w:tcPr>
          <w:p w14:paraId="1EFF5852" w14:textId="7DD6A52D" w:rsidR="00552A50" w:rsidRPr="00935BEC" w:rsidRDefault="00552A50" w:rsidP="00552A50">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2020</w:t>
            </w:r>
          </w:p>
        </w:tc>
        <w:tc>
          <w:tcPr>
            <w:tcW w:w="2480" w:type="dxa"/>
            <w:gridSpan w:val="2"/>
            <w:tcBorders>
              <w:top w:val="single" w:sz="4" w:space="0" w:color="366092"/>
              <w:left w:val="nil"/>
              <w:bottom w:val="single" w:sz="4" w:space="0" w:color="366092"/>
              <w:right w:val="nil"/>
            </w:tcBorders>
            <w:shd w:val="clear" w:color="000000" w:fill="FFFFFF"/>
            <w:noWrap/>
            <w:vAlign w:val="center"/>
            <w:hideMark/>
          </w:tcPr>
          <w:p w14:paraId="44EC1629" w14:textId="15406103" w:rsidR="00552A50" w:rsidRPr="00935BEC" w:rsidRDefault="00552A50" w:rsidP="00552A50">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2023</w:t>
            </w:r>
          </w:p>
        </w:tc>
        <w:tc>
          <w:tcPr>
            <w:tcW w:w="1420" w:type="dxa"/>
            <w:vMerge w:val="restart"/>
            <w:tcBorders>
              <w:top w:val="single" w:sz="4" w:space="0" w:color="366092"/>
              <w:left w:val="nil"/>
              <w:bottom w:val="single" w:sz="4" w:space="0" w:color="366092"/>
              <w:right w:val="nil"/>
            </w:tcBorders>
            <w:shd w:val="clear" w:color="000000" w:fill="FFFFFF"/>
            <w:vAlign w:val="center"/>
            <w:hideMark/>
          </w:tcPr>
          <w:p w14:paraId="301AEA9A" w14:textId="457814A6" w:rsidR="00552A50" w:rsidRPr="00935BEC" w:rsidRDefault="00645C87" w:rsidP="00552A50">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lang w:val="el-GR"/>
              </w:rPr>
              <w:t>Μ</w:t>
            </w:r>
            <w:r w:rsidR="00552A50" w:rsidRPr="00935BEC">
              <w:rPr>
                <w:rFonts w:ascii="Verdana" w:eastAsia="Times New Roman" w:hAnsi="Verdana" w:cs="Calibri"/>
                <w:b/>
                <w:bCs/>
                <w:color w:val="366092"/>
                <w:sz w:val="18"/>
                <w:szCs w:val="18"/>
              </w:rPr>
              <w:t>εταβ</w:t>
            </w:r>
            <w:proofErr w:type="spellStart"/>
            <w:r w:rsidR="00552A50" w:rsidRPr="00935BEC">
              <w:rPr>
                <w:rFonts w:ascii="Verdana" w:eastAsia="Times New Roman" w:hAnsi="Verdana" w:cs="Calibri"/>
                <w:b/>
                <w:bCs/>
                <w:color w:val="366092"/>
                <w:sz w:val="18"/>
                <w:szCs w:val="18"/>
              </w:rPr>
              <w:t>ολή</w:t>
            </w:r>
            <w:proofErr w:type="spellEnd"/>
            <w:r w:rsidR="00552A50" w:rsidRPr="00935BEC">
              <w:rPr>
                <w:rFonts w:ascii="Verdana" w:eastAsia="Times New Roman" w:hAnsi="Verdana" w:cs="Calibri"/>
                <w:b/>
                <w:bCs/>
                <w:color w:val="366092"/>
                <w:sz w:val="18"/>
                <w:szCs w:val="18"/>
              </w:rPr>
              <w:br/>
              <w:t>2023/2020</w:t>
            </w:r>
            <w:r w:rsidR="00552A50" w:rsidRPr="00935BEC">
              <w:rPr>
                <w:rFonts w:ascii="Verdana" w:eastAsia="Times New Roman" w:hAnsi="Verdana" w:cs="Calibri"/>
                <w:b/>
                <w:bCs/>
                <w:color w:val="366092"/>
                <w:sz w:val="18"/>
                <w:szCs w:val="18"/>
              </w:rPr>
              <w:br/>
              <w:t>(%)</w:t>
            </w:r>
          </w:p>
        </w:tc>
      </w:tr>
      <w:tr w:rsidR="00935BEC" w:rsidRPr="00935BEC" w14:paraId="0DCD1B96" w14:textId="77777777" w:rsidTr="00A8239F">
        <w:trPr>
          <w:trHeight w:val="630"/>
          <w:jc w:val="center"/>
        </w:trPr>
        <w:tc>
          <w:tcPr>
            <w:tcW w:w="3320" w:type="dxa"/>
            <w:vMerge/>
            <w:tcBorders>
              <w:top w:val="single" w:sz="4" w:space="0" w:color="366092"/>
              <w:left w:val="nil"/>
              <w:bottom w:val="single" w:sz="4" w:space="0" w:color="305496"/>
              <w:right w:val="nil"/>
            </w:tcBorders>
            <w:shd w:val="clear" w:color="000000" w:fill="FFFFFF"/>
            <w:noWrap/>
            <w:vAlign w:val="bottom"/>
            <w:hideMark/>
          </w:tcPr>
          <w:p w14:paraId="054FAEF2" w14:textId="77777777" w:rsidR="00552A50" w:rsidRPr="00935BEC" w:rsidRDefault="00552A50" w:rsidP="00552A50">
            <w:pPr>
              <w:rPr>
                <w:rFonts w:ascii="Verdana" w:eastAsia="Times New Roman" w:hAnsi="Verdana" w:cs="Calibri"/>
                <w:color w:val="366092"/>
                <w:sz w:val="18"/>
                <w:szCs w:val="18"/>
              </w:rPr>
            </w:pPr>
          </w:p>
        </w:tc>
        <w:tc>
          <w:tcPr>
            <w:tcW w:w="1260" w:type="dxa"/>
            <w:tcBorders>
              <w:top w:val="single" w:sz="4" w:space="0" w:color="366092"/>
              <w:left w:val="nil"/>
              <w:bottom w:val="single" w:sz="4" w:space="0" w:color="305496"/>
              <w:right w:val="nil"/>
            </w:tcBorders>
            <w:shd w:val="clear" w:color="000000" w:fill="FFFFFF"/>
            <w:vAlign w:val="center"/>
            <w:hideMark/>
          </w:tcPr>
          <w:p w14:paraId="5CF73A33" w14:textId="3D3144B2" w:rsidR="00552A50" w:rsidRPr="00935BEC" w:rsidRDefault="00552A50" w:rsidP="00552A50">
            <w:pPr>
              <w:jc w:val="center"/>
              <w:rPr>
                <w:rFonts w:ascii="Verdana" w:eastAsia="Times New Roman" w:hAnsi="Verdana" w:cs="Calibri"/>
                <w:b/>
                <w:bCs/>
                <w:color w:val="366092"/>
                <w:sz w:val="18"/>
                <w:szCs w:val="18"/>
              </w:rPr>
            </w:pPr>
            <w:proofErr w:type="spellStart"/>
            <w:r w:rsidRPr="00935BEC">
              <w:rPr>
                <w:rFonts w:ascii="Verdana" w:eastAsia="Times New Roman" w:hAnsi="Verdana" w:cs="Calibri"/>
                <w:b/>
                <w:bCs/>
                <w:color w:val="366092"/>
                <w:sz w:val="18"/>
                <w:szCs w:val="18"/>
              </w:rPr>
              <w:t>Αριθμός</w:t>
            </w:r>
            <w:proofErr w:type="spellEnd"/>
            <w:r w:rsidRPr="00935BEC">
              <w:rPr>
                <w:rFonts w:ascii="Verdana" w:eastAsia="Times New Roman" w:hAnsi="Verdana" w:cs="Calibri"/>
                <w:b/>
                <w:bCs/>
                <w:color w:val="366092"/>
                <w:sz w:val="18"/>
                <w:szCs w:val="18"/>
              </w:rPr>
              <w:br/>
              <w:t>α</w:t>
            </w:r>
            <w:proofErr w:type="spellStart"/>
            <w:r w:rsidRPr="00935BEC">
              <w:rPr>
                <w:rFonts w:ascii="Verdana" w:eastAsia="Times New Roman" w:hAnsi="Verdana" w:cs="Calibri"/>
                <w:b/>
                <w:bCs/>
                <w:color w:val="366092"/>
                <w:sz w:val="18"/>
                <w:szCs w:val="18"/>
              </w:rPr>
              <w:t>τόμων</w:t>
            </w:r>
            <w:proofErr w:type="spellEnd"/>
          </w:p>
        </w:tc>
        <w:tc>
          <w:tcPr>
            <w:tcW w:w="1202" w:type="dxa"/>
            <w:tcBorders>
              <w:top w:val="single" w:sz="4" w:space="0" w:color="366092"/>
              <w:left w:val="nil"/>
              <w:bottom w:val="single" w:sz="4" w:space="0" w:color="305496"/>
              <w:right w:val="nil"/>
            </w:tcBorders>
            <w:shd w:val="clear" w:color="000000" w:fill="FFFFFF"/>
            <w:vAlign w:val="center"/>
            <w:hideMark/>
          </w:tcPr>
          <w:p w14:paraId="1380B0E3" w14:textId="7C2B6514" w:rsidR="00552A50" w:rsidRPr="00935BEC" w:rsidRDefault="00552A50" w:rsidP="00552A50">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Κατα</w:t>
            </w:r>
            <w:proofErr w:type="spellStart"/>
            <w:r w:rsidRPr="00935BEC">
              <w:rPr>
                <w:rFonts w:ascii="Verdana" w:eastAsia="Times New Roman" w:hAnsi="Verdana" w:cs="Calibri"/>
                <w:b/>
                <w:bCs/>
                <w:color w:val="366092"/>
                <w:sz w:val="18"/>
                <w:szCs w:val="18"/>
              </w:rPr>
              <w:t>νομή</w:t>
            </w:r>
            <w:proofErr w:type="spellEnd"/>
            <w:r w:rsidRPr="00935BEC">
              <w:rPr>
                <w:rFonts w:ascii="Verdana" w:eastAsia="Times New Roman" w:hAnsi="Verdana" w:cs="Calibri"/>
                <w:b/>
                <w:bCs/>
                <w:color w:val="366092"/>
                <w:sz w:val="18"/>
                <w:szCs w:val="18"/>
              </w:rPr>
              <w:br/>
              <w:t>(%)</w:t>
            </w:r>
          </w:p>
        </w:tc>
        <w:tc>
          <w:tcPr>
            <w:tcW w:w="1240" w:type="dxa"/>
            <w:tcBorders>
              <w:top w:val="single" w:sz="4" w:space="0" w:color="366092"/>
              <w:left w:val="nil"/>
              <w:bottom w:val="single" w:sz="4" w:space="0" w:color="305496"/>
              <w:right w:val="nil"/>
            </w:tcBorders>
            <w:shd w:val="clear" w:color="000000" w:fill="FFFFFF"/>
            <w:vAlign w:val="center"/>
            <w:hideMark/>
          </w:tcPr>
          <w:p w14:paraId="4B0EBFB1" w14:textId="77777777" w:rsidR="00552A50" w:rsidRPr="00935BEC" w:rsidRDefault="00552A50" w:rsidP="00552A50">
            <w:pPr>
              <w:jc w:val="center"/>
              <w:rPr>
                <w:rFonts w:ascii="Verdana" w:eastAsia="Times New Roman" w:hAnsi="Verdana" w:cs="Calibri"/>
                <w:b/>
                <w:bCs/>
                <w:color w:val="366092"/>
                <w:sz w:val="18"/>
                <w:szCs w:val="18"/>
              </w:rPr>
            </w:pPr>
            <w:proofErr w:type="spellStart"/>
            <w:r w:rsidRPr="00935BEC">
              <w:rPr>
                <w:rFonts w:ascii="Verdana" w:eastAsia="Times New Roman" w:hAnsi="Verdana" w:cs="Calibri"/>
                <w:b/>
                <w:bCs/>
                <w:color w:val="366092"/>
                <w:sz w:val="18"/>
                <w:szCs w:val="18"/>
              </w:rPr>
              <w:t>Αριθμός</w:t>
            </w:r>
            <w:proofErr w:type="spellEnd"/>
            <w:r w:rsidRPr="00935BEC">
              <w:rPr>
                <w:rFonts w:ascii="Verdana" w:eastAsia="Times New Roman" w:hAnsi="Verdana" w:cs="Calibri"/>
                <w:b/>
                <w:bCs/>
                <w:color w:val="366092"/>
                <w:sz w:val="18"/>
                <w:szCs w:val="18"/>
              </w:rPr>
              <w:br/>
              <w:t>α</w:t>
            </w:r>
            <w:proofErr w:type="spellStart"/>
            <w:r w:rsidRPr="00935BEC">
              <w:rPr>
                <w:rFonts w:ascii="Verdana" w:eastAsia="Times New Roman" w:hAnsi="Verdana" w:cs="Calibri"/>
                <w:b/>
                <w:bCs/>
                <w:color w:val="366092"/>
                <w:sz w:val="18"/>
                <w:szCs w:val="18"/>
              </w:rPr>
              <w:t>τόμων</w:t>
            </w:r>
            <w:proofErr w:type="spellEnd"/>
          </w:p>
        </w:tc>
        <w:tc>
          <w:tcPr>
            <w:tcW w:w="1240" w:type="dxa"/>
            <w:tcBorders>
              <w:top w:val="single" w:sz="4" w:space="0" w:color="366092"/>
              <w:left w:val="nil"/>
              <w:bottom w:val="single" w:sz="4" w:space="0" w:color="305496"/>
              <w:right w:val="nil"/>
            </w:tcBorders>
            <w:shd w:val="clear" w:color="000000" w:fill="FFFFFF"/>
            <w:vAlign w:val="center"/>
            <w:hideMark/>
          </w:tcPr>
          <w:p w14:paraId="0FDCD13B" w14:textId="77777777" w:rsidR="00552A50" w:rsidRPr="00935BEC" w:rsidRDefault="00552A50" w:rsidP="00552A50">
            <w:pPr>
              <w:jc w:val="cente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Κατα</w:t>
            </w:r>
            <w:proofErr w:type="spellStart"/>
            <w:r w:rsidRPr="00935BEC">
              <w:rPr>
                <w:rFonts w:ascii="Verdana" w:eastAsia="Times New Roman" w:hAnsi="Verdana" w:cs="Calibri"/>
                <w:b/>
                <w:bCs/>
                <w:color w:val="366092"/>
                <w:sz w:val="18"/>
                <w:szCs w:val="18"/>
              </w:rPr>
              <w:t>νομή</w:t>
            </w:r>
            <w:proofErr w:type="spellEnd"/>
            <w:r w:rsidRPr="00935BEC">
              <w:rPr>
                <w:rFonts w:ascii="Verdana" w:eastAsia="Times New Roman" w:hAnsi="Verdana" w:cs="Calibri"/>
                <w:b/>
                <w:bCs/>
                <w:color w:val="366092"/>
                <w:sz w:val="18"/>
                <w:szCs w:val="18"/>
              </w:rPr>
              <w:br/>
              <w:t>(%)</w:t>
            </w:r>
          </w:p>
        </w:tc>
        <w:tc>
          <w:tcPr>
            <w:tcW w:w="1420" w:type="dxa"/>
            <w:vMerge/>
            <w:tcBorders>
              <w:top w:val="single" w:sz="4" w:space="0" w:color="366092"/>
              <w:left w:val="nil"/>
              <w:bottom w:val="single" w:sz="4" w:space="0" w:color="305496"/>
              <w:right w:val="nil"/>
            </w:tcBorders>
            <w:vAlign w:val="center"/>
            <w:hideMark/>
          </w:tcPr>
          <w:p w14:paraId="25537570" w14:textId="77777777" w:rsidR="00552A50" w:rsidRPr="00935BEC" w:rsidRDefault="00552A50" w:rsidP="00552A50">
            <w:pPr>
              <w:rPr>
                <w:rFonts w:ascii="Verdana" w:eastAsia="Times New Roman" w:hAnsi="Verdana" w:cs="Calibri"/>
                <w:b/>
                <w:bCs/>
                <w:color w:val="366092"/>
                <w:sz w:val="18"/>
                <w:szCs w:val="18"/>
              </w:rPr>
            </w:pPr>
          </w:p>
        </w:tc>
      </w:tr>
      <w:tr w:rsidR="00935BEC" w:rsidRPr="00935BEC" w14:paraId="17BD26A2" w14:textId="77777777" w:rsidTr="00BF034F">
        <w:trPr>
          <w:trHeight w:val="300"/>
          <w:jc w:val="center"/>
        </w:trPr>
        <w:tc>
          <w:tcPr>
            <w:tcW w:w="3320" w:type="dxa"/>
            <w:tcBorders>
              <w:top w:val="single" w:sz="4" w:space="0" w:color="305496"/>
              <w:left w:val="nil"/>
              <w:bottom w:val="nil"/>
              <w:right w:val="nil"/>
            </w:tcBorders>
            <w:shd w:val="clear" w:color="000000" w:fill="FFFFFF"/>
            <w:noWrap/>
            <w:vAlign w:val="center"/>
            <w:hideMark/>
          </w:tcPr>
          <w:p w14:paraId="10A8116D" w14:textId="77777777" w:rsidR="00552A50" w:rsidRPr="00935BEC" w:rsidRDefault="00552A50" w:rsidP="00552A50">
            <w:pPr>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ΣΥΝΟΛΟ</w:t>
            </w:r>
          </w:p>
        </w:tc>
        <w:tc>
          <w:tcPr>
            <w:tcW w:w="1260" w:type="dxa"/>
            <w:tcBorders>
              <w:top w:val="nil"/>
              <w:left w:val="nil"/>
              <w:bottom w:val="nil"/>
              <w:right w:val="nil"/>
            </w:tcBorders>
            <w:shd w:val="clear" w:color="000000" w:fill="FFFFFF"/>
            <w:noWrap/>
            <w:vAlign w:val="center"/>
            <w:hideMark/>
          </w:tcPr>
          <w:p w14:paraId="1AB14476" w14:textId="2F04C474" w:rsidR="00552A50" w:rsidRPr="00935BEC" w:rsidRDefault="00552A50" w:rsidP="00552A50">
            <w:pPr>
              <w:ind w:right="113"/>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105</w:t>
            </w: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187</w:t>
            </w:r>
          </w:p>
        </w:tc>
        <w:tc>
          <w:tcPr>
            <w:tcW w:w="1202" w:type="dxa"/>
            <w:tcBorders>
              <w:top w:val="nil"/>
              <w:left w:val="nil"/>
              <w:bottom w:val="nil"/>
              <w:right w:val="nil"/>
            </w:tcBorders>
            <w:shd w:val="clear" w:color="000000" w:fill="FFFFFF"/>
            <w:noWrap/>
            <w:vAlign w:val="center"/>
            <w:hideMark/>
          </w:tcPr>
          <w:p w14:paraId="1D9C2FBF" w14:textId="1AB88082" w:rsidR="00552A50" w:rsidRPr="00935BEC" w:rsidRDefault="00552A50" w:rsidP="00552A50">
            <w:pPr>
              <w:ind w:right="227" w:firstLineChars="100" w:firstLine="181"/>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100</w:t>
            </w: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0</w:t>
            </w:r>
          </w:p>
        </w:tc>
        <w:tc>
          <w:tcPr>
            <w:tcW w:w="1240" w:type="dxa"/>
            <w:tcBorders>
              <w:top w:val="nil"/>
              <w:left w:val="nil"/>
              <w:bottom w:val="nil"/>
              <w:right w:val="nil"/>
            </w:tcBorders>
            <w:shd w:val="clear" w:color="000000" w:fill="FFFFFF"/>
            <w:noWrap/>
            <w:vAlign w:val="center"/>
            <w:hideMark/>
          </w:tcPr>
          <w:p w14:paraId="0BE073CD" w14:textId="36A21FBE" w:rsidR="00552A50" w:rsidRPr="00935BEC" w:rsidRDefault="00552A50" w:rsidP="00552A50">
            <w:pPr>
              <w:ind w:right="113"/>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93.830</w:t>
            </w:r>
          </w:p>
        </w:tc>
        <w:tc>
          <w:tcPr>
            <w:tcW w:w="1240" w:type="dxa"/>
            <w:tcBorders>
              <w:top w:val="nil"/>
              <w:left w:val="nil"/>
              <w:bottom w:val="nil"/>
              <w:right w:val="nil"/>
            </w:tcBorders>
            <w:shd w:val="clear" w:color="000000" w:fill="FFFFFF"/>
            <w:noWrap/>
            <w:vAlign w:val="center"/>
            <w:hideMark/>
          </w:tcPr>
          <w:p w14:paraId="3CC748E7" w14:textId="529E0017" w:rsidR="00552A50" w:rsidRPr="00935BEC" w:rsidRDefault="00552A50" w:rsidP="00552A50">
            <w:pPr>
              <w:ind w:right="227"/>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100,0</w:t>
            </w:r>
          </w:p>
        </w:tc>
        <w:tc>
          <w:tcPr>
            <w:tcW w:w="1420" w:type="dxa"/>
            <w:tcBorders>
              <w:top w:val="nil"/>
              <w:left w:val="nil"/>
              <w:bottom w:val="nil"/>
              <w:right w:val="nil"/>
            </w:tcBorders>
            <w:shd w:val="clear" w:color="000000" w:fill="FFFFFF"/>
            <w:noWrap/>
            <w:vAlign w:val="center"/>
            <w:hideMark/>
          </w:tcPr>
          <w:p w14:paraId="4444A00F" w14:textId="1769B51A" w:rsidR="00552A50" w:rsidRPr="00935BEC" w:rsidRDefault="00552A50" w:rsidP="00552A50">
            <w:pPr>
              <w:ind w:right="397"/>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-10,8</w:t>
            </w:r>
          </w:p>
        </w:tc>
      </w:tr>
      <w:tr w:rsidR="00935BEC" w:rsidRPr="00935BEC" w14:paraId="2DE7647F" w14:textId="77777777" w:rsidTr="00BF034F">
        <w:trPr>
          <w:trHeight w:val="300"/>
          <w:jc w:val="center"/>
        </w:trPr>
        <w:tc>
          <w:tcPr>
            <w:tcW w:w="3320" w:type="dxa"/>
            <w:tcBorders>
              <w:top w:val="nil"/>
              <w:left w:val="nil"/>
              <w:bottom w:val="nil"/>
              <w:right w:val="nil"/>
            </w:tcBorders>
            <w:shd w:val="clear" w:color="FFFFFF" w:fill="FFFFFF"/>
            <w:vAlign w:val="center"/>
            <w:hideMark/>
          </w:tcPr>
          <w:p w14:paraId="4E7FDDC2" w14:textId="77777777" w:rsidR="00552A50" w:rsidRPr="00935BEC" w:rsidRDefault="00552A50" w:rsidP="00552A50">
            <w:pPr>
              <w:ind w:firstLineChars="100" w:firstLine="181"/>
              <w:rPr>
                <w:rFonts w:ascii="Verdana" w:eastAsia="Times New Roman" w:hAnsi="Verdana" w:cs="Calibri"/>
                <w:b/>
                <w:bCs/>
                <w:color w:val="366092"/>
                <w:sz w:val="18"/>
                <w:szCs w:val="18"/>
              </w:rPr>
            </w:pPr>
            <w:proofErr w:type="spellStart"/>
            <w:r w:rsidRPr="00935BEC">
              <w:rPr>
                <w:rFonts w:ascii="Verdana" w:eastAsia="Times New Roman" w:hAnsi="Verdana" w:cs="Calibri"/>
                <w:b/>
                <w:bCs/>
                <w:color w:val="366092"/>
                <w:sz w:val="18"/>
                <w:szCs w:val="18"/>
              </w:rPr>
              <w:t>Άνδρες</w:t>
            </w:r>
            <w:proofErr w:type="spellEnd"/>
          </w:p>
        </w:tc>
        <w:tc>
          <w:tcPr>
            <w:tcW w:w="1260" w:type="dxa"/>
            <w:tcBorders>
              <w:top w:val="nil"/>
              <w:left w:val="nil"/>
              <w:bottom w:val="nil"/>
              <w:right w:val="nil"/>
            </w:tcBorders>
            <w:shd w:val="clear" w:color="000000" w:fill="FFFFFF"/>
            <w:noWrap/>
            <w:vAlign w:val="center"/>
            <w:hideMark/>
          </w:tcPr>
          <w:p w14:paraId="1A6B2B34" w14:textId="709B4372" w:rsidR="00552A50" w:rsidRPr="00935BEC" w:rsidRDefault="00552A50" w:rsidP="00552A50">
            <w:pPr>
              <w:ind w:right="113"/>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69</w:t>
            </w: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399</w:t>
            </w:r>
          </w:p>
        </w:tc>
        <w:tc>
          <w:tcPr>
            <w:tcW w:w="1202" w:type="dxa"/>
            <w:tcBorders>
              <w:top w:val="nil"/>
              <w:left w:val="nil"/>
              <w:bottom w:val="nil"/>
              <w:right w:val="nil"/>
            </w:tcBorders>
            <w:shd w:val="clear" w:color="000000" w:fill="FFFFFF"/>
            <w:noWrap/>
            <w:vAlign w:val="center"/>
            <w:hideMark/>
          </w:tcPr>
          <w:p w14:paraId="1C65278F" w14:textId="700B03B2" w:rsidR="00552A50" w:rsidRPr="00935BEC" w:rsidRDefault="00552A50" w:rsidP="00552A50">
            <w:pPr>
              <w:ind w:right="227" w:firstLineChars="100" w:firstLine="181"/>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66</w:t>
            </w: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0</w:t>
            </w:r>
          </w:p>
        </w:tc>
        <w:tc>
          <w:tcPr>
            <w:tcW w:w="1240" w:type="dxa"/>
            <w:tcBorders>
              <w:top w:val="nil"/>
              <w:left w:val="nil"/>
              <w:bottom w:val="nil"/>
              <w:right w:val="nil"/>
            </w:tcBorders>
            <w:shd w:val="clear" w:color="000000" w:fill="FFFFFF"/>
            <w:noWrap/>
            <w:vAlign w:val="center"/>
            <w:hideMark/>
          </w:tcPr>
          <w:p w14:paraId="6FAB5F3B" w14:textId="52593328" w:rsidR="00552A50" w:rsidRPr="00935BEC" w:rsidRDefault="00552A50" w:rsidP="00552A50">
            <w:pPr>
              <w:ind w:right="113"/>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65.283</w:t>
            </w:r>
          </w:p>
        </w:tc>
        <w:tc>
          <w:tcPr>
            <w:tcW w:w="1240" w:type="dxa"/>
            <w:tcBorders>
              <w:top w:val="nil"/>
              <w:left w:val="nil"/>
              <w:bottom w:val="nil"/>
              <w:right w:val="nil"/>
            </w:tcBorders>
            <w:shd w:val="clear" w:color="000000" w:fill="FFFFFF"/>
            <w:noWrap/>
            <w:vAlign w:val="center"/>
            <w:hideMark/>
          </w:tcPr>
          <w:p w14:paraId="1C7142D0" w14:textId="631600A4" w:rsidR="00552A50" w:rsidRPr="00935BEC" w:rsidRDefault="00552A50" w:rsidP="00552A50">
            <w:pPr>
              <w:ind w:right="227"/>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69,6</w:t>
            </w:r>
          </w:p>
        </w:tc>
        <w:tc>
          <w:tcPr>
            <w:tcW w:w="1420" w:type="dxa"/>
            <w:tcBorders>
              <w:top w:val="nil"/>
              <w:left w:val="nil"/>
              <w:bottom w:val="nil"/>
              <w:right w:val="nil"/>
            </w:tcBorders>
            <w:shd w:val="clear" w:color="000000" w:fill="FFFFFF"/>
            <w:noWrap/>
            <w:vAlign w:val="center"/>
            <w:hideMark/>
          </w:tcPr>
          <w:p w14:paraId="401CDA16" w14:textId="5E1CC7C4" w:rsidR="00552A50" w:rsidRPr="00935BEC" w:rsidRDefault="00552A50" w:rsidP="00552A50">
            <w:pPr>
              <w:ind w:right="397"/>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-5,9</w:t>
            </w:r>
          </w:p>
        </w:tc>
      </w:tr>
      <w:tr w:rsidR="00935BEC" w:rsidRPr="00935BEC" w14:paraId="16E124C2" w14:textId="77777777" w:rsidTr="00A8239F">
        <w:trPr>
          <w:trHeight w:val="300"/>
          <w:jc w:val="center"/>
        </w:trPr>
        <w:tc>
          <w:tcPr>
            <w:tcW w:w="3320" w:type="dxa"/>
            <w:tcBorders>
              <w:top w:val="nil"/>
              <w:left w:val="nil"/>
              <w:bottom w:val="single" w:sz="4" w:space="0" w:color="366092"/>
              <w:right w:val="nil"/>
            </w:tcBorders>
            <w:shd w:val="clear" w:color="FFFFFF" w:fill="FFFFFF"/>
            <w:vAlign w:val="center"/>
            <w:hideMark/>
          </w:tcPr>
          <w:p w14:paraId="21072232" w14:textId="77777777" w:rsidR="00552A50" w:rsidRPr="00935BEC" w:rsidRDefault="00552A50" w:rsidP="00552A50">
            <w:pPr>
              <w:ind w:firstLineChars="100" w:firstLine="181"/>
              <w:rPr>
                <w:rFonts w:ascii="Verdana" w:eastAsia="Times New Roman" w:hAnsi="Verdana" w:cs="Calibri"/>
                <w:b/>
                <w:bCs/>
                <w:color w:val="366092"/>
                <w:sz w:val="18"/>
                <w:szCs w:val="18"/>
              </w:rPr>
            </w:pPr>
            <w:proofErr w:type="spellStart"/>
            <w:r w:rsidRPr="00935BEC">
              <w:rPr>
                <w:rFonts w:ascii="Verdana" w:eastAsia="Times New Roman" w:hAnsi="Verdana" w:cs="Calibri"/>
                <w:b/>
                <w:bCs/>
                <w:color w:val="366092"/>
                <w:sz w:val="18"/>
                <w:szCs w:val="18"/>
              </w:rPr>
              <w:t>Γυν</w:t>
            </w:r>
            <w:proofErr w:type="spellEnd"/>
            <w:r w:rsidRPr="00935BEC">
              <w:rPr>
                <w:rFonts w:ascii="Verdana" w:eastAsia="Times New Roman" w:hAnsi="Verdana" w:cs="Calibri"/>
                <w:b/>
                <w:bCs/>
                <w:color w:val="366092"/>
                <w:sz w:val="18"/>
                <w:szCs w:val="18"/>
              </w:rPr>
              <w:t>αίκες</w:t>
            </w:r>
          </w:p>
        </w:tc>
        <w:tc>
          <w:tcPr>
            <w:tcW w:w="1260" w:type="dxa"/>
            <w:tcBorders>
              <w:top w:val="nil"/>
              <w:left w:val="nil"/>
              <w:bottom w:val="single" w:sz="4" w:space="0" w:color="366092"/>
              <w:right w:val="nil"/>
            </w:tcBorders>
            <w:shd w:val="clear" w:color="000000" w:fill="FFFFFF"/>
            <w:noWrap/>
            <w:vAlign w:val="center"/>
            <w:hideMark/>
          </w:tcPr>
          <w:p w14:paraId="29B7ABA3" w14:textId="32D68F27" w:rsidR="00552A50" w:rsidRPr="00935BEC" w:rsidRDefault="00552A50" w:rsidP="00552A50">
            <w:pPr>
              <w:ind w:right="113"/>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35</w:t>
            </w: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788</w:t>
            </w:r>
          </w:p>
        </w:tc>
        <w:tc>
          <w:tcPr>
            <w:tcW w:w="1202" w:type="dxa"/>
            <w:tcBorders>
              <w:top w:val="nil"/>
              <w:left w:val="nil"/>
              <w:bottom w:val="single" w:sz="4" w:space="0" w:color="366092"/>
              <w:right w:val="nil"/>
            </w:tcBorders>
            <w:shd w:val="clear" w:color="000000" w:fill="FFFFFF"/>
            <w:noWrap/>
            <w:vAlign w:val="center"/>
            <w:hideMark/>
          </w:tcPr>
          <w:p w14:paraId="06404D08" w14:textId="38DD1FF4" w:rsidR="00552A50" w:rsidRPr="00935BEC" w:rsidRDefault="00552A50" w:rsidP="00552A50">
            <w:pPr>
              <w:ind w:right="227" w:firstLineChars="100" w:firstLine="181"/>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34</w:t>
            </w:r>
            <w:r w:rsidRPr="00935BEC">
              <w:rPr>
                <w:rFonts w:ascii="Verdana" w:eastAsia="Times New Roman" w:hAnsi="Verdana" w:cs="Calibri"/>
                <w:b/>
                <w:bCs/>
                <w:color w:val="366092"/>
                <w:sz w:val="18"/>
                <w:szCs w:val="18"/>
                <w:lang w:val="el-GR"/>
              </w:rPr>
              <w:t>,</w:t>
            </w:r>
            <w:r w:rsidRPr="00935BEC">
              <w:rPr>
                <w:rFonts w:ascii="Verdana" w:eastAsia="Times New Roman" w:hAnsi="Verdana" w:cs="Calibri"/>
                <w:b/>
                <w:bCs/>
                <w:color w:val="366092"/>
                <w:sz w:val="18"/>
                <w:szCs w:val="18"/>
              </w:rPr>
              <w:t>0</w:t>
            </w:r>
          </w:p>
        </w:tc>
        <w:tc>
          <w:tcPr>
            <w:tcW w:w="1240" w:type="dxa"/>
            <w:tcBorders>
              <w:top w:val="nil"/>
              <w:left w:val="nil"/>
              <w:bottom w:val="single" w:sz="4" w:space="0" w:color="366092"/>
              <w:right w:val="nil"/>
            </w:tcBorders>
            <w:shd w:val="clear" w:color="000000" w:fill="FFFFFF"/>
            <w:noWrap/>
            <w:vAlign w:val="center"/>
            <w:hideMark/>
          </w:tcPr>
          <w:p w14:paraId="6BD7E3F3" w14:textId="4BA27D78" w:rsidR="00552A50" w:rsidRPr="00935BEC" w:rsidRDefault="00552A50" w:rsidP="00552A50">
            <w:pPr>
              <w:ind w:right="113"/>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28.547</w:t>
            </w:r>
          </w:p>
        </w:tc>
        <w:tc>
          <w:tcPr>
            <w:tcW w:w="1240" w:type="dxa"/>
            <w:tcBorders>
              <w:top w:val="nil"/>
              <w:left w:val="nil"/>
              <w:bottom w:val="single" w:sz="4" w:space="0" w:color="366092"/>
              <w:right w:val="nil"/>
            </w:tcBorders>
            <w:shd w:val="clear" w:color="000000" w:fill="FFFFFF"/>
            <w:noWrap/>
            <w:vAlign w:val="center"/>
            <w:hideMark/>
          </w:tcPr>
          <w:p w14:paraId="5450DC62" w14:textId="10CA6C4E" w:rsidR="00552A50" w:rsidRPr="00935BEC" w:rsidRDefault="00552A50" w:rsidP="00552A50">
            <w:pPr>
              <w:ind w:right="227"/>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30,4</w:t>
            </w:r>
          </w:p>
        </w:tc>
        <w:tc>
          <w:tcPr>
            <w:tcW w:w="1420" w:type="dxa"/>
            <w:tcBorders>
              <w:top w:val="nil"/>
              <w:left w:val="nil"/>
              <w:bottom w:val="single" w:sz="4" w:space="0" w:color="366092"/>
              <w:right w:val="nil"/>
            </w:tcBorders>
            <w:shd w:val="clear" w:color="000000" w:fill="FFFFFF"/>
            <w:noWrap/>
            <w:vAlign w:val="center"/>
            <w:hideMark/>
          </w:tcPr>
          <w:p w14:paraId="3D23863A" w14:textId="5EDC37F0" w:rsidR="00552A50" w:rsidRPr="00935BEC" w:rsidRDefault="00552A50" w:rsidP="00552A50">
            <w:pPr>
              <w:ind w:right="397"/>
              <w:jc w:val="right"/>
              <w:rPr>
                <w:rFonts w:ascii="Verdana" w:eastAsia="Times New Roman" w:hAnsi="Verdana" w:cs="Calibri"/>
                <w:b/>
                <w:bCs/>
                <w:color w:val="366092"/>
                <w:sz w:val="18"/>
                <w:szCs w:val="18"/>
              </w:rPr>
            </w:pPr>
            <w:r w:rsidRPr="00935BEC">
              <w:rPr>
                <w:rFonts w:ascii="Verdana" w:eastAsia="Times New Roman" w:hAnsi="Verdana" w:cs="Calibri"/>
                <w:b/>
                <w:bCs/>
                <w:color w:val="366092"/>
                <w:sz w:val="18"/>
                <w:szCs w:val="18"/>
              </w:rPr>
              <w:t>-20,2</w:t>
            </w:r>
          </w:p>
        </w:tc>
      </w:tr>
      <w:tr w:rsidR="00935BEC" w:rsidRPr="00935BEC" w14:paraId="21010B35" w14:textId="77777777" w:rsidTr="00A8239F">
        <w:trPr>
          <w:trHeight w:val="300"/>
          <w:jc w:val="center"/>
        </w:trPr>
        <w:tc>
          <w:tcPr>
            <w:tcW w:w="3320" w:type="dxa"/>
            <w:tcBorders>
              <w:top w:val="single" w:sz="4" w:space="0" w:color="366092"/>
              <w:left w:val="nil"/>
              <w:bottom w:val="nil"/>
              <w:right w:val="nil"/>
            </w:tcBorders>
            <w:shd w:val="clear" w:color="000000" w:fill="FFFFFF"/>
            <w:noWrap/>
            <w:vAlign w:val="center"/>
            <w:hideMark/>
          </w:tcPr>
          <w:p w14:paraId="564BD71B" w14:textId="77777777" w:rsidR="00552A50" w:rsidRPr="00935BEC" w:rsidRDefault="00552A50" w:rsidP="00552A50">
            <w:pPr>
              <w:rPr>
                <w:rFonts w:ascii="Verdana" w:eastAsia="Times New Roman" w:hAnsi="Verdana" w:cs="Calibri"/>
                <w:color w:val="366092"/>
                <w:sz w:val="18"/>
                <w:szCs w:val="18"/>
                <w:lang w:val="el-GR"/>
              </w:rPr>
            </w:pPr>
            <w:r w:rsidRPr="00935BEC">
              <w:rPr>
                <w:rFonts w:ascii="Verdana" w:eastAsia="Times New Roman" w:hAnsi="Verdana" w:cs="Calibri"/>
                <w:color w:val="366092"/>
                <w:sz w:val="18"/>
                <w:szCs w:val="18"/>
                <w:lang w:val="el-GR"/>
              </w:rPr>
              <w:t>Κάτοχοι και μέλη του νοικοκυριού</w:t>
            </w:r>
          </w:p>
        </w:tc>
        <w:tc>
          <w:tcPr>
            <w:tcW w:w="1260" w:type="dxa"/>
            <w:tcBorders>
              <w:top w:val="single" w:sz="4" w:space="0" w:color="366092"/>
              <w:left w:val="nil"/>
              <w:bottom w:val="nil"/>
              <w:right w:val="nil"/>
            </w:tcBorders>
            <w:shd w:val="clear" w:color="000000" w:fill="FFFFFF"/>
            <w:noWrap/>
            <w:vAlign w:val="center"/>
            <w:hideMark/>
          </w:tcPr>
          <w:p w14:paraId="3687FC3A" w14:textId="56D3AA6D"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66</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353</w:t>
            </w:r>
          </w:p>
        </w:tc>
        <w:tc>
          <w:tcPr>
            <w:tcW w:w="1202" w:type="dxa"/>
            <w:tcBorders>
              <w:top w:val="single" w:sz="4" w:space="0" w:color="366092"/>
              <w:left w:val="nil"/>
              <w:bottom w:val="nil"/>
              <w:right w:val="nil"/>
            </w:tcBorders>
            <w:shd w:val="clear" w:color="000000" w:fill="FFFFFF"/>
            <w:noWrap/>
            <w:vAlign w:val="center"/>
            <w:hideMark/>
          </w:tcPr>
          <w:p w14:paraId="19E4199C" w14:textId="115B5C3E"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100</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0</w:t>
            </w:r>
          </w:p>
        </w:tc>
        <w:tc>
          <w:tcPr>
            <w:tcW w:w="1240" w:type="dxa"/>
            <w:tcBorders>
              <w:top w:val="single" w:sz="4" w:space="0" w:color="366092"/>
              <w:left w:val="nil"/>
              <w:bottom w:val="nil"/>
              <w:right w:val="nil"/>
            </w:tcBorders>
            <w:shd w:val="clear" w:color="000000" w:fill="FFFFFF"/>
            <w:noWrap/>
            <w:vAlign w:val="center"/>
            <w:hideMark/>
          </w:tcPr>
          <w:p w14:paraId="5EB735A9" w14:textId="25E88D32"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60.599</w:t>
            </w:r>
          </w:p>
        </w:tc>
        <w:tc>
          <w:tcPr>
            <w:tcW w:w="1240" w:type="dxa"/>
            <w:tcBorders>
              <w:top w:val="single" w:sz="4" w:space="0" w:color="366092"/>
              <w:left w:val="nil"/>
              <w:bottom w:val="nil"/>
              <w:right w:val="nil"/>
            </w:tcBorders>
            <w:shd w:val="clear" w:color="000000" w:fill="FFFFFF"/>
            <w:noWrap/>
            <w:vAlign w:val="center"/>
            <w:hideMark/>
          </w:tcPr>
          <w:p w14:paraId="359272E1" w14:textId="463C820B"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100,0</w:t>
            </w:r>
          </w:p>
        </w:tc>
        <w:tc>
          <w:tcPr>
            <w:tcW w:w="1420" w:type="dxa"/>
            <w:tcBorders>
              <w:top w:val="single" w:sz="4" w:space="0" w:color="366092"/>
              <w:left w:val="nil"/>
              <w:bottom w:val="nil"/>
              <w:right w:val="nil"/>
            </w:tcBorders>
            <w:shd w:val="clear" w:color="000000" w:fill="FFFFFF"/>
            <w:noWrap/>
            <w:vAlign w:val="center"/>
            <w:hideMark/>
          </w:tcPr>
          <w:p w14:paraId="4E4DFD73" w14:textId="536EB8EC"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-8,7</w:t>
            </w:r>
          </w:p>
        </w:tc>
      </w:tr>
      <w:tr w:rsidR="00935BEC" w:rsidRPr="00935BEC" w14:paraId="3CE14D73" w14:textId="77777777" w:rsidTr="00BF034F">
        <w:trPr>
          <w:trHeight w:val="300"/>
          <w:jc w:val="center"/>
        </w:trPr>
        <w:tc>
          <w:tcPr>
            <w:tcW w:w="3320" w:type="dxa"/>
            <w:tcBorders>
              <w:top w:val="nil"/>
              <w:left w:val="nil"/>
              <w:bottom w:val="nil"/>
              <w:right w:val="nil"/>
            </w:tcBorders>
            <w:shd w:val="clear" w:color="FFFFFF" w:fill="FFFFFF"/>
            <w:vAlign w:val="center"/>
            <w:hideMark/>
          </w:tcPr>
          <w:p w14:paraId="4017AF58" w14:textId="77777777" w:rsidR="00552A50" w:rsidRPr="00935BEC" w:rsidRDefault="00552A50" w:rsidP="00552A50">
            <w:pPr>
              <w:ind w:firstLineChars="100" w:firstLine="180"/>
              <w:rPr>
                <w:rFonts w:ascii="Verdana" w:eastAsia="Times New Roman" w:hAnsi="Verdana" w:cs="Calibri"/>
                <w:color w:val="366092"/>
                <w:sz w:val="18"/>
                <w:szCs w:val="18"/>
              </w:rPr>
            </w:pPr>
            <w:proofErr w:type="spellStart"/>
            <w:r w:rsidRPr="00935BEC">
              <w:rPr>
                <w:rFonts w:ascii="Verdana" w:eastAsia="Times New Roman" w:hAnsi="Verdana" w:cs="Calibri"/>
                <w:color w:val="366092"/>
                <w:sz w:val="18"/>
                <w:szCs w:val="18"/>
              </w:rPr>
              <w:t>Άνδρες</w:t>
            </w:r>
            <w:proofErr w:type="spellEnd"/>
          </w:p>
        </w:tc>
        <w:tc>
          <w:tcPr>
            <w:tcW w:w="1260" w:type="dxa"/>
            <w:tcBorders>
              <w:top w:val="nil"/>
              <w:left w:val="nil"/>
              <w:bottom w:val="nil"/>
              <w:right w:val="nil"/>
            </w:tcBorders>
            <w:shd w:val="clear" w:color="000000" w:fill="FFFFFF"/>
            <w:noWrap/>
            <w:vAlign w:val="center"/>
            <w:hideMark/>
          </w:tcPr>
          <w:p w14:paraId="67AE9A8F" w14:textId="6BF56439"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43</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365</w:t>
            </w:r>
          </w:p>
        </w:tc>
        <w:tc>
          <w:tcPr>
            <w:tcW w:w="1202" w:type="dxa"/>
            <w:tcBorders>
              <w:top w:val="nil"/>
              <w:left w:val="nil"/>
              <w:bottom w:val="nil"/>
              <w:right w:val="nil"/>
            </w:tcBorders>
            <w:shd w:val="clear" w:color="000000" w:fill="FFFFFF"/>
            <w:noWrap/>
            <w:vAlign w:val="center"/>
            <w:hideMark/>
          </w:tcPr>
          <w:p w14:paraId="306C46C1" w14:textId="2D82F377"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65</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4</w:t>
            </w:r>
          </w:p>
        </w:tc>
        <w:tc>
          <w:tcPr>
            <w:tcW w:w="1240" w:type="dxa"/>
            <w:tcBorders>
              <w:top w:val="nil"/>
              <w:left w:val="nil"/>
              <w:bottom w:val="nil"/>
              <w:right w:val="nil"/>
            </w:tcBorders>
            <w:shd w:val="clear" w:color="000000" w:fill="FFFFFF"/>
            <w:noWrap/>
            <w:vAlign w:val="center"/>
            <w:hideMark/>
          </w:tcPr>
          <w:p w14:paraId="44E315AE" w14:textId="19792FD8"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40.118</w:t>
            </w:r>
          </w:p>
        </w:tc>
        <w:tc>
          <w:tcPr>
            <w:tcW w:w="1240" w:type="dxa"/>
            <w:tcBorders>
              <w:top w:val="nil"/>
              <w:left w:val="nil"/>
              <w:bottom w:val="nil"/>
              <w:right w:val="nil"/>
            </w:tcBorders>
            <w:shd w:val="clear" w:color="000000" w:fill="FFFFFF"/>
            <w:noWrap/>
            <w:vAlign w:val="center"/>
            <w:hideMark/>
          </w:tcPr>
          <w:p w14:paraId="56C39D8F" w14:textId="689B77D2"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66,2</w:t>
            </w:r>
          </w:p>
        </w:tc>
        <w:tc>
          <w:tcPr>
            <w:tcW w:w="1420" w:type="dxa"/>
            <w:tcBorders>
              <w:top w:val="nil"/>
              <w:left w:val="nil"/>
              <w:bottom w:val="nil"/>
              <w:right w:val="nil"/>
            </w:tcBorders>
            <w:shd w:val="clear" w:color="000000" w:fill="FFFFFF"/>
            <w:noWrap/>
            <w:vAlign w:val="center"/>
            <w:hideMark/>
          </w:tcPr>
          <w:p w14:paraId="29805FA0" w14:textId="2B18D1C4"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-7,5</w:t>
            </w:r>
          </w:p>
        </w:tc>
      </w:tr>
      <w:tr w:rsidR="00935BEC" w:rsidRPr="00935BEC" w14:paraId="64CB2A70" w14:textId="77777777" w:rsidTr="00BF034F">
        <w:trPr>
          <w:trHeight w:val="300"/>
          <w:jc w:val="center"/>
        </w:trPr>
        <w:tc>
          <w:tcPr>
            <w:tcW w:w="3320" w:type="dxa"/>
            <w:tcBorders>
              <w:top w:val="nil"/>
              <w:left w:val="nil"/>
              <w:bottom w:val="nil"/>
              <w:right w:val="nil"/>
            </w:tcBorders>
            <w:shd w:val="clear" w:color="FFFFFF" w:fill="FFFFFF"/>
            <w:vAlign w:val="center"/>
            <w:hideMark/>
          </w:tcPr>
          <w:p w14:paraId="2A6503D4" w14:textId="77777777" w:rsidR="00552A50" w:rsidRPr="00935BEC" w:rsidRDefault="00552A50" w:rsidP="00552A50">
            <w:pPr>
              <w:ind w:firstLineChars="100" w:firstLine="180"/>
              <w:rPr>
                <w:rFonts w:ascii="Verdana" w:eastAsia="Times New Roman" w:hAnsi="Verdana" w:cs="Calibri"/>
                <w:color w:val="366092"/>
                <w:sz w:val="18"/>
                <w:szCs w:val="18"/>
              </w:rPr>
            </w:pPr>
            <w:proofErr w:type="spellStart"/>
            <w:r w:rsidRPr="00935BEC">
              <w:rPr>
                <w:rFonts w:ascii="Verdana" w:eastAsia="Times New Roman" w:hAnsi="Verdana" w:cs="Calibri"/>
                <w:color w:val="366092"/>
                <w:sz w:val="18"/>
                <w:szCs w:val="18"/>
              </w:rPr>
              <w:t>Γυν</w:t>
            </w:r>
            <w:proofErr w:type="spellEnd"/>
            <w:r w:rsidRPr="00935BEC">
              <w:rPr>
                <w:rFonts w:ascii="Verdana" w:eastAsia="Times New Roman" w:hAnsi="Verdana" w:cs="Calibri"/>
                <w:color w:val="366092"/>
                <w:sz w:val="18"/>
                <w:szCs w:val="18"/>
              </w:rPr>
              <w:t>αίκες</w:t>
            </w:r>
          </w:p>
        </w:tc>
        <w:tc>
          <w:tcPr>
            <w:tcW w:w="1260" w:type="dxa"/>
            <w:tcBorders>
              <w:top w:val="nil"/>
              <w:left w:val="nil"/>
              <w:bottom w:val="nil"/>
              <w:right w:val="nil"/>
            </w:tcBorders>
            <w:shd w:val="clear" w:color="000000" w:fill="FFFFFF"/>
            <w:noWrap/>
            <w:vAlign w:val="center"/>
            <w:hideMark/>
          </w:tcPr>
          <w:p w14:paraId="0050A7B3" w14:textId="35A9AD47"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22</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988</w:t>
            </w:r>
          </w:p>
        </w:tc>
        <w:tc>
          <w:tcPr>
            <w:tcW w:w="1202" w:type="dxa"/>
            <w:tcBorders>
              <w:top w:val="nil"/>
              <w:left w:val="nil"/>
              <w:bottom w:val="nil"/>
              <w:right w:val="nil"/>
            </w:tcBorders>
            <w:shd w:val="clear" w:color="000000" w:fill="FFFFFF"/>
            <w:noWrap/>
            <w:vAlign w:val="center"/>
            <w:hideMark/>
          </w:tcPr>
          <w:p w14:paraId="313E1CAD" w14:textId="67CBC66E"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34</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6</w:t>
            </w:r>
          </w:p>
        </w:tc>
        <w:tc>
          <w:tcPr>
            <w:tcW w:w="1240" w:type="dxa"/>
            <w:tcBorders>
              <w:top w:val="nil"/>
              <w:left w:val="nil"/>
              <w:bottom w:val="nil"/>
              <w:right w:val="nil"/>
            </w:tcBorders>
            <w:shd w:val="clear" w:color="000000" w:fill="FFFFFF"/>
            <w:noWrap/>
            <w:vAlign w:val="center"/>
            <w:hideMark/>
          </w:tcPr>
          <w:p w14:paraId="36DED77D" w14:textId="37112581"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20.481</w:t>
            </w:r>
          </w:p>
        </w:tc>
        <w:tc>
          <w:tcPr>
            <w:tcW w:w="1240" w:type="dxa"/>
            <w:tcBorders>
              <w:top w:val="nil"/>
              <w:left w:val="nil"/>
              <w:bottom w:val="nil"/>
              <w:right w:val="nil"/>
            </w:tcBorders>
            <w:shd w:val="clear" w:color="000000" w:fill="FFFFFF"/>
            <w:noWrap/>
            <w:vAlign w:val="center"/>
            <w:hideMark/>
          </w:tcPr>
          <w:p w14:paraId="1DFDB8F1" w14:textId="4589FFE0"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33,8</w:t>
            </w:r>
          </w:p>
        </w:tc>
        <w:tc>
          <w:tcPr>
            <w:tcW w:w="1420" w:type="dxa"/>
            <w:tcBorders>
              <w:top w:val="nil"/>
              <w:left w:val="nil"/>
              <w:bottom w:val="nil"/>
              <w:right w:val="nil"/>
            </w:tcBorders>
            <w:shd w:val="clear" w:color="000000" w:fill="FFFFFF"/>
            <w:noWrap/>
            <w:vAlign w:val="center"/>
            <w:hideMark/>
          </w:tcPr>
          <w:p w14:paraId="29ACC9EC" w14:textId="5400988C"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-10,9</w:t>
            </w:r>
          </w:p>
        </w:tc>
      </w:tr>
      <w:tr w:rsidR="00935BEC" w:rsidRPr="00935BEC" w14:paraId="35FC0B26" w14:textId="77777777" w:rsidTr="00BF034F">
        <w:trPr>
          <w:trHeight w:val="300"/>
          <w:jc w:val="center"/>
        </w:trPr>
        <w:tc>
          <w:tcPr>
            <w:tcW w:w="3320" w:type="dxa"/>
            <w:tcBorders>
              <w:top w:val="nil"/>
              <w:left w:val="nil"/>
              <w:bottom w:val="nil"/>
              <w:right w:val="nil"/>
            </w:tcBorders>
            <w:shd w:val="clear" w:color="000000" w:fill="FFFFFF"/>
            <w:noWrap/>
            <w:vAlign w:val="center"/>
            <w:hideMark/>
          </w:tcPr>
          <w:p w14:paraId="6128045F" w14:textId="77777777" w:rsidR="00552A50" w:rsidRPr="00935BEC" w:rsidRDefault="00552A50" w:rsidP="00552A50">
            <w:pPr>
              <w:rPr>
                <w:rFonts w:ascii="Verdana" w:eastAsia="Times New Roman" w:hAnsi="Verdana" w:cs="Calibri"/>
                <w:color w:val="366092"/>
                <w:sz w:val="18"/>
                <w:szCs w:val="18"/>
              </w:rPr>
            </w:pPr>
            <w:r w:rsidRPr="00935BEC">
              <w:rPr>
                <w:rFonts w:ascii="Verdana" w:eastAsia="Times New Roman" w:hAnsi="Verdana" w:cs="Calibri"/>
                <w:color w:val="366092"/>
                <w:sz w:val="18"/>
                <w:szCs w:val="18"/>
              </w:rPr>
              <w:t xml:space="preserve">Μόνιμοι </w:t>
            </w:r>
            <w:proofErr w:type="spellStart"/>
            <w:r w:rsidRPr="00935BEC">
              <w:rPr>
                <w:rFonts w:ascii="Verdana" w:eastAsia="Times New Roman" w:hAnsi="Verdana" w:cs="Calibri"/>
                <w:color w:val="366092"/>
                <w:sz w:val="18"/>
                <w:szCs w:val="18"/>
              </w:rPr>
              <w:t>εργάτες</w:t>
            </w:r>
            <w:proofErr w:type="spellEnd"/>
            <w:r w:rsidRPr="00935BEC">
              <w:rPr>
                <w:rFonts w:ascii="Verdana" w:eastAsia="Times New Roman" w:hAnsi="Verdana" w:cs="Calibri"/>
                <w:color w:val="366092"/>
                <w:sz w:val="18"/>
                <w:szCs w:val="18"/>
              </w:rPr>
              <w:t xml:space="preserve"> </w:t>
            </w:r>
          </w:p>
        </w:tc>
        <w:tc>
          <w:tcPr>
            <w:tcW w:w="1260" w:type="dxa"/>
            <w:tcBorders>
              <w:top w:val="nil"/>
              <w:left w:val="nil"/>
              <w:bottom w:val="nil"/>
              <w:right w:val="nil"/>
            </w:tcBorders>
            <w:shd w:val="clear" w:color="000000" w:fill="FFFFFF"/>
            <w:noWrap/>
            <w:vAlign w:val="center"/>
            <w:hideMark/>
          </w:tcPr>
          <w:p w14:paraId="573C89C0" w14:textId="7AC5F3D2"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5</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993</w:t>
            </w:r>
          </w:p>
        </w:tc>
        <w:tc>
          <w:tcPr>
            <w:tcW w:w="1202" w:type="dxa"/>
            <w:tcBorders>
              <w:top w:val="nil"/>
              <w:left w:val="nil"/>
              <w:bottom w:val="nil"/>
              <w:right w:val="nil"/>
            </w:tcBorders>
            <w:shd w:val="clear" w:color="000000" w:fill="FFFFFF"/>
            <w:noWrap/>
            <w:vAlign w:val="center"/>
            <w:hideMark/>
          </w:tcPr>
          <w:p w14:paraId="487D7167" w14:textId="6A79FB7D"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100</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0</w:t>
            </w:r>
          </w:p>
        </w:tc>
        <w:tc>
          <w:tcPr>
            <w:tcW w:w="1240" w:type="dxa"/>
            <w:tcBorders>
              <w:top w:val="nil"/>
              <w:left w:val="nil"/>
              <w:bottom w:val="nil"/>
              <w:right w:val="nil"/>
            </w:tcBorders>
            <w:shd w:val="clear" w:color="000000" w:fill="FFFFFF"/>
            <w:noWrap/>
            <w:vAlign w:val="center"/>
            <w:hideMark/>
          </w:tcPr>
          <w:p w14:paraId="0F74506A" w14:textId="3C8D6CE6"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6.722</w:t>
            </w:r>
          </w:p>
        </w:tc>
        <w:tc>
          <w:tcPr>
            <w:tcW w:w="1240" w:type="dxa"/>
            <w:tcBorders>
              <w:top w:val="nil"/>
              <w:left w:val="nil"/>
              <w:bottom w:val="nil"/>
              <w:right w:val="nil"/>
            </w:tcBorders>
            <w:shd w:val="clear" w:color="000000" w:fill="FFFFFF"/>
            <w:noWrap/>
            <w:vAlign w:val="center"/>
            <w:hideMark/>
          </w:tcPr>
          <w:p w14:paraId="7C3DBDBC" w14:textId="1D50048C"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100,0</w:t>
            </w:r>
          </w:p>
        </w:tc>
        <w:tc>
          <w:tcPr>
            <w:tcW w:w="1420" w:type="dxa"/>
            <w:tcBorders>
              <w:top w:val="nil"/>
              <w:left w:val="nil"/>
              <w:bottom w:val="nil"/>
              <w:right w:val="nil"/>
            </w:tcBorders>
            <w:shd w:val="clear" w:color="000000" w:fill="FFFFFF"/>
            <w:noWrap/>
            <w:vAlign w:val="center"/>
            <w:hideMark/>
          </w:tcPr>
          <w:p w14:paraId="67A4BD38" w14:textId="4C75D436"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12,2</w:t>
            </w:r>
          </w:p>
        </w:tc>
      </w:tr>
      <w:tr w:rsidR="00935BEC" w:rsidRPr="00935BEC" w14:paraId="5FD5E059" w14:textId="77777777" w:rsidTr="00BF034F">
        <w:trPr>
          <w:trHeight w:val="300"/>
          <w:jc w:val="center"/>
        </w:trPr>
        <w:tc>
          <w:tcPr>
            <w:tcW w:w="3320" w:type="dxa"/>
            <w:tcBorders>
              <w:top w:val="nil"/>
              <w:left w:val="nil"/>
              <w:bottom w:val="nil"/>
              <w:right w:val="nil"/>
            </w:tcBorders>
            <w:shd w:val="clear" w:color="FFFFFF" w:fill="FFFFFF"/>
            <w:vAlign w:val="center"/>
            <w:hideMark/>
          </w:tcPr>
          <w:p w14:paraId="214489AC" w14:textId="77777777" w:rsidR="00552A50" w:rsidRPr="00935BEC" w:rsidRDefault="00552A50" w:rsidP="00552A50">
            <w:pPr>
              <w:ind w:firstLineChars="100" w:firstLine="180"/>
              <w:rPr>
                <w:rFonts w:ascii="Verdana" w:eastAsia="Times New Roman" w:hAnsi="Verdana" w:cs="Calibri"/>
                <w:color w:val="366092"/>
                <w:sz w:val="18"/>
                <w:szCs w:val="18"/>
              </w:rPr>
            </w:pPr>
            <w:proofErr w:type="spellStart"/>
            <w:r w:rsidRPr="00935BEC">
              <w:rPr>
                <w:rFonts w:ascii="Verdana" w:eastAsia="Times New Roman" w:hAnsi="Verdana" w:cs="Calibri"/>
                <w:color w:val="366092"/>
                <w:sz w:val="18"/>
                <w:szCs w:val="18"/>
              </w:rPr>
              <w:t>Άνδρες</w:t>
            </w:r>
            <w:proofErr w:type="spellEnd"/>
          </w:p>
        </w:tc>
        <w:tc>
          <w:tcPr>
            <w:tcW w:w="1260" w:type="dxa"/>
            <w:tcBorders>
              <w:top w:val="nil"/>
              <w:left w:val="nil"/>
              <w:bottom w:val="nil"/>
              <w:right w:val="nil"/>
            </w:tcBorders>
            <w:shd w:val="clear" w:color="000000" w:fill="FFFFFF"/>
            <w:noWrap/>
            <w:vAlign w:val="center"/>
            <w:hideMark/>
          </w:tcPr>
          <w:p w14:paraId="5D624F4B" w14:textId="13C83128"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5</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147</w:t>
            </w:r>
          </w:p>
        </w:tc>
        <w:tc>
          <w:tcPr>
            <w:tcW w:w="1202" w:type="dxa"/>
            <w:tcBorders>
              <w:top w:val="nil"/>
              <w:left w:val="nil"/>
              <w:bottom w:val="nil"/>
              <w:right w:val="nil"/>
            </w:tcBorders>
            <w:shd w:val="clear" w:color="000000" w:fill="FFFFFF"/>
            <w:noWrap/>
            <w:vAlign w:val="center"/>
            <w:hideMark/>
          </w:tcPr>
          <w:p w14:paraId="1F88D8D9" w14:textId="1BD8934E"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85</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9</w:t>
            </w:r>
          </w:p>
        </w:tc>
        <w:tc>
          <w:tcPr>
            <w:tcW w:w="1240" w:type="dxa"/>
            <w:tcBorders>
              <w:top w:val="nil"/>
              <w:left w:val="nil"/>
              <w:bottom w:val="nil"/>
              <w:right w:val="nil"/>
            </w:tcBorders>
            <w:shd w:val="clear" w:color="000000" w:fill="FFFFFF"/>
            <w:noWrap/>
            <w:vAlign w:val="center"/>
            <w:hideMark/>
          </w:tcPr>
          <w:p w14:paraId="5FF3C62F" w14:textId="0937CBF2"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5.803</w:t>
            </w:r>
          </w:p>
        </w:tc>
        <w:tc>
          <w:tcPr>
            <w:tcW w:w="1240" w:type="dxa"/>
            <w:tcBorders>
              <w:top w:val="nil"/>
              <w:left w:val="nil"/>
              <w:bottom w:val="nil"/>
              <w:right w:val="nil"/>
            </w:tcBorders>
            <w:shd w:val="clear" w:color="000000" w:fill="FFFFFF"/>
            <w:noWrap/>
            <w:vAlign w:val="center"/>
            <w:hideMark/>
          </w:tcPr>
          <w:p w14:paraId="2606F29C" w14:textId="0BBFAE96"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86,3</w:t>
            </w:r>
          </w:p>
        </w:tc>
        <w:tc>
          <w:tcPr>
            <w:tcW w:w="1420" w:type="dxa"/>
            <w:tcBorders>
              <w:top w:val="nil"/>
              <w:left w:val="nil"/>
              <w:bottom w:val="nil"/>
              <w:right w:val="nil"/>
            </w:tcBorders>
            <w:shd w:val="clear" w:color="000000" w:fill="FFFFFF"/>
            <w:noWrap/>
            <w:vAlign w:val="center"/>
            <w:hideMark/>
          </w:tcPr>
          <w:p w14:paraId="739615F9" w14:textId="3FBB18D9"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12,7</w:t>
            </w:r>
          </w:p>
        </w:tc>
      </w:tr>
      <w:tr w:rsidR="00935BEC" w:rsidRPr="00935BEC" w14:paraId="666B1E08" w14:textId="77777777" w:rsidTr="00BF034F">
        <w:trPr>
          <w:trHeight w:val="300"/>
          <w:jc w:val="center"/>
        </w:trPr>
        <w:tc>
          <w:tcPr>
            <w:tcW w:w="3320" w:type="dxa"/>
            <w:tcBorders>
              <w:top w:val="nil"/>
              <w:left w:val="nil"/>
              <w:bottom w:val="nil"/>
              <w:right w:val="nil"/>
            </w:tcBorders>
            <w:shd w:val="clear" w:color="FFFFFF" w:fill="FFFFFF"/>
            <w:vAlign w:val="center"/>
            <w:hideMark/>
          </w:tcPr>
          <w:p w14:paraId="2B0CAFF1" w14:textId="77777777" w:rsidR="00552A50" w:rsidRPr="00935BEC" w:rsidRDefault="00552A50" w:rsidP="00552A50">
            <w:pPr>
              <w:ind w:firstLineChars="100" w:firstLine="180"/>
              <w:rPr>
                <w:rFonts w:ascii="Verdana" w:eastAsia="Times New Roman" w:hAnsi="Verdana" w:cs="Calibri"/>
                <w:color w:val="366092"/>
                <w:sz w:val="18"/>
                <w:szCs w:val="18"/>
              </w:rPr>
            </w:pPr>
            <w:proofErr w:type="spellStart"/>
            <w:r w:rsidRPr="00935BEC">
              <w:rPr>
                <w:rFonts w:ascii="Verdana" w:eastAsia="Times New Roman" w:hAnsi="Verdana" w:cs="Calibri"/>
                <w:color w:val="366092"/>
                <w:sz w:val="18"/>
                <w:szCs w:val="18"/>
              </w:rPr>
              <w:t>Γυν</w:t>
            </w:r>
            <w:proofErr w:type="spellEnd"/>
            <w:r w:rsidRPr="00935BEC">
              <w:rPr>
                <w:rFonts w:ascii="Verdana" w:eastAsia="Times New Roman" w:hAnsi="Verdana" w:cs="Calibri"/>
                <w:color w:val="366092"/>
                <w:sz w:val="18"/>
                <w:szCs w:val="18"/>
              </w:rPr>
              <w:t>αίκες</w:t>
            </w:r>
          </w:p>
        </w:tc>
        <w:tc>
          <w:tcPr>
            <w:tcW w:w="1260" w:type="dxa"/>
            <w:tcBorders>
              <w:top w:val="nil"/>
              <w:left w:val="nil"/>
              <w:bottom w:val="nil"/>
              <w:right w:val="nil"/>
            </w:tcBorders>
            <w:shd w:val="clear" w:color="000000" w:fill="FFFFFF"/>
            <w:noWrap/>
            <w:vAlign w:val="center"/>
            <w:hideMark/>
          </w:tcPr>
          <w:p w14:paraId="20C682D3" w14:textId="01E783BF"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846</w:t>
            </w:r>
          </w:p>
        </w:tc>
        <w:tc>
          <w:tcPr>
            <w:tcW w:w="1202" w:type="dxa"/>
            <w:tcBorders>
              <w:top w:val="nil"/>
              <w:left w:val="nil"/>
              <w:bottom w:val="nil"/>
              <w:right w:val="nil"/>
            </w:tcBorders>
            <w:shd w:val="clear" w:color="000000" w:fill="FFFFFF"/>
            <w:noWrap/>
            <w:vAlign w:val="center"/>
            <w:hideMark/>
          </w:tcPr>
          <w:p w14:paraId="7A959D0F" w14:textId="45187B18"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14</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1</w:t>
            </w:r>
          </w:p>
        </w:tc>
        <w:tc>
          <w:tcPr>
            <w:tcW w:w="1240" w:type="dxa"/>
            <w:tcBorders>
              <w:top w:val="nil"/>
              <w:left w:val="nil"/>
              <w:bottom w:val="nil"/>
              <w:right w:val="nil"/>
            </w:tcBorders>
            <w:shd w:val="clear" w:color="000000" w:fill="FFFFFF"/>
            <w:noWrap/>
            <w:vAlign w:val="center"/>
            <w:hideMark/>
          </w:tcPr>
          <w:p w14:paraId="58B7426E" w14:textId="775B7D1B"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919</w:t>
            </w:r>
          </w:p>
        </w:tc>
        <w:tc>
          <w:tcPr>
            <w:tcW w:w="1240" w:type="dxa"/>
            <w:tcBorders>
              <w:top w:val="nil"/>
              <w:left w:val="nil"/>
              <w:bottom w:val="nil"/>
              <w:right w:val="nil"/>
            </w:tcBorders>
            <w:shd w:val="clear" w:color="000000" w:fill="FFFFFF"/>
            <w:noWrap/>
            <w:vAlign w:val="center"/>
            <w:hideMark/>
          </w:tcPr>
          <w:p w14:paraId="097C6B14" w14:textId="3F6069F9"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13,7</w:t>
            </w:r>
          </w:p>
        </w:tc>
        <w:tc>
          <w:tcPr>
            <w:tcW w:w="1420" w:type="dxa"/>
            <w:tcBorders>
              <w:top w:val="nil"/>
              <w:left w:val="nil"/>
              <w:bottom w:val="nil"/>
              <w:right w:val="nil"/>
            </w:tcBorders>
            <w:shd w:val="clear" w:color="000000" w:fill="FFFFFF"/>
            <w:noWrap/>
            <w:vAlign w:val="center"/>
            <w:hideMark/>
          </w:tcPr>
          <w:p w14:paraId="05248E13" w14:textId="49841289"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8,6</w:t>
            </w:r>
          </w:p>
        </w:tc>
      </w:tr>
      <w:tr w:rsidR="00935BEC" w:rsidRPr="00935BEC" w14:paraId="0848C0E7" w14:textId="77777777" w:rsidTr="00BF034F">
        <w:trPr>
          <w:trHeight w:val="300"/>
          <w:jc w:val="center"/>
        </w:trPr>
        <w:tc>
          <w:tcPr>
            <w:tcW w:w="3320" w:type="dxa"/>
            <w:tcBorders>
              <w:top w:val="nil"/>
              <w:left w:val="nil"/>
              <w:bottom w:val="nil"/>
              <w:right w:val="nil"/>
            </w:tcBorders>
            <w:shd w:val="clear" w:color="000000" w:fill="FFFFFF"/>
            <w:noWrap/>
            <w:vAlign w:val="center"/>
            <w:hideMark/>
          </w:tcPr>
          <w:p w14:paraId="366BFC69" w14:textId="77777777" w:rsidR="00552A50" w:rsidRPr="00935BEC" w:rsidRDefault="00552A50" w:rsidP="00552A50">
            <w:pPr>
              <w:rPr>
                <w:rFonts w:ascii="Verdana" w:eastAsia="Times New Roman" w:hAnsi="Verdana" w:cs="Calibri"/>
                <w:color w:val="366092"/>
                <w:sz w:val="18"/>
                <w:szCs w:val="18"/>
              </w:rPr>
            </w:pPr>
            <w:r w:rsidRPr="00935BEC">
              <w:rPr>
                <w:rFonts w:ascii="Verdana" w:eastAsia="Times New Roman" w:hAnsi="Verdana" w:cs="Calibri"/>
                <w:color w:val="366092"/>
                <w:sz w:val="18"/>
                <w:szCs w:val="18"/>
              </w:rPr>
              <w:t>Επ</w:t>
            </w:r>
            <w:proofErr w:type="spellStart"/>
            <w:r w:rsidRPr="00935BEC">
              <w:rPr>
                <w:rFonts w:ascii="Verdana" w:eastAsia="Times New Roman" w:hAnsi="Verdana" w:cs="Calibri"/>
                <w:color w:val="366092"/>
                <w:sz w:val="18"/>
                <w:szCs w:val="18"/>
              </w:rPr>
              <w:t>οχικοί</w:t>
            </w:r>
            <w:proofErr w:type="spellEnd"/>
            <w:r w:rsidRPr="00935BEC">
              <w:rPr>
                <w:rFonts w:ascii="Verdana" w:eastAsia="Times New Roman" w:hAnsi="Verdana" w:cs="Calibri"/>
                <w:color w:val="366092"/>
                <w:sz w:val="18"/>
                <w:szCs w:val="18"/>
              </w:rPr>
              <w:t xml:space="preserve"> </w:t>
            </w:r>
            <w:proofErr w:type="spellStart"/>
            <w:r w:rsidRPr="00935BEC">
              <w:rPr>
                <w:rFonts w:ascii="Verdana" w:eastAsia="Times New Roman" w:hAnsi="Verdana" w:cs="Calibri"/>
                <w:color w:val="366092"/>
                <w:sz w:val="18"/>
                <w:szCs w:val="18"/>
              </w:rPr>
              <w:t>εργάτες</w:t>
            </w:r>
            <w:proofErr w:type="spellEnd"/>
            <w:r w:rsidRPr="00935BEC">
              <w:rPr>
                <w:rFonts w:ascii="Verdana" w:eastAsia="Times New Roman" w:hAnsi="Verdana" w:cs="Calibri"/>
                <w:color w:val="366092"/>
                <w:sz w:val="18"/>
                <w:szCs w:val="18"/>
              </w:rPr>
              <w:t xml:space="preserve"> </w:t>
            </w:r>
          </w:p>
        </w:tc>
        <w:tc>
          <w:tcPr>
            <w:tcW w:w="1260" w:type="dxa"/>
            <w:tcBorders>
              <w:top w:val="nil"/>
              <w:left w:val="nil"/>
              <w:bottom w:val="nil"/>
              <w:right w:val="nil"/>
            </w:tcBorders>
            <w:shd w:val="clear" w:color="000000" w:fill="FFFFFF"/>
            <w:noWrap/>
            <w:vAlign w:val="center"/>
            <w:hideMark/>
          </w:tcPr>
          <w:p w14:paraId="67BF2A60" w14:textId="79A795C3"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32</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841</w:t>
            </w:r>
          </w:p>
        </w:tc>
        <w:tc>
          <w:tcPr>
            <w:tcW w:w="1202" w:type="dxa"/>
            <w:tcBorders>
              <w:top w:val="nil"/>
              <w:left w:val="nil"/>
              <w:bottom w:val="nil"/>
              <w:right w:val="nil"/>
            </w:tcBorders>
            <w:shd w:val="clear" w:color="000000" w:fill="FFFFFF"/>
            <w:noWrap/>
            <w:vAlign w:val="center"/>
            <w:hideMark/>
          </w:tcPr>
          <w:p w14:paraId="2BC983BC" w14:textId="2822364B"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100</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0</w:t>
            </w:r>
          </w:p>
        </w:tc>
        <w:tc>
          <w:tcPr>
            <w:tcW w:w="1240" w:type="dxa"/>
            <w:tcBorders>
              <w:top w:val="nil"/>
              <w:left w:val="nil"/>
              <w:bottom w:val="nil"/>
              <w:right w:val="nil"/>
            </w:tcBorders>
            <w:shd w:val="clear" w:color="000000" w:fill="FFFFFF"/>
            <w:noWrap/>
            <w:vAlign w:val="center"/>
            <w:hideMark/>
          </w:tcPr>
          <w:p w14:paraId="6CCF9B7C" w14:textId="222058CE"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26.509</w:t>
            </w:r>
          </w:p>
        </w:tc>
        <w:tc>
          <w:tcPr>
            <w:tcW w:w="1240" w:type="dxa"/>
            <w:tcBorders>
              <w:top w:val="nil"/>
              <w:left w:val="nil"/>
              <w:bottom w:val="nil"/>
              <w:right w:val="nil"/>
            </w:tcBorders>
            <w:shd w:val="clear" w:color="000000" w:fill="FFFFFF"/>
            <w:noWrap/>
            <w:vAlign w:val="center"/>
            <w:hideMark/>
          </w:tcPr>
          <w:p w14:paraId="738CDC3B" w14:textId="33F33D3C"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100,0</w:t>
            </w:r>
          </w:p>
        </w:tc>
        <w:tc>
          <w:tcPr>
            <w:tcW w:w="1420" w:type="dxa"/>
            <w:tcBorders>
              <w:top w:val="nil"/>
              <w:left w:val="nil"/>
              <w:bottom w:val="nil"/>
              <w:right w:val="nil"/>
            </w:tcBorders>
            <w:shd w:val="clear" w:color="000000" w:fill="FFFFFF"/>
            <w:noWrap/>
            <w:vAlign w:val="center"/>
            <w:hideMark/>
          </w:tcPr>
          <w:p w14:paraId="7DE9AAC2" w14:textId="1289D2A4"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-19,3</w:t>
            </w:r>
          </w:p>
        </w:tc>
      </w:tr>
      <w:tr w:rsidR="00935BEC" w:rsidRPr="00935BEC" w14:paraId="4CC20E56" w14:textId="77777777" w:rsidTr="00BF034F">
        <w:trPr>
          <w:trHeight w:val="300"/>
          <w:jc w:val="center"/>
        </w:trPr>
        <w:tc>
          <w:tcPr>
            <w:tcW w:w="3320" w:type="dxa"/>
            <w:tcBorders>
              <w:top w:val="nil"/>
              <w:left w:val="nil"/>
              <w:bottom w:val="nil"/>
              <w:right w:val="nil"/>
            </w:tcBorders>
            <w:shd w:val="clear" w:color="FFFFFF" w:fill="FFFFFF"/>
            <w:vAlign w:val="center"/>
            <w:hideMark/>
          </w:tcPr>
          <w:p w14:paraId="6A1D0B19" w14:textId="77777777" w:rsidR="00552A50" w:rsidRPr="00935BEC" w:rsidRDefault="00552A50" w:rsidP="00552A50">
            <w:pPr>
              <w:ind w:firstLineChars="100" w:firstLine="180"/>
              <w:rPr>
                <w:rFonts w:ascii="Verdana" w:eastAsia="Times New Roman" w:hAnsi="Verdana" w:cs="Calibri"/>
                <w:color w:val="366092"/>
                <w:sz w:val="18"/>
                <w:szCs w:val="18"/>
              </w:rPr>
            </w:pPr>
            <w:proofErr w:type="spellStart"/>
            <w:r w:rsidRPr="00935BEC">
              <w:rPr>
                <w:rFonts w:ascii="Verdana" w:eastAsia="Times New Roman" w:hAnsi="Verdana" w:cs="Calibri"/>
                <w:color w:val="366092"/>
                <w:sz w:val="18"/>
                <w:szCs w:val="18"/>
              </w:rPr>
              <w:t>Άνδρες</w:t>
            </w:r>
            <w:proofErr w:type="spellEnd"/>
          </w:p>
        </w:tc>
        <w:tc>
          <w:tcPr>
            <w:tcW w:w="1260" w:type="dxa"/>
            <w:tcBorders>
              <w:top w:val="nil"/>
              <w:left w:val="nil"/>
              <w:bottom w:val="nil"/>
              <w:right w:val="nil"/>
            </w:tcBorders>
            <w:shd w:val="clear" w:color="000000" w:fill="FFFFFF"/>
            <w:noWrap/>
            <w:vAlign w:val="center"/>
            <w:hideMark/>
          </w:tcPr>
          <w:p w14:paraId="773FAC39" w14:textId="0FF5B838"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20</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887</w:t>
            </w:r>
          </w:p>
        </w:tc>
        <w:tc>
          <w:tcPr>
            <w:tcW w:w="1202" w:type="dxa"/>
            <w:tcBorders>
              <w:top w:val="nil"/>
              <w:left w:val="nil"/>
              <w:bottom w:val="nil"/>
              <w:right w:val="nil"/>
            </w:tcBorders>
            <w:shd w:val="clear" w:color="000000" w:fill="FFFFFF"/>
            <w:noWrap/>
            <w:vAlign w:val="center"/>
            <w:hideMark/>
          </w:tcPr>
          <w:p w14:paraId="60BF075B" w14:textId="4AD18ACC"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63</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6</w:t>
            </w:r>
          </w:p>
        </w:tc>
        <w:tc>
          <w:tcPr>
            <w:tcW w:w="1240" w:type="dxa"/>
            <w:tcBorders>
              <w:top w:val="nil"/>
              <w:left w:val="nil"/>
              <w:bottom w:val="nil"/>
              <w:right w:val="nil"/>
            </w:tcBorders>
            <w:shd w:val="clear" w:color="000000" w:fill="FFFFFF"/>
            <w:noWrap/>
            <w:vAlign w:val="center"/>
            <w:hideMark/>
          </w:tcPr>
          <w:p w14:paraId="1B8A299E" w14:textId="498AE77B"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19.362</w:t>
            </w:r>
          </w:p>
        </w:tc>
        <w:tc>
          <w:tcPr>
            <w:tcW w:w="1240" w:type="dxa"/>
            <w:tcBorders>
              <w:top w:val="nil"/>
              <w:left w:val="nil"/>
              <w:bottom w:val="nil"/>
              <w:right w:val="nil"/>
            </w:tcBorders>
            <w:shd w:val="clear" w:color="000000" w:fill="FFFFFF"/>
            <w:noWrap/>
            <w:vAlign w:val="center"/>
            <w:hideMark/>
          </w:tcPr>
          <w:p w14:paraId="1E6B5A08" w14:textId="0D81673D"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73,0</w:t>
            </w:r>
          </w:p>
        </w:tc>
        <w:tc>
          <w:tcPr>
            <w:tcW w:w="1420" w:type="dxa"/>
            <w:tcBorders>
              <w:top w:val="nil"/>
              <w:left w:val="nil"/>
              <w:bottom w:val="nil"/>
              <w:right w:val="nil"/>
            </w:tcBorders>
            <w:shd w:val="clear" w:color="000000" w:fill="FFFFFF"/>
            <w:noWrap/>
            <w:vAlign w:val="center"/>
            <w:hideMark/>
          </w:tcPr>
          <w:p w14:paraId="1769B143" w14:textId="7CBF939E"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-7,3</w:t>
            </w:r>
          </w:p>
        </w:tc>
      </w:tr>
      <w:tr w:rsidR="00935BEC" w:rsidRPr="00935BEC" w14:paraId="30952ECF" w14:textId="77777777" w:rsidTr="00A8239F">
        <w:trPr>
          <w:trHeight w:val="300"/>
          <w:jc w:val="center"/>
        </w:trPr>
        <w:tc>
          <w:tcPr>
            <w:tcW w:w="3320" w:type="dxa"/>
            <w:tcBorders>
              <w:top w:val="nil"/>
              <w:left w:val="nil"/>
              <w:bottom w:val="single" w:sz="4" w:space="0" w:color="366092"/>
              <w:right w:val="nil"/>
            </w:tcBorders>
            <w:shd w:val="clear" w:color="FFFFFF" w:fill="FFFFFF"/>
            <w:vAlign w:val="center"/>
            <w:hideMark/>
          </w:tcPr>
          <w:p w14:paraId="4BACDF85" w14:textId="77777777" w:rsidR="00552A50" w:rsidRPr="00935BEC" w:rsidRDefault="00552A50" w:rsidP="00552A50">
            <w:pPr>
              <w:ind w:firstLineChars="100" w:firstLine="180"/>
              <w:rPr>
                <w:rFonts w:ascii="Verdana" w:eastAsia="Times New Roman" w:hAnsi="Verdana" w:cs="Calibri"/>
                <w:color w:val="366092"/>
                <w:sz w:val="18"/>
                <w:szCs w:val="18"/>
              </w:rPr>
            </w:pPr>
            <w:proofErr w:type="spellStart"/>
            <w:r w:rsidRPr="00935BEC">
              <w:rPr>
                <w:rFonts w:ascii="Verdana" w:eastAsia="Times New Roman" w:hAnsi="Verdana" w:cs="Calibri"/>
                <w:color w:val="366092"/>
                <w:sz w:val="18"/>
                <w:szCs w:val="18"/>
              </w:rPr>
              <w:t>Γυν</w:t>
            </w:r>
            <w:proofErr w:type="spellEnd"/>
            <w:r w:rsidRPr="00935BEC">
              <w:rPr>
                <w:rFonts w:ascii="Verdana" w:eastAsia="Times New Roman" w:hAnsi="Verdana" w:cs="Calibri"/>
                <w:color w:val="366092"/>
                <w:sz w:val="18"/>
                <w:szCs w:val="18"/>
              </w:rPr>
              <w:t>αίκες</w:t>
            </w:r>
          </w:p>
        </w:tc>
        <w:tc>
          <w:tcPr>
            <w:tcW w:w="1260" w:type="dxa"/>
            <w:tcBorders>
              <w:top w:val="nil"/>
              <w:left w:val="nil"/>
              <w:bottom w:val="single" w:sz="4" w:space="0" w:color="366092"/>
              <w:right w:val="nil"/>
            </w:tcBorders>
            <w:shd w:val="clear" w:color="000000" w:fill="FFFFFF"/>
            <w:noWrap/>
            <w:vAlign w:val="center"/>
            <w:hideMark/>
          </w:tcPr>
          <w:p w14:paraId="4207C8D5" w14:textId="56067501"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11</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954</w:t>
            </w:r>
          </w:p>
        </w:tc>
        <w:tc>
          <w:tcPr>
            <w:tcW w:w="1202" w:type="dxa"/>
            <w:tcBorders>
              <w:top w:val="nil"/>
              <w:left w:val="nil"/>
              <w:bottom w:val="single" w:sz="4" w:space="0" w:color="366092"/>
              <w:right w:val="nil"/>
            </w:tcBorders>
            <w:shd w:val="clear" w:color="000000" w:fill="FFFFFF"/>
            <w:noWrap/>
            <w:vAlign w:val="center"/>
            <w:hideMark/>
          </w:tcPr>
          <w:p w14:paraId="3FB07336" w14:textId="79DE3B6D" w:rsidR="00552A50" w:rsidRPr="00935BEC" w:rsidRDefault="00552A50" w:rsidP="00552A50">
            <w:pPr>
              <w:ind w:right="227" w:firstLineChars="100" w:firstLine="180"/>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36</w:t>
            </w:r>
            <w:r w:rsidRPr="00935BEC">
              <w:rPr>
                <w:rFonts w:ascii="Verdana" w:eastAsia="Times New Roman" w:hAnsi="Verdana" w:cs="Calibri"/>
                <w:color w:val="366092"/>
                <w:sz w:val="18"/>
                <w:szCs w:val="18"/>
                <w:lang w:val="el-GR"/>
              </w:rPr>
              <w:t>,</w:t>
            </w:r>
            <w:r w:rsidRPr="00935BEC">
              <w:rPr>
                <w:rFonts w:ascii="Verdana" w:eastAsia="Times New Roman" w:hAnsi="Verdana" w:cs="Calibri"/>
                <w:color w:val="366092"/>
                <w:sz w:val="18"/>
                <w:szCs w:val="18"/>
              </w:rPr>
              <w:t>4</w:t>
            </w:r>
          </w:p>
        </w:tc>
        <w:tc>
          <w:tcPr>
            <w:tcW w:w="1240" w:type="dxa"/>
            <w:tcBorders>
              <w:top w:val="nil"/>
              <w:left w:val="nil"/>
              <w:bottom w:val="single" w:sz="4" w:space="0" w:color="366092"/>
              <w:right w:val="nil"/>
            </w:tcBorders>
            <w:shd w:val="clear" w:color="000000" w:fill="FFFFFF"/>
            <w:noWrap/>
            <w:vAlign w:val="center"/>
            <w:hideMark/>
          </w:tcPr>
          <w:p w14:paraId="6F40C4AB" w14:textId="3C2D5FD8" w:rsidR="00552A50" w:rsidRPr="00935BEC" w:rsidRDefault="00552A50" w:rsidP="00552A50">
            <w:pPr>
              <w:ind w:right="113"/>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7.147</w:t>
            </w:r>
          </w:p>
        </w:tc>
        <w:tc>
          <w:tcPr>
            <w:tcW w:w="1240" w:type="dxa"/>
            <w:tcBorders>
              <w:top w:val="nil"/>
              <w:left w:val="nil"/>
              <w:bottom w:val="single" w:sz="4" w:space="0" w:color="366092"/>
              <w:right w:val="nil"/>
            </w:tcBorders>
            <w:shd w:val="clear" w:color="000000" w:fill="FFFFFF"/>
            <w:noWrap/>
            <w:vAlign w:val="center"/>
            <w:hideMark/>
          </w:tcPr>
          <w:p w14:paraId="22C5BD19" w14:textId="2F88D786" w:rsidR="00552A50" w:rsidRPr="00935BEC" w:rsidRDefault="00552A50" w:rsidP="00552A50">
            <w:pPr>
              <w:ind w:right="22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27,0</w:t>
            </w:r>
          </w:p>
        </w:tc>
        <w:tc>
          <w:tcPr>
            <w:tcW w:w="1420" w:type="dxa"/>
            <w:tcBorders>
              <w:top w:val="nil"/>
              <w:left w:val="nil"/>
              <w:bottom w:val="single" w:sz="4" w:space="0" w:color="366092"/>
              <w:right w:val="nil"/>
            </w:tcBorders>
            <w:shd w:val="clear" w:color="000000" w:fill="FFFFFF"/>
            <w:noWrap/>
            <w:vAlign w:val="center"/>
            <w:hideMark/>
          </w:tcPr>
          <w:p w14:paraId="16F42DFE" w14:textId="7581076F" w:rsidR="00552A50" w:rsidRPr="00935BEC" w:rsidRDefault="00552A50" w:rsidP="00552A50">
            <w:pPr>
              <w:ind w:right="397"/>
              <w:jc w:val="right"/>
              <w:rPr>
                <w:rFonts w:ascii="Verdana" w:eastAsia="Times New Roman" w:hAnsi="Verdana" w:cs="Calibri"/>
                <w:color w:val="366092"/>
                <w:sz w:val="18"/>
                <w:szCs w:val="18"/>
              </w:rPr>
            </w:pPr>
            <w:r w:rsidRPr="00935BEC">
              <w:rPr>
                <w:rFonts w:ascii="Verdana" w:eastAsia="Times New Roman" w:hAnsi="Verdana" w:cs="Calibri"/>
                <w:color w:val="366092"/>
                <w:sz w:val="18"/>
                <w:szCs w:val="18"/>
              </w:rPr>
              <w:t>-40,2</w:t>
            </w:r>
          </w:p>
        </w:tc>
      </w:tr>
    </w:tbl>
    <w:p w14:paraId="130A663D" w14:textId="77777777" w:rsidR="00AC6A35" w:rsidRPr="00AC6A35" w:rsidRDefault="00AC6A35" w:rsidP="00AC6A35">
      <w:pPr>
        <w:jc w:val="both"/>
        <w:rPr>
          <w:rFonts w:ascii="Verdana" w:eastAsia="Malgun Gothic" w:hAnsi="Verdana" w:cs="Calibri"/>
          <w:bCs/>
          <w:sz w:val="18"/>
          <w:szCs w:val="18"/>
        </w:rPr>
      </w:pPr>
    </w:p>
    <w:p w14:paraId="23CF737F" w14:textId="4C2A6FA8" w:rsidR="00D966DB" w:rsidRDefault="00D966DB" w:rsidP="00BB1E78">
      <w:pPr>
        <w:jc w:val="center"/>
        <w:rPr>
          <w:rFonts w:ascii="Verdana" w:eastAsia="Malgun Gothic" w:hAnsi="Verdana" w:cs="Calibri"/>
          <w:b/>
          <w:u w:val="single"/>
          <w:lang w:val="el-GR"/>
        </w:rPr>
      </w:pPr>
      <w:r>
        <w:rPr>
          <w:rFonts w:ascii="Verdana" w:eastAsia="Malgun Gothic" w:hAnsi="Verdana" w:cs="Calibri"/>
          <w:b/>
          <w:u w:val="single"/>
          <w:lang w:val="el-GR"/>
        </w:rPr>
        <w:lastRenderedPageBreak/>
        <w:t>ΜΕΘΟΔΟΛΟΓΙΚΕΣ ΠΛΗΡΟΦΟΡΙΕΣ</w:t>
      </w:r>
    </w:p>
    <w:p w14:paraId="688E9857" w14:textId="77777777" w:rsidR="00D966DB" w:rsidRDefault="00D966DB" w:rsidP="00D966DB">
      <w:pPr>
        <w:jc w:val="center"/>
        <w:rPr>
          <w:rFonts w:ascii="Verdana" w:eastAsia="Malgun Gothic" w:hAnsi="Verdana" w:cs="Calibri"/>
          <w:b/>
          <w:sz w:val="18"/>
          <w:szCs w:val="18"/>
          <w:u w:val="single"/>
          <w:lang w:val="el-GR"/>
        </w:rPr>
      </w:pPr>
    </w:p>
    <w:p w14:paraId="41772D34" w14:textId="77777777" w:rsidR="00D966DB" w:rsidRDefault="00D966DB" w:rsidP="00D966DB">
      <w:pPr>
        <w:jc w:val="both"/>
        <w:rPr>
          <w:rFonts w:ascii="Verdana" w:eastAsia="Malgun Gothic" w:hAnsi="Verdana" w:cs="Calibri"/>
          <w:b/>
          <w:sz w:val="18"/>
          <w:szCs w:val="18"/>
          <w:u w:val="single"/>
          <w:lang w:val="el-GR"/>
        </w:rPr>
      </w:pPr>
      <w:r>
        <w:rPr>
          <w:rFonts w:ascii="Verdana" w:eastAsia="Malgun Gothic" w:hAnsi="Verdana" w:cs="Calibri"/>
          <w:b/>
          <w:sz w:val="18"/>
          <w:szCs w:val="18"/>
          <w:u w:val="single"/>
          <w:lang w:val="el-GR"/>
        </w:rPr>
        <w:t>Σκοπός</w:t>
      </w:r>
    </w:p>
    <w:p w14:paraId="140DF770" w14:textId="77777777" w:rsidR="00D966DB" w:rsidRDefault="00D966DB" w:rsidP="00D966DB">
      <w:pPr>
        <w:jc w:val="both"/>
        <w:rPr>
          <w:rFonts w:ascii="Verdana" w:eastAsia="Malgun Gothic" w:hAnsi="Verdana" w:cs="Calibri"/>
          <w:b/>
          <w:sz w:val="18"/>
          <w:szCs w:val="18"/>
          <w:u w:val="single"/>
          <w:lang w:val="el-GR"/>
        </w:rPr>
      </w:pPr>
    </w:p>
    <w:p w14:paraId="76DA4B77" w14:textId="7338FFF8" w:rsidR="00D966DB" w:rsidRPr="00D3798C" w:rsidRDefault="00DE0CF0" w:rsidP="00D966DB">
      <w:pPr>
        <w:jc w:val="both"/>
        <w:rPr>
          <w:rFonts w:ascii="Verdana" w:eastAsia="Malgun Gothic" w:hAnsi="Verdana" w:cs="Calibri"/>
          <w:sz w:val="18"/>
          <w:szCs w:val="18"/>
          <w:lang w:val="el-GR"/>
        </w:rPr>
      </w:pPr>
      <w:r w:rsidRPr="00DE0CF0">
        <w:rPr>
          <w:rFonts w:ascii="Verdana" w:eastAsia="Malgun Gothic" w:hAnsi="Verdana" w:cs="Calibri"/>
          <w:sz w:val="18"/>
          <w:szCs w:val="18"/>
          <w:lang w:val="el-GR"/>
        </w:rPr>
        <w:t>Η Έρευνα Διάρθρωσης Γεωργικών και Κτηνοτροφικών Εκμεταλλεύσεων διεξάγεται σε όλα τα κράτη μέλη της Ευρωπαϊκής Ένωσης, με βάση τις διατάξεις του Κανονισμού (ΕΕ) 20</w:t>
      </w:r>
      <w:r w:rsidR="00645C87">
        <w:rPr>
          <w:rFonts w:ascii="Verdana" w:eastAsia="Malgun Gothic" w:hAnsi="Verdana" w:cs="Calibri"/>
          <w:sz w:val="18"/>
          <w:szCs w:val="18"/>
          <w:lang w:val="el-GR"/>
        </w:rPr>
        <w:t>18</w:t>
      </w:r>
      <w:r w:rsidRPr="00DE0CF0">
        <w:rPr>
          <w:rFonts w:ascii="Verdana" w:eastAsia="Malgun Gothic" w:hAnsi="Verdana" w:cs="Calibri"/>
          <w:sz w:val="18"/>
          <w:szCs w:val="18"/>
          <w:lang w:val="el-GR"/>
        </w:rPr>
        <w:t>/</w:t>
      </w:r>
      <w:r w:rsidR="00645C87">
        <w:rPr>
          <w:rFonts w:ascii="Verdana" w:eastAsia="Malgun Gothic" w:hAnsi="Verdana" w:cs="Calibri"/>
          <w:sz w:val="18"/>
          <w:szCs w:val="18"/>
          <w:lang w:val="el-GR"/>
        </w:rPr>
        <w:t xml:space="preserve">1091 και </w:t>
      </w:r>
      <w:r w:rsidR="00645C87" w:rsidRPr="00DE0CF0">
        <w:rPr>
          <w:rFonts w:ascii="Verdana" w:eastAsia="Malgun Gothic" w:hAnsi="Verdana" w:cs="Calibri"/>
          <w:sz w:val="18"/>
          <w:szCs w:val="18"/>
          <w:lang w:val="el-GR"/>
        </w:rPr>
        <w:t>συγχρηματοδοτείται από την Ευρωπαϊκή Ένωση</w:t>
      </w:r>
      <w:r w:rsidRPr="00DE0CF0">
        <w:rPr>
          <w:rFonts w:ascii="Verdana" w:eastAsia="Malgun Gothic" w:hAnsi="Verdana" w:cs="Calibri"/>
          <w:sz w:val="18"/>
          <w:szCs w:val="18"/>
          <w:lang w:val="el-GR"/>
        </w:rPr>
        <w:t xml:space="preserve">. </w:t>
      </w:r>
      <w:r w:rsidR="00D966DB">
        <w:rPr>
          <w:rFonts w:ascii="Verdana" w:eastAsia="Malgun Gothic" w:hAnsi="Verdana" w:cs="Calibri"/>
          <w:sz w:val="18"/>
          <w:szCs w:val="18"/>
          <w:lang w:val="el-GR"/>
        </w:rPr>
        <w:t xml:space="preserve">Σκοπός της </w:t>
      </w:r>
      <w:r w:rsidR="005D1003" w:rsidRPr="005D1003">
        <w:rPr>
          <w:rFonts w:ascii="Verdana" w:eastAsia="Malgun Gothic" w:hAnsi="Verdana" w:cs="Calibri"/>
          <w:sz w:val="18"/>
          <w:szCs w:val="18"/>
          <w:lang w:val="el-GR"/>
        </w:rPr>
        <w:t>Έρευνα</w:t>
      </w:r>
      <w:r w:rsidR="005D1003">
        <w:rPr>
          <w:rFonts w:ascii="Verdana" w:eastAsia="Malgun Gothic" w:hAnsi="Verdana" w:cs="Calibri"/>
          <w:sz w:val="18"/>
          <w:szCs w:val="18"/>
          <w:lang w:val="el-GR"/>
        </w:rPr>
        <w:t>ς</w:t>
      </w:r>
      <w:r w:rsidR="005D1003" w:rsidRPr="005D1003">
        <w:rPr>
          <w:rFonts w:ascii="Verdana" w:eastAsia="Malgun Gothic" w:hAnsi="Verdana" w:cs="Calibri"/>
          <w:sz w:val="18"/>
          <w:szCs w:val="18"/>
          <w:lang w:val="el-GR"/>
        </w:rPr>
        <w:t xml:space="preserve"> </w:t>
      </w:r>
      <w:r w:rsidR="00D966DB">
        <w:rPr>
          <w:rFonts w:ascii="Verdana" w:eastAsia="Malgun Gothic" w:hAnsi="Verdana" w:cs="Calibri"/>
          <w:sz w:val="18"/>
          <w:szCs w:val="18"/>
          <w:lang w:val="el-GR"/>
        </w:rPr>
        <w:t xml:space="preserve">είναι η συλλογή πληροφοριών </w:t>
      </w:r>
      <w:r w:rsidR="00D966DB" w:rsidRPr="002E7F97">
        <w:rPr>
          <w:rFonts w:ascii="Verdana" w:eastAsia="Malgun Gothic" w:hAnsi="Verdana" w:cs="Calibri"/>
          <w:sz w:val="18"/>
          <w:szCs w:val="18"/>
          <w:lang w:val="el-GR"/>
        </w:rPr>
        <w:t xml:space="preserve">προκειμένου να εξεταστούν οι τάσεις στη διάρθρωση των γεωργικών και κτηνοτροφικών εκμεταλλεύσεων, ώστε να παρασχεθούν στην ΕΕ οι απαραίτητες πληροφορίες για τον σχεδιασμό, την εφαρμογή, την παρακολούθηση, την αξιολόγηση και την αναθεώρηση της Κοινής Αγροτικής Πολιτικής (ΚΑΠ) και άλλων συναφών πολιτικών. </w:t>
      </w:r>
      <w:r w:rsidR="00D966DB">
        <w:rPr>
          <w:rFonts w:ascii="Verdana" w:eastAsia="Malgun Gothic" w:hAnsi="Verdana" w:cs="Calibri"/>
          <w:sz w:val="18"/>
          <w:szCs w:val="18"/>
          <w:lang w:val="el-GR"/>
        </w:rPr>
        <w:t xml:space="preserve">Οι πληροφορίες σχετίζονται με τη δομή και τους τύπους των γεωργικών και κτηνοτροφικών εκμεταλλεύσεων και τα χαρακτηριστικά των κατόχων τους, με τον κατατεμαχισμό των εκμεταλλεύσεων, την κατοχή και χρήση της γης, τις καλλιεργούμενες εκτάσεις, </w:t>
      </w:r>
      <w:r w:rsidR="005D1003" w:rsidRPr="005D1003">
        <w:rPr>
          <w:rFonts w:ascii="Verdana" w:eastAsia="Malgun Gothic" w:hAnsi="Verdana" w:cs="Calibri"/>
          <w:sz w:val="18"/>
          <w:szCs w:val="18"/>
          <w:lang w:val="el-GR"/>
        </w:rPr>
        <w:t>τις μεθόδους και πηγές άρδευσης καθώς και τις τεχνικές παραμέτρους του αρδευτικού εξοπλισμού</w:t>
      </w:r>
      <w:r w:rsidR="005D1003">
        <w:rPr>
          <w:rFonts w:ascii="Verdana" w:eastAsia="Malgun Gothic" w:hAnsi="Verdana" w:cs="Calibri"/>
          <w:sz w:val="18"/>
          <w:szCs w:val="18"/>
          <w:lang w:val="el-GR"/>
        </w:rPr>
        <w:t xml:space="preserve">, </w:t>
      </w:r>
      <w:r w:rsidR="005D1003" w:rsidRPr="005D1003">
        <w:rPr>
          <w:rFonts w:ascii="Verdana" w:eastAsia="Malgun Gothic" w:hAnsi="Verdana" w:cs="Calibri"/>
          <w:sz w:val="18"/>
          <w:szCs w:val="18"/>
          <w:lang w:val="el-GR"/>
        </w:rPr>
        <w:t>τις πρακτικές διαχείρισης εδάφους, τα μηχανήματα και τον εξοπλισμό</w:t>
      </w:r>
      <w:r w:rsidR="005D1003">
        <w:rPr>
          <w:rFonts w:ascii="Verdana" w:eastAsia="Malgun Gothic" w:hAnsi="Verdana" w:cs="Calibri"/>
          <w:sz w:val="18"/>
          <w:szCs w:val="18"/>
          <w:lang w:val="el-GR"/>
        </w:rPr>
        <w:t xml:space="preserve">, </w:t>
      </w:r>
      <w:r w:rsidR="00D966DB">
        <w:rPr>
          <w:rFonts w:ascii="Verdana" w:eastAsia="Malgun Gothic" w:hAnsi="Verdana" w:cs="Calibri"/>
          <w:sz w:val="18"/>
          <w:szCs w:val="18"/>
          <w:lang w:val="el-GR"/>
        </w:rPr>
        <w:t>τον αριθμό των ζώων</w:t>
      </w:r>
      <w:r w:rsidR="00645C87">
        <w:rPr>
          <w:rFonts w:ascii="Verdana" w:eastAsia="Malgun Gothic" w:hAnsi="Verdana" w:cs="Calibri"/>
          <w:sz w:val="18"/>
          <w:szCs w:val="18"/>
          <w:lang w:val="el-GR"/>
        </w:rPr>
        <w:t>,</w:t>
      </w:r>
      <w:r w:rsidR="00D966DB">
        <w:rPr>
          <w:rFonts w:ascii="Verdana" w:eastAsia="Malgun Gothic" w:hAnsi="Verdana" w:cs="Calibri"/>
          <w:sz w:val="18"/>
          <w:szCs w:val="18"/>
          <w:lang w:val="el-GR"/>
        </w:rPr>
        <w:t xml:space="preserve"> φυλή και ηλικία καθώς και τα μέτρα </w:t>
      </w:r>
      <w:r w:rsidR="005D1003">
        <w:rPr>
          <w:rFonts w:ascii="Verdana" w:eastAsia="Malgun Gothic" w:hAnsi="Verdana" w:cs="Calibri"/>
          <w:sz w:val="18"/>
          <w:szCs w:val="18"/>
          <w:lang w:val="el-GR"/>
        </w:rPr>
        <w:t xml:space="preserve">στήριξης για </w:t>
      </w:r>
      <w:r w:rsidR="00D966DB">
        <w:rPr>
          <w:rFonts w:ascii="Verdana" w:eastAsia="Malgun Gothic" w:hAnsi="Verdana" w:cs="Calibri"/>
          <w:sz w:val="18"/>
          <w:szCs w:val="18"/>
          <w:lang w:val="el-GR"/>
        </w:rPr>
        <w:t>αγροτική ανάπτυξη. Επίσης, συλλέγονται πληροφορίες σχετικά με τα χαρακτηριστικά των κατόχων (ηλικία, φύλο, νομικό καθεστώς, γεωργική κατάρτιση, κύρια απασχόληση κλπ.), το εργατικό δυναμικό των εκμεταλλεύσεων, συμπεριλαμβανομένων άλλων κερδοσκοπικών δραστηριοτήτων καθώς και των μεθόδων παραγωγής, περιβαλλοντικές πτυχές κλπ.</w:t>
      </w:r>
    </w:p>
    <w:p w14:paraId="0C3FEDCD" w14:textId="77777777" w:rsidR="005D1003" w:rsidRPr="00D3798C" w:rsidRDefault="005D1003" w:rsidP="00D966DB">
      <w:pPr>
        <w:jc w:val="both"/>
        <w:rPr>
          <w:rFonts w:ascii="Verdana" w:eastAsia="Malgun Gothic" w:hAnsi="Verdana" w:cs="Calibri"/>
          <w:sz w:val="18"/>
          <w:szCs w:val="18"/>
          <w:lang w:val="el-GR"/>
        </w:rPr>
      </w:pPr>
    </w:p>
    <w:p w14:paraId="78C3F74B" w14:textId="77777777" w:rsidR="00D966DB" w:rsidRDefault="00D966DB" w:rsidP="00D966DB">
      <w:pPr>
        <w:jc w:val="both"/>
        <w:rPr>
          <w:rFonts w:ascii="Verdana" w:eastAsia="Malgun Gothic" w:hAnsi="Verdana" w:cs="Calibri"/>
          <w:b/>
          <w:sz w:val="18"/>
          <w:szCs w:val="18"/>
          <w:u w:val="single"/>
          <w:lang w:val="el-GR"/>
        </w:rPr>
      </w:pPr>
      <w:r>
        <w:rPr>
          <w:rFonts w:ascii="Verdana" w:eastAsia="Malgun Gothic" w:hAnsi="Verdana" w:cs="Calibri"/>
          <w:b/>
          <w:sz w:val="18"/>
          <w:szCs w:val="18"/>
          <w:u w:val="single"/>
          <w:lang w:val="el-GR"/>
        </w:rPr>
        <w:t>Κάλυψη</w:t>
      </w:r>
    </w:p>
    <w:p w14:paraId="10F2E63E" w14:textId="77777777" w:rsidR="00D966DB" w:rsidRDefault="00D966DB" w:rsidP="00D966DB">
      <w:pPr>
        <w:jc w:val="both"/>
        <w:rPr>
          <w:rFonts w:ascii="Verdana" w:eastAsia="Malgun Gothic" w:hAnsi="Verdana" w:cs="Calibri"/>
          <w:b/>
          <w:sz w:val="18"/>
          <w:szCs w:val="18"/>
          <w:u w:val="single"/>
          <w:lang w:val="el-GR"/>
        </w:rPr>
      </w:pPr>
    </w:p>
    <w:p w14:paraId="5177A4E0" w14:textId="77777777" w:rsidR="00D966DB" w:rsidRDefault="00D966DB" w:rsidP="00D966DB">
      <w:pPr>
        <w:jc w:val="both"/>
        <w:rPr>
          <w:rFonts w:ascii="Verdana" w:eastAsia="Malgun Gothic" w:hAnsi="Verdana" w:cs="Calibri"/>
          <w:sz w:val="18"/>
          <w:szCs w:val="18"/>
          <w:lang w:val="el-GR"/>
        </w:rPr>
      </w:pPr>
      <w:r w:rsidRPr="002E7F97">
        <w:rPr>
          <w:rFonts w:ascii="Verdana" w:eastAsia="Malgun Gothic" w:hAnsi="Verdana" w:cs="Calibri"/>
          <w:sz w:val="18"/>
          <w:szCs w:val="18"/>
          <w:lang w:val="el-GR"/>
        </w:rPr>
        <w:t xml:space="preserve">Η απογραφόμενη μονάδα είναι </w:t>
      </w:r>
      <w:r>
        <w:rPr>
          <w:rFonts w:ascii="Verdana" w:eastAsia="Malgun Gothic" w:hAnsi="Verdana" w:cs="Calibri"/>
          <w:sz w:val="18"/>
          <w:szCs w:val="18"/>
          <w:lang w:val="el-GR"/>
        </w:rPr>
        <w:t>η γ</w:t>
      </w:r>
      <w:r w:rsidRPr="002E7F97">
        <w:rPr>
          <w:rFonts w:ascii="Verdana" w:eastAsia="Malgun Gothic" w:hAnsi="Verdana" w:cs="Calibri"/>
          <w:sz w:val="18"/>
          <w:szCs w:val="18"/>
          <w:lang w:val="el-GR"/>
        </w:rPr>
        <w:t xml:space="preserve">εωργική ή κτηνοτροφική </w:t>
      </w:r>
      <w:r>
        <w:rPr>
          <w:rFonts w:ascii="Verdana" w:eastAsia="Malgun Gothic" w:hAnsi="Verdana" w:cs="Calibri"/>
          <w:sz w:val="18"/>
          <w:szCs w:val="18"/>
          <w:lang w:val="el-GR"/>
        </w:rPr>
        <w:t xml:space="preserve">ή μικτή </w:t>
      </w:r>
      <w:r w:rsidRPr="002E7F97">
        <w:rPr>
          <w:rFonts w:ascii="Verdana" w:eastAsia="Malgun Gothic" w:hAnsi="Verdana" w:cs="Calibri"/>
          <w:sz w:val="18"/>
          <w:szCs w:val="18"/>
          <w:lang w:val="el-GR"/>
        </w:rPr>
        <w:t>εκμετάλλευση</w:t>
      </w:r>
      <w:r>
        <w:rPr>
          <w:rFonts w:ascii="Verdana" w:eastAsia="Malgun Gothic" w:hAnsi="Verdana" w:cs="Calibri"/>
          <w:sz w:val="18"/>
          <w:szCs w:val="18"/>
          <w:lang w:val="el-GR"/>
        </w:rPr>
        <w:t>,</w:t>
      </w:r>
      <w:r w:rsidRPr="002E7F97">
        <w:rPr>
          <w:rFonts w:ascii="Verdana" w:eastAsia="Malgun Gothic" w:hAnsi="Verdana" w:cs="Calibri"/>
          <w:sz w:val="18"/>
          <w:szCs w:val="18"/>
          <w:lang w:val="el-GR"/>
        </w:rPr>
        <w:t xml:space="preserve"> η οποία ορίζεται </w:t>
      </w:r>
      <w:r>
        <w:rPr>
          <w:rFonts w:ascii="Verdana" w:eastAsia="Malgun Gothic" w:hAnsi="Verdana" w:cs="Calibri"/>
          <w:sz w:val="18"/>
          <w:szCs w:val="18"/>
          <w:lang w:val="el-GR"/>
        </w:rPr>
        <w:t xml:space="preserve">ως </w:t>
      </w:r>
      <w:r w:rsidRPr="002E7F97">
        <w:rPr>
          <w:rFonts w:ascii="Verdana" w:eastAsia="Malgun Gothic" w:hAnsi="Verdana" w:cs="Calibri"/>
          <w:sz w:val="18"/>
          <w:szCs w:val="18"/>
          <w:lang w:val="el-GR"/>
        </w:rPr>
        <w:t xml:space="preserve">μια ενιαία μονάδα, τόσο από τεχνική όσο και από οικονομική άποψη, που έχει ενιαία διαχείριση και αναλαμβάνει οικονομικές δραστηριότητες στη </w:t>
      </w:r>
      <w:r>
        <w:rPr>
          <w:rFonts w:ascii="Verdana" w:eastAsia="Malgun Gothic" w:hAnsi="Verdana" w:cs="Calibri"/>
          <w:sz w:val="18"/>
          <w:szCs w:val="18"/>
          <w:lang w:val="el-GR"/>
        </w:rPr>
        <w:t>γεωργία.</w:t>
      </w:r>
    </w:p>
    <w:p w14:paraId="75FD02BC" w14:textId="77777777" w:rsidR="00D966DB" w:rsidRDefault="00D966DB" w:rsidP="00D966DB">
      <w:pPr>
        <w:jc w:val="both"/>
        <w:rPr>
          <w:rFonts w:ascii="Verdana" w:eastAsia="Malgun Gothic" w:hAnsi="Verdana" w:cs="Calibri"/>
          <w:sz w:val="18"/>
          <w:szCs w:val="18"/>
          <w:lang w:val="el-GR"/>
        </w:rPr>
      </w:pPr>
    </w:p>
    <w:p w14:paraId="065ECC94" w14:textId="6C4CB062" w:rsidR="00D966DB" w:rsidRDefault="00D966DB" w:rsidP="00D966DB">
      <w:pPr>
        <w:jc w:val="both"/>
        <w:rPr>
          <w:rFonts w:ascii="Verdana" w:eastAsia="Malgun Gothic" w:hAnsi="Verdana" w:cs="Calibri"/>
          <w:sz w:val="18"/>
          <w:szCs w:val="18"/>
          <w:lang w:val="el-GR"/>
        </w:rPr>
      </w:pPr>
      <w:r w:rsidRPr="002E7F97">
        <w:rPr>
          <w:rFonts w:ascii="Verdana" w:eastAsia="Malgun Gothic" w:hAnsi="Verdana" w:cs="Calibri"/>
          <w:sz w:val="18"/>
          <w:szCs w:val="18"/>
          <w:lang w:val="el-GR"/>
        </w:rPr>
        <w:t xml:space="preserve">Στην </w:t>
      </w:r>
      <w:r w:rsidR="005D1003">
        <w:rPr>
          <w:rFonts w:ascii="Verdana" w:eastAsia="Malgun Gothic" w:hAnsi="Verdana" w:cs="Calibri"/>
          <w:sz w:val="18"/>
          <w:szCs w:val="18"/>
          <w:lang w:val="el-GR"/>
        </w:rPr>
        <w:t xml:space="preserve">Έρευνα </w:t>
      </w:r>
      <w:r w:rsidRPr="002E7F97">
        <w:rPr>
          <w:rFonts w:ascii="Verdana" w:eastAsia="Malgun Gothic" w:hAnsi="Verdana" w:cs="Calibri"/>
          <w:sz w:val="18"/>
          <w:szCs w:val="18"/>
          <w:lang w:val="el-GR"/>
        </w:rPr>
        <w:t>202</w:t>
      </w:r>
      <w:r w:rsidR="005D1003">
        <w:rPr>
          <w:rFonts w:ascii="Verdana" w:eastAsia="Malgun Gothic" w:hAnsi="Verdana" w:cs="Calibri"/>
          <w:sz w:val="18"/>
          <w:szCs w:val="18"/>
          <w:lang w:val="el-GR"/>
        </w:rPr>
        <w:t>3</w:t>
      </w:r>
      <w:r w:rsidRPr="002E7F97">
        <w:rPr>
          <w:rFonts w:ascii="Verdana" w:eastAsia="Malgun Gothic" w:hAnsi="Verdana" w:cs="Calibri"/>
          <w:sz w:val="18"/>
          <w:szCs w:val="18"/>
          <w:lang w:val="el-GR"/>
        </w:rPr>
        <w:t xml:space="preserve"> περιλήφθηκε κάθε γεωργική ή κτηνοτροφική εκμετάλλευση </w:t>
      </w:r>
      <w:r>
        <w:rPr>
          <w:rFonts w:ascii="Verdana" w:eastAsia="Malgun Gothic" w:hAnsi="Verdana" w:cs="Calibri"/>
          <w:sz w:val="18"/>
          <w:szCs w:val="18"/>
          <w:lang w:val="el-GR"/>
        </w:rPr>
        <w:t>στις περιοχές της Κυπριακής Δημοκρατίας</w:t>
      </w:r>
      <w:r w:rsidRPr="002E7F97">
        <w:rPr>
          <w:rFonts w:ascii="Verdana" w:eastAsia="Malgun Gothic" w:hAnsi="Verdana" w:cs="Calibri"/>
          <w:sz w:val="18"/>
          <w:szCs w:val="18"/>
          <w:lang w:val="el-GR"/>
        </w:rPr>
        <w:t xml:space="preserve"> που </w:t>
      </w:r>
      <w:r>
        <w:rPr>
          <w:rFonts w:ascii="Verdana" w:eastAsia="Malgun Gothic" w:hAnsi="Verdana" w:cs="Calibri"/>
          <w:sz w:val="18"/>
          <w:szCs w:val="18"/>
          <w:lang w:val="el-GR"/>
        </w:rPr>
        <w:t>είχε</w:t>
      </w:r>
      <w:r w:rsidRPr="002E7F97">
        <w:rPr>
          <w:rFonts w:ascii="Verdana" w:eastAsia="Malgun Gothic" w:hAnsi="Verdana" w:cs="Calibri"/>
          <w:sz w:val="18"/>
          <w:szCs w:val="18"/>
          <w:lang w:val="el-GR"/>
        </w:rPr>
        <w:t>:</w:t>
      </w:r>
    </w:p>
    <w:p w14:paraId="7DDAFAFD" w14:textId="77777777" w:rsidR="00D966DB" w:rsidRDefault="00D966DB" w:rsidP="00D966DB">
      <w:pPr>
        <w:jc w:val="both"/>
        <w:rPr>
          <w:rFonts w:ascii="Verdana" w:eastAsia="Malgun Gothic" w:hAnsi="Verdana" w:cs="Calibri"/>
          <w:sz w:val="18"/>
          <w:szCs w:val="18"/>
          <w:lang w:val="el-GR"/>
        </w:rPr>
      </w:pPr>
    </w:p>
    <w:p w14:paraId="0EBDBFD6" w14:textId="22786D79" w:rsidR="00D966DB" w:rsidRPr="00645C87" w:rsidRDefault="00D966DB" w:rsidP="00361B0B">
      <w:pPr>
        <w:numPr>
          <w:ilvl w:val="0"/>
          <w:numId w:val="7"/>
        </w:numPr>
        <w:jc w:val="both"/>
        <w:rPr>
          <w:rFonts w:ascii="Verdana" w:eastAsia="Malgun Gothic" w:hAnsi="Verdana" w:cs="Calibri"/>
          <w:sz w:val="18"/>
          <w:szCs w:val="18"/>
          <w:lang w:val="el-GR"/>
        </w:rPr>
      </w:pPr>
      <w:r w:rsidRPr="00645C87">
        <w:rPr>
          <w:rFonts w:ascii="Verdana" w:eastAsia="Malgun Gothic" w:hAnsi="Verdana" w:cs="Calibri"/>
          <w:sz w:val="18"/>
          <w:szCs w:val="18"/>
          <w:lang w:val="el-GR"/>
        </w:rPr>
        <w:t xml:space="preserve">Δύο (2) τουλάχιστον δεκάρια χρησιμοποιούμενης γεωργικής έκτασης ή τουλάχιστον εκατό τετραγωνικά μέτρα (100m²) θερμοκηπίου ή τουλάχιστον ένα (1) </w:t>
      </w:r>
      <w:proofErr w:type="spellStart"/>
      <w:r w:rsidRPr="00645C87">
        <w:rPr>
          <w:rFonts w:ascii="Verdana" w:eastAsia="Malgun Gothic" w:hAnsi="Verdana" w:cs="Calibri"/>
          <w:sz w:val="18"/>
          <w:szCs w:val="18"/>
          <w:lang w:val="el-GR"/>
        </w:rPr>
        <w:t>δεκάριο</w:t>
      </w:r>
      <w:proofErr w:type="spellEnd"/>
      <w:r w:rsidRPr="00645C87">
        <w:rPr>
          <w:rFonts w:ascii="Verdana" w:eastAsia="Malgun Gothic" w:hAnsi="Verdana" w:cs="Calibri"/>
          <w:sz w:val="18"/>
          <w:szCs w:val="18"/>
          <w:lang w:val="el-GR"/>
        </w:rPr>
        <w:t xml:space="preserve"> αμπελώνες ή τουλάχιστον εκατό τετραγωνικά μέτρα (100m²) μανιτάρια, ανεξάρτητα από τους τίτλους ιδιοκτησίας (μορφή κατοχής) και τον τόπο όπου βρίσκεται ή,</w:t>
      </w:r>
    </w:p>
    <w:p w14:paraId="207537BB" w14:textId="77777777" w:rsidR="00D966DB" w:rsidRPr="00F93CA8" w:rsidRDefault="00D966DB" w:rsidP="00D966DB">
      <w:pPr>
        <w:numPr>
          <w:ilvl w:val="0"/>
          <w:numId w:val="7"/>
        </w:numPr>
        <w:jc w:val="both"/>
        <w:rPr>
          <w:rFonts w:ascii="Verdana" w:eastAsia="Malgun Gothic" w:hAnsi="Verdana" w:cs="Calibri"/>
          <w:sz w:val="18"/>
          <w:szCs w:val="18"/>
          <w:lang w:val="el-GR"/>
        </w:rPr>
      </w:pPr>
      <w:r w:rsidRPr="00F93CA8">
        <w:rPr>
          <w:rFonts w:ascii="Verdana" w:eastAsia="Malgun Gothic" w:hAnsi="Verdana" w:cs="Calibri"/>
          <w:sz w:val="18"/>
          <w:szCs w:val="18"/>
          <w:lang w:val="el-GR"/>
        </w:rPr>
        <w:t xml:space="preserve">Ιδιόκτητα ζώα και συγκεκριμένα μία (1) ή περισσότερες αγελάδες ή συνολικά δύο (2) ή περισσότερα άλλα βοοειδή, κάθε είδους και ηλικίας ή συνολικά πέντε (5) και άνω "μικρά" ζώα (πρόβατα, κατσίκες, χοίρους), κάθε ηλικίας και γένους ή πενήντα (50) και άνω πουλερικά (κοτόπουλα, όρνιθες, γαλοπούλες, πάπιες, χήνες) ή πέντε (5) και άνω </w:t>
      </w:r>
      <w:proofErr w:type="spellStart"/>
      <w:r w:rsidRPr="00F93CA8">
        <w:rPr>
          <w:rFonts w:ascii="Verdana" w:eastAsia="Malgun Gothic" w:hAnsi="Verdana" w:cs="Calibri"/>
          <w:sz w:val="18"/>
          <w:szCs w:val="18"/>
          <w:lang w:val="el-GR"/>
        </w:rPr>
        <w:t>στρουθοκάμηλους</w:t>
      </w:r>
      <w:proofErr w:type="spellEnd"/>
      <w:r w:rsidRPr="00F93CA8">
        <w:rPr>
          <w:rFonts w:ascii="Verdana" w:eastAsia="Malgun Gothic" w:hAnsi="Verdana" w:cs="Calibri"/>
          <w:sz w:val="18"/>
          <w:szCs w:val="18"/>
          <w:lang w:val="el-GR"/>
        </w:rPr>
        <w:t xml:space="preserve"> ή είκοσι (20) και άνω κυψέλες μελισσών ή δέκα (10) και άνω </w:t>
      </w:r>
      <w:proofErr w:type="spellStart"/>
      <w:r w:rsidRPr="00F93CA8">
        <w:rPr>
          <w:rFonts w:ascii="Verdana" w:eastAsia="Malgun Gothic" w:hAnsi="Verdana" w:cs="Calibri"/>
          <w:sz w:val="18"/>
          <w:szCs w:val="18"/>
          <w:lang w:val="el-GR"/>
        </w:rPr>
        <w:t>κονικλομητέρες</w:t>
      </w:r>
      <w:proofErr w:type="spellEnd"/>
      <w:r w:rsidRPr="00F93CA8">
        <w:rPr>
          <w:rFonts w:ascii="Verdana" w:eastAsia="Malgun Gothic" w:hAnsi="Verdana" w:cs="Calibri"/>
          <w:sz w:val="18"/>
          <w:szCs w:val="18"/>
          <w:lang w:val="el-GR"/>
        </w:rPr>
        <w:t>.</w:t>
      </w:r>
    </w:p>
    <w:p w14:paraId="4BE7C33F" w14:textId="77777777" w:rsidR="00D966DB" w:rsidRDefault="00D966DB" w:rsidP="00D966DB">
      <w:pPr>
        <w:jc w:val="both"/>
        <w:rPr>
          <w:rFonts w:ascii="Verdana" w:eastAsia="Malgun Gothic" w:hAnsi="Verdana" w:cs="Calibri"/>
          <w:sz w:val="18"/>
          <w:szCs w:val="18"/>
          <w:lang w:val="el-GR"/>
        </w:rPr>
      </w:pPr>
    </w:p>
    <w:p w14:paraId="153A1836" w14:textId="01472E0B" w:rsidR="00D966DB" w:rsidRDefault="00D966DB" w:rsidP="00D966DB">
      <w:pPr>
        <w:jc w:val="both"/>
        <w:rPr>
          <w:rFonts w:ascii="Verdana" w:eastAsia="Malgun Gothic" w:hAnsi="Verdana" w:cs="Calibri"/>
          <w:b/>
          <w:sz w:val="18"/>
          <w:szCs w:val="18"/>
          <w:u w:val="single"/>
          <w:lang w:val="el-GR"/>
        </w:rPr>
      </w:pPr>
      <w:r>
        <w:rPr>
          <w:rFonts w:ascii="Verdana" w:eastAsia="Malgun Gothic" w:hAnsi="Verdana" w:cs="Calibri"/>
          <w:b/>
          <w:sz w:val="18"/>
          <w:szCs w:val="18"/>
          <w:u w:val="single"/>
          <w:lang w:val="el-GR"/>
        </w:rPr>
        <w:t xml:space="preserve">Συλλογή </w:t>
      </w:r>
      <w:r w:rsidR="005D1003">
        <w:rPr>
          <w:rFonts w:ascii="Verdana" w:eastAsia="Malgun Gothic" w:hAnsi="Verdana" w:cs="Calibri"/>
          <w:b/>
          <w:sz w:val="18"/>
          <w:szCs w:val="18"/>
          <w:u w:val="single"/>
          <w:lang w:val="el-GR"/>
        </w:rPr>
        <w:t>Σ</w:t>
      </w:r>
      <w:r>
        <w:rPr>
          <w:rFonts w:ascii="Verdana" w:eastAsia="Malgun Gothic" w:hAnsi="Verdana" w:cs="Calibri"/>
          <w:b/>
          <w:sz w:val="18"/>
          <w:szCs w:val="18"/>
          <w:u w:val="single"/>
          <w:lang w:val="el-GR"/>
        </w:rPr>
        <w:t>τοιχείων</w:t>
      </w:r>
    </w:p>
    <w:p w14:paraId="70BF9EAA" w14:textId="77777777" w:rsidR="00D966DB" w:rsidRDefault="00D966DB" w:rsidP="00D966DB">
      <w:pPr>
        <w:jc w:val="both"/>
        <w:rPr>
          <w:rFonts w:ascii="Verdana" w:eastAsia="Malgun Gothic" w:hAnsi="Verdana" w:cs="Calibri"/>
          <w:b/>
          <w:sz w:val="18"/>
          <w:szCs w:val="18"/>
          <w:u w:val="single"/>
          <w:lang w:val="el-GR"/>
        </w:rPr>
      </w:pPr>
    </w:p>
    <w:p w14:paraId="0236D1CE" w14:textId="79F3BBEC" w:rsidR="00D966DB" w:rsidRPr="009D227F" w:rsidRDefault="00D966DB" w:rsidP="00D966DB">
      <w:pPr>
        <w:jc w:val="both"/>
        <w:rPr>
          <w:lang w:val="el-GR"/>
        </w:rPr>
      </w:pPr>
      <w:r w:rsidRPr="00140E22">
        <w:rPr>
          <w:rFonts w:ascii="Verdana" w:eastAsia="Malgun Gothic" w:hAnsi="Verdana" w:cs="Calibri"/>
          <w:sz w:val="18"/>
          <w:szCs w:val="18"/>
          <w:lang w:val="el-GR"/>
        </w:rPr>
        <w:t xml:space="preserve">Η </w:t>
      </w:r>
      <w:r w:rsidR="005D1003">
        <w:rPr>
          <w:rFonts w:ascii="Verdana" w:eastAsia="Malgun Gothic" w:hAnsi="Verdana" w:cs="Calibri"/>
          <w:sz w:val="18"/>
          <w:szCs w:val="18"/>
          <w:lang w:val="el-GR"/>
        </w:rPr>
        <w:t xml:space="preserve">Έρευνα για τη διάρθρωση </w:t>
      </w:r>
      <w:r w:rsidR="00645C87">
        <w:rPr>
          <w:rFonts w:ascii="Verdana" w:eastAsia="Malgun Gothic" w:hAnsi="Verdana" w:cs="Calibri"/>
          <w:sz w:val="18"/>
          <w:szCs w:val="18"/>
          <w:lang w:val="el-GR"/>
        </w:rPr>
        <w:t xml:space="preserve">των </w:t>
      </w:r>
      <w:r w:rsidR="005D1003">
        <w:rPr>
          <w:rFonts w:ascii="Verdana" w:eastAsia="Malgun Gothic" w:hAnsi="Verdana" w:cs="Calibri"/>
          <w:sz w:val="18"/>
          <w:szCs w:val="18"/>
          <w:lang w:val="el-GR"/>
        </w:rPr>
        <w:t>γεωργικών και κτηνοτροφικών εκμεταλλεύσεων</w:t>
      </w:r>
      <w:r w:rsidR="00DE0CF0" w:rsidRPr="00DE0CF0">
        <w:rPr>
          <w:rFonts w:ascii="Verdana" w:eastAsia="Malgun Gothic" w:hAnsi="Verdana" w:cs="Calibri"/>
          <w:sz w:val="18"/>
          <w:szCs w:val="18"/>
          <w:lang w:val="el-GR"/>
        </w:rPr>
        <w:t xml:space="preserve"> </w:t>
      </w:r>
      <w:r w:rsidR="005D1003">
        <w:rPr>
          <w:rFonts w:ascii="Verdana" w:eastAsia="Malgun Gothic" w:hAnsi="Verdana" w:cs="Calibri"/>
          <w:sz w:val="18"/>
          <w:szCs w:val="18"/>
          <w:lang w:val="el-GR"/>
        </w:rPr>
        <w:t>δ</w:t>
      </w:r>
      <w:r w:rsidRPr="00140E22">
        <w:rPr>
          <w:rFonts w:ascii="Verdana" w:eastAsia="Malgun Gothic" w:hAnsi="Verdana" w:cs="Calibri"/>
          <w:sz w:val="18"/>
          <w:szCs w:val="18"/>
          <w:lang w:val="el-GR"/>
        </w:rPr>
        <w:t xml:space="preserve">ιεξάγεται κάθε </w:t>
      </w:r>
      <w:r w:rsidR="005D1003">
        <w:rPr>
          <w:rFonts w:ascii="Verdana" w:eastAsia="Malgun Gothic" w:hAnsi="Verdana" w:cs="Calibri"/>
          <w:sz w:val="18"/>
          <w:szCs w:val="18"/>
          <w:lang w:val="el-GR"/>
        </w:rPr>
        <w:t>3</w:t>
      </w:r>
      <w:r w:rsidRPr="00140E22">
        <w:rPr>
          <w:rFonts w:ascii="Verdana" w:eastAsia="Malgun Gothic" w:hAnsi="Verdana" w:cs="Calibri"/>
          <w:sz w:val="18"/>
          <w:szCs w:val="18"/>
          <w:lang w:val="el-GR"/>
        </w:rPr>
        <w:t xml:space="preserve"> χρόνια </w:t>
      </w:r>
      <w:r w:rsidR="005D1003">
        <w:rPr>
          <w:rFonts w:ascii="Verdana" w:eastAsia="Malgun Gothic" w:hAnsi="Verdana" w:cs="Calibri"/>
          <w:sz w:val="18"/>
          <w:szCs w:val="18"/>
          <w:lang w:val="el-GR"/>
        </w:rPr>
        <w:t>δειγματολ</w:t>
      </w:r>
      <w:r w:rsidRPr="00C70C3A">
        <w:rPr>
          <w:rFonts w:ascii="Verdana" w:eastAsia="Malgun Gothic" w:hAnsi="Verdana" w:cs="Calibri"/>
          <w:sz w:val="18"/>
          <w:szCs w:val="18"/>
          <w:lang w:val="el-GR"/>
        </w:rPr>
        <w:t xml:space="preserve">ηπτικά </w:t>
      </w:r>
      <w:r w:rsidR="005D1003">
        <w:rPr>
          <w:rFonts w:ascii="Verdana" w:eastAsia="Malgun Gothic" w:hAnsi="Verdana" w:cs="Calibri"/>
          <w:sz w:val="18"/>
          <w:szCs w:val="18"/>
          <w:lang w:val="el-GR"/>
        </w:rPr>
        <w:t xml:space="preserve">και </w:t>
      </w:r>
      <w:r w:rsidRPr="00C70C3A">
        <w:rPr>
          <w:rFonts w:ascii="Verdana" w:eastAsia="Malgun Gothic" w:hAnsi="Verdana" w:cs="Calibri"/>
          <w:sz w:val="18"/>
          <w:szCs w:val="18"/>
          <w:lang w:val="el-GR"/>
        </w:rPr>
        <w:t xml:space="preserve">κάθε </w:t>
      </w:r>
      <w:r w:rsidR="005D1003">
        <w:rPr>
          <w:rFonts w:ascii="Verdana" w:eastAsia="Malgun Gothic" w:hAnsi="Verdana" w:cs="Calibri"/>
          <w:sz w:val="18"/>
          <w:szCs w:val="18"/>
          <w:lang w:val="el-GR"/>
        </w:rPr>
        <w:t>10</w:t>
      </w:r>
      <w:r w:rsidRPr="00C70C3A">
        <w:rPr>
          <w:rFonts w:ascii="Verdana" w:eastAsia="Malgun Gothic" w:hAnsi="Verdana" w:cs="Calibri"/>
          <w:sz w:val="18"/>
          <w:szCs w:val="18"/>
          <w:lang w:val="el-GR"/>
        </w:rPr>
        <w:t xml:space="preserve"> </w:t>
      </w:r>
      <w:r w:rsidR="005D1003">
        <w:rPr>
          <w:rFonts w:ascii="Verdana" w:eastAsia="Malgun Gothic" w:hAnsi="Verdana" w:cs="Calibri"/>
          <w:sz w:val="18"/>
          <w:szCs w:val="18"/>
          <w:lang w:val="el-GR"/>
        </w:rPr>
        <w:t>απογραφικά</w:t>
      </w:r>
      <w:r w:rsidRPr="00140E22">
        <w:rPr>
          <w:rFonts w:ascii="Verdana" w:eastAsia="Malgun Gothic" w:hAnsi="Verdana" w:cs="Calibri"/>
          <w:sz w:val="18"/>
          <w:szCs w:val="18"/>
          <w:lang w:val="el-GR"/>
        </w:rPr>
        <w:t xml:space="preserve">. </w:t>
      </w:r>
      <w:r w:rsidRPr="00C70C3A">
        <w:rPr>
          <w:rFonts w:ascii="Verdana" w:eastAsia="Malgun Gothic" w:hAnsi="Verdana" w:cs="Calibri"/>
          <w:sz w:val="18"/>
          <w:szCs w:val="18"/>
          <w:lang w:val="el-GR"/>
        </w:rPr>
        <w:t xml:space="preserve">Η συλλογή </w:t>
      </w:r>
      <w:r>
        <w:rPr>
          <w:rFonts w:ascii="Verdana" w:eastAsia="Malgun Gothic" w:hAnsi="Verdana" w:cs="Calibri"/>
          <w:sz w:val="18"/>
          <w:szCs w:val="18"/>
          <w:lang w:val="el-GR"/>
        </w:rPr>
        <w:t xml:space="preserve">των στοιχείων για την </w:t>
      </w:r>
      <w:r w:rsidR="005D1003">
        <w:rPr>
          <w:rFonts w:ascii="Verdana" w:eastAsia="Malgun Gothic" w:hAnsi="Verdana" w:cs="Calibri"/>
          <w:sz w:val="18"/>
          <w:szCs w:val="18"/>
          <w:lang w:val="el-GR"/>
        </w:rPr>
        <w:t xml:space="preserve">Έρευνα </w:t>
      </w:r>
      <w:r>
        <w:rPr>
          <w:rFonts w:ascii="Verdana" w:eastAsia="Malgun Gothic" w:hAnsi="Verdana" w:cs="Calibri"/>
          <w:sz w:val="18"/>
          <w:szCs w:val="18"/>
          <w:lang w:val="el-GR"/>
        </w:rPr>
        <w:t>202</w:t>
      </w:r>
      <w:r w:rsidR="005D1003">
        <w:rPr>
          <w:rFonts w:ascii="Verdana" w:eastAsia="Malgun Gothic" w:hAnsi="Verdana" w:cs="Calibri"/>
          <w:sz w:val="18"/>
          <w:szCs w:val="18"/>
          <w:lang w:val="el-GR"/>
        </w:rPr>
        <w:t>3</w:t>
      </w:r>
      <w:r>
        <w:rPr>
          <w:rFonts w:ascii="Verdana" w:eastAsia="Malgun Gothic" w:hAnsi="Verdana" w:cs="Calibri"/>
          <w:sz w:val="18"/>
          <w:szCs w:val="18"/>
          <w:lang w:val="el-GR"/>
        </w:rPr>
        <w:t xml:space="preserve"> πραγματοποιήθηκε κατά την περίοδο </w:t>
      </w:r>
      <w:r w:rsidRPr="00C70C3A">
        <w:rPr>
          <w:rFonts w:ascii="Verdana" w:eastAsia="Malgun Gothic" w:hAnsi="Verdana" w:cs="Calibri"/>
          <w:sz w:val="18"/>
          <w:szCs w:val="18"/>
          <w:lang w:val="el-GR"/>
        </w:rPr>
        <w:t>Σεπτ</w:t>
      </w:r>
      <w:r>
        <w:rPr>
          <w:rFonts w:ascii="Verdana" w:eastAsia="Malgun Gothic" w:hAnsi="Verdana" w:cs="Calibri"/>
          <w:sz w:val="18"/>
          <w:szCs w:val="18"/>
          <w:lang w:val="el-GR"/>
        </w:rPr>
        <w:t>ε</w:t>
      </w:r>
      <w:r w:rsidRPr="00C70C3A">
        <w:rPr>
          <w:rFonts w:ascii="Verdana" w:eastAsia="Malgun Gothic" w:hAnsi="Verdana" w:cs="Calibri"/>
          <w:sz w:val="18"/>
          <w:szCs w:val="18"/>
          <w:lang w:val="el-GR"/>
        </w:rPr>
        <w:t>μβρ</w:t>
      </w:r>
      <w:r>
        <w:rPr>
          <w:rFonts w:ascii="Verdana" w:eastAsia="Malgun Gothic" w:hAnsi="Verdana" w:cs="Calibri"/>
          <w:sz w:val="18"/>
          <w:szCs w:val="18"/>
          <w:lang w:val="el-GR"/>
        </w:rPr>
        <w:t>ίου</w:t>
      </w:r>
      <w:r w:rsidRPr="00C70C3A">
        <w:rPr>
          <w:rFonts w:ascii="Verdana" w:eastAsia="Malgun Gothic" w:hAnsi="Verdana" w:cs="Calibri"/>
          <w:sz w:val="18"/>
          <w:szCs w:val="18"/>
          <w:lang w:val="el-GR"/>
        </w:rPr>
        <w:t xml:space="preserve"> 202</w:t>
      </w:r>
      <w:r w:rsidR="005D1003">
        <w:rPr>
          <w:rFonts w:ascii="Verdana" w:eastAsia="Malgun Gothic" w:hAnsi="Verdana" w:cs="Calibri"/>
          <w:sz w:val="18"/>
          <w:szCs w:val="18"/>
          <w:lang w:val="el-GR"/>
        </w:rPr>
        <w:t>3</w:t>
      </w:r>
      <w:r w:rsidRPr="00C70C3A">
        <w:rPr>
          <w:rFonts w:ascii="Verdana" w:eastAsia="Malgun Gothic" w:hAnsi="Verdana" w:cs="Calibri"/>
          <w:sz w:val="18"/>
          <w:szCs w:val="18"/>
          <w:lang w:val="el-GR"/>
        </w:rPr>
        <w:t xml:space="preserve"> </w:t>
      </w:r>
      <w:r>
        <w:rPr>
          <w:rFonts w:ascii="Verdana" w:eastAsia="Malgun Gothic" w:hAnsi="Verdana" w:cs="Calibri"/>
          <w:sz w:val="18"/>
          <w:szCs w:val="18"/>
          <w:lang w:val="el-GR"/>
        </w:rPr>
        <w:t>-</w:t>
      </w:r>
      <w:r w:rsidRPr="00C70C3A">
        <w:rPr>
          <w:rFonts w:ascii="Verdana" w:eastAsia="Malgun Gothic" w:hAnsi="Verdana" w:cs="Calibri"/>
          <w:sz w:val="18"/>
          <w:szCs w:val="18"/>
          <w:lang w:val="el-GR"/>
        </w:rPr>
        <w:t xml:space="preserve"> Μ</w:t>
      </w:r>
      <w:r>
        <w:rPr>
          <w:rFonts w:ascii="Verdana" w:eastAsia="Malgun Gothic" w:hAnsi="Verdana" w:cs="Calibri"/>
          <w:sz w:val="18"/>
          <w:szCs w:val="18"/>
          <w:lang w:val="el-GR"/>
        </w:rPr>
        <w:t xml:space="preserve">αΐου </w:t>
      </w:r>
      <w:r w:rsidRPr="00C70C3A">
        <w:rPr>
          <w:rFonts w:ascii="Verdana" w:eastAsia="Malgun Gothic" w:hAnsi="Verdana" w:cs="Calibri"/>
          <w:sz w:val="18"/>
          <w:szCs w:val="18"/>
          <w:lang w:val="el-GR"/>
        </w:rPr>
        <w:t>202</w:t>
      </w:r>
      <w:r w:rsidR="009D227F" w:rsidRPr="009D227F">
        <w:rPr>
          <w:rFonts w:ascii="Verdana" w:eastAsia="Malgun Gothic" w:hAnsi="Verdana" w:cs="Calibri"/>
          <w:sz w:val="18"/>
          <w:szCs w:val="18"/>
          <w:lang w:val="el-GR"/>
        </w:rPr>
        <w:t>4</w:t>
      </w:r>
      <w:r>
        <w:rPr>
          <w:rFonts w:ascii="Verdana" w:eastAsia="Malgun Gothic" w:hAnsi="Verdana" w:cs="Calibri"/>
          <w:sz w:val="18"/>
          <w:szCs w:val="18"/>
          <w:lang w:val="el-GR"/>
        </w:rPr>
        <w:t xml:space="preserve"> βάσει του </w:t>
      </w:r>
      <w:r w:rsidR="00645C87">
        <w:rPr>
          <w:rFonts w:ascii="Verdana" w:eastAsia="Malgun Gothic" w:hAnsi="Verdana" w:cs="Calibri"/>
          <w:sz w:val="18"/>
          <w:szCs w:val="18"/>
          <w:lang w:val="el-GR"/>
        </w:rPr>
        <w:t xml:space="preserve">Εκτελεστικού </w:t>
      </w:r>
      <w:r w:rsidRPr="00C70C3A">
        <w:rPr>
          <w:rFonts w:ascii="Verdana" w:eastAsia="Malgun Gothic" w:hAnsi="Verdana" w:cs="Calibri"/>
          <w:sz w:val="18"/>
          <w:szCs w:val="18"/>
          <w:lang w:val="el-GR"/>
        </w:rPr>
        <w:t>Κανονισμ</w:t>
      </w:r>
      <w:r>
        <w:rPr>
          <w:rFonts w:ascii="Verdana" w:eastAsia="Malgun Gothic" w:hAnsi="Verdana" w:cs="Calibri"/>
          <w:sz w:val="18"/>
          <w:szCs w:val="18"/>
          <w:lang w:val="el-GR"/>
        </w:rPr>
        <w:t xml:space="preserve">ού </w:t>
      </w:r>
      <w:r w:rsidRPr="00C70C3A">
        <w:rPr>
          <w:rFonts w:ascii="Verdana" w:eastAsia="Malgun Gothic" w:hAnsi="Verdana" w:cs="Calibri"/>
          <w:sz w:val="18"/>
          <w:szCs w:val="18"/>
          <w:lang w:val="el-GR"/>
        </w:rPr>
        <w:t>(ΕΕ) 20</w:t>
      </w:r>
      <w:r w:rsidR="00645C87">
        <w:rPr>
          <w:rFonts w:ascii="Verdana" w:eastAsia="Malgun Gothic" w:hAnsi="Verdana" w:cs="Calibri"/>
          <w:sz w:val="18"/>
          <w:szCs w:val="18"/>
          <w:lang w:val="el-GR"/>
        </w:rPr>
        <w:t>21</w:t>
      </w:r>
      <w:r w:rsidRPr="00C70C3A">
        <w:rPr>
          <w:rFonts w:ascii="Verdana" w:eastAsia="Malgun Gothic" w:hAnsi="Verdana" w:cs="Calibri"/>
          <w:sz w:val="18"/>
          <w:szCs w:val="18"/>
          <w:lang w:val="el-GR"/>
        </w:rPr>
        <w:t>/</w:t>
      </w:r>
      <w:r w:rsidR="00645C87">
        <w:rPr>
          <w:rFonts w:ascii="Verdana" w:eastAsia="Malgun Gothic" w:hAnsi="Verdana" w:cs="Calibri"/>
          <w:sz w:val="18"/>
          <w:szCs w:val="18"/>
          <w:lang w:val="el-GR"/>
        </w:rPr>
        <w:t>2286</w:t>
      </w:r>
      <w:r w:rsidRPr="00C70C3A">
        <w:rPr>
          <w:rFonts w:ascii="Verdana" w:eastAsia="Malgun Gothic" w:hAnsi="Verdana" w:cs="Calibri"/>
          <w:sz w:val="18"/>
          <w:szCs w:val="18"/>
          <w:lang w:val="el-GR"/>
        </w:rPr>
        <w:t xml:space="preserve"> και τις σχετικές κατευθυντήριες γραμμές της ΕΕ.</w:t>
      </w:r>
      <w:r>
        <w:rPr>
          <w:rFonts w:ascii="Verdana" w:eastAsia="Malgun Gothic" w:hAnsi="Verdana" w:cs="Calibri"/>
          <w:sz w:val="18"/>
          <w:szCs w:val="18"/>
          <w:lang w:val="el-GR"/>
        </w:rPr>
        <w:t xml:space="preserve"> </w:t>
      </w:r>
      <w:r w:rsidRPr="00C70C3A">
        <w:rPr>
          <w:rFonts w:ascii="Verdana" w:eastAsia="Malgun Gothic" w:hAnsi="Verdana" w:cs="Calibri"/>
          <w:sz w:val="18"/>
          <w:szCs w:val="18"/>
          <w:lang w:val="el-GR"/>
        </w:rPr>
        <w:t xml:space="preserve">Η συλλογή </w:t>
      </w:r>
      <w:r>
        <w:rPr>
          <w:rFonts w:ascii="Verdana" w:eastAsia="Malgun Gothic" w:hAnsi="Verdana" w:cs="Calibri"/>
          <w:sz w:val="18"/>
          <w:szCs w:val="18"/>
          <w:lang w:val="el-GR"/>
        </w:rPr>
        <w:t xml:space="preserve">των στοιχείων </w:t>
      </w:r>
      <w:r w:rsidR="009D227F">
        <w:rPr>
          <w:rFonts w:ascii="Verdana" w:eastAsia="Malgun Gothic" w:hAnsi="Verdana" w:cs="Calibri"/>
          <w:sz w:val="18"/>
          <w:szCs w:val="18"/>
          <w:lang w:val="el-GR"/>
        </w:rPr>
        <w:t xml:space="preserve">έγινε </w:t>
      </w:r>
      <w:r w:rsidR="00097DA4">
        <w:rPr>
          <w:rFonts w:ascii="Verdana" w:eastAsia="Malgun Gothic" w:hAnsi="Verdana" w:cs="Calibri"/>
          <w:sz w:val="18"/>
          <w:szCs w:val="18"/>
          <w:lang w:val="el-GR"/>
        </w:rPr>
        <w:t xml:space="preserve">ως επί το </w:t>
      </w:r>
      <w:proofErr w:type="spellStart"/>
      <w:r w:rsidR="00097DA4">
        <w:rPr>
          <w:rFonts w:ascii="Verdana" w:eastAsia="Malgun Gothic" w:hAnsi="Verdana" w:cs="Calibri"/>
          <w:sz w:val="18"/>
          <w:szCs w:val="18"/>
          <w:lang w:val="el-GR"/>
        </w:rPr>
        <w:t>πλείστον</w:t>
      </w:r>
      <w:proofErr w:type="spellEnd"/>
      <w:r w:rsidR="00097DA4">
        <w:rPr>
          <w:rFonts w:ascii="Verdana" w:eastAsia="Malgun Gothic" w:hAnsi="Verdana" w:cs="Calibri"/>
          <w:sz w:val="18"/>
          <w:szCs w:val="18"/>
          <w:lang w:val="el-GR"/>
        </w:rPr>
        <w:t xml:space="preserve"> μέσω τηλεφωνικής και, όπου κρίθηκε απαραίτητο, </w:t>
      </w:r>
      <w:r>
        <w:rPr>
          <w:rFonts w:ascii="Verdana" w:eastAsia="Malgun Gothic" w:hAnsi="Verdana" w:cs="Calibri"/>
          <w:sz w:val="18"/>
          <w:szCs w:val="18"/>
          <w:lang w:val="el-GR"/>
        </w:rPr>
        <w:t>προσωπικ</w:t>
      </w:r>
      <w:r w:rsidR="00097DA4">
        <w:rPr>
          <w:rFonts w:ascii="Verdana" w:eastAsia="Malgun Gothic" w:hAnsi="Verdana" w:cs="Calibri"/>
          <w:sz w:val="18"/>
          <w:szCs w:val="18"/>
          <w:lang w:val="el-GR"/>
        </w:rPr>
        <w:t>ή</w:t>
      </w:r>
      <w:r>
        <w:rPr>
          <w:rFonts w:ascii="Verdana" w:eastAsia="Malgun Gothic" w:hAnsi="Verdana" w:cs="Calibri"/>
          <w:sz w:val="18"/>
          <w:szCs w:val="18"/>
          <w:lang w:val="el-GR"/>
        </w:rPr>
        <w:t>ς συν</w:t>
      </w:r>
      <w:r w:rsidR="00097DA4">
        <w:rPr>
          <w:rFonts w:ascii="Verdana" w:eastAsia="Malgun Gothic" w:hAnsi="Verdana" w:cs="Calibri"/>
          <w:sz w:val="18"/>
          <w:szCs w:val="18"/>
          <w:lang w:val="el-GR"/>
        </w:rPr>
        <w:t>έ</w:t>
      </w:r>
      <w:r>
        <w:rPr>
          <w:rFonts w:ascii="Verdana" w:eastAsia="Malgun Gothic" w:hAnsi="Verdana" w:cs="Calibri"/>
          <w:sz w:val="18"/>
          <w:szCs w:val="18"/>
          <w:lang w:val="el-GR"/>
        </w:rPr>
        <w:t>ντε</w:t>
      </w:r>
      <w:r w:rsidR="00097DA4">
        <w:rPr>
          <w:rFonts w:ascii="Verdana" w:eastAsia="Malgun Gothic" w:hAnsi="Verdana" w:cs="Calibri"/>
          <w:sz w:val="18"/>
          <w:szCs w:val="18"/>
          <w:lang w:val="el-GR"/>
        </w:rPr>
        <w:t>υ</w:t>
      </w:r>
      <w:r>
        <w:rPr>
          <w:rFonts w:ascii="Verdana" w:eastAsia="Malgun Gothic" w:hAnsi="Verdana" w:cs="Calibri"/>
          <w:sz w:val="18"/>
          <w:szCs w:val="18"/>
          <w:lang w:val="el-GR"/>
        </w:rPr>
        <w:t>ξ</w:t>
      </w:r>
      <w:r w:rsidR="00097DA4">
        <w:rPr>
          <w:rFonts w:ascii="Verdana" w:eastAsia="Malgun Gothic" w:hAnsi="Verdana" w:cs="Calibri"/>
          <w:sz w:val="18"/>
          <w:szCs w:val="18"/>
          <w:lang w:val="el-GR"/>
        </w:rPr>
        <w:t>η</w:t>
      </w:r>
      <w:r>
        <w:rPr>
          <w:rFonts w:ascii="Verdana" w:eastAsia="Malgun Gothic" w:hAnsi="Verdana" w:cs="Calibri"/>
          <w:sz w:val="18"/>
          <w:szCs w:val="18"/>
          <w:lang w:val="el-GR"/>
        </w:rPr>
        <w:t xml:space="preserve">ς </w:t>
      </w:r>
      <w:r w:rsidR="00097DA4">
        <w:rPr>
          <w:rFonts w:ascii="Verdana" w:eastAsia="Malgun Gothic" w:hAnsi="Verdana" w:cs="Calibri"/>
          <w:sz w:val="18"/>
          <w:szCs w:val="18"/>
          <w:lang w:val="el-GR"/>
        </w:rPr>
        <w:t xml:space="preserve">με τους κατόχους γεωργικών και κτηνοτροφικών εκμεταλλεύσεων για </w:t>
      </w:r>
      <w:r>
        <w:rPr>
          <w:rFonts w:ascii="Verdana" w:eastAsia="Malgun Gothic" w:hAnsi="Verdana" w:cs="Calibri"/>
          <w:sz w:val="18"/>
          <w:szCs w:val="18"/>
          <w:lang w:val="el-GR"/>
        </w:rPr>
        <w:t>τη συμπλήρωση έντυπων ερωτηματολογίων.</w:t>
      </w:r>
      <w:r w:rsidRPr="00140E22">
        <w:rPr>
          <w:lang w:val="el-GR"/>
        </w:rPr>
        <w:t xml:space="preserve"> </w:t>
      </w:r>
    </w:p>
    <w:p w14:paraId="61A354DF" w14:textId="77777777" w:rsidR="009D227F" w:rsidRPr="009D227F" w:rsidRDefault="009D227F" w:rsidP="00D966DB">
      <w:pPr>
        <w:jc w:val="both"/>
        <w:rPr>
          <w:lang w:val="el-GR"/>
        </w:rPr>
      </w:pPr>
    </w:p>
    <w:p w14:paraId="12D6956F" w14:textId="77777777" w:rsidR="00D966DB" w:rsidRDefault="00D966DB" w:rsidP="00D966DB">
      <w:pPr>
        <w:jc w:val="both"/>
        <w:rPr>
          <w:rFonts w:ascii="Verdana" w:eastAsia="Malgun Gothic" w:hAnsi="Verdana" w:cs="Calibri"/>
          <w:b/>
          <w:sz w:val="18"/>
          <w:szCs w:val="18"/>
          <w:u w:val="single"/>
          <w:lang w:val="el-GR"/>
        </w:rPr>
      </w:pPr>
      <w:r>
        <w:rPr>
          <w:rFonts w:ascii="Verdana" w:eastAsia="Malgun Gothic" w:hAnsi="Verdana" w:cs="Calibri"/>
          <w:b/>
          <w:sz w:val="18"/>
          <w:szCs w:val="18"/>
          <w:u w:val="single"/>
          <w:lang w:val="el-GR"/>
        </w:rPr>
        <w:t>Περίοδος Αναφοράς</w:t>
      </w:r>
    </w:p>
    <w:p w14:paraId="4D2F7FDB" w14:textId="77777777" w:rsidR="00D966DB" w:rsidRDefault="00D966DB" w:rsidP="00D966DB">
      <w:pPr>
        <w:jc w:val="both"/>
        <w:rPr>
          <w:rFonts w:ascii="Verdana" w:eastAsia="Malgun Gothic" w:hAnsi="Verdana" w:cs="Calibri"/>
          <w:b/>
          <w:sz w:val="18"/>
          <w:szCs w:val="18"/>
          <w:u w:val="single"/>
          <w:lang w:val="el-GR"/>
        </w:rPr>
      </w:pPr>
    </w:p>
    <w:p w14:paraId="62B3F140" w14:textId="614B2676" w:rsidR="00097DA4" w:rsidRPr="00097DA4" w:rsidRDefault="00D966DB" w:rsidP="00097DA4">
      <w:pPr>
        <w:jc w:val="both"/>
        <w:rPr>
          <w:rFonts w:ascii="Verdana" w:eastAsia="Malgun Gothic" w:hAnsi="Verdana" w:cs="Calibri"/>
          <w:sz w:val="18"/>
          <w:szCs w:val="18"/>
          <w:lang w:val="el-GR"/>
        </w:rPr>
      </w:pPr>
      <w:r w:rsidRPr="00140E22">
        <w:rPr>
          <w:rFonts w:ascii="Verdana" w:eastAsia="Malgun Gothic" w:hAnsi="Verdana" w:cs="Calibri"/>
          <w:sz w:val="18"/>
          <w:szCs w:val="18"/>
          <w:lang w:val="el-GR"/>
        </w:rPr>
        <w:t>Η περίοδος αναφοράς για τα χαρακτηριστικά γης αναφέρ</w:t>
      </w:r>
      <w:r>
        <w:rPr>
          <w:rFonts w:ascii="Verdana" w:eastAsia="Malgun Gothic" w:hAnsi="Verdana" w:cs="Calibri"/>
          <w:sz w:val="18"/>
          <w:szCs w:val="18"/>
          <w:lang w:val="el-GR"/>
        </w:rPr>
        <w:t>εται</w:t>
      </w:r>
      <w:r w:rsidRPr="00140E22">
        <w:rPr>
          <w:rFonts w:ascii="Verdana" w:eastAsia="Malgun Gothic" w:hAnsi="Verdana" w:cs="Calibri"/>
          <w:sz w:val="18"/>
          <w:szCs w:val="18"/>
          <w:lang w:val="el-GR"/>
        </w:rPr>
        <w:t xml:space="preserve"> σε εκτάσεις που χρησιμοποιήθηκαν από </w:t>
      </w:r>
      <w:r w:rsidR="00D929EC">
        <w:rPr>
          <w:rFonts w:ascii="Verdana" w:eastAsia="Malgun Gothic" w:hAnsi="Verdana" w:cs="Calibri"/>
          <w:sz w:val="18"/>
          <w:szCs w:val="18"/>
          <w:lang w:val="el-GR"/>
        </w:rPr>
        <w:t xml:space="preserve">          </w:t>
      </w:r>
      <w:r w:rsidRPr="00140E22">
        <w:rPr>
          <w:rFonts w:ascii="Verdana" w:eastAsia="Malgun Gothic" w:hAnsi="Verdana" w:cs="Calibri"/>
          <w:sz w:val="18"/>
          <w:szCs w:val="18"/>
          <w:lang w:val="el-GR"/>
        </w:rPr>
        <w:t>1η Σεπτεμβρίου 20</w:t>
      </w:r>
      <w:r w:rsidR="00097DA4">
        <w:rPr>
          <w:rFonts w:ascii="Verdana" w:eastAsia="Malgun Gothic" w:hAnsi="Verdana" w:cs="Calibri"/>
          <w:sz w:val="18"/>
          <w:szCs w:val="18"/>
          <w:lang w:val="el-GR"/>
        </w:rPr>
        <w:t xml:space="preserve">22 </w:t>
      </w:r>
      <w:r>
        <w:rPr>
          <w:rFonts w:ascii="Verdana" w:eastAsia="Malgun Gothic" w:hAnsi="Verdana" w:cs="Calibri"/>
          <w:sz w:val="18"/>
          <w:szCs w:val="18"/>
          <w:lang w:val="el-GR"/>
        </w:rPr>
        <w:t>-</w:t>
      </w:r>
      <w:r w:rsidRPr="00140E22">
        <w:rPr>
          <w:rFonts w:ascii="Verdana" w:eastAsia="Malgun Gothic" w:hAnsi="Verdana" w:cs="Calibri"/>
          <w:sz w:val="18"/>
          <w:szCs w:val="18"/>
          <w:lang w:val="el-GR"/>
        </w:rPr>
        <w:t xml:space="preserve"> 31η Αυγούστου 202</w:t>
      </w:r>
      <w:r w:rsidR="00097DA4">
        <w:rPr>
          <w:rFonts w:ascii="Verdana" w:eastAsia="Malgun Gothic" w:hAnsi="Verdana" w:cs="Calibri"/>
          <w:sz w:val="18"/>
          <w:szCs w:val="18"/>
          <w:lang w:val="el-GR"/>
        </w:rPr>
        <w:t>3</w:t>
      </w:r>
      <w:r w:rsidRPr="00140E22">
        <w:rPr>
          <w:rFonts w:ascii="Verdana" w:eastAsia="Malgun Gothic" w:hAnsi="Verdana" w:cs="Calibri"/>
          <w:sz w:val="18"/>
          <w:szCs w:val="18"/>
          <w:lang w:val="el-GR"/>
        </w:rPr>
        <w:t xml:space="preserve">. </w:t>
      </w:r>
      <w:r>
        <w:rPr>
          <w:rFonts w:ascii="Verdana" w:eastAsia="Malgun Gothic" w:hAnsi="Verdana" w:cs="Calibri"/>
          <w:sz w:val="18"/>
          <w:szCs w:val="18"/>
          <w:lang w:val="el-GR"/>
        </w:rPr>
        <w:t>Η η</w:t>
      </w:r>
      <w:r w:rsidRPr="00140E22">
        <w:rPr>
          <w:rFonts w:ascii="Verdana" w:eastAsia="Malgun Gothic" w:hAnsi="Verdana" w:cs="Calibri"/>
          <w:sz w:val="18"/>
          <w:szCs w:val="18"/>
          <w:lang w:val="el-GR"/>
        </w:rPr>
        <w:t xml:space="preserve">μέρα αναφοράς </w:t>
      </w:r>
      <w:r w:rsidR="00097DA4" w:rsidRPr="00097DA4">
        <w:rPr>
          <w:rFonts w:ascii="Verdana" w:eastAsia="Malgun Gothic" w:hAnsi="Verdana" w:cs="Calibri"/>
          <w:sz w:val="18"/>
          <w:szCs w:val="18"/>
          <w:lang w:val="el-GR"/>
        </w:rPr>
        <w:t xml:space="preserve">σχετικά με το ζωικό κεφάλαιο είναι η </w:t>
      </w:r>
      <w:r w:rsidR="00D929EC">
        <w:rPr>
          <w:rFonts w:ascii="Verdana" w:eastAsia="Malgun Gothic" w:hAnsi="Verdana" w:cs="Calibri"/>
          <w:sz w:val="18"/>
          <w:szCs w:val="18"/>
          <w:lang w:val="el-GR"/>
        </w:rPr>
        <w:t xml:space="preserve">  </w:t>
      </w:r>
      <w:r w:rsidR="00097DA4" w:rsidRPr="00097DA4">
        <w:rPr>
          <w:rFonts w:ascii="Verdana" w:eastAsia="Malgun Gothic" w:hAnsi="Verdana" w:cs="Calibri"/>
          <w:sz w:val="18"/>
          <w:szCs w:val="18"/>
          <w:lang w:val="el-GR"/>
        </w:rPr>
        <w:t>31η Δεκεμβρίου 2023</w:t>
      </w:r>
      <w:r w:rsidRPr="00140E22">
        <w:rPr>
          <w:rFonts w:ascii="Verdana" w:eastAsia="Malgun Gothic" w:hAnsi="Verdana" w:cs="Calibri"/>
          <w:sz w:val="18"/>
          <w:szCs w:val="18"/>
          <w:lang w:val="el-GR"/>
        </w:rPr>
        <w:t>.</w:t>
      </w:r>
      <w:r>
        <w:rPr>
          <w:rFonts w:ascii="Verdana" w:eastAsia="Malgun Gothic" w:hAnsi="Verdana" w:cs="Calibri"/>
          <w:sz w:val="18"/>
          <w:szCs w:val="18"/>
          <w:lang w:val="el-GR"/>
        </w:rPr>
        <w:t xml:space="preserve"> </w:t>
      </w:r>
      <w:r w:rsidR="00226FF9" w:rsidRPr="00226FF9">
        <w:rPr>
          <w:rFonts w:ascii="Verdana" w:eastAsia="Malgun Gothic" w:hAnsi="Verdana" w:cs="Calibri"/>
          <w:sz w:val="18"/>
          <w:szCs w:val="18"/>
          <w:lang w:val="el-GR"/>
        </w:rPr>
        <w:t xml:space="preserve">Η </w:t>
      </w:r>
      <w:r w:rsidR="00226FF9">
        <w:rPr>
          <w:rFonts w:ascii="Verdana" w:eastAsia="Malgun Gothic" w:hAnsi="Verdana" w:cs="Calibri"/>
          <w:sz w:val="18"/>
          <w:szCs w:val="18"/>
          <w:lang w:val="el-GR"/>
        </w:rPr>
        <w:t>η</w:t>
      </w:r>
      <w:r w:rsidR="00226FF9" w:rsidRPr="00226FF9">
        <w:rPr>
          <w:rFonts w:ascii="Verdana" w:eastAsia="Malgun Gothic" w:hAnsi="Verdana" w:cs="Calibri"/>
          <w:sz w:val="18"/>
          <w:szCs w:val="18"/>
          <w:lang w:val="el-GR"/>
        </w:rPr>
        <w:t xml:space="preserve">μέρα αναφοράς σχετικά με τις μεταβλητές των μηχανημάτων και του εξοπλισμού είναι η 31η Αυγούστου 2023. </w:t>
      </w:r>
      <w:r w:rsidRPr="00140E22">
        <w:rPr>
          <w:rFonts w:ascii="Verdana" w:eastAsia="Malgun Gothic" w:hAnsi="Verdana" w:cs="Calibri"/>
          <w:sz w:val="18"/>
          <w:szCs w:val="18"/>
          <w:lang w:val="el-GR"/>
        </w:rPr>
        <w:t xml:space="preserve">Η περίοδος αναφοράς για μεταβλητές σχετικά με το εργατικό δυναμικό </w:t>
      </w:r>
      <w:r>
        <w:rPr>
          <w:rFonts w:ascii="Verdana" w:eastAsia="Malgun Gothic" w:hAnsi="Verdana" w:cs="Calibri"/>
          <w:sz w:val="18"/>
          <w:szCs w:val="18"/>
          <w:lang w:val="el-GR"/>
        </w:rPr>
        <w:t xml:space="preserve">είναι </w:t>
      </w:r>
      <w:r w:rsidRPr="00140E22">
        <w:rPr>
          <w:rFonts w:ascii="Verdana" w:eastAsia="Malgun Gothic" w:hAnsi="Verdana" w:cs="Calibri"/>
          <w:sz w:val="18"/>
          <w:szCs w:val="18"/>
          <w:lang w:val="el-GR"/>
        </w:rPr>
        <w:t>η 12μηνη περίοδος 1η Σεπτεμβρίου 20</w:t>
      </w:r>
      <w:r w:rsidR="00097DA4">
        <w:rPr>
          <w:rFonts w:ascii="Verdana" w:eastAsia="Malgun Gothic" w:hAnsi="Verdana" w:cs="Calibri"/>
          <w:sz w:val="18"/>
          <w:szCs w:val="18"/>
          <w:lang w:val="el-GR"/>
        </w:rPr>
        <w:t>22</w:t>
      </w:r>
      <w:r w:rsidRPr="00140E22">
        <w:rPr>
          <w:rFonts w:ascii="Verdana" w:eastAsia="Malgun Gothic" w:hAnsi="Verdana" w:cs="Calibri"/>
          <w:sz w:val="18"/>
          <w:szCs w:val="18"/>
          <w:lang w:val="el-GR"/>
        </w:rPr>
        <w:t xml:space="preserve"> - 31η Αυγούστου 202</w:t>
      </w:r>
      <w:r w:rsidR="00097DA4">
        <w:rPr>
          <w:rFonts w:ascii="Verdana" w:eastAsia="Malgun Gothic" w:hAnsi="Verdana" w:cs="Calibri"/>
          <w:sz w:val="18"/>
          <w:szCs w:val="18"/>
          <w:lang w:val="el-GR"/>
        </w:rPr>
        <w:t>3</w:t>
      </w:r>
      <w:r w:rsidRPr="00140E22">
        <w:rPr>
          <w:rFonts w:ascii="Verdana" w:eastAsia="Malgun Gothic" w:hAnsi="Verdana" w:cs="Calibri"/>
          <w:sz w:val="18"/>
          <w:szCs w:val="18"/>
          <w:lang w:val="el-GR"/>
        </w:rPr>
        <w:t>.</w:t>
      </w:r>
      <w:r w:rsidR="00097DA4">
        <w:rPr>
          <w:rFonts w:ascii="Verdana" w:eastAsia="Malgun Gothic" w:hAnsi="Verdana" w:cs="Calibri"/>
          <w:sz w:val="18"/>
          <w:szCs w:val="18"/>
          <w:lang w:val="el-GR"/>
        </w:rPr>
        <w:t xml:space="preserve"> </w:t>
      </w:r>
      <w:r w:rsidR="00097DA4" w:rsidRPr="00097DA4">
        <w:rPr>
          <w:rFonts w:ascii="Verdana" w:eastAsia="Malgun Gothic" w:hAnsi="Verdana" w:cs="Calibri"/>
          <w:sz w:val="18"/>
          <w:szCs w:val="18"/>
          <w:lang w:val="el-GR"/>
        </w:rPr>
        <w:t xml:space="preserve">Η περίοδος αναφοράς για μεταβλητές σχετικά με τα μέτρα αγροτικής ανάπτυξης είναι η τριετής περίοδος που λήγει </w:t>
      </w:r>
      <w:r w:rsidR="00645C87">
        <w:rPr>
          <w:rFonts w:ascii="Verdana" w:eastAsia="Malgun Gothic" w:hAnsi="Verdana" w:cs="Calibri"/>
          <w:sz w:val="18"/>
          <w:szCs w:val="18"/>
          <w:lang w:val="el-GR"/>
        </w:rPr>
        <w:t xml:space="preserve">την </w:t>
      </w:r>
      <w:r w:rsidR="00097DA4" w:rsidRPr="00097DA4">
        <w:rPr>
          <w:rFonts w:ascii="Verdana" w:eastAsia="Malgun Gothic" w:hAnsi="Verdana" w:cs="Calibri"/>
          <w:sz w:val="18"/>
          <w:szCs w:val="18"/>
          <w:lang w:val="el-GR"/>
        </w:rPr>
        <w:t>31η Δεκεμβρίου 2023.</w:t>
      </w:r>
    </w:p>
    <w:p w14:paraId="2C3B0C1A" w14:textId="77777777" w:rsidR="00097DA4" w:rsidRPr="00097DA4" w:rsidRDefault="00097DA4" w:rsidP="00097DA4">
      <w:pPr>
        <w:jc w:val="both"/>
        <w:rPr>
          <w:rFonts w:ascii="Verdana" w:eastAsia="Malgun Gothic" w:hAnsi="Verdana" w:cs="Calibri"/>
          <w:sz w:val="18"/>
          <w:szCs w:val="18"/>
          <w:lang w:val="el-GR"/>
        </w:rPr>
      </w:pPr>
    </w:p>
    <w:p w14:paraId="4051716A" w14:textId="77777777" w:rsidR="00D966DB" w:rsidRPr="00F93CA8" w:rsidRDefault="00D966DB" w:rsidP="00D966DB">
      <w:pPr>
        <w:jc w:val="both"/>
        <w:rPr>
          <w:rFonts w:ascii="Verdana" w:eastAsia="Malgun Gothic" w:hAnsi="Verdana" w:cs="Calibri"/>
          <w:b/>
          <w:sz w:val="18"/>
          <w:szCs w:val="18"/>
          <w:u w:val="single"/>
          <w:lang w:val="el-GR"/>
        </w:rPr>
      </w:pPr>
      <w:r w:rsidRPr="00F93CA8">
        <w:rPr>
          <w:rFonts w:ascii="Verdana" w:eastAsia="Malgun Gothic" w:hAnsi="Verdana" w:cs="Calibri"/>
          <w:b/>
          <w:sz w:val="18"/>
          <w:szCs w:val="18"/>
          <w:u w:val="single"/>
          <w:lang w:val="el-GR"/>
        </w:rPr>
        <w:t>Ορισμοί</w:t>
      </w:r>
    </w:p>
    <w:p w14:paraId="0F78CCDF" w14:textId="77777777" w:rsidR="00D966DB" w:rsidRDefault="00D966DB" w:rsidP="00D966DB">
      <w:pPr>
        <w:jc w:val="both"/>
        <w:rPr>
          <w:rFonts w:ascii="Verdana" w:eastAsia="Malgun Gothic" w:hAnsi="Verdana" w:cs="Calibri"/>
          <w:b/>
          <w:sz w:val="18"/>
          <w:szCs w:val="18"/>
          <w:u w:val="single"/>
          <w:lang w:val="el-GR"/>
        </w:rPr>
      </w:pPr>
    </w:p>
    <w:p w14:paraId="285846ED" w14:textId="77777777" w:rsidR="00D966DB" w:rsidRDefault="00D966DB" w:rsidP="00D966DB">
      <w:pPr>
        <w:jc w:val="both"/>
        <w:rPr>
          <w:rFonts w:ascii="Verdana" w:eastAsia="Malgun Gothic" w:hAnsi="Verdana" w:cs="Calibri"/>
          <w:sz w:val="18"/>
          <w:szCs w:val="18"/>
          <w:lang w:val="el-GR"/>
        </w:rPr>
      </w:pPr>
      <w:r w:rsidRPr="00F93CA8">
        <w:rPr>
          <w:rFonts w:ascii="Verdana" w:eastAsia="Malgun Gothic" w:hAnsi="Verdana" w:cs="Calibri"/>
          <w:b/>
          <w:bCs/>
          <w:sz w:val="18"/>
          <w:szCs w:val="18"/>
          <w:lang w:val="el-GR"/>
        </w:rPr>
        <w:t>Κάτοχος:</w:t>
      </w:r>
      <w:r w:rsidRPr="00F93CA8">
        <w:rPr>
          <w:rFonts w:ascii="Verdana" w:eastAsia="Malgun Gothic" w:hAnsi="Verdana" w:cs="Calibri"/>
          <w:sz w:val="18"/>
          <w:szCs w:val="18"/>
          <w:lang w:val="el-GR"/>
        </w:rPr>
        <w:t xml:space="preserve"> Είναι το φυσικό πρόσωπο, ομάδα φυσικών προσώπων ή νομικό πρόσωπο για λογαριασμό του οποίου και για το όνομα του οποίου ασκείται η εκμετάλλευση και το οποίο έχει τη νομική και οικονομική ευθύνη της εκμετάλλευσης. Διευκρινίζεται ότι η έννοια του κατόχου της εκμετάλλευσης δεν πρέπει να παρερμηνεύεται με αυτή του ιδιοκτήτη της γης ή των ζώων της εκμετάλλευσης. Ο κάτοχος μπορεί να είναι ο ιδιοκτήτης της εκμετάλλευσης ή ο ενοικιαστής ή ο κληρονομικός μακροχρόνιος ενοικιαστής ή διαχειριστής περιουσίας τρίτου.</w:t>
      </w:r>
    </w:p>
    <w:p w14:paraId="5DA5C99D" w14:textId="77777777" w:rsidR="00D966DB" w:rsidRDefault="00D966DB" w:rsidP="00D966DB">
      <w:pPr>
        <w:jc w:val="both"/>
        <w:rPr>
          <w:rFonts w:ascii="Verdana" w:eastAsia="Malgun Gothic" w:hAnsi="Verdana" w:cs="Calibri"/>
          <w:sz w:val="18"/>
          <w:szCs w:val="18"/>
          <w:lang w:val="el-GR"/>
        </w:rPr>
      </w:pPr>
    </w:p>
    <w:p w14:paraId="3C346BDE" w14:textId="77777777" w:rsidR="00D966DB" w:rsidRDefault="00D966DB" w:rsidP="00D966DB">
      <w:pPr>
        <w:jc w:val="both"/>
        <w:rPr>
          <w:rFonts w:ascii="Verdana" w:eastAsia="Malgun Gothic" w:hAnsi="Verdana" w:cs="Calibri"/>
          <w:sz w:val="18"/>
          <w:szCs w:val="18"/>
          <w:lang w:val="el-GR"/>
        </w:rPr>
      </w:pPr>
      <w:r w:rsidRPr="00F93CA8">
        <w:rPr>
          <w:rFonts w:ascii="Verdana" w:eastAsia="Malgun Gothic" w:hAnsi="Verdana" w:cs="Calibri"/>
          <w:b/>
          <w:bCs/>
          <w:sz w:val="18"/>
          <w:szCs w:val="18"/>
          <w:lang w:val="el-GR"/>
        </w:rPr>
        <w:t xml:space="preserve">Χρησιμοποιούμενη </w:t>
      </w:r>
      <w:r>
        <w:rPr>
          <w:rFonts w:ascii="Verdana" w:eastAsia="Malgun Gothic" w:hAnsi="Verdana" w:cs="Calibri"/>
          <w:b/>
          <w:bCs/>
          <w:sz w:val="18"/>
          <w:szCs w:val="18"/>
          <w:lang w:val="el-GR"/>
        </w:rPr>
        <w:t>γ</w:t>
      </w:r>
      <w:r w:rsidRPr="00F93CA8">
        <w:rPr>
          <w:rFonts w:ascii="Verdana" w:eastAsia="Malgun Gothic" w:hAnsi="Verdana" w:cs="Calibri"/>
          <w:b/>
          <w:bCs/>
          <w:sz w:val="18"/>
          <w:szCs w:val="18"/>
          <w:lang w:val="el-GR"/>
        </w:rPr>
        <w:t xml:space="preserve">εωργική </w:t>
      </w:r>
      <w:r>
        <w:rPr>
          <w:rFonts w:ascii="Verdana" w:eastAsia="Malgun Gothic" w:hAnsi="Verdana" w:cs="Calibri"/>
          <w:b/>
          <w:bCs/>
          <w:sz w:val="18"/>
          <w:szCs w:val="18"/>
          <w:lang w:val="el-GR"/>
        </w:rPr>
        <w:t>έ</w:t>
      </w:r>
      <w:r w:rsidRPr="00F93CA8">
        <w:rPr>
          <w:rFonts w:ascii="Verdana" w:eastAsia="Malgun Gothic" w:hAnsi="Verdana" w:cs="Calibri"/>
          <w:b/>
          <w:bCs/>
          <w:sz w:val="18"/>
          <w:szCs w:val="18"/>
          <w:lang w:val="el-GR"/>
        </w:rPr>
        <w:t>κταση:</w:t>
      </w:r>
      <w:r w:rsidRPr="00F93CA8">
        <w:rPr>
          <w:rFonts w:ascii="Verdana" w:eastAsia="Malgun Gothic" w:hAnsi="Verdana" w:cs="Calibri"/>
          <w:sz w:val="18"/>
          <w:szCs w:val="18"/>
          <w:lang w:val="el-GR"/>
        </w:rPr>
        <w:t xml:space="preserve"> </w:t>
      </w:r>
      <w:r>
        <w:rPr>
          <w:rFonts w:ascii="Verdana" w:eastAsia="Malgun Gothic" w:hAnsi="Verdana" w:cs="Calibri"/>
          <w:sz w:val="18"/>
          <w:szCs w:val="18"/>
          <w:lang w:val="el-GR"/>
        </w:rPr>
        <w:t>Π</w:t>
      </w:r>
      <w:r w:rsidRPr="00F93CA8">
        <w:rPr>
          <w:rFonts w:ascii="Verdana" w:eastAsia="Malgun Gothic" w:hAnsi="Verdana" w:cs="Calibri"/>
          <w:sz w:val="18"/>
          <w:szCs w:val="18"/>
          <w:lang w:val="el-GR"/>
        </w:rPr>
        <w:t>εριλαμβάν</w:t>
      </w:r>
      <w:r>
        <w:rPr>
          <w:rFonts w:ascii="Verdana" w:eastAsia="Malgun Gothic" w:hAnsi="Verdana" w:cs="Calibri"/>
          <w:sz w:val="18"/>
          <w:szCs w:val="18"/>
          <w:lang w:val="el-GR"/>
        </w:rPr>
        <w:t>ετ</w:t>
      </w:r>
      <w:r w:rsidRPr="00F93CA8">
        <w:rPr>
          <w:rFonts w:ascii="Verdana" w:eastAsia="Malgun Gothic" w:hAnsi="Verdana" w:cs="Calibri"/>
          <w:sz w:val="18"/>
          <w:szCs w:val="18"/>
          <w:lang w:val="el-GR"/>
        </w:rPr>
        <w:t xml:space="preserve">αι η γεωργική έκταση που καλλιεργεί ή εκμεταλλεύεται η εκμετάλλευση, ανεξάρτητα από τη μορφή κατοχής (ιδιόκτητη, νοικιασμένη κλπ.) και καλύπτεται από ετήσιες καλλιέργειες, μόνιμες καλλιέργειες, θερμοκήπια, οικογενειακούς λαχανόκηπους, </w:t>
      </w:r>
      <w:r w:rsidRPr="00F93CA8">
        <w:rPr>
          <w:rFonts w:ascii="Verdana" w:eastAsia="Malgun Gothic" w:hAnsi="Verdana" w:cs="Calibri"/>
          <w:sz w:val="18"/>
          <w:szCs w:val="18"/>
          <w:lang w:val="el-GR"/>
        </w:rPr>
        <w:lastRenderedPageBreak/>
        <w:t xml:space="preserve">μόνιμα λιβάδια και βοσκότοπους και αγραναπαύσεις μέχρι 5 ετών. </w:t>
      </w:r>
      <w:r>
        <w:rPr>
          <w:rFonts w:ascii="Verdana" w:eastAsia="Malgun Gothic" w:hAnsi="Verdana" w:cs="Calibri"/>
          <w:sz w:val="18"/>
          <w:szCs w:val="18"/>
          <w:lang w:val="el-GR"/>
        </w:rPr>
        <w:t xml:space="preserve">Επίσης, </w:t>
      </w:r>
      <w:r w:rsidRPr="00F93CA8">
        <w:rPr>
          <w:rFonts w:ascii="Verdana" w:eastAsia="Malgun Gothic" w:hAnsi="Verdana" w:cs="Calibri"/>
          <w:sz w:val="18"/>
          <w:szCs w:val="18"/>
          <w:lang w:val="el-GR"/>
        </w:rPr>
        <w:t>περιλαμβάνονται και οι άγονοι βοσκότοποι που κατά την περίοδο αναφοράς χρησιμοποιήθηκαν για να βοσκήσουν τα ζώα της εκμετάλλευσης.</w:t>
      </w:r>
    </w:p>
    <w:p w14:paraId="421B09B3" w14:textId="77777777" w:rsidR="00D966DB" w:rsidRDefault="00D966DB" w:rsidP="00D966DB">
      <w:pPr>
        <w:jc w:val="both"/>
        <w:rPr>
          <w:rFonts w:ascii="Verdana" w:eastAsia="Malgun Gothic" w:hAnsi="Verdana" w:cs="Calibri"/>
          <w:sz w:val="18"/>
          <w:szCs w:val="18"/>
          <w:lang w:val="el-GR"/>
        </w:rPr>
      </w:pPr>
    </w:p>
    <w:p w14:paraId="22500101" w14:textId="77777777" w:rsidR="00D966DB" w:rsidRDefault="00D966DB" w:rsidP="00D966DB">
      <w:pPr>
        <w:jc w:val="both"/>
        <w:rPr>
          <w:rFonts w:ascii="Verdana" w:eastAsia="Malgun Gothic" w:hAnsi="Verdana" w:cs="Calibri"/>
          <w:sz w:val="18"/>
          <w:szCs w:val="18"/>
          <w:lang w:val="el-GR"/>
        </w:rPr>
      </w:pPr>
      <w:r w:rsidRPr="00DE1417">
        <w:rPr>
          <w:rFonts w:ascii="Verdana" w:eastAsia="Malgun Gothic" w:hAnsi="Verdana" w:cs="Calibri"/>
          <w:b/>
          <w:bCs/>
          <w:sz w:val="18"/>
          <w:szCs w:val="18"/>
          <w:lang w:val="el-GR"/>
        </w:rPr>
        <w:t>Ετήσιες καλλιέργειες:</w:t>
      </w:r>
      <w:r w:rsidRPr="00DE1417">
        <w:rPr>
          <w:rFonts w:ascii="Verdana" w:eastAsia="Malgun Gothic" w:hAnsi="Verdana" w:cs="Calibri"/>
          <w:sz w:val="18"/>
          <w:szCs w:val="18"/>
          <w:lang w:val="el-GR"/>
        </w:rPr>
        <w:t xml:space="preserve"> Περιλαμβάνονται οι εκτάσεις που καλύπτονται από καλλιέργειες που υπόκεινται στο σύστημα της εναλλαγής των καλλιεργειών (αμειψισπορά). Είναι δηλαδή οι καλλιέργειες εκείνες των οποίων ο κύκλος ζωής δεν διαρκεί πέραν του ενός έτους. </w:t>
      </w:r>
      <w:r>
        <w:rPr>
          <w:rFonts w:ascii="Verdana" w:eastAsia="Malgun Gothic" w:hAnsi="Verdana" w:cs="Calibri"/>
          <w:sz w:val="18"/>
          <w:szCs w:val="18"/>
          <w:lang w:val="el-GR"/>
        </w:rPr>
        <w:t>Α</w:t>
      </w:r>
      <w:r w:rsidRPr="00DE1417">
        <w:rPr>
          <w:rFonts w:ascii="Verdana" w:eastAsia="Malgun Gothic" w:hAnsi="Verdana" w:cs="Calibri"/>
          <w:sz w:val="18"/>
          <w:szCs w:val="18"/>
          <w:lang w:val="el-GR"/>
        </w:rPr>
        <w:t xml:space="preserve">ποτελούνται από δημητριακά για παραγωγή καρπού, όσπρια για ξηρό καρπό, φυτά με ριζώματα ή κονδύλους, βιομηχανικά φυτά, νωπά λαχανικά, πεπονοειδή και φράουλες, άνθη και διακοσμητικά φυτά, φυτά που συγκομίζονται χλωρά, φυτείες σποροπαραγωγής και </w:t>
      </w:r>
      <w:proofErr w:type="spellStart"/>
      <w:r w:rsidRPr="00DE1417">
        <w:rPr>
          <w:rFonts w:ascii="Verdana" w:eastAsia="Malgun Gothic" w:hAnsi="Verdana" w:cs="Calibri"/>
          <w:sz w:val="18"/>
          <w:szCs w:val="18"/>
          <w:lang w:val="el-GR"/>
        </w:rPr>
        <w:t>σπορόφυτα</w:t>
      </w:r>
      <w:proofErr w:type="spellEnd"/>
      <w:r w:rsidRPr="00DE1417">
        <w:rPr>
          <w:rFonts w:ascii="Verdana" w:eastAsia="Malgun Gothic" w:hAnsi="Verdana" w:cs="Calibri"/>
          <w:sz w:val="18"/>
          <w:szCs w:val="18"/>
          <w:lang w:val="el-GR"/>
        </w:rPr>
        <w:t>, αγραναπαύσεις και άλλες ετήσιες καλλιέργειες.</w:t>
      </w:r>
    </w:p>
    <w:p w14:paraId="72434932" w14:textId="77777777" w:rsidR="00D966DB" w:rsidRDefault="00D966DB" w:rsidP="00D966DB">
      <w:pPr>
        <w:jc w:val="both"/>
        <w:rPr>
          <w:rFonts w:ascii="Verdana" w:eastAsia="Malgun Gothic" w:hAnsi="Verdana" w:cs="Calibri"/>
          <w:sz w:val="18"/>
          <w:szCs w:val="18"/>
          <w:lang w:val="el-GR"/>
        </w:rPr>
      </w:pPr>
    </w:p>
    <w:p w14:paraId="1A5BE818" w14:textId="77777777" w:rsidR="00D966DB" w:rsidRDefault="00D966DB" w:rsidP="00D966DB">
      <w:pPr>
        <w:jc w:val="both"/>
        <w:rPr>
          <w:rFonts w:ascii="Verdana" w:eastAsia="Malgun Gothic" w:hAnsi="Verdana" w:cs="Calibri"/>
          <w:sz w:val="18"/>
          <w:szCs w:val="18"/>
          <w:lang w:val="el-GR"/>
        </w:rPr>
      </w:pPr>
      <w:r>
        <w:rPr>
          <w:rFonts w:ascii="Verdana" w:eastAsia="Malgun Gothic" w:hAnsi="Verdana" w:cs="Calibri"/>
          <w:b/>
          <w:bCs/>
          <w:sz w:val="18"/>
          <w:szCs w:val="18"/>
          <w:lang w:val="el-GR"/>
        </w:rPr>
        <w:t>Π</w:t>
      </w:r>
      <w:r w:rsidRPr="00695816">
        <w:rPr>
          <w:rFonts w:ascii="Verdana" w:eastAsia="Malgun Gothic" w:hAnsi="Verdana" w:cs="Calibri"/>
          <w:b/>
          <w:bCs/>
          <w:sz w:val="18"/>
          <w:szCs w:val="18"/>
          <w:lang w:val="el-GR"/>
        </w:rPr>
        <w:t>ολυετείς (μόνιμες) καλλιέργειες:</w:t>
      </w:r>
      <w:r w:rsidRPr="004B12B9">
        <w:rPr>
          <w:rFonts w:ascii="Verdana" w:eastAsia="Malgun Gothic" w:hAnsi="Verdana" w:cs="Calibri"/>
          <w:sz w:val="18"/>
          <w:szCs w:val="18"/>
          <w:lang w:val="el-GR"/>
        </w:rPr>
        <w:t xml:space="preserve"> Είναι ξυλώδη φυτά, δηλαδή δένδρα ή θάμνοι, που δεν ανήκουν στον κύκλο της αμειψισποράς, καταλαμβάνουν το έδαφος για μεγάλη χρονική περίοδο και παράγουν προϊόντα για πολλά έτη. Τα προϊόντα των διάφορων ειδών δένδρων ή θάμνων, όπου είναι φυτεμένα σε κανονικούς </w:t>
      </w:r>
      <w:proofErr w:type="spellStart"/>
      <w:r w:rsidRPr="004B12B9">
        <w:rPr>
          <w:rFonts w:ascii="Verdana" w:eastAsia="Malgun Gothic" w:hAnsi="Verdana" w:cs="Calibri"/>
          <w:sz w:val="18"/>
          <w:szCs w:val="18"/>
          <w:lang w:val="el-GR"/>
        </w:rPr>
        <w:t>δενδρώνες</w:t>
      </w:r>
      <w:proofErr w:type="spellEnd"/>
      <w:r w:rsidRPr="004B12B9">
        <w:rPr>
          <w:rFonts w:ascii="Verdana" w:eastAsia="Malgun Gothic" w:hAnsi="Verdana" w:cs="Calibri"/>
          <w:sz w:val="18"/>
          <w:szCs w:val="18"/>
          <w:lang w:val="el-GR"/>
        </w:rPr>
        <w:t xml:space="preserve"> ή διάσπαρτα, προορίζονται συνήθως για ανθρώπινη κατανάλωση. </w:t>
      </w:r>
      <w:r>
        <w:rPr>
          <w:rFonts w:ascii="Verdana" w:eastAsia="Malgun Gothic" w:hAnsi="Verdana" w:cs="Calibri"/>
          <w:sz w:val="18"/>
          <w:szCs w:val="18"/>
          <w:lang w:val="el-GR"/>
        </w:rPr>
        <w:t>Α</w:t>
      </w:r>
      <w:r w:rsidRPr="004B12B9">
        <w:rPr>
          <w:rFonts w:ascii="Verdana" w:eastAsia="Malgun Gothic" w:hAnsi="Verdana" w:cs="Calibri"/>
          <w:sz w:val="18"/>
          <w:szCs w:val="18"/>
          <w:lang w:val="el-GR"/>
        </w:rPr>
        <w:t xml:space="preserve">ποτελούνται από ελαιώνες, </w:t>
      </w:r>
      <w:proofErr w:type="spellStart"/>
      <w:r w:rsidRPr="004B12B9">
        <w:rPr>
          <w:rFonts w:ascii="Verdana" w:eastAsia="Malgun Gothic" w:hAnsi="Verdana" w:cs="Calibri"/>
          <w:sz w:val="18"/>
          <w:szCs w:val="18"/>
          <w:lang w:val="el-GR"/>
        </w:rPr>
        <w:t>μηλοειδή</w:t>
      </w:r>
      <w:proofErr w:type="spellEnd"/>
      <w:r w:rsidRPr="004B12B9">
        <w:rPr>
          <w:rFonts w:ascii="Verdana" w:eastAsia="Malgun Gothic" w:hAnsi="Verdana" w:cs="Calibri"/>
          <w:sz w:val="18"/>
          <w:szCs w:val="18"/>
          <w:lang w:val="el-GR"/>
        </w:rPr>
        <w:t xml:space="preserve">, </w:t>
      </w:r>
      <w:proofErr w:type="spellStart"/>
      <w:r w:rsidRPr="004B12B9">
        <w:rPr>
          <w:rFonts w:ascii="Verdana" w:eastAsia="Malgun Gothic" w:hAnsi="Verdana" w:cs="Calibri"/>
          <w:sz w:val="18"/>
          <w:szCs w:val="18"/>
          <w:lang w:val="el-GR"/>
        </w:rPr>
        <w:t>πυρηνόκαρπα</w:t>
      </w:r>
      <w:proofErr w:type="spellEnd"/>
      <w:r w:rsidRPr="004B12B9">
        <w:rPr>
          <w:rFonts w:ascii="Verdana" w:eastAsia="Malgun Gothic" w:hAnsi="Verdana" w:cs="Calibri"/>
          <w:sz w:val="18"/>
          <w:szCs w:val="18"/>
          <w:lang w:val="el-GR"/>
        </w:rPr>
        <w:t>, φρούτα καλλιεργειών υποτροπικών και τροπικών κλιμάτων, δέντρα για καρπούς με κέλυφος, σαρκώδεις καρπούς, χαρουπιές, εσπεριδοειδή, αμπέλια, φυτώρια και άλλες μόνιμες καλλιέργειες.</w:t>
      </w:r>
    </w:p>
    <w:p w14:paraId="52E3ADF8" w14:textId="77777777" w:rsidR="00D966DB" w:rsidRDefault="00D966DB" w:rsidP="00D966DB">
      <w:pPr>
        <w:jc w:val="both"/>
        <w:rPr>
          <w:rFonts w:ascii="Verdana" w:eastAsia="Malgun Gothic" w:hAnsi="Verdana" w:cs="Calibri"/>
          <w:sz w:val="18"/>
          <w:szCs w:val="18"/>
          <w:lang w:val="el-GR"/>
        </w:rPr>
      </w:pPr>
    </w:p>
    <w:p w14:paraId="0395E75A" w14:textId="77777777" w:rsidR="00D966DB" w:rsidRDefault="00D966DB" w:rsidP="00D966DB">
      <w:pPr>
        <w:jc w:val="both"/>
        <w:rPr>
          <w:rFonts w:ascii="Verdana" w:eastAsia="Malgun Gothic" w:hAnsi="Verdana" w:cs="Calibri"/>
          <w:sz w:val="18"/>
          <w:szCs w:val="18"/>
          <w:lang w:val="el-GR"/>
        </w:rPr>
      </w:pPr>
      <w:r w:rsidRPr="00695816">
        <w:rPr>
          <w:rFonts w:ascii="Verdana" w:eastAsia="Malgun Gothic" w:hAnsi="Verdana" w:cs="Calibri"/>
          <w:b/>
          <w:bCs/>
          <w:sz w:val="18"/>
          <w:szCs w:val="18"/>
          <w:lang w:val="el-GR"/>
        </w:rPr>
        <w:t>Θερμοκήπια ή ψηλά προσπελάσιμα στέγαστρα:</w:t>
      </w:r>
      <w:r w:rsidRPr="00695816">
        <w:rPr>
          <w:rFonts w:ascii="Verdana" w:eastAsia="Malgun Gothic" w:hAnsi="Verdana" w:cs="Calibri"/>
          <w:sz w:val="18"/>
          <w:szCs w:val="18"/>
          <w:lang w:val="el-GR"/>
        </w:rPr>
        <w:t xml:space="preserve"> Εκτάσεις καλλιεργειών, οι οποίες για ολόκληρη την περίοδο ή για το μεγαλύτερο χρονικό διάστημα της ανάπτυξ</w:t>
      </w:r>
      <w:r>
        <w:rPr>
          <w:rFonts w:ascii="Verdana" w:eastAsia="Malgun Gothic" w:hAnsi="Verdana" w:cs="Calibri"/>
          <w:sz w:val="18"/>
          <w:szCs w:val="18"/>
          <w:lang w:val="el-GR"/>
        </w:rPr>
        <w:t>ή</w:t>
      </w:r>
      <w:r w:rsidRPr="00695816">
        <w:rPr>
          <w:rFonts w:ascii="Verdana" w:eastAsia="Malgun Gothic" w:hAnsi="Verdana" w:cs="Calibri"/>
          <w:sz w:val="18"/>
          <w:szCs w:val="18"/>
          <w:lang w:val="el-GR"/>
        </w:rPr>
        <w:t>ς τους είναι σε θερμοκήπια ή κάτω από ψηλά καλύμματα (κινητά και μη).</w:t>
      </w:r>
    </w:p>
    <w:p w14:paraId="28D91C86" w14:textId="77777777" w:rsidR="00D966DB" w:rsidRPr="00695816" w:rsidRDefault="00D966DB" w:rsidP="00D966DB">
      <w:pPr>
        <w:jc w:val="both"/>
        <w:rPr>
          <w:rFonts w:ascii="Verdana" w:eastAsia="Malgun Gothic" w:hAnsi="Verdana" w:cs="Calibri"/>
          <w:sz w:val="18"/>
          <w:szCs w:val="18"/>
          <w:lang w:val="el-GR"/>
        </w:rPr>
      </w:pPr>
    </w:p>
    <w:p w14:paraId="2C27F654" w14:textId="77777777" w:rsidR="00D966DB" w:rsidRDefault="00D966DB" w:rsidP="00D966DB">
      <w:pPr>
        <w:jc w:val="both"/>
        <w:rPr>
          <w:rFonts w:ascii="Verdana" w:eastAsia="Malgun Gothic" w:hAnsi="Verdana" w:cs="Calibri"/>
          <w:sz w:val="18"/>
          <w:szCs w:val="18"/>
          <w:lang w:val="el-GR"/>
        </w:rPr>
      </w:pPr>
      <w:r w:rsidRPr="00695816">
        <w:rPr>
          <w:rFonts w:ascii="Verdana" w:eastAsia="Malgun Gothic" w:hAnsi="Verdana" w:cs="Calibri"/>
          <w:b/>
          <w:bCs/>
          <w:sz w:val="18"/>
          <w:szCs w:val="18"/>
          <w:lang w:val="el-GR"/>
        </w:rPr>
        <w:t>Μόνιμοι βοσκότοποι:</w:t>
      </w:r>
      <w:r w:rsidRPr="00695816">
        <w:rPr>
          <w:rFonts w:ascii="Verdana" w:eastAsia="Malgun Gothic" w:hAnsi="Verdana" w:cs="Calibri"/>
          <w:sz w:val="18"/>
          <w:szCs w:val="18"/>
          <w:lang w:val="el-GR"/>
        </w:rPr>
        <w:t xml:space="preserve"> Εκτάσεις γης που χρησιμοποιούνται μόνιμα (για αρκετά συνεχόμενα έτη, κανονικά 5 ή περισσότερα) για </w:t>
      </w:r>
      <w:r>
        <w:rPr>
          <w:rFonts w:ascii="Verdana" w:eastAsia="Malgun Gothic" w:hAnsi="Verdana" w:cs="Calibri"/>
          <w:sz w:val="18"/>
          <w:szCs w:val="18"/>
          <w:lang w:val="el-GR"/>
        </w:rPr>
        <w:t>να καλλιεργηθούν</w:t>
      </w:r>
      <w:r w:rsidRPr="00695816">
        <w:rPr>
          <w:rFonts w:ascii="Verdana" w:eastAsia="Malgun Gothic" w:hAnsi="Verdana" w:cs="Calibri"/>
          <w:sz w:val="18"/>
          <w:szCs w:val="18"/>
          <w:lang w:val="el-GR"/>
        </w:rPr>
        <w:t xml:space="preserve"> αγρωστώδη και ποώδη κτηνοτροφικ</w:t>
      </w:r>
      <w:r>
        <w:rPr>
          <w:rFonts w:ascii="Verdana" w:eastAsia="Malgun Gothic" w:hAnsi="Verdana" w:cs="Calibri"/>
          <w:sz w:val="18"/>
          <w:szCs w:val="18"/>
          <w:lang w:val="el-GR"/>
        </w:rPr>
        <w:t>ά</w:t>
      </w:r>
      <w:r w:rsidRPr="00695816">
        <w:rPr>
          <w:rFonts w:ascii="Verdana" w:eastAsia="Malgun Gothic" w:hAnsi="Verdana" w:cs="Calibri"/>
          <w:sz w:val="18"/>
          <w:szCs w:val="18"/>
          <w:lang w:val="el-GR"/>
        </w:rPr>
        <w:t xml:space="preserve"> φυτ</w:t>
      </w:r>
      <w:r>
        <w:rPr>
          <w:rFonts w:ascii="Verdana" w:eastAsia="Malgun Gothic" w:hAnsi="Verdana" w:cs="Calibri"/>
          <w:sz w:val="18"/>
          <w:szCs w:val="18"/>
          <w:lang w:val="el-GR"/>
        </w:rPr>
        <w:t>ά</w:t>
      </w:r>
      <w:r w:rsidRPr="00695816">
        <w:rPr>
          <w:rFonts w:ascii="Verdana" w:eastAsia="Malgun Gothic" w:hAnsi="Verdana" w:cs="Calibri"/>
          <w:sz w:val="18"/>
          <w:szCs w:val="18"/>
          <w:lang w:val="el-GR"/>
        </w:rPr>
        <w:t xml:space="preserve"> για βόσκηση ή ενεργειακούς σκοπούς είτε σπέρνονται είτε είναι φυσική βλάστηση και που δεν περιλαμβάνονται στην αμειψισπορά.</w:t>
      </w:r>
    </w:p>
    <w:p w14:paraId="1421D075" w14:textId="77777777" w:rsidR="00D966DB" w:rsidRDefault="00D966DB" w:rsidP="00D966DB">
      <w:pPr>
        <w:jc w:val="both"/>
        <w:rPr>
          <w:rFonts w:ascii="Verdana" w:eastAsia="Malgun Gothic" w:hAnsi="Verdana" w:cs="Calibri"/>
          <w:sz w:val="18"/>
          <w:szCs w:val="18"/>
          <w:lang w:val="el-GR"/>
        </w:rPr>
      </w:pPr>
    </w:p>
    <w:p w14:paraId="7046C71B" w14:textId="77777777" w:rsidR="00D966DB" w:rsidRDefault="00D966DB" w:rsidP="00D966DB">
      <w:pPr>
        <w:jc w:val="both"/>
        <w:rPr>
          <w:rFonts w:ascii="Verdana" w:eastAsia="Malgun Gothic" w:hAnsi="Verdana" w:cs="Calibri"/>
          <w:sz w:val="18"/>
          <w:szCs w:val="18"/>
          <w:lang w:val="el-GR"/>
        </w:rPr>
      </w:pPr>
      <w:r w:rsidRPr="00695816">
        <w:rPr>
          <w:rFonts w:ascii="Verdana" w:eastAsia="Malgun Gothic" w:hAnsi="Verdana" w:cs="Calibri"/>
          <w:b/>
          <w:bCs/>
          <w:sz w:val="18"/>
          <w:szCs w:val="18"/>
          <w:lang w:val="el-GR"/>
        </w:rPr>
        <w:t xml:space="preserve">Οικογενειακοί λαχανόκηποι: </w:t>
      </w:r>
      <w:r w:rsidRPr="00695816">
        <w:rPr>
          <w:rFonts w:ascii="Verdana" w:eastAsia="Malgun Gothic" w:hAnsi="Verdana" w:cs="Calibri"/>
          <w:sz w:val="18"/>
          <w:szCs w:val="18"/>
          <w:lang w:val="el-GR"/>
        </w:rPr>
        <w:t xml:space="preserve">Είναι μικρές εκτάσεις γης που βρίσκονται, συνήθως, κοντά στο σπίτι του κατόχου της εκμετάλλευσης, χωριστά από την υπόλοιπη εκμετάλλευση και η παραγωγή τους προορίζεται για κατανάλωση από τα άτομα που ζουν στην εκμετάλλευση και όχι για πώληση. </w:t>
      </w:r>
    </w:p>
    <w:p w14:paraId="66515642" w14:textId="77777777" w:rsidR="00D966DB" w:rsidRDefault="00D966DB" w:rsidP="00D966DB">
      <w:pPr>
        <w:jc w:val="both"/>
        <w:rPr>
          <w:rFonts w:ascii="Verdana" w:eastAsia="Malgun Gothic" w:hAnsi="Verdana" w:cs="Calibri"/>
          <w:sz w:val="18"/>
          <w:szCs w:val="18"/>
          <w:lang w:val="el-GR"/>
        </w:rPr>
      </w:pPr>
    </w:p>
    <w:p w14:paraId="59672121" w14:textId="77777777" w:rsidR="00D966DB" w:rsidRDefault="00D966DB" w:rsidP="00D966DB">
      <w:pPr>
        <w:jc w:val="both"/>
        <w:rPr>
          <w:rFonts w:ascii="Verdana" w:eastAsia="Malgun Gothic" w:hAnsi="Verdana" w:cs="Calibri"/>
          <w:sz w:val="18"/>
          <w:szCs w:val="18"/>
          <w:lang w:val="el-GR"/>
        </w:rPr>
      </w:pPr>
      <w:r w:rsidRPr="00695816">
        <w:rPr>
          <w:rFonts w:ascii="Verdana" w:eastAsia="Malgun Gothic" w:hAnsi="Verdana" w:cs="Calibri"/>
          <w:b/>
          <w:bCs/>
          <w:sz w:val="18"/>
          <w:szCs w:val="18"/>
          <w:lang w:val="el-GR"/>
        </w:rPr>
        <w:t>Αρδεύσιμη</w:t>
      </w:r>
      <w:r>
        <w:rPr>
          <w:rFonts w:ascii="Verdana" w:eastAsia="Malgun Gothic" w:hAnsi="Verdana" w:cs="Calibri"/>
          <w:b/>
          <w:bCs/>
          <w:sz w:val="18"/>
          <w:szCs w:val="18"/>
          <w:lang w:val="el-GR"/>
        </w:rPr>
        <w:t xml:space="preserve"> έκταση</w:t>
      </w:r>
      <w:r w:rsidRPr="00695816">
        <w:rPr>
          <w:rFonts w:ascii="Verdana" w:eastAsia="Malgun Gothic" w:hAnsi="Verdana" w:cs="Calibri"/>
          <w:b/>
          <w:bCs/>
          <w:sz w:val="18"/>
          <w:szCs w:val="18"/>
          <w:lang w:val="el-GR"/>
        </w:rPr>
        <w:t>:</w:t>
      </w:r>
      <w:r w:rsidRPr="00695816">
        <w:rPr>
          <w:rFonts w:ascii="Verdana" w:eastAsia="Malgun Gothic" w:hAnsi="Verdana" w:cs="Calibri"/>
          <w:sz w:val="18"/>
          <w:szCs w:val="18"/>
          <w:lang w:val="el-GR"/>
        </w:rPr>
        <w:t xml:space="preserve"> Είναι η χρησιμοποιούμενη γεωργική έκταση που είχε τη δυνατότητα να ποτιστεί κατά την περίοδο αναφοράς χρησιμοποιώντας τον εξοπλισμό και την ποσότητα νερού που διαθέτει, συνήθως, η εκμετάλλευση, ανεξάρτητα αν ποτίστηκε ή όχι. Εξαιρούνται οι εκτάσεις σε θερμοκήπια ή υπό ψηλά προσπελάσιμα στέγαστρα και οι οικογενειακοί λαχανόκηποι.</w:t>
      </w:r>
    </w:p>
    <w:p w14:paraId="646ED231" w14:textId="77777777" w:rsidR="00D966DB" w:rsidRDefault="00D966DB" w:rsidP="00D966DB">
      <w:pPr>
        <w:jc w:val="both"/>
        <w:rPr>
          <w:rFonts w:ascii="Verdana" w:eastAsia="Malgun Gothic" w:hAnsi="Verdana" w:cs="Calibri"/>
          <w:sz w:val="18"/>
          <w:szCs w:val="18"/>
          <w:lang w:val="el-GR"/>
        </w:rPr>
      </w:pPr>
    </w:p>
    <w:p w14:paraId="0A828E86" w14:textId="77777777" w:rsidR="00D966DB" w:rsidRDefault="00D966DB" w:rsidP="00D966DB">
      <w:pPr>
        <w:jc w:val="both"/>
        <w:rPr>
          <w:rFonts w:ascii="Verdana" w:eastAsia="Malgun Gothic" w:hAnsi="Verdana" w:cs="Calibri"/>
          <w:sz w:val="18"/>
          <w:szCs w:val="18"/>
          <w:lang w:val="el-GR"/>
        </w:rPr>
      </w:pPr>
      <w:proofErr w:type="spellStart"/>
      <w:r w:rsidRPr="00695816">
        <w:rPr>
          <w:rFonts w:ascii="Verdana" w:eastAsia="Malgun Gothic" w:hAnsi="Verdana" w:cs="Calibri"/>
          <w:b/>
          <w:bCs/>
          <w:sz w:val="18"/>
          <w:szCs w:val="18"/>
          <w:lang w:val="el-GR"/>
        </w:rPr>
        <w:t>Αρδευθείσα</w:t>
      </w:r>
      <w:proofErr w:type="spellEnd"/>
      <w:r>
        <w:rPr>
          <w:rFonts w:ascii="Verdana" w:eastAsia="Malgun Gothic" w:hAnsi="Verdana" w:cs="Calibri"/>
          <w:b/>
          <w:bCs/>
          <w:sz w:val="18"/>
          <w:szCs w:val="18"/>
          <w:lang w:val="el-GR"/>
        </w:rPr>
        <w:t xml:space="preserve"> έκταση</w:t>
      </w:r>
      <w:r w:rsidRPr="00695816">
        <w:rPr>
          <w:rFonts w:ascii="Verdana" w:eastAsia="Malgun Gothic" w:hAnsi="Verdana" w:cs="Calibri"/>
          <w:b/>
          <w:bCs/>
          <w:sz w:val="18"/>
          <w:szCs w:val="18"/>
          <w:lang w:val="el-GR"/>
        </w:rPr>
        <w:t>:</w:t>
      </w:r>
      <w:r w:rsidRPr="00695816">
        <w:rPr>
          <w:rFonts w:ascii="Verdana" w:eastAsia="Malgun Gothic" w:hAnsi="Verdana" w:cs="Calibri"/>
          <w:sz w:val="18"/>
          <w:szCs w:val="18"/>
          <w:lang w:val="el-GR"/>
        </w:rPr>
        <w:t xml:space="preserve"> </w:t>
      </w:r>
      <w:r>
        <w:rPr>
          <w:rFonts w:ascii="Verdana" w:eastAsia="Malgun Gothic" w:hAnsi="Verdana" w:cs="Calibri"/>
          <w:sz w:val="18"/>
          <w:szCs w:val="18"/>
          <w:lang w:val="el-GR"/>
        </w:rPr>
        <w:t>Ε</w:t>
      </w:r>
      <w:r w:rsidRPr="00695816">
        <w:rPr>
          <w:rFonts w:ascii="Verdana" w:eastAsia="Malgun Gothic" w:hAnsi="Verdana" w:cs="Calibri"/>
          <w:sz w:val="18"/>
          <w:szCs w:val="18"/>
          <w:lang w:val="el-GR"/>
        </w:rPr>
        <w:t xml:space="preserve">ίναι </w:t>
      </w:r>
      <w:r>
        <w:rPr>
          <w:rFonts w:ascii="Verdana" w:eastAsia="Malgun Gothic" w:hAnsi="Verdana" w:cs="Calibri"/>
          <w:sz w:val="18"/>
          <w:szCs w:val="18"/>
          <w:lang w:val="el-GR"/>
        </w:rPr>
        <w:t xml:space="preserve">η έκταση </w:t>
      </w:r>
      <w:r w:rsidRPr="00695816">
        <w:rPr>
          <w:rFonts w:ascii="Verdana" w:eastAsia="Malgun Gothic" w:hAnsi="Verdana" w:cs="Calibri"/>
          <w:sz w:val="18"/>
          <w:szCs w:val="18"/>
          <w:lang w:val="el-GR"/>
        </w:rPr>
        <w:t>που πραγματικά ποτίστηκ</w:t>
      </w:r>
      <w:r>
        <w:rPr>
          <w:rFonts w:ascii="Verdana" w:eastAsia="Malgun Gothic" w:hAnsi="Verdana" w:cs="Calibri"/>
          <w:sz w:val="18"/>
          <w:szCs w:val="18"/>
          <w:lang w:val="el-GR"/>
        </w:rPr>
        <w:t>ε</w:t>
      </w:r>
      <w:r w:rsidRPr="00695816">
        <w:rPr>
          <w:rFonts w:ascii="Verdana" w:eastAsia="Malgun Gothic" w:hAnsi="Verdana" w:cs="Calibri"/>
          <w:sz w:val="18"/>
          <w:szCs w:val="18"/>
          <w:lang w:val="el-GR"/>
        </w:rPr>
        <w:t>, τουλάχιστον μία φορά, κατά την περίοδο αναφοράς. Εξαιρούνται οι εκτάσεις σε θερμοκήπια ή υπό ψηλά προσπελάσιμα στέγαστρα και οι οικογενειακοί λαχανόκηποι.</w:t>
      </w:r>
    </w:p>
    <w:p w14:paraId="4DA273A9" w14:textId="77777777" w:rsidR="00D966DB" w:rsidRDefault="00D966DB" w:rsidP="00D966DB">
      <w:pPr>
        <w:jc w:val="both"/>
        <w:rPr>
          <w:rFonts w:ascii="Verdana" w:eastAsia="Malgun Gothic" w:hAnsi="Verdana" w:cs="Calibri"/>
          <w:sz w:val="18"/>
          <w:szCs w:val="18"/>
          <w:lang w:val="el-GR"/>
        </w:rPr>
      </w:pPr>
    </w:p>
    <w:p w14:paraId="6C3BF116" w14:textId="77777777" w:rsidR="00D966DB" w:rsidRDefault="00D966DB" w:rsidP="00D966DB">
      <w:pPr>
        <w:jc w:val="both"/>
        <w:rPr>
          <w:rFonts w:ascii="Verdana" w:eastAsia="Malgun Gothic" w:hAnsi="Verdana" w:cs="Calibri"/>
          <w:sz w:val="18"/>
          <w:szCs w:val="18"/>
          <w:lang w:val="el-GR"/>
        </w:rPr>
      </w:pPr>
      <w:r w:rsidRPr="00661540">
        <w:rPr>
          <w:rFonts w:ascii="Verdana" w:eastAsia="Malgun Gothic" w:hAnsi="Verdana" w:cs="Calibri"/>
          <w:b/>
          <w:bCs/>
          <w:sz w:val="18"/>
          <w:szCs w:val="18"/>
          <w:lang w:val="el-GR"/>
        </w:rPr>
        <w:t>Εργατικό δυναμικό:</w:t>
      </w:r>
      <w:r w:rsidRPr="00661540">
        <w:rPr>
          <w:rFonts w:ascii="Verdana" w:eastAsia="Malgun Gothic" w:hAnsi="Verdana" w:cs="Calibri"/>
          <w:sz w:val="18"/>
          <w:szCs w:val="18"/>
          <w:lang w:val="el-GR"/>
        </w:rPr>
        <w:t xml:space="preserve"> Είναι το σύνολο των φυσικών ατόμων τα οποία κατά τη διάρκεια μιας καλλιεργητικής περιόδου ασχολήθηκαν με οποιοδήποτε τρόπο στις εργασίες (διεύθυνση, τεχνική ή </w:t>
      </w:r>
      <w:proofErr w:type="spellStart"/>
      <w:r w:rsidRPr="00661540">
        <w:rPr>
          <w:rFonts w:ascii="Verdana" w:eastAsia="Malgun Gothic" w:hAnsi="Verdana" w:cs="Calibri"/>
          <w:sz w:val="18"/>
          <w:szCs w:val="18"/>
          <w:lang w:val="el-GR"/>
        </w:rPr>
        <w:t>χειρονακτική</w:t>
      </w:r>
      <w:proofErr w:type="spellEnd"/>
      <w:r w:rsidRPr="00661540">
        <w:rPr>
          <w:rFonts w:ascii="Verdana" w:eastAsia="Malgun Gothic" w:hAnsi="Verdana" w:cs="Calibri"/>
          <w:sz w:val="18"/>
          <w:szCs w:val="18"/>
          <w:lang w:val="el-GR"/>
        </w:rPr>
        <w:t xml:space="preserve"> εργασία) της εκμετάλλευσης που απαιτούνται</w:t>
      </w:r>
      <w:r>
        <w:rPr>
          <w:rFonts w:ascii="Verdana" w:eastAsia="Malgun Gothic" w:hAnsi="Verdana" w:cs="Calibri"/>
          <w:sz w:val="18"/>
          <w:szCs w:val="18"/>
          <w:lang w:val="el-GR"/>
        </w:rPr>
        <w:t>,</w:t>
      </w:r>
      <w:r w:rsidRPr="00661540">
        <w:rPr>
          <w:rFonts w:ascii="Verdana" w:eastAsia="Malgun Gothic" w:hAnsi="Verdana" w:cs="Calibri"/>
          <w:sz w:val="18"/>
          <w:szCs w:val="18"/>
          <w:lang w:val="el-GR"/>
        </w:rPr>
        <w:t xml:space="preserve"> τόσο για κάθε κλάδο παραγωγής όσο και για τις γενικές ανάγκες της ή και τη διαχείριση της παραγωγής από πλευράς εμπορίας. </w:t>
      </w:r>
    </w:p>
    <w:p w14:paraId="529CB8E6" w14:textId="77777777" w:rsidR="00D966DB" w:rsidRPr="00661540" w:rsidRDefault="00D966DB" w:rsidP="00D966DB">
      <w:pPr>
        <w:jc w:val="both"/>
        <w:rPr>
          <w:rFonts w:ascii="Verdana" w:eastAsia="Malgun Gothic" w:hAnsi="Verdana" w:cs="Calibri"/>
          <w:b/>
          <w:bCs/>
          <w:sz w:val="18"/>
          <w:szCs w:val="18"/>
          <w:lang w:val="el-GR"/>
        </w:rPr>
      </w:pPr>
    </w:p>
    <w:p w14:paraId="616E3C93" w14:textId="77777777" w:rsidR="00D966DB" w:rsidRDefault="00D966DB" w:rsidP="00D966DB">
      <w:pPr>
        <w:jc w:val="both"/>
        <w:rPr>
          <w:rFonts w:ascii="Verdana" w:eastAsia="Malgun Gothic" w:hAnsi="Verdana" w:cs="Calibri"/>
          <w:sz w:val="18"/>
          <w:szCs w:val="18"/>
          <w:lang w:val="el-GR"/>
        </w:rPr>
      </w:pPr>
      <w:r w:rsidRPr="00661540">
        <w:rPr>
          <w:rFonts w:ascii="Verdana" w:eastAsia="Malgun Gothic" w:hAnsi="Verdana" w:cs="Calibri"/>
          <w:b/>
          <w:bCs/>
          <w:sz w:val="18"/>
          <w:szCs w:val="18"/>
          <w:lang w:val="el-GR"/>
        </w:rPr>
        <w:t>Μόνιμοι εργάτες:</w:t>
      </w:r>
      <w:r w:rsidRPr="00661540">
        <w:rPr>
          <w:rFonts w:ascii="Verdana" w:eastAsia="Malgun Gothic" w:hAnsi="Verdana" w:cs="Calibri"/>
          <w:sz w:val="18"/>
          <w:szCs w:val="18"/>
          <w:lang w:val="el-GR"/>
        </w:rPr>
        <w:t xml:space="preserve"> Τα άτομα που εργάστηκαν στην εκμετάλλευση τακτικά, όλες τις εβδομάδες κατά τη διάρκεια του 12μηνου αναφοράς, ανεξάρτητα από τη διάρκεια της εργάσιμης εβδομάδας και πήραν αμοιβή (μισθό, κέρδη ή πληρωμές σε είδος) από την εκμετάλλευση. Μόνιμοι εργάτες θεωρούνται επίσης και τα άτομα που εργάστηκαν μόνιμα ένα μέρος αυτής της περιόδου των 12 μηνών και δεν ήταν σε θέση να εργαστούν για όλη την περίοδο</w:t>
      </w:r>
      <w:r>
        <w:rPr>
          <w:rFonts w:ascii="Verdana" w:eastAsia="Malgun Gothic" w:hAnsi="Verdana" w:cs="Calibri"/>
          <w:sz w:val="18"/>
          <w:szCs w:val="18"/>
          <w:lang w:val="el-GR"/>
        </w:rPr>
        <w:t>,</w:t>
      </w:r>
      <w:r w:rsidRPr="00661540">
        <w:rPr>
          <w:rFonts w:ascii="Verdana" w:eastAsia="Malgun Gothic" w:hAnsi="Verdana" w:cs="Calibri"/>
          <w:sz w:val="18"/>
          <w:szCs w:val="18"/>
          <w:lang w:val="el-GR"/>
        </w:rPr>
        <w:t xml:space="preserve"> είτε γ</w:t>
      </w:r>
      <w:r>
        <w:rPr>
          <w:rFonts w:ascii="Verdana" w:eastAsia="Malgun Gothic" w:hAnsi="Verdana" w:cs="Calibri"/>
          <w:sz w:val="18"/>
          <w:szCs w:val="18"/>
          <w:lang w:val="el-GR"/>
        </w:rPr>
        <w:t>ι</w:t>
      </w:r>
      <w:r w:rsidRPr="00661540">
        <w:rPr>
          <w:rFonts w:ascii="Verdana" w:eastAsia="Malgun Gothic" w:hAnsi="Verdana" w:cs="Calibri"/>
          <w:sz w:val="18"/>
          <w:szCs w:val="18"/>
          <w:lang w:val="el-GR"/>
        </w:rPr>
        <w:t>ατί οι καλλιέργειες απαιτούν λίγους μήνες απασχόλησης, είτε λόγω ασθένειας, στρατιωτικής θητείας, ατυχήματος ή θανάτου, είτε γιατί υπήρχε διακοπή της απασχόλησης στην εκμετάλλευση στο ενδιάμεσο των 12 μηνών, είτε λόγω οριστικής παύση</w:t>
      </w:r>
      <w:r>
        <w:rPr>
          <w:rFonts w:ascii="Verdana" w:eastAsia="Malgun Gothic" w:hAnsi="Verdana" w:cs="Calibri"/>
          <w:sz w:val="18"/>
          <w:szCs w:val="18"/>
          <w:lang w:val="el-GR"/>
        </w:rPr>
        <w:t>ς</w:t>
      </w:r>
      <w:r w:rsidRPr="00661540">
        <w:rPr>
          <w:rFonts w:ascii="Verdana" w:eastAsia="Malgun Gothic" w:hAnsi="Verdana" w:cs="Calibri"/>
          <w:sz w:val="18"/>
          <w:szCs w:val="18"/>
          <w:lang w:val="el-GR"/>
        </w:rPr>
        <w:t xml:space="preserve"> των εργασιών της εκμετάλλευσης εξαιτίας καταστροφών, π.χ. πλημμυρών, πυρκαγιάς κλπ.</w:t>
      </w:r>
    </w:p>
    <w:p w14:paraId="5D16B841" w14:textId="77777777" w:rsidR="00D966DB" w:rsidRDefault="00D966DB" w:rsidP="00D966DB">
      <w:pPr>
        <w:jc w:val="both"/>
        <w:rPr>
          <w:rFonts w:ascii="Verdana" w:eastAsia="Malgun Gothic" w:hAnsi="Verdana" w:cs="Calibri"/>
          <w:sz w:val="18"/>
          <w:szCs w:val="18"/>
          <w:lang w:val="el-GR"/>
        </w:rPr>
      </w:pPr>
    </w:p>
    <w:p w14:paraId="4BA7822F" w14:textId="77777777" w:rsidR="00D966DB" w:rsidRPr="008B12A8" w:rsidRDefault="00D966DB" w:rsidP="00D966DB">
      <w:pPr>
        <w:jc w:val="both"/>
        <w:rPr>
          <w:rFonts w:ascii="Verdana" w:eastAsia="Malgun Gothic" w:hAnsi="Verdana" w:cs="Calibri"/>
          <w:sz w:val="18"/>
          <w:szCs w:val="18"/>
          <w:lang w:val="el-GR"/>
        </w:rPr>
      </w:pPr>
      <w:r w:rsidRPr="00D332DF">
        <w:rPr>
          <w:rFonts w:ascii="Verdana" w:eastAsia="Malgun Gothic" w:hAnsi="Verdana" w:cs="Calibri"/>
          <w:b/>
          <w:bCs/>
          <w:sz w:val="18"/>
          <w:szCs w:val="18"/>
          <w:lang w:val="el-GR"/>
        </w:rPr>
        <w:t>Εποχικοί εργάτες:</w:t>
      </w:r>
      <w:r w:rsidRPr="00D332DF">
        <w:rPr>
          <w:rFonts w:ascii="Verdana" w:eastAsia="Malgun Gothic" w:hAnsi="Verdana" w:cs="Calibri"/>
          <w:sz w:val="18"/>
          <w:szCs w:val="18"/>
          <w:lang w:val="el-GR"/>
        </w:rPr>
        <w:t xml:space="preserve"> Τα άτομα που δεν εργάστηκαν στη γεωργική εκμετάλλευση τακτικά, όλες τις εβδομάδες κατά τη διάρκεια των 12 μηνών αναφοράς, αλλά μόνο ένα μικρό χρονικό διάστημα, ή για μικρά χρονικά διαστήματα, γιατί προσλαμβάνονται μόνο για συγκεκριμένη εργασία, όπως π.χ. για τον </w:t>
      </w:r>
      <w:r w:rsidRPr="008B12A8">
        <w:rPr>
          <w:rFonts w:ascii="Verdana" w:eastAsia="Malgun Gothic" w:hAnsi="Verdana" w:cs="Calibri"/>
          <w:sz w:val="18"/>
          <w:szCs w:val="18"/>
          <w:lang w:val="el-GR"/>
        </w:rPr>
        <w:t>τρύγο ή τη συλλογή πατάτας, καπνού κλπ.</w:t>
      </w:r>
    </w:p>
    <w:p w14:paraId="743A267A" w14:textId="77777777" w:rsidR="00D966DB" w:rsidRPr="000B76DF" w:rsidRDefault="00D966DB" w:rsidP="00D966DB">
      <w:pPr>
        <w:jc w:val="both"/>
        <w:rPr>
          <w:rFonts w:ascii="Verdana" w:eastAsia="Malgun Gothic" w:hAnsi="Verdana" w:cs="Calibri"/>
          <w:b/>
          <w:sz w:val="18"/>
          <w:szCs w:val="18"/>
          <w:u w:val="single"/>
          <w:lang w:val="el-GR"/>
        </w:rPr>
      </w:pPr>
    </w:p>
    <w:p w14:paraId="4E965798" w14:textId="77777777" w:rsidR="000B76DF" w:rsidRPr="000B76DF" w:rsidRDefault="000B76DF" w:rsidP="00D966DB">
      <w:pPr>
        <w:jc w:val="both"/>
        <w:rPr>
          <w:rFonts w:ascii="Verdana" w:eastAsia="Malgun Gothic" w:hAnsi="Verdana" w:cs="Calibri"/>
          <w:b/>
          <w:sz w:val="18"/>
          <w:szCs w:val="18"/>
          <w:u w:val="single"/>
          <w:lang w:val="el-GR"/>
        </w:rPr>
      </w:pPr>
    </w:p>
    <w:p w14:paraId="24A75BA2" w14:textId="77777777" w:rsidR="00D966DB" w:rsidRPr="008B12A8" w:rsidRDefault="00D966DB" w:rsidP="00D966DB">
      <w:pPr>
        <w:rPr>
          <w:rFonts w:ascii="Verdana" w:hAnsi="Verdana"/>
          <w:i/>
          <w:sz w:val="18"/>
          <w:szCs w:val="18"/>
          <w:lang w:val="el-GR"/>
        </w:rPr>
      </w:pPr>
      <w:r w:rsidRPr="008B12A8">
        <w:rPr>
          <w:rFonts w:ascii="Verdana" w:hAnsi="Verdana"/>
          <w:b/>
          <w:i/>
          <w:sz w:val="18"/>
          <w:szCs w:val="18"/>
          <w:lang w:val="el-GR"/>
        </w:rPr>
        <w:t>Για περισσότερες πληροφορίες:</w:t>
      </w:r>
      <w:r w:rsidRPr="008B12A8">
        <w:rPr>
          <w:rFonts w:ascii="Verdana" w:hAnsi="Verdana"/>
          <w:i/>
          <w:sz w:val="18"/>
          <w:szCs w:val="18"/>
          <w:lang w:val="el-GR"/>
        </w:rPr>
        <w:t xml:space="preserve"> </w:t>
      </w:r>
    </w:p>
    <w:p w14:paraId="43732A98" w14:textId="77777777" w:rsidR="00D966DB" w:rsidRPr="002E7F97" w:rsidRDefault="00D966DB" w:rsidP="00D966DB">
      <w:pPr>
        <w:ind w:right="-79"/>
        <w:jc w:val="both"/>
        <w:rPr>
          <w:rFonts w:ascii="Verdana" w:eastAsia="Malgun Gothic" w:hAnsi="Verdana" w:cs="Arial"/>
          <w:sz w:val="18"/>
          <w:szCs w:val="18"/>
          <w:lang w:val="el-GR"/>
        </w:rPr>
      </w:pPr>
      <w:r w:rsidRPr="002E7F97">
        <w:rPr>
          <w:rFonts w:ascii="Verdana" w:hAnsi="Verdana"/>
          <w:sz w:val="18"/>
          <w:szCs w:val="18"/>
          <w:lang w:val="el-GR"/>
        </w:rPr>
        <w:t xml:space="preserve">Πύλη Στατιστικής Υπηρεσίας, υπόθεμα </w:t>
      </w:r>
      <w:hyperlink r:id="rId10" w:history="1">
        <w:r>
          <w:rPr>
            <w:rStyle w:val="Hyperlink"/>
            <w:rFonts w:ascii="Verdana" w:hAnsi="Verdana"/>
            <w:sz w:val="18"/>
            <w:szCs w:val="18"/>
            <w:lang w:val="el-GR"/>
          </w:rPr>
          <w:t>Γεωργία, Κτηνοτροφία, Αλιεία</w:t>
        </w:r>
      </w:hyperlink>
    </w:p>
    <w:p w14:paraId="3435F3C5" w14:textId="77777777" w:rsidR="00D966DB" w:rsidRPr="002E7F97" w:rsidRDefault="00D966DB" w:rsidP="00D966DB">
      <w:pPr>
        <w:rPr>
          <w:rFonts w:ascii="Verdana" w:hAnsi="Verdana"/>
          <w:sz w:val="18"/>
          <w:szCs w:val="18"/>
          <w:lang w:val="el-GR"/>
        </w:rPr>
      </w:pPr>
      <w:hyperlink r:id="rId11" w:history="1">
        <w:r w:rsidRPr="002E7F97">
          <w:rPr>
            <w:rStyle w:val="Hyperlink"/>
            <w:rFonts w:ascii="Verdana" w:hAnsi="Verdana"/>
            <w:sz w:val="18"/>
            <w:szCs w:val="18"/>
            <w:lang w:val="el-GR"/>
          </w:rPr>
          <w:t>Προκαθορισμένοι Πίνακες</w:t>
        </w:r>
      </w:hyperlink>
      <w:r w:rsidRPr="002E7F97">
        <w:rPr>
          <w:rFonts w:ascii="Verdana" w:hAnsi="Verdana"/>
          <w:sz w:val="18"/>
          <w:szCs w:val="18"/>
          <w:lang w:val="el-GR"/>
        </w:rPr>
        <w:t xml:space="preserve"> (</w:t>
      </w:r>
      <w:r w:rsidRPr="002E7F97">
        <w:rPr>
          <w:rFonts w:ascii="Verdana" w:hAnsi="Verdana"/>
          <w:sz w:val="18"/>
          <w:szCs w:val="18"/>
        </w:rPr>
        <w:t>Excel</w:t>
      </w:r>
      <w:r w:rsidRPr="002E7F97">
        <w:rPr>
          <w:rFonts w:ascii="Verdana" w:hAnsi="Verdana"/>
          <w:sz w:val="18"/>
          <w:szCs w:val="18"/>
          <w:lang w:val="el-GR"/>
        </w:rPr>
        <w:t>)</w:t>
      </w:r>
    </w:p>
    <w:p w14:paraId="5F4D2444" w14:textId="77777777" w:rsidR="00D966DB" w:rsidRPr="008B12A8" w:rsidRDefault="00D966DB" w:rsidP="00D966DB">
      <w:pPr>
        <w:jc w:val="both"/>
        <w:rPr>
          <w:rStyle w:val="Hyperlink"/>
          <w:rFonts w:ascii="Verdana" w:hAnsi="Verdana"/>
          <w:lang w:val="el-GR"/>
        </w:rPr>
      </w:pPr>
      <w:hyperlink r:id="rId12" w:tgtFrame="_blank" w:history="1">
        <w:r>
          <w:rPr>
            <w:rStyle w:val="Hyperlink"/>
            <w:rFonts w:ascii="Verdana" w:hAnsi="Verdana"/>
            <w:sz w:val="18"/>
            <w:szCs w:val="18"/>
            <w:lang w:val="el-GR"/>
          </w:rPr>
          <w:t>Πληροφοριακό Γ</w:t>
        </w:r>
        <w:r w:rsidRPr="008B12A8">
          <w:rPr>
            <w:rStyle w:val="Hyperlink"/>
            <w:rFonts w:ascii="Verdana" w:hAnsi="Verdana"/>
            <w:sz w:val="18"/>
            <w:szCs w:val="18"/>
            <w:lang w:val="el-GR"/>
          </w:rPr>
          <w:t>ράφημα (</w:t>
        </w:r>
        <w:r w:rsidRPr="008B12A8">
          <w:rPr>
            <w:rStyle w:val="Hyperlink"/>
            <w:rFonts w:ascii="Verdana" w:hAnsi="Verdana"/>
            <w:sz w:val="18"/>
            <w:szCs w:val="18"/>
          </w:rPr>
          <w:t>infographic</w:t>
        </w:r>
        <w:r w:rsidRPr="008B12A8">
          <w:rPr>
            <w:rStyle w:val="Hyperlink"/>
            <w:rFonts w:ascii="Verdana" w:hAnsi="Verdana"/>
            <w:sz w:val="18"/>
            <w:szCs w:val="18"/>
            <w:lang w:val="el-GR"/>
          </w:rPr>
          <w:t>)</w:t>
        </w:r>
      </w:hyperlink>
    </w:p>
    <w:p w14:paraId="2D75401D" w14:textId="77777777" w:rsidR="00D966DB" w:rsidRPr="008B12A8" w:rsidRDefault="00D966DB" w:rsidP="00D966DB">
      <w:pPr>
        <w:ind w:right="-79"/>
        <w:jc w:val="both"/>
        <w:rPr>
          <w:rFonts w:ascii="Verdana" w:eastAsia="Malgun Gothic" w:hAnsi="Verdana" w:cs="Arial"/>
          <w:sz w:val="18"/>
          <w:szCs w:val="18"/>
          <w:lang w:val="el-GR"/>
        </w:rPr>
      </w:pPr>
    </w:p>
    <w:p w14:paraId="0629523C" w14:textId="77777777" w:rsidR="00D966DB" w:rsidRPr="002E7F97" w:rsidRDefault="00D966DB" w:rsidP="00D966DB">
      <w:pPr>
        <w:jc w:val="both"/>
        <w:rPr>
          <w:rFonts w:ascii="Verdana" w:eastAsia="Malgun Gothic" w:hAnsi="Verdana" w:cs="Arial"/>
          <w:i/>
          <w:sz w:val="18"/>
          <w:szCs w:val="18"/>
          <w:u w:val="single"/>
          <w:lang w:val="el-GR"/>
        </w:rPr>
      </w:pPr>
      <w:r w:rsidRPr="002E7F97">
        <w:rPr>
          <w:rFonts w:ascii="Verdana" w:eastAsia="Malgun Gothic" w:hAnsi="Verdana" w:cs="Arial"/>
          <w:i/>
          <w:sz w:val="18"/>
          <w:szCs w:val="18"/>
          <w:u w:val="single"/>
          <w:lang w:val="el-GR"/>
        </w:rPr>
        <w:t>Επικοινωνία</w:t>
      </w:r>
    </w:p>
    <w:p w14:paraId="2F70C728" w14:textId="3B1E9CF0" w:rsidR="00D966DB" w:rsidRDefault="00D966DB" w:rsidP="00D966DB">
      <w:pPr>
        <w:jc w:val="both"/>
        <w:rPr>
          <w:rFonts w:ascii="Verdana" w:hAnsi="Verdana" w:cs="Arial"/>
          <w:sz w:val="18"/>
          <w:szCs w:val="18"/>
          <w:lang w:val="el-GR"/>
        </w:rPr>
      </w:pPr>
      <w:r w:rsidRPr="00D13011">
        <w:rPr>
          <w:rFonts w:ascii="Verdana" w:eastAsia="Malgun Gothic" w:hAnsi="Verdana" w:cs="Arial"/>
          <w:sz w:val="18"/>
          <w:szCs w:val="18"/>
          <w:lang w:val="el-GR"/>
        </w:rPr>
        <w:t xml:space="preserve">Λουκία Αλεξάνδρου: </w:t>
      </w:r>
      <w:proofErr w:type="spellStart"/>
      <w:r w:rsidRPr="00D13011">
        <w:rPr>
          <w:rFonts w:ascii="Verdana" w:eastAsia="Malgun Gothic" w:hAnsi="Verdana" w:cs="Arial"/>
          <w:sz w:val="18"/>
          <w:szCs w:val="18"/>
          <w:lang w:val="el-GR"/>
        </w:rPr>
        <w:t>Τηλ</w:t>
      </w:r>
      <w:proofErr w:type="spellEnd"/>
      <w:r>
        <w:rPr>
          <w:rFonts w:ascii="Verdana" w:eastAsia="Malgun Gothic" w:hAnsi="Verdana" w:cs="Arial"/>
          <w:sz w:val="18"/>
          <w:szCs w:val="18"/>
          <w:lang w:val="el-GR"/>
        </w:rPr>
        <w:t>.</w:t>
      </w:r>
      <w:r w:rsidRPr="00D13011">
        <w:rPr>
          <w:rFonts w:ascii="Verdana" w:eastAsia="Malgun Gothic" w:hAnsi="Verdana" w:cs="Arial"/>
          <w:sz w:val="18"/>
          <w:szCs w:val="18"/>
          <w:lang w:val="el-GR"/>
        </w:rPr>
        <w:t>:</w:t>
      </w:r>
      <w:r>
        <w:rPr>
          <w:rFonts w:ascii="Verdana" w:eastAsia="Malgun Gothic" w:hAnsi="Verdana" w:cs="Arial"/>
          <w:sz w:val="18"/>
          <w:szCs w:val="18"/>
          <w:lang w:val="el-GR"/>
        </w:rPr>
        <w:t xml:space="preserve"> </w:t>
      </w:r>
      <w:r w:rsidRPr="00D13011">
        <w:rPr>
          <w:rFonts w:ascii="Verdana" w:eastAsia="Malgun Gothic" w:hAnsi="Verdana" w:cs="Arial"/>
          <w:sz w:val="18"/>
          <w:szCs w:val="18"/>
          <w:lang w:val="el-GR"/>
        </w:rPr>
        <w:t xml:space="preserve">22605124, </w:t>
      </w:r>
      <w:proofErr w:type="spellStart"/>
      <w:r w:rsidRPr="00D13011">
        <w:rPr>
          <w:rFonts w:ascii="Verdana" w:eastAsia="Malgun Gothic" w:hAnsi="Verdana" w:cs="Arial"/>
          <w:sz w:val="18"/>
          <w:szCs w:val="18"/>
          <w:lang w:val="el-GR"/>
        </w:rPr>
        <w:t>Ηλ</w:t>
      </w:r>
      <w:proofErr w:type="spellEnd"/>
      <w:r w:rsidRPr="00D13011">
        <w:rPr>
          <w:rFonts w:ascii="Verdana" w:eastAsia="Malgun Gothic" w:hAnsi="Verdana" w:cs="Arial"/>
          <w:sz w:val="18"/>
          <w:szCs w:val="18"/>
          <w:lang w:val="el-GR"/>
        </w:rPr>
        <w:t xml:space="preserve">. </w:t>
      </w:r>
      <w:proofErr w:type="spellStart"/>
      <w:r w:rsidRPr="00D13011">
        <w:rPr>
          <w:rFonts w:ascii="Verdana" w:eastAsia="Malgun Gothic" w:hAnsi="Verdana" w:cs="Arial"/>
          <w:sz w:val="18"/>
          <w:szCs w:val="18"/>
          <w:lang w:val="el-GR"/>
        </w:rPr>
        <w:t>Ταχ</w:t>
      </w:r>
      <w:proofErr w:type="spellEnd"/>
      <w:r w:rsidRPr="00D13011">
        <w:rPr>
          <w:rFonts w:ascii="Verdana" w:eastAsia="Malgun Gothic" w:hAnsi="Verdana" w:cs="Arial"/>
          <w:sz w:val="18"/>
          <w:szCs w:val="18"/>
          <w:lang w:val="el-GR"/>
        </w:rPr>
        <w:t xml:space="preserve">.: </w:t>
      </w:r>
      <w:hyperlink r:id="rId13" w:history="1">
        <w:r w:rsidRPr="00D13011">
          <w:rPr>
            <w:rStyle w:val="Hyperlink"/>
            <w:rFonts w:ascii="Verdana" w:hAnsi="Verdana"/>
            <w:sz w:val="18"/>
            <w:szCs w:val="18"/>
          </w:rPr>
          <w:t>lalexandrou</w:t>
        </w:r>
        <w:r w:rsidRPr="00D13011">
          <w:rPr>
            <w:rStyle w:val="Hyperlink"/>
            <w:rFonts w:ascii="Verdana" w:hAnsi="Verdana"/>
            <w:sz w:val="18"/>
            <w:szCs w:val="18"/>
            <w:lang w:val="el-GR"/>
          </w:rPr>
          <w:t>@</w:t>
        </w:r>
        <w:r w:rsidRPr="00D13011">
          <w:rPr>
            <w:rStyle w:val="Hyperlink"/>
            <w:rFonts w:ascii="Verdana" w:hAnsi="Verdana"/>
            <w:sz w:val="18"/>
            <w:szCs w:val="18"/>
          </w:rPr>
          <w:t>cystat</w:t>
        </w:r>
        <w:r w:rsidRPr="00D13011">
          <w:rPr>
            <w:rStyle w:val="Hyperlink"/>
            <w:rFonts w:ascii="Verdana" w:hAnsi="Verdana"/>
            <w:sz w:val="18"/>
            <w:szCs w:val="18"/>
            <w:lang w:val="el-GR"/>
          </w:rPr>
          <w:t>.</w:t>
        </w:r>
        <w:r w:rsidRPr="00D13011">
          <w:rPr>
            <w:rStyle w:val="Hyperlink"/>
            <w:rFonts w:ascii="Verdana" w:hAnsi="Verdana"/>
            <w:sz w:val="18"/>
            <w:szCs w:val="18"/>
          </w:rPr>
          <w:t>mof</w:t>
        </w:r>
        <w:r w:rsidRPr="00D13011">
          <w:rPr>
            <w:rStyle w:val="Hyperlink"/>
            <w:rFonts w:ascii="Verdana" w:hAnsi="Verdana"/>
            <w:sz w:val="18"/>
            <w:szCs w:val="18"/>
            <w:lang w:val="el-GR"/>
          </w:rPr>
          <w:t>.</w:t>
        </w:r>
        <w:r w:rsidRPr="00D13011">
          <w:rPr>
            <w:rStyle w:val="Hyperlink"/>
            <w:rFonts w:ascii="Verdana" w:hAnsi="Verdana"/>
            <w:sz w:val="18"/>
            <w:szCs w:val="18"/>
          </w:rPr>
          <w:t>gov</w:t>
        </w:r>
        <w:r w:rsidRPr="00D13011">
          <w:rPr>
            <w:rStyle w:val="Hyperlink"/>
            <w:rFonts w:ascii="Verdana" w:hAnsi="Verdana"/>
            <w:sz w:val="18"/>
            <w:szCs w:val="18"/>
            <w:lang w:val="el-GR"/>
          </w:rPr>
          <w:t>.</w:t>
        </w:r>
        <w:r w:rsidRPr="00D13011">
          <w:rPr>
            <w:rStyle w:val="Hyperlink"/>
            <w:rFonts w:ascii="Verdana" w:hAnsi="Verdana"/>
            <w:sz w:val="18"/>
            <w:szCs w:val="18"/>
          </w:rPr>
          <w:t>cy</w:t>
        </w:r>
      </w:hyperlink>
    </w:p>
    <w:sectPr w:rsidR="00D966DB" w:rsidSect="002C5CEF">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67AF" w14:textId="77777777" w:rsidR="003666E2" w:rsidRDefault="003666E2" w:rsidP="00FB398F">
      <w:r>
        <w:separator/>
      </w:r>
    </w:p>
  </w:endnote>
  <w:endnote w:type="continuationSeparator" w:id="0">
    <w:p w14:paraId="6E03658B" w14:textId="77777777" w:rsidR="003666E2" w:rsidRDefault="003666E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607" w14:textId="77777777" w:rsidR="004E4F42" w:rsidRPr="000A1A88" w:rsidRDefault="004E4F42" w:rsidP="00763722">
    <w:pPr>
      <w:pStyle w:val="Footer"/>
      <w:tabs>
        <w:tab w:val="left" w:pos="3375"/>
        <w:tab w:val="left" w:pos="4500"/>
        <w:tab w:val="center" w:pos="4723"/>
      </w:tabs>
    </w:pPr>
    <w:r>
      <w:tab/>
    </w:r>
    <w:r>
      <w:tab/>
    </w:r>
    <w:r>
      <w:tab/>
    </w:r>
    <w:r>
      <w:tab/>
      <w:t>-</w:t>
    </w:r>
    <w:r w:rsidR="002163D1">
      <w:fldChar w:fldCharType="begin"/>
    </w:r>
    <w:r w:rsidR="004D4950">
      <w:instrText xml:space="preserve"> PAGE   \* MERGEFORMAT </w:instrText>
    </w:r>
    <w:r w:rsidR="002163D1">
      <w:fldChar w:fldCharType="separate"/>
    </w:r>
    <w:r w:rsidR="00127A6D">
      <w:rPr>
        <w:noProof/>
      </w:rPr>
      <w:t>3</w:t>
    </w:r>
    <w:r w:rsidR="002163D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0658" w14:textId="77777777" w:rsidR="004E4F42" w:rsidRPr="008A69BC" w:rsidRDefault="004E4F42" w:rsidP="000932CF">
    <w:pPr>
      <w:pStyle w:val="Footer"/>
      <w:pBdr>
        <w:top w:val="single" w:sz="4" w:space="0" w:color="auto"/>
      </w:pBdr>
      <w:tabs>
        <w:tab w:val="left" w:pos="4500"/>
      </w:tabs>
      <w:jc w:val="center"/>
      <w:rPr>
        <w:rFonts w:ascii="Verdana" w:hAnsi="Verdana" w:cs="Arial"/>
        <w:sz w:val="16"/>
        <w:szCs w:val="16"/>
        <w:lang w:val="el-GR"/>
      </w:rPr>
    </w:pPr>
    <w:r w:rsidRPr="008A69BC">
      <w:rPr>
        <w:rFonts w:ascii="Verdana" w:hAnsi="Verdana" w:cs="Arial"/>
        <w:sz w:val="16"/>
        <w:szCs w:val="16"/>
        <w:lang w:val="el-GR"/>
      </w:rPr>
      <w:t>Διεύθυνση: Μιχα</w:t>
    </w:r>
    <w:r w:rsidR="00FD5B5F" w:rsidRPr="008A69BC">
      <w:rPr>
        <w:rFonts w:ascii="Verdana" w:hAnsi="Verdana" w:cs="Arial"/>
        <w:sz w:val="16"/>
        <w:szCs w:val="16"/>
        <w:lang w:val="el-GR"/>
      </w:rPr>
      <w:t>ήλ</w:t>
    </w:r>
    <w:r w:rsidRPr="008A69BC">
      <w:rPr>
        <w:rFonts w:ascii="Verdana" w:hAnsi="Verdana" w:cs="Arial"/>
        <w:sz w:val="16"/>
        <w:szCs w:val="16"/>
        <w:lang w:val="el-GR"/>
      </w:rPr>
      <w:t xml:space="preserve"> Καραολή, 1444 Λευκωσία, Κύπρος</w:t>
    </w:r>
  </w:p>
  <w:p w14:paraId="4F8117F6" w14:textId="4900BB1D" w:rsidR="004E4F42" w:rsidRPr="008A69BC" w:rsidRDefault="004E4F42" w:rsidP="000932CF">
    <w:pPr>
      <w:pStyle w:val="Footer"/>
      <w:tabs>
        <w:tab w:val="left" w:pos="4500"/>
      </w:tabs>
      <w:jc w:val="center"/>
      <w:rPr>
        <w:rFonts w:ascii="Verdana" w:hAnsi="Verdana" w:cs="Arial"/>
        <w:sz w:val="16"/>
        <w:szCs w:val="16"/>
        <w:lang w:val="de-DE"/>
      </w:rPr>
    </w:pPr>
    <w:proofErr w:type="spellStart"/>
    <w:r w:rsidRPr="008A69BC">
      <w:rPr>
        <w:rFonts w:ascii="Verdana" w:hAnsi="Verdana" w:cs="Arial"/>
        <w:sz w:val="16"/>
        <w:szCs w:val="16"/>
        <w:lang w:val="el-GR"/>
      </w:rPr>
      <w:t>Τηλ</w:t>
    </w:r>
    <w:proofErr w:type="spellEnd"/>
    <w:r w:rsidRPr="00FD381E">
      <w:rPr>
        <w:rFonts w:ascii="Verdana" w:hAnsi="Verdana" w:cs="Arial"/>
        <w:sz w:val="16"/>
        <w:szCs w:val="16"/>
        <w:lang w:val="el-GR"/>
      </w:rPr>
      <w:t xml:space="preserve">.: 22 602129, </w:t>
    </w:r>
    <w:proofErr w:type="spellStart"/>
    <w:r w:rsidR="00FD381E">
      <w:rPr>
        <w:rFonts w:ascii="Verdana" w:hAnsi="Verdana" w:cs="Arial"/>
        <w:sz w:val="16"/>
        <w:szCs w:val="16"/>
        <w:lang w:val="el-GR"/>
      </w:rPr>
      <w:t>Ηλ</w:t>
    </w:r>
    <w:proofErr w:type="spellEnd"/>
    <w:r w:rsidR="00FD381E" w:rsidRPr="00FD381E">
      <w:rPr>
        <w:rFonts w:ascii="Verdana" w:hAnsi="Verdana" w:cs="Arial"/>
        <w:sz w:val="16"/>
        <w:szCs w:val="16"/>
        <w:lang w:val="el-GR"/>
      </w:rPr>
      <w:t xml:space="preserve">. </w:t>
    </w:r>
    <w:proofErr w:type="spellStart"/>
    <w:r w:rsidR="00FD381E">
      <w:rPr>
        <w:rFonts w:ascii="Verdana" w:hAnsi="Verdana" w:cs="Arial"/>
        <w:sz w:val="16"/>
        <w:szCs w:val="16"/>
        <w:lang w:val="el-GR"/>
      </w:rPr>
      <w:t>Ταχ</w:t>
    </w:r>
    <w:proofErr w:type="spellEnd"/>
    <w:r w:rsidR="00FD381E">
      <w:rPr>
        <w:rFonts w:ascii="Verdana" w:hAnsi="Verdana" w:cs="Arial"/>
        <w:sz w:val="16"/>
        <w:szCs w:val="16"/>
        <w:lang w:val="el-GR"/>
      </w:rPr>
      <w:t>.</w:t>
    </w:r>
    <w:r w:rsidRPr="008A69BC">
      <w:rPr>
        <w:rFonts w:ascii="Verdana" w:hAnsi="Verdana" w:cs="Arial"/>
        <w:sz w:val="16"/>
        <w:szCs w:val="16"/>
        <w:lang w:val="de-DE"/>
      </w:rPr>
      <w:t xml:space="preserve">: </w:t>
    </w:r>
    <w:hyperlink r:id="rId1" w:history="1">
      <w:r w:rsidRPr="008A69BC">
        <w:rPr>
          <w:rStyle w:val="Hyperlink"/>
          <w:rFonts w:ascii="Verdana" w:hAnsi="Verdana" w:cs="Arial"/>
          <w:sz w:val="16"/>
          <w:szCs w:val="16"/>
          <w:lang w:val="de-DE"/>
        </w:rPr>
        <w:t>enquiries@cystat.mof.gov.cy</w:t>
      </w:r>
    </w:hyperlink>
    <w:r w:rsidRPr="008A69BC">
      <w:rPr>
        <w:rFonts w:ascii="Verdana" w:hAnsi="Verdana" w:cs="Arial"/>
        <w:sz w:val="16"/>
        <w:szCs w:val="16"/>
        <w:lang w:val="de-DE"/>
      </w:rPr>
      <w:t xml:space="preserve">  </w:t>
    </w:r>
  </w:p>
  <w:p w14:paraId="268128D6" w14:textId="469E5F0A" w:rsidR="004E4F42" w:rsidRPr="008A69BC" w:rsidRDefault="008A69BC" w:rsidP="000932CF">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8A69BC">
      <w:rPr>
        <w:rFonts w:ascii="Verdana" w:hAnsi="Verdana" w:cs="Arial"/>
        <w:sz w:val="16"/>
        <w:szCs w:val="16"/>
        <w:lang w:val="de-DE"/>
      </w:rPr>
      <w:t xml:space="preserve"> </w:t>
    </w:r>
    <w:r>
      <w:rPr>
        <w:rFonts w:ascii="Verdana" w:hAnsi="Verdana" w:cs="Arial"/>
        <w:sz w:val="16"/>
        <w:szCs w:val="16"/>
        <w:lang w:val="el-GR"/>
      </w:rPr>
      <w:t>Πύλη</w:t>
    </w:r>
    <w:r w:rsidR="004E4F42" w:rsidRPr="008A69BC">
      <w:rPr>
        <w:rFonts w:ascii="Verdana" w:hAnsi="Verdana" w:cs="Arial"/>
        <w:sz w:val="16"/>
        <w:szCs w:val="16"/>
        <w:lang w:val="de-DE"/>
      </w:rPr>
      <w:t xml:space="preserve">: </w:t>
    </w:r>
    <w:hyperlink r:id="rId2" w:history="1">
      <w:r w:rsidRPr="00D85B3E">
        <w:rPr>
          <w:rStyle w:val="Hyperlink"/>
          <w:rFonts w:ascii="Verdana" w:hAnsi="Verdana" w:cs="Arial"/>
          <w:sz w:val="16"/>
          <w:szCs w:val="16"/>
          <w:lang w:val="de-DE"/>
        </w:rPr>
        <w:t>https://www.cystat.gov.cy</w:t>
      </w:r>
    </w:hyperlink>
    <w:r w:rsidR="004E4F42" w:rsidRPr="008A69BC">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5A1C" w14:textId="77777777" w:rsidR="003666E2" w:rsidRDefault="003666E2" w:rsidP="00FB398F">
      <w:r>
        <w:separator/>
      </w:r>
    </w:p>
  </w:footnote>
  <w:footnote w:type="continuationSeparator" w:id="0">
    <w:p w14:paraId="5AE8CD67" w14:textId="77777777" w:rsidR="003666E2" w:rsidRDefault="003666E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F9B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217C" w14:textId="63D9E077" w:rsidR="004E4F42" w:rsidRDefault="00E413E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4EA19BDF" wp14:editId="76F48652">
          <wp:simplePos x="0" y="0"/>
          <wp:positionH relativeFrom="column">
            <wp:posOffset>523875</wp:posOffset>
          </wp:positionH>
          <wp:positionV relativeFrom="paragraph">
            <wp:posOffset>54610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Pr="00EE2BB9">
      <w:rPr>
        <w:noProof/>
      </w:rPr>
      <w:drawing>
        <wp:anchor distT="0" distB="0" distL="114300" distR="114300" simplePos="0" relativeHeight="251662336" behindDoc="0" locked="0" layoutInCell="1" allowOverlap="1" wp14:anchorId="03D8C43D" wp14:editId="4388C0FE">
          <wp:simplePos x="0" y="0"/>
          <wp:positionH relativeFrom="column">
            <wp:posOffset>3594735</wp:posOffset>
          </wp:positionH>
          <wp:positionV relativeFrom="paragraph">
            <wp:posOffset>-22860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27D">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09E1A9D2" wp14:editId="2B36A98E">
              <wp:simplePos x="0" y="0"/>
              <wp:positionH relativeFrom="column">
                <wp:posOffset>4772660</wp:posOffset>
              </wp:positionH>
              <wp:positionV relativeFrom="paragraph">
                <wp:posOffset>-69215</wp:posOffset>
              </wp:positionV>
              <wp:extent cx="1288415" cy="1047750"/>
              <wp:effectExtent l="0" t="0" r="7620" b="0"/>
              <wp:wrapNone/>
              <wp:docPr id="1423026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1A9D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v:textbox>
            </v:shape>
          </w:pict>
        </mc:Fallback>
      </mc:AlternateContent>
    </w:r>
  </w:p>
  <w:p w14:paraId="49418117" w14:textId="4F579AD6"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1023089" w14:textId="3DADFCCE" w:rsidR="004E4F42" w:rsidRDefault="004E4F42" w:rsidP="00E413EF">
    <w:pPr>
      <w:pStyle w:val="Header"/>
      <w:tabs>
        <w:tab w:val="clear" w:pos="4153"/>
        <w:tab w:val="center" w:pos="1620"/>
        <w:tab w:val="left" w:pos="2160"/>
        <w:tab w:val="center" w:pos="7655"/>
      </w:tabs>
      <w:spacing w:line="360" w:lineRule="auto"/>
      <w:ind w:right="-716"/>
      <w:jc w:val="center"/>
      <w:rPr>
        <w:rFonts w:ascii="Arial" w:hAnsi="Arial" w:cs="Arial"/>
        <w:bCs/>
        <w:sz w:val="18"/>
        <w:szCs w:val="18"/>
      </w:rPr>
    </w:pPr>
  </w:p>
  <w:p w14:paraId="7C0CE829" w14:textId="0DB86392" w:rsidR="004E4F42" w:rsidRDefault="00FD381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7B230587" wp14:editId="3F8475ED">
              <wp:simplePos x="0" y="0"/>
              <wp:positionH relativeFrom="column">
                <wp:posOffset>3813810</wp:posOffset>
              </wp:positionH>
              <wp:positionV relativeFrom="paragraph">
                <wp:posOffset>138430</wp:posOffset>
              </wp:positionV>
              <wp:extent cx="2028825" cy="400050"/>
              <wp:effectExtent l="0" t="0" r="9525" b="0"/>
              <wp:wrapNone/>
              <wp:docPr id="334362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0050"/>
                      </a:xfrm>
                      <a:prstGeom prst="rect">
                        <a:avLst/>
                      </a:prstGeom>
                      <a:solidFill>
                        <a:srgbClr val="FFFFFF"/>
                      </a:solidFill>
                      <a:ln>
                        <a:noFill/>
                      </a:ln>
                    </wps:spPr>
                    <wps:txb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0587" id="Text Box 1" o:spid="_x0000_s1027" type="#_x0000_t202" style="position:absolute;margin-left:300.3pt;margin-top:10.9pt;width:159.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" stroked="f">
              <v:textbo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v:textbox>
            </v:shape>
          </w:pict>
        </mc:Fallback>
      </mc:AlternateContent>
    </w:r>
    <w:r w:rsidR="00712E1E">
      <w:rPr>
        <w:rFonts w:ascii="Arial" w:hAnsi="Arial" w:cs="Arial"/>
        <w:b/>
        <w:bCs/>
        <w:noProof/>
        <w:sz w:val="20"/>
        <w:szCs w:val="20"/>
        <w:lang w:val="en-US" w:eastAsia="en-US"/>
      </w:rPr>
      <mc:AlternateContent>
        <mc:Choice Requires="wps">
          <w:drawing>
            <wp:anchor distT="0" distB="0" distL="114300" distR="114300" simplePos="0" relativeHeight="251661312" behindDoc="0" locked="0" layoutInCell="1" allowOverlap="1" wp14:anchorId="7FF12D18" wp14:editId="180E68BD">
              <wp:simplePos x="0" y="0"/>
              <wp:positionH relativeFrom="column">
                <wp:posOffset>-139065</wp:posOffset>
              </wp:positionH>
              <wp:positionV relativeFrom="paragraph">
                <wp:posOffset>138430</wp:posOffset>
              </wp:positionV>
              <wp:extent cx="2028825" cy="247650"/>
              <wp:effectExtent l="0" t="0" r="9525" b="0"/>
              <wp:wrapNone/>
              <wp:docPr id="5749945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7650"/>
                      </a:xfrm>
                      <a:prstGeom prst="rect">
                        <a:avLst/>
                      </a:prstGeom>
                      <a:solidFill>
                        <a:srgbClr val="FFFFFF"/>
                      </a:solidFill>
                      <a:ln>
                        <a:noFill/>
                      </a:ln>
                    </wps:spPr>
                    <wps:txb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2D18" id="_x0000_s1028" type="#_x0000_t202" style="position:absolute;margin-left:-10.95pt;margin-top:10.9pt;width:15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" stroked="f">
              <v:textbo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4AD3CD86" w14:textId="37EF97CA" w:rsidR="004E4F42" w:rsidRPr="008A69BC"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8A69BC">
      <w:rPr>
        <w:rFonts w:ascii="Verdana" w:hAnsi="Verdana"/>
        <w:b/>
        <w:bCs/>
        <w:sz w:val="20"/>
        <w:szCs w:val="20"/>
        <w:lang w:val="en-US"/>
      </w:rPr>
      <w:tab/>
    </w:r>
  </w:p>
  <w:p w14:paraId="6A04D703" w14:textId="48384D49" w:rsidR="004E4F42" w:rsidRPr="00E30005" w:rsidRDefault="004E4F42" w:rsidP="008A69BC">
    <w:pPr>
      <w:pStyle w:val="Header"/>
      <w:tabs>
        <w:tab w:val="clear" w:pos="4153"/>
        <w:tab w:val="center" w:pos="1620"/>
        <w:tab w:val="left" w:pos="2160"/>
        <w:tab w:val="center" w:pos="7655"/>
      </w:tabs>
      <w:spacing w:line="360" w:lineRule="auto"/>
      <w:rPr>
        <w:rFonts w:ascii="Verdana" w:hAnsi="Verdana"/>
        <w:sz w:val="16"/>
        <w:szCs w:val="16"/>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0A3"/>
    <w:multiLevelType w:val="hybridMultilevel"/>
    <w:tmpl w:val="697C5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8911256">
    <w:abstractNumId w:val="5"/>
  </w:num>
  <w:num w:numId="2" w16cid:durableId="70856581">
    <w:abstractNumId w:val="1"/>
  </w:num>
  <w:num w:numId="3" w16cid:durableId="2013754546">
    <w:abstractNumId w:val="2"/>
  </w:num>
  <w:num w:numId="4" w16cid:durableId="2069567204">
    <w:abstractNumId w:val="3"/>
  </w:num>
  <w:num w:numId="5" w16cid:durableId="1181428086">
    <w:abstractNumId w:val="0"/>
  </w:num>
  <w:num w:numId="6" w16cid:durableId="1677343044">
    <w:abstractNumId w:val="6"/>
  </w:num>
  <w:num w:numId="7" w16cid:durableId="118963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68F7"/>
    <w:rsid w:val="00006F86"/>
    <w:rsid w:val="00010E43"/>
    <w:rsid w:val="00013E40"/>
    <w:rsid w:val="00013E48"/>
    <w:rsid w:val="000161B1"/>
    <w:rsid w:val="000213B7"/>
    <w:rsid w:val="000222DA"/>
    <w:rsid w:val="00025A39"/>
    <w:rsid w:val="00027853"/>
    <w:rsid w:val="00027CF3"/>
    <w:rsid w:val="00027E34"/>
    <w:rsid w:val="00030E18"/>
    <w:rsid w:val="00031D32"/>
    <w:rsid w:val="000336F3"/>
    <w:rsid w:val="00033DC5"/>
    <w:rsid w:val="00034D18"/>
    <w:rsid w:val="00035B09"/>
    <w:rsid w:val="0003603D"/>
    <w:rsid w:val="000428FD"/>
    <w:rsid w:val="00045088"/>
    <w:rsid w:val="000456F8"/>
    <w:rsid w:val="00045A06"/>
    <w:rsid w:val="00045BEE"/>
    <w:rsid w:val="00050391"/>
    <w:rsid w:val="00050E32"/>
    <w:rsid w:val="00053821"/>
    <w:rsid w:val="0005386F"/>
    <w:rsid w:val="00054AC9"/>
    <w:rsid w:val="00055291"/>
    <w:rsid w:val="00055C7B"/>
    <w:rsid w:val="000563D3"/>
    <w:rsid w:val="000577A7"/>
    <w:rsid w:val="00057E44"/>
    <w:rsid w:val="00061061"/>
    <w:rsid w:val="00061299"/>
    <w:rsid w:val="00062AF6"/>
    <w:rsid w:val="000635CE"/>
    <w:rsid w:val="00064959"/>
    <w:rsid w:val="00070576"/>
    <w:rsid w:val="00072002"/>
    <w:rsid w:val="0007207D"/>
    <w:rsid w:val="00073B96"/>
    <w:rsid w:val="000752BB"/>
    <w:rsid w:val="00075556"/>
    <w:rsid w:val="0008019F"/>
    <w:rsid w:val="00080FD7"/>
    <w:rsid w:val="00081ADF"/>
    <w:rsid w:val="000837AB"/>
    <w:rsid w:val="00084366"/>
    <w:rsid w:val="00084A02"/>
    <w:rsid w:val="00084BF7"/>
    <w:rsid w:val="000870E9"/>
    <w:rsid w:val="00087B6A"/>
    <w:rsid w:val="00091DCF"/>
    <w:rsid w:val="00091EE8"/>
    <w:rsid w:val="000932CF"/>
    <w:rsid w:val="00096ED8"/>
    <w:rsid w:val="00097DA4"/>
    <w:rsid w:val="000A166E"/>
    <w:rsid w:val="000A1A88"/>
    <w:rsid w:val="000A2B5C"/>
    <w:rsid w:val="000A3601"/>
    <w:rsid w:val="000A6FA8"/>
    <w:rsid w:val="000B392C"/>
    <w:rsid w:val="000B57EA"/>
    <w:rsid w:val="000B76DF"/>
    <w:rsid w:val="000C1070"/>
    <w:rsid w:val="000C2933"/>
    <w:rsid w:val="000C369C"/>
    <w:rsid w:val="000C4E72"/>
    <w:rsid w:val="000C529E"/>
    <w:rsid w:val="000C7FEA"/>
    <w:rsid w:val="000D1E7A"/>
    <w:rsid w:val="000D4B21"/>
    <w:rsid w:val="000D73C7"/>
    <w:rsid w:val="000D7981"/>
    <w:rsid w:val="000E1985"/>
    <w:rsid w:val="000E24B1"/>
    <w:rsid w:val="000E2735"/>
    <w:rsid w:val="000E32D6"/>
    <w:rsid w:val="000E4CB0"/>
    <w:rsid w:val="000E576A"/>
    <w:rsid w:val="000E57F2"/>
    <w:rsid w:val="000E72A7"/>
    <w:rsid w:val="000F1162"/>
    <w:rsid w:val="000F14D2"/>
    <w:rsid w:val="000F168A"/>
    <w:rsid w:val="000F3467"/>
    <w:rsid w:val="000F38DE"/>
    <w:rsid w:val="000F532A"/>
    <w:rsid w:val="000F5696"/>
    <w:rsid w:val="000F5D6C"/>
    <w:rsid w:val="001005DD"/>
    <w:rsid w:val="00102CCE"/>
    <w:rsid w:val="00106852"/>
    <w:rsid w:val="00110F9D"/>
    <w:rsid w:val="00111301"/>
    <w:rsid w:val="00111644"/>
    <w:rsid w:val="00112F0D"/>
    <w:rsid w:val="001132A9"/>
    <w:rsid w:val="00113E7C"/>
    <w:rsid w:val="001145C1"/>
    <w:rsid w:val="00114A67"/>
    <w:rsid w:val="00114D94"/>
    <w:rsid w:val="0011751D"/>
    <w:rsid w:val="00117F64"/>
    <w:rsid w:val="00120D4F"/>
    <w:rsid w:val="00123A4D"/>
    <w:rsid w:val="001253B6"/>
    <w:rsid w:val="001262C3"/>
    <w:rsid w:val="00127320"/>
    <w:rsid w:val="00127456"/>
    <w:rsid w:val="00127A6D"/>
    <w:rsid w:val="001312D8"/>
    <w:rsid w:val="0013132C"/>
    <w:rsid w:val="0013137B"/>
    <w:rsid w:val="00133B06"/>
    <w:rsid w:val="0014179E"/>
    <w:rsid w:val="00141FFB"/>
    <w:rsid w:val="001430C9"/>
    <w:rsid w:val="0014416A"/>
    <w:rsid w:val="00146B84"/>
    <w:rsid w:val="0015118B"/>
    <w:rsid w:val="001519CE"/>
    <w:rsid w:val="00154BB4"/>
    <w:rsid w:val="0015599C"/>
    <w:rsid w:val="00156E34"/>
    <w:rsid w:val="00157B91"/>
    <w:rsid w:val="001600B9"/>
    <w:rsid w:val="00161CF3"/>
    <w:rsid w:val="00162490"/>
    <w:rsid w:val="00162494"/>
    <w:rsid w:val="00162C00"/>
    <w:rsid w:val="001639EF"/>
    <w:rsid w:val="0016589F"/>
    <w:rsid w:val="00167CA4"/>
    <w:rsid w:val="001712CF"/>
    <w:rsid w:val="0017153E"/>
    <w:rsid w:val="0017293A"/>
    <w:rsid w:val="001731B3"/>
    <w:rsid w:val="0017769A"/>
    <w:rsid w:val="00177DB9"/>
    <w:rsid w:val="0018127D"/>
    <w:rsid w:val="001827DF"/>
    <w:rsid w:val="00183DFC"/>
    <w:rsid w:val="001841B3"/>
    <w:rsid w:val="00184384"/>
    <w:rsid w:val="00186717"/>
    <w:rsid w:val="00186CBE"/>
    <w:rsid w:val="00187C89"/>
    <w:rsid w:val="00187FFC"/>
    <w:rsid w:val="0019391C"/>
    <w:rsid w:val="001979A4"/>
    <w:rsid w:val="001A0F65"/>
    <w:rsid w:val="001A2018"/>
    <w:rsid w:val="001B2236"/>
    <w:rsid w:val="001B2C39"/>
    <w:rsid w:val="001B3675"/>
    <w:rsid w:val="001B3A69"/>
    <w:rsid w:val="001B4397"/>
    <w:rsid w:val="001B5E10"/>
    <w:rsid w:val="001B628A"/>
    <w:rsid w:val="001B6AB3"/>
    <w:rsid w:val="001B73D5"/>
    <w:rsid w:val="001C0681"/>
    <w:rsid w:val="001C1B16"/>
    <w:rsid w:val="001C4B90"/>
    <w:rsid w:val="001C62B3"/>
    <w:rsid w:val="001C7C8C"/>
    <w:rsid w:val="001C7CD8"/>
    <w:rsid w:val="001C7D56"/>
    <w:rsid w:val="001D0D6A"/>
    <w:rsid w:val="001D1960"/>
    <w:rsid w:val="001D20A4"/>
    <w:rsid w:val="001D6BBD"/>
    <w:rsid w:val="001D6E8A"/>
    <w:rsid w:val="001E00D1"/>
    <w:rsid w:val="001E0E58"/>
    <w:rsid w:val="001E14F3"/>
    <w:rsid w:val="001E15ED"/>
    <w:rsid w:val="001E2912"/>
    <w:rsid w:val="001E409D"/>
    <w:rsid w:val="001E61AA"/>
    <w:rsid w:val="001E7B09"/>
    <w:rsid w:val="001F0C9C"/>
    <w:rsid w:val="0020309E"/>
    <w:rsid w:val="002059A6"/>
    <w:rsid w:val="00205AE2"/>
    <w:rsid w:val="00210B58"/>
    <w:rsid w:val="0021310D"/>
    <w:rsid w:val="0021637C"/>
    <w:rsid w:val="002163D1"/>
    <w:rsid w:val="002215EC"/>
    <w:rsid w:val="00222423"/>
    <w:rsid w:val="00223E27"/>
    <w:rsid w:val="00225B28"/>
    <w:rsid w:val="00226891"/>
    <w:rsid w:val="00226BEA"/>
    <w:rsid w:val="00226FF9"/>
    <w:rsid w:val="00230D9B"/>
    <w:rsid w:val="002313AC"/>
    <w:rsid w:val="0023237B"/>
    <w:rsid w:val="0023354C"/>
    <w:rsid w:val="00233F64"/>
    <w:rsid w:val="0023461B"/>
    <w:rsid w:val="00235FB2"/>
    <w:rsid w:val="0023632B"/>
    <w:rsid w:val="00237BC1"/>
    <w:rsid w:val="00240F2E"/>
    <w:rsid w:val="002430B4"/>
    <w:rsid w:val="002447D0"/>
    <w:rsid w:val="002454C5"/>
    <w:rsid w:val="00245E19"/>
    <w:rsid w:val="00246AEB"/>
    <w:rsid w:val="00250005"/>
    <w:rsid w:val="0025072D"/>
    <w:rsid w:val="00250F08"/>
    <w:rsid w:val="00250FC4"/>
    <w:rsid w:val="002522FA"/>
    <w:rsid w:val="0025254F"/>
    <w:rsid w:val="0025366B"/>
    <w:rsid w:val="00254A64"/>
    <w:rsid w:val="0025566D"/>
    <w:rsid w:val="0025595C"/>
    <w:rsid w:val="00257149"/>
    <w:rsid w:val="002576E7"/>
    <w:rsid w:val="00260357"/>
    <w:rsid w:val="00260897"/>
    <w:rsid w:val="00263345"/>
    <w:rsid w:val="002639DA"/>
    <w:rsid w:val="00264F04"/>
    <w:rsid w:val="002653F1"/>
    <w:rsid w:val="00266588"/>
    <w:rsid w:val="00267554"/>
    <w:rsid w:val="00267FB4"/>
    <w:rsid w:val="00277D3E"/>
    <w:rsid w:val="0028338F"/>
    <w:rsid w:val="00284AAE"/>
    <w:rsid w:val="0028561F"/>
    <w:rsid w:val="002915C4"/>
    <w:rsid w:val="002932FE"/>
    <w:rsid w:val="00293362"/>
    <w:rsid w:val="00295369"/>
    <w:rsid w:val="00296EA8"/>
    <w:rsid w:val="00297E6B"/>
    <w:rsid w:val="002A1D1C"/>
    <w:rsid w:val="002A21A5"/>
    <w:rsid w:val="002A34C6"/>
    <w:rsid w:val="002A4D64"/>
    <w:rsid w:val="002A6695"/>
    <w:rsid w:val="002B4969"/>
    <w:rsid w:val="002B6554"/>
    <w:rsid w:val="002C2195"/>
    <w:rsid w:val="002C23E4"/>
    <w:rsid w:val="002C5CEF"/>
    <w:rsid w:val="002D05F0"/>
    <w:rsid w:val="002D13A6"/>
    <w:rsid w:val="002D2199"/>
    <w:rsid w:val="002D2829"/>
    <w:rsid w:val="002D29B0"/>
    <w:rsid w:val="002D7D4A"/>
    <w:rsid w:val="002E3846"/>
    <w:rsid w:val="002E39E8"/>
    <w:rsid w:val="002E3F78"/>
    <w:rsid w:val="002E454B"/>
    <w:rsid w:val="002E478A"/>
    <w:rsid w:val="002F0395"/>
    <w:rsid w:val="002F0923"/>
    <w:rsid w:val="002F0BB4"/>
    <w:rsid w:val="002F1088"/>
    <w:rsid w:val="002F1703"/>
    <w:rsid w:val="002F2303"/>
    <w:rsid w:val="002F35E0"/>
    <w:rsid w:val="002F3816"/>
    <w:rsid w:val="002F400C"/>
    <w:rsid w:val="002F4CA0"/>
    <w:rsid w:val="002F4D76"/>
    <w:rsid w:val="002F6D26"/>
    <w:rsid w:val="003014F5"/>
    <w:rsid w:val="0030231E"/>
    <w:rsid w:val="003042C4"/>
    <w:rsid w:val="00304CB4"/>
    <w:rsid w:val="00304CC7"/>
    <w:rsid w:val="00307238"/>
    <w:rsid w:val="00307BAB"/>
    <w:rsid w:val="00312372"/>
    <w:rsid w:val="00313925"/>
    <w:rsid w:val="00313F37"/>
    <w:rsid w:val="003141D0"/>
    <w:rsid w:val="003168C1"/>
    <w:rsid w:val="00322FBE"/>
    <w:rsid w:val="00325632"/>
    <w:rsid w:val="00326800"/>
    <w:rsid w:val="00327549"/>
    <w:rsid w:val="0033081F"/>
    <w:rsid w:val="003342A5"/>
    <w:rsid w:val="00334616"/>
    <w:rsid w:val="0033509A"/>
    <w:rsid w:val="00336891"/>
    <w:rsid w:val="00336C36"/>
    <w:rsid w:val="0033791D"/>
    <w:rsid w:val="00343116"/>
    <w:rsid w:val="00343815"/>
    <w:rsid w:val="00343FB1"/>
    <w:rsid w:val="003462BB"/>
    <w:rsid w:val="00347FCA"/>
    <w:rsid w:val="00350F33"/>
    <w:rsid w:val="003522BB"/>
    <w:rsid w:val="00352761"/>
    <w:rsid w:val="00352F6C"/>
    <w:rsid w:val="0035351D"/>
    <w:rsid w:val="00354AC6"/>
    <w:rsid w:val="003556EA"/>
    <w:rsid w:val="00360165"/>
    <w:rsid w:val="00361874"/>
    <w:rsid w:val="00361A35"/>
    <w:rsid w:val="00362350"/>
    <w:rsid w:val="00364CB2"/>
    <w:rsid w:val="00365AA0"/>
    <w:rsid w:val="0036643E"/>
    <w:rsid w:val="003666E2"/>
    <w:rsid w:val="00384B2A"/>
    <w:rsid w:val="003858EA"/>
    <w:rsid w:val="00386E91"/>
    <w:rsid w:val="00386FC7"/>
    <w:rsid w:val="00390A32"/>
    <w:rsid w:val="00394CA6"/>
    <w:rsid w:val="003A1E91"/>
    <w:rsid w:val="003A40F2"/>
    <w:rsid w:val="003A4D0D"/>
    <w:rsid w:val="003A50D1"/>
    <w:rsid w:val="003B0422"/>
    <w:rsid w:val="003B196D"/>
    <w:rsid w:val="003B2710"/>
    <w:rsid w:val="003B31DF"/>
    <w:rsid w:val="003B4608"/>
    <w:rsid w:val="003C2392"/>
    <w:rsid w:val="003C2E88"/>
    <w:rsid w:val="003C5174"/>
    <w:rsid w:val="003C5240"/>
    <w:rsid w:val="003C60BE"/>
    <w:rsid w:val="003C6C8B"/>
    <w:rsid w:val="003C76E6"/>
    <w:rsid w:val="003D14E0"/>
    <w:rsid w:val="003D1D13"/>
    <w:rsid w:val="003D1EA5"/>
    <w:rsid w:val="003D2FF3"/>
    <w:rsid w:val="003D3348"/>
    <w:rsid w:val="003D4E63"/>
    <w:rsid w:val="003D5A7F"/>
    <w:rsid w:val="003D6822"/>
    <w:rsid w:val="003D724C"/>
    <w:rsid w:val="003E0842"/>
    <w:rsid w:val="003E0CE2"/>
    <w:rsid w:val="003E1E17"/>
    <w:rsid w:val="003E454B"/>
    <w:rsid w:val="003F47BF"/>
    <w:rsid w:val="003F4851"/>
    <w:rsid w:val="003F49E4"/>
    <w:rsid w:val="003F4D2F"/>
    <w:rsid w:val="003F58E1"/>
    <w:rsid w:val="003F5E32"/>
    <w:rsid w:val="003F6C30"/>
    <w:rsid w:val="003F75F6"/>
    <w:rsid w:val="00400562"/>
    <w:rsid w:val="004034AC"/>
    <w:rsid w:val="00404670"/>
    <w:rsid w:val="00406AB7"/>
    <w:rsid w:val="00413271"/>
    <w:rsid w:val="004143D3"/>
    <w:rsid w:val="00414CA0"/>
    <w:rsid w:val="00422F54"/>
    <w:rsid w:val="00427214"/>
    <w:rsid w:val="00427217"/>
    <w:rsid w:val="00431516"/>
    <w:rsid w:val="00433C99"/>
    <w:rsid w:val="004361B3"/>
    <w:rsid w:val="0043755C"/>
    <w:rsid w:val="0044249D"/>
    <w:rsid w:val="00442582"/>
    <w:rsid w:val="0044379F"/>
    <w:rsid w:val="00444076"/>
    <w:rsid w:val="00444FCC"/>
    <w:rsid w:val="00446FB1"/>
    <w:rsid w:val="00447198"/>
    <w:rsid w:val="00452753"/>
    <w:rsid w:val="0046078F"/>
    <w:rsid w:val="00461A77"/>
    <w:rsid w:val="00462CC0"/>
    <w:rsid w:val="00463214"/>
    <w:rsid w:val="0046434D"/>
    <w:rsid w:val="004656FA"/>
    <w:rsid w:val="00470295"/>
    <w:rsid w:val="004708C3"/>
    <w:rsid w:val="00471D77"/>
    <w:rsid w:val="0047494B"/>
    <w:rsid w:val="00475587"/>
    <w:rsid w:val="00480BC2"/>
    <w:rsid w:val="00480C28"/>
    <w:rsid w:val="004818C1"/>
    <w:rsid w:val="004845C3"/>
    <w:rsid w:val="004851CF"/>
    <w:rsid w:val="004929C2"/>
    <w:rsid w:val="00493FDD"/>
    <w:rsid w:val="0049586B"/>
    <w:rsid w:val="004A3911"/>
    <w:rsid w:val="004A3E44"/>
    <w:rsid w:val="004A715D"/>
    <w:rsid w:val="004A731F"/>
    <w:rsid w:val="004B2018"/>
    <w:rsid w:val="004B2813"/>
    <w:rsid w:val="004B2896"/>
    <w:rsid w:val="004B38E9"/>
    <w:rsid w:val="004B3FBA"/>
    <w:rsid w:val="004B4D02"/>
    <w:rsid w:val="004B6599"/>
    <w:rsid w:val="004C4358"/>
    <w:rsid w:val="004C4E1E"/>
    <w:rsid w:val="004C5455"/>
    <w:rsid w:val="004C6813"/>
    <w:rsid w:val="004C6CA7"/>
    <w:rsid w:val="004C7304"/>
    <w:rsid w:val="004D3E14"/>
    <w:rsid w:val="004D4357"/>
    <w:rsid w:val="004D4380"/>
    <w:rsid w:val="004D4950"/>
    <w:rsid w:val="004E093B"/>
    <w:rsid w:val="004E1D17"/>
    <w:rsid w:val="004E2393"/>
    <w:rsid w:val="004E2CEB"/>
    <w:rsid w:val="004E3745"/>
    <w:rsid w:val="004E42BE"/>
    <w:rsid w:val="004E4F42"/>
    <w:rsid w:val="004E63D5"/>
    <w:rsid w:val="004E6488"/>
    <w:rsid w:val="004F03FD"/>
    <w:rsid w:val="004F2720"/>
    <w:rsid w:val="004F52F0"/>
    <w:rsid w:val="004F6250"/>
    <w:rsid w:val="004F677C"/>
    <w:rsid w:val="004F6D8F"/>
    <w:rsid w:val="00500922"/>
    <w:rsid w:val="005013C6"/>
    <w:rsid w:val="0050306A"/>
    <w:rsid w:val="00505444"/>
    <w:rsid w:val="00505503"/>
    <w:rsid w:val="0051107B"/>
    <w:rsid w:val="005111EF"/>
    <w:rsid w:val="0051146F"/>
    <w:rsid w:val="00512F9C"/>
    <w:rsid w:val="00513618"/>
    <w:rsid w:val="00514162"/>
    <w:rsid w:val="00514BEF"/>
    <w:rsid w:val="005210E2"/>
    <w:rsid w:val="00524DF5"/>
    <w:rsid w:val="00527CDB"/>
    <w:rsid w:val="00531003"/>
    <w:rsid w:val="00531AF4"/>
    <w:rsid w:val="0053265B"/>
    <w:rsid w:val="005341C9"/>
    <w:rsid w:val="005369CA"/>
    <w:rsid w:val="00536DE9"/>
    <w:rsid w:val="00541BA0"/>
    <w:rsid w:val="00541E08"/>
    <w:rsid w:val="00545144"/>
    <w:rsid w:val="00550C81"/>
    <w:rsid w:val="00552A50"/>
    <w:rsid w:val="00554FE0"/>
    <w:rsid w:val="00556791"/>
    <w:rsid w:val="00557324"/>
    <w:rsid w:val="0055789A"/>
    <w:rsid w:val="005606D6"/>
    <w:rsid w:val="00560952"/>
    <w:rsid w:val="00561455"/>
    <w:rsid w:val="005652D1"/>
    <w:rsid w:val="00565C4A"/>
    <w:rsid w:val="00565EB0"/>
    <w:rsid w:val="0056609A"/>
    <w:rsid w:val="005660A0"/>
    <w:rsid w:val="00566A4F"/>
    <w:rsid w:val="00567D64"/>
    <w:rsid w:val="00570A97"/>
    <w:rsid w:val="005726E8"/>
    <w:rsid w:val="00575205"/>
    <w:rsid w:val="005759C6"/>
    <w:rsid w:val="005844C6"/>
    <w:rsid w:val="005866A3"/>
    <w:rsid w:val="00586D32"/>
    <w:rsid w:val="00587075"/>
    <w:rsid w:val="00590916"/>
    <w:rsid w:val="00591BEF"/>
    <w:rsid w:val="00592994"/>
    <w:rsid w:val="005978D4"/>
    <w:rsid w:val="005A23FA"/>
    <w:rsid w:val="005B2A67"/>
    <w:rsid w:val="005B39E9"/>
    <w:rsid w:val="005B3DCD"/>
    <w:rsid w:val="005B3F0F"/>
    <w:rsid w:val="005B4AD4"/>
    <w:rsid w:val="005B5BAD"/>
    <w:rsid w:val="005C18BC"/>
    <w:rsid w:val="005C2798"/>
    <w:rsid w:val="005C2EE1"/>
    <w:rsid w:val="005C36C3"/>
    <w:rsid w:val="005C56EE"/>
    <w:rsid w:val="005D1003"/>
    <w:rsid w:val="005D1714"/>
    <w:rsid w:val="005D3058"/>
    <w:rsid w:val="005D4E5A"/>
    <w:rsid w:val="005D7638"/>
    <w:rsid w:val="005E6A6B"/>
    <w:rsid w:val="005F122A"/>
    <w:rsid w:val="005F12F5"/>
    <w:rsid w:val="005F18C4"/>
    <w:rsid w:val="005F7C7D"/>
    <w:rsid w:val="006017D0"/>
    <w:rsid w:val="00602445"/>
    <w:rsid w:val="006044B7"/>
    <w:rsid w:val="00604CB5"/>
    <w:rsid w:val="006056FF"/>
    <w:rsid w:val="006071CE"/>
    <w:rsid w:val="006075B5"/>
    <w:rsid w:val="006079D0"/>
    <w:rsid w:val="0061018C"/>
    <w:rsid w:val="0061094E"/>
    <w:rsid w:val="00613440"/>
    <w:rsid w:val="00613BE3"/>
    <w:rsid w:val="006149D2"/>
    <w:rsid w:val="00614DD7"/>
    <w:rsid w:val="006178CD"/>
    <w:rsid w:val="00620FDD"/>
    <w:rsid w:val="00622814"/>
    <w:rsid w:val="00623212"/>
    <w:rsid w:val="0062327B"/>
    <w:rsid w:val="00632777"/>
    <w:rsid w:val="00632DA5"/>
    <w:rsid w:val="00633750"/>
    <w:rsid w:val="00634491"/>
    <w:rsid w:val="006346C4"/>
    <w:rsid w:val="006351A8"/>
    <w:rsid w:val="00635674"/>
    <w:rsid w:val="0063679C"/>
    <w:rsid w:val="00637055"/>
    <w:rsid w:val="0064195E"/>
    <w:rsid w:val="00641D59"/>
    <w:rsid w:val="0064418B"/>
    <w:rsid w:val="00644507"/>
    <w:rsid w:val="006457B7"/>
    <w:rsid w:val="00645C87"/>
    <w:rsid w:val="00646880"/>
    <w:rsid w:val="00646FA2"/>
    <w:rsid w:val="00647269"/>
    <w:rsid w:val="00647712"/>
    <w:rsid w:val="00647D2A"/>
    <w:rsid w:val="0065011E"/>
    <w:rsid w:val="006502B1"/>
    <w:rsid w:val="006537BB"/>
    <w:rsid w:val="0065643E"/>
    <w:rsid w:val="00667E07"/>
    <w:rsid w:val="00671780"/>
    <w:rsid w:val="00671785"/>
    <w:rsid w:val="006725DA"/>
    <w:rsid w:val="00672BA9"/>
    <w:rsid w:val="00673005"/>
    <w:rsid w:val="00680416"/>
    <w:rsid w:val="006804BE"/>
    <w:rsid w:val="0068191E"/>
    <w:rsid w:val="00683BEC"/>
    <w:rsid w:val="0068434A"/>
    <w:rsid w:val="00684662"/>
    <w:rsid w:val="00686481"/>
    <w:rsid w:val="00687DA3"/>
    <w:rsid w:val="0069008E"/>
    <w:rsid w:val="0069087E"/>
    <w:rsid w:val="006923BE"/>
    <w:rsid w:val="006925C4"/>
    <w:rsid w:val="00692697"/>
    <w:rsid w:val="00693376"/>
    <w:rsid w:val="00696630"/>
    <w:rsid w:val="006A02B7"/>
    <w:rsid w:val="006A11E5"/>
    <w:rsid w:val="006A7019"/>
    <w:rsid w:val="006B1783"/>
    <w:rsid w:val="006B32DF"/>
    <w:rsid w:val="006B433F"/>
    <w:rsid w:val="006B46D5"/>
    <w:rsid w:val="006B46F4"/>
    <w:rsid w:val="006B4D01"/>
    <w:rsid w:val="006B564E"/>
    <w:rsid w:val="006B6D58"/>
    <w:rsid w:val="006C0C19"/>
    <w:rsid w:val="006C2281"/>
    <w:rsid w:val="006C32FD"/>
    <w:rsid w:val="006C3BE1"/>
    <w:rsid w:val="006C4FC9"/>
    <w:rsid w:val="006C7AF3"/>
    <w:rsid w:val="006D048F"/>
    <w:rsid w:val="006D0B9D"/>
    <w:rsid w:val="006D6325"/>
    <w:rsid w:val="006D6548"/>
    <w:rsid w:val="006E0E20"/>
    <w:rsid w:val="006E4256"/>
    <w:rsid w:val="006E45BA"/>
    <w:rsid w:val="006E47B9"/>
    <w:rsid w:val="006E4BBA"/>
    <w:rsid w:val="006E5F43"/>
    <w:rsid w:val="006E60A6"/>
    <w:rsid w:val="006F0085"/>
    <w:rsid w:val="006F0F69"/>
    <w:rsid w:val="006F116B"/>
    <w:rsid w:val="006F117F"/>
    <w:rsid w:val="006F13DF"/>
    <w:rsid w:val="006F14C7"/>
    <w:rsid w:val="006F23F0"/>
    <w:rsid w:val="006F2780"/>
    <w:rsid w:val="006F3C61"/>
    <w:rsid w:val="00701330"/>
    <w:rsid w:val="00702C7C"/>
    <w:rsid w:val="00702F26"/>
    <w:rsid w:val="0070313E"/>
    <w:rsid w:val="00703799"/>
    <w:rsid w:val="007056B6"/>
    <w:rsid w:val="00705C5C"/>
    <w:rsid w:val="00711475"/>
    <w:rsid w:val="00711A9C"/>
    <w:rsid w:val="00712E1E"/>
    <w:rsid w:val="00715D4B"/>
    <w:rsid w:val="00715F48"/>
    <w:rsid w:val="00716535"/>
    <w:rsid w:val="007167E3"/>
    <w:rsid w:val="007248E1"/>
    <w:rsid w:val="0072548A"/>
    <w:rsid w:val="00727408"/>
    <w:rsid w:val="007277A6"/>
    <w:rsid w:val="0073051C"/>
    <w:rsid w:val="00730C88"/>
    <w:rsid w:val="00732DB2"/>
    <w:rsid w:val="007333E0"/>
    <w:rsid w:val="007351E7"/>
    <w:rsid w:val="007366E0"/>
    <w:rsid w:val="0073764B"/>
    <w:rsid w:val="007437AB"/>
    <w:rsid w:val="00744074"/>
    <w:rsid w:val="00745425"/>
    <w:rsid w:val="00746DDE"/>
    <w:rsid w:val="007521B1"/>
    <w:rsid w:val="007534D1"/>
    <w:rsid w:val="007534F8"/>
    <w:rsid w:val="00753819"/>
    <w:rsid w:val="007545AD"/>
    <w:rsid w:val="00754A4D"/>
    <w:rsid w:val="00754FA4"/>
    <w:rsid w:val="0075673C"/>
    <w:rsid w:val="007571ED"/>
    <w:rsid w:val="00760552"/>
    <w:rsid w:val="00761CC7"/>
    <w:rsid w:val="00761EFD"/>
    <w:rsid w:val="00763722"/>
    <w:rsid w:val="00764BC1"/>
    <w:rsid w:val="007674CE"/>
    <w:rsid w:val="00770869"/>
    <w:rsid w:val="007738AA"/>
    <w:rsid w:val="00777741"/>
    <w:rsid w:val="00780486"/>
    <w:rsid w:val="0078094C"/>
    <w:rsid w:val="00780A62"/>
    <w:rsid w:val="00781532"/>
    <w:rsid w:val="00783241"/>
    <w:rsid w:val="00784BDC"/>
    <w:rsid w:val="00786A92"/>
    <w:rsid w:val="00790B7E"/>
    <w:rsid w:val="0079106E"/>
    <w:rsid w:val="00792F28"/>
    <w:rsid w:val="007935CA"/>
    <w:rsid w:val="0079543F"/>
    <w:rsid w:val="00795880"/>
    <w:rsid w:val="007A383A"/>
    <w:rsid w:val="007A4367"/>
    <w:rsid w:val="007A59B6"/>
    <w:rsid w:val="007A7B6B"/>
    <w:rsid w:val="007B0867"/>
    <w:rsid w:val="007B1AC1"/>
    <w:rsid w:val="007B5A08"/>
    <w:rsid w:val="007B65E6"/>
    <w:rsid w:val="007B693D"/>
    <w:rsid w:val="007C3AB9"/>
    <w:rsid w:val="007C4CDC"/>
    <w:rsid w:val="007C6114"/>
    <w:rsid w:val="007D4956"/>
    <w:rsid w:val="007E041B"/>
    <w:rsid w:val="007E199A"/>
    <w:rsid w:val="007E1AED"/>
    <w:rsid w:val="007E2415"/>
    <w:rsid w:val="007E39F3"/>
    <w:rsid w:val="007E405E"/>
    <w:rsid w:val="007E4757"/>
    <w:rsid w:val="007E68F4"/>
    <w:rsid w:val="007E6DE2"/>
    <w:rsid w:val="007E7436"/>
    <w:rsid w:val="007F0949"/>
    <w:rsid w:val="007F2442"/>
    <w:rsid w:val="007F31BA"/>
    <w:rsid w:val="007F4078"/>
    <w:rsid w:val="007F5E18"/>
    <w:rsid w:val="0080014B"/>
    <w:rsid w:val="00800154"/>
    <w:rsid w:val="00801793"/>
    <w:rsid w:val="00802266"/>
    <w:rsid w:val="00803642"/>
    <w:rsid w:val="00806EA2"/>
    <w:rsid w:val="008103E0"/>
    <w:rsid w:val="00811E57"/>
    <w:rsid w:val="00812A2B"/>
    <w:rsid w:val="00812A9F"/>
    <w:rsid w:val="008131C7"/>
    <w:rsid w:val="00813CF1"/>
    <w:rsid w:val="00814A4C"/>
    <w:rsid w:val="008165AA"/>
    <w:rsid w:val="00817B36"/>
    <w:rsid w:val="00820CD0"/>
    <w:rsid w:val="00822E20"/>
    <w:rsid w:val="00831AAB"/>
    <w:rsid w:val="008321C9"/>
    <w:rsid w:val="00833BCD"/>
    <w:rsid w:val="00834B82"/>
    <w:rsid w:val="0083574E"/>
    <w:rsid w:val="0083640C"/>
    <w:rsid w:val="008374E3"/>
    <w:rsid w:val="0084081E"/>
    <w:rsid w:val="00840D3A"/>
    <w:rsid w:val="0084157B"/>
    <w:rsid w:val="00842235"/>
    <w:rsid w:val="00842BFB"/>
    <w:rsid w:val="008456D2"/>
    <w:rsid w:val="00846B85"/>
    <w:rsid w:val="00847DC3"/>
    <w:rsid w:val="00847F49"/>
    <w:rsid w:val="008508DB"/>
    <w:rsid w:val="008535C5"/>
    <w:rsid w:val="00853765"/>
    <w:rsid w:val="0085516F"/>
    <w:rsid w:val="0085536F"/>
    <w:rsid w:val="00856AD1"/>
    <w:rsid w:val="00867186"/>
    <w:rsid w:val="00870AF6"/>
    <w:rsid w:val="008744C6"/>
    <w:rsid w:val="00877452"/>
    <w:rsid w:val="00881268"/>
    <w:rsid w:val="0088271A"/>
    <w:rsid w:val="0088394A"/>
    <w:rsid w:val="008846F4"/>
    <w:rsid w:val="00885C65"/>
    <w:rsid w:val="008860BD"/>
    <w:rsid w:val="00886986"/>
    <w:rsid w:val="00887399"/>
    <w:rsid w:val="0088779E"/>
    <w:rsid w:val="00890407"/>
    <w:rsid w:val="008912AF"/>
    <w:rsid w:val="00892114"/>
    <w:rsid w:val="0089251F"/>
    <w:rsid w:val="008926F9"/>
    <w:rsid w:val="00892CB9"/>
    <w:rsid w:val="008935CB"/>
    <w:rsid w:val="00894473"/>
    <w:rsid w:val="00895842"/>
    <w:rsid w:val="008A0D1A"/>
    <w:rsid w:val="008A3C5D"/>
    <w:rsid w:val="008A69BC"/>
    <w:rsid w:val="008B0B2D"/>
    <w:rsid w:val="008B0E7E"/>
    <w:rsid w:val="008B2F83"/>
    <w:rsid w:val="008B65BD"/>
    <w:rsid w:val="008B6C71"/>
    <w:rsid w:val="008B6D35"/>
    <w:rsid w:val="008B7900"/>
    <w:rsid w:val="008C1E3D"/>
    <w:rsid w:val="008C3463"/>
    <w:rsid w:val="008C6777"/>
    <w:rsid w:val="008C71BF"/>
    <w:rsid w:val="008C7926"/>
    <w:rsid w:val="008C7FE0"/>
    <w:rsid w:val="008D1727"/>
    <w:rsid w:val="008D41A1"/>
    <w:rsid w:val="008D5717"/>
    <w:rsid w:val="008E2910"/>
    <w:rsid w:val="008E2F9C"/>
    <w:rsid w:val="008E3C70"/>
    <w:rsid w:val="008E44A9"/>
    <w:rsid w:val="008E5107"/>
    <w:rsid w:val="008E6659"/>
    <w:rsid w:val="008E6B4D"/>
    <w:rsid w:val="008E6BFF"/>
    <w:rsid w:val="008F1BC4"/>
    <w:rsid w:val="008F21AF"/>
    <w:rsid w:val="008F2400"/>
    <w:rsid w:val="008F5348"/>
    <w:rsid w:val="008F61BA"/>
    <w:rsid w:val="008F6E3C"/>
    <w:rsid w:val="008F7C55"/>
    <w:rsid w:val="008F7CFE"/>
    <w:rsid w:val="00900D17"/>
    <w:rsid w:val="00901EC4"/>
    <w:rsid w:val="0090458B"/>
    <w:rsid w:val="009065E8"/>
    <w:rsid w:val="0091039E"/>
    <w:rsid w:val="00914A23"/>
    <w:rsid w:val="0092446A"/>
    <w:rsid w:val="00924821"/>
    <w:rsid w:val="00926E8E"/>
    <w:rsid w:val="00927061"/>
    <w:rsid w:val="00930754"/>
    <w:rsid w:val="00930B26"/>
    <w:rsid w:val="009314F1"/>
    <w:rsid w:val="0093347A"/>
    <w:rsid w:val="00934F68"/>
    <w:rsid w:val="009350A6"/>
    <w:rsid w:val="009355AC"/>
    <w:rsid w:val="00935BEC"/>
    <w:rsid w:val="00935F38"/>
    <w:rsid w:val="009366BF"/>
    <w:rsid w:val="00937586"/>
    <w:rsid w:val="00946E55"/>
    <w:rsid w:val="00947889"/>
    <w:rsid w:val="009478BD"/>
    <w:rsid w:val="00950D9C"/>
    <w:rsid w:val="0095226F"/>
    <w:rsid w:val="00960E98"/>
    <w:rsid w:val="0096314C"/>
    <w:rsid w:val="00963188"/>
    <w:rsid w:val="00963A82"/>
    <w:rsid w:val="00972912"/>
    <w:rsid w:val="00972F1C"/>
    <w:rsid w:val="00976617"/>
    <w:rsid w:val="00976D1F"/>
    <w:rsid w:val="00981228"/>
    <w:rsid w:val="00981C81"/>
    <w:rsid w:val="00987578"/>
    <w:rsid w:val="00996EBD"/>
    <w:rsid w:val="009A2D24"/>
    <w:rsid w:val="009A456C"/>
    <w:rsid w:val="009A678A"/>
    <w:rsid w:val="009B00E0"/>
    <w:rsid w:val="009B0709"/>
    <w:rsid w:val="009B292A"/>
    <w:rsid w:val="009B3648"/>
    <w:rsid w:val="009B3F5F"/>
    <w:rsid w:val="009B46AC"/>
    <w:rsid w:val="009B5305"/>
    <w:rsid w:val="009B6CC8"/>
    <w:rsid w:val="009B72C0"/>
    <w:rsid w:val="009B76D5"/>
    <w:rsid w:val="009C165D"/>
    <w:rsid w:val="009C3CEA"/>
    <w:rsid w:val="009C583D"/>
    <w:rsid w:val="009C5D0C"/>
    <w:rsid w:val="009D2109"/>
    <w:rsid w:val="009D227F"/>
    <w:rsid w:val="009D2611"/>
    <w:rsid w:val="009D3E44"/>
    <w:rsid w:val="009D791D"/>
    <w:rsid w:val="009D79D2"/>
    <w:rsid w:val="009E13DB"/>
    <w:rsid w:val="009E2213"/>
    <w:rsid w:val="009E247C"/>
    <w:rsid w:val="009E31BA"/>
    <w:rsid w:val="009E581B"/>
    <w:rsid w:val="009F0528"/>
    <w:rsid w:val="009F0806"/>
    <w:rsid w:val="009F0D83"/>
    <w:rsid w:val="009F233B"/>
    <w:rsid w:val="009F2E4A"/>
    <w:rsid w:val="009F53E1"/>
    <w:rsid w:val="009F5FD6"/>
    <w:rsid w:val="009F660B"/>
    <w:rsid w:val="009F79E6"/>
    <w:rsid w:val="00A023AC"/>
    <w:rsid w:val="00A05D16"/>
    <w:rsid w:val="00A06088"/>
    <w:rsid w:val="00A0659F"/>
    <w:rsid w:val="00A07680"/>
    <w:rsid w:val="00A079BA"/>
    <w:rsid w:val="00A13F15"/>
    <w:rsid w:val="00A14E8C"/>
    <w:rsid w:val="00A15A25"/>
    <w:rsid w:val="00A170C2"/>
    <w:rsid w:val="00A173BE"/>
    <w:rsid w:val="00A20C70"/>
    <w:rsid w:val="00A22425"/>
    <w:rsid w:val="00A24D17"/>
    <w:rsid w:val="00A31DCB"/>
    <w:rsid w:val="00A31E45"/>
    <w:rsid w:val="00A33875"/>
    <w:rsid w:val="00A360A1"/>
    <w:rsid w:val="00A402B3"/>
    <w:rsid w:val="00A409CE"/>
    <w:rsid w:val="00A40A34"/>
    <w:rsid w:val="00A42803"/>
    <w:rsid w:val="00A50D1D"/>
    <w:rsid w:val="00A544B7"/>
    <w:rsid w:val="00A56004"/>
    <w:rsid w:val="00A56DFF"/>
    <w:rsid w:val="00A618CF"/>
    <w:rsid w:val="00A61E2B"/>
    <w:rsid w:val="00A62770"/>
    <w:rsid w:val="00A62EEB"/>
    <w:rsid w:val="00A660FF"/>
    <w:rsid w:val="00A719F5"/>
    <w:rsid w:val="00A73395"/>
    <w:rsid w:val="00A74AAD"/>
    <w:rsid w:val="00A771E3"/>
    <w:rsid w:val="00A81560"/>
    <w:rsid w:val="00A81F00"/>
    <w:rsid w:val="00A8239F"/>
    <w:rsid w:val="00A82631"/>
    <w:rsid w:val="00A82B4C"/>
    <w:rsid w:val="00A83181"/>
    <w:rsid w:val="00A843ED"/>
    <w:rsid w:val="00A85669"/>
    <w:rsid w:val="00A877E6"/>
    <w:rsid w:val="00A93A4C"/>
    <w:rsid w:val="00A94D5D"/>
    <w:rsid w:val="00AA07AB"/>
    <w:rsid w:val="00AA0EFB"/>
    <w:rsid w:val="00AA1D9B"/>
    <w:rsid w:val="00AA2543"/>
    <w:rsid w:val="00AA2981"/>
    <w:rsid w:val="00AA3804"/>
    <w:rsid w:val="00AA55C2"/>
    <w:rsid w:val="00AB0ACA"/>
    <w:rsid w:val="00AB0BC6"/>
    <w:rsid w:val="00AB1D41"/>
    <w:rsid w:val="00AB2AD8"/>
    <w:rsid w:val="00AC44AF"/>
    <w:rsid w:val="00AC4EB1"/>
    <w:rsid w:val="00AC5E9A"/>
    <w:rsid w:val="00AC6A35"/>
    <w:rsid w:val="00AC704B"/>
    <w:rsid w:val="00AD4475"/>
    <w:rsid w:val="00AD553E"/>
    <w:rsid w:val="00AD5848"/>
    <w:rsid w:val="00AD6D99"/>
    <w:rsid w:val="00AE3D94"/>
    <w:rsid w:val="00AE4FB9"/>
    <w:rsid w:val="00AE50F8"/>
    <w:rsid w:val="00AE5ADA"/>
    <w:rsid w:val="00AE6D47"/>
    <w:rsid w:val="00AF0334"/>
    <w:rsid w:val="00AF11DA"/>
    <w:rsid w:val="00AF6145"/>
    <w:rsid w:val="00B01386"/>
    <w:rsid w:val="00B01915"/>
    <w:rsid w:val="00B01BB5"/>
    <w:rsid w:val="00B026CC"/>
    <w:rsid w:val="00B04AF4"/>
    <w:rsid w:val="00B05214"/>
    <w:rsid w:val="00B05219"/>
    <w:rsid w:val="00B1102E"/>
    <w:rsid w:val="00B13527"/>
    <w:rsid w:val="00B248C7"/>
    <w:rsid w:val="00B277BA"/>
    <w:rsid w:val="00B30D97"/>
    <w:rsid w:val="00B31074"/>
    <w:rsid w:val="00B3181A"/>
    <w:rsid w:val="00B35A7C"/>
    <w:rsid w:val="00B43BBD"/>
    <w:rsid w:val="00B44ECD"/>
    <w:rsid w:val="00B450D1"/>
    <w:rsid w:val="00B45A6D"/>
    <w:rsid w:val="00B467E2"/>
    <w:rsid w:val="00B50565"/>
    <w:rsid w:val="00B510FC"/>
    <w:rsid w:val="00B53D47"/>
    <w:rsid w:val="00B54A25"/>
    <w:rsid w:val="00B552A3"/>
    <w:rsid w:val="00B57C37"/>
    <w:rsid w:val="00B618C3"/>
    <w:rsid w:val="00B62C97"/>
    <w:rsid w:val="00B63652"/>
    <w:rsid w:val="00B6492A"/>
    <w:rsid w:val="00B668B0"/>
    <w:rsid w:val="00B67949"/>
    <w:rsid w:val="00B70F5C"/>
    <w:rsid w:val="00B71873"/>
    <w:rsid w:val="00B75AE5"/>
    <w:rsid w:val="00B800C0"/>
    <w:rsid w:val="00B8132B"/>
    <w:rsid w:val="00B830D9"/>
    <w:rsid w:val="00B84C5A"/>
    <w:rsid w:val="00B858F5"/>
    <w:rsid w:val="00B93668"/>
    <w:rsid w:val="00B944B2"/>
    <w:rsid w:val="00B96684"/>
    <w:rsid w:val="00B9776E"/>
    <w:rsid w:val="00B977BF"/>
    <w:rsid w:val="00BA009E"/>
    <w:rsid w:val="00BA1A29"/>
    <w:rsid w:val="00BA2E41"/>
    <w:rsid w:val="00BA3009"/>
    <w:rsid w:val="00BA4C9A"/>
    <w:rsid w:val="00BA50C6"/>
    <w:rsid w:val="00BA68C6"/>
    <w:rsid w:val="00BA691A"/>
    <w:rsid w:val="00BB12F1"/>
    <w:rsid w:val="00BB1E78"/>
    <w:rsid w:val="00BB276E"/>
    <w:rsid w:val="00BB3FEE"/>
    <w:rsid w:val="00BB4AC0"/>
    <w:rsid w:val="00BB4C0A"/>
    <w:rsid w:val="00BB5EB0"/>
    <w:rsid w:val="00BB7EC0"/>
    <w:rsid w:val="00BC245A"/>
    <w:rsid w:val="00BD0665"/>
    <w:rsid w:val="00BD16FA"/>
    <w:rsid w:val="00BD41C3"/>
    <w:rsid w:val="00BD488B"/>
    <w:rsid w:val="00BD688D"/>
    <w:rsid w:val="00BD7CCC"/>
    <w:rsid w:val="00BE002A"/>
    <w:rsid w:val="00BE0283"/>
    <w:rsid w:val="00BE033B"/>
    <w:rsid w:val="00BE08C9"/>
    <w:rsid w:val="00BE0FAC"/>
    <w:rsid w:val="00BE1BC9"/>
    <w:rsid w:val="00BE34B3"/>
    <w:rsid w:val="00BE5CDA"/>
    <w:rsid w:val="00BE608F"/>
    <w:rsid w:val="00BE7373"/>
    <w:rsid w:val="00BF128C"/>
    <w:rsid w:val="00BF23BB"/>
    <w:rsid w:val="00BF2502"/>
    <w:rsid w:val="00BF33DD"/>
    <w:rsid w:val="00BF5755"/>
    <w:rsid w:val="00BF684B"/>
    <w:rsid w:val="00C000C0"/>
    <w:rsid w:val="00C016F3"/>
    <w:rsid w:val="00C01C80"/>
    <w:rsid w:val="00C06AE4"/>
    <w:rsid w:val="00C12D23"/>
    <w:rsid w:val="00C15193"/>
    <w:rsid w:val="00C15609"/>
    <w:rsid w:val="00C15F6A"/>
    <w:rsid w:val="00C17D90"/>
    <w:rsid w:val="00C20F9E"/>
    <w:rsid w:val="00C227F5"/>
    <w:rsid w:val="00C238FE"/>
    <w:rsid w:val="00C23EA7"/>
    <w:rsid w:val="00C256F3"/>
    <w:rsid w:val="00C270A2"/>
    <w:rsid w:val="00C315B5"/>
    <w:rsid w:val="00C35E28"/>
    <w:rsid w:val="00C426AF"/>
    <w:rsid w:val="00C42CF8"/>
    <w:rsid w:val="00C43C0F"/>
    <w:rsid w:val="00C44B06"/>
    <w:rsid w:val="00C44CDD"/>
    <w:rsid w:val="00C469C1"/>
    <w:rsid w:val="00C47492"/>
    <w:rsid w:val="00C47BD2"/>
    <w:rsid w:val="00C50659"/>
    <w:rsid w:val="00C51152"/>
    <w:rsid w:val="00C51B39"/>
    <w:rsid w:val="00C5338A"/>
    <w:rsid w:val="00C541BC"/>
    <w:rsid w:val="00C54EF9"/>
    <w:rsid w:val="00C56BBF"/>
    <w:rsid w:val="00C572AA"/>
    <w:rsid w:val="00C57A9A"/>
    <w:rsid w:val="00C6016A"/>
    <w:rsid w:val="00C60B3F"/>
    <w:rsid w:val="00C61E8B"/>
    <w:rsid w:val="00C623EB"/>
    <w:rsid w:val="00C632E8"/>
    <w:rsid w:val="00C64C6B"/>
    <w:rsid w:val="00C66E37"/>
    <w:rsid w:val="00C66F2E"/>
    <w:rsid w:val="00C675E4"/>
    <w:rsid w:val="00C67697"/>
    <w:rsid w:val="00C6785C"/>
    <w:rsid w:val="00C67DBD"/>
    <w:rsid w:val="00C70FD1"/>
    <w:rsid w:val="00C7151B"/>
    <w:rsid w:val="00C725C2"/>
    <w:rsid w:val="00C72B76"/>
    <w:rsid w:val="00C733AA"/>
    <w:rsid w:val="00C775E4"/>
    <w:rsid w:val="00C805D5"/>
    <w:rsid w:val="00C83027"/>
    <w:rsid w:val="00C84B8A"/>
    <w:rsid w:val="00C85E65"/>
    <w:rsid w:val="00C87CA1"/>
    <w:rsid w:val="00C911B4"/>
    <w:rsid w:val="00C91B3B"/>
    <w:rsid w:val="00C933C3"/>
    <w:rsid w:val="00C94262"/>
    <w:rsid w:val="00C95C23"/>
    <w:rsid w:val="00C976E1"/>
    <w:rsid w:val="00CA0078"/>
    <w:rsid w:val="00CA148E"/>
    <w:rsid w:val="00CA3A9A"/>
    <w:rsid w:val="00CA3B04"/>
    <w:rsid w:val="00CA4039"/>
    <w:rsid w:val="00CB18EB"/>
    <w:rsid w:val="00CB6BC1"/>
    <w:rsid w:val="00CB7021"/>
    <w:rsid w:val="00CC1ACB"/>
    <w:rsid w:val="00CC3E55"/>
    <w:rsid w:val="00CC5674"/>
    <w:rsid w:val="00CD3294"/>
    <w:rsid w:val="00CD4524"/>
    <w:rsid w:val="00CD5328"/>
    <w:rsid w:val="00CD57D2"/>
    <w:rsid w:val="00CD784D"/>
    <w:rsid w:val="00CF3A1C"/>
    <w:rsid w:val="00CF3C6E"/>
    <w:rsid w:val="00CF40F8"/>
    <w:rsid w:val="00D000B3"/>
    <w:rsid w:val="00D008DA"/>
    <w:rsid w:val="00D0416F"/>
    <w:rsid w:val="00D05851"/>
    <w:rsid w:val="00D05B10"/>
    <w:rsid w:val="00D0674E"/>
    <w:rsid w:val="00D06BD3"/>
    <w:rsid w:val="00D10FED"/>
    <w:rsid w:val="00D11736"/>
    <w:rsid w:val="00D12EE8"/>
    <w:rsid w:val="00D1348C"/>
    <w:rsid w:val="00D1362B"/>
    <w:rsid w:val="00D14CDF"/>
    <w:rsid w:val="00D15FF1"/>
    <w:rsid w:val="00D167F4"/>
    <w:rsid w:val="00D20201"/>
    <w:rsid w:val="00D2092A"/>
    <w:rsid w:val="00D21494"/>
    <w:rsid w:val="00D2216D"/>
    <w:rsid w:val="00D22AFD"/>
    <w:rsid w:val="00D27820"/>
    <w:rsid w:val="00D31A6F"/>
    <w:rsid w:val="00D350C4"/>
    <w:rsid w:val="00D353D1"/>
    <w:rsid w:val="00D367DB"/>
    <w:rsid w:val="00D36E05"/>
    <w:rsid w:val="00D3798C"/>
    <w:rsid w:val="00D4167F"/>
    <w:rsid w:val="00D417E8"/>
    <w:rsid w:val="00D42475"/>
    <w:rsid w:val="00D4308E"/>
    <w:rsid w:val="00D4329F"/>
    <w:rsid w:val="00D44F27"/>
    <w:rsid w:val="00D45304"/>
    <w:rsid w:val="00D46165"/>
    <w:rsid w:val="00D461C7"/>
    <w:rsid w:val="00D500EC"/>
    <w:rsid w:val="00D50424"/>
    <w:rsid w:val="00D525C9"/>
    <w:rsid w:val="00D57D3E"/>
    <w:rsid w:val="00D64A22"/>
    <w:rsid w:val="00D7338B"/>
    <w:rsid w:val="00D7426C"/>
    <w:rsid w:val="00D76249"/>
    <w:rsid w:val="00D76497"/>
    <w:rsid w:val="00D8038B"/>
    <w:rsid w:val="00D847E5"/>
    <w:rsid w:val="00D8492D"/>
    <w:rsid w:val="00D86C13"/>
    <w:rsid w:val="00D924C2"/>
    <w:rsid w:val="00D929EC"/>
    <w:rsid w:val="00D94050"/>
    <w:rsid w:val="00D966DB"/>
    <w:rsid w:val="00D96FE6"/>
    <w:rsid w:val="00DA1EDA"/>
    <w:rsid w:val="00DA7D12"/>
    <w:rsid w:val="00DB006C"/>
    <w:rsid w:val="00DB06C4"/>
    <w:rsid w:val="00DB36BA"/>
    <w:rsid w:val="00DB6ACE"/>
    <w:rsid w:val="00DC0648"/>
    <w:rsid w:val="00DC2300"/>
    <w:rsid w:val="00DC23CF"/>
    <w:rsid w:val="00DC6562"/>
    <w:rsid w:val="00DD5CA8"/>
    <w:rsid w:val="00DE0CF0"/>
    <w:rsid w:val="00DE130D"/>
    <w:rsid w:val="00DE24CF"/>
    <w:rsid w:val="00DE407C"/>
    <w:rsid w:val="00DE7C7D"/>
    <w:rsid w:val="00DF2992"/>
    <w:rsid w:val="00DF2D0C"/>
    <w:rsid w:val="00DF4065"/>
    <w:rsid w:val="00DF5BAF"/>
    <w:rsid w:val="00DF6E5B"/>
    <w:rsid w:val="00DF72C4"/>
    <w:rsid w:val="00E00058"/>
    <w:rsid w:val="00E01B9D"/>
    <w:rsid w:val="00E0226E"/>
    <w:rsid w:val="00E0468F"/>
    <w:rsid w:val="00E04F5E"/>
    <w:rsid w:val="00E0522E"/>
    <w:rsid w:val="00E07EBF"/>
    <w:rsid w:val="00E11B9E"/>
    <w:rsid w:val="00E120F4"/>
    <w:rsid w:val="00E13BAC"/>
    <w:rsid w:val="00E15AA2"/>
    <w:rsid w:val="00E17172"/>
    <w:rsid w:val="00E2043B"/>
    <w:rsid w:val="00E2064A"/>
    <w:rsid w:val="00E20B96"/>
    <w:rsid w:val="00E24568"/>
    <w:rsid w:val="00E2522E"/>
    <w:rsid w:val="00E30005"/>
    <w:rsid w:val="00E3181C"/>
    <w:rsid w:val="00E3280A"/>
    <w:rsid w:val="00E341C6"/>
    <w:rsid w:val="00E372AF"/>
    <w:rsid w:val="00E37D68"/>
    <w:rsid w:val="00E40282"/>
    <w:rsid w:val="00E40EAE"/>
    <w:rsid w:val="00E413EF"/>
    <w:rsid w:val="00E42125"/>
    <w:rsid w:val="00E436AC"/>
    <w:rsid w:val="00E43C23"/>
    <w:rsid w:val="00E448A1"/>
    <w:rsid w:val="00E44F7A"/>
    <w:rsid w:val="00E44FF8"/>
    <w:rsid w:val="00E5066A"/>
    <w:rsid w:val="00E52179"/>
    <w:rsid w:val="00E52CF9"/>
    <w:rsid w:val="00E53246"/>
    <w:rsid w:val="00E54E36"/>
    <w:rsid w:val="00E6170B"/>
    <w:rsid w:val="00E61B18"/>
    <w:rsid w:val="00E63F34"/>
    <w:rsid w:val="00E63FEA"/>
    <w:rsid w:val="00E64BB7"/>
    <w:rsid w:val="00E66781"/>
    <w:rsid w:val="00E6715A"/>
    <w:rsid w:val="00E677D5"/>
    <w:rsid w:val="00E75DC9"/>
    <w:rsid w:val="00E81610"/>
    <w:rsid w:val="00E8191B"/>
    <w:rsid w:val="00E81F0A"/>
    <w:rsid w:val="00E83647"/>
    <w:rsid w:val="00E84910"/>
    <w:rsid w:val="00E85B28"/>
    <w:rsid w:val="00E91976"/>
    <w:rsid w:val="00E91DA9"/>
    <w:rsid w:val="00E92DA7"/>
    <w:rsid w:val="00E947A6"/>
    <w:rsid w:val="00E96EA8"/>
    <w:rsid w:val="00E97FC7"/>
    <w:rsid w:val="00EA0690"/>
    <w:rsid w:val="00EA152F"/>
    <w:rsid w:val="00EA3956"/>
    <w:rsid w:val="00EA67E0"/>
    <w:rsid w:val="00EA7136"/>
    <w:rsid w:val="00EB1BD8"/>
    <w:rsid w:val="00EB325A"/>
    <w:rsid w:val="00EC02A5"/>
    <w:rsid w:val="00EC176B"/>
    <w:rsid w:val="00EC33CD"/>
    <w:rsid w:val="00EC5BE5"/>
    <w:rsid w:val="00EC5FB5"/>
    <w:rsid w:val="00EC727F"/>
    <w:rsid w:val="00EC7CA1"/>
    <w:rsid w:val="00ED1EF4"/>
    <w:rsid w:val="00ED2650"/>
    <w:rsid w:val="00ED4B38"/>
    <w:rsid w:val="00ED5E24"/>
    <w:rsid w:val="00ED721A"/>
    <w:rsid w:val="00EE0302"/>
    <w:rsid w:val="00EE0674"/>
    <w:rsid w:val="00EE0E49"/>
    <w:rsid w:val="00EE1211"/>
    <w:rsid w:val="00EE1767"/>
    <w:rsid w:val="00EE2DCB"/>
    <w:rsid w:val="00EE3597"/>
    <w:rsid w:val="00EE393D"/>
    <w:rsid w:val="00EE4C44"/>
    <w:rsid w:val="00EF01CF"/>
    <w:rsid w:val="00EF2E44"/>
    <w:rsid w:val="00EF6668"/>
    <w:rsid w:val="00EF6A47"/>
    <w:rsid w:val="00EF7AF9"/>
    <w:rsid w:val="00F00952"/>
    <w:rsid w:val="00F01495"/>
    <w:rsid w:val="00F10138"/>
    <w:rsid w:val="00F12204"/>
    <w:rsid w:val="00F12B67"/>
    <w:rsid w:val="00F13004"/>
    <w:rsid w:val="00F13F92"/>
    <w:rsid w:val="00F1750D"/>
    <w:rsid w:val="00F2061E"/>
    <w:rsid w:val="00F20917"/>
    <w:rsid w:val="00F212BD"/>
    <w:rsid w:val="00F22ECA"/>
    <w:rsid w:val="00F240E8"/>
    <w:rsid w:val="00F244FA"/>
    <w:rsid w:val="00F2667E"/>
    <w:rsid w:val="00F2746E"/>
    <w:rsid w:val="00F30803"/>
    <w:rsid w:val="00F34F2D"/>
    <w:rsid w:val="00F366A2"/>
    <w:rsid w:val="00F3741D"/>
    <w:rsid w:val="00F429B6"/>
    <w:rsid w:val="00F43265"/>
    <w:rsid w:val="00F44F43"/>
    <w:rsid w:val="00F450C0"/>
    <w:rsid w:val="00F450E1"/>
    <w:rsid w:val="00F46B20"/>
    <w:rsid w:val="00F46D7A"/>
    <w:rsid w:val="00F50DF4"/>
    <w:rsid w:val="00F51ECB"/>
    <w:rsid w:val="00F542AB"/>
    <w:rsid w:val="00F557A9"/>
    <w:rsid w:val="00F57AFE"/>
    <w:rsid w:val="00F6278E"/>
    <w:rsid w:val="00F63C41"/>
    <w:rsid w:val="00F63E96"/>
    <w:rsid w:val="00F6424C"/>
    <w:rsid w:val="00F67E58"/>
    <w:rsid w:val="00F701E3"/>
    <w:rsid w:val="00F71008"/>
    <w:rsid w:val="00F71F8C"/>
    <w:rsid w:val="00F73CB5"/>
    <w:rsid w:val="00F74140"/>
    <w:rsid w:val="00F7539E"/>
    <w:rsid w:val="00F768E7"/>
    <w:rsid w:val="00F86AD4"/>
    <w:rsid w:val="00F879AF"/>
    <w:rsid w:val="00F90E74"/>
    <w:rsid w:val="00F917B2"/>
    <w:rsid w:val="00F9286F"/>
    <w:rsid w:val="00FA0113"/>
    <w:rsid w:val="00FA12B2"/>
    <w:rsid w:val="00FA2A2E"/>
    <w:rsid w:val="00FA2CD4"/>
    <w:rsid w:val="00FA7610"/>
    <w:rsid w:val="00FB02BD"/>
    <w:rsid w:val="00FB0428"/>
    <w:rsid w:val="00FB04FF"/>
    <w:rsid w:val="00FB0898"/>
    <w:rsid w:val="00FB186A"/>
    <w:rsid w:val="00FB398F"/>
    <w:rsid w:val="00FB3F4B"/>
    <w:rsid w:val="00FB4EF8"/>
    <w:rsid w:val="00FB54AE"/>
    <w:rsid w:val="00FB709A"/>
    <w:rsid w:val="00FB78DD"/>
    <w:rsid w:val="00FC2ACF"/>
    <w:rsid w:val="00FC3EF3"/>
    <w:rsid w:val="00FC41C6"/>
    <w:rsid w:val="00FC5A0A"/>
    <w:rsid w:val="00FC5D35"/>
    <w:rsid w:val="00FD0DE8"/>
    <w:rsid w:val="00FD2049"/>
    <w:rsid w:val="00FD2140"/>
    <w:rsid w:val="00FD381E"/>
    <w:rsid w:val="00FD5B5F"/>
    <w:rsid w:val="00FD5BDE"/>
    <w:rsid w:val="00FD68EC"/>
    <w:rsid w:val="00FE03F9"/>
    <w:rsid w:val="00FE24A5"/>
    <w:rsid w:val="00FE31E5"/>
    <w:rsid w:val="00FE3535"/>
    <w:rsid w:val="00FE4037"/>
    <w:rsid w:val="00FE6441"/>
    <w:rsid w:val="00FF19AD"/>
    <w:rsid w:val="00FF1EB5"/>
    <w:rsid w:val="00FF292D"/>
    <w:rsid w:val="00FF298D"/>
    <w:rsid w:val="00FF4B55"/>
    <w:rsid w:val="00FF6287"/>
    <w:rsid w:val="00FF6A74"/>
    <w:rsid w:val="00FF73FB"/>
    <w:rsid w:val="00FF7556"/>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DBBC"/>
  <w15:docId w15:val="{84D3E5CD-145B-4408-8514-9741A7A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223E27"/>
    <w:rPr>
      <w:rFonts w:ascii="Arial" w:eastAsia="Times New Roman" w:hAnsi="Arial"/>
      <w:lang w:val="el-GR"/>
    </w:rPr>
  </w:style>
  <w:style w:type="paragraph" w:styleId="Revision">
    <w:name w:val="Revision"/>
    <w:hidden/>
    <w:uiPriority w:val="99"/>
    <w:semiHidden/>
    <w:rsid w:val="00362350"/>
    <w:rPr>
      <w:sz w:val="22"/>
      <w:szCs w:val="22"/>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 w:type="paragraph" w:styleId="BodyText3">
    <w:name w:val="Body Text 3"/>
    <w:basedOn w:val="Normal"/>
    <w:link w:val="BodyText3Char"/>
    <w:uiPriority w:val="99"/>
    <w:semiHidden/>
    <w:unhideWhenUsed/>
    <w:rsid w:val="003D2FF3"/>
    <w:pPr>
      <w:spacing w:after="120"/>
    </w:pPr>
    <w:rPr>
      <w:sz w:val="16"/>
      <w:szCs w:val="16"/>
    </w:rPr>
  </w:style>
  <w:style w:type="character" w:customStyle="1" w:styleId="BodyText3Char">
    <w:name w:val="Body Text 3 Char"/>
    <w:basedOn w:val="DefaultParagraphFont"/>
    <w:link w:val="BodyText3"/>
    <w:uiPriority w:val="99"/>
    <w:semiHidden/>
    <w:rsid w:val="003D2FF3"/>
    <w:rPr>
      <w:sz w:val="16"/>
      <w:szCs w:val="16"/>
      <w:lang w:val="en-US" w:eastAsia="en-US"/>
    </w:rPr>
  </w:style>
  <w:style w:type="character" w:styleId="UnresolvedMention">
    <w:name w:val="Unresolved Mention"/>
    <w:basedOn w:val="DefaultParagraphFont"/>
    <w:uiPriority w:val="99"/>
    <w:semiHidden/>
    <w:unhideWhenUsed/>
    <w:rsid w:val="008A69BC"/>
    <w:rPr>
      <w:color w:val="605E5C"/>
      <w:shd w:val="clear" w:color="auto" w:fill="E1DFDD"/>
    </w:rPr>
  </w:style>
  <w:style w:type="character" w:customStyle="1" w:styleId="markedcontent">
    <w:name w:val="markedcontent"/>
    <w:basedOn w:val="DefaultParagraphFont"/>
    <w:rsid w:val="0093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960">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59307619">
      <w:bodyDiv w:val="1"/>
      <w:marLeft w:val="0"/>
      <w:marRight w:val="0"/>
      <w:marTop w:val="0"/>
      <w:marBottom w:val="0"/>
      <w:divBdr>
        <w:top w:val="none" w:sz="0" w:space="0" w:color="auto"/>
        <w:left w:val="none" w:sz="0" w:space="0" w:color="auto"/>
        <w:bottom w:val="none" w:sz="0" w:space="0" w:color="auto"/>
        <w:right w:val="none" w:sz="0" w:space="0" w:color="auto"/>
      </w:divBdr>
    </w:div>
    <w:div w:id="493256522">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15507098">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560484886">
      <w:bodyDiv w:val="1"/>
      <w:marLeft w:val="0"/>
      <w:marRight w:val="0"/>
      <w:marTop w:val="0"/>
      <w:marBottom w:val="0"/>
      <w:divBdr>
        <w:top w:val="none" w:sz="0" w:space="0" w:color="auto"/>
        <w:left w:val="none" w:sz="0" w:space="0" w:color="auto"/>
        <w:bottom w:val="none" w:sz="0" w:space="0" w:color="auto"/>
        <w:right w:val="none" w:sz="0" w:space="0" w:color="auto"/>
      </w:divBdr>
    </w:div>
    <w:div w:id="619727406">
      <w:bodyDiv w:val="1"/>
      <w:marLeft w:val="0"/>
      <w:marRight w:val="0"/>
      <w:marTop w:val="0"/>
      <w:marBottom w:val="0"/>
      <w:divBdr>
        <w:top w:val="none" w:sz="0" w:space="0" w:color="auto"/>
        <w:left w:val="none" w:sz="0" w:space="0" w:color="auto"/>
        <w:bottom w:val="none" w:sz="0" w:space="0" w:color="auto"/>
        <w:right w:val="none" w:sz="0" w:space="0" w:color="auto"/>
      </w:divBdr>
    </w:div>
    <w:div w:id="6337992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94573465">
      <w:bodyDiv w:val="1"/>
      <w:marLeft w:val="0"/>
      <w:marRight w:val="0"/>
      <w:marTop w:val="0"/>
      <w:marBottom w:val="0"/>
      <w:divBdr>
        <w:top w:val="none" w:sz="0" w:space="0" w:color="auto"/>
        <w:left w:val="none" w:sz="0" w:space="0" w:color="auto"/>
        <w:bottom w:val="none" w:sz="0" w:space="0" w:color="auto"/>
        <w:right w:val="none" w:sz="0" w:space="0" w:color="auto"/>
      </w:divBdr>
    </w:div>
    <w:div w:id="728764527">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8095534">
      <w:bodyDiv w:val="1"/>
      <w:marLeft w:val="0"/>
      <w:marRight w:val="0"/>
      <w:marTop w:val="0"/>
      <w:marBottom w:val="0"/>
      <w:divBdr>
        <w:top w:val="none" w:sz="0" w:space="0" w:color="auto"/>
        <w:left w:val="none" w:sz="0" w:space="0" w:color="auto"/>
        <w:bottom w:val="none" w:sz="0" w:space="0" w:color="auto"/>
        <w:right w:val="none" w:sz="0" w:space="0" w:color="auto"/>
      </w:divBdr>
    </w:div>
    <w:div w:id="103003034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9029675">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250519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4198735">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6156614">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95061955">
      <w:bodyDiv w:val="1"/>
      <w:marLeft w:val="0"/>
      <w:marRight w:val="0"/>
      <w:marTop w:val="0"/>
      <w:marBottom w:val="0"/>
      <w:divBdr>
        <w:top w:val="none" w:sz="0" w:space="0" w:color="auto"/>
        <w:left w:val="none" w:sz="0" w:space="0" w:color="auto"/>
        <w:bottom w:val="none" w:sz="0" w:space="0" w:color="auto"/>
        <w:right w:val="none" w:sz="0" w:space="0" w:color="auto"/>
      </w:divBdr>
    </w:div>
    <w:div w:id="21370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lalexandr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Infographic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2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l/SubthemeStatistics?id=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MOFSTATFSRV1\Business%20Statistics\Lalexandrou\Census\2020\WEBSITE\detailed%20tables\AgriCensus2020-tables%20&amp;%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OFSTATFSRV1\Business%20Statistics\Lalexandrou\IFS%202023\WEBSITE\IFS%202023-tables%20&amp;%20figu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el-GR" sz="1100" b="1">
                <a:solidFill>
                  <a:sysClr val="windowText" lastClr="000000"/>
                </a:solidFill>
                <a:latin typeface="Verdana" panose="020B0604030504040204" pitchFamily="34" charset="0"/>
                <a:ea typeface="Verdana" panose="020B0604030504040204" pitchFamily="34" charset="0"/>
              </a:rPr>
              <a:t>Διάγραμμα</a:t>
            </a:r>
            <a:r>
              <a:rPr lang="el-GR" sz="1100" b="1" baseline="0">
                <a:solidFill>
                  <a:sysClr val="windowText" lastClr="000000"/>
                </a:solidFill>
                <a:latin typeface="Verdana" panose="020B0604030504040204" pitchFamily="34" charset="0"/>
                <a:ea typeface="Verdana" panose="020B0604030504040204" pitchFamily="34" charset="0"/>
              </a:rPr>
              <a:t> 1: Ετήσιες Καλλιέργειες, 2020 και 2023</a:t>
            </a:r>
            <a:endParaRPr lang="en-US" sz="1100" b="1">
              <a:solidFill>
                <a:sysClr val="windowText" lastClr="000000"/>
              </a:solidFill>
              <a:latin typeface="Verdana" panose="020B0604030504040204" pitchFamily="34" charset="0"/>
              <a:ea typeface="Verdana" panose="020B0604030504040204" pitchFamily="34" charset="0"/>
            </a:endParaRPr>
          </a:p>
        </c:rich>
      </c:tx>
      <c:layout>
        <c:manualLayout>
          <c:xMode val="edge"/>
          <c:yMode val="edge"/>
          <c:x val="0.18669929772291974"/>
          <c:y val="1.729722809039114E-2"/>
        </c:manualLayout>
      </c:layout>
      <c:overlay val="0"/>
      <c:spPr>
        <a:noFill/>
        <a:ln>
          <a:noFill/>
        </a:ln>
        <a:effectLst/>
      </c:spPr>
      <c:txPr>
        <a:bodyPr rot="0" spcFirstLastPara="1" vertOverflow="ellipsis" vert="horz" wrap="square" anchor="ctr" anchorCtr="1"/>
        <a:lstStyle/>
        <a:p>
          <a:pPr algn="ctr">
            <a:defRPr sz="1100" b="1"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en-US"/>
        </a:p>
      </c:txPr>
    </c:title>
    <c:autoTitleDeleted val="0"/>
    <c:plotArea>
      <c:layout>
        <c:manualLayout>
          <c:layoutTarget val="inner"/>
          <c:xMode val="edge"/>
          <c:yMode val="edge"/>
          <c:x val="7.5917818521599428E-2"/>
          <c:y val="0.17005925805666045"/>
          <c:w val="0.85168544959376458"/>
          <c:h val="0.64589369627765603"/>
        </c:manualLayout>
      </c:layout>
      <c:barChart>
        <c:barDir val="col"/>
        <c:grouping val="clustered"/>
        <c:varyColors val="0"/>
        <c:ser>
          <c:idx val="0"/>
          <c:order val="0"/>
          <c:tx>
            <c:strRef>
              <c:f>'FIG 1'!$B$1</c:f>
              <c:strCache>
                <c:ptCount val="1"/>
                <c:pt idx="0">
                  <c:v>2020</c:v>
                </c:pt>
              </c:strCache>
            </c:strRef>
          </c:tx>
          <c:spPr>
            <a:solidFill>
              <a:srgbClr val="78C0B4"/>
            </a:solidFill>
            <a:ln>
              <a:solidFill>
                <a:schemeClr val="bg1"/>
              </a:solidFill>
            </a:ln>
            <a:effectLst/>
          </c:spPr>
          <c:invertIfNegative val="0"/>
          <c:dPt>
            <c:idx val="0"/>
            <c:invertIfNegative val="0"/>
            <c:bubble3D val="0"/>
            <c:spPr>
              <a:solidFill>
                <a:srgbClr val="78C0B4"/>
              </a:solidFill>
              <a:ln>
                <a:solidFill>
                  <a:schemeClr val="bg1"/>
                </a:solidFill>
              </a:ln>
              <a:effectLst/>
            </c:spPr>
            <c:extLst>
              <c:ext xmlns:c16="http://schemas.microsoft.com/office/drawing/2014/chart" uri="{C3380CC4-5D6E-409C-BE32-E72D297353CC}">
                <c16:uniqueId val="{00000001-4B43-438A-A281-A55C72B1B259}"/>
              </c:ext>
            </c:extLst>
          </c:dPt>
          <c:cat>
            <c:strRef>
              <c:f>'FIG 1'!$A$2:$A$6</c:f>
              <c:strCache>
                <c:ptCount val="5"/>
                <c:pt idx="0">
                  <c:v>Δημητριακά 
για την παραγωγή 
καρπού</c:v>
                </c:pt>
                <c:pt idx="1">
                  <c:v>Φυτά με 
ριζώματα 
ή κονδύλους</c:v>
                </c:pt>
                <c:pt idx="2">
                  <c:v>Νωπά λαχανικά, πεπονοειδή 
και φράουλες</c:v>
                </c:pt>
                <c:pt idx="3">
                  <c:v>Φυτά που συγκομίζονται χλωρά</c:v>
                </c:pt>
                <c:pt idx="4">
                  <c:v>Αγραναπαύσεις</c:v>
                </c:pt>
              </c:strCache>
            </c:strRef>
          </c:cat>
          <c:val>
            <c:numRef>
              <c:f>'FIG 1'!$B$2:$B$6</c:f>
              <c:numCache>
                <c:formatCode>#,##0</c:formatCode>
                <c:ptCount val="5"/>
                <c:pt idx="0">
                  <c:v>278.73289999999997</c:v>
                </c:pt>
                <c:pt idx="1">
                  <c:v>40.3932</c:v>
                </c:pt>
                <c:pt idx="2">
                  <c:v>28.646799999999999</c:v>
                </c:pt>
                <c:pt idx="3">
                  <c:v>518.65819999999997</c:v>
                </c:pt>
                <c:pt idx="4">
                  <c:v>140.92129</c:v>
                </c:pt>
              </c:numCache>
            </c:numRef>
          </c:val>
          <c:extLst>
            <c:ext xmlns:c16="http://schemas.microsoft.com/office/drawing/2014/chart" uri="{C3380CC4-5D6E-409C-BE32-E72D297353CC}">
              <c16:uniqueId val="{00000002-4B43-438A-A281-A55C72B1B259}"/>
            </c:ext>
          </c:extLst>
        </c:ser>
        <c:ser>
          <c:idx val="1"/>
          <c:order val="1"/>
          <c:tx>
            <c:strRef>
              <c:f>'FIG 1'!$C$1</c:f>
              <c:strCache>
                <c:ptCount val="1"/>
                <c:pt idx="0">
                  <c:v>2023</c:v>
                </c:pt>
              </c:strCache>
            </c:strRef>
          </c:tx>
          <c:spPr>
            <a:solidFill>
              <a:srgbClr val="EF746A"/>
            </a:solidFill>
            <a:ln>
              <a:solidFill>
                <a:schemeClr val="bg1"/>
              </a:solidFill>
            </a:ln>
            <a:effectLst/>
          </c:spPr>
          <c:invertIfNegative val="0"/>
          <c:cat>
            <c:strRef>
              <c:f>'FIG 1'!$A$2:$A$6</c:f>
              <c:strCache>
                <c:ptCount val="5"/>
                <c:pt idx="0">
                  <c:v>Δημητριακά 
για την παραγωγή 
καρπού</c:v>
                </c:pt>
                <c:pt idx="1">
                  <c:v>Φυτά με 
ριζώματα 
ή κονδύλους</c:v>
                </c:pt>
                <c:pt idx="2">
                  <c:v>Νωπά λαχανικά, πεπονοειδή 
και φράουλες</c:v>
                </c:pt>
                <c:pt idx="3">
                  <c:v>Φυτά που συγκομίζονται χλωρά</c:v>
                </c:pt>
                <c:pt idx="4">
                  <c:v>Αγραναπαύσεις</c:v>
                </c:pt>
              </c:strCache>
            </c:strRef>
          </c:cat>
          <c:val>
            <c:numRef>
              <c:f>'FIG 1'!$C$2:$C$6</c:f>
              <c:numCache>
                <c:formatCode>#,##0</c:formatCode>
                <c:ptCount val="5"/>
                <c:pt idx="0">
                  <c:v>247.25299999999999</c:v>
                </c:pt>
                <c:pt idx="1">
                  <c:v>32.35</c:v>
                </c:pt>
                <c:pt idx="2">
                  <c:v>24.591999999999999</c:v>
                </c:pt>
                <c:pt idx="3">
                  <c:v>567.05100000000004</c:v>
                </c:pt>
                <c:pt idx="4">
                  <c:v>100.89700000000001</c:v>
                </c:pt>
              </c:numCache>
            </c:numRef>
          </c:val>
          <c:extLst>
            <c:ext xmlns:c16="http://schemas.microsoft.com/office/drawing/2014/chart" uri="{C3380CC4-5D6E-409C-BE32-E72D297353CC}">
              <c16:uniqueId val="{00000003-4B43-438A-A281-A55C72B1B259}"/>
            </c:ext>
          </c:extLst>
        </c:ser>
        <c:dLbls>
          <c:showLegendKey val="0"/>
          <c:showVal val="0"/>
          <c:showCatName val="0"/>
          <c:showSerName val="0"/>
          <c:showPercent val="0"/>
          <c:showBubbleSize val="0"/>
        </c:dLbls>
        <c:gapWidth val="55"/>
        <c:axId val="1870145375"/>
        <c:axId val="1870141055"/>
      </c:barChart>
      <c:catAx>
        <c:axId val="187014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870141055"/>
        <c:crosses val="autoZero"/>
        <c:auto val="1"/>
        <c:lblAlgn val="ctr"/>
        <c:lblOffset val="100"/>
        <c:noMultiLvlLbl val="0"/>
      </c:catAx>
      <c:valAx>
        <c:axId val="1870141055"/>
        <c:scaling>
          <c:orientation val="minMax"/>
          <c:max val="600"/>
          <c:min val="0"/>
        </c:scaling>
        <c:delete val="0"/>
        <c:axPos val="l"/>
        <c:majorGridlines>
          <c:spPr>
            <a:ln w="9525" cap="flat" cmpd="sng" algn="ctr">
              <a:solidFill>
                <a:schemeClr val="bg1">
                  <a:lumMod val="85000"/>
                </a:schemeClr>
              </a:solidFill>
              <a:round/>
            </a:ln>
            <a:effectLst/>
          </c:spPr>
        </c:majorGridlines>
        <c:title>
          <c:tx>
            <c:rich>
              <a:bodyPr rot="0" spcFirstLastPara="1" vertOverflow="ellipsis"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en-US" sz="900" b="1">
                    <a:solidFill>
                      <a:sysClr val="windowText" lastClr="000000"/>
                    </a:solidFill>
                    <a:latin typeface="Verdana" panose="020B0604030504040204" pitchFamily="34" charset="0"/>
                    <a:ea typeface="Verdana" panose="020B0604030504040204" pitchFamily="34" charset="0"/>
                  </a:rPr>
                  <a:t>000</a:t>
                </a:r>
                <a:r>
                  <a:rPr lang="el-GR" sz="900" b="1">
                    <a:solidFill>
                      <a:sysClr val="windowText" lastClr="000000"/>
                    </a:solidFill>
                    <a:latin typeface="Verdana" panose="020B0604030504040204" pitchFamily="34" charset="0"/>
                    <a:ea typeface="Verdana" panose="020B0604030504040204" pitchFamily="34" charset="0"/>
                  </a:rPr>
                  <a:t>'ς </a:t>
                </a:r>
                <a:r>
                  <a:rPr lang="el-GR" sz="900" b="1" i="0" u="none" strike="noStrike" kern="1200" baseline="0">
                    <a:solidFill>
                      <a:sysClr val="windowText" lastClr="000000"/>
                    </a:solidFill>
                    <a:latin typeface="Verdana" panose="020B0604030504040204" pitchFamily="34" charset="0"/>
                    <a:ea typeface="Verdana" panose="020B0604030504040204" pitchFamily="34" charset="0"/>
                  </a:rPr>
                  <a:t>δεκάρια</a:t>
                </a:r>
                <a:endParaRPr lang="el-GR" sz="900" b="1">
                  <a:solidFill>
                    <a:sysClr val="windowText" lastClr="000000"/>
                  </a:solidFill>
                  <a:latin typeface="Verdana" panose="020B0604030504040204" pitchFamily="34" charset="0"/>
                  <a:ea typeface="Verdana" panose="020B0604030504040204" pitchFamily="34" charset="0"/>
                </a:endParaRPr>
              </a:p>
            </c:rich>
          </c:tx>
          <c:layout>
            <c:manualLayout>
              <c:xMode val="edge"/>
              <c:yMode val="edge"/>
              <c:x val="1.0647473753280838E-2"/>
              <c:y val="8.0983355341451888E-2"/>
            </c:manualLayout>
          </c:layout>
          <c:overlay val="0"/>
          <c:spPr>
            <a:noFill/>
            <a:ln>
              <a:noFill/>
            </a:ln>
            <a:effectLst/>
          </c:spPr>
          <c:txPr>
            <a:bodyPr rot="0" spcFirstLastPara="1" vertOverflow="ellipsis"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l-G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870145375"/>
        <c:crosses val="autoZero"/>
        <c:crossBetween val="between"/>
        <c:majorUnit val="100"/>
        <c:minorUnit val="50"/>
      </c:valAx>
      <c:spPr>
        <a:noFill/>
        <a:ln>
          <a:noFill/>
        </a:ln>
        <a:effectLst/>
      </c:spPr>
    </c:plotArea>
    <c:legend>
      <c:legendPos val="r"/>
      <c:layout>
        <c:manualLayout>
          <c:xMode val="edge"/>
          <c:yMode val="edge"/>
          <c:x val="0.91833105724599629"/>
          <c:y val="0.38102515536073445"/>
          <c:w val="8.1668942754003701E-2"/>
          <c:h val="0.13938344663438806"/>
        </c:manualLayout>
      </c:layout>
      <c:overlay val="0"/>
      <c:spPr>
        <a:noFill/>
        <a:ln>
          <a:solidFill>
            <a:schemeClr val="bg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legend>
    <c:plotVisOnly val="1"/>
    <c:dispBlanksAs val="gap"/>
    <c:showDLblsOverMax val="0"/>
  </c:chart>
  <c:spPr>
    <a:solidFill>
      <a:schemeClr val="bg1"/>
    </a:solidFill>
    <a:ln w="9525" cap="flat" cmpd="sng" algn="ctr">
      <a:solidFill>
        <a:srgbClr val="558ED5">
          <a:alpha val="50196"/>
        </a:srgbClr>
      </a:solidFill>
      <a:round/>
    </a:ln>
    <a:effectLst/>
  </c:spPr>
  <c:txPr>
    <a:bodyPr/>
    <a:lstStyle/>
    <a:p>
      <a:pPr>
        <a:defRPr/>
      </a:pPr>
      <a:endParaRPr lang="en-C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ysClr val="windowText" lastClr="000000"/>
                </a:solidFill>
                <a:latin typeface="+mn-lt"/>
                <a:ea typeface="+mn-ea"/>
                <a:cs typeface="+mn-cs"/>
              </a:defRPr>
            </a:pPr>
            <a:r>
              <a:rPr lang="el-GR" sz="1100" b="1">
                <a:solidFill>
                  <a:sysClr val="windowText" lastClr="000000"/>
                </a:solidFill>
                <a:latin typeface="Verdana" panose="020B0604030504040204" pitchFamily="34" charset="0"/>
                <a:ea typeface="Verdana" panose="020B0604030504040204" pitchFamily="34" charset="0"/>
              </a:rPr>
              <a:t>Διάγραμμα</a:t>
            </a:r>
            <a:r>
              <a:rPr lang="el-GR" sz="1100" b="1" baseline="0">
                <a:solidFill>
                  <a:sysClr val="windowText" lastClr="000000"/>
                </a:solidFill>
                <a:latin typeface="Verdana" panose="020B0604030504040204" pitchFamily="34" charset="0"/>
                <a:ea typeface="Verdana" panose="020B0604030504040204" pitchFamily="34" charset="0"/>
              </a:rPr>
              <a:t> 2: Μόνιμες Καλλιέργειες, 2020 και 2023</a:t>
            </a:r>
            <a:endParaRPr lang="en-US" sz="1100" b="1">
              <a:solidFill>
                <a:sysClr val="windowText" lastClr="000000"/>
              </a:solidFill>
              <a:latin typeface="Verdana" panose="020B0604030504040204" pitchFamily="34" charset="0"/>
              <a:ea typeface="Verdana" panose="020B0604030504040204" pitchFamily="34" charset="0"/>
            </a:endParaRPr>
          </a:p>
        </c:rich>
      </c:tx>
      <c:layout>
        <c:manualLayout>
          <c:xMode val="edge"/>
          <c:yMode val="edge"/>
          <c:x val="0.16586600489927902"/>
          <c:y val="1.2585816601584672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8983443074711784E-2"/>
          <c:y val="0.16547752669127738"/>
          <c:w val="0.61448565321955417"/>
          <c:h val="0.66850362854071144"/>
        </c:manualLayout>
      </c:layout>
      <c:barChart>
        <c:barDir val="bar"/>
        <c:grouping val="stacked"/>
        <c:varyColors val="0"/>
        <c:ser>
          <c:idx val="1"/>
          <c:order val="1"/>
          <c:tx>
            <c:strRef>
              <c:f>'FIG 2'!$A$2</c:f>
              <c:strCache>
                <c:ptCount val="1"/>
                <c:pt idx="0">
                  <c:v>Ελαιώνες</c:v>
                </c:pt>
              </c:strCache>
            </c:strRef>
          </c:tx>
          <c:spPr>
            <a:solidFill>
              <a:srgbClr val="878A8F"/>
            </a:solidFill>
            <a:ln w="3175">
              <a:noFill/>
            </a:ln>
            <a:effectLst/>
          </c:spPr>
          <c:invertIfNegative val="0"/>
          <c:dPt>
            <c:idx val="0"/>
            <c:invertIfNegative val="0"/>
            <c:bubble3D val="0"/>
            <c:spPr>
              <a:solidFill>
                <a:srgbClr val="878A8F"/>
              </a:solidFill>
              <a:ln w="3175">
                <a:noFill/>
              </a:ln>
              <a:effectLst/>
            </c:spPr>
            <c:extLst>
              <c:ext xmlns:c16="http://schemas.microsoft.com/office/drawing/2014/chart" uri="{C3380CC4-5D6E-409C-BE32-E72D297353CC}">
                <c16:uniqueId val="{00000001-C77D-4A93-AE52-06A2C63657C4}"/>
              </c:ext>
            </c:extLst>
          </c:dPt>
          <c:cat>
            <c:numRef>
              <c:f>'FIG 2'!$B$1:$C$1</c:f>
              <c:numCache>
                <c:formatCode>General</c:formatCode>
                <c:ptCount val="2"/>
                <c:pt idx="0">
                  <c:v>2020</c:v>
                </c:pt>
                <c:pt idx="1">
                  <c:v>2023</c:v>
                </c:pt>
              </c:numCache>
            </c:numRef>
          </c:cat>
          <c:val>
            <c:numRef>
              <c:f>'FIG 2'!$B$2:$C$2</c:f>
              <c:numCache>
                <c:formatCode>#,##0</c:formatCode>
                <c:ptCount val="2"/>
                <c:pt idx="0">
                  <c:v>120.6856999999999</c:v>
                </c:pt>
                <c:pt idx="1">
                  <c:v>119.038</c:v>
                </c:pt>
              </c:numCache>
            </c:numRef>
          </c:val>
          <c:extLst>
            <c:ext xmlns:c16="http://schemas.microsoft.com/office/drawing/2014/chart" uri="{C3380CC4-5D6E-409C-BE32-E72D297353CC}">
              <c16:uniqueId val="{00000002-C77D-4A93-AE52-06A2C63657C4}"/>
            </c:ext>
          </c:extLst>
        </c:ser>
        <c:ser>
          <c:idx val="2"/>
          <c:order val="2"/>
          <c:tx>
            <c:strRef>
              <c:f>'FIG 2'!$A$3</c:f>
              <c:strCache>
                <c:ptCount val="1"/>
                <c:pt idx="0">
                  <c:v>Φρούτα εύκρατων και υποτροπικών κλιμάτων
   </c:v>
                </c:pt>
              </c:strCache>
            </c:strRef>
          </c:tx>
          <c:spPr>
            <a:solidFill>
              <a:srgbClr val="F8AB33"/>
            </a:solidFill>
            <a:ln w="3175">
              <a:noFill/>
            </a:ln>
            <a:effectLst/>
          </c:spPr>
          <c:invertIfNegative val="0"/>
          <c:cat>
            <c:numRef>
              <c:f>'FIG 2'!$B$1:$C$1</c:f>
              <c:numCache>
                <c:formatCode>General</c:formatCode>
                <c:ptCount val="2"/>
                <c:pt idx="0">
                  <c:v>2020</c:v>
                </c:pt>
                <c:pt idx="1">
                  <c:v>2023</c:v>
                </c:pt>
              </c:numCache>
            </c:numRef>
          </c:cat>
          <c:val>
            <c:numRef>
              <c:f>'FIG 2'!$B$3:$C$3</c:f>
              <c:numCache>
                <c:formatCode>#,##0</c:formatCode>
                <c:ptCount val="2"/>
                <c:pt idx="0">
                  <c:v>34.187699999999865</c:v>
                </c:pt>
                <c:pt idx="1">
                  <c:v>15.013999999999999</c:v>
                </c:pt>
              </c:numCache>
            </c:numRef>
          </c:val>
          <c:extLst>
            <c:ext xmlns:c16="http://schemas.microsoft.com/office/drawing/2014/chart" uri="{C3380CC4-5D6E-409C-BE32-E72D297353CC}">
              <c16:uniqueId val="{00000003-C77D-4A93-AE52-06A2C63657C4}"/>
            </c:ext>
          </c:extLst>
        </c:ser>
        <c:ser>
          <c:idx val="3"/>
          <c:order val="3"/>
          <c:tx>
            <c:strRef>
              <c:f>'FIG 2'!$A$4</c:f>
              <c:strCache>
                <c:ptCount val="1"/>
                <c:pt idx="0">
                  <c:v>Δέντρα για καρπούς
με κέλυφος</c:v>
                </c:pt>
              </c:strCache>
            </c:strRef>
          </c:tx>
          <c:spPr>
            <a:solidFill>
              <a:srgbClr val="BA6650"/>
            </a:solidFill>
            <a:ln w="3175">
              <a:noFill/>
            </a:ln>
            <a:effectLst/>
          </c:spPr>
          <c:invertIfNegative val="0"/>
          <c:cat>
            <c:numRef>
              <c:f>'FIG 2'!$B$1:$C$1</c:f>
              <c:numCache>
                <c:formatCode>General</c:formatCode>
                <c:ptCount val="2"/>
                <c:pt idx="0">
                  <c:v>2020</c:v>
                </c:pt>
                <c:pt idx="1">
                  <c:v>2023</c:v>
                </c:pt>
              </c:numCache>
            </c:numRef>
          </c:cat>
          <c:val>
            <c:numRef>
              <c:f>'FIG 2'!$B$4:$C$4</c:f>
              <c:numCache>
                <c:formatCode>#,##0</c:formatCode>
                <c:ptCount val="2"/>
                <c:pt idx="0">
                  <c:v>24.461000000000094</c:v>
                </c:pt>
                <c:pt idx="1">
                  <c:v>22.050999999999998</c:v>
                </c:pt>
              </c:numCache>
            </c:numRef>
          </c:val>
          <c:extLst>
            <c:ext xmlns:c16="http://schemas.microsoft.com/office/drawing/2014/chart" uri="{C3380CC4-5D6E-409C-BE32-E72D297353CC}">
              <c16:uniqueId val="{00000004-C77D-4A93-AE52-06A2C63657C4}"/>
            </c:ext>
          </c:extLst>
        </c:ser>
        <c:ser>
          <c:idx val="4"/>
          <c:order val="4"/>
          <c:tx>
            <c:strRef>
              <c:f>'FIG 2'!$A$5</c:f>
              <c:strCache>
                <c:ptCount val="1"/>
                <c:pt idx="0">
                  <c:v>Εσπεριδοειδή</c:v>
                </c:pt>
              </c:strCache>
            </c:strRef>
          </c:tx>
          <c:spPr>
            <a:solidFill>
              <a:srgbClr val="FF6600"/>
            </a:solidFill>
            <a:ln w="3175">
              <a:noFill/>
            </a:ln>
            <a:effectLst/>
          </c:spPr>
          <c:invertIfNegative val="0"/>
          <c:cat>
            <c:numRef>
              <c:f>'FIG 2'!$B$1:$C$1</c:f>
              <c:numCache>
                <c:formatCode>General</c:formatCode>
                <c:ptCount val="2"/>
                <c:pt idx="0">
                  <c:v>2020</c:v>
                </c:pt>
                <c:pt idx="1">
                  <c:v>2023</c:v>
                </c:pt>
              </c:numCache>
            </c:numRef>
          </c:cat>
          <c:val>
            <c:numRef>
              <c:f>'FIG 2'!$B$5:$C$5</c:f>
              <c:numCache>
                <c:formatCode>#,##0</c:formatCode>
                <c:ptCount val="2"/>
                <c:pt idx="0">
                  <c:v>34.230000000000011</c:v>
                </c:pt>
                <c:pt idx="1">
                  <c:v>34.265000000000001</c:v>
                </c:pt>
              </c:numCache>
            </c:numRef>
          </c:val>
          <c:extLst>
            <c:ext xmlns:c16="http://schemas.microsoft.com/office/drawing/2014/chart" uri="{C3380CC4-5D6E-409C-BE32-E72D297353CC}">
              <c16:uniqueId val="{00000005-C77D-4A93-AE52-06A2C63657C4}"/>
            </c:ext>
          </c:extLst>
        </c:ser>
        <c:ser>
          <c:idx val="5"/>
          <c:order val="5"/>
          <c:tx>
            <c:strRef>
              <c:f>'FIG 2'!$A$6</c:f>
              <c:strCache>
                <c:ptCount val="1"/>
                <c:pt idx="0">
                  <c:v>Αμπέλια</c:v>
                </c:pt>
              </c:strCache>
            </c:strRef>
          </c:tx>
          <c:spPr>
            <a:solidFill>
              <a:srgbClr val="4E63A8"/>
            </a:solidFill>
            <a:ln w="3175">
              <a:noFill/>
            </a:ln>
            <a:effectLst/>
          </c:spPr>
          <c:invertIfNegative val="0"/>
          <c:cat>
            <c:numRef>
              <c:f>'FIG 2'!$B$1:$C$1</c:f>
              <c:numCache>
                <c:formatCode>General</c:formatCode>
                <c:ptCount val="2"/>
                <c:pt idx="0">
                  <c:v>2020</c:v>
                </c:pt>
                <c:pt idx="1">
                  <c:v>2023</c:v>
                </c:pt>
              </c:numCache>
            </c:numRef>
          </c:cat>
          <c:val>
            <c:numRef>
              <c:f>'FIG 2'!$B$6:$C$6</c:f>
              <c:numCache>
                <c:formatCode>#,##0</c:formatCode>
                <c:ptCount val="2"/>
                <c:pt idx="0">
                  <c:v>65.996700000000018</c:v>
                </c:pt>
                <c:pt idx="1">
                  <c:v>63.725000000000001</c:v>
                </c:pt>
              </c:numCache>
            </c:numRef>
          </c:val>
          <c:extLst>
            <c:ext xmlns:c16="http://schemas.microsoft.com/office/drawing/2014/chart" uri="{C3380CC4-5D6E-409C-BE32-E72D297353CC}">
              <c16:uniqueId val="{00000006-C77D-4A93-AE52-06A2C63657C4}"/>
            </c:ext>
          </c:extLst>
        </c:ser>
        <c:dLbls>
          <c:showLegendKey val="0"/>
          <c:showVal val="0"/>
          <c:showCatName val="0"/>
          <c:showSerName val="0"/>
          <c:showPercent val="0"/>
          <c:showBubbleSize val="0"/>
        </c:dLbls>
        <c:gapWidth val="144"/>
        <c:overlap val="100"/>
        <c:axId val="1870145375"/>
        <c:axId val="1870141055"/>
        <c:extLst>
          <c:ext xmlns:c15="http://schemas.microsoft.com/office/drawing/2012/chart" uri="{02D57815-91ED-43cb-92C2-25804820EDAC}">
            <c15:filteredBarSeries>
              <c15:ser>
                <c:idx val="0"/>
                <c:order val="0"/>
                <c:tx>
                  <c:strRef>
                    <c:extLst>
                      <c:ext uri="{02D57815-91ED-43cb-92C2-25804820EDAC}">
                        <c15:formulaRef>
                          <c15:sqref>'FIG 2'!$A$1</c15:sqref>
                        </c15:formulaRef>
                      </c:ext>
                    </c:extLst>
                    <c:strCache>
                      <c:ptCount val="1"/>
                      <c:pt idx="0">
                        <c:v>ΕΙΔΟΣ ΚΑΛΛΙΕΡΓΕΙΑΣ</c:v>
                      </c:pt>
                    </c:strCache>
                  </c:strRef>
                </c:tx>
                <c:spPr>
                  <a:solidFill>
                    <a:schemeClr val="accent1"/>
                  </a:solidFill>
                  <a:ln>
                    <a:noFill/>
                  </a:ln>
                  <a:effectLst/>
                </c:spPr>
                <c:invertIfNegative val="0"/>
                <c:cat>
                  <c:numRef>
                    <c:extLst>
                      <c:ext uri="{02D57815-91ED-43cb-92C2-25804820EDAC}">
                        <c15:formulaRef>
                          <c15:sqref>'FIG 2'!$B$1:$C$1</c15:sqref>
                        </c15:formulaRef>
                      </c:ext>
                    </c:extLst>
                    <c:numCache>
                      <c:formatCode>General</c:formatCode>
                      <c:ptCount val="2"/>
                      <c:pt idx="0">
                        <c:v>2020</c:v>
                      </c:pt>
                      <c:pt idx="1">
                        <c:v>2023</c:v>
                      </c:pt>
                    </c:numCache>
                  </c:numRef>
                </c:cat>
                <c:val>
                  <c:numRef>
                    <c:extLst>
                      <c:ext uri="{02D57815-91ED-43cb-92C2-25804820EDAC}">
                        <c15:formulaRef>
                          <c15:sqref>'FIG 2'!$B$1:$C$1</c15:sqref>
                        </c15:formulaRef>
                      </c:ext>
                    </c:extLst>
                    <c:numCache>
                      <c:formatCode>General</c:formatCode>
                      <c:ptCount val="2"/>
                      <c:pt idx="0">
                        <c:v>2020</c:v>
                      </c:pt>
                      <c:pt idx="1">
                        <c:v>2023</c:v>
                      </c:pt>
                    </c:numCache>
                  </c:numRef>
                </c:val>
                <c:extLst>
                  <c:ext xmlns:c16="http://schemas.microsoft.com/office/drawing/2014/chart" uri="{C3380CC4-5D6E-409C-BE32-E72D297353CC}">
                    <c16:uniqueId val="{00000007-C77D-4A93-AE52-06A2C63657C4}"/>
                  </c:ext>
                </c:extLst>
              </c15:ser>
            </c15:filteredBarSeries>
          </c:ext>
        </c:extLst>
      </c:barChart>
      <c:catAx>
        <c:axId val="1870145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870141055"/>
        <c:crossesAt val="0"/>
        <c:auto val="0"/>
        <c:lblAlgn val="ctr"/>
        <c:lblOffset val="30"/>
        <c:noMultiLvlLbl val="0"/>
      </c:catAx>
      <c:valAx>
        <c:axId val="1870141055"/>
        <c:scaling>
          <c:orientation val="minMax"/>
          <c:max val="300"/>
          <c:min val="0"/>
        </c:scaling>
        <c:delete val="0"/>
        <c:axPos val="b"/>
        <c:majorGridlines>
          <c:spPr>
            <a:ln w="9525" cap="flat" cmpd="sng" algn="ctr">
              <a:solidFill>
                <a:schemeClr val="bg1">
                  <a:lumMod val="85000"/>
                </a:schemeClr>
              </a:solidFill>
              <a:round/>
            </a:ln>
            <a:effectLst/>
          </c:spPr>
        </c:majorGridlines>
        <c:title>
          <c:tx>
            <c:rich>
              <a:bodyPr rot="0" spcFirstLastPara="1" vertOverflow="ellipsis" vert="horz" wrap="square" anchor="t" anchorCtr="0"/>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el-GR" sz="900" b="1">
                    <a:solidFill>
                      <a:sysClr val="windowText" lastClr="000000"/>
                    </a:solidFill>
                    <a:latin typeface="Verdana" panose="020B0604030504040204" pitchFamily="34" charset="0"/>
                    <a:ea typeface="Verdana" panose="020B0604030504040204" pitchFamily="34" charset="0"/>
                  </a:rPr>
                  <a:t>000'ς δεκάρια</a:t>
                </a:r>
              </a:p>
            </c:rich>
          </c:tx>
          <c:layout>
            <c:manualLayout>
              <c:xMode val="edge"/>
              <c:yMode val="edge"/>
              <c:x val="0.33042557913805437"/>
              <c:y val="0.92144122179543209"/>
            </c:manualLayout>
          </c:layout>
          <c:overlay val="0"/>
          <c:spPr>
            <a:noFill/>
            <a:ln>
              <a:noFill/>
            </a:ln>
            <a:effectLst/>
          </c:spPr>
          <c:txPr>
            <a:bodyPr rot="0" spcFirstLastPara="1" vertOverflow="ellipsis" vert="horz" wrap="square" anchor="t" anchorCtr="0"/>
            <a:lstStyle/>
            <a:p>
              <a:pPr>
                <a:defRPr sz="900" b="1"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870145375"/>
        <c:crosses val="autoZero"/>
        <c:crossBetween val="between"/>
        <c:majorUnit val="50"/>
      </c:valAx>
      <c:spPr>
        <a:noFill/>
        <a:ln>
          <a:noFill/>
        </a:ln>
        <a:effectLst/>
      </c:spPr>
    </c:plotArea>
    <c:legend>
      <c:legendPos val="r"/>
      <c:layout>
        <c:manualLayout>
          <c:xMode val="edge"/>
          <c:yMode val="edge"/>
          <c:x val="0.72092934332593206"/>
          <c:y val="0.1668298618131841"/>
          <c:w val="0.26651178490245614"/>
          <c:h val="0.7667664454753822"/>
        </c:manualLayout>
      </c:layout>
      <c:overlay val="0"/>
      <c:spPr>
        <a:noFill/>
        <a:ln>
          <a:solidFill>
            <a:schemeClr val="bg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legend>
    <c:plotVisOnly val="1"/>
    <c:dispBlanksAs val="gap"/>
    <c:showDLblsOverMax val="0"/>
  </c:chart>
  <c:spPr>
    <a:solidFill>
      <a:schemeClr val="bg1"/>
    </a:solidFill>
    <a:ln w="9525" cap="flat" cmpd="sng" algn="ctr">
      <a:solidFill>
        <a:srgbClr val="558ED5">
          <a:alpha val="50196"/>
        </a:srgbClr>
      </a:solidFill>
      <a:round/>
    </a:ln>
    <a:effectLst/>
  </c:spPr>
  <c:txPr>
    <a:bodyPr/>
    <a:lstStyle/>
    <a:p>
      <a:pPr>
        <a:defRPr/>
      </a:pPr>
      <a:endParaRPr lang="en-C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B7CA-8BC4-414C-8101-37D3AAA2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6</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20732</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26</cp:revision>
  <cp:lastPrinted>2025-10-06T08:10:00Z</cp:lastPrinted>
  <dcterms:created xsi:type="dcterms:W3CDTF">2025-10-29T10:58:00Z</dcterms:created>
  <dcterms:modified xsi:type="dcterms:W3CDTF">2025-12-09T08:56:00Z</dcterms:modified>
</cp:coreProperties>
</file>