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5D16" w14:textId="459C1D04" w:rsidR="000D572B" w:rsidRPr="000D572B" w:rsidRDefault="00C829BA" w:rsidP="00D3245D">
      <w:pPr>
        <w:jc w:val="right"/>
        <w:rPr>
          <w:rFonts w:ascii="Verdana" w:hAnsi="Verdana" w:cs="Arial"/>
          <w:sz w:val="18"/>
          <w:szCs w:val="18"/>
          <w:lang w:val="el-GR"/>
        </w:rPr>
      </w:pPr>
      <w:r>
        <w:rPr>
          <w:rFonts w:ascii="Verdana" w:hAnsi="Verdana" w:cs="Arial"/>
          <w:sz w:val="18"/>
          <w:szCs w:val="18"/>
          <w:lang w:val="el-GR"/>
        </w:rPr>
        <w:t>2</w:t>
      </w:r>
      <w:r w:rsidR="00E16CEF" w:rsidRPr="00CB2498">
        <w:rPr>
          <w:rFonts w:ascii="Verdana" w:hAnsi="Verdana" w:cs="Arial"/>
          <w:sz w:val="18"/>
          <w:szCs w:val="18"/>
          <w:lang w:val="el-GR"/>
        </w:rPr>
        <w:t>9</w:t>
      </w:r>
      <w:r w:rsidR="000D572B" w:rsidRPr="000D572B">
        <w:rPr>
          <w:rFonts w:ascii="Verdana" w:hAnsi="Verdana" w:cs="Arial"/>
          <w:sz w:val="18"/>
          <w:szCs w:val="18"/>
          <w:lang w:val="el-GR"/>
        </w:rPr>
        <w:t xml:space="preserve"> </w:t>
      </w:r>
      <w:r w:rsidR="00E16CEF">
        <w:rPr>
          <w:rFonts w:ascii="Verdana" w:hAnsi="Verdana" w:cs="Arial"/>
          <w:sz w:val="18"/>
          <w:szCs w:val="18"/>
          <w:lang w:val="el-GR"/>
        </w:rPr>
        <w:t>Οκτωβρίου</w:t>
      </w:r>
      <w:r w:rsidR="000D572B" w:rsidRPr="000D572B">
        <w:rPr>
          <w:rFonts w:ascii="Verdana" w:hAnsi="Verdana" w:cs="Arial"/>
          <w:sz w:val="18"/>
          <w:szCs w:val="18"/>
          <w:lang w:val="el-GR"/>
        </w:rPr>
        <w:t>, 202</w:t>
      </w:r>
      <w:r w:rsidR="00E16CEF">
        <w:rPr>
          <w:rFonts w:ascii="Verdana" w:hAnsi="Verdana" w:cs="Arial"/>
          <w:sz w:val="18"/>
          <w:szCs w:val="18"/>
          <w:lang w:val="el-GR"/>
        </w:rPr>
        <w:t>4</w:t>
      </w:r>
    </w:p>
    <w:p w14:paraId="0013940E" w14:textId="77777777" w:rsidR="002131E5" w:rsidRPr="000D572B" w:rsidRDefault="002131E5" w:rsidP="00D3245D">
      <w:pPr>
        <w:jc w:val="both"/>
        <w:rPr>
          <w:rFonts w:ascii="Verdana" w:hAnsi="Verdana" w:cs="Arial"/>
          <w:sz w:val="18"/>
          <w:szCs w:val="18"/>
          <w:lang w:val="el-GR"/>
        </w:rPr>
      </w:pPr>
    </w:p>
    <w:p w14:paraId="52A0584C" w14:textId="77777777" w:rsidR="000D572B" w:rsidRDefault="000D572B" w:rsidP="00D3245D">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0D403C4" w14:textId="77777777" w:rsidR="00D3245D" w:rsidRPr="00FF3BC5" w:rsidRDefault="00D3245D" w:rsidP="00575133">
      <w:pPr>
        <w:jc w:val="center"/>
        <w:rPr>
          <w:rFonts w:ascii="Verdana" w:hAnsi="Verdana" w:cs="Arial"/>
          <w:sz w:val="18"/>
          <w:szCs w:val="18"/>
          <w:lang w:val="el-GR"/>
        </w:rPr>
      </w:pPr>
    </w:p>
    <w:p w14:paraId="746A135C" w14:textId="566CF9E9" w:rsidR="000D572B" w:rsidRPr="00E16CEF" w:rsidRDefault="00C8734D" w:rsidP="00FF3BC5">
      <w:pPr>
        <w:rPr>
          <w:rFonts w:ascii="Verdana" w:hAnsi="Verdana" w:cs="Arial"/>
          <w:u w:val="single"/>
          <w:lang w:val="el-GR"/>
        </w:rPr>
      </w:pPr>
      <w:r w:rsidRPr="00FF3BC5">
        <w:rPr>
          <w:rFonts w:ascii="Verdana" w:hAnsi="Verdana" w:cs="Arial"/>
          <w:u w:val="single"/>
          <w:lang w:val="el-GR"/>
        </w:rPr>
        <w:t>ΕΤΗΣΙΟΙ</w:t>
      </w:r>
      <w:r w:rsidR="00B90040" w:rsidRPr="00FF3BC5">
        <w:rPr>
          <w:rFonts w:ascii="Verdana" w:hAnsi="Verdana" w:cs="Arial"/>
          <w:u w:val="single"/>
          <w:lang w:val="el-GR"/>
        </w:rPr>
        <w:t xml:space="preserve"> </w:t>
      </w:r>
      <w:r w:rsidR="00575133" w:rsidRPr="00FF3BC5">
        <w:rPr>
          <w:rFonts w:ascii="Verdana" w:hAnsi="Verdana" w:cs="Arial"/>
          <w:u w:val="single"/>
          <w:lang w:val="el-GR"/>
        </w:rPr>
        <w:t>ΧΡΗΜΑΤΟΟΙΚΟΝΟΜΙΚΟΙ ΛΟΓΑΡΙΑΣΜΟΙ</w:t>
      </w:r>
      <w:r w:rsidR="00260D1B">
        <w:rPr>
          <w:rFonts w:ascii="Verdana" w:hAnsi="Verdana" w:cs="Arial"/>
          <w:u w:val="single"/>
          <w:lang w:val="el-GR"/>
        </w:rPr>
        <w:t xml:space="preserve"> (ΙΣΟΛΟΓΙΣΜΟΙ)</w:t>
      </w:r>
      <w:r w:rsidR="003629AB" w:rsidRPr="00FF3BC5">
        <w:rPr>
          <w:rFonts w:ascii="Verdana" w:hAnsi="Verdana" w:cs="Arial"/>
          <w:u w:val="single"/>
          <w:lang w:val="el-GR"/>
        </w:rPr>
        <w:t xml:space="preserve"> ΚΑΤΑ ΘΕΣΜΙΚΟ ΤΟΜΕΑ</w:t>
      </w:r>
      <w:r w:rsidR="00FF3BC5">
        <w:rPr>
          <w:rFonts w:ascii="Verdana" w:hAnsi="Verdana" w:cs="Arial"/>
          <w:u w:val="single"/>
          <w:lang w:val="el-GR"/>
        </w:rPr>
        <w:t xml:space="preserve">: </w:t>
      </w:r>
      <w:r w:rsidR="00FF3BC5" w:rsidRPr="00FF3BC5">
        <w:rPr>
          <w:rFonts w:ascii="Verdana" w:hAnsi="Verdana" w:cs="Arial"/>
          <w:b/>
          <w:bCs/>
          <w:u w:val="single"/>
          <w:lang w:val="el-GR"/>
        </w:rPr>
        <w:t>202</w:t>
      </w:r>
      <w:r w:rsidR="00E16CEF" w:rsidRPr="00E16CEF">
        <w:rPr>
          <w:rFonts w:ascii="Verdana" w:hAnsi="Verdana" w:cs="Arial"/>
          <w:b/>
          <w:bCs/>
          <w:u w:val="single"/>
          <w:lang w:val="el-GR"/>
        </w:rPr>
        <w:t>3</w:t>
      </w:r>
    </w:p>
    <w:p w14:paraId="205F6874" w14:textId="77777777" w:rsidR="00E710DD" w:rsidRPr="00FF3BC5" w:rsidRDefault="00E710DD" w:rsidP="00575133">
      <w:pPr>
        <w:jc w:val="center"/>
        <w:rPr>
          <w:rFonts w:ascii="Verdana" w:hAnsi="Verdana" w:cs="Arial"/>
          <w:lang w:val="el-GR"/>
        </w:rPr>
      </w:pPr>
    </w:p>
    <w:p w14:paraId="667236F3" w14:textId="0079B613" w:rsidR="00FF3BC5" w:rsidRPr="00C829BA" w:rsidRDefault="00081C47" w:rsidP="00575133">
      <w:pPr>
        <w:jc w:val="center"/>
        <w:rPr>
          <w:rFonts w:ascii="Verdana" w:hAnsi="Verdana" w:cs="Arial"/>
          <w:b/>
          <w:bCs/>
          <w:lang w:val="el-GR"/>
        </w:rPr>
      </w:pPr>
      <w:r w:rsidRPr="00872527">
        <w:rPr>
          <w:rFonts w:ascii="Verdana" w:hAnsi="Verdana" w:cs="Arial"/>
          <w:b/>
          <w:bCs/>
          <w:lang w:val="el-GR"/>
        </w:rPr>
        <w:t xml:space="preserve">Ετήσια </w:t>
      </w:r>
      <w:r w:rsidR="00872527">
        <w:rPr>
          <w:rFonts w:ascii="Verdana" w:hAnsi="Verdana" w:cs="Arial"/>
          <w:b/>
          <w:bCs/>
          <w:lang w:val="el-GR"/>
        </w:rPr>
        <w:t xml:space="preserve">Χρηματοοικονομική </w:t>
      </w:r>
      <w:r w:rsidR="00AE24FB">
        <w:rPr>
          <w:rFonts w:ascii="Verdana" w:hAnsi="Verdana" w:cs="Arial"/>
          <w:b/>
          <w:bCs/>
          <w:lang w:val="el-GR"/>
        </w:rPr>
        <w:t>Κ</w:t>
      </w:r>
      <w:r w:rsidR="00872527">
        <w:rPr>
          <w:rFonts w:ascii="Verdana" w:hAnsi="Verdana" w:cs="Arial"/>
          <w:b/>
          <w:bCs/>
          <w:lang w:val="el-GR"/>
        </w:rPr>
        <w:t xml:space="preserve">αθαρή </w:t>
      </w:r>
      <w:r w:rsidR="00AE24FB">
        <w:rPr>
          <w:rFonts w:ascii="Verdana" w:hAnsi="Verdana" w:cs="Arial"/>
          <w:b/>
          <w:bCs/>
          <w:lang w:val="el-GR"/>
        </w:rPr>
        <w:t>Θ</w:t>
      </w:r>
      <w:r w:rsidR="00872527">
        <w:rPr>
          <w:rFonts w:ascii="Verdana" w:hAnsi="Verdana" w:cs="Arial"/>
          <w:b/>
          <w:bCs/>
          <w:lang w:val="el-GR"/>
        </w:rPr>
        <w:t>έση</w:t>
      </w:r>
      <w:r w:rsidR="00872527" w:rsidRPr="00260D1B">
        <w:rPr>
          <w:rFonts w:ascii="Verdana" w:hAnsi="Verdana" w:cs="Arial"/>
          <w:b/>
          <w:bCs/>
          <w:lang w:val="el-GR"/>
        </w:rPr>
        <w:t xml:space="preserve"> -</w:t>
      </w:r>
      <w:r w:rsidR="00AE24FB" w:rsidRPr="00AE24FB">
        <w:rPr>
          <w:rFonts w:ascii="Verdana" w:hAnsi="Verdana" w:cs="Arial"/>
          <w:b/>
          <w:bCs/>
          <w:lang w:val="el-GR"/>
        </w:rPr>
        <w:t>€</w:t>
      </w:r>
      <w:r w:rsidR="00872527" w:rsidRPr="00260D1B">
        <w:rPr>
          <w:rFonts w:ascii="Verdana" w:hAnsi="Verdana" w:cs="Arial"/>
          <w:b/>
          <w:bCs/>
          <w:lang w:val="el-GR"/>
        </w:rPr>
        <w:t>2</w:t>
      </w:r>
      <w:r w:rsidR="00E16CEF">
        <w:rPr>
          <w:rFonts w:ascii="Verdana" w:hAnsi="Verdana" w:cs="Arial"/>
          <w:b/>
          <w:bCs/>
          <w:lang w:val="el-GR"/>
        </w:rPr>
        <w:t>9</w:t>
      </w:r>
      <w:r w:rsidR="00872527" w:rsidRPr="00260D1B">
        <w:rPr>
          <w:rFonts w:ascii="Verdana" w:hAnsi="Verdana" w:cs="Arial"/>
          <w:b/>
          <w:bCs/>
          <w:lang w:val="el-GR"/>
        </w:rPr>
        <w:t>.</w:t>
      </w:r>
      <w:r w:rsidR="00E16CEF">
        <w:rPr>
          <w:rFonts w:ascii="Verdana" w:hAnsi="Verdana" w:cs="Arial"/>
          <w:b/>
          <w:bCs/>
          <w:lang w:val="el-GR"/>
        </w:rPr>
        <w:t>120</w:t>
      </w:r>
      <w:r w:rsidR="00872527" w:rsidRPr="00260D1B">
        <w:rPr>
          <w:rFonts w:ascii="Verdana" w:hAnsi="Verdana" w:cs="Arial"/>
          <w:b/>
          <w:bCs/>
          <w:lang w:val="el-GR"/>
        </w:rPr>
        <w:t>,</w:t>
      </w:r>
      <w:r w:rsidR="00E16CEF">
        <w:rPr>
          <w:rFonts w:ascii="Verdana" w:hAnsi="Verdana" w:cs="Arial"/>
          <w:b/>
          <w:bCs/>
          <w:lang w:val="el-GR"/>
        </w:rPr>
        <w:t>7</w:t>
      </w:r>
      <w:r w:rsidR="00C829BA" w:rsidRPr="00C829BA">
        <w:rPr>
          <w:rFonts w:ascii="Verdana" w:hAnsi="Verdana" w:cs="Arial"/>
          <w:b/>
          <w:bCs/>
          <w:lang w:val="el-GR"/>
        </w:rPr>
        <w:t xml:space="preserve"> </w:t>
      </w:r>
      <w:r w:rsidR="00C829BA">
        <w:rPr>
          <w:rFonts w:ascii="Verdana" w:hAnsi="Verdana" w:cs="Arial"/>
          <w:b/>
          <w:bCs/>
          <w:lang w:val="el-GR"/>
        </w:rPr>
        <w:t>εκ.</w:t>
      </w:r>
    </w:p>
    <w:p w14:paraId="68476F40" w14:textId="77777777" w:rsidR="00081C47" w:rsidRPr="00081C47" w:rsidRDefault="00081C47" w:rsidP="00FF3BC5">
      <w:pPr>
        <w:autoSpaceDE w:val="0"/>
        <w:autoSpaceDN w:val="0"/>
        <w:adjustRightInd w:val="0"/>
        <w:jc w:val="both"/>
        <w:rPr>
          <w:rFonts w:ascii="Verdana" w:hAnsi="Verdana" w:cs="Arial"/>
          <w:sz w:val="18"/>
          <w:szCs w:val="18"/>
          <w:lang w:val="el-GR"/>
        </w:rPr>
      </w:pPr>
    </w:p>
    <w:p w14:paraId="2962BE63" w14:textId="7B50DD51" w:rsidR="00E710DD" w:rsidRPr="00FF3BC5" w:rsidRDefault="00E710DD" w:rsidP="00FF3BC5">
      <w:pPr>
        <w:autoSpaceDE w:val="0"/>
        <w:autoSpaceDN w:val="0"/>
        <w:adjustRightInd w:val="0"/>
        <w:jc w:val="both"/>
        <w:rPr>
          <w:rFonts w:ascii="Verdana" w:hAnsi="Verdana" w:cs="Arial"/>
          <w:b/>
          <w:bCs/>
          <w:sz w:val="18"/>
          <w:szCs w:val="18"/>
          <w:u w:val="single"/>
          <w:lang w:val="el-GR"/>
        </w:rPr>
      </w:pPr>
      <w:r w:rsidRPr="00FF3BC5">
        <w:rPr>
          <w:rFonts w:ascii="Verdana" w:hAnsi="Verdana" w:cs="Arial"/>
          <w:b/>
          <w:bCs/>
          <w:sz w:val="18"/>
          <w:szCs w:val="18"/>
          <w:u w:val="single"/>
          <w:lang w:val="el-GR"/>
        </w:rPr>
        <w:t xml:space="preserve">Σύνολο της </w:t>
      </w:r>
      <w:r w:rsidR="00FF3BC5" w:rsidRPr="00FF3BC5">
        <w:rPr>
          <w:rFonts w:ascii="Verdana" w:hAnsi="Verdana" w:cs="Arial"/>
          <w:b/>
          <w:bCs/>
          <w:sz w:val="18"/>
          <w:szCs w:val="18"/>
          <w:u w:val="single"/>
          <w:lang w:val="el-GR"/>
        </w:rPr>
        <w:t>Ο</w:t>
      </w:r>
      <w:r w:rsidRPr="00FF3BC5">
        <w:rPr>
          <w:rFonts w:ascii="Verdana" w:hAnsi="Verdana" w:cs="Arial"/>
          <w:b/>
          <w:bCs/>
          <w:sz w:val="18"/>
          <w:szCs w:val="18"/>
          <w:u w:val="single"/>
          <w:lang w:val="el-GR"/>
        </w:rPr>
        <w:t>ικονομίας</w:t>
      </w:r>
    </w:p>
    <w:p w14:paraId="3363DB27" w14:textId="54EA5912" w:rsidR="00E710DD" w:rsidRPr="00FF3BC5" w:rsidRDefault="00E710DD" w:rsidP="00FF3BC5">
      <w:pPr>
        <w:jc w:val="both"/>
        <w:rPr>
          <w:rFonts w:ascii="Verdana" w:hAnsi="Verdana" w:cs="Arial"/>
          <w:sz w:val="18"/>
          <w:szCs w:val="18"/>
          <w:lang w:val="el-GR"/>
        </w:rPr>
      </w:pPr>
      <w:r w:rsidRPr="00FF3BC5">
        <w:rPr>
          <w:rFonts w:ascii="Verdana" w:hAnsi="Verdana" w:cs="Arial"/>
          <w:sz w:val="18"/>
          <w:szCs w:val="18"/>
          <w:lang w:val="el-GR"/>
        </w:rPr>
        <w:t xml:space="preserve">Το ενεργητικό </w:t>
      </w:r>
      <w:r w:rsidR="009D2DAA" w:rsidRPr="00FF3BC5">
        <w:rPr>
          <w:rFonts w:ascii="Verdana" w:hAnsi="Verdana" w:cs="Arial"/>
          <w:sz w:val="18"/>
          <w:szCs w:val="18"/>
          <w:lang w:val="el-GR"/>
        </w:rPr>
        <w:t xml:space="preserve">για </w:t>
      </w:r>
      <w:r w:rsidRPr="00FF3BC5">
        <w:rPr>
          <w:rFonts w:ascii="Verdana" w:hAnsi="Verdana" w:cs="Arial"/>
          <w:sz w:val="18"/>
          <w:szCs w:val="18"/>
          <w:lang w:val="el-GR"/>
        </w:rPr>
        <w:t xml:space="preserve">το </w:t>
      </w:r>
      <w:r w:rsidR="009D2DAA" w:rsidRPr="00FF3BC5">
        <w:rPr>
          <w:rFonts w:ascii="Verdana" w:hAnsi="Verdana" w:cs="Arial"/>
          <w:sz w:val="18"/>
          <w:szCs w:val="18"/>
          <w:lang w:val="el-GR"/>
        </w:rPr>
        <w:t>σύνολο</w:t>
      </w:r>
      <w:r w:rsidRPr="00FF3BC5">
        <w:rPr>
          <w:rFonts w:ascii="Verdana" w:hAnsi="Verdana" w:cs="Arial"/>
          <w:sz w:val="18"/>
          <w:szCs w:val="18"/>
          <w:lang w:val="el-GR"/>
        </w:rPr>
        <w:t xml:space="preserve"> της οικονομίας σε χρηματοοικονομικά μέσα ανήλθε στο τέλος Δεκεμβρίου 202</w:t>
      </w:r>
      <w:r w:rsidR="00E16CEF">
        <w:rPr>
          <w:rFonts w:ascii="Verdana" w:hAnsi="Verdana" w:cs="Arial"/>
          <w:sz w:val="18"/>
          <w:szCs w:val="18"/>
          <w:lang w:val="el-GR"/>
        </w:rPr>
        <w:t>3</w:t>
      </w:r>
      <w:r w:rsidRPr="00FF3BC5">
        <w:rPr>
          <w:rFonts w:ascii="Verdana" w:hAnsi="Verdana" w:cs="Arial"/>
          <w:sz w:val="18"/>
          <w:szCs w:val="18"/>
          <w:lang w:val="el-GR"/>
        </w:rPr>
        <w:t xml:space="preserve"> στα </w:t>
      </w:r>
      <w:r w:rsidR="00E16CEF">
        <w:rPr>
          <w:rFonts w:ascii="Verdana" w:hAnsi="Verdana" w:cs="Arial"/>
          <w:sz w:val="18"/>
          <w:szCs w:val="18"/>
          <w:lang w:val="el-GR"/>
        </w:rPr>
        <w:t>869</w:t>
      </w:r>
      <w:r w:rsidR="009D2DAA" w:rsidRPr="00FF3BC5">
        <w:rPr>
          <w:rFonts w:ascii="Verdana" w:hAnsi="Verdana" w:cs="Arial"/>
          <w:sz w:val="18"/>
          <w:szCs w:val="18"/>
          <w:lang w:val="el-GR"/>
        </w:rPr>
        <w:t>.</w:t>
      </w:r>
      <w:r w:rsidR="00E16CEF">
        <w:rPr>
          <w:rFonts w:ascii="Verdana" w:hAnsi="Verdana" w:cs="Arial"/>
          <w:sz w:val="18"/>
          <w:szCs w:val="18"/>
          <w:lang w:val="el-GR"/>
        </w:rPr>
        <w:t>008</w:t>
      </w:r>
      <w:r w:rsidR="009D2DAA" w:rsidRPr="00FF3BC5">
        <w:rPr>
          <w:rFonts w:ascii="Verdana" w:hAnsi="Verdana" w:cs="Arial"/>
          <w:sz w:val="18"/>
          <w:szCs w:val="18"/>
          <w:lang w:val="el-GR"/>
        </w:rPr>
        <w:t>,</w:t>
      </w:r>
      <w:r w:rsidR="00E16CEF">
        <w:rPr>
          <w:rFonts w:ascii="Verdana" w:hAnsi="Verdana" w:cs="Arial"/>
          <w:sz w:val="18"/>
          <w:szCs w:val="18"/>
          <w:lang w:val="el-GR"/>
        </w:rPr>
        <w:t>9</w:t>
      </w:r>
      <w:r w:rsidRPr="00FF3BC5">
        <w:rPr>
          <w:rFonts w:ascii="Verdana" w:hAnsi="Verdana" w:cs="Arial"/>
          <w:sz w:val="18"/>
          <w:szCs w:val="18"/>
          <w:lang w:val="el-GR"/>
        </w:rPr>
        <w:t xml:space="preserve"> </w:t>
      </w:r>
      <w:r w:rsidR="009D2DAA" w:rsidRPr="00FF3BC5">
        <w:rPr>
          <w:rFonts w:ascii="Verdana" w:hAnsi="Verdana" w:cs="Arial"/>
          <w:sz w:val="18"/>
          <w:szCs w:val="18"/>
          <w:lang w:val="el-GR"/>
        </w:rPr>
        <w:t>εκ</w:t>
      </w:r>
      <w:r w:rsidRPr="00FF3BC5">
        <w:rPr>
          <w:rFonts w:ascii="Verdana" w:hAnsi="Verdana" w:cs="Arial"/>
          <w:sz w:val="18"/>
          <w:szCs w:val="18"/>
          <w:lang w:val="el-GR"/>
        </w:rPr>
        <w:t>. ευρώ εκ των οποίων το 5</w:t>
      </w:r>
      <w:r w:rsidR="00E16CEF">
        <w:rPr>
          <w:rFonts w:ascii="Verdana" w:hAnsi="Verdana" w:cs="Arial"/>
          <w:sz w:val="18"/>
          <w:szCs w:val="18"/>
          <w:lang w:val="el-GR"/>
        </w:rPr>
        <w:t>1</w:t>
      </w:r>
      <w:r w:rsidRPr="00FF3BC5">
        <w:rPr>
          <w:rFonts w:ascii="Verdana" w:hAnsi="Verdana" w:cs="Arial"/>
          <w:sz w:val="18"/>
          <w:szCs w:val="18"/>
          <w:lang w:val="el-GR"/>
        </w:rPr>
        <w:t>,</w:t>
      </w:r>
      <w:r w:rsidR="00E16CEF">
        <w:rPr>
          <w:rFonts w:ascii="Verdana" w:hAnsi="Verdana" w:cs="Arial"/>
          <w:sz w:val="18"/>
          <w:szCs w:val="18"/>
          <w:lang w:val="el-GR"/>
        </w:rPr>
        <w:t>5</w:t>
      </w:r>
      <w:r w:rsidRPr="00FF3BC5">
        <w:rPr>
          <w:rFonts w:ascii="Verdana" w:hAnsi="Verdana" w:cs="Arial"/>
          <w:sz w:val="18"/>
          <w:szCs w:val="18"/>
          <w:lang w:val="el-GR"/>
        </w:rPr>
        <w:t>% αφορά συμμετοχικούς τίτλους και μετοχές, 1</w:t>
      </w:r>
      <w:r w:rsidR="00E16CEF">
        <w:rPr>
          <w:rFonts w:ascii="Verdana" w:hAnsi="Verdana" w:cs="Arial"/>
          <w:sz w:val="18"/>
          <w:szCs w:val="18"/>
          <w:lang w:val="el-GR"/>
        </w:rPr>
        <w:t>6</w:t>
      </w:r>
      <w:r w:rsidRPr="00FF3BC5">
        <w:rPr>
          <w:rFonts w:ascii="Verdana" w:hAnsi="Verdana" w:cs="Arial"/>
          <w:sz w:val="18"/>
          <w:szCs w:val="18"/>
          <w:lang w:val="el-GR"/>
        </w:rPr>
        <w:t>,</w:t>
      </w:r>
      <w:r w:rsidR="00E16CEF">
        <w:rPr>
          <w:rFonts w:ascii="Verdana" w:hAnsi="Verdana" w:cs="Arial"/>
          <w:sz w:val="18"/>
          <w:szCs w:val="18"/>
          <w:lang w:val="el-GR"/>
        </w:rPr>
        <w:t>1</w:t>
      </w:r>
      <w:r w:rsidRPr="00FF3BC5">
        <w:rPr>
          <w:rFonts w:ascii="Verdana" w:hAnsi="Verdana" w:cs="Arial"/>
          <w:sz w:val="18"/>
          <w:szCs w:val="18"/>
          <w:lang w:val="el-GR"/>
        </w:rPr>
        <w:t xml:space="preserve">% αφορά μετρητά και καταθέσεις και το </w:t>
      </w:r>
      <w:r w:rsidR="00E16CEF">
        <w:rPr>
          <w:rFonts w:ascii="Verdana" w:hAnsi="Verdana" w:cs="Arial"/>
          <w:sz w:val="18"/>
          <w:szCs w:val="18"/>
          <w:lang w:val="el-GR"/>
        </w:rPr>
        <w:t>20,4</w:t>
      </w:r>
      <w:r w:rsidRPr="00FF3BC5">
        <w:rPr>
          <w:rFonts w:ascii="Verdana" w:hAnsi="Verdana" w:cs="Arial"/>
          <w:sz w:val="18"/>
          <w:szCs w:val="18"/>
          <w:lang w:val="el-GR"/>
        </w:rPr>
        <w:t xml:space="preserve">% αφορά δάνεια.  </w:t>
      </w:r>
    </w:p>
    <w:p w14:paraId="18DB30D3" w14:textId="77777777" w:rsidR="00E710DD" w:rsidRPr="00FF3BC5" w:rsidRDefault="00E710DD" w:rsidP="00FF3BC5">
      <w:pPr>
        <w:jc w:val="both"/>
        <w:rPr>
          <w:rFonts w:ascii="Verdana" w:hAnsi="Verdana" w:cs="Arial"/>
          <w:sz w:val="18"/>
          <w:szCs w:val="18"/>
          <w:lang w:val="el-GR"/>
        </w:rPr>
      </w:pPr>
    </w:p>
    <w:p w14:paraId="7DFBA9CF" w14:textId="74C67525" w:rsidR="00081C47" w:rsidRDefault="00E710DD" w:rsidP="00FF3BC5">
      <w:pPr>
        <w:jc w:val="both"/>
        <w:rPr>
          <w:rFonts w:ascii="Verdana" w:hAnsi="Verdana" w:cs="Arial"/>
          <w:sz w:val="18"/>
          <w:szCs w:val="18"/>
          <w:lang w:val="el-GR"/>
        </w:rPr>
      </w:pPr>
      <w:r w:rsidRPr="00FF3BC5">
        <w:rPr>
          <w:rFonts w:ascii="Verdana" w:hAnsi="Verdana" w:cs="Arial"/>
          <w:sz w:val="18"/>
          <w:szCs w:val="18"/>
          <w:lang w:val="el-GR"/>
        </w:rPr>
        <w:t xml:space="preserve">Το παθητικό </w:t>
      </w:r>
      <w:r w:rsidR="009D2DAA" w:rsidRPr="00FF3BC5">
        <w:rPr>
          <w:rFonts w:ascii="Verdana" w:hAnsi="Verdana" w:cs="Arial"/>
          <w:sz w:val="18"/>
          <w:szCs w:val="18"/>
          <w:lang w:val="el-GR"/>
        </w:rPr>
        <w:t xml:space="preserve">για </w:t>
      </w:r>
      <w:r w:rsidRPr="00FF3BC5">
        <w:rPr>
          <w:rFonts w:ascii="Verdana" w:hAnsi="Verdana" w:cs="Arial"/>
          <w:sz w:val="18"/>
          <w:szCs w:val="18"/>
          <w:lang w:val="el-GR"/>
        </w:rPr>
        <w:t>το σ</w:t>
      </w:r>
      <w:r w:rsidR="009D2DAA" w:rsidRPr="00FF3BC5">
        <w:rPr>
          <w:rFonts w:ascii="Verdana" w:hAnsi="Verdana" w:cs="Arial"/>
          <w:sz w:val="18"/>
          <w:szCs w:val="18"/>
          <w:lang w:val="el-GR"/>
        </w:rPr>
        <w:t>ύ</w:t>
      </w:r>
      <w:r w:rsidRPr="00FF3BC5">
        <w:rPr>
          <w:rFonts w:ascii="Verdana" w:hAnsi="Verdana" w:cs="Arial"/>
          <w:sz w:val="18"/>
          <w:szCs w:val="18"/>
          <w:lang w:val="el-GR"/>
        </w:rPr>
        <w:t>ν</w:t>
      </w:r>
      <w:r w:rsidR="009D2DAA" w:rsidRPr="00FF3BC5">
        <w:rPr>
          <w:rFonts w:ascii="Verdana" w:hAnsi="Verdana" w:cs="Arial"/>
          <w:sz w:val="18"/>
          <w:szCs w:val="18"/>
          <w:lang w:val="el-GR"/>
        </w:rPr>
        <w:t>ο</w:t>
      </w:r>
      <w:r w:rsidRPr="00FF3BC5">
        <w:rPr>
          <w:rFonts w:ascii="Verdana" w:hAnsi="Verdana" w:cs="Arial"/>
          <w:sz w:val="18"/>
          <w:szCs w:val="18"/>
          <w:lang w:val="el-GR"/>
        </w:rPr>
        <w:t>λο της οικονομίας σε χρηματοοικονομικά μέσα ανήλθε στο τέλος Δεκεμβρίου 202</w:t>
      </w:r>
      <w:r w:rsidR="00E16CEF">
        <w:rPr>
          <w:rFonts w:ascii="Verdana" w:hAnsi="Verdana" w:cs="Arial"/>
          <w:sz w:val="18"/>
          <w:szCs w:val="18"/>
          <w:lang w:val="el-GR"/>
        </w:rPr>
        <w:t>3</w:t>
      </w:r>
      <w:r w:rsidRPr="00FF3BC5">
        <w:rPr>
          <w:rFonts w:ascii="Verdana" w:hAnsi="Verdana" w:cs="Arial"/>
          <w:sz w:val="18"/>
          <w:szCs w:val="18"/>
          <w:lang w:val="el-GR"/>
        </w:rPr>
        <w:t xml:space="preserve"> στα </w:t>
      </w:r>
      <w:r w:rsidR="00E16CEF">
        <w:rPr>
          <w:rFonts w:ascii="Verdana" w:hAnsi="Verdana" w:cs="Arial"/>
          <w:sz w:val="18"/>
          <w:szCs w:val="18"/>
          <w:lang w:val="el-GR"/>
        </w:rPr>
        <w:t>898</w:t>
      </w:r>
      <w:r w:rsidR="009D2DAA" w:rsidRPr="00FF3BC5">
        <w:rPr>
          <w:rFonts w:ascii="Verdana" w:hAnsi="Verdana" w:cs="Arial"/>
          <w:sz w:val="18"/>
          <w:szCs w:val="18"/>
          <w:lang w:val="el-GR"/>
        </w:rPr>
        <w:t>.</w:t>
      </w:r>
      <w:r w:rsidR="00E16CEF">
        <w:rPr>
          <w:rFonts w:ascii="Verdana" w:hAnsi="Verdana" w:cs="Arial"/>
          <w:sz w:val="18"/>
          <w:szCs w:val="18"/>
          <w:lang w:val="el-GR"/>
        </w:rPr>
        <w:t>129</w:t>
      </w:r>
      <w:r w:rsidR="009D2DAA" w:rsidRPr="00FF3BC5">
        <w:rPr>
          <w:rFonts w:ascii="Verdana" w:hAnsi="Verdana" w:cs="Arial"/>
          <w:sz w:val="18"/>
          <w:szCs w:val="18"/>
          <w:lang w:val="el-GR"/>
        </w:rPr>
        <w:t>,</w:t>
      </w:r>
      <w:r w:rsidR="00E16CEF">
        <w:rPr>
          <w:rFonts w:ascii="Verdana" w:hAnsi="Verdana" w:cs="Arial"/>
          <w:sz w:val="18"/>
          <w:szCs w:val="18"/>
          <w:lang w:val="el-GR"/>
        </w:rPr>
        <w:t>6</w:t>
      </w:r>
      <w:r w:rsidRPr="00FF3BC5">
        <w:rPr>
          <w:rFonts w:ascii="Verdana" w:hAnsi="Verdana" w:cs="Arial"/>
          <w:sz w:val="18"/>
          <w:szCs w:val="18"/>
          <w:lang w:val="el-GR"/>
        </w:rPr>
        <w:t xml:space="preserve"> </w:t>
      </w:r>
      <w:r w:rsidR="009D2DAA" w:rsidRPr="00FF3BC5">
        <w:rPr>
          <w:rFonts w:ascii="Verdana" w:hAnsi="Verdana" w:cs="Arial"/>
          <w:sz w:val="18"/>
          <w:szCs w:val="18"/>
          <w:lang w:val="el-GR"/>
        </w:rPr>
        <w:t>εκ</w:t>
      </w:r>
      <w:r w:rsidRPr="00FF3BC5">
        <w:rPr>
          <w:rFonts w:ascii="Verdana" w:hAnsi="Verdana" w:cs="Arial"/>
          <w:sz w:val="18"/>
          <w:szCs w:val="18"/>
          <w:lang w:val="el-GR"/>
        </w:rPr>
        <w:t>. ευρώ εκ των οποίων το 51,</w:t>
      </w:r>
      <w:r w:rsidR="00E16CEF">
        <w:rPr>
          <w:rFonts w:ascii="Verdana" w:hAnsi="Verdana" w:cs="Arial"/>
          <w:sz w:val="18"/>
          <w:szCs w:val="18"/>
          <w:lang w:val="el-GR"/>
        </w:rPr>
        <w:t>3</w:t>
      </w:r>
      <w:r w:rsidRPr="00FF3BC5">
        <w:rPr>
          <w:rFonts w:ascii="Verdana" w:hAnsi="Verdana" w:cs="Arial"/>
          <w:sz w:val="18"/>
          <w:szCs w:val="18"/>
          <w:lang w:val="el-GR"/>
        </w:rPr>
        <w:t>% αφορά συμμετοχικούς τίτλους και μετοχές, 2</w:t>
      </w:r>
      <w:r w:rsidR="00E16CEF">
        <w:rPr>
          <w:rFonts w:ascii="Verdana" w:hAnsi="Verdana" w:cs="Arial"/>
          <w:sz w:val="18"/>
          <w:szCs w:val="18"/>
          <w:lang w:val="el-GR"/>
        </w:rPr>
        <w:t>6</w:t>
      </w:r>
      <w:r w:rsidRPr="00FF3BC5">
        <w:rPr>
          <w:rFonts w:ascii="Verdana" w:hAnsi="Verdana" w:cs="Arial"/>
          <w:sz w:val="18"/>
          <w:szCs w:val="18"/>
          <w:lang w:val="el-GR"/>
        </w:rPr>
        <w:t>,</w:t>
      </w:r>
      <w:r w:rsidR="00E16CEF">
        <w:rPr>
          <w:rFonts w:ascii="Verdana" w:hAnsi="Verdana" w:cs="Arial"/>
          <w:sz w:val="18"/>
          <w:szCs w:val="18"/>
          <w:lang w:val="el-GR"/>
        </w:rPr>
        <w:t>2</w:t>
      </w:r>
      <w:r w:rsidRPr="00FF3BC5">
        <w:rPr>
          <w:rFonts w:ascii="Verdana" w:hAnsi="Verdana" w:cs="Arial"/>
          <w:sz w:val="18"/>
          <w:szCs w:val="18"/>
          <w:lang w:val="el-GR"/>
        </w:rPr>
        <w:t>% αφορά δάνεια και το 1</w:t>
      </w:r>
      <w:r w:rsidR="00E16CEF">
        <w:rPr>
          <w:rFonts w:ascii="Verdana" w:hAnsi="Verdana" w:cs="Arial"/>
          <w:sz w:val="18"/>
          <w:szCs w:val="18"/>
          <w:lang w:val="el-GR"/>
        </w:rPr>
        <w:t>1</w:t>
      </w:r>
      <w:r w:rsidRPr="00FF3BC5">
        <w:rPr>
          <w:rFonts w:ascii="Verdana" w:hAnsi="Verdana" w:cs="Arial"/>
          <w:sz w:val="18"/>
          <w:szCs w:val="18"/>
          <w:lang w:val="el-GR"/>
        </w:rPr>
        <w:t>,</w:t>
      </w:r>
      <w:r w:rsidR="00E16CEF">
        <w:rPr>
          <w:rFonts w:ascii="Verdana" w:hAnsi="Verdana" w:cs="Arial"/>
          <w:sz w:val="18"/>
          <w:szCs w:val="18"/>
          <w:lang w:val="el-GR"/>
        </w:rPr>
        <w:t>5</w:t>
      </w:r>
      <w:r w:rsidRPr="00FF3BC5">
        <w:rPr>
          <w:rFonts w:ascii="Verdana" w:hAnsi="Verdana" w:cs="Arial"/>
          <w:sz w:val="18"/>
          <w:szCs w:val="18"/>
          <w:lang w:val="el-GR"/>
        </w:rPr>
        <w:t>% αφορά μετρητά και καταθέσεις.</w:t>
      </w:r>
    </w:p>
    <w:p w14:paraId="2BECD756" w14:textId="014638BF" w:rsidR="00E710DD" w:rsidRPr="00FF3BC5" w:rsidRDefault="00E710DD" w:rsidP="00FF3BC5">
      <w:pPr>
        <w:jc w:val="both"/>
        <w:rPr>
          <w:rFonts w:ascii="Verdana" w:hAnsi="Verdana" w:cs="Arial"/>
          <w:sz w:val="18"/>
          <w:szCs w:val="18"/>
          <w:lang w:val="el-GR"/>
        </w:rPr>
      </w:pPr>
      <w:r w:rsidRPr="00FF3BC5">
        <w:rPr>
          <w:rFonts w:ascii="Verdana" w:hAnsi="Verdana" w:cs="Arial"/>
          <w:sz w:val="18"/>
          <w:szCs w:val="18"/>
          <w:lang w:val="el-GR"/>
        </w:rPr>
        <w:t xml:space="preserve">  </w:t>
      </w:r>
    </w:p>
    <w:p w14:paraId="5FA71F25" w14:textId="11CAED54" w:rsidR="00E710DD" w:rsidRDefault="00E16CEF" w:rsidP="00110FB3">
      <w:pPr>
        <w:jc w:val="center"/>
        <w:rPr>
          <w:rFonts w:ascii="Verdana" w:hAnsi="Verdana" w:cs="Arial"/>
          <w:sz w:val="18"/>
          <w:szCs w:val="18"/>
          <w:lang w:val="el-GR"/>
        </w:rPr>
      </w:pPr>
      <w:r>
        <w:rPr>
          <w:noProof/>
        </w:rPr>
        <w:drawing>
          <wp:inline distT="0" distB="0" distL="0" distR="0" wp14:anchorId="30FF7CB1" wp14:editId="7992DD87">
            <wp:extent cx="6086476" cy="2676525"/>
            <wp:effectExtent l="0" t="0" r="9525" b="9525"/>
            <wp:docPr id="1578642294" name="Chart 1">
              <a:extLst xmlns:a="http://schemas.openxmlformats.org/drawingml/2006/main">
                <a:ext uri="{FF2B5EF4-FFF2-40B4-BE49-F238E27FC236}">
                  <a16:creationId xmlns:a16="http://schemas.microsoft.com/office/drawing/2014/main" id="{18B54AAB-5AA0-DE8F-5385-B563AE8B0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FE0E27" w14:textId="77777777" w:rsidR="00E16CEF" w:rsidRDefault="00E16CEF" w:rsidP="00FF3BC5">
      <w:pPr>
        <w:jc w:val="both"/>
        <w:rPr>
          <w:rFonts w:ascii="Verdana" w:hAnsi="Verdana" w:cs="Arial"/>
          <w:sz w:val="18"/>
          <w:szCs w:val="18"/>
          <w:lang w:val="el-GR"/>
        </w:rPr>
      </w:pPr>
    </w:p>
    <w:p w14:paraId="51B51A6D" w14:textId="06E79A94" w:rsidR="00051A9C" w:rsidRPr="00E16CEF" w:rsidRDefault="00E16CEF" w:rsidP="00110FB3">
      <w:pPr>
        <w:jc w:val="center"/>
        <w:rPr>
          <w:rFonts w:ascii="Verdana" w:hAnsi="Verdana" w:cs="Arial"/>
          <w:sz w:val="18"/>
          <w:szCs w:val="18"/>
          <w:lang w:val="el-GR"/>
        </w:rPr>
      </w:pPr>
      <w:r>
        <w:rPr>
          <w:noProof/>
        </w:rPr>
        <w:drawing>
          <wp:inline distT="0" distB="0" distL="0" distR="0" wp14:anchorId="36B14CA2" wp14:editId="12496A40">
            <wp:extent cx="6086476" cy="2676525"/>
            <wp:effectExtent l="0" t="0" r="9525" b="9525"/>
            <wp:docPr id="2041246961" name="Chart 1">
              <a:extLst xmlns:a="http://schemas.openxmlformats.org/drawingml/2006/main">
                <a:ext uri="{FF2B5EF4-FFF2-40B4-BE49-F238E27FC236}">
                  <a16:creationId xmlns:a16="http://schemas.microsoft.com/office/drawing/2014/main" id="{7D09101C-6A97-4917-A860-0DEA07902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A99178" w14:textId="2FC6E71C" w:rsidR="00A42F57" w:rsidRPr="00FF3BC5" w:rsidRDefault="00A42F57" w:rsidP="00FF3BC5">
      <w:pPr>
        <w:jc w:val="both"/>
        <w:rPr>
          <w:rFonts w:ascii="Verdana" w:hAnsi="Verdana" w:cs="Arial"/>
          <w:sz w:val="18"/>
          <w:szCs w:val="18"/>
          <w:lang w:val="el-GR"/>
        </w:rPr>
      </w:pPr>
    </w:p>
    <w:p w14:paraId="0C7A058C" w14:textId="4B9C4BDC" w:rsidR="00E710DD" w:rsidRPr="00FF3BC5" w:rsidRDefault="00E710DD" w:rsidP="00FF3BC5">
      <w:pPr>
        <w:autoSpaceDE w:val="0"/>
        <w:autoSpaceDN w:val="0"/>
        <w:adjustRightInd w:val="0"/>
        <w:jc w:val="both"/>
        <w:rPr>
          <w:rFonts w:ascii="Verdana" w:hAnsi="Verdana" w:cs="Arial"/>
          <w:b/>
          <w:bCs/>
          <w:sz w:val="18"/>
          <w:szCs w:val="18"/>
          <w:u w:val="single"/>
          <w:lang w:val="el-GR"/>
        </w:rPr>
      </w:pPr>
      <w:r w:rsidRPr="00FF3BC5">
        <w:rPr>
          <w:rFonts w:ascii="Verdana" w:hAnsi="Verdana" w:cs="Arial"/>
          <w:b/>
          <w:bCs/>
          <w:sz w:val="18"/>
          <w:szCs w:val="18"/>
          <w:u w:val="single"/>
          <w:lang w:val="el-GR"/>
        </w:rPr>
        <w:t xml:space="preserve">Νοικοκυριά και </w:t>
      </w:r>
      <w:r w:rsidR="00FF3BC5" w:rsidRPr="00FF3BC5">
        <w:rPr>
          <w:rFonts w:ascii="Verdana" w:hAnsi="Verdana" w:cs="Arial"/>
          <w:b/>
          <w:bCs/>
          <w:sz w:val="18"/>
          <w:szCs w:val="18"/>
          <w:u w:val="single"/>
          <w:lang w:val="el-GR"/>
        </w:rPr>
        <w:t>Μ</w:t>
      </w:r>
      <w:r w:rsidRPr="00FF3BC5">
        <w:rPr>
          <w:rFonts w:ascii="Verdana" w:hAnsi="Verdana" w:cs="Arial"/>
          <w:b/>
          <w:bCs/>
          <w:sz w:val="18"/>
          <w:szCs w:val="18"/>
          <w:u w:val="single"/>
          <w:lang w:val="el-GR"/>
        </w:rPr>
        <w:t>η</w:t>
      </w:r>
      <w:r w:rsidR="00FF3BC5" w:rsidRPr="00FF3BC5">
        <w:rPr>
          <w:rFonts w:ascii="Verdana" w:hAnsi="Verdana" w:cs="Arial"/>
          <w:b/>
          <w:bCs/>
          <w:sz w:val="18"/>
          <w:szCs w:val="18"/>
          <w:u w:val="single"/>
          <w:lang w:val="el-GR"/>
        </w:rPr>
        <w:t>-Χ</w:t>
      </w:r>
      <w:r w:rsidRPr="00FF3BC5">
        <w:rPr>
          <w:rFonts w:ascii="Verdana" w:hAnsi="Verdana" w:cs="Arial"/>
          <w:b/>
          <w:bCs/>
          <w:sz w:val="18"/>
          <w:szCs w:val="18"/>
          <w:u w:val="single"/>
          <w:lang w:val="el-GR"/>
        </w:rPr>
        <w:t xml:space="preserve">ρηματοοικονομικές </w:t>
      </w:r>
      <w:r w:rsidR="00FF3BC5" w:rsidRPr="00FF3BC5">
        <w:rPr>
          <w:rFonts w:ascii="Verdana" w:hAnsi="Verdana" w:cs="Arial"/>
          <w:b/>
          <w:bCs/>
          <w:sz w:val="18"/>
          <w:szCs w:val="18"/>
          <w:u w:val="single"/>
          <w:lang w:val="el-GR"/>
        </w:rPr>
        <w:t>Ε</w:t>
      </w:r>
      <w:r w:rsidRPr="00FF3BC5">
        <w:rPr>
          <w:rFonts w:ascii="Verdana" w:hAnsi="Verdana" w:cs="Arial"/>
          <w:b/>
          <w:bCs/>
          <w:sz w:val="18"/>
          <w:szCs w:val="18"/>
          <w:u w:val="single"/>
          <w:lang w:val="el-GR"/>
        </w:rPr>
        <w:t>ταιρείες</w:t>
      </w:r>
    </w:p>
    <w:p w14:paraId="12107EC5" w14:textId="6DE51E8C" w:rsidR="00E710DD" w:rsidRPr="00FF3BC5" w:rsidRDefault="00E710DD" w:rsidP="00FF3BC5">
      <w:pPr>
        <w:autoSpaceDE w:val="0"/>
        <w:autoSpaceDN w:val="0"/>
        <w:adjustRightInd w:val="0"/>
        <w:jc w:val="both"/>
        <w:rPr>
          <w:rFonts w:ascii="Verdana" w:hAnsi="Verdana" w:cs="Arial"/>
          <w:sz w:val="18"/>
          <w:szCs w:val="18"/>
          <w:lang w:val="el-GR"/>
        </w:rPr>
      </w:pPr>
      <w:r w:rsidRPr="00FF3BC5">
        <w:rPr>
          <w:rFonts w:ascii="Verdana" w:hAnsi="Verdana" w:cs="Arial"/>
          <w:sz w:val="18"/>
          <w:szCs w:val="18"/>
          <w:lang w:val="el-GR"/>
        </w:rPr>
        <w:t>Το ενεργητικό των νοικοκυριών σε χρηματοοικονομικά μέσα ανήλθε στο τέλος Δεκεμβρίου 202</w:t>
      </w:r>
      <w:r w:rsidR="00E16CEF">
        <w:rPr>
          <w:rFonts w:ascii="Verdana" w:hAnsi="Verdana" w:cs="Arial"/>
          <w:sz w:val="18"/>
          <w:szCs w:val="18"/>
          <w:lang w:val="el-GR"/>
        </w:rPr>
        <w:t>3</w:t>
      </w:r>
      <w:r w:rsidRPr="00FF3BC5">
        <w:rPr>
          <w:rFonts w:ascii="Verdana" w:hAnsi="Verdana" w:cs="Arial"/>
          <w:sz w:val="18"/>
          <w:szCs w:val="18"/>
          <w:lang w:val="el-GR"/>
        </w:rPr>
        <w:t xml:space="preserve"> στα 5</w:t>
      </w:r>
      <w:r w:rsidR="00E16CEF">
        <w:rPr>
          <w:rFonts w:ascii="Verdana" w:hAnsi="Verdana" w:cs="Arial"/>
          <w:sz w:val="18"/>
          <w:szCs w:val="18"/>
          <w:lang w:val="el-GR"/>
        </w:rPr>
        <w:t>7</w:t>
      </w:r>
      <w:r w:rsidR="009D2DAA" w:rsidRPr="00FF3BC5">
        <w:rPr>
          <w:rFonts w:ascii="Verdana" w:hAnsi="Verdana" w:cs="Arial"/>
          <w:sz w:val="18"/>
          <w:szCs w:val="18"/>
          <w:lang w:val="el-GR"/>
        </w:rPr>
        <w:t>.</w:t>
      </w:r>
      <w:r w:rsidR="00E16CEF">
        <w:rPr>
          <w:rFonts w:ascii="Verdana" w:hAnsi="Verdana" w:cs="Arial"/>
          <w:sz w:val="18"/>
          <w:szCs w:val="18"/>
          <w:lang w:val="el-GR"/>
        </w:rPr>
        <w:t>445</w:t>
      </w:r>
      <w:r w:rsidR="009D2DAA" w:rsidRPr="00FF3BC5">
        <w:rPr>
          <w:rFonts w:ascii="Verdana" w:hAnsi="Verdana" w:cs="Arial"/>
          <w:sz w:val="18"/>
          <w:szCs w:val="18"/>
          <w:lang w:val="el-GR"/>
        </w:rPr>
        <w:t>,</w:t>
      </w:r>
      <w:r w:rsidR="00E16CEF">
        <w:rPr>
          <w:rFonts w:ascii="Verdana" w:hAnsi="Verdana" w:cs="Arial"/>
          <w:sz w:val="18"/>
          <w:szCs w:val="18"/>
          <w:lang w:val="el-GR"/>
        </w:rPr>
        <w:t>0</w:t>
      </w:r>
      <w:r w:rsidRPr="00FF3BC5">
        <w:rPr>
          <w:rFonts w:ascii="Verdana" w:hAnsi="Verdana" w:cs="Arial"/>
          <w:sz w:val="18"/>
          <w:szCs w:val="18"/>
          <w:lang w:val="el-GR"/>
        </w:rPr>
        <w:t xml:space="preserve"> </w:t>
      </w:r>
      <w:r w:rsidR="009D2DAA" w:rsidRPr="00FF3BC5">
        <w:rPr>
          <w:rFonts w:ascii="Verdana" w:hAnsi="Verdana" w:cs="Arial"/>
          <w:sz w:val="18"/>
          <w:szCs w:val="18"/>
          <w:lang w:val="el-GR"/>
        </w:rPr>
        <w:t>εκ</w:t>
      </w:r>
      <w:r w:rsidRPr="00FF3BC5">
        <w:rPr>
          <w:rFonts w:ascii="Verdana" w:hAnsi="Verdana" w:cs="Arial"/>
          <w:sz w:val="18"/>
          <w:szCs w:val="18"/>
          <w:lang w:val="el-GR"/>
        </w:rPr>
        <w:t>. ευρώ εκ των οποίων το 5</w:t>
      </w:r>
      <w:r w:rsidR="00E16CEF">
        <w:rPr>
          <w:rFonts w:ascii="Verdana" w:hAnsi="Verdana" w:cs="Arial"/>
          <w:sz w:val="18"/>
          <w:szCs w:val="18"/>
          <w:lang w:val="el-GR"/>
        </w:rPr>
        <w:t>5</w:t>
      </w:r>
      <w:r w:rsidRPr="00FF3BC5">
        <w:rPr>
          <w:rFonts w:ascii="Verdana" w:hAnsi="Verdana" w:cs="Arial"/>
          <w:sz w:val="18"/>
          <w:szCs w:val="18"/>
          <w:lang w:val="el-GR"/>
        </w:rPr>
        <w:t>,</w:t>
      </w:r>
      <w:r w:rsidR="00E16CEF">
        <w:rPr>
          <w:rFonts w:ascii="Verdana" w:hAnsi="Verdana" w:cs="Arial"/>
          <w:sz w:val="18"/>
          <w:szCs w:val="18"/>
          <w:lang w:val="el-GR"/>
        </w:rPr>
        <w:t>4</w:t>
      </w:r>
      <w:r w:rsidRPr="00FF3BC5">
        <w:rPr>
          <w:rFonts w:ascii="Verdana" w:hAnsi="Verdana" w:cs="Arial"/>
          <w:sz w:val="18"/>
          <w:szCs w:val="18"/>
          <w:lang w:val="el-GR"/>
        </w:rPr>
        <w:t xml:space="preserve">% αφορά μετρητά, 0,9% αφορά δάνεια, </w:t>
      </w:r>
      <w:r w:rsidR="00E16CEF">
        <w:rPr>
          <w:rFonts w:ascii="Verdana" w:hAnsi="Verdana" w:cs="Arial"/>
          <w:sz w:val="18"/>
          <w:szCs w:val="18"/>
          <w:lang w:val="el-GR"/>
        </w:rPr>
        <w:t>3</w:t>
      </w:r>
      <w:r w:rsidRPr="00FF3BC5">
        <w:rPr>
          <w:rFonts w:ascii="Verdana" w:hAnsi="Verdana" w:cs="Arial"/>
          <w:sz w:val="18"/>
          <w:szCs w:val="18"/>
          <w:lang w:val="el-GR"/>
        </w:rPr>
        <w:t>,</w:t>
      </w:r>
      <w:r w:rsidR="00E16CEF">
        <w:rPr>
          <w:rFonts w:ascii="Verdana" w:hAnsi="Verdana" w:cs="Arial"/>
          <w:sz w:val="18"/>
          <w:szCs w:val="18"/>
          <w:lang w:val="el-GR"/>
        </w:rPr>
        <w:t>2</w:t>
      </w:r>
      <w:r w:rsidRPr="00FF3BC5">
        <w:rPr>
          <w:rFonts w:ascii="Verdana" w:hAnsi="Verdana" w:cs="Arial"/>
          <w:sz w:val="18"/>
          <w:szCs w:val="18"/>
          <w:lang w:val="el-GR"/>
        </w:rPr>
        <w:t>% αφορά χρεόγραφα, και 2</w:t>
      </w:r>
      <w:r w:rsidR="00E16CEF">
        <w:rPr>
          <w:rFonts w:ascii="Verdana" w:hAnsi="Verdana" w:cs="Arial"/>
          <w:sz w:val="18"/>
          <w:szCs w:val="18"/>
          <w:lang w:val="el-GR"/>
        </w:rPr>
        <w:t>2</w:t>
      </w:r>
      <w:r w:rsidRPr="00FF3BC5">
        <w:rPr>
          <w:rFonts w:ascii="Verdana" w:hAnsi="Verdana" w:cs="Arial"/>
          <w:sz w:val="18"/>
          <w:szCs w:val="18"/>
          <w:lang w:val="el-GR"/>
        </w:rPr>
        <w:t>,</w:t>
      </w:r>
      <w:r w:rsidR="00E16CEF">
        <w:rPr>
          <w:rFonts w:ascii="Verdana" w:hAnsi="Verdana" w:cs="Arial"/>
          <w:sz w:val="18"/>
          <w:szCs w:val="18"/>
          <w:lang w:val="el-GR"/>
        </w:rPr>
        <w:t>9</w:t>
      </w:r>
      <w:r w:rsidRPr="00FF3BC5">
        <w:rPr>
          <w:rFonts w:ascii="Verdana" w:hAnsi="Verdana" w:cs="Arial"/>
          <w:sz w:val="18"/>
          <w:szCs w:val="18"/>
          <w:lang w:val="el-GR"/>
        </w:rPr>
        <w:t xml:space="preserve">% μετοχές.  Το </w:t>
      </w:r>
      <w:r w:rsidR="004035B0">
        <w:rPr>
          <w:rFonts w:ascii="Verdana" w:hAnsi="Verdana" w:cs="Arial"/>
          <w:sz w:val="18"/>
          <w:szCs w:val="18"/>
          <w:lang w:val="el-GR"/>
        </w:rPr>
        <w:t>ύψος των δανείων του</w:t>
      </w:r>
      <w:r w:rsidR="004A1C91" w:rsidRPr="00FF3BC5">
        <w:rPr>
          <w:rFonts w:ascii="Verdana" w:hAnsi="Verdana" w:cs="Arial"/>
          <w:sz w:val="18"/>
          <w:szCs w:val="18"/>
          <w:lang w:val="el-GR"/>
        </w:rPr>
        <w:t xml:space="preserve"> τομέα</w:t>
      </w:r>
      <w:r w:rsidRPr="00FF3BC5">
        <w:rPr>
          <w:rFonts w:ascii="Verdana" w:hAnsi="Verdana" w:cs="Arial"/>
          <w:sz w:val="18"/>
          <w:szCs w:val="18"/>
          <w:lang w:val="el-GR"/>
        </w:rPr>
        <w:t xml:space="preserve"> ανήλθε στο τέλος Δεκεμβρίου 202</w:t>
      </w:r>
      <w:r w:rsidR="00E16CEF">
        <w:rPr>
          <w:rFonts w:ascii="Verdana" w:hAnsi="Verdana" w:cs="Arial"/>
          <w:sz w:val="18"/>
          <w:szCs w:val="18"/>
          <w:lang w:val="el-GR"/>
        </w:rPr>
        <w:t>3</w:t>
      </w:r>
      <w:r w:rsidRPr="00FF3BC5">
        <w:rPr>
          <w:rFonts w:ascii="Verdana" w:hAnsi="Verdana" w:cs="Arial"/>
          <w:sz w:val="18"/>
          <w:szCs w:val="18"/>
          <w:lang w:val="el-GR"/>
        </w:rPr>
        <w:t xml:space="preserve"> στα </w:t>
      </w:r>
      <w:r w:rsidR="00E16CEF">
        <w:rPr>
          <w:rFonts w:ascii="Verdana" w:hAnsi="Verdana" w:cs="Arial"/>
          <w:sz w:val="18"/>
          <w:szCs w:val="18"/>
          <w:lang w:val="el-GR"/>
        </w:rPr>
        <w:t>20</w:t>
      </w:r>
      <w:r w:rsidR="00060C16" w:rsidRPr="00FF3BC5">
        <w:rPr>
          <w:rFonts w:ascii="Verdana" w:hAnsi="Verdana" w:cs="Arial"/>
          <w:sz w:val="18"/>
          <w:szCs w:val="18"/>
          <w:lang w:val="el-GR"/>
        </w:rPr>
        <w:t>.</w:t>
      </w:r>
      <w:r w:rsidR="00E16CEF">
        <w:rPr>
          <w:rFonts w:ascii="Verdana" w:hAnsi="Verdana" w:cs="Arial"/>
          <w:sz w:val="18"/>
          <w:szCs w:val="18"/>
          <w:lang w:val="el-GR"/>
        </w:rPr>
        <w:t>072</w:t>
      </w:r>
      <w:r w:rsidR="00060C16" w:rsidRPr="00FF3BC5">
        <w:rPr>
          <w:rFonts w:ascii="Verdana" w:hAnsi="Verdana" w:cs="Arial"/>
          <w:sz w:val="18"/>
          <w:szCs w:val="18"/>
          <w:lang w:val="el-GR"/>
        </w:rPr>
        <w:t>,</w:t>
      </w:r>
      <w:r w:rsidR="00E16CEF">
        <w:rPr>
          <w:rFonts w:ascii="Verdana" w:hAnsi="Verdana" w:cs="Arial"/>
          <w:sz w:val="18"/>
          <w:szCs w:val="18"/>
          <w:lang w:val="el-GR"/>
        </w:rPr>
        <w:t>1</w:t>
      </w:r>
      <w:r w:rsidRPr="00FF3BC5">
        <w:rPr>
          <w:rFonts w:ascii="Verdana" w:hAnsi="Verdana" w:cs="Arial"/>
          <w:sz w:val="18"/>
          <w:szCs w:val="18"/>
          <w:lang w:val="el-GR"/>
        </w:rPr>
        <w:t xml:space="preserve"> </w:t>
      </w:r>
      <w:r w:rsidR="00060C16" w:rsidRPr="00FF3BC5">
        <w:rPr>
          <w:rFonts w:ascii="Verdana" w:hAnsi="Verdana" w:cs="Arial"/>
          <w:sz w:val="18"/>
          <w:szCs w:val="18"/>
          <w:lang w:val="el-GR"/>
        </w:rPr>
        <w:t>εκ</w:t>
      </w:r>
      <w:r w:rsidRPr="00FF3BC5">
        <w:rPr>
          <w:rFonts w:ascii="Verdana" w:hAnsi="Verdana" w:cs="Arial"/>
          <w:sz w:val="18"/>
          <w:szCs w:val="18"/>
          <w:lang w:val="el-GR"/>
        </w:rPr>
        <w:t xml:space="preserve">. ευρώ με τον σχετικό δείκτη να βρίσκεται στο </w:t>
      </w:r>
      <w:r w:rsidR="00E16CEF">
        <w:rPr>
          <w:rFonts w:ascii="Verdana" w:hAnsi="Verdana" w:cs="Arial"/>
          <w:sz w:val="18"/>
          <w:szCs w:val="18"/>
          <w:lang w:val="el-GR"/>
        </w:rPr>
        <w:t>64</w:t>
      </w:r>
      <w:r w:rsidRPr="00FF3BC5">
        <w:rPr>
          <w:rFonts w:ascii="Verdana" w:hAnsi="Verdana" w:cs="Arial"/>
          <w:sz w:val="18"/>
          <w:szCs w:val="18"/>
          <w:lang w:val="el-GR"/>
        </w:rPr>
        <w:t>,</w:t>
      </w:r>
      <w:r w:rsidR="00E16CEF">
        <w:rPr>
          <w:rFonts w:ascii="Verdana" w:hAnsi="Verdana" w:cs="Arial"/>
          <w:sz w:val="18"/>
          <w:szCs w:val="18"/>
          <w:lang w:val="el-GR"/>
        </w:rPr>
        <w:t>0</w:t>
      </w:r>
      <w:r w:rsidRPr="00FF3BC5">
        <w:rPr>
          <w:rFonts w:ascii="Verdana" w:hAnsi="Verdana" w:cs="Arial"/>
          <w:sz w:val="18"/>
          <w:szCs w:val="18"/>
          <w:lang w:val="el-GR"/>
        </w:rPr>
        <w:t>% του Ακαθάριστου Εγχώριου Προϊόντος (ΑΕΠ).</w:t>
      </w:r>
    </w:p>
    <w:p w14:paraId="1DDC1932" w14:textId="77777777" w:rsidR="00E710DD" w:rsidRPr="00FF3BC5" w:rsidRDefault="00E710DD" w:rsidP="00FF3BC5">
      <w:pPr>
        <w:autoSpaceDE w:val="0"/>
        <w:autoSpaceDN w:val="0"/>
        <w:adjustRightInd w:val="0"/>
        <w:jc w:val="both"/>
        <w:rPr>
          <w:rFonts w:ascii="Verdana" w:hAnsi="Verdana" w:cs="Arial"/>
          <w:sz w:val="18"/>
          <w:szCs w:val="18"/>
          <w:lang w:val="el-GR"/>
        </w:rPr>
      </w:pPr>
    </w:p>
    <w:p w14:paraId="1FBF4D89" w14:textId="4BA3026F" w:rsidR="00E710DD" w:rsidRPr="00FF3BC5" w:rsidRDefault="00E710DD" w:rsidP="00FF3BC5">
      <w:pPr>
        <w:autoSpaceDE w:val="0"/>
        <w:autoSpaceDN w:val="0"/>
        <w:adjustRightInd w:val="0"/>
        <w:jc w:val="both"/>
        <w:rPr>
          <w:rFonts w:ascii="Verdana" w:hAnsi="Verdana" w:cs="Arial"/>
          <w:sz w:val="18"/>
          <w:szCs w:val="18"/>
          <w:lang w:val="el-GR"/>
        </w:rPr>
      </w:pPr>
      <w:r w:rsidRPr="00FF3BC5">
        <w:rPr>
          <w:rFonts w:ascii="Verdana" w:hAnsi="Verdana" w:cs="Arial"/>
          <w:sz w:val="18"/>
          <w:szCs w:val="18"/>
          <w:lang w:val="el-GR"/>
        </w:rPr>
        <w:t xml:space="preserve">Το αντίστοιχο ενεργητικό των μη χρηματοοικονομικών εταιρειών ανήλθε στα </w:t>
      </w:r>
      <w:r w:rsidR="00872A18">
        <w:rPr>
          <w:rFonts w:ascii="Verdana" w:hAnsi="Verdana" w:cs="Arial"/>
          <w:sz w:val="18"/>
          <w:szCs w:val="18"/>
          <w:lang w:val="el-GR"/>
        </w:rPr>
        <w:t>71</w:t>
      </w:r>
      <w:r w:rsidR="009D2DAA" w:rsidRPr="00FF3BC5">
        <w:rPr>
          <w:rFonts w:ascii="Verdana" w:hAnsi="Verdana" w:cs="Arial"/>
          <w:sz w:val="18"/>
          <w:szCs w:val="18"/>
          <w:lang w:val="el-GR"/>
        </w:rPr>
        <w:t>.</w:t>
      </w:r>
      <w:r w:rsidR="00872A18">
        <w:rPr>
          <w:rFonts w:ascii="Verdana" w:hAnsi="Verdana" w:cs="Arial"/>
          <w:sz w:val="18"/>
          <w:szCs w:val="18"/>
          <w:lang w:val="el-GR"/>
        </w:rPr>
        <w:t>954</w:t>
      </w:r>
      <w:r w:rsidR="009D2DAA" w:rsidRPr="00FF3BC5">
        <w:rPr>
          <w:rFonts w:ascii="Verdana" w:hAnsi="Verdana" w:cs="Arial"/>
          <w:sz w:val="18"/>
          <w:szCs w:val="18"/>
          <w:lang w:val="el-GR"/>
        </w:rPr>
        <w:t>,6</w:t>
      </w:r>
      <w:r w:rsidRPr="00FF3BC5">
        <w:rPr>
          <w:rFonts w:ascii="Verdana" w:hAnsi="Verdana" w:cs="Arial"/>
          <w:sz w:val="18"/>
          <w:szCs w:val="18"/>
          <w:lang w:val="el-GR"/>
        </w:rPr>
        <w:t xml:space="preserve"> </w:t>
      </w:r>
      <w:r w:rsidR="009D2DAA" w:rsidRPr="00FF3BC5">
        <w:rPr>
          <w:rFonts w:ascii="Verdana" w:hAnsi="Verdana" w:cs="Arial"/>
          <w:sz w:val="18"/>
          <w:szCs w:val="18"/>
          <w:lang w:val="el-GR"/>
        </w:rPr>
        <w:t>εκ</w:t>
      </w:r>
      <w:r w:rsidRPr="00FF3BC5">
        <w:rPr>
          <w:rFonts w:ascii="Verdana" w:hAnsi="Verdana" w:cs="Arial"/>
          <w:sz w:val="18"/>
          <w:szCs w:val="18"/>
          <w:lang w:val="el-GR"/>
        </w:rPr>
        <w:t>. ευρώ με αναλογία 1</w:t>
      </w:r>
      <w:r w:rsidR="00872A18">
        <w:rPr>
          <w:rFonts w:ascii="Verdana" w:hAnsi="Verdana" w:cs="Arial"/>
          <w:sz w:val="18"/>
          <w:szCs w:val="18"/>
          <w:lang w:val="el-GR"/>
        </w:rPr>
        <w:t>7</w:t>
      </w:r>
      <w:r w:rsidRPr="00FF3BC5">
        <w:rPr>
          <w:rFonts w:ascii="Verdana" w:hAnsi="Verdana" w:cs="Arial"/>
          <w:sz w:val="18"/>
          <w:szCs w:val="18"/>
          <w:lang w:val="el-GR"/>
        </w:rPr>
        <w:t>,</w:t>
      </w:r>
      <w:r w:rsidR="00872A18">
        <w:rPr>
          <w:rFonts w:ascii="Verdana" w:hAnsi="Verdana" w:cs="Arial"/>
          <w:sz w:val="18"/>
          <w:szCs w:val="18"/>
          <w:lang w:val="el-GR"/>
        </w:rPr>
        <w:t>4</w:t>
      </w:r>
      <w:r w:rsidRPr="00FF3BC5">
        <w:rPr>
          <w:rFonts w:ascii="Verdana" w:hAnsi="Verdana" w:cs="Arial"/>
          <w:sz w:val="18"/>
          <w:szCs w:val="18"/>
          <w:lang w:val="el-GR"/>
        </w:rPr>
        <w:t xml:space="preserve">% σε μετρητά και καταθέσεις, </w:t>
      </w:r>
      <w:r w:rsidR="00872A18">
        <w:rPr>
          <w:rFonts w:ascii="Verdana" w:hAnsi="Verdana" w:cs="Arial"/>
          <w:sz w:val="18"/>
          <w:szCs w:val="18"/>
          <w:lang w:val="el-GR"/>
        </w:rPr>
        <w:t>6</w:t>
      </w:r>
      <w:r w:rsidRPr="00FF3BC5">
        <w:rPr>
          <w:rFonts w:ascii="Verdana" w:hAnsi="Verdana" w:cs="Arial"/>
          <w:sz w:val="18"/>
          <w:szCs w:val="18"/>
          <w:lang w:val="el-GR"/>
        </w:rPr>
        <w:t>,</w:t>
      </w:r>
      <w:r w:rsidR="00872A18">
        <w:rPr>
          <w:rFonts w:ascii="Verdana" w:hAnsi="Verdana" w:cs="Arial"/>
          <w:sz w:val="18"/>
          <w:szCs w:val="18"/>
          <w:lang w:val="el-GR"/>
        </w:rPr>
        <w:t>9</w:t>
      </w:r>
      <w:r w:rsidRPr="00FF3BC5">
        <w:rPr>
          <w:rFonts w:ascii="Verdana" w:hAnsi="Verdana" w:cs="Arial"/>
          <w:sz w:val="18"/>
          <w:szCs w:val="18"/>
          <w:lang w:val="el-GR"/>
        </w:rPr>
        <w:t>% σε δάνεια, 0,</w:t>
      </w:r>
      <w:r w:rsidR="00872A18">
        <w:rPr>
          <w:rFonts w:ascii="Verdana" w:hAnsi="Verdana" w:cs="Arial"/>
          <w:sz w:val="18"/>
          <w:szCs w:val="18"/>
          <w:lang w:val="el-GR"/>
        </w:rPr>
        <w:t>5</w:t>
      </w:r>
      <w:r w:rsidRPr="00FF3BC5">
        <w:rPr>
          <w:rFonts w:ascii="Verdana" w:hAnsi="Verdana" w:cs="Arial"/>
          <w:sz w:val="18"/>
          <w:szCs w:val="18"/>
          <w:lang w:val="el-GR"/>
        </w:rPr>
        <w:t>% σε χρεόγραφα, 4</w:t>
      </w:r>
      <w:r w:rsidR="00872A18">
        <w:rPr>
          <w:rFonts w:ascii="Verdana" w:hAnsi="Verdana" w:cs="Arial"/>
          <w:sz w:val="18"/>
          <w:szCs w:val="18"/>
          <w:lang w:val="el-GR"/>
        </w:rPr>
        <w:t>2</w:t>
      </w:r>
      <w:r w:rsidRPr="00FF3BC5">
        <w:rPr>
          <w:rFonts w:ascii="Verdana" w:hAnsi="Verdana" w:cs="Arial"/>
          <w:sz w:val="18"/>
          <w:szCs w:val="18"/>
          <w:lang w:val="el-GR"/>
        </w:rPr>
        <w:t>,</w:t>
      </w:r>
      <w:r w:rsidR="00872A18">
        <w:rPr>
          <w:rFonts w:ascii="Verdana" w:hAnsi="Verdana" w:cs="Arial"/>
          <w:sz w:val="18"/>
          <w:szCs w:val="18"/>
          <w:lang w:val="el-GR"/>
        </w:rPr>
        <w:t>6</w:t>
      </w:r>
      <w:r w:rsidRPr="00FF3BC5">
        <w:rPr>
          <w:rFonts w:ascii="Verdana" w:hAnsi="Verdana" w:cs="Arial"/>
          <w:sz w:val="18"/>
          <w:szCs w:val="18"/>
          <w:lang w:val="el-GR"/>
        </w:rPr>
        <w:t xml:space="preserve">% σε μετοχές και </w:t>
      </w:r>
      <w:r w:rsidR="00872A18">
        <w:rPr>
          <w:rFonts w:ascii="Verdana" w:hAnsi="Verdana" w:cs="Arial"/>
          <w:sz w:val="18"/>
          <w:szCs w:val="18"/>
          <w:lang w:val="el-GR"/>
        </w:rPr>
        <w:t>32</w:t>
      </w:r>
      <w:r w:rsidRPr="00FF3BC5">
        <w:rPr>
          <w:rFonts w:ascii="Verdana" w:hAnsi="Verdana" w:cs="Arial"/>
          <w:sz w:val="18"/>
          <w:szCs w:val="18"/>
          <w:lang w:val="el-GR"/>
        </w:rPr>
        <w:t>,</w:t>
      </w:r>
      <w:r w:rsidR="00872A18">
        <w:rPr>
          <w:rFonts w:ascii="Verdana" w:hAnsi="Verdana" w:cs="Arial"/>
          <w:sz w:val="18"/>
          <w:szCs w:val="18"/>
          <w:lang w:val="el-GR"/>
        </w:rPr>
        <w:t>0</w:t>
      </w:r>
      <w:r w:rsidRPr="00FF3BC5">
        <w:rPr>
          <w:rFonts w:ascii="Verdana" w:hAnsi="Verdana" w:cs="Arial"/>
          <w:sz w:val="18"/>
          <w:szCs w:val="18"/>
          <w:lang w:val="el-GR"/>
        </w:rPr>
        <w:t xml:space="preserve">% σε λοιπά χρηματοοικονομικά στοιχεία. </w:t>
      </w:r>
      <w:r w:rsidR="004035B0" w:rsidRPr="004035B0">
        <w:rPr>
          <w:rFonts w:ascii="Verdana" w:hAnsi="Verdana" w:cs="Arial"/>
          <w:sz w:val="18"/>
          <w:szCs w:val="18"/>
          <w:lang w:val="el-GR"/>
        </w:rPr>
        <w:t>Το ύψος των δανείων του τομέα</w:t>
      </w:r>
      <w:r w:rsidR="004035B0">
        <w:rPr>
          <w:rFonts w:ascii="Verdana" w:hAnsi="Verdana" w:cs="Arial"/>
          <w:sz w:val="18"/>
          <w:szCs w:val="18"/>
          <w:lang w:val="el-GR"/>
        </w:rPr>
        <w:t xml:space="preserve"> </w:t>
      </w:r>
      <w:r w:rsidRPr="00FF3BC5">
        <w:rPr>
          <w:rFonts w:ascii="Verdana" w:hAnsi="Verdana" w:cs="Arial"/>
          <w:sz w:val="18"/>
          <w:szCs w:val="18"/>
          <w:lang w:val="el-GR"/>
        </w:rPr>
        <w:t>στο τέλος Δεκεμβρίου 202</w:t>
      </w:r>
      <w:r w:rsidR="00E16637">
        <w:rPr>
          <w:rFonts w:ascii="Verdana" w:hAnsi="Verdana" w:cs="Arial"/>
          <w:sz w:val="18"/>
          <w:szCs w:val="18"/>
          <w:lang w:val="el-GR"/>
        </w:rPr>
        <w:t>3</w:t>
      </w:r>
      <w:r w:rsidRPr="00FF3BC5">
        <w:rPr>
          <w:rFonts w:ascii="Verdana" w:hAnsi="Verdana" w:cs="Arial"/>
          <w:sz w:val="18"/>
          <w:szCs w:val="18"/>
          <w:lang w:val="el-GR"/>
        </w:rPr>
        <w:t xml:space="preserve"> ανήλθε στα </w:t>
      </w:r>
      <w:r w:rsidR="00E16637">
        <w:rPr>
          <w:rFonts w:ascii="Verdana" w:hAnsi="Verdana" w:cs="Arial"/>
          <w:sz w:val="18"/>
          <w:szCs w:val="18"/>
          <w:lang w:val="el-GR"/>
        </w:rPr>
        <w:t>42</w:t>
      </w:r>
      <w:r w:rsidR="009D2DAA" w:rsidRPr="00FF3BC5">
        <w:rPr>
          <w:rFonts w:ascii="Verdana" w:hAnsi="Verdana" w:cs="Arial"/>
          <w:sz w:val="18"/>
          <w:szCs w:val="18"/>
          <w:lang w:val="el-GR"/>
        </w:rPr>
        <w:t>.</w:t>
      </w:r>
      <w:r w:rsidR="00E16637">
        <w:rPr>
          <w:rFonts w:ascii="Verdana" w:hAnsi="Verdana" w:cs="Arial"/>
          <w:sz w:val="18"/>
          <w:szCs w:val="18"/>
          <w:lang w:val="el-GR"/>
        </w:rPr>
        <w:t>088</w:t>
      </w:r>
      <w:r w:rsidR="009D2DAA" w:rsidRPr="00FF3BC5">
        <w:rPr>
          <w:rFonts w:ascii="Verdana" w:hAnsi="Verdana" w:cs="Arial"/>
          <w:sz w:val="18"/>
          <w:szCs w:val="18"/>
          <w:lang w:val="el-GR"/>
        </w:rPr>
        <w:t>,</w:t>
      </w:r>
      <w:r w:rsidR="00E16637">
        <w:rPr>
          <w:rFonts w:ascii="Verdana" w:hAnsi="Verdana" w:cs="Arial"/>
          <w:sz w:val="18"/>
          <w:szCs w:val="18"/>
          <w:lang w:val="el-GR"/>
        </w:rPr>
        <w:t>3</w:t>
      </w:r>
      <w:r w:rsidRPr="00FF3BC5">
        <w:rPr>
          <w:rFonts w:ascii="Verdana" w:hAnsi="Verdana" w:cs="Arial"/>
          <w:sz w:val="18"/>
          <w:szCs w:val="18"/>
          <w:lang w:val="el-GR"/>
        </w:rPr>
        <w:t xml:space="preserve"> </w:t>
      </w:r>
      <w:r w:rsidR="009D2DAA" w:rsidRPr="00FF3BC5">
        <w:rPr>
          <w:rFonts w:ascii="Verdana" w:hAnsi="Verdana" w:cs="Arial"/>
          <w:sz w:val="18"/>
          <w:szCs w:val="18"/>
          <w:lang w:val="el-GR"/>
        </w:rPr>
        <w:t>εκ</w:t>
      </w:r>
      <w:r w:rsidRPr="00FF3BC5">
        <w:rPr>
          <w:rFonts w:ascii="Verdana" w:hAnsi="Verdana" w:cs="Arial"/>
          <w:sz w:val="18"/>
          <w:szCs w:val="18"/>
          <w:lang w:val="el-GR"/>
        </w:rPr>
        <w:t>. ευρώ με το δείκτη χρέους να βρίσκεται στο 1</w:t>
      </w:r>
      <w:r w:rsidR="00E16637">
        <w:rPr>
          <w:rFonts w:ascii="Verdana" w:hAnsi="Verdana" w:cs="Arial"/>
          <w:sz w:val="18"/>
          <w:szCs w:val="18"/>
          <w:lang w:val="el-GR"/>
        </w:rPr>
        <w:t>34</w:t>
      </w:r>
      <w:r w:rsidRPr="00FF3BC5">
        <w:rPr>
          <w:rFonts w:ascii="Verdana" w:hAnsi="Verdana" w:cs="Arial"/>
          <w:sz w:val="18"/>
          <w:szCs w:val="18"/>
          <w:lang w:val="el-GR"/>
        </w:rPr>
        <w:t>,</w:t>
      </w:r>
      <w:r w:rsidR="00E16637">
        <w:rPr>
          <w:rFonts w:ascii="Verdana" w:hAnsi="Verdana" w:cs="Arial"/>
          <w:sz w:val="18"/>
          <w:szCs w:val="18"/>
          <w:lang w:val="el-GR"/>
        </w:rPr>
        <w:t>3</w:t>
      </w:r>
      <w:r w:rsidRPr="00FF3BC5">
        <w:rPr>
          <w:rFonts w:ascii="Verdana" w:hAnsi="Verdana" w:cs="Arial"/>
          <w:sz w:val="18"/>
          <w:szCs w:val="18"/>
          <w:lang w:val="el-GR"/>
        </w:rPr>
        <w:t>% του ΑΕΠ.</w:t>
      </w:r>
    </w:p>
    <w:p w14:paraId="111EEDA0" w14:textId="77777777" w:rsidR="00081C47" w:rsidRDefault="00081C47" w:rsidP="00FF3BC5">
      <w:pPr>
        <w:jc w:val="both"/>
        <w:rPr>
          <w:rFonts w:ascii="Verdana" w:hAnsi="Verdana" w:cs="Arial"/>
          <w:sz w:val="18"/>
          <w:szCs w:val="18"/>
          <w:lang w:val="el-GR"/>
        </w:rPr>
      </w:pPr>
    </w:p>
    <w:tbl>
      <w:tblPr>
        <w:tblW w:w="10206" w:type="dxa"/>
        <w:jc w:val="center"/>
        <w:tblLook w:val="04A0" w:firstRow="1" w:lastRow="0" w:firstColumn="1" w:lastColumn="0" w:noHBand="0" w:noVBand="1"/>
      </w:tblPr>
      <w:tblGrid>
        <w:gridCol w:w="1599"/>
        <w:gridCol w:w="1334"/>
        <w:gridCol w:w="1245"/>
        <w:gridCol w:w="1405"/>
        <w:gridCol w:w="1347"/>
        <w:gridCol w:w="1199"/>
        <w:gridCol w:w="1628"/>
        <w:gridCol w:w="1242"/>
      </w:tblGrid>
      <w:tr w:rsidR="00A543F4" w:rsidRPr="00A543F4" w14:paraId="730F951C" w14:textId="77777777" w:rsidTr="00110FB3">
        <w:trPr>
          <w:trHeight w:val="315"/>
          <w:jc w:val="center"/>
        </w:trPr>
        <w:tc>
          <w:tcPr>
            <w:tcW w:w="1380" w:type="dxa"/>
            <w:tcBorders>
              <w:top w:val="nil"/>
              <w:left w:val="nil"/>
              <w:bottom w:val="single" w:sz="8" w:space="0" w:color="2F5496"/>
              <w:right w:val="nil"/>
            </w:tcBorders>
            <w:shd w:val="clear" w:color="auto" w:fill="auto"/>
            <w:vAlign w:val="center"/>
            <w:hideMark/>
          </w:tcPr>
          <w:p w14:paraId="7FF0DA5B" w14:textId="77777777" w:rsidR="00A543F4" w:rsidRPr="00A543F4" w:rsidRDefault="00A543F4" w:rsidP="00A543F4">
            <w:pPr>
              <w:jc w:val="both"/>
              <w:rPr>
                <w:rFonts w:ascii="Verdana" w:eastAsia="Times New Roman" w:hAnsi="Verdana" w:cs="Calibri"/>
                <w:b/>
                <w:bCs/>
                <w:color w:val="2F5496"/>
                <w:sz w:val="18"/>
                <w:szCs w:val="18"/>
                <w:lang w:val="en-CY" w:eastAsia="en-CY"/>
              </w:rPr>
            </w:pPr>
            <w:proofErr w:type="spellStart"/>
            <w:r w:rsidRPr="00A543F4">
              <w:rPr>
                <w:rFonts w:ascii="Verdana" w:eastAsia="Times New Roman" w:hAnsi="Verdana" w:cs="Calibri"/>
                <w:b/>
                <w:bCs/>
                <w:color w:val="2F5496"/>
                <w:sz w:val="18"/>
                <w:szCs w:val="18"/>
                <w:lang w:val="en-CY" w:eastAsia="en-CY"/>
              </w:rPr>
              <w:t>Πίν</w:t>
            </w:r>
            <w:proofErr w:type="spellEnd"/>
            <w:r w:rsidRPr="00A543F4">
              <w:rPr>
                <w:rFonts w:ascii="Verdana" w:eastAsia="Times New Roman" w:hAnsi="Verdana" w:cs="Calibri"/>
                <w:b/>
                <w:bCs/>
                <w:color w:val="2F5496"/>
                <w:sz w:val="18"/>
                <w:szCs w:val="18"/>
                <w:lang w:val="en-CY" w:eastAsia="en-CY"/>
              </w:rPr>
              <w:t>ακας</w:t>
            </w:r>
          </w:p>
        </w:tc>
        <w:tc>
          <w:tcPr>
            <w:tcW w:w="1140" w:type="dxa"/>
            <w:tcBorders>
              <w:top w:val="nil"/>
              <w:left w:val="nil"/>
              <w:bottom w:val="single" w:sz="8" w:space="0" w:color="2F5496"/>
              <w:right w:val="nil"/>
            </w:tcBorders>
            <w:shd w:val="clear" w:color="auto" w:fill="auto"/>
            <w:vAlign w:val="center"/>
            <w:hideMark/>
          </w:tcPr>
          <w:p w14:paraId="55F5E42C"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c>
          <w:tcPr>
            <w:tcW w:w="1300" w:type="dxa"/>
            <w:tcBorders>
              <w:top w:val="nil"/>
              <w:left w:val="nil"/>
              <w:bottom w:val="single" w:sz="8" w:space="0" w:color="2F5496"/>
              <w:right w:val="nil"/>
            </w:tcBorders>
            <w:shd w:val="clear" w:color="auto" w:fill="auto"/>
            <w:vAlign w:val="center"/>
            <w:hideMark/>
          </w:tcPr>
          <w:p w14:paraId="553F436D"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c>
          <w:tcPr>
            <w:tcW w:w="1280" w:type="dxa"/>
            <w:tcBorders>
              <w:top w:val="nil"/>
              <w:left w:val="nil"/>
              <w:bottom w:val="single" w:sz="8" w:space="0" w:color="2F5496"/>
              <w:right w:val="nil"/>
            </w:tcBorders>
            <w:shd w:val="clear" w:color="auto" w:fill="auto"/>
            <w:vAlign w:val="center"/>
            <w:hideMark/>
          </w:tcPr>
          <w:p w14:paraId="770A8576"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c>
          <w:tcPr>
            <w:tcW w:w="1160" w:type="dxa"/>
            <w:tcBorders>
              <w:top w:val="nil"/>
              <w:left w:val="nil"/>
              <w:bottom w:val="single" w:sz="8" w:space="0" w:color="2F5496"/>
              <w:right w:val="nil"/>
            </w:tcBorders>
            <w:shd w:val="clear" w:color="auto" w:fill="auto"/>
            <w:vAlign w:val="center"/>
            <w:hideMark/>
          </w:tcPr>
          <w:p w14:paraId="69AEEA0A"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c>
          <w:tcPr>
            <w:tcW w:w="1180" w:type="dxa"/>
            <w:tcBorders>
              <w:top w:val="nil"/>
              <w:left w:val="nil"/>
              <w:bottom w:val="single" w:sz="8" w:space="0" w:color="2F5496"/>
              <w:right w:val="nil"/>
            </w:tcBorders>
            <w:shd w:val="clear" w:color="auto" w:fill="auto"/>
            <w:vAlign w:val="center"/>
            <w:hideMark/>
          </w:tcPr>
          <w:p w14:paraId="76556A4E"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c>
          <w:tcPr>
            <w:tcW w:w="1440" w:type="dxa"/>
            <w:tcBorders>
              <w:top w:val="nil"/>
              <w:left w:val="nil"/>
              <w:bottom w:val="single" w:sz="8" w:space="0" w:color="2F5496"/>
              <w:right w:val="nil"/>
            </w:tcBorders>
            <w:shd w:val="clear" w:color="auto" w:fill="auto"/>
            <w:vAlign w:val="center"/>
            <w:hideMark/>
          </w:tcPr>
          <w:p w14:paraId="45DC2906"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c>
          <w:tcPr>
            <w:tcW w:w="1160" w:type="dxa"/>
            <w:tcBorders>
              <w:top w:val="nil"/>
              <w:left w:val="nil"/>
              <w:bottom w:val="single" w:sz="8" w:space="0" w:color="2F5496"/>
              <w:right w:val="nil"/>
            </w:tcBorders>
            <w:shd w:val="clear" w:color="auto" w:fill="auto"/>
            <w:vAlign w:val="center"/>
            <w:hideMark/>
          </w:tcPr>
          <w:p w14:paraId="2A1E9A3B" w14:textId="77777777" w:rsidR="00A543F4" w:rsidRPr="00A543F4" w:rsidRDefault="00A543F4" w:rsidP="00A543F4">
            <w:pPr>
              <w:jc w:val="center"/>
              <w:rPr>
                <w:rFonts w:ascii="Verdana" w:eastAsia="Times New Roman" w:hAnsi="Verdana" w:cs="Calibri"/>
                <w:b/>
                <w:bCs/>
                <w:color w:val="2F5496"/>
                <w:sz w:val="18"/>
                <w:szCs w:val="18"/>
                <w:lang w:val="en-CY" w:eastAsia="en-CY"/>
              </w:rPr>
            </w:pPr>
            <w:r w:rsidRPr="00A543F4">
              <w:rPr>
                <w:rFonts w:ascii="Verdana" w:eastAsia="Times New Roman" w:hAnsi="Verdana" w:cs="Calibri"/>
                <w:b/>
                <w:bCs/>
                <w:color w:val="2F5496"/>
                <w:sz w:val="18"/>
                <w:szCs w:val="18"/>
                <w:lang w:val="en-CY" w:eastAsia="en-CY"/>
              </w:rPr>
              <w:t> </w:t>
            </w:r>
          </w:p>
        </w:tc>
      </w:tr>
      <w:tr w:rsidR="00A543F4" w:rsidRPr="00A543F4" w14:paraId="3867C584" w14:textId="77777777" w:rsidTr="00110FB3">
        <w:trPr>
          <w:trHeight w:val="315"/>
          <w:jc w:val="center"/>
        </w:trPr>
        <w:tc>
          <w:tcPr>
            <w:tcW w:w="1380" w:type="dxa"/>
            <w:vMerge w:val="restart"/>
            <w:tcBorders>
              <w:top w:val="nil"/>
              <w:left w:val="nil"/>
              <w:bottom w:val="single" w:sz="8" w:space="0" w:color="2F5496"/>
              <w:right w:val="nil"/>
            </w:tcBorders>
            <w:shd w:val="clear" w:color="auto" w:fill="auto"/>
            <w:vAlign w:val="center"/>
            <w:hideMark/>
          </w:tcPr>
          <w:p w14:paraId="37D83E8C" w14:textId="77777777" w:rsidR="00A543F4" w:rsidRPr="00110FB3" w:rsidRDefault="00A543F4" w:rsidP="00A543F4">
            <w:pPr>
              <w:jc w:val="center"/>
              <w:rPr>
                <w:rFonts w:ascii="Verdana" w:eastAsia="Times New Roman" w:hAnsi="Verdana" w:cs="Calibri"/>
                <w:b/>
                <w:bCs/>
                <w:color w:val="2F5496"/>
                <w:sz w:val="18"/>
                <w:szCs w:val="18"/>
                <w:lang w:val="en-CY" w:eastAsia="en-CY"/>
              </w:rPr>
            </w:pPr>
            <w:proofErr w:type="spellStart"/>
            <w:r w:rsidRPr="00110FB3">
              <w:rPr>
                <w:rFonts w:ascii="Verdana" w:eastAsia="Times New Roman" w:hAnsi="Verdana" w:cs="Calibri"/>
                <w:b/>
                <w:bCs/>
                <w:color w:val="2F5496"/>
                <w:sz w:val="18"/>
                <w:szCs w:val="18"/>
                <w:lang w:val="en-CY" w:eastAsia="en-CY"/>
              </w:rPr>
              <w:t>Χρημ</w:t>
            </w:r>
            <w:proofErr w:type="spellEnd"/>
            <w:r w:rsidRPr="00110FB3">
              <w:rPr>
                <w:rFonts w:ascii="Verdana" w:eastAsia="Times New Roman" w:hAnsi="Verdana" w:cs="Calibri"/>
                <w:b/>
                <w:bCs/>
                <w:color w:val="2F5496"/>
                <w:sz w:val="18"/>
                <w:szCs w:val="18"/>
                <w:lang w:val="en-CY" w:eastAsia="en-CY"/>
              </w:rPr>
              <w:t xml:space="preserve">ατοοικο-νομικά </w:t>
            </w:r>
            <w:proofErr w:type="spellStart"/>
            <w:r w:rsidRPr="00110FB3">
              <w:rPr>
                <w:rFonts w:ascii="Verdana" w:eastAsia="Times New Roman" w:hAnsi="Verdana" w:cs="Calibri"/>
                <w:b/>
                <w:bCs/>
                <w:color w:val="2F5496"/>
                <w:sz w:val="18"/>
                <w:szCs w:val="18"/>
                <w:lang w:val="en-CY" w:eastAsia="en-CY"/>
              </w:rPr>
              <w:t>Μέσ</w:t>
            </w:r>
            <w:proofErr w:type="spellEnd"/>
            <w:r w:rsidRPr="00110FB3">
              <w:rPr>
                <w:rFonts w:ascii="Verdana" w:eastAsia="Times New Roman" w:hAnsi="Verdana" w:cs="Calibri"/>
                <w:b/>
                <w:bCs/>
                <w:color w:val="2F5496"/>
                <w:sz w:val="18"/>
                <w:szCs w:val="18"/>
                <w:lang w:val="en-CY" w:eastAsia="en-CY"/>
              </w:rPr>
              <w:t>α (Απ</w:t>
            </w:r>
            <w:proofErr w:type="spellStart"/>
            <w:r w:rsidRPr="00110FB3">
              <w:rPr>
                <w:rFonts w:ascii="Verdana" w:eastAsia="Times New Roman" w:hAnsi="Verdana" w:cs="Calibri"/>
                <w:b/>
                <w:bCs/>
                <w:color w:val="2F5496"/>
                <w:sz w:val="18"/>
                <w:szCs w:val="18"/>
                <w:lang w:val="en-CY" w:eastAsia="en-CY"/>
              </w:rPr>
              <w:t>οθέμ</w:t>
            </w:r>
            <w:proofErr w:type="spellEnd"/>
            <w:r w:rsidRPr="00110FB3">
              <w:rPr>
                <w:rFonts w:ascii="Verdana" w:eastAsia="Times New Roman" w:hAnsi="Verdana" w:cs="Calibri"/>
                <w:b/>
                <w:bCs/>
                <w:color w:val="2F5496"/>
                <w:sz w:val="18"/>
                <w:szCs w:val="18"/>
                <w:lang w:val="en-CY" w:eastAsia="en-CY"/>
              </w:rPr>
              <w:t>ατα)</w:t>
            </w:r>
          </w:p>
        </w:tc>
        <w:tc>
          <w:tcPr>
            <w:tcW w:w="8660" w:type="dxa"/>
            <w:gridSpan w:val="7"/>
            <w:tcBorders>
              <w:top w:val="single" w:sz="8" w:space="0" w:color="2F5496"/>
              <w:left w:val="nil"/>
              <w:bottom w:val="single" w:sz="8" w:space="0" w:color="2F5496"/>
              <w:right w:val="nil"/>
            </w:tcBorders>
            <w:shd w:val="clear" w:color="auto" w:fill="auto"/>
            <w:vAlign w:val="center"/>
            <w:hideMark/>
          </w:tcPr>
          <w:p w14:paraId="7DE43F92" w14:textId="77777777" w:rsidR="00A543F4" w:rsidRPr="00110FB3" w:rsidRDefault="00A543F4" w:rsidP="00A543F4">
            <w:pPr>
              <w:jc w:val="center"/>
              <w:rPr>
                <w:rFonts w:ascii="Verdana" w:eastAsia="Times New Roman" w:hAnsi="Verdana" w:cs="Calibri"/>
                <w:b/>
                <w:bCs/>
                <w:color w:val="2F5496"/>
                <w:sz w:val="18"/>
                <w:szCs w:val="18"/>
                <w:lang w:val="en-CY" w:eastAsia="en-CY"/>
              </w:rPr>
            </w:pPr>
            <w:proofErr w:type="spellStart"/>
            <w:r w:rsidRPr="00110FB3">
              <w:rPr>
                <w:rFonts w:ascii="Verdana" w:eastAsia="Times New Roman" w:hAnsi="Verdana" w:cs="Calibri"/>
                <w:b/>
                <w:bCs/>
                <w:color w:val="2F5496"/>
                <w:sz w:val="18"/>
                <w:szCs w:val="18"/>
                <w:lang w:val="en-CY" w:eastAsia="en-CY"/>
              </w:rPr>
              <w:t>Θεσμικοί</w:t>
            </w:r>
            <w:proofErr w:type="spellEnd"/>
            <w:r w:rsidRPr="00110FB3">
              <w:rPr>
                <w:rFonts w:ascii="Verdana" w:eastAsia="Times New Roman" w:hAnsi="Verdana" w:cs="Calibri"/>
                <w:b/>
                <w:bCs/>
                <w:color w:val="2F5496"/>
                <w:sz w:val="18"/>
                <w:szCs w:val="18"/>
                <w:lang w:val="en-CY" w:eastAsia="en-CY"/>
              </w:rPr>
              <w:t xml:space="preserve"> </w:t>
            </w:r>
            <w:proofErr w:type="spellStart"/>
            <w:r w:rsidRPr="00110FB3">
              <w:rPr>
                <w:rFonts w:ascii="Verdana" w:eastAsia="Times New Roman" w:hAnsi="Verdana" w:cs="Calibri"/>
                <w:b/>
                <w:bCs/>
                <w:color w:val="2F5496"/>
                <w:sz w:val="18"/>
                <w:szCs w:val="18"/>
                <w:lang w:val="en-CY" w:eastAsia="en-CY"/>
              </w:rPr>
              <w:t>Τομείς</w:t>
            </w:r>
            <w:proofErr w:type="spellEnd"/>
            <w:r w:rsidRPr="00110FB3">
              <w:rPr>
                <w:rFonts w:ascii="Verdana" w:eastAsia="Times New Roman" w:hAnsi="Verdana" w:cs="Calibri"/>
                <w:b/>
                <w:bCs/>
                <w:color w:val="2F5496"/>
                <w:sz w:val="18"/>
                <w:szCs w:val="18"/>
                <w:lang w:val="en-CY" w:eastAsia="en-CY"/>
              </w:rPr>
              <w:t xml:space="preserve"> 2023 (€</w:t>
            </w:r>
            <w:proofErr w:type="spellStart"/>
            <w:r w:rsidRPr="00110FB3">
              <w:rPr>
                <w:rFonts w:ascii="Verdana" w:eastAsia="Times New Roman" w:hAnsi="Verdana" w:cs="Calibri"/>
                <w:b/>
                <w:bCs/>
                <w:color w:val="2F5496"/>
                <w:sz w:val="18"/>
                <w:szCs w:val="18"/>
                <w:lang w:val="en-CY" w:eastAsia="en-CY"/>
              </w:rPr>
              <w:t>εκ</w:t>
            </w:r>
            <w:proofErr w:type="spellEnd"/>
            <w:r w:rsidRPr="00110FB3">
              <w:rPr>
                <w:rFonts w:ascii="Verdana" w:eastAsia="Times New Roman" w:hAnsi="Verdana" w:cs="Calibri"/>
                <w:b/>
                <w:bCs/>
                <w:color w:val="2F5496"/>
                <w:sz w:val="18"/>
                <w:szCs w:val="18"/>
                <w:lang w:val="en-CY" w:eastAsia="en-CY"/>
              </w:rPr>
              <w:t>.)</w:t>
            </w:r>
          </w:p>
        </w:tc>
      </w:tr>
      <w:tr w:rsidR="00A543F4" w:rsidRPr="00A543F4" w14:paraId="1AC6FBE0" w14:textId="77777777" w:rsidTr="006A36C3">
        <w:trPr>
          <w:trHeight w:val="735"/>
          <w:jc w:val="center"/>
        </w:trPr>
        <w:tc>
          <w:tcPr>
            <w:tcW w:w="1380" w:type="dxa"/>
            <w:vMerge/>
            <w:tcBorders>
              <w:top w:val="nil"/>
              <w:left w:val="nil"/>
              <w:bottom w:val="single" w:sz="8" w:space="0" w:color="2F5496"/>
              <w:right w:val="nil"/>
            </w:tcBorders>
            <w:vAlign w:val="center"/>
            <w:hideMark/>
          </w:tcPr>
          <w:p w14:paraId="00112E00" w14:textId="77777777" w:rsidR="00A543F4" w:rsidRPr="00A543F4" w:rsidRDefault="00A543F4" w:rsidP="00A543F4">
            <w:pPr>
              <w:rPr>
                <w:rFonts w:ascii="Verdana" w:eastAsia="Times New Roman" w:hAnsi="Verdana" w:cs="Calibri"/>
                <w:b/>
                <w:bCs/>
                <w:color w:val="2F5496"/>
                <w:sz w:val="16"/>
                <w:szCs w:val="16"/>
                <w:lang w:val="en-CY" w:eastAsia="en-CY"/>
              </w:rPr>
            </w:pPr>
          </w:p>
        </w:tc>
        <w:tc>
          <w:tcPr>
            <w:tcW w:w="1140" w:type="dxa"/>
            <w:tcBorders>
              <w:top w:val="nil"/>
              <w:left w:val="nil"/>
              <w:bottom w:val="single" w:sz="8" w:space="0" w:color="2F5496"/>
              <w:right w:val="nil"/>
            </w:tcBorders>
            <w:shd w:val="clear" w:color="auto" w:fill="auto"/>
            <w:vAlign w:val="center"/>
            <w:hideMark/>
          </w:tcPr>
          <w:p w14:paraId="2E1E6FB2"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Σύνολο</w:t>
            </w:r>
            <w:proofErr w:type="spellEnd"/>
            <w:r w:rsidRPr="006A36C3">
              <w:rPr>
                <w:rFonts w:ascii="Verdana" w:eastAsia="Times New Roman" w:hAnsi="Verdana" w:cs="Calibri"/>
                <w:b/>
                <w:bCs/>
                <w:color w:val="2F5496"/>
                <w:sz w:val="18"/>
                <w:szCs w:val="18"/>
                <w:lang w:val="en-CY" w:eastAsia="en-CY"/>
              </w:rPr>
              <w:t xml:space="preserve"> </w:t>
            </w:r>
            <w:proofErr w:type="spellStart"/>
            <w:r w:rsidRPr="006A36C3">
              <w:rPr>
                <w:rFonts w:ascii="Verdana" w:eastAsia="Times New Roman" w:hAnsi="Verdana" w:cs="Calibri"/>
                <w:b/>
                <w:bCs/>
                <w:color w:val="2F5496"/>
                <w:sz w:val="18"/>
                <w:szCs w:val="18"/>
                <w:lang w:val="en-CY" w:eastAsia="en-CY"/>
              </w:rPr>
              <w:t>Οικονομί</w:t>
            </w:r>
            <w:proofErr w:type="spellEnd"/>
            <w:r w:rsidRPr="006A36C3">
              <w:rPr>
                <w:rFonts w:ascii="Verdana" w:eastAsia="Times New Roman" w:hAnsi="Verdana" w:cs="Calibri"/>
                <w:b/>
                <w:bCs/>
                <w:color w:val="2F5496"/>
                <w:sz w:val="18"/>
                <w:szCs w:val="18"/>
                <w:lang w:val="en-CY" w:eastAsia="en-CY"/>
              </w:rPr>
              <w:t>ας</w:t>
            </w:r>
          </w:p>
        </w:tc>
        <w:tc>
          <w:tcPr>
            <w:tcW w:w="1300" w:type="dxa"/>
            <w:tcBorders>
              <w:top w:val="nil"/>
              <w:left w:val="nil"/>
              <w:bottom w:val="single" w:sz="8" w:space="0" w:color="2F5496"/>
              <w:right w:val="nil"/>
            </w:tcBorders>
            <w:shd w:val="clear" w:color="auto" w:fill="auto"/>
            <w:tcMar>
              <w:left w:w="28" w:type="dxa"/>
              <w:right w:w="28" w:type="dxa"/>
            </w:tcMar>
            <w:vAlign w:val="center"/>
            <w:hideMark/>
          </w:tcPr>
          <w:p w14:paraId="60AFD442"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Μη</w:t>
            </w:r>
            <w:proofErr w:type="spellEnd"/>
            <w:r w:rsidRPr="006A36C3">
              <w:rPr>
                <w:rFonts w:ascii="Verdana" w:eastAsia="Times New Roman" w:hAnsi="Verdana" w:cs="Calibri"/>
                <w:b/>
                <w:bCs/>
                <w:color w:val="2F5496"/>
                <w:sz w:val="18"/>
                <w:szCs w:val="18"/>
                <w:lang w:val="en-CY" w:eastAsia="en-CY"/>
              </w:rPr>
              <w:t xml:space="preserve"> </w:t>
            </w:r>
            <w:proofErr w:type="spellStart"/>
            <w:r w:rsidRPr="006A36C3">
              <w:rPr>
                <w:rFonts w:ascii="Verdana" w:eastAsia="Times New Roman" w:hAnsi="Verdana" w:cs="Calibri"/>
                <w:b/>
                <w:bCs/>
                <w:color w:val="2F5496"/>
                <w:sz w:val="18"/>
                <w:szCs w:val="18"/>
                <w:lang w:val="en-CY" w:eastAsia="en-CY"/>
              </w:rPr>
              <w:t>χρημ</w:t>
            </w:r>
            <w:proofErr w:type="spellEnd"/>
            <w:r w:rsidRPr="006A36C3">
              <w:rPr>
                <w:rFonts w:ascii="Verdana" w:eastAsia="Times New Roman" w:hAnsi="Verdana" w:cs="Calibri"/>
                <w:b/>
                <w:bCs/>
                <w:color w:val="2F5496"/>
                <w:sz w:val="18"/>
                <w:szCs w:val="18"/>
                <w:lang w:val="en-CY" w:eastAsia="en-CY"/>
              </w:rPr>
              <w:t xml:space="preserve">ατο-οικονομικές </w:t>
            </w:r>
            <w:proofErr w:type="spellStart"/>
            <w:r w:rsidRPr="006A36C3">
              <w:rPr>
                <w:rFonts w:ascii="Verdana" w:eastAsia="Times New Roman" w:hAnsi="Verdana" w:cs="Calibri"/>
                <w:b/>
                <w:bCs/>
                <w:color w:val="2F5496"/>
                <w:sz w:val="18"/>
                <w:szCs w:val="18"/>
                <w:lang w:val="en-CY" w:eastAsia="en-CY"/>
              </w:rPr>
              <w:t>ετ</w:t>
            </w:r>
            <w:proofErr w:type="spellEnd"/>
            <w:r w:rsidRPr="006A36C3">
              <w:rPr>
                <w:rFonts w:ascii="Verdana" w:eastAsia="Times New Roman" w:hAnsi="Verdana" w:cs="Calibri"/>
                <w:b/>
                <w:bCs/>
                <w:color w:val="2F5496"/>
                <w:sz w:val="18"/>
                <w:szCs w:val="18"/>
                <w:lang w:val="en-CY" w:eastAsia="en-CY"/>
              </w:rPr>
              <w:t>αιρείες</w:t>
            </w:r>
          </w:p>
        </w:tc>
        <w:tc>
          <w:tcPr>
            <w:tcW w:w="1280" w:type="dxa"/>
            <w:tcBorders>
              <w:top w:val="nil"/>
              <w:left w:val="nil"/>
              <w:bottom w:val="single" w:sz="8" w:space="0" w:color="2F5496"/>
              <w:right w:val="nil"/>
            </w:tcBorders>
            <w:shd w:val="clear" w:color="auto" w:fill="auto"/>
            <w:vAlign w:val="center"/>
            <w:hideMark/>
          </w:tcPr>
          <w:p w14:paraId="546ED239"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Χρημ</w:t>
            </w:r>
            <w:proofErr w:type="spellEnd"/>
            <w:r w:rsidRPr="006A36C3">
              <w:rPr>
                <w:rFonts w:ascii="Verdana" w:eastAsia="Times New Roman" w:hAnsi="Verdana" w:cs="Calibri"/>
                <w:b/>
                <w:bCs/>
                <w:color w:val="2F5496"/>
                <w:sz w:val="18"/>
                <w:szCs w:val="18"/>
                <w:lang w:val="en-CY" w:eastAsia="en-CY"/>
              </w:rPr>
              <w:t xml:space="preserve">ατο-οικονομικές </w:t>
            </w:r>
            <w:proofErr w:type="spellStart"/>
            <w:r w:rsidRPr="006A36C3">
              <w:rPr>
                <w:rFonts w:ascii="Verdana" w:eastAsia="Times New Roman" w:hAnsi="Verdana" w:cs="Calibri"/>
                <w:b/>
                <w:bCs/>
                <w:color w:val="2F5496"/>
                <w:sz w:val="18"/>
                <w:szCs w:val="18"/>
                <w:lang w:val="en-CY" w:eastAsia="en-CY"/>
              </w:rPr>
              <w:t>ετ</w:t>
            </w:r>
            <w:proofErr w:type="spellEnd"/>
            <w:r w:rsidRPr="006A36C3">
              <w:rPr>
                <w:rFonts w:ascii="Verdana" w:eastAsia="Times New Roman" w:hAnsi="Verdana" w:cs="Calibri"/>
                <w:b/>
                <w:bCs/>
                <w:color w:val="2F5496"/>
                <w:sz w:val="18"/>
                <w:szCs w:val="18"/>
                <w:lang w:val="en-CY" w:eastAsia="en-CY"/>
              </w:rPr>
              <w:t>αιρείες</w:t>
            </w:r>
          </w:p>
        </w:tc>
        <w:tc>
          <w:tcPr>
            <w:tcW w:w="1160" w:type="dxa"/>
            <w:tcBorders>
              <w:top w:val="nil"/>
              <w:left w:val="nil"/>
              <w:bottom w:val="single" w:sz="8" w:space="0" w:color="2F5496"/>
              <w:right w:val="nil"/>
            </w:tcBorders>
            <w:shd w:val="clear" w:color="auto" w:fill="auto"/>
            <w:vAlign w:val="center"/>
            <w:hideMark/>
          </w:tcPr>
          <w:p w14:paraId="3A83C447"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Γενική</w:t>
            </w:r>
            <w:proofErr w:type="spellEnd"/>
            <w:r w:rsidRPr="006A36C3">
              <w:rPr>
                <w:rFonts w:ascii="Verdana" w:eastAsia="Times New Roman" w:hAnsi="Verdana" w:cs="Calibri"/>
                <w:b/>
                <w:bCs/>
                <w:color w:val="2F5496"/>
                <w:sz w:val="18"/>
                <w:szCs w:val="18"/>
                <w:lang w:val="en-CY" w:eastAsia="en-CY"/>
              </w:rPr>
              <w:t xml:space="preserve"> </w:t>
            </w:r>
            <w:proofErr w:type="spellStart"/>
            <w:r w:rsidRPr="006A36C3">
              <w:rPr>
                <w:rFonts w:ascii="Verdana" w:eastAsia="Times New Roman" w:hAnsi="Verdana" w:cs="Calibri"/>
                <w:b/>
                <w:bCs/>
                <w:color w:val="2F5496"/>
                <w:sz w:val="18"/>
                <w:szCs w:val="18"/>
                <w:lang w:val="en-CY" w:eastAsia="en-CY"/>
              </w:rPr>
              <w:t>Κυ</w:t>
            </w:r>
            <w:proofErr w:type="spellEnd"/>
            <w:r w:rsidRPr="006A36C3">
              <w:rPr>
                <w:rFonts w:ascii="Verdana" w:eastAsia="Times New Roman" w:hAnsi="Verdana" w:cs="Calibri"/>
                <w:b/>
                <w:bCs/>
                <w:color w:val="2F5496"/>
                <w:sz w:val="18"/>
                <w:szCs w:val="18"/>
                <w:lang w:val="en-CY" w:eastAsia="en-CY"/>
              </w:rPr>
              <w:t>βέρνηση</w:t>
            </w:r>
          </w:p>
        </w:tc>
        <w:tc>
          <w:tcPr>
            <w:tcW w:w="1180" w:type="dxa"/>
            <w:tcBorders>
              <w:top w:val="nil"/>
              <w:left w:val="nil"/>
              <w:bottom w:val="single" w:sz="8" w:space="0" w:color="2F5496"/>
              <w:right w:val="nil"/>
            </w:tcBorders>
            <w:shd w:val="clear" w:color="auto" w:fill="auto"/>
            <w:tcMar>
              <w:left w:w="28" w:type="dxa"/>
              <w:right w:w="28" w:type="dxa"/>
            </w:tcMar>
            <w:vAlign w:val="center"/>
            <w:hideMark/>
          </w:tcPr>
          <w:p w14:paraId="6C0D9D06"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Νοικοκυριά</w:t>
            </w:r>
            <w:proofErr w:type="spellEnd"/>
          </w:p>
        </w:tc>
        <w:tc>
          <w:tcPr>
            <w:tcW w:w="1440" w:type="dxa"/>
            <w:tcBorders>
              <w:top w:val="nil"/>
              <w:left w:val="nil"/>
              <w:bottom w:val="single" w:sz="8" w:space="0" w:color="2F5496"/>
              <w:right w:val="nil"/>
            </w:tcBorders>
            <w:shd w:val="clear" w:color="auto" w:fill="auto"/>
            <w:vAlign w:val="center"/>
            <w:hideMark/>
          </w:tcPr>
          <w:p w14:paraId="614DE916"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Μη</w:t>
            </w:r>
            <w:proofErr w:type="spellEnd"/>
            <w:r w:rsidRPr="006A36C3">
              <w:rPr>
                <w:rFonts w:ascii="Verdana" w:eastAsia="Times New Roman" w:hAnsi="Verdana" w:cs="Calibri"/>
                <w:b/>
                <w:bCs/>
                <w:color w:val="2F5496"/>
                <w:sz w:val="18"/>
                <w:szCs w:val="18"/>
                <w:lang w:val="en-CY" w:eastAsia="en-CY"/>
              </w:rPr>
              <w:t xml:space="preserve"> </w:t>
            </w:r>
            <w:proofErr w:type="spellStart"/>
            <w:r w:rsidRPr="006A36C3">
              <w:rPr>
                <w:rFonts w:ascii="Verdana" w:eastAsia="Times New Roman" w:hAnsi="Verdana" w:cs="Calibri"/>
                <w:b/>
                <w:bCs/>
                <w:color w:val="2F5496"/>
                <w:sz w:val="18"/>
                <w:szCs w:val="18"/>
                <w:lang w:val="en-CY" w:eastAsia="en-CY"/>
              </w:rPr>
              <w:t>κερδοσκο</w:t>
            </w:r>
            <w:proofErr w:type="spellEnd"/>
            <w:r w:rsidRPr="006A36C3">
              <w:rPr>
                <w:rFonts w:ascii="Verdana" w:eastAsia="Times New Roman" w:hAnsi="Verdana" w:cs="Calibri"/>
                <w:b/>
                <w:bCs/>
                <w:color w:val="2F5496"/>
                <w:sz w:val="18"/>
                <w:szCs w:val="18"/>
                <w:lang w:val="en-CY" w:eastAsia="en-CY"/>
              </w:rPr>
              <w:t xml:space="preserve">πικά </w:t>
            </w:r>
            <w:proofErr w:type="spellStart"/>
            <w:r w:rsidRPr="006A36C3">
              <w:rPr>
                <w:rFonts w:ascii="Verdana" w:eastAsia="Times New Roman" w:hAnsi="Verdana" w:cs="Calibri"/>
                <w:b/>
                <w:bCs/>
                <w:color w:val="2F5496"/>
                <w:sz w:val="18"/>
                <w:szCs w:val="18"/>
                <w:lang w:val="en-CY" w:eastAsia="en-CY"/>
              </w:rPr>
              <w:t>ιδρύμ</w:t>
            </w:r>
            <w:proofErr w:type="spellEnd"/>
            <w:r w:rsidRPr="006A36C3">
              <w:rPr>
                <w:rFonts w:ascii="Verdana" w:eastAsia="Times New Roman" w:hAnsi="Verdana" w:cs="Calibri"/>
                <w:b/>
                <w:bCs/>
                <w:color w:val="2F5496"/>
                <w:sz w:val="18"/>
                <w:szCs w:val="18"/>
                <w:lang w:val="en-CY" w:eastAsia="en-CY"/>
              </w:rPr>
              <w:t>ατα</w:t>
            </w:r>
          </w:p>
        </w:tc>
        <w:tc>
          <w:tcPr>
            <w:tcW w:w="1160" w:type="dxa"/>
            <w:tcBorders>
              <w:top w:val="nil"/>
              <w:left w:val="nil"/>
              <w:bottom w:val="single" w:sz="8" w:space="0" w:color="2F5496"/>
              <w:right w:val="nil"/>
            </w:tcBorders>
            <w:shd w:val="clear" w:color="auto" w:fill="auto"/>
            <w:vAlign w:val="center"/>
            <w:hideMark/>
          </w:tcPr>
          <w:p w14:paraId="04F3DF37" w14:textId="77777777" w:rsidR="00A543F4" w:rsidRPr="006A36C3" w:rsidRDefault="00A543F4" w:rsidP="00A543F4">
            <w:pPr>
              <w:jc w:val="center"/>
              <w:rPr>
                <w:rFonts w:ascii="Verdana" w:eastAsia="Times New Roman" w:hAnsi="Verdana" w:cs="Calibri"/>
                <w:b/>
                <w:bCs/>
                <w:color w:val="2F5496"/>
                <w:sz w:val="18"/>
                <w:szCs w:val="18"/>
                <w:lang w:val="en-CY" w:eastAsia="en-CY"/>
              </w:rPr>
            </w:pPr>
            <w:proofErr w:type="spellStart"/>
            <w:r w:rsidRPr="006A36C3">
              <w:rPr>
                <w:rFonts w:ascii="Verdana" w:eastAsia="Times New Roman" w:hAnsi="Verdana" w:cs="Calibri"/>
                <w:b/>
                <w:bCs/>
                <w:color w:val="2F5496"/>
                <w:sz w:val="18"/>
                <w:szCs w:val="18"/>
                <w:lang w:val="en-CY" w:eastAsia="en-CY"/>
              </w:rPr>
              <w:t>Αλλοδ</w:t>
            </w:r>
            <w:proofErr w:type="spellEnd"/>
            <w:r w:rsidRPr="006A36C3">
              <w:rPr>
                <w:rFonts w:ascii="Verdana" w:eastAsia="Times New Roman" w:hAnsi="Verdana" w:cs="Calibri"/>
                <w:b/>
                <w:bCs/>
                <w:color w:val="2F5496"/>
                <w:sz w:val="18"/>
                <w:szCs w:val="18"/>
                <w:lang w:val="en-CY" w:eastAsia="en-CY"/>
              </w:rPr>
              <w:t>απή</w:t>
            </w:r>
          </w:p>
        </w:tc>
      </w:tr>
      <w:tr w:rsidR="00A543F4" w:rsidRPr="00A543F4" w14:paraId="26303D06" w14:textId="77777777" w:rsidTr="00110FB3">
        <w:trPr>
          <w:trHeight w:val="435"/>
          <w:jc w:val="center"/>
        </w:trPr>
        <w:tc>
          <w:tcPr>
            <w:tcW w:w="1380" w:type="dxa"/>
            <w:tcBorders>
              <w:top w:val="nil"/>
              <w:left w:val="nil"/>
              <w:bottom w:val="single" w:sz="8" w:space="0" w:color="305496"/>
              <w:right w:val="nil"/>
            </w:tcBorders>
            <w:shd w:val="clear" w:color="auto" w:fill="auto"/>
            <w:vAlign w:val="center"/>
            <w:hideMark/>
          </w:tcPr>
          <w:p w14:paraId="5EB9915F" w14:textId="77777777" w:rsidR="00A543F4" w:rsidRPr="00110FB3" w:rsidRDefault="00A543F4" w:rsidP="00A543F4">
            <w:pPr>
              <w:rPr>
                <w:rFonts w:ascii="Verdana" w:eastAsia="Times New Roman" w:hAnsi="Verdana" w:cs="Calibri"/>
                <w:b/>
                <w:bCs/>
                <w:color w:val="2F5496"/>
                <w:sz w:val="18"/>
                <w:szCs w:val="18"/>
                <w:lang w:val="en-CY" w:eastAsia="en-CY"/>
              </w:rPr>
            </w:pPr>
            <w:proofErr w:type="spellStart"/>
            <w:r w:rsidRPr="00110FB3">
              <w:rPr>
                <w:rFonts w:ascii="Verdana" w:eastAsia="Times New Roman" w:hAnsi="Verdana" w:cs="Calibri"/>
                <w:b/>
                <w:bCs/>
                <w:color w:val="2F5496"/>
                <w:sz w:val="18"/>
                <w:szCs w:val="18"/>
                <w:lang w:val="en-CY" w:eastAsia="en-CY"/>
              </w:rPr>
              <w:t>Περιουσι</w:t>
            </w:r>
            <w:proofErr w:type="spellEnd"/>
            <w:r w:rsidRPr="00110FB3">
              <w:rPr>
                <w:rFonts w:ascii="Verdana" w:eastAsia="Times New Roman" w:hAnsi="Verdana" w:cs="Calibri"/>
                <w:b/>
                <w:bCs/>
                <w:color w:val="2F5496"/>
                <w:sz w:val="18"/>
                <w:szCs w:val="18"/>
                <w:lang w:val="en-CY" w:eastAsia="en-CY"/>
              </w:rPr>
              <w:t xml:space="preserve">ακά </w:t>
            </w:r>
            <w:proofErr w:type="spellStart"/>
            <w:r w:rsidRPr="00110FB3">
              <w:rPr>
                <w:rFonts w:ascii="Verdana" w:eastAsia="Times New Roman" w:hAnsi="Verdana" w:cs="Calibri"/>
                <w:b/>
                <w:bCs/>
                <w:color w:val="2F5496"/>
                <w:sz w:val="18"/>
                <w:szCs w:val="18"/>
                <w:lang w:val="en-CY" w:eastAsia="en-CY"/>
              </w:rPr>
              <w:t>στοιχεί</w:t>
            </w:r>
            <w:proofErr w:type="spellEnd"/>
            <w:r w:rsidRPr="00110FB3">
              <w:rPr>
                <w:rFonts w:ascii="Verdana" w:eastAsia="Times New Roman" w:hAnsi="Verdana" w:cs="Calibri"/>
                <w:b/>
                <w:bCs/>
                <w:color w:val="2F5496"/>
                <w:sz w:val="18"/>
                <w:szCs w:val="18"/>
                <w:lang w:val="en-CY" w:eastAsia="en-CY"/>
              </w:rPr>
              <w:t>α</w:t>
            </w:r>
          </w:p>
        </w:tc>
        <w:tc>
          <w:tcPr>
            <w:tcW w:w="1140" w:type="dxa"/>
            <w:tcBorders>
              <w:top w:val="nil"/>
              <w:left w:val="single" w:sz="8" w:space="0" w:color="305496"/>
              <w:bottom w:val="single" w:sz="8" w:space="0" w:color="305496"/>
              <w:right w:val="nil"/>
            </w:tcBorders>
            <w:shd w:val="clear" w:color="auto" w:fill="auto"/>
            <w:vAlign w:val="center"/>
            <w:hideMark/>
          </w:tcPr>
          <w:p w14:paraId="100AD0EA"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869.008,9</w:t>
            </w:r>
          </w:p>
        </w:tc>
        <w:tc>
          <w:tcPr>
            <w:tcW w:w="1300" w:type="dxa"/>
            <w:tcBorders>
              <w:top w:val="nil"/>
              <w:left w:val="nil"/>
              <w:bottom w:val="single" w:sz="8" w:space="0" w:color="305496"/>
              <w:right w:val="nil"/>
            </w:tcBorders>
            <w:shd w:val="clear" w:color="auto" w:fill="auto"/>
            <w:vAlign w:val="center"/>
            <w:hideMark/>
          </w:tcPr>
          <w:p w14:paraId="09FD6DF6"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71.954,6</w:t>
            </w:r>
          </w:p>
        </w:tc>
        <w:tc>
          <w:tcPr>
            <w:tcW w:w="1280" w:type="dxa"/>
            <w:tcBorders>
              <w:top w:val="nil"/>
              <w:left w:val="nil"/>
              <w:bottom w:val="single" w:sz="8" w:space="0" w:color="305496"/>
              <w:right w:val="nil"/>
            </w:tcBorders>
            <w:shd w:val="clear" w:color="auto" w:fill="auto"/>
            <w:vAlign w:val="center"/>
            <w:hideMark/>
          </w:tcPr>
          <w:p w14:paraId="5A703EBF"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707.286,0</w:t>
            </w:r>
          </w:p>
        </w:tc>
        <w:tc>
          <w:tcPr>
            <w:tcW w:w="1160" w:type="dxa"/>
            <w:tcBorders>
              <w:top w:val="nil"/>
              <w:left w:val="nil"/>
              <w:bottom w:val="single" w:sz="8" w:space="0" w:color="305496"/>
              <w:right w:val="nil"/>
            </w:tcBorders>
            <w:shd w:val="clear" w:color="auto" w:fill="auto"/>
            <w:vAlign w:val="center"/>
            <w:hideMark/>
          </w:tcPr>
          <w:p w14:paraId="1F241110"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31.605,0</w:t>
            </w:r>
          </w:p>
        </w:tc>
        <w:tc>
          <w:tcPr>
            <w:tcW w:w="1180" w:type="dxa"/>
            <w:tcBorders>
              <w:top w:val="nil"/>
              <w:left w:val="nil"/>
              <w:bottom w:val="single" w:sz="8" w:space="0" w:color="305496"/>
              <w:right w:val="nil"/>
            </w:tcBorders>
            <w:shd w:val="clear" w:color="auto" w:fill="auto"/>
            <w:vAlign w:val="center"/>
            <w:hideMark/>
          </w:tcPr>
          <w:p w14:paraId="45AF46F6"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57.445,0</w:t>
            </w:r>
          </w:p>
        </w:tc>
        <w:tc>
          <w:tcPr>
            <w:tcW w:w="1440" w:type="dxa"/>
            <w:tcBorders>
              <w:top w:val="nil"/>
              <w:left w:val="nil"/>
              <w:bottom w:val="single" w:sz="8" w:space="0" w:color="305496"/>
              <w:right w:val="nil"/>
            </w:tcBorders>
            <w:shd w:val="clear" w:color="auto" w:fill="auto"/>
            <w:vAlign w:val="center"/>
            <w:hideMark/>
          </w:tcPr>
          <w:p w14:paraId="70423563" w14:textId="77777777" w:rsidR="00A543F4" w:rsidRPr="00110FB3" w:rsidRDefault="00A543F4" w:rsidP="00110FB3">
            <w:pPr>
              <w:ind w:right="340"/>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718,2</w:t>
            </w:r>
          </w:p>
        </w:tc>
        <w:tc>
          <w:tcPr>
            <w:tcW w:w="1160" w:type="dxa"/>
            <w:tcBorders>
              <w:top w:val="nil"/>
              <w:left w:val="nil"/>
              <w:bottom w:val="single" w:sz="8" w:space="0" w:color="305496"/>
              <w:right w:val="nil"/>
            </w:tcBorders>
            <w:shd w:val="clear" w:color="auto" w:fill="auto"/>
            <w:vAlign w:val="center"/>
            <w:hideMark/>
          </w:tcPr>
          <w:p w14:paraId="370717FE"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656.031,5</w:t>
            </w:r>
          </w:p>
        </w:tc>
      </w:tr>
      <w:tr w:rsidR="00A543F4" w:rsidRPr="00A543F4" w14:paraId="0D447263" w14:textId="77777777" w:rsidTr="00110FB3">
        <w:trPr>
          <w:trHeight w:val="300"/>
          <w:jc w:val="center"/>
        </w:trPr>
        <w:tc>
          <w:tcPr>
            <w:tcW w:w="1380" w:type="dxa"/>
            <w:tcBorders>
              <w:top w:val="nil"/>
              <w:left w:val="nil"/>
              <w:bottom w:val="nil"/>
              <w:right w:val="nil"/>
            </w:tcBorders>
            <w:shd w:val="clear" w:color="auto" w:fill="auto"/>
            <w:vAlign w:val="center"/>
            <w:hideMark/>
          </w:tcPr>
          <w:p w14:paraId="23A1C92D"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AF1</w:t>
            </w:r>
          </w:p>
        </w:tc>
        <w:tc>
          <w:tcPr>
            <w:tcW w:w="1140" w:type="dxa"/>
            <w:tcBorders>
              <w:top w:val="nil"/>
              <w:left w:val="single" w:sz="8" w:space="0" w:color="305496"/>
              <w:bottom w:val="nil"/>
              <w:right w:val="nil"/>
            </w:tcBorders>
            <w:shd w:val="clear" w:color="auto" w:fill="auto"/>
            <w:vAlign w:val="center"/>
            <w:hideMark/>
          </w:tcPr>
          <w:p w14:paraId="10AF8D7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1.353,7</w:t>
            </w:r>
          </w:p>
        </w:tc>
        <w:tc>
          <w:tcPr>
            <w:tcW w:w="1300" w:type="dxa"/>
            <w:tcBorders>
              <w:top w:val="nil"/>
              <w:left w:val="nil"/>
              <w:bottom w:val="nil"/>
              <w:right w:val="nil"/>
            </w:tcBorders>
            <w:shd w:val="clear" w:color="auto" w:fill="auto"/>
            <w:vAlign w:val="center"/>
            <w:hideMark/>
          </w:tcPr>
          <w:p w14:paraId="39D26745"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280" w:type="dxa"/>
            <w:tcBorders>
              <w:top w:val="nil"/>
              <w:left w:val="nil"/>
              <w:bottom w:val="nil"/>
              <w:right w:val="nil"/>
            </w:tcBorders>
            <w:shd w:val="clear" w:color="auto" w:fill="auto"/>
            <w:vAlign w:val="center"/>
            <w:hideMark/>
          </w:tcPr>
          <w:p w14:paraId="57D08A8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1.353,7</w:t>
            </w:r>
          </w:p>
        </w:tc>
        <w:tc>
          <w:tcPr>
            <w:tcW w:w="1160" w:type="dxa"/>
            <w:tcBorders>
              <w:top w:val="nil"/>
              <w:left w:val="nil"/>
              <w:bottom w:val="nil"/>
              <w:right w:val="nil"/>
            </w:tcBorders>
            <w:shd w:val="clear" w:color="auto" w:fill="auto"/>
            <w:vAlign w:val="center"/>
            <w:hideMark/>
          </w:tcPr>
          <w:p w14:paraId="765F02F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80" w:type="dxa"/>
            <w:tcBorders>
              <w:top w:val="nil"/>
              <w:left w:val="nil"/>
              <w:bottom w:val="nil"/>
              <w:right w:val="nil"/>
            </w:tcBorders>
            <w:shd w:val="clear" w:color="auto" w:fill="auto"/>
            <w:vAlign w:val="center"/>
            <w:hideMark/>
          </w:tcPr>
          <w:p w14:paraId="36014766"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440" w:type="dxa"/>
            <w:tcBorders>
              <w:top w:val="nil"/>
              <w:left w:val="nil"/>
              <w:bottom w:val="nil"/>
              <w:right w:val="nil"/>
            </w:tcBorders>
            <w:shd w:val="clear" w:color="auto" w:fill="auto"/>
            <w:vAlign w:val="center"/>
            <w:hideMark/>
          </w:tcPr>
          <w:p w14:paraId="6A1CD82A"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160" w:type="dxa"/>
            <w:tcBorders>
              <w:top w:val="nil"/>
              <w:left w:val="nil"/>
              <w:bottom w:val="nil"/>
              <w:right w:val="nil"/>
            </w:tcBorders>
            <w:shd w:val="clear" w:color="auto" w:fill="auto"/>
            <w:vAlign w:val="center"/>
            <w:hideMark/>
          </w:tcPr>
          <w:p w14:paraId="6F9DA15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1.353,7</w:t>
            </w:r>
          </w:p>
        </w:tc>
      </w:tr>
      <w:tr w:rsidR="00A543F4" w:rsidRPr="00A543F4" w14:paraId="390B2C3D" w14:textId="77777777" w:rsidTr="00110FB3">
        <w:trPr>
          <w:trHeight w:val="300"/>
          <w:jc w:val="center"/>
        </w:trPr>
        <w:tc>
          <w:tcPr>
            <w:tcW w:w="1380" w:type="dxa"/>
            <w:tcBorders>
              <w:top w:val="nil"/>
              <w:left w:val="nil"/>
              <w:bottom w:val="nil"/>
              <w:right w:val="nil"/>
            </w:tcBorders>
            <w:shd w:val="clear" w:color="auto" w:fill="auto"/>
            <w:vAlign w:val="center"/>
            <w:hideMark/>
          </w:tcPr>
          <w:p w14:paraId="15E4EE59"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AF2</w:t>
            </w:r>
          </w:p>
        </w:tc>
        <w:tc>
          <w:tcPr>
            <w:tcW w:w="1140" w:type="dxa"/>
            <w:tcBorders>
              <w:top w:val="nil"/>
              <w:left w:val="single" w:sz="8" w:space="0" w:color="305496"/>
              <w:bottom w:val="nil"/>
              <w:right w:val="nil"/>
            </w:tcBorders>
            <w:shd w:val="clear" w:color="auto" w:fill="auto"/>
            <w:vAlign w:val="center"/>
            <w:hideMark/>
          </w:tcPr>
          <w:p w14:paraId="0A98908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139.862,7</w:t>
            </w:r>
          </w:p>
        </w:tc>
        <w:tc>
          <w:tcPr>
            <w:tcW w:w="1300" w:type="dxa"/>
            <w:tcBorders>
              <w:top w:val="nil"/>
              <w:left w:val="nil"/>
              <w:bottom w:val="nil"/>
              <w:right w:val="nil"/>
            </w:tcBorders>
            <w:shd w:val="clear" w:color="auto" w:fill="auto"/>
            <w:vAlign w:val="center"/>
            <w:hideMark/>
          </w:tcPr>
          <w:p w14:paraId="19ECFD0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12.550,2</w:t>
            </w:r>
          </w:p>
        </w:tc>
        <w:tc>
          <w:tcPr>
            <w:tcW w:w="1280" w:type="dxa"/>
            <w:tcBorders>
              <w:top w:val="nil"/>
              <w:left w:val="nil"/>
              <w:bottom w:val="nil"/>
              <w:right w:val="nil"/>
            </w:tcBorders>
            <w:shd w:val="clear" w:color="auto" w:fill="auto"/>
            <w:vAlign w:val="center"/>
            <w:hideMark/>
          </w:tcPr>
          <w:p w14:paraId="33B3F70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76.341,6</w:t>
            </w:r>
          </w:p>
        </w:tc>
        <w:tc>
          <w:tcPr>
            <w:tcW w:w="1160" w:type="dxa"/>
            <w:tcBorders>
              <w:top w:val="nil"/>
              <w:left w:val="nil"/>
              <w:bottom w:val="nil"/>
              <w:right w:val="nil"/>
            </w:tcBorders>
            <w:shd w:val="clear" w:color="auto" w:fill="auto"/>
            <w:vAlign w:val="center"/>
            <w:hideMark/>
          </w:tcPr>
          <w:p w14:paraId="1A184FD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18.688,6</w:t>
            </w:r>
          </w:p>
        </w:tc>
        <w:tc>
          <w:tcPr>
            <w:tcW w:w="1180" w:type="dxa"/>
            <w:tcBorders>
              <w:top w:val="nil"/>
              <w:left w:val="nil"/>
              <w:bottom w:val="nil"/>
              <w:right w:val="nil"/>
            </w:tcBorders>
            <w:shd w:val="clear" w:color="auto" w:fill="auto"/>
            <w:vAlign w:val="center"/>
            <w:hideMark/>
          </w:tcPr>
          <w:p w14:paraId="31BC8AFB"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31.801,3</w:t>
            </w:r>
          </w:p>
        </w:tc>
        <w:tc>
          <w:tcPr>
            <w:tcW w:w="1440" w:type="dxa"/>
            <w:tcBorders>
              <w:top w:val="nil"/>
              <w:left w:val="nil"/>
              <w:bottom w:val="nil"/>
              <w:right w:val="nil"/>
            </w:tcBorders>
            <w:shd w:val="clear" w:color="auto" w:fill="auto"/>
            <w:vAlign w:val="center"/>
            <w:hideMark/>
          </w:tcPr>
          <w:p w14:paraId="292C93C8"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481,0</w:t>
            </w:r>
          </w:p>
        </w:tc>
        <w:tc>
          <w:tcPr>
            <w:tcW w:w="1160" w:type="dxa"/>
            <w:tcBorders>
              <w:top w:val="nil"/>
              <w:left w:val="nil"/>
              <w:bottom w:val="nil"/>
              <w:right w:val="nil"/>
            </w:tcBorders>
            <w:shd w:val="clear" w:color="auto" w:fill="auto"/>
            <w:vAlign w:val="center"/>
            <w:hideMark/>
          </w:tcPr>
          <w:p w14:paraId="2E2E15E8"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48.524,9</w:t>
            </w:r>
          </w:p>
        </w:tc>
      </w:tr>
      <w:tr w:rsidR="00A543F4" w:rsidRPr="00A543F4" w14:paraId="5963072A" w14:textId="77777777" w:rsidTr="00110FB3">
        <w:trPr>
          <w:trHeight w:val="300"/>
          <w:jc w:val="center"/>
        </w:trPr>
        <w:tc>
          <w:tcPr>
            <w:tcW w:w="1380" w:type="dxa"/>
            <w:tcBorders>
              <w:top w:val="nil"/>
              <w:left w:val="nil"/>
              <w:bottom w:val="nil"/>
              <w:right w:val="nil"/>
            </w:tcBorders>
            <w:shd w:val="clear" w:color="auto" w:fill="auto"/>
            <w:vAlign w:val="center"/>
            <w:hideMark/>
          </w:tcPr>
          <w:p w14:paraId="7CACFA85"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AF3</w:t>
            </w:r>
          </w:p>
        </w:tc>
        <w:tc>
          <w:tcPr>
            <w:tcW w:w="1140" w:type="dxa"/>
            <w:tcBorders>
              <w:top w:val="nil"/>
              <w:left w:val="single" w:sz="8" w:space="0" w:color="305496"/>
              <w:bottom w:val="nil"/>
              <w:right w:val="nil"/>
            </w:tcBorders>
            <w:shd w:val="clear" w:color="auto" w:fill="auto"/>
            <w:vAlign w:val="center"/>
            <w:hideMark/>
          </w:tcPr>
          <w:p w14:paraId="1313C2C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36.484,7</w:t>
            </w:r>
          </w:p>
        </w:tc>
        <w:tc>
          <w:tcPr>
            <w:tcW w:w="1300" w:type="dxa"/>
            <w:tcBorders>
              <w:top w:val="nil"/>
              <w:left w:val="nil"/>
              <w:bottom w:val="nil"/>
              <w:right w:val="nil"/>
            </w:tcBorders>
            <w:shd w:val="clear" w:color="auto" w:fill="auto"/>
            <w:vAlign w:val="center"/>
            <w:hideMark/>
          </w:tcPr>
          <w:p w14:paraId="7823BC2E"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378,6</w:t>
            </w:r>
          </w:p>
        </w:tc>
        <w:tc>
          <w:tcPr>
            <w:tcW w:w="1280" w:type="dxa"/>
            <w:tcBorders>
              <w:top w:val="nil"/>
              <w:left w:val="nil"/>
              <w:bottom w:val="nil"/>
              <w:right w:val="nil"/>
            </w:tcBorders>
            <w:shd w:val="clear" w:color="auto" w:fill="auto"/>
            <w:vAlign w:val="center"/>
            <w:hideMark/>
          </w:tcPr>
          <w:p w14:paraId="0DF72EE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34.132,8</w:t>
            </w:r>
          </w:p>
        </w:tc>
        <w:tc>
          <w:tcPr>
            <w:tcW w:w="1160" w:type="dxa"/>
            <w:tcBorders>
              <w:top w:val="nil"/>
              <w:left w:val="nil"/>
              <w:bottom w:val="nil"/>
              <w:right w:val="nil"/>
            </w:tcBorders>
            <w:shd w:val="clear" w:color="auto" w:fill="auto"/>
            <w:vAlign w:val="center"/>
            <w:hideMark/>
          </w:tcPr>
          <w:p w14:paraId="5ECEB62B"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97,8</w:t>
            </w:r>
          </w:p>
        </w:tc>
        <w:tc>
          <w:tcPr>
            <w:tcW w:w="1180" w:type="dxa"/>
            <w:tcBorders>
              <w:top w:val="nil"/>
              <w:left w:val="nil"/>
              <w:bottom w:val="nil"/>
              <w:right w:val="nil"/>
            </w:tcBorders>
            <w:shd w:val="clear" w:color="auto" w:fill="auto"/>
            <w:vAlign w:val="center"/>
            <w:hideMark/>
          </w:tcPr>
          <w:p w14:paraId="3B2F8B8E"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1.857,2</w:t>
            </w:r>
          </w:p>
        </w:tc>
        <w:tc>
          <w:tcPr>
            <w:tcW w:w="1440" w:type="dxa"/>
            <w:tcBorders>
              <w:top w:val="nil"/>
              <w:left w:val="nil"/>
              <w:bottom w:val="nil"/>
              <w:right w:val="nil"/>
            </w:tcBorders>
            <w:shd w:val="clear" w:color="auto" w:fill="auto"/>
            <w:vAlign w:val="center"/>
            <w:hideMark/>
          </w:tcPr>
          <w:p w14:paraId="2A098AB3"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18,3</w:t>
            </w:r>
          </w:p>
        </w:tc>
        <w:tc>
          <w:tcPr>
            <w:tcW w:w="1160" w:type="dxa"/>
            <w:tcBorders>
              <w:top w:val="nil"/>
              <w:left w:val="nil"/>
              <w:bottom w:val="nil"/>
              <w:right w:val="nil"/>
            </w:tcBorders>
            <w:shd w:val="clear" w:color="auto" w:fill="auto"/>
            <w:vAlign w:val="center"/>
            <w:hideMark/>
          </w:tcPr>
          <w:p w14:paraId="4B1AACC6"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27.160,5</w:t>
            </w:r>
          </w:p>
        </w:tc>
      </w:tr>
      <w:tr w:rsidR="00A543F4" w:rsidRPr="00A543F4" w14:paraId="768BAC18" w14:textId="77777777" w:rsidTr="00110FB3">
        <w:trPr>
          <w:trHeight w:val="300"/>
          <w:jc w:val="center"/>
        </w:trPr>
        <w:tc>
          <w:tcPr>
            <w:tcW w:w="1380" w:type="dxa"/>
            <w:tcBorders>
              <w:top w:val="nil"/>
              <w:left w:val="nil"/>
              <w:bottom w:val="nil"/>
              <w:right w:val="nil"/>
            </w:tcBorders>
            <w:shd w:val="clear" w:color="auto" w:fill="auto"/>
            <w:vAlign w:val="center"/>
            <w:hideMark/>
          </w:tcPr>
          <w:p w14:paraId="4716AAED"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AF4</w:t>
            </w:r>
          </w:p>
        </w:tc>
        <w:tc>
          <w:tcPr>
            <w:tcW w:w="1140" w:type="dxa"/>
            <w:tcBorders>
              <w:top w:val="nil"/>
              <w:left w:val="single" w:sz="8" w:space="0" w:color="305496"/>
              <w:bottom w:val="nil"/>
              <w:right w:val="nil"/>
            </w:tcBorders>
            <w:shd w:val="clear" w:color="auto" w:fill="auto"/>
            <w:vAlign w:val="center"/>
            <w:hideMark/>
          </w:tcPr>
          <w:p w14:paraId="4BA829A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176.921,8</w:t>
            </w:r>
          </w:p>
        </w:tc>
        <w:tc>
          <w:tcPr>
            <w:tcW w:w="1300" w:type="dxa"/>
            <w:tcBorders>
              <w:top w:val="nil"/>
              <w:left w:val="nil"/>
              <w:bottom w:val="nil"/>
              <w:right w:val="nil"/>
            </w:tcBorders>
            <w:shd w:val="clear" w:color="auto" w:fill="auto"/>
            <w:vAlign w:val="center"/>
            <w:hideMark/>
          </w:tcPr>
          <w:p w14:paraId="0D53BB0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4.993,2</w:t>
            </w:r>
          </w:p>
        </w:tc>
        <w:tc>
          <w:tcPr>
            <w:tcW w:w="1280" w:type="dxa"/>
            <w:tcBorders>
              <w:top w:val="nil"/>
              <w:left w:val="nil"/>
              <w:bottom w:val="nil"/>
              <w:right w:val="nil"/>
            </w:tcBorders>
            <w:shd w:val="clear" w:color="auto" w:fill="auto"/>
            <w:vAlign w:val="center"/>
            <w:hideMark/>
          </w:tcPr>
          <w:p w14:paraId="603B961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165.927,0</w:t>
            </w:r>
          </w:p>
        </w:tc>
        <w:tc>
          <w:tcPr>
            <w:tcW w:w="1160" w:type="dxa"/>
            <w:tcBorders>
              <w:top w:val="nil"/>
              <w:left w:val="nil"/>
              <w:bottom w:val="nil"/>
              <w:right w:val="nil"/>
            </w:tcBorders>
            <w:shd w:val="clear" w:color="auto" w:fill="auto"/>
            <w:vAlign w:val="center"/>
            <w:hideMark/>
          </w:tcPr>
          <w:p w14:paraId="68FA15A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5.469,6</w:t>
            </w:r>
          </w:p>
        </w:tc>
        <w:tc>
          <w:tcPr>
            <w:tcW w:w="1180" w:type="dxa"/>
            <w:tcBorders>
              <w:top w:val="nil"/>
              <w:left w:val="nil"/>
              <w:bottom w:val="nil"/>
              <w:right w:val="nil"/>
            </w:tcBorders>
            <w:shd w:val="clear" w:color="auto" w:fill="auto"/>
            <w:vAlign w:val="center"/>
            <w:hideMark/>
          </w:tcPr>
          <w:p w14:paraId="5D1D4F9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516,0</w:t>
            </w:r>
          </w:p>
        </w:tc>
        <w:tc>
          <w:tcPr>
            <w:tcW w:w="1440" w:type="dxa"/>
            <w:tcBorders>
              <w:top w:val="nil"/>
              <w:left w:val="nil"/>
              <w:bottom w:val="nil"/>
              <w:right w:val="nil"/>
            </w:tcBorders>
            <w:shd w:val="clear" w:color="auto" w:fill="auto"/>
            <w:vAlign w:val="center"/>
            <w:hideMark/>
          </w:tcPr>
          <w:p w14:paraId="4883C007"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16,0</w:t>
            </w:r>
          </w:p>
        </w:tc>
        <w:tc>
          <w:tcPr>
            <w:tcW w:w="1160" w:type="dxa"/>
            <w:tcBorders>
              <w:top w:val="nil"/>
              <w:left w:val="nil"/>
              <w:bottom w:val="nil"/>
              <w:right w:val="nil"/>
            </w:tcBorders>
            <w:shd w:val="clear" w:color="auto" w:fill="auto"/>
            <w:vAlign w:val="center"/>
            <w:hideMark/>
          </w:tcPr>
          <w:p w14:paraId="016ABAC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135.176,3</w:t>
            </w:r>
          </w:p>
        </w:tc>
      </w:tr>
      <w:tr w:rsidR="00A543F4" w:rsidRPr="00A543F4" w14:paraId="35FA30F7" w14:textId="77777777" w:rsidTr="00110FB3">
        <w:trPr>
          <w:trHeight w:val="300"/>
          <w:jc w:val="center"/>
        </w:trPr>
        <w:tc>
          <w:tcPr>
            <w:tcW w:w="1380" w:type="dxa"/>
            <w:tcBorders>
              <w:top w:val="nil"/>
              <w:left w:val="nil"/>
              <w:bottom w:val="nil"/>
              <w:right w:val="nil"/>
            </w:tcBorders>
            <w:shd w:val="clear" w:color="auto" w:fill="auto"/>
            <w:vAlign w:val="center"/>
            <w:hideMark/>
          </w:tcPr>
          <w:p w14:paraId="67560C14"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AF5</w:t>
            </w:r>
          </w:p>
        </w:tc>
        <w:tc>
          <w:tcPr>
            <w:tcW w:w="1140" w:type="dxa"/>
            <w:tcBorders>
              <w:top w:val="nil"/>
              <w:left w:val="single" w:sz="8" w:space="0" w:color="305496"/>
              <w:bottom w:val="nil"/>
              <w:right w:val="nil"/>
            </w:tcBorders>
            <w:shd w:val="clear" w:color="auto" w:fill="auto"/>
            <w:vAlign w:val="center"/>
            <w:hideMark/>
          </w:tcPr>
          <w:p w14:paraId="6B1A4E47"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447.835,1</w:t>
            </w:r>
          </w:p>
        </w:tc>
        <w:tc>
          <w:tcPr>
            <w:tcW w:w="1300" w:type="dxa"/>
            <w:tcBorders>
              <w:top w:val="nil"/>
              <w:left w:val="nil"/>
              <w:bottom w:val="nil"/>
              <w:right w:val="nil"/>
            </w:tcBorders>
            <w:shd w:val="clear" w:color="auto" w:fill="auto"/>
            <w:vAlign w:val="center"/>
            <w:hideMark/>
          </w:tcPr>
          <w:p w14:paraId="6B39F306"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30.681,9</w:t>
            </w:r>
          </w:p>
        </w:tc>
        <w:tc>
          <w:tcPr>
            <w:tcW w:w="1280" w:type="dxa"/>
            <w:tcBorders>
              <w:top w:val="nil"/>
              <w:left w:val="nil"/>
              <w:bottom w:val="nil"/>
              <w:right w:val="nil"/>
            </w:tcBorders>
            <w:shd w:val="clear" w:color="auto" w:fill="auto"/>
            <w:vAlign w:val="center"/>
            <w:hideMark/>
          </w:tcPr>
          <w:p w14:paraId="292D297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399.886,0</w:t>
            </w:r>
          </w:p>
        </w:tc>
        <w:tc>
          <w:tcPr>
            <w:tcW w:w="1160" w:type="dxa"/>
            <w:tcBorders>
              <w:top w:val="nil"/>
              <w:left w:val="nil"/>
              <w:bottom w:val="nil"/>
              <w:right w:val="nil"/>
            </w:tcBorders>
            <w:shd w:val="clear" w:color="auto" w:fill="auto"/>
            <w:vAlign w:val="center"/>
            <w:hideMark/>
          </w:tcPr>
          <w:p w14:paraId="449D6113"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3.929,4</w:t>
            </w:r>
          </w:p>
        </w:tc>
        <w:tc>
          <w:tcPr>
            <w:tcW w:w="1180" w:type="dxa"/>
            <w:tcBorders>
              <w:top w:val="nil"/>
              <w:left w:val="nil"/>
              <w:bottom w:val="nil"/>
              <w:right w:val="nil"/>
            </w:tcBorders>
            <w:shd w:val="clear" w:color="auto" w:fill="auto"/>
            <w:vAlign w:val="center"/>
            <w:hideMark/>
          </w:tcPr>
          <w:p w14:paraId="64A1E660"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13.167,5</w:t>
            </w:r>
          </w:p>
        </w:tc>
        <w:tc>
          <w:tcPr>
            <w:tcW w:w="1440" w:type="dxa"/>
            <w:tcBorders>
              <w:top w:val="nil"/>
              <w:left w:val="nil"/>
              <w:bottom w:val="nil"/>
              <w:right w:val="nil"/>
            </w:tcBorders>
            <w:shd w:val="clear" w:color="auto" w:fill="auto"/>
            <w:vAlign w:val="center"/>
            <w:hideMark/>
          </w:tcPr>
          <w:p w14:paraId="320FCDDD"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170,4</w:t>
            </w:r>
          </w:p>
        </w:tc>
        <w:tc>
          <w:tcPr>
            <w:tcW w:w="1160" w:type="dxa"/>
            <w:tcBorders>
              <w:top w:val="nil"/>
              <w:left w:val="nil"/>
              <w:bottom w:val="nil"/>
              <w:right w:val="nil"/>
            </w:tcBorders>
            <w:shd w:val="clear" w:color="auto" w:fill="auto"/>
            <w:vAlign w:val="center"/>
            <w:hideMark/>
          </w:tcPr>
          <w:p w14:paraId="23595AB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411.235,0</w:t>
            </w:r>
          </w:p>
        </w:tc>
      </w:tr>
      <w:tr w:rsidR="00A543F4" w:rsidRPr="00A543F4" w14:paraId="0B5BF37F" w14:textId="77777777" w:rsidTr="00110FB3">
        <w:trPr>
          <w:trHeight w:val="300"/>
          <w:jc w:val="center"/>
        </w:trPr>
        <w:tc>
          <w:tcPr>
            <w:tcW w:w="1380" w:type="dxa"/>
            <w:tcBorders>
              <w:top w:val="nil"/>
              <w:left w:val="nil"/>
              <w:bottom w:val="nil"/>
              <w:right w:val="nil"/>
            </w:tcBorders>
            <w:shd w:val="clear" w:color="auto" w:fill="auto"/>
            <w:vAlign w:val="center"/>
            <w:hideMark/>
          </w:tcPr>
          <w:p w14:paraId="5A3551B0"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AF6</w:t>
            </w:r>
          </w:p>
        </w:tc>
        <w:tc>
          <w:tcPr>
            <w:tcW w:w="1140" w:type="dxa"/>
            <w:tcBorders>
              <w:top w:val="nil"/>
              <w:left w:val="single" w:sz="8" w:space="0" w:color="305496"/>
              <w:bottom w:val="nil"/>
              <w:right w:val="nil"/>
            </w:tcBorders>
            <w:shd w:val="clear" w:color="auto" w:fill="auto"/>
            <w:vAlign w:val="center"/>
            <w:hideMark/>
          </w:tcPr>
          <w:p w14:paraId="4A8BC49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8.142,6</w:t>
            </w:r>
          </w:p>
        </w:tc>
        <w:tc>
          <w:tcPr>
            <w:tcW w:w="1300" w:type="dxa"/>
            <w:tcBorders>
              <w:top w:val="nil"/>
              <w:left w:val="nil"/>
              <w:bottom w:val="nil"/>
              <w:right w:val="nil"/>
            </w:tcBorders>
            <w:shd w:val="clear" w:color="auto" w:fill="auto"/>
            <w:vAlign w:val="center"/>
            <w:hideMark/>
          </w:tcPr>
          <w:p w14:paraId="6F01FE7E"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322,0</w:t>
            </w:r>
          </w:p>
        </w:tc>
        <w:tc>
          <w:tcPr>
            <w:tcW w:w="1280" w:type="dxa"/>
            <w:tcBorders>
              <w:top w:val="nil"/>
              <w:left w:val="nil"/>
              <w:bottom w:val="nil"/>
              <w:right w:val="nil"/>
            </w:tcBorders>
            <w:shd w:val="clear" w:color="auto" w:fill="auto"/>
            <w:vAlign w:val="center"/>
            <w:hideMark/>
          </w:tcPr>
          <w:p w14:paraId="3A8D0A9B"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684,1</w:t>
            </w:r>
          </w:p>
        </w:tc>
        <w:tc>
          <w:tcPr>
            <w:tcW w:w="1160" w:type="dxa"/>
            <w:tcBorders>
              <w:top w:val="nil"/>
              <w:left w:val="nil"/>
              <w:bottom w:val="nil"/>
              <w:right w:val="nil"/>
            </w:tcBorders>
            <w:shd w:val="clear" w:color="auto" w:fill="auto"/>
            <w:vAlign w:val="center"/>
            <w:hideMark/>
          </w:tcPr>
          <w:p w14:paraId="4FDCA643"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80" w:type="dxa"/>
            <w:tcBorders>
              <w:top w:val="nil"/>
              <w:left w:val="nil"/>
              <w:bottom w:val="nil"/>
              <w:right w:val="nil"/>
            </w:tcBorders>
            <w:shd w:val="clear" w:color="auto" w:fill="auto"/>
            <w:vAlign w:val="center"/>
            <w:hideMark/>
          </w:tcPr>
          <w:p w14:paraId="5EE33CE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7.136,5</w:t>
            </w:r>
          </w:p>
        </w:tc>
        <w:tc>
          <w:tcPr>
            <w:tcW w:w="1440" w:type="dxa"/>
            <w:tcBorders>
              <w:top w:val="nil"/>
              <w:left w:val="nil"/>
              <w:bottom w:val="nil"/>
              <w:right w:val="nil"/>
            </w:tcBorders>
            <w:shd w:val="clear" w:color="auto" w:fill="auto"/>
            <w:vAlign w:val="center"/>
            <w:hideMark/>
          </w:tcPr>
          <w:p w14:paraId="4EA3EDE3"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01EA0F5C"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321,2</w:t>
            </w:r>
          </w:p>
        </w:tc>
      </w:tr>
      <w:tr w:rsidR="00A543F4" w:rsidRPr="00A543F4" w14:paraId="174E0086" w14:textId="77777777" w:rsidTr="00110FB3">
        <w:trPr>
          <w:trHeight w:val="300"/>
          <w:jc w:val="center"/>
        </w:trPr>
        <w:tc>
          <w:tcPr>
            <w:tcW w:w="1380" w:type="dxa"/>
            <w:tcBorders>
              <w:top w:val="nil"/>
              <w:left w:val="nil"/>
              <w:bottom w:val="nil"/>
              <w:right w:val="nil"/>
            </w:tcBorders>
            <w:shd w:val="clear" w:color="auto" w:fill="auto"/>
            <w:vAlign w:val="center"/>
            <w:hideMark/>
          </w:tcPr>
          <w:p w14:paraId="61991605"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AF7</w:t>
            </w:r>
          </w:p>
        </w:tc>
        <w:tc>
          <w:tcPr>
            <w:tcW w:w="1140" w:type="dxa"/>
            <w:tcBorders>
              <w:top w:val="nil"/>
              <w:left w:val="single" w:sz="8" w:space="0" w:color="305496"/>
              <w:bottom w:val="nil"/>
              <w:right w:val="nil"/>
            </w:tcBorders>
            <w:shd w:val="clear" w:color="auto" w:fill="auto"/>
            <w:vAlign w:val="center"/>
            <w:hideMark/>
          </w:tcPr>
          <w:p w14:paraId="48EEA83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490,9</w:t>
            </w:r>
          </w:p>
        </w:tc>
        <w:tc>
          <w:tcPr>
            <w:tcW w:w="1300" w:type="dxa"/>
            <w:tcBorders>
              <w:top w:val="nil"/>
              <w:left w:val="nil"/>
              <w:bottom w:val="nil"/>
              <w:right w:val="nil"/>
            </w:tcBorders>
            <w:shd w:val="clear" w:color="auto" w:fill="auto"/>
            <w:vAlign w:val="center"/>
            <w:hideMark/>
          </w:tcPr>
          <w:p w14:paraId="06B7C11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7,5</w:t>
            </w:r>
          </w:p>
        </w:tc>
        <w:tc>
          <w:tcPr>
            <w:tcW w:w="1280" w:type="dxa"/>
            <w:tcBorders>
              <w:top w:val="nil"/>
              <w:left w:val="nil"/>
              <w:bottom w:val="nil"/>
              <w:right w:val="nil"/>
            </w:tcBorders>
            <w:shd w:val="clear" w:color="auto" w:fill="auto"/>
            <w:vAlign w:val="center"/>
            <w:hideMark/>
          </w:tcPr>
          <w:p w14:paraId="5278306E"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483,4</w:t>
            </w:r>
          </w:p>
        </w:tc>
        <w:tc>
          <w:tcPr>
            <w:tcW w:w="1160" w:type="dxa"/>
            <w:tcBorders>
              <w:top w:val="nil"/>
              <w:left w:val="nil"/>
              <w:bottom w:val="nil"/>
              <w:right w:val="nil"/>
            </w:tcBorders>
            <w:shd w:val="clear" w:color="auto" w:fill="auto"/>
            <w:vAlign w:val="center"/>
            <w:hideMark/>
          </w:tcPr>
          <w:p w14:paraId="67E6BCF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80" w:type="dxa"/>
            <w:tcBorders>
              <w:top w:val="nil"/>
              <w:left w:val="nil"/>
              <w:bottom w:val="nil"/>
              <w:right w:val="nil"/>
            </w:tcBorders>
            <w:shd w:val="clear" w:color="auto" w:fill="auto"/>
            <w:vAlign w:val="center"/>
            <w:hideMark/>
          </w:tcPr>
          <w:p w14:paraId="19EBEA68"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440" w:type="dxa"/>
            <w:tcBorders>
              <w:top w:val="nil"/>
              <w:left w:val="nil"/>
              <w:bottom w:val="nil"/>
              <w:right w:val="nil"/>
            </w:tcBorders>
            <w:shd w:val="clear" w:color="auto" w:fill="auto"/>
            <w:vAlign w:val="center"/>
            <w:hideMark/>
          </w:tcPr>
          <w:p w14:paraId="0A8C64BC"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470148A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441,9</w:t>
            </w:r>
          </w:p>
        </w:tc>
      </w:tr>
      <w:tr w:rsidR="00A543F4" w:rsidRPr="00A543F4" w14:paraId="20D23981" w14:textId="77777777" w:rsidTr="00110FB3">
        <w:trPr>
          <w:trHeight w:val="315"/>
          <w:jc w:val="center"/>
        </w:trPr>
        <w:tc>
          <w:tcPr>
            <w:tcW w:w="1380" w:type="dxa"/>
            <w:tcBorders>
              <w:top w:val="nil"/>
              <w:left w:val="nil"/>
              <w:bottom w:val="nil"/>
              <w:right w:val="nil"/>
            </w:tcBorders>
            <w:shd w:val="clear" w:color="auto" w:fill="auto"/>
            <w:vAlign w:val="center"/>
            <w:hideMark/>
          </w:tcPr>
          <w:p w14:paraId="2676C8D5"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AF8</w:t>
            </w:r>
          </w:p>
        </w:tc>
        <w:tc>
          <w:tcPr>
            <w:tcW w:w="1140" w:type="dxa"/>
            <w:tcBorders>
              <w:top w:val="nil"/>
              <w:left w:val="single" w:sz="8" w:space="0" w:color="305496"/>
              <w:bottom w:val="single" w:sz="8" w:space="0" w:color="305496"/>
              <w:right w:val="nil"/>
            </w:tcBorders>
            <w:shd w:val="clear" w:color="auto" w:fill="auto"/>
            <w:vAlign w:val="center"/>
            <w:hideMark/>
          </w:tcPr>
          <w:p w14:paraId="3603570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57.917,5</w:t>
            </w:r>
          </w:p>
        </w:tc>
        <w:tc>
          <w:tcPr>
            <w:tcW w:w="1300" w:type="dxa"/>
            <w:tcBorders>
              <w:top w:val="nil"/>
              <w:left w:val="nil"/>
              <w:bottom w:val="single" w:sz="8" w:space="0" w:color="305496"/>
              <w:right w:val="nil"/>
            </w:tcBorders>
            <w:shd w:val="clear" w:color="auto" w:fill="auto"/>
            <w:vAlign w:val="center"/>
            <w:hideMark/>
          </w:tcPr>
          <w:p w14:paraId="392EF54C"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23.021,2</w:t>
            </w:r>
          </w:p>
        </w:tc>
        <w:tc>
          <w:tcPr>
            <w:tcW w:w="1280" w:type="dxa"/>
            <w:tcBorders>
              <w:top w:val="nil"/>
              <w:left w:val="nil"/>
              <w:bottom w:val="single" w:sz="8" w:space="0" w:color="305496"/>
              <w:right w:val="nil"/>
            </w:tcBorders>
            <w:shd w:val="clear" w:color="auto" w:fill="auto"/>
            <w:vAlign w:val="center"/>
            <w:hideMark/>
          </w:tcPr>
          <w:p w14:paraId="5985363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28.477,5</w:t>
            </w:r>
          </w:p>
        </w:tc>
        <w:tc>
          <w:tcPr>
            <w:tcW w:w="1160" w:type="dxa"/>
            <w:tcBorders>
              <w:top w:val="nil"/>
              <w:left w:val="nil"/>
              <w:bottom w:val="single" w:sz="8" w:space="0" w:color="305496"/>
              <w:right w:val="nil"/>
            </w:tcBorders>
            <w:shd w:val="clear" w:color="auto" w:fill="auto"/>
            <w:vAlign w:val="center"/>
            <w:hideMark/>
          </w:tcPr>
          <w:p w14:paraId="667D61AC"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3.419,7</w:t>
            </w:r>
          </w:p>
        </w:tc>
        <w:tc>
          <w:tcPr>
            <w:tcW w:w="1180" w:type="dxa"/>
            <w:tcBorders>
              <w:top w:val="nil"/>
              <w:left w:val="nil"/>
              <w:bottom w:val="single" w:sz="8" w:space="0" w:color="305496"/>
              <w:right w:val="nil"/>
            </w:tcBorders>
            <w:shd w:val="clear" w:color="auto" w:fill="auto"/>
            <w:vAlign w:val="center"/>
            <w:hideMark/>
          </w:tcPr>
          <w:p w14:paraId="7318FC31"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2.966,6</w:t>
            </w:r>
          </w:p>
        </w:tc>
        <w:tc>
          <w:tcPr>
            <w:tcW w:w="1440" w:type="dxa"/>
            <w:tcBorders>
              <w:top w:val="nil"/>
              <w:left w:val="nil"/>
              <w:bottom w:val="single" w:sz="8" w:space="0" w:color="305496"/>
              <w:right w:val="nil"/>
            </w:tcBorders>
            <w:shd w:val="clear" w:color="auto" w:fill="auto"/>
            <w:vAlign w:val="center"/>
            <w:hideMark/>
          </w:tcPr>
          <w:p w14:paraId="208FD58B"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32,5</w:t>
            </w:r>
          </w:p>
        </w:tc>
        <w:tc>
          <w:tcPr>
            <w:tcW w:w="1160" w:type="dxa"/>
            <w:tcBorders>
              <w:top w:val="nil"/>
              <w:left w:val="nil"/>
              <w:bottom w:val="single" w:sz="8" w:space="0" w:color="305496"/>
              <w:right w:val="nil"/>
            </w:tcBorders>
            <w:shd w:val="clear" w:color="auto" w:fill="auto"/>
            <w:vAlign w:val="center"/>
            <w:hideMark/>
          </w:tcPr>
          <w:p w14:paraId="4900052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31.818,0</w:t>
            </w:r>
          </w:p>
        </w:tc>
      </w:tr>
      <w:tr w:rsidR="00A543F4" w:rsidRPr="00A543F4" w14:paraId="1E03CE26" w14:textId="77777777" w:rsidTr="00110FB3">
        <w:trPr>
          <w:trHeight w:val="435"/>
          <w:jc w:val="center"/>
        </w:trPr>
        <w:tc>
          <w:tcPr>
            <w:tcW w:w="1380" w:type="dxa"/>
            <w:tcBorders>
              <w:top w:val="single" w:sz="8" w:space="0" w:color="305496"/>
              <w:left w:val="nil"/>
              <w:bottom w:val="nil"/>
              <w:right w:val="nil"/>
            </w:tcBorders>
            <w:shd w:val="clear" w:color="auto" w:fill="auto"/>
            <w:vAlign w:val="center"/>
            <w:hideMark/>
          </w:tcPr>
          <w:p w14:paraId="3BF4D445" w14:textId="77777777" w:rsidR="00A543F4" w:rsidRPr="00110FB3" w:rsidRDefault="00A543F4" w:rsidP="00A543F4">
            <w:pPr>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Υπ</w:t>
            </w:r>
            <w:proofErr w:type="spellStart"/>
            <w:r w:rsidRPr="00110FB3">
              <w:rPr>
                <w:rFonts w:ascii="Verdana" w:eastAsia="Times New Roman" w:hAnsi="Verdana" w:cs="Calibri"/>
                <w:b/>
                <w:bCs/>
                <w:color w:val="2F5496"/>
                <w:sz w:val="18"/>
                <w:szCs w:val="18"/>
                <w:lang w:val="en-CY" w:eastAsia="en-CY"/>
              </w:rPr>
              <w:t>οχρεώσεις</w:t>
            </w:r>
            <w:proofErr w:type="spellEnd"/>
          </w:p>
        </w:tc>
        <w:tc>
          <w:tcPr>
            <w:tcW w:w="1140" w:type="dxa"/>
            <w:tcBorders>
              <w:top w:val="nil"/>
              <w:left w:val="single" w:sz="8" w:space="0" w:color="305496"/>
              <w:bottom w:val="nil"/>
              <w:right w:val="nil"/>
            </w:tcBorders>
            <w:shd w:val="clear" w:color="auto" w:fill="auto"/>
            <w:vAlign w:val="center"/>
            <w:hideMark/>
          </w:tcPr>
          <w:p w14:paraId="3A801CB4"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898.129,6</w:t>
            </w:r>
          </w:p>
        </w:tc>
        <w:tc>
          <w:tcPr>
            <w:tcW w:w="1300" w:type="dxa"/>
            <w:tcBorders>
              <w:top w:val="nil"/>
              <w:left w:val="nil"/>
              <w:bottom w:val="nil"/>
              <w:right w:val="nil"/>
            </w:tcBorders>
            <w:shd w:val="clear" w:color="auto" w:fill="auto"/>
            <w:vAlign w:val="center"/>
            <w:hideMark/>
          </w:tcPr>
          <w:p w14:paraId="5FDA03B9"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124.031,7</w:t>
            </w:r>
          </w:p>
        </w:tc>
        <w:tc>
          <w:tcPr>
            <w:tcW w:w="1280" w:type="dxa"/>
            <w:tcBorders>
              <w:top w:val="nil"/>
              <w:left w:val="nil"/>
              <w:bottom w:val="nil"/>
              <w:right w:val="nil"/>
            </w:tcBorders>
            <w:shd w:val="clear" w:color="auto" w:fill="auto"/>
            <w:vAlign w:val="center"/>
            <w:hideMark/>
          </w:tcPr>
          <w:p w14:paraId="49CDC458"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708.609,6</w:t>
            </w:r>
          </w:p>
        </w:tc>
        <w:tc>
          <w:tcPr>
            <w:tcW w:w="1160" w:type="dxa"/>
            <w:tcBorders>
              <w:top w:val="nil"/>
              <w:left w:val="nil"/>
              <w:bottom w:val="nil"/>
              <w:right w:val="nil"/>
            </w:tcBorders>
            <w:shd w:val="clear" w:color="auto" w:fill="auto"/>
            <w:vAlign w:val="center"/>
            <w:hideMark/>
          </w:tcPr>
          <w:p w14:paraId="75F252A3"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40.459,7</w:t>
            </w:r>
          </w:p>
        </w:tc>
        <w:tc>
          <w:tcPr>
            <w:tcW w:w="1180" w:type="dxa"/>
            <w:tcBorders>
              <w:top w:val="nil"/>
              <w:left w:val="nil"/>
              <w:bottom w:val="nil"/>
              <w:right w:val="nil"/>
            </w:tcBorders>
            <w:shd w:val="clear" w:color="auto" w:fill="auto"/>
            <w:vAlign w:val="center"/>
            <w:hideMark/>
          </w:tcPr>
          <w:p w14:paraId="6C591BEB"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24.946,6</w:t>
            </w:r>
          </w:p>
        </w:tc>
        <w:tc>
          <w:tcPr>
            <w:tcW w:w="1440" w:type="dxa"/>
            <w:tcBorders>
              <w:top w:val="nil"/>
              <w:left w:val="nil"/>
              <w:bottom w:val="nil"/>
              <w:right w:val="nil"/>
            </w:tcBorders>
            <w:shd w:val="clear" w:color="auto" w:fill="auto"/>
            <w:vAlign w:val="center"/>
            <w:hideMark/>
          </w:tcPr>
          <w:p w14:paraId="3190E502" w14:textId="77777777" w:rsidR="00A543F4" w:rsidRPr="00110FB3" w:rsidRDefault="00A543F4" w:rsidP="00110FB3">
            <w:pPr>
              <w:ind w:right="340"/>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82,0</w:t>
            </w:r>
          </w:p>
        </w:tc>
        <w:tc>
          <w:tcPr>
            <w:tcW w:w="1160" w:type="dxa"/>
            <w:tcBorders>
              <w:top w:val="nil"/>
              <w:left w:val="nil"/>
              <w:bottom w:val="nil"/>
              <w:right w:val="nil"/>
            </w:tcBorders>
            <w:shd w:val="clear" w:color="auto" w:fill="auto"/>
            <w:vAlign w:val="center"/>
            <w:hideMark/>
          </w:tcPr>
          <w:p w14:paraId="1EAE4117"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685.152,2</w:t>
            </w:r>
          </w:p>
        </w:tc>
      </w:tr>
      <w:tr w:rsidR="00A543F4" w:rsidRPr="00A543F4" w14:paraId="242F8A78" w14:textId="77777777" w:rsidTr="00110FB3">
        <w:trPr>
          <w:trHeight w:val="300"/>
          <w:jc w:val="center"/>
        </w:trPr>
        <w:tc>
          <w:tcPr>
            <w:tcW w:w="1380" w:type="dxa"/>
            <w:tcBorders>
              <w:top w:val="single" w:sz="8" w:space="0" w:color="305496"/>
              <w:left w:val="nil"/>
              <w:bottom w:val="nil"/>
              <w:right w:val="nil"/>
            </w:tcBorders>
            <w:shd w:val="clear" w:color="auto" w:fill="auto"/>
            <w:vAlign w:val="center"/>
            <w:hideMark/>
          </w:tcPr>
          <w:p w14:paraId="13084387"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AF1</w:t>
            </w:r>
          </w:p>
        </w:tc>
        <w:tc>
          <w:tcPr>
            <w:tcW w:w="1140" w:type="dxa"/>
            <w:tcBorders>
              <w:top w:val="single" w:sz="8" w:space="0" w:color="305496"/>
              <w:left w:val="single" w:sz="8" w:space="0" w:color="305496"/>
              <w:bottom w:val="nil"/>
              <w:right w:val="nil"/>
            </w:tcBorders>
            <w:shd w:val="clear" w:color="auto" w:fill="auto"/>
            <w:vAlign w:val="center"/>
            <w:hideMark/>
          </w:tcPr>
          <w:p w14:paraId="3F133C9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516,2</w:t>
            </w:r>
          </w:p>
        </w:tc>
        <w:tc>
          <w:tcPr>
            <w:tcW w:w="1300" w:type="dxa"/>
            <w:tcBorders>
              <w:top w:val="single" w:sz="8" w:space="0" w:color="305496"/>
              <w:left w:val="nil"/>
              <w:bottom w:val="nil"/>
              <w:right w:val="nil"/>
            </w:tcBorders>
            <w:shd w:val="clear" w:color="auto" w:fill="auto"/>
            <w:vAlign w:val="center"/>
            <w:hideMark/>
          </w:tcPr>
          <w:p w14:paraId="6008C060"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280" w:type="dxa"/>
            <w:tcBorders>
              <w:top w:val="single" w:sz="8" w:space="0" w:color="305496"/>
              <w:left w:val="nil"/>
              <w:bottom w:val="nil"/>
              <w:right w:val="nil"/>
            </w:tcBorders>
            <w:shd w:val="clear" w:color="auto" w:fill="auto"/>
            <w:vAlign w:val="center"/>
            <w:hideMark/>
          </w:tcPr>
          <w:p w14:paraId="4AC91A4F"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516,2</w:t>
            </w:r>
          </w:p>
        </w:tc>
        <w:tc>
          <w:tcPr>
            <w:tcW w:w="1160" w:type="dxa"/>
            <w:tcBorders>
              <w:top w:val="single" w:sz="8" w:space="0" w:color="305496"/>
              <w:left w:val="nil"/>
              <w:bottom w:val="nil"/>
              <w:right w:val="nil"/>
            </w:tcBorders>
            <w:shd w:val="clear" w:color="auto" w:fill="auto"/>
            <w:vAlign w:val="center"/>
            <w:hideMark/>
          </w:tcPr>
          <w:p w14:paraId="20033712"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180" w:type="dxa"/>
            <w:tcBorders>
              <w:top w:val="single" w:sz="8" w:space="0" w:color="305496"/>
              <w:left w:val="nil"/>
              <w:bottom w:val="nil"/>
              <w:right w:val="nil"/>
            </w:tcBorders>
            <w:shd w:val="clear" w:color="auto" w:fill="auto"/>
            <w:vAlign w:val="center"/>
            <w:hideMark/>
          </w:tcPr>
          <w:p w14:paraId="3664765F"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440" w:type="dxa"/>
            <w:tcBorders>
              <w:top w:val="single" w:sz="8" w:space="0" w:color="305496"/>
              <w:left w:val="nil"/>
              <w:bottom w:val="nil"/>
              <w:right w:val="nil"/>
            </w:tcBorders>
            <w:shd w:val="clear" w:color="auto" w:fill="auto"/>
            <w:vAlign w:val="center"/>
            <w:hideMark/>
          </w:tcPr>
          <w:p w14:paraId="471DE344"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160" w:type="dxa"/>
            <w:tcBorders>
              <w:top w:val="single" w:sz="8" w:space="0" w:color="305496"/>
              <w:left w:val="nil"/>
              <w:bottom w:val="nil"/>
              <w:right w:val="nil"/>
            </w:tcBorders>
            <w:shd w:val="clear" w:color="auto" w:fill="auto"/>
            <w:vAlign w:val="center"/>
            <w:hideMark/>
          </w:tcPr>
          <w:p w14:paraId="60A48FD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516,2</w:t>
            </w:r>
          </w:p>
        </w:tc>
      </w:tr>
      <w:tr w:rsidR="00A543F4" w:rsidRPr="00A543F4" w14:paraId="5DF139FC" w14:textId="77777777" w:rsidTr="00110FB3">
        <w:trPr>
          <w:trHeight w:val="300"/>
          <w:jc w:val="center"/>
        </w:trPr>
        <w:tc>
          <w:tcPr>
            <w:tcW w:w="1380" w:type="dxa"/>
            <w:tcBorders>
              <w:top w:val="nil"/>
              <w:left w:val="nil"/>
              <w:bottom w:val="nil"/>
              <w:right w:val="nil"/>
            </w:tcBorders>
            <w:shd w:val="clear" w:color="auto" w:fill="auto"/>
            <w:vAlign w:val="center"/>
            <w:hideMark/>
          </w:tcPr>
          <w:p w14:paraId="4EDFE320"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AF2</w:t>
            </w:r>
          </w:p>
        </w:tc>
        <w:tc>
          <w:tcPr>
            <w:tcW w:w="1140" w:type="dxa"/>
            <w:tcBorders>
              <w:top w:val="nil"/>
              <w:left w:val="single" w:sz="8" w:space="0" w:color="305496"/>
              <w:bottom w:val="nil"/>
              <w:right w:val="nil"/>
            </w:tcBorders>
            <w:shd w:val="clear" w:color="auto" w:fill="auto"/>
            <w:vAlign w:val="center"/>
            <w:hideMark/>
          </w:tcPr>
          <w:p w14:paraId="7E19320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103.229,7</w:t>
            </w:r>
          </w:p>
        </w:tc>
        <w:tc>
          <w:tcPr>
            <w:tcW w:w="1300" w:type="dxa"/>
            <w:tcBorders>
              <w:top w:val="nil"/>
              <w:left w:val="nil"/>
              <w:bottom w:val="nil"/>
              <w:right w:val="nil"/>
            </w:tcBorders>
            <w:shd w:val="clear" w:color="auto" w:fill="auto"/>
            <w:vAlign w:val="center"/>
            <w:hideMark/>
          </w:tcPr>
          <w:p w14:paraId="27A1ADA9"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280" w:type="dxa"/>
            <w:tcBorders>
              <w:top w:val="nil"/>
              <w:left w:val="nil"/>
              <w:bottom w:val="nil"/>
              <w:right w:val="nil"/>
            </w:tcBorders>
            <w:shd w:val="clear" w:color="auto" w:fill="auto"/>
            <w:vAlign w:val="center"/>
            <w:hideMark/>
          </w:tcPr>
          <w:p w14:paraId="008FE1F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89.771,9</w:t>
            </w:r>
          </w:p>
        </w:tc>
        <w:tc>
          <w:tcPr>
            <w:tcW w:w="1160" w:type="dxa"/>
            <w:tcBorders>
              <w:top w:val="nil"/>
              <w:left w:val="nil"/>
              <w:bottom w:val="nil"/>
              <w:right w:val="nil"/>
            </w:tcBorders>
            <w:shd w:val="clear" w:color="auto" w:fill="auto"/>
            <w:vAlign w:val="center"/>
            <w:hideMark/>
          </w:tcPr>
          <w:p w14:paraId="2ADCBC10"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13.457,8</w:t>
            </w:r>
          </w:p>
        </w:tc>
        <w:tc>
          <w:tcPr>
            <w:tcW w:w="1180" w:type="dxa"/>
            <w:tcBorders>
              <w:top w:val="nil"/>
              <w:left w:val="nil"/>
              <w:bottom w:val="nil"/>
              <w:right w:val="nil"/>
            </w:tcBorders>
            <w:shd w:val="clear" w:color="auto" w:fill="auto"/>
            <w:vAlign w:val="center"/>
            <w:hideMark/>
          </w:tcPr>
          <w:p w14:paraId="71278AE7" w14:textId="77777777" w:rsidR="00A543F4" w:rsidRPr="00110FB3" w:rsidRDefault="00A543F4" w:rsidP="00A543F4">
            <w:pPr>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440" w:type="dxa"/>
            <w:tcBorders>
              <w:top w:val="nil"/>
              <w:left w:val="nil"/>
              <w:bottom w:val="nil"/>
              <w:right w:val="nil"/>
            </w:tcBorders>
            <w:shd w:val="clear" w:color="auto" w:fill="auto"/>
            <w:vAlign w:val="center"/>
            <w:hideMark/>
          </w:tcPr>
          <w:p w14:paraId="1508A423"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proofErr w:type="spellStart"/>
            <w:proofErr w:type="gramStart"/>
            <w:r w:rsidRPr="00110FB3">
              <w:rPr>
                <w:rFonts w:ascii="Verdana" w:eastAsia="Times New Roman" w:hAnsi="Verdana" w:cs="Calibri"/>
                <w:color w:val="2F5496"/>
                <w:sz w:val="18"/>
                <w:szCs w:val="18"/>
                <w:lang w:val="en-CY" w:eastAsia="en-CY"/>
              </w:rPr>
              <w:t>n.a</w:t>
            </w:r>
            <w:proofErr w:type="spellEnd"/>
            <w:proofErr w:type="gramEnd"/>
          </w:p>
        </w:tc>
        <w:tc>
          <w:tcPr>
            <w:tcW w:w="1160" w:type="dxa"/>
            <w:tcBorders>
              <w:top w:val="nil"/>
              <w:left w:val="nil"/>
              <w:bottom w:val="nil"/>
              <w:right w:val="nil"/>
            </w:tcBorders>
            <w:shd w:val="clear" w:color="auto" w:fill="auto"/>
            <w:vAlign w:val="center"/>
            <w:hideMark/>
          </w:tcPr>
          <w:p w14:paraId="078D9747"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11.891,9</w:t>
            </w:r>
          </w:p>
        </w:tc>
      </w:tr>
      <w:tr w:rsidR="00A543F4" w:rsidRPr="00A543F4" w14:paraId="6D2F6D89" w14:textId="77777777" w:rsidTr="00110FB3">
        <w:trPr>
          <w:trHeight w:val="300"/>
          <w:jc w:val="center"/>
        </w:trPr>
        <w:tc>
          <w:tcPr>
            <w:tcW w:w="1380" w:type="dxa"/>
            <w:tcBorders>
              <w:top w:val="nil"/>
              <w:left w:val="nil"/>
              <w:bottom w:val="nil"/>
              <w:right w:val="nil"/>
            </w:tcBorders>
            <w:shd w:val="clear" w:color="auto" w:fill="auto"/>
            <w:vAlign w:val="center"/>
            <w:hideMark/>
          </w:tcPr>
          <w:p w14:paraId="0A4A656C"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AF3</w:t>
            </w:r>
          </w:p>
        </w:tc>
        <w:tc>
          <w:tcPr>
            <w:tcW w:w="1140" w:type="dxa"/>
            <w:tcBorders>
              <w:top w:val="nil"/>
              <w:left w:val="single" w:sz="8" w:space="0" w:color="305496"/>
              <w:bottom w:val="nil"/>
              <w:right w:val="nil"/>
            </w:tcBorders>
            <w:shd w:val="clear" w:color="auto" w:fill="auto"/>
            <w:vAlign w:val="center"/>
            <w:hideMark/>
          </w:tcPr>
          <w:p w14:paraId="632190C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29.972,0</w:t>
            </w:r>
          </w:p>
        </w:tc>
        <w:tc>
          <w:tcPr>
            <w:tcW w:w="1300" w:type="dxa"/>
            <w:tcBorders>
              <w:top w:val="nil"/>
              <w:left w:val="nil"/>
              <w:bottom w:val="nil"/>
              <w:right w:val="nil"/>
            </w:tcBorders>
            <w:shd w:val="clear" w:color="auto" w:fill="auto"/>
            <w:vAlign w:val="center"/>
            <w:hideMark/>
          </w:tcPr>
          <w:p w14:paraId="19BC63D6"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76,7</w:t>
            </w:r>
          </w:p>
        </w:tc>
        <w:tc>
          <w:tcPr>
            <w:tcW w:w="1280" w:type="dxa"/>
            <w:tcBorders>
              <w:top w:val="nil"/>
              <w:left w:val="nil"/>
              <w:bottom w:val="nil"/>
              <w:right w:val="nil"/>
            </w:tcBorders>
            <w:shd w:val="clear" w:color="auto" w:fill="auto"/>
            <w:vAlign w:val="center"/>
            <w:hideMark/>
          </w:tcPr>
          <w:p w14:paraId="6B4EC30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16.890,6</w:t>
            </w:r>
          </w:p>
        </w:tc>
        <w:tc>
          <w:tcPr>
            <w:tcW w:w="1160" w:type="dxa"/>
            <w:tcBorders>
              <w:top w:val="nil"/>
              <w:left w:val="nil"/>
              <w:bottom w:val="nil"/>
              <w:right w:val="nil"/>
            </w:tcBorders>
            <w:shd w:val="clear" w:color="auto" w:fill="auto"/>
            <w:vAlign w:val="center"/>
            <w:hideMark/>
          </w:tcPr>
          <w:p w14:paraId="479D163F"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13.004,7</w:t>
            </w:r>
          </w:p>
        </w:tc>
        <w:tc>
          <w:tcPr>
            <w:tcW w:w="1180" w:type="dxa"/>
            <w:tcBorders>
              <w:top w:val="nil"/>
              <w:left w:val="nil"/>
              <w:bottom w:val="nil"/>
              <w:right w:val="nil"/>
            </w:tcBorders>
            <w:shd w:val="clear" w:color="auto" w:fill="auto"/>
            <w:vAlign w:val="center"/>
            <w:hideMark/>
          </w:tcPr>
          <w:p w14:paraId="706B50F7"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440" w:type="dxa"/>
            <w:tcBorders>
              <w:top w:val="nil"/>
              <w:left w:val="nil"/>
              <w:bottom w:val="nil"/>
              <w:right w:val="nil"/>
            </w:tcBorders>
            <w:shd w:val="clear" w:color="auto" w:fill="auto"/>
            <w:vAlign w:val="center"/>
            <w:hideMark/>
          </w:tcPr>
          <w:p w14:paraId="600E0B04"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15C978E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20.647,8</w:t>
            </w:r>
          </w:p>
        </w:tc>
      </w:tr>
      <w:tr w:rsidR="00A543F4" w:rsidRPr="00A543F4" w14:paraId="30450BF4" w14:textId="77777777" w:rsidTr="00110FB3">
        <w:trPr>
          <w:trHeight w:val="300"/>
          <w:jc w:val="center"/>
        </w:trPr>
        <w:tc>
          <w:tcPr>
            <w:tcW w:w="1380" w:type="dxa"/>
            <w:tcBorders>
              <w:top w:val="nil"/>
              <w:left w:val="nil"/>
              <w:bottom w:val="nil"/>
              <w:right w:val="nil"/>
            </w:tcBorders>
            <w:shd w:val="clear" w:color="auto" w:fill="auto"/>
            <w:vAlign w:val="center"/>
            <w:hideMark/>
          </w:tcPr>
          <w:p w14:paraId="4F8A0F23"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AF4</w:t>
            </w:r>
          </w:p>
        </w:tc>
        <w:tc>
          <w:tcPr>
            <w:tcW w:w="1140" w:type="dxa"/>
            <w:tcBorders>
              <w:top w:val="nil"/>
              <w:left w:val="single" w:sz="8" w:space="0" w:color="305496"/>
              <w:bottom w:val="nil"/>
              <w:right w:val="nil"/>
            </w:tcBorders>
            <w:shd w:val="clear" w:color="auto" w:fill="auto"/>
            <w:vAlign w:val="center"/>
            <w:hideMark/>
          </w:tcPr>
          <w:p w14:paraId="7E73A0FB"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234.971,3</w:t>
            </w:r>
          </w:p>
        </w:tc>
        <w:tc>
          <w:tcPr>
            <w:tcW w:w="1300" w:type="dxa"/>
            <w:tcBorders>
              <w:top w:val="nil"/>
              <w:left w:val="nil"/>
              <w:bottom w:val="nil"/>
              <w:right w:val="nil"/>
            </w:tcBorders>
            <w:shd w:val="clear" w:color="auto" w:fill="auto"/>
            <w:vAlign w:val="center"/>
            <w:hideMark/>
          </w:tcPr>
          <w:p w14:paraId="34F3B346"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42.088,3</w:t>
            </w:r>
          </w:p>
        </w:tc>
        <w:tc>
          <w:tcPr>
            <w:tcW w:w="1280" w:type="dxa"/>
            <w:tcBorders>
              <w:top w:val="nil"/>
              <w:left w:val="nil"/>
              <w:bottom w:val="nil"/>
              <w:right w:val="nil"/>
            </w:tcBorders>
            <w:shd w:val="clear" w:color="auto" w:fill="auto"/>
            <w:vAlign w:val="center"/>
            <w:hideMark/>
          </w:tcPr>
          <w:p w14:paraId="0431421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163.338,7</w:t>
            </w:r>
          </w:p>
        </w:tc>
        <w:tc>
          <w:tcPr>
            <w:tcW w:w="1160" w:type="dxa"/>
            <w:tcBorders>
              <w:top w:val="nil"/>
              <w:left w:val="nil"/>
              <w:bottom w:val="nil"/>
              <w:right w:val="nil"/>
            </w:tcBorders>
            <w:shd w:val="clear" w:color="auto" w:fill="auto"/>
            <w:vAlign w:val="center"/>
            <w:hideMark/>
          </w:tcPr>
          <w:p w14:paraId="70C17F5D"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9.390,2</w:t>
            </w:r>
          </w:p>
        </w:tc>
        <w:tc>
          <w:tcPr>
            <w:tcW w:w="1180" w:type="dxa"/>
            <w:tcBorders>
              <w:top w:val="nil"/>
              <w:left w:val="nil"/>
              <w:bottom w:val="nil"/>
              <w:right w:val="nil"/>
            </w:tcBorders>
            <w:shd w:val="clear" w:color="auto" w:fill="auto"/>
            <w:vAlign w:val="center"/>
            <w:hideMark/>
          </w:tcPr>
          <w:p w14:paraId="4A3FFB2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20.072,1</w:t>
            </w:r>
          </w:p>
        </w:tc>
        <w:tc>
          <w:tcPr>
            <w:tcW w:w="1440" w:type="dxa"/>
            <w:tcBorders>
              <w:top w:val="nil"/>
              <w:left w:val="nil"/>
              <w:bottom w:val="nil"/>
              <w:right w:val="nil"/>
            </w:tcBorders>
            <w:shd w:val="clear" w:color="auto" w:fill="auto"/>
            <w:vAlign w:val="center"/>
            <w:hideMark/>
          </w:tcPr>
          <w:p w14:paraId="13932EC9"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82,0</w:t>
            </w:r>
          </w:p>
        </w:tc>
        <w:tc>
          <w:tcPr>
            <w:tcW w:w="1160" w:type="dxa"/>
            <w:tcBorders>
              <w:top w:val="nil"/>
              <w:left w:val="nil"/>
              <w:bottom w:val="nil"/>
              <w:right w:val="nil"/>
            </w:tcBorders>
            <w:shd w:val="clear" w:color="auto" w:fill="auto"/>
            <w:vAlign w:val="center"/>
            <w:hideMark/>
          </w:tcPr>
          <w:p w14:paraId="1076952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193.225,8</w:t>
            </w:r>
          </w:p>
        </w:tc>
      </w:tr>
      <w:tr w:rsidR="00A543F4" w:rsidRPr="00A543F4" w14:paraId="4B018021" w14:textId="77777777" w:rsidTr="00110FB3">
        <w:trPr>
          <w:trHeight w:val="300"/>
          <w:jc w:val="center"/>
        </w:trPr>
        <w:tc>
          <w:tcPr>
            <w:tcW w:w="1380" w:type="dxa"/>
            <w:tcBorders>
              <w:top w:val="nil"/>
              <w:left w:val="nil"/>
              <w:bottom w:val="nil"/>
              <w:right w:val="nil"/>
            </w:tcBorders>
            <w:shd w:val="clear" w:color="auto" w:fill="auto"/>
            <w:vAlign w:val="center"/>
            <w:hideMark/>
          </w:tcPr>
          <w:p w14:paraId="63E8631C"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AF5</w:t>
            </w:r>
          </w:p>
        </w:tc>
        <w:tc>
          <w:tcPr>
            <w:tcW w:w="1140" w:type="dxa"/>
            <w:tcBorders>
              <w:top w:val="nil"/>
              <w:left w:val="single" w:sz="8" w:space="0" w:color="305496"/>
              <w:bottom w:val="nil"/>
              <w:right w:val="nil"/>
            </w:tcBorders>
            <w:shd w:val="clear" w:color="auto" w:fill="auto"/>
            <w:vAlign w:val="center"/>
            <w:hideMark/>
          </w:tcPr>
          <w:p w14:paraId="652F105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460.640,8</w:t>
            </w:r>
          </w:p>
        </w:tc>
        <w:tc>
          <w:tcPr>
            <w:tcW w:w="1300" w:type="dxa"/>
            <w:tcBorders>
              <w:top w:val="nil"/>
              <w:left w:val="nil"/>
              <w:bottom w:val="nil"/>
              <w:right w:val="nil"/>
            </w:tcBorders>
            <w:shd w:val="clear" w:color="auto" w:fill="auto"/>
            <w:vAlign w:val="center"/>
            <w:hideMark/>
          </w:tcPr>
          <w:p w14:paraId="599304BE"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62.444,8</w:t>
            </w:r>
          </w:p>
        </w:tc>
        <w:tc>
          <w:tcPr>
            <w:tcW w:w="1280" w:type="dxa"/>
            <w:tcBorders>
              <w:top w:val="nil"/>
              <w:left w:val="nil"/>
              <w:bottom w:val="nil"/>
              <w:right w:val="nil"/>
            </w:tcBorders>
            <w:shd w:val="clear" w:color="auto" w:fill="auto"/>
            <w:vAlign w:val="center"/>
            <w:hideMark/>
          </w:tcPr>
          <w:p w14:paraId="7829C1C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398.187,1</w:t>
            </w:r>
          </w:p>
        </w:tc>
        <w:tc>
          <w:tcPr>
            <w:tcW w:w="1160" w:type="dxa"/>
            <w:tcBorders>
              <w:top w:val="nil"/>
              <w:left w:val="nil"/>
              <w:bottom w:val="nil"/>
              <w:right w:val="nil"/>
            </w:tcBorders>
            <w:shd w:val="clear" w:color="auto" w:fill="auto"/>
            <w:vAlign w:val="center"/>
            <w:hideMark/>
          </w:tcPr>
          <w:p w14:paraId="74FB66C0"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8,9</w:t>
            </w:r>
          </w:p>
        </w:tc>
        <w:tc>
          <w:tcPr>
            <w:tcW w:w="1180" w:type="dxa"/>
            <w:tcBorders>
              <w:top w:val="nil"/>
              <w:left w:val="nil"/>
              <w:bottom w:val="nil"/>
              <w:right w:val="nil"/>
            </w:tcBorders>
            <w:shd w:val="clear" w:color="auto" w:fill="auto"/>
            <w:vAlign w:val="center"/>
            <w:hideMark/>
          </w:tcPr>
          <w:p w14:paraId="6BA1B8F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440" w:type="dxa"/>
            <w:tcBorders>
              <w:top w:val="nil"/>
              <w:left w:val="nil"/>
              <w:bottom w:val="nil"/>
              <w:right w:val="nil"/>
            </w:tcBorders>
            <w:shd w:val="clear" w:color="auto" w:fill="auto"/>
            <w:vAlign w:val="center"/>
            <w:hideMark/>
          </w:tcPr>
          <w:p w14:paraId="364237F2"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256912C3"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424.040,7</w:t>
            </w:r>
          </w:p>
        </w:tc>
      </w:tr>
      <w:tr w:rsidR="00A543F4" w:rsidRPr="00A543F4" w14:paraId="6E0B833E" w14:textId="77777777" w:rsidTr="00110FB3">
        <w:trPr>
          <w:trHeight w:val="300"/>
          <w:jc w:val="center"/>
        </w:trPr>
        <w:tc>
          <w:tcPr>
            <w:tcW w:w="1380" w:type="dxa"/>
            <w:tcBorders>
              <w:top w:val="nil"/>
              <w:left w:val="nil"/>
              <w:bottom w:val="nil"/>
              <w:right w:val="nil"/>
            </w:tcBorders>
            <w:shd w:val="clear" w:color="auto" w:fill="auto"/>
            <w:vAlign w:val="center"/>
            <w:hideMark/>
          </w:tcPr>
          <w:p w14:paraId="139D6229"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AF6</w:t>
            </w:r>
          </w:p>
        </w:tc>
        <w:tc>
          <w:tcPr>
            <w:tcW w:w="1140" w:type="dxa"/>
            <w:tcBorders>
              <w:top w:val="nil"/>
              <w:left w:val="single" w:sz="8" w:space="0" w:color="305496"/>
              <w:bottom w:val="nil"/>
              <w:right w:val="nil"/>
            </w:tcBorders>
            <w:shd w:val="clear" w:color="auto" w:fill="auto"/>
            <w:vAlign w:val="center"/>
            <w:hideMark/>
          </w:tcPr>
          <w:p w14:paraId="17CB6F27"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8.298,0</w:t>
            </w:r>
          </w:p>
        </w:tc>
        <w:tc>
          <w:tcPr>
            <w:tcW w:w="1300" w:type="dxa"/>
            <w:tcBorders>
              <w:top w:val="nil"/>
              <w:left w:val="nil"/>
              <w:bottom w:val="nil"/>
              <w:right w:val="nil"/>
            </w:tcBorders>
            <w:shd w:val="clear" w:color="auto" w:fill="auto"/>
            <w:vAlign w:val="center"/>
            <w:hideMark/>
          </w:tcPr>
          <w:p w14:paraId="7273DDBE"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344,1</w:t>
            </w:r>
          </w:p>
        </w:tc>
        <w:tc>
          <w:tcPr>
            <w:tcW w:w="1280" w:type="dxa"/>
            <w:tcBorders>
              <w:top w:val="nil"/>
              <w:left w:val="nil"/>
              <w:bottom w:val="nil"/>
              <w:right w:val="nil"/>
            </w:tcBorders>
            <w:shd w:val="clear" w:color="auto" w:fill="auto"/>
            <w:vAlign w:val="center"/>
            <w:hideMark/>
          </w:tcPr>
          <w:p w14:paraId="620EB32A"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7.503,1</w:t>
            </w:r>
          </w:p>
        </w:tc>
        <w:tc>
          <w:tcPr>
            <w:tcW w:w="1160" w:type="dxa"/>
            <w:tcBorders>
              <w:top w:val="nil"/>
              <w:left w:val="nil"/>
              <w:bottom w:val="nil"/>
              <w:right w:val="nil"/>
            </w:tcBorders>
            <w:shd w:val="clear" w:color="auto" w:fill="auto"/>
            <w:vAlign w:val="center"/>
            <w:hideMark/>
          </w:tcPr>
          <w:p w14:paraId="68FC36E2"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450,8</w:t>
            </w:r>
          </w:p>
        </w:tc>
        <w:tc>
          <w:tcPr>
            <w:tcW w:w="1180" w:type="dxa"/>
            <w:tcBorders>
              <w:top w:val="nil"/>
              <w:left w:val="nil"/>
              <w:bottom w:val="nil"/>
              <w:right w:val="nil"/>
            </w:tcBorders>
            <w:shd w:val="clear" w:color="auto" w:fill="auto"/>
            <w:vAlign w:val="center"/>
            <w:hideMark/>
          </w:tcPr>
          <w:p w14:paraId="2ED27A22"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440" w:type="dxa"/>
            <w:tcBorders>
              <w:top w:val="nil"/>
              <w:left w:val="nil"/>
              <w:bottom w:val="nil"/>
              <w:right w:val="nil"/>
            </w:tcBorders>
            <w:shd w:val="clear" w:color="auto" w:fill="auto"/>
            <w:vAlign w:val="center"/>
            <w:hideMark/>
          </w:tcPr>
          <w:p w14:paraId="5BA431C2"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4515BD4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476,6</w:t>
            </w:r>
          </w:p>
        </w:tc>
      </w:tr>
      <w:tr w:rsidR="00A543F4" w:rsidRPr="00A543F4" w14:paraId="7452B6F8" w14:textId="77777777" w:rsidTr="00110FB3">
        <w:trPr>
          <w:trHeight w:val="300"/>
          <w:jc w:val="center"/>
        </w:trPr>
        <w:tc>
          <w:tcPr>
            <w:tcW w:w="1380" w:type="dxa"/>
            <w:tcBorders>
              <w:top w:val="nil"/>
              <w:left w:val="nil"/>
              <w:bottom w:val="nil"/>
              <w:right w:val="nil"/>
            </w:tcBorders>
            <w:shd w:val="clear" w:color="auto" w:fill="auto"/>
            <w:vAlign w:val="center"/>
            <w:hideMark/>
          </w:tcPr>
          <w:p w14:paraId="4AB6C6AD"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AF7</w:t>
            </w:r>
          </w:p>
        </w:tc>
        <w:tc>
          <w:tcPr>
            <w:tcW w:w="1140" w:type="dxa"/>
            <w:tcBorders>
              <w:top w:val="nil"/>
              <w:left w:val="single" w:sz="8" w:space="0" w:color="305496"/>
              <w:bottom w:val="nil"/>
              <w:right w:val="nil"/>
            </w:tcBorders>
            <w:shd w:val="clear" w:color="auto" w:fill="auto"/>
            <w:vAlign w:val="center"/>
            <w:hideMark/>
          </w:tcPr>
          <w:p w14:paraId="60F0BD14"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1.498,5</w:t>
            </w:r>
          </w:p>
        </w:tc>
        <w:tc>
          <w:tcPr>
            <w:tcW w:w="1300" w:type="dxa"/>
            <w:tcBorders>
              <w:top w:val="nil"/>
              <w:left w:val="nil"/>
              <w:bottom w:val="nil"/>
              <w:right w:val="nil"/>
            </w:tcBorders>
            <w:shd w:val="clear" w:color="auto" w:fill="auto"/>
            <w:vAlign w:val="center"/>
            <w:hideMark/>
          </w:tcPr>
          <w:p w14:paraId="0E928721"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0,5</w:t>
            </w:r>
          </w:p>
        </w:tc>
        <w:tc>
          <w:tcPr>
            <w:tcW w:w="1280" w:type="dxa"/>
            <w:tcBorders>
              <w:top w:val="nil"/>
              <w:left w:val="nil"/>
              <w:bottom w:val="nil"/>
              <w:right w:val="nil"/>
            </w:tcBorders>
            <w:shd w:val="clear" w:color="auto" w:fill="auto"/>
            <w:vAlign w:val="center"/>
            <w:hideMark/>
          </w:tcPr>
          <w:p w14:paraId="2656AED1"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1.498,0</w:t>
            </w:r>
          </w:p>
        </w:tc>
        <w:tc>
          <w:tcPr>
            <w:tcW w:w="1160" w:type="dxa"/>
            <w:tcBorders>
              <w:top w:val="nil"/>
              <w:left w:val="nil"/>
              <w:bottom w:val="nil"/>
              <w:right w:val="nil"/>
            </w:tcBorders>
            <w:shd w:val="clear" w:color="auto" w:fill="auto"/>
            <w:vAlign w:val="center"/>
            <w:hideMark/>
          </w:tcPr>
          <w:p w14:paraId="667D59BF"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80" w:type="dxa"/>
            <w:tcBorders>
              <w:top w:val="nil"/>
              <w:left w:val="nil"/>
              <w:bottom w:val="nil"/>
              <w:right w:val="nil"/>
            </w:tcBorders>
            <w:shd w:val="clear" w:color="auto" w:fill="auto"/>
            <w:vAlign w:val="center"/>
            <w:hideMark/>
          </w:tcPr>
          <w:p w14:paraId="71E8DBB6"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440" w:type="dxa"/>
            <w:tcBorders>
              <w:top w:val="nil"/>
              <w:left w:val="nil"/>
              <w:bottom w:val="nil"/>
              <w:right w:val="nil"/>
            </w:tcBorders>
            <w:shd w:val="clear" w:color="auto" w:fill="auto"/>
            <w:vAlign w:val="center"/>
            <w:hideMark/>
          </w:tcPr>
          <w:p w14:paraId="0D41C178"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2EA7BEE2"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1.449,5</w:t>
            </w:r>
          </w:p>
        </w:tc>
      </w:tr>
      <w:tr w:rsidR="00A543F4" w:rsidRPr="00A543F4" w14:paraId="269D9011" w14:textId="77777777" w:rsidTr="00110FB3">
        <w:trPr>
          <w:trHeight w:val="315"/>
          <w:jc w:val="center"/>
        </w:trPr>
        <w:tc>
          <w:tcPr>
            <w:tcW w:w="1380" w:type="dxa"/>
            <w:tcBorders>
              <w:top w:val="nil"/>
              <w:left w:val="nil"/>
              <w:bottom w:val="single" w:sz="8" w:space="0" w:color="305496"/>
              <w:right w:val="nil"/>
            </w:tcBorders>
            <w:shd w:val="clear" w:color="auto" w:fill="auto"/>
            <w:vAlign w:val="center"/>
            <w:hideMark/>
          </w:tcPr>
          <w:p w14:paraId="24424440" w14:textId="77777777" w:rsidR="00A543F4" w:rsidRPr="00110FB3" w:rsidRDefault="00A543F4" w:rsidP="00110FB3">
            <w:pPr>
              <w:ind w:left="227"/>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AF8</w:t>
            </w:r>
          </w:p>
        </w:tc>
        <w:tc>
          <w:tcPr>
            <w:tcW w:w="1140" w:type="dxa"/>
            <w:tcBorders>
              <w:top w:val="nil"/>
              <w:left w:val="single" w:sz="8" w:space="0" w:color="305496"/>
              <w:bottom w:val="single" w:sz="8" w:space="0" w:color="305496"/>
              <w:right w:val="nil"/>
            </w:tcBorders>
            <w:shd w:val="clear" w:color="auto" w:fill="auto"/>
            <w:vAlign w:val="center"/>
            <w:hideMark/>
          </w:tcPr>
          <w:p w14:paraId="1D412458"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59.003,2</w:t>
            </w:r>
          </w:p>
        </w:tc>
        <w:tc>
          <w:tcPr>
            <w:tcW w:w="1300" w:type="dxa"/>
            <w:tcBorders>
              <w:top w:val="nil"/>
              <w:left w:val="nil"/>
              <w:bottom w:val="nil"/>
              <w:right w:val="nil"/>
            </w:tcBorders>
            <w:shd w:val="clear" w:color="auto" w:fill="auto"/>
            <w:vAlign w:val="center"/>
            <w:hideMark/>
          </w:tcPr>
          <w:p w14:paraId="671BF652"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19.077,4</w:t>
            </w:r>
          </w:p>
        </w:tc>
        <w:tc>
          <w:tcPr>
            <w:tcW w:w="1280" w:type="dxa"/>
            <w:tcBorders>
              <w:top w:val="nil"/>
              <w:left w:val="nil"/>
              <w:bottom w:val="single" w:sz="8" w:space="0" w:color="305496"/>
              <w:right w:val="nil"/>
            </w:tcBorders>
            <w:shd w:val="clear" w:color="auto" w:fill="auto"/>
            <w:vAlign w:val="center"/>
            <w:hideMark/>
          </w:tcPr>
          <w:p w14:paraId="36C58407"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30.904,0</w:t>
            </w:r>
          </w:p>
        </w:tc>
        <w:tc>
          <w:tcPr>
            <w:tcW w:w="1160" w:type="dxa"/>
            <w:tcBorders>
              <w:top w:val="nil"/>
              <w:left w:val="nil"/>
              <w:bottom w:val="nil"/>
              <w:right w:val="nil"/>
            </w:tcBorders>
            <w:shd w:val="clear" w:color="auto" w:fill="auto"/>
            <w:vAlign w:val="center"/>
            <w:hideMark/>
          </w:tcPr>
          <w:p w14:paraId="5266CB05"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4.147,4</w:t>
            </w:r>
          </w:p>
        </w:tc>
        <w:tc>
          <w:tcPr>
            <w:tcW w:w="1180" w:type="dxa"/>
            <w:tcBorders>
              <w:top w:val="nil"/>
              <w:left w:val="nil"/>
              <w:bottom w:val="nil"/>
              <w:right w:val="nil"/>
            </w:tcBorders>
            <w:shd w:val="clear" w:color="auto" w:fill="auto"/>
            <w:vAlign w:val="center"/>
            <w:hideMark/>
          </w:tcPr>
          <w:p w14:paraId="4C876DC9"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4.874,5</w:t>
            </w:r>
          </w:p>
        </w:tc>
        <w:tc>
          <w:tcPr>
            <w:tcW w:w="1440" w:type="dxa"/>
            <w:tcBorders>
              <w:top w:val="nil"/>
              <w:left w:val="nil"/>
              <w:bottom w:val="nil"/>
              <w:right w:val="nil"/>
            </w:tcBorders>
            <w:shd w:val="clear" w:color="auto" w:fill="auto"/>
            <w:vAlign w:val="center"/>
            <w:hideMark/>
          </w:tcPr>
          <w:p w14:paraId="028B923D" w14:textId="77777777" w:rsidR="00A543F4" w:rsidRPr="00110FB3" w:rsidRDefault="00A543F4" w:rsidP="00110FB3">
            <w:pPr>
              <w:ind w:right="340"/>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0,0</w:t>
            </w:r>
          </w:p>
        </w:tc>
        <w:tc>
          <w:tcPr>
            <w:tcW w:w="1160" w:type="dxa"/>
            <w:tcBorders>
              <w:top w:val="nil"/>
              <w:left w:val="nil"/>
              <w:bottom w:val="nil"/>
              <w:right w:val="nil"/>
            </w:tcBorders>
            <w:shd w:val="clear" w:color="auto" w:fill="auto"/>
            <w:vAlign w:val="center"/>
            <w:hideMark/>
          </w:tcPr>
          <w:p w14:paraId="3F75D5F3" w14:textId="77777777" w:rsidR="00A543F4" w:rsidRPr="00110FB3" w:rsidRDefault="00A543F4" w:rsidP="00A543F4">
            <w:pPr>
              <w:jc w:val="right"/>
              <w:rPr>
                <w:rFonts w:ascii="Verdana" w:eastAsia="Times New Roman" w:hAnsi="Verdana" w:cs="Calibri"/>
                <w:color w:val="2F5496"/>
                <w:sz w:val="18"/>
                <w:szCs w:val="18"/>
                <w:lang w:val="en-CY" w:eastAsia="en-CY"/>
              </w:rPr>
            </w:pPr>
            <w:r w:rsidRPr="00110FB3">
              <w:rPr>
                <w:rFonts w:ascii="Verdana" w:eastAsia="Times New Roman" w:hAnsi="Verdana" w:cs="Calibri"/>
                <w:color w:val="2F5496"/>
                <w:sz w:val="18"/>
                <w:szCs w:val="18"/>
                <w:lang w:val="en-CY" w:eastAsia="en-CY"/>
              </w:rPr>
              <w:t>32.903,7</w:t>
            </w:r>
          </w:p>
        </w:tc>
      </w:tr>
      <w:tr w:rsidR="00A543F4" w:rsidRPr="00A543F4" w14:paraId="1B15A669" w14:textId="77777777" w:rsidTr="00110FB3">
        <w:trPr>
          <w:trHeight w:val="855"/>
          <w:jc w:val="center"/>
        </w:trPr>
        <w:tc>
          <w:tcPr>
            <w:tcW w:w="1380" w:type="dxa"/>
            <w:tcBorders>
              <w:top w:val="nil"/>
              <w:left w:val="nil"/>
              <w:bottom w:val="single" w:sz="8" w:space="0" w:color="2F5496"/>
              <w:right w:val="nil"/>
            </w:tcBorders>
            <w:shd w:val="clear" w:color="auto" w:fill="auto"/>
            <w:vAlign w:val="center"/>
            <w:hideMark/>
          </w:tcPr>
          <w:p w14:paraId="05AC9CEB" w14:textId="77777777" w:rsidR="00A543F4" w:rsidRPr="00110FB3" w:rsidRDefault="00A543F4" w:rsidP="00A543F4">
            <w:pPr>
              <w:rPr>
                <w:rFonts w:ascii="Verdana" w:eastAsia="Times New Roman" w:hAnsi="Verdana" w:cs="Calibri"/>
                <w:b/>
                <w:bCs/>
                <w:color w:val="2F5496"/>
                <w:sz w:val="18"/>
                <w:szCs w:val="18"/>
                <w:lang w:val="en-CY" w:eastAsia="en-CY"/>
              </w:rPr>
            </w:pPr>
            <w:proofErr w:type="spellStart"/>
            <w:r w:rsidRPr="00110FB3">
              <w:rPr>
                <w:rFonts w:ascii="Verdana" w:eastAsia="Times New Roman" w:hAnsi="Verdana" w:cs="Calibri"/>
                <w:b/>
                <w:bCs/>
                <w:color w:val="2F5496"/>
                <w:sz w:val="18"/>
                <w:szCs w:val="18"/>
                <w:lang w:val="en-CY" w:eastAsia="en-CY"/>
              </w:rPr>
              <w:t>Χρημ</w:t>
            </w:r>
            <w:proofErr w:type="spellEnd"/>
            <w:r w:rsidRPr="00110FB3">
              <w:rPr>
                <w:rFonts w:ascii="Verdana" w:eastAsia="Times New Roman" w:hAnsi="Verdana" w:cs="Calibri"/>
                <w:b/>
                <w:bCs/>
                <w:color w:val="2F5496"/>
                <w:sz w:val="18"/>
                <w:szCs w:val="18"/>
                <w:lang w:val="en-CY" w:eastAsia="en-CY"/>
              </w:rPr>
              <w:t>ατοοικο-νομική καθα</w:t>
            </w:r>
            <w:proofErr w:type="spellStart"/>
            <w:r w:rsidRPr="00110FB3">
              <w:rPr>
                <w:rFonts w:ascii="Verdana" w:eastAsia="Times New Roman" w:hAnsi="Verdana" w:cs="Calibri"/>
                <w:b/>
                <w:bCs/>
                <w:color w:val="2F5496"/>
                <w:sz w:val="18"/>
                <w:szCs w:val="18"/>
                <w:lang w:val="en-CY" w:eastAsia="en-CY"/>
              </w:rPr>
              <w:t>ρή</w:t>
            </w:r>
            <w:proofErr w:type="spellEnd"/>
            <w:r w:rsidRPr="00110FB3">
              <w:rPr>
                <w:rFonts w:ascii="Verdana" w:eastAsia="Times New Roman" w:hAnsi="Verdana" w:cs="Calibri"/>
                <w:b/>
                <w:bCs/>
                <w:color w:val="2F5496"/>
                <w:sz w:val="18"/>
                <w:szCs w:val="18"/>
                <w:lang w:val="en-CY" w:eastAsia="en-CY"/>
              </w:rPr>
              <w:t xml:space="preserve"> </w:t>
            </w:r>
            <w:proofErr w:type="spellStart"/>
            <w:r w:rsidRPr="00110FB3">
              <w:rPr>
                <w:rFonts w:ascii="Verdana" w:eastAsia="Times New Roman" w:hAnsi="Verdana" w:cs="Calibri"/>
                <w:b/>
                <w:bCs/>
                <w:color w:val="2F5496"/>
                <w:sz w:val="18"/>
                <w:szCs w:val="18"/>
                <w:lang w:val="en-CY" w:eastAsia="en-CY"/>
              </w:rPr>
              <w:t>θέση</w:t>
            </w:r>
            <w:proofErr w:type="spellEnd"/>
          </w:p>
        </w:tc>
        <w:tc>
          <w:tcPr>
            <w:tcW w:w="1140" w:type="dxa"/>
            <w:tcBorders>
              <w:top w:val="nil"/>
              <w:left w:val="single" w:sz="8" w:space="0" w:color="305496"/>
              <w:bottom w:val="single" w:sz="8" w:space="0" w:color="2F5496"/>
              <w:right w:val="nil"/>
            </w:tcBorders>
            <w:shd w:val="clear" w:color="auto" w:fill="auto"/>
            <w:vAlign w:val="center"/>
            <w:hideMark/>
          </w:tcPr>
          <w:p w14:paraId="4A0C9473"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-29.120,7</w:t>
            </w:r>
          </w:p>
        </w:tc>
        <w:tc>
          <w:tcPr>
            <w:tcW w:w="1300" w:type="dxa"/>
            <w:tcBorders>
              <w:top w:val="single" w:sz="8" w:space="0" w:color="305496"/>
              <w:left w:val="nil"/>
              <w:bottom w:val="single" w:sz="8" w:space="0" w:color="2F5496"/>
              <w:right w:val="nil"/>
            </w:tcBorders>
            <w:shd w:val="clear" w:color="auto" w:fill="auto"/>
            <w:vAlign w:val="center"/>
            <w:hideMark/>
          </w:tcPr>
          <w:p w14:paraId="5FA7D8A4"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-52.077,1</w:t>
            </w:r>
          </w:p>
        </w:tc>
        <w:tc>
          <w:tcPr>
            <w:tcW w:w="1280" w:type="dxa"/>
            <w:tcBorders>
              <w:top w:val="nil"/>
              <w:left w:val="nil"/>
              <w:bottom w:val="single" w:sz="8" w:space="0" w:color="2F5496"/>
              <w:right w:val="nil"/>
            </w:tcBorders>
            <w:shd w:val="clear" w:color="auto" w:fill="auto"/>
            <w:vAlign w:val="center"/>
            <w:hideMark/>
          </w:tcPr>
          <w:p w14:paraId="452EF5C0"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-1.323,6</w:t>
            </w:r>
          </w:p>
        </w:tc>
        <w:tc>
          <w:tcPr>
            <w:tcW w:w="1160" w:type="dxa"/>
            <w:tcBorders>
              <w:top w:val="single" w:sz="8" w:space="0" w:color="305496"/>
              <w:left w:val="nil"/>
              <w:bottom w:val="single" w:sz="8" w:space="0" w:color="2F5496"/>
              <w:right w:val="nil"/>
            </w:tcBorders>
            <w:shd w:val="clear" w:color="auto" w:fill="auto"/>
            <w:vAlign w:val="center"/>
            <w:hideMark/>
          </w:tcPr>
          <w:p w14:paraId="3596AF5A"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-8.854,7</w:t>
            </w:r>
          </w:p>
        </w:tc>
        <w:tc>
          <w:tcPr>
            <w:tcW w:w="1180" w:type="dxa"/>
            <w:tcBorders>
              <w:top w:val="single" w:sz="8" w:space="0" w:color="305496"/>
              <w:left w:val="nil"/>
              <w:bottom w:val="single" w:sz="8" w:space="0" w:color="2F5496"/>
              <w:right w:val="nil"/>
            </w:tcBorders>
            <w:shd w:val="clear" w:color="auto" w:fill="auto"/>
            <w:vAlign w:val="center"/>
            <w:hideMark/>
          </w:tcPr>
          <w:p w14:paraId="70D1D90C"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32.498,5</w:t>
            </w:r>
          </w:p>
        </w:tc>
        <w:tc>
          <w:tcPr>
            <w:tcW w:w="1440" w:type="dxa"/>
            <w:tcBorders>
              <w:top w:val="single" w:sz="8" w:space="0" w:color="305496"/>
              <w:left w:val="nil"/>
              <w:bottom w:val="single" w:sz="8" w:space="0" w:color="2F5496"/>
              <w:right w:val="nil"/>
            </w:tcBorders>
            <w:shd w:val="clear" w:color="auto" w:fill="auto"/>
            <w:vAlign w:val="center"/>
            <w:hideMark/>
          </w:tcPr>
          <w:p w14:paraId="3D809AE5" w14:textId="77777777" w:rsidR="00A543F4" w:rsidRPr="00110FB3" w:rsidRDefault="00A543F4" w:rsidP="00110FB3">
            <w:pPr>
              <w:ind w:right="340"/>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636,2</w:t>
            </w:r>
          </w:p>
        </w:tc>
        <w:tc>
          <w:tcPr>
            <w:tcW w:w="1160" w:type="dxa"/>
            <w:tcBorders>
              <w:top w:val="single" w:sz="8" w:space="0" w:color="305496"/>
              <w:left w:val="nil"/>
              <w:bottom w:val="single" w:sz="8" w:space="0" w:color="2F5496"/>
              <w:right w:val="nil"/>
            </w:tcBorders>
            <w:shd w:val="clear" w:color="auto" w:fill="auto"/>
            <w:vAlign w:val="center"/>
            <w:hideMark/>
          </w:tcPr>
          <w:p w14:paraId="09C30EA6" w14:textId="77777777" w:rsidR="00A543F4" w:rsidRPr="00110FB3" w:rsidRDefault="00A543F4" w:rsidP="00A543F4">
            <w:pPr>
              <w:jc w:val="right"/>
              <w:rPr>
                <w:rFonts w:ascii="Verdana" w:eastAsia="Times New Roman" w:hAnsi="Verdana" w:cs="Calibri"/>
                <w:b/>
                <w:bCs/>
                <w:color w:val="2F5496"/>
                <w:sz w:val="18"/>
                <w:szCs w:val="18"/>
                <w:lang w:val="en-CY" w:eastAsia="en-CY"/>
              </w:rPr>
            </w:pPr>
            <w:r w:rsidRPr="00110FB3">
              <w:rPr>
                <w:rFonts w:ascii="Verdana" w:eastAsia="Times New Roman" w:hAnsi="Verdana" w:cs="Calibri"/>
                <w:b/>
                <w:bCs/>
                <w:color w:val="2F5496"/>
                <w:sz w:val="18"/>
                <w:szCs w:val="18"/>
                <w:lang w:val="en-CY" w:eastAsia="en-CY"/>
              </w:rPr>
              <w:t>29.120,7</w:t>
            </w:r>
          </w:p>
        </w:tc>
      </w:tr>
    </w:tbl>
    <w:p w14:paraId="43410BE7" w14:textId="77777777" w:rsidR="00B52EF2" w:rsidRDefault="00B52EF2" w:rsidP="00B52EF2">
      <w:pPr>
        <w:jc w:val="both"/>
        <w:rPr>
          <w:rFonts w:ascii="Verdana" w:hAnsi="Verdana" w:cs="Arial"/>
          <w:color w:val="2F5496" w:themeColor="accent1" w:themeShade="BF"/>
          <w:sz w:val="16"/>
          <w:szCs w:val="16"/>
          <w:lang w:val="el-GR"/>
        </w:rPr>
      </w:pPr>
      <w:proofErr w:type="spellStart"/>
      <w:r w:rsidRPr="004D7172">
        <w:rPr>
          <w:rFonts w:ascii="Verdana" w:hAnsi="Verdana" w:cs="Arial"/>
          <w:color w:val="2F5496" w:themeColor="accent1" w:themeShade="BF"/>
          <w:sz w:val="16"/>
          <w:szCs w:val="16"/>
          <w:lang w:val="el-GR"/>
        </w:rPr>
        <w:t>n.a</w:t>
      </w:r>
      <w:proofErr w:type="spellEnd"/>
      <w:r w:rsidRPr="004D7172">
        <w:rPr>
          <w:rFonts w:ascii="Verdana" w:hAnsi="Verdana" w:cs="Arial"/>
          <w:color w:val="2F5496" w:themeColor="accent1" w:themeShade="BF"/>
          <w:sz w:val="16"/>
          <w:szCs w:val="16"/>
          <w:lang w:val="el-GR"/>
        </w:rPr>
        <w:t>.</w:t>
      </w:r>
      <w:r>
        <w:rPr>
          <w:rFonts w:ascii="Verdana" w:hAnsi="Verdana" w:cs="Arial"/>
          <w:color w:val="2F5496" w:themeColor="accent1" w:themeShade="BF"/>
          <w:sz w:val="16"/>
          <w:szCs w:val="16"/>
          <w:lang w:val="el-GR"/>
        </w:rPr>
        <w:t xml:space="preserve">: Μη </w:t>
      </w:r>
      <w:r w:rsidRPr="00BE1AE8">
        <w:rPr>
          <w:rFonts w:ascii="Verdana" w:hAnsi="Verdana" w:cs="Arial"/>
          <w:color w:val="2F5496" w:themeColor="accent1" w:themeShade="BF"/>
          <w:sz w:val="16"/>
          <w:szCs w:val="16"/>
          <w:lang w:val="el-GR"/>
        </w:rPr>
        <w:t>εφαρμόσιμο</w:t>
      </w:r>
    </w:p>
    <w:p w14:paraId="1B5929D7" w14:textId="3ED5940B" w:rsidR="004B41F8" w:rsidRDefault="004179F8" w:rsidP="00FF3BC5">
      <w:pPr>
        <w:tabs>
          <w:tab w:val="left" w:pos="1080"/>
          <w:tab w:val="left" w:pos="6840"/>
        </w:tabs>
        <w:rPr>
          <w:rFonts w:ascii="Verdana" w:eastAsia="Times New Roman" w:hAnsi="Verdana" w:cs="Calibri"/>
          <w:color w:val="2F5496" w:themeColor="accent1" w:themeShade="BF"/>
          <w:sz w:val="16"/>
          <w:szCs w:val="16"/>
          <w:lang w:val="el-GR" w:eastAsia="en-CY"/>
        </w:rPr>
      </w:pPr>
      <w:r>
        <w:rPr>
          <w:rFonts w:ascii="Verdana" w:eastAsia="Times New Roman" w:hAnsi="Verdana" w:cs="Calibri"/>
          <w:b/>
          <w:bCs/>
          <w:color w:val="2F5496" w:themeColor="accent1" w:themeShade="BF"/>
          <w:sz w:val="16"/>
          <w:szCs w:val="16"/>
          <w:lang w:val="el-GR" w:eastAsia="en-CY"/>
        </w:rPr>
        <w:t>Χρηματοοικονομικά Μέσα</w:t>
      </w:r>
      <w:r w:rsidR="00A065B7" w:rsidRPr="005C61E2">
        <w:rPr>
          <w:rFonts w:ascii="Verdana" w:eastAsia="Times New Roman" w:hAnsi="Verdana" w:cs="Calibri"/>
          <w:color w:val="2F5496" w:themeColor="accent1" w:themeShade="BF"/>
          <w:sz w:val="16"/>
          <w:szCs w:val="16"/>
          <w:lang w:val="el-GR" w:eastAsia="en-CY"/>
        </w:rPr>
        <w:t>:</w:t>
      </w:r>
    </w:p>
    <w:p w14:paraId="04E9B377" w14:textId="4173E413" w:rsidR="00BB1BFE" w:rsidRPr="00E50069" w:rsidRDefault="00BB1BFE" w:rsidP="00BB1BFE">
      <w:pPr>
        <w:rPr>
          <w:rFonts w:ascii="Verdana" w:hAnsi="Verdana" w:cs="Arial"/>
          <w:sz w:val="18"/>
          <w:szCs w:val="18"/>
          <w:lang w:val="el-GR"/>
        </w:rPr>
      </w:pPr>
      <w:r w:rsidRPr="00BB1BFE">
        <w:rPr>
          <w:rFonts w:ascii="Verdana" w:eastAsia="Times New Roman" w:hAnsi="Verdana" w:cs="Calibri"/>
          <w:color w:val="2F5496" w:themeColor="accent1" w:themeShade="BF"/>
          <w:sz w:val="16"/>
          <w:szCs w:val="16"/>
          <w:lang w:val="el-GR" w:eastAsia="en-CY"/>
        </w:rPr>
        <w:t>AF1: Νομισματικός χρυσός και ειδικά τραβηχτικά δικαιώματα </w:t>
      </w:r>
      <w:r w:rsidRPr="00BB1BFE">
        <w:rPr>
          <w:rFonts w:ascii="Verdana" w:eastAsia="Times New Roman" w:hAnsi="Verdana" w:cs="Calibri"/>
          <w:color w:val="2F5496" w:themeColor="accent1" w:themeShade="BF"/>
          <w:sz w:val="16"/>
          <w:szCs w:val="16"/>
          <w:lang w:val="el-GR" w:eastAsia="en-CY"/>
        </w:rPr>
        <w:br/>
        <w:t>AF2: Μετρητά και καταθέσεις</w:t>
      </w:r>
      <w:r w:rsidRPr="00BB1BFE">
        <w:rPr>
          <w:rFonts w:ascii="Verdana" w:eastAsia="Times New Roman" w:hAnsi="Verdana" w:cs="Calibri"/>
          <w:color w:val="2F5496" w:themeColor="accent1" w:themeShade="BF"/>
          <w:sz w:val="16"/>
          <w:szCs w:val="16"/>
          <w:lang w:val="el-GR" w:eastAsia="en-CY"/>
        </w:rPr>
        <w:br/>
        <w:t>AF3: Χρεόγραφα</w:t>
      </w:r>
      <w:r w:rsidRPr="00BB1BFE">
        <w:rPr>
          <w:rFonts w:ascii="Verdana" w:eastAsia="Times New Roman" w:hAnsi="Verdana" w:cs="Calibri"/>
          <w:color w:val="2F5496" w:themeColor="accent1" w:themeShade="BF"/>
          <w:sz w:val="16"/>
          <w:szCs w:val="16"/>
          <w:lang w:val="el-GR" w:eastAsia="en-CY"/>
        </w:rPr>
        <w:br/>
        <w:t>AF4: Δάνεια</w:t>
      </w:r>
      <w:r w:rsidRPr="00BB1BFE">
        <w:rPr>
          <w:rFonts w:ascii="Verdana" w:eastAsia="Times New Roman" w:hAnsi="Verdana" w:cs="Calibri"/>
          <w:color w:val="2F5496" w:themeColor="accent1" w:themeShade="BF"/>
          <w:sz w:val="16"/>
          <w:szCs w:val="16"/>
          <w:lang w:val="el-GR" w:eastAsia="en-CY"/>
        </w:rPr>
        <w:br/>
        <w:t>AF5: Συμμετοχικοί τίτλοι και μετοχές ή μερίδια εταιρειών επενδύσεων χαρτοφυλακίου</w:t>
      </w:r>
      <w:r w:rsidRPr="00BB1BFE">
        <w:rPr>
          <w:rFonts w:ascii="Verdana" w:eastAsia="Times New Roman" w:hAnsi="Verdana" w:cs="Calibri"/>
          <w:color w:val="2F5496" w:themeColor="accent1" w:themeShade="BF"/>
          <w:sz w:val="16"/>
          <w:szCs w:val="16"/>
          <w:lang w:val="el-GR" w:eastAsia="en-CY"/>
        </w:rPr>
        <w:br/>
        <w:t>AF6: Ασφαλιστικά συστήματα, συνταξιοδοτικά συστήματα και συστήματα τυποποιημένων εγγυήσεων</w:t>
      </w:r>
      <w:r w:rsidRPr="00BB1BFE">
        <w:rPr>
          <w:rFonts w:ascii="Verdana" w:eastAsia="Times New Roman" w:hAnsi="Verdana" w:cs="Calibri"/>
          <w:color w:val="2F5496" w:themeColor="accent1" w:themeShade="BF"/>
          <w:sz w:val="16"/>
          <w:szCs w:val="16"/>
          <w:lang w:val="el-GR" w:eastAsia="en-CY"/>
        </w:rPr>
        <w:br/>
        <w:t>AF7: Χρηματοοικονομικά παράγωγα και μετοχικά δικαιώματα προαίρεσης που χορηγούνται σε μισθωτούς</w:t>
      </w:r>
      <w:r w:rsidRPr="00BB1BFE">
        <w:rPr>
          <w:rFonts w:ascii="Verdana" w:eastAsia="Times New Roman" w:hAnsi="Verdana" w:cs="Calibri"/>
          <w:color w:val="2F5496" w:themeColor="accent1" w:themeShade="BF"/>
          <w:sz w:val="16"/>
          <w:szCs w:val="16"/>
          <w:lang w:val="el-GR" w:eastAsia="en-CY"/>
        </w:rPr>
        <w:br/>
        <w:t>AF8: Λοιποί εισπρακτέοι/ πληρωτέοι λογαριασμοί</w:t>
      </w:r>
    </w:p>
    <w:p w14:paraId="5F364C83" w14:textId="77777777" w:rsidR="00A065B7" w:rsidRPr="00FF3BC5" w:rsidRDefault="00A065B7" w:rsidP="00FF3BC5">
      <w:pPr>
        <w:tabs>
          <w:tab w:val="left" w:pos="1080"/>
          <w:tab w:val="left" w:pos="6840"/>
        </w:tabs>
        <w:jc w:val="both"/>
        <w:rPr>
          <w:rFonts w:ascii="Verdana" w:eastAsia="Times New Roman" w:hAnsi="Verdana" w:cs="Calibri"/>
          <w:sz w:val="18"/>
          <w:szCs w:val="18"/>
          <w:lang w:val="el-GR" w:eastAsia="en-CY"/>
        </w:rPr>
      </w:pPr>
    </w:p>
    <w:p w14:paraId="622BB7A7" w14:textId="77777777" w:rsidR="00EB6559" w:rsidRPr="00FF3BC5" w:rsidRDefault="00EB6559" w:rsidP="00FF3BC5">
      <w:pPr>
        <w:tabs>
          <w:tab w:val="left" w:pos="1080"/>
          <w:tab w:val="left" w:pos="6840"/>
        </w:tabs>
        <w:jc w:val="both"/>
        <w:rPr>
          <w:rFonts w:ascii="Verdana" w:eastAsia="Malgun Gothic" w:hAnsi="Verdana" w:cs="Arial"/>
          <w:sz w:val="18"/>
          <w:szCs w:val="18"/>
          <w:u w:val="single"/>
          <w:lang w:val="el-GR"/>
        </w:rPr>
      </w:pPr>
    </w:p>
    <w:p w14:paraId="0AB7BC91" w14:textId="7EBE0AE0" w:rsidR="00A065B7" w:rsidRPr="00FF3BC5" w:rsidRDefault="00A065B7" w:rsidP="00FF3BC5">
      <w:pPr>
        <w:jc w:val="both"/>
        <w:rPr>
          <w:rFonts w:ascii="Verdana" w:eastAsia="Malgun Gothic" w:hAnsi="Verdana" w:cs="Arial"/>
          <w:b/>
          <w:sz w:val="18"/>
          <w:szCs w:val="18"/>
          <w:u w:val="single"/>
          <w:lang w:val="el-GR"/>
        </w:rPr>
      </w:pPr>
      <w:r w:rsidRPr="00FF3BC5">
        <w:rPr>
          <w:rFonts w:ascii="Verdana" w:eastAsia="Malgun Gothic" w:hAnsi="Verdana" w:cs="Arial"/>
          <w:b/>
          <w:sz w:val="18"/>
          <w:szCs w:val="18"/>
          <w:u w:val="single"/>
          <w:lang w:val="el-GR"/>
        </w:rPr>
        <w:br w:type="page"/>
      </w:r>
    </w:p>
    <w:p w14:paraId="4AB09FF9" w14:textId="333B7301" w:rsidR="00761E3A" w:rsidRPr="002758BE" w:rsidRDefault="00761E3A" w:rsidP="00FC3C21">
      <w:pPr>
        <w:tabs>
          <w:tab w:val="left" w:pos="1080"/>
          <w:tab w:val="left" w:pos="6840"/>
        </w:tabs>
        <w:jc w:val="center"/>
        <w:rPr>
          <w:rFonts w:ascii="Verdana" w:eastAsia="Malgun Gothic" w:hAnsi="Verdana" w:cs="Arial"/>
          <w:b/>
          <w:u w:val="single"/>
          <w:lang w:val="el-GR"/>
        </w:rPr>
      </w:pPr>
      <w:r w:rsidRPr="002758BE">
        <w:rPr>
          <w:rFonts w:ascii="Verdana" w:eastAsia="Malgun Gothic" w:hAnsi="Verdana" w:cs="Arial"/>
          <w:b/>
          <w:u w:val="single"/>
          <w:lang w:val="el-GR"/>
        </w:rPr>
        <w:lastRenderedPageBreak/>
        <w:t>ΜΕΘΟΔΟΛΟΓΙΚΕΣ ΠΛΗΡΟΦΟΡΙΕΣ</w:t>
      </w:r>
    </w:p>
    <w:p w14:paraId="6335C8BE" w14:textId="77777777" w:rsidR="00FC3C21" w:rsidRPr="00FC3C21" w:rsidRDefault="00FC3C21" w:rsidP="00FC3C21">
      <w:pPr>
        <w:jc w:val="both"/>
        <w:rPr>
          <w:rFonts w:ascii="Verdana" w:hAnsi="Verdana" w:cs="Arial"/>
          <w:sz w:val="18"/>
          <w:szCs w:val="18"/>
          <w:lang w:val="el-GR"/>
        </w:rPr>
      </w:pPr>
    </w:p>
    <w:p w14:paraId="5E396342" w14:textId="0EEADD3B" w:rsidR="008A036B" w:rsidRPr="008A036B" w:rsidRDefault="007E680E" w:rsidP="00FC3C21">
      <w:pPr>
        <w:jc w:val="both"/>
        <w:rPr>
          <w:rFonts w:ascii="Verdana" w:hAnsi="Verdana" w:cs="Arial"/>
          <w:b/>
          <w:bCs/>
          <w:sz w:val="18"/>
          <w:szCs w:val="18"/>
          <w:u w:val="single"/>
          <w:lang w:val="el-GR"/>
        </w:rPr>
      </w:pPr>
      <w:r w:rsidRPr="007E680E">
        <w:rPr>
          <w:rFonts w:ascii="Verdana" w:hAnsi="Verdana" w:cs="Arial"/>
          <w:b/>
          <w:bCs/>
          <w:sz w:val="18"/>
          <w:szCs w:val="18"/>
          <w:u w:val="single"/>
          <w:lang w:val="el-GR"/>
        </w:rPr>
        <w:t>Περιγραφή</w:t>
      </w:r>
    </w:p>
    <w:p w14:paraId="3E9F0926" w14:textId="77777777" w:rsidR="00DD7C97" w:rsidRDefault="00DD7C97" w:rsidP="00FC3C21">
      <w:pPr>
        <w:jc w:val="both"/>
        <w:rPr>
          <w:rFonts w:ascii="Verdana" w:hAnsi="Verdana" w:cs="Arial"/>
          <w:sz w:val="18"/>
          <w:szCs w:val="18"/>
          <w:lang w:val="el-GR"/>
        </w:rPr>
      </w:pPr>
    </w:p>
    <w:p w14:paraId="0C4DE618" w14:textId="1D6B1EAC"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Οι Ετήσιοι Χρηματοοικονομικοί Λογαριασμοί (ΕΧΛ) καταγράφουν τις χρηματοπιστωτικές θέσεις και συναλλαγές που αφορούν χρηματοοικονομικά περιουσιακά στοιχεία και υποχρεώσεις που έχουν πραγματοποιηθεί μεταξύ κατοίκων και μη κατοίκων της χώρας. Οι διασυνοριακές χρηματοπιστωτικές συναλλαγές και θέσεις ταξινομούνται περαιτέρω ανά είδος χρηματοοικονομικού μέσου και θεσμικού τομέα.</w:t>
      </w:r>
    </w:p>
    <w:p w14:paraId="09EFF899" w14:textId="762EDD01" w:rsidR="008A036B" w:rsidRPr="008A036B" w:rsidRDefault="008A036B" w:rsidP="00FC3C21">
      <w:pPr>
        <w:jc w:val="both"/>
        <w:rPr>
          <w:rFonts w:ascii="Verdana" w:hAnsi="Verdana" w:cs="Arial"/>
          <w:sz w:val="18"/>
          <w:szCs w:val="18"/>
          <w:lang w:val="el-GR"/>
        </w:rPr>
      </w:pPr>
      <w:r w:rsidRPr="008A036B">
        <w:rPr>
          <w:rFonts w:ascii="Verdana" w:hAnsi="Verdana" w:cs="Arial"/>
          <w:sz w:val="18"/>
          <w:szCs w:val="18"/>
          <w:lang w:val="el-GR"/>
        </w:rPr>
        <w:t xml:space="preserve"> </w:t>
      </w:r>
    </w:p>
    <w:p w14:paraId="43706334" w14:textId="5EE4AA76" w:rsidR="008A036B" w:rsidRPr="008A036B" w:rsidRDefault="007E680E" w:rsidP="00FC3C21">
      <w:pPr>
        <w:jc w:val="both"/>
        <w:rPr>
          <w:rFonts w:ascii="Verdana" w:hAnsi="Verdana" w:cs="Arial"/>
          <w:b/>
          <w:bCs/>
          <w:sz w:val="18"/>
          <w:szCs w:val="18"/>
          <w:u w:val="single"/>
          <w:lang w:val="el-GR"/>
        </w:rPr>
      </w:pPr>
      <w:r w:rsidRPr="007E680E">
        <w:rPr>
          <w:rFonts w:ascii="Verdana" w:hAnsi="Verdana" w:cs="Arial"/>
          <w:b/>
          <w:bCs/>
          <w:sz w:val="18"/>
          <w:szCs w:val="18"/>
          <w:u w:val="single"/>
          <w:lang w:val="el-GR"/>
        </w:rPr>
        <w:t>Μέθοδος</w:t>
      </w:r>
    </w:p>
    <w:p w14:paraId="0C49C83A" w14:textId="77777777" w:rsidR="00DD7C97" w:rsidRDefault="00DD7C97" w:rsidP="00FC3C21">
      <w:pPr>
        <w:jc w:val="both"/>
        <w:rPr>
          <w:rFonts w:ascii="Verdana" w:hAnsi="Verdana" w:cs="Arial"/>
          <w:sz w:val="18"/>
          <w:szCs w:val="18"/>
          <w:lang w:val="el-GR"/>
        </w:rPr>
      </w:pPr>
    </w:p>
    <w:p w14:paraId="3F55BC02"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 xml:space="preserve">Η κατάρτιση των ΕΧΛ βασίζεται στις πιο κάτω πηγές οι οποίες είναι πλήρως εναρμονισμένες με το Ευρωπαϊκό Σύστημα Λογαριασμών (ΕΣΛ 2010) και παράγονται στα πλαίσια της Ευρωπαϊκής Κεντρικής Τράπεζας: </w:t>
      </w:r>
    </w:p>
    <w:p w14:paraId="571A62FB"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1. Στατιστικές Ισολογισμών Χρηματοπιστωτικών Ιδρυμάτων</w:t>
      </w:r>
    </w:p>
    <w:p w14:paraId="2A541140"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2. Στατιστικές Ισολογισμών Επενδυτικών Ταμείων</w:t>
      </w:r>
    </w:p>
    <w:p w14:paraId="76268476"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 xml:space="preserve">3. Στατιστικές Ασφαλιστικών Εταιρειών </w:t>
      </w:r>
    </w:p>
    <w:p w14:paraId="3EB49642"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 xml:space="preserve">4. Στατιστικές Ταμείων Προνοίας </w:t>
      </w:r>
    </w:p>
    <w:p w14:paraId="30F53154"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 xml:space="preserve">5. Στατιστικές έκδοσης Χρεογράφων </w:t>
      </w:r>
    </w:p>
    <w:p w14:paraId="497224B4"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6. Στατιστικές κατόχων Χρεογράφων</w:t>
      </w:r>
    </w:p>
    <w:p w14:paraId="3AF6E847" w14:textId="4B8E720D"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7. Τριμηνιαίοι Χρηματοοικονομικοί Λογ</w:t>
      </w:r>
      <w:r w:rsidR="00FC3C21">
        <w:rPr>
          <w:rFonts w:ascii="Verdana" w:hAnsi="Verdana" w:cs="Arial"/>
          <w:sz w:val="18"/>
          <w:szCs w:val="18"/>
          <w:lang w:val="el-GR"/>
        </w:rPr>
        <w:t>αρια</w:t>
      </w:r>
      <w:r w:rsidRPr="007E680E">
        <w:rPr>
          <w:rFonts w:ascii="Verdana" w:hAnsi="Verdana" w:cs="Arial"/>
          <w:sz w:val="18"/>
          <w:szCs w:val="18"/>
          <w:lang w:val="el-GR"/>
        </w:rPr>
        <w:t xml:space="preserve">σμοί της Γενικής Κυβέρνησης </w:t>
      </w:r>
    </w:p>
    <w:p w14:paraId="2D39D24C" w14:textId="77777777" w:rsidR="007E680E" w:rsidRP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8. Διεθνής Επενδυτική θέση και Ισοζύγιο πληρωμών.</w:t>
      </w:r>
    </w:p>
    <w:p w14:paraId="1E4573AB" w14:textId="77777777" w:rsidR="007E680E" w:rsidRPr="007E680E" w:rsidRDefault="007E680E" w:rsidP="00FC3C21">
      <w:pPr>
        <w:jc w:val="both"/>
        <w:rPr>
          <w:rFonts w:ascii="Verdana" w:hAnsi="Verdana" w:cs="Arial"/>
          <w:sz w:val="18"/>
          <w:szCs w:val="18"/>
          <w:lang w:val="el-GR"/>
        </w:rPr>
      </w:pPr>
    </w:p>
    <w:p w14:paraId="28A59A78" w14:textId="69733A97" w:rsidR="007E680E" w:rsidRDefault="007E680E" w:rsidP="00FC3C21">
      <w:pPr>
        <w:jc w:val="both"/>
        <w:rPr>
          <w:rFonts w:ascii="Verdana" w:hAnsi="Verdana" w:cs="Arial"/>
          <w:sz w:val="18"/>
          <w:szCs w:val="18"/>
          <w:lang w:val="el-GR"/>
        </w:rPr>
      </w:pPr>
      <w:r w:rsidRPr="007E680E">
        <w:rPr>
          <w:rFonts w:ascii="Verdana" w:hAnsi="Verdana" w:cs="Arial"/>
          <w:sz w:val="18"/>
          <w:szCs w:val="18"/>
          <w:lang w:val="el-GR"/>
        </w:rPr>
        <w:t>Επίσης, οικονομικές καταστάσεις συλλέγονται από οργανισμούς οι οποίοι ανήκουν στους λοιπούς ενδιάμεσους χρηματοοικονομικούς θεσμικούς τομείς. Όσον αφορά τις μη-χρηματοοικονομικές εταιρείες η πληροφόρηση πηγάζει από τις ετήσιες οικονομικές τους καταστάσεις και πραγματοποιείται συσχετισμός, στον καλύτερο δυνατό βαθμό, με τις μεταβλητές του ΕΣΛ 2010. Για τον θεσμικό τομέα των Νοικοκυριών κάποιες μεταβλητές παράγονται στην βάση του υπολειπόμενου ποσού.</w:t>
      </w:r>
    </w:p>
    <w:p w14:paraId="7A04FFE9" w14:textId="77777777" w:rsidR="00DD7C97" w:rsidRPr="0009464B" w:rsidRDefault="00DD7C97" w:rsidP="00FC3C21">
      <w:pPr>
        <w:jc w:val="both"/>
        <w:rPr>
          <w:rFonts w:ascii="Verdana" w:hAnsi="Verdana" w:cs="Arial"/>
          <w:sz w:val="18"/>
          <w:szCs w:val="18"/>
          <w:lang w:val="el-GR"/>
        </w:rPr>
      </w:pPr>
    </w:p>
    <w:p w14:paraId="6C7E032E" w14:textId="6BD94F99" w:rsidR="008A036B" w:rsidRPr="008A036B" w:rsidRDefault="007E680E" w:rsidP="00FC3C21">
      <w:pPr>
        <w:jc w:val="both"/>
        <w:rPr>
          <w:rFonts w:ascii="Verdana" w:hAnsi="Verdana" w:cs="Arial"/>
          <w:b/>
          <w:bCs/>
          <w:sz w:val="18"/>
          <w:szCs w:val="18"/>
          <w:u w:val="single"/>
          <w:lang w:val="el-GR"/>
        </w:rPr>
      </w:pPr>
      <w:r w:rsidRPr="007E680E">
        <w:rPr>
          <w:rFonts w:ascii="Verdana" w:hAnsi="Verdana" w:cs="Arial"/>
          <w:b/>
          <w:bCs/>
          <w:sz w:val="18"/>
          <w:szCs w:val="18"/>
          <w:u w:val="single"/>
          <w:lang w:val="el-GR"/>
        </w:rPr>
        <w:t>Κάλυψη Στοιχείων</w:t>
      </w:r>
    </w:p>
    <w:p w14:paraId="57D3EBC1" w14:textId="77777777" w:rsidR="00DD7C97" w:rsidRDefault="00DD7C97" w:rsidP="00FC3C21">
      <w:pPr>
        <w:jc w:val="both"/>
        <w:rPr>
          <w:rFonts w:ascii="Verdana" w:hAnsi="Verdana" w:cs="Arial"/>
          <w:sz w:val="18"/>
          <w:szCs w:val="18"/>
          <w:lang w:val="el-GR"/>
        </w:rPr>
      </w:pPr>
    </w:p>
    <w:p w14:paraId="75811345" w14:textId="1601913C" w:rsidR="00B248ED" w:rsidRDefault="007E680E" w:rsidP="00FC3C21">
      <w:pPr>
        <w:jc w:val="both"/>
        <w:rPr>
          <w:rFonts w:ascii="Verdana" w:hAnsi="Verdana" w:cs="Arial"/>
          <w:sz w:val="18"/>
          <w:szCs w:val="18"/>
          <w:lang w:val="el-GR"/>
        </w:rPr>
      </w:pPr>
      <w:r w:rsidRPr="007E680E">
        <w:rPr>
          <w:rFonts w:ascii="Verdana" w:hAnsi="Verdana" w:cs="Arial"/>
          <w:sz w:val="18"/>
          <w:szCs w:val="18"/>
          <w:lang w:val="el-GR"/>
        </w:rPr>
        <w:t xml:space="preserve">Περιλαμβάνονται όλοι οι χρηματοοικονομικοί και μη χρηματοοικονομικοί οργανισμοί, επενδυτικά ταμεία, ασφαλιστικές εταιρείες, ταμεία προνοίας αλλά και οργανισμοί οι οποίοι ανήκουν στον τομέα των λοιπών ενδιάμεσων χρηματοοικονομικών οργανισμών. Περιλαμβάνεται επίσης ο τομέας της Γενικής Κυβέρνησης διαχωρισμένος σε </w:t>
      </w:r>
      <w:proofErr w:type="spellStart"/>
      <w:r w:rsidRPr="007E680E">
        <w:rPr>
          <w:rFonts w:ascii="Verdana" w:hAnsi="Verdana" w:cs="Arial"/>
          <w:sz w:val="18"/>
          <w:szCs w:val="18"/>
          <w:lang w:val="el-GR"/>
        </w:rPr>
        <w:t>υποτομείς</w:t>
      </w:r>
      <w:proofErr w:type="spellEnd"/>
      <w:r w:rsidRPr="007E680E">
        <w:rPr>
          <w:rFonts w:ascii="Verdana" w:hAnsi="Verdana" w:cs="Arial"/>
          <w:sz w:val="18"/>
          <w:szCs w:val="18"/>
          <w:lang w:val="el-GR"/>
        </w:rPr>
        <w:t>.</w:t>
      </w:r>
    </w:p>
    <w:p w14:paraId="01BB33C7" w14:textId="77777777" w:rsidR="0030124B" w:rsidRPr="00B248ED" w:rsidRDefault="0030124B" w:rsidP="00FC3C21">
      <w:pPr>
        <w:jc w:val="both"/>
        <w:rPr>
          <w:rFonts w:ascii="Verdana" w:hAnsi="Verdana" w:cs="Arial"/>
          <w:sz w:val="18"/>
          <w:szCs w:val="18"/>
          <w:lang w:val="el-GR"/>
        </w:rPr>
      </w:pPr>
    </w:p>
    <w:p w14:paraId="1F7B5FEA" w14:textId="192AAA87" w:rsidR="00761E3A" w:rsidRDefault="00761E3A" w:rsidP="00FC3C21">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FC3C21">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10" w:history="1">
        <w:r w:rsidRPr="00573F8E">
          <w:rPr>
            <w:rStyle w:val="Hyperlink"/>
            <w:rFonts w:ascii="Verdana" w:hAnsi="Verdana"/>
            <w:sz w:val="18"/>
            <w:szCs w:val="18"/>
            <w:lang w:val="el-GR"/>
          </w:rPr>
          <w:t>Εθνικοί Λογαριασμοί</w:t>
        </w:r>
      </w:hyperlink>
    </w:p>
    <w:p w14:paraId="38070A46" w14:textId="77777777" w:rsidR="008A036B" w:rsidRDefault="00136CE9" w:rsidP="00FC3C21">
      <w:pPr>
        <w:rPr>
          <w:rFonts w:ascii="Verdana" w:hAnsi="Verdana"/>
          <w:sz w:val="18"/>
          <w:szCs w:val="18"/>
          <w:lang w:val="el-GR"/>
        </w:rPr>
      </w:pPr>
      <w:hyperlink r:id="rId11" w:history="1">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hyperlink>
      <w:r w:rsidR="008A036B" w:rsidRPr="00573F8E">
        <w:rPr>
          <w:rFonts w:ascii="Verdana" w:hAnsi="Verdana"/>
          <w:sz w:val="18"/>
          <w:szCs w:val="18"/>
          <w:lang w:val="el-GR"/>
        </w:rPr>
        <w:t xml:space="preserve"> (Βάση Δεδομένων)</w:t>
      </w:r>
    </w:p>
    <w:p w14:paraId="0121E318" w14:textId="77777777" w:rsidR="008A036B" w:rsidRDefault="00136CE9" w:rsidP="00FC3C21">
      <w:pPr>
        <w:rPr>
          <w:lang w:val="el-GR"/>
        </w:rPr>
      </w:pPr>
      <w:hyperlink r:id="rId12" w:history="1">
        <w:r w:rsidR="008A036B" w:rsidRPr="008A036B">
          <w:rPr>
            <w:rStyle w:val="Hyperlink"/>
            <w:rFonts w:ascii="Verdana" w:hAnsi="Verdana"/>
            <w:sz w:val="18"/>
            <w:szCs w:val="18"/>
            <w:lang w:val="el-GR"/>
          </w:rPr>
          <w:t>Προκαθορισμένοι Πίνακες</w:t>
        </w:r>
      </w:hyperlink>
      <w:r w:rsidR="008A036B" w:rsidRPr="008A036B">
        <w:rPr>
          <w:lang w:val="el-GR"/>
        </w:rPr>
        <w:t xml:space="preserve"> </w:t>
      </w:r>
      <w:r w:rsidR="008A036B" w:rsidRPr="00032633">
        <w:rPr>
          <w:lang w:val="el-GR"/>
        </w:rPr>
        <w:t>(</w:t>
      </w:r>
      <w:r w:rsidR="008A036B">
        <w:t>Excel</w:t>
      </w:r>
      <w:r w:rsidR="008A036B" w:rsidRPr="00032633">
        <w:rPr>
          <w:lang w:val="el-GR"/>
        </w:rPr>
        <w:t>)</w:t>
      </w:r>
    </w:p>
    <w:p w14:paraId="127998F1" w14:textId="027F0600" w:rsidR="00B90040" w:rsidRPr="00872527" w:rsidRDefault="00813CD5" w:rsidP="00FC3C21">
      <w:pPr>
        <w:rPr>
          <w:rStyle w:val="Hyperlink"/>
          <w:rFonts w:ascii="Verdana" w:hAnsi="Verdana"/>
          <w:sz w:val="18"/>
          <w:szCs w:val="18"/>
          <w:lang w:val="el-GR"/>
        </w:rPr>
      </w:pPr>
      <w:r w:rsidRPr="00872527">
        <w:rPr>
          <w:rFonts w:ascii="Verdana" w:hAnsi="Verdana"/>
          <w:sz w:val="18"/>
          <w:szCs w:val="18"/>
          <w:lang w:val="el-GR"/>
        </w:rPr>
        <w:fldChar w:fldCharType="begin"/>
      </w:r>
      <w:r w:rsidRPr="00872527">
        <w:rPr>
          <w:rFonts w:ascii="Verdana" w:hAnsi="Verdana"/>
          <w:sz w:val="18"/>
          <w:szCs w:val="18"/>
          <w:lang w:val="el-GR"/>
        </w:rPr>
        <w:instrText>HYPERLINK "https://www.cystat.gov.cy/el/MethodologicalDetails?m=2151"</w:instrText>
      </w:r>
      <w:r w:rsidRPr="00872527">
        <w:rPr>
          <w:rFonts w:ascii="Verdana" w:hAnsi="Verdana"/>
          <w:sz w:val="18"/>
          <w:szCs w:val="18"/>
          <w:lang w:val="el-GR"/>
        </w:rPr>
      </w:r>
      <w:r w:rsidRPr="00872527">
        <w:rPr>
          <w:rFonts w:ascii="Verdana" w:hAnsi="Verdana"/>
          <w:sz w:val="18"/>
          <w:szCs w:val="18"/>
          <w:lang w:val="el-GR"/>
        </w:rPr>
        <w:fldChar w:fldCharType="separate"/>
      </w:r>
      <w:r w:rsidR="00B90040" w:rsidRPr="00872527">
        <w:rPr>
          <w:rStyle w:val="Hyperlink"/>
          <w:rFonts w:ascii="Verdana" w:hAnsi="Verdana"/>
          <w:sz w:val="18"/>
          <w:szCs w:val="18"/>
          <w:lang w:val="el-GR"/>
        </w:rPr>
        <w:t xml:space="preserve">Μεθοδολογικές </w:t>
      </w:r>
      <w:r w:rsidR="00335C01" w:rsidRPr="00872527">
        <w:rPr>
          <w:rStyle w:val="Hyperlink"/>
          <w:rFonts w:ascii="Verdana" w:hAnsi="Verdana"/>
          <w:sz w:val="18"/>
          <w:szCs w:val="18"/>
          <w:lang w:val="el-GR"/>
        </w:rPr>
        <w:t>Π</w:t>
      </w:r>
      <w:r w:rsidR="00B90040" w:rsidRPr="00872527">
        <w:rPr>
          <w:rStyle w:val="Hyperlink"/>
          <w:rFonts w:ascii="Verdana" w:hAnsi="Verdana"/>
          <w:sz w:val="18"/>
          <w:szCs w:val="18"/>
          <w:lang w:val="el-GR"/>
        </w:rPr>
        <w:t>ληροφορίες</w:t>
      </w:r>
    </w:p>
    <w:p w14:paraId="26509062" w14:textId="18AEA629" w:rsidR="00761E3A" w:rsidRDefault="00813CD5" w:rsidP="00FC3C21">
      <w:pPr>
        <w:jc w:val="both"/>
        <w:rPr>
          <w:rFonts w:ascii="Verdana" w:hAnsi="Verdana" w:cs="Arial"/>
          <w:sz w:val="18"/>
          <w:szCs w:val="18"/>
          <w:lang w:val="el-GR"/>
        </w:rPr>
      </w:pPr>
      <w:r w:rsidRPr="00872527">
        <w:rPr>
          <w:rFonts w:ascii="Verdana" w:hAnsi="Verdana"/>
          <w:sz w:val="18"/>
          <w:szCs w:val="18"/>
          <w:lang w:val="el-GR"/>
        </w:rPr>
        <w:fldChar w:fldCharType="end"/>
      </w:r>
    </w:p>
    <w:p w14:paraId="49124AA9" w14:textId="77777777" w:rsidR="008A036B" w:rsidRPr="00B85084" w:rsidRDefault="008A036B" w:rsidP="00FC3C21">
      <w:pPr>
        <w:jc w:val="both"/>
        <w:rPr>
          <w:rFonts w:ascii="Verdana" w:hAnsi="Verdana"/>
          <w:sz w:val="18"/>
          <w:szCs w:val="18"/>
          <w:lang w:val="el-GR"/>
        </w:rPr>
      </w:pPr>
      <w:r w:rsidRPr="00B85084">
        <w:rPr>
          <w:rFonts w:ascii="Verdana" w:hAnsi="Verdana"/>
          <w:i/>
          <w:sz w:val="18"/>
          <w:szCs w:val="18"/>
          <w:u w:val="single"/>
          <w:lang w:val="el-GR"/>
        </w:rPr>
        <w:t>Επικοινωνία</w:t>
      </w:r>
      <w:r w:rsidRPr="00B85084">
        <w:rPr>
          <w:rFonts w:ascii="Verdana" w:hAnsi="Verdana"/>
          <w:sz w:val="18"/>
          <w:szCs w:val="18"/>
          <w:lang w:val="el-GR"/>
        </w:rPr>
        <w:t xml:space="preserve"> </w:t>
      </w:r>
    </w:p>
    <w:p w14:paraId="7EB41036" w14:textId="5511DF18" w:rsidR="008A036B" w:rsidRPr="00E16CEF" w:rsidRDefault="00575AF0" w:rsidP="00FC3C21">
      <w:pPr>
        <w:tabs>
          <w:tab w:val="left" w:pos="1080"/>
          <w:tab w:val="left" w:pos="7088"/>
        </w:tabs>
        <w:jc w:val="both"/>
        <w:rPr>
          <w:rStyle w:val="Hyperlink"/>
          <w:rFonts w:ascii="Verdana" w:eastAsia="Malgun Gothic" w:hAnsi="Verdana" w:cs="Arial"/>
          <w:sz w:val="18"/>
          <w:szCs w:val="18"/>
          <w:lang w:val="el-GR"/>
        </w:rPr>
      </w:pPr>
      <w:r w:rsidRPr="009E2169">
        <w:rPr>
          <w:rFonts w:ascii="Verdana" w:hAnsi="Verdana"/>
          <w:color w:val="2C2C2C"/>
          <w:sz w:val="19"/>
          <w:szCs w:val="19"/>
          <w:shd w:val="clear" w:color="auto" w:fill="FFFFFF"/>
          <w:lang w:val="el-GR"/>
        </w:rPr>
        <w:t xml:space="preserve">Σοφία </w:t>
      </w:r>
      <w:proofErr w:type="spellStart"/>
      <w:r w:rsidRPr="009E2169">
        <w:rPr>
          <w:rFonts w:ascii="Verdana" w:hAnsi="Verdana"/>
          <w:color w:val="2C2C2C"/>
          <w:sz w:val="19"/>
          <w:szCs w:val="19"/>
          <w:shd w:val="clear" w:color="auto" w:fill="FFFFFF"/>
          <w:lang w:val="el-GR"/>
        </w:rPr>
        <w:t>Παναγίδου</w:t>
      </w:r>
      <w:proofErr w:type="spellEnd"/>
      <w:r w:rsidR="008A036B" w:rsidRPr="00B85084">
        <w:rPr>
          <w:rFonts w:ascii="Verdana" w:eastAsia="Malgun Gothic" w:hAnsi="Verdana" w:cs="Arial"/>
          <w:color w:val="000000"/>
          <w:sz w:val="18"/>
          <w:szCs w:val="18"/>
          <w:lang w:val="el-GR"/>
        </w:rPr>
        <w:t xml:space="preserve">: </w:t>
      </w:r>
      <w:proofErr w:type="spellStart"/>
      <w:r w:rsidR="008A036B" w:rsidRPr="00B85084">
        <w:rPr>
          <w:rFonts w:ascii="Verdana" w:eastAsia="Malgun Gothic" w:hAnsi="Verdana" w:cs="Arial"/>
          <w:color w:val="000000"/>
          <w:sz w:val="18"/>
          <w:szCs w:val="18"/>
          <w:lang w:val="el-GR"/>
        </w:rPr>
        <w:t>Τηλ</w:t>
      </w:r>
      <w:proofErr w:type="spellEnd"/>
      <w:r w:rsidR="008A036B" w:rsidRPr="00B85084">
        <w:rPr>
          <w:rFonts w:ascii="Verdana" w:eastAsia="Malgun Gothic" w:hAnsi="Verdana" w:cs="Arial"/>
          <w:color w:val="000000"/>
          <w:sz w:val="18"/>
          <w:szCs w:val="18"/>
          <w:lang w:val="el-GR"/>
        </w:rPr>
        <w:t>:+</w:t>
      </w:r>
      <w:r w:rsidR="00E841C1" w:rsidRPr="0079632E">
        <w:rPr>
          <w:rFonts w:ascii="Verdana" w:eastAsia="Malgun Gothic" w:hAnsi="Verdana" w:cs="Arial"/>
          <w:color w:val="000000"/>
          <w:sz w:val="18"/>
          <w:szCs w:val="18"/>
          <w:lang w:val="el-GR"/>
        </w:rPr>
        <w:t xml:space="preserve"> </w:t>
      </w:r>
      <w:r w:rsidR="008A036B" w:rsidRPr="00B85084">
        <w:rPr>
          <w:rFonts w:ascii="Verdana" w:eastAsia="Malgun Gothic" w:hAnsi="Verdana" w:cs="Arial"/>
          <w:color w:val="000000"/>
          <w:sz w:val="18"/>
          <w:szCs w:val="18"/>
          <w:lang w:val="el-GR"/>
        </w:rPr>
        <w:t>3572260</w:t>
      </w:r>
      <w:r w:rsidRPr="009E2169">
        <w:rPr>
          <w:rFonts w:ascii="Verdana" w:eastAsia="Malgun Gothic" w:hAnsi="Verdana" w:cs="Arial"/>
          <w:color w:val="000000"/>
          <w:sz w:val="18"/>
          <w:szCs w:val="18"/>
          <w:lang w:val="el-GR"/>
        </w:rPr>
        <w:t>5119</w:t>
      </w:r>
      <w:r w:rsidR="008A036B" w:rsidRPr="00B85084">
        <w:rPr>
          <w:rFonts w:ascii="Verdana" w:eastAsia="Malgun Gothic" w:hAnsi="Verdana" w:cs="Arial"/>
          <w:color w:val="000000"/>
          <w:sz w:val="18"/>
          <w:szCs w:val="18"/>
          <w:lang w:val="el-GR"/>
        </w:rPr>
        <w:t xml:space="preserve">, Ηλεκτρ. </w:t>
      </w:r>
      <w:proofErr w:type="spellStart"/>
      <w:r w:rsidR="008A036B" w:rsidRPr="00B85084">
        <w:rPr>
          <w:rFonts w:ascii="Verdana" w:eastAsia="Malgun Gothic" w:hAnsi="Verdana" w:cs="Arial"/>
          <w:color w:val="000000"/>
          <w:sz w:val="18"/>
          <w:szCs w:val="18"/>
          <w:lang w:val="el-GR"/>
        </w:rPr>
        <w:t>Ταχ</w:t>
      </w:r>
      <w:proofErr w:type="spellEnd"/>
      <w:r w:rsidR="008A036B" w:rsidRPr="00B85084">
        <w:rPr>
          <w:rFonts w:ascii="Verdana" w:eastAsia="Malgun Gothic" w:hAnsi="Verdana" w:cs="Arial"/>
          <w:color w:val="000000"/>
          <w:sz w:val="18"/>
          <w:szCs w:val="18"/>
          <w:lang w:val="el-GR"/>
        </w:rPr>
        <w:t xml:space="preserve">.: </w:t>
      </w:r>
      <w:hyperlink r:id="rId13" w:history="1">
        <w:r w:rsidR="009E2169">
          <w:rPr>
            <w:rStyle w:val="Hyperlink"/>
            <w:rFonts w:ascii="Verdana" w:eastAsia="Malgun Gothic" w:hAnsi="Verdana" w:cs="Arial"/>
            <w:sz w:val="18"/>
            <w:szCs w:val="18"/>
            <w:lang w:val="pt-PT"/>
          </w:rPr>
          <w:t>spanayidou</w:t>
        </w:r>
        <w:r w:rsidR="009E2169" w:rsidRPr="00E16CEF">
          <w:rPr>
            <w:rStyle w:val="Hyperlink"/>
            <w:rFonts w:ascii="Verdana" w:eastAsia="Malgun Gothic" w:hAnsi="Verdana" w:cs="Arial"/>
            <w:sz w:val="18"/>
            <w:szCs w:val="18"/>
            <w:lang w:val="el-GR"/>
          </w:rPr>
          <w:t>@</w:t>
        </w:r>
        <w:r w:rsidR="009E2169">
          <w:rPr>
            <w:rStyle w:val="Hyperlink"/>
            <w:rFonts w:ascii="Verdana" w:eastAsia="Malgun Gothic" w:hAnsi="Verdana" w:cs="Arial"/>
            <w:sz w:val="18"/>
            <w:szCs w:val="18"/>
            <w:lang w:val="pt-PT"/>
          </w:rPr>
          <w:t>cystat</w:t>
        </w:r>
        <w:r w:rsidR="009E2169" w:rsidRPr="00E16CEF">
          <w:rPr>
            <w:rStyle w:val="Hyperlink"/>
            <w:rFonts w:ascii="Verdana" w:eastAsia="Malgun Gothic" w:hAnsi="Verdana" w:cs="Arial"/>
            <w:sz w:val="18"/>
            <w:szCs w:val="18"/>
            <w:lang w:val="el-GR"/>
          </w:rPr>
          <w:t>.</w:t>
        </w:r>
        <w:r w:rsidR="009E2169">
          <w:rPr>
            <w:rStyle w:val="Hyperlink"/>
            <w:rFonts w:ascii="Verdana" w:eastAsia="Malgun Gothic" w:hAnsi="Verdana" w:cs="Arial"/>
            <w:sz w:val="18"/>
            <w:szCs w:val="18"/>
            <w:lang w:val="pt-PT"/>
          </w:rPr>
          <w:t>mof</w:t>
        </w:r>
        <w:r w:rsidR="009E2169" w:rsidRPr="00E16CEF">
          <w:rPr>
            <w:rStyle w:val="Hyperlink"/>
            <w:rFonts w:ascii="Verdana" w:eastAsia="Malgun Gothic" w:hAnsi="Verdana" w:cs="Arial"/>
            <w:sz w:val="18"/>
            <w:szCs w:val="18"/>
            <w:lang w:val="el-GR"/>
          </w:rPr>
          <w:t>.</w:t>
        </w:r>
        <w:r w:rsidR="009E2169">
          <w:rPr>
            <w:rStyle w:val="Hyperlink"/>
            <w:rFonts w:ascii="Verdana" w:eastAsia="Malgun Gothic" w:hAnsi="Verdana" w:cs="Arial"/>
            <w:sz w:val="18"/>
            <w:szCs w:val="18"/>
            <w:lang w:val="pt-PT"/>
          </w:rPr>
          <w:t>gov</w:t>
        </w:r>
        <w:r w:rsidR="009E2169" w:rsidRPr="00E16CEF">
          <w:rPr>
            <w:rStyle w:val="Hyperlink"/>
            <w:rFonts w:ascii="Verdana" w:eastAsia="Malgun Gothic" w:hAnsi="Verdana" w:cs="Arial"/>
            <w:sz w:val="18"/>
            <w:szCs w:val="18"/>
            <w:lang w:val="el-GR"/>
          </w:rPr>
          <w:t>.</w:t>
        </w:r>
        <w:r w:rsidR="009E2169">
          <w:rPr>
            <w:rStyle w:val="Hyperlink"/>
            <w:rFonts w:ascii="Verdana" w:eastAsia="Malgun Gothic" w:hAnsi="Verdana" w:cs="Arial"/>
            <w:sz w:val="18"/>
            <w:szCs w:val="18"/>
            <w:lang w:val="pt-PT"/>
          </w:rPr>
          <w:t>cy</w:t>
        </w:r>
      </w:hyperlink>
    </w:p>
    <w:p w14:paraId="5843B9E5" w14:textId="29A88226" w:rsidR="009E2169" w:rsidRPr="00E16CEF" w:rsidRDefault="009E2169" w:rsidP="00FC3C21">
      <w:pPr>
        <w:tabs>
          <w:tab w:val="left" w:pos="1080"/>
          <w:tab w:val="left" w:pos="7088"/>
        </w:tabs>
        <w:jc w:val="both"/>
        <w:rPr>
          <w:rStyle w:val="Hyperlink"/>
          <w:rFonts w:ascii="Verdana" w:eastAsia="Malgun Gothic" w:hAnsi="Verdana" w:cs="Arial"/>
          <w:sz w:val="18"/>
          <w:szCs w:val="18"/>
          <w:lang w:val="el-GR"/>
        </w:rPr>
      </w:pPr>
      <w:r w:rsidRPr="009E2169">
        <w:rPr>
          <w:rFonts w:ascii="Verdana" w:hAnsi="Verdana"/>
          <w:color w:val="2C2C2C"/>
          <w:sz w:val="19"/>
          <w:szCs w:val="19"/>
          <w:shd w:val="clear" w:color="auto" w:fill="FFFFFF"/>
          <w:lang w:val="el-GR"/>
        </w:rPr>
        <w:t>Κατερίνα Κυριάκου</w:t>
      </w:r>
      <w:r w:rsidRPr="00B85084">
        <w:rPr>
          <w:rFonts w:ascii="Verdana" w:eastAsia="Malgun Gothic" w:hAnsi="Verdana" w:cs="Arial"/>
          <w:color w:val="000000"/>
          <w:sz w:val="18"/>
          <w:szCs w:val="18"/>
          <w:lang w:val="el-GR"/>
        </w:rPr>
        <w:t xml:space="preserve">: </w:t>
      </w:r>
      <w:proofErr w:type="spellStart"/>
      <w:r w:rsidRPr="00B85084">
        <w:rPr>
          <w:rFonts w:ascii="Verdana" w:eastAsia="Malgun Gothic" w:hAnsi="Verdana" w:cs="Arial"/>
          <w:color w:val="000000"/>
          <w:sz w:val="18"/>
          <w:szCs w:val="18"/>
          <w:lang w:val="el-GR"/>
        </w:rPr>
        <w:t>Τηλ</w:t>
      </w:r>
      <w:proofErr w:type="spellEnd"/>
      <w:r w:rsidRPr="00B85084">
        <w:rPr>
          <w:rFonts w:ascii="Verdana" w:eastAsia="Malgun Gothic" w:hAnsi="Verdana" w:cs="Arial"/>
          <w:color w:val="000000"/>
          <w:sz w:val="18"/>
          <w:szCs w:val="18"/>
          <w:lang w:val="el-GR"/>
        </w:rPr>
        <w:t>:+</w:t>
      </w:r>
      <w:r w:rsidR="00E841C1" w:rsidRPr="0079632E">
        <w:rPr>
          <w:rFonts w:ascii="Verdana" w:eastAsia="Malgun Gothic" w:hAnsi="Verdana" w:cs="Arial"/>
          <w:color w:val="000000"/>
          <w:sz w:val="18"/>
          <w:szCs w:val="18"/>
          <w:lang w:val="el-GR"/>
        </w:rPr>
        <w:t xml:space="preserve"> </w:t>
      </w:r>
      <w:r w:rsidRPr="00B85084">
        <w:rPr>
          <w:rFonts w:ascii="Verdana" w:eastAsia="Malgun Gothic" w:hAnsi="Verdana" w:cs="Arial"/>
          <w:color w:val="000000"/>
          <w:sz w:val="18"/>
          <w:szCs w:val="18"/>
          <w:lang w:val="el-GR"/>
        </w:rPr>
        <w:t>357226</w:t>
      </w:r>
      <w:r w:rsidRPr="009E2169">
        <w:rPr>
          <w:rFonts w:ascii="Verdana" w:eastAsia="Malgun Gothic" w:hAnsi="Verdana" w:cs="Arial"/>
          <w:color w:val="000000"/>
          <w:sz w:val="18"/>
          <w:szCs w:val="18"/>
          <w:lang w:val="el-GR"/>
        </w:rPr>
        <w:t>02202</w:t>
      </w:r>
      <w:r w:rsidRPr="00B85084">
        <w:rPr>
          <w:rFonts w:ascii="Verdana" w:eastAsia="Malgun Gothic" w:hAnsi="Verdana" w:cs="Arial"/>
          <w:color w:val="000000"/>
          <w:sz w:val="18"/>
          <w:szCs w:val="18"/>
          <w:lang w:val="el-GR"/>
        </w:rPr>
        <w:t xml:space="preserve">, Ηλεκτρ. </w:t>
      </w:r>
      <w:proofErr w:type="spellStart"/>
      <w:r w:rsidRPr="00B85084">
        <w:rPr>
          <w:rFonts w:ascii="Verdana" w:eastAsia="Malgun Gothic" w:hAnsi="Verdana" w:cs="Arial"/>
          <w:color w:val="000000"/>
          <w:sz w:val="18"/>
          <w:szCs w:val="18"/>
          <w:lang w:val="el-GR"/>
        </w:rPr>
        <w:t>Ταχ</w:t>
      </w:r>
      <w:proofErr w:type="spellEnd"/>
      <w:r w:rsidRPr="00B85084">
        <w:rPr>
          <w:rFonts w:ascii="Verdana" w:eastAsia="Malgun Gothic" w:hAnsi="Verdana" w:cs="Arial"/>
          <w:color w:val="000000"/>
          <w:sz w:val="18"/>
          <w:szCs w:val="18"/>
          <w:lang w:val="el-GR"/>
        </w:rPr>
        <w:t xml:space="preserve">.: </w:t>
      </w:r>
      <w:hyperlink r:id="rId14" w:history="1">
        <w:r>
          <w:rPr>
            <w:rStyle w:val="Hyperlink"/>
            <w:rFonts w:ascii="Verdana" w:eastAsia="Malgun Gothic" w:hAnsi="Verdana" w:cs="Arial"/>
            <w:sz w:val="18"/>
            <w:szCs w:val="18"/>
            <w:lang w:val="pt-PT"/>
          </w:rPr>
          <w:t>kkyriakou</w:t>
        </w:r>
        <w:r w:rsidRPr="00E16CEF">
          <w:rPr>
            <w:rStyle w:val="Hyperlink"/>
            <w:rFonts w:ascii="Verdana" w:eastAsia="Malgun Gothic" w:hAnsi="Verdana" w:cs="Arial"/>
            <w:sz w:val="18"/>
            <w:szCs w:val="18"/>
            <w:lang w:val="el-GR"/>
          </w:rPr>
          <w:t>@</w:t>
        </w:r>
        <w:r>
          <w:rPr>
            <w:rStyle w:val="Hyperlink"/>
            <w:rFonts w:ascii="Verdana" w:eastAsia="Malgun Gothic" w:hAnsi="Verdana" w:cs="Arial"/>
            <w:sz w:val="18"/>
            <w:szCs w:val="18"/>
            <w:lang w:val="pt-PT"/>
          </w:rPr>
          <w:t>cystat</w:t>
        </w:r>
        <w:r w:rsidRPr="00E16CEF">
          <w:rPr>
            <w:rStyle w:val="Hyperlink"/>
            <w:rFonts w:ascii="Verdana" w:eastAsia="Malgun Gothic" w:hAnsi="Verdana" w:cs="Arial"/>
            <w:sz w:val="18"/>
            <w:szCs w:val="18"/>
            <w:lang w:val="el-GR"/>
          </w:rPr>
          <w:t>.</w:t>
        </w:r>
        <w:r>
          <w:rPr>
            <w:rStyle w:val="Hyperlink"/>
            <w:rFonts w:ascii="Verdana" w:eastAsia="Malgun Gothic" w:hAnsi="Verdana" w:cs="Arial"/>
            <w:sz w:val="18"/>
            <w:szCs w:val="18"/>
            <w:lang w:val="pt-PT"/>
          </w:rPr>
          <w:t>mof</w:t>
        </w:r>
        <w:r w:rsidRPr="00E16CEF">
          <w:rPr>
            <w:rStyle w:val="Hyperlink"/>
            <w:rFonts w:ascii="Verdana" w:eastAsia="Malgun Gothic" w:hAnsi="Verdana" w:cs="Arial"/>
            <w:sz w:val="18"/>
            <w:szCs w:val="18"/>
            <w:lang w:val="el-GR"/>
          </w:rPr>
          <w:t>.</w:t>
        </w:r>
        <w:r>
          <w:rPr>
            <w:rStyle w:val="Hyperlink"/>
            <w:rFonts w:ascii="Verdana" w:eastAsia="Malgun Gothic" w:hAnsi="Verdana" w:cs="Arial"/>
            <w:sz w:val="18"/>
            <w:szCs w:val="18"/>
            <w:lang w:val="pt-PT"/>
          </w:rPr>
          <w:t>gov</w:t>
        </w:r>
        <w:r w:rsidRPr="00E16CEF">
          <w:rPr>
            <w:rStyle w:val="Hyperlink"/>
            <w:rFonts w:ascii="Verdana" w:eastAsia="Malgun Gothic" w:hAnsi="Verdana" w:cs="Arial"/>
            <w:sz w:val="18"/>
            <w:szCs w:val="18"/>
            <w:lang w:val="el-GR"/>
          </w:rPr>
          <w:t>.</w:t>
        </w:r>
        <w:r>
          <w:rPr>
            <w:rStyle w:val="Hyperlink"/>
            <w:rFonts w:ascii="Verdana" w:eastAsia="Malgun Gothic" w:hAnsi="Verdana" w:cs="Arial"/>
            <w:sz w:val="18"/>
            <w:szCs w:val="18"/>
            <w:lang w:val="pt-PT"/>
          </w:rPr>
          <w:t>cy</w:t>
        </w:r>
      </w:hyperlink>
    </w:p>
    <w:p w14:paraId="14A87141" w14:textId="77777777" w:rsidR="009E2169" w:rsidRPr="00E16CEF" w:rsidRDefault="009E2169" w:rsidP="00FC3C21">
      <w:pPr>
        <w:tabs>
          <w:tab w:val="left" w:pos="1080"/>
          <w:tab w:val="left" w:pos="7088"/>
        </w:tabs>
        <w:jc w:val="both"/>
        <w:rPr>
          <w:rFonts w:ascii="Verdana" w:hAnsi="Verdana" w:cs="Arial"/>
          <w:sz w:val="18"/>
          <w:szCs w:val="18"/>
          <w:lang w:val="el-GR"/>
        </w:rPr>
      </w:pPr>
    </w:p>
    <w:p w14:paraId="00D65A1D" w14:textId="610E7849" w:rsidR="001712CF" w:rsidRPr="00EE15B6" w:rsidRDefault="001712CF" w:rsidP="00FC3C21">
      <w:pPr>
        <w:jc w:val="both"/>
        <w:rPr>
          <w:rFonts w:ascii="Verdana" w:hAnsi="Verdana" w:cs="Arial"/>
          <w:sz w:val="18"/>
          <w:szCs w:val="18"/>
          <w:lang w:val="el-GR"/>
        </w:rPr>
      </w:pPr>
    </w:p>
    <w:sectPr w:rsidR="001712CF" w:rsidRPr="00EE15B6" w:rsidSect="007E1AED">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B67D" w14:textId="77777777" w:rsidR="00FD7683" w:rsidRDefault="00FD7683" w:rsidP="00FB398F">
      <w:r>
        <w:separator/>
      </w:r>
    </w:p>
  </w:endnote>
  <w:endnote w:type="continuationSeparator" w:id="0">
    <w:p w14:paraId="18765308" w14:textId="77777777" w:rsidR="00FD7683" w:rsidRDefault="00FD768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1F00CE" w:rsidRPr="000A1A88" w:rsidRDefault="001F00CE"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A754C9">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1F00CE" w:rsidRPr="00233FBF" w:rsidRDefault="001F00CE"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1F00CE" w:rsidRPr="00233FBF" w:rsidRDefault="001F00CE"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A543F4">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1F00CE" w:rsidRPr="00233FBF" w:rsidRDefault="001F00CE"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E05" w14:textId="77777777" w:rsidR="00FD7683" w:rsidRDefault="00FD7683" w:rsidP="00FB398F">
      <w:r>
        <w:separator/>
      </w:r>
    </w:p>
  </w:footnote>
  <w:footnote w:type="continuationSeparator" w:id="0">
    <w:p w14:paraId="5D68D540" w14:textId="77777777" w:rsidR="00FD7683" w:rsidRDefault="00FD768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1F00CE" w:rsidRPr="00AC704B" w:rsidRDefault="001F00CE"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1F00CE" w:rsidRDefault="001F00CE"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1F00CE" w:rsidRDefault="001F00C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1F00CE" w:rsidRDefault="001F00CE"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3C844DF" w:rsidR="001F00CE" w:rsidRDefault="0017707E" w:rsidP="000932CF">
    <w:pPr>
      <w:pStyle w:val="Header"/>
      <w:tabs>
        <w:tab w:val="clear" w:pos="4153"/>
        <w:tab w:val="clear" w:pos="8306"/>
        <w:tab w:val="center" w:pos="1620"/>
        <w:tab w:val="center" w:pos="4581"/>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6B35A09" wp14:editId="637AAD9E">
              <wp:simplePos x="0" y="0"/>
              <wp:positionH relativeFrom="column">
                <wp:posOffset>4159250</wp:posOffset>
              </wp:positionH>
              <wp:positionV relativeFrom="paragraph">
                <wp:posOffset>177800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1F00CE" w:rsidRDefault="001F00CE"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1F00CE" w:rsidRPr="00BA5A5E" w:rsidRDefault="001F00CE"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14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" stroked="f">
              <v:textbox>
                <w:txbxContent>
                  <w:p w14:paraId="505F9DD1" w14:textId="77777777" w:rsidR="001F00CE" w:rsidRDefault="001F00CE"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1F00CE" w:rsidRPr="00BA5A5E" w:rsidRDefault="001F00CE"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r w:rsidR="001F00CE">
      <w:rPr>
        <w:rFonts w:ascii="Arial" w:hAnsi="Arial" w:cs="Arial"/>
        <w:bCs/>
        <w:sz w:val="18"/>
        <w:szCs w:val="18"/>
      </w:rPr>
      <w:tab/>
    </w:r>
    <w:r w:rsidR="001F00CE">
      <w:rPr>
        <w:rFonts w:ascii="Arial" w:hAnsi="Arial" w:cs="Arial"/>
        <w:bCs/>
        <w:sz w:val="18"/>
        <w:szCs w:val="18"/>
      </w:rPr>
      <w:tab/>
    </w:r>
  </w:p>
  <w:p w14:paraId="136A8564" w14:textId="0A5ED970" w:rsidR="001F00CE" w:rsidRDefault="001F00CE"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88C084B" w14:textId="77777777"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0B8CA1D6" w14:textId="5BD9E010" w:rsidR="001F00CE" w:rsidRPr="0017707E" w:rsidRDefault="001F00CE" w:rsidP="0017707E">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07981764">
    <w:abstractNumId w:val="4"/>
  </w:num>
  <w:num w:numId="2" w16cid:durableId="626666549">
    <w:abstractNumId w:val="1"/>
  </w:num>
  <w:num w:numId="3" w16cid:durableId="1905287752">
    <w:abstractNumId w:val="2"/>
  </w:num>
  <w:num w:numId="4" w16cid:durableId="78449516">
    <w:abstractNumId w:val="3"/>
  </w:num>
  <w:num w:numId="5" w16cid:durableId="7409498">
    <w:abstractNumId w:val="0"/>
  </w:num>
  <w:num w:numId="6" w16cid:durableId="903301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5C9F"/>
    <w:rsid w:val="000161B1"/>
    <w:rsid w:val="00020D24"/>
    <w:rsid w:val="00025A39"/>
    <w:rsid w:val="00027853"/>
    <w:rsid w:val="00030E18"/>
    <w:rsid w:val="00031D32"/>
    <w:rsid w:val="0003603D"/>
    <w:rsid w:val="00036FD7"/>
    <w:rsid w:val="000419EF"/>
    <w:rsid w:val="00045088"/>
    <w:rsid w:val="00045A06"/>
    <w:rsid w:val="00050391"/>
    <w:rsid w:val="00051A9C"/>
    <w:rsid w:val="00054AE7"/>
    <w:rsid w:val="00055291"/>
    <w:rsid w:val="000563D3"/>
    <w:rsid w:val="00057E44"/>
    <w:rsid w:val="00060C16"/>
    <w:rsid w:val="00061299"/>
    <w:rsid w:val="00070576"/>
    <w:rsid w:val="00071C40"/>
    <w:rsid w:val="000752BB"/>
    <w:rsid w:val="00081ADF"/>
    <w:rsid w:val="00081C47"/>
    <w:rsid w:val="000843D4"/>
    <w:rsid w:val="00084A02"/>
    <w:rsid w:val="00084BF7"/>
    <w:rsid w:val="000870E9"/>
    <w:rsid w:val="000932CF"/>
    <w:rsid w:val="0009464B"/>
    <w:rsid w:val="00095366"/>
    <w:rsid w:val="00096ED8"/>
    <w:rsid w:val="000971D3"/>
    <w:rsid w:val="000A1A88"/>
    <w:rsid w:val="000A1CBA"/>
    <w:rsid w:val="000A2B5C"/>
    <w:rsid w:val="000A351B"/>
    <w:rsid w:val="000A3601"/>
    <w:rsid w:val="000A6FA8"/>
    <w:rsid w:val="000A75CF"/>
    <w:rsid w:val="000C1070"/>
    <w:rsid w:val="000C3B4E"/>
    <w:rsid w:val="000C4E72"/>
    <w:rsid w:val="000D1E7A"/>
    <w:rsid w:val="000D29C5"/>
    <w:rsid w:val="000D572B"/>
    <w:rsid w:val="000D7012"/>
    <w:rsid w:val="000E24B1"/>
    <w:rsid w:val="000E2735"/>
    <w:rsid w:val="000E32D6"/>
    <w:rsid w:val="000E4CB0"/>
    <w:rsid w:val="000E4E34"/>
    <w:rsid w:val="000E57F2"/>
    <w:rsid w:val="000E72A7"/>
    <w:rsid w:val="000F1162"/>
    <w:rsid w:val="000F3467"/>
    <w:rsid w:val="000F38DE"/>
    <w:rsid w:val="000F532A"/>
    <w:rsid w:val="000F5814"/>
    <w:rsid w:val="000F5D6C"/>
    <w:rsid w:val="0010248E"/>
    <w:rsid w:val="00102738"/>
    <w:rsid w:val="00106852"/>
    <w:rsid w:val="00107E95"/>
    <w:rsid w:val="00110D15"/>
    <w:rsid w:val="00110F9D"/>
    <w:rsid w:val="00110FB3"/>
    <w:rsid w:val="00112316"/>
    <w:rsid w:val="00114A67"/>
    <w:rsid w:val="00115C7A"/>
    <w:rsid w:val="00117E53"/>
    <w:rsid w:val="001253B6"/>
    <w:rsid w:val="001262C3"/>
    <w:rsid w:val="00127320"/>
    <w:rsid w:val="00127456"/>
    <w:rsid w:val="001312D8"/>
    <w:rsid w:val="0013137B"/>
    <w:rsid w:val="001354B3"/>
    <w:rsid w:val="00136CE9"/>
    <w:rsid w:val="00145B3C"/>
    <w:rsid w:val="00150FFC"/>
    <w:rsid w:val="0015118B"/>
    <w:rsid w:val="001519CE"/>
    <w:rsid w:val="00161CF3"/>
    <w:rsid w:val="00161EA2"/>
    <w:rsid w:val="00162C00"/>
    <w:rsid w:val="001639EF"/>
    <w:rsid w:val="0016589F"/>
    <w:rsid w:val="00167A5D"/>
    <w:rsid w:val="001712CF"/>
    <w:rsid w:val="001763B8"/>
    <w:rsid w:val="00176F5C"/>
    <w:rsid w:val="0017707E"/>
    <w:rsid w:val="0017769A"/>
    <w:rsid w:val="00183DFC"/>
    <w:rsid w:val="00184384"/>
    <w:rsid w:val="00186717"/>
    <w:rsid w:val="00187FFC"/>
    <w:rsid w:val="0019391C"/>
    <w:rsid w:val="0019790B"/>
    <w:rsid w:val="001A0DA0"/>
    <w:rsid w:val="001A0E1E"/>
    <w:rsid w:val="001A2018"/>
    <w:rsid w:val="001A4000"/>
    <w:rsid w:val="001B2C39"/>
    <w:rsid w:val="001B3675"/>
    <w:rsid w:val="001B5AE2"/>
    <w:rsid w:val="001B5E10"/>
    <w:rsid w:val="001B6AB3"/>
    <w:rsid w:val="001B73D5"/>
    <w:rsid w:val="001C0681"/>
    <w:rsid w:val="001C62B3"/>
    <w:rsid w:val="001C7C8C"/>
    <w:rsid w:val="001D0D6A"/>
    <w:rsid w:val="001D20A4"/>
    <w:rsid w:val="001E00D1"/>
    <w:rsid w:val="001E0E58"/>
    <w:rsid w:val="001E14F3"/>
    <w:rsid w:val="001E15ED"/>
    <w:rsid w:val="001E61AA"/>
    <w:rsid w:val="001F00CE"/>
    <w:rsid w:val="0020309E"/>
    <w:rsid w:val="00210B58"/>
    <w:rsid w:val="002131E5"/>
    <w:rsid w:val="00220DC4"/>
    <w:rsid w:val="00222423"/>
    <w:rsid w:val="002230AA"/>
    <w:rsid w:val="0022360E"/>
    <w:rsid w:val="00225B28"/>
    <w:rsid w:val="00226891"/>
    <w:rsid w:val="00230D9B"/>
    <w:rsid w:val="002313AC"/>
    <w:rsid w:val="00231B72"/>
    <w:rsid w:val="00235FB2"/>
    <w:rsid w:val="00237BC1"/>
    <w:rsid w:val="002430B4"/>
    <w:rsid w:val="002447D0"/>
    <w:rsid w:val="002454C5"/>
    <w:rsid w:val="00245E19"/>
    <w:rsid w:val="0024629C"/>
    <w:rsid w:val="00246AEB"/>
    <w:rsid w:val="00250005"/>
    <w:rsid w:val="0025254F"/>
    <w:rsid w:val="0025566D"/>
    <w:rsid w:val="0025595C"/>
    <w:rsid w:val="00257149"/>
    <w:rsid w:val="002576E7"/>
    <w:rsid w:val="00260357"/>
    <w:rsid w:val="00260D1B"/>
    <w:rsid w:val="002628F0"/>
    <w:rsid w:val="00264F04"/>
    <w:rsid w:val="00267554"/>
    <w:rsid w:val="00270BEE"/>
    <w:rsid w:val="002758BE"/>
    <w:rsid w:val="002769F4"/>
    <w:rsid w:val="0028338F"/>
    <w:rsid w:val="002915C4"/>
    <w:rsid w:val="00295ACF"/>
    <w:rsid w:val="00297271"/>
    <w:rsid w:val="00297E6B"/>
    <w:rsid w:val="002A1D1C"/>
    <w:rsid w:val="002A34DC"/>
    <w:rsid w:val="002A3D2F"/>
    <w:rsid w:val="002A4D64"/>
    <w:rsid w:val="002A6E8D"/>
    <w:rsid w:val="002B4969"/>
    <w:rsid w:val="002B6554"/>
    <w:rsid w:val="002D05F0"/>
    <w:rsid w:val="002D2829"/>
    <w:rsid w:val="002D7D4A"/>
    <w:rsid w:val="002E2D0C"/>
    <w:rsid w:val="002E331C"/>
    <w:rsid w:val="002E3846"/>
    <w:rsid w:val="002E3F78"/>
    <w:rsid w:val="002F400C"/>
    <w:rsid w:val="002F4D76"/>
    <w:rsid w:val="002F6D26"/>
    <w:rsid w:val="002F7B84"/>
    <w:rsid w:val="0030124B"/>
    <w:rsid w:val="0030231E"/>
    <w:rsid w:val="003042C4"/>
    <w:rsid w:val="00304CB4"/>
    <w:rsid w:val="00313F37"/>
    <w:rsid w:val="003141D0"/>
    <w:rsid w:val="003168C1"/>
    <w:rsid w:val="00322314"/>
    <w:rsid w:val="00322FBE"/>
    <w:rsid w:val="00323A6C"/>
    <w:rsid w:val="00325632"/>
    <w:rsid w:val="00327549"/>
    <w:rsid w:val="003342A5"/>
    <w:rsid w:val="00334616"/>
    <w:rsid w:val="0033474D"/>
    <w:rsid w:val="00335C01"/>
    <w:rsid w:val="00336C36"/>
    <w:rsid w:val="00343815"/>
    <w:rsid w:val="003440F8"/>
    <w:rsid w:val="00350FC8"/>
    <w:rsid w:val="003522BB"/>
    <w:rsid w:val="00352F6C"/>
    <w:rsid w:val="003556EA"/>
    <w:rsid w:val="003629AB"/>
    <w:rsid w:val="00385ED5"/>
    <w:rsid w:val="003864BE"/>
    <w:rsid w:val="00386FC7"/>
    <w:rsid w:val="00390A32"/>
    <w:rsid w:val="00397AB4"/>
    <w:rsid w:val="003A1E91"/>
    <w:rsid w:val="003A1F32"/>
    <w:rsid w:val="003A40F2"/>
    <w:rsid w:val="003A50D1"/>
    <w:rsid w:val="003B0BAC"/>
    <w:rsid w:val="003B196D"/>
    <w:rsid w:val="003B2710"/>
    <w:rsid w:val="003B4608"/>
    <w:rsid w:val="003B6218"/>
    <w:rsid w:val="003C2392"/>
    <w:rsid w:val="003C5174"/>
    <w:rsid w:val="003C5240"/>
    <w:rsid w:val="003C6B63"/>
    <w:rsid w:val="003C76E6"/>
    <w:rsid w:val="003D0C49"/>
    <w:rsid w:val="003D14E0"/>
    <w:rsid w:val="003D1EA5"/>
    <w:rsid w:val="003D3348"/>
    <w:rsid w:val="003D4E63"/>
    <w:rsid w:val="003D579F"/>
    <w:rsid w:val="003D6822"/>
    <w:rsid w:val="003D724C"/>
    <w:rsid w:val="003D7B59"/>
    <w:rsid w:val="003E0CE2"/>
    <w:rsid w:val="003F49E4"/>
    <w:rsid w:val="003F4D2F"/>
    <w:rsid w:val="003F5E32"/>
    <w:rsid w:val="003F75F6"/>
    <w:rsid w:val="004035B0"/>
    <w:rsid w:val="00404670"/>
    <w:rsid w:val="00414CA0"/>
    <w:rsid w:val="004179F8"/>
    <w:rsid w:val="00422F54"/>
    <w:rsid w:val="00426321"/>
    <w:rsid w:val="00426EAC"/>
    <w:rsid w:val="00430704"/>
    <w:rsid w:val="00431516"/>
    <w:rsid w:val="004361B3"/>
    <w:rsid w:val="0044249D"/>
    <w:rsid w:val="0044379F"/>
    <w:rsid w:val="00444FCC"/>
    <w:rsid w:val="00446FB1"/>
    <w:rsid w:val="004512DF"/>
    <w:rsid w:val="00452753"/>
    <w:rsid w:val="0046078F"/>
    <w:rsid w:val="00463214"/>
    <w:rsid w:val="0046434D"/>
    <w:rsid w:val="00465172"/>
    <w:rsid w:val="004652B4"/>
    <w:rsid w:val="004656FA"/>
    <w:rsid w:val="00471D77"/>
    <w:rsid w:val="00475587"/>
    <w:rsid w:val="00480BC2"/>
    <w:rsid w:val="004845C3"/>
    <w:rsid w:val="004910FC"/>
    <w:rsid w:val="004929C2"/>
    <w:rsid w:val="00493DB9"/>
    <w:rsid w:val="00493FDD"/>
    <w:rsid w:val="00495271"/>
    <w:rsid w:val="0049586B"/>
    <w:rsid w:val="004A1C91"/>
    <w:rsid w:val="004A3E44"/>
    <w:rsid w:val="004B2018"/>
    <w:rsid w:val="004B2896"/>
    <w:rsid w:val="004B38E9"/>
    <w:rsid w:val="004B3FBA"/>
    <w:rsid w:val="004B41F8"/>
    <w:rsid w:val="004B6599"/>
    <w:rsid w:val="004C4C37"/>
    <w:rsid w:val="004C59F4"/>
    <w:rsid w:val="004C6A35"/>
    <w:rsid w:val="004C6CA7"/>
    <w:rsid w:val="004D4357"/>
    <w:rsid w:val="004D4950"/>
    <w:rsid w:val="004E2393"/>
    <w:rsid w:val="004E3745"/>
    <w:rsid w:val="004E42BE"/>
    <w:rsid w:val="004E4F42"/>
    <w:rsid w:val="004E63D5"/>
    <w:rsid w:val="004F03FD"/>
    <w:rsid w:val="004F42E5"/>
    <w:rsid w:val="004F52F0"/>
    <w:rsid w:val="004F6176"/>
    <w:rsid w:val="004F6250"/>
    <w:rsid w:val="004F677C"/>
    <w:rsid w:val="004F6D8F"/>
    <w:rsid w:val="00505503"/>
    <w:rsid w:val="0051107B"/>
    <w:rsid w:val="00512F9C"/>
    <w:rsid w:val="00515F21"/>
    <w:rsid w:val="00527CDB"/>
    <w:rsid w:val="00533FDF"/>
    <w:rsid w:val="005341C9"/>
    <w:rsid w:val="005369CA"/>
    <w:rsid w:val="00536DE9"/>
    <w:rsid w:val="00540971"/>
    <w:rsid w:val="00541E08"/>
    <w:rsid w:val="00554FE0"/>
    <w:rsid w:val="0055789A"/>
    <w:rsid w:val="00560952"/>
    <w:rsid w:val="005652D1"/>
    <w:rsid w:val="005660A0"/>
    <w:rsid w:val="00566A4F"/>
    <w:rsid w:val="00567D64"/>
    <w:rsid w:val="005747D9"/>
    <w:rsid w:val="00575133"/>
    <w:rsid w:val="00575AF0"/>
    <w:rsid w:val="00577548"/>
    <w:rsid w:val="00591E14"/>
    <w:rsid w:val="005978D4"/>
    <w:rsid w:val="005A23FA"/>
    <w:rsid w:val="005B2A67"/>
    <w:rsid w:val="005B3DCD"/>
    <w:rsid w:val="005B4AD4"/>
    <w:rsid w:val="005C2798"/>
    <w:rsid w:val="005C36C3"/>
    <w:rsid w:val="005C56EE"/>
    <w:rsid w:val="005C61E2"/>
    <w:rsid w:val="005D1714"/>
    <w:rsid w:val="005D7638"/>
    <w:rsid w:val="005E0189"/>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3C89"/>
    <w:rsid w:val="0065643E"/>
    <w:rsid w:val="00666048"/>
    <w:rsid w:val="00666D80"/>
    <w:rsid w:val="00667E07"/>
    <w:rsid w:val="00671533"/>
    <w:rsid w:val="00671785"/>
    <w:rsid w:val="00672BA9"/>
    <w:rsid w:val="00672E24"/>
    <w:rsid w:val="00673005"/>
    <w:rsid w:val="00675CC2"/>
    <w:rsid w:val="006804BE"/>
    <w:rsid w:val="0068434A"/>
    <w:rsid w:val="0069008E"/>
    <w:rsid w:val="0069087E"/>
    <w:rsid w:val="006925C4"/>
    <w:rsid w:val="006A02A1"/>
    <w:rsid w:val="006A02B7"/>
    <w:rsid w:val="006A36C3"/>
    <w:rsid w:val="006A7019"/>
    <w:rsid w:val="006B46D5"/>
    <w:rsid w:val="006B46F4"/>
    <w:rsid w:val="006C026F"/>
    <w:rsid w:val="006C7AF3"/>
    <w:rsid w:val="006D0B9D"/>
    <w:rsid w:val="006D6548"/>
    <w:rsid w:val="006E0E20"/>
    <w:rsid w:val="006E4256"/>
    <w:rsid w:val="006E4BBA"/>
    <w:rsid w:val="006E5F43"/>
    <w:rsid w:val="006E60A6"/>
    <w:rsid w:val="006E7F39"/>
    <w:rsid w:val="006F0F69"/>
    <w:rsid w:val="006F116B"/>
    <w:rsid w:val="006F117F"/>
    <w:rsid w:val="006F13DF"/>
    <w:rsid w:val="006F2780"/>
    <w:rsid w:val="006F2E3E"/>
    <w:rsid w:val="006F3E38"/>
    <w:rsid w:val="00702ECB"/>
    <w:rsid w:val="00702F26"/>
    <w:rsid w:val="0070313E"/>
    <w:rsid w:val="00703799"/>
    <w:rsid w:val="00705C5C"/>
    <w:rsid w:val="00706F55"/>
    <w:rsid w:val="00711475"/>
    <w:rsid w:val="0072548A"/>
    <w:rsid w:val="007277A6"/>
    <w:rsid w:val="00733338"/>
    <w:rsid w:val="00733CC4"/>
    <w:rsid w:val="00736686"/>
    <w:rsid w:val="007437AB"/>
    <w:rsid w:val="00745425"/>
    <w:rsid w:val="00745978"/>
    <w:rsid w:val="007534F8"/>
    <w:rsid w:val="007545AD"/>
    <w:rsid w:val="00761E3A"/>
    <w:rsid w:val="00763722"/>
    <w:rsid w:val="00764BC1"/>
    <w:rsid w:val="00770869"/>
    <w:rsid w:val="0077130E"/>
    <w:rsid w:val="007738AA"/>
    <w:rsid w:val="00780A62"/>
    <w:rsid w:val="00783241"/>
    <w:rsid w:val="00784BDC"/>
    <w:rsid w:val="00787911"/>
    <w:rsid w:val="00792F28"/>
    <w:rsid w:val="007935CA"/>
    <w:rsid w:val="0079543F"/>
    <w:rsid w:val="00795880"/>
    <w:rsid w:val="0079632E"/>
    <w:rsid w:val="00796612"/>
    <w:rsid w:val="007A4367"/>
    <w:rsid w:val="007A7D66"/>
    <w:rsid w:val="007A7EBF"/>
    <w:rsid w:val="007B0867"/>
    <w:rsid w:val="007B1AC1"/>
    <w:rsid w:val="007B5A08"/>
    <w:rsid w:val="007B693D"/>
    <w:rsid w:val="007B7C02"/>
    <w:rsid w:val="007C4CDC"/>
    <w:rsid w:val="007E041B"/>
    <w:rsid w:val="007E199A"/>
    <w:rsid w:val="007E1AED"/>
    <w:rsid w:val="007E2415"/>
    <w:rsid w:val="007E39F3"/>
    <w:rsid w:val="007E405E"/>
    <w:rsid w:val="007E680E"/>
    <w:rsid w:val="007E68F4"/>
    <w:rsid w:val="007E6DE2"/>
    <w:rsid w:val="007F31BA"/>
    <w:rsid w:val="007F4078"/>
    <w:rsid w:val="0080014B"/>
    <w:rsid w:val="0080066A"/>
    <w:rsid w:val="00801793"/>
    <w:rsid w:val="00803642"/>
    <w:rsid w:val="00805733"/>
    <w:rsid w:val="00806EA2"/>
    <w:rsid w:val="00812A2B"/>
    <w:rsid w:val="00813CD5"/>
    <w:rsid w:val="00814A4C"/>
    <w:rsid w:val="00831AAB"/>
    <w:rsid w:val="00833BCD"/>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AF6"/>
    <w:rsid w:val="00872527"/>
    <w:rsid w:val="00872A18"/>
    <w:rsid w:val="00877452"/>
    <w:rsid w:val="00881268"/>
    <w:rsid w:val="0088394A"/>
    <w:rsid w:val="00883D39"/>
    <w:rsid w:val="00885DDF"/>
    <w:rsid w:val="008860BD"/>
    <w:rsid w:val="008861A8"/>
    <w:rsid w:val="00887399"/>
    <w:rsid w:val="0088779E"/>
    <w:rsid w:val="008912AF"/>
    <w:rsid w:val="00892114"/>
    <w:rsid w:val="00892CB9"/>
    <w:rsid w:val="008935CB"/>
    <w:rsid w:val="008A036B"/>
    <w:rsid w:val="008B0E7E"/>
    <w:rsid w:val="008B65BD"/>
    <w:rsid w:val="008B7900"/>
    <w:rsid w:val="008C02D3"/>
    <w:rsid w:val="008C4711"/>
    <w:rsid w:val="008C71BF"/>
    <w:rsid w:val="008C7FE0"/>
    <w:rsid w:val="008D5717"/>
    <w:rsid w:val="008E223D"/>
    <w:rsid w:val="008E44A9"/>
    <w:rsid w:val="008E6B4D"/>
    <w:rsid w:val="008E6BFF"/>
    <w:rsid w:val="008F1750"/>
    <w:rsid w:val="008F1E60"/>
    <w:rsid w:val="008F21AF"/>
    <w:rsid w:val="008F2400"/>
    <w:rsid w:val="008F382D"/>
    <w:rsid w:val="008F47AD"/>
    <w:rsid w:val="008F61BA"/>
    <w:rsid w:val="008F6E3C"/>
    <w:rsid w:val="008F7C55"/>
    <w:rsid w:val="0090733B"/>
    <w:rsid w:val="00914A23"/>
    <w:rsid w:val="00915D85"/>
    <w:rsid w:val="00930754"/>
    <w:rsid w:val="00934F68"/>
    <w:rsid w:val="009355AC"/>
    <w:rsid w:val="00935F38"/>
    <w:rsid w:val="00937586"/>
    <w:rsid w:val="00947889"/>
    <w:rsid w:val="009478BD"/>
    <w:rsid w:val="00960E98"/>
    <w:rsid w:val="009625C7"/>
    <w:rsid w:val="00963A82"/>
    <w:rsid w:val="00967A05"/>
    <w:rsid w:val="00972912"/>
    <w:rsid w:val="00973BFC"/>
    <w:rsid w:val="00976D1F"/>
    <w:rsid w:val="00981C81"/>
    <w:rsid w:val="009A2D24"/>
    <w:rsid w:val="009A44C9"/>
    <w:rsid w:val="009A456C"/>
    <w:rsid w:val="009A64BB"/>
    <w:rsid w:val="009B00E0"/>
    <w:rsid w:val="009B292A"/>
    <w:rsid w:val="009B6FD3"/>
    <w:rsid w:val="009B76D5"/>
    <w:rsid w:val="009C165D"/>
    <w:rsid w:val="009C3CEA"/>
    <w:rsid w:val="009C583D"/>
    <w:rsid w:val="009D24C9"/>
    <w:rsid w:val="009D2611"/>
    <w:rsid w:val="009D2DAA"/>
    <w:rsid w:val="009D79D2"/>
    <w:rsid w:val="009E2169"/>
    <w:rsid w:val="009E247C"/>
    <w:rsid w:val="009E31BA"/>
    <w:rsid w:val="009F0528"/>
    <w:rsid w:val="009F0806"/>
    <w:rsid w:val="009F233B"/>
    <w:rsid w:val="00A05D16"/>
    <w:rsid w:val="00A0659F"/>
    <w:rsid w:val="00A065B7"/>
    <w:rsid w:val="00A068F7"/>
    <w:rsid w:val="00A06D77"/>
    <w:rsid w:val="00A079BA"/>
    <w:rsid w:val="00A10B63"/>
    <w:rsid w:val="00A14E8C"/>
    <w:rsid w:val="00A20C70"/>
    <w:rsid w:val="00A320F2"/>
    <w:rsid w:val="00A33875"/>
    <w:rsid w:val="00A360A1"/>
    <w:rsid w:val="00A402B3"/>
    <w:rsid w:val="00A42F57"/>
    <w:rsid w:val="00A5249A"/>
    <w:rsid w:val="00A52E31"/>
    <w:rsid w:val="00A543F4"/>
    <w:rsid w:val="00A544B7"/>
    <w:rsid w:val="00A618CF"/>
    <w:rsid w:val="00A62770"/>
    <w:rsid w:val="00A62EEB"/>
    <w:rsid w:val="00A62F95"/>
    <w:rsid w:val="00A660FF"/>
    <w:rsid w:val="00A67364"/>
    <w:rsid w:val="00A70D1D"/>
    <w:rsid w:val="00A72464"/>
    <w:rsid w:val="00A73395"/>
    <w:rsid w:val="00A754C9"/>
    <w:rsid w:val="00A771E3"/>
    <w:rsid w:val="00A82B4C"/>
    <w:rsid w:val="00A84A14"/>
    <w:rsid w:val="00A93A4C"/>
    <w:rsid w:val="00A94D5D"/>
    <w:rsid w:val="00AA1D9B"/>
    <w:rsid w:val="00AA2543"/>
    <w:rsid w:val="00AA3804"/>
    <w:rsid w:val="00AA55C2"/>
    <w:rsid w:val="00AB0ACA"/>
    <w:rsid w:val="00AB1D41"/>
    <w:rsid w:val="00AB35AD"/>
    <w:rsid w:val="00AC4470"/>
    <w:rsid w:val="00AC4505"/>
    <w:rsid w:val="00AC5E9A"/>
    <w:rsid w:val="00AC704B"/>
    <w:rsid w:val="00AD553E"/>
    <w:rsid w:val="00AD5848"/>
    <w:rsid w:val="00AE02A6"/>
    <w:rsid w:val="00AE1007"/>
    <w:rsid w:val="00AE24FB"/>
    <w:rsid w:val="00AE5ADA"/>
    <w:rsid w:val="00AF160F"/>
    <w:rsid w:val="00AF6145"/>
    <w:rsid w:val="00B01386"/>
    <w:rsid w:val="00B01915"/>
    <w:rsid w:val="00B01BB5"/>
    <w:rsid w:val="00B026CC"/>
    <w:rsid w:val="00B04AF4"/>
    <w:rsid w:val="00B05214"/>
    <w:rsid w:val="00B214F6"/>
    <w:rsid w:val="00B248ED"/>
    <w:rsid w:val="00B30D97"/>
    <w:rsid w:val="00B31074"/>
    <w:rsid w:val="00B3181A"/>
    <w:rsid w:val="00B35A7C"/>
    <w:rsid w:val="00B44ECD"/>
    <w:rsid w:val="00B450D1"/>
    <w:rsid w:val="00B47216"/>
    <w:rsid w:val="00B52EF2"/>
    <w:rsid w:val="00B53D47"/>
    <w:rsid w:val="00B54A25"/>
    <w:rsid w:val="00B618C3"/>
    <w:rsid w:val="00B63652"/>
    <w:rsid w:val="00B668B0"/>
    <w:rsid w:val="00B70F5C"/>
    <w:rsid w:val="00B71873"/>
    <w:rsid w:val="00B73C64"/>
    <w:rsid w:val="00B75AE5"/>
    <w:rsid w:val="00B800C0"/>
    <w:rsid w:val="00B8132B"/>
    <w:rsid w:val="00B84C5A"/>
    <w:rsid w:val="00B85084"/>
    <w:rsid w:val="00B858F5"/>
    <w:rsid w:val="00B86B56"/>
    <w:rsid w:val="00B90040"/>
    <w:rsid w:val="00B93668"/>
    <w:rsid w:val="00BA68C6"/>
    <w:rsid w:val="00BB12F1"/>
    <w:rsid w:val="00BB164F"/>
    <w:rsid w:val="00BB1BFE"/>
    <w:rsid w:val="00BB276E"/>
    <w:rsid w:val="00BB3FEE"/>
    <w:rsid w:val="00BB5EB0"/>
    <w:rsid w:val="00BC245A"/>
    <w:rsid w:val="00BD16FA"/>
    <w:rsid w:val="00BD41C3"/>
    <w:rsid w:val="00BD488B"/>
    <w:rsid w:val="00BD7CCC"/>
    <w:rsid w:val="00BE002A"/>
    <w:rsid w:val="00BE0283"/>
    <w:rsid w:val="00BE1BC9"/>
    <w:rsid w:val="00BE3249"/>
    <w:rsid w:val="00BE452F"/>
    <w:rsid w:val="00BE5CDA"/>
    <w:rsid w:val="00BE608F"/>
    <w:rsid w:val="00BF23BB"/>
    <w:rsid w:val="00BF33DD"/>
    <w:rsid w:val="00BF5755"/>
    <w:rsid w:val="00BF684B"/>
    <w:rsid w:val="00C0058A"/>
    <w:rsid w:val="00C016F3"/>
    <w:rsid w:val="00C01F87"/>
    <w:rsid w:val="00C15193"/>
    <w:rsid w:val="00C15609"/>
    <w:rsid w:val="00C15F6A"/>
    <w:rsid w:val="00C171C9"/>
    <w:rsid w:val="00C23EA7"/>
    <w:rsid w:val="00C256F3"/>
    <w:rsid w:val="00C26F43"/>
    <w:rsid w:val="00C270A2"/>
    <w:rsid w:val="00C315B5"/>
    <w:rsid w:val="00C31A8F"/>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1814"/>
    <w:rsid w:val="00C829BA"/>
    <w:rsid w:val="00C83027"/>
    <w:rsid w:val="00C84B8A"/>
    <w:rsid w:val="00C85E65"/>
    <w:rsid w:val="00C8734D"/>
    <w:rsid w:val="00C87CA1"/>
    <w:rsid w:val="00C911B4"/>
    <w:rsid w:val="00C91B3B"/>
    <w:rsid w:val="00C94262"/>
    <w:rsid w:val="00C976E1"/>
    <w:rsid w:val="00CA0153"/>
    <w:rsid w:val="00CA0FD5"/>
    <w:rsid w:val="00CA148E"/>
    <w:rsid w:val="00CA1860"/>
    <w:rsid w:val="00CA3A9A"/>
    <w:rsid w:val="00CB2498"/>
    <w:rsid w:val="00CB6BC1"/>
    <w:rsid w:val="00CB7021"/>
    <w:rsid w:val="00CD3294"/>
    <w:rsid w:val="00CD4524"/>
    <w:rsid w:val="00CD784D"/>
    <w:rsid w:val="00CE087B"/>
    <w:rsid w:val="00CE2801"/>
    <w:rsid w:val="00CF3A1C"/>
    <w:rsid w:val="00CF40F8"/>
    <w:rsid w:val="00CF536B"/>
    <w:rsid w:val="00D008DA"/>
    <w:rsid w:val="00D01340"/>
    <w:rsid w:val="00D0416F"/>
    <w:rsid w:val="00D05851"/>
    <w:rsid w:val="00D10FED"/>
    <w:rsid w:val="00D11736"/>
    <w:rsid w:val="00D12EE8"/>
    <w:rsid w:val="00D14CDF"/>
    <w:rsid w:val="00D15FF1"/>
    <w:rsid w:val="00D167F4"/>
    <w:rsid w:val="00D2092A"/>
    <w:rsid w:val="00D2216D"/>
    <w:rsid w:val="00D31A6F"/>
    <w:rsid w:val="00D3245D"/>
    <w:rsid w:val="00D353D1"/>
    <w:rsid w:val="00D367DB"/>
    <w:rsid w:val="00D36E05"/>
    <w:rsid w:val="00D44F27"/>
    <w:rsid w:val="00D45304"/>
    <w:rsid w:val="00D46165"/>
    <w:rsid w:val="00D461C7"/>
    <w:rsid w:val="00D50424"/>
    <w:rsid w:val="00D525C9"/>
    <w:rsid w:val="00D57D3E"/>
    <w:rsid w:val="00D72869"/>
    <w:rsid w:val="00D76249"/>
    <w:rsid w:val="00D76550"/>
    <w:rsid w:val="00DA7D12"/>
    <w:rsid w:val="00DC23CF"/>
    <w:rsid w:val="00DC6562"/>
    <w:rsid w:val="00DD7C97"/>
    <w:rsid w:val="00DE130D"/>
    <w:rsid w:val="00DE24CF"/>
    <w:rsid w:val="00DE407C"/>
    <w:rsid w:val="00DE5032"/>
    <w:rsid w:val="00DE67CB"/>
    <w:rsid w:val="00DE7C7D"/>
    <w:rsid w:val="00DF2992"/>
    <w:rsid w:val="00DF2D0C"/>
    <w:rsid w:val="00E00058"/>
    <w:rsid w:val="00E01B9D"/>
    <w:rsid w:val="00E0468F"/>
    <w:rsid w:val="00E04F5E"/>
    <w:rsid w:val="00E0522E"/>
    <w:rsid w:val="00E120F4"/>
    <w:rsid w:val="00E16637"/>
    <w:rsid w:val="00E16CEF"/>
    <w:rsid w:val="00E17172"/>
    <w:rsid w:val="00E24DA4"/>
    <w:rsid w:val="00E3181C"/>
    <w:rsid w:val="00E3280A"/>
    <w:rsid w:val="00E36A6B"/>
    <w:rsid w:val="00E372AF"/>
    <w:rsid w:val="00E37D68"/>
    <w:rsid w:val="00E40EAE"/>
    <w:rsid w:val="00E436AC"/>
    <w:rsid w:val="00E44F7A"/>
    <w:rsid w:val="00E44FF8"/>
    <w:rsid w:val="00E50069"/>
    <w:rsid w:val="00E5066A"/>
    <w:rsid w:val="00E51854"/>
    <w:rsid w:val="00E52CF9"/>
    <w:rsid w:val="00E622F0"/>
    <w:rsid w:val="00E63F34"/>
    <w:rsid w:val="00E63FEA"/>
    <w:rsid w:val="00E6646B"/>
    <w:rsid w:val="00E6715A"/>
    <w:rsid w:val="00E710DD"/>
    <w:rsid w:val="00E7163A"/>
    <w:rsid w:val="00E74518"/>
    <w:rsid w:val="00E75DC9"/>
    <w:rsid w:val="00E7608F"/>
    <w:rsid w:val="00E81610"/>
    <w:rsid w:val="00E841C1"/>
    <w:rsid w:val="00E84910"/>
    <w:rsid w:val="00E85B28"/>
    <w:rsid w:val="00E91976"/>
    <w:rsid w:val="00E947A6"/>
    <w:rsid w:val="00E97FC7"/>
    <w:rsid w:val="00EA0690"/>
    <w:rsid w:val="00EA3956"/>
    <w:rsid w:val="00EA7136"/>
    <w:rsid w:val="00EB325A"/>
    <w:rsid w:val="00EB6559"/>
    <w:rsid w:val="00EC02A5"/>
    <w:rsid w:val="00EC176B"/>
    <w:rsid w:val="00EC33CD"/>
    <w:rsid w:val="00EC5BE5"/>
    <w:rsid w:val="00ED2650"/>
    <w:rsid w:val="00ED333E"/>
    <w:rsid w:val="00ED4327"/>
    <w:rsid w:val="00ED721A"/>
    <w:rsid w:val="00EE15B6"/>
    <w:rsid w:val="00EE393D"/>
    <w:rsid w:val="00EF01CF"/>
    <w:rsid w:val="00EF1CD6"/>
    <w:rsid w:val="00EF6A47"/>
    <w:rsid w:val="00EF7AF9"/>
    <w:rsid w:val="00F00952"/>
    <w:rsid w:val="00F01495"/>
    <w:rsid w:val="00F10138"/>
    <w:rsid w:val="00F13F92"/>
    <w:rsid w:val="00F22ECA"/>
    <w:rsid w:val="00F240E8"/>
    <w:rsid w:val="00F244FA"/>
    <w:rsid w:val="00F34872"/>
    <w:rsid w:val="00F366A2"/>
    <w:rsid w:val="00F44D09"/>
    <w:rsid w:val="00F44F43"/>
    <w:rsid w:val="00F450E1"/>
    <w:rsid w:val="00F50DF4"/>
    <w:rsid w:val="00F57AFE"/>
    <w:rsid w:val="00F6278E"/>
    <w:rsid w:val="00F62DE5"/>
    <w:rsid w:val="00F63C41"/>
    <w:rsid w:val="00F63E96"/>
    <w:rsid w:val="00F701E3"/>
    <w:rsid w:val="00F71008"/>
    <w:rsid w:val="00F71F8C"/>
    <w:rsid w:val="00F86AD4"/>
    <w:rsid w:val="00FA0113"/>
    <w:rsid w:val="00FA12B2"/>
    <w:rsid w:val="00FA7610"/>
    <w:rsid w:val="00FB02BD"/>
    <w:rsid w:val="00FB398F"/>
    <w:rsid w:val="00FB4EF8"/>
    <w:rsid w:val="00FB54AE"/>
    <w:rsid w:val="00FB671A"/>
    <w:rsid w:val="00FB709A"/>
    <w:rsid w:val="00FB78DD"/>
    <w:rsid w:val="00FC3C21"/>
    <w:rsid w:val="00FC3EF3"/>
    <w:rsid w:val="00FC5D35"/>
    <w:rsid w:val="00FD0AFF"/>
    <w:rsid w:val="00FD2049"/>
    <w:rsid w:val="00FD2140"/>
    <w:rsid w:val="00FD4722"/>
    <w:rsid w:val="00FD5B5F"/>
    <w:rsid w:val="00FD5BDE"/>
    <w:rsid w:val="00FD68EC"/>
    <w:rsid w:val="00FD7683"/>
    <w:rsid w:val="00FE24A5"/>
    <w:rsid w:val="00FE31E5"/>
    <w:rsid w:val="00FF19AD"/>
    <w:rsid w:val="00FF1EB5"/>
    <w:rsid w:val="00FF292D"/>
    <w:rsid w:val="00FF298D"/>
    <w:rsid w:val="00FF3BC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49875F65-D880-41F5-80E0-DAF82BC4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 w:type="character" w:customStyle="1" w:styleId="UnresolvedMention1">
    <w:name w:val="Unresolved Mention1"/>
    <w:basedOn w:val="DefaultParagraphFont"/>
    <w:uiPriority w:val="99"/>
    <w:semiHidden/>
    <w:unhideWhenUsed/>
    <w:rsid w:val="00B90040"/>
    <w:rPr>
      <w:color w:val="605E5C"/>
      <w:shd w:val="clear" w:color="auto" w:fill="E1DFDD"/>
    </w:rPr>
  </w:style>
  <w:style w:type="paragraph" w:styleId="FootnoteText">
    <w:name w:val="footnote text"/>
    <w:basedOn w:val="Normal"/>
    <w:link w:val="FootnoteTextChar"/>
    <w:uiPriority w:val="99"/>
    <w:semiHidden/>
    <w:unhideWhenUsed/>
    <w:rsid w:val="00A42F57"/>
    <w:rPr>
      <w:rFonts w:asciiTheme="minorHAnsi" w:eastAsiaTheme="minorHAnsi" w:hAnsiTheme="minorHAnsi" w:cstheme="minorBidi"/>
      <w:sz w:val="20"/>
      <w:szCs w:val="20"/>
      <w:lang w:val="el-GR"/>
    </w:rPr>
  </w:style>
  <w:style w:type="character" w:customStyle="1" w:styleId="FootnoteTextChar">
    <w:name w:val="Footnote Text Char"/>
    <w:basedOn w:val="DefaultParagraphFont"/>
    <w:link w:val="FootnoteText"/>
    <w:uiPriority w:val="99"/>
    <w:semiHidden/>
    <w:rsid w:val="00A42F57"/>
    <w:rPr>
      <w:rFonts w:asciiTheme="minorHAnsi" w:eastAsiaTheme="minorHAnsi" w:hAnsiTheme="minorHAnsi" w:cstheme="minorBidi"/>
      <w:lang w:val="el-GR"/>
    </w:rPr>
  </w:style>
  <w:style w:type="character" w:styleId="FootnoteReference">
    <w:name w:val="footnote reference"/>
    <w:basedOn w:val="DefaultParagraphFont"/>
    <w:uiPriority w:val="99"/>
    <w:semiHidden/>
    <w:unhideWhenUsed/>
    <w:rsid w:val="00A42F57"/>
    <w:rPr>
      <w:vertAlign w:val="superscript"/>
    </w:rPr>
  </w:style>
  <w:style w:type="character" w:styleId="UnresolvedMention">
    <w:name w:val="Unresolved Mention"/>
    <w:basedOn w:val="DefaultParagraphFont"/>
    <w:uiPriority w:val="99"/>
    <w:semiHidden/>
    <w:unhideWhenUsed/>
    <w:rsid w:val="00813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5556966">
      <w:bodyDiv w:val="1"/>
      <w:marLeft w:val="0"/>
      <w:marRight w:val="0"/>
      <w:marTop w:val="0"/>
      <w:marBottom w:val="0"/>
      <w:divBdr>
        <w:top w:val="none" w:sz="0" w:space="0" w:color="auto"/>
        <w:left w:val="none" w:sz="0" w:space="0" w:color="auto"/>
        <w:bottom w:val="none" w:sz="0" w:space="0" w:color="auto"/>
        <w:right w:val="none" w:sz="0" w:space="0" w:color="auto"/>
      </w:divBdr>
    </w:div>
    <w:div w:id="265698593">
      <w:bodyDiv w:val="1"/>
      <w:marLeft w:val="0"/>
      <w:marRight w:val="0"/>
      <w:marTop w:val="0"/>
      <w:marBottom w:val="0"/>
      <w:divBdr>
        <w:top w:val="none" w:sz="0" w:space="0" w:color="auto"/>
        <w:left w:val="none" w:sz="0" w:space="0" w:color="auto"/>
        <w:bottom w:val="none" w:sz="0" w:space="0" w:color="auto"/>
        <w:right w:val="none" w:sz="0" w:space="0" w:color="auto"/>
      </w:divBdr>
    </w:div>
    <w:div w:id="279260535">
      <w:bodyDiv w:val="1"/>
      <w:marLeft w:val="0"/>
      <w:marRight w:val="0"/>
      <w:marTop w:val="0"/>
      <w:marBottom w:val="0"/>
      <w:divBdr>
        <w:top w:val="none" w:sz="0" w:space="0" w:color="auto"/>
        <w:left w:val="none" w:sz="0" w:space="0" w:color="auto"/>
        <w:bottom w:val="none" w:sz="0" w:space="0" w:color="auto"/>
        <w:right w:val="none" w:sz="0" w:space="0" w:color="auto"/>
      </w:divBdr>
    </w:div>
    <w:div w:id="294142022">
      <w:bodyDiv w:val="1"/>
      <w:marLeft w:val="0"/>
      <w:marRight w:val="0"/>
      <w:marTop w:val="0"/>
      <w:marBottom w:val="0"/>
      <w:divBdr>
        <w:top w:val="none" w:sz="0" w:space="0" w:color="auto"/>
        <w:left w:val="none" w:sz="0" w:space="0" w:color="auto"/>
        <w:bottom w:val="none" w:sz="0" w:space="0" w:color="auto"/>
        <w:right w:val="none" w:sz="0" w:space="0" w:color="auto"/>
      </w:divBdr>
    </w:div>
    <w:div w:id="37010814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07908488">
      <w:bodyDiv w:val="1"/>
      <w:marLeft w:val="0"/>
      <w:marRight w:val="0"/>
      <w:marTop w:val="0"/>
      <w:marBottom w:val="0"/>
      <w:divBdr>
        <w:top w:val="none" w:sz="0" w:space="0" w:color="auto"/>
        <w:left w:val="none" w:sz="0" w:space="0" w:color="auto"/>
        <w:bottom w:val="none" w:sz="0" w:space="0" w:color="auto"/>
        <w:right w:val="none" w:sz="0" w:space="0" w:color="auto"/>
      </w:divBdr>
    </w:div>
    <w:div w:id="541480454">
      <w:bodyDiv w:val="1"/>
      <w:marLeft w:val="0"/>
      <w:marRight w:val="0"/>
      <w:marTop w:val="0"/>
      <w:marBottom w:val="0"/>
      <w:divBdr>
        <w:top w:val="none" w:sz="0" w:space="0" w:color="auto"/>
        <w:left w:val="none" w:sz="0" w:space="0" w:color="auto"/>
        <w:bottom w:val="none" w:sz="0" w:space="0" w:color="auto"/>
        <w:right w:val="none" w:sz="0" w:space="0" w:color="auto"/>
      </w:divBdr>
    </w:div>
    <w:div w:id="584998745">
      <w:bodyDiv w:val="1"/>
      <w:marLeft w:val="0"/>
      <w:marRight w:val="0"/>
      <w:marTop w:val="0"/>
      <w:marBottom w:val="0"/>
      <w:divBdr>
        <w:top w:val="none" w:sz="0" w:space="0" w:color="auto"/>
        <w:left w:val="none" w:sz="0" w:space="0" w:color="auto"/>
        <w:bottom w:val="none" w:sz="0" w:space="0" w:color="auto"/>
        <w:right w:val="none" w:sz="0" w:space="0" w:color="auto"/>
      </w:divBdr>
    </w:div>
    <w:div w:id="614020063">
      <w:bodyDiv w:val="1"/>
      <w:marLeft w:val="0"/>
      <w:marRight w:val="0"/>
      <w:marTop w:val="0"/>
      <w:marBottom w:val="0"/>
      <w:divBdr>
        <w:top w:val="none" w:sz="0" w:space="0" w:color="auto"/>
        <w:left w:val="none" w:sz="0" w:space="0" w:color="auto"/>
        <w:bottom w:val="none" w:sz="0" w:space="0" w:color="auto"/>
        <w:right w:val="none" w:sz="0" w:space="0" w:color="auto"/>
      </w:divBdr>
    </w:div>
    <w:div w:id="634871243">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8296667">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7951832">
      <w:bodyDiv w:val="1"/>
      <w:marLeft w:val="0"/>
      <w:marRight w:val="0"/>
      <w:marTop w:val="0"/>
      <w:marBottom w:val="0"/>
      <w:divBdr>
        <w:top w:val="none" w:sz="0" w:space="0" w:color="auto"/>
        <w:left w:val="none" w:sz="0" w:space="0" w:color="auto"/>
        <w:bottom w:val="none" w:sz="0" w:space="0" w:color="auto"/>
        <w:right w:val="none" w:sz="0" w:space="0" w:color="auto"/>
      </w:divBdr>
    </w:div>
    <w:div w:id="1041318708">
      <w:bodyDiv w:val="1"/>
      <w:marLeft w:val="0"/>
      <w:marRight w:val="0"/>
      <w:marTop w:val="0"/>
      <w:marBottom w:val="0"/>
      <w:divBdr>
        <w:top w:val="none" w:sz="0" w:space="0" w:color="auto"/>
        <w:left w:val="none" w:sz="0" w:space="0" w:color="auto"/>
        <w:bottom w:val="none" w:sz="0" w:space="0" w:color="auto"/>
        <w:right w:val="none" w:sz="0" w:space="0" w:color="auto"/>
      </w:divBdr>
    </w:div>
    <w:div w:id="10822196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79001220">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188674">
      <w:bodyDiv w:val="1"/>
      <w:marLeft w:val="0"/>
      <w:marRight w:val="0"/>
      <w:marTop w:val="0"/>
      <w:marBottom w:val="0"/>
      <w:divBdr>
        <w:top w:val="none" w:sz="0" w:space="0" w:color="auto"/>
        <w:left w:val="none" w:sz="0" w:space="0" w:color="auto"/>
        <w:bottom w:val="none" w:sz="0" w:space="0" w:color="auto"/>
        <w:right w:val="none" w:sz="0" w:space="0" w:color="auto"/>
      </w:divBdr>
    </w:div>
    <w:div w:id="1368750059">
      <w:bodyDiv w:val="1"/>
      <w:marLeft w:val="0"/>
      <w:marRight w:val="0"/>
      <w:marTop w:val="0"/>
      <w:marBottom w:val="0"/>
      <w:divBdr>
        <w:top w:val="none" w:sz="0" w:space="0" w:color="auto"/>
        <w:left w:val="none" w:sz="0" w:space="0" w:color="auto"/>
        <w:bottom w:val="none" w:sz="0" w:space="0" w:color="auto"/>
        <w:right w:val="none" w:sz="0" w:space="0" w:color="auto"/>
      </w:divBdr>
    </w:div>
    <w:div w:id="1389719681">
      <w:bodyDiv w:val="1"/>
      <w:marLeft w:val="0"/>
      <w:marRight w:val="0"/>
      <w:marTop w:val="0"/>
      <w:marBottom w:val="0"/>
      <w:divBdr>
        <w:top w:val="none" w:sz="0" w:space="0" w:color="auto"/>
        <w:left w:val="none" w:sz="0" w:space="0" w:color="auto"/>
        <w:bottom w:val="none" w:sz="0" w:space="0" w:color="auto"/>
        <w:right w:val="none" w:sz="0" w:space="0" w:color="auto"/>
      </w:divBdr>
    </w:div>
    <w:div w:id="14516336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92663222">
      <w:bodyDiv w:val="1"/>
      <w:marLeft w:val="0"/>
      <w:marRight w:val="0"/>
      <w:marTop w:val="0"/>
      <w:marBottom w:val="0"/>
      <w:divBdr>
        <w:top w:val="none" w:sz="0" w:space="0" w:color="auto"/>
        <w:left w:val="none" w:sz="0" w:space="0" w:color="auto"/>
        <w:bottom w:val="none" w:sz="0" w:space="0" w:color="auto"/>
        <w:right w:val="none" w:sz="0" w:space="0" w:color="auto"/>
      </w:divBdr>
    </w:div>
    <w:div w:id="168030418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561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spanayid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National%20Account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KKyriak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naappsrv\Sector%20Accounts\AFA\Publications\2024\Copy%20of%20CHARTS-1611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aappsrv\Sector%20Accounts\AFA\Publications\2024\Copy%20of%20CHARTS-1611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i="0" u="none" strike="noStrike" kern="1200" spc="0" baseline="0">
                <a:solidFill>
                  <a:sysClr val="windowText" lastClr="000000"/>
                </a:solidFill>
                <a:latin typeface="Verdana" panose="020B0604030504040204" pitchFamily="34" charset="0"/>
                <a:ea typeface="Verdana" panose="020B0604030504040204" pitchFamily="34" charset="0"/>
              </a:rPr>
              <a:t>Ενεργητικό στο </a:t>
            </a:r>
            <a:r>
              <a:rPr lang="el-GR" sz="1100" b="1">
                <a:solidFill>
                  <a:sysClr val="windowText" lastClr="000000"/>
                </a:solidFill>
                <a:latin typeface="Verdana" panose="020B0604030504040204" pitchFamily="34" charset="0"/>
                <a:ea typeface="Verdana" panose="020B0604030504040204" pitchFamily="34" charset="0"/>
              </a:rPr>
              <a:t>Σύνολο της Οικονομίας </a:t>
            </a:r>
            <a:endParaRPr lang="en-US" sz="11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Y"/>
        </a:p>
      </c:txPr>
    </c:title>
    <c:autoTitleDeleted val="0"/>
    <c:plotArea>
      <c:layout>
        <c:manualLayout>
          <c:layoutTarget val="inner"/>
          <c:xMode val="edge"/>
          <c:yMode val="edge"/>
          <c:x val="5.6208387250684964E-2"/>
          <c:y val="0.15793745217584482"/>
          <c:w val="0.38054105528387849"/>
          <c:h val="0.76227515447716354"/>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FD-4328-A5CD-C3FDF196CC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FD-4328-A5CD-C3FDF196CC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FD-4328-A5CD-C3FDF196CC25}"/>
              </c:ext>
            </c:extLst>
          </c:dPt>
          <c:dPt>
            <c:idx val="3"/>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7-AFFD-4328-A5CD-C3FDF196CC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FFD-4328-A5CD-C3FDF196CC25}"/>
              </c:ext>
            </c:extLst>
          </c:dPt>
          <c:dPt>
            <c:idx val="5"/>
            <c:bubble3D val="0"/>
            <c:spPr>
              <a:solidFill>
                <a:srgbClr val="C00000"/>
              </a:solidFill>
              <a:ln w="19050">
                <a:solidFill>
                  <a:schemeClr val="lt1"/>
                </a:solidFill>
              </a:ln>
              <a:effectLst/>
            </c:spPr>
            <c:extLst>
              <c:ext xmlns:c16="http://schemas.microsoft.com/office/drawing/2014/chart" uri="{C3380CC4-5D6E-409C-BE32-E72D297353CC}">
                <c16:uniqueId val="{0000000B-AFFD-4328-A5CD-C3FDF196CC25}"/>
              </c:ext>
            </c:extLst>
          </c:dPt>
          <c:dLbls>
            <c:dLbl>
              <c:idx val="0"/>
              <c:tx>
                <c:rich>
                  <a:bodyPr/>
                  <a:lstStyle/>
                  <a:p>
                    <a:fld id="{134D131B-B5BD-42DF-8650-4AD309EC374D}" type="PERCENTAGE">
                      <a:rPr lang="en-US">
                        <a:solidFill>
                          <a:sysClr val="windowText" lastClr="000000"/>
                        </a:solidFill>
                      </a:rPr>
                      <a:pPr/>
                      <a:t>[PERCENTAGE]</a:t>
                    </a:fld>
                    <a:endParaRPr lang="en-CY"/>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FD-4328-A5CD-C3FDF196CC25}"/>
                </c:ext>
              </c:extLst>
            </c:dLbl>
            <c:dLbl>
              <c:idx val="1"/>
              <c:tx>
                <c:rich>
                  <a:bodyPr/>
                  <a:lstStyle/>
                  <a:p>
                    <a:fld id="{672DBC37-FFF6-4159-80AA-13A40FB0EE33}" type="PERCENTAGE">
                      <a:rPr lang="en-US">
                        <a:solidFill>
                          <a:sysClr val="windowText" lastClr="000000"/>
                        </a:solidFill>
                      </a:rPr>
                      <a:pPr/>
                      <a:t>[PERCENTAGE]</a:t>
                    </a:fld>
                    <a:endParaRPr lang="en-CY"/>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FFD-4328-A5CD-C3FDF196CC25}"/>
                </c:ext>
              </c:extLst>
            </c:dLbl>
            <c:dLbl>
              <c:idx val="2"/>
              <c:tx>
                <c:rich>
                  <a:bodyPr/>
                  <a:lstStyle/>
                  <a:p>
                    <a:fld id="{938E8100-9E02-4957-BD2A-AFC9C4521074}" type="PERCENTAGE">
                      <a:rPr lang="en-US">
                        <a:solidFill>
                          <a:sysClr val="windowText" lastClr="000000"/>
                        </a:solidFill>
                      </a:rPr>
                      <a:pPr/>
                      <a:t>[PERCENTAGE]</a:t>
                    </a:fld>
                    <a:endParaRPr lang="en-CY"/>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FFD-4328-A5CD-C3FDF196CC25}"/>
                </c:ext>
              </c:extLst>
            </c:dLbl>
            <c:dLbl>
              <c:idx val="3"/>
              <c:tx>
                <c:rich>
                  <a:bodyPr/>
                  <a:lstStyle/>
                  <a:p>
                    <a:fld id="{721E49C6-0B1B-4AA6-AA79-24588A9A4CB9}" type="PERCENTAGE">
                      <a:rPr lang="en-US">
                        <a:solidFill>
                          <a:sysClr val="windowText" lastClr="000000"/>
                        </a:solidFill>
                      </a:rPr>
                      <a:pPr/>
                      <a:t>[PERCENTAGE]</a:t>
                    </a:fld>
                    <a:endParaRPr lang="en-CY"/>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FFD-4328-A5CD-C3FDF196CC25}"/>
                </c:ext>
              </c:extLst>
            </c:dLbl>
            <c:dLbl>
              <c:idx val="4"/>
              <c:layout>
                <c:manualLayout>
                  <c:x val="4.173186586129642E-3"/>
                  <c:y val="-1.671891327063741E-2"/>
                </c:manualLayout>
              </c:layout>
              <c:tx>
                <c:rich>
                  <a:bodyPr/>
                  <a:lstStyle/>
                  <a:p>
                    <a:fld id="{9FF6463A-3543-469B-8A1B-76B14B06A5D6}" type="PERCENTAGE">
                      <a:rPr lang="en-US">
                        <a:solidFill>
                          <a:sysClr val="windowText" lastClr="000000"/>
                        </a:solidFill>
                      </a:rPr>
                      <a:pPr/>
                      <a:t>[PERCENTAGE]</a:t>
                    </a:fld>
                    <a:endParaRPr lang="en-CY"/>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FFD-4328-A5CD-C3FDF196CC25}"/>
                </c:ext>
              </c:extLst>
            </c:dLbl>
            <c:dLbl>
              <c:idx val="5"/>
              <c:layout>
                <c:manualLayout>
                  <c:x val="1.2519559758388888E-2"/>
                  <c:y val="-0.1162440104239639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FFD-4328-A5CD-C3FDF196CC2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('2023 - Αποθέματα'!$C$36,'2023 - Αποθέματα'!$C$37,'2023 - Αποθέματα'!$C$38,'2023 - Αποθέματα'!$C$39,'2023 - Αποθέματα'!$C$42,'2023 - Αποθέματα'!$C$43)</c:f>
              <c:strCache>
                <c:ptCount val="6"/>
                <c:pt idx="0">
                  <c:v>AF2: Μετρητά και καταθέσεις</c:v>
                </c:pt>
                <c:pt idx="1">
                  <c:v>AF3: Χρεόγραφα</c:v>
                </c:pt>
                <c:pt idx="2">
                  <c:v>AF4: Δάνεια</c:v>
                </c:pt>
                <c:pt idx="3">
                  <c:v>AF5: Συμμετοχικοί τίτλοι και μετοχές ή μερίδια εταιρειών επενδύσεων χαρτοφυλακίου</c:v>
                </c:pt>
                <c:pt idx="4">
                  <c:v>AF8: Λοιποί εισπρακτέοι/ πληρωτέοι λογαριασμοί</c:v>
                </c:pt>
                <c:pt idx="5">
                  <c:v>Άλλα (AF1+AF6+AF7)</c:v>
                </c:pt>
              </c:strCache>
            </c:strRef>
          </c:cat>
          <c:val>
            <c:numRef>
              <c:f>('2023 - Αποθέματα'!$D$36,'2023 - Αποθέματα'!$D$37,'2023 - Αποθέματα'!$D$38,'2023 - Αποθέματα'!$D$39,'2023 - Αποθέματα'!$D$42,'2023 - Αποθέματα'!$D$43)</c:f>
              <c:numCache>
                <c:formatCode>0.0%</c:formatCode>
                <c:ptCount val="6"/>
                <c:pt idx="0">
                  <c:v>0.16094506702345995</c:v>
                </c:pt>
                <c:pt idx="1">
                  <c:v>4.1984231538279695E-2</c:v>
                </c:pt>
                <c:pt idx="2">
                  <c:v>0.20359028716859198</c:v>
                </c:pt>
                <c:pt idx="3">
                  <c:v>0.51534003056334543</c:v>
                </c:pt>
                <c:pt idx="4">
                  <c:v>6.6647751479312484E-2</c:v>
                </c:pt>
                <c:pt idx="5">
                  <c:v>1.1492632227010482E-2</c:v>
                </c:pt>
              </c:numCache>
            </c:numRef>
          </c:val>
          <c:extLst>
            <c:ext xmlns:c16="http://schemas.microsoft.com/office/drawing/2014/chart" uri="{C3380CC4-5D6E-409C-BE32-E72D297353CC}">
              <c16:uniqueId val="{0000000C-AFFD-4328-A5CD-C3FDF196CC2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2204165431688221"/>
          <c:y val="0.13230558554762598"/>
          <c:w val="0.46543878592472887"/>
          <c:h val="0.848656974304544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196"/>
        </a:srgbClr>
      </a:solidFill>
      <a:round/>
    </a:ln>
    <a:effectLst/>
  </c:spPr>
  <c:txPr>
    <a:bodyPr/>
    <a:lstStyle/>
    <a:p>
      <a:pPr>
        <a:defRPr/>
      </a:pPr>
      <a:endParaRPr lang="en-C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i="0" u="none" strike="noStrike" kern="1200" spc="0" baseline="0">
                <a:solidFill>
                  <a:sysClr val="windowText" lastClr="000000"/>
                </a:solidFill>
                <a:latin typeface="Verdana" panose="020B0604030504040204" pitchFamily="34" charset="0"/>
                <a:ea typeface="Verdana" panose="020B0604030504040204" pitchFamily="34" charset="0"/>
              </a:rPr>
              <a:t>Παθητικό στο </a:t>
            </a:r>
            <a:r>
              <a:rPr lang="el-GR" sz="1100" b="1">
                <a:solidFill>
                  <a:sysClr val="windowText" lastClr="000000"/>
                </a:solidFill>
                <a:latin typeface="Verdana" panose="020B0604030504040204" pitchFamily="34" charset="0"/>
                <a:ea typeface="Verdana" panose="020B0604030504040204" pitchFamily="34" charset="0"/>
              </a:rPr>
              <a:t>Σύνολο της Οικονομίας </a:t>
            </a:r>
            <a:endParaRPr lang="en-US" sz="11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Y"/>
        </a:p>
      </c:txPr>
    </c:title>
    <c:autoTitleDeleted val="0"/>
    <c:plotArea>
      <c:layout>
        <c:manualLayout>
          <c:layoutTarget val="inner"/>
          <c:xMode val="edge"/>
          <c:yMode val="edge"/>
          <c:x val="6.2181137328069638E-2"/>
          <c:y val="0.11997795649209329"/>
          <c:w val="0.35190297308327512"/>
          <c:h val="0.8002350062114121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C6-4C7B-8C9E-9249B67686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C6-4C7B-8C9E-9249B67686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C6-4C7B-8C9E-9249B67686E6}"/>
              </c:ext>
            </c:extLst>
          </c:dPt>
          <c:dPt>
            <c:idx val="3"/>
            <c:bubble3D val="0"/>
            <c:spPr>
              <a:solidFill>
                <a:srgbClr val="70AD47">
                  <a:lumMod val="75000"/>
                </a:srgbClr>
              </a:solidFill>
              <a:ln w="19050">
                <a:solidFill>
                  <a:schemeClr val="lt1"/>
                </a:solidFill>
              </a:ln>
              <a:effectLst/>
            </c:spPr>
            <c:extLst>
              <c:ext xmlns:c16="http://schemas.microsoft.com/office/drawing/2014/chart" uri="{C3380CC4-5D6E-409C-BE32-E72D297353CC}">
                <c16:uniqueId val="{00000007-FFC6-4C7B-8C9E-9249B67686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FC6-4C7B-8C9E-9249B67686E6}"/>
              </c:ext>
            </c:extLst>
          </c:dPt>
          <c:dPt>
            <c:idx val="5"/>
            <c:bubble3D val="0"/>
            <c:spPr>
              <a:solidFill>
                <a:srgbClr val="C00000"/>
              </a:solidFill>
              <a:ln w="19050">
                <a:solidFill>
                  <a:schemeClr val="lt1"/>
                </a:solidFill>
              </a:ln>
              <a:effectLst/>
            </c:spPr>
            <c:extLst>
              <c:ext xmlns:c16="http://schemas.microsoft.com/office/drawing/2014/chart" uri="{C3380CC4-5D6E-409C-BE32-E72D297353CC}">
                <c16:uniqueId val="{0000000B-FFC6-4C7B-8C9E-9249B67686E6}"/>
              </c:ext>
            </c:extLst>
          </c:dPt>
          <c:dLbls>
            <c:dLbl>
              <c:idx val="5"/>
              <c:layout>
                <c:manualLayout>
                  <c:x val="-3.825376846205746E-17"/>
                  <c:y val="-0.1170323928944618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FC6-4C7B-8C9E-9249B67686E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('2023 - Αποθέματα'!$C$46,'2023 - Αποθέματα'!$C$47,'2023 - Αποθέματα'!$C$48,'2023 - Αποθέματα'!$C$49,'2023 - Αποθέματα'!$C$52,'2023 - Αποθέματα'!$C$53)</c:f>
              <c:strCache>
                <c:ptCount val="6"/>
                <c:pt idx="0">
                  <c:v>AF2: Μετρητά και καταθέσεις</c:v>
                </c:pt>
                <c:pt idx="1">
                  <c:v>AF3: Χρεόγραφα</c:v>
                </c:pt>
                <c:pt idx="2">
                  <c:v>AF4: Δάνεια</c:v>
                </c:pt>
                <c:pt idx="3">
                  <c:v>AF5: Συμμετοχικοί τίτλοι και μετοχές ή μερίδια εταιρειών επενδύσεων χαρτοφυλακίου</c:v>
                </c:pt>
                <c:pt idx="4">
                  <c:v>AF8: Λοιποί εισπρακτέοι/ πληρωτέοι λογαριασμοί</c:v>
                </c:pt>
                <c:pt idx="5">
                  <c:v>Άλλα (AF1+AF6+AF7)</c:v>
                </c:pt>
              </c:strCache>
            </c:strRef>
          </c:cat>
          <c:val>
            <c:numRef>
              <c:f>('2023 - Αποθέματα'!$D$46,'2023 - Αποθέματα'!$D$47,'2023 - Αποθέματα'!$D$48,'2023 - Αποθέματα'!$D$49,'2023 - Αποθέματα'!$D$52,'2023 - Αποθέματα'!$D$53)</c:f>
              <c:numCache>
                <c:formatCode>0.0%</c:formatCode>
                <c:ptCount val="6"/>
                <c:pt idx="0">
                  <c:v>0.11493852533278193</c:v>
                </c:pt>
                <c:pt idx="1">
                  <c:v>3.3371549123418963E-2</c:v>
                </c:pt>
                <c:pt idx="2">
                  <c:v>0.26162290461706045</c:v>
                </c:pt>
                <c:pt idx="3">
                  <c:v>0.51288897241456999</c:v>
                </c:pt>
                <c:pt idx="4">
                  <c:v>6.5695630297144592E-2</c:v>
                </c:pt>
                <c:pt idx="5">
                  <c:v>1.1482418215024078E-2</c:v>
                </c:pt>
              </c:numCache>
            </c:numRef>
          </c:val>
          <c:extLst>
            <c:ext xmlns:c16="http://schemas.microsoft.com/office/drawing/2014/chart" uri="{C3380CC4-5D6E-409C-BE32-E72D297353CC}">
              <c16:uniqueId val="{0000000C-FFC6-4C7B-8C9E-9249B67686E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1073346875926229"/>
          <c:y val="0.14785963142507541"/>
          <c:w val="0.47674697148234874"/>
          <c:h val="0.810425458383538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196"/>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759B-F9AE-4333-B1B6-151DF7B1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Katerina Kyriakou</cp:lastModifiedBy>
  <cp:revision>2</cp:revision>
  <cp:lastPrinted>2023-11-20T08:18:00Z</cp:lastPrinted>
  <dcterms:created xsi:type="dcterms:W3CDTF">2024-10-24T10:45:00Z</dcterms:created>
  <dcterms:modified xsi:type="dcterms:W3CDTF">2024-10-24T10:45:00Z</dcterms:modified>
</cp:coreProperties>
</file>