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D58C1" w14:textId="77777777" w:rsidR="00470339" w:rsidRDefault="00470339" w:rsidP="00954F9F">
      <w:pPr>
        <w:jc w:val="right"/>
        <w:rPr>
          <w:rFonts w:ascii="Verdana" w:hAnsi="Verdana" w:cs="Arial"/>
          <w:sz w:val="18"/>
          <w:szCs w:val="18"/>
        </w:rPr>
      </w:pPr>
    </w:p>
    <w:p w14:paraId="11A6DDAC" w14:textId="2D842BB4" w:rsidR="00DF2F99" w:rsidRPr="00954F9F" w:rsidRDefault="00FC6220" w:rsidP="00954F9F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31</w:t>
      </w:r>
      <w:r w:rsidR="00E63309" w:rsidRPr="00954F9F">
        <w:rPr>
          <w:rFonts w:ascii="Verdana" w:hAnsi="Verdana" w:cs="Arial"/>
          <w:sz w:val="18"/>
          <w:szCs w:val="18"/>
        </w:rPr>
        <w:t xml:space="preserve"> </w:t>
      </w:r>
      <w:r w:rsidR="00AF3CB7">
        <w:rPr>
          <w:rFonts w:ascii="Verdana" w:hAnsi="Verdana" w:cs="Arial"/>
          <w:sz w:val="18"/>
          <w:szCs w:val="18"/>
        </w:rPr>
        <w:t>October</w:t>
      </w:r>
      <w:r w:rsidR="00DF2F99" w:rsidRPr="00954F9F">
        <w:rPr>
          <w:rFonts w:ascii="Verdana" w:hAnsi="Verdana" w:cs="Arial"/>
          <w:sz w:val="18"/>
          <w:szCs w:val="18"/>
        </w:rPr>
        <w:t>, 202</w:t>
      </w:r>
      <w:r>
        <w:rPr>
          <w:rFonts w:ascii="Verdana" w:hAnsi="Verdana" w:cs="Arial"/>
          <w:sz w:val="18"/>
          <w:szCs w:val="18"/>
        </w:rPr>
        <w:t>5</w:t>
      </w:r>
    </w:p>
    <w:p w14:paraId="4992D3F8" w14:textId="77777777" w:rsidR="00DF2F99" w:rsidRPr="00954F9F" w:rsidRDefault="00DF2F99" w:rsidP="00954F9F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954F9F" w:rsidRDefault="00DF2F99" w:rsidP="00954F9F">
      <w:pPr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GoBack"/>
      <w:bookmarkEnd w:id="0"/>
      <w:r w:rsidRPr="00954F9F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33656546" w14:textId="77777777" w:rsidR="00954F9F" w:rsidRDefault="00954F9F" w:rsidP="00954F9F">
      <w:pPr>
        <w:rPr>
          <w:rFonts w:ascii="Verdana" w:hAnsi="Verdana" w:cs="Arial"/>
          <w:sz w:val="18"/>
          <w:szCs w:val="18"/>
          <w:u w:val="single"/>
        </w:rPr>
      </w:pPr>
    </w:p>
    <w:p w14:paraId="13C85870" w14:textId="27445D66" w:rsidR="00DF2F99" w:rsidRPr="00954F9F" w:rsidRDefault="0048423B" w:rsidP="00AB1B0D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 xml:space="preserve">ANNUAL </w:t>
      </w:r>
      <w:r w:rsidR="00D2384B">
        <w:rPr>
          <w:rFonts w:ascii="Verdana" w:hAnsi="Verdana" w:cs="Arial"/>
          <w:u w:val="single"/>
        </w:rPr>
        <w:t>FINANCIAL ACCOUNTS</w:t>
      </w:r>
      <w:r w:rsidR="004D5B2C">
        <w:rPr>
          <w:rFonts w:ascii="Verdana" w:hAnsi="Verdana" w:cs="Arial"/>
          <w:u w:val="single"/>
        </w:rPr>
        <w:t xml:space="preserve"> (STOCKS)</w:t>
      </w:r>
      <w:r w:rsidR="00D2384B">
        <w:rPr>
          <w:rFonts w:ascii="Verdana" w:hAnsi="Verdana" w:cs="Arial"/>
          <w:u w:val="single"/>
        </w:rPr>
        <w:t xml:space="preserve"> BY INSTITUTIONAL SECTOR</w:t>
      </w:r>
      <w:r w:rsidR="00AB1B0D">
        <w:rPr>
          <w:rFonts w:ascii="Verdana" w:hAnsi="Verdana" w:cs="Arial"/>
          <w:u w:val="single"/>
        </w:rPr>
        <w:t xml:space="preserve">: </w:t>
      </w:r>
      <w:r w:rsidR="00AB1B0D" w:rsidRPr="00AB1B0D">
        <w:rPr>
          <w:rFonts w:ascii="Verdana" w:hAnsi="Verdana" w:cs="Arial"/>
          <w:b/>
          <w:bCs/>
          <w:u w:val="single"/>
        </w:rPr>
        <w:t>202</w:t>
      </w:r>
      <w:r w:rsidR="00FC6220">
        <w:rPr>
          <w:rFonts w:ascii="Verdana" w:hAnsi="Verdana" w:cs="Arial"/>
          <w:b/>
          <w:bCs/>
          <w:u w:val="single"/>
        </w:rPr>
        <w:t>4</w:t>
      </w:r>
    </w:p>
    <w:p w14:paraId="791C6295" w14:textId="77777777" w:rsidR="00954F9F" w:rsidRDefault="00954F9F" w:rsidP="00954F9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2763B61B" w14:textId="7893865C" w:rsidR="00AB1B0D" w:rsidRPr="00AB1B0D" w:rsidRDefault="00AB1B0D" w:rsidP="00954F9F">
      <w:pPr>
        <w:jc w:val="center"/>
        <w:rPr>
          <w:rFonts w:ascii="Verdana" w:hAnsi="Verdana" w:cs="Arial"/>
          <w:b/>
          <w:bCs/>
        </w:rPr>
      </w:pPr>
      <w:r w:rsidRPr="009B19DA">
        <w:rPr>
          <w:rFonts w:ascii="Verdana" w:hAnsi="Verdana" w:cs="Arial"/>
          <w:b/>
          <w:bCs/>
        </w:rPr>
        <w:t xml:space="preserve">Annual </w:t>
      </w:r>
      <w:r w:rsidR="009B19DA">
        <w:rPr>
          <w:rFonts w:ascii="Verdana" w:hAnsi="Verdana" w:cs="Arial"/>
          <w:b/>
          <w:bCs/>
        </w:rPr>
        <w:t xml:space="preserve">Financial </w:t>
      </w:r>
      <w:r w:rsidR="00741125">
        <w:rPr>
          <w:rFonts w:ascii="Verdana" w:hAnsi="Verdana" w:cs="Arial"/>
          <w:b/>
          <w:bCs/>
        </w:rPr>
        <w:t>N</w:t>
      </w:r>
      <w:r w:rsidR="009B19DA">
        <w:rPr>
          <w:rFonts w:ascii="Verdana" w:hAnsi="Verdana" w:cs="Arial"/>
          <w:b/>
          <w:bCs/>
        </w:rPr>
        <w:t xml:space="preserve">et </w:t>
      </w:r>
      <w:r w:rsidR="00741125">
        <w:rPr>
          <w:rFonts w:ascii="Verdana" w:hAnsi="Verdana" w:cs="Arial"/>
          <w:b/>
          <w:bCs/>
        </w:rPr>
        <w:t>W</w:t>
      </w:r>
      <w:r w:rsidR="009B19DA">
        <w:rPr>
          <w:rFonts w:ascii="Verdana" w:hAnsi="Verdana" w:cs="Arial"/>
          <w:b/>
          <w:bCs/>
        </w:rPr>
        <w:t>orth</w:t>
      </w:r>
      <w:r w:rsidR="004D5B2C" w:rsidRPr="004D5B2C">
        <w:rPr>
          <w:rFonts w:ascii="Verdana" w:hAnsi="Verdana" w:cs="Arial"/>
          <w:sz w:val="18"/>
          <w:szCs w:val="18"/>
        </w:rPr>
        <w:t xml:space="preserve"> </w:t>
      </w:r>
      <w:r w:rsidR="009B19DA">
        <w:rPr>
          <w:rFonts w:ascii="Verdana" w:hAnsi="Verdana" w:cs="Arial"/>
          <w:b/>
          <w:bCs/>
        </w:rPr>
        <w:t>-</w:t>
      </w:r>
      <w:r w:rsidR="004D5B2C" w:rsidRPr="004D5B2C">
        <w:rPr>
          <w:rFonts w:ascii="Verdana" w:hAnsi="Verdana" w:cs="Arial"/>
          <w:b/>
          <w:bCs/>
        </w:rPr>
        <w:t>€</w:t>
      </w:r>
      <w:r w:rsidR="00FC6220" w:rsidRPr="00FC6220">
        <w:rPr>
          <w:rFonts w:ascii="Verdana" w:hAnsi="Verdana" w:cs="Arial"/>
          <w:b/>
          <w:bCs/>
        </w:rPr>
        <w:t xml:space="preserve">29.269,3 </w:t>
      </w:r>
      <w:proofErr w:type="spellStart"/>
      <w:r w:rsidR="004D5B2C">
        <w:rPr>
          <w:rFonts w:ascii="Verdana" w:hAnsi="Verdana" w:cs="Arial"/>
          <w:b/>
          <w:bCs/>
        </w:rPr>
        <w:t>mn</w:t>
      </w:r>
      <w:proofErr w:type="spellEnd"/>
    </w:p>
    <w:p w14:paraId="35C34D1C" w14:textId="77777777" w:rsidR="00AB1B0D" w:rsidRPr="00AB1B0D" w:rsidRDefault="00AB1B0D" w:rsidP="00D2384B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4C5790E" w14:textId="7E985A0B" w:rsidR="00D2384B" w:rsidRPr="00AB1B0D" w:rsidRDefault="00D2384B" w:rsidP="00D2384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AB1B0D">
        <w:rPr>
          <w:rFonts w:ascii="Verdana" w:hAnsi="Verdana" w:cs="Arial"/>
          <w:b/>
          <w:bCs/>
          <w:sz w:val="18"/>
          <w:szCs w:val="18"/>
          <w:u w:val="single"/>
        </w:rPr>
        <w:t>Total Economy</w:t>
      </w:r>
    </w:p>
    <w:p w14:paraId="0222E360" w14:textId="630678D7" w:rsidR="00D2384B" w:rsidRPr="00AB1B0D" w:rsidRDefault="00D2384B" w:rsidP="00AB1B0D">
      <w:pPr>
        <w:jc w:val="both"/>
        <w:rPr>
          <w:rFonts w:ascii="Verdana" w:hAnsi="Verdana" w:cs="Arial"/>
          <w:sz w:val="18"/>
          <w:szCs w:val="18"/>
        </w:rPr>
      </w:pPr>
      <w:r w:rsidRPr="00AB1B0D">
        <w:rPr>
          <w:rFonts w:ascii="Verdana" w:hAnsi="Verdana" w:cs="Arial"/>
          <w:sz w:val="18"/>
          <w:szCs w:val="18"/>
        </w:rPr>
        <w:t xml:space="preserve">The total assets of the economy in financial instruments amounted to </w:t>
      </w:r>
      <w:bookmarkStart w:id="1" w:name="_Hlk211936336"/>
      <w:r w:rsidR="00843D70" w:rsidRPr="00AB1B0D">
        <w:rPr>
          <w:rFonts w:ascii="Verdana" w:hAnsi="Verdana" w:cs="Arial"/>
          <w:sz w:val="18"/>
          <w:szCs w:val="18"/>
        </w:rPr>
        <w:t>€</w:t>
      </w:r>
      <w:bookmarkEnd w:id="1"/>
      <w:r w:rsidR="00FC6220" w:rsidRPr="00FC6220">
        <w:rPr>
          <w:rFonts w:ascii="Verdana" w:hAnsi="Verdana" w:cs="Arial"/>
          <w:sz w:val="18"/>
          <w:szCs w:val="18"/>
        </w:rPr>
        <w:t xml:space="preserve">795.274,6 </w:t>
      </w:r>
      <w:proofErr w:type="spellStart"/>
      <w:r w:rsidR="00C84421" w:rsidRPr="00AB1B0D">
        <w:rPr>
          <w:rFonts w:ascii="Verdana" w:hAnsi="Verdana" w:cs="Arial"/>
          <w:sz w:val="18"/>
          <w:szCs w:val="18"/>
        </w:rPr>
        <w:t>m</w:t>
      </w:r>
      <w:r w:rsidRPr="00AB1B0D">
        <w:rPr>
          <w:rFonts w:ascii="Verdana" w:hAnsi="Verdana" w:cs="Arial"/>
          <w:sz w:val="18"/>
          <w:szCs w:val="18"/>
        </w:rPr>
        <w:t>n</w:t>
      </w:r>
      <w:proofErr w:type="spellEnd"/>
      <w:r w:rsidRPr="00AB1B0D">
        <w:rPr>
          <w:rFonts w:ascii="Verdana" w:hAnsi="Verdana" w:cs="Arial"/>
          <w:sz w:val="18"/>
          <w:szCs w:val="18"/>
        </w:rPr>
        <w:t xml:space="preserve"> at the end of December 202</w:t>
      </w:r>
      <w:r w:rsidR="00FC6220">
        <w:rPr>
          <w:rFonts w:ascii="Verdana" w:hAnsi="Verdana" w:cs="Arial"/>
          <w:sz w:val="18"/>
          <w:szCs w:val="18"/>
        </w:rPr>
        <w:t>4</w:t>
      </w:r>
      <w:r w:rsidRPr="00AB1B0D">
        <w:rPr>
          <w:rFonts w:ascii="Verdana" w:hAnsi="Verdana" w:cs="Arial"/>
          <w:sz w:val="18"/>
          <w:szCs w:val="18"/>
        </w:rPr>
        <w:t>, of which 5</w:t>
      </w:r>
      <w:r w:rsidR="00FC6220">
        <w:rPr>
          <w:rFonts w:ascii="Verdana" w:hAnsi="Verdana" w:cs="Arial"/>
          <w:sz w:val="18"/>
          <w:szCs w:val="18"/>
        </w:rPr>
        <w:t>0</w:t>
      </w:r>
      <w:r w:rsidR="004E15D6"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3</w:t>
      </w:r>
      <w:r w:rsidRPr="00AB1B0D">
        <w:rPr>
          <w:rFonts w:ascii="Verdana" w:hAnsi="Verdana" w:cs="Arial"/>
          <w:sz w:val="18"/>
          <w:szCs w:val="18"/>
        </w:rPr>
        <w:t>% relates to equities and shares, 1</w:t>
      </w:r>
      <w:r w:rsidR="00FC6220">
        <w:rPr>
          <w:rFonts w:ascii="Verdana" w:hAnsi="Verdana" w:cs="Arial"/>
          <w:sz w:val="18"/>
          <w:szCs w:val="18"/>
        </w:rPr>
        <w:t>7</w:t>
      </w:r>
      <w:r w:rsidR="004E15D6"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2</w:t>
      </w:r>
      <w:r w:rsidRPr="00AB1B0D">
        <w:rPr>
          <w:rFonts w:ascii="Verdana" w:hAnsi="Verdana" w:cs="Arial"/>
          <w:sz w:val="18"/>
          <w:szCs w:val="18"/>
        </w:rPr>
        <w:t>% to c</w:t>
      </w:r>
      <w:r w:rsidR="00C84421" w:rsidRPr="00AB1B0D">
        <w:rPr>
          <w:rFonts w:ascii="Verdana" w:hAnsi="Verdana" w:cs="Arial"/>
          <w:sz w:val="18"/>
          <w:szCs w:val="18"/>
        </w:rPr>
        <w:t>urrency</w:t>
      </w:r>
      <w:r w:rsidRPr="00AB1B0D">
        <w:rPr>
          <w:rFonts w:ascii="Verdana" w:hAnsi="Verdana" w:cs="Arial"/>
          <w:sz w:val="18"/>
          <w:szCs w:val="18"/>
        </w:rPr>
        <w:t xml:space="preserve"> and deposits and </w:t>
      </w:r>
      <w:r w:rsidR="00FC6220">
        <w:rPr>
          <w:rFonts w:ascii="Verdana" w:hAnsi="Verdana" w:cs="Arial"/>
          <w:sz w:val="18"/>
          <w:szCs w:val="18"/>
        </w:rPr>
        <w:t>18</w:t>
      </w:r>
      <w:r w:rsidR="00AF3CB7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8</w:t>
      </w:r>
      <w:r w:rsidRPr="00AB1B0D">
        <w:rPr>
          <w:rFonts w:ascii="Verdana" w:hAnsi="Verdana" w:cs="Arial"/>
          <w:sz w:val="18"/>
          <w:szCs w:val="18"/>
        </w:rPr>
        <w:t>% to loans.</w:t>
      </w:r>
    </w:p>
    <w:p w14:paraId="0F799958" w14:textId="77777777" w:rsidR="00D2384B" w:rsidRPr="00AB1B0D" w:rsidRDefault="00D2384B" w:rsidP="00AB1B0D">
      <w:pPr>
        <w:jc w:val="both"/>
        <w:rPr>
          <w:rFonts w:ascii="Verdana" w:hAnsi="Verdana" w:cs="Arial"/>
          <w:sz w:val="18"/>
          <w:szCs w:val="18"/>
        </w:rPr>
      </w:pPr>
    </w:p>
    <w:p w14:paraId="46FC72AD" w14:textId="1C603B28" w:rsidR="00D2384B" w:rsidRDefault="00D2384B" w:rsidP="00AB1B0D">
      <w:pPr>
        <w:jc w:val="both"/>
        <w:rPr>
          <w:rFonts w:ascii="Verdana" w:hAnsi="Verdana" w:cs="Arial"/>
          <w:sz w:val="18"/>
          <w:szCs w:val="18"/>
        </w:rPr>
      </w:pPr>
      <w:r w:rsidRPr="00AB1B0D">
        <w:rPr>
          <w:rFonts w:ascii="Verdana" w:hAnsi="Verdana" w:cs="Arial"/>
          <w:sz w:val="18"/>
          <w:szCs w:val="18"/>
        </w:rPr>
        <w:t xml:space="preserve">The total liabilities of the economy in financial instruments amounted to </w:t>
      </w:r>
      <w:r w:rsidR="00843D70" w:rsidRPr="00AB1B0D">
        <w:rPr>
          <w:rFonts w:ascii="Verdana" w:hAnsi="Verdana" w:cs="Arial"/>
          <w:sz w:val="18"/>
          <w:szCs w:val="18"/>
        </w:rPr>
        <w:t>€</w:t>
      </w:r>
      <w:r w:rsidR="00FC6220" w:rsidRPr="00FC6220">
        <w:rPr>
          <w:rFonts w:ascii="Verdana" w:hAnsi="Verdana" w:cs="Arial"/>
          <w:sz w:val="18"/>
          <w:szCs w:val="18"/>
        </w:rPr>
        <w:t xml:space="preserve">824.543,9 </w:t>
      </w:r>
      <w:proofErr w:type="spellStart"/>
      <w:r w:rsidR="00C84421" w:rsidRPr="00AB1B0D">
        <w:rPr>
          <w:rFonts w:ascii="Verdana" w:hAnsi="Verdana" w:cs="Arial"/>
          <w:sz w:val="18"/>
          <w:szCs w:val="18"/>
        </w:rPr>
        <w:t>m</w:t>
      </w:r>
      <w:r w:rsidRPr="00AB1B0D">
        <w:rPr>
          <w:rFonts w:ascii="Verdana" w:hAnsi="Verdana" w:cs="Arial"/>
          <w:sz w:val="18"/>
          <w:szCs w:val="18"/>
        </w:rPr>
        <w:t>n</w:t>
      </w:r>
      <w:proofErr w:type="spellEnd"/>
      <w:r w:rsidRPr="00AB1B0D">
        <w:rPr>
          <w:rFonts w:ascii="Verdana" w:hAnsi="Verdana" w:cs="Arial"/>
          <w:sz w:val="18"/>
          <w:szCs w:val="18"/>
        </w:rPr>
        <w:t xml:space="preserve"> at the end of December 202</w:t>
      </w:r>
      <w:r w:rsidR="00FC6220">
        <w:rPr>
          <w:rFonts w:ascii="Verdana" w:hAnsi="Verdana" w:cs="Arial"/>
          <w:sz w:val="18"/>
          <w:szCs w:val="18"/>
        </w:rPr>
        <w:t>4</w:t>
      </w:r>
      <w:r w:rsidRPr="00AB1B0D">
        <w:rPr>
          <w:rFonts w:ascii="Verdana" w:hAnsi="Verdana" w:cs="Arial"/>
          <w:sz w:val="18"/>
          <w:szCs w:val="18"/>
        </w:rPr>
        <w:t>, of which 5</w:t>
      </w:r>
      <w:r w:rsidR="00FC6220">
        <w:rPr>
          <w:rFonts w:ascii="Verdana" w:hAnsi="Verdana" w:cs="Arial"/>
          <w:sz w:val="18"/>
          <w:szCs w:val="18"/>
        </w:rPr>
        <w:t>0</w:t>
      </w:r>
      <w:r w:rsidR="00A35835"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8</w:t>
      </w:r>
      <w:r w:rsidRPr="00AB1B0D">
        <w:rPr>
          <w:rFonts w:ascii="Verdana" w:hAnsi="Verdana" w:cs="Arial"/>
          <w:sz w:val="18"/>
          <w:szCs w:val="18"/>
        </w:rPr>
        <w:t>% relates to equities and shares, 2</w:t>
      </w:r>
      <w:r w:rsidR="00FC6220">
        <w:rPr>
          <w:rFonts w:ascii="Verdana" w:hAnsi="Verdana" w:cs="Arial"/>
          <w:sz w:val="18"/>
          <w:szCs w:val="18"/>
        </w:rPr>
        <w:t>5</w:t>
      </w:r>
      <w:r w:rsidR="00A35835"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0</w:t>
      </w:r>
      <w:r w:rsidRPr="00AB1B0D">
        <w:rPr>
          <w:rFonts w:ascii="Verdana" w:hAnsi="Verdana" w:cs="Arial"/>
          <w:sz w:val="18"/>
          <w:szCs w:val="18"/>
        </w:rPr>
        <w:t>% to loans and 1</w:t>
      </w:r>
      <w:r w:rsidR="00FC6220">
        <w:rPr>
          <w:rFonts w:ascii="Verdana" w:hAnsi="Verdana" w:cs="Arial"/>
          <w:sz w:val="18"/>
          <w:szCs w:val="18"/>
        </w:rPr>
        <w:t>2</w:t>
      </w:r>
      <w:r w:rsidR="00A35835"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1</w:t>
      </w:r>
      <w:r w:rsidRPr="00AB1B0D">
        <w:rPr>
          <w:rFonts w:ascii="Verdana" w:hAnsi="Verdana" w:cs="Arial"/>
          <w:sz w:val="18"/>
          <w:szCs w:val="18"/>
        </w:rPr>
        <w:t>% to c</w:t>
      </w:r>
      <w:r w:rsidR="000E5C67" w:rsidRPr="00AB1B0D">
        <w:rPr>
          <w:rFonts w:ascii="Verdana" w:hAnsi="Verdana" w:cs="Arial"/>
          <w:sz w:val="18"/>
          <w:szCs w:val="18"/>
        </w:rPr>
        <w:t>urrency</w:t>
      </w:r>
      <w:r w:rsidRPr="00AB1B0D">
        <w:rPr>
          <w:rFonts w:ascii="Verdana" w:hAnsi="Verdana" w:cs="Arial"/>
          <w:sz w:val="18"/>
          <w:szCs w:val="18"/>
        </w:rPr>
        <w:t xml:space="preserve"> and </w:t>
      </w:r>
      <w:r w:rsidR="004E15D6" w:rsidRPr="00AB1B0D">
        <w:rPr>
          <w:rFonts w:ascii="Verdana" w:hAnsi="Verdana" w:cs="Arial"/>
          <w:sz w:val="18"/>
          <w:szCs w:val="18"/>
        </w:rPr>
        <w:t>deposits</w:t>
      </w:r>
      <w:r w:rsidRPr="00AB1B0D">
        <w:rPr>
          <w:rFonts w:ascii="Verdana" w:hAnsi="Verdana" w:cs="Arial"/>
          <w:sz w:val="18"/>
          <w:szCs w:val="18"/>
        </w:rPr>
        <w:t>.</w:t>
      </w:r>
    </w:p>
    <w:p w14:paraId="0AB6B563" w14:textId="77777777" w:rsidR="00AF3CB7" w:rsidRPr="00AB1B0D" w:rsidRDefault="00AF3CB7" w:rsidP="00AB1B0D">
      <w:pPr>
        <w:jc w:val="both"/>
        <w:rPr>
          <w:rFonts w:ascii="Verdana" w:hAnsi="Verdana" w:cs="Arial"/>
          <w:sz w:val="18"/>
          <w:szCs w:val="18"/>
        </w:rPr>
      </w:pPr>
    </w:p>
    <w:p w14:paraId="5DC8400C" w14:textId="28F0C1C5" w:rsidR="00D2384B" w:rsidRPr="00CD55AF" w:rsidRDefault="00CD55AF" w:rsidP="00AB1B0D">
      <w:pPr>
        <w:jc w:val="center"/>
        <w:rPr>
          <w:rFonts w:ascii="Verdana" w:hAnsi="Verdana" w:cs="Arial"/>
          <w:sz w:val="18"/>
          <w:szCs w:val="18"/>
        </w:rPr>
      </w:pPr>
      <w:r w:rsidRPr="00CD55AF"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50247FD9" wp14:editId="401A4040">
            <wp:extent cx="6090875" cy="262890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263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1B9DE" w14:textId="77777777" w:rsidR="00470339" w:rsidRDefault="00470339" w:rsidP="00AB1B0D">
      <w:pPr>
        <w:jc w:val="center"/>
        <w:rPr>
          <w:rFonts w:ascii="Verdana" w:hAnsi="Verdana" w:cs="Arial"/>
          <w:sz w:val="18"/>
          <w:szCs w:val="18"/>
          <w:u w:val="single"/>
        </w:rPr>
      </w:pPr>
    </w:p>
    <w:p w14:paraId="6E326BA2" w14:textId="537A0958" w:rsidR="00FC6220" w:rsidRPr="00AB1B0D" w:rsidRDefault="00FC6220" w:rsidP="00AB1B0D">
      <w:pPr>
        <w:jc w:val="center"/>
        <w:rPr>
          <w:rFonts w:ascii="Verdana" w:hAnsi="Verdana" w:cs="Arial"/>
          <w:sz w:val="18"/>
          <w:szCs w:val="18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BC560DE" wp14:editId="2E21EDB4">
            <wp:extent cx="6086476" cy="2676525"/>
            <wp:effectExtent l="0" t="0" r="9525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67CEEB-40CA-4268-B437-9A6E2C6765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318067" w14:textId="0E27D193" w:rsidR="00AB1B0D" w:rsidRPr="00AB1B0D" w:rsidRDefault="00AB1B0D" w:rsidP="00470339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3078C9A0" w14:textId="77777777" w:rsidR="00217A4A" w:rsidRPr="00AB1B0D" w:rsidRDefault="00217A4A" w:rsidP="00AB1B0D">
      <w:pPr>
        <w:jc w:val="both"/>
        <w:rPr>
          <w:rFonts w:ascii="Verdana" w:eastAsia="Malgun Gothic" w:hAnsi="Verdana" w:cs="Arial"/>
          <w:bCs/>
          <w:sz w:val="18"/>
          <w:szCs w:val="18"/>
          <w:u w:val="single"/>
        </w:rPr>
      </w:pPr>
    </w:p>
    <w:p w14:paraId="4CCFCE96" w14:textId="7C67CDE6" w:rsidR="004E15D6" w:rsidRPr="00AB1B0D" w:rsidRDefault="004E15D6" w:rsidP="00AB1B0D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AB1B0D">
        <w:rPr>
          <w:rFonts w:ascii="Verdana" w:hAnsi="Verdana" w:cs="Arial"/>
          <w:b/>
          <w:bCs/>
          <w:sz w:val="18"/>
          <w:szCs w:val="18"/>
          <w:u w:val="single"/>
        </w:rPr>
        <w:t>Households and Non-financial Corporations</w:t>
      </w:r>
    </w:p>
    <w:p w14:paraId="492382A7" w14:textId="427C669A" w:rsidR="004E15D6" w:rsidRPr="00AB1B0D" w:rsidRDefault="004E15D6" w:rsidP="00AB1B0D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AB1B0D">
        <w:rPr>
          <w:rFonts w:ascii="Verdana" w:hAnsi="Verdana" w:cs="Arial"/>
          <w:sz w:val="18"/>
          <w:szCs w:val="18"/>
        </w:rPr>
        <w:t xml:space="preserve">The assets of households in financial instruments amounted to </w:t>
      </w:r>
      <w:r w:rsidR="00843D70" w:rsidRPr="00AB1B0D">
        <w:rPr>
          <w:rFonts w:ascii="Verdana" w:hAnsi="Verdana" w:cs="Arial"/>
          <w:sz w:val="18"/>
          <w:szCs w:val="18"/>
        </w:rPr>
        <w:t>€</w:t>
      </w:r>
      <w:r w:rsidR="00FC6220" w:rsidRPr="00FC6220">
        <w:rPr>
          <w:rFonts w:ascii="Verdana" w:hAnsi="Verdana" w:cs="Arial"/>
          <w:sz w:val="18"/>
          <w:szCs w:val="18"/>
        </w:rPr>
        <w:t xml:space="preserve">61.340,8 </w:t>
      </w:r>
      <w:proofErr w:type="spellStart"/>
      <w:r w:rsidR="00C84421" w:rsidRPr="00AB1B0D">
        <w:rPr>
          <w:rFonts w:ascii="Verdana" w:hAnsi="Verdana" w:cs="Arial"/>
          <w:sz w:val="18"/>
          <w:szCs w:val="18"/>
        </w:rPr>
        <w:t>m</w:t>
      </w:r>
      <w:r w:rsidRPr="00AB1B0D">
        <w:rPr>
          <w:rFonts w:ascii="Verdana" w:hAnsi="Verdana" w:cs="Arial"/>
          <w:sz w:val="18"/>
          <w:szCs w:val="18"/>
        </w:rPr>
        <w:t>n</w:t>
      </w:r>
      <w:proofErr w:type="spellEnd"/>
      <w:r w:rsidRPr="00AB1B0D">
        <w:rPr>
          <w:rFonts w:ascii="Verdana" w:hAnsi="Verdana" w:cs="Arial"/>
          <w:sz w:val="18"/>
          <w:szCs w:val="18"/>
        </w:rPr>
        <w:t xml:space="preserve"> at the end o</w:t>
      </w:r>
      <w:r w:rsidR="00843D70" w:rsidRPr="00AB1B0D">
        <w:rPr>
          <w:rFonts w:ascii="Verdana" w:hAnsi="Verdana" w:cs="Arial"/>
          <w:sz w:val="18"/>
          <w:szCs w:val="18"/>
        </w:rPr>
        <w:t>f</w:t>
      </w:r>
      <w:r w:rsidRPr="00AB1B0D">
        <w:rPr>
          <w:rFonts w:ascii="Verdana" w:hAnsi="Verdana" w:cs="Arial"/>
          <w:sz w:val="18"/>
          <w:szCs w:val="18"/>
        </w:rPr>
        <w:t xml:space="preserve"> December 202</w:t>
      </w:r>
      <w:r w:rsidR="00FC6220">
        <w:rPr>
          <w:rFonts w:ascii="Verdana" w:hAnsi="Verdana" w:cs="Arial"/>
          <w:sz w:val="18"/>
          <w:szCs w:val="18"/>
        </w:rPr>
        <w:t>4</w:t>
      </w:r>
      <w:r w:rsidRPr="00AB1B0D">
        <w:rPr>
          <w:rFonts w:ascii="Verdana" w:hAnsi="Verdana" w:cs="Arial"/>
          <w:sz w:val="18"/>
          <w:szCs w:val="18"/>
        </w:rPr>
        <w:t>, of which 5</w:t>
      </w:r>
      <w:r w:rsidR="00FC6220">
        <w:rPr>
          <w:rFonts w:ascii="Verdana" w:hAnsi="Verdana" w:cs="Arial"/>
          <w:sz w:val="18"/>
          <w:szCs w:val="18"/>
        </w:rPr>
        <w:t>3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0</w:t>
      </w:r>
      <w:r w:rsidRPr="00AB1B0D">
        <w:rPr>
          <w:rFonts w:ascii="Verdana" w:hAnsi="Verdana" w:cs="Arial"/>
          <w:sz w:val="18"/>
          <w:szCs w:val="18"/>
        </w:rPr>
        <w:t>% consists of c</w:t>
      </w:r>
      <w:r w:rsidR="00843D70" w:rsidRPr="00AB1B0D">
        <w:rPr>
          <w:rFonts w:ascii="Verdana" w:hAnsi="Verdana" w:cs="Arial"/>
          <w:sz w:val="18"/>
          <w:szCs w:val="18"/>
        </w:rPr>
        <w:t>urrency and deposits</w:t>
      </w:r>
      <w:r w:rsidRPr="00AB1B0D">
        <w:rPr>
          <w:rFonts w:ascii="Verdana" w:hAnsi="Verdana" w:cs="Arial"/>
          <w:sz w:val="18"/>
          <w:szCs w:val="18"/>
        </w:rPr>
        <w:t xml:space="preserve">, </w:t>
      </w:r>
      <w:r w:rsidR="00AF3CB7">
        <w:rPr>
          <w:rFonts w:ascii="Verdana" w:hAnsi="Verdana" w:cs="Arial"/>
          <w:sz w:val="18"/>
          <w:szCs w:val="18"/>
        </w:rPr>
        <w:t>0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8</w:t>
      </w:r>
      <w:r w:rsidRPr="00AB1B0D">
        <w:rPr>
          <w:rFonts w:ascii="Verdana" w:hAnsi="Verdana" w:cs="Arial"/>
          <w:sz w:val="18"/>
          <w:szCs w:val="18"/>
        </w:rPr>
        <w:t xml:space="preserve">% </w:t>
      </w:r>
      <w:r w:rsidR="00843D70" w:rsidRPr="00AB1B0D">
        <w:rPr>
          <w:rFonts w:ascii="Verdana" w:hAnsi="Verdana" w:cs="Arial"/>
          <w:sz w:val="18"/>
          <w:szCs w:val="18"/>
        </w:rPr>
        <w:t xml:space="preserve">in </w:t>
      </w:r>
      <w:r w:rsidRPr="00AB1B0D">
        <w:rPr>
          <w:rFonts w:ascii="Verdana" w:hAnsi="Verdana" w:cs="Arial"/>
          <w:sz w:val="18"/>
          <w:szCs w:val="18"/>
        </w:rPr>
        <w:t xml:space="preserve">loans, </w:t>
      </w:r>
      <w:r w:rsidR="00AF3CB7">
        <w:rPr>
          <w:rFonts w:ascii="Verdana" w:hAnsi="Verdana" w:cs="Arial"/>
          <w:sz w:val="18"/>
          <w:szCs w:val="18"/>
        </w:rPr>
        <w:t>3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6</w:t>
      </w:r>
      <w:r w:rsidRPr="00AB1B0D">
        <w:rPr>
          <w:rFonts w:ascii="Verdana" w:hAnsi="Verdana" w:cs="Arial"/>
          <w:sz w:val="18"/>
          <w:szCs w:val="18"/>
        </w:rPr>
        <w:t>% in debt securities and 2</w:t>
      </w:r>
      <w:r w:rsidR="00FC6220">
        <w:rPr>
          <w:rFonts w:ascii="Verdana" w:hAnsi="Verdana" w:cs="Arial"/>
          <w:sz w:val="18"/>
          <w:szCs w:val="18"/>
        </w:rPr>
        <w:t>4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8</w:t>
      </w:r>
      <w:r w:rsidRPr="00AB1B0D">
        <w:rPr>
          <w:rFonts w:ascii="Verdana" w:hAnsi="Verdana" w:cs="Arial"/>
          <w:sz w:val="18"/>
          <w:szCs w:val="18"/>
        </w:rPr>
        <w:t xml:space="preserve">% in equities. The </w:t>
      </w:r>
      <w:r w:rsidR="004D5B2C">
        <w:rPr>
          <w:rFonts w:ascii="Verdana" w:hAnsi="Verdana" w:cs="Arial"/>
          <w:sz w:val="18"/>
          <w:szCs w:val="18"/>
        </w:rPr>
        <w:t>amount o</w:t>
      </w:r>
      <w:r w:rsidRPr="00AB1B0D">
        <w:rPr>
          <w:rFonts w:ascii="Verdana" w:hAnsi="Verdana" w:cs="Arial"/>
          <w:sz w:val="18"/>
          <w:szCs w:val="18"/>
        </w:rPr>
        <w:t>f loans</w:t>
      </w:r>
      <w:r w:rsidR="004D5B2C">
        <w:rPr>
          <w:rFonts w:ascii="Verdana" w:hAnsi="Verdana" w:cs="Arial"/>
          <w:sz w:val="18"/>
          <w:szCs w:val="18"/>
        </w:rPr>
        <w:t xml:space="preserve"> for this sector</w:t>
      </w:r>
      <w:r w:rsidRPr="00AB1B0D">
        <w:rPr>
          <w:rFonts w:ascii="Verdana" w:hAnsi="Verdana" w:cs="Arial"/>
          <w:sz w:val="18"/>
          <w:szCs w:val="18"/>
        </w:rPr>
        <w:t xml:space="preserve"> reached </w:t>
      </w:r>
      <w:r w:rsidR="00FC6220" w:rsidRPr="00FC6220">
        <w:rPr>
          <w:rFonts w:ascii="Verdana" w:hAnsi="Verdana" w:cs="Arial"/>
          <w:sz w:val="18"/>
          <w:szCs w:val="18"/>
        </w:rPr>
        <w:t xml:space="preserve">19.871,2 </w:t>
      </w:r>
      <w:proofErr w:type="spellStart"/>
      <w:r w:rsidR="00C84421" w:rsidRPr="00AB1B0D">
        <w:rPr>
          <w:rFonts w:ascii="Verdana" w:hAnsi="Verdana" w:cs="Arial"/>
          <w:sz w:val="18"/>
          <w:szCs w:val="18"/>
        </w:rPr>
        <w:t>m</w:t>
      </w:r>
      <w:r w:rsidRPr="00AB1B0D">
        <w:rPr>
          <w:rFonts w:ascii="Verdana" w:hAnsi="Verdana" w:cs="Arial"/>
          <w:sz w:val="18"/>
          <w:szCs w:val="18"/>
        </w:rPr>
        <w:t>n</w:t>
      </w:r>
      <w:proofErr w:type="spellEnd"/>
      <w:r w:rsidRPr="00AB1B0D">
        <w:rPr>
          <w:rFonts w:ascii="Verdana" w:hAnsi="Verdana" w:cs="Arial"/>
          <w:sz w:val="18"/>
          <w:szCs w:val="18"/>
        </w:rPr>
        <w:t>, at the end of December 202</w:t>
      </w:r>
      <w:r w:rsidR="00FC6220">
        <w:rPr>
          <w:rFonts w:ascii="Verdana" w:hAnsi="Verdana" w:cs="Arial"/>
          <w:sz w:val="18"/>
          <w:szCs w:val="18"/>
        </w:rPr>
        <w:t>4</w:t>
      </w:r>
      <w:r w:rsidRPr="00AB1B0D">
        <w:rPr>
          <w:rFonts w:ascii="Verdana" w:hAnsi="Verdana" w:cs="Arial"/>
          <w:sz w:val="18"/>
          <w:szCs w:val="18"/>
        </w:rPr>
        <w:t xml:space="preserve">, with a debt-to-Gross Domestic Product (GDP) ratio of </w:t>
      </w:r>
      <w:r w:rsidR="00FC6220">
        <w:rPr>
          <w:rFonts w:ascii="Verdana" w:hAnsi="Verdana" w:cs="Arial"/>
          <w:sz w:val="18"/>
          <w:szCs w:val="18"/>
        </w:rPr>
        <w:t>57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2</w:t>
      </w:r>
      <w:r w:rsidRPr="00AB1B0D">
        <w:rPr>
          <w:rFonts w:ascii="Verdana" w:hAnsi="Verdana" w:cs="Arial"/>
          <w:sz w:val="18"/>
          <w:szCs w:val="18"/>
        </w:rPr>
        <w:t>%.</w:t>
      </w:r>
    </w:p>
    <w:p w14:paraId="31625BD4" w14:textId="77777777" w:rsidR="004E15D6" w:rsidRPr="00AB1B0D" w:rsidRDefault="004E15D6" w:rsidP="00AB1B0D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E0C6C99" w14:textId="1E570207" w:rsidR="004E15D6" w:rsidRPr="007F0400" w:rsidRDefault="004E15D6" w:rsidP="00AB1B0D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AB1B0D">
        <w:rPr>
          <w:rFonts w:ascii="Verdana" w:hAnsi="Verdana" w:cs="Arial"/>
          <w:sz w:val="18"/>
          <w:szCs w:val="18"/>
        </w:rPr>
        <w:t xml:space="preserve">The corresponding assets of </w:t>
      </w:r>
      <w:r w:rsidR="000E5C67" w:rsidRPr="00AB1B0D">
        <w:rPr>
          <w:rFonts w:ascii="Verdana" w:hAnsi="Verdana" w:cs="Arial"/>
          <w:sz w:val="18"/>
          <w:szCs w:val="18"/>
        </w:rPr>
        <w:t>non-financial</w:t>
      </w:r>
      <w:r w:rsidRPr="00AB1B0D">
        <w:rPr>
          <w:rFonts w:ascii="Verdana" w:hAnsi="Verdana" w:cs="Arial"/>
          <w:sz w:val="18"/>
          <w:szCs w:val="18"/>
        </w:rPr>
        <w:t xml:space="preserve"> corporations amounted to </w:t>
      </w:r>
      <w:r w:rsidR="00843D70" w:rsidRPr="00AB1B0D">
        <w:rPr>
          <w:rFonts w:ascii="Verdana" w:hAnsi="Verdana" w:cs="Arial"/>
          <w:sz w:val="18"/>
          <w:szCs w:val="18"/>
        </w:rPr>
        <w:t>€</w:t>
      </w:r>
      <w:r w:rsidR="00FC6220" w:rsidRPr="00FC6220">
        <w:rPr>
          <w:rFonts w:ascii="Verdana" w:hAnsi="Verdana" w:cs="Arial"/>
          <w:sz w:val="18"/>
          <w:szCs w:val="18"/>
        </w:rPr>
        <w:t xml:space="preserve">70.484,5 </w:t>
      </w:r>
      <w:proofErr w:type="spellStart"/>
      <w:r w:rsidR="00C84421" w:rsidRPr="00AB1B0D">
        <w:rPr>
          <w:rFonts w:ascii="Verdana" w:hAnsi="Verdana" w:cs="Arial"/>
          <w:sz w:val="18"/>
          <w:szCs w:val="18"/>
        </w:rPr>
        <w:t>m</w:t>
      </w:r>
      <w:r w:rsidRPr="00AB1B0D">
        <w:rPr>
          <w:rFonts w:ascii="Verdana" w:hAnsi="Verdana" w:cs="Arial"/>
          <w:sz w:val="18"/>
          <w:szCs w:val="18"/>
        </w:rPr>
        <w:t>n</w:t>
      </w:r>
      <w:proofErr w:type="spellEnd"/>
      <w:r w:rsidRPr="00AB1B0D">
        <w:rPr>
          <w:rFonts w:ascii="Verdana" w:hAnsi="Verdana" w:cs="Arial"/>
          <w:sz w:val="18"/>
          <w:szCs w:val="18"/>
        </w:rPr>
        <w:t xml:space="preserve">, with </w:t>
      </w:r>
      <w:r w:rsidR="00FC6220">
        <w:rPr>
          <w:rFonts w:ascii="Verdana" w:hAnsi="Verdana" w:cs="Arial"/>
          <w:sz w:val="18"/>
          <w:szCs w:val="18"/>
        </w:rPr>
        <w:t>20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6</w:t>
      </w:r>
      <w:r w:rsidRPr="00AB1B0D">
        <w:rPr>
          <w:rFonts w:ascii="Verdana" w:hAnsi="Verdana" w:cs="Arial"/>
          <w:sz w:val="18"/>
          <w:szCs w:val="18"/>
        </w:rPr>
        <w:t xml:space="preserve">% in cash and deposits, </w:t>
      </w:r>
      <w:r w:rsidR="00F1112C">
        <w:rPr>
          <w:rFonts w:ascii="Verdana" w:hAnsi="Verdana" w:cs="Arial"/>
          <w:sz w:val="18"/>
          <w:szCs w:val="18"/>
        </w:rPr>
        <w:t>6</w:t>
      </w:r>
      <w:r w:rsidRPr="00AB1B0D">
        <w:rPr>
          <w:rFonts w:ascii="Verdana" w:hAnsi="Verdana" w:cs="Arial"/>
          <w:sz w:val="18"/>
          <w:szCs w:val="18"/>
        </w:rPr>
        <w:t>,</w:t>
      </w:r>
      <w:r w:rsidR="00F1112C">
        <w:rPr>
          <w:rFonts w:ascii="Verdana" w:hAnsi="Verdana" w:cs="Arial"/>
          <w:sz w:val="18"/>
          <w:szCs w:val="18"/>
        </w:rPr>
        <w:t>9</w:t>
      </w:r>
      <w:r w:rsidRPr="00AB1B0D">
        <w:rPr>
          <w:rFonts w:ascii="Verdana" w:hAnsi="Verdana" w:cs="Arial"/>
          <w:sz w:val="18"/>
          <w:szCs w:val="18"/>
        </w:rPr>
        <w:t xml:space="preserve">% in </w:t>
      </w:r>
      <w:r w:rsidR="00F1112C">
        <w:rPr>
          <w:rFonts w:ascii="Verdana" w:hAnsi="Verdana" w:cs="Arial"/>
          <w:sz w:val="18"/>
          <w:szCs w:val="18"/>
        </w:rPr>
        <w:t>loans, 0,</w:t>
      </w:r>
      <w:r w:rsidR="00FC6220">
        <w:rPr>
          <w:rFonts w:ascii="Verdana" w:hAnsi="Verdana" w:cs="Arial"/>
          <w:sz w:val="18"/>
          <w:szCs w:val="18"/>
        </w:rPr>
        <w:t>7</w:t>
      </w:r>
      <w:r w:rsidR="00F1112C">
        <w:rPr>
          <w:rFonts w:ascii="Verdana" w:hAnsi="Verdana" w:cs="Arial"/>
          <w:sz w:val="18"/>
          <w:szCs w:val="18"/>
        </w:rPr>
        <w:t xml:space="preserve">% in </w:t>
      </w:r>
      <w:r w:rsidRPr="00AB1B0D">
        <w:rPr>
          <w:rFonts w:ascii="Verdana" w:hAnsi="Verdana" w:cs="Arial"/>
          <w:sz w:val="18"/>
          <w:szCs w:val="18"/>
        </w:rPr>
        <w:t xml:space="preserve">debt securities, </w:t>
      </w:r>
      <w:r w:rsidR="00FC6220">
        <w:rPr>
          <w:rFonts w:ascii="Verdana" w:hAnsi="Verdana" w:cs="Arial"/>
          <w:sz w:val="18"/>
          <w:szCs w:val="18"/>
        </w:rPr>
        <w:t>37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7</w:t>
      </w:r>
      <w:r w:rsidRPr="00AB1B0D">
        <w:rPr>
          <w:rFonts w:ascii="Verdana" w:hAnsi="Verdana" w:cs="Arial"/>
          <w:sz w:val="18"/>
          <w:szCs w:val="18"/>
        </w:rPr>
        <w:t xml:space="preserve">% in equities and </w:t>
      </w:r>
      <w:r w:rsidR="00F1112C">
        <w:rPr>
          <w:rFonts w:ascii="Verdana" w:hAnsi="Verdana" w:cs="Arial"/>
          <w:sz w:val="18"/>
          <w:szCs w:val="18"/>
        </w:rPr>
        <w:t>32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6</w:t>
      </w:r>
      <w:r w:rsidRPr="00AB1B0D">
        <w:rPr>
          <w:rFonts w:ascii="Verdana" w:hAnsi="Verdana" w:cs="Arial"/>
          <w:sz w:val="18"/>
          <w:szCs w:val="18"/>
        </w:rPr>
        <w:t xml:space="preserve">% in other financial instruments. </w:t>
      </w:r>
      <w:r w:rsidR="004D5B2C" w:rsidRPr="00AB1B0D">
        <w:rPr>
          <w:rFonts w:ascii="Verdana" w:hAnsi="Verdana" w:cs="Arial"/>
          <w:sz w:val="18"/>
          <w:szCs w:val="18"/>
        </w:rPr>
        <w:t xml:space="preserve">The </w:t>
      </w:r>
      <w:r w:rsidR="004D5B2C">
        <w:rPr>
          <w:rFonts w:ascii="Verdana" w:hAnsi="Verdana" w:cs="Arial"/>
          <w:sz w:val="18"/>
          <w:szCs w:val="18"/>
        </w:rPr>
        <w:t>amount o</w:t>
      </w:r>
      <w:r w:rsidR="004D5B2C" w:rsidRPr="00AB1B0D">
        <w:rPr>
          <w:rFonts w:ascii="Verdana" w:hAnsi="Verdana" w:cs="Arial"/>
          <w:sz w:val="18"/>
          <w:szCs w:val="18"/>
        </w:rPr>
        <w:t>f loans</w:t>
      </w:r>
      <w:r w:rsidR="004D5B2C">
        <w:rPr>
          <w:rFonts w:ascii="Verdana" w:hAnsi="Verdana" w:cs="Arial"/>
          <w:sz w:val="18"/>
          <w:szCs w:val="18"/>
        </w:rPr>
        <w:t xml:space="preserve"> for this sector</w:t>
      </w:r>
      <w:r w:rsidRPr="00AB1B0D">
        <w:rPr>
          <w:rFonts w:ascii="Verdana" w:hAnsi="Verdana" w:cs="Arial"/>
          <w:sz w:val="18"/>
          <w:szCs w:val="18"/>
        </w:rPr>
        <w:t xml:space="preserve"> at the end of December 202</w:t>
      </w:r>
      <w:r w:rsidR="00FC6220">
        <w:rPr>
          <w:rFonts w:ascii="Verdana" w:hAnsi="Verdana" w:cs="Arial"/>
          <w:sz w:val="18"/>
          <w:szCs w:val="18"/>
        </w:rPr>
        <w:t>4</w:t>
      </w:r>
      <w:r w:rsidRPr="00AB1B0D">
        <w:rPr>
          <w:rFonts w:ascii="Verdana" w:hAnsi="Verdana" w:cs="Arial"/>
          <w:sz w:val="18"/>
          <w:szCs w:val="18"/>
        </w:rPr>
        <w:t xml:space="preserve"> reached </w:t>
      </w:r>
      <w:r w:rsidR="00843D70" w:rsidRPr="00AB1B0D">
        <w:rPr>
          <w:rFonts w:ascii="Verdana" w:hAnsi="Verdana" w:cs="Arial"/>
          <w:sz w:val="18"/>
          <w:szCs w:val="18"/>
        </w:rPr>
        <w:t>€</w:t>
      </w:r>
      <w:r w:rsidR="00FC6220" w:rsidRPr="00FC6220">
        <w:rPr>
          <w:rFonts w:ascii="Verdana" w:hAnsi="Verdana" w:cs="Arial"/>
          <w:sz w:val="18"/>
          <w:szCs w:val="18"/>
        </w:rPr>
        <w:t xml:space="preserve">41.577,8 </w:t>
      </w:r>
      <w:proofErr w:type="spellStart"/>
      <w:r w:rsidR="004D5B2C">
        <w:rPr>
          <w:rFonts w:ascii="Verdana" w:hAnsi="Verdana" w:cs="Arial"/>
          <w:sz w:val="18"/>
          <w:szCs w:val="18"/>
        </w:rPr>
        <w:t>m</w:t>
      </w:r>
      <w:r w:rsidRPr="00AB1B0D">
        <w:rPr>
          <w:rFonts w:ascii="Verdana" w:hAnsi="Verdana" w:cs="Arial"/>
          <w:sz w:val="18"/>
          <w:szCs w:val="18"/>
        </w:rPr>
        <w:t>n</w:t>
      </w:r>
      <w:proofErr w:type="spellEnd"/>
      <w:r w:rsidRPr="00AB1B0D">
        <w:rPr>
          <w:rFonts w:ascii="Verdana" w:hAnsi="Verdana" w:cs="Arial"/>
          <w:sz w:val="18"/>
          <w:szCs w:val="18"/>
        </w:rPr>
        <w:t>, with a debt-to-GDP ratio of 1</w:t>
      </w:r>
      <w:r w:rsidR="00FC6220">
        <w:rPr>
          <w:rFonts w:ascii="Verdana" w:hAnsi="Verdana" w:cs="Arial"/>
          <w:sz w:val="18"/>
          <w:szCs w:val="18"/>
        </w:rPr>
        <w:t>19</w:t>
      </w:r>
      <w:r w:rsidRPr="00AB1B0D">
        <w:rPr>
          <w:rFonts w:ascii="Verdana" w:hAnsi="Verdana" w:cs="Arial"/>
          <w:sz w:val="18"/>
          <w:szCs w:val="18"/>
        </w:rPr>
        <w:t>,</w:t>
      </w:r>
      <w:r w:rsidR="00FC6220">
        <w:rPr>
          <w:rFonts w:ascii="Verdana" w:hAnsi="Verdana" w:cs="Arial"/>
          <w:sz w:val="18"/>
          <w:szCs w:val="18"/>
        </w:rPr>
        <w:t>6</w:t>
      </w:r>
      <w:r w:rsidRPr="00AB1B0D">
        <w:rPr>
          <w:rFonts w:ascii="Verdana" w:hAnsi="Verdana" w:cs="Arial"/>
          <w:sz w:val="18"/>
          <w:szCs w:val="18"/>
        </w:rPr>
        <w:t>%.</w:t>
      </w:r>
    </w:p>
    <w:p w14:paraId="3DD7D014" w14:textId="77777777" w:rsidR="007F0400" w:rsidRPr="00C95A91" w:rsidRDefault="007F0400" w:rsidP="00AB1B0D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tbl>
      <w:tblPr>
        <w:tblW w:w="11223" w:type="dxa"/>
        <w:jc w:val="center"/>
        <w:tblLook w:val="04A0" w:firstRow="1" w:lastRow="0" w:firstColumn="1" w:lastColumn="0" w:noHBand="0" w:noVBand="1"/>
      </w:tblPr>
      <w:tblGrid>
        <w:gridCol w:w="1476"/>
        <w:gridCol w:w="1242"/>
        <w:gridCol w:w="1521"/>
        <w:gridCol w:w="1521"/>
        <w:gridCol w:w="1461"/>
        <w:gridCol w:w="1391"/>
        <w:gridCol w:w="1369"/>
        <w:gridCol w:w="1242"/>
      </w:tblGrid>
      <w:tr w:rsidR="00470339" w:rsidRPr="00470339" w14:paraId="6FDBFF8A" w14:textId="77777777" w:rsidTr="00470339">
        <w:trPr>
          <w:trHeight w:val="315"/>
          <w:jc w:val="center"/>
        </w:trPr>
        <w:tc>
          <w:tcPr>
            <w:tcW w:w="147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E2E44FD" w14:textId="77777777" w:rsidR="000A6D50" w:rsidRPr="00470339" w:rsidRDefault="000A6D50" w:rsidP="000A6D50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Table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197B46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9AEC58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69C37D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A7D4BE1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3D4DCCB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8271A5B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F2B0141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</w:tr>
      <w:tr w:rsidR="00470339" w:rsidRPr="00470339" w14:paraId="3033BF9E" w14:textId="77777777" w:rsidTr="00470339">
        <w:trPr>
          <w:trHeight w:val="315"/>
          <w:jc w:val="center"/>
        </w:trPr>
        <w:tc>
          <w:tcPr>
            <w:tcW w:w="147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5E744AC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Financial Instruments (Stocks)</w:t>
            </w:r>
          </w:p>
        </w:tc>
        <w:tc>
          <w:tcPr>
            <w:tcW w:w="9747" w:type="dxa"/>
            <w:gridSpan w:val="7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44257EB" w14:textId="0B00A52D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Institutional Sectors 202</w:t>
            </w:r>
            <w:r w:rsidR="00FC6220"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4</w:t>
            </w: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 xml:space="preserve"> (€mn)</w:t>
            </w:r>
          </w:p>
        </w:tc>
      </w:tr>
      <w:tr w:rsidR="00470339" w:rsidRPr="00470339" w14:paraId="2931D2B8" w14:textId="77777777" w:rsidTr="00470339">
        <w:trPr>
          <w:trHeight w:val="735"/>
          <w:jc w:val="center"/>
        </w:trPr>
        <w:tc>
          <w:tcPr>
            <w:tcW w:w="147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C4AE3F1" w14:textId="77777777" w:rsidR="000A6D50" w:rsidRPr="00470339" w:rsidRDefault="000A6D50" w:rsidP="000A6D5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01782B1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Total Economy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0FDC0F4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Non-Financial Corporations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1E025D6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Financial Corporations</w:t>
            </w:r>
          </w:p>
        </w:tc>
        <w:tc>
          <w:tcPr>
            <w:tcW w:w="146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F184A5F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General Government</w:t>
            </w:r>
          </w:p>
        </w:tc>
        <w:tc>
          <w:tcPr>
            <w:tcW w:w="139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1EA113A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Households</w:t>
            </w:r>
          </w:p>
        </w:tc>
        <w:tc>
          <w:tcPr>
            <w:tcW w:w="1369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BA3BB81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 xml:space="preserve">Non-profit institutions </w:t>
            </w:r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35D311D" w14:textId="77777777" w:rsidR="000A6D50" w:rsidRPr="00470339" w:rsidRDefault="000A6D50" w:rsidP="000A6D5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Rest of the word</w:t>
            </w:r>
          </w:p>
        </w:tc>
      </w:tr>
      <w:tr w:rsidR="00470339" w:rsidRPr="00470339" w14:paraId="5029E99D" w14:textId="77777777" w:rsidTr="00470339">
        <w:trPr>
          <w:trHeight w:val="435"/>
          <w:jc w:val="center"/>
        </w:trPr>
        <w:tc>
          <w:tcPr>
            <w:tcW w:w="147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76DA49F" w14:textId="77777777" w:rsidR="00FC6220" w:rsidRPr="00470339" w:rsidRDefault="00FC6220" w:rsidP="00FC622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Financial assets</w:t>
            </w:r>
          </w:p>
        </w:tc>
        <w:tc>
          <w:tcPr>
            <w:tcW w:w="1242" w:type="dxa"/>
            <w:tcBorders>
              <w:top w:val="single" w:sz="8" w:space="0" w:color="366092"/>
              <w:left w:val="single" w:sz="8" w:space="0" w:color="305496"/>
              <w:bottom w:val="single" w:sz="8" w:space="0" w:color="366092"/>
              <w:right w:val="nil"/>
            </w:tcBorders>
            <w:vAlign w:val="center"/>
            <w:hideMark/>
          </w:tcPr>
          <w:p w14:paraId="4451686A" w14:textId="5B82B651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795.274,6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21F7FB5" w14:textId="4FD12DAE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70.484,5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2E407" w14:textId="6DCA5BE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630.414,9</w:t>
            </w:r>
          </w:p>
        </w:tc>
        <w:tc>
          <w:tcPr>
            <w:tcW w:w="146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BA2868A" w14:textId="7598453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32.308,1</w:t>
            </w:r>
          </w:p>
        </w:tc>
        <w:tc>
          <w:tcPr>
            <w:tcW w:w="139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51003C4" w14:textId="47163EC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61.340,8</w:t>
            </w:r>
          </w:p>
        </w:tc>
        <w:tc>
          <w:tcPr>
            <w:tcW w:w="1369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26D79C8" w14:textId="7026031C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726,4</w:t>
            </w:r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E59FA2" w14:textId="58B8FAEA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592.751,7</w:t>
            </w:r>
          </w:p>
        </w:tc>
      </w:tr>
      <w:tr w:rsidR="00470339" w:rsidRPr="00470339" w14:paraId="6B6F07BF" w14:textId="77777777" w:rsidTr="00470339">
        <w:trPr>
          <w:trHeight w:val="300"/>
          <w:jc w:val="center"/>
        </w:trPr>
        <w:tc>
          <w:tcPr>
            <w:tcW w:w="147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2F3FBC2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AF1</w:t>
            </w:r>
          </w:p>
        </w:tc>
        <w:tc>
          <w:tcPr>
            <w:tcW w:w="1242" w:type="dxa"/>
            <w:tcBorders>
              <w:top w:val="single" w:sz="8" w:space="0" w:color="366092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150E2582" w14:textId="5989D23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1.659,6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AC1B295" w14:textId="459AED63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3ECED79" w14:textId="6B33141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1.659,6</w:t>
            </w:r>
          </w:p>
        </w:tc>
        <w:tc>
          <w:tcPr>
            <w:tcW w:w="146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35F11A6" w14:textId="46D3BE9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3134ED37" w14:textId="70A9706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36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67D1DA3" w14:textId="6593070F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18E6DB12" w14:textId="3327999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1.659,6</w:t>
            </w:r>
          </w:p>
        </w:tc>
      </w:tr>
      <w:tr w:rsidR="00470339" w:rsidRPr="00470339" w14:paraId="41852E0E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90BCC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AF2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2D9649AF" w14:textId="39ED75B6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136.632,1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5775E" w14:textId="0070685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14.553,2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14536" w14:textId="56C306B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68.885,7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91065" w14:textId="7E9F67B2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20.181,2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6BC31" w14:textId="4CDA0DD9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32.512,0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EAB45" w14:textId="3B40A038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500,2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5F7F" w14:textId="33EE6D7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49.546,9</w:t>
            </w:r>
          </w:p>
        </w:tc>
      </w:tr>
      <w:tr w:rsidR="00470339" w:rsidRPr="00470339" w14:paraId="701A9A6B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9B4A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AF3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3C06354F" w14:textId="394DC9B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41.053,9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7DFDB" w14:textId="2ECAF94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478,4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3AB53" w14:textId="53F13783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38.194,0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07607" w14:textId="53193E5E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142,2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CD372" w14:textId="194C22B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2.221,5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87B46" w14:textId="65E4DA18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17,8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E3BD8" w14:textId="7E3B4183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31.931,5</w:t>
            </w:r>
          </w:p>
        </w:tc>
      </w:tr>
      <w:tr w:rsidR="00470339" w:rsidRPr="00470339" w14:paraId="7F8FFD53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2E99D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AF4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4FE917DB" w14:textId="282406D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149.492,7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51502" w14:textId="5895522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4.877,0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3CF82" w14:textId="5E3436B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139.288,9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89A3" w14:textId="64A7091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4.794,8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92323" w14:textId="606DF76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516,0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59EED" w14:textId="08A5E119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16,0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EC031" w14:textId="03F1B52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109.189,0</w:t>
            </w:r>
          </w:p>
        </w:tc>
      </w:tr>
      <w:tr w:rsidR="00470339" w:rsidRPr="00470339" w14:paraId="1761CBFC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65E13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AF5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7383E1BB" w14:textId="33C74FA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399.667,9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7B32E" w14:textId="2AFF971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27.255,6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1A314" w14:textId="4D4445F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353.184,4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A3F63" w14:textId="14BDFCE7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3.835,9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E7C07" w14:textId="1532533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15.240,0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8E1D3" w14:textId="3A9C98AD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152,0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C27DB" w14:textId="411D4B02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368.078,5</w:t>
            </w:r>
          </w:p>
        </w:tc>
      </w:tr>
      <w:tr w:rsidR="00470339" w:rsidRPr="00470339" w14:paraId="6D7C1D39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B4AB5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AF6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00CDB229" w14:textId="1881B6A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9.230,5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8F68" w14:textId="36AAC9FA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328,5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71B0" w14:textId="6CFB0F6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855,2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010FB" w14:textId="1F4E6161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82ED2" w14:textId="528ED6F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8.046,8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0CA0" w14:textId="4AF9E061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623E6" w14:textId="7B180106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379,2</w:t>
            </w:r>
          </w:p>
        </w:tc>
      </w:tr>
      <w:tr w:rsidR="00470339" w:rsidRPr="00470339" w14:paraId="5E71723B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9F869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AF7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5B3BB2C7" w14:textId="1BE4E3B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824,1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65F2" w14:textId="473FF49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13,9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1ACBC" w14:textId="45A8265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810,2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C8E80" w14:textId="70D1213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3950D" w14:textId="4C4E57C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9D14F" w14:textId="6844C865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FCFBE" w14:textId="7F0585E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773,1</w:t>
            </w:r>
          </w:p>
        </w:tc>
      </w:tr>
      <w:tr w:rsidR="00470339" w:rsidRPr="00470339" w14:paraId="7A8AB34E" w14:textId="77777777" w:rsidTr="00470339">
        <w:trPr>
          <w:trHeight w:val="315"/>
          <w:jc w:val="center"/>
        </w:trPr>
        <w:tc>
          <w:tcPr>
            <w:tcW w:w="147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13822D7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AF8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single" w:sz="8" w:space="0" w:color="366092"/>
              <w:right w:val="nil"/>
            </w:tcBorders>
            <w:vAlign w:val="center"/>
            <w:hideMark/>
          </w:tcPr>
          <w:p w14:paraId="219D710B" w14:textId="09F89887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56.713,7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0066BCB" w14:textId="20FA49A6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22.977,9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1621873" w14:textId="33A8ED2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27.536,8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B50B51E" w14:textId="726EBAD7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3.354,0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241025C" w14:textId="0E8E10A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2.804,6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3046D2F" w14:textId="585D474D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BDD797D" w14:textId="49AC6FD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31.193,9</w:t>
            </w:r>
          </w:p>
        </w:tc>
      </w:tr>
      <w:tr w:rsidR="00470339" w:rsidRPr="00470339" w14:paraId="4C881D3F" w14:textId="77777777" w:rsidTr="00470339">
        <w:trPr>
          <w:trHeight w:val="435"/>
          <w:jc w:val="center"/>
        </w:trPr>
        <w:tc>
          <w:tcPr>
            <w:tcW w:w="147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60DC421" w14:textId="77777777" w:rsidR="00FC6220" w:rsidRPr="00470339" w:rsidRDefault="00FC6220" w:rsidP="00FC622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Financial liabilities</w:t>
            </w:r>
          </w:p>
        </w:tc>
        <w:tc>
          <w:tcPr>
            <w:tcW w:w="1242" w:type="dxa"/>
            <w:tcBorders>
              <w:top w:val="single" w:sz="8" w:space="0" w:color="366092"/>
              <w:left w:val="single" w:sz="8" w:space="0" w:color="305496"/>
              <w:bottom w:val="single" w:sz="8" w:space="0" w:color="366092"/>
              <w:right w:val="nil"/>
            </w:tcBorders>
            <w:vAlign w:val="center"/>
            <w:hideMark/>
          </w:tcPr>
          <w:p w14:paraId="4929E527" w14:textId="5189CAE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824.543,9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748E7BA" w14:textId="2BD196E1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125.559,3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2EEAD40" w14:textId="6D7F64D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633.676,4</w:t>
            </w:r>
          </w:p>
        </w:tc>
        <w:tc>
          <w:tcPr>
            <w:tcW w:w="146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979528E" w14:textId="0000FA7E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40.588,2</w:t>
            </w:r>
          </w:p>
        </w:tc>
        <w:tc>
          <w:tcPr>
            <w:tcW w:w="139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E60F76A" w14:textId="62CD8D66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24.623,0</w:t>
            </w:r>
          </w:p>
        </w:tc>
        <w:tc>
          <w:tcPr>
            <w:tcW w:w="1369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007193" w14:textId="2BE14FFB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97,0</w:t>
            </w:r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1120CF7" w14:textId="35611B3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622.021,0</w:t>
            </w:r>
          </w:p>
        </w:tc>
      </w:tr>
      <w:tr w:rsidR="00470339" w:rsidRPr="00470339" w14:paraId="35D7BB13" w14:textId="77777777" w:rsidTr="00470339">
        <w:trPr>
          <w:trHeight w:val="300"/>
          <w:jc w:val="center"/>
        </w:trPr>
        <w:tc>
          <w:tcPr>
            <w:tcW w:w="147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1CD6D899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AF1</w:t>
            </w:r>
          </w:p>
        </w:tc>
        <w:tc>
          <w:tcPr>
            <w:tcW w:w="1242" w:type="dxa"/>
            <w:tcBorders>
              <w:top w:val="single" w:sz="8" w:space="0" w:color="366092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79402FD5" w14:textId="3D6D89C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532,0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2E77FECF" w14:textId="40FAF287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C770B90" w14:textId="388C226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532,0</w:t>
            </w:r>
          </w:p>
        </w:tc>
        <w:tc>
          <w:tcPr>
            <w:tcW w:w="146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0E036E47" w14:textId="375DC46E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39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34AA60E7" w14:textId="3D00D7F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36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07543FDC" w14:textId="29E2C6D1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6228867" w14:textId="111B4E2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532,0</w:t>
            </w:r>
          </w:p>
        </w:tc>
      </w:tr>
      <w:tr w:rsidR="00470339" w:rsidRPr="00470339" w14:paraId="247EB455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091B5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AF2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5252A35F" w14:textId="7F868F3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99.609,8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24C74" w14:textId="1BA9A5EE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BC8EB" w14:textId="3BE77B1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85.142,8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C3D9" w14:textId="2ADA5C2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14.467,0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4BEC" w14:textId="4D75DD7A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A92BE" w14:textId="50944DDD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proofErr w:type="spellStart"/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n.a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C8672" w14:textId="01EC89A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12.524,6</w:t>
            </w:r>
          </w:p>
        </w:tc>
      </w:tr>
      <w:tr w:rsidR="00470339" w:rsidRPr="00470339" w14:paraId="7D4CB7D6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F074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AF3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3C8D683C" w14:textId="6ED7823D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25.941,0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49453" w14:textId="5A5F768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90,0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AF56A" w14:textId="619CCDC9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13.460,4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5C55E" w14:textId="36BC2353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12.390,6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632B" w14:textId="30AD031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62F0E" w14:textId="27D2DEBD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FC0A" w14:textId="26F9EDDE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16.818,6</w:t>
            </w:r>
          </w:p>
        </w:tc>
      </w:tr>
      <w:tr w:rsidR="00470339" w:rsidRPr="00470339" w14:paraId="3CB0944E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59364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AF4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3964268A" w14:textId="4271E023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206.111,2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7535A" w14:textId="7DDFB353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41.577,8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57EA8" w14:textId="4113833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135.413,7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E080" w14:textId="40AA13DA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9.151,5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76CC" w14:textId="4143EBA7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19.871,2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F6A52" w14:textId="50CF7A8F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97,0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E8929" w14:textId="34A5BA99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165.807,5</w:t>
            </w:r>
          </w:p>
        </w:tc>
      </w:tr>
      <w:tr w:rsidR="00470339" w:rsidRPr="00470339" w14:paraId="2C3CEE8A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646D5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AF5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064832B3" w14:textId="3A2357E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418.464,7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D9DEC" w14:textId="456CF562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63.765,6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0369B" w14:textId="479A3177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354.690,2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CA47" w14:textId="21C58E5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BC3D5" w14:textId="0AD0A3E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4AB81" w14:textId="11F101D2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447A2" w14:textId="4A56C26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386.875,3</w:t>
            </w:r>
          </w:p>
        </w:tc>
      </w:tr>
      <w:tr w:rsidR="00470339" w:rsidRPr="00470339" w14:paraId="03104610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7F20F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AF6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382DFFB1" w14:textId="595087A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9.442,9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05C3" w14:textId="59122A1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405,0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4E93A" w14:textId="3693AAB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8.536,8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4124F" w14:textId="166BA8F2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501,1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F6266" w14:textId="2E3E0F94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CD15" w14:textId="7997CAC8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52EE" w14:textId="16BEB4B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591,6</w:t>
            </w:r>
          </w:p>
        </w:tc>
      </w:tr>
      <w:tr w:rsidR="00470339" w:rsidRPr="00470339" w14:paraId="0782D7D6" w14:textId="77777777" w:rsidTr="00FC6220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C7FDF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AF7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nil"/>
              <w:right w:val="nil"/>
            </w:tcBorders>
            <w:vAlign w:val="center"/>
            <w:hideMark/>
          </w:tcPr>
          <w:p w14:paraId="51A2605C" w14:textId="54FA3E8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710,2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78BCD" w14:textId="3289E079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B2446" w14:textId="2580A79B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709,6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B3B05" w14:textId="5457D5C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3DB07" w14:textId="7B0FFD2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66C77" w14:textId="466F2B80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BF1AB" w14:textId="2ECBC58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659,2</w:t>
            </w:r>
          </w:p>
        </w:tc>
      </w:tr>
      <w:tr w:rsidR="00470339" w:rsidRPr="00470339" w14:paraId="553F63C2" w14:textId="77777777" w:rsidTr="00470339">
        <w:trPr>
          <w:trHeight w:val="315"/>
          <w:jc w:val="center"/>
        </w:trPr>
        <w:tc>
          <w:tcPr>
            <w:tcW w:w="147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19ECE63" w14:textId="77777777" w:rsidR="00FC6220" w:rsidRPr="00470339" w:rsidRDefault="00FC6220" w:rsidP="00FC6220">
            <w:pPr>
              <w:ind w:left="227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AF8</w:t>
            </w:r>
          </w:p>
        </w:tc>
        <w:tc>
          <w:tcPr>
            <w:tcW w:w="1242" w:type="dxa"/>
            <w:tcBorders>
              <w:top w:val="nil"/>
              <w:left w:val="single" w:sz="8" w:space="0" w:color="305496"/>
              <w:bottom w:val="single" w:sz="8" w:space="0" w:color="366092"/>
              <w:right w:val="nil"/>
            </w:tcBorders>
            <w:vAlign w:val="center"/>
            <w:hideMark/>
          </w:tcPr>
          <w:p w14:paraId="046074CD" w14:textId="3580BB9A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63.732,0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36D7EDE" w14:textId="5A20E3E0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19.720,3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AA8CC70" w14:textId="4A53A616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35.190,9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8B7AA98" w14:textId="4F55C66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4.069,0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918751E" w14:textId="2EF3A532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4.751,8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A51C8F4" w14:textId="4D6276C5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E97164E" w14:textId="43211845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color w:val="366092"/>
                <w:sz w:val="18"/>
                <w:szCs w:val="18"/>
              </w:rPr>
              <w:t>38.212,2</w:t>
            </w:r>
          </w:p>
        </w:tc>
      </w:tr>
      <w:tr w:rsidR="00470339" w:rsidRPr="00470339" w14:paraId="6F7C1BC0" w14:textId="77777777" w:rsidTr="00470339">
        <w:trPr>
          <w:trHeight w:val="435"/>
          <w:jc w:val="center"/>
        </w:trPr>
        <w:tc>
          <w:tcPr>
            <w:tcW w:w="147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BE2F6DE" w14:textId="77777777" w:rsidR="00FC6220" w:rsidRPr="00470339" w:rsidRDefault="00FC6220" w:rsidP="00FC622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Financial net worth</w:t>
            </w:r>
          </w:p>
        </w:tc>
        <w:tc>
          <w:tcPr>
            <w:tcW w:w="1242" w:type="dxa"/>
            <w:tcBorders>
              <w:top w:val="single" w:sz="8" w:space="0" w:color="366092"/>
              <w:left w:val="single" w:sz="8" w:space="0" w:color="305496"/>
              <w:bottom w:val="single" w:sz="8" w:space="0" w:color="366092"/>
              <w:right w:val="nil"/>
            </w:tcBorders>
            <w:vAlign w:val="center"/>
            <w:hideMark/>
          </w:tcPr>
          <w:p w14:paraId="4D25AA58" w14:textId="6EDD448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-29.269,3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904CA03" w14:textId="21870DF1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-55.074,8</w:t>
            </w:r>
          </w:p>
        </w:tc>
        <w:tc>
          <w:tcPr>
            <w:tcW w:w="15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7C698FB" w14:textId="79577356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-3.261,5</w:t>
            </w:r>
          </w:p>
        </w:tc>
        <w:tc>
          <w:tcPr>
            <w:tcW w:w="146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8E77806" w14:textId="6C211C18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-8.280,1</w:t>
            </w:r>
          </w:p>
        </w:tc>
        <w:tc>
          <w:tcPr>
            <w:tcW w:w="139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2F469C8" w14:textId="212D922C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36.717,8</w:t>
            </w:r>
          </w:p>
        </w:tc>
        <w:tc>
          <w:tcPr>
            <w:tcW w:w="1369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58ACAD7" w14:textId="70A5E113" w:rsidR="00FC6220" w:rsidRPr="00470339" w:rsidRDefault="00FC6220" w:rsidP="00FC6220">
            <w:pPr>
              <w:ind w:right="28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629,4</w:t>
            </w:r>
          </w:p>
        </w:tc>
        <w:tc>
          <w:tcPr>
            <w:tcW w:w="124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9461E2" w14:textId="128B99BF" w:rsidR="00FC6220" w:rsidRPr="00470339" w:rsidRDefault="00FC6220" w:rsidP="00FC6220">
            <w:pPr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470339">
              <w:rPr>
                <w:rFonts w:ascii="Verdana" w:hAnsi="Verdana" w:cs="Calibri"/>
                <w:b/>
                <w:bCs/>
                <w:color w:val="366092"/>
                <w:sz w:val="16"/>
                <w:szCs w:val="16"/>
              </w:rPr>
              <w:t>29.269,3</w:t>
            </w:r>
          </w:p>
        </w:tc>
      </w:tr>
    </w:tbl>
    <w:p w14:paraId="61B4A93C" w14:textId="61618BEE" w:rsidR="004E15D6" w:rsidRPr="00470339" w:rsidRDefault="00F51637" w:rsidP="00AB1B0D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color w:val="366092"/>
          <w:sz w:val="16"/>
          <w:szCs w:val="16"/>
          <w:u w:val="single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n.a.: Not applicable</w:t>
      </w:r>
    </w:p>
    <w:p w14:paraId="6ACD5523" w14:textId="6349C3C0" w:rsidR="004E15D6" w:rsidRPr="00470339" w:rsidRDefault="009D23F4" w:rsidP="00AB1B0D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b/>
          <w:bCs/>
          <w:color w:val="366092"/>
          <w:sz w:val="16"/>
          <w:szCs w:val="16"/>
          <w:lang w:eastAsia="en-CY"/>
        </w:rPr>
        <w:t>Financial Instruments</w:t>
      </w:r>
      <w:r w:rsidR="004E15D6"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:</w:t>
      </w:r>
    </w:p>
    <w:p w14:paraId="08069382" w14:textId="3D71C6AE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 xml:space="preserve">AF1: Monetary gold and special drawing rights </w:t>
      </w:r>
    </w:p>
    <w:p w14:paraId="7F559F11" w14:textId="50DFDA26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AF2: Currency and deposits</w:t>
      </w:r>
    </w:p>
    <w:p w14:paraId="12C43BE6" w14:textId="36C0D4F3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AF3: Debt Securities</w:t>
      </w:r>
    </w:p>
    <w:p w14:paraId="0D3AAF9D" w14:textId="1EB62C65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AF4: Loans</w:t>
      </w:r>
    </w:p>
    <w:p w14:paraId="1F6FD156" w14:textId="4DD1E86C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AF5: Equity and investment fund shares or units</w:t>
      </w:r>
    </w:p>
    <w:p w14:paraId="1FBE85AB" w14:textId="08CE46E3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AF6: Insurance, pension and standardized guarantee schemes</w:t>
      </w:r>
    </w:p>
    <w:p w14:paraId="6B1AB827" w14:textId="6C822929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AF7: Financial Derivatives and employee stock options</w:t>
      </w:r>
    </w:p>
    <w:p w14:paraId="7B17917F" w14:textId="5871FAA9" w:rsidR="009D23F4" w:rsidRPr="00470339" w:rsidRDefault="009D23F4" w:rsidP="009D23F4">
      <w:pPr>
        <w:tabs>
          <w:tab w:val="left" w:pos="1080"/>
          <w:tab w:val="left" w:pos="6840"/>
        </w:tabs>
        <w:rPr>
          <w:rFonts w:ascii="Verdana" w:eastAsia="Times New Roman" w:hAnsi="Verdana" w:cs="Calibri"/>
          <w:color w:val="366092"/>
          <w:sz w:val="16"/>
          <w:szCs w:val="16"/>
          <w:lang w:eastAsia="en-CY"/>
        </w:rPr>
      </w:pPr>
      <w:r w:rsidRPr="00470339">
        <w:rPr>
          <w:rFonts w:ascii="Verdana" w:eastAsia="Times New Roman" w:hAnsi="Verdana" w:cs="Calibri"/>
          <w:color w:val="366092"/>
          <w:sz w:val="16"/>
          <w:szCs w:val="16"/>
          <w:lang w:eastAsia="en-CY"/>
        </w:rPr>
        <w:t>AF8: Other accounts receivable/ payable</w:t>
      </w:r>
    </w:p>
    <w:p w14:paraId="7F4BC22C" w14:textId="77777777" w:rsidR="004E15D6" w:rsidRPr="00AB1B0D" w:rsidRDefault="004E15D6" w:rsidP="00AB1B0D">
      <w:pPr>
        <w:tabs>
          <w:tab w:val="left" w:pos="1080"/>
          <w:tab w:val="left" w:pos="6840"/>
        </w:tabs>
        <w:jc w:val="both"/>
        <w:rPr>
          <w:rFonts w:ascii="Verdana" w:eastAsia="Times New Roman" w:hAnsi="Verdana" w:cs="Calibri"/>
          <w:color w:val="2F5496"/>
          <w:sz w:val="18"/>
          <w:szCs w:val="18"/>
          <w:lang w:eastAsia="en-CY"/>
        </w:rPr>
      </w:pPr>
    </w:p>
    <w:p w14:paraId="186514F6" w14:textId="77777777" w:rsidR="004E15D6" w:rsidRPr="00AB1B0D" w:rsidRDefault="004E15D6" w:rsidP="00AB1B0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191196EC" w14:textId="77777777" w:rsidR="00AB1B0D" w:rsidRDefault="00AB1B0D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DF6CDF2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EC3C89A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B5ADCEC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D3F0354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14BC47CF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940EDE4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9C371F2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293785A" w14:textId="77777777" w:rsidR="009D23F4" w:rsidRDefault="009D23F4" w:rsidP="00AB1B0D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200C8CE" w14:textId="24DBBDFE" w:rsidR="0095405B" w:rsidRPr="00970856" w:rsidRDefault="0095405B" w:rsidP="00ED7DBB">
      <w:pPr>
        <w:jc w:val="center"/>
        <w:rPr>
          <w:rFonts w:ascii="Verdana" w:eastAsia="Malgun Gothic" w:hAnsi="Verdana" w:cs="Arial"/>
          <w:b/>
          <w:u w:val="single"/>
        </w:rPr>
      </w:pPr>
      <w:r w:rsidRPr="007B718F">
        <w:rPr>
          <w:rFonts w:ascii="Verdana" w:eastAsia="Malgun Gothic" w:hAnsi="Verdana" w:cs="Arial"/>
          <w:b/>
          <w:u w:val="single"/>
        </w:rPr>
        <w:lastRenderedPageBreak/>
        <w:t>M</w:t>
      </w:r>
      <w:r w:rsidRPr="00970856">
        <w:rPr>
          <w:rFonts w:ascii="Verdana" w:eastAsia="Malgun Gothic" w:hAnsi="Verdana" w:cs="Arial"/>
          <w:b/>
          <w:u w:val="single"/>
        </w:rPr>
        <w:t>ETHODOLOGICAL INFORMATION</w:t>
      </w:r>
    </w:p>
    <w:p w14:paraId="7928A577" w14:textId="77777777" w:rsidR="00ED7DBB" w:rsidRDefault="00ED7DBB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43E921D5" w14:textId="75228592" w:rsidR="00ED7DBB" w:rsidRPr="00AB1B0D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AB1B0D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  <w:r w:rsidR="00A35835" w:rsidRPr="00AB1B0D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Description</w:t>
      </w:r>
    </w:p>
    <w:p w14:paraId="54A9B84D" w14:textId="77777777" w:rsidR="00A35835" w:rsidRPr="00AB1B0D" w:rsidRDefault="00A35835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18E5E0" w14:textId="386FFB7B" w:rsidR="00ED7DBB" w:rsidRPr="00AB1B0D" w:rsidRDefault="00A3583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>The Annual Financial Accounts (AFA) record financial positions and transactions that involve financial assets and liabilities that have taken place between residents and non</w:t>
      </w:r>
      <w:r w:rsidR="000E5C67" w:rsidRPr="00AB1B0D">
        <w:rPr>
          <w:rFonts w:ascii="Verdana" w:eastAsia="Malgun Gothic" w:hAnsi="Verdana" w:cs="Arial"/>
          <w:sz w:val="18"/>
          <w:szCs w:val="18"/>
        </w:rPr>
        <w:t>-</w:t>
      </w:r>
      <w:r w:rsidRPr="00AB1B0D">
        <w:rPr>
          <w:rFonts w:ascii="Verdana" w:eastAsia="Malgun Gothic" w:hAnsi="Verdana" w:cs="Arial"/>
          <w:sz w:val="18"/>
          <w:szCs w:val="18"/>
        </w:rPr>
        <w:t>residents. Cross-border financial transactions and positions are further classified by type of instrument and institutional sector.</w:t>
      </w:r>
    </w:p>
    <w:p w14:paraId="3B36D9D4" w14:textId="77777777" w:rsidR="00A35835" w:rsidRPr="00AB1B0D" w:rsidRDefault="00A35835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582D46D" w14:textId="0ABE6F85" w:rsidR="00ED7DBB" w:rsidRPr="00AB1B0D" w:rsidRDefault="00E831CB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AB1B0D">
        <w:rPr>
          <w:rFonts w:ascii="Verdana" w:eastAsia="Malgun Gothic" w:hAnsi="Verdana" w:cs="Arial"/>
          <w:b/>
          <w:bCs/>
          <w:sz w:val="18"/>
          <w:szCs w:val="18"/>
          <w:u w:val="single"/>
        </w:rPr>
        <w:t>Method</w:t>
      </w:r>
    </w:p>
    <w:p w14:paraId="2777D501" w14:textId="77777777" w:rsidR="00E831CB" w:rsidRPr="00AB1B0D" w:rsidRDefault="00E831C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676420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>The compilation of AFA relies on the following primary sources which are fully compliant with European System of Accounts (ESA 2010) and produced on the basis of European Central Bank:</w:t>
      </w:r>
    </w:p>
    <w:p w14:paraId="7A78FBDC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6317C4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1. MFI Balance Sheets statistics </w:t>
      </w:r>
    </w:p>
    <w:p w14:paraId="0A9382F6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2. Investment Fund Balance sheet statistics </w:t>
      </w:r>
    </w:p>
    <w:p w14:paraId="5813D927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3. Insurance statistics </w:t>
      </w:r>
    </w:p>
    <w:p w14:paraId="0C7E9971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4. Pension Fund Statistics   </w:t>
      </w:r>
    </w:p>
    <w:p w14:paraId="6FD14995" w14:textId="447665E0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>5.</w:t>
      </w:r>
      <w:r w:rsidR="00843D70" w:rsidRPr="00AB1B0D">
        <w:rPr>
          <w:rFonts w:ascii="Verdana" w:eastAsia="Malgun Gothic" w:hAnsi="Verdana" w:cs="Arial"/>
          <w:sz w:val="18"/>
          <w:szCs w:val="18"/>
        </w:rPr>
        <w:t xml:space="preserve"> </w:t>
      </w:r>
      <w:r w:rsidRPr="00AB1B0D">
        <w:rPr>
          <w:rFonts w:ascii="Verdana" w:eastAsia="Malgun Gothic" w:hAnsi="Verdana" w:cs="Arial"/>
          <w:sz w:val="18"/>
          <w:szCs w:val="18"/>
        </w:rPr>
        <w:t xml:space="preserve">Securities issues statistics </w:t>
      </w:r>
    </w:p>
    <w:p w14:paraId="4B00C88C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>6. Securities Holdings statistics (SHS)</w:t>
      </w:r>
    </w:p>
    <w:p w14:paraId="781A8097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7. Quarterly Financial Accounts of General Government                          </w:t>
      </w:r>
    </w:p>
    <w:p w14:paraId="2BC429FA" w14:textId="26488B5A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8. International Investment Position and Balance of Payments  </w:t>
      </w:r>
    </w:p>
    <w:p w14:paraId="1F8B1EE2" w14:textId="77777777" w:rsidR="00E831CB" w:rsidRPr="00AB1B0D" w:rsidRDefault="00E831CB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                                                                                 </w:t>
      </w:r>
    </w:p>
    <w:p w14:paraId="10C5B7AA" w14:textId="0EE2B985" w:rsidR="00ED7DBB" w:rsidRPr="00AB1B0D" w:rsidRDefault="000E5C67" w:rsidP="00E831C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>Also,</w:t>
      </w:r>
      <w:r w:rsidR="00E831CB" w:rsidRPr="00AB1B0D">
        <w:rPr>
          <w:rFonts w:ascii="Verdana" w:eastAsia="Malgun Gothic" w:hAnsi="Verdana" w:cs="Arial"/>
          <w:sz w:val="18"/>
          <w:szCs w:val="18"/>
        </w:rPr>
        <w:t xml:space="preserve"> financial statements are collected from entities that are included in the OFI (Other Financial Institutions) sector. For the Non-financial sector, information is derived from annual financial statements and mapped to the ESA 2010 instruments, to the best possible extent. For Household some instruments are compiled mainly on a residual basis.</w:t>
      </w:r>
    </w:p>
    <w:p w14:paraId="4E6EC92D" w14:textId="77777777" w:rsidR="00ED7DBB" w:rsidRPr="00AB1B0D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391B1EC4" w:rsidR="00DF2F99" w:rsidRPr="00AB1B0D" w:rsidRDefault="00E831CB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AB1B0D">
        <w:rPr>
          <w:rFonts w:ascii="Verdana" w:eastAsia="Malgun Gothic" w:hAnsi="Verdana" w:cs="Arial"/>
          <w:b/>
          <w:bCs/>
          <w:sz w:val="18"/>
          <w:szCs w:val="18"/>
          <w:u w:val="single"/>
        </w:rPr>
        <w:t>Data Coverage</w:t>
      </w:r>
    </w:p>
    <w:p w14:paraId="32FA4B64" w14:textId="77777777" w:rsidR="00ED7DBB" w:rsidRPr="00AB1B0D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106F37C" w14:textId="7D022B8C" w:rsidR="00ED7DBB" w:rsidRPr="00AB1B0D" w:rsidRDefault="00E831CB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B1B0D">
        <w:rPr>
          <w:rFonts w:ascii="Verdana" w:eastAsia="Malgun Gothic" w:hAnsi="Verdana" w:cs="Arial"/>
          <w:sz w:val="18"/>
          <w:szCs w:val="18"/>
        </w:rPr>
        <w:t xml:space="preserve">Inclusion of all financial and </w:t>
      </w:r>
      <w:r w:rsidR="000E5C67" w:rsidRPr="00AB1B0D">
        <w:rPr>
          <w:rFonts w:ascii="Verdana" w:eastAsia="Malgun Gothic" w:hAnsi="Verdana" w:cs="Arial"/>
          <w:sz w:val="18"/>
          <w:szCs w:val="18"/>
        </w:rPr>
        <w:t>non-financial</w:t>
      </w:r>
      <w:r w:rsidRPr="00AB1B0D">
        <w:rPr>
          <w:rFonts w:ascii="Verdana" w:eastAsia="Malgun Gothic" w:hAnsi="Verdana" w:cs="Arial"/>
          <w:sz w:val="18"/>
          <w:szCs w:val="18"/>
        </w:rPr>
        <w:t xml:space="preserve"> corporations, investment funds, insurance companies, pension funds and organizations that are included in the OFI sector. </w:t>
      </w:r>
      <w:r w:rsidR="000E5C67" w:rsidRPr="00AB1B0D">
        <w:rPr>
          <w:rFonts w:ascii="Verdana" w:eastAsia="Malgun Gothic" w:hAnsi="Verdana" w:cs="Arial"/>
          <w:sz w:val="18"/>
          <w:szCs w:val="18"/>
        </w:rPr>
        <w:t>Also,</w:t>
      </w:r>
      <w:r w:rsidRPr="00AB1B0D">
        <w:rPr>
          <w:rFonts w:ascii="Verdana" w:eastAsia="Malgun Gothic" w:hAnsi="Verdana" w:cs="Arial"/>
          <w:sz w:val="18"/>
          <w:szCs w:val="18"/>
        </w:rPr>
        <w:t xml:space="preserve"> the inclusion of General Government Sector divided to its subsectors.</w:t>
      </w:r>
    </w:p>
    <w:p w14:paraId="0529667F" w14:textId="77777777" w:rsidR="00843D70" w:rsidRPr="00AB1B0D" w:rsidRDefault="00843D70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Pr="00AB1B0D" w:rsidRDefault="0095405B" w:rsidP="00ED7DBB">
      <w:pPr>
        <w:rPr>
          <w:rFonts w:ascii="Verdana" w:hAnsi="Verdana"/>
          <w:color w:val="000000"/>
          <w:sz w:val="18"/>
          <w:szCs w:val="18"/>
        </w:rPr>
      </w:pPr>
      <w:r w:rsidRPr="00AB1B0D"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AB1B0D" w:rsidRDefault="00DF2F99" w:rsidP="00ED7DBB">
      <w:pPr>
        <w:rPr>
          <w:rFonts w:ascii="Verdana" w:hAnsi="Verdana"/>
          <w:sz w:val="18"/>
          <w:szCs w:val="18"/>
        </w:rPr>
      </w:pPr>
      <w:r w:rsidRPr="00AB1B0D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1" w:history="1">
        <w:r w:rsidRPr="00AB1B0D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48E142B1" w:rsidR="00DF2F99" w:rsidRPr="00AB1B0D" w:rsidRDefault="00E451D4" w:rsidP="00ED7DBB">
      <w:pPr>
        <w:rPr>
          <w:rFonts w:ascii="Verdana" w:hAnsi="Verdana"/>
          <w:sz w:val="18"/>
          <w:szCs w:val="18"/>
        </w:rPr>
      </w:pPr>
      <w:hyperlink r:id="rId12" w:history="1">
        <w:r w:rsidR="00DF2F99" w:rsidRPr="00AB1B0D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="00DF2F99" w:rsidRPr="00AB1B0D">
        <w:rPr>
          <w:rFonts w:ascii="Verdana" w:hAnsi="Verdana"/>
          <w:sz w:val="18"/>
          <w:szCs w:val="18"/>
        </w:rPr>
        <w:t xml:space="preserve"> (Online Database) </w:t>
      </w:r>
    </w:p>
    <w:p w14:paraId="43980C08" w14:textId="3E0E89B9" w:rsidR="00460421" w:rsidRPr="009B19DA" w:rsidRDefault="00AB1B0D" w:rsidP="00ED7DBB">
      <w:pPr>
        <w:rPr>
          <w:rStyle w:val="Hyperlink"/>
          <w:rFonts w:ascii="Verdana" w:hAnsi="Verdana"/>
          <w:sz w:val="18"/>
          <w:szCs w:val="18"/>
        </w:rPr>
      </w:pPr>
      <w:r w:rsidRPr="009B19DA">
        <w:rPr>
          <w:rFonts w:ascii="Verdana" w:hAnsi="Verdana"/>
          <w:sz w:val="18"/>
          <w:szCs w:val="18"/>
        </w:rPr>
        <w:fldChar w:fldCharType="begin"/>
      </w:r>
      <w:r w:rsidRPr="009B19DA">
        <w:rPr>
          <w:rFonts w:ascii="Verdana" w:hAnsi="Verdana"/>
          <w:sz w:val="18"/>
          <w:szCs w:val="18"/>
        </w:rPr>
        <w:instrText>HYPERLINK "https://www.cystat.gov.cy/en/MethodologicalDetails?m=2152"</w:instrText>
      </w:r>
      <w:r w:rsidRPr="009B19DA">
        <w:rPr>
          <w:rFonts w:ascii="Verdana" w:hAnsi="Verdana"/>
          <w:sz w:val="18"/>
          <w:szCs w:val="18"/>
        </w:rPr>
        <w:fldChar w:fldCharType="separate"/>
      </w:r>
      <w:r w:rsidR="00460421" w:rsidRPr="009B19DA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41C01DFA" w14:textId="254A95C3" w:rsidR="00ED7DBB" w:rsidRPr="00AF3CB7" w:rsidRDefault="00AB1B0D" w:rsidP="00ED7DBB">
      <w:pPr>
        <w:jc w:val="both"/>
        <w:rPr>
          <w:rFonts w:ascii="Verdana" w:eastAsia="Malgun Gothic" w:hAnsi="Verdana" w:cs="Arial"/>
          <w:i/>
          <w:sz w:val="18"/>
          <w:szCs w:val="18"/>
          <w:u w:val="single"/>
        </w:rPr>
      </w:pPr>
      <w:r w:rsidRPr="009B19DA">
        <w:rPr>
          <w:rFonts w:ascii="Verdana" w:hAnsi="Verdana"/>
          <w:sz w:val="18"/>
          <w:szCs w:val="18"/>
        </w:rPr>
        <w:fldChar w:fldCharType="end"/>
      </w:r>
    </w:p>
    <w:p w14:paraId="37997F6F" w14:textId="62B7D701" w:rsidR="00DF2F99" w:rsidRPr="00AF3CB7" w:rsidRDefault="00DF2F99" w:rsidP="00ED7DBB">
      <w:pPr>
        <w:jc w:val="both"/>
        <w:rPr>
          <w:rFonts w:ascii="Verdana" w:eastAsia="Malgun Gothic" w:hAnsi="Verdana" w:cs="Arial"/>
          <w:i/>
          <w:sz w:val="18"/>
          <w:szCs w:val="18"/>
        </w:rPr>
      </w:pPr>
      <w:r w:rsidRPr="00AF3CB7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AF3CB7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082524A6" w14:textId="26C9AAE9" w:rsidR="00E831CB" w:rsidRPr="00AB1B0D" w:rsidRDefault="007E363D" w:rsidP="00E831CB">
      <w:pPr>
        <w:tabs>
          <w:tab w:val="left" w:pos="1080"/>
          <w:tab w:val="left" w:pos="7088"/>
        </w:tabs>
        <w:jc w:val="both"/>
        <w:rPr>
          <w:rStyle w:val="Hyperlink"/>
          <w:rFonts w:ascii="Verdana" w:eastAsia="Malgun Gothic" w:hAnsi="Verdana" w:cs="Arial"/>
          <w:sz w:val="18"/>
          <w:szCs w:val="18"/>
          <w:lang w:val="pt-PT"/>
        </w:rPr>
      </w:pPr>
      <w:r w:rsidRPr="00AF3CB7">
        <w:rPr>
          <w:rFonts w:ascii="Verdana" w:hAnsi="Verdana"/>
          <w:color w:val="2C2C2C"/>
          <w:sz w:val="18"/>
          <w:szCs w:val="18"/>
          <w:shd w:val="clear" w:color="auto" w:fill="FFFFFF"/>
          <w:lang w:val="pt-PT"/>
        </w:rPr>
        <w:t>Sofia Panagidou</w:t>
      </w:r>
      <w:r w:rsidR="00E831CB"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 xml:space="preserve">: </w:t>
      </w:r>
      <w:r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>Tel</w:t>
      </w:r>
      <w:r w:rsidR="00E831CB"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>:+</w:t>
      </w:r>
      <w:r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 xml:space="preserve"> </w:t>
      </w:r>
      <w:r w:rsidR="00E831CB"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 xml:space="preserve">35722605119, </w:t>
      </w:r>
      <w:r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>Email</w:t>
      </w:r>
      <w:r w:rsidR="00E831CB" w:rsidRPr="00AF3CB7">
        <w:rPr>
          <w:rFonts w:ascii="Verdana" w:eastAsia="Malgun Gothic" w:hAnsi="Verdana" w:cs="Arial"/>
          <w:color w:val="000000"/>
          <w:sz w:val="18"/>
          <w:szCs w:val="18"/>
          <w:lang w:val="pt-PT"/>
        </w:rPr>
        <w:t xml:space="preserve">.: </w:t>
      </w:r>
      <w:r w:rsidR="009D23F4">
        <w:fldChar w:fldCharType="begin"/>
      </w:r>
      <w:r w:rsidR="009D23F4" w:rsidRPr="00AF3CB7">
        <w:rPr>
          <w:lang w:val="pt-PT"/>
        </w:rPr>
        <w:instrText>HYPERLINK "mailto:spanayidou@cystat.mof.gov.cy"</w:instrText>
      </w:r>
      <w:r w:rsidR="009D23F4">
        <w:fldChar w:fldCharType="separate"/>
      </w:r>
      <w:r w:rsidR="00E831CB" w:rsidRPr="00AB1B0D">
        <w:rPr>
          <w:rStyle w:val="Hyperlink"/>
          <w:rFonts w:ascii="Verdana" w:eastAsia="Malgun Gothic" w:hAnsi="Verdana" w:cs="Arial"/>
          <w:sz w:val="18"/>
          <w:szCs w:val="18"/>
          <w:lang w:val="pt-PT"/>
        </w:rPr>
        <w:t>spanayidou@cystat.mof.gov.cy</w:t>
      </w:r>
      <w:r w:rsidR="009D23F4">
        <w:rPr>
          <w:rStyle w:val="Hyperlink"/>
          <w:rFonts w:ascii="Verdana" w:eastAsia="Malgun Gothic" w:hAnsi="Verdana" w:cs="Arial"/>
          <w:sz w:val="18"/>
          <w:szCs w:val="18"/>
          <w:lang w:val="pt-PT"/>
        </w:rPr>
        <w:fldChar w:fldCharType="end"/>
      </w:r>
    </w:p>
    <w:p w14:paraId="13FBA95B" w14:textId="14671EBD" w:rsidR="00E831CB" w:rsidRDefault="007E363D" w:rsidP="00E831CB">
      <w:pPr>
        <w:tabs>
          <w:tab w:val="left" w:pos="1080"/>
          <w:tab w:val="left" w:pos="7088"/>
        </w:tabs>
        <w:jc w:val="both"/>
        <w:rPr>
          <w:rStyle w:val="Hyperlink"/>
          <w:rFonts w:ascii="Verdana" w:eastAsia="Malgun Gothic" w:hAnsi="Verdana" w:cs="Arial"/>
          <w:sz w:val="18"/>
          <w:szCs w:val="18"/>
          <w:lang w:val="pt-PT"/>
        </w:rPr>
      </w:pPr>
      <w:r w:rsidRPr="00AB1B0D">
        <w:rPr>
          <w:rFonts w:ascii="Verdana" w:hAnsi="Verdana"/>
          <w:color w:val="2C2C2C"/>
          <w:sz w:val="18"/>
          <w:szCs w:val="18"/>
          <w:shd w:val="clear" w:color="auto" w:fill="FFFFFF"/>
        </w:rPr>
        <w:t>Katerina Kyriakou</w:t>
      </w:r>
      <w:r w:rsidR="00E831CB" w:rsidRPr="00AB1B0D">
        <w:rPr>
          <w:rFonts w:ascii="Verdana" w:eastAsia="Malgun Gothic" w:hAnsi="Verdana" w:cs="Arial"/>
          <w:color w:val="000000"/>
          <w:sz w:val="18"/>
          <w:szCs w:val="18"/>
        </w:rPr>
        <w:t xml:space="preserve">: </w:t>
      </w:r>
      <w:r w:rsidRPr="00AB1B0D">
        <w:rPr>
          <w:rFonts w:ascii="Verdana" w:eastAsia="Malgun Gothic" w:hAnsi="Verdana" w:cs="Arial"/>
          <w:color w:val="000000"/>
          <w:sz w:val="18"/>
          <w:szCs w:val="18"/>
        </w:rPr>
        <w:t>Tel</w:t>
      </w:r>
      <w:proofErr w:type="gramStart"/>
      <w:r w:rsidR="00E831CB" w:rsidRPr="00AB1B0D">
        <w:rPr>
          <w:rFonts w:ascii="Verdana" w:eastAsia="Malgun Gothic" w:hAnsi="Verdana" w:cs="Arial"/>
          <w:color w:val="000000"/>
          <w:sz w:val="18"/>
          <w:szCs w:val="18"/>
        </w:rPr>
        <w:t>:+</w:t>
      </w:r>
      <w:proofErr w:type="gramEnd"/>
      <w:r w:rsidRPr="00AB1B0D">
        <w:rPr>
          <w:rFonts w:ascii="Verdana" w:eastAsia="Malgun Gothic" w:hAnsi="Verdana" w:cs="Arial"/>
          <w:color w:val="000000"/>
          <w:sz w:val="18"/>
          <w:szCs w:val="18"/>
        </w:rPr>
        <w:t xml:space="preserve"> </w:t>
      </w:r>
      <w:r w:rsidR="00E831CB" w:rsidRPr="00AB1B0D">
        <w:rPr>
          <w:rFonts w:ascii="Verdana" w:eastAsia="Malgun Gothic" w:hAnsi="Verdana" w:cs="Arial"/>
          <w:color w:val="000000"/>
          <w:sz w:val="18"/>
          <w:szCs w:val="18"/>
        </w:rPr>
        <w:t xml:space="preserve">35722602202, </w:t>
      </w:r>
      <w:r w:rsidRPr="00AB1B0D">
        <w:rPr>
          <w:rFonts w:ascii="Verdana" w:eastAsia="Malgun Gothic" w:hAnsi="Verdana" w:cs="Arial"/>
          <w:color w:val="000000"/>
          <w:sz w:val="18"/>
          <w:szCs w:val="18"/>
        </w:rPr>
        <w:t>Email</w:t>
      </w:r>
      <w:r w:rsidR="00E831CB" w:rsidRPr="00AB1B0D">
        <w:rPr>
          <w:rFonts w:ascii="Verdana" w:eastAsia="Malgun Gothic" w:hAnsi="Verdana" w:cs="Arial"/>
          <w:color w:val="000000"/>
          <w:sz w:val="18"/>
          <w:szCs w:val="18"/>
        </w:rPr>
        <w:t xml:space="preserve">.: </w:t>
      </w:r>
      <w:hyperlink r:id="rId13" w:history="1">
        <w:r w:rsidR="00E831CB" w:rsidRPr="00AB1B0D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kkyriakou@cystat.mof.gov.cy</w:t>
        </w:r>
      </w:hyperlink>
    </w:p>
    <w:p w14:paraId="452DC681" w14:textId="77777777" w:rsidR="00E831CB" w:rsidRPr="00DF2F99" w:rsidRDefault="00E831CB" w:rsidP="00ED7DBB">
      <w:pPr>
        <w:rPr>
          <w:rFonts w:ascii="Verdana" w:eastAsia="Malgun Gothic" w:hAnsi="Verdana" w:cs="Arial"/>
          <w:sz w:val="18"/>
          <w:szCs w:val="18"/>
          <w:lang w:val="pt-PT"/>
        </w:rPr>
      </w:pPr>
    </w:p>
    <w:p w14:paraId="6CD4F3B7" w14:textId="409697A9" w:rsidR="00C26329" w:rsidRPr="00DF2F99" w:rsidRDefault="00C26329" w:rsidP="00ED7DBB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Pr="007E363D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7E363D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7E363D" w:rsidSect="005938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CEF56" w14:textId="77777777" w:rsidR="00E451D4" w:rsidRDefault="00E451D4" w:rsidP="00FB398F">
      <w:r>
        <w:separator/>
      </w:r>
    </w:p>
  </w:endnote>
  <w:endnote w:type="continuationSeparator" w:id="0">
    <w:p w14:paraId="050800E5" w14:textId="77777777" w:rsidR="00E451D4" w:rsidRDefault="00E451D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D55AF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2CE26" w14:textId="47ACDF84" w:rsidR="0060256A" w:rsidRPr="0047033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470339">
      <w:rPr>
        <w:rFonts w:ascii="Verdana" w:hAnsi="Verdana" w:cs="Arial"/>
        <w:sz w:val="16"/>
        <w:szCs w:val="16"/>
      </w:rPr>
      <w:t>Address: Micha</w:t>
    </w:r>
    <w:r w:rsidR="00EF6A66" w:rsidRPr="00470339">
      <w:rPr>
        <w:rFonts w:ascii="Verdana" w:hAnsi="Verdana" w:cs="Arial"/>
        <w:sz w:val="16"/>
        <w:szCs w:val="16"/>
      </w:rPr>
      <w:t>el</w:t>
    </w:r>
    <w:r w:rsidRPr="00470339">
      <w:rPr>
        <w:rFonts w:ascii="Verdana" w:hAnsi="Verdana" w:cs="Arial"/>
        <w:sz w:val="16"/>
        <w:szCs w:val="16"/>
      </w:rPr>
      <w:t xml:space="preserve"> Karaoli Str., 1444 Nicosia, Cyprus</w:t>
    </w:r>
  </w:p>
  <w:p w14:paraId="4879CF96" w14:textId="2F3B0AAC" w:rsidR="00470339" w:rsidRPr="00470339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470339">
      <w:rPr>
        <w:rFonts w:ascii="Verdana" w:hAnsi="Verdana" w:cs="Arial"/>
        <w:sz w:val="16"/>
        <w:szCs w:val="16"/>
        <w:lang w:val="pt-PT"/>
      </w:rPr>
      <w:t>Tel.: 22 602129,</w:t>
    </w:r>
    <w:r w:rsidR="0060256A" w:rsidRPr="00470339">
      <w:rPr>
        <w:rFonts w:ascii="Verdana" w:hAnsi="Verdana" w:cs="Arial"/>
        <w:sz w:val="16"/>
        <w:szCs w:val="16"/>
        <w:lang w:val="pt-PT"/>
      </w:rPr>
      <w:t xml:space="preserve"> E-mail: </w:t>
    </w:r>
    <w:hyperlink r:id="rId1" w:history="1">
      <w:r w:rsidR="00470339" w:rsidRPr="00001B0A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7D99A61" w:rsidR="004E4F42" w:rsidRPr="00470339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470339">
      <w:rPr>
        <w:rFonts w:ascii="Verdana" w:hAnsi="Verdana" w:cs="Arial"/>
        <w:sz w:val="16"/>
        <w:szCs w:val="16"/>
      </w:rPr>
      <w:t xml:space="preserve">Web </w:t>
    </w:r>
    <w:r w:rsidR="00470339">
      <w:rPr>
        <w:rFonts w:ascii="Verdana" w:hAnsi="Verdana" w:cs="Arial"/>
        <w:sz w:val="16"/>
        <w:szCs w:val="16"/>
      </w:rPr>
      <w:t>Portal</w:t>
    </w:r>
    <w:r w:rsidRPr="00470339">
      <w:rPr>
        <w:rFonts w:ascii="Verdana" w:hAnsi="Verdana" w:cs="Arial"/>
        <w:sz w:val="16"/>
        <w:szCs w:val="16"/>
      </w:rPr>
      <w:t xml:space="preserve">: </w:t>
    </w:r>
    <w:hyperlink r:id="rId2" w:history="1">
      <w:r w:rsidRPr="00470339">
        <w:rPr>
          <w:rStyle w:val="Hyperlink"/>
          <w:rFonts w:ascii="Verdana" w:hAnsi="Verdana" w:cs="Arial"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D80B2" w14:textId="77777777" w:rsidR="00E451D4" w:rsidRDefault="00E451D4" w:rsidP="00FB398F">
      <w:r>
        <w:separator/>
      </w:r>
    </w:p>
  </w:footnote>
  <w:footnote w:type="continuationSeparator" w:id="0">
    <w:p w14:paraId="0BCD168A" w14:textId="77777777" w:rsidR="00E451D4" w:rsidRDefault="00E451D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481AEEB9" w:rsidR="00364377" w:rsidRPr="00470339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47033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7033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47033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47033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470339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7033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47033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47033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470339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470339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470339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09A8A666" w:rsidR="004E4F42" w:rsidRPr="00470339" w:rsidRDefault="0060256A" w:rsidP="00470339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4F86"/>
    <w:rsid w:val="0000542E"/>
    <w:rsid w:val="00010401"/>
    <w:rsid w:val="00013E40"/>
    <w:rsid w:val="000161B1"/>
    <w:rsid w:val="00016D1E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62F88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D50"/>
    <w:rsid w:val="000A6FA8"/>
    <w:rsid w:val="000B198D"/>
    <w:rsid w:val="000B3528"/>
    <w:rsid w:val="000B6F3B"/>
    <w:rsid w:val="000B72B3"/>
    <w:rsid w:val="000C290F"/>
    <w:rsid w:val="000C4E72"/>
    <w:rsid w:val="000D1E7A"/>
    <w:rsid w:val="000E24B1"/>
    <w:rsid w:val="000E2735"/>
    <w:rsid w:val="000E32D6"/>
    <w:rsid w:val="000E57F2"/>
    <w:rsid w:val="000E5C67"/>
    <w:rsid w:val="000E6A2C"/>
    <w:rsid w:val="000E72A7"/>
    <w:rsid w:val="000F1162"/>
    <w:rsid w:val="000F200F"/>
    <w:rsid w:val="000F3467"/>
    <w:rsid w:val="000F38DE"/>
    <w:rsid w:val="000F5D6C"/>
    <w:rsid w:val="0010248E"/>
    <w:rsid w:val="00106852"/>
    <w:rsid w:val="00110F9D"/>
    <w:rsid w:val="00114A67"/>
    <w:rsid w:val="00120DCF"/>
    <w:rsid w:val="00122143"/>
    <w:rsid w:val="001253B6"/>
    <w:rsid w:val="00125D16"/>
    <w:rsid w:val="00127320"/>
    <w:rsid w:val="00127456"/>
    <w:rsid w:val="001312D8"/>
    <w:rsid w:val="0013137B"/>
    <w:rsid w:val="00135925"/>
    <w:rsid w:val="0015118B"/>
    <w:rsid w:val="001519CE"/>
    <w:rsid w:val="00152605"/>
    <w:rsid w:val="0015344C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51B7"/>
    <w:rsid w:val="00186717"/>
    <w:rsid w:val="00187FFC"/>
    <w:rsid w:val="001A2018"/>
    <w:rsid w:val="001A3658"/>
    <w:rsid w:val="001A3DD4"/>
    <w:rsid w:val="001B280D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0E0"/>
    <w:rsid w:val="001E00D1"/>
    <w:rsid w:val="001E0E58"/>
    <w:rsid w:val="001E14F3"/>
    <w:rsid w:val="001E15ED"/>
    <w:rsid w:val="001E61AA"/>
    <w:rsid w:val="001E7D09"/>
    <w:rsid w:val="0020309E"/>
    <w:rsid w:val="00205BA0"/>
    <w:rsid w:val="00207DE5"/>
    <w:rsid w:val="002105CC"/>
    <w:rsid w:val="00210B58"/>
    <w:rsid w:val="00212948"/>
    <w:rsid w:val="00217A4A"/>
    <w:rsid w:val="00222423"/>
    <w:rsid w:val="0022346F"/>
    <w:rsid w:val="00225B28"/>
    <w:rsid w:val="002274A6"/>
    <w:rsid w:val="002313AC"/>
    <w:rsid w:val="00235FB2"/>
    <w:rsid w:val="00237BC1"/>
    <w:rsid w:val="002430B4"/>
    <w:rsid w:val="002447D0"/>
    <w:rsid w:val="002454C5"/>
    <w:rsid w:val="00245E19"/>
    <w:rsid w:val="0024629C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5DE6"/>
    <w:rsid w:val="002830D6"/>
    <w:rsid w:val="0028338F"/>
    <w:rsid w:val="00285C24"/>
    <w:rsid w:val="002915C4"/>
    <w:rsid w:val="002A1D1C"/>
    <w:rsid w:val="002A4D64"/>
    <w:rsid w:val="002A4FA3"/>
    <w:rsid w:val="002B4EE4"/>
    <w:rsid w:val="002B6554"/>
    <w:rsid w:val="002C338D"/>
    <w:rsid w:val="002D05F0"/>
    <w:rsid w:val="002D37A2"/>
    <w:rsid w:val="002D7D4A"/>
    <w:rsid w:val="002E1906"/>
    <w:rsid w:val="002E3846"/>
    <w:rsid w:val="002E3F78"/>
    <w:rsid w:val="002E62EA"/>
    <w:rsid w:val="002F12A3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7234"/>
    <w:rsid w:val="003522BB"/>
    <w:rsid w:val="00352F6C"/>
    <w:rsid w:val="0035337D"/>
    <w:rsid w:val="003555AE"/>
    <w:rsid w:val="003556EA"/>
    <w:rsid w:val="00364377"/>
    <w:rsid w:val="00366B67"/>
    <w:rsid w:val="003671CE"/>
    <w:rsid w:val="00375F86"/>
    <w:rsid w:val="00377ABB"/>
    <w:rsid w:val="003854F5"/>
    <w:rsid w:val="00386FC7"/>
    <w:rsid w:val="00390A32"/>
    <w:rsid w:val="00391BB6"/>
    <w:rsid w:val="00396C89"/>
    <w:rsid w:val="003A2B71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F49E4"/>
    <w:rsid w:val="003F4D2F"/>
    <w:rsid w:val="003F5E32"/>
    <w:rsid w:val="003F75F6"/>
    <w:rsid w:val="00404670"/>
    <w:rsid w:val="00414BB0"/>
    <w:rsid w:val="00414CA0"/>
    <w:rsid w:val="00415960"/>
    <w:rsid w:val="00422F54"/>
    <w:rsid w:val="004314A3"/>
    <w:rsid w:val="00431516"/>
    <w:rsid w:val="004361B3"/>
    <w:rsid w:val="0044249D"/>
    <w:rsid w:val="0044379F"/>
    <w:rsid w:val="00446FB1"/>
    <w:rsid w:val="00460421"/>
    <w:rsid w:val="0046078F"/>
    <w:rsid w:val="00462422"/>
    <w:rsid w:val="00462F21"/>
    <w:rsid w:val="00463214"/>
    <w:rsid w:val="0046434D"/>
    <w:rsid w:val="004656FA"/>
    <w:rsid w:val="00470339"/>
    <w:rsid w:val="00471D77"/>
    <w:rsid w:val="00475587"/>
    <w:rsid w:val="00480BC2"/>
    <w:rsid w:val="00481AD0"/>
    <w:rsid w:val="0048423B"/>
    <w:rsid w:val="00487A44"/>
    <w:rsid w:val="004929C2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D5B2C"/>
    <w:rsid w:val="004E0DA5"/>
    <w:rsid w:val="004E15D6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05DB0"/>
    <w:rsid w:val="0051107B"/>
    <w:rsid w:val="00511AEE"/>
    <w:rsid w:val="00512F9C"/>
    <w:rsid w:val="00514C64"/>
    <w:rsid w:val="00515F21"/>
    <w:rsid w:val="005228FA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7D64"/>
    <w:rsid w:val="00572BC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E040A"/>
    <w:rsid w:val="005E1B33"/>
    <w:rsid w:val="005F12F5"/>
    <w:rsid w:val="005F4B4F"/>
    <w:rsid w:val="005F7C7D"/>
    <w:rsid w:val="0060061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94929"/>
    <w:rsid w:val="006A02B7"/>
    <w:rsid w:val="006A1118"/>
    <w:rsid w:val="006B46D5"/>
    <w:rsid w:val="006B46F4"/>
    <w:rsid w:val="006C70E6"/>
    <w:rsid w:val="006C7AF3"/>
    <w:rsid w:val="006D10D5"/>
    <w:rsid w:val="006D6548"/>
    <w:rsid w:val="006E006A"/>
    <w:rsid w:val="006E0E20"/>
    <w:rsid w:val="006E1C7C"/>
    <w:rsid w:val="006E4256"/>
    <w:rsid w:val="006E4BBA"/>
    <w:rsid w:val="006E5F43"/>
    <w:rsid w:val="006E60A6"/>
    <w:rsid w:val="006E73DB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02FF"/>
    <w:rsid w:val="007218C6"/>
    <w:rsid w:val="0072548A"/>
    <w:rsid w:val="007277A6"/>
    <w:rsid w:val="00741125"/>
    <w:rsid w:val="007437AB"/>
    <w:rsid w:val="0074794C"/>
    <w:rsid w:val="007534F8"/>
    <w:rsid w:val="007545AD"/>
    <w:rsid w:val="00763722"/>
    <w:rsid w:val="00764BC1"/>
    <w:rsid w:val="007665AB"/>
    <w:rsid w:val="00770869"/>
    <w:rsid w:val="007738AA"/>
    <w:rsid w:val="00780A62"/>
    <w:rsid w:val="00781863"/>
    <w:rsid w:val="00783241"/>
    <w:rsid w:val="007838EC"/>
    <w:rsid w:val="00784BDC"/>
    <w:rsid w:val="00792F28"/>
    <w:rsid w:val="0079543F"/>
    <w:rsid w:val="00795880"/>
    <w:rsid w:val="00796758"/>
    <w:rsid w:val="007A4367"/>
    <w:rsid w:val="007A5D73"/>
    <w:rsid w:val="007B0867"/>
    <w:rsid w:val="007B1AC1"/>
    <w:rsid w:val="007B5A08"/>
    <w:rsid w:val="007B5E3B"/>
    <w:rsid w:val="007B67AE"/>
    <w:rsid w:val="007B693D"/>
    <w:rsid w:val="007B718F"/>
    <w:rsid w:val="007C77DC"/>
    <w:rsid w:val="007D0338"/>
    <w:rsid w:val="007E041B"/>
    <w:rsid w:val="007E199A"/>
    <w:rsid w:val="007E2415"/>
    <w:rsid w:val="007E363D"/>
    <w:rsid w:val="007E39F3"/>
    <w:rsid w:val="007E68F4"/>
    <w:rsid w:val="007F0400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3D70"/>
    <w:rsid w:val="00845F0F"/>
    <w:rsid w:val="00846B85"/>
    <w:rsid w:val="00847DC3"/>
    <w:rsid w:val="00847F49"/>
    <w:rsid w:val="008535A0"/>
    <w:rsid w:val="008535C5"/>
    <w:rsid w:val="00853765"/>
    <w:rsid w:val="00853962"/>
    <w:rsid w:val="0085516F"/>
    <w:rsid w:val="00861278"/>
    <w:rsid w:val="00865246"/>
    <w:rsid w:val="00867186"/>
    <w:rsid w:val="00870AF6"/>
    <w:rsid w:val="00881268"/>
    <w:rsid w:val="0088394A"/>
    <w:rsid w:val="008860BD"/>
    <w:rsid w:val="00887399"/>
    <w:rsid w:val="0088779E"/>
    <w:rsid w:val="008912AF"/>
    <w:rsid w:val="00891BEE"/>
    <w:rsid w:val="00892114"/>
    <w:rsid w:val="00892CB9"/>
    <w:rsid w:val="008935CB"/>
    <w:rsid w:val="00895577"/>
    <w:rsid w:val="008B0E7E"/>
    <w:rsid w:val="008B5DF9"/>
    <w:rsid w:val="008B5FF0"/>
    <w:rsid w:val="008B65BD"/>
    <w:rsid w:val="008B7900"/>
    <w:rsid w:val="008C71BF"/>
    <w:rsid w:val="008C7FE0"/>
    <w:rsid w:val="008D3762"/>
    <w:rsid w:val="008D5717"/>
    <w:rsid w:val="008E3716"/>
    <w:rsid w:val="008E44A9"/>
    <w:rsid w:val="008E4A39"/>
    <w:rsid w:val="008E6B4D"/>
    <w:rsid w:val="008E6BFF"/>
    <w:rsid w:val="008F21AF"/>
    <w:rsid w:val="008F2400"/>
    <w:rsid w:val="008F61BA"/>
    <w:rsid w:val="008F6E3C"/>
    <w:rsid w:val="008F7C55"/>
    <w:rsid w:val="0090338C"/>
    <w:rsid w:val="009074EC"/>
    <w:rsid w:val="00914A23"/>
    <w:rsid w:val="00917583"/>
    <w:rsid w:val="00930754"/>
    <w:rsid w:val="00931164"/>
    <w:rsid w:val="00934F68"/>
    <w:rsid w:val="009355AC"/>
    <w:rsid w:val="00935F38"/>
    <w:rsid w:val="00937586"/>
    <w:rsid w:val="00942DED"/>
    <w:rsid w:val="00947889"/>
    <w:rsid w:val="0095405B"/>
    <w:rsid w:val="00954F9F"/>
    <w:rsid w:val="00960E98"/>
    <w:rsid w:val="00963A82"/>
    <w:rsid w:val="00967A05"/>
    <w:rsid w:val="00972912"/>
    <w:rsid w:val="00972CA0"/>
    <w:rsid w:val="00976D1F"/>
    <w:rsid w:val="00981C81"/>
    <w:rsid w:val="00992209"/>
    <w:rsid w:val="0099318D"/>
    <w:rsid w:val="009A0085"/>
    <w:rsid w:val="009A2D24"/>
    <w:rsid w:val="009A456C"/>
    <w:rsid w:val="009A4B24"/>
    <w:rsid w:val="009B00E0"/>
    <w:rsid w:val="009B19DA"/>
    <w:rsid w:val="009B292A"/>
    <w:rsid w:val="009B76D5"/>
    <w:rsid w:val="009C165D"/>
    <w:rsid w:val="009C37F7"/>
    <w:rsid w:val="009C3CEA"/>
    <w:rsid w:val="009C583D"/>
    <w:rsid w:val="009C713C"/>
    <w:rsid w:val="009D23F4"/>
    <w:rsid w:val="009D2611"/>
    <w:rsid w:val="009D79D2"/>
    <w:rsid w:val="009E247C"/>
    <w:rsid w:val="009E31BA"/>
    <w:rsid w:val="009F0528"/>
    <w:rsid w:val="009F0806"/>
    <w:rsid w:val="009F0B47"/>
    <w:rsid w:val="009F233B"/>
    <w:rsid w:val="00A04A80"/>
    <w:rsid w:val="00A05D16"/>
    <w:rsid w:val="00A0659F"/>
    <w:rsid w:val="00A079BA"/>
    <w:rsid w:val="00A26FE8"/>
    <w:rsid w:val="00A33875"/>
    <w:rsid w:val="00A35835"/>
    <w:rsid w:val="00A360A1"/>
    <w:rsid w:val="00A402B3"/>
    <w:rsid w:val="00A453EB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0C9A"/>
    <w:rsid w:val="00AB0DAB"/>
    <w:rsid w:val="00AB1B0D"/>
    <w:rsid w:val="00AB1D41"/>
    <w:rsid w:val="00AC5E9A"/>
    <w:rsid w:val="00AC704B"/>
    <w:rsid w:val="00AD3A9F"/>
    <w:rsid w:val="00AD553E"/>
    <w:rsid w:val="00AD5848"/>
    <w:rsid w:val="00AE5ADA"/>
    <w:rsid w:val="00AF0115"/>
    <w:rsid w:val="00AF3CB7"/>
    <w:rsid w:val="00AF6145"/>
    <w:rsid w:val="00AF6BEF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3C2E"/>
    <w:rsid w:val="00B35A7C"/>
    <w:rsid w:val="00B450D1"/>
    <w:rsid w:val="00B53D47"/>
    <w:rsid w:val="00B54A25"/>
    <w:rsid w:val="00B54B75"/>
    <w:rsid w:val="00B57F76"/>
    <w:rsid w:val="00B618C3"/>
    <w:rsid w:val="00B63652"/>
    <w:rsid w:val="00B65098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1C6A"/>
    <w:rsid w:val="00BE5CDA"/>
    <w:rsid w:val="00BE608F"/>
    <w:rsid w:val="00BF23BB"/>
    <w:rsid w:val="00BF33DD"/>
    <w:rsid w:val="00BF5755"/>
    <w:rsid w:val="00BF684B"/>
    <w:rsid w:val="00BF7A18"/>
    <w:rsid w:val="00C016F3"/>
    <w:rsid w:val="00C13E0F"/>
    <w:rsid w:val="00C15193"/>
    <w:rsid w:val="00C15609"/>
    <w:rsid w:val="00C15F6A"/>
    <w:rsid w:val="00C22EB0"/>
    <w:rsid w:val="00C23EA7"/>
    <w:rsid w:val="00C256F3"/>
    <w:rsid w:val="00C26329"/>
    <w:rsid w:val="00C270A2"/>
    <w:rsid w:val="00C315B5"/>
    <w:rsid w:val="00C32D3A"/>
    <w:rsid w:val="00C35E28"/>
    <w:rsid w:val="00C426AF"/>
    <w:rsid w:val="00C434E1"/>
    <w:rsid w:val="00C469C1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1C19"/>
    <w:rsid w:val="00C623EB"/>
    <w:rsid w:val="00C6258A"/>
    <w:rsid w:val="00C64B80"/>
    <w:rsid w:val="00C64C6B"/>
    <w:rsid w:val="00C65138"/>
    <w:rsid w:val="00C66F2E"/>
    <w:rsid w:val="00C6785C"/>
    <w:rsid w:val="00C70FD1"/>
    <w:rsid w:val="00C733AA"/>
    <w:rsid w:val="00C83027"/>
    <w:rsid w:val="00C84421"/>
    <w:rsid w:val="00C84B8A"/>
    <w:rsid w:val="00C85E65"/>
    <w:rsid w:val="00C87CA1"/>
    <w:rsid w:val="00C911B4"/>
    <w:rsid w:val="00C91B3B"/>
    <w:rsid w:val="00C94262"/>
    <w:rsid w:val="00C94FF5"/>
    <w:rsid w:val="00C95A91"/>
    <w:rsid w:val="00C976E1"/>
    <w:rsid w:val="00CA148E"/>
    <w:rsid w:val="00CA1B8B"/>
    <w:rsid w:val="00CA3A9A"/>
    <w:rsid w:val="00CB6BC1"/>
    <w:rsid w:val="00CB7021"/>
    <w:rsid w:val="00CD3294"/>
    <w:rsid w:val="00CD4524"/>
    <w:rsid w:val="00CD55AF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1E57"/>
    <w:rsid w:val="00D2216D"/>
    <w:rsid w:val="00D2384B"/>
    <w:rsid w:val="00D31A6F"/>
    <w:rsid w:val="00D33293"/>
    <w:rsid w:val="00D353D1"/>
    <w:rsid w:val="00D36486"/>
    <w:rsid w:val="00D367DB"/>
    <w:rsid w:val="00D36E05"/>
    <w:rsid w:val="00D44F27"/>
    <w:rsid w:val="00D45304"/>
    <w:rsid w:val="00D461C7"/>
    <w:rsid w:val="00D50424"/>
    <w:rsid w:val="00D57D3E"/>
    <w:rsid w:val="00D62C52"/>
    <w:rsid w:val="00D843F4"/>
    <w:rsid w:val="00D9771B"/>
    <w:rsid w:val="00DA1EF1"/>
    <w:rsid w:val="00DA6CD2"/>
    <w:rsid w:val="00DC23CF"/>
    <w:rsid w:val="00DC6562"/>
    <w:rsid w:val="00DC6B6A"/>
    <w:rsid w:val="00DC7D09"/>
    <w:rsid w:val="00DE130D"/>
    <w:rsid w:val="00DE24CF"/>
    <w:rsid w:val="00DE407C"/>
    <w:rsid w:val="00DE7C7D"/>
    <w:rsid w:val="00DF2992"/>
    <w:rsid w:val="00DF2D0C"/>
    <w:rsid w:val="00DF2F99"/>
    <w:rsid w:val="00E01B9D"/>
    <w:rsid w:val="00E04F5E"/>
    <w:rsid w:val="00E0522E"/>
    <w:rsid w:val="00E120F4"/>
    <w:rsid w:val="00E155F9"/>
    <w:rsid w:val="00E17172"/>
    <w:rsid w:val="00E21A8D"/>
    <w:rsid w:val="00E3181C"/>
    <w:rsid w:val="00E3280A"/>
    <w:rsid w:val="00E372AF"/>
    <w:rsid w:val="00E37D68"/>
    <w:rsid w:val="00E40EAE"/>
    <w:rsid w:val="00E436AC"/>
    <w:rsid w:val="00E44FF8"/>
    <w:rsid w:val="00E451D4"/>
    <w:rsid w:val="00E5066A"/>
    <w:rsid w:val="00E52CF9"/>
    <w:rsid w:val="00E6029C"/>
    <w:rsid w:val="00E606F1"/>
    <w:rsid w:val="00E63309"/>
    <w:rsid w:val="00E63F34"/>
    <w:rsid w:val="00E6715A"/>
    <w:rsid w:val="00E75DC9"/>
    <w:rsid w:val="00E81610"/>
    <w:rsid w:val="00E831CB"/>
    <w:rsid w:val="00E84910"/>
    <w:rsid w:val="00E85B28"/>
    <w:rsid w:val="00E91019"/>
    <w:rsid w:val="00E91976"/>
    <w:rsid w:val="00E947A6"/>
    <w:rsid w:val="00E97FC7"/>
    <w:rsid w:val="00EA05B7"/>
    <w:rsid w:val="00EA0690"/>
    <w:rsid w:val="00EA3956"/>
    <w:rsid w:val="00EA5571"/>
    <w:rsid w:val="00EC02A5"/>
    <w:rsid w:val="00EC176B"/>
    <w:rsid w:val="00EC33CD"/>
    <w:rsid w:val="00EC5BE5"/>
    <w:rsid w:val="00ED2650"/>
    <w:rsid w:val="00ED45AC"/>
    <w:rsid w:val="00ED721A"/>
    <w:rsid w:val="00ED7DBB"/>
    <w:rsid w:val="00EE393D"/>
    <w:rsid w:val="00EE3E6A"/>
    <w:rsid w:val="00EF01CF"/>
    <w:rsid w:val="00EF3D7B"/>
    <w:rsid w:val="00EF6A66"/>
    <w:rsid w:val="00EF7AF9"/>
    <w:rsid w:val="00F01495"/>
    <w:rsid w:val="00F01EE6"/>
    <w:rsid w:val="00F058E6"/>
    <w:rsid w:val="00F10138"/>
    <w:rsid w:val="00F1112C"/>
    <w:rsid w:val="00F12E57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1637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87BB0"/>
    <w:rsid w:val="00F92EE4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3EF3"/>
    <w:rsid w:val="00FC5ED9"/>
    <w:rsid w:val="00FC6220"/>
    <w:rsid w:val="00FD2049"/>
    <w:rsid w:val="00FD2140"/>
    <w:rsid w:val="00FD5046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48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1B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48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Kyriak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ystatdb23px.cystat.gov.cy/pxweb/en/8.CYSTAT-DB/8.CYSTAT-DB__National%20Accounts__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ystat.gov.cy/en/SubthemeStatistics?s=4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30.emf"/><Relationship Id="rId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naappsrv\Sector%20Accounts\AFA\Publications\2025\CHARTS-31.10.2025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 i="0" u="none" strike="noStrike" kern="1200" spc="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Liabilities in Total Economy</a:t>
            </a:r>
            <a:r>
              <a:rPr lang="el-GR" sz="1100" b="1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 </a:t>
            </a:r>
            <a:endParaRPr lang="en-US" sz="11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2181137328069638E-2"/>
          <c:y val="0.11997795649209329"/>
          <c:w val="0.35190297308327512"/>
          <c:h val="0.80023500621141219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61-4E2C-B5BA-B92D7A348C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61-4E2C-B5BA-B92D7A348C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61-4E2C-B5BA-B92D7A348C83}"/>
              </c:ext>
            </c:extLst>
          </c:dPt>
          <c:dPt>
            <c:idx val="3"/>
            <c:bubble3D val="0"/>
            <c:spPr>
              <a:solidFill>
                <a:srgbClr val="70AD47">
                  <a:lumMod val="75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61-4E2C-B5BA-B92D7A348C8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761-4E2C-B5BA-B92D7A348C83}"/>
              </c:ext>
            </c:extLst>
          </c:dPt>
          <c:dPt>
            <c:idx val="5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761-4E2C-B5BA-B92D7A348C83}"/>
              </c:ext>
            </c:extLst>
          </c:dPt>
          <c:dLbls>
            <c:dLbl>
              <c:idx val="5"/>
              <c:layout>
                <c:manualLayout>
                  <c:x val="-3.825376846205746E-17"/>
                  <c:y val="-0.1170323928944618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61-4E2C-B5BA-B92D7A348C8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('2024 - Αποθέματα (EN)'!$C$46,'2024 - Αποθέματα (EN)'!$C$47,'2024 - Αποθέματα (EN)'!$C$48,'2024 - Αποθέματα (EN)'!$C$49,'2024 - Αποθέματα (EN)'!$C$52,'2024 - Αποθέματα (EN)'!$C$53)</c:f>
              <c:strCache>
                <c:ptCount val="6"/>
                <c:pt idx="0">
                  <c:v>AF2: Currency and deposits</c:v>
                </c:pt>
                <c:pt idx="1">
                  <c:v>AF3: Debt Securities</c:v>
                </c:pt>
                <c:pt idx="2">
                  <c:v>AF4: Loans</c:v>
                </c:pt>
                <c:pt idx="3">
                  <c:v>AF5: Equity and investment fund shares or units</c:v>
                </c:pt>
                <c:pt idx="4">
                  <c:v>AF8: Other accounts receivable/ payable</c:v>
                </c:pt>
                <c:pt idx="5">
                  <c:v>Other (AF1+AF6+AF7)</c:v>
                </c:pt>
              </c:strCache>
            </c:strRef>
          </c:cat>
          <c:val>
            <c:numRef>
              <c:f>('2024 - Αποθέματα (EN)'!$D$46,'2024 - Αποθέματα (EN)'!$D$47,'2024 - Αποθέματα (EN)'!$D$48,'2024 - Αποθέματα (EN)'!$D$49,'2024 - Αποθέματα (EN)'!$D$52,'2024 - Αποθέματα (EN)'!$D$53)</c:f>
              <c:numCache>
                <c:formatCode>0.0%</c:formatCode>
                <c:ptCount val="6"/>
                <c:pt idx="0">
                  <c:v>0.12080599786643251</c:v>
                </c:pt>
                <c:pt idx="1">
                  <c:v>3.146102220128081E-2</c:v>
                </c:pt>
                <c:pt idx="2">
                  <c:v>0.24996999371300888</c:v>
                </c:pt>
                <c:pt idx="3">
                  <c:v>0.50751050153341148</c:v>
                </c:pt>
                <c:pt idx="4">
                  <c:v>7.7293688448620682E-2</c:v>
                </c:pt>
                <c:pt idx="5">
                  <c:v>1.2958797450037439E-2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761-4E2C-B5BA-B92D7A348C8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073346875926229"/>
          <c:y val="0.14785963142507541"/>
          <c:w val="0.47674697148234874"/>
          <c:h val="0.810425458383538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558ED5">
          <a:alpha val="50196"/>
        </a:srgb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94DD-3EBF-4C7F-84AF-6EFBA50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5</cp:revision>
  <cp:lastPrinted>2023-10-20T09:07:00Z</cp:lastPrinted>
  <dcterms:created xsi:type="dcterms:W3CDTF">2025-10-21T07:50:00Z</dcterms:created>
  <dcterms:modified xsi:type="dcterms:W3CDTF">2025-10-31T11:00:00Z</dcterms:modified>
</cp:coreProperties>
</file>