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A6731" w14:textId="77777777" w:rsidR="007437AB" w:rsidRDefault="007437AB" w:rsidP="006F1E66">
      <w:pPr>
        <w:jc w:val="both"/>
        <w:rPr>
          <w:rFonts w:ascii="Verdana" w:hAnsi="Verdana" w:cs="Arial"/>
          <w:sz w:val="18"/>
          <w:szCs w:val="18"/>
          <w:lang w:val="el-GR"/>
        </w:rPr>
      </w:pPr>
    </w:p>
    <w:p w14:paraId="40D581BE" w14:textId="77777777" w:rsidR="004045C2" w:rsidRDefault="004045C2" w:rsidP="006F1E66">
      <w:pPr>
        <w:jc w:val="both"/>
        <w:rPr>
          <w:rFonts w:ascii="Verdana" w:hAnsi="Verdana" w:cs="Arial"/>
          <w:sz w:val="18"/>
          <w:szCs w:val="18"/>
          <w:lang w:val="el-GR"/>
        </w:rPr>
      </w:pPr>
    </w:p>
    <w:p w14:paraId="59DF1FAD" w14:textId="7BF94B99" w:rsidR="006F21EB" w:rsidRPr="006F21EB" w:rsidRDefault="009C201E" w:rsidP="00E32EC5">
      <w:pPr>
        <w:jc w:val="right"/>
        <w:rPr>
          <w:rFonts w:ascii="Verdana" w:hAnsi="Verdana" w:cs="Arial"/>
          <w:sz w:val="18"/>
          <w:szCs w:val="18"/>
        </w:rPr>
      </w:pPr>
      <w:r w:rsidRPr="00510388">
        <w:rPr>
          <w:rFonts w:ascii="Verdana" w:hAnsi="Verdana" w:cs="Arial"/>
          <w:sz w:val="18"/>
          <w:szCs w:val="18"/>
        </w:rPr>
        <w:t>22</w:t>
      </w:r>
      <w:r w:rsidR="006F21EB" w:rsidRPr="006F21EB">
        <w:rPr>
          <w:rFonts w:ascii="Verdana" w:hAnsi="Verdana" w:cs="Arial"/>
          <w:sz w:val="18"/>
          <w:szCs w:val="18"/>
        </w:rPr>
        <w:t xml:space="preserve"> </w:t>
      </w:r>
      <w:r>
        <w:rPr>
          <w:rFonts w:ascii="Verdana" w:hAnsi="Verdana" w:cs="Arial"/>
          <w:sz w:val="18"/>
          <w:szCs w:val="18"/>
        </w:rPr>
        <w:t>April</w:t>
      </w:r>
      <w:r w:rsidR="006F21EB" w:rsidRPr="006F21EB">
        <w:rPr>
          <w:rFonts w:ascii="Verdana" w:hAnsi="Verdana" w:cs="Arial"/>
          <w:sz w:val="18"/>
          <w:szCs w:val="18"/>
        </w:rPr>
        <w:t>, 202</w:t>
      </w:r>
      <w:r>
        <w:rPr>
          <w:rFonts w:ascii="Verdana" w:hAnsi="Verdana" w:cs="Arial"/>
          <w:sz w:val="18"/>
          <w:szCs w:val="18"/>
        </w:rPr>
        <w:t>4</w:t>
      </w:r>
    </w:p>
    <w:p w14:paraId="5FCF1EE4" w14:textId="77777777" w:rsidR="006F21EB" w:rsidRDefault="006F21EB" w:rsidP="006F21EB">
      <w:pPr>
        <w:jc w:val="both"/>
        <w:rPr>
          <w:rFonts w:ascii="Verdana" w:hAnsi="Verdana" w:cs="Arial"/>
          <w:sz w:val="18"/>
          <w:szCs w:val="18"/>
        </w:rPr>
      </w:pPr>
    </w:p>
    <w:p w14:paraId="27E0F203" w14:textId="77777777" w:rsidR="004045C2" w:rsidRDefault="004045C2" w:rsidP="006F21EB">
      <w:pPr>
        <w:jc w:val="both"/>
        <w:rPr>
          <w:rFonts w:ascii="Verdana" w:hAnsi="Verdana" w:cs="Arial"/>
          <w:sz w:val="18"/>
          <w:szCs w:val="18"/>
        </w:rPr>
      </w:pPr>
    </w:p>
    <w:p w14:paraId="7BB1271E" w14:textId="77777777" w:rsidR="004045C2" w:rsidRPr="006F21EB" w:rsidRDefault="004045C2" w:rsidP="006F21EB">
      <w:pPr>
        <w:jc w:val="both"/>
        <w:rPr>
          <w:rFonts w:ascii="Verdana" w:hAnsi="Verdana" w:cs="Arial"/>
          <w:sz w:val="18"/>
          <w:szCs w:val="18"/>
        </w:rPr>
      </w:pPr>
    </w:p>
    <w:p w14:paraId="5636956B" w14:textId="77777777" w:rsidR="006F21EB" w:rsidRPr="00E32EC5" w:rsidRDefault="006F21EB" w:rsidP="00A13B2F">
      <w:pPr>
        <w:jc w:val="center"/>
        <w:rPr>
          <w:rFonts w:ascii="Verdana" w:hAnsi="Verdana" w:cs="Arial"/>
          <w:b/>
          <w:bCs/>
          <w:sz w:val="24"/>
          <w:szCs w:val="24"/>
        </w:rPr>
      </w:pPr>
      <w:r w:rsidRPr="00E32EC5">
        <w:rPr>
          <w:rFonts w:ascii="Verdana" w:hAnsi="Verdana" w:cs="Arial"/>
          <w:b/>
          <w:bCs/>
          <w:sz w:val="24"/>
          <w:szCs w:val="24"/>
        </w:rPr>
        <w:t>PRESS RELEASE</w:t>
      </w:r>
    </w:p>
    <w:p w14:paraId="070F1CE4" w14:textId="77777777" w:rsidR="006F21EB" w:rsidRDefault="006F21EB" w:rsidP="006F21EB">
      <w:pPr>
        <w:jc w:val="both"/>
        <w:rPr>
          <w:rFonts w:ascii="Verdana" w:hAnsi="Verdana" w:cs="Arial"/>
          <w:sz w:val="18"/>
          <w:szCs w:val="18"/>
        </w:rPr>
      </w:pPr>
    </w:p>
    <w:p w14:paraId="69D40355" w14:textId="77777777" w:rsidR="00A13B2F" w:rsidRPr="006F21EB" w:rsidRDefault="00A13B2F" w:rsidP="006F21EB">
      <w:pPr>
        <w:jc w:val="both"/>
        <w:rPr>
          <w:rFonts w:ascii="Verdana" w:hAnsi="Verdana" w:cs="Arial"/>
          <w:sz w:val="18"/>
          <w:szCs w:val="18"/>
        </w:rPr>
      </w:pPr>
    </w:p>
    <w:p w14:paraId="0590D00A" w14:textId="2CEE8CB2" w:rsidR="006F21EB" w:rsidRPr="009C201E" w:rsidRDefault="00D87950" w:rsidP="00D87950">
      <w:pPr>
        <w:jc w:val="both"/>
        <w:rPr>
          <w:rFonts w:ascii="Verdana" w:hAnsi="Verdana" w:cs="Arial"/>
          <w:u w:val="single"/>
        </w:rPr>
      </w:pPr>
      <w:r>
        <w:rPr>
          <w:rFonts w:ascii="Verdana" w:hAnsi="Verdana" w:cs="Arial"/>
          <w:u w:val="single"/>
        </w:rPr>
        <w:t xml:space="preserve">EXCESSIVE DEFICIT PROCEDURE AND ANNUAL </w:t>
      </w:r>
      <w:r w:rsidR="006F21EB" w:rsidRPr="00A13B2F">
        <w:rPr>
          <w:rFonts w:ascii="Verdana" w:hAnsi="Verdana" w:cs="Arial"/>
          <w:u w:val="single"/>
        </w:rPr>
        <w:t>ACCOUNTS OF GENERAL GOVERNMENT</w:t>
      </w:r>
      <w:r w:rsidR="00A13B2F">
        <w:rPr>
          <w:rFonts w:ascii="Verdana" w:hAnsi="Verdana" w:cs="Arial"/>
          <w:u w:val="single"/>
        </w:rPr>
        <w:t xml:space="preserve">: </w:t>
      </w:r>
      <w:r>
        <w:rPr>
          <w:rFonts w:ascii="Verdana" w:hAnsi="Verdana" w:cs="Arial"/>
          <w:b/>
          <w:bCs/>
          <w:u w:val="single"/>
        </w:rPr>
        <w:t>202</w:t>
      </w:r>
      <w:r w:rsidR="009C201E" w:rsidRPr="009C201E">
        <w:rPr>
          <w:rFonts w:ascii="Verdana" w:hAnsi="Verdana" w:cs="Arial"/>
          <w:b/>
          <w:bCs/>
          <w:u w:val="single"/>
        </w:rPr>
        <w:t>3</w:t>
      </w:r>
    </w:p>
    <w:p w14:paraId="1F89C249" w14:textId="77777777" w:rsidR="006F21EB" w:rsidRDefault="006F21EB" w:rsidP="00D87950">
      <w:pPr>
        <w:jc w:val="both"/>
        <w:rPr>
          <w:rFonts w:ascii="Verdana" w:hAnsi="Verdana" w:cs="Arial"/>
          <w:sz w:val="18"/>
          <w:szCs w:val="18"/>
        </w:rPr>
      </w:pPr>
    </w:p>
    <w:p w14:paraId="02EF3C45" w14:textId="77777777" w:rsidR="004045C2" w:rsidRDefault="004045C2" w:rsidP="00D87950">
      <w:pPr>
        <w:jc w:val="both"/>
        <w:rPr>
          <w:rFonts w:ascii="Verdana" w:hAnsi="Verdana" w:cs="Arial"/>
          <w:sz w:val="18"/>
          <w:szCs w:val="18"/>
        </w:rPr>
      </w:pPr>
    </w:p>
    <w:p w14:paraId="2EE7DD10" w14:textId="1ECBDFCF" w:rsidR="00A13B2F" w:rsidRPr="00510388" w:rsidRDefault="00D87950" w:rsidP="00A13B2F">
      <w:pPr>
        <w:jc w:val="center"/>
        <w:rPr>
          <w:rFonts w:ascii="Verdana" w:hAnsi="Verdana" w:cs="Arial"/>
          <w:b/>
          <w:bCs/>
        </w:rPr>
      </w:pPr>
      <w:r w:rsidRPr="00510388">
        <w:rPr>
          <w:rFonts w:ascii="Verdana" w:hAnsi="Verdana" w:cs="Arial"/>
          <w:b/>
          <w:bCs/>
        </w:rPr>
        <w:t>Surplus</w:t>
      </w:r>
      <w:r w:rsidR="00773A72" w:rsidRPr="00510388">
        <w:rPr>
          <w:rFonts w:ascii="Verdana" w:hAnsi="Verdana" w:cs="Arial"/>
          <w:b/>
          <w:bCs/>
        </w:rPr>
        <w:t xml:space="preserve"> €</w:t>
      </w:r>
      <w:r w:rsidR="00510388" w:rsidRPr="00EA2FCF">
        <w:rPr>
          <w:rFonts w:ascii="Verdana" w:hAnsi="Verdana" w:cs="Arial"/>
          <w:b/>
          <w:bCs/>
        </w:rPr>
        <w:t>918</w:t>
      </w:r>
      <w:r w:rsidR="00773A72" w:rsidRPr="00510388">
        <w:rPr>
          <w:rFonts w:ascii="Verdana" w:hAnsi="Verdana" w:cs="Arial"/>
          <w:b/>
          <w:bCs/>
        </w:rPr>
        <w:t>,</w:t>
      </w:r>
      <w:r w:rsidR="00510388" w:rsidRPr="00EA2FCF">
        <w:rPr>
          <w:rFonts w:ascii="Verdana" w:hAnsi="Verdana" w:cs="Arial"/>
          <w:b/>
          <w:bCs/>
        </w:rPr>
        <w:t>7</w:t>
      </w:r>
      <w:r w:rsidR="00773A72" w:rsidRPr="00510388">
        <w:rPr>
          <w:rFonts w:ascii="Verdana" w:hAnsi="Verdana" w:cs="Arial"/>
          <w:b/>
          <w:bCs/>
        </w:rPr>
        <w:t xml:space="preserve"> </w:t>
      </w:r>
      <w:proofErr w:type="spellStart"/>
      <w:r w:rsidR="00A13B2F" w:rsidRPr="00510388">
        <w:rPr>
          <w:rFonts w:ascii="Verdana" w:hAnsi="Verdana" w:cs="Arial"/>
          <w:b/>
          <w:bCs/>
        </w:rPr>
        <w:t>mn</w:t>
      </w:r>
      <w:proofErr w:type="spellEnd"/>
    </w:p>
    <w:p w14:paraId="101878EC" w14:textId="77777777" w:rsidR="006F21EB" w:rsidRPr="00510388" w:rsidRDefault="006F21EB" w:rsidP="006F21EB">
      <w:pPr>
        <w:jc w:val="both"/>
        <w:rPr>
          <w:rFonts w:ascii="Verdana" w:hAnsi="Verdana" w:cs="Arial"/>
          <w:sz w:val="18"/>
          <w:szCs w:val="18"/>
        </w:rPr>
      </w:pPr>
    </w:p>
    <w:p w14:paraId="04323F3B" w14:textId="25A61F94" w:rsidR="00D87950" w:rsidRPr="00510388" w:rsidRDefault="00D87950" w:rsidP="00D87950">
      <w:pPr>
        <w:rPr>
          <w:rFonts w:ascii="Verdana" w:hAnsi="Verdana" w:cs="Arial"/>
          <w:sz w:val="18"/>
          <w:szCs w:val="18"/>
        </w:rPr>
      </w:pPr>
      <w:r w:rsidRPr="00510388">
        <w:rPr>
          <w:rFonts w:ascii="Verdana" w:hAnsi="Verdana" w:cs="Arial"/>
          <w:sz w:val="18"/>
          <w:szCs w:val="18"/>
        </w:rPr>
        <w:t>The Statistical Service announces the fiscal results for 202</w:t>
      </w:r>
      <w:r w:rsidR="009C201E" w:rsidRPr="00510388">
        <w:rPr>
          <w:rFonts w:ascii="Verdana" w:hAnsi="Verdana" w:cs="Arial"/>
          <w:sz w:val="18"/>
          <w:szCs w:val="18"/>
        </w:rPr>
        <w:t>3</w:t>
      </w:r>
      <w:r w:rsidRPr="00510388">
        <w:rPr>
          <w:rFonts w:ascii="Verdana" w:hAnsi="Verdana" w:cs="Arial"/>
          <w:sz w:val="18"/>
          <w:szCs w:val="18"/>
        </w:rPr>
        <w:t>, which have been audited and verified within the Excessive Deficit Procedure framework of the European Commission.</w:t>
      </w:r>
    </w:p>
    <w:p w14:paraId="16B06273" w14:textId="77777777" w:rsidR="00D87950" w:rsidRPr="00510388" w:rsidRDefault="00D87950" w:rsidP="00D87950">
      <w:pPr>
        <w:rPr>
          <w:rFonts w:ascii="Verdana" w:hAnsi="Verdana" w:cs="Arial"/>
          <w:sz w:val="18"/>
          <w:szCs w:val="18"/>
        </w:rPr>
      </w:pPr>
    </w:p>
    <w:p w14:paraId="07BD891B" w14:textId="139C2D6F" w:rsidR="00D87950" w:rsidRPr="00D87950" w:rsidRDefault="00D87950" w:rsidP="00D87950">
      <w:pPr>
        <w:rPr>
          <w:rFonts w:ascii="Verdana" w:hAnsi="Verdana" w:cs="Arial"/>
          <w:sz w:val="18"/>
          <w:szCs w:val="18"/>
        </w:rPr>
      </w:pPr>
      <w:r w:rsidRPr="00510388">
        <w:rPr>
          <w:rFonts w:ascii="Verdana" w:hAnsi="Verdana" w:cs="Arial"/>
          <w:sz w:val="18"/>
          <w:szCs w:val="18"/>
        </w:rPr>
        <w:t>The results for 202</w:t>
      </w:r>
      <w:r w:rsidR="009C201E" w:rsidRPr="00510388">
        <w:rPr>
          <w:rFonts w:ascii="Verdana" w:hAnsi="Verdana" w:cs="Arial"/>
          <w:sz w:val="18"/>
          <w:szCs w:val="18"/>
        </w:rPr>
        <w:t>3</w:t>
      </w:r>
      <w:r w:rsidRPr="00510388">
        <w:rPr>
          <w:rFonts w:ascii="Verdana" w:hAnsi="Verdana" w:cs="Arial"/>
          <w:sz w:val="18"/>
          <w:szCs w:val="18"/>
        </w:rPr>
        <w:t xml:space="preserve"> indicate a fiscal surplus of €</w:t>
      </w:r>
      <w:r w:rsidR="00510388" w:rsidRPr="00510388">
        <w:rPr>
          <w:rFonts w:ascii="Verdana" w:hAnsi="Verdana" w:cs="Arial"/>
          <w:sz w:val="18"/>
          <w:szCs w:val="18"/>
        </w:rPr>
        <w:t>918</w:t>
      </w:r>
      <w:r w:rsidRPr="00510388">
        <w:rPr>
          <w:rFonts w:ascii="Verdana" w:hAnsi="Verdana" w:cs="Arial"/>
          <w:sz w:val="18"/>
          <w:szCs w:val="18"/>
        </w:rPr>
        <w:t>,</w:t>
      </w:r>
      <w:r w:rsidR="00510388" w:rsidRPr="00510388">
        <w:rPr>
          <w:rFonts w:ascii="Verdana" w:hAnsi="Verdana" w:cs="Arial"/>
          <w:sz w:val="18"/>
          <w:szCs w:val="18"/>
        </w:rPr>
        <w:t>7</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xml:space="preserve">, which corresponds to </w:t>
      </w:r>
      <w:r w:rsidR="00510388" w:rsidRPr="00510388">
        <w:rPr>
          <w:rFonts w:ascii="Verdana" w:hAnsi="Verdana" w:cs="Arial"/>
          <w:sz w:val="18"/>
          <w:szCs w:val="18"/>
        </w:rPr>
        <w:t>3</w:t>
      </w:r>
      <w:r w:rsidRPr="00510388">
        <w:rPr>
          <w:rFonts w:ascii="Verdana" w:hAnsi="Verdana" w:cs="Arial"/>
          <w:sz w:val="18"/>
          <w:szCs w:val="18"/>
        </w:rPr>
        <w:t>,</w:t>
      </w:r>
      <w:r w:rsidR="00510388" w:rsidRPr="00510388">
        <w:rPr>
          <w:rFonts w:ascii="Verdana" w:hAnsi="Verdana" w:cs="Arial"/>
          <w:sz w:val="18"/>
          <w:szCs w:val="18"/>
        </w:rPr>
        <w:t>1</w:t>
      </w:r>
      <w:r w:rsidRPr="00510388">
        <w:rPr>
          <w:rFonts w:ascii="Verdana" w:hAnsi="Verdana" w:cs="Arial"/>
          <w:sz w:val="18"/>
          <w:szCs w:val="18"/>
        </w:rPr>
        <w:t>% of GDP and a fiscal debt of €23.</w:t>
      </w:r>
      <w:r w:rsidR="00510388" w:rsidRPr="00510388">
        <w:rPr>
          <w:rFonts w:ascii="Verdana" w:hAnsi="Verdana" w:cs="Arial"/>
          <w:sz w:val="18"/>
          <w:szCs w:val="18"/>
        </w:rPr>
        <w:t>036</w:t>
      </w:r>
      <w:r w:rsidRPr="00510388">
        <w:rPr>
          <w:rFonts w:ascii="Verdana" w:hAnsi="Verdana" w:cs="Arial"/>
          <w:sz w:val="18"/>
          <w:szCs w:val="18"/>
        </w:rPr>
        <w:t>,</w:t>
      </w:r>
      <w:r w:rsidR="00510388" w:rsidRPr="00510388">
        <w:rPr>
          <w:rFonts w:ascii="Verdana" w:hAnsi="Verdana" w:cs="Arial"/>
          <w:sz w:val="18"/>
          <w:szCs w:val="18"/>
        </w:rPr>
        <w:t>4</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xml:space="preserve">, which corresponds to </w:t>
      </w:r>
      <w:r w:rsidR="00510388" w:rsidRPr="00510388">
        <w:rPr>
          <w:rFonts w:ascii="Verdana" w:hAnsi="Verdana" w:cs="Arial"/>
          <w:sz w:val="18"/>
          <w:szCs w:val="18"/>
        </w:rPr>
        <w:t>77</w:t>
      </w:r>
      <w:r w:rsidRPr="00510388">
        <w:rPr>
          <w:rFonts w:ascii="Verdana" w:hAnsi="Verdana" w:cs="Arial"/>
          <w:sz w:val="18"/>
          <w:szCs w:val="18"/>
        </w:rPr>
        <w:t>,</w:t>
      </w:r>
      <w:r w:rsidR="00510388" w:rsidRPr="00510388">
        <w:rPr>
          <w:rFonts w:ascii="Verdana" w:hAnsi="Verdana" w:cs="Arial"/>
          <w:sz w:val="18"/>
          <w:szCs w:val="18"/>
        </w:rPr>
        <w:t>3</w:t>
      </w:r>
      <w:r w:rsidRPr="00510388">
        <w:rPr>
          <w:rFonts w:ascii="Verdana" w:hAnsi="Verdana" w:cs="Arial"/>
          <w:sz w:val="18"/>
          <w:szCs w:val="18"/>
        </w:rPr>
        <w:t>% of GDP.</w:t>
      </w:r>
    </w:p>
    <w:p w14:paraId="5B43BE40" w14:textId="77777777" w:rsidR="006F21EB" w:rsidRDefault="006F21EB" w:rsidP="006F21EB">
      <w:pPr>
        <w:jc w:val="both"/>
        <w:rPr>
          <w:rFonts w:ascii="Verdana" w:hAnsi="Verdana" w:cs="Arial"/>
          <w:sz w:val="18"/>
          <w:szCs w:val="18"/>
        </w:rPr>
      </w:pPr>
    </w:p>
    <w:p w14:paraId="50E690B7" w14:textId="77777777" w:rsidR="004045C2" w:rsidRDefault="004045C2" w:rsidP="006F21EB">
      <w:pPr>
        <w:jc w:val="both"/>
        <w:rPr>
          <w:rFonts w:ascii="Verdana" w:hAnsi="Verdana" w:cs="Arial"/>
          <w:sz w:val="18"/>
          <w:szCs w:val="18"/>
        </w:rPr>
      </w:pPr>
    </w:p>
    <w:p w14:paraId="384A92CC" w14:textId="3EFB5C1B" w:rsidR="004045C2" w:rsidRDefault="00510388" w:rsidP="004045C2">
      <w:pPr>
        <w:jc w:val="center"/>
        <w:rPr>
          <w:rFonts w:ascii="Verdana" w:hAnsi="Verdana" w:cs="Arial"/>
          <w:sz w:val="18"/>
          <w:szCs w:val="18"/>
        </w:rPr>
      </w:pPr>
      <w:r>
        <w:rPr>
          <w:rFonts w:ascii="Verdana" w:hAnsi="Verdana" w:cs="Arial"/>
          <w:noProof/>
          <w:sz w:val="18"/>
          <w:szCs w:val="18"/>
        </w:rPr>
        <w:drawing>
          <wp:inline distT="0" distB="0" distL="0" distR="0" wp14:anchorId="2CBDF578" wp14:editId="0A88D90C">
            <wp:extent cx="6102350" cy="4547870"/>
            <wp:effectExtent l="0" t="0" r="0" b="5080"/>
            <wp:docPr id="897096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547870"/>
                    </a:xfrm>
                    <a:prstGeom prst="rect">
                      <a:avLst/>
                    </a:prstGeom>
                    <a:noFill/>
                  </pic:spPr>
                </pic:pic>
              </a:graphicData>
            </a:graphic>
          </wp:inline>
        </w:drawing>
      </w:r>
    </w:p>
    <w:p w14:paraId="1FEE7F8B" w14:textId="77777777" w:rsidR="006F21EB" w:rsidRDefault="006F21EB" w:rsidP="006F21EB">
      <w:pPr>
        <w:jc w:val="both"/>
        <w:rPr>
          <w:rFonts w:ascii="Verdana" w:hAnsi="Verdana" w:cs="Arial"/>
          <w:sz w:val="18"/>
          <w:szCs w:val="18"/>
        </w:rPr>
      </w:pPr>
    </w:p>
    <w:p w14:paraId="1B9FAC66" w14:textId="77777777" w:rsidR="00A13B2F" w:rsidRDefault="00A13B2F" w:rsidP="006F21EB">
      <w:pPr>
        <w:jc w:val="both"/>
        <w:rPr>
          <w:rFonts w:ascii="Verdana" w:hAnsi="Verdana" w:cs="Arial"/>
          <w:sz w:val="18"/>
          <w:szCs w:val="18"/>
        </w:rPr>
      </w:pPr>
    </w:p>
    <w:p w14:paraId="1D090EFF" w14:textId="77777777" w:rsidR="006F21EB" w:rsidRPr="00A13B2F" w:rsidRDefault="006F21EB" w:rsidP="006F21EB">
      <w:pPr>
        <w:jc w:val="both"/>
        <w:rPr>
          <w:rFonts w:ascii="Verdana" w:hAnsi="Verdana" w:cs="Arial"/>
          <w:b/>
          <w:bCs/>
          <w:sz w:val="18"/>
          <w:szCs w:val="18"/>
          <w:u w:val="single"/>
        </w:rPr>
      </w:pPr>
      <w:r w:rsidRPr="00A13B2F">
        <w:rPr>
          <w:rFonts w:ascii="Verdana" w:hAnsi="Verdana" w:cs="Arial"/>
          <w:b/>
          <w:bCs/>
          <w:sz w:val="18"/>
          <w:szCs w:val="18"/>
          <w:u w:val="single"/>
        </w:rPr>
        <w:lastRenderedPageBreak/>
        <w:t>R</w:t>
      </w:r>
      <w:r w:rsidR="00A13B2F" w:rsidRPr="00A13B2F">
        <w:rPr>
          <w:rFonts w:ascii="Verdana" w:hAnsi="Verdana" w:cs="Arial"/>
          <w:b/>
          <w:bCs/>
          <w:sz w:val="18"/>
          <w:szCs w:val="18"/>
          <w:u w:val="single"/>
        </w:rPr>
        <w:t>evenue</w:t>
      </w:r>
    </w:p>
    <w:p w14:paraId="7F9110E5" w14:textId="77777777" w:rsidR="00A13B2F" w:rsidRPr="006F21EB" w:rsidRDefault="00A13B2F" w:rsidP="006F21EB">
      <w:pPr>
        <w:jc w:val="both"/>
        <w:rPr>
          <w:rFonts w:ascii="Verdana" w:hAnsi="Verdana" w:cs="Arial"/>
          <w:sz w:val="18"/>
          <w:szCs w:val="18"/>
        </w:rPr>
      </w:pPr>
    </w:p>
    <w:p w14:paraId="7B420D3C" w14:textId="48CACB98" w:rsidR="009206B5" w:rsidRPr="00510388" w:rsidRDefault="00D87950" w:rsidP="009206B5">
      <w:pPr>
        <w:jc w:val="both"/>
        <w:rPr>
          <w:rFonts w:ascii="Verdana" w:hAnsi="Verdana" w:cs="Arial"/>
          <w:sz w:val="18"/>
          <w:szCs w:val="18"/>
        </w:rPr>
      </w:pPr>
      <w:r w:rsidRPr="00510388">
        <w:rPr>
          <w:rFonts w:ascii="Verdana" w:hAnsi="Verdana" w:cs="Arial"/>
          <w:sz w:val="18"/>
          <w:szCs w:val="18"/>
        </w:rPr>
        <w:t>In 202</w:t>
      </w:r>
      <w:r w:rsidR="009C201E" w:rsidRPr="00510388">
        <w:rPr>
          <w:rFonts w:ascii="Verdana" w:hAnsi="Verdana" w:cs="Arial"/>
          <w:sz w:val="18"/>
          <w:szCs w:val="18"/>
        </w:rPr>
        <w:t>3</w:t>
      </w:r>
      <w:r w:rsidR="009206B5" w:rsidRPr="00510388">
        <w:rPr>
          <w:rFonts w:ascii="Verdana" w:hAnsi="Verdana" w:cs="Arial"/>
          <w:sz w:val="18"/>
          <w:szCs w:val="18"/>
        </w:rPr>
        <w:t>, total revenue increased by €</w:t>
      </w:r>
      <w:r w:rsidRPr="00510388">
        <w:rPr>
          <w:rFonts w:ascii="Verdana" w:hAnsi="Verdana" w:cs="Arial"/>
          <w:sz w:val="18"/>
          <w:szCs w:val="18"/>
        </w:rPr>
        <w:t>1.</w:t>
      </w:r>
      <w:r w:rsidR="00510388" w:rsidRPr="00510388">
        <w:rPr>
          <w:rFonts w:ascii="Verdana" w:hAnsi="Verdana" w:cs="Arial"/>
          <w:sz w:val="18"/>
          <w:szCs w:val="18"/>
        </w:rPr>
        <w:t>374</w:t>
      </w:r>
      <w:r w:rsidR="009206B5" w:rsidRPr="00510388">
        <w:rPr>
          <w:rFonts w:ascii="Verdana" w:hAnsi="Verdana" w:cs="Arial"/>
          <w:sz w:val="18"/>
          <w:szCs w:val="18"/>
        </w:rPr>
        <w:t>,</w:t>
      </w:r>
      <w:r w:rsidR="00510388" w:rsidRPr="00510388">
        <w:rPr>
          <w:rFonts w:ascii="Verdana" w:hAnsi="Verdana" w:cs="Arial"/>
          <w:sz w:val="18"/>
          <w:szCs w:val="18"/>
        </w:rPr>
        <w:t>0</w:t>
      </w:r>
      <w:r w:rsidR="009206B5" w:rsidRPr="00510388">
        <w:rPr>
          <w:rFonts w:ascii="Verdana" w:hAnsi="Verdana" w:cs="Arial"/>
          <w:sz w:val="18"/>
          <w:szCs w:val="18"/>
        </w:rPr>
        <w:t xml:space="preserve"> </w:t>
      </w:r>
      <w:proofErr w:type="spellStart"/>
      <w:r w:rsidR="009206B5" w:rsidRPr="00510388">
        <w:rPr>
          <w:rFonts w:ascii="Verdana" w:hAnsi="Verdana" w:cs="Arial"/>
          <w:sz w:val="18"/>
          <w:szCs w:val="18"/>
        </w:rPr>
        <w:t>mn</w:t>
      </w:r>
      <w:proofErr w:type="spellEnd"/>
      <w:r w:rsidR="009206B5" w:rsidRPr="00510388">
        <w:rPr>
          <w:rFonts w:ascii="Verdana" w:hAnsi="Verdana" w:cs="Arial"/>
          <w:sz w:val="18"/>
          <w:szCs w:val="18"/>
        </w:rPr>
        <w:t xml:space="preserve"> (+</w:t>
      </w:r>
      <w:r w:rsidR="00B77F52" w:rsidRPr="00510388">
        <w:rPr>
          <w:rFonts w:ascii="Verdana" w:hAnsi="Verdana" w:cs="Arial"/>
          <w:sz w:val="18"/>
          <w:szCs w:val="18"/>
        </w:rPr>
        <w:t>1</w:t>
      </w:r>
      <w:r w:rsidR="00510388" w:rsidRPr="00510388">
        <w:rPr>
          <w:rFonts w:ascii="Verdana" w:hAnsi="Verdana" w:cs="Arial"/>
          <w:sz w:val="18"/>
          <w:szCs w:val="18"/>
        </w:rPr>
        <w:t>1</w:t>
      </w:r>
      <w:r w:rsidR="00B77F52" w:rsidRPr="00510388">
        <w:rPr>
          <w:rFonts w:ascii="Verdana" w:hAnsi="Verdana" w:cs="Arial"/>
          <w:sz w:val="18"/>
          <w:szCs w:val="18"/>
        </w:rPr>
        <w:t>,</w:t>
      </w:r>
      <w:r w:rsidR="00510388" w:rsidRPr="00510388">
        <w:rPr>
          <w:rFonts w:ascii="Verdana" w:hAnsi="Verdana" w:cs="Arial"/>
          <w:sz w:val="18"/>
          <w:szCs w:val="18"/>
        </w:rPr>
        <w:t>9</w:t>
      </w:r>
      <w:r w:rsidR="009206B5" w:rsidRPr="00510388">
        <w:rPr>
          <w:rFonts w:ascii="Verdana" w:hAnsi="Verdana" w:cs="Arial"/>
          <w:sz w:val="18"/>
          <w:szCs w:val="18"/>
        </w:rPr>
        <w:t>%) and amounted to €</w:t>
      </w:r>
      <w:r w:rsidRPr="00510388">
        <w:rPr>
          <w:rFonts w:ascii="Verdana" w:hAnsi="Verdana" w:cs="Arial"/>
          <w:sz w:val="18"/>
          <w:szCs w:val="18"/>
        </w:rPr>
        <w:t>1</w:t>
      </w:r>
      <w:r w:rsidR="00510388" w:rsidRPr="00510388">
        <w:rPr>
          <w:rFonts w:ascii="Verdana" w:hAnsi="Verdana" w:cs="Arial"/>
          <w:sz w:val="18"/>
          <w:szCs w:val="18"/>
        </w:rPr>
        <w:t>2</w:t>
      </w:r>
      <w:r w:rsidR="009206B5" w:rsidRPr="00510388">
        <w:rPr>
          <w:rFonts w:ascii="Verdana" w:hAnsi="Verdana" w:cs="Arial"/>
          <w:sz w:val="18"/>
          <w:szCs w:val="18"/>
        </w:rPr>
        <w:t>.</w:t>
      </w:r>
      <w:r w:rsidR="00510388" w:rsidRPr="00510388">
        <w:rPr>
          <w:rFonts w:ascii="Verdana" w:hAnsi="Verdana" w:cs="Arial"/>
          <w:sz w:val="18"/>
          <w:szCs w:val="18"/>
        </w:rPr>
        <w:t>913</w:t>
      </w:r>
      <w:r w:rsidR="009206B5" w:rsidRPr="00510388">
        <w:rPr>
          <w:rFonts w:ascii="Verdana" w:hAnsi="Verdana" w:cs="Arial"/>
          <w:sz w:val="18"/>
          <w:szCs w:val="18"/>
        </w:rPr>
        <w:t>,</w:t>
      </w:r>
      <w:r w:rsidR="00510388" w:rsidRPr="00510388">
        <w:rPr>
          <w:rFonts w:ascii="Verdana" w:hAnsi="Verdana" w:cs="Arial"/>
          <w:sz w:val="18"/>
          <w:szCs w:val="18"/>
        </w:rPr>
        <w:t>8</w:t>
      </w:r>
      <w:r w:rsidR="009206B5" w:rsidRPr="00510388">
        <w:rPr>
          <w:rFonts w:ascii="Verdana" w:hAnsi="Verdana" w:cs="Arial"/>
          <w:sz w:val="18"/>
          <w:szCs w:val="18"/>
        </w:rPr>
        <w:t xml:space="preserve"> </w:t>
      </w:r>
      <w:proofErr w:type="spellStart"/>
      <w:r w:rsidR="009206B5" w:rsidRPr="00510388">
        <w:rPr>
          <w:rFonts w:ascii="Verdana" w:hAnsi="Verdana" w:cs="Arial"/>
          <w:sz w:val="18"/>
          <w:szCs w:val="18"/>
        </w:rPr>
        <w:t>mn</w:t>
      </w:r>
      <w:proofErr w:type="spellEnd"/>
      <w:r w:rsidR="009206B5" w:rsidRPr="00510388">
        <w:rPr>
          <w:rFonts w:ascii="Verdana" w:hAnsi="Verdana" w:cs="Arial"/>
          <w:sz w:val="18"/>
          <w:szCs w:val="18"/>
        </w:rPr>
        <w:t>, compared to €</w:t>
      </w:r>
      <w:r w:rsidR="00510388" w:rsidRPr="00510388">
        <w:rPr>
          <w:rFonts w:ascii="Verdana" w:hAnsi="Verdana" w:cs="Arial"/>
          <w:sz w:val="18"/>
          <w:szCs w:val="18"/>
        </w:rPr>
        <w:t>11</w:t>
      </w:r>
      <w:r w:rsidR="009206B5" w:rsidRPr="00510388">
        <w:rPr>
          <w:rFonts w:ascii="Verdana" w:hAnsi="Verdana" w:cs="Arial"/>
          <w:sz w:val="18"/>
          <w:szCs w:val="18"/>
        </w:rPr>
        <w:t>.</w:t>
      </w:r>
      <w:r w:rsidR="00510388" w:rsidRPr="00510388">
        <w:rPr>
          <w:rFonts w:ascii="Verdana" w:hAnsi="Verdana" w:cs="Arial"/>
          <w:sz w:val="18"/>
          <w:szCs w:val="18"/>
        </w:rPr>
        <w:t>539</w:t>
      </w:r>
      <w:r w:rsidR="009206B5" w:rsidRPr="00510388">
        <w:rPr>
          <w:rFonts w:ascii="Verdana" w:hAnsi="Verdana" w:cs="Arial"/>
          <w:sz w:val="18"/>
          <w:szCs w:val="18"/>
        </w:rPr>
        <w:t>,</w:t>
      </w:r>
      <w:r w:rsidR="00510388" w:rsidRPr="00510388">
        <w:rPr>
          <w:rFonts w:ascii="Verdana" w:hAnsi="Verdana" w:cs="Arial"/>
          <w:sz w:val="18"/>
          <w:szCs w:val="18"/>
        </w:rPr>
        <w:t>8</w:t>
      </w:r>
      <w:r w:rsidR="009206B5" w:rsidRPr="00510388">
        <w:rPr>
          <w:rFonts w:ascii="Verdana" w:hAnsi="Verdana" w:cs="Arial"/>
          <w:sz w:val="18"/>
          <w:szCs w:val="18"/>
        </w:rPr>
        <w:t xml:space="preserve"> </w:t>
      </w:r>
      <w:proofErr w:type="spellStart"/>
      <w:r w:rsidR="009206B5" w:rsidRPr="00510388">
        <w:rPr>
          <w:rFonts w:ascii="Verdana" w:hAnsi="Verdana" w:cs="Arial"/>
          <w:sz w:val="18"/>
          <w:szCs w:val="18"/>
        </w:rPr>
        <w:t>mn</w:t>
      </w:r>
      <w:proofErr w:type="spellEnd"/>
      <w:r w:rsidR="009206B5" w:rsidRPr="00510388">
        <w:rPr>
          <w:rFonts w:ascii="Verdana" w:hAnsi="Verdana" w:cs="Arial"/>
          <w:sz w:val="18"/>
          <w:szCs w:val="18"/>
        </w:rPr>
        <w:t xml:space="preserve"> in 202</w:t>
      </w:r>
      <w:r w:rsidR="009C201E" w:rsidRPr="00510388">
        <w:rPr>
          <w:rFonts w:ascii="Verdana" w:hAnsi="Verdana" w:cs="Arial"/>
          <w:sz w:val="18"/>
          <w:szCs w:val="18"/>
        </w:rPr>
        <w:t>2</w:t>
      </w:r>
      <w:r w:rsidR="009206B5" w:rsidRPr="00510388">
        <w:rPr>
          <w:rFonts w:ascii="Verdana" w:hAnsi="Verdana" w:cs="Arial"/>
          <w:sz w:val="18"/>
          <w:szCs w:val="18"/>
        </w:rPr>
        <w:t>.</w:t>
      </w:r>
    </w:p>
    <w:p w14:paraId="3002B44E" w14:textId="77777777" w:rsidR="009206B5" w:rsidRPr="00510388" w:rsidRDefault="009206B5" w:rsidP="009206B5">
      <w:pPr>
        <w:jc w:val="both"/>
        <w:rPr>
          <w:rFonts w:ascii="Verdana" w:hAnsi="Verdana" w:cs="Arial"/>
          <w:sz w:val="18"/>
          <w:szCs w:val="18"/>
        </w:rPr>
      </w:pPr>
    </w:p>
    <w:p w14:paraId="31BDF158" w14:textId="19112E07" w:rsidR="004045C2" w:rsidRPr="00510388" w:rsidRDefault="009206B5" w:rsidP="00510388">
      <w:pPr>
        <w:jc w:val="both"/>
        <w:rPr>
          <w:rFonts w:ascii="Arial" w:hAnsi="Arial" w:cs="Arial"/>
          <w:sz w:val="20"/>
          <w:szCs w:val="20"/>
        </w:rPr>
      </w:pPr>
      <w:r w:rsidRPr="00510388">
        <w:rPr>
          <w:rFonts w:ascii="Verdana" w:hAnsi="Verdana" w:cs="Arial"/>
          <w:sz w:val="18"/>
          <w:szCs w:val="18"/>
        </w:rPr>
        <w:t>In detail, taxes on production and imports increased by €</w:t>
      </w:r>
      <w:r w:rsidR="00510388" w:rsidRPr="00510388">
        <w:rPr>
          <w:rFonts w:ascii="Verdana" w:hAnsi="Verdana" w:cs="Arial"/>
          <w:sz w:val="18"/>
          <w:szCs w:val="18"/>
        </w:rPr>
        <w:t>403</w:t>
      </w:r>
      <w:r w:rsidRPr="00510388">
        <w:rPr>
          <w:rFonts w:ascii="Verdana" w:hAnsi="Verdana" w:cs="Arial"/>
          <w:sz w:val="18"/>
          <w:szCs w:val="18"/>
        </w:rPr>
        <w:t>,</w:t>
      </w:r>
      <w:r w:rsidR="00510388" w:rsidRPr="00510388">
        <w:rPr>
          <w:rFonts w:ascii="Verdana" w:hAnsi="Verdana" w:cs="Arial"/>
          <w:sz w:val="18"/>
          <w:szCs w:val="18"/>
        </w:rPr>
        <w:t>6</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xml:space="preserve"> (+</w:t>
      </w:r>
      <w:r w:rsidR="00865CD8" w:rsidRPr="00510388">
        <w:rPr>
          <w:rFonts w:ascii="Verdana" w:hAnsi="Verdana" w:cs="Arial"/>
          <w:sz w:val="18"/>
          <w:szCs w:val="18"/>
        </w:rPr>
        <w:t>1</w:t>
      </w:r>
      <w:r w:rsidR="00510388" w:rsidRPr="00510388">
        <w:rPr>
          <w:rFonts w:ascii="Verdana" w:hAnsi="Verdana" w:cs="Arial"/>
          <w:sz w:val="18"/>
          <w:szCs w:val="18"/>
        </w:rPr>
        <w:t>0</w:t>
      </w:r>
      <w:r w:rsidRPr="00510388">
        <w:rPr>
          <w:rFonts w:ascii="Verdana" w:hAnsi="Verdana" w:cs="Arial"/>
          <w:sz w:val="18"/>
          <w:szCs w:val="18"/>
        </w:rPr>
        <w:t>,</w:t>
      </w:r>
      <w:r w:rsidR="00D87950" w:rsidRPr="00510388">
        <w:rPr>
          <w:rFonts w:ascii="Verdana" w:hAnsi="Verdana" w:cs="Arial"/>
          <w:sz w:val="18"/>
          <w:szCs w:val="18"/>
        </w:rPr>
        <w:t>0</w:t>
      </w:r>
      <w:r w:rsidRPr="00510388">
        <w:rPr>
          <w:rFonts w:ascii="Verdana" w:hAnsi="Verdana" w:cs="Arial"/>
          <w:sz w:val="18"/>
          <w:szCs w:val="18"/>
        </w:rPr>
        <w:t>%) and amounted to</w:t>
      </w:r>
      <w:r w:rsidR="00644302" w:rsidRPr="00510388">
        <w:rPr>
          <w:rFonts w:ascii="Verdana" w:hAnsi="Verdana" w:cs="Arial"/>
          <w:sz w:val="18"/>
          <w:szCs w:val="18"/>
        </w:rPr>
        <w:t xml:space="preserve">       </w:t>
      </w:r>
      <w:r w:rsidRPr="00510388">
        <w:rPr>
          <w:rFonts w:ascii="Verdana" w:hAnsi="Verdana" w:cs="Arial"/>
          <w:sz w:val="18"/>
          <w:szCs w:val="18"/>
        </w:rPr>
        <w:t>€</w:t>
      </w:r>
      <w:r w:rsidR="00D87950" w:rsidRPr="00510388">
        <w:rPr>
          <w:rFonts w:ascii="Verdana" w:hAnsi="Verdana" w:cs="Arial"/>
          <w:sz w:val="18"/>
          <w:szCs w:val="18"/>
        </w:rPr>
        <w:t>4.</w:t>
      </w:r>
      <w:r w:rsidR="00510388" w:rsidRPr="00510388">
        <w:rPr>
          <w:rFonts w:ascii="Verdana" w:hAnsi="Verdana" w:cs="Arial"/>
          <w:sz w:val="18"/>
          <w:szCs w:val="18"/>
        </w:rPr>
        <w:t>437</w:t>
      </w:r>
      <w:r w:rsidRPr="00510388">
        <w:rPr>
          <w:rFonts w:ascii="Verdana" w:hAnsi="Verdana" w:cs="Arial"/>
          <w:sz w:val="18"/>
          <w:szCs w:val="18"/>
        </w:rPr>
        <w:t>,</w:t>
      </w:r>
      <w:r w:rsidR="00510388" w:rsidRPr="00510388">
        <w:rPr>
          <w:rFonts w:ascii="Verdana" w:hAnsi="Verdana" w:cs="Arial"/>
          <w:sz w:val="18"/>
          <w:szCs w:val="18"/>
        </w:rPr>
        <w:t>1</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compared to €</w:t>
      </w:r>
      <w:r w:rsidR="00510388" w:rsidRPr="00510388">
        <w:rPr>
          <w:rFonts w:ascii="Verdana" w:hAnsi="Verdana" w:cs="Arial"/>
          <w:sz w:val="18"/>
          <w:szCs w:val="18"/>
        </w:rPr>
        <w:t>4</w:t>
      </w:r>
      <w:r w:rsidR="00D87950" w:rsidRPr="00510388">
        <w:rPr>
          <w:rFonts w:ascii="Verdana" w:hAnsi="Verdana" w:cs="Arial"/>
          <w:sz w:val="18"/>
          <w:szCs w:val="18"/>
        </w:rPr>
        <w:t>.</w:t>
      </w:r>
      <w:r w:rsidR="00510388" w:rsidRPr="00510388">
        <w:rPr>
          <w:rFonts w:ascii="Verdana" w:hAnsi="Verdana" w:cs="Arial"/>
          <w:sz w:val="18"/>
          <w:szCs w:val="18"/>
        </w:rPr>
        <w:t>033</w:t>
      </w:r>
      <w:r w:rsidRPr="00510388">
        <w:rPr>
          <w:rFonts w:ascii="Verdana" w:hAnsi="Verdana" w:cs="Arial"/>
          <w:sz w:val="18"/>
          <w:szCs w:val="18"/>
        </w:rPr>
        <w:t>,</w:t>
      </w:r>
      <w:r w:rsidR="00510388" w:rsidRPr="00510388">
        <w:rPr>
          <w:rFonts w:ascii="Verdana" w:hAnsi="Verdana" w:cs="Arial"/>
          <w:sz w:val="18"/>
          <w:szCs w:val="18"/>
        </w:rPr>
        <w:t>5</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in </w:t>
      </w:r>
      <w:r w:rsidRPr="00510388">
        <w:rPr>
          <w:rFonts w:ascii="Verdana" w:hAnsi="Verdana" w:cs="Arial"/>
          <w:sz w:val="18"/>
          <w:szCs w:val="18"/>
        </w:rPr>
        <w:t>202</w:t>
      </w:r>
      <w:r w:rsidR="009C201E" w:rsidRPr="00510388">
        <w:rPr>
          <w:rFonts w:ascii="Verdana" w:hAnsi="Verdana" w:cs="Arial"/>
          <w:sz w:val="18"/>
          <w:szCs w:val="18"/>
        </w:rPr>
        <w:t>2</w:t>
      </w:r>
      <w:r w:rsidRPr="00510388">
        <w:rPr>
          <w:rFonts w:ascii="Verdana" w:hAnsi="Verdana" w:cs="Arial"/>
          <w:sz w:val="18"/>
          <w:szCs w:val="18"/>
        </w:rPr>
        <w:t>, of which</w:t>
      </w:r>
      <w:r w:rsidR="00865CD8" w:rsidRPr="00510388">
        <w:rPr>
          <w:rFonts w:ascii="Verdana" w:hAnsi="Verdana" w:cs="Arial"/>
          <w:sz w:val="18"/>
          <w:szCs w:val="18"/>
        </w:rPr>
        <w:t xml:space="preserve"> net VAT revenue increased by €</w:t>
      </w:r>
      <w:r w:rsidR="00510388" w:rsidRPr="00510388">
        <w:rPr>
          <w:rFonts w:ascii="Verdana" w:hAnsi="Verdana" w:cs="Arial"/>
          <w:sz w:val="18"/>
          <w:szCs w:val="18"/>
        </w:rPr>
        <w:t>273</w:t>
      </w:r>
      <w:r w:rsidRPr="00510388">
        <w:rPr>
          <w:rFonts w:ascii="Verdana" w:hAnsi="Verdana" w:cs="Arial"/>
          <w:sz w:val="18"/>
          <w:szCs w:val="18"/>
        </w:rPr>
        <w:t>,</w:t>
      </w:r>
      <w:r w:rsidR="00510388" w:rsidRPr="00510388">
        <w:rPr>
          <w:rFonts w:ascii="Verdana" w:hAnsi="Verdana" w:cs="Arial"/>
          <w:sz w:val="18"/>
          <w:szCs w:val="18"/>
        </w:rPr>
        <w:t>1</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w:t>
      </w:r>
      <w:r w:rsidR="00510388" w:rsidRPr="00510388">
        <w:rPr>
          <w:rFonts w:ascii="Verdana" w:hAnsi="Verdana" w:cs="Arial"/>
          <w:sz w:val="18"/>
          <w:szCs w:val="18"/>
        </w:rPr>
        <w:t>10</w:t>
      </w:r>
      <w:r w:rsidRPr="00510388">
        <w:rPr>
          <w:rFonts w:ascii="Verdana" w:hAnsi="Verdana" w:cs="Arial"/>
          <w:sz w:val="18"/>
          <w:szCs w:val="18"/>
        </w:rPr>
        <w:t>,</w:t>
      </w:r>
      <w:r w:rsidR="00510388" w:rsidRPr="00510388">
        <w:rPr>
          <w:rFonts w:ascii="Verdana" w:hAnsi="Verdana" w:cs="Arial"/>
          <w:sz w:val="18"/>
          <w:szCs w:val="18"/>
        </w:rPr>
        <w:t>1</w:t>
      </w:r>
      <w:r w:rsidRPr="00510388">
        <w:rPr>
          <w:rFonts w:ascii="Verdana" w:hAnsi="Verdana" w:cs="Arial"/>
          <w:sz w:val="18"/>
          <w:szCs w:val="18"/>
        </w:rPr>
        <w:t>%) and amounted to €</w:t>
      </w:r>
      <w:r w:rsidR="00D87950" w:rsidRPr="00510388">
        <w:rPr>
          <w:rFonts w:ascii="Verdana" w:hAnsi="Verdana" w:cs="Arial"/>
          <w:sz w:val="18"/>
          <w:szCs w:val="18"/>
        </w:rPr>
        <w:t>2.</w:t>
      </w:r>
      <w:r w:rsidR="00510388" w:rsidRPr="00510388">
        <w:rPr>
          <w:rFonts w:ascii="Verdana" w:hAnsi="Verdana" w:cs="Arial"/>
          <w:sz w:val="18"/>
          <w:szCs w:val="18"/>
        </w:rPr>
        <w:t>978</w:t>
      </w:r>
      <w:r w:rsidRPr="00510388">
        <w:rPr>
          <w:rFonts w:ascii="Verdana" w:hAnsi="Verdana" w:cs="Arial"/>
          <w:sz w:val="18"/>
          <w:szCs w:val="18"/>
        </w:rPr>
        <w:t>,</w:t>
      </w:r>
      <w:r w:rsidR="00510388" w:rsidRPr="00510388">
        <w:rPr>
          <w:rFonts w:ascii="Verdana" w:hAnsi="Verdana" w:cs="Arial"/>
          <w:sz w:val="18"/>
          <w:szCs w:val="18"/>
        </w:rPr>
        <w:t>8</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compared to €</w:t>
      </w:r>
      <w:r w:rsidR="00D87950" w:rsidRPr="00510388">
        <w:rPr>
          <w:rFonts w:ascii="Verdana" w:hAnsi="Verdana" w:cs="Arial"/>
          <w:sz w:val="18"/>
          <w:szCs w:val="18"/>
        </w:rPr>
        <w:t>2.</w:t>
      </w:r>
      <w:r w:rsidR="00510388" w:rsidRPr="00510388">
        <w:rPr>
          <w:rFonts w:ascii="Verdana" w:hAnsi="Verdana" w:cs="Arial"/>
          <w:sz w:val="18"/>
          <w:szCs w:val="18"/>
        </w:rPr>
        <w:t>705</w:t>
      </w:r>
      <w:r w:rsidRPr="00510388">
        <w:rPr>
          <w:rFonts w:ascii="Verdana" w:hAnsi="Verdana" w:cs="Arial"/>
          <w:sz w:val="18"/>
          <w:szCs w:val="18"/>
        </w:rPr>
        <w:t>,</w:t>
      </w:r>
      <w:r w:rsidR="00510388" w:rsidRPr="00510388">
        <w:rPr>
          <w:rFonts w:ascii="Verdana" w:hAnsi="Verdana" w:cs="Arial"/>
          <w:sz w:val="18"/>
          <w:szCs w:val="18"/>
        </w:rPr>
        <w:t>7</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xml:space="preserve"> in 202</w:t>
      </w:r>
      <w:r w:rsidR="009C201E" w:rsidRPr="00510388">
        <w:rPr>
          <w:rFonts w:ascii="Verdana" w:hAnsi="Verdana" w:cs="Arial"/>
          <w:sz w:val="18"/>
          <w:szCs w:val="18"/>
        </w:rPr>
        <w:t>2</w:t>
      </w:r>
      <w:r w:rsidRPr="00510388">
        <w:rPr>
          <w:rFonts w:ascii="Verdana" w:hAnsi="Verdana" w:cs="Arial"/>
          <w:sz w:val="18"/>
          <w:szCs w:val="18"/>
        </w:rPr>
        <w:t>. Social contributions increased by €</w:t>
      </w:r>
      <w:r w:rsidR="00510388" w:rsidRPr="00510388">
        <w:rPr>
          <w:rFonts w:ascii="Verdana" w:hAnsi="Verdana" w:cs="Arial"/>
          <w:sz w:val="18"/>
          <w:szCs w:val="18"/>
        </w:rPr>
        <w:t>451</w:t>
      </w:r>
      <w:r w:rsidRPr="00510388">
        <w:rPr>
          <w:rFonts w:ascii="Verdana" w:hAnsi="Verdana" w:cs="Arial"/>
          <w:sz w:val="18"/>
          <w:szCs w:val="18"/>
        </w:rPr>
        <w:t>,</w:t>
      </w:r>
      <w:r w:rsidR="00510388" w:rsidRPr="00510388">
        <w:rPr>
          <w:rFonts w:ascii="Verdana" w:hAnsi="Verdana" w:cs="Arial"/>
          <w:sz w:val="18"/>
          <w:szCs w:val="18"/>
        </w:rPr>
        <w:t>7</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xml:space="preserve"> (+</w:t>
      </w:r>
      <w:r w:rsidR="00482ED3" w:rsidRPr="00510388">
        <w:rPr>
          <w:rFonts w:ascii="Verdana" w:hAnsi="Verdana" w:cs="Arial"/>
          <w:sz w:val="18"/>
          <w:szCs w:val="18"/>
        </w:rPr>
        <w:t>1</w:t>
      </w:r>
      <w:r w:rsidR="00510388" w:rsidRPr="00510388">
        <w:rPr>
          <w:rFonts w:ascii="Verdana" w:hAnsi="Verdana" w:cs="Arial"/>
          <w:sz w:val="18"/>
          <w:szCs w:val="18"/>
        </w:rPr>
        <w:t>4</w:t>
      </w:r>
      <w:r w:rsidRPr="00510388">
        <w:rPr>
          <w:rFonts w:ascii="Verdana" w:hAnsi="Verdana" w:cs="Arial"/>
          <w:sz w:val="18"/>
          <w:szCs w:val="18"/>
        </w:rPr>
        <w:t>,</w:t>
      </w:r>
      <w:r w:rsidR="00510388" w:rsidRPr="00510388">
        <w:rPr>
          <w:rFonts w:ascii="Verdana" w:hAnsi="Verdana" w:cs="Arial"/>
          <w:sz w:val="18"/>
          <w:szCs w:val="18"/>
        </w:rPr>
        <w:t>5</w:t>
      </w:r>
      <w:r w:rsidRPr="00510388">
        <w:rPr>
          <w:rFonts w:ascii="Verdana" w:hAnsi="Verdana" w:cs="Arial"/>
          <w:sz w:val="18"/>
          <w:szCs w:val="18"/>
        </w:rPr>
        <w:t>%) and amounted to €</w:t>
      </w:r>
      <w:r w:rsidR="00510388" w:rsidRPr="00510388">
        <w:rPr>
          <w:rFonts w:ascii="Verdana" w:hAnsi="Verdana" w:cs="Arial"/>
          <w:sz w:val="18"/>
          <w:szCs w:val="18"/>
        </w:rPr>
        <w:t>3</w:t>
      </w:r>
      <w:r w:rsidR="00D87950" w:rsidRPr="00510388">
        <w:rPr>
          <w:rFonts w:ascii="Verdana" w:hAnsi="Verdana" w:cs="Arial"/>
          <w:sz w:val="18"/>
          <w:szCs w:val="18"/>
        </w:rPr>
        <w:t>.</w:t>
      </w:r>
      <w:r w:rsidR="00510388" w:rsidRPr="00510388">
        <w:rPr>
          <w:rFonts w:ascii="Verdana" w:hAnsi="Verdana" w:cs="Arial"/>
          <w:sz w:val="18"/>
          <w:szCs w:val="18"/>
        </w:rPr>
        <w:t>573</w:t>
      </w:r>
      <w:r w:rsidRPr="00510388">
        <w:rPr>
          <w:rFonts w:ascii="Verdana" w:hAnsi="Verdana" w:cs="Arial"/>
          <w:sz w:val="18"/>
          <w:szCs w:val="18"/>
        </w:rPr>
        <w:t>,</w:t>
      </w:r>
      <w:r w:rsidR="00510388" w:rsidRPr="00510388">
        <w:rPr>
          <w:rFonts w:ascii="Verdana" w:hAnsi="Verdana" w:cs="Arial"/>
          <w:sz w:val="18"/>
          <w:szCs w:val="18"/>
        </w:rPr>
        <w:t>7</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compared to </w:t>
      </w:r>
      <w:r w:rsidRPr="00510388">
        <w:rPr>
          <w:rFonts w:ascii="Verdana" w:hAnsi="Verdana" w:cs="Arial"/>
          <w:sz w:val="18"/>
          <w:szCs w:val="18"/>
        </w:rPr>
        <w:t>€</w:t>
      </w:r>
      <w:r w:rsidR="00510388" w:rsidRPr="00510388">
        <w:rPr>
          <w:rFonts w:ascii="Verdana" w:hAnsi="Verdana" w:cs="Arial"/>
          <w:sz w:val="18"/>
          <w:szCs w:val="18"/>
        </w:rPr>
        <w:t>3</w:t>
      </w:r>
      <w:r w:rsidR="00D87950" w:rsidRPr="00510388">
        <w:rPr>
          <w:rFonts w:ascii="Verdana" w:hAnsi="Verdana" w:cs="Arial"/>
          <w:sz w:val="18"/>
          <w:szCs w:val="18"/>
        </w:rPr>
        <w:t>.</w:t>
      </w:r>
      <w:r w:rsidR="00510388" w:rsidRPr="00510388">
        <w:rPr>
          <w:rFonts w:ascii="Verdana" w:hAnsi="Verdana" w:cs="Arial"/>
          <w:sz w:val="18"/>
          <w:szCs w:val="18"/>
        </w:rPr>
        <w:t>122</w:t>
      </w:r>
      <w:r w:rsidRPr="00510388">
        <w:rPr>
          <w:rFonts w:ascii="Verdana" w:hAnsi="Verdana" w:cs="Arial"/>
          <w:sz w:val="18"/>
          <w:szCs w:val="18"/>
        </w:rPr>
        <w:t>,</w:t>
      </w:r>
      <w:r w:rsidR="00510388" w:rsidRPr="00510388">
        <w:rPr>
          <w:rFonts w:ascii="Verdana" w:hAnsi="Verdana" w:cs="Arial"/>
          <w:sz w:val="18"/>
          <w:szCs w:val="18"/>
        </w:rPr>
        <w:t>0</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in </w:t>
      </w:r>
      <w:r w:rsidRPr="00510388">
        <w:rPr>
          <w:rFonts w:ascii="Verdana" w:hAnsi="Verdana" w:cs="Arial"/>
          <w:sz w:val="18"/>
          <w:szCs w:val="18"/>
        </w:rPr>
        <w:t>202</w:t>
      </w:r>
      <w:r w:rsidR="009C201E" w:rsidRPr="00510388">
        <w:rPr>
          <w:rFonts w:ascii="Verdana" w:hAnsi="Verdana" w:cs="Arial"/>
          <w:sz w:val="18"/>
          <w:szCs w:val="18"/>
        </w:rPr>
        <w:t>2</w:t>
      </w:r>
      <w:r w:rsidRPr="00510388">
        <w:rPr>
          <w:rFonts w:ascii="Verdana" w:hAnsi="Verdana" w:cs="Arial"/>
          <w:sz w:val="18"/>
          <w:szCs w:val="18"/>
        </w:rPr>
        <w:t>. Revenue from taxes on</w:t>
      </w:r>
      <w:r w:rsidR="00865CD8" w:rsidRPr="00510388">
        <w:rPr>
          <w:rFonts w:ascii="Verdana" w:hAnsi="Verdana" w:cs="Arial"/>
          <w:sz w:val="18"/>
          <w:szCs w:val="18"/>
        </w:rPr>
        <w:t xml:space="preserve"> income and wealth increased by </w:t>
      </w:r>
      <w:r w:rsidRPr="00510388">
        <w:rPr>
          <w:rFonts w:ascii="Verdana" w:hAnsi="Verdana" w:cs="Arial"/>
          <w:sz w:val="18"/>
          <w:szCs w:val="18"/>
        </w:rPr>
        <w:t>€</w:t>
      </w:r>
      <w:r w:rsidR="00510388" w:rsidRPr="00510388">
        <w:rPr>
          <w:rFonts w:ascii="Verdana" w:hAnsi="Verdana" w:cs="Arial"/>
          <w:sz w:val="18"/>
          <w:szCs w:val="18"/>
        </w:rPr>
        <w:t>340</w:t>
      </w:r>
      <w:r w:rsidRPr="00510388">
        <w:rPr>
          <w:rFonts w:ascii="Verdana" w:hAnsi="Verdana" w:cs="Arial"/>
          <w:sz w:val="18"/>
          <w:szCs w:val="18"/>
        </w:rPr>
        <w:t>,</w:t>
      </w:r>
      <w:r w:rsidR="00510388" w:rsidRPr="00510388">
        <w:rPr>
          <w:rFonts w:ascii="Verdana" w:hAnsi="Verdana" w:cs="Arial"/>
          <w:sz w:val="18"/>
          <w:szCs w:val="18"/>
        </w:rPr>
        <w:t>7</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xml:space="preserve"> (+</w:t>
      </w:r>
      <w:r w:rsidR="00865CD8" w:rsidRPr="00510388">
        <w:rPr>
          <w:rFonts w:ascii="Verdana" w:hAnsi="Verdana" w:cs="Arial"/>
          <w:sz w:val="18"/>
          <w:szCs w:val="18"/>
        </w:rPr>
        <w:t>1</w:t>
      </w:r>
      <w:r w:rsidR="00510388" w:rsidRPr="00510388">
        <w:rPr>
          <w:rFonts w:ascii="Verdana" w:hAnsi="Verdana" w:cs="Arial"/>
          <w:sz w:val="18"/>
          <w:szCs w:val="18"/>
        </w:rPr>
        <w:t>1</w:t>
      </w:r>
      <w:r w:rsidRPr="00510388">
        <w:rPr>
          <w:rFonts w:ascii="Verdana" w:hAnsi="Verdana" w:cs="Arial"/>
          <w:sz w:val="18"/>
          <w:szCs w:val="18"/>
        </w:rPr>
        <w:t>,</w:t>
      </w:r>
      <w:r w:rsidR="00510388" w:rsidRPr="00510388">
        <w:rPr>
          <w:rFonts w:ascii="Verdana" w:hAnsi="Verdana" w:cs="Arial"/>
          <w:sz w:val="18"/>
          <w:szCs w:val="18"/>
        </w:rPr>
        <w:t>7</w:t>
      </w:r>
      <w:r w:rsidRPr="00510388">
        <w:rPr>
          <w:rFonts w:ascii="Verdana" w:hAnsi="Verdana" w:cs="Arial"/>
          <w:sz w:val="18"/>
          <w:szCs w:val="18"/>
        </w:rPr>
        <w:t xml:space="preserve">%) and amounted to </w:t>
      </w:r>
      <w:r w:rsidR="006D543F" w:rsidRPr="00510388">
        <w:rPr>
          <w:rFonts w:ascii="Verdana" w:hAnsi="Verdana" w:cs="Arial"/>
          <w:sz w:val="18"/>
          <w:szCs w:val="18"/>
        </w:rPr>
        <w:t xml:space="preserve">     </w:t>
      </w:r>
      <w:r w:rsidRPr="00510388">
        <w:rPr>
          <w:rFonts w:ascii="Verdana" w:hAnsi="Verdana" w:cs="Arial"/>
          <w:sz w:val="18"/>
          <w:szCs w:val="18"/>
        </w:rPr>
        <w:t>€</w:t>
      </w:r>
      <w:r w:rsidR="00510388" w:rsidRPr="00510388">
        <w:rPr>
          <w:rFonts w:ascii="Verdana" w:hAnsi="Verdana" w:cs="Arial"/>
          <w:sz w:val="18"/>
          <w:szCs w:val="18"/>
        </w:rPr>
        <w:t>3</w:t>
      </w:r>
      <w:r w:rsidR="00D87950" w:rsidRPr="00510388">
        <w:rPr>
          <w:rFonts w:ascii="Verdana" w:hAnsi="Verdana" w:cs="Arial"/>
          <w:sz w:val="18"/>
          <w:szCs w:val="18"/>
        </w:rPr>
        <w:t>.</w:t>
      </w:r>
      <w:r w:rsidR="00510388" w:rsidRPr="00510388">
        <w:rPr>
          <w:rFonts w:ascii="Verdana" w:hAnsi="Verdana" w:cs="Arial"/>
          <w:sz w:val="18"/>
          <w:szCs w:val="18"/>
        </w:rPr>
        <w:t>264</w:t>
      </w:r>
      <w:r w:rsidRPr="00510388">
        <w:rPr>
          <w:rFonts w:ascii="Verdana" w:hAnsi="Verdana" w:cs="Arial"/>
          <w:sz w:val="18"/>
          <w:szCs w:val="18"/>
        </w:rPr>
        <w:t>,</w:t>
      </w:r>
      <w:r w:rsidR="00510388" w:rsidRPr="00510388">
        <w:rPr>
          <w:rFonts w:ascii="Verdana" w:hAnsi="Verdana" w:cs="Arial"/>
          <w:sz w:val="18"/>
          <w:szCs w:val="18"/>
        </w:rPr>
        <w:t>9</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compared to €</w:t>
      </w:r>
      <w:r w:rsidR="00D87950" w:rsidRPr="00510388">
        <w:rPr>
          <w:rFonts w:ascii="Verdana" w:hAnsi="Verdana" w:cs="Arial"/>
          <w:sz w:val="18"/>
          <w:szCs w:val="18"/>
        </w:rPr>
        <w:t>2.</w:t>
      </w:r>
      <w:r w:rsidR="00510388" w:rsidRPr="00510388">
        <w:rPr>
          <w:rFonts w:ascii="Verdana" w:hAnsi="Verdana" w:cs="Arial"/>
          <w:sz w:val="18"/>
          <w:szCs w:val="18"/>
        </w:rPr>
        <w:t>924</w:t>
      </w:r>
      <w:r w:rsidRPr="00510388">
        <w:rPr>
          <w:rFonts w:ascii="Verdana" w:hAnsi="Verdana" w:cs="Arial"/>
          <w:sz w:val="18"/>
          <w:szCs w:val="18"/>
        </w:rPr>
        <w:t>,</w:t>
      </w:r>
      <w:r w:rsidR="00510388" w:rsidRPr="00510388">
        <w:rPr>
          <w:rFonts w:ascii="Verdana" w:hAnsi="Verdana" w:cs="Arial"/>
          <w:sz w:val="18"/>
          <w:szCs w:val="18"/>
        </w:rPr>
        <w:t>2</w:t>
      </w:r>
      <w:r w:rsidRPr="00510388">
        <w:rPr>
          <w:rFonts w:ascii="Verdana" w:hAnsi="Verdana" w:cs="Arial"/>
          <w:sz w:val="18"/>
          <w:szCs w:val="18"/>
        </w:rPr>
        <w:t xml:space="preserve"> </w:t>
      </w:r>
      <w:proofErr w:type="spellStart"/>
      <w:r w:rsidRPr="00510388">
        <w:rPr>
          <w:rFonts w:ascii="Verdana" w:hAnsi="Verdana" w:cs="Arial"/>
          <w:sz w:val="18"/>
          <w:szCs w:val="18"/>
        </w:rPr>
        <w:t>mn</w:t>
      </w:r>
      <w:proofErr w:type="spellEnd"/>
      <w:r w:rsidRPr="00510388">
        <w:rPr>
          <w:rFonts w:ascii="Verdana" w:hAnsi="Verdana" w:cs="Arial"/>
          <w:sz w:val="18"/>
          <w:szCs w:val="18"/>
        </w:rPr>
        <w:t xml:space="preserve"> in 202</w:t>
      </w:r>
      <w:r w:rsidR="009C201E" w:rsidRPr="00510388">
        <w:rPr>
          <w:rFonts w:ascii="Verdana" w:hAnsi="Verdana" w:cs="Arial"/>
          <w:sz w:val="18"/>
          <w:szCs w:val="18"/>
        </w:rPr>
        <w:t>2</w:t>
      </w:r>
      <w:r w:rsidRPr="00510388">
        <w:rPr>
          <w:rFonts w:ascii="Verdana" w:hAnsi="Verdana" w:cs="Arial"/>
          <w:sz w:val="18"/>
          <w:szCs w:val="18"/>
        </w:rPr>
        <w:t xml:space="preserve">. </w:t>
      </w:r>
      <w:r w:rsidR="000E72FC" w:rsidRPr="00510388">
        <w:rPr>
          <w:rFonts w:ascii="Verdana" w:hAnsi="Verdana" w:cs="Arial"/>
          <w:sz w:val="18"/>
          <w:szCs w:val="18"/>
        </w:rPr>
        <w:t>Other c</w:t>
      </w:r>
      <w:r w:rsidR="00865CD8" w:rsidRPr="00510388">
        <w:rPr>
          <w:rFonts w:ascii="Verdana" w:hAnsi="Verdana" w:cs="Arial"/>
          <w:sz w:val="18"/>
          <w:szCs w:val="18"/>
        </w:rPr>
        <w:t>urrent transfers increased by €</w:t>
      </w:r>
      <w:r w:rsidR="00510388" w:rsidRPr="00510388">
        <w:rPr>
          <w:rFonts w:ascii="Verdana" w:hAnsi="Verdana" w:cs="Arial"/>
          <w:sz w:val="18"/>
          <w:szCs w:val="18"/>
        </w:rPr>
        <w:t>56</w:t>
      </w:r>
      <w:r w:rsidR="00865CD8" w:rsidRPr="00510388">
        <w:rPr>
          <w:rFonts w:ascii="Verdana" w:hAnsi="Verdana" w:cs="Arial"/>
          <w:sz w:val="18"/>
          <w:szCs w:val="18"/>
        </w:rPr>
        <w:t>,</w:t>
      </w:r>
      <w:r w:rsidR="00510388" w:rsidRPr="00510388">
        <w:rPr>
          <w:rFonts w:ascii="Verdana" w:hAnsi="Verdana" w:cs="Arial"/>
          <w:sz w:val="18"/>
          <w:szCs w:val="18"/>
        </w:rPr>
        <w:t>8</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w:t>
      </w:r>
      <w:r w:rsidR="005E0450" w:rsidRPr="00510388">
        <w:rPr>
          <w:rFonts w:ascii="Verdana" w:hAnsi="Verdana" w:cs="Arial"/>
          <w:sz w:val="18"/>
          <w:szCs w:val="18"/>
        </w:rPr>
        <w:t>(+</w:t>
      </w:r>
      <w:r w:rsidR="00510388" w:rsidRPr="00510388">
        <w:rPr>
          <w:rFonts w:ascii="Verdana" w:hAnsi="Verdana" w:cs="Arial"/>
          <w:sz w:val="18"/>
          <w:szCs w:val="18"/>
        </w:rPr>
        <w:t>22</w:t>
      </w:r>
      <w:r w:rsidR="005E0450" w:rsidRPr="00510388">
        <w:rPr>
          <w:rFonts w:ascii="Verdana" w:hAnsi="Verdana" w:cs="Arial"/>
          <w:sz w:val="18"/>
          <w:szCs w:val="18"/>
        </w:rPr>
        <w:t>,</w:t>
      </w:r>
      <w:r w:rsidR="00510388" w:rsidRPr="00510388">
        <w:rPr>
          <w:rFonts w:ascii="Verdana" w:hAnsi="Verdana" w:cs="Arial"/>
          <w:sz w:val="18"/>
          <w:szCs w:val="18"/>
        </w:rPr>
        <w:t>3</w:t>
      </w:r>
      <w:r w:rsidR="005E0450" w:rsidRPr="00510388">
        <w:rPr>
          <w:rFonts w:ascii="Verdana" w:hAnsi="Verdana" w:cs="Arial"/>
          <w:sz w:val="18"/>
          <w:szCs w:val="18"/>
        </w:rPr>
        <w:t xml:space="preserve">%) </w:t>
      </w:r>
      <w:r w:rsidR="00865CD8" w:rsidRPr="00510388">
        <w:rPr>
          <w:rFonts w:ascii="Verdana" w:hAnsi="Verdana" w:cs="Arial"/>
          <w:sz w:val="18"/>
          <w:szCs w:val="18"/>
        </w:rPr>
        <w:t>and amounted to €</w:t>
      </w:r>
      <w:r w:rsidR="00510388" w:rsidRPr="00510388">
        <w:rPr>
          <w:rFonts w:ascii="Verdana" w:hAnsi="Verdana" w:cs="Arial"/>
          <w:sz w:val="18"/>
          <w:szCs w:val="18"/>
        </w:rPr>
        <w:t>311</w:t>
      </w:r>
      <w:r w:rsidR="00865CD8" w:rsidRPr="00510388">
        <w:rPr>
          <w:rFonts w:ascii="Verdana" w:hAnsi="Verdana" w:cs="Arial"/>
          <w:sz w:val="18"/>
          <w:szCs w:val="18"/>
        </w:rPr>
        <w:t>,</w:t>
      </w:r>
      <w:r w:rsidR="00510388" w:rsidRPr="00510388">
        <w:rPr>
          <w:rFonts w:ascii="Verdana" w:hAnsi="Verdana" w:cs="Arial"/>
          <w:sz w:val="18"/>
          <w:szCs w:val="18"/>
        </w:rPr>
        <w:t>2</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w:t>
      </w:r>
      <w:r w:rsidR="005E0450" w:rsidRPr="00510388">
        <w:rPr>
          <w:rFonts w:ascii="Verdana" w:hAnsi="Verdana" w:cs="Arial"/>
          <w:sz w:val="18"/>
          <w:szCs w:val="18"/>
        </w:rPr>
        <w:t>compared to</w:t>
      </w:r>
      <w:r w:rsidR="00865CD8" w:rsidRPr="00510388">
        <w:rPr>
          <w:rFonts w:ascii="Verdana" w:hAnsi="Verdana" w:cs="Arial"/>
          <w:sz w:val="18"/>
          <w:szCs w:val="18"/>
        </w:rPr>
        <w:t xml:space="preserve"> €</w:t>
      </w:r>
      <w:r w:rsidR="005E0450" w:rsidRPr="00510388">
        <w:rPr>
          <w:rFonts w:ascii="Verdana" w:hAnsi="Verdana" w:cs="Arial"/>
          <w:sz w:val="18"/>
          <w:szCs w:val="18"/>
        </w:rPr>
        <w:t>2</w:t>
      </w:r>
      <w:r w:rsidR="00510388" w:rsidRPr="00510388">
        <w:rPr>
          <w:rFonts w:ascii="Verdana" w:hAnsi="Verdana" w:cs="Arial"/>
          <w:sz w:val="18"/>
          <w:szCs w:val="18"/>
        </w:rPr>
        <w:t>54</w:t>
      </w:r>
      <w:r w:rsidR="00865CD8" w:rsidRPr="00510388">
        <w:rPr>
          <w:rFonts w:ascii="Verdana" w:hAnsi="Verdana" w:cs="Arial"/>
          <w:sz w:val="18"/>
          <w:szCs w:val="18"/>
        </w:rPr>
        <w:t>,</w:t>
      </w:r>
      <w:r w:rsidR="005E0450" w:rsidRPr="00510388">
        <w:rPr>
          <w:rFonts w:ascii="Verdana" w:hAnsi="Verdana" w:cs="Arial"/>
          <w:sz w:val="18"/>
          <w:szCs w:val="18"/>
        </w:rPr>
        <w:t>4</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in 202</w:t>
      </w:r>
      <w:r w:rsidR="009C201E" w:rsidRPr="00510388">
        <w:rPr>
          <w:rFonts w:ascii="Verdana" w:hAnsi="Verdana" w:cs="Arial"/>
          <w:sz w:val="18"/>
          <w:szCs w:val="18"/>
        </w:rPr>
        <w:t>2</w:t>
      </w:r>
      <w:r w:rsidR="00865CD8" w:rsidRPr="00510388">
        <w:rPr>
          <w:rFonts w:ascii="Verdana" w:hAnsi="Verdana" w:cs="Arial"/>
          <w:sz w:val="18"/>
          <w:szCs w:val="18"/>
        </w:rPr>
        <w:t>.</w:t>
      </w:r>
      <w:r w:rsidR="005E0450" w:rsidRPr="00510388">
        <w:rPr>
          <w:rFonts w:ascii="Verdana" w:hAnsi="Verdana" w:cs="Arial"/>
          <w:sz w:val="18"/>
          <w:szCs w:val="18"/>
        </w:rPr>
        <w:t xml:space="preserve"> Property income receivable increased by €</w:t>
      </w:r>
      <w:r w:rsidR="00510388" w:rsidRPr="00510388">
        <w:rPr>
          <w:rFonts w:ascii="Verdana" w:hAnsi="Verdana" w:cs="Arial"/>
          <w:sz w:val="18"/>
          <w:szCs w:val="18"/>
        </w:rPr>
        <w:t>19</w:t>
      </w:r>
      <w:r w:rsidR="005E0450" w:rsidRPr="00510388">
        <w:rPr>
          <w:rFonts w:ascii="Verdana" w:hAnsi="Verdana" w:cs="Arial"/>
          <w:sz w:val="18"/>
          <w:szCs w:val="18"/>
        </w:rPr>
        <w:t>,</w:t>
      </w:r>
      <w:r w:rsidR="00510388" w:rsidRPr="00510388">
        <w:rPr>
          <w:rFonts w:ascii="Verdana" w:hAnsi="Verdana" w:cs="Arial"/>
          <w:sz w:val="18"/>
          <w:szCs w:val="18"/>
        </w:rPr>
        <w:t>9</w:t>
      </w:r>
      <w:r w:rsidR="005E0450" w:rsidRPr="00510388">
        <w:rPr>
          <w:rFonts w:ascii="Verdana" w:hAnsi="Verdana" w:cs="Arial"/>
          <w:sz w:val="18"/>
          <w:szCs w:val="18"/>
        </w:rPr>
        <w:t xml:space="preserve"> </w:t>
      </w:r>
      <w:proofErr w:type="spellStart"/>
      <w:r w:rsidR="005E0450" w:rsidRPr="00510388">
        <w:rPr>
          <w:rFonts w:ascii="Verdana" w:hAnsi="Verdana" w:cs="Arial"/>
          <w:sz w:val="18"/>
          <w:szCs w:val="18"/>
        </w:rPr>
        <w:t>mn</w:t>
      </w:r>
      <w:proofErr w:type="spellEnd"/>
      <w:r w:rsidR="005E0450" w:rsidRPr="00510388">
        <w:rPr>
          <w:rFonts w:ascii="Verdana" w:hAnsi="Verdana" w:cs="Arial"/>
          <w:sz w:val="18"/>
          <w:szCs w:val="18"/>
        </w:rPr>
        <w:t xml:space="preserve"> (+</w:t>
      </w:r>
      <w:r w:rsidR="00510388" w:rsidRPr="00510388">
        <w:rPr>
          <w:rFonts w:ascii="Verdana" w:hAnsi="Verdana" w:cs="Arial"/>
          <w:sz w:val="18"/>
          <w:szCs w:val="18"/>
        </w:rPr>
        <w:t>17</w:t>
      </w:r>
      <w:r w:rsidR="005E0450" w:rsidRPr="00510388">
        <w:rPr>
          <w:rFonts w:ascii="Verdana" w:hAnsi="Verdana" w:cs="Arial"/>
          <w:sz w:val="18"/>
          <w:szCs w:val="18"/>
        </w:rPr>
        <w:t>,</w:t>
      </w:r>
      <w:r w:rsidR="00510388" w:rsidRPr="00510388">
        <w:rPr>
          <w:rFonts w:ascii="Verdana" w:hAnsi="Verdana" w:cs="Arial"/>
          <w:sz w:val="18"/>
          <w:szCs w:val="18"/>
        </w:rPr>
        <w:t>4</w:t>
      </w:r>
      <w:r w:rsidR="005E0450" w:rsidRPr="00510388">
        <w:rPr>
          <w:rFonts w:ascii="Verdana" w:hAnsi="Verdana" w:cs="Arial"/>
          <w:sz w:val="18"/>
          <w:szCs w:val="18"/>
        </w:rPr>
        <w:t>%) and amounted to €1</w:t>
      </w:r>
      <w:r w:rsidR="00510388" w:rsidRPr="00510388">
        <w:rPr>
          <w:rFonts w:ascii="Verdana" w:hAnsi="Verdana" w:cs="Arial"/>
          <w:sz w:val="18"/>
          <w:szCs w:val="18"/>
        </w:rPr>
        <w:t>34</w:t>
      </w:r>
      <w:r w:rsidR="005E0450" w:rsidRPr="00510388">
        <w:rPr>
          <w:rFonts w:ascii="Verdana" w:hAnsi="Verdana" w:cs="Arial"/>
          <w:sz w:val="18"/>
          <w:szCs w:val="18"/>
        </w:rPr>
        <w:t>,</w:t>
      </w:r>
      <w:r w:rsidR="00510388" w:rsidRPr="00510388">
        <w:rPr>
          <w:rFonts w:ascii="Verdana" w:hAnsi="Verdana" w:cs="Arial"/>
          <w:sz w:val="18"/>
          <w:szCs w:val="18"/>
        </w:rPr>
        <w:t>1</w:t>
      </w:r>
      <w:r w:rsidR="005E0450" w:rsidRPr="00510388">
        <w:rPr>
          <w:rFonts w:ascii="Verdana" w:hAnsi="Verdana" w:cs="Arial"/>
          <w:sz w:val="18"/>
          <w:szCs w:val="18"/>
        </w:rPr>
        <w:t xml:space="preserve"> </w:t>
      </w:r>
      <w:proofErr w:type="spellStart"/>
      <w:r w:rsidR="005E0450" w:rsidRPr="00510388">
        <w:rPr>
          <w:rFonts w:ascii="Verdana" w:hAnsi="Verdana" w:cs="Arial"/>
          <w:sz w:val="18"/>
          <w:szCs w:val="18"/>
        </w:rPr>
        <w:t>mn</w:t>
      </w:r>
      <w:proofErr w:type="spellEnd"/>
      <w:r w:rsidR="005E0450" w:rsidRPr="00510388">
        <w:rPr>
          <w:rFonts w:ascii="Verdana" w:hAnsi="Verdana" w:cs="Arial"/>
          <w:sz w:val="18"/>
          <w:szCs w:val="18"/>
        </w:rPr>
        <w:t xml:space="preserve">, </w:t>
      </w:r>
      <w:r w:rsidR="00E87FFA" w:rsidRPr="00510388">
        <w:rPr>
          <w:rFonts w:ascii="Verdana" w:hAnsi="Verdana" w:cs="Arial"/>
          <w:sz w:val="18"/>
          <w:szCs w:val="18"/>
        </w:rPr>
        <w:t xml:space="preserve">compared to </w:t>
      </w:r>
      <w:r w:rsidR="005E0450" w:rsidRPr="00510388">
        <w:rPr>
          <w:rFonts w:ascii="Verdana" w:hAnsi="Verdana" w:cs="Arial"/>
          <w:sz w:val="18"/>
          <w:szCs w:val="18"/>
        </w:rPr>
        <w:t>€</w:t>
      </w:r>
      <w:r w:rsidR="00E87FFA" w:rsidRPr="00510388">
        <w:rPr>
          <w:rFonts w:ascii="Verdana" w:hAnsi="Verdana" w:cs="Arial"/>
          <w:sz w:val="18"/>
          <w:szCs w:val="18"/>
        </w:rPr>
        <w:t>1</w:t>
      </w:r>
      <w:r w:rsidR="00510388" w:rsidRPr="00510388">
        <w:rPr>
          <w:rFonts w:ascii="Verdana" w:hAnsi="Verdana" w:cs="Arial"/>
          <w:sz w:val="18"/>
          <w:szCs w:val="18"/>
        </w:rPr>
        <w:t>14</w:t>
      </w:r>
      <w:r w:rsidR="005E0450" w:rsidRPr="00510388">
        <w:rPr>
          <w:rFonts w:ascii="Verdana" w:hAnsi="Verdana" w:cs="Arial"/>
          <w:sz w:val="18"/>
          <w:szCs w:val="18"/>
        </w:rPr>
        <w:t>,</w:t>
      </w:r>
      <w:r w:rsidR="00510388" w:rsidRPr="00510388">
        <w:rPr>
          <w:rFonts w:ascii="Verdana" w:hAnsi="Verdana" w:cs="Arial"/>
          <w:sz w:val="18"/>
          <w:szCs w:val="18"/>
        </w:rPr>
        <w:t>2</w:t>
      </w:r>
      <w:r w:rsidR="005E0450" w:rsidRPr="00510388">
        <w:rPr>
          <w:rFonts w:ascii="Verdana" w:hAnsi="Verdana" w:cs="Arial"/>
          <w:sz w:val="18"/>
          <w:szCs w:val="18"/>
        </w:rPr>
        <w:t xml:space="preserve"> </w:t>
      </w:r>
      <w:proofErr w:type="spellStart"/>
      <w:r w:rsidR="005E0450" w:rsidRPr="00510388">
        <w:rPr>
          <w:rFonts w:ascii="Verdana" w:hAnsi="Verdana" w:cs="Arial"/>
          <w:sz w:val="18"/>
          <w:szCs w:val="18"/>
        </w:rPr>
        <w:t>mn</w:t>
      </w:r>
      <w:proofErr w:type="spellEnd"/>
      <w:r w:rsidR="005E0450" w:rsidRPr="00510388">
        <w:rPr>
          <w:rFonts w:ascii="Verdana" w:hAnsi="Verdana" w:cs="Arial"/>
          <w:sz w:val="18"/>
          <w:szCs w:val="18"/>
        </w:rPr>
        <w:t xml:space="preserve"> in 202</w:t>
      </w:r>
      <w:r w:rsidR="009C201E" w:rsidRPr="00510388">
        <w:rPr>
          <w:rFonts w:ascii="Verdana" w:hAnsi="Verdana" w:cs="Arial"/>
          <w:sz w:val="18"/>
          <w:szCs w:val="18"/>
        </w:rPr>
        <w:t>2</w:t>
      </w:r>
      <w:r w:rsidR="005E0450" w:rsidRPr="00510388">
        <w:rPr>
          <w:rFonts w:ascii="Verdana" w:hAnsi="Verdana" w:cs="Arial"/>
          <w:sz w:val="18"/>
          <w:szCs w:val="18"/>
        </w:rPr>
        <w:t xml:space="preserve">. Revenue from the sale of goods and services </w:t>
      </w:r>
      <w:r w:rsidR="00E87FFA" w:rsidRPr="00510388">
        <w:rPr>
          <w:rFonts w:ascii="Verdana" w:hAnsi="Verdana" w:cs="Arial"/>
          <w:sz w:val="18"/>
          <w:szCs w:val="18"/>
        </w:rPr>
        <w:t>in</w:t>
      </w:r>
      <w:r w:rsidR="005E0450" w:rsidRPr="00510388">
        <w:rPr>
          <w:rFonts w:ascii="Verdana" w:hAnsi="Verdana" w:cs="Arial"/>
          <w:sz w:val="18"/>
          <w:szCs w:val="18"/>
        </w:rPr>
        <w:t>creased by €</w:t>
      </w:r>
      <w:r w:rsidR="00510388" w:rsidRPr="00510388">
        <w:rPr>
          <w:rFonts w:ascii="Verdana" w:hAnsi="Verdana" w:cs="Arial"/>
          <w:sz w:val="18"/>
          <w:szCs w:val="18"/>
        </w:rPr>
        <w:t>29</w:t>
      </w:r>
      <w:r w:rsidR="005E0450" w:rsidRPr="00510388">
        <w:rPr>
          <w:rFonts w:ascii="Verdana" w:hAnsi="Verdana" w:cs="Arial"/>
          <w:sz w:val="18"/>
          <w:szCs w:val="18"/>
        </w:rPr>
        <w:t>,</w:t>
      </w:r>
      <w:r w:rsidR="00510388" w:rsidRPr="00510388">
        <w:rPr>
          <w:rFonts w:ascii="Verdana" w:hAnsi="Verdana" w:cs="Arial"/>
          <w:sz w:val="18"/>
          <w:szCs w:val="18"/>
        </w:rPr>
        <w:t>8</w:t>
      </w:r>
      <w:r w:rsidR="005E0450" w:rsidRPr="00510388">
        <w:rPr>
          <w:rFonts w:ascii="Verdana" w:hAnsi="Verdana" w:cs="Arial"/>
          <w:sz w:val="18"/>
          <w:szCs w:val="18"/>
        </w:rPr>
        <w:t xml:space="preserve"> </w:t>
      </w:r>
      <w:proofErr w:type="spellStart"/>
      <w:r w:rsidR="005E0450" w:rsidRPr="00510388">
        <w:rPr>
          <w:rFonts w:ascii="Verdana" w:hAnsi="Verdana" w:cs="Arial"/>
          <w:sz w:val="18"/>
          <w:szCs w:val="18"/>
        </w:rPr>
        <w:t>mn</w:t>
      </w:r>
      <w:proofErr w:type="spellEnd"/>
      <w:r w:rsidR="005E0450" w:rsidRPr="00510388">
        <w:rPr>
          <w:rFonts w:ascii="Verdana" w:hAnsi="Verdana" w:cs="Arial"/>
          <w:sz w:val="18"/>
          <w:szCs w:val="18"/>
        </w:rPr>
        <w:t xml:space="preserve"> (</w:t>
      </w:r>
      <w:r w:rsidR="00E87FFA" w:rsidRPr="00510388">
        <w:rPr>
          <w:rFonts w:ascii="Verdana" w:hAnsi="Verdana" w:cs="Arial"/>
          <w:sz w:val="18"/>
          <w:szCs w:val="18"/>
        </w:rPr>
        <w:t>+</w:t>
      </w:r>
      <w:r w:rsidR="00510388" w:rsidRPr="00510388">
        <w:rPr>
          <w:rFonts w:ascii="Verdana" w:hAnsi="Verdana" w:cs="Arial"/>
          <w:sz w:val="18"/>
          <w:szCs w:val="18"/>
        </w:rPr>
        <w:t>3</w:t>
      </w:r>
      <w:r w:rsidR="005E0450" w:rsidRPr="00510388">
        <w:rPr>
          <w:rFonts w:ascii="Verdana" w:hAnsi="Verdana" w:cs="Arial"/>
          <w:sz w:val="18"/>
          <w:szCs w:val="18"/>
        </w:rPr>
        <w:t>,</w:t>
      </w:r>
      <w:r w:rsidR="00510388" w:rsidRPr="00510388">
        <w:rPr>
          <w:rFonts w:ascii="Verdana" w:hAnsi="Verdana" w:cs="Arial"/>
          <w:sz w:val="18"/>
          <w:szCs w:val="18"/>
        </w:rPr>
        <w:t>7</w:t>
      </w:r>
      <w:r w:rsidR="005E0450" w:rsidRPr="00510388">
        <w:rPr>
          <w:rFonts w:ascii="Verdana" w:hAnsi="Verdana" w:cs="Arial"/>
          <w:sz w:val="18"/>
          <w:szCs w:val="18"/>
        </w:rPr>
        <w:t xml:space="preserve">%) </w:t>
      </w:r>
      <w:r w:rsidR="00E87FFA" w:rsidRPr="00510388">
        <w:rPr>
          <w:rFonts w:ascii="Verdana" w:hAnsi="Verdana" w:cs="Arial"/>
          <w:sz w:val="18"/>
          <w:szCs w:val="18"/>
        </w:rPr>
        <w:t xml:space="preserve">and amounted </w:t>
      </w:r>
      <w:r w:rsidR="005E0450" w:rsidRPr="00510388">
        <w:rPr>
          <w:rFonts w:ascii="Verdana" w:hAnsi="Verdana" w:cs="Arial"/>
          <w:sz w:val="18"/>
          <w:szCs w:val="18"/>
        </w:rPr>
        <w:t>to €</w:t>
      </w:r>
      <w:r w:rsidR="00E87FFA" w:rsidRPr="00510388">
        <w:rPr>
          <w:rFonts w:ascii="Verdana" w:hAnsi="Verdana" w:cs="Arial"/>
          <w:sz w:val="18"/>
          <w:szCs w:val="18"/>
        </w:rPr>
        <w:t>8</w:t>
      </w:r>
      <w:r w:rsidR="00510388" w:rsidRPr="00510388">
        <w:rPr>
          <w:rFonts w:ascii="Verdana" w:hAnsi="Verdana" w:cs="Arial"/>
          <w:sz w:val="18"/>
          <w:szCs w:val="18"/>
        </w:rPr>
        <w:t>35</w:t>
      </w:r>
      <w:r w:rsidR="005E0450" w:rsidRPr="00510388">
        <w:rPr>
          <w:rFonts w:ascii="Verdana" w:hAnsi="Verdana" w:cs="Arial"/>
          <w:sz w:val="18"/>
          <w:szCs w:val="18"/>
        </w:rPr>
        <w:t>,</w:t>
      </w:r>
      <w:r w:rsidR="00510388" w:rsidRPr="00510388">
        <w:rPr>
          <w:rFonts w:ascii="Verdana" w:hAnsi="Verdana" w:cs="Arial"/>
          <w:sz w:val="18"/>
          <w:szCs w:val="18"/>
        </w:rPr>
        <w:t>9</w:t>
      </w:r>
      <w:r w:rsidR="005E0450" w:rsidRPr="00510388">
        <w:rPr>
          <w:rFonts w:ascii="Verdana" w:hAnsi="Verdana" w:cs="Arial"/>
          <w:sz w:val="18"/>
          <w:szCs w:val="18"/>
        </w:rPr>
        <w:t xml:space="preserve"> </w:t>
      </w:r>
      <w:proofErr w:type="spellStart"/>
      <w:r w:rsidR="005E0450" w:rsidRPr="00510388">
        <w:rPr>
          <w:rFonts w:ascii="Verdana" w:hAnsi="Verdana" w:cs="Arial"/>
          <w:sz w:val="18"/>
          <w:szCs w:val="18"/>
        </w:rPr>
        <w:t>mn</w:t>
      </w:r>
      <w:proofErr w:type="spellEnd"/>
      <w:r w:rsidR="005E0450" w:rsidRPr="00510388">
        <w:rPr>
          <w:rFonts w:ascii="Verdana" w:hAnsi="Verdana" w:cs="Arial"/>
          <w:sz w:val="18"/>
          <w:szCs w:val="18"/>
        </w:rPr>
        <w:t xml:space="preserve">, </w:t>
      </w:r>
      <w:r w:rsidR="00E87FFA" w:rsidRPr="00510388">
        <w:rPr>
          <w:rFonts w:ascii="Verdana" w:hAnsi="Verdana" w:cs="Arial"/>
          <w:sz w:val="18"/>
          <w:szCs w:val="18"/>
        </w:rPr>
        <w:t>compared to</w:t>
      </w:r>
      <w:r w:rsidR="005E0450" w:rsidRPr="00510388">
        <w:rPr>
          <w:rFonts w:ascii="Verdana" w:hAnsi="Verdana" w:cs="Arial"/>
          <w:sz w:val="18"/>
          <w:szCs w:val="18"/>
        </w:rPr>
        <w:t xml:space="preserve"> </w:t>
      </w:r>
      <w:r w:rsidR="006D543F" w:rsidRPr="00510388">
        <w:rPr>
          <w:rFonts w:ascii="Verdana" w:hAnsi="Verdana" w:cs="Arial"/>
          <w:sz w:val="18"/>
          <w:szCs w:val="18"/>
        </w:rPr>
        <w:t xml:space="preserve">    </w:t>
      </w:r>
      <w:r w:rsidR="005E0450" w:rsidRPr="00510388">
        <w:rPr>
          <w:rFonts w:ascii="Verdana" w:hAnsi="Verdana" w:cs="Arial"/>
          <w:sz w:val="18"/>
          <w:szCs w:val="18"/>
        </w:rPr>
        <w:t>€</w:t>
      </w:r>
      <w:r w:rsidR="00510388" w:rsidRPr="00510388">
        <w:rPr>
          <w:rFonts w:ascii="Verdana" w:hAnsi="Verdana" w:cs="Arial"/>
          <w:sz w:val="18"/>
          <w:szCs w:val="18"/>
        </w:rPr>
        <w:t>806</w:t>
      </w:r>
      <w:r w:rsidR="005E0450" w:rsidRPr="00510388">
        <w:rPr>
          <w:rFonts w:ascii="Verdana" w:hAnsi="Verdana" w:cs="Arial"/>
          <w:sz w:val="18"/>
          <w:szCs w:val="18"/>
        </w:rPr>
        <w:t>,</w:t>
      </w:r>
      <w:r w:rsidR="00510388" w:rsidRPr="00510388">
        <w:rPr>
          <w:rFonts w:ascii="Verdana" w:hAnsi="Verdana" w:cs="Arial"/>
          <w:sz w:val="18"/>
          <w:szCs w:val="18"/>
        </w:rPr>
        <w:t>1</w:t>
      </w:r>
      <w:r w:rsidR="005E0450" w:rsidRPr="00510388">
        <w:rPr>
          <w:rFonts w:ascii="Verdana" w:hAnsi="Verdana" w:cs="Arial"/>
          <w:sz w:val="18"/>
          <w:szCs w:val="18"/>
        </w:rPr>
        <w:t xml:space="preserve"> </w:t>
      </w:r>
      <w:proofErr w:type="spellStart"/>
      <w:r w:rsidR="005E0450" w:rsidRPr="00510388">
        <w:rPr>
          <w:rFonts w:ascii="Verdana" w:hAnsi="Verdana" w:cs="Arial"/>
          <w:sz w:val="18"/>
          <w:szCs w:val="18"/>
        </w:rPr>
        <w:t>mn</w:t>
      </w:r>
      <w:proofErr w:type="spellEnd"/>
      <w:r w:rsidR="005E0450" w:rsidRPr="00510388">
        <w:rPr>
          <w:rFonts w:ascii="Verdana" w:hAnsi="Verdana" w:cs="Arial"/>
          <w:sz w:val="18"/>
          <w:szCs w:val="18"/>
        </w:rPr>
        <w:t xml:space="preserve"> in 202</w:t>
      </w:r>
      <w:r w:rsidR="009C201E" w:rsidRPr="00510388">
        <w:rPr>
          <w:rFonts w:ascii="Verdana" w:hAnsi="Verdana" w:cs="Arial"/>
          <w:sz w:val="18"/>
          <w:szCs w:val="18"/>
        </w:rPr>
        <w:t>2</w:t>
      </w:r>
      <w:r w:rsidR="005E0450" w:rsidRPr="00510388">
        <w:rPr>
          <w:rFonts w:ascii="Verdana" w:hAnsi="Verdana" w:cs="Arial"/>
          <w:sz w:val="18"/>
          <w:szCs w:val="18"/>
        </w:rPr>
        <w:t>.</w:t>
      </w:r>
      <w:r w:rsidR="00510388" w:rsidRPr="00510388">
        <w:rPr>
          <w:rFonts w:ascii="Verdana" w:hAnsi="Verdana" w:cs="Arial"/>
          <w:sz w:val="18"/>
          <w:szCs w:val="18"/>
        </w:rPr>
        <w:t xml:space="preserve"> C</w:t>
      </w:r>
      <w:r w:rsidR="00865CD8" w:rsidRPr="00510388">
        <w:rPr>
          <w:rFonts w:ascii="Verdana" w:hAnsi="Verdana" w:cs="Arial"/>
          <w:sz w:val="18"/>
          <w:szCs w:val="18"/>
        </w:rPr>
        <w:t xml:space="preserve">apital transfers </w:t>
      </w:r>
      <w:r w:rsidR="00510388" w:rsidRPr="00510388">
        <w:rPr>
          <w:rFonts w:ascii="Verdana" w:hAnsi="Verdana" w:cs="Arial"/>
          <w:sz w:val="18"/>
          <w:szCs w:val="18"/>
        </w:rPr>
        <w:t>in</w:t>
      </w:r>
      <w:r w:rsidR="00865CD8" w:rsidRPr="00510388">
        <w:rPr>
          <w:rFonts w:ascii="Verdana" w:hAnsi="Verdana" w:cs="Arial"/>
          <w:sz w:val="18"/>
          <w:szCs w:val="18"/>
        </w:rPr>
        <w:t>creased by €</w:t>
      </w:r>
      <w:r w:rsidR="00510388" w:rsidRPr="00510388">
        <w:rPr>
          <w:rFonts w:ascii="Verdana" w:hAnsi="Verdana" w:cs="Arial"/>
          <w:sz w:val="18"/>
          <w:szCs w:val="18"/>
        </w:rPr>
        <w:t>71</w:t>
      </w:r>
      <w:r w:rsidR="00865CD8" w:rsidRPr="00510388">
        <w:rPr>
          <w:rFonts w:ascii="Verdana" w:hAnsi="Verdana" w:cs="Arial"/>
          <w:sz w:val="18"/>
          <w:szCs w:val="18"/>
        </w:rPr>
        <w:t>,</w:t>
      </w:r>
      <w:r w:rsidR="00510388" w:rsidRPr="00510388">
        <w:rPr>
          <w:rFonts w:ascii="Verdana" w:hAnsi="Verdana" w:cs="Arial"/>
          <w:sz w:val="18"/>
          <w:szCs w:val="18"/>
        </w:rPr>
        <w:t>5</w:t>
      </w:r>
      <w:r w:rsidR="00865CD8" w:rsidRPr="00510388">
        <w:rPr>
          <w:rFonts w:ascii="Verdana" w:hAnsi="Verdana" w:cs="Arial"/>
          <w:sz w:val="18"/>
          <w:szCs w:val="18"/>
        </w:rPr>
        <w:t xml:space="preserve"> </w:t>
      </w:r>
      <w:proofErr w:type="spellStart"/>
      <w:r w:rsidR="00865CD8" w:rsidRPr="00510388">
        <w:rPr>
          <w:rFonts w:ascii="Verdana" w:hAnsi="Verdana" w:cs="Arial"/>
          <w:sz w:val="18"/>
          <w:szCs w:val="18"/>
        </w:rPr>
        <w:t>mn</w:t>
      </w:r>
      <w:proofErr w:type="spellEnd"/>
      <w:r w:rsidR="00865CD8" w:rsidRPr="00510388">
        <w:rPr>
          <w:rFonts w:ascii="Verdana" w:hAnsi="Verdana" w:cs="Arial"/>
          <w:sz w:val="18"/>
          <w:szCs w:val="18"/>
        </w:rPr>
        <w:t xml:space="preserve"> (</w:t>
      </w:r>
      <w:r w:rsidR="00510388" w:rsidRPr="00510388">
        <w:rPr>
          <w:rFonts w:ascii="Verdana" w:hAnsi="Verdana" w:cs="Arial"/>
          <w:sz w:val="18"/>
          <w:szCs w:val="18"/>
        </w:rPr>
        <w:t>+25</w:t>
      </w:r>
      <w:r w:rsidR="000E72FC" w:rsidRPr="00510388">
        <w:rPr>
          <w:rFonts w:ascii="Verdana" w:hAnsi="Verdana" w:cs="Arial"/>
          <w:sz w:val="18"/>
          <w:szCs w:val="18"/>
        </w:rPr>
        <w:t>,</w:t>
      </w:r>
      <w:r w:rsidR="00510388" w:rsidRPr="00510388">
        <w:rPr>
          <w:rFonts w:ascii="Verdana" w:hAnsi="Verdana" w:cs="Arial"/>
          <w:sz w:val="18"/>
          <w:szCs w:val="18"/>
        </w:rPr>
        <w:t>1</w:t>
      </w:r>
      <w:r w:rsidR="00865CD8" w:rsidRPr="00510388">
        <w:rPr>
          <w:rFonts w:ascii="Verdana" w:hAnsi="Verdana" w:cs="Arial"/>
          <w:sz w:val="18"/>
          <w:szCs w:val="18"/>
        </w:rPr>
        <w:t xml:space="preserve">%) </w:t>
      </w:r>
      <w:r w:rsidR="00510388" w:rsidRPr="00510388">
        <w:rPr>
          <w:rFonts w:ascii="Verdana" w:hAnsi="Verdana" w:cs="Arial"/>
          <w:sz w:val="18"/>
          <w:szCs w:val="18"/>
        </w:rPr>
        <w:t xml:space="preserve">and amounted </w:t>
      </w:r>
      <w:r w:rsidR="00865CD8" w:rsidRPr="00510388">
        <w:rPr>
          <w:rFonts w:ascii="Verdana" w:hAnsi="Verdana" w:cs="Arial"/>
          <w:sz w:val="18"/>
          <w:szCs w:val="18"/>
        </w:rPr>
        <w:t>to €</w:t>
      </w:r>
      <w:r w:rsidR="00510388" w:rsidRPr="00510388">
        <w:rPr>
          <w:rFonts w:ascii="Verdana" w:hAnsi="Verdana" w:cs="Arial"/>
          <w:sz w:val="18"/>
          <w:szCs w:val="18"/>
        </w:rPr>
        <w:t>356</w:t>
      </w:r>
      <w:r w:rsidR="00865CD8" w:rsidRPr="00510388">
        <w:rPr>
          <w:rFonts w:ascii="Verdana" w:hAnsi="Verdana" w:cs="Arial"/>
          <w:sz w:val="18"/>
          <w:szCs w:val="18"/>
        </w:rPr>
        <w:t>,</w:t>
      </w:r>
      <w:r w:rsidR="00510388" w:rsidRPr="00510388">
        <w:rPr>
          <w:rFonts w:ascii="Verdana" w:hAnsi="Verdana" w:cs="Arial"/>
          <w:sz w:val="18"/>
          <w:szCs w:val="18"/>
        </w:rPr>
        <w:t>9</w:t>
      </w:r>
      <w:r w:rsidR="00865CD8" w:rsidRPr="00510388">
        <w:rPr>
          <w:rFonts w:ascii="Verdana" w:hAnsi="Verdana" w:cs="Arial"/>
          <w:sz w:val="18"/>
          <w:szCs w:val="18"/>
        </w:rPr>
        <w:t xml:space="preserve"> mn, </w:t>
      </w:r>
      <w:r w:rsidR="00510388" w:rsidRPr="00510388">
        <w:rPr>
          <w:rFonts w:ascii="Verdana" w:hAnsi="Verdana" w:cs="Arial"/>
          <w:sz w:val="18"/>
          <w:szCs w:val="18"/>
        </w:rPr>
        <w:t>compared to</w:t>
      </w:r>
      <w:r w:rsidR="00865CD8" w:rsidRPr="00510388">
        <w:rPr>
          <w:rFonts w:ascii="Verdana" w:hAnsi="Verdana" w:cs="Arial"/>
          <w:sz w:val="18"/>
          <w:szCs w:val="18"/>
        </w:rPr>
        <w:t xml:space="preserve"> €</w:t>
      </w:r>
      <w:r w:rsidR="00510388" w:rsidRPr="00510388">
        <w:rPr>
          <w:rFonts w:ascii="Verdana" w:hAnsi="Verdana" w:cs="Arial"/>
          <w:sz w:val="18"/>
          <w:szCs w:val="18"/>
        </w:rPr>
        <w:t>285</w:t>
      </w:r>
      <w:r w:rsidR="00865CD8" w:rsidRPr="00510388">
        <w:rPr>
          <w:rFonts w:ascii="Verdana" w:hAnsi="Verdana" w:cs="Arial"/>
          <w:sz w:val="18"/>
          <w:szCs w:val="18"/>
        </w:rPr>
        <w:t>,</w:t>
      </w:r>
      <w:r w:rsidR="00510388" w:rsidRPr="00510388">
        <w:rPr>
          <w:rFonts w:ascii="Verdana" w:hAnsi="Verdana" w:cs="Arial"/>
          <w:sz w:val="18"/>
          <w:szCs w:val="18"/>
        </w:rPr>
        <w:t>4</w:t>
      </w:r>
      <w:r w:rsidR="000E72FC" w:rsidRPr="00510388">
        <w:rPr>
          <w:rFonts w:ascii="Verdana" w:hAnsi="Verdana" w:cs="Arial"/>
          <w:sz w:val="18"/>
          <w:szCs w:val="18"/>
        </w:rPr>
        <w:t xml:space="preserve"> mn in </w:t>
      </w:r>
      <w:r w:rsidR="00865CD8" w:rsidRPr="00510388">
        <w:rPr>
          <w:rFonts w:ascii="Verdana" w:hAnsi="Verdana" w:cs="Arial"/>
          <w:sz w:val="18"/>
          <w:szCs w:val="18"/>
        </w:rPr>
        <w:t>202</w:t>
      </w:r>
      <w:r w:rsidR="009C201E" w:rsidRPr="00510388">
        <w:rPr>
          <w:rFonts w:ascii="Verdana" w:hAnsi="Verdana" w:cs="Arial"/>
          <w:sz w:val="18"/>
          <w:szCs w:val="18"/>
        </w:rPr>
        <w:t>2</w:t>
      </w:r>
      <w:r w:rsidR="00865CD8" w:rsidRPr="00510388">
        <w:rPr>
          <w:rFonts w:ascii="Verdana" w:hAnsi="Verdana" w:cs="Arial"/>
          <w:sz w:val="18"/>
          <w:szCs w:val="18"/>
        </w:rPr>
        <w:t xml:space="preserve">. </w:t>
      </w:r>
    </w:p>
    <w:p w14:paraId="5EE07C5B" w14:textId="77777777" w:rsidR="00972CA0" w:rsidRPr="00510388" w:rsidRDefault="00463214" w:rsidP="00C26329">
      <w:pPr>
        <w:jc w:val="both"/>
        <w:rPr>
          <w:rFonts w:ascii="Arial" w:hAnsi="Arial" w:cs="Arial"/>
          <w:sz w:val="18"/>
          <w:szCs w:val="18"/>
        </w:rPr>
      </w:pPr>
      <w:r w:rsidRPr="00510388">
        <w:rPr>
          <w:rFonts w:ascii="Arial" w:hAnsi="Arial" w:cs="Arial"/>
          <w:sz w:val="18"/>
          <w:szCs w:val="18"/>
        </w:rPr>
        <w:tab/>
      </w:r>
    </w:p>
    <w:p w14:paraId="650FA285" w14:textId="77777777" w:rsidR="00A13B2F" w:rsidRPr="00014426" w:rsidRDefault="00A13B2F" w:rsidP="00A13B2F">
      <w:pPr>
        <w:jc w:val="both"/>
        <w:rPr>
          <w:rFonts w:ascii="Verdana" w:hAnsi="Verdana" w:cs="Arial"/>
          <w:b/>
          <w:bCs/>
          <w:sz w:val="18"/>
          <w:szCs w:val="18"/>
          <w:u w:val="single"/>
        </w:rPr>
      </w:pPr>
      <w:r w:rsidRPr="00014426">
        <w:rPr>
          <w:rFonts w:ascii="Verdana" w:hAnsi="Verdana" w:cs="Arial"/>
          <w:b/>
          <w:bCs/>
          <w:sz w:val="18"/>
          <w:szCs w:val="18"/>
          <w:u w:val="single"/>
        </w:rPr>
        <w:t>Expenditure</w:t>
      </w:r>
    </w:p>
    <w:p w14:paraId="23DAC500" w14:textId="77777777" w:rsidR="00A13B2F" w:rsidRPr="00014426" w:rsidRDefault="00A13B2F" w:rsidP="00A13B2F">
      <w:pPr>
        <w:jc w:val="both"/>
        <w:rPr>
          <w:rFonts w:ascii="Verdana" w:hAnsi="Verdana" w:cs="Arial"/>
          <w:sz w:val="18"/>
          <w:szCs w:val="18"/>
        </w:rPr>
      </w:pPr>
    </w:p>
    <w:p w14:paraId="1AC44E12" w14:textId="534C88BF" w:rsidR="009206B5" w:rsidRPr="00014426" w:rsidRDefault="008B721B" w:rsidP="009206B5">
      <w:pPr>
        <w:jc w:val="both"/>
        <w:rPr>
          <w:rFonts w:ascii="Verdana" w:hAnsi="Verdana" w:cs="Arial"/>
          <w:sz w:val="18"/>
          <w:szCs w:val="18"/>
        </w:rPr>
      </w:pPr>
      <w:r w:rsidRPr="00014426">
        <w:rPr>
          <w:rFonts w:ascii="Verdana" w:hAnsi="Verdana" w:cs="Arial"/>
          <w:sz w:val="18"/>
          <w:szCs w:val="18"/>
        </w:rPr>
        <w:t>In 202</w:t>
      </w:r>
      <w:r w:rsidR="009C201E" w:rsidRPr="00014426">
        <w:rPr>
          <w:rFonts w:ascii="Verdana" w:hAnsi="Verdana" w:cs="Arial"/>
          <w:sz w:val="18"/>
          <w:szCs w:val="18"/>
        </w:rPr>
        <w:t>3</w:t>
      </w:r>
      <w:r w:rsidR="009206B5" w:rsidRPr="00014426">
        <w:rPr>
          <w:rFonts w:ascii="Verdana" w:hAnsi="Verdana" w:cs="Arial"/>
          <w:sz w:val="18"/>
          <w:szCs w:val="18"/>
        </w:rPr>
        <w:t xml:space="preserve">, total expenditure increased by </w:t>
      </w:r>
      <w:r w:rsidR="00014426" w:rsidRPr="00014426">
        <w:rPr>
          <w:rFonts w:ascii="Verdana" w:hAnsi="Verdana" w:cs="Arial"/>
          <w:sz w:val="18"/>
          <w:szCs w:val="18"/>
        </w:rPr>
        <w:t xml:space="preserve">€1.213,3 </w:t>
      </w:r>
      <w:proofErr w:type="spellStart"/>
      <w:r w:rsidR="009206B5" w:rsidRPr="00014426">
        <w:rPr>
          <w:rFonts w:ascii="Verdana" w:hAnsi="Verdana" w:cs="Arial"/>
          <w:sz w:val="18"/>
          <w:szCs w:val="18"/>
        </w:rPr>
        <w:t>mn</w:t>
      </w:r>
      <w:proofErr w:type="spellEnd"/>
      <w:r w:rsidR="009206B5" w:rsidRPr="00014426">
        <w:rPr>
          <w:rFonts w:ascii="Verdana" w:hAnsi="Verdana" w:cs="Arial"/>
          <w:sz w:val="18"/>
          <w:szCs w:val="18"/>
        </w:rPr>
        <w:t xml:space="preserve"> (+</w:t>
      </w:r>
      <w:r w:rsidR="00014426" w:rsidRPr="00014426">
        <w:rPr>
          <w:rFonts w:ascii="Verdana" w:hAnsi="Verdana" w:cs="Arial"/>
          <w:sz w:val="18"/>
          <w:szCs w:val="18"/>
        </w:rPr>
        <w:t>11</w:t>
      </w:r>
      <w:r w:rsidR="009206B5" w:rsidRPr="00014426">
        <w:rPr>
          <w:rFonts w:ascii="Verdana" w:hAnsi="Verdana" w:cs="Arial"/>
          <w:sz w:val="18"/>
          <w:szCs w:val="18"/>
        </w:rPr>
        <w:t>,</w:t>
      </w:r>
      <w:r w:rsidR="00014426" w:rsidRPr="00014426">
        <w:rPr>
          <w:rFonts w:ascii="Verdana" w:hAnsi="Verdana" w:cs="Arial"/>
          <w:sz w:val="18"/>
          <w:szCs w:val="18"/>
        </w:rPr>
        <w:t>3</w:t>
      </w:r>
      <w:r w:rsidR="009206B5" w:rsidRPr="00014426">
        <w:rPr>
          <w:rFonts w:ascii="Verdana" w:hAnsi="Verdana" w:cs="Arial"/>
          <w:sz w:val="18"/>
          <w:szCs w:val="18"/>
        </w:rPr>
        <w:t>%) and amounted to €</w:t>
      </w:r>
      <w:r w:rsidR="00152950" w:rsidRPr="00014426">
        <w:rPr>
          <w:rFonts w:ascii="Verdana" w:hAnsi="Verdana" w:cs="Arial"/>
          <w:sz w:val="18"/>
          <w:szCs w:val="18"/>
        </w:rPr>
        <w:t>1</w:t>
      </w:r>
      <w:r w:rsidR="00014426" w:rsidRPr="00014426">
        <w:rPr>
          <w:rFonts w:ascii="Verdana" w:hAnsi="Verdana" w:cs="Arial"/>
          <w:sz w:val="18"/>
          <w:szCs w:val="18"/>
        </w:rPr>
        <w:t>1</w:t>
      </w:r>
      <w:r w:rsidR="009206B5" w:rsidRPr="00014426">
        <w:rPr>
          <w:rFonts w:ascii="Verdana" w:hAnsi="Verdana" w:cs="Arial"/>
          <w:sz w:val="18"/>
          <w:szCs w:val="18"/>
        </w:rPr>
        <w:t>.</w:t>
      </w:r>
      <w:r w:rsidR="00014426" w:rsidRPr="00014426">
        <w:rPr>
          <w:rFonts w:ascii="Verdana" w:hAnsi="Verdana" w:cs="Arial"/>
          <w:sz w:val="18"/>
          <w:szCs w:val="18"/>
        </w:rPr>
        <w:t>995</w:t>
      </w:r>
      <w:r w:rsidR="009206B5" w:rsidRPr="00014426">
        <w:rPr>
          <w:rFonts w:ascii="Verdana" w:hAnsi="Verdana" w:cs="Arial"/>
          <w:sz w:val="18"/>
          <w:szCs w:val="18"/>
        </w:rPr>
        <w:t>,</w:t>
      </w:r>
      <w:r w:rsidR="00152950" w:rsidRPr="00014426">
        <w:rPr>
          <w:rFonts w:ascii="Verdana" w:hAnsi="Verdana" w:cs="Arial"/>
          <w:sz w:val="18"/>
          <w:szCs w:val="18"/>
        </w:rPr>
        <w:t>1</w:t>
      </w:r>
      <w:r w:rsidR="009206B5" w:rsidRPr="00014426">
        <w:rPr>
          <w:rFonts w:ascii="Verdana" w:hAnsi="Verdana" w:cs="Arial"/>
          <w:sz w:val="18"/>
          <w:szCs w:val="18"/>
        </w:rPr>
        <w:t xml:space="preserve"> </w:t>
      </w:r>
      <w:proofErr w:type="spellStart"/>
      <w:r w:rsidR="009206B5" w:rsidRPr="00014426">
        <w:rPr>
          <w:rFonts w:ascii="Verdana" w:hAnsi="Verdana" w:cs="Arial"/>
          <w:sz w:val="18"/>
          <w:szCs w:val="18"/>
        </w:rPr>
        <w:t>mn</w:t>
      </w:r>
      <w:proofErr w:type="spellEnd"/>
      <w:r w:rsidR="009206B5" w:rsidRPr="00014426">
        <w:rPr>
          <w:rFonts w:ascii="Verdana" w:hAnsi="Verdana" w:cs="Arial"/>
          <w:sz w:val="18"/>
          <w:szCs w:val="18"/>
        </w:rPr>
        <w:t>, from €</w:t>
      </w:r>
      <w:r w:rsidR="00152950" w:rsidRPr="00014426">
        <w:rPr>
          <w:rFonts w:ascii="Verdana" w:hAnsi="Verdana" w:cs="Arial"/>
          <w:sz w:val="18"/>
          <w:szCs w:val="18"/>
        </w:rPr>
        <w:t>10</w:t>
      </w:r>
      <w:r w:rsidR="009206B5" w:rsidRPr="00014426">
        <w:rPr>
          <w:rFonts w:ascii="Verdana" w:hAnsi="Verdana" w:cs="Arial"/>
          <w:sz w:val="18"/>
          <w:szCs w:val="18"/>
        </w:rPr>
        <w:t>.</w:t>
      </w:r>
      <w:r w:rsidR="00014426" w:rsidRPr="00014426">
        <w:rPr>
          <w:rFonts w:ascii="Verdana" w:hAnsi="Verdana" w:cs="Arial"/>
          <w:sz w:val="18"/>
          <w:szCs w:val="18"/>
        </w:rPr>
        <w:t>781</w:t>
      </w:r>
      <w:r w:rsidR="009206B5" w:rsidRPr="00014426">
        <w:rPr>
          <w:rFonts w:ascii="Verdana" w:hAnsi="Verdana" w:cs="Arial"/>
          <w:sz w:val="18"/>
          <w:szCs w:val="18"/>
        </w:rPr>
        <w:t>,</w:t>
      </w:r>
      <w:r w:rsidR="00014426" w:rsidRPr="00014426">
        <w:rPr>
          <w:rFonts w:ascii="Verdana" w:hAnsi="Verdana" w:cs="Arial"/>
          <w:sz w:val="18"/>
          <w:szCs w:val="18"/>
        </w:rPr>
        <w:t>8</w:t>
      </w:r>
      <w:r w:rsidR="009206B5" w:rsidRPr="00014426">
        <w:rPr>
          <w:rFonts w:ascii="Verdana" w:hAnsi="Verdana" w:cs="Arial"/>
          <w:sz w:val="18"/>
          <w:szCs w:val="18"/>
        </w:rPr>
        <w:t xml:space="preserve"> </w:t>
      </w:r>
      <w:proofErr w:type="spellStart"/>
      <w:r w:rsidR="009206B5" w:rsidRPr="00014426">
        <w:rPr>
          <w:rFonts w:ascii="Verdana" w:hAnsi="Verdana" w:cs="Arial"/>
          <w:sz w:val="18"/>
          <w:szCs w:val="18"/>
        </w:rPr>
        <w:t>mn</w:t>
      </w:r>
      <w:proofErr w:type="spellEnd"/>
      <w:r w:rsidR="009206B5" w:rsidRPr="00014426">
        <w:rPr>
          <w:rFonts w:ascii="Verdana" w:hAnsi="Verdana" w:cs="Arial"/>
          <w:sz w:val="18"/>
          <w:szCs w:val="18"/>
        </w:rPr>
        <w:t xml:space="preserve"> in 202</w:t>
      </w:r>
      <w:r w:rsidR="009C201E" w:rsidRPr="00014426">
        <w:rPr>
          <w:rFonts w:ascii="Verdana" w:hAnsi="Verdana" w:cs="Arial"/>
          <w:sz w:val="18"/>
          <w:szCs w:val="18"/>
        </w:rPr>
        <w:t>2</w:t>
      </w:r>
      <w:r w:rsidR="009206B5" w:rsidRPr="00014426">
        <w:rPr>
          <w:rFonts w:ascii="Verdana" w:hAnsi="Verdana" w:cs="Arial"/>
          <w:sz w:val="18"/>
          <w:szCs w:val="18"/>
        </w:rPr>
        <w:t xml:space="preserve">. </w:t>
      </w:r>
    </w:p>
    <w:p w14:paraId="77F3BD6F" w14:textId="77777777" w:rsidR="009206B5" w:rsidRPr="009C201E" w:rsidRDefault="009206B5" w:rsidP="009206B5">
      <w:pPr>
        <w:jc w:val="both"/>
        <w:rPr>
          <w:rFonts w:ascii="Verdana" w:hAnsi="Verdana" w:cs="Arial"/>
          <w:sz w:val="18"/>
          <w:szCs w:val="18"/>
          <w:highlight w:val="yellow"/>
        </w:rPr>
      </w:pPr>
    </w:p>
    <w:p w14:paraId="5CB754AB" w14:textId="6B7513D2" w:rsidR="009A23D6" w:rsidRPr="00342957" w:rsidRDefault="009206B5" w:rsidP="00A522FD">
      <w:pPr>
        <w:jc w:val="both"/>
        <w:rPr>
          <w:rFonts w:ascii="Verdana" w:hAnsi="Verdana" w:cs="Arial"/>
          <w:sz w:val="18"/>
          <w:szCs w:val="18"/>
        </w:rPr>
      </w:pPr>
      <w:r w:rsidRPr="00342957">
        <w:rPr>
          <w:rFonts w:ascii="Verdana" w:hAnsi="Verdana" w:cs="Arial"/>
          <w:sz w:val="18"/>
          <w:szCs w:val="18"/>
        </w:rPr>
        <w:t xml:space="preserve">Specifically, </w:t>
      </w:r>
      <w:r w:rsidR="00342957">
        <w:rPr>
          <w:rFonts w:ascii="Verdana" w:hAnsi="Verdana" w:cs="Arial"/>
          <w:sz w:val="18"/>
          <w:szCs w:val="18"/>
        </w:rPr>
        <w:t>c</w:t>
      </w:r>
      <w:r w:rsidR="00152950" w:rsidRPr="00342957">
        <w:rPr>
          <w:rFonts w:ascii="Verdana" w:hAnsi="Verdana" w:cs="Arial"/>
          <w:sz w:val="18"/>
          <w:szCs w:val="18"/>
        </w:rPr>
        <w:t>ompensation of employees (including imputed social contributions and pensions of civil servants) increased by €</w:t>
      </w:r>
      <w:r w:rsidR="00342957" w:rsidRPr="00342957">
        <w:rPr>
          <w:rFonts w:ascii="Verdana" w:hAnsi="Verdana" w:cs="Arial"/>
          <w:sz w:val="18"/>
          <w:szCs w:val="18"/>
        </w:rPr>
        <w:t>408</w:t>
      </w:r>
      <w:r w:rsidR="00152950" w:rsidRPr="00342957">
        <w:rPr>
          <w:rFonts w:ascii="Verdana" w:hAnsi="Verdana" w:cs="Arial"/>
          <w:sz w:val="18"/>
          <w:szCs w:val="18"/>
        </w:rPr>
        <w:t>,</w:t>
      </w:r>
      <w:r w:rsidR="00342957" w:rsidRPr="00342957">
        <w:rPr>
          <w:rFonts w:ascii="Verdana" w:hAnsi="Verdana" w:cs="Arial"/>
          <w:sz w:val="18"/>
          <w:szCs w:val="18"/>
        </w:rPr>
        <w:t>0</w:t>
      </w:r>
      <w:r w:rsidR="00152950" w:rsidRPr="00342957">
        <w:rPr>
          <w:rFonts w:ascii="Verdana" w:hAnsi="Verdana" w:cs="Arial"/>
          <w:sz w:val="18"/>
          <w:szCs w:val="18"/>
        </w:rPr>
        <w:t xml:space="preserve"> </w:t>
      </w:r>
      <w:proofErr w:type="spellStart"/>
      <w:r w:rsidR="00152950" w:rsidRPr="00342957">
        <w:rPr>
          <w:rFonts w:ascii="Verdana" w:hAnsi="Verdana" w:cs="Arial"/>
          <w:sz w:val="18"/>
          <w:szCs w:val="18"/>
        </w:rPr>
        <w:t>mn</w:t>
      </w:r>
      <w:proofErr w:type="spellEnd"/>
      <w:r w:rsidR="00152950" w:rsidRPr="00342957">
        <w:rPr>
          <w:rFonts w:ascii="Verdana" w:hAnsi="Verdana" w:cs="Arial"/>
          <w:sz w:val="18"/>
          <w:szCs w:val="18"/>
        </w:rPr>
        <w:t xml:space="preserve"> (+</w:t>
      </w:r>
      <w:r w:rsidR="00342957" w:rsidRPr="00342957">
        <w:rPr>
          <w:rFonts w:ascii="Verdana" w:hAnsi="Verdana" w:cs="Arial"/>
          <w:sz w:val="18"/>
          <w:szCs w:val="18"/>
        </w:rPr>
        <w:t>12</w:t>
      </w:r>
      <w:r w:rsidR="00152950" w:rsidRPr="00342957">
        <w:rPr>
          <w:rFonts w:ascii="Verdana" w:hAnsi="Verdana" w:cs="Arial"/>
          <w:sz w:val="18"/>
          <w:szCs w:val="18"/>
        </w:rPr>
        <w:t>,</w:t>
      </w:r>
      <w:r w:rsidR="00342957" w:rsidRPr="00342957">
        <w:rPr>
          <w:rFonts w:ascii="Verdana" w:hAnsi="Verdana" w:cs="Arial"/>
          <w:sz w:val="18"/>
          <w:szCs w:val="18"/>
        </w:rPr>
        <w:t>8</w:t>
      </w:r>
      <w:r w:rsidR="00152950" w:rsidRPr="00342957">
        <w:rPr>
          <w:rFonts w:ascii="Verdana" w:hAnsi="Verdana" w:cs="Arial"/>
          <w:sz w:val="18"/>
          <w:szCs w:val="18"/>
        </w:rPr>
        <w:t>%) and amounted to €3.</w:t>
      </w:r>
      <w:r w:rsidR="00342957" w:rsidRPr="00342957">
        <w:rPr>
          <w:rFonts w:ascii="Verdana" w:hAnsi="Verdana" w:cs="Arial"/>
          <w:sz w:val="18"/>
          <w:szCs w:val="18"/>
        </w:rPr>
        <w:t>587</w:t>
      </w:r>
      <w:r w:rsidR="00152950" w:rsidRPr="00342957">
        <w:rPr>
          <w:rFonts w:ascii="Verdana" w:hAnsi="Verdana" w:cs="Arial"/>
          <w:sz w:val="18"/>
          <w:szCs w:val="18"/>
        </w:rPr>
        <w:t xml:space="preserve">,2 </w:t>
      </w:r>
      <w:proofErr w:type="spellStart"/>
      <w:r w:rsidR="00152950" w:rsidRPr="00342957">
        <w:rPr>
          <w:rFonts w:ascii="Verdana" w:hAnsi="Verdana" w:cs="Arial"/>
          <w:sz w:val="18"/>
          <w:szCs w:val="18"/>
        </w:rPr>
        <w:t>mn</w:t>
      </w:r>
      <w:proofErr w:type="spellEnd"/>
      <w:r w:rsidR="00152950" w:rsidRPr="00342957">
        <w:rPr>
          <w:rFonts w:ascii="Verdana" w:hAnsi="Verdana" w:cs="Arial"/>
          <w:sz w:val="18"/>
          <w:szCs w:val="18"/>
        </w:rPr>
        <w:t>, compared to €</w:t>
      </w:r>
      <w:r w:rsidR="00342957" w:rsidRPr="00342957">
        <w:rPr>
          <w:rFonts w:ascii="Verdana" w:hAnsi="Verdana" w:cs="Arial"/>
          <w:sz w:val="18"/>
          <w:szCs w:val="18"/>
        </w:rPr>
        <w:t>3</w:t>
      </w:r>
      <w:r w:rsidR="00152950" w:rsidRPr="00342957">
        <w:rPr>
          <w:rFonts w:ascii="Verdana" w:hAnsi="Verdana" w:cs="Arial"/>
          <w:sz w:val="18"/>
          <w:szCs w:val="18"/>
        </w:rPr>
        <w:t>.</w:t>
      </w:r>
      <w:r w:rsidR="00342957" w:rsidRPr="00342957">
        <w:rPr>
          <w:rFonts w:ascii="Verdana" w:hAnsi="Verdana" w:cs="Arial"/>
          <w:sz w:val="18"/>
          <w:szCs w:val="18"/>
        </w:rPr>
        <w:t>179</w:t>
      </w:r>
      <w:r w:rsidR="00152950" w:rsidRPr="00342957">
        <w:rPr>
          <w:rFonts w:ascii="Verdana" w:hAnsi="Verdana" w:cs="Arial"/>
          <w:sz w:val="18"/>
          <w:szCs w:val="18"/>
        </w:rPr>
        <w:t>,</w:t>
      </w:r>
      <w:r w:rsidR="00342957" w:rsidRPr="00342957">
        <w:rPr>
          <w:rFonts w:ascii="Verdana" w:hAnsi="Verdana" w:cs="Arial"/>
          <w:sz w:val="18"/>
          <w:szCs w:val="18"/>
        </w:rPr>
        <w:t>2</w:t>
      </w:r>
      <w:r w:rsidR="00152950" w:rsidRPr="00342957">
        <w:rPr>
          <w:rFonts w:ascii="Verdana" w:hAnsi="Verdana" w:cs="Arial"/>
          <w:sz w:val="18"/>
          <w:szCs w:val="18"/>
        </w:rPr>
        <w:t xml:space="preserve"> </w:t>
      </w:r>
      <w:proofErr w:type="spellStart"/>
      <w:r w:rsidR="00152950" w:rsidRPr="00342957">
        <w:rPr>
          <w:rFonts w:ascii="Verdana" w:hAnsi="Verdana" w:cs="Arial"/>
          <w:sz w:val="18"/>
          <w:szCs w:val="18"/>
        </w:rPr>
        <w:t>mn</w:t>
      </w:r>
      <w:proofErr w:type="spellEnd"/>
      <w:r w:rsidR="00152950" w:rsidRPr="00342957">
        <w:rPr>
          <w:rFonts w:ascii="Verdana" w:hAnsi="Verdana" w:cs="Arial"/>
          <w:sz w:val="18"/>
          <w:szCs w:val="18"/>
        </w:rPr>
        <w:t xml:space="preserve"> in 202</w:t>
      </w:r>
      <w:r w:rsidR="009C201E" w:rsidRPr="00342957">
        <w:rPr>
          <w:rFonts w:ascii="Verdana" w:hAnsi="Verdana" w:cs="Arial"/>
          <w:sz w:val="18"/>
          <w:szCs w:val="18"/>
        </w:rPr>
        <w:t>2</w:t>
      </w:r>
      <w:r w:rsidR="00152950" w:rsidRPr="00342957">
        <w:rPr>
          <w:rFonts w:ascii="Verdana" w:hAnsi="Verdana" w:cs="Arial"/>
          <w:sz w:val="18"/>
          <w:szCs w:val="18"/>
        </w:rPr>
        <w:t>. S</w:t>
      </w:r>
      <w:r w:rsidRPr="00342957">
        <w:rPr>
          <w:rFonts w:ascii="Verdana" w:hAnsi="Verdana" w:cs="Arial"/>
          <w:sz w:val="18"/>
          <w:szCs w:val="18"/>
        </w:rPr>
        <w:t>ocial transfers increased by €</w:t>
      </w:r>
      <w:r w:rsidR="00342957" w:rsidRPr="00342957">
        <w:rPr>
          <w:rFonts w:ascii="Verdana" w:hAnsi="Verdana" w:cs="Arial"/>
          <w:sz w:val="18"/>
          <w:szCs w:val="18"/>
        </w:rPr>
        <w:t>320</w:t>
      </w:r>
      <w:r w:rsidRPr="00342957">
        <w:rPr>
          <w:rFonts w:ascii="Verdana" w:hAnsi="Verdana" w:cs="Arial"/>
          <w:sz w:val="18"/>
          <w:szCs w:val="18"/>
        </w:rPr>
        <w:t>,</w:t>
      </w:r>
      <w:r w:rsidR="00342957" w:rsidRPr="00342957">
        <w:rPr>
          <w:rFonts w:ascii="Verdana" w:hAnsi="Verdana" w:cs="Arial"/>
          <w:sz w:val="18"/>
          <w:szCs w:val="18"/>
        </w:rPr>
        <w:t>9</w:t>
      </w:r>
      <w:r w:rsidRPr="00342957">
        <w:rPr>
          <w:rFonts w:ascii="Verdana" w:hAnsi="Verdana" w:cs="Arial"/>
          <w:sz w:val="18"/>
          <w:szCs w:val="18"/>
        </w:rPr>
        <w:t xml:space="preserve">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342957" w:rsidRPr="00342957">
        <w:rPr>
          <w:rFonts w:ascii="Verdana" w:hAnsi="Verdana" w:cs="Arial"/>
          <w:sz w:val="18"/>
          <w:szCs w:val="18"/>
        </w:rPr>
        <w:t>7</w:t>
      </w:r>
      <w:r w:rsidRPr="00342957">
        <w:rPr>
          <w:rFonts w:ascii="Verdana" w:hAnsi="Verdana" w:cs="Arial"/>
          <w:sz w:val="18"/>
          <w:szCs w:val="18"/>
        </w:rPr>
        <w:t>,</w:t>
      </w:r>
      <w:r w:rsidR="00342957" w:rsidRPr="00342957">
        <w:rPr>
          <w:rFonts w:ascii="Verdana" w:hAnsi="Verdana" w:cs="Arial"/>
          <w:sz w:val="18"/>
          <w:szCs w:val="18"/>
        </w:rPr>
        <w:t>6</w:t>
      </w:r>
      <w:r w:rsidRPr="00342957">
        <w:rPr>
          <w:rFonts w:ascii="Verdana" w:hAnsi="Verdana" w:cs="Arial"/>
          <w:sz w:val="18"/>
          <w:szCs w:val="18"/>
        </w:rPr>
        <w:t>%) and amounted to €</w:t>
      </w:r>
      <w:r w:rsidR="00152950" w:rsidRPr="00342957">
        <w:rPr>
          <w:rFonts w:ascii="Verdana" w:hAnsi="Verdana" w:cs="Arial"/>
          <w:sz w:val="18"/>
          <w:szCs w:val="18"/>
        </w:rPr>
        <w:t>4</w:t>
      </w:r>
      <w:r w:rsidRPr="00342957">
        <w:rPr>
          <w:rFonts w:ascii="Verdana" w:hAnsi="Verdana" w:cs="Arial"/>
          <w:sz w:val="18"/>
          <w:szCs w:val="18"/>
        </w:rPr>
        <w:t>.</w:t>
      </w:r>
      <w:r w:rsidR="00342957" w:rsidRPr="00342957">
        <w:rPr>
          <w:rFonts w:ascii="Verdana" w:hAnsi="Verdana" w:cs="Arial"/>
          <w:sz w:val="18"/>
          <w:szCs w:val="18"/>
        </w:rPr>
        <w:t>532</w:t>
      </w:r>
      <w:r w:rsidR="009A23D6" w:rsidRPr="00342957">
        <w:rPr>
          <w:rFonts w:ascii="Verdana" w:hAnsi="Verdana" w:cs="Arial"/>
          <w:sz w:val="18"/>
          <w:szCs w:val="18"/>
        </w:rPr>
        <w:t>,</w:t>
      </w:r>
      <w:r w:rsidR="00342957" w:rsidRPr="00342957">
        <w:rPr>
          <w:rFonts w:ascii="Verdana" w:hAnsi="Verdana" w:cs="Arial"/>
          <w:sz w:val="18"/>
          <w:szCs w:val="18"/>
        </w:rPr>
        <w:t>6</w:t>
      </w:r>
      <w:r w:rsidRPr="00342957">
        <w:rPr>
          <w:rFonts w:ascii="Verdana" w:hAnsi="Verdana" w:cs="Arial"/>
          <w:sz w:val="18"/>
          <w:szCs w:val="18"/>
        </w:rPr>
        <w:t xml:space="preserve"> </w:t>
      </w:r>
      <w:proofErr w:type="spellStart"/>
      <w:r w:rsidRPr="00342957">
        <w:rPr>
          <w:rFonts w:ascii="Verdana" w:hAnsi="Verdana" w:cs="Arial"/>
          <w:sz w:val="18"/>
          <w:szCs w:val="18"/>
        </w:rPr>
        <w:t>mn</w:t>
      </w:r>
      <w:proofErr w:type="spellEnd"/>
      <w:r w:rsidRPr="00342957">
        <w:rPr>
          <w:rFonts w:ascii="Verdana" w:hAnsi="Verdana" w:cs="Arial"/>
          <w:sz w:val="18"/>
          <w:szCs w:val="18"/>
        </w:rPr>
        <w:t>, compared to €</w:t>
      </w:r>
      <w:r w:rsidR="00342957" w:rsidRPr="00342957">
        <w:rPr>
          <w:rFonts w:ascii="Verdana" w:hAnsi="Verdana" w:cs="Arial"/>
          <w:sz w:val="18"/>
          <w:szCs w:val="18"/>
        </w:rPr>
        <w:t>4</w:t>
      </w:r>
      <w:r w:rsidR="009A23D6" w:rsidRPr="00342957">
        <w:rPr>
          <w:rFonts w:ascii="Verdana" w:hAnsi="Verdana" w:cs="Arial"/>
          <w:sz w:val="18"/>
          <w:szCs w:val="18"/>
        </w:rPr>
        <w:t>.</w:t>
      </w:r>
      <w:r w:rsidR="00342957" w:rsidRPr="00342957">
        <w:rPr>
          <w:rFonts w:ascii="Verdana" w:hAnsi="Verdana" w:cs="Arial"/>
          <w:sz w:val="18"/>
          <w:szCs w:val="18"/>
        </w:rPr>
        <w:t>211</w:t>
      </w:r>
      <w:r w:rsidRPr="00342957">
        <w:rPr>
          <w:rFonts w:ascii="Verdana" w:hAnsi="Verdana" w:cs="Arial"/>
          <w:sz w:val="18"/>
          <w:szCs w:val="18"/>
        </w:rPr>
        <w:t>,</w:t>
      </w:r>
      <w:r w:rsidR="00342957" w:rsidRPr="00342957">
        <w:rPr>
          <w:rFonts w:ascii="Verdana" w:hAnsi="Verdana" w:cs="Arial"/>
          <w:sz w:val="18"/>
          <w:szCs w:val="18"/>
        </w:rPr>
        <w:t>7</w:t>
      </w:r>
      <w:r w:rsidR="009A23D6" w:rsidRPr="00342957">
        <w:rPr>
          <w:rFonts w:ascii="Verdana" w:hAnsi="Verdana" w:cs="Arial"/>
          <w:sz w:val="18"/>
          <w:szCs w:val="18"/>
        </w:rPr>
        <w:t xml:space="preserve"> </w:t>
      </w:r>
      <w:proofErr w:type="spellStart"/>
      <w:r w:rsidR="009A23D6" w:rsidRPr="00342957">
        <w:rPr>
          <w:rFonts w:ascii="Verdana" w:hAnsi="Verdana" w:cs="Arial"/>
          <w:sz w:val="18"/>
          <w:szCs w:val="18"/>
        </w:rPr>
        <w:t>mn</w:t>
      </w:r>
      <w:proofErr w:type="spellEnd"/>
      <w:r w:rsidR="009A23D6" w:rsidRPr="00342957">
        <w:rPr>
          <w:rFonts w:ascii="Verdana" w:hAnsi="Verdana" w:cs="Arial"/>
          <w:sz w:val="18"/>
          <w:szCs w:val="18"/>
        </w:rPr>
        <w:t xml:space="preserve"> in </w:t>
      </w:r>
      <w:r w:rsidRPr="00342957">
        <w:rPr>
          <w:rFonts w:ascii="Verdana" w:hAnsi="Verdana" w:cs="Arial"/>
          <w:sz w:val="18"/>
          <w:szCs w:val="18"/>
        </w:rPr>
        <w:t>202</w:t>
      </w:r>
      <w:r w:rsidR="009C201E" w:rsidRPr="00342957">
        <w:rPr>
          <w:rFonts w:ascii="Verdana" w:hAnsi="Verdana" w:cs="Arial"/>
          <w:sz w:val="18"/>
          <w:szCs w:val="18"/>
        </w:rPr>
        <w:t>2</w:t>
      </w:r>
      <w:r w:rsidRPr="00342957">
        <w:rPr>
          <w:rFonts w:ascii="Verdana" w:hAnsi="Verdana" w:cs="Arial"/>
          <w:sz w:val="18"/>
          <w:szCs w:val="18"/>
        </w:rPr>
        <w:t xml:space="preserve">. </w:t>
      </w:r>
      <w:r w:rsidR="0002024D" w:rsidRPr="00342957">
        <w:rPr>
          <w:rFonts w:ascii="Verdana" w:hAnsi="Verdana" w:cs="Arial"/>
          <w:sz w:val="18"/>
          <w:szCs w:val="18"/>
        </w:rPr>
        <w:t>Other c</w:t>
      </w:r>
      <w:r w:rsidRPr="00342957">
        <w:rPr>
          <w:rFonts w:ascii="Verdana" w:hAnsi="Verdana" w:cs="Arial"/>
          <w:sz w:val="18"/>
          <w:szCs w:val="18"/>
        </w:rPr>
        <w:t xml:space="preserve">urrent </w:t>
      </w:r>
      <w:r w:rsidR="0002024D" w:rsidRPr="00342957">
        <w:rPr>
          <w:rFonts w:ascii="Verdana" w:hAnsi="Verdana" w:cs="Arial"/>
          <w:sz w:val="18"/>
          <w:szCs w:val="18"/>
        </w:rPr>
        <w:t>expenditure</w:t>
      </w:r>
      <w:r w:rsidRPr="00342957">
        <w:rPr>
          <w:rFonts w:ascii="Verdana" w:hAnsi="Verdana" w:cs="Arial"/>
          <w:sz w:val="18"/>
          <w:szCs w:val="18"/>
        </w:rPr>
        <w:t xml:space="preserve"> increased by €</w:t>
      </w:r>
      <w:r w:rsidR="00342957" w:rsidRPr="00342957">
        <w:rPr>
          <w:rFonts w:ascii="Verdana" w:hAnsi="Verdana" w:cs="Arial"/>
          <w:sz w:val="18"/>
          <w:szCs w:val="18"/>
        </w:rPr>
        <w:t>174</w:t>
      </w:r>
      <w:r w:rsidRPr="00342957">
        <w:rPr>
          <w:rFonts w:ascii="Verdana" w:hAnsi="Verdana" w:cs="Arial"/>
          <w:sz w:val="18"/>
          <w:szCs w:val="18"/>
        </w:rPr>
        <w:t>,</w:t>
      </w:r>
      <w:r w:rsidR="00342957" w:rsidRPr="00342957">
        <w:rPr>
          <w:rFonts w:ascii="Verdana" w:hAnsi="Verdana" w:cs="Arial"/>
          <w:sz w:val="18"/>
          <w:szCs w:val="18"/>
        </w:rPr>
        <w:t>9</w:t>
      </w:r>
      <w:r w:rsidRPr="00342957">
        <w:rPr>
          <w:rFonts w:ascii="Verdana" w:hAnsi="Verdana" w:cs="Arial"/>
          <w:sz w:val="18"/>
          <w:szCs w:val="18"/>
        </w:rPr>
        <w:t xml:space="preserve">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342957" w:rsidRPr="00342957">
        <w:rPr>
          <w:rFonts w:ascii="Verdana" w:hAnsi="Verdana" w:cs="Arial"/>
          <w:sz w:val="18"/>
          <w:szCs w:val="18"/>
        </w:rPr>
        <w:t>26</w:t>
      </w:r>
      <w:r w:rsidRPr="00342957">
        <w:rPr>
          <w:rFonts w:ascii="Verdana" w:hAnsi="Verdana" w:cs="Arial"/>
          <w:sz w:val="18"/>
          <w:szCs w:val="18"/>
        </w:rPr>
        <w:t>,</w:t>
      </w:r>
      <w:r w:rsidR="00342957" w:rsidRPr="00342957">
        <w:rPr>
          <w:rFonts w:ascii="Verdana" w:hAnsi="Verdana" w:cs="Arial"/>
          <w:sz w:val="18"/>
          <w:szCs w:val="18"/>
        </w:rPr>
        <w:t>9</w:t>
      </w:r>
      <w:r w:rsidRPr="00342957">
        <w:rPr>
          <w:rFonts w:ascii="Verdana" w:hAnsi="Verdana" w:cs="Arial"/>
          <w:sz w:val="18"/>
          <w:szCs w:val="18"/>
        </w:rPr>
        <w:t>%) and amounted to €</w:t>
      </w:r>
      <w:r w:rsidR="00342957" w:rsidRPr="00342957">
        <w:rPr>
          <w:rFonts w:ascii="Verdana" w:hAnsi="Verdana" w:cs="Arial"/>
          <w:sz w:val="18"/>
          <w:szCs w:val="18"/>
        </w:rPr>
        <w:t>824</w:t>
      </w:r>
      <w:r w:rsidRPr="00342957">
        <w:rPr>
          <w:rFonts w:ascii="Verdana" w:hAnsi="Verdana" w:cs="Arial"/>
          <w:sz w:val="18"/>
          <w:szCs w:val="18"/>
        </w:rPr>
        <w:t>,</w:t>
      </w:r>
      <w:r w:rsidR="00342957" w:rsidRPr="00342957">
        <w:rPr>
          <w:rFonts w:ascii="Verdana" w:hAnsi="Verdana" w:cs="Arial"/>
          <w:sz w:val="18"/>
          <w:szCs w:val="18"/>
        </w:rPr>
        <w:t>8</w:t>
      </w:r>
      <w:r w:rsidR="009A23D6" w:rsidRPr="00342957">
        <w:rPr>
          <w:rFonts w:ascii="Verdana" w:hAnsi="Verdana" w:cs="Arial"/>
          <w:sz w:val="18"/>
          <w:szCs w:val="18"/>
        </w:rPr>
        <w:t xml:space="preserve"> </w:t>
      </w:r>
      <w:proofErr w:type="spellStart"/>
      <w:r w:rsidR="009A23D6" w:rsidRPr="00342957">
        <w:rPr>
          <w:rFonts w:ascii="Verdana" w:hAnsi="Verdana" w:cs="Arial"/>
          <w:sz w:val="18"/>
          <w:szCs w:val="18"/>
        </w:rPr>
        <w:t>mn</w:t>
      </w:r>
      <w:proofErr w:type="spellEnd"/>
      <w:r w:rsidR="009A23D6" w:rsidRPr="00342957">
        <w:rPr>
          <w:rFonts w:ascii="Verdana" w:hAnsi="Verdana" w:cs="Arial"/>
          <w:sz w:val="18"/>
          <w:szCs w:val="18"/>
        </w:rPr>
        <w:t>, compared to €</w:t>
      </w:r>
      <w:r w:rsidR="00A522FD" w:rsidRPr="00342957">
        <w:rPr>
          <w:rFonts w:ascii="Verdana" w:hAnsi="Verdana" w:cs="Arial"/>
          <w:sz w:val="18"/>
          <w:szCs w:val="18"/>
        </w:rPr>
        <w:t>6</w:t>
      </w:r>
      <w:r w:rsidR="00342957" w:rsidRPr="00342957">
        <w:rPr>
          <w:rFonts w:ascii="Verdana" w:hAnsi="Verdana" w:cs="Arial"/>
          <w:sz w:val="18"/>
          <w:szCs w:val="18"/>
        </w:rPr>
        <w:t>49</w:t>
      </w:r>
      <w:r w:rsidRPr="00342957">
        <w:rPr>
          <w:rFonts w:ascii="Verdana" w:hAnsi="Verdana" w:cs="Arial"/>
          <w:sz w:val="18"/>
          <w:szCs w:val="18"/>
        </w:rPr>
        <w:t>,</w:t>
      </w:r>
      <w:r w:rsidR="00342957" w:rsidRPr="00342957">
        <w:rPr>
          <w:rFonts w:ascii="Verdana" w:hAnsi="Verdana" w:cs="Arial"/>
          <w:sz w:val="18"/>
          <w:szCs w:val="18"/>
        </w:rPr>
        <w:t>9</w:t>
      </w:r>
      <w:r w:rsidR="009A23D6" w:rsidRPr="00342957">
        <w:rPr>
          <w:rFonts w:ascii="Verdana" w:hAnsi="Verdana" w:cs="Arial"/>
          <w:sz w:val="18"/>
          <w:szCs w:val="18"/>
        </w:rPr>
        <w:t xml:space="preserve"> </w:t>
      </w:r>
      <w:proofErr w:type="spellStart"/>
      <w:r w:rsidR="009A23D6" w:rsidRPr="00342957">
        <w:rPr>
          <w:rFonts w:ascii="Verdana" w:hAnsi="Verdana" w:cs="Arial"/>
          <w:sz w:val="18"/>
          <w:szCs w:val="18"/>
        </w:rPr>
        <w:t>mn</w:t>
      </w:r>
      <w:proofErr w:type="spellEnd"/>
      <w:r w:rsidR="009A23D6" w:rsidRPr="00342957">
        <w:rPr>
          <w:rFonts w:ascii="Verdana" w:hAnsi="Verdana" w:cs="Arial"/>
          <w:sz w:val="18"/>
          <w:szCs w:val="18"/>
        </w:rPr>
        <w:t xml:space="preserve"> in </w:t>
      </w:r>
      <w:r w:rsidRPr="00342957">
        <w:rPr>
          <w:rFonts w:ascii="Verdana" w:hAnsi="Verdana" w:cs="Arial"/>
          <w:sz w:val="18"/>
          <w:szCs w:val="18"/>
        </w:rPr>
        <w:t>202</w:t>
      </w:r>
      <w:r w:rsidR="009C201E" w:rsidRPr="00342957">
        <w:rPr>
          <w:rFonts w:ascii="Verdana" w:hAnsi="Verdana" w:cs="Arial"/>
          <w:sz w:val="18"/>
          <w:szCs w:val="18"/>
        </w:rPr>
        <w:t>2</w:t>
      </w:r>
      <w:r w:rsidRPr="00342957">
        <w:rPr>
          <w:rFonts w:ascii="Verdana" w:hAnsi="Verdana" w:cs="Arial"/>
          <w:sz w:val="18"/>
          <w:szCs w:val="18"/>
        </w:rPr>
        <w:t>.</w:t>
      </w:r>
      <w:r w:rsidR="009A23D6" w:rsidRPr="00342957">
        <w:rPr>
          <w:rFonts w:ascii="Verdana" w:hAnsi="Verdana" w:cs="Arial"/>
          <w:sz w:val="18"/>
          <w:szCs w:val="18"/>
        </w:rPr>
        <w:t xml:space="preserve"> </w:t>
      </w:r>
      <w:r w:rsidR="00342957" w:rsidRPr="00342957">
        <w:rPr>
          <w:rFonts w:ascii="Verdana" w:hAnsi="Verdana" w:cs="Arial"/>
          <w:sz w:val="18"/>
          <w:szCs w:val="18"/>
        </w:rPr>
        <w:t xml:space="preserve">Property income payable increased by €20,9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(+5,1%) and amounted to €431,5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compared to €410,6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in 2022. Subsidies increased by €24,3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(+17,4%) and amounted to €163,6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compared to €139,3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in 2022.</w:t>
      </w:r>
    </w:p>
    <w:p w14:paraId="7ECBDB66" w14:textId="77777777" w:rsidR="009206B5" w:rsidRPr="009C201E" w:rsidRDefault="009206B5" w:rsidP="009206B5">
      <w:pPr>
        <w:jc w:val="both"/>
        <w:rPr>
          <w:rFonts w:ascii="Verdana" w:hAnsi="Verdana" w:cs="Arial"/>
          <w:sz w:val="18"/>
          <w:szCs w:val="18"/>
          <w:highlight w:val="yellow"/>
        </w:rPr>
      </w:pPr>
    </w:p>
    <w:p w14:paraId="6DACCFDD" w14:textId="10FA5167" w:rsidR="009206B5" w:rsidRPr="00342957" w:rsidRDefault="009206B5" w:rsidP="009206B5">
      <w:pPr>
        <w:jc w:val="both"/>
        <w:rPr>
          <w:rFonts w:ascii="Verdana" w:hAnsi="Verdana" w:cs="Arial"/>
          <w:sz w:val="18"/>
          <w:szCs w:val="18"/>
        </w:rPr>
      </w:pPr>
      <w:r w:rsidRPr="00342957">
        <w:rPr>
          <w:rFonts w:ascii="Verdana" w:hAnsi="Verdana" w:cs="Arial"/>
          <w:sz w:val="18"/>
          <w:szCs w:val="18"/>
        </w:rPr>
        <w:t>T</w:t>
      </w:r>
      <w:r w:rsidR="00A522FD" w:rsidRPr="00342957">
        <w:rPr>
          <w:rFonts w:ascii="Verdana" w:hAnsi="Verdana" w:cs="Arial"/>
          <w:sz w:val="18"/>
          <w:szCs w:val="18"/>
        </w:rPr>
        <w:t>otal</w:t>
      </w:r>
      <w:r w:rsidRPr="00342957">
        <w:rPr>
          <w:rFonts w:ascii="Verdana" w:hAnsi="Verdana" w:cs="Arial"/>
          <w:sz w:val="18"/>
          <w:szCs w:val="18"/>
        </w:rPr>
        <w:t xml:space="preserve"> capital </w:t>
      </w:r>
      <w:r w:rsidR="00A522FD" w:rsidRPr="00342957">
        <w:rPr>
          <w:rFonts w:ascii="Verdana" w:hAnsi="Verdana" w:cs="Arial"/>
          <w:sz w:val="18"/>
          <w:szCs w:val="18"/>
        </w:rPr>
        <w:t>expenditure</w:t>
      </w:r>
      <w:r w:rsidRPr="00342957">
        <w:rPr>
          <w:rFonts w:ascii="Verdana" w:hAnsi="Verdana" w:cs="Arial"/>
          <w:sz w:val="18"/>
          <w:szCs w:val="18"/>
        </w:rPr>
        <w:t xml:space="preserve"> increased by €</w:t>
      </w:r>
      <w:r w:rsidR="00342957" w:rsidRPr="00342957">
        <w:rPr>
          <w:rFonts w:ascii="Verdana" w:hAnsi="Verdana" w:cs="Arial"/>
          <w:sz w:val="18"/>
          <w:szCs w:val="18"/>
        </w:rPr>
        <w:t>307</w:t>
      </w:r>
      <w:r w:rsidRPr="00342957">
        <w:rPr>
          <w:rFonts w:ascii="Verdana" w:hAnsi="Verdana" w:cs="Arial"/>
          <w:sz w:val="18"/>
          <w:szCs w:val="18"/>
        </w:rPr>
        <w:t>,</w:t>
      </w:r>
      <w:r w:rsidR="00A522FD" w:rsidRPr="00342957">
        <w:rPr>
          <w:rFonts w:ascii="Verdana" w:hAnsi="Verdana" w:cs="Arial"/>
          <w:sz w:val="18"/>
          <w:szCs w:val="18"/>
        </w:rPr>
        <w:t>9</w:t>
      </w:r>
      <w:r w:rsidRPr="00342957">
        <w:rPr>
          <w:rFonts w:ascii="Verdana" w:hAnsi="Verdana" w:cs="Arial"/>
          <w:sz w:val="18"/>
          <w:szCs w:val="18"/>
        </w:rPr>
        <w:t xml:space="preserve">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342957" w:rsidRPr="00342957">
        <w:rPr>
          <w:rFonts w:ascii="Verdana" w:hAnsi="Verdana" w:cs="Arial"/>
          <w:sz w:val="18"/>
          <w:szCs w:val="18"/>
        </w:rPr>
        <w:t>32</w:t>
      </w:r>
      <w:r w:rsidRPr="00342957">
        <w:rPr>
          <w:rFonts w:ascii="Verdana" w:hAnsi="Verdana" w:cs="Arial"/>
          <w:sz w:val="18"/>
          <w:szCs w:val="18"/>
        </w:rPr>
        <w:t>,</w:t>
      </w:r>
      <w:r w:rsidR="00342957" w:rsidRPr="00342957">
        <w:rPr>
          <w:rFonts w:ascii="Verdana" w:hAnsi="Verdana" w:cs="Arial"/>
          <w:sz w:val="18"/>
          <w:szCs w:val="18"/>
        </w:rPr>
        <w:t>4</w:t>
      </w:r>
      <w:r w:rsidRPr="00342957">
        <w:rPr>
          <w:rFonts w:ascii="Verdana" w:hAnsi="Verdana" w:cs="Arial"/>
          <w:sz w:val="18"/>
          <w:szCs w:val="18"/>
        </w:rPr>
        <w:t xml:space="preserve">%) and amounted to </w:t>
      </w:r>
      <w:r w:rsidR="00342957" w:rsidRPr="00342957">
        <w:rPr>
          <w:rFonts w:ascii="Verdana" w:hAnsi="Verdana" w:cs="Arial"/>
          <w:sz w:val="18"/>
          <w:szCs w:val="18"/>
        </w:rPr>
        <w:t xml:space="preserve">€1.258,4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342957" w:rsidRPr="00342957">
        <w:rPr>
          <w:rFonts w:ascii="Verdana" w:hAnsi="Verdana" w:cs="Arial"/>
          <w:sz w:val="18"/>
          <w:szCs w:val="18"/>
        </w:rPr>
        <w:t xml:space="preserve">(€1.037,8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A522FD" w:rsidRPr="00342957">
        <w:rPr>
          <w:rFonts w:ascii="Verdana" w:hAnsi="Verdana" w:cs="Arial"/>
          <w:sz w:val="18"/>
          <w:szCs w:val="18"/>
        </w:rPr>
        <w:t xml:space="preserve">gross </w:t>
      </w:r>
      <w:r w:rsidRPr="00342957">
        <w:rPr>
          <w:rFonts w:ascii="Verdana" w:hAnsi="Verdana" w:cs="Arial"/>
          <w:sz w:val="18"/>
          <w:szCs w:val="18"/>
        </w:rPr>
        <w:t>capital formation and €</w:t>
      </w:r>
      <w:r w:rsidR="00A522FD" w:rsidRPr="00342957">
        <w:rPr>
          <w:rFonts w:ascii="Verdana" w:hAnsi="Verdana" w:cs="Arial"/>
          <w:sz w:val="18"/>
          <w:szCs w:val="18"/>
        </w:rPr>
        <w:t>22</w:t>
      </w:r>
      <w:r w:rsidR="00342957" w:rsidRPr="00342957">
        <w:rPr>
          <w:rFonts w:ascii="Verdana" w:hAnsi="Verdana" w:cs="Arial"/>
          <w:sz w:val="18"/>
          <w:szCs w:val="18"/>
        </w:rPr>
        <w:t>0</w:t>
      </w:r>
      <w:r w:rsidRPr="00342957">
        <w:rPr>
          <w:rFonts w:ascii="Verdana" w:hAnsi="Verdana" w:cs="Arial"/>
          <w:sz w:val="18"/>
          <w:szCs w:val="18"/>
        </w:rPr>
        <w:t>,</w:t>
      </w:r>
      <w:r w:rsidR="00342957" w:rsidRPr="00342957">
        <w:rPr>
          <w:rFonts w:ascii="Verdana" w:hAnsi="Verdana" w:cs="Arial"/>
          <w:sz w:val="18"/>
          <w:szCs w:val="18"/>
        </w:rPr>
        <w:t>6</w:t>
      </w:r>
      <w:r w:rsidRPr="00342957">
        <w:rPr>
          <w:rFonts w:ascii="Verdana" w:hAnsi="Verdana" w:cs="Arial"/>
          <w:sz w:val="18"/>
          <w:szCs w:val="18"/>
        </w:rPr>
        <w:t xml:space="preserve">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A522FD" w:rsidRPr="00342957">
        <w:rPr>
          <w:rFonts w:ascii="Verdana" w:hAnsi="Verdana" w:cs="Arial"/>
          <w:sz w:val="18"/>
          <w:szCs w:val="18"/>
        </w:rPr>
        <w:t xml:space="preserve">other </w:t>
      </w:r>
      <w:r w:rsidRPr="00342957">
        <w:rPr>
          <w:rFonts w:ascii="Verdana" w:hAnsi="Verdana" w:cs="Arial"/>
          <w:sz w:val="18"/>
          <w:szCs w:val="18"/>
        </w:rPr>
        <w:t xml:space="preserve">capital </w:t>
      </w:r>
      <w:r w:rsidR="00A522FD" w:rsidRPr="00342957">
        <w:rPr>
          <w:rFonts w:ascii="Verdana" w:hAnsi="Verdana" w:cs="Arial"/>
          <w:sz w:val="18"/>
          <w:szCs w:val="18"/>
        </w:rPr>
        <w:t>expenditure</w:t>
      </w:r>
      <w:r w:rsidRPr="00342957">
        <w:rPr>
          <w:rFonts w:ascii="Verdana" w:hAnsi="Verdana" w:cs="Arial"/>
          <w:sz w:val="18"/>
          <w:szCs w:val="18"/>
        </w:rPr>
        <w:t>), compared to €</w:t>
      </w:r>
      <w:r w:rsidR="00342957" w:rsidRPr="00342957">
        <w:rPr>
          <w:rFonts w:ascii="Verdana" w:hAnsi="Verdana" w:cs="Arial"/>
          <w:sz w:val="18"/>
          <w:szCs w:val="18"/>
        </w:rPr>
        <w:t>950</w:t>
      </w:r>
      <w:r w:rsidRPr="00342957">
        <w:rPr>
          <w:rFonts w:ascii="Verdana" w:hAnsi="Verdana" w:cs="Arial"/>
          <w:sz w:val="18"/>
          <w:szCs w:val="18"/>
        </w:rPr>
        <w:t>,</w:t>
      </w:r>
      <w:r w:rsidR="00342957" w:rsidRPr="00342957">
        <w:rPr>
          <w:rFonts w:ascii="Verdana" w:hAnsi="Verdana" w:cs="Arial"/>
          <w:sz w:val="18"/>
          <w:szCs w:val="18"/>
        </w:rPr>
        <w:t>5</w:t>
      </w:r>
      <w:r w:rsidR="00332B95" w:rsidRPr="00342957">
        <w:rPr>
          <w:rFonts w:ascii="Verdana" w:hAnsi="Verdana" w:cs="Arial"/>
          <w:sz w:val="18"/>
          <w:szCs w:val="18"/>
        </w:rPr>
        <w:t xml:space="preserve"> </w:t>
      </w:r>
      <w:proofErr w:type="spellStart"/>
      <w:r w:rsidR="00332B95" w:rsidRPr="00342957">
        <w:rPr>
          <w:rFonts w:ascii="Verdana" w:hAnsi="Verdana" w:cs="Arial"/>
          <w:sz w:val="18"/>
          <w:szCs w:val="18"/>
        </w:rPr>
        <w:t>mn</w:t>
      </w:r>
      <w:proofErr w:type="spellEnd"/>
      <w:r w:rsidR="00332B95" w:rsidRPr="00342957">
        <w:rPr>
          <w:rFonts w:ascii="Verdana" w:hAnsi="Verdana" w:cs="Arial"/>
          <w:sz w:val="18"/>
          <w:szCs w:val="18"/>
        </w:rPr>
        <w:t xml:space="preserve"> (€</w:t>
      </w:r>
      <w:r w:rsidR="00342957" w:rsidRPr="00342957">
        <w:rPr>
          <w:rFonts w:ascii="Verdana" w:hAnsi="Verdana" w:cs="Arial"/>
          <w:sz w:val="18"/>
          <w:szCs w:val="18"/>
        </w:rPr>
        <w:t>728</w:t>
      </w:r>
      <w:r w:rsidRPr="00342957">
        <w:rPr>
          <w:rFonts w:ascii="Verdana" w:hAnsi="Verdana" w:cs="Arial"/>
          <w:sz w:val="18"/>
          <w:szCs w:val="18"/>
        </w:rPr>
        <w:t>,</w:t>
      </w:r>
      <w:r w:rsidR="00342957" w:rsidRPr="00342957">
        <w:rPr>
          <w:rFonts w:ascii="Verdana" w:hAnsi="Verdana" w:cs="Arial"/>
          <w:sz w:val="18"/>
          <w:szCs w:val="18"/>
        </w:rPr>
        <w:t>7</w:t>
      </w:r>
      <w:r w:rsidRPr="00342957">
        <w:rPr>
          <w:rFonts w:ascii="Verdana" w:hAnsi="Verdana" w:cs="Arial"/>
          <w:sz w:val="18"/>
          <w:szCs w:val="18"/>
        </w:rPr>
        <w:t xml:space="preserve">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A522FD" w:rsidRPr="00342957">
        <w:rPr>
          <w:rFonts w:ascii="Verdana" w:hAnsi="Verdana" w:cs="Arial"/>
          <w:sz w:val="18"/>
          <w:szCs w:val="18"/>
        </w:rPr>
        <w:t xml:space="preserve">gross capital formation </w:t>
      </w:r>
      <w:r w:rsidRPr="00342957">
        <w:rPr>
          <w:rFonts w:ascii="Verdana" w:hAnsi="Verdana" w:cs="Arial"/>
          <w:sz w:val="18"/>
          <w:szCs w:val="18"/>
        </w:rPr>
        <w:t>and €</w:t>
      </w:r>
      <w:r w:rsidR="00342957" w:rsidRPr="00342957">
        <w:rPr>
          <w:rFonts w:ascii="Verdana" w:hAnsi="Verdana" w:cs="Arial"/>
          <w:sz w:val="18"/>
          <w:szCs w:val="18"/>
        </w:rPr>
        <w:t>221</w:t>
      </w:r>
      <w:r w:rsidRPr="00342957">
        <w:rPr>
          <w:rFonts w:ascii="Verdana" w:hAnsi="Verdana" w:cs="Arial"/>
          <w:sz w:val="18"/>
          <w:szCs w:val="18"/>
        </w:rPr>
        <w:t>,</w:t>
      </w:r>
      <w:r w:rsidR="00332B95" w:rsidRPr="00342957">
        <w:rPr>
          <w:rFonts w:ascii="Verdana" w:hAnsi="Verdana" w:cs="Arial"/>
          <w:sz w:val="18"/>
          <w:szCs w:val="18"/>
        </w:rPr>
        <w:t>8</w:t>
      </w:r>
      <w:r w:rsidRPr="00342957">
        <w:rPr>
          <w:rFonts w:ascii="Verdana" w:hAnsi="Verdana" w:cs="Arial"/>
          <w:sz w:val="18"/>
          <w:szCs w:val="18"/>
        </w:rPr>
        <w:t xml:space="preserve"> </w:t>
      </w:r>
      <w:proofErr w:type="spellStart"/>
      <w:r w:rsidRPr="00342957">
        <w:rPr>
          <w:rFonts w:ascii="Verdana" w:hAnsi="Verdana" w:cs="Arial"/>
          <w:sz w:val="18"/>
          <w:szCs w:val="18"/>
        </w:rPr>
        <w:t>mn</w:t>
      </w:r>
      <w:proofErr w:type="spellEnd"/>
      <w:r w:rsidRPr="00342957">
        <w:rPr>
          <w:rFonts w:ascii="Verdana" w:hAnsi="Verdana" w:cs="Arial"/>
          <w:sz w:val="18"/>
          <w:szCs w:val="18"/>
        </w:rPr>
        <w:t xml:space="preserve"> </w:t>
      </w:r>
      <w:r w:rsidR="00A522FD" w:rsidRPr="00342957">
        <w:rPr>
          <w:rFonts w:ascii="Verdana" w:hAnsi="Verdana" w:cs="Arial"/>
          <w:sz w:val="18"/>
          <w:szCs w:val="18"/>
        </w:rPr>
        <w:t>other capital expenditure</w:t>
      </w:r>
      <w:r w:rsidRPr="00342957">
        <w:rPr>
          <w:rFonts w:ascii="Verdana" w:hAnsi="Verdana" w:cs="Arial"/>
          <w:sz w:val="18"/>
          <w:szCs w:val="18"/>
        </w:rPr>
        <w:t>) in 202</w:t>
      </w:r>
      <w:r w:rsidR="009C201E" w:rsidRPr="00342957">
        <w:rPr>
          <w:rFonts w:ascii="Verdana" w:hAnsi="Verdana" w:cs="Arial"/>
          <w:sz w:val="18"/>
          <w:szCs w:val="18"/>
        </w:rPr>
        <w:t>2</w:t>
      </w:r>
      <w:r w:rsidRPr="00342957">
        <w:rPr>
          <w:rFonts w:ascii="Verdana" w:hAnsi="Verdana" w:cs="Arial"/>
          <w:sz w:val="18"/>
          <w:szCs w:val="18"/>
        </w:rPr>
        <w:t>.</w:t>
      </w:r>
    </w:p>
    <w:p w14:paraId="19AF4A99" w14:textId="77777777" w:rsidR="00ED7B83" w:rsidRPr="009C201E" w:rsidRDefault="00ED7B83" w:rsidP="009206B5">
      <w:pPr>
        <w:jc w:val="both"/>
        <w:rPr>
          <w:rFonts w:ascii="Verdana" w:hAnsi="Verdana" w:cs="Arial"/>
          <w:sz w:val="18"/>
          <w:szCs w:val="18"/>
          <w:highlight w:val="yellow"/>
        </w:rPr>
      </w:pPr>
    </w:p>
    <w:p w14:paraId="1324126E" w14:textId="161A7F2D" w:rsidR="00972CA0" w:rsidRPr="00C26329" w:rsidRDefault="00ED7B83" w:rsidP="00342957">
      <w:pPr>
        <w:jc w:val="both"/>
        <w:rPr>
          <w:rFonts w:ascii="Verdana" w:eastAsia="Malgun Gothic" w:hAnsi="Verdana" w:cs="Arial"/>
          <w:sz w:val="18"/>
          <w:szCs w:val="18"/>
        </w:rPr>
      </w:pPr>
      <w:r w:rsidRPr="00342957">
        <w:rPr>
          <w:rFonts w:ascii="Verdana" w:hAnsi="Verdana" w:cs="Arial"/>
          <w:sz w:val="18"/>
          <w:szCs w:val="18"/>
        </w:rPr>
        <w:t xml:space="preserve">On the contrary, </w:t>
      </w:r>
      <w:bookmarkStart w:id="0" w:name="_Hlk164418951"/>
      <w:r w:rsidR="00342957" w:rsidRPr="00342957">
        <w:rPr>
          <w:rFonts w:ascii="Verdana" w:hAnsi="Verdana" w:cs="Arial"/>
          <w:sz w:val="18"/>
          <w:szCs w:val="18"/>
        </w:rPr>
        <w:t xml:space="preserve">intermediate consumption </w:t>
      </w:r>
      <w:r w:rsidR="00342957">
        <w:rPr>
          <w:rFonts w:ascii="Verdana" w:hAnsi="Verdana" w:cs="Arial"/>
          <w:sz w:val="18"/>
          <w:szCs w:val="18"/>
        </w:rPr>
        <w:t>de</w:t>
      </w:r>
      <w:r w:rsidR="00342957" w:rsidRPr="00342957">
        <w:rPr>
          <w:rFonts w:ascii="Verdana" w:hAnsi="Verdana" w:cs="Arial"/>
          <w:sz w:val="18"/>
          <w:szCs w:val="18"/>
        </w:rPr>
        <w:t>creased by €</w:t>
      </w:r>
      <w:r w:rsidR="00342957">
        <w:rPr>
          <w:rFonts w:ascii="Verdana" w:hAnsi="Verdana" w:cs="Arial"/>
          <w:sz w:val="18"/>
          <w:szCs w:val="18"/>
        </w:rPr>
        <w:t>43</w:t>
      </w:r>
      <w:r w:rsidR="00342957" w:rsidRPr="00342957">
        <w:rPr>
          <w:rFonts w:ascii="Verdana" w:hAnsi="Verdana" w:cs="Arial"/>
          <w:sz w:val="18"/>
          <w:szCs w:val="18"/>
        </w:rPr>
        <w:t>,</w:t>
      </w:r>
      <w:r w:rsidR="00342957">
        <w:rPr>
          <w:rFonts w:ascii="Verdana" w:hAnsi="Verdana" w:cs="Arial"/>
          <w:sz w:val="18"/>
          <w:szCs w:val="18"/>
        </w:rPr>
        <w:t>6</w:t>
      </w:r>
      <w:r w:rsidR="00342957" w:rsidRPr="00342957">
        <w:rPr>
          <w:rFonts w:ascii="Verdana" w:hAnsi="Verdana" w:cs="Arial"/>
          <w:sz w:val="18"/>
          <w:szCs w:val="18"/>
        </w:rPr>
        <w:t xml:space="preserve">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w:t>
      </w:r>
      <w:r w:rsidR="00342957">
        <w:rPr>
          <w:rFonts w:ascii="Verdana" w:hAnsi="Verdana" w:cs="Arial"/>
          <w:sz w:val="18"/>
          <w:szCs w:val="18"/>
        </w:rPr>
        <w:t>-3</w:t>
      </w:r>
      <w:r w:rsidR="00342957" w:rsidRPr="00342957">
        <w:rPr>
          <w:rFonts w:ascii="Verdana" w:hAnsi="Verdana" w:cs="Arial"/>
          <w:sz w:val="18"/>
          <w:szCs w:val="18"/>
        </w:rPr>
        <w:t>,</w:t>
      </w:r>
      <w:r w:rsidR="00342957">
        <w:rPr>
          <w:rFonts w:ascii="Verdana" w:hAnsi="Verdana" w:cs="Arial"/>
          <w:sz w:val="18"/>
          <w:szCs w:val="18"/>
        </w:rPr>
        <w:t>5</w:t>
      </w:r>
      <w:r w:rsidR="00342957" w:rsidRPr="00342957">
        <w:rPr>
          <w:rFonts w:ascii="Verdana" w:hAnsi="Verdana" w:cs="Arial"/>
          <w:sz w:val="18"/>
          <w:szCs w:val="18"/>
        </w:rPr>
        <w:t>%) to €1.</w:t>
      </w:r>
      <w:r w:rsidR="00342957">
        <w:rPr>
          <w:rFonts w:ascii="Verdana" w:hAnsi="Verdana" w:cs="Arial"/>
          <w:sz w:val="18"/>
          <w:szCs w:val="18"/>
        </w:rPr>
        <w:t>197</w:t>
      </w:r>
      <w:r w:rsidR="00342957" w:rsidRPr="00342957">
        <w:rPr>
          <w:rFonts w:ascii="Verdana" w:hAnsi="Verdana" w:cs="Arial"/>
          <w:sz w:val="18"/>
          <w:szCs w:val="18"/>
        </w:rPr>
        <w:t>,</w:t>
      </w:r>
      <w:r w:rsidR="00342957">
        <w:rPr>
          <w:rFonts w:ascii="Verdana" w:hAnsi="Verdana" w:cs="Arial"/>
          <w:sz w:val="18"/>
          <w:szCs w:val="18"/>
        </w:rPr>
        <w:t>0</w:t>
      </w:r>
      <w:r w:rsidR="00342957" w:rsidRPr="00342957">
        <w:rPr>
          <w:rFonts w:ascii="Verdana" w:hAnsi="Verdana" w:cs="Arial"/>
          <w:sz w:val="18"/>
          <w:szCs w:val="18"/>
        </w:rPr>
        <w:t xml:space="preserve">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w:t>
      </w:r>
      <w:r w:rsidR="00342957">
        <w:rPr>
          <w:rFonts w:ascii="Verdana" w:hAnsi="Verdana" w:cs="Arial"/>
          <w:sz w:val="18"/>
          <w:szCs w:val="18"/>
        </w:rPr>
        <w:t>from</w:t>
      </w:r>
      <w:r w:rsidR="00342957" w:rsidRPr="00342957">
        <w:rPr>
          <w:rFonts w:ascii="Verdana" w:hAnsi="Verdana" w:cs="Arial"/>
          <w:sz w:val="18"/>
          <w:szCs w:val="18"/>
        </w:rPr>
        <w:t xml:space="preserve"> €1.</w:t>
      </w:r>
      <w:r w:rsidR="00342957">
        <w:rPr>
          <w:rFonts w:ascii="Verdana" w:hAnsi="Verdana" w:cs="Arial"/>
          <w:sz w:val="18"/>
          <w:szCs w:val="18"/>
        </w:rPr>
        <w:t>240</w:t>
      </w:r>
      <w:r w:rsidR="00342957" w:rsidRPr="00342957">
        <w:rPr>
          <w:rFonts w:ascii="Verdana" w:hAnsi="Verdana" w:cs="Arial"/>
          <w:sz w:val="18"/>
          <w:szCs w:val="18"/>
        </w:rPr>
        <w:t xml:space="preserve">,6 </w:t>
      </w:r>
      <w:proofErr w:type="spellStart"/>
      <w:r w:rsidR="00342957" w:rsidRPr="00342957">
        <w:rPr>
          <w:rFonts w:ascii="Verdana" w:hAnsi="Verdana" w:cs="Arial"/>
          <w:sz w:val="18"/>
          <w:szCs w:val="18"/>
        </w:rPr>
        <w:t>mn</w:t>
      </w:r>
      <w:proofErr w:type="spellEnd"/>
      <w:r w:rsidR="00342957" w:rsidRPr="00342957">
        <w:rPr>
          <w:rFonts w:ascii="Verdana" w:hAnsi="Verdana" w:cs="Arial"/>
          <w:sz w:val="18"/>
          <w:szCs w:val="18"/>
        </w:rPr>
        <w:t xml:space="preserve"> in 2022. </w:t>
      </w:r>
      <w:bookmarkEnd w:id="0"/>
    </w:p>
    <w:p w14:paraId="69E3CABE" w14:textId="77777777" w:rsidR="00972CA0" w:rsidRPr="00C26329" w:rsidRDefault="00972CA0" w:rsidP="00072754">
      <w:pPr>
        <w:jc w:val="both"/>
        <w:rPr>
          <w:rFonts w:ascii="Verdana" w:eastAsia="Malgun Gothic" w:hAnsi="Verdana" w:cs="Arial"/>
          <w:sz w:val="18"/>
          <w:szCs w:val="18"/>
        </w:rPr>
      </w:pPr>
    </w:p>
    <w:p w14:paraId="62E5D17C" w14:textId="77777777" w:rsidR="00972CA0" w:rsidRPr="00C26329" w:rsidRDefault="00972CA0" w:rsidP="00072754">
      <w:pPr>
        <w:jc w:val="both"/>
        <w:rPr>
          <w:rFonts w:ascii="Verdana" w:eastAsia="Malgun Gothic" w:hAnsi="Verdana" w:cs="Arial"/>
          <w:sz w:val="18"/>
          <w:szCs w:val="18"/>
        </w:rPr>
      </w:pPr>
    </w:p>
    <w:p w14:paraId="25A2628E" w14:textId="77777777" w:rsidR="00972CA0" w:rsidRPr="00C26329" w:rsidRDefault="00972CA0" w:rsidP="00072754">
      <w:pPr>
        <w:jc w:val="both"/>
        <w:rPr>
          <w:rFonts w:ascii="Verdana" w:eastAsia="Malgun Gothic" w:hAnsi="Verdana" w:cs="Arial"/>
          <w:sz w:val="18"/>
          <w:szCs w:val="18"/>
        </w:rPr>
      </w:pPr>
    </w:p>
    <w:p w14:paraId="61ABB9A0" w14:textId="77777777" w:rsidR="00972CA0" w:rsidRPr="00C26329" w:rsidRDefault="00972CA0" w:rsidP="00072754">
      <w:pPr>
        <w:jc w:val="both"/>
        <w:rPr>
          <w:rFonts w:ascii="Verdana" w:eastAsia="Malgun Gothic" w:hAnsi="Verdana" w:cs="Arial"/>
          <w:sz w:val="18"/>
          <w:szCs w:val="18"/>
        </w:rPr>
      </w:pPr>
    </w:p>
    <w:p w14:paraId="13FD1960" w14:textId="77777777" w:rsidR="00972CA0" w:rsidRPr="00C26329" w:rsidRDefault="00972CA0" w:rsidP="00072754">
      <w:pPr>
        <w:jc w:val="both"/>
        <w:rPr>
          <w:rFonts w:ascii="Verdana" w:eastAsia="Malgun Gothic" w:hAnsi="Verdana" w:cs="Arial"/>
          <w:sz w:val="18"/>
          <w:szCs w:val="18"/>
        </w:rPr>
      </w:pPr>
    </w:p>
    <w:p w14:paraId="6FC34114" w14:textId="77777777" w:rsidR="00972CA0" w:rsidRDefault="00972CA0" w:rsidP="00072754">
      <w:pPr>
        <w:jc w:val="both"/>
        <w:rPr>
          <w:rFonts w:ascii="Verdana" w:eastAsia="Malgun Gothic" w:hAnsi="Verdana" w:cs="Arial"/>
          <w:sz w:val="18"/>
          <w:szCs w:val="18"/>
        </w:rPr>
      </w:pPr>
    </w:p>
    <w:p w14:paraId="30A487DD" w14:textId="77777777" w:rsidR="004045C2" w:rsidRDefault="004045C2" w:rsidP="00072754">
      <w:pPr>
        <w:jc w:val="both"/>
        <w:rPr>
          <w:rFonts w:ascii="Verdana" w:eastAsia="Malgun Gothic" w:hAnsi="Verdana" w:cs="Arial"/>
          <w:sz w:val="18"/>
          <w:szCs w:val="18"/>
        </w:rPr>
      </w:pPr>
    </w:p>
    <w:p w14:paraId="32FCFCD5" w14:textId="77777777" w:rsidR="004045C2" w:rsidRDefault="004045C2" w:rsidP="00072754">
      <w:pPr>
        <w:jc w:val="both"/>
        <w:rPr>
          <w:rFonts w:ascii="Verdana" w:eastAsia="Malgun Gothic" w:hAnsi="Verdana" w:cs="Arial"/>
          <w:sz w:val="18"/>
          <w:szCs w:val="18"/>
        </w:rPr>
      </w:pPr>
    </w:p>
    <w:p w14:paraId="2E7C3F29" w14:textId="77777777" w:rsidR="004045C2" w:rsidRDefault="004045C2" w:rsidP="00072754">
      <w:pPr>
        <w:jc w:val="both"/>
        <w:rPr>
          <w:rFonts w:ascii="Verdana" w:eastAsia="Malgun Gothic" w:hAnsi="Verdana" w:cs="Arial"/>
          <w:sz w:val="18"/>
          <w:szCs w:val="18"/>
        </w:rPr>
      </w:pPr>
    </w:p>
    <w:p w14:paraId="6F8FE22E" w14:textId="77777777" w:rsidR="004045C2" w:rsidRDefault="004045C2" w:rsidP="00072754">
      <w:pPr>
        <w:jc w:val="both"/>
        <w:rPr>
          <w:rFonts w:ascii="Verdana" w:eastAsia="Malgun Gothic" w:hAnsi="Verdana" w:cs="Arial"/>
          <w:sz w:val="18"/>
          <w:szCs w:val="18"/>
        </w:rPr>
      </w:pPr>
    </w:p>
    <w:p w14:paraId="7DE4FA30" w14:textId="77777777" w:rsidR="004045C2" w:rsidRDefault="004045C2" w:rsidP="00072754">
      <w:pPr>
        <w:jc w:val="both"/>
        <w:rPr>
          <w:rFonts w:ascii="Verdana" w:eastAsia="Malgun Gothic" w:hAnsi="Verdana" w:cs="Arial"/>
          <w:sz w:val="18"/>
          <w:szCs w:val="18"/>
        </w:rPr>
      </w:pPr>
    </w:p>
    <w:p w14:paraId="545F10D4" w14:textId="77777777" w:rsidR="004045C2" w:rsidRDefault="004045C2" w:rsidP="00072754">
      <w:pPr>
        <w:jc w:val="both"/>
        <w:rPr>
          <w:rFonts w:ascii="Verdana" w:eastAsia="Malgun Gothic" w:hAnsi="Verdana" w:cs="Arial"/>
          <w:sz w:val="18"/>
          <w:szCs w:val="18"/>
        </w:rPr>
      </w:pPr>
    </w:p>
    <w:p w14:paraId="5E156590" w14:textId="77777777" w:rsidR="004045C2" w:rsidRDefault="004045C2" w:rsidP="00072754">
      <w:pPr>
        <w:jc w:val="both"/>
        <w:rPr>
          <w:rFonts w:ascii="Verdana" w:eastAsia="Malgun Gothic" w:hAnsi="Verdana" w:cs="Arial"/>
          <w:sz w:val="18"/>
          <w:szCs w:val="18"/>
        </w:rPr>
      </w:pPr>
    </w:p>
    <w:p w14:paraId="75E62944" w14:textId="77777777" w:rsidR="004045C2" w:rsidRDefault="004045C2" w:rsidP="00072754">
      <w:pPr>
        <w:jc w:val="both"/>
        <w:rPr>
          <w:rFonts w:ascii="Verdana" w:eastAsia="Malgun Gothic" w:hAnsi="Verdana" w:cs="Arial"/>
          <w:sz w:val="18"/>
          <w:szCs w:val="18"/>
        </w:rPr>
      </w:pPr>
    </w:p>
    <w:p w14:paraId="19C9FB62" w14:textId="77777777" w:rsidR="004045C2" w:rsidRDefault="004045C2" w:rsidP="00072754">
      <w:pPr>
        <w:jc w:val="both"/>
        <w:rPr>
          <w:rFonts w:ascii="Verdana" w:eastAsia="Malgun Gothic" w:hAnsi="Verdana" w:cs="Arial"/>
          <w:sz w:val="18"/>
          <w:szCs w:val="18"/>
        </w:rPr>
      </w:pPr>
    </w:p>
    <w:p w14:paraId="74BDA4CE" w14:textId="77777777" w:rsidR="004045C2" w:rsidRDefault="004045C2" w:rsidP="00072754">
      <w:pPr>
        <w:jc w:val="both"/>
        <w:rPr>
          <w:rFonts w:ascii="Verdana" w:eastAsia="Malgun Gothic" w:hAnsi="Verdana" w:cs="Arial"/>
          <w:sz w:val="18"/>
          <w:szCs w:val="18"/>
        </w:rPr>
      </w:pPr>
    </w:p>
    <w:p w14:paraId="2A687A9C" w14:textId="77777777" w:rsidR="004045C2" w:rsidRDefault="004045C2" w:rsidP="00072754">
      <w:pPr>
        <w:jc w:val="both"/>
        <w:rPr>
          <w:rFonts w:ascii="Verdana" w:eastAsia="Malgun Gothic" w:hAnsi="Verdana" w:cs="Arial"/>
          <w:sz w:val="18"/>
          <w:szCs w:val="18"/>
        </w:rPr>
      </w:pPr>
    </w:p>
    <w:p w14:paraId="05346B3F" w14:textId="77777777" w:rsidR="004045C2" w:rsidRDefault="004045C2" w:rsidP="00072754">
      <w:pPr>
        <w:jc w:val="both"/>
        <w:rPr>
          <w:rFonts w:ascii="Verdana" w:eastAsia="Malgun Gothic" w:hAnsi="Verdana" w:cs="Arial"/>
          <w:sz w:val="18"/>
          <w:szCs w:val="18"/>
        </w:rPr>
      </w:pPr>
    </w:p>
    <w:p w14:paraId="470308AF" w14:textId="77777777" w:rsidR="004045C2" w:rsidRDefault="004045C2" w:rsidP="00072754">
      <w:pPr>
        <w:jc w:val="both"/>
        <w:rPr>
          <w:rFonts w:ascii="Verdana" w:eastAsia="Malgun Gothic" w:hAnsi="Verdana" w:cs="Arial"/>
          <w:sz w:val="18"/>
          <w:szCs w:val="18"/>
        </w:rPr>
      </w:pPr>
    </w:p>
    <w:p w14:paraId="5A70EF46" w14:textId="77777777" w:rsidR="004045C2" w:rsidRDefault="004045C2" w:rsidP="00072754">
      <w:pPr>
        <w:jc w:val="both"/>
        <w:rPr>
          <w:rFonts w:ascii="Verdana" w:eastAsia="Malgun Gothic" w:hAnsi="Verdana" w:cs="Arial"/>
          <w:sz w:val="18"/>
          <w:szCs w:val="18"/>
        </w:rPr>
      </w:pPr>
    </w:p>
    <w:p w14:paraId="39983822" w14:textId="77777777" w:rsidR="004045C2" w:rsidRDefault="004045C2" w:rsidP="00072754">
      <w:pPr>
        <w:jc w:val="both"/>
        <w:rPr>
          <w:rFonts w:ascii="Verdana" w:eastAsia="Malgun Gothic" w:hAnsi="Verdana" w:cs="Arial"/>
          <w:sz w:val="18"/>
          <w:szCs w:val="18"/>
        </w:rPr>
      </w:pPr>
    </w:p>
    <w:p w14:paraId="1FAE32D1" w14:textId="77777777" w:rsidR="004045C2" w:rsidRDefault="004045C2" w:rsidP="00072754">
      <w:pPr>
        <w:jc w:val="both"/>
        <w:rPr>
          <w:rFonts w:ascii="Verdana" w:eastAsia="Malgun Gothic" w:hAnsi="Verdana" w:cs="Arial"/>
          <w:sz w:val="18"/>
          <w:szCs w:val="18"/>
        </w:rPr>
      </w:pPr>
    </w:p>
    <w:p w14:paraId="78E033D2" w14:textId="77777777" w:rsidR="004045C2" w:rsidRDefault="004045C2" w:rsidP="00072754">
      <w:pPr>
        <w:jc w:val="both"/>
        <w:rPr>
          <w:rFonts w:ascii="Verdana" w:eastAsia="Malgun Gothic" w:hAnsi="Verdana" w:cs="Arial"/>
          <w:sz w:val="18"/>
          <w:szCs w:val="18"/>
        </w:rPr>
      </w:pPr>
    </w:p>
    <w:p w14:paraId="4C30EC76" w14:textId="77777777" w:rsidR="004045C2" w:rsidRDefault="004045C2" w:rsidP="00072754">
      <w:pPr>
        <w:jc w:val="both"/>
        <w:rPr>
          <w:rFonts w:ascii="Verdana" w:eastAsia="Malgun Gothic" w:hAnsi="Verdana" w:cs="Arial"/>
          <w:sz w:val="18"/>
          <w:szCs w:val="18"/>
        </w:rPr>
      </w:pPr>
    </w:p>
    <w:p w14:paraId="0BEC375F" w14:textId="77777777" w:rsidR="004045C2" w:rsidRDefault="004045C2" w:rsidP="00072754">
      <w:pPr>
        <w:jc w:val="both"/>
        <w:rPr>
          <w:rFonts w:ascii="Verdana" w:eastAsia="Malgun Gothic" w:hAnsi="Verdana" w:cs="Arial"/>
          <w:sz w:val="18"/>
          <w:szCs w:val="18"/>
        </w:rPr>
      </w:pPr>
    </w:p>
    <w:p w14:paraId="0014FC73" w14:textId="77777777" w:rsidR="004045C2" w:rsidRDefault="004045C2" w:rsidP="00072754">
      <w:pPr>
        <w:jc w:val="both"/>
        <w:rPr>
          <w:rFonts w:ascii="Verdana" w:eastAsia="Malgun Gothic" w:hAnsi="Verdana" w:cs="Arial"/>
          <w:sz w:val="18"/>
          <w:szCs w:val="18"/>
        </w:rPr>
      </w:pPr>
    </w:p>
    <w:p w14:paraId="40257F73" w14:textId="77777777" w:rsidR="00BA23AD" w:rsidRDefault="00BA23AD" w:rsidP="00072754">
      <w:pPr>
        <w:jc w:val="both"/>
        <w:rPr>
          <w:rFonts w:ascii="Verdana" w:eastAsia="Malgun Gothic" w:hAnsi="Verdana" w:cs="Arial"/>
          <w:sz w:val="18"/>
          <w:szCs w:val="18"/>
        </w:rPr>
      </w:pPr>
    </w:p>
    <w:p w14:paraId="7997370B" w14:textId="77777777" w:rsidR="004045C2" w:rsidRDefault="004045C2" w:rsidP="00072754">
      <w:pPr>
        <w:jc w:val="both"/>
        <w:rPr>
          <w:rFonts w:ascii="Verdana" w:eastAsia="Malgun Gothic" w:hAnsi="Verdana" w:cs="Arial"/>
          <w:sz w:val="18"/>
          <w:szCs w:val="18"/>
        </w:rPr>
      </w:pPr>
    </w:p>
    <w:p w14:paraId="22E01EA4" w14:textId="77777777" w:rsidR="002667D0" w:rsidRDefault="002667D0" w:rsidP="00072754">
      <w:pPr>
        <w:jc w:val="both"/>
        <w:rPr>
          <w:rFonts w:ascii="Verdana" w:eastAsia="Malgun Gothic" w:hAnsi="Verdana" w:cs="Arial"/>
          <w:sz w:val="18"/>
          <w:szCs w:val="18"/>
        </w:rPr>
      </w:pPr>
    </w:p>
    <w:p w14:paraId="32A0C2AF" w14:textId="77777777" w:rsidR="002667D0" w:rsidRDefault="002667D0" w:rsidP="00072754">
      <w:pPr>
        <w:jc w:val="both"/>
        <w:rPr>
          <w:rFonts w:ascii="Verdana" w:eastAsia="Malgun Gothic" w:hAnsi="Verdana" w:cs="Arial"/>
          <w:sz w:val="18"/>
          <w:szCs w:val="18"/>
        </w:rPr>
      </w:pPr>
    </w:p>
    <w:p w14:paraId="72790E57" w14:textId="77777777" w:rsidR="002667D0" w:rsidRDefault="002667D0" w:rsidP="00072754">
      <w:pPr>
        <w:jc w:val="both"/>
        <w:rPr>
          <w:rFonts w:ascii="Verdana" w:eastAsia="Malgun Gothic" w:hAnsi="Verdana" w:cs="Arial"/>
          <w:sz w:val="18"/>
          <w:szCs w:val="18"/>
          <w:lang w:val="el-GR"/>
        </w:rPr>
      </w:pPr>
    </w:p>
    <w:p w14:paraId="72832D2D" w14:textId="77777777" w:rsidR="00EA2FCF" w:rsidRPr="00EA2FCF" w:rsidRDefault="00EA2FCF" w:rsidP="00072754">
      <w:pPr>
        <w:jc w:val="both"/>
        <w:rPr>
          <w:rFonts w:ascii="Verdana" w:eastAsia="Malgun Gothic" w:hAnsi="Verdana" w:cs="Arial"/>
          <w:sz w:val="18"/>
          <w:szCs w:val="18"/>
          <w:lang w:val="el-GR"/>
        </w:rPr>
      </w:pPr>
    </w:p>
    <w:tbl>
      <w:tblPr>
        <w:tblStyle w:val="TableGrid"/>
        <w:tblW w:w="9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6"/>
        <w:gridCol w:w="1304"/>
        <w:gridCol w:w="1304"/>
        <w:gridCol w:w="1304"/>
        <w:gridCol w:w="236"/>
        <w:gridCol w:w="1361"/>
      </w:tblGrid>
      <w:tr w:rsidR="006F21EB" w:rsidRPr="006F21EB" w14:paraId="3BAE4400" w14:textId="77777777" w:rsidTr="006F21EB">
        <w:trPr>
          <w:trHeight w:val="284"/>
          <w:jc w:val="center"/>
        </w:trPr>
        <w:tc>
          <w:tcPr>
            <w:tcW w:w="4196" w:type="dxa"/>
            <w:tcBorders>
              <w:bottom w:val="single" w:sz="4" w:space="0" w:color="2F5496" w:themeColor="accent1" w:themeShade="BF"/>
            </w:tcBorders>
            <w:vAlign w:val="center"/>
          </w:tcPr>
          <w:p w14:paraId="3927876C" w14:textId="77777777" w:rsidR="006F21EB" w:rsidRPr="006F21EB" w:rsidRDefault="006F21EB" w:rsidP="00CA6AD5">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lastRenderedPageBreak/>
              <w:t>Table</w:t>
            </w:r>
          </w:p>
        </w:tc>
        <w:tc>
          <w:tcPr>
            <w:tcW w:w="1304" w:type="dxa"/>
            <w:tcBorders>
              <w:bottom w:val="single" w:sz="4" w:space="0" w:color="2F5496" w:themeColor="accent1" w:themeShade="BF"/>
            </w:tcBorders>
          </w:tcPr>
          <w:p w14:paraId="3C831FC3" w14:textId="77777777" w:rsidR="006F21EB" w:rsidRPr="006F21EB" w:rsidRDefault="006F21EB" w:rsidP="00CA6AD5">
            <w:pPr>
              <w:jc w:val="both"/>
              <w:rPr>
                <w:rFonts w:ascii="Verdana" w:hAnsi="Verdana" w:cs="Arial"/>
                <w:color w:val="2F5496" w:themeColor="accent1" w:themeShade="BF"/>
                <w:sz w:val="18"/>
                <w:szCs w:val="18"/>
                <w:lang w:val="el-GR"/>
              </w:rPr>
            </w:pPr>
          </w:p>
        </w:tc>
        <w:tc>
          <w:tcPr>
            <w:tcW w:w="1304" w:type="dxa"/>
            <w:tcBorders>
              <w:bottom w:val="single" w:sz="4" w:space="0" w:color="2F5496" w:themeColor="accent1" w:themeShade="BF"/>
            </w:tcBorders>
          </w:tcPr>
          <w:p w14:paraId="0D665A67" w14:textId="77777777" w:rsidR="006F21EB" w:rsidRPr="006F21EB" w:rsidRDefault="006F21EB" w:rsidP="00CA6AD5">
            <w:pPr>
              <w:jc w:val="both"/>
              <w:rPr>
                <w:rFonts w:ascii="Verdana" w:hAnsi="Verdana" w:cs="Arial"/>
                <w:color w:val="2F5496" w:themeColor="accent1" w:themeShade="BF"/>
                <w:sz w:val="18"/>
                <w:szCs w:val="18"/>
                <w:lang w:val="el-GR"/>
              </w:rPr>
            </w:pPr>
          </w:p>
        </w:tc>
        <w:tc>
          <w:tcPr>
            <w:tcW w:w="1304" w:type="dxa"/>
            <w:tcBorders>
              <w:bottom w:val="single" w:sz="4" w:space="0" w:color="2F5496" w:themeColor="accent1" w:themeShade="BF"/>
            </w:tcBorders>
          </w:tcPr>
          <w:p w14:paraId="2AA6DDBD" w14:textId="77777777" w:rsidR="006F21EB" w:rsidRPr="006F21EB" w:rsidRDefault="006F21EB" w:rsidP="00CA6AD5">
            <w:pPr>
              <w:jc w:val="both"/>
              <w:rPr>
                <w:rFonts w:ascii="Verdana" w:hAnsi="Verdana" w:cs="Arial"/>
                <w:color w:val="2F5496" w:themeColor="accent1" w:themeShade="BF"/>
                <w:sz w:val="18"/>
                <w:szCs w:val="18"/>
                <w:lang w:val="el-GR"/>
              </w:rPr>
            </w:pPr>
          </w:p>
        </w:tc>
        <w:tc>
          <w:tcPr>
            <w:tcW w:w="236" w:type="dxa"/>
            <w:tcBorders>
              <w:bottom w:val="single" w:sz="4" w:space="0" w:color="2F5496" w:themeColor="accent1" w:themeShade="BF"/>
            </w:tcBorders>
          </w:tcPr>
          <w:p w14:paraId="5E95579A" w14:textId="77777777" w:rsidR="006F21EB" w:rsidRPr="006F21EB" w:rsidRDefault="006F21EB" w:rsidP="00CA6AD5">
            <w:pPr>
              <w:jc w:val="both"/>
              <w:rPr>
                <w:rFonts w:ascii="Verdana" w:hAnsi="Verdana" w:cs="Arial"/>
                <w:color w:val="2F5496" w:themeColor="accent1" w:themeShade="BF"/>
                <w:sz w:val="18"/>
                <w:szCs w:val="18"/>
                <w:lang w:val="el-GR"/>
              </w:rPr>
            </w:pPr>
          </w:p>
        </w:tc>
        <w:tc>
          <w:tcPr>
            <w:tcW w:w="1361" w:type="dxa"/>
            <w:tcBorders>
              <w:bottom w:val="single" w:sz="4" w:space="0" w:color="2F5496" w:themeColor="accent1" w:themeShade="BF"/>
            </w:tcBorders>
          </w:tcPr>
          <w:p w14:paraId="224E94C6" w14:textId="77777777" w:rsidR="006F21EB" w:rsidRPr="006F21EB" w:rsidRDefault="006F21EB" w:rsidP="00CA6AD5">
            <w:pPr>
              <w:jc w:val="both"/>
              <w:rPr>
                <w:rFonts w:ascii="Verdana" w:hAnsi="Verdana" w:cs="Arial"/>
                <w:color w:val="2F5496" w:themeColor="accent1" w:themeShade="BF"/>
                <w:sz w:val="18"/>
                <w:szCs w:val="18"/>
                <w:lang w:val="el-GR"/>
              </w:rPr>
            </w:pPr>
          </w:p>
        </w:tc>
      </w:tr>
      <w:tr w:rsidR="006F21EB" w:rsidRPr="006F21EB" w14:paraId="7E06CC96" w14:textId="77777777" w:rsidTr="006F21EB">
        <w:trPr>
          <w:trHeight w:val="340"/>
          <w:jc w:val="center"/>
        </w:trPr>
        <w:tc>
          <w:tcPr>
            <w:tcW w:w="4196" w:type="dxa"/>
            <w:vMerge w:val="restart"/>
            <w:tcBorders>
              <w:top w:val="single" w:sz="4" w:space="0" w:color="2F5496" w:themeColor="accent1" w:themeShade="BF"/>
            </w:tcBorders>
            <w:vAlign w:val="center"/>
          </w:tcPr>
          <w:p w14:paraId="27738633" w14:textId="77777777" w:rsidR="006F21EB" w:rsidRPr="00340922" w:rsidRDefault="00340922" w:rsidP="00CA6AD5">
            <w:pPr>
              <w:jc w:val="center"/>
              <w:rPr>
                <w:rFonts w:ascii="Verdana" w:hAnsi="Verdana" w:cs="Arial"/>
                <w:b/>
                <w:bCs/>
                <w:color w:val="2F5496" w:themeColor="accent1" w:themeShade="BF"/>
                <w:sz w:val="18"/>
                <w:szCs w:val="18"/>
              </w:rPr>
            </w:pPr>
            <w:r w:rsidRPr="00340922">
              <w:rPr>
                <w:rFonts w:ascii="Verdana" w:hAnsi="Verdana" w:cs="Arial"/>
                <w:b/>
                <w:bCs/>
                <w:color w:val="2F5496" w:themeColor="accent1" w:themeShade="BF"/>
                <w:sz w:val="18"/>
                <w:szCs w:val="18"/>
              </w:rPr>
              <w:t>M</w:t>
            </w:r>
            <w:r>
              <w:rPr>
                <w:rFonts w:ascii="Verdana" w:hAnsi="Verdana" w:cs="Arial"/>
                <w:b/>
                <w:bCs/>
                <w:color w:val="2F5496" w:themeColor="accent1" w:themeShade="BF"/>
                <w:sz w:val="18"/>
                <w:szCs w:val="18"/>
              </w:rPr>
              <w:t>acroeconomic</w:t>
            </w:r>
            <w:r w:rsidRPr="00340922">
              <w:rPr>
                <w:rFonts w:ascii="Verdana" w:hAnsi="Verdana" w:cs="Arial"/>
                <w:b/>
                <w:bCs/>
                <w:color w:val="2F5496" w:themeColor="accent1" w:themeShade="BF"/>
                <w:sz w:val="18"/>
                <w:szCs w:val="18"/>
              </w:rPr>
              <w:t xml:space="preserve"> A</w:t>
            </w:r>
            <w:r>
              <w:rPr>
                <w:rFonts w:ascii="Verdana" w:hAnsi="Verdana" w:cs="Arial"/>
                <w:b/>
                <w:bCs/>
                <w:color w:val="2F5496" w:themeColor="accent1" w:themeShade="BF"/>
                <w:sz w:val="18"/>
                <w:szCs w:val="18"/>
              </w:rPr>
              <w:t>ggregates</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of</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General</w:t>
            </w:r>
            <w:r w:rsidRPr="00340922">
              <w:rPr>
                <w:rFonts w:ascii="Verdana" w:hAnsi="Verdana" w:cs="Arial"/>
                <w:b/>
                <w:bCs/>
                <w:color w:val="2F5496" w:themeColor="accent1" w:themeShade="BF"/>
                <w:sz w:val="18"/>
                <w:szCs w:val="18"/>
              </w:rPr>
              <w:t xml:space="preserve"> </w:t>
            </w:r>
            <w:r>
              <w:rPr>
                <w:rFonts w:ascii="Verdana" w:hAnsi="Verdana" w:cs="Arial"/>
                <w:b/>
                <w:bCs/>
                <w:color w:val="2F5496" w:themeColor="accent1" w:themeShade="BF"/>
                <w:sz w:val="18"/>
                <w:szCs w:val="18"/>
              </w:rPr>
              <w:t>Government</w:t>
            </w:r>
          </w:p>
        </w:tc>
        <w:tc>
          <w:tcPr>
            <w:tcW w:w="3912" w:type="dxa"/>
            <w:gridSpan w:val="3"/>
            <w:tcBorders>
              <w:top w:val="single" w:sz="4" w:space="0" w:color="2F5496" w:themeColor="accent1" w:themeShade="BF"/>
              <w:bottom w:val="single" w:sz="4" w:space="0" w:color="2F5496" w:themeColor="accent1" w:themeShade="BF"/>
            </w:tcBorders>
            <w:vAlign w:val="center"/>
          </w:tcPr>
          <w:p w14:paraId="15F00FF9" w14:textId="77777777" w:rsidR="006F21EB" w:rsidRPr="006F21EB" w:rsidRDefault="006F21EB"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Euro</w:t>
            </w:r>
            <w:r w:rsidRPr="006F21EB">
              <w:rPr>
                <w:rFonts w:ascii="Verdana" w:hAnsi="Verdana" w:cs="Arial"/>
                <w:b/>
                <w:bCs/>
                <w:color w:val="2F5496" w:themeColor="accent1" w:themeShade="BF"/>
                <w:sz w:val="18"/>
                <w:szCs w:val="18"/>
                <w:lang w:val="el-GR"/>
              </w:rPr>
              <w:t xml:space="preserve"> (</w:t>
            </w:r>
            <w:r>
              <w:rPr>
                <w:rFonts w:ascii="Verdana" w:hAnsi="Verdana" w:cs="Arial"/>
                <w:b/>
                <w:bCs/>
                <w:color w:val="2F5496" w:themeColor="accent1" w:themeShade="BF"/>
                <w:sz w:val="18"/>
                <w:szCs w:val="18"/>
              </w:rPr>
              <w:t>million</w:t>
            </w:r>
            <w:r w:rsidRPr="006F21EB">
              <w:rPr>
                <w:rFonts w:ascii="Verdana" w:hAnsi="Verdana" w:cs="Arial"/>
                <w:b/>
                <w:bCs/>
                <w:color w:val="2F5496" w:themeColor="accent1" w:themeShade="BF"/>
                <w:sz w:val="18"/>
                <w:szCs w:val="18"/>
                <w:lang w:val="el-GR"/>
              </w:rPr>
              <w:t>)</w:t>
            </w:r>
          </w:p>
        </w:tc>
        <w:tc>
          <w:tcPr>
            <w:tcW w:w="236" w:type="dxa"/>
            <w:tcBorders>
              <w:top w:val="single" w:sz="4" w:space="0" w:color="2F5496" w:themeColor="accent1" w:themeShade="BF"/>
            </w:tcBorders>
          </w:tcPr>
          <w:p w14:paraId="35A174D6" w14:textId="77777777" w:rsidR="006F21EB" w:rsidRPr="006F21EB" w:rsidRDefault="006F21EB" w:rsidP="00CA6AD5">
            <w:pPr>
              <w:jc w:val="both"/>
              <w:rPr>
                <w:rFonts w:ascii="Verdana" w:hAnsi="Verdana" w:cs="Arial"/>
                <w:color w:val="2F5496" w:themeColor="accent1" w:themeShade="BF"/>
                <w:sz w:val="18"/>
                <w:szCs w:val="18"/>
                <w:lang w:val="el-GR"/>
              </w:rPr>
            </w:pPr>
          </w:p>
        </w:tc>
        <w:tc>
          <w:tcPr>
            <w:tcW w:w="1361" w:type="dxa"/>
            <w:tcBorders>
              <w:top w:val="single" w:sz="4" w:space="0" w:color="2F5496" w:themeColor="accent1" w:themeShade="BF"/>
            </w:tcBorders>
            <w:vAlign w:val="center"/>
          </w:tcPr>
          <w:p w14:paraId="0E0C041F" w14:textId="77777777" w:rsidR="006F21EB" w:rsidRPr="006F21EB" w:rsidRDefault="006F21EB" w:rsidP="00CA6AD5">
            <w:pPr>
              <w:jc w:val="center"/>
              <w:rPr>
                <w:rFonts w:ascii="Verdana" w:hAnsi="Verdana" w:cs="Arial"/>
                <w:color w:val="2F5496" w:themeColor="accent1" w:themeShade="BF"/>
                <w:sz w:val="18"/>
                <w:szCs w:val="18"/>
                <w:lang w:val="el-GR"/>
              </w:rPr>
            </w:pPr>
            <w:r>
              <w:rPr>
                <w:rFonts w:ascii="Verdana" w:hAnsi="Verdana" w:cs="Arial"/>
                <w:b/>
                <w:bCs/>
                <w:color w:val="2F5496" w:themeColor="accent1" w:themeShade="BF"/>
                <w:sz w:val="18"/>
                <w:szCs w:val="18"/>
              </w:rPr>
              <w:t>Change</w:t>
            </w:r>
          </w:p>
        </w:tc>
      </w:tr>
      <w:tr w:rsidR="006F21EB" w:rsidRPr="006F21EB" w14:paraId="04DE1666" w14:textId="77777777" w:rsidTr="006F21EB">
        <w:trPr>
          <w:trHeight w:val="510"/>
          <w:jc w:val="center"/>
        </w:trPr>
        <w:tc>
          <w:tcPr>
            <w:tcW w:w="4196" w:type="dxa"/>
            <w:vMerge/>
          </w:tcPr>
          <w:p w14:paraId="65E38097" w14:textId="77777777" w:rsidR="006F21EB" w:rsidRPr="006F21EB" w:rsidRDefault="006F21EB" w:rsidP="00CA6AD5">
            <w:pPr>
              <w:jc w:val="both"/>
              <w:rPr>
                <w:rFonts w:ascii="Verdana" w:hAnsi="Verdana" w:cs="Arial"/>
                <w:b/>
                <w:bCs/>
                <w:color w:val="2F5496" w:themeColor="accent1" w:themeShade="BF"/>
                <w:sz w:val="18"/>
                <w:szCs w:val="18"/>
                <w:lang w:val="el-GR"/>
              </w:rPr>
            </w:pPr>
          </w:p>
        </w:tc>
        <w:tc>
          <w:tcPr>
            <w:tcW w:w="2608" w:type="dxa"/>
            <w:gridSpan w:val="2"/>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63C9027C" w14:textId="77777777" w:rsidR="006F21EB" w:rsidRPr="006F21EB" w:rsidRDefault="00340922" w:rsidP="00340922">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Fiscal Results</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317142E3" w14:textId="77777777" w:rsidR="006F21EB" w:rsidRPr="006F21EB" w:rsidRDefault="003E1CEE" w:rsidP="00CA6AD5">
            <w:pPr>
              <w:jc w:val="cente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Difference</w:t>
            </w:r>
          </w:p>
        </w:tc>
        <w:tc>
          <w:tcPr>
            <w:tcW w:w="236" w:type="dxa"/>
          </w:tcPr>
          <w:p w14:paraId="611FD142" w14:textId="77777777" w:rsidR="006F21EB" w:rsidRPr="006F21EB" w:rsidRDefault="006F21EB" w:rsidP="00CA6AD5">
            <w:pPr>
              <w:jc w:val="both"/>
              <w:rPr>
                <w:rFonts w:ascii="Verdana" w:hAnsi="Verdana" w:cs="Arial"/>
                <w:b/>
                <w:bCs/>
                <w:color w:val="2F5496" w:themeColor="accent1" w:themeShade="BF"/>
                <w:sz w:val="18"/>
                <w:szCs w:val="18"/>
                <w:lang w:val="el-GR"/>
              </w:rPr>
            </w:pPr>
          </w:p>
        </w:tc>
        <w:tc>
          <w:tcPr>
            <w:tcW w:w="1361" w:type="dxa"/>
            <w:tcBorders>
              <w:bottom w:val="single" w:sz="4" w:space="0" w:color="2F5496" w:themeColor="accent1" w:themeShade="BF"/>
            </w:tcBorders>
            <w:vAlign w:val="center"/>
          </w:tcPr>
          <w:p w14:paraId="1CABC62B" w14:textId="77777777" w:rsidR="006F21EB" w:rsidRPr="006F21EB" w:rsidRDefault="006F21EB" w:rsidP="00CA6AD5">
            <w:pPr>
              <w:jc w:val="center"/>
              <w:rPr>
                <w:rFonts w:ascii="Verdana" w:hAnsi="Verdana" w:cs="Arial"/>
                <w:b/>
                <w:bCs/>
                <w:color w:val="2F5496" w:themeColor="accent1" w:themeShade="BF"/>
                <w:sz w:val="18"/>
                <w:szCs w:val="18"/>
                <w:lang w:val="el-GR"/>
              </w:rPr>
            </w:pPr>
            <w:r w:rsidRPr="006F21EB">
              <w:rPr>
                <w:rFonts w:ascii="Verdana" w:hAnsi="Verdana" w:cs="Arial"/>
                <w:b/>
                <w:bCs/>
                <w:color w:val="2F5496" w:themeColor="accent1" w:themeShade="BF"/>
                <w:sz w:val="18"/>
                <w:szCs w:val="18"/>
                <w:lang w:val="el-GR"/>
              </w:rPr>
              <w:t>(%)</w:t>
            </w:r>
          </w:p>
        </w:tc>
      </w:tr>
      <w:tr w:rsidR="006F21EB" w:rsidRPr="006F21EB" w14:paraId="497EA4CD" w14:textId="77777777" w:rsidTr="006F21EB">
        <w:trPr>
          <w:trHeight w:val="624"/>
          <w:jc w:val="center"/>
        </w:trPr>
        <w:tc>
          <w:tcPr>
            <w:tcW w:w="4196" w:type="dxa"/>
            <w:vMerge/>
            <w:tcBorders>
              <w:bottom w:val="single" w:sz="4" w:space="0" w:color="2F5496" w:themeColor="accent1" w:themeShade="BF"/>
            </w:tcBorders>
          </w:tcPr>
          <w:p w14:paraId="570DF210" w14:textId="77777777" w:rsidR="006F21EB" w:rsidRPr="006F21EB" w:rsidRDefault="006F21EB" w:rsidP="00CA6AD5">
            <w:pPr>
              <w:jc w:val="both"/>
              <w:rPr>
                <w:rFonts w:ascii="Verdana" w:hAnsi="Verdana" w:cs="Arial"/>
                <w:color w:val="2F5496" w:themeColor="accent1" w:themeShade="BF"/>
                <w:sz w:val="18"/>
                <w:szCs w:val="18"/>
                <w:lang w:val="el-GR"/>
              </w:rPr>
            </w:pPr>
          </w:p>
        </w:tc>
        <w:tc>
          <w:tcPr>
            <w:tcW w:w="1304" w:type="dxa"/>
            <w:tcBorders>
              <w:top w:val="single" w:sz="4" w:space="0" w:color="2F5496" w:themeColor="accent1" w:themeShade="BF"/>
              <w:bottom w:val="single" w:sz="4" w:space="0" w:color="2F5496" w:themeColor="accent1" w:themeShade="BF"/>
            </w:tcBorders>
            <w:vAlign w:val="center"/>
          </w:tcPr>
          <w:p w14:paraId="6827EC02" w14:textId="2ECAC4D3" w:rsidR="006F21EB" w:rsidRPr="00334E18" w:rsidRDefault="00334E18" w:rsidP="00334E18">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 xml:space="preserve">       </w:t>
            </w:r>
            <w:r w:rsidR="006F21EB" w:rsidRPr="006F21EB">
              <w:rPr>
                <w:rFonts w:ascii="Verdana" w:hAnsi="Verdana" w:cs="Arial"/>
                <w:b/>
                <w:bCs/>
                <w:color w:val="2F5496" w:themeColor="accent1" w:themeShade="BF"/>
                <w:sz w:val="18"/>
                <w:szCs w:val="18"/>
                <w:lang w:val="el-GR"/>
              </w:rPr>
              <w:t>202</w:t>
            </w:r>
            <w:r w:rsidR="00342957">
              <w:rPr>
                <w:rFonts w:ascii="Verdana" w:hAnsi="Verdana" w:cs="Arial"/>
                <w:b/>
                <w:bCs/>
                <w:color w:val="2F5496" w:themeColor="accent1" w:themeShade="BF"/>
                <w:sz w:val="18"/>
                <w:szCs w:val="18"/>
              </w:rPr>
              <w:t>2</w:t>
            </w:r>
          </w:p>
        </w:tc>
        <w:tc>
          <w:tcPr>
            <w:tcW w:w="1304" w:type="dxa"/>
            <w:tcBorders>
              <w:top w:val="single" w:sz="4" w:space="0" w:color="2F5496" w:themeColor="accent1" w:themeShade="BF"/>
              <w:bottom w:val="single" w:sz="4" w:space="0" w:color="2F5496" w:themeColor="accent1" w:themeShade="BF"/>
              <w:right w:val="double" w:sz="4" w:space="0" w:color="2F5496" w:themeColor="accent1" w:themeShade="BF"/>
            </w:tcBorders>
            <w:vAlign w:val="center"/>
          </w:tcPr>
          <w:p w14:paraId="3A8B7F09" w14:textId="3EFC7B16" w:rsidR="006F21EB" w:rsidRPr="00334E18" w:rsidRDefault="00334E18" w:rsidP="00CA6AD5">
            <w:pPr>
              <w:jc w:val="cente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 xml:space="preserve">     </w:t>
            </w:r>
            <w:r w:rsidR="006F21EB" w:rsidRPr="006F21EB">
              <w:rPr>
                <w:rFonts w:ascii="Verdana" w:hAnsi="Verdana" w:cs="Arial"/>
                <w:b/>
                <w:bCs/>
                <w:color w:val="2F5496" w:themeColor="accent1" w:themeShade="BF"/>
                <w:sz w:val="18"/>
                <w:szCs w:val="18"/>
                <w:lang w:val="el-GR"/>
              </w:rPr>
              <w:t>202</w:t>
            </w:r>
            <w:r w:rsidR="00342957">
              <w:rPr>
                <w:rFonts w:ascii="Verdana" w:hAnsi="Verdana" w:cs="Arial"/>
                <w:b/>
                <w:bCs/>
                <w:color w:val="2F5496" w:themeColor="accent1" w:themeShade="BF"/>
                <w:sz w:val="18"/>
                <w:szCs w:val="18"/>
              </w:rPr>
              <w:t>3</w:t>
            </w:r>
          </w:p>
        </w:tc>
        <w:tc>
          <w:tcPr>
            <w:tcW w:w="1304" w:type="dxa"/>
            <w:tcBorders>
              <w:top w:val="single" w:sz="4" w:space="0" w:color="2F5496" w:themeColor="accent1" w:themeShade="BF"/>
              <w:left w:val="double" w:sz="4" w:space="0" w:color="2F5496" w:themeColor="accent1" w:themeShade="BF"/>
              <w:bottom w:val="single" w:sz="4" w:space="0" w:color="2F5496" w:themeColor="accent1" w:themeShade="BF"/>
            </w:tcBorders>
            <w:vAlign w:val="center"/>
          </w:tcPr>
          <w:p w14:paraId="14953C7C" w14:textId="0FAE7E87" w:rsidR="006F21EB" w:rsidRPr="00334E18" w:rsidRDefault="006F21EB" w:rsidP="00CA6AD5">
            <w:pPr>
              <w:jc w:val="center"/>
              <w:rPr>
                <w:rFonts w:ascii="Verdana" w:hAnsi="Verdana" w:cs="Arial"/>
                <w:b/>
                <w:bCs/>
                <w:color w:val="2F5496" w:themeColor="accent1" w:themeShade="BF"/>
                <w:sz w:val="18"/>
                <w:szCs w:val="18"/>
              </w:rPr>
            </w:pPr>
            <w:r w:rsidRPr="006F21EB">
              <w:rPr>
                <w:rFonts w:ascii="Verdana" w:hAnsi="Verdana" w:cs="Arial"/>
                <w:b/>
                <w:bCs/>
                <w:color w:val="2F5496" w:themeColor="accent1" w:themeShade="BF"/>
                <w:sz w:val="18"/>
                <w:szCs w:val="18"/>
                <w:lang w:val="el-GR"/>
              </w:rPr>
              <w:t>202</w:t>
            </w:r>
            <w:r w:rsidR="009C201E">
              <w:rPr>
                <w:rFonts w:ascii="Verdana" w:hAnsi="Verdana" w:cs="Arial"/>
                <w:b/>
                <w:bCs/>
                <w:color w:val="2F5496" w:themeColor="accent1" w:themeShade="BF"/>
                <w:sz w:val="18"/>
                <w:szCs w:val="18"/>
              </w:rPr>
              <w:t>3</w:t>
            </w:r>
            <w:r w:rsidRPr="006F21EB">
              <w:rPr>
                <w:rFonts w:ascii="Verdana" w:hAnsi="Verdana" w:cs="Arial"/>
                <w:b/>
                <w:bCs/>
                <w:color w:val="2F5496" w:themeColor="accent1" w:themeShade="BF"/>
                <w:sz w:val="18"/>
                <w:szCs w:val="18"/>
                <w:lang w:val="el-GR"/>
              </w:rPr>
              <w:t>/</w:t>
            </w:r>
            <w:r w:rsidR="00334E18">
              <w:rPr>
                <w:rFonts w:ascii="Verdana" w:hAnsi="Verdana" w:cs="Arial"/>
                <w:b/>
                <w:bCs/>
                <w:color w:val="2F5496" w:themeColor="accent1" w:themeShade="BF"/>
                <w:sz w:val="18"/>
                <w:szCs w:val="18"/>
              </w:rPr>
              <w:t xml:space="preserve"> </w:t>
            </w:r>
            <w:r w:rsidRPr="006F21EB">
              <w:rPr>
                <w:rFonts w:ascii="Verdana" w:hAnsi="Verdana" w:cs="Arial"/>
                <w:b/>
                <w:bCs/>
                <w:color w:val="2F5496" w:themeColor="accent1" w:themeShade="BF"/>
                <w:sz w:val="18"/>
                <w:szCs w:val="18"/>
                <w:lang w:val="el-GR"/>
              </w:rPr>
              <w:t>2</w:t>
            </w:r>
            <w:r w:rsidR="00334E18">
              <w:rPr>
                <w:rFonts w:ascii="Verdana" w:hAnsi="Verdana" w:cs="Arial"/>
                <w:b/>
                <w:bCs/>
                <w:color w:val="2F5496" w:themeColor="accent1" w:themeShade="BF"/>
                <w:sz w:val="18"/>
                <w:szCs w:val="18"/>
              </w:rPr>
              <w:t>0</w:t>
            </w:r>
            <w:r w:rsidRPr="006F21EB">
              <w:rPr>
                <w:rFonts w:ascii="Verdana" w:hAnsi="Verdana" w:cs="Arial"/>
                <w:b/>
                <w:bCs/>
                <w:color w:val="2F5496" w:themeColor="accent1" w:themeShade="BF"/>
                <w:sz w:val="18"/>
                <w:szCs w:val="18"/>
                <w:lang w:val="el-GR"/>
              </w:rPr>
              <w:t>2</w:t>
            </w:r>
            <w:r w:rsidR="00334E18">
              <w:rPr>
                <w:rFonts w:ascii="Verdana" w:hAnsi="Verdana" w:cs="Arial"/>
                <w:b/>
                <w:bCs/>
                <w:color w:val="2F5496" w:themeColor="accent1" w:themeShade="BF"/>
                <w:sz w:val="18"/>
                <w:szCs w:val="18"/>
              </w:rPr>
              <w:t>2</w:t>
            </w:r>
          </w:p>
        </w:tc>
        <w:tc>
          <w:tcPr>
            <w:tcW w:w="236" w:type="dxa"/>
            <w:tcBorders>
              <w:bottom w:val="single" w:sz="4" w:space="0" w:color="2F5496" w:themeColor="accent1" w:themeShade="BF"/>
            </w:tcBorders>
            <w:vAlign w:val="center"/>
          </w:tcPr>
          <w:p w14:paraId="3C3E2E13" w14:textId="77777777" w:rsidR="006F21EB" w:rsidRPr="006F21EB" w:rsidRDefault="006F21EB" w:rsidP="00CA6AD5">
            <w:pPr>
              <w:jc w:val="center"/>
              <w:rPr>
                <w:rFonts w:ascii="Verdana" w:hAnsi="Verdana" w:cs="Arial"/>
                <w:b/>
                <w:bCs/>
                <w:color w:val="2F5496" w:themeColor="accent1" w:themeShade="BF"/>
                <w:sz w:val="18"/>
                <w:szCs w:val="18"/>
                <w:lang w:val="el-GR"/>
              </w:rPr>
            </w:pPr>
          </w:p>
        </w:tc>
        <w:tc>
          <w:tcPr>
            <w:tcW w:w="1361" w:type="dxa"/>
            <w:tcBorders>
              <w:top w:val="single" w:sz="4" w:space="0" w:color="2F5496" w:themeColor="accent1" w:themeShade="BF"/>
              <w:bottom w:val="single" w:sz="4" w:space="0" w:color="2F5496" w:themeColor="accent1" w:themeShade="BF"/>
            </w:tcBorders>
            <w:vAlign w:val="center"/>
          </w:tcPr>
          <w:p w14:paraId="387A5E41" w14:textId="7DD9CAD7" w:rsidR="006F21EB" w:rsidRPr="006F21EB" w:rsidRDefault="00334E18" w:rsidP="00CA6AD5">
            <w:pPr>
              <w:jc w:val="center"/>
              <w:rPr>
                <w:rFonts w:ascii="Verdana" w:hAnsi="Verdana" w:cs="Arial"/>
                <w:b/>
                <w:bCs/>
                <w:color w:val="2F5496" w:themeColor="accent1" w:themeShade="BF"/>
                <w:sz w:val="18"/>
                <w:szCs w:val="18"/>
                <w:lang w:val="el-GR"/>
              </w:rPr>
            </w:pPr>
            <w:r w:rsidRPr="00334E18">
              <w:rPr>
                <w:rFonts w:ascii="Verdana" w:hAnsi="Verdana" w:cs="Arial"/>
                <w:b/>
                <w:bCs/>
                <w:color w:val="2F5496" w:themeColor="accent1" w:themeShade="BF"/>
                <w:sz w:val="18"/>
                <w:szCs w:val="18"/>
              </w:rPr>
              <w:t>202</w:t>
            </w:r>
            <w:r w:rsidR="009C201E">
              <w:rPr>
                <w:rFonts w:ascii="Verdana" w:hAnsi="Verdana" w:cs="Arial"/>
                <w:b/>
                <w:bCs/>
                <w:color w:val="2F5496" w:themeColor="accent1" w:themeShade="BF"/>
                <w:sz w:val="18"/>
                <w:szCs w:val="18"/>
              </w:rPr>
              <w:t>3</w:t>
            </w:r>
            <w:r w:rsidRPr="00334E18">
              <w:rPr>
                <w:rFonts w:ascii="Verdana" w:hAnsi="Verdana" w:cs="Arial"/>
                <w:b/>
                <w:bCs/>
                <w:color w:val="2F5496" w:themeColor="accent1" w:themeShade="BF"/>
                <w:sz w:val="18"/>
                <w:szCs w:val="18"/>
              </w:rPr>
              <w:t>/ 2022</w:t>
            </w:r>
          </w:p>
        </w:tc>
      </w:tr>
      <w:tr w:rsidR="00EA2FCF" w:rsidRPr="006F21EB" w14:paraId="73E1365F" w14:textId="77777777" w:rsidTr="002667D0">
        <w:trPr>
          <w:trHeight w:val="397"/>
          <w:jc w:val="center"/>
        </w:trPr>
        <w:tc>
          <w:tcPr>
            <w:tcW w:w="4196" w:type="dxa"/>
            <w:tcBorders>
              <w:top w:val="single" w:sz="4" w:space="0" w:color="2F5496" w:themeColor="accent1" w:themeShade="BF"/>
            </w:tcBorders>
            <w:vAlign w:val="center"/>
          </w:tcPr>
          <w:p w14:paraId="1A85275D" w14:textId="77777777" w:rsidR="00EA2FCF" w:rsidRPr="006F21EB" w:rsidRDefault="00EA2FCF" w:rsidP="00EA2FCF">
            <w:pPr>
              <w:rPr>
                <w:rFonts w:ascii="Verdana" w:hAnsi="Verdana" w:cs="Arial"/>
                <w:b/>
                <w:bCs/>
                <w:color w:val="2F5496" w:themeColor="accent1" w:themeShade="BF"/>
                <w:sz w:val="18"/>
                <w:szCs w:val="18"/>
                <w:lang w:val="el-GR"/>
              </w:rPr>
            </w:pPr>
            <w:r>
              <w:rPr>
                <w:rFonts w:ascii="Verdana" w:hAnsi="Verdana" w:cs="Arial"/>
                <w:b/>
                <w:bCs/>
                <w:color w:val="2F5496" w:themeColor="accent1" w:themeShade="BF"/>
                <w:sz w:val="18"/>
                <w:szCs w:val="18"/>
              </w:rPr>
              <w:t>Total Revenue</w:t>
            </w:r>
          </w:p>
        </w:tc>
        <w:tc>
          <w:tcPr>
            <w:tcW w:w="1304" w:type="dxa"/>
            <w:tcBorders>
              <w:top w:val="single" w:sz="4" w:space="0" w:color="2F5496" w:themeColor="accent1" w:themeShade="BF"/>
            </w:tcBorders>
            <w:shd w:val="clear" w:color="000000" w:fill="FFFFFF"/>
            <w:vAlign w:val="center"/>
          </w:tcPr>
          <w:p w14:paraId="0143DAEE" w14:textId="3CA500A9" w:rsidR="00EA2FCF" w:rsidRPr="002667D0" w:rsidRDefault="00EA2FCF" w:rsidP="00EA2FCF">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11.539,8</w:t>
            </w:r>
          </w:p>
        </w:tc>
        <w:tc>
          <w:tcPr>
            <w:tcW w:w="1304" w:type="dxa"/>
            <w:tcBorders>
              <w:top w:val="single" w:sz="4" w:space="0" w:color="2F5496" w:themeColor="accent1" w:themeShade="BF"/>
              <w:right w:val="double" w:sz="4" w:space="0" w:color="2F5496" w:themeColor="accent1" w:themeShade="BF"/>
            </w:tcBorders>
            <w:vAlign w:val="center"/>
          </w:tcPr>
          <w:p w14:paraId="23327C28" w14:textId="4E543885" w:rsidR="00EA2FCF" w:rsidRPr="002667D0" w:rsidRDefault="00EA2FCF" w:rsidP="00EA2FCF">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12.913,8</w:t>
            </w:r>
          </w:p>
        </w:tc>
        <w:tc>
          <w:tcPr>
            <w:tcW w:w="1304" w:type="dxa"/>
            <w:tcBorders>
              <w:top w:val="single" w:sz="4" w:space="0" w:color="2F5496" w:themeColor="accent1" w:themeShade="BF"/>
              <w:left w:val="double" w:sz="4" w:space="0" w:color="2F5496" w:themeColor="accent1" w:themeShade="BF"/>
              <w:right w:val="single" w:sz="4" w:space="0" w:color="2F5496" w:themeColor="accent1" w:themeShade="BF"/>
            </w:tcBorders>
            <w:vAlign w:val="center"/>
          </w:tcPr>
          <w:p w14:paraId="62D1DE00" w14:textId="47D50752" w:rsidR="00EA2FCF" w:rsidRPr="002667D0" w:rsidRDefault="00EA2FCF" w:rsidP="00EA2FCF">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1.374,0</w:t>
            </w:r>
          </w:p>
        </w:tc>
        <w:tc>
          <w:tcPr>
            <w:tcW w:w="236" w:type="dxa"/>
            <w:tcBorders>
              <w:top w:val="single" w:sz="4" w:space="0" w:color="2F5496" w:themeColor="accent1" w:themeShade="BF"/>
              <w:left w:val="single" w:sz="4" w:space="0" w:color="2F5496" w:themeColor="accent1" w:themeShade="BF"/>
              <w:right w:val="single" w:sz="4" w:space="0" w:color="2F5496" w:themeColor="accent1" w:themeShade="BF"/>
            </w:tcBorders>
            <w:vAlign w:val="center"/>
          </w:tcPr>
          <w:p w14:paraId="283E98AE" w14:textId="77777777" w:rsidR="00EA2FCF" w:rsidRPr="002667D0" w:rsidRDefault="00EA2FCF" w:rsidP="00EA2FCF">
            <w:pPr>
              <w:jc w:val="right"/>
              <w:rPr>
                <w:rFonts w:ascii="Verdana" w:hAnsi="Verdana" w:cs="Arial"/>
                <w:b/>
                <w:bCs/>
                <w:color w:val="2F5496" w:themeColor="accent1" w:themeShade="BF"/>
                <w:sz w:val="18"/>
                <w:szCs w:val="18"/>
                <w:lang w:val="el-GR"/>
              </w:rPr>
            </w:pPr>
          </w:p>
        </w:tc>
        <w:tc>
          <w:tcPr>
            <w:tcW w:w="1361" w:type="dxa"/>
            <w:tcBorders>
              <w:top w:val="single" w:sz="4" w:space="0" w:color="2F5496" w:themeColor="accent1" w:themeShade="BF"/>
              <w:left w:val="single" w:sz="4" w:space="0" w:color="2F5496" w:themeColor="accent1" w:themeShade="BF"/>
            </w:tcBorders>
            <w:shd w:val="clear" w:color="000000" w:fill="FFFFFF"/>
            <w:vAlign w:val="center"/>
          </w:tcPr>
          <w:p w14:paraId="047411F2" w14:textId="6DB2F58D" w:rsidR="00EA2FCF" w:rsidRPr="002667D0" w:rsidRDefault="00EA2FCF" w:rsidP="00EA2FCF">
            <w:pPr>
              <w:ind w:right="227"/>
              <w:jc w:val="right"/>
              <w:rPr>
                <w:rFonts w:ascii="Verdana" w:hAnsi="Verdana" w:cs="Calibri"/>
                <w:b/>
                <w:bCs/>
                <w:color w:val="2F5496" w:themeColor="accent1" w:themeShade="BF"/>
                <w:sz w:val="18"/>
                <w:szCs w:val="18"/>
              </w:rPr>
            </w:pPr>
            <w:r w:rsidRPr="001835EF">
              <w:rPr>
                <w:rFonts w:ascii="Verdana" w:hAnsi="Verdana"/>
                <w:b/>
                <w:bCs/>
                <w:color w:val="2F5496" w:themeColor="accent1" w:themeShade="BF"/>
                <w:sz w:val="18"/>
                <w:szCs w:val="18"/>
              </w:rPr>
              <w:t>11,9</w:t>
            </w:r>
          </w:p>
        </w:tc>
      </w:tr>
      <w:tr w:rsidR="00EA2FCF" w:rsidRPr="006F21EB" w14:paraId="7B21BFF6" w14:textId="77777777" w:rsidTr="002667D0">
        <w:trPr>
          <w:trHeight w:val="340"/>
          <w:jc w:val="center"/>
        </w:trPr>
        <w:tc>
          <w:tcPr>
            <w:tcW w:w="4196" w:type="dxa"/>
            <w:vAlign w:val="center"/>
          </w:tcPr>
          <w:p w14:paraId="21EFC2F7" w14:textId="77777777" w:rsidR="00EA2FCF" w:rsidRPr="008C3DCF" w:rsidRDefault="00EA2FCF" w:rsidP="00EA2FCF">
            <w:pPr>
              <w:ind w:left="170"/>
              <w:rPr>
                <w:rFonts w:ascii="Verdana" w:hAnsi="Verdana" w:cs="Arial"/>
                <w:color w:val="2F5496" w:themeColor="accent1" w:themeShade="BF"/>
                <w:sz w:val="18"/>
                <w:szCs w:val="18"/>
              </w:rPr>
            </w:pPr>
            <w:r w:rsidRPr="008C3DCF">
              <w:rPr>
                <w:rFonts w:ascii="Verdana" w:hAnsi="Verdana" w:cs="Arial"/>
                <w:color w:val="2F5496" w:themeColor="accent1" w:themeShade="BF"/>
                <w:sz w:val="18"/>
                <w:szCs w:val="18"/>
              </w:rPr>
              <w:t xml:space="preserve">Taxes on </w:t>
            </w:r>
            <w:r>
              <w:rPr>
                <w:rFonts w:ascii="Verdana" w:hAnsi="Verdana" w:cs="Arial"/>
                <w:color w:val="2F5496" w:themeColor="accent1" w:themeShade="BF"/>
                <w:sz w:val="18"/>
                <w:szCs w:val="18"/>
              </w:rPr>
              <w:t>P</w:t>
            </w:r>
            <w:r w:rsidRPr="008C3DCF">
              <w:rPr>
                <w:rFonts w:ascii="Verdana" w:hAnsi="Verdana" w:cs="Arial"/>
                <w:color w:val="2F5496" w:themeColor="accent1" w:themeShade="BF"/>
                <w:sz w:val="18"/>
                <w:szCs w:val="18"/>
              </w:rPr>
              <w:t xml:space="preserve">roduction and </w:t>
            </w:r>
            <w:r>
              <w:rPr>
                <w:rFonts w:ascii="Verdana" w:hAnsi="Verdana" w:cs="Arial"/>
                <w:color w:val="2F5496" w:themeColor="accent1" w:themeShade="BF"/>
                <w:sz w:val="18"/>
                <w:szCs w:val="18"/>
              </w:rPr>
              <w:t>I</w:t>
            </w:r>
            <w:r w:rsidRPr="008C3DCF">
              <w:rPr>
                <w:rFonts w:ascii="Verdana" w:hAnsi="Verdana" w:cs="Arial"/>
                <w:color w:val="2F5496" w:themeColor="accent1" w:themeShade="BF"/>
                <w:sz w:val="18"/>
                <w:szCs w:val="18"/>
              </w:rPr>
              <w:t>mports</w:t>
            </w:r>
          </w:p>
        </w:tc>
        <w:tc>
          <w:tcPr>
            <w:tcW w:w="1304" w:type="dxa"/>
            <w:shd w:val="clear" w:color="000000" w:fill="FFFFFF"/>
            <w:vAlign w:val="center"/>
          </w:tcPr>
          <w:p w14:paraId="0617394D" w14:textId="11462770"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4.033,5</w:t>
            </w:r>
          </w:p>
        </w:tc>
        <w:tc>
          <w:tcPr>
            <w:tcW w:w="1304" w:type="dxa"/>
            <w:tcBorders>
              <w:right w:val="double" w:sz="4" w:space="0" w:color="2F5496" w:themeColor="accent1" w:themeShade="BF"/>
            </w:tcBorders>
            <w:vAlign w:val="center"/>
          </w:tcPr>
          <w:p w14:paraId="43FE01F5" w14:textId="49430EC8"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4.437,1</w:t>
            </w:r>
          </w:p>
        </w:tc>
        <w:tc>
          <w:tcPr>
            <w:tcW w:w="1304" w:type="dxa"/>
            <w:tcBorders>
              <w:left w:val="double" w:sz="4" w:space="0" w:color="2F5496" w:themeColor="accent1" w:themeShade="BF"/>
              <w:right w:val="single" w:sz="4" w:space="0" w:color="2F5496" w:themeColor="accent1" w:themeShade="BF"/>
            </w:tcBorders>
            <w:vAlign w:val="center"/>
          </w:tcPr>
          <w:p w14:paraId="029DFCAF" w14:textId="169DC8DE"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403,6</w:t>
            </w:r>
          </w:p>
        </w:tc>
        <w:tc>
          <w:tcPr>
            <w:tcW w:w="236" w:type="dxa"/>
            <w:tcBorders>
              <w:left w:val="single" w:sz="4" w:space="0" w:color="2F5496" w:themeColor="accent1" w:themeShade="BF"/>
              <w:right w:val="single" w:sz="4" w:space="0" w:color="2F5496" w:themeColor="accent1" w:themeShade="BF"/>
            </w:tcBorders>
            <w:vAlign w:val="center"/>
          </w:tcPr>
          <w:p w14:paraId="01F36F8A"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730AA9D2" w14:textId="11F20B2D"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10,0</w:t>
            </w:r>
          </w:p>
        </w:tc>
      </w:tr>
      <w:tr w:rsidR="00EA2FCF" w:rsidRPr="006F21EB" w14:paraId="643FDBBE" w14:textId="77777777" w:rsidTr="002667D0">
        <w:trPr>
          <w:trHeight w:val="284"/>
          <w:jc w:val="center"/>
        </w:trPr>
        <w:tc>
          <w:tcPr>
            <w:tcW w:w="4196" w:type="dxa"/>
            <w:vAlign w:val="center"/>
          </w:tcPr>
          <w:p w14:paraId="58CE4178" w14:textId="77777777" w:rsidR="00EA2FCF" w:rsidRPr="006F21EB" w:rsidRDefault="00EA2FCF" w:rsidP="00EA2FCF">
            <w:pPr>
              <w:ind w:left="340"/>
              <w:rPr>
                <w:rFonts w:ascii="Verdana" w:hAnsi="Verdana" w:cs="Arial"/>
                <w:i/>
                <w:iCs/>
                <w:color w:val="2F5496" w:themeColor="accent1" w:themeShade="BF"/>
                <w:sz w:val="18"/>
                <w:szCs w:val="18"/>
                <w:lang w:val="el-GR"/>
              </w:rPr>
            </w:pPr>
            <w:r w:rsidRPr="008C3DCF">
              <w:rPr>
                <w:rFonts w:ascii="Verdana" w:hAnsi="Verdana" w:cs="Arial"/>
                <w:i/>
                <w:iCs/>
                <w:color w:val="2F5496" w:themeColor="accent1" w:themeShade="BF"/>
                <w:sz w:val="18"/>
                <w:szCs w:val="18"/>
                <w:lang w:val="el-GR"/>
              </w:rPr>
              <w:t xml:space="preserve">of </w:t>
            </w:r>
            <w:proofErr w:type="spellStart"/>
            <w:r w:rsidRPr="008C3DCF">
              <w:rPr>
                <w:rFonts w:ascii="Verdana" w:hAnsi="Verdana" w:cs="Arial"/>
                <w:i/>
                <w:iCs/>
                <w:color w:val="2F5496" w:themeColor="accent1" w:themeShade="BF"/>
                <w:sz w:val="18"/>
                <w:szCs w:val="18"/>
                <w:lang w:val="el-GR"/>
              </w:rPr>
              <w:t>which</w:t>
            </w:r>
            <w:proofErr w:type="spellEnd"/>
            <w:r w:rsidRPr="008C3DCF">
              <w:rPr>
                <w:rFonts w:ascii="Verdana" w:hAnsi="Verdana" w:cs="Arial"/>
                <w:i/>
                <w:iCs/>
                <w:color w:val="2F5496" w:themeColor="accent1" w:themeShade="BF"/>
                <w:sz w:val="18"/>
                <w:szCs w:val="18"/>
                <w:lang w:val="el-GR"/>
              </w:rPr>
              <w:t xml:space="preserve"> VAT</w:t>
            </w:r>
          </w:p>
        </w:tc>
        <w:tc>
          <w:tcPr>
            <w:tcW w:w="1304" w:type="dxa"/>
            <w:shd w:val="clear" w:color="000000" w:fill="FFFFFF"/>
            <w:vAlign w:val="center"/>
          </w:tcPr>
          <w:p w14:paraId="7BB2713B" w14:textId="49CE7F65"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2.705,7</w:t>
            </w:r>
          </w:p>
        </w:tc>
        <w:tc>
          <w:tcPr>
            <w:tcW w:w="1304" w:type="dxa"/>
            <w:tcBorders>
              <w:right w:val="double" w:sz="4" w:space="0" w:color="2F5496" w:themeColor="accent1" w:themeShade="BF"/>
            </w:tcBorders>
            <w:vAlign w:val="center"/>
          </w:tcPr>
          <w:p w14:paraId="07AEE012" w14:textId="4CB98E9D"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2.978,8</w:t>
            </w:r>
          </w:p>
        </w:tc>
        <w:tc>
          <w:tcPr>
            <w:tcW w:w="1304" w:type="dxa"/>
            <w:tcBorders>
              <w:left w:val="double" w:sz="4" w:space="0" w:color="2F5496" w:themeColor="accent1" w:themeShade="BF"/>
              <w:right w:val="single" w:sz="4" w:space="0" w:color="2F5496" w:themeColor="accent1" w:themeShade="BF"/>
            </w:tcBorders>
            <w:vAlign w:val="center"/>
          </w:tcPr>
          <w:p w14:paraId="5AD6BAED" w14:textId="44133DD0"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273,1</w:t>
            </w:r>
          </w:p>
        </w:tc>
        <w:tc>
          <w:tcPr>
            <w:tcW w:w="236" w:type="dxa"/>
            <w:tcBorders>
              <w:left w:val="single" w:sz="4" w:space="0" w:color="2F5496" w:themeColor="accent1" w:themeShade="BF"/>
              <w:right w:val="single" w:sz="4" w:space="0" w:color="2F5496" w:themeColor="accent1" w:themeShade="BF"/>
            </w:tcBorders>
            <w:vAlign w:val="center"/>
          </w:tcPr>
          <w:p w14:paraId="7ACDEC43" w14:textId="77777777" w:rsidR="00EA2FCF" w:rsidRPr="002667D0" w:rsidRDefault="00EA2FCF" w:rsidP="00EA2FCF">
            <w:pPr>
              <w:jc w:val="right"/>
              <w:rPr>
                <w:rFonts w:ascii="Verdana" w:hAnsi="Verdana" w:cs="Arial"/>
                <w:i/>
                <w:iCs/>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48EDC232" w14:textId="5417AA35"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10,1</w:t>
            </w:r>
          </w:p>
        </w:tc>
      </w:tr>
      <w:tr w:rsidR="00EA2FCF" w:rsidRPr="006F21EB" w14:paraId="6199494B" w14:textId="77777777" w:rsidTr="002667D0">
        <w:trPr>
          <w:trHeight w:val="397"/>
          <w:jc w:val="center"/>
        </w:trPr>
        <w:tc>
          <w:tcPr>
            <w:tcW w:w="4196" w:type="dxa"/>
            <w:vAlign w:val="center"/>
          </w:tcPr>
          <w:p w14:paraId="00DDF13A" w14:textId="77777777" w:rsidR="00EA2FCF" w:rsidRPr="008C3DCF" w:rsidRDefault="00EA2FCF" w:rsidP="00EA2FCF">
            <w:pPr>
              <w:ind w:left="170"/>
              <w:rPr>
                <w:rFonts w:ascii="Verdana" w:hAnsi="Verdana" w:cs="Arial"/>
                <w:color w:val="2F5496" w:themeColor="accent1" w:themeShade="BF"/>
                <w:sz w:val="18"/>
                <w:szCs w:val="18"/>
              </w:rPr>
            </w:pPr>
            <w:r w:rsidRPr="008C3DCF">
              <w:rPr>
                <w:rFonts w:ascii="Verdana" w:hAnsi="Verdana" w:cs="Arial"/>
                <w:color w:val="2F5496" w:themeColor="accent1" w:themeShade="BF"/>
                <w:sz w:val="18"/>
                <w:szCs w:val="18"/>
              </w:rPr>
              <w:t xml:space="preserve">Current </w:t>
            </w:r>
            <w:r>
              <w:rPr>
                <w:rFonts w:ascii="Verdana" w:hAnsi="Verdana" w:cs="Arial"/>
                <w:color w:val="2F5496" w:themeColor="accent1" w:themeShade="BF"/>
                <w:sz w:val="18"/>
                <w:szCs w:val="18"/>
              </w:rPr>
              <w:t>T</w:t>
            </w:r>
            <w:r w:rsidRPr="008C3DCF">
              <w:rPr>
                <w:rFonts w:ascii="Verdana" w:hAnsi="Verdana" w:cs="Arial"/>
                <w:color w:val="2F5496" w:themeColor="accent1" w:themeShade="BF"/>
                <w:sz w:val="18"/>
                <w:szCs w:val="18"/>
              </w:rPr>
              <w:t xml:space="preserve">axes on </w:t>
            </w:r>
            <w:r>
              <w:rPr>
                <w:rFonts w:ascii="Verdana" w:hAnsi="Verdana" w:cs="Arial"/>
                <w:color w:val="2F5496" w:themeColor="accent1" w:themeShade="BF"/>
                <w:sz w:val="18"/>
                <w:szCs w:val="18"/>
              </w:rPr>
              <w:t>I</w:t>
            </w:r>
            <w:r w:rsidRPr="008C3DCF">
              <w:rPr>
                <w:rFonts w:ascii="Verdana" w:hAnsi="Verdana" w:cs="Arial"/>
                <w:color w:val="2F5496" w:themeColor="accent1" w:themeShade="BF"/>
                <w:sz w:val="18"/>
                <w:szCs w:val="18"/>
              </w:rPr>
              <w:t xml:space="preserve">ncome and </w:t>
            </w:r>
            <w:r>
              <w:rPr>
                <w:rFonts w:ascii="Verdana" w:hAnsi="Verdana" w:cs="Arial"/>
                <w:color w:val="2F5496" w:themeColor="accent1" w:themeShade="BF"/>
                <w:sz w:val="18"/>
                <w:szCs w:val="18"/>
              </w:rPr>
              <w:t>W</w:t>
            </w:r>
            <w:r w:rsidRPr="008C3DCF">
              <w:rPr>
                <w:rFonts w:ascii="Verdana" w:hAnsi="Verdana" w:cs="Arial"/>
                <w:color w:val="2F5496" w:themeColor="accent1" w:themeShade="BF"/>
                <w:sz w:val="18"/>
                <w:szCs w:val="18"/>
              </w:rPr>
              <w:t xml:space="preserve">ealth, </w:t>
            </w:r>
            <w:proofErr w:type="spellStart"/>
            <w:r w:rsidRPr="008C3DCF">
              <w:rPr>
                <w:rFonts w:ascii="Verdana" w:hAnsi="Verdana" w:cs="Arial"/>
                <w:color w:val="2F5496" w:themeColor="accent1" w:themeShade="BF"/>
                <w:sz w:val="18"/>
                <w:szCs w:val="18"/>
              </w:rPr>
              <w:t>etc</w:t>
            </w:r>
            <w:proofErr w:type="spellEnd"/>
          </w:p>
        </w:tc>
        <w:tc>
          <w:tcPr>
            <w:tcW w:w="1304" w:type="dxa"/>
            <w:shd w:val="clear" w:color="000000" w:fill="FFFFFF"/>
            <w:vAlign w:val="center"/>
          </w:tcPr>
          <w:p w14:paraId="5D7BF272" w14:textId="4302FCCE"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2.924,2</w:t>
            </w:r>
          </w:p>
        </w:tc>
        <w:tc>
          <w:tcPr>
            <w:tcW w:w="1304" w:type="dxa"/>
            <w:tcBorders>
              <w:right w:val="double" w:sz="4" w:space="0" w:color="2F5496" w:themeColor="accent1" w:themeShade="BF"/>
            </w:tcBorders>
            <w:vAlign w:val="center"/>
          </w:tcPr>
          <w:p w14:paraId="7710D7FA" w14:textId="0900FA03"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3.264,9</w:t>
            </w:r>
          </w:p>
        </w:tc>
        <w:tc>
          <w:tcPr>
            <w:tcW w:w="1304" w:type="dxa"/>
            <w:tcBorders>
              <w:left w:val="double" w:sz="4" w:space="0" w:color="2F5496" w:themeColor="accent1" w:themeShade="BF"/>
              <w:right w:val="single" w:sz="4" w:space="0" w:color="2F5496" w:themeColor="accent1" w:themeShade="BF"/>
            </w:tcBorders>
            <w:vAlign w:val="center"/>
          </w:tcPr>
          <w:p w14:paraId="5C3A91F2" w14:textId="2F631B6A"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340,7</w:t>
            </w:r>
          </w:p>
        </w:tc>
        <w:tc>
          <w:tcPr>
            <w:tcW w:w="236" w:type="dxa"/>
            <w:tcBorders>
              <w:left w:val="single" w:sz="4" w:space="0" w:color="2F5496" w:themeColor="accent1" w:themeShade="BF"/>
              <w:right w:val="single" w:sz="4" w:space="0" w:color="2F5496" w:themeColor="accent1" w:themeShade="BF"/>
            </w:tcBorders>
            <w:vAlign w:val="center"/>
          </w:tcPr>
          <w:p w14:paraId="4DFDE221"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1FD8F770" w14:textId="6065DA65"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11,7</w:t>
            </w:r>
          </w:p>
        </w:tc>
      </w:tr>
      <w:tr w:rsidR="00EA2FCF" w:rsidRPr="006F21EB" w14:paraId="559F8B22" w14:textId="77777777" w:rsidTr="002667D0">
        <w:trPr>
          <w:trHeight w:val="340"/>
          <w:jc w:val="center"/>
        </w:trPr>
        <w:tc>
          <w:tcPr>
            <w:tcW w:w="4196" w:type="dxa"/>
            <w:vAlign w:val="center"/>
          </w:tcPr>
          <w:p w14:paraId="509DB8A2" w14:textId="77777777" w:rsidR="00EA2FCF" w:rsidRPr="006F21EB" w:rsidRDefault="00EA2FCF" w:rsidP="00EA2FCF">
            <w:pPr>
              <w:ind w:left="170"/>
              <w:rPr>
                <w:rFonts w:ascii="Verdana" w:hAnsi="Verdana" w:cs="Arial"/>
                <w:color w:val="2F5496" w:themeColor="accent1" w:themeShade="BF"/>
                <w:sz w:val="18"/>
                <w:szCs w:val="18"/>
                <w:lang w:val="el-GR"/>
              </w:rPr>
            </w:pPr>
            <w:r w:rsidRPr="008C3DCF">
              <w:rPr>
                <w:rFonts w:ascii="Verdana" w:hAnsi="Verdana" w:cs="Arial"/>
                <w:color w:val="2F5496" w:themeColor="accent1" w:themeShade="BF"/>
                <w:sz w:val="18"/>
                <w:szCs w:val="18"/>
                <w:lang w:val="el-GR"/>
              </w:rPr>
              <w:t xml:space="preserve">Social </w:t>
            </w:r>
            <w:r>
              <w:rPr>
                <w:rFonts w:ascii="Verdana" w:hAnsi="Verdana" w:cs="Arial"/>
                <w:color w:val="2F5496" w:themeColor="accent1" w:themeShade="BF"/>
                <w:sz w:val="18"/>
                <w:szCs w:val="18"/>
              </w:rPr>
              <w:t>C</w:t>
            </w:r>
            <w:proofErr w:type="spellStart"/>
            <w:r w:rsidRPr="008C3DCF">
              <w:rPr>
                <w:rFonts w:ascii="Verdana" w:hAnsi="Verdana" w:cs="Arial"/>
                <w:color w:val="2F5496" w:themeColor="accent1" w:themeShade="BF"/>
                <w:sz w:val="18"/>
                <w:szCs w:val="18"/>
                <w:lang w:val="el-GR"/>
              </w:rPr>
              <w:t>ontributions</w:t>
            </w:r>
            <w:proofErr w:type="spellEnd"/>
            <w:r w:rsidRPr="008C3DCF">
              <w:rPr>
                <w:rFonts w:ascii="Verdana" w:hAnsi="Verdana" w:cs="Arial"/>
                <w:color w:val="2F5496" w:themeColor="accent1" w:themeShade="BF"/>
                <w:sz w:val="18"/>
                <w:szCs w:val="18"/>
                <w:lang w:val="el-GR"/>
              </w:rPr>
              <w:t xml:space="preserve"> </w:t>
            </w:r>
          </w:p>
        </w:tc>
        <w:tc>
          <w:tcPr>
            <w:tcW w:w="1304" w:type="dxa"/>
            <w:shd w:val="clear" w:color="000000" w:fill="FFFFFF"/>
            <w:vAlign w:val="center"/>
          </w:tcPr>
          <w:p w14:paraId="4DC0F864" w14:textId="4A49CEB6"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3.122,0</w:t>
            </w:r>
          </w:p>
        </w:tc>
        <w:tc>
          <w:tcPr>
            <w:tcW w:w="1304" w:type="dxa"/>
            <w:tcBorders>
              <w:right w:val="double" w:sz="4" w:space="0" w:color="2F5496" w:themeColor="accent1" w:themeShade="BF"/>
            </w:tcBorders>
            <w:vAlign w:val="center"/>
          </w:tcPr>
          <w:p w14:paraId="7F05F07D" w14:textId="314896D8"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3.573,7</w:t>
            </w:r>
          </w:p>
        </w:tc>
        <w:tc>
          <w:tcPr>
            <w:tcW w:w="1304" w:type="dxa"/>
            <w:tcBorders>
              <w:left w:val="double" w:sz="4" w:space="0" w:color="2F5496" w:themeColor="accent1" w:themeShade="BF"/>
              <w:right w:val="single" w:sz="4" w:space="0" w:color="2F5496" w:themeColor="accent1" w:themeShade="BF"/>
            </w:tcBorders>
            <w:vAlign w:val="center"/>
          </w:tcPr>
          <w:p w14:paraId="21E7D549" w14:textId="3D31A701"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451,7</w:t>
            </w:r>
          </w:p>
        </w:tc>
        <w:tc>
          <w:tcPr>
            <w:tcW w:w="236" w:type="dxa"/>
            <w:tcBorders>
              <w:left w:val="single" w:sz="4" w:space="0" w:color="2F5496" w:themeColor="accent1" w:themeShade="BF"/>
              <w:right w:val="single" w:sz="4" w:space="0" w:color="2F5496" w:themeColor="accent1" w:themeShade="BF"/>
            </w:tcBorders>
            <w:vAlign w:val="center"/>
          </w:tcPr>
          <w:p w14:paraId="55EE1E52"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2B0E1099" w14:textId="233F0D59"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14,5</w:t>
            </w:r>
          </w:p>
        </w:tc>
      </w:tr>
      <w:tr w:rsidR="00EA2FCF" w:rsidRPr="006F21EB" w14:paraId="79FD8FC4" w14:textId="77777777" w:rsidTr="002667D0">
        <w:trPr>
          <w:trHeight w:val="340"/>
          <w:jc w:val="center"/>
        </w:trPr>
        <w:tc>
          <w:tcPr>
            <w:tcW w:w="4196" w:type="dxa"/>
            <w:vAlign w:val="center"/>
          </w:tcPr>
          <w:p w14:paraId="64A9711D" w14:textId="77777777" w:rsidR="00EA2FCF" w:rsidRPr="006F21EB" w:rsidRDefault="00EA2FCF" w:rsidP="00EA2FCF">
            <w:pPr>
              <w:ind w:left="170"/>
              <w:rPr>
                <w:rFonts w:ascii="Verdana" w:hAnsi="Verdana" w:cs="Arial"/>
                <w:color w:val="2F5496" w:themeColor="accent1" w:themeShade="BF"/>
                <w:sz w:val="18"/>
                <w:szCs w:val="18"/>
                <w:lang w:val="el-GR"/>
              </w:rPr>
            </w:pPr>
            <w:proofErr w:type="spellStart"/>
            <w:r w:rsidRPr="008C3DCF">
              <w:rPr>
                <w:rFonts w:ascii="Verdana" w:hAnsi="Verdana" w:cs="Arial"/>
                <w:color w:val="2F5496" w:themeColor="accent1" w:themeShade="BF"/>
                <w:sz w:val="18"/>
                <w:szCs w:val="18"/>
                <w:lang w:val="el-GR"/>
              </w:rPr>
              <w:t>Other</w:t>
            </w:r>
            <w:proofErr w:type="spellEnd"/>
            <w:r w:rsidRPr="008C3DCF">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C</w:t>
            </w:r>
            <w:proofErr w:type="spellStart"/>
            <w:r w:rsidRPr="008C3DCF">
              <w:rPr>
                <w:rFonts w:ascii="Verdana" w:hAnsi="Verdana" w:cs="Arial"/>
                <w:color w:val="2F5496" w:themeColor="accent1" w:themeShade="BF"/>
                <w:sz w:val="18"/>
                <w:szCs w:val="18"/>
                <w:lang w:val="el-GR"/>
              </w:rPr>
              <w:t>urrent</w:t>
            </w:r>
            <w:proofErr w:type="spellEnd"/>
            <w:r w:rsidRPr="008C3DCF">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R</w:t>
            </w:r>
            <w:proofErr w:type="spellStart"/>
            <w:r w:rsidRPr="008C3DCF">
              <w:rPr>
                <w:rFonts w:ascii="Verdana" w:hAnsi="Verdana" w:cs="Arial"/>
                <w:color w:val="2F5496" w:themeColor="accent1" w:themeShade="BF"/>
                <w:sz w:val="18"/>
                <w:szCs w:val="18"/>
                <w:lang w:val="el-GR"/>
              </w:rPr>
              <w:t>esources</w:t>
            </w:r>
            <w:proofErr w:type="spellEnd"/>
          </w:p>
        </w:tc>
        <w:tc>
          <w:tcPr>
            <w:tcW w:w="1304" w:type="dxa"/>
            <w:shd w:val="clear" w:color="000000" w:fill="FFFFFF"/>
            <w:vAlign w:val="center"/>
          </w:tcPr>
          <w:p w14:paraId="5365569A" w14:textId="72BD6EC6"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1.174,7</w:t>
            </w:r>
          </w:p>
        </w:tc>
        <w:tc>
          <w:tcPr>
            <w:tcW w:w="1304" w:type="dxa"/>
            <w:tcBorders>
              <w:right w:val="double" w:sz="4" w:space="0" w:color="2F5496" w:themeColor="accent1" w:themeShade="BF"/>
            </w:tcBorders>
            <w:shd w:val="clear" w:color="000000" w:fill="FFFFFF"/>
            <w:vAlign w:val="center"/>
          </w:tcPr>
          <w:p w14:paraId="71B82F74" w14:textId="5FD4916F"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1.281,2</w:t>
            </w:r>
          </w:p>
        </w:tc>
        <w:tc>
          <w:tcPr>
            <w:tcW w:w="1304" w:type="dxa"/>
            <w:tcBorders>
              <w:left w:val="double" w:sz="4" w:space="0" w:color="2F5496" w:themeColor="accent1" w:themeShade="BF"/>
              <w:right w:val="single" w:sz="4" w:space="0" w:color="2F5496" w:themeColor="accent1" w:themeShade="BF"/>
            </w:tcBorders>
            <w:shd w:val="clear" w:color="000000" w:fill="FFFFFF"/>
            <w:vAlign w:val="center"/>
          </w:tcPr>
          <w:p w14:paraId="4201695B" w14:textId="2A037C57"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106,5</w:t>
            </w:r>
          </w:p>
        </w:tc>
        <w:tc>
          <w:tcPr>
            <w:tcW w:w="236" w:type="dxa"/>
            <w:tcBorders>
              <w:left w:val="single" w:sz="4" w:space="0" w:color="2F5496" w:themeColor="accent1" w:themeShade="BF"/>
              <w:right w:val="single" w:sz="4" w:space="0" w:color="2F5496" w:themeColor="accent1" w:themeShade="BF"/>
            </w:tcBorders>
            <w:vAlign w:val="center"/>
          </w:tcPr>
          <w:p w14:paraId="4B339768"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15445856" w14:textId="40220D91"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9,1</w:t>
            </w:r>
          </w:p>
        </w:tc>
      </w:tr>
      <w:tr w:rsidR="00EA2FCF" w:rsidRPr="006F21EB" w14:paraId="103BBFD5" w14:textId="77777777" w:rsidTr="002667D0">
        <w:trPr>
          <w:trHeight w:val="284"/>
          <w:jc w:val="center"/>
        </w:trPr>
        <w:tc>
          <w:tcPr>
            <w:tcW w:w="4196" w:type="dxa"/>
            <w:vAlign w:val="center"/>
          </w:tcPr>
          <w:p w14:paraId="0F8138B5" w14:textId="77777777" w:rsidR="00EA2FCF" w:rsidRPr="00EA202C" w:rsidRDefault="00EA2FCF" w:rsidP="00EA2FCF">
            <w:pPr>
              <w:ind w:left="340"/>
              <w:rPr>
                <w:rFonts w:ascii="Verdana" w:hAnsi="Verdana" w:cs="Arial"/>
                <w:color w:val="2F5496" w:themeColor="accent1" w:themeShade="BF"/>
                <w:sz w:val="18"/>
                <w:szCs w:val="18"/>
              </w:rPr>
            </w:pPr>
            <w:r>
              <w:rPr>
                <w:rFonts w:ascii="Verdana" w:hAnsi="Verdana" w:cs="Arial"/>
                <w:color w:val="2F5496" w:themeColor="accent1" w:themeShade="BF"/>
                <w:sz w:val="18"/>
                <w:szCs w:val="18"/>
              </w:rPr>
              <w:t>Property income receivable</w:t>
            </w:r>
          </w:p>
        </w:tc>
        <w:tc>
          <w:tcPr>
            <w:tcW w:w="1304" w:type="dxa"/>
            <w:vAlign w:val="center"/>
          </w:tcPr>
          <w:p w14:paraId="6B693DCF" w14:textId="50009BA3"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114,2</w:t>
            </w:r>
          </w:p>
        </w:tc>
        <w:tc>
          <w:tcPr>
            <w:tcW w:w="1304" w:type="dxa"/>
            <w:tcBorders>
              <w:right w:val="double" w:sz="4" w:space="0" w:color="2F5496" w:themeColor="accent1" w:themeShade="BF"/>
            </w:tcBorders>
            <w:shd w:val="clear" w:color="000000" w:fill="FFFFFF"/>
            <w:vAlign w:val="center"/>
          </w:tcPr>
          <w:p w14:paraId="3F752808" w14:textId="35822F9F"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134,1</w:t>
            </w:r>
          </w:p>
        </w:tc>
        <w:tc>
          <w:tcPr>
            <w:tcW w:w="1304" w:type="dxa"/>
            <w:tcBorders>
              <w:left w:val="double" w:sz="4" w:space="0" w:color="2F5496" w:themeColor="accent1" w:themeShade="BF"/>
              <w:right w:val="single" w:sz="4" w:space="0" w:color="2F5496" w:themeColor="accent1" w:themeShade="BF"/>
            </w:tcBorders>
            <w:shd w:val="clear" w:color="000000" w:fill="FFFFFF"/>
            <w:vAlign w:val="center"/>
          </w:tcPr>
          <w:p w14:paraId="0C8DA23C" w14:textId="5C635266"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19,9</w:t>
            </w:r>
          </w:p>
        </w:tc>
        <w:tc>
          <w:tcPr>
            <w:tcW w:w="236" w:type="dxa"/>
            <w:tcBorders>
              <w:left w:val="single" w:sz="4" w:space="0" w:color="2F5496" w:themeColor="accent1" w:themeShade="BF"/>
              <w:right w:val="single" w:sz="4" w:space="0" w:color="2F5496" w:themeColor="accent1" w:themeShade="BF"/>
            </w:tcBorders>
            <w:vAlign w:val="center"/>
          </w:tcPr>
          <w:p w14:paraId="30959DC8"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76D2CE28" w14:textId="480C4900"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17,4</w:t>
            </w:r>
          </w:p>
        </w:tc>
      </w:tr>
      <w:tr w:rsidR="00EA2FCF" w:rsidRPr="006F21EB" w14:paraId="42FBE960" w14:textId="77777777" w:rsidTr="002667D0">
        <w:trPr>
          <w:trHeight w:val="284"/>
          <w:jc w:val="center"/>
        </w:trPr>
        <w:tc>
          <w:tcPr>
            <w:tcW w:w="4196" w:type="dxa"/>
            <w:vAlign w:val="center"/>
          </w:tcPr>
          <w:p w14:paraId="5F3B060D" w14:textId="77777777" w:rsidR="00EA2FCF" w:rsidRPr="006F21EB" w:rsidRDefault="00EA2FCF" w:rsidP="00EA2FCF">
            <w:pPr>
              <w:ind w:left="340"/>
              <w:rPr>
                <w:rFonts w:ascii="Verdana" w:hAnsi="Verdana" w:cs="Arial"/>
                <w:color w:val="2F5496" w:themeColor="accent1" w:themeShade="BF"/>
                <w:sz w:val="18"/>
                <w:szCs w:val="18"/>
                <w:lang w:val="el-GR"/>
              </w:rPr>
            </w:pPr>
            <w:proofErr w:type="spellStart"/>
            <w:r w:rsidRPr="008C3DCF">
              <w:rPr>
                <w:rFonts w:ascii="Verdana" w:hAnsi="Verdana" w:cs="Arial"/>
                <w:color w:val="2F5496" w:themeColor="accent1" w:themeShade="BF"/>
                <w:sz w:val="18"/>
                <w:szCs w:val="18"/>
                <w:lang w:val="el-GR"/>
              </w:rPr>
              <w:t>Current</w:t>
            </w:r>
            <w:proofErr w:type="spellEnd"/>
            <w:r w:rsidRPr="008C3DCF">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t</w:t>
            </w:r>
            <w:proofErr w:type="spellStart"/>
            <w:r w:rsidRPr="008C3DCF">
              <w:rPr>
                <w:rFonts w:ascii="Verdana" w:hAnsi="Verdana" w:cs="Arial"/>
                <w:color w:val="2F5496" w:themeColor="accent1" w:themeShade="BF"/>
                <w:sz w:val="18"/>
                <w:szCs w:val="18"/>
                <w:lang w:val="el-GR"/>
              </w:rPr>
              <w:t>ransfers</w:t>
            </w:r>
            <w:proofErr w:type="spellEnd"/>
          </w:p>
        </w:tc>
        <w:tc>
          <w:tcPr>
            <w:tcW w:w="1304" w:type="dxa"/>
            <w:vAlign w:val="center"/>
          </w:tcPr>
          <w:p w14:paraId="7663F8FC" w14:textId="66715B40"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254,4</w:t>
            </w:r>
          </w:p>
        </w:tc>
        <w:tc>
          <w:tcPr>
            <w:tcW w:w="1304" w:type="dxa"/>
            <w:tcBorders>
              <w:right w:val="double" w:sz="4" w:space="0" w:color="2F5496" w:themeColor="accent1" w:themeShade="BF"/>
            </w:tcBorders>
            <w:shd w:val="clear" w:color="000000" w:fill="FFFFFF"/>
            <w:vAlign w:val="center"/>
          </w:tcPr>
          <w:p w14:paraId="7453DAB3" w14:textId="1B39982B"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311,2</w:t>
            </w:r>
          </w:p>
        </w:tc>
        <w:tc>
          <w:tcPr>
            <w:tcW w:w="1304" w:type="dxa"/>
            <w:tcBorders>
              <w:left w:val="double" w:sz="4" w:space="0" w:color="2F5496" w:themeColor="accent1" w:themeShade="BF"/>
              <w:right w:val="single" w:sz="4" w:space="0" w:color="2F5496" w:themeColor="accent1" w:themeShade="BF"/>
            </w:tcBorders>
            <w:shd w:val="clear" w:color="000000" w:fill="FFFFFF"/>
            <w:vAlign w:val="center"/>
          </w:tcPr>
          <w:p w14:paraId="4FF9E84F" w14:textId="2E0712B5"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56,8</w:t>
            </w:r>
          </w:p>
        </w:tc>
        <w:tc>
          <w:tcPr>
            <w:tcW w:w="236" w:type="dxa"/>
            <w:tcBorders>
              <w:left w:val="single" w:sz="4" w:space="0" w:color="2F5496" w:themeColor="accent1" w:themeShade="BF"/>
              <w:right w:val="single" w:sz="4" w:space="0" w:color="2F5496" w:themeColor="accent1" w:themeShade="BF"/>
            </w:tcBorders>
            <w:vAlign w:val="center"/>
          </w:tcPr>
          <w:p w14:paraId="4151EC1A"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7EDB6D45" w14:textId="6F258BF8"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22,3</w:t>
            </w:r>
          </w:p>
        </w:tc>
      </w:tr>
      <w:tr w:rsidR="00EA2FCF" w:rsidRPr="006F21EB" w14:paraId="48B5A92A" w14:textId="77777777" w:rsidTr="002667D0">
        <w:trPr>
          <w:trHeight w:val="284"/>
          <w:jc w:val="center"/>
        </w:trPr>
        <w:tc>
          <w:tcPr>
            <w:tcW w:w="4196" w:type="dxa"/>
            <w:vAlign w:val="center"/>
          </w:tcPr>
          <w:p w14:paraId="5534E4B6" w14:textId="77777777" w:rsidR="00EA2FCF" w:rsidRPr="006F21EB" w:rsidRDefault="00EA2FCF" w:rsidP="00EA2FCF">
            <w:pPr>
              <w:ind w:left="340"/>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Sales</w:t>
            </w:r>
          </w:p>
        </w:tc>
        <w:tc>
          <w:tcPr>
            <w:tcW w:w="1304" w:type="dxa"/>
            <w:vAlign w:val="center"/>
          </w:tcPr>
          <w:p w14:paraId="6936F5FA" w14:textId="4D2F4CE1"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806,1</w:t>
            </w:r>
          </w:p>
        </w:tc>
        <w:tc>
          <w:tcPr>
            <w:tcW w:w="1304" w:type="dxa"/>
            <w:tcBorders>
              <w:right w:val="double" w:sz="4" w:space="0" w:color="2F5496" w:themeColor="accent1" w:themeShade="BF"/>
            </w:tcBorders>
            <w:shd w:val="clear" w:color="000000" w:fill="FFFFFF"/>
            <w:vAlign w:val="center"/>
          </w:tcPr>
          <w:p w14:paraId="7C876C2E" w14:textId="1AA4E3B3"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835,9</w:t>
            </w:r>
          </w:p>
        </w:tc>
        <w:tc>
          <w:tcPr>
            <w:tcW w:w="1304" w:type="dxa"/>
            <w:tcBorders>
              <w:left w:val="double" w:sz="4" w:space="0" w:color="2F5496" w:themeColor="accent1" w:themeShade="BF"/>
              <w:right w:val="single" w:sz="4" w:space="0" w:color="2F5496" w:themeColor="accent1" w:themeShade="BF"/>
            </w:tcBorders>
            <w:shd w:val="clear" w:color="000000" w:fill="FFFFFF"/>
            <w:vAlign w:val="center"/>
          </w:tcPr>
          <w:p w14:paraId="724E2448" w14:textId="30D53722"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29,8</w:t>
            </w:r>
          </w:p>
        </w:tc>
        <w:tc>
          <w:tcPr>
            <w:tcW w:w="236" w:type="dxa"/>
            <w:tcBorders>
              <w:left w:val="single" w:sz="4" w:space="0" w:color="2F5496" w:themeColor="accent1" w:themeShade="BF"/>
              <w:right w:val="single" w:sz="4" w:space="0" w:color="2F5496" w:themeColor="accent1" w:themeShade="BF"/>
            </w:tcBorders>
            <w:vAlign w:val="center"/>
          </w:tcPr>
          <w:p w14:paraId="3AD2DCDC"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466FC3C1" w14:textId="1C3CC1AC"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3,7</w:t>
            </w:r>
          </w:p>
        </w:tc>
      </w:tr>
      <w:tr w:rsidR="00EA2FCF" w:rsidRPr="006F21EB" w14:paraId="354073E3" w14:textId="77777777" w:rsidTr="002667D0">
        <w:trPr>
          <w:trHeight w:val="454"/>
          <w:jc w:val="center"/>
        </w:trPr>
        <w:tc>
          <w:tcPr>
            <w:tcW w:w="4196" w:type="dxa"/>
            <w:vAlign w:val="center"/>
          </w:tcPr>
          <w:p w14:paraId="7C27993B" w14:textId="77777777" w:rsidR="00EA2FCF" w:rsidRPr="006F21EB" w:rsidRDefault="00EA2FCF" w:rsidP="00EA2FCF">
            <w:pPr>
              <w:ind w:left="170"/>
              <w:rPr>
                <w:rFonts w:ascii="Verdana" w:hAnsi="Verdana" w:cs="Arial"/>
                <w:color w:val="2F5496" w:themeColor="accent1" w:themeShade="BF"/>
                <w:sz w:val="18"/>
                <w:szCs w:val="18"/>
                <w:lang w:val="el-GR"/>
              </w:rPr>
            </w:pPr>
            <w:r w:rsidRPr="008C3DCF">
              <w:rPr>
                <w:rFonts w:ascii="Verdana" w:hAnsi="Verdana" w:cs="Arial"/>
                <w:color w:val="2F5496" w:themeColor="accent1" w:themeShade="BF"/>
                <w:sz w:val="18"/>
                <w:szCs w:val="18"/>
                <w:lang w:val="el-GR"/>
              </w:rPr>
              <w:t xml:space="preserve">Capital </w:t>
            </w:r>
            <w:r>
              <w:rPr>
                <w:rFonts w:ascii="Verdana" w:hAnsi="Verdana" w:cs="Arial"/>
                <w:color w:val="2F5496" w:themeColor="accent1" w:themeShade="BF"/>
                <w:sz w:val="18"/>
                <w:szCs w:val="18"/>
              </w:rPr>
              <w:t>T</w:t>
            </w:r>
            <w:proofErr w:type="spellStart"/>
            <w:r w:rsidRPr="008C3DCF">
              <w:rPr>
                <w:rFonts w:ascii="Verdana" w:hAnsi="Verdana" w:cs="Arial"/>
                <w:color w:val="2F5496" w:themeColor="accent1" w:themeShade="BF"/>
                <w:sz w:val="18"/>
                <w:szCs w:val="18"/>
                <w:lang w:val="el-GR"/>
              </w:rPr>
              <w:t>ransfers</w:t>
            </w:r>
            <w:proofErr w:type="spellEnd"/>
            <w:r w:rsidRPr="008C3DCF">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R</w:t>
            </w:r>
            <w:proofErr w:type="spellStart"/>
            <w:r w:rsidRPr="008C3DCF">
              <w:rPr>
                <w:rFonts w:ascii="Verdana" w:hAnsi="Verdana" w:cs="Arial"/>
                <w:color w:val="2F5496" w:themeColor="accent1" w:themeShade="BF"/>
                <w:sz w:val="18"/>
                <w:szCs w:val="18"/>
                <w:lang w:val="el-GR"/>
              </w:rPr>
              <w:t>eceived</w:t>
            </w:r>
            <w:proofErr w:type="spellEnd"/>
          </w:p>
        </w:tc>
        <w:tc>
          <w:tcPr>
            <w:tcW w:w="1304" w:type="dxa"/>
            <w:vAlign w:val="center"/>
          </w:tcPr>
          <w:p w14:paraId="162E58A2" w14:textId="1C70C859"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285,4</w:t>
            </w:r>
          </w:p>
        </w:tc>
        <w:tc>
          <w:tcPr>
            <w:tcW w:w="1304" w:type="dxa"/>
            <w:tcBorders>
              <w:right w:val="double" w:sz="4" w:space="0" w:color="2F5496" w:themeColor="accent1" w:themeShade="BF"/>
            </w:tcBorders>
            <w:vAlign w:val="center"/>
          </w:tcPr>
          <w:p w14:paraId="0B0AFD6C" w14:textId="5AEB89D8"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356,9</w:t>
            </w:r>
          </w:p>
        </w:tc>
        <w:tc>
          <w:tcPr>
            <w:tcW w:w="1304" w:type="dxa"/>
            <w:tcBorders>
              <w:left w:val="double" w:sz="4" w:space="0" w:color="2F5496" w:themeColor="accent1" w:themeShade="BF"/>
              <w:right w:val="single" w:sz="4" w:space="0" w:color="2F5496" w:themeColor="accent1" w:themeShade="BF"/>
            </w:tcBorders>
            <w:shd w:val="clear" w:color="000000" w:fill="FFFFFF"/>
            <w:vAlign w:val="center"/>
          </w:tcPr>
          <w:p w14:paraId="3FA8BF0C" w14:textId="648E0236"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71,5</w:t>
            </w:r>
          </w:p>
        </w:tc>
        <w:tc>
          <w:tcPr>
            <w:tcW w:w="236" w:type="dxa"/>
            <w:tcBorders>
              <w:left w:val="single" w:sz="4" w:space="0" w:color="2F5496" w:themeColor="accent1" w:themeShade="BF"/>
              <w:right w:val="single" w:sz="4" w:space="0" w:color="2F5496" w:themeColor="accent1" w:themeShade="BF"/>
            </w:tcBorders>
            <w:vAlign w:val="center"/>
          </w:tcPr>
          <w:p w14:paraId="47B60CA5"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2E0FF540" w14:textId="38121656"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25,1</w:t>
            </w:r>
          </w:p>
        </w:tc>
      </w:tr>
      <w:tr w:rsidR="00EA2FCF" w:rsidRPr="006F21EB" w14:paraId="5F66D872" w14:textId="77777777" w:rsidTr="002667D0">
        <w:trPr>
          <w:trHeight w:val="397"/>
          <w:jc w:val="center"/>
        </w:trPr>
        <w:tc>
          <w:tcPr>
            <w:tcW w:w="4196" w:type="dxa"/>
            <w:vAlign w:val="center"/>
          </w:tcPr>
          <w:p w14:paraId="04AAAAED" w14:textId="77777777" w:rsidR="00EA2FCF" w:rsidRPr="008C3DCF" w:rsidRDefault="00EA2FCF" w:rsidP="00EA2FCF">
            <w:pPr>
              <w:rPr>
                <w:rFonts w:ascii="Verdana" w:hAnsi="Verdana" w:cs="Arial"/>
                <w:b/>
                <w:bCs/>
                <w:color w:val="2F5496" w:themeColor="accent1" w:themeShade="BF"/>
                <w:sz w:val="18"/>
                <w:szCs w:val="18"/>
              </w:rPr>
            </w:pPr>
            <w:r>
              <w:rPr>
                <w:rFonts w:ascii="Verdana" w:hAnsi="Verdana" w:cs="Arial"/>
                <w:b/>
                <w:bCs/>
                <w:color w:val="2F5496" w:themeColor="accent1" w:themeShade="BF"/>
                <w:sz w:val="18"/>
                <w:szCs w:val="18"/>
              </w:rPr>
              <w:t>Total Expenditure</w:t>
            </w:r>
          </w:p>
        </w:tc>
        <w:tc>
          <w:tcPr>
            <w:tcW w:w="1304" w:type="dxa"/>
            <w:vAlign w:val="center"/>
          </w:tcPr>
          <w:p w14:paraId="226C094F" w14:textId="2254368D" w:rsidR="00EA2FCF" w:rsidRPr="002667D0" w:rsidRDefault="00EA2FCF" w:rsidP="00EA2FCF">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10.781,8</w:t>
            </w:r>
          </w:p>
        </w:tc>
        <w:tc>
          <w:tcPr>
            <w:tcW w:w="1304" w:type="dxa"/>
            <w:tcBorders>
              <w:right w:val="double" w:sz="4" w:space="0" w:color="2F5496" w:themeColor="accent1" w:themeShade="BF"/>
            </w:tcBorders>
            <w:vAlign w:val="center"/>
          </w:tcPr>
          <w:p w14:paraId="25ADF2EB" w14:textId="306AC00B" w:rsidR="00EA2FCF" w:rsidRPr="002667D0" w:rsidRDefault="00EA2FCF" w:rsidP="00EA2FCF">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11.995,1</w:t>
            </w:r>
          </w:p>
        </w:tc>
        <w:tc>
          <w:tcPr>
            <w:tcW w:w="1304" w:type="dxa"/>
            <w:tcBorders>
              <w:left w:val="double" w:sz="4" w:space="0" w:color="2F5496" w:themeColor="accent1" w:themeShade="BF"/>
              <w:right w:val="single" w:sz="4" w:space="0" w:color="2F5496" w:themeColor="accent1" w:themeShade="BF"/>
            </w:tcBorders>
            <w:vAlign w:val="center"/>
          </w:tcPr>
          <w:p w14:paraId="1D4CE555" w14:textId="5AEBC5F6" w:rsidR="00EA2FCF" w:rsidRPr="002667D0" w:rsidRDefault="00EA2FCF" w:rsidP="00EA2FCF">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1.213,3</w:t>
            </w:r>
          </w:p>
        </w:tc>
        <w:tc>
          <w:tcPr>
            <w:tcW w:w="236" w:type="dxa"/>
            <w:tcBorders>
              <w:left w:val="single" w:sz="4" w:space="0" w:color="2F5496" w:themeColor="accent1" w:themeShade="BF"/>
              <w:right w:val="single" w:sz="4" w:space="0" w:color="2F5496" w:themeColor="accent1" w:themeShade="BF"/>
            </w:tcBorders>
            <w:vAlign w:val="center"/>
          </w:tcPr>
          <w:p w14:paraId="2A06BE0E" w14:textId="77777777" w:rsidR="00EA2FCF" w:rsidRPr="002667D0" w:rsidRDefault="00EA2FCF" w:rsidP="00EA2FCF">
            <w:pPr>
              <w:jc w:val="right"/>
              <w:rPr>
                <w:rFonts w:ascii="Verdana" w:hAnsi="Verdana" w:cs="Arial"/>
                <w:b/>
                <w:bCs/>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5FB5E032" w14:textId="0D50E42E" w:rsidR="00EA2FCF" w:rsidRPr="002667D0" w:rsidRDefault="00EA2FCF" w:rsidP="00EA2FCF">
            <w:pPr>
              <w:ind w:right="227"/>
              <w:jc w:val="right"/>
              <w:rPr>
                <w:rFonts w:ascii="Verdana" w:hAnsi="Verdana" w:cs="Calibri"/>
                <w:b/>
                <w:bCs/>
                <w:color w:val="2F5496" w:themeColor="accent1" w:themeShade="BF"/>
                <w:sz w:val="18"/>
                <w:szCs w:val="18"/>
              </w:rPr>
            </w:pPr>
            <w:r w:rsidRPr="001835EF">
              <w:rPr>
                <w:rFonts w:ascii="Verdana" w:hAnsi="Verdana"/>
                <w:b/>
                <w:bCs/>
                <w:color w:val="2F5496" w:themeColor="accent1" w:themeShade="BF"/>
                <w:sz w:val="18"/>
                <w:szCs w:val="18"/>
              </w:rPr>
              <w:t>11,3</w:t>
            </w:r>
          </w:p>
        </w:tc>
      </w:tr>
      <w:tr w:rsidR="00EA2FCF" w:rsidRPr="006F21EB" w14:paraId="7F291030" w14:textId="77777777" w:rsidTr="002667D0">
        <w:trPr>
          <w:trHeight w:val="340"/>
          <w:jc w:val="center"/>
        </w:trPr>
        <w:tc>
          <w:tcPr>
            <w:tcW w:w="4196" w:type="dxa"/>
            <w:shd w:val="clear" w:color="000000" w:fill="FFFFFF"/>
            <w:vAlign w:val="center"/>
          </w:tcPr>
          <w:p w14:paraId="078A780A" w14:textId="77777777" w:rsidR="00EA2FCF" w:rsidRPr="006F21EB" w:rsidRDefault="00EA2FCF" w:rsidP="00EA2FCF">
            <w:pPr>
              <w:ind w:left="170"/>
              <w:rPr>
                <w:rFonts w:ascii="Verdana" w:hAnsi="Verdana" w:cs="Arial"/>
                <w:color w:val="2F5496" w:themeColor="accent1" w:themeShade="BF"/>
                <w:sz w:val="18"/>
                <w:szCs w:val="18"/>
                <w:lang w:val="el-GR"/>
              </w:rPr>
            </w:pPr>
            <w:proofErr w:type="spellStart"/>
            <w:r w:rsidRPr="00F07E19">
              <w:rPr>
                <w:rFonts w:ascii="Verdana" w:hAnsi="Verdana" w:cs="Arial"/>
                <w:color w:val="2F5496" w:themeColor="accent1" w:themeShade="BF"/>
                <w:sz w:val="18"/>
                <w:szCs w:val="18"/>
                <w:lang w:val="el-GR"/>
              </w:rPr>
              <w:t>Total</w:t>
            </w:r>
            <w:proofErr w:type="spellEnd"/>
            <w:r w:rsidRPr="00F07E19">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C</w:t>
            </w:r>
            <w:proofErr w:type="spellStart"/>
            <w:r w:rsidRPr="00F07E19">
              <w:rPr>
                <w:rFonts w:ascii="Verdana" w:hAnsi="Verdana" w:cs="Arial"/>
                <w:color w:val="2F5496" w:themeColor="accent1" w:themeShade="BF"/>
                <w:sz w:val="18"/>
                <w:szCs w:val="18"/>
                <w:lang w:val="el-GR"/>
              </w:rPr>
              <w:t>urrent</w:t>
            </w:r>
            <w:proofErr w:type="spellEnd"/>
            <w:r w:rsidRPr="00F07E19">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E</w:t>
            </w:r>
            <w:proofErr w:type="spellStart"/>
            <w:r w:rsidRPr="00F07E19">
              <w:rPr>
                <w:rFonts w:ascii="Verdana" w:hAnsi="Verdana" w:cs="Arial"/>
                <w:color w:val="2F5496" w:themeColor="accent1" w:themeShade="BF"/>
                <w:sz w:val="18"/>
                <w:szCs w:val="18"/>
                <w:lang w:val="el-GR"/>
              </w:rPr>
              <w:t>xpenditure</w:t>
            </w:r>
            <w:proofErr w:type="spellEnd"/>
          </w:p>
        </w:tc>
        <w:tc>
          <w:tcPr>
            <w:tcW w:w="1304" w:type="dxa"/>
            <w:vAlign w:val="center"/>
          </w:tcPr>
          <w:p w14:paraId="662BDD50" w14:textId="6B35B187"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9.831,3</w:t>
            </w:r>
          </w:p>
        </w:tc>
        <w:tc>
          <w:tcPr>
            <w:tcW w:w="1304" w:type="dxa"/>
            <w:tcBorders>
              <w:right w:val="double" w:sz="4" w:space="0" w:color="2F5496" w:themeColor="accent1" w:themeShade="BF"/>
            </w:tcBorders>
            <w:vAlign w:val="center"/>
          </w:tcPr>
          <w:p w14:paraId="3BD6436B" w14:textId="2785E151"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10.736,7</w:t>
            </w:r>
          </w:p>
        </w:tc>
        <w:tc>
          <w:tcPr>
            <w:tcW w:w="1304" w:type="dxa"/>
            <w:tcBorders>
              <w:left w:val="double" w:sz="4" w:space="0" w:color="2F5496" w:themeColor="accent1" w:themeShade="BF"/>
              <w:right w:val="single" w:sz="4" w:space="0" w:color="2F5496" w:themeColor="accent1" w:themeShade="BF"/>
            </w:tcBorders>
            <w:vAlign w:val="center"/>
          </w:tcPr>
          <w:p w14:paraId="25E5354B" w14:textId="4E720D2E"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905,4</w:t>
            </w:r>
          </w:p>
        </w:tc>
        <w:tc>
          <w:tcPr>
            <w:tcW w:w="236" w:type="dxa"/>
            <w:tcBorders>
              <w:left w:val="single" w:sz="4" w:space="0" w:color="2F5496" w:themeColor="accent1" w:themeShade="BF"/>
              <w:right w:val="single" w:sz="4" w:space="0" w:color="2F5496" w:themeColor="accent1" w:themeShade="BF"/>
            </w:tcBorders>
            <w:vAlign w:val="center"/>
          </w:tcPr>
          <w:p w14:paraId="653A346B"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04F9D33A" w14:textId="2176EC2C"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9,2</w:t>
            </w:r>
          </w:p>
        </w:tc>
      </w:tr>
      <w:tr w:rsidR="00EA2FCF" w:rsidRPr="006F21EB" w14:paraId="52AA351F" w14:textId="77777777" w:rsidTr="002667D0">
        <w:trPr>
          <w:trHeight w:val="284"/>
          <w:jc w:val="center"/>
        </w:trPr>
        <w:tc>
          <w:tcPr>
            <w:tcW w:w="4196" w:type="dxa"/>
            <w:shd w:val="clear" w:color="000000" w:fill="FFFFFF"/>
            <w:vAlign w:val="center"/>
          </w:tcPr>
          <w:p w14:paraId="655F0383" w14:textId="77777777" w:rsidR="00EA2FCF" w:rsidRPr="006F21EB" w:rsidRDefault="00EA2FCF" w:rsidP="00EA2FCF">
            <w:pPr>
              <w:ind w:left="340"/>
              <w:rPr>
                <w:rFonts w:ascii="Verdana" w:hAnsi="Verdana" w:cs="Arial"/>
                <w:color w:val="2F5496" w:themeColor="accent1" w:themeShade="BF"/>
                <w:sz w:val="18"/>
                <w:szCs w:val="18"/>
                <w:lang w:val="el-GR"/>
              </w:rPr>
            </w:pPr>
            <w:r w:rsidRPr="00F10CBC">
              <w:rPr>
                <w:rFonts w:ascii="Verdana" w:hAnsi="Verdana" w:cs="Arial"/>
                <w:color w:val="2F5496" w:themeColor="accent1" w:themeShade="BF"/>
                <w:sz w:val="18"/>
                <w:szCs w:val="18"/>
              </w:rPr>
              <w:t>Intermediate consumption</w:t>
            </w:r>
          </w:p>
        </w:tc>
        <w:tc>
          <w:tcPr>
            <w:tcW w:w="1304" w:type="dxa"/>
            <w:vAlign w:val="center"/>
          </w:tcPr>
          <w:p w14:paraId="09169F05" w14:textId="40058128"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1.240,6</w:t>
            </w:r>
          </w:p>
        </w:tc>
        <w:tc>
          <w:tcPr>
            <w:tcW w:w="1304" w:type="dxa"/>
            <w:tcBorders>
              <w:right w:val="double" w:sz="4" w:space="0" w:color="2F5496" w:themeColor="accent1" w:themeShade="BF"/>
            </w:tcBorders>
            <w:vAlign w:val="center"/>
          </w:tcPr>
          <w:p w14:paraId="43DF41E8" w14:textId="631C809A"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1.197,0</w:t>
            </w:r>
          </w:p>
        </w:tc>
        <w:tc>
          <w:tcPr>
            <w:tcW w:w="1304" w:type="dxa"/>
            <w:tcBorders>
              <w:left w:val="double" w:sz="4" w:space="0" w:color="2F5496" w:themeColor="accent1" w:themeShade="BF"/>
              <w:right w:val="single" w:sz="4" w:space="0" w:color="2F5496" w:themeColor="accent1" w:themeShade="BF"/>
            </w:tcBorders>
            <w:vAlign w:val="center"/>
          </w:tcPr>
          <w:p w14:paraId="66F038DF" w14:textId="5F451B45"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-43,6</w:t>
            </w:r>
          </w:p>
        </w:tc>
        <w:tc>
          <w:tcPr>
            <w:tcW w:w="236" w:type="dxa"/>
            <w:tcBorders>
              <w:left w:val="single" w:sz="4" w:space="0" w:color="2F5496" w:themeColor="accent1" w:themeShade="BF"/>
              <w:right w:val="single" w:sz="4" w:space="0" w:color="2F5496" w:themeColor="accent1" w:themeShade="BF"/>
            </w:tcBorders>
            <w:vAlign w:val="center"/>
          </w:tcPr>
          <w:p w14:paraId="28C2A9D1"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4EF9727E" w14:textId="79B213ED"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-3,5</w:t>
            </w:r>
          </w:p>
        </w:tc>
      </w:tr>
      <w:tr w:rsidR="00EA2FCF" w:rsidRPr="006F21EB" w14:paraId="48AD895E" w14:textId="77777777" w:rsidTr="002667D0">
        <w:trPr>
          <w:trHeight w:val="284"/>
          <w:jc w:val="center"/>
        </w:trPr>
        <w:tc>
          <w:tcPr>
            <w:tcW w:w="4196" w:type="dxa"/>
            <w:shd w:val="clear" w:color="000000" w:fill="FFFFFF"/>
            <w:vAlign w:val="center"/>
          </w:tcPr>
          <w:p w14:paraId="66C4CEEF" w14:textId="77777777" w:rsidR="00EA2FCF" w:rsidRPr="006F21EB" w:rsidRDefault="00EA2FCF" w:rsidP="00EA2FCF">
            <w:pPr>
              <w:ind w:left="340"/>
              <w:rPr>
                <w:rFonts w:ascii="Verdana" w:hAnsi="Verdana" w:cs="Arial"/>
                <w:color w:val="2F5496" w:themeColor="accent1" w:themeShade="BF"/>
                <w:sz w:val="18"/>
                <w:szCs w:val="18"/>
                <w:lang w:val="el-GR"/>
              </w:rPr>
            </w:pPr>
            <w:r w:rsidRPr="00F10CBC">
              <w:rPr>
                <w:rFonts w:ascii="Verdana" w:hAnsi="Verdana" w:cs="Arial"/>
                <w:color w:val="2F5496" w:themeColor="accent1" w:themeShade="BF"/>
                <w:sz w:val="18"/>
                <w:szCs w:val="18"/>
              </w:rPr>
              <w:t>Compensation of employees</w:t>
            </w:r>
          </w:p>
        </w:tc>
        <w:tc>
          <w:tcPr>
            <w:tcW w:w="1304" w:type="dxa"/>
            <w:vAlign w:val="center"/>
          </w:tcPr>
          <w:p w14:paraId="27439D83" w14:textId="4E230B3F"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3.179,2</w:t>
            </w:r>
          </w:p>
        </w:tc>
        <w:tc>
          <w:tcPr>
            <w:tcW w:w="1304" w:type="dxa"/>
            <w:tcBorders>
              <w:right w:val="double" w:sz="4" w:space="0" w:color="2F5496" w:themeColor="accent1" w:themeShade="BF"/>
            </w:tcBorders>
            <w:vAlign w:val="center"/>
          </w:tcPr>
          <w:p w14:paraId="67FE79A3" w14:textId="2C73D995"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3.587,2</w:t>
            </w:r>
          </w:p>
        </w:tc>
        <w:tc>
          <w:tcPr>
            <w:tcW w:w="1304" w:type="dxa"/>
            <w:tcBorders>
              <w:left w:val="double" w:sz="4" w:space="0" w:color="2F5496" w:themeColor="accent1" w:themeShade="BF"/>
              <w:right w:val="single" w:sz="4" w:space="0" w:color="2F5496" w:themeColor="accent1" w:themeShade="BF"/>
            </w:tcBorders>
            <w:vAlign w:val="center"/>
          </w:tcPr>
          <w:p w14:paraId="288D5442" w14:textId="5DE9D68D"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408,0</w:t>
            </w:r>
          </w:p>
        </w:tc>
        <w:tc>
          <w:tcPr>
            <w:tcW w:w="236" w:type="dxa"/>
            <w:tcBorders>
              <w:left w:val="single" w:sz="4" w:space="0" w:color="2F5496" w:themeColor="accent1" w:themeShade="BF"/>
              <w:right w:val="single" w:sz="4" w:space="0" w:color="2F5496" w:themeColor="accent1" w:themeShade="BF"/>
            </w:tcBorders>
            <w:vAlign w:val="center"/>
          </w:tcPr>
          <w:p w14:paraId="50E62CFC"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2958A48D" w14:textId="5FFD482B"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12,8</w:t>
            </w:r>
          </w:p>
        </w:tc>
      </w:tr>
      <w:tr w:rsidR="00EA2FCF" w:rsidRPr="006F21EB" w14:paraId="2EAB8390" w14:textId="77777777" w:rsidTr="002667D0">
        <w:trPr>
          <w:trHeight w:val="284"/>
          <w:jc w:val="center"/>
        </w:trPr>
        <w:tc>
          <w:tcPr>
            <w:tcW w:w="4196" w:type="dxa"/>
            <w:shd w:val="clear" w:color="auto" w:fill="auto"/>
            <w:vAlign w:val="center"/>
          </w:tcPr>
          <w:p w14:paraId="447BB450" w14:textId="77777777" w:rsidR="00EA2FCF" w:rsidRPr="006F21EB" w:rsidRDefault="00EA2FCF" w:rsidP="00EA2FCF">
            <w:pPr>
              <w:ind w:left="340"/>
              <w:rPr>
                <w:rFonts w:ascii="Verdana" w:hAnsi="Verdana" w:cs="Arial"/>
                <w:color w:val="2F5496" w:themeColor="accent1" w:themeShade="BF"/>
                <w:sz w:val="18"/>
                <w:szCs w:val="18"/>
                <w:lang w:val="el-GR"/>
              </w:rPr>
            </w:pPr>
            <w:r w:rsidRPr="00F10CBC">
              <w:rPr>
                <w:rFonts w:ascii="Verdana" w:hAnsi="Verdana" w:cs="Arial"/>
                <w:color w:val="2F5496" w:themeColor="accent1" w:themeShade="BF"/>
                <w:sz w:val="18"/>
                <w:szCs w:val="18"/>
              </w:rPr>
              <w:t>Social transfers</w:t>
            </w:r>
          </w:p>
        </w:tc>
        <w:tc>
          <w:tcPr>
            <w:tcW w:w="1304" w:type="dxa"/>
            <w:vAlign w:val="center"/>
          </w:tcPr>
          <w:p w14:paraId="58C140BF" w14:textId="30980275"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4.211,7</w:t>
            </w:r>
          </w:p>
        </w:tc>
        <w:tc>
          <w:tcPr>
            <w:tcW w:w="1304" w:type="dxa"/>
            <w:tcBorders>
              <w:right w:val="double" w:sz="4" w:space="0" w:color="2F5496" w:themeColor="accent1" w:themeShade="BF"/>
            </w:tcBorders>
            <w:vAlign w:val="center"/>
          </w:tcPr>
          <w:p w14:paraId="08DDB782" w14:textId="04F9F3F5"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4.532,6</w:t>
            </w:r>
          </w:p>
        </w:tc>
        <w:tc>
          <w:tcPr>
            <w:tcW w:w="1304" w:type="dxa"/>
            <w:tcBorders>
              <w:left w:val="double" w:sz="4" w:space="0" w:color="2F5496" w:themeColor="accent1" w:themeShade="BF"/>
              <w:right w:val="single" w:sz="4" w:space="0" w:color="2F5496" w:themeColor="accent1" w:themeShade="BF"/>
            </w:tcBorders>
            <w:vAlign w:val="center"/>
          </w:tcPr>
          <w:p w14:paraId="3CD59AB8" w14:textId="0DA1D112"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320,9</w:t>
            </w:r>
          </w:p>
        </w:tc>
        <w:tc>
          <w:tcPr>
            <w:tcW w:w="236" w:type="dxa"/>
            <w:tcBorders>
              <w:left w:val="single" w:sz="4" w:space="0" w:color="2F5496" w:themeColor="accent1" w:themeShade="BF"/>
              <w:right w:val="single" w:sz="4" w:space="0" w:color="2F5496" w:themeColor="accent1" w:themeShade="BF"/>
            </w:tcBorders>
            <w:vAlign w:val="center"/>
          </w:tcPr>
          <w:p w14:paraId="699D49ED"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5229F512" w14:textId="643F50E8"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7,6</w:t>
            </w:r>
          </w:p>
        </w:tc>
      </w:tr>
      <w:tr w:rsidR="00EA2FCF" w:rsidRPr="006F21EB" w14:paraId="6F1E386F" w14:textId="77777777" w:rsidTr="002667D0">
        <w:trPr>
          <w:trHeight w:val="284"/>
          <w:jc w:val="center"/>
        </w:trPr>
        <w:tc>
          <w:tcPr>
            <w:tcW w:w="4196" w:type="dxa"/>
            <w:shd w:val="clear" w:color="000000" w:fill="FFFFFF"/>
            <w:vAlign w:val="center"/>
          </w:tcPr>
          <w:p w14:paraId="04E304DB" w14:textId="77777777" w:rsidR="00EA2FCF" w:rsidRPr="006F21EB" w:rsidRDefault="00EA2FCF" w:rsidP="00EA2FCF">
            <w:pPr>
              <w:ind w:left="340"/>
              <w:rPr>
                <w:rFonts w:ascii="Verdana" w:hAnsi="Verdana" w:cs="Arial"/>
                <w:color w:val="2F5496" w:themeColor="accent1" w:themeShade="BF"/>
                <w:sz w:val="18"/>
                <w:szCs w:val="18"/>
                <w:lang w:val="el-GR"/>
              </w:rPr>
            </w:pPr>
            <w:r>
              <w:rPr>
                <w:rFonts w:ascii="Verdana" w:hAnsi="Verdana" w:cs="Arial"/>
                <w:color w:val="2F5496" w:themeColor="accent1" w:themeShade="BF"/>
                <w:sz w:val="18"/>
                <w:szCs w:val="18"/>
              </w:rPr>
              <w:t>Property income payable</w:t>
            </w:r>
          </w:p>
        </w:tc>
        <w:tc>
          <w:tcPr>
            <w:tcW w:w="1304" w:type="dxa"/>
            <w:vAlign w:val="center"/>
          </w:tcPr>
          <w:p w14:paraId="143DFB5C" w14:textId="53F0EB41"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410,6</w:t>
            </w:r>
          </w:p>
        </w:tc>
        <w:tc>
          <w:tcPr>
            <w:tcW w:w="1304" w:type="dxa"/>
            <w:tcBorders>
              <w:right w:val="double" w:sz="4" w:space="0" w:color="2F5496" w:themeColor="accent1" w:themeShade="BF"/>
            </w:tcBorders>
            <w:vAlign w:val="center"/>
          </w:tcPr>
          <w:p w14:paraId="28E0BBEF" w14:textId="123E6D49"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431,5</w:t>
            </w:r>
          </w:p>
        </w:tc>
        <w:tc>
          <w:tcPr>
            <w:tcW w:w="1304" w:type="dxa"/>
            <w:tcBorders>
              <w:left w:val="double" w:sz="4" w:space="0" w:color="2F5496" w:themeColor="accent1" w:themeShade="BF"/>
              <w:right w:val="single" w:sz="4" w:space="0" w:color="2F5496" w:themeColor="accent1" w:themeShade="BF"/>
            </w:tcBorders>
            <w:vAlign w:val="center"/>
          </w:tcPr>
          <w:p w14:paraId="50968C8D" w14:textId="546583A4"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20,9</w:t>
            </w:r>
          </w:p>
        </w:tc>
        <w:tc>
          <w:tcPr>
            <w:tcW w:w="236" w:type="dxa"/>
            <w:tcBorders>
              <w:left w:val="single" w:sz="4" w:space="0" w:color="2F5496" w:themeColor="accent1" w:themeShade="BF"/>
              <w:right w:val="single" w:sz="4" w:space="0" w:color="2F5496" w:themeColor="accent1" w:themeShade="BF"/>
            </w:tcBorders>
            <w:vAlign w:val="center"/>
          </w:tcPr>
          <w:p w14:paraId="3A9AD710"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6139527C" w14:textId="31AE8064"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5,1</w:t>
            </w:r>
          </w:p>
        </w:tc>
      </w:tr>
      <w:tr w:rsidR="00EA2FCF" w:rsidRPr="006F21EB" w14:paraId="5BBBAEDB" w14:textId="77777777" w:rsidTr="002667D0">
        <w:trPr>
          <w:trHeight w:val="284"/>
          <w:jc w:val="center"/>
        </w:trPr>
        <w:tc>
          <w:tcPr>
            <w:tcW w:w="4196" w:type="dxa"/>
            <w:shd w:val="clear" w:color="000000" w:fill="FFFFFF"/>
            <w:vAlign w:val="center"/>
          </w:tcPr>
          <w:p w14:paraId="7567EEE9" w14:textId="77777777" w:rsidR="00EA2FCF" w:rsidRPr="006F21EB" w:rsidRDefault="00EA2FCF" w:rsidP="00EA2FCF">
            <w:pPr>
              <w:ind w:left="340"/>
              <w:rPr>
                <w:rFonts w:ascii="Verdana" w:hAnsi="Verdana" w:cs="Arial"/>
                <w:color w:val="2F5496" w:themeColor="accent1" w:themeShade="BF"/>
                <w:sz w:val="18"/>
                <w:szCs w:val="18"/>
                <w:lang w:val="el-GR"/>
              </w:rPr>
            </w:pPr>
            <w:r w:rsidRPr="00F10CBC">
              <w:rPr>
                <w:rFonts w:ascii="Verdana" w:hAnsi="Verdana" w:cs="Arial"/>
                <w:color w:val="2F5496" w:themeColor="accent1" w:themeShade="BF"/>
                <w:sz w:val="18"/>
                <w:szCs w:val="18"/>
              </w:rPr>
              <w:t>Subsidies</w:t>
            </w:r>
          </w:p>
        </w:tc>
        <w:tc>
          <w:tcPr>
            <w:tcW w:w="1304" w:type="dxa"/>
            <w:vAlign w:val="center"/>
          </w:tcPr>
          <w:p w14:paraId="2F4552C3" w14:textId="6AC5CAE2"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139,3</w:t>
            </w:r>
          </w:p>
        </w:tc>
        <w:tc>
          <w:tcPr>
            <w:tcW w:w="1304" w:type="dxa"/>
            <w:tcBorders>
              <w:right w:val="double" w:sz="4" w:space="0" w:color="2F5496" w:themeColor="accent1" w:themeShade="BF"/>
            </w:tcBorders>
            <w:vAlign w:val="center"/>
          </w:tcPr>
          <w:p w14:paraId="1184CEE5" w14:textId="33777D4A"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163,6</w:t>
            </w:r>
          </w:p>
        </w:tc>
        <w:tc>
          <w:tcPr>
            <w:tcW w:w="1304" w:type="dxa"/>
            <w:tcBorders>
              <w:left w:val="double" w:sz="4" w:space="0" w:color="2F5496" w:themeColor="accent1" w:themeShade="BF"/>
              <w:right w:val="single" w:sz="4" w:space="0" w:color="2F5496" w:themeColor="accent1" w:themeShade="BF"/>
            </w:tcBorders>
            <w:vAlign w:val="center"/>
          </w:tcPr>
          <w:p w14:paraId="2F01E8AE" w14:textId="780F1163"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24,3</w:t>
            </w:r>
          </w:p>
        </w:tc>
        <w:tc>
          <w:tcPr>
            <w:tcW w:w="236" w:type="dxa"/>
            <w:tcBorders>
              <w:left w:val="single" w:sz="4" w:space="0" w:color="2F5496" w:themeColor="accent1" w:themeShade="BF"/>
              <w:right w:val="single" w:sz="4" w:space="0" w:color="2F5496" w:themeColor="accent1" w:themeShade="BF"/>
            </w:tcBorders>
            <w:vAlign w:val="center"/>
          </w:tcPr>
          <w:p w14:paraId="77482B9B"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26BDD5B1" w14:textId="69FE1DBE"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17,4</w:t>
            </w:r>
          </w:p>
        </w:tc>
      </w:tr>
      <w:tr w:rsidR="00EA2FCF" w:rsidRPr="006F21EB" w14:paraId="1C005020" w14:textId="77777777" w:rsidTr="002667D0">
        <w:trPr>
          <w:trHeight w:val="284"/>
          <w:jc w:val="center"/>
        </w:trPr>
        <w:tc>
          <w:tcPr>
            <w:tcW w:w="4196" w:type="dxa"/>
            <w:shd w:val="clear" w:color="000000" w:fill="FFFFFF"/>
            <w:vAlign w:val="center"/>
          </w:tcPr>
          <w:p w14:paraId="4A2FF34E" w14:textId="77777777" w:rsidR="00EA2FCF" w:rsidRPr="006F21EB" w:rsidRDefault="00EA2FCF" w:rsidP="00EA2FCF">
            <w:pPr>
              <w:ind w:left="340"/>
              <w:rPr>
                <w:rFonts w:ascii="Verdana" w:hAnsi="Verdana" w:cs="Arial"/>
                <w:color w:val="2F5496" w:themeColor="accent1" w:themeShade="BF"/>
                <w:sz w:val="18"/>
                <w:szCs w:val="18"/>
                <w:lang w:val="el-GR"/>
              </w:rPr>
            </w:pPr>
            <w:r w:rsidRPr="00F10CBC">
              <w:rPr>
                <w:rFonts w:ascii="Verdana" w:hAnsi="Verdana" w:cs="Arial"/>
                <w:color w:val="2F5496" w:themeColor="accent1" w:themeShade="BF"/>
                <w:sz w:val="18"/>
                <w:szCs w:val="18"/>
              </w:rPr>
              <w:t>Other current expenditure</w:t>
            </w:r>
          </w:p>
        </w:tc>
        <w:tc>
          <w:tcPr>
            <w:tcW w:w="1304" w:type="dxa"/>
            <w:vAlign w:val="center"/>
          </w:tcPr>
          <w:p w14:paraId="2C95D8D2" w14:textId="7F83F90B"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649,9</w:t>
            </w:r>
          </w:p>
        </w:tc>
        <w:tc>
          <w:tcPr>
            <w:tcW w:w="1304" w:type="dxa"/>
            <w:tcBorders>
              <w:right w:val="double" w:sz="4" w:space="0" w:color="2F5496" w:themeColor="accent1" w:themeShade="BF"/>
            </w:tcBorders>
            <w:vAlign w:val="center"/>
          </w:tcPr>
          <w:p w14:paraId="0BABAFD5" w14:textId="62D168AC"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824,8</w:t>
            </w:r>
          </w:p>
        </w:tc>
        <w:tc>
          <w:tcPr>
            <w:tcW w:w="1304" w:type="dxa"/>
            <w:tcBorders>
              <w:left w:val="double" w:sz="4" w:space="0" w:color="2F5496" w:themeColor="accent1" w:themeShade="BF"/>
              <w:right w:val="single" w:sz="4" w:space="0" w:color="2F5496" w:themeColor="accent1" w:themeShade="BF"/>
            </w:tcBorders>
            <w:vAlign w:val="center"/>
          </w:tcPr>
          <w:p w14:paraId="5485330D" w14:textId="249B054E"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174,9</w:t>
            </w:r>
          </w:p>
        </w:tc>
        <w:tc>
          <w:tcPr>
            <w:tcW w:w="236" w:type="dxa"/>
            <w:tcBorders>
              <w:left w:val="single" w:sz="4" w:space="0" w:color="2F5496" w:themeColor="accent1" w:themeShade="BF"/>
              <w:right w:val="single" w:sz="4" w:space="0" w:color="2F5496" w:themeColor="accent1" w:themeShade="BF"/>
            </w:tcBorders>
            <w:vAlign w:val="center"/>
          </w:tcPr>
          <w:p w14:paraId="15046E2A"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6602FF12" w14:textId="15DC95D6"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26,9</w:t>
            </w:r>
          </w:p>
        </w:tc>
      </w:tr>
      <w:tr w:rsidR="00EA2FCF" w:rsidRPr="006F21EB" w14:paraId="13217EF7" w14:textId="77777777" w:rsidTr="002667D0">
        <w:trPr>
          <w:trHeight w:val="454"/>
          <w:jc w:val="center"/>
        </w:trPr>
        <w:tc>
          <w:tcPr>
            <w:tcW w:w="4196" w:type="dxa"/>
            <w:shd w:val="clear" w:color="000000" w:fill="FFFFFF"/>
            <w:vAlign w:val="center"/>
          </w:tcPr>
          <w:p w14:paraId="530E9565" w14:textId="77777777" w:rsidR="00EA2FCF" w:rsidRPr="006F21EB" w:rsidRDefault="00EA2FCF" w:rsidP="00EA2FCF">
            <w:pPr>
              <w:ind w:left="170"/>
              <w:rPr>
                <w:rFonts w:ascii="Verdana" w:hAnsi="Verdana" w:cs="Arial"/>
                <w:color w:val="2F5496" w:themeColor="accent1" w:themeShade="BF"/>
                <w:sz w:val="18"/>
                <w:szCs w:val="18"/>
                <w:lang w:val="el-GR"/>
              </w:rPr>
            </w:pPr>
            <w:proofErr w:type="spellStart"/>
            <w:r w:rsidRPr="00F10CBC">
              <w:rPr>
                <w:rFonts w:ascii="Verdana" w:hAnsi="Verdana" w:cs="Arial"/>
                <w:color w:val="2F5496" w:themeColor="accent1" w:themeShade="BF"/>
                <w:sz w:val="18"/>
                <w:szCs w:val="18"/>
                <w:lang w:val="el-GR"/>
              </w:rPr>
              <w:t>Total</w:t>
            </w:r>
            <w:proofErr w:type="spellEnd"/>
            <w:r w:rsidRPr="00F10CBC">
              <w:rPr>
                <w:rFonts w:ascii="Verdana" w:hAnsi="Verdana" w:cs="Arial"/>
                <w:color w:val="2F5496" w:themeColor="accent1" w:themeShade="BF"/>
                <w:sz w:val="18"/>
                <w:szCs w:val="18"/>
                <w:lang w:val="el-GR"/>
              </w:rPr>
              <w:t xml:space="preserve"> Capital </w:t>
            </w:r>
            <w:proofErr w:type="spellStart"/>
            <w:r w:rsidRPr="00F10CBC">
              <w:rPr>
                <w:rFonts w:ascii="Verdana" w:hAnsi="Verdana" w:cs="Arial"/>
                <w:color w:val="2F5496" w:themeColor="accent1" w:themeShade="BF"/>
                <w:sz w:val="18"/>
                <w:szCs w:val="18"/>
                <w:lang w:val="el-GR"/>
              </w:rPr>
              <w:t>Expenditure</w:t>
            </w:r>
            <w:proofErr w:type="spellEnd"/>
          </w:p>
        </w:tc>
        <w:tc>
          <w:tcPr>
            <w:tcW w:w="1304" w:type="dxa"/>
            <w:vAlign w:val="center"/>
          </w:tcPr>
          <w:p w14:paraId="71861F40" w14:textId="7297CD2A"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950,5</w:t>
            </w:r>
          </w:p>
        </w:tc>
        <w:tc>
          <w:tcPr>
            <w:tcW w:w="1304" w:type="dxa"/>
            <w:tcBorders>
              <w:right w:val="double" w:sz="4" w:space="0" w:color="2F5496" w:themeColor="accent1" w:themeShade="BF"/>
            </w:tcBorders>
            <w:vAlign w:val="center"/>
          </w:tcPr>
          <w:p w14:paraId="4169D91B" w14:textId="7DC3366C"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1.258,4</w:t>
            </w:r>
          </w:p>
        </w:tc>
        <w:tc>
          <w:tcPr>
            <w:tcW w:w="1304" w:type="dxa"/>
            <w:tcBorders>
              <w:left w:val="double" w:sz="4" w:space="0" w:color="2F5496" w:themeColor="accent1" w:themeShade="BF"/>
              <w:right w:val="single" w:sz="4" w:space="0" w:color="2F5496" w:themeColor="accent1" w:themeShade="BF"/>
            </w:tcBorders>
            <w:vAlign w:val="center"/>
          </w:tcPr>
          <w:p w14:paraId="14BAA838" w14:textId="01F029E3"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307,9</w:t>
            </w:r>
          </w:p>
        </w:tc>
        <w:tc>
          <w:tcPr>
            <w:tcW w:w="236" w:type="dxa"/>
            <w:tcBorders>
              <w:left w:val="single" w:sz="4" w:space="0" w:color="2F5496" w:themeColor="accent1" w:themeShade="BF"/>
              <w:right w:val="single" w:sz="4" w:space="0" w:color="2F5496" w:themeColor="accent1" w:themeShade="BF"/>
            </w:tcBorders>
            <w:vAlign w:val="center"/>
          </w:tcPr>
          <w:p w14:paraId="57D423CA"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006DE61C" w14:textId="4DCBCF65"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32,4</w:t>
            </w:r>
          </w:p>
        </w:tc>
      </w:tr>
      <w:tr w:rsidR="00EA2FCF" w:rsidRPr="006F21EB" w14:paraId="1FCBCC9B" w14:textId="77777777" w:rsidTr="002667D0">
        <w:trPr>
          <w:trHeight w:val="340"/>
          <w:jc w:val="center"/>
        </w:trPr>
        <w:tc>
          <w:tcPr>
            <w:tcW w:w="4196" w:type="dxa"/>
            <w:shd w:val="clear" w:color="auto" w:fill="auto"/>
            <w:vAlign w:val="center"/>
          </w:tcPr>
          <w:p w14:paraId="07108574" w14:textId="77777777" w:rsidR="00EA2FCF" w:rsidRPr="006F21EB" w:rsidRDefault="00EA2FCF" w:rsidP="00EA2FCF">
            <w:pPr>
              <w:ind w:left="340"/>
              <w:rPr>
                <w:rFonts w:ascii="Verdana" w:hAnsi="Verdana" w:cs="Arial"/>
                <w:color w:val="2F5496" w:themeColor="accent1" w:themeShade="BF"/>
                <w:sz w:val="18"/>
                <w:szCs w:val="18"/>
                <w:lang w:val="el-GR"/>
              </w:rPr>
            </w:pPr>
            <w:proofErr w:type="spellStart"/>
            <w:r w:rsidRPr="00F10CBC">
              <w:rPr>
                <w:rFonts w:ascii="Verdana" w:hAnsi="Verdana" w:cs="Arial"/>
                <w:color w:val="2F5496" w:themeColor="accent1" w:themeShade="BF"/>
                <w:sz w:val="18"/>
                <w:szCs w:val="18"/>
                <w:lang w:val="el-GR"/>
              </w:rPr>
              <w:t>Gross</w:t>
            </w:r>
            <w:proofErr w:type="spellEnd"/>
            <w:r w:rsidRPr="00F10CBC">
              <w:rPr>
                <w:rFonts w:ascii="Verdana" w:hAnsi="Verdana" w:cs="Arial"/>
                <w:color w:val="2F5496" w:themeColor="accent1" w:themeShade="BF"/>
                <w:sz w:val="18"/>
                <w:szCs w:val="18"/>
                <w:lang w:val="el-GR"/>
              </w:rPr>
              <w:t xml:space="preserve"> </w:t>
            </w:r>
            <w:proofErr w:type="spellStart"/>
            <w:r w:rsidRPr="00F10CBC">
              <w:rPr>
                <w:rFonts w:ascii="Verdana" w:hAnsi="Verdana" w:cs="Arial"/>
                <w:color w:val="2F5496" w:themeColor="accent1" w:themeShade="BF"/>
                <w:sz w:val="18"/>
                <w:szCs w:val="18"/>
                <w:lang w:val="el-GR"/>
              </w:rPr>
              <w:t>capital</w:t>
            </w:r>
            <w:proofErr w:type="spellEnd"/>
            <w:r w:rsidRPr="00F10CBC">
              <w:rPr>
                <w:rFonts w:ascii="Verdana" w:hAnsi="Verdana" w:cs="Arial"/>
                <w:color w:val="2F5496" w:themeColor="accent1" w:themeShade="BF"/>
                <w:sz w:val="18"/>
                <w:szCs w:val="18"/>
                <w:lang w:val="el-GR"/>
              </w:rPr>
              <w:t xml:space="preserve"> </w:t>
            </w:r>
            <w:proofErr w:type="spellStart"/>
            <w:r w:rsidRPr="00F10CBC">
              <w:rPr>
                <w:rFonts w:ascii="Verdana" w:hAnsi="Verdana" w:cs="Arial"/>
                <w:color w:val="2F5496" w:themeColor="accent1" w:themeShade="BF"/>
                <w:sz w:val="18"/>
                <w:szCs w:val="18"/>
                <w:lang w:val="el-GR"/>
              </w:rPr>
              <w:t>formation</w:t>
            </w:r>
            <w:proofErr w:type="spellEnd"/>
          </w:p>
        </w:tc>
        <w:tc>
          <w:tcPr>
            <w:tcW w:w="1304" w:type="dxa"/>
            <w:vAlign w:val="center"/>
          </w:tcPr>
          <w:p w14:paraId="1FDC6934" w14:textId="48900572"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728,7</w:t>
            </w:r>
          </w:p>
        </w:tc>
        <w:tc>
          <w:tcPr>
            <w:tcW w:w="1304" w:type="dxa"/>
            <w:tcBorders>
              <w:right w:val="double" w:sz="4" w:space="0" w:color="2F5496" w:themeColor="accent1" w:themeShade="BF"/>
            </w:tcBorders>
            <w:vAlign w:val="center"/>
          </w:tcPr>
          <w:p w14:paraId="65BCB89B" w14:textId="701D1BB5"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1.037,8</w:t>
            </w:r>
          </w:p>
        </w:tc>
        <w:tc>
          <w:tcPr>
            <w:tcW w:w="1304" w:type="dxa"/>
            <w:tcBorders>
              <w:left w:val="double" w:sz="4" w:space="0" w:color="2F5496" w:themeColor="accent1" w:themeShade="BF"/>
              <w:right w:val="single" w:sz="4" w:space="0" w:color="2F5496" w:themeColor="accent1" w:themeShade="BF"/>
            </w:tcBorders>
            <w:vAlign w:val="center"/>
          </w:tcPr>
          <w:p w14:paraId="14030A29" w14:textId="5539DA73"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309,1</w:t>
            </w:r>
          </w:p>
        </w:tc>
        <w:tc>
          <w:tcPr>
            <w:tcW w:w="236" w:type="dxa"/>
            <w:tcBorders>
              <w:left w:val="single" w:sz="4" w:space="0" w:color="2F5496" w:themeColor="accent1" w:themeShade="BF"/>
              <w:right w:val="single" w:sz="4" w:space="0" w:color="2F5496" w:themeColor="accent1" w:themeShade="BF"/>
            </w:tcBorders>
            <w:vAlign w:val="center"/>
          </w:tcPr>
          <w:p w14:paraId="53A97BA5"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27F93DFD" w14:textId="1C15E8DA"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42,4</w:t>
            </w:r>
          </w:p>
        </w:tc>
      </w:tr>
      <w:tr w:rsidR="00EA2FCF" w:rsidRPr="006F21EB" w14:paraId="3DC72117" w14:textId="77777777" w:rsidTr="002667D0">
        <w:trPr>
          <w:trHeight w:val="454"/>
          <w:jc w:val="center"/>
        </w:trPr>
        <w:tc>
          <w:tcPr>
            <w:tcW w:w="4196" w:type="dxa"/>
            <w:tcBorders>
              <w:bottom w:val="single" w:sz="4" w:space="0" w:color="2F5496" w:themeColor="accent1" w:themeShade="BF"/>
            </w:tcBorders>
            <w:shd w:val="clear" w:color="000000" w:fill="FFFFFF"/>
            <w:vAlign w:val="center"/>
          </w:tcPr>
          <w:p w14:paraId="68752AE7" w14:textId="77777777" w:rsidR="00EA2FCF" w:rsidRPr="006F21EB" w:rsidRDefault="00EA2FCF" w:rsidP="00EA2FCF">
            <w:pPr>
              <w:ind w:left="340"/>
              <w:rPr>
                <w:rFonts w:ascii="Verdana" w:hAnsi="Verdana" w:cs="Arial"/>
                <w:color w:val="2F5496" w:themeColor="accent1" w:themeShade="BF"/>
                <w:sz w:val="18"/>
                <w:szCs w:val="18"/>
                <w:lang w:val="el-GR"/>
              </w:rPr>
            </w:pPr>
            <w:r w:rsidRPr="00F10CBC">
              <w:rPr>
                <w:rFonts w:ascii="Verdana" w:hAnsi="Verdana" w:cs="Arial"/>
                <w:color w:val="2F5496" w:themeColor="accent1" w:themeShade="BF"/>
                <w:sz w:val="18"/>
                <w:szCs w:val="18"/>
              </w:rPr>
              <w:t>Other capital expenditure</w:t>
            </w:r>
          </w:p>
        </w:tc>
        <w:tc>
          <w:tcPr>
            <w:tcW w:w="1304" w:type="dxa"/>
            <w:tcBorders>
              <w:bottom w:val="single" w:sz="4" w:space="0" w:color="2F5496" w:themeColor="accent1" w:themeShade="BF"/>
            </w:tcBorders>
            <w:vAlign w:val="center"/>
          </w:tcPr>
          <w:p w14:paraId="71FBBC87" w14:textId="6D57F93E"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221,8</w:t>
            </w:r>
          </w:p>
        </w:tc>
        <w:tc>
          <w:tcPr>
            <w:tcW w:w="1304" w:type="dxa"/>
            <w:tcBorders>
              <w:bottom w:val="single" w:sz="4" w:space="0" w:color="2F5496" w:themeColor="accent1" w:themeShade="BF"/>
              <w:right w:val="double" w:sz="4" w:space="0" w:color="2F5496" w:themeColor="accent1" w:themeShade="BF"/>
            </w:tcBorders>
            <w:vAlign w:val="center"/>
          </w:tcPr>
          <w:p w14:paraId="617C745D" w14:textId="166A1BDB"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220,6</w:t>
            </w:r>
          </w:p>
        </w:tc>
        <w:tc>
          <w:tcPr>
            <w:tcW w:w="1304" w:type="dxa"/>
            <w:tcBorders>
              <w:left w:val="double" w:sz="4" w:space="0" w:color="2F5496" w:themeColor="accent1" w:themeShade="BF"/>
              <w:bottom w:val="single" w:sz="4" w:space="0" w:color="2F5496" w:themeColor="accent1" w:themeShade="BF"/>
              <w:right w:val="single" w:sz="4" w:space="0" w:color="2F5496" w:themeColor="accent1" w:themeShade="BF"/>
            </w:tcBorders>
            <w:vAlign w:val="center"/>
          </w:tcPr>
          <w:p w14:paraId="7E88EE38" w14:textId="323DCDB1" w:rsidR="00EA2FCF" w:rsidRPr="002667D0" w:rsidRDefault="00EA2FCF" w:rsidP="00EA2FCF">
            <w:pPr>
              <w:jc w:val="right"/>
              <w:rPr>
                <w:rFonts w:ascii="Verdana" w:hAnsi="Verdana" w:cs="Calibri"/>
                <w:color w:val="2F5496" w:themeColor="accent1" w:themeShade="BF"/>
                <w:sz w:val="18"/>
                <w:szCs w:val="18"/>
              </w:rPr>
            </w:pPr>
            <w:r w:rsidRPr="002667D0">
              <w:rPr>
                <w:rFonts w:ascii="Verdana" w:hAnsi="Verdana"/>
                <w:color w:val="2F5496" w:themeColor="accent1" w:themeShade="BF"/>
                <w:sz w:val="18"/>
                <w:szCs w:val="18"/>
              </w:rPr>
              <w:t>-1,2</w:t>
            </w:r>
          </w:p>
        </w:tc>
        <w:tc>
          <w:tcPr>
            <w:tcW w:w="236" w:type="dxa"/>
            <w:tcBorders>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6627E3C3" w14:textId="77777777" w:rsidR="00EA2FCF" w:rsidRPr="002667D0" w:rsidRDefault="00EA2FCF" w:rsidP="00EA2FCF">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bottom w:val="single" w:sz="4" w:space="0" w:color="2F5496" w:themeColor="accent1" w:themeShade="BF"/>
            </w:tcBorders>
            <w:shd w:val="clear" w:color="000000" w:fill="FFFFFF"/>
            <w:vAlign w:val="center"/>
          </w:tcPr>
          <w:p w14:paraId="23598EC7" w14:textId="0C273716" w:rsidR="00EA2FCF" w:rsidRPr="002667D0" w:rsidRDefault="00EA2FCF" w:rsidP="00EA2FCF">
            <w:pPr>
              <w:ind w:right="227"/>
              <w:jc w:val="right"/>
              <w:rPr>
                <w:rFonts w:ascii="Verdana" w:hAnsi="Verdana" w:cs="Calibri"/>
                <w:color w:val="2F5496" w:themeColor="accent1" w:themeShade="BF"/>
                <w:sz w:val="18"/>
                <w:szCs w:val="18"/>
              </w:rPr>
            </w:pPr>
            <w:r w:rsidRPr="001835EF">
              <w:rPr>
                <w:rFonts w:ascii="Verdana" w:hAnsi="Verdana"/>
                <w:color w:val="2F5496" w:themeColor="accent1" w:themeShade="BF"/>
                <w:sz w:val="18"/>
                <w:szCs w:val="18"/>
              </w:rPr>
              <w:t>-0,5</w:t>
            </w:r>
          </w:p>
        </w:tc>
      </w:tr>
      <w:tr w:rsidR="006D2CAE" w:rsidRPr="006F21EB" w14:paraId="20FC8550" w14:textId="77777777" w:rsidTr="002667D0">
        <w:trPr>
          <w:trHeight w:val="510"/>
          <w:jc w:val="center"/>
        </w:trPr>
        <w:tc>
          <w:tcPr>
            <w:tcW w:w="4196" w:type="dxa"/>
            <w:vAlign w:val="center"/>
          </w:tcPr>
          <w:p w14:paraId="1B4D3D0F" w14:textId="77777777" w:rsidR="006D2CAE" w:rsidRPr="006F21EB" w:rsidRDefault="006D2CAE" w:rsidP="006D2CAE">
            <w:pPr>
              <w:rPr>
                <w:rFonts w:ascii="Verdana" w:hAnsi="Verdana" w:cs="Arial"/>
                <w:b/>
                <w:bCs/>
                <w:color w:val="2F5496" w:themeColor="accent1" w:themeShade="BF"/>
                <w:sz w:val="18"/>
                <w:szCs w:val="18"/>
                <w:lang w:val="el-GR"/>
              </w:rPr>
            </w:pPr>
            <w:r w:rsidRPr="00F10CBC">
              <w:rPr>
                <w:rFonts w:ascii="Verdana" w:hAnsi="Verdana" w:cs="Arial"/>
                <w:b/>
                <w:bCs/>
                <w:color w:val="2F5496" w:themeColor="accent1" w:themeShade="BF"/>
                <w:sz w:val="18"/>
                <w:szCs w:val="18"/>
                <w:lang w:val="el-GR"/>
              </w:rPr>
              <w:t>N</w:t>
            </w:r>
            <w:r>
              <w:rPr>
                <w:rFonts w:ascii="Verdana" w:hAnsi="Verdana" w:cs="Arial"/>
                <w:b/>
                <w:bCs/>
                <w:color w:val="2F5496" w:themeColor="accent1" w:themeShade="BF"/>
                <w:sz w:val="18"/>
                <w:szCs w:val="18"/>
              </w:rPr>
              <w:t>et</w:t>
            </w:r>
            <w:r w:rsidRPr="00F10CBC">
              <w:rPr>
                <w:rFonts w:ascii="Verdana" w:hAnsi="Verdana" w:cs="Arial"/>
                <w:b/>
                <w:bCs/>
                <w:color w:val="2F5496" w:themeColor="accent1" w:themeShade="BF"/>
                <w:sz w:val="18"/>
                <w:szCs w:val="18"/>
                <w:lang w:val="el-GR"/>
              </w:rPr>
              <w:t xml:space="preserve"> L</w:t>
            </w:r>
            <w:r>
              <w:rPr>
                <w:rFonts w:ascii="Verdana" w:hAnsi="Verdana" w:cs="Arial"/>
                <w:b/>
                <w:bCs/>
                <w:color w:val="2F5496" w:themeColor="accent1" w:themeShade="BF"/>
                <w:sz w:val="18"/>
                <w:szCs w:val="18"/>
              </w:rPr>
              <w:t>ending</w:t>
            </w:r>
            <w:r w:rsidRPr="00F10CBC">
              <w:rPr>
                <w:rFonts w:ascii="Verdana" w:hAnsi="Verdana" w:cs="Arial"/>
                <w:b/>
                <w:bCs/>
                <w:color w:val="2F5496" w:themeColor="accent1" w:themeShade="BF"/>
                <w:sz w:val="18"/>
                <w:szCs w:val="18"/>
                <w:lang w:val="el-GR"/>
              </w:rPr>
              <w:t xml:space="preserve"> (+)/ B</w:t>
            </w:r>
            <w:proofErr w:type="spellStart"/>
            <w:r>
              <w:rPr>
                <w:rFonts w:ascii="Verdana" w:hAnsi="Verdana" w:cs="Arial"/>
                <w:b/>
                <w:bCs/>
                <w:color w:val="2F5496" w:themeColor="accent1" w:themeShade="BF"/>
                <w:sz w:val="18"/>
                <w:szCs w:val="18"/>
              </w:rPr>
              <w:t>orrowing</w:t>
            </w:r>
            <w:proofErr w:type="spellEnd"/>
            <w:r w:rsidRPr="00F10CBC">
              <w:rPr>
                <w:rFonts w:ascii="Verdana" w:hAnsi="Verdana" w:cs="Arial"/>
                <w:b/>
                <w:bCs/>
                <w:color w:val="2F5496" w:themeColor="accent1" w:themeShade="BF"/>
                <w:sz w:val="18"/>
                <w:szCs w:val="18"/>
                <w:lang w:val="el-GR"/>
              </w:rPr>
              <w:t xml:space="preserve"> (-)</w:t>
            </w:r>
          </w:p>
        </w:tc>
        <w:tc>
          <w:tcPr>
            <w:tcW w:w="1304" w:type="dxa"/>
            <w:vAlign w:val="center"/>
          </w:tcPr>
          <w:p w14:paraId="7D2C29C9" w14:textId="50E3A542" w:rsidR="006D2CAE" w:rsidRPr="002667D0" w:rsidRDefault="006D2CAE" w:rsidP="002667D0">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758,0</w:t>
            </w:r>
          </w:p>
        </w:tc>
        <w:tc>
          <w:tcPr>
            <w:tcW w:w="1304" w:type="dxa"/>
            <w:tcBorders>
              <w:right w:val="double" w:sz="4" w:space="0" w:color="2F5496" w:themeColor="accent1" w:themeShade="BF"/>
            </w:tcBorders>
            <w:vAlign w:val="center"/>
          </w:tcPr>
          <w:p w14:paraId="224BECD9" w14:textId="4FE456D4" w:rsidR="006D2CAE" w:rsidRPr="002667D0" w:rsidRDefault="006D2CAE" w:rsidP="002667D0">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918,7</w:t>
            </w:r>
          </w:p>
        </w:tc>
        <w:tc>
          <w:tcPr>
            <w:tcW w:w="1304" w:type="dxa"/>
            <w:tcBorders>
              <w:left w:val="double" w:sz="4" w:space="0" w:color="2F5496" w:themeColor="accent1" w:themeShade="BF"/>
              <w:right w:val="single" w:sz="4" w:space="0" w:color="2F5496" w:themeColor="accent1" w:themeShade="BF"/>
            </w:tcBorders>
            <w:vAlign w:val="center"/>
          </w:tcPr>
          <w:p w14:paraId="55C9F8CD" w14:textId="56794C02" w:rsidR="006D2CAE" w:rsidRPr="002667D0" w:rsidRDefault="006D2CAE" w:rsidP="002667D0">
            <w:pPr>
              <w:jc w:val="right"/>
              <w:rPr>
                <w:rFonts w:ascii="Verdana" w:hAnsi="Verdana" w:cs="Calibri"/>
                <w:b/>
                <w:bCs/>
                <w:color w:val="2F5496" w:themeColor="accent1" w:themeShade="BF"/>
                <w:sz w:val="18"/>
                <w:szCs w:val="18"/>
              </w:rPr>
            </w:pPr>
            <w:r w:rsidRPr="002667D0">
              <w:rPr>
                <w:rFonts w:ascii="Verdana" w:hAnsi="Verdana"/>
                <w:b/>
                <w:bCs/>
                <w:color w:val="2F5496" w:themeColor="accent1" w:themeShade="BF"/>
                <w:sz w:val="18"/>
                <w:szCs w:val="18"/>
              </w:rPr>
              <w:t>160,7</w:t>
            </w:r>
          </w:p>
        </w:tc>
        <w:tc>
          <w:tcPr>
            <w:tcW w:w="236" w:type="dxa"/>
            <w:tcBorders>
              <w:left w:val="single" w:sz="4" w:space="0" w:color="2F5496" w:themeColor="accent1" w:themeShade="BF"/>
              <w:right w:val="single" w:sz="4" w:space="0" w:color="2F5496" w:themeColor="accent1" w:themeShade="BF"/>
            </w:tcBorders>
            <w:vAlign w:val="center"/>
          </w:tcPr>
          <w:p w14:paraId="405AC49D" w14:textId="77777777" w:rsidR="006D2CAE" w:rsidRPr="002667D0" w:rsidRDefault="006D2CAE" w:rsidP="002667D0">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tcBorders>
            <w:shd w:val="clear" w:color="000000" w:fill="FFFFFF"/>
            <w:vAlign w:val="center"/>
          </w:tcPr>
          <w:p w14:paraId="75358357" w14:textId="77777777" w:rsidR="006D2CAE" w:rsidRPr="002667D0" w:rsidRDefault="006D2CAE" w:rsidP="002667D0">
            <w:pPr>
              <w:ind w:right="284"/>
              <w:jc w:val="right"/>
              <w:rPr>
                <w:rFonts w:ascii="Verdana" w:hAnsi="Verdana" w:cs="Arial"/>
                <w:color w:val="2F5496" w:themeColor="accent1" w:themeShade="BF"/>
                <w:sz w:val="18"/>
                <w:szCs w:val="18"/>
                <w:lang w:val="el-GR"/>
              </w:rPr>
            </w:pPr>
          </w:p>
        </w:tc>
      </w:tr>
      <w:tr w:rsidR="006D2CAE" w:rsidRPr="006F21EB" w14:paraId="775058C1" w14:textId="77777777" w:rsidTr="002667D0">
        <w:trPr>
          <w:trHeight w:val="454"/>
          <w:jc w:val="center"/>
        </w:trPr>
        <w:tc>
          <w:tcPr>
            <w:tcW w:w="4196" w:type="dxa"/>
            <w:tcBorders>
              <w:bottom w:val="single" w:sz="4" w:space="0" w:color="2F5496" w:themeColor="accent1" w:themeShade="BF"/>
            </w:tcBorders>
            <w:vAlign w:val="center"/>
          </w:tcPr>
          <w:p w14:paraId="12930656" w14:textId="77777777" w:rsidR="006D2CAE" w:rsidRPr="006F21EB" w:rsidRDefault="006D2CAE" w:rsidP="006D2CAE">
            <w:pPr>
              <w:rPr>
                <w:rFonts w:ascii="Verdana" w:hAnsi="Verdana" w:cs="Arial"/>
                <w:color w:val="2F5496" w:themeColor="accent1" w:themeShade="BF"/>
                <w:sz w:val="18"/>
                <w:szCs w:val="18"/>
                <w:lang w:val="el-GR"/>
              </w:rPr>
            </w:pPr>
            <w:r w:rsidRPr="006F21EB">
              <w:rPr>
                <w:rFonts w:ascii="Verdana" w:hAnsi="Verdana" w:cs="Arial"/>
                <w:color w:val="2F5496" w:themeColor="accent1" w:themeShade="BF"/>
                <w:sz w:val="18"/>
                <w:szCs w:val="18"/>
                <w:lang w:val="el-GR"/>
              </w:rPr>
              <w:t xml:space="preserve">% </w:t>
            </w:r>
            <w:r>
              <w:rPr>
                <w:rFonts w:ascii="Verdana" w:hAnsi="Verdana" w:cs="Arial"/>
                <w:color w:val="2F5496" w:themeColor="accent1" w:themeShade="BF"/>
                <w:sz w:val="18"/>
                <w:szCs w:val="18"/>
              </w:rPr>
              <w:t>of GDP</w:t>
            </w:r>
          </w:p>
        </w:tc>
        <w:tc>
          <w:tcPr>
            <w:tcW w:w="1304" w:type="dxa"/>
            <w:tcBorders>
              <w:bottom w:val="single" w:sz="4" w:space="0" w:color="2F5496" w:themeColor="accent1" w:themeShade="BF"/>
            </w:tcBorders>
            <w:vAlign w:val="center"/>
          </w:tcPr>
          <w:p w14:paraId="2D66D487" w14:textId="7F528D62" w:rsidR="006D2CAE" w:rsidRPr="002667D0" w:rsidRDefault="006D2CAE" w:rsidP="002667D0">
            <w:pPr>
              <w:jc w:val="right"/>
              <w:rPr>
                <w:rFonts w:ascii="Verdana" w:hAnsi="Verdana" w:cs="Calibri"/>
                <w:i/>
                <w:iCs/>
                <w:color w:val="2F5496" w:themeColor="accent1" w:themeShade="BF"/>
                <w:sz w:val="18"/>
                <w:szCs w:val="18"/>
              </w:rPr>
            </w:pPr>
            <w:r w:rsidRPr="002667D0">
              <w:rPr>
                <w:rFonts w:ascii="Verdana" w:hAnsi="Verdana"/>
                <w:color w:val="2F5496" w:themeColor="accent1" w:themeShade="BF"/>
                <w:sz w:val="18"/>
                <w:szCs w:val="18"/>
              </w:rPr>
              <w:t>2,7%</w:t>
            </w:r>
          </w:p>
        </w:tc>
        <w:tc>
          <w:tcPr>
            <w:tcW w:w="1304" w:type="dxa"/>
            <w:tcBorders>
              <w:bottom w:val="single" w:sz="4" w:space="0" w:color="2F5496" w:themeColor="accent1" w:themeShade="BF"/>
              <w:right w:val="double" w:sz="4" w:space="0" w:color="2F5496" w:themeColor="accent1" w:themeShade="BF"/>
            </w:tcBorders>
            <w:vAlign w:val="center"/>
          </w:tcPr>
          <w:p w14:paraId="5CF41D3A" w14:textId="14BBAB48" w:rsidR="006D2CAE" w:rsidRPr="002667D0" w:rsidRDefault="006D2CAE" w:rsidP="002667D0">
            <w:pPr>
              <w:jc w:val="right"/>
              <w:rPr>
                <w:rFonts w:ascii="Verdana" w:hAnsi="Verdana" w:cs="Calibri"/>
                <w:i/>
                <w:iCs/>
                <w:color w:val="2F5496" w:themeColor="accent1" w:themeShade="BF"/>
                <w:sz w:val="18"/>
                <w:szCs w:val="18"/>
              </w:rPr>
            </w:pPr>
            <w:r w:rsidRPr="002667D0">
              <w:rPr>
                <w:rFonts w:ascii="Verdana" w:hAnsi="Verdana"/>
                <w:color w:val="2F5496" w:themeColor="accent1" w:themeShade="BF"/>
                <w:sz w:val="18"/>
                <w:szCs w:val="18"/>
              </w:rPr>
              <w:t>3,1%</w:t>
            </w:r>
          </w:p>
        </w:tc>
        <w:tc>
          <w:tcPr>
            <w:tcW w:w="1304" w:type="dxa"/>
            <w:tcBorders>
              <w:left w:val="double" w:sz="4" w:space="0" w:color="2F5496" w:themeColor="accent1" w:themeShade="BF"/>
              <w:bottom w:val="single" w:sz="4" w:space="0" w:color="2F5496" w:themeColor="accent1" w:themeShade="BF"/>
              <w:right w:val="single" w:sz="4" w:space="0" w:color="2F5496" w:themeColor="accent1" w:themeShade="BF"/>
            </w:tcBorders>
            <w:vAlign w:val="center"/>
          </w:tcPr>
          <w:p w14:paraId="1C122046" w14:textId="77777777" w:rsidR="006D2CAE" w:rsidRPr="002667D0" w:rsidRDefault="006D2CAE" w:rsidP="002667D0">
            <w:pPr>
              <w:jc w:val="right"/>
              <w:rPr>
                <w:rFonts w:ascii="Verdana" w:hAnsi="Verdana" w:cs="Arial"/>
                <w:color w:val="2F5496" w:themeColor="accent1" w:themeShade="BF"/>
                <w:sz w:val="18"/>
                <w:szCs w:val="18"/>
                <w:lang w:val="el-GR"/>
              </w:rPr>
            </w:pPr>
          </w:p>
        </w:tc>
        <w:tc>
          <w:tcPr>
            <w:tcW w:w="236" w:type="dxa"/>
            <w:tcBorders>
              <w:left w:val="single" w:sz="4" w:space="0" w:color="2F5496" w:themeColor="accent1" w:themeShade="BF"/>
              <w:bottom w:val="single" w:sz="4" w:space="0" w:color="2F5496" w:themeColor="accent1" w:themeShade="BF"/>
              <w:right w:val="single" w:sz="4" w:space="0" w:color="2F5496" w:themeColor="accent1" w:themeShade="BF"/>
            </w:tcBorders>
            <w:vAlign w:val="center"/>
          </w:tcPr>
          <w:p w14:paraId="7E6CEDF9" w14:textId="77777777" w:rsidR="006D2CAE" w:rsidRPr="002667D0" w:rsidRDefault="006D2CAE" w:rsidP="002667D0">
            <w:pPr>
              <w:jc w:val="right"/>
              <w:rPr>
                <w:rFonts w:ascii="Verdana" w:hAnsi="Verdana" w:cs="Arial"/>
                <w:color w:val="2F5496" w:themeColor="accent1" w:themeShade="BF"/>
                <w:sz w:val="18"/>
                <w:szCs w:val="18"/>
                <w:lang w:val="el-GR"/>
              </w:rPr>
            </w:pPr>
          </w:p>
        </w:tc>
        <w:tc>
          <w:tcPr>
            <w:tcW w:w="1361" w:type="dxa"/>
            <w:tcBorders>
              <w:left w:val="single" w:sz="4" w:space="0" w:color="2F5496" w:themeColor="accent1" w:themeShade="BF"/>
              <w:bottom w:val="single" w:sz="4" w:space="0" w:color="2F5496" w:themeColor="accent1" w:themeShade="BF"/>
            </w:tcBorders>
            <w:shd w:val="clear" w:color="000000" w:fill="FFFFFF"/>
            <w:vAlign w:val="center"/>
          </w:tcPr>
          <w:p w14:paraId="33F273C7" w14:textId="77777777" w:rsidR="006D2CAE" w:rsidRPr="002667D0" w:rsidRDefault="006D2CAE" w:rsidP="002667D0">
            <w:pPr>
              <w:jc w:val="right"/>
              <w:rPr>
                <w:rFonts w:ascii="Verdana" w:hAnsi="Verdana" w:cs="Arial"/>
                <w:color w:val="2F5496" w:themeColor="accent1" w:themeShade="BF"/>
                <w:sz w:val="18"/>
                <w:szCs w:val="18"/>
                <w:lang w:val="el-GR"/>
              </w:rPr>
            </w:pPr>
          </w:p>
        </w:tc>
      </w:tr>
    </w:tbl>
    <w:p w14:paraId="6069DE8B" w14:textId="77777777" w:rsidR="00972CA0" w:rsidRPr="00C26329" w:rsidRDefault="00972CA0" w:rsidP="00072754">
      <w:pPr>
        <w:jc w:val="both"/>
        <w:rPr>
          <w:rFonts w:ascii="Verdana" w:eastAsia="Malgun Gothic" w:hAnsi="Verdana" w:cs="Arial"/>
          <w:sz w:val="18"/>
          <w:szCs w:val="18"/>
        </w:rPr>
      </w:pPr>
    </w:p>
    <w:p w14:paraId="588B7334" w14:textId="77777777" w:rsidR="00972CA0" w:rsidRPr="00C26329" w:rsidRDefault="00972CA0" w:rsidP="00072754">
      <w:pPr>
        <w:jc w:val="both"/>
        <w:rPr>
          <w:rFonts w:ascii="Verdana" w:eastAsia="Malgun Gothic" w:hAnsi="Verdana" w:cs="Arial"/>
          <w:sz w:val="18"/>
          <w:szCs w:val="18"/>
        </w:rPr>
      </w:pPr>
    </w:p>
    <w:p w14:paraId="78CF83A1" w14:textId="77777777" w:rsidR="00972CA0" w:rsidRPr="00C26329" w:rsidRDefault="00972CA0" w:rsidP="00072754">
      <w:pPr>
        <w:jc w:val="both"/>
        <w:rPr>
          <w:rFonts w:ascii="Verdana" w:eastAsia="Malgun Gothic" w:hAnsi="Verdana" w:cs="Arial"/>
          <w:sz w:val="18"/>
          <w:szCs w:val="18"/>
        </w:rPr>
      </w:pPr>
    </w:p>
    <w:p w14:paraId="4BF9AD5A" w14:textId="77777777" w:rsidR="00972CA0" w:rsidRPr="00C26329" w:rsidRDefault="00972CA0" w:rsidP="00072754">
      <w:pPr>
        <w:jc w:val="both"/>
        <w:rPr>
          <w:rFonts w:ascii="Verdana" w:eastAsia="Malgun Gothic" w:hAnsi="Verdana" w:cs="Arial"/>
          <w:sz w:val="18"/>
          <w:szCs w:val="18"/>
        </w:rPr>
      </w:pPr>
    </w:p>
    <w:p w14:paraId="447C24E5" w14:textId="77777777" w:rsidR="00972CA0" w:rsidRPr="00C26329" w:rsidRDefault="00972CA0" w:rsidP="00072754">
      <w:pPr>
        <w:jc w:val="both"/>
        <w:rPr>
          <w:rFonts w:ascii="Verdana" w:eastAsia="Malgun Gothic" w:hAnsi="Verdana" w:cs="Arial"/>
          <w:sz w:val="18"/>
          <w:szCs w:val="18"/>
        </w:rPr>
      </w:pPr>
    </w:p>
    <w:p w14:paraId="69A03ECE" w14:textId="77777777" w:rsidR="00691191" w:rsidRPr="00C26329" w:rsidRDefault="00691191" w:rsidP="00072754">
      <w:pPr>
        <w:jc w:val="both"/>
        <w:rPr>
          <w:rFonts w:ascii="Verdana" w:eastAsia="Malgun Gothic" w:hAnsi="Verdana" w:cs="Arial"/>
          <w:sz w:val="18"/>
          <w:szCs w:val="18"/>
        </w:rPr>
      </w:pPr>
    </w:p>
    <w:p w14:paraId="439647F7" w14:textId="77777777" w:rsidR="00691191" w:rsidRPr="00C26329" w:rsidRDefault="00691191" w:rsidP="00072754">
      <w:pPr>
        <w:jc w:val="both"/>
        <w:rPr>
          <w:rFonts w:ascii="Verdana" w:eastAsia="Malgun Gothic" w:hAnsi="Verdana" w:cs="Arial"/>
          <w:sz w:val="18"/>
          <w:szCs w:val="18"/>
        </w:rPr>
      </w:pPr>
    </w:p>
    <w:p w14:paraId="7753B47B" w14:textId="77777777" w:rsidR="00691191" w:rsidRPr="00C26329" w:rsidRDefault="00691191" w:rsidP="00072754">
      <w:pPr>
        <w:jc w:val="both"/>
        <w:rPr>
          <w:rFonts w:ascii="Verdana" w:eastAsia="Malgun Gothic" w:hAnsi="Verdana" w:cs="Arial"/>
          <w:sz w:val="18"/>
          <w:szCs w:val="18"/>
        </w:rPr>
      </w:pPr>
    </w:p>
    <w:p w14:paraId="613FC625" w14:textId="77777777" w:rsidR="00691191" w:rsidRPr="00C26329" w:rsidRDefault="00691191" w:rsidP="00072754">
      <w:pPr>
        <w:jc w:val="both"/>
        <w:rPr>
          <w:rFonts w:ascii="Verdana" w:eastAsia="Malgun Gothic" w:hAnsi="Verdana" w:cs="Arial"/>
          <w:sz w:val="18"/>
          <w:szCs w:val="18"/>
        </w:rPr>
      </w:pPr>
    </w:p>
    <w:p w14:paraId="66A17632" w14:textId="77777777" w:rsidR="00691191" w:rsidRPr="00C26329" w:rsidRDefault="00691191" w:rsidP="00072754">
      <w:pPr>
        <w:jc w:val="both"/>
        <w:rPr>
          <w:rFonts w:ascii="Verdana" w:eastAsia="Malgun Gothic" w:hAnsi="Verdana" w:cs="Arial"/>
          <w:sz w:val="18"/>
          <w:szCs w:val="18"/>
        </w:rPr>
      </w:pPr>
    </w:p>
    <w:p w14:paraId="5B404690" w14:textId="77777777" w:rsidR="00691191" w:rsidRPr="00C26329" w:rsidRDefault="00691191" w:rsidP="00072754">
      <w:pPr>
        <w:jc w:val="both"/>
        <w:rPr>
          <w:rFonts w:ascii="Verdana" w:eastAsia="Malgun Gothic" w:hAnsi="Verdana" w:cs="Arial"/>
          <w:sz w:val="18"/>
          <w:szCs w:val="18"/>
        </w:rPr>
      </w:pPr>
    </w:p>
    <w:p w14:paraId="4BDFD974" w14:textId="77777777" w:rsidR="00691191" w:rsidRPr="00C26329" w:rsidRDefault="00691191" w:rsidP="00072754">
      <w:pPr>
        <w:jc w:val="both"/>
        <w:rPr>
          <w:rFonts w:ascii="Verdana" w:eastAsia="Malgun Gothic" w:hAnsi="Verdana" w:cs="Arial"/>
          <w:sz w:val="18"/>
          <w:szCs w:val="18"/>
        </w:rPr>
      </w:pPr>
    </w:p>
    <w:p w14:paraId="65A61A7E" w14:textId="77777777" w:rsidR="00691191" w:rsidRPr="00C26329" w:rsidRDefault="00691191" w:rsidP="00072754">
      <w:pPr>
        <w:jc w:val="both"/>
        <w:rPr>
          <w:rFonts w:ascii="Verdana" w:eastAsia="Malgun Gothic" w:hAnsi="Verdana" w:cs="Arial"/>
          <w:sz w:val="18"/>
          <w:szCs w:val="18"/>
        </w:rPr>
      </w:pPr>
    </w:p>
    <w:p w14:paraId="30534E6F" w14:textId="77777777" w:rsidR="00691191" w:rsidRPr="00C26329" w:rsidRDefault="00691191" w:rsidP="00072754">
      <w:pPr>
        <w:jc w:val="both"/>
        <w:rPr>
          <w:rFonts w:ascii="Verdana" w:eastAsia="Malgun Gothic" w:hAnsi="Verdana" w:cs="Arial"/>
          <w:sz w:val="18"/>
          <w:szCs w:val="18"/>
        </w:rPr>
      </w:pPr>
    </w:p>
    <w:p w14:paraId="06F4B911" w14:textId="77777777" w:rsidR="00691191" w:rsidRPr="00C26329" w:rsidRDefault="00691191" w:rsidP="00072754">
      <w:pPr>
        <w:jc w:val="both"/>
        <w:rPr>
          <w:rFonts w:ascii="Verdana" w:eastAsia="Malgun Gothic" w:hAnsi="Verdana" w:cs="Arial"/>
          <w:sz w:val="18"/>
          <w:szCs w:val="18"/>
        </w:rPr>
      </w:pPr>
    </w:p>
    <w:p w14:paraId="756C7240" w14:textId="77777777" w:rsidR="00691191" w:rsidRPr="00C26329" w:rsidRDefault="00691191" w:rsidP="00072754">
      <w:pPr>
        <w:jc w:val="both"/>
        <w:rPr>
          <w:rFonts w:ascii="Verdana" w:eastAsia="Malgun Gothic" w:hAnsi="Verdana" w:cs="Arial"/>
          <w:sz w:val="18"/>
          <w:szCs w:val="18"/>
        </w:rPr>
      </w:pPr>
    </w:p>
    <w:p w14:paraId="5C68007A" w14:textId="77777777" w:rsidR="00691191" w:rsidRPr="00C26329" w:rsidRDefault="00691191" w:rsidP="00072754">
      <w:pPr>
        <w:jc w:val="both"/>
        <w:rPr>
          <w:rFonts w:ascii="Verdana" w:eastAsia="Malgun Gothic" w:hAnsi="Verdana" w:cs="Arial"/>
          <w:sz w:val="18"/>
          <w:szCs w:val="18"/>
        </w:rPr>
      </w:pPr>
    </w:p>
    <w:p w14:paraId="1CE732A5" w14:textId="77777777" w:rsidR="00691191" w:rsidRPr="00C26329" w:rsidRDefault="00691191" w:rsidP="00072754">
      <w:pPr>
        <w:jc w:val="both"/>
        <w:rPr>
          <w:rFonts w:ascii="Verdana" w:eastAsia="Malgun Gothic" w:hAnsi="Verdana" w:cs="Arial"/>
          <w:sz w:val="18"/>
          <w:szCs w:val="18"/>
        </w:rPr>
      </w:pPr>
    </w:p>
    <w:p w14:paraId="6C8EB41D" w14:textId="77777777" w:rsidR="00691191" w:rsidRPr="00C26329" w:rsidRDefault="00691191" w:rsidP="00072754">
      <w:pPr>
        <w:jc w:val="both"/>
        <w:rPr>
          <w:rFonts w:ascii="Verdana" w:eastAsia="Malgun Gothic" w:hAnsi="Verdana" w:cs="Arial"/>
          <w:sz w:val="18"/>
          <w:szCs w:val="18"/>
        </w:rPr>
      </w:pPr>
    </w:p>
    <w:p w14:paraId="39A0A403" w14:textId="77777777" w:rsidR="0095405B" w:rsidRDefault="0095405B" w:rsidP="00072754">
      <w:pPr>
        <w:jc w:val="both"/>
        <w:rPr>
          <w:rFonts w:ascii="Verdana" w:eastAsia="Malgun Gothic" w:hAnsi="Verdana" w:cs="Arial"/>
          <w:sz w:val="18"/>
          <w:szCs w:val="18"/>
        </w:rPr>
      </w:pPr>
    </w:p>
    <w:p w14:paraId="62C0DB15" w14:textId="77777777" w:rsidR="0059604C" w:rsidRDefault="0059604C" w:rsidP="00072754">
      <w:pPr>
        <w:jc w:val="both"/>
        <w:rPr>
          <w:rFonts w:ascii="Verdana" w:eastAsia="Malgun Gothic" w:hAnsi="Verdana" w:cs="Arial"/>
          <w:sz w:val="18"/>
          <w:szCs w:val="18"/>
        </w:rPr>
      </w:pPr>
    </w:p>
    <w:p w14:paraId="1BA1A639" w14:textId="77777777" w:rsidR="00BA23AD" w:rsidRDefault="00BA23AD" w:rsidP="00072754">
      <w:pPr>
        <w:jc w:val="both"/>
        <w:rPr>
          <w:rFonts w:ascii="Verdana" w:eastAsia="Malgun Gothic" w:hAnsi="Verdana" w:cs="Arial"/>
          <w:sz w:val="18"/>
          <w:szCs w:val="18"/>
        </w:rPr>
      </w:pPr>
    </w:p>
    <w:p w14:paraId="23729A45" w14:textId="77777777" w:rsidR="00BA23AD" w:rsidRDefault="00BA23AD" w:rsidP="00072754">
      <w:pPr>
        <w:jc w:val="both"/>
        <w:rPr>
          <w:rFonts w:ascii="Verdana" w:eastAsia="Malgun Gothic" w:hAnsi="Verdana" w:cs="Arial"/>
          <w:sz w:val="18"/>
          <w:szCs w:val="18"/>
        </w:rPr>
      </w:pPr>
    </w:p>
    <w:p w14:paraId="7E95206E"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3A0A1439" w14:textId="77777777" w:rsidR="0095405B" w:rsidRDefault="0095405B" w:rsidP="00072754">
      <w:pPr>
        <w:jc w:val="both"/>
        <w:rPr>
          <w:rFonts w:ascii="Verdana" w:eastAsia="Malgun Gothic" w:hAnsi="Verdana" w:cs="Arial"/>
          <w:sz w:val="18"/>
          <w:szCs w:val="18"/>
        </w:rPr>
      </w:pPr>
    </w:p>
    <w:p w14:paraId="2FB696B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Data Coverage and Methodology</w:t>
      </w:r>
    </w:p>
    <w:p w14:paraId="0AC0B350" w14:textId="77777777" w:rsidR="006F21EB" w:rsidRPr="006F21EB" w:rsidRDefault="006F21EB" w:rsidP="006F21EB">
      <w:pPr>
        <w:jc w:val="both"/>
        <w:rPr>
          <w:rFonts w:ascii="Verdana" w:eastAsia="Malgun Gothic" w:hAnsi="Verdana" w:cs="Arial"/>
          <w:sz w:val="18"/>
          <w:szCs w:val="18"/>
        </w:rPr>
      </w:pPr>
    </w:p>
    <w:p w14:paraId="1DABCCD2" w14:textId="77777777" w:rsidR="009206B5" w:rsidRPr="009206B5"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Information is provided for the whole sequence of accounts for the General Government sector. The revenue and expenditure are analyzed by category and these are classified between current and capital, respectively.</w:t>
      </w:r>
    </w:p>
    <w:p w14:paraId="62DD5613" w14:textId="77777777" w:rsidR="009206B5" w:rsidRPr="009206B5" w:rsidRDefault="009206B5" w:rsidP="009206B5">
      <w:pPr>
        <w:jc w:val="both"/>
        <w:rPr>
          <w:rFonts w:ascii="Verdana" w:eastAsia="Malgun Gothic" w:hAnsi="Verdana" w:cs="Arial"/>
          <w:sz w:val="18"/>
          <w:szCs w:val="18"/>
        </w:rPr>
      </w:pPr>
    </w:p>
    <w:p w14:paraId="603C032C" w14:textId="77777777" w:rsidR="006F21EB" w:rsidRPr="006F21EB" w:rsidRDefault="009206B5" w:rsidP="009206B5">
      <w:pPr>
        <w:jc w:val="both"/>
        <w:rPr>
          <w:rFonts w:ascii="Verdana" w:eastAsia="Malgun Gothic" w:hAnsi="Verdana" w:cs="Arial"/>
          <w:sz w:val="18"/>
          <w:szCs w:val="18"/>
        </w:rPr>
      </w:pPr>
      <w:r w:rsidRPr="009206B5">
        <w:rPr>
          <w:rFonts w:ascii="Verdana" w:eastAsia="Malgun Gothic" w:hAnsi="Verdana" w:cs="Arial"/>
          <w:sz w:val="18"/>
          <w:szCs w:val="18"/>
        </w:rPr>
        <w:t>The categories of revenue and expenditure for General Government cover all the subsectors of the General Government based on the European System of Accounts 2010 (ESA 2010).</w:t>
      </w:r>
    </w:p>
    <w:p w14:paraId="79529AE1" w14:textId="77777777" w:rsidR="006F21EB" w:rsidRPr="006F21EB" w:rsidRDefault="006F21EB" w:rsidP="006F21EB">
      <w:pPr>
        <w:jc w:val="both"/>
        <w:rPr>
          <w:rFonts w:ascii="Verdana" w:eastAsia="Malgun Gothic" w:hAnsi="Verdana" w:cs="Arial"/>
          <w:sz w:val="18"/>
          <w:szCs w:val="18"/>
        </w:rPr>
      </w:pPr>
    </w:p>
    <w:p w14:paraId="710C9927" w14:textId="77777777" w:rsidR="006F21EB" w:rsidRPr="006F21EB" w:rsidRDefault="006F21EB" w:rsidP="006F21EB">
      <w:pPr>
        <w:jc w:val="both"/>
        <w:rPr>
          <w:rFonts w:ascii="Verdana" w:eastAsia="Malgun Gothic" w:hAnsi="Verdana" w:cs="Arial"/>
          <w:b/>
          <w:bCs/>
          <w:sz w:val="18"/>
          <w:szCs w:val="18"/>
          <w:u w:val="single"/>
        </w:rPr>
      </w:pPr>
      <w:r w:rsidRPr="006F21EB">
        <w:rPr>
          <w:rFonts w:ascii="Verdana" w:eastAsia="Malgun Gothic" w:hAnsi="Verdana" w:cs="Arial"/>
          <w:b/>
          <w:bCs/>
          <w:sz w:val="18"/>
          <w:szCs w:val="18"/>
          <w:u w:val="single"/>
        </w:rPr>
        <w:t>Source of Data</w:t>
      </w:r>
    </w:p>
    <w:p w14:paraId="0B5C7145" w14:textId="77777777" w:rsidR="006F21EB" w:rsidRPr="006F21EB" w:rsidRDefault="006F21EB" w:rsidP="006F21EB">
      <w:pPr>
        <w:jc w:val="both"/>
        <w:rPr>
          <w:rFonts w:ascii="Verdana" w:eastAsia="Malgun Gothic" w:hAnsi="Verdana" w:cs="Arial"/>
          <w:sz w:val="18"/>
          <w:szCs w:val="18"/>
        </w:rPr>
      </w:pPr>
    </w:p>
    <w:p w14:paraId="74722088" w14:textId="77777777" w:rsidR="006F21EB" w:rsidRPr="006F21EB" w:rsidRDefault="006F21EB" w:rsidP="006F21EB">
      <w:pPr>
        <w:jc w:val="both"/>
        <w:rPr>
          <w:rFonts w:ascii="Verdana" w:eastAsia="Malgun Gothic" w:hAnsi="Verdana" w:cs="Arial"/>
          <w:sz w:val="18"/>
          <w:szCs w:val="18"/>
        </w:rPr>
      </w:pPr>
      <w:r w:rsidRPr="006F21EB">
        <w:rPr>
          <w:rFonts w:ascii="Verdana" w:eastAsia="Malgun Gothic" w:hAnsi="Verdana" w:cs="Arial"/>
          <w:sz w:val="18"/>
          <w:szCs w:val="18"/>
        </w:rPr>
        <w:t>The data is collected from:</w:t>
      </w:r>
    </w:p>
    <w:p w14:paraId="6D3BD5F9" w14:textId="77777777" w:rsidR="00880C1A" w:rsidRPr="00880C1A" w:rsidRDefault="00880C1A" w:rsidP="00880C1A">
      <w:pPr>
        <w:rPr>
          <w:rFonts w:ascii="Verdana" w:hAnsi="Verdana"/>
          <w:sz w:val="18"/>
          <w:szCs w:val="18"/>
          <w:shd w:val="clear" w:color="auto" w:fill="FFFFFF"/>
        </w:rPr>
      </w:pPr>
      <w:r w:rsidRPr="00880C1A">
        <w:rPr>
          <w:rFonts w:ascii="Verdana" w:hAnsi="Verdana"/>
          <w:sz w:val="18"/>
          <w:szCs w:val="18"/>
          <w:shd w:val="clear" w:color="auto" w:fill="FFFFFF"/>
        </w:rPr>
        <w:t>-Financial Information Management Automation System (FIMAS) for Central Government and Extra Budgetary Funds,</w:t>
      </w:r>
    </w:p>
    <w:p w14:paraId="2B8C9424" w14:textId="77777777" w:rsidR="00880C1A" w:rsidRPr="00880C1A" w:rsidRDefault="00880C1A" w:rsidP="00880C1A">
      <w:pPr>
        <w:rPr>
          <w:rFonts w:ascii="Verdana" w:hAnsi="Verdana"/>
          <w:sz w:val="18"/>
          <w:szCs w:val="18"/>
          <w:shd w:val="clear" w:color="auto" w:fill="FFFFFF"/>
        </w:rPr>
      </w:pPr>
      <w:r w:rsidRPr="00880C1A">
        <w:rPr>
          <w:rFonts w:ascii="Verdana" w:hAnsi="Verdana"/>
          <w:sz w:val="18"/>
          <w:szCs w:val="18"/>
          <w:shd w:val="clear" w:color="auto" w:fill="FFFFFF"/>
        </w:rPr>
        <w:t>- Financial statements of Municipalities and Communities,</w:t>
      </w:r>
    </w:p>
    <w:p w14:paraId="4B1BE518" w14:textId="77777777" w:rsidR="00880C1A" w:rsidRPr="00880C1A" w:rsidRDefault="00880C1A" w:rsidP="00880C1A">
      <w:pPr>
        <w:rPr>
          <w:rFonts w:ascii="Verdana" w:hAnsi="Verdana"/>
          <w:sz w:val="18"/>
          <w:szCs w:val="18"/>
          <w:shd w:val="clear" w:color="auto" w:fill="FFFFFF"/>
        </w:rPr>
      </w:pPr>
      <w:r w:rsidRPr="00880C1A">
        <w:rPr>
          <w:rFonts w:ascii="Verdana" w:hAnsi="Verdana"/>
          <w:sz w:val="18"/>
          <w:szCs w:val="18"/>
          <w:shd w:val="clear" w:color="auto" w:fill="FFFFFF"/>
        </w:rPr>
        <w:t>- Financial statements of Semi-Government Organizations,</w:t>
      </w:r>
    </w:p>
    <w:p w14:paraId="4FC43C63" w14:textId="0830B685" w:rsidR="009206B5" w:rsidRDefault="00880C1A" w:rsidP="00880C1A">
      <w:pPr>
        <w:jc w:val="both"/>
        <w:rPr>
          <w:rFonts w:ascii="Verdana" w:hAnsi="Verdana"/>
          <w:sz w:val="18"/>
          <w:szCs w:val="18"/>
          <w:shd w:val="clear" w:color="auto" w:fill="FFFFFF"/>
        </w:rPr>
      </w:pPr>
      <w:r w:rsidRPr="00880C1A">
        <w:rPr>
          <w:rFonts w:ascii="Verdana" w:hAnsi="Verdana"/>
          <w:sz w:val="18"/>
          <w:szCs w:val="18"/>
          <w:shd w:val="clear" w:color="auto" w:fill="FFFFFF"/>
        </w:rPr>
        <w:t>- Financial Statements of Social Security Funds.</w:t>
      </w:r>
    </w:p>
    <w:p w14:paraId="7B0D317C" w14:textId="77777777" w:rsidR="00880C1A" w:rsidRPr="004C2B00" w:rsidRDefault="00880C1A" w:rsidP="00880C1A">
      <w:pPr>
        <w:jc w:val="both"/>
        <w:rPr>
          <w:rFonts w:ascii="Verdana" w:hAnsi="Verdana"/>
          <w:sz w:val="18"/>
          <w:szCs w:val="18"/>
          <w:shd w:val="clear" w:color="auto" w:fill="FFFFFF"/>
        </w:rPr>
      </w:pPr>
    </w:p>
    <w:p w14:paraId="364D919C" w14:textId="77777777" w:rsidR="009206B5" w:rsidRDefault="009206B5" w:rsidP="009206B5">
      <w:pPr>
        <w:jc w:val="both"/>
        <w:rPr>
          <w:rFonts w:ascii="Verdana" w:hAnsi="Verdana"/>
          <w:sz w:val="18"/>
          <w:szCs w:val="18"/>
          <w:shd w:val="clear" w:color="auto" w:fill="FFFFFF"/>
        </w:rPr>
      </w:pPr>
      <w:r w:rsidRPr="004C2B00">
        <w:rPr>
          <w:rFonts w:ascii="Verdana" w:hAnsi="Verdana"/>
          <w:sz w:val="18"/>
          <w:szCs w:val="18"/>
          <w:shd w:val="clear" w:color="auto" w:fill="FFFFFF"/>
        </w:rPr>
        <w:t>For the completion of the estimates, any methodological adjustments or corrections based on the European System of Accounts 2010 (ESA 2010) are taken into account.</w:t>
      </w:r>
    </w:p>
    <w:p w14:paraId="58D7D9DF" w14:textId="77777777" w:rsidR="0095405B" w:rsidRDefault="0095405B" w:rsidP="00072754">
      <w:pPr>
        <w:jc w:val="both"/>
        <w:rPr>
          <w:rFonts w:ascii="Verdana" w:eastAsia="Malgun Gothic" w:hAnsi="Verdana" w:cs="Arial"/>
          <w:sz w:val="18"/>
          <w:szCs w:val="18"/>
        </w:rPr>
      </w:pPr>
    </w:p>
    <w:p w14:paraId="6BCE35CC" w14:textId="77777777" w:rsidR="0095405B" w:rsidRDefault="0095405B" w:rsidP="00072754">
      <w:pPr>
        <w:jc w:val="both"/>
        <w:rPr>
          <w:rFonts w:ascii="Verdana" w:eastAsia="Malgun Gothic" w:hAnsi="Verdana" w:cs="Arial"/>
          <w:sz w:val="18"/>
          <w:szCs w:val="18"/>
        </w:rPr>
      </w:pPr>
    </w:p>
    <w:p w14:paraId="60F2C1A0" w14:textId="77777777" w:rsidR="0095405B" w:rsidRDefault="0095405B" w:rsidP="0095405B">
      <w:pPr>
        <w:rPr>
          <w:color w:val="000000"/>
        </w:rPr>
      </w:pPr>
      <w:r>
        <w:rPr>
          <w:rFonts w:ascii="Verdana" w:hAnsi="Verdana"/>
          <w:b/>
          <w:bCs/>
          <w:i/>
          <w:iCs/>
          <w:color w:val="000000"/>
          <w:sz w:val="18"/>
          <w:szCs w:val="18"/>
          <w:lang w:val="en-GB"/>
        </w:rPr>
        <w:t>For more information:</w:t>
      </w:r>
    </w:p>
    <w:p w14:paraId="5BFB1454" w14:textId="77777777" w:rsidR="0095405B" w:rsidRDefault="0095405B" w:rsidP="0095405B">
      <w:pPr>
        <w:rPr>
          <w:rStyle w:val="Hyperlink"/>
          <w:rFonts w:ascii="Verdana" w:hAnsi="Verdana"/>
          <w:sz w:val="18"/>
          <w:szCs w:val="18"/>
          <w:lang w:val="en-GB"/>
        </w:rPr>
      </w:pPr>
      <w:r>
        <w:rPr>
          <w:rFonts w:ascii="Verdana" w:hAnsi="Verdana"/>
          <w:color w:val="000000"/>
          <w:sz w:val="18"/>
          <w:szCs w:val="18"/>
          <w:lang w:val="en-GB"/>
        </w:rPr>
        <w:t>CYSTAT Portal, subtheme</w:t>
      </w:r>
      <w:r w:rsidR="006F21EB" w:rsidRPr="006F21EB">
        <w:rPr>
          <w:rFonts w:ascii="Verdana" w:hAnsi="Verdana"/>
          <w:color w:val="000000"/>
          <w:sz w:val="18"/>
          <w:szCs w:val="18"/>
        </w:rPr>
        <w:t xml:space="preserve"> </w:t>
      </w:r>
      <w:hyperlink r:id="rId9" w:history="1">
        <w:r w:rsidR="006F21EB" w:rsidRPr="004C2B00">
          <w:rPr>
            <w:rStyle w:val="Hyperlink"/>
            <w:rFonts w:ascii="Verdana" w:hAnsi="Verdana"/>
            <w:sz w:val="18"/>
            <w:szCs w:val="18"/>
            <w:lang w:val="en-GB"/>
          </w:rPr>
          <w:t xml:space="preserve">Public </w:t>
        </w:r>
        <w:r w:rsidR="006F21EB">
          <w:rPr>
            <w:rStyle w:val="Hyperlink"/>
            <w:rFonts w:ascii="Verdana" w:hAnsi="Verdana"/>
            <w:sz w:val="18"/>
            <w:szCs w:val="18"/>
          </w:rPr>
          <w:t>F</w:t>
        </w:r>
        <w:proofErr w:type="spellStart"/>
        <w:r w:rsidR="006F21EB" w:rsidRPr="004C2B00">
          <w:rPr>
            <w:rStyle w:val="Hyperlink"/>
            <w:rFonts w:ascii="Verdana" w:hAnsi="Verdana"/>
            <w:sz w:val="18"/>
            <w:szCs w:val="18"/>
            <w:lang w:val="en-GB"/>
          </w:rPr>
          <w:t>inance</w:t>
        </w:r>
        <w:proofErr w:type="spellEnd"/>
      </w:hyperlink>
    </w:p>
    <w:p w14:paraId="4A47C85C" w14:textId="77777777" w:rsidR="00C540C2" w:rsidRDefault="00000000" w:rsidP="00C540C2">
      <w:pPr>
        <w:rPr>
          <w:color w:val="000000"/>
        </w:rPr>
      </w:pPr>
      <w:hyperlink r:id="rId10" w:history="1">
        <w:r w:rsidR="00C540C2" w:rsidRPr="006F21EB">
          <w:rPr>
            <w:rStyle w:val="Hyperlink"/>
            <w:rFonts w:ascii="Verdana" w:hAnsi="Verdana"/>
            <w:sz w:val="18"/>
            <w:szCs w:val="18"/>
          </w:rPr>
          <w:t>CYSTAT-DB</w:t>
        </w:r>
      </w:hyperlink>
      <w:r w:rsidR="00C540C2">
        <w:rPr>
          <w:rFonts w:ascii="Verdana" w:hAnsi="Verdana"/>
          <w:color w:val="000000"/>
          <w:sz w:val="18"/>
          <w:szCs w:val="18"/>
        </w:rPr>
        <w:t xml:space="preserve"> (Online Database)</w:t>
      </w:r>
    </w:p>
    <w:p w14:paraId="3EDE5633" w14:textId="77777777" w:rsidR="006F21EB" w:rsidRPr="006F21EB" w:rsidRDefault="00000000" w:rsidP="006F21EB">
      <w:pPr>
        <w:jc w:val="both"/>
        <w:rPr>
          <w:rFonts w:ascii="Verdana" w:hAnsi="Verdana"/>
          <w:sz w:val="18"/>
          <w:szCs w:val="18"/>
        </w:rPr>
      </w:pPr>
      <w:hyperlink r:id="rId11" w:history="1">
        <w:r w:rsidR="006F21EB" w:rsidRPr="006F21EB">
          <w:rPr>
            <w:rStyle w:val="Hyperlink"/>
            <w:rFonts w:ascii="Verdana" w:hAnsi="Verdana"/>
            <w:sz w:val="18"/>
            <w:szCs w:val="18"/>
          </w:rPr>
          <w:t>Predefined Tables</w:t>
        </w:r>
      </w:hyperlink>
      <w:r w:rsidR="006F21EB" w:rsidRPr="006F21EB">
        <w:rPr>
          <w:rFonts w:ascii="Verdana" w:hAnsi="Verdana"/>
          <w:sz w:val="18"/>
          <w:szCs w:val="18"/>
        </w:rPr>
        <w:t xml:space="preserve"> (Excel)</w:t>
      </w:r>
    </w:p>
    <w:p w14:paraId="729DC821" w14:textId="7B2F8F2D" w:rsidR="006F21EB" w:rsidRDefault="00000000" w:rsidP="006F21EB">
      <w:pPr>
        <w:jc w:val="both"/>
        <w:rPr>
          <w:rStyle w:val="Hyperlink"/>
          <w:rFonts w:ascii="Verdana" w:hAnsi="Verdana"/>
          <w:sz w:val="18"/>
          <w:szCs w:val="18"/>
        </w:rPr>
      </w:pPr>
      <w:hyperlink r:id="rId12" w:history="1">
        <w:r w:rsidR="006F21EB" w:rsidRPr="005504B4">
          <w:rPr>
            <w:rStyle w:val="Hyperlink"/>
            <w:rFonts w:ascii="Verdana" w:hAnsi="Verdana"/>
            <w:sz w:val="18"/>
            <w:szCs w:val="18"/>
          </w:rPr>
          <w:t>Methodological Information</w:t>
        </w:r>
      </w:hyperlink>
    </w:p>
    <w:p w14:paraId="2A137F85" w14:textId="77777777" w:rsidR="00AE33C5" w:rsidRDefault="00AE33C5" w:rsidP="006F21EB">
      <w:pPr>
        <w:jc w:val="both"/>
        <w:rPr>
          <w:rStyle w:val="Hyperlink"/>
          <w:rFonts w:ascii="Verdana" w:hAnsi="Verdana"/>
          <w:sz w:val="18"/>
          <w:szCs w:val="18"/>
        </w:rPr>
      </w:pPr>
    </w:p>
    <w:p w14:paraId="490FC996" w14:textId="50D489E4" w:rsidR="00AE33C5" w:rsidRPr="00AE33C5" w:rsidRDefault="00AE33C5" w:rsidP="00D16895">
      <w:pPr>
        <w:jc w:val="both"/>
        <w:rPr>
          <w:rFonts w:ascii="Verdana" w:hAnsi="Verdana"/>
          <w:b/>
          <w:bCs/>
          <w:sz w:val="18"/>
          <w:szCs w:val="18"/>
        </w:rPr>
      </w:pPr>
      <w:r w:rsidRPr="00AE33C5">
        <w:rPr>
          <w:rFonts w:ascii="Verdana" w:hAnsi="Verdana"/>
          <w:b/>
          <w:bCs/>
          <w:sz w:val="18"/>
          <w:szCs w:val="18"/>
        </w:rPr>
        <w:t xml:space="preserve">The Predefined Tables, available in Excel format, include data </w:t>
      </w:r>
      <w:r w:rsidR="00D16895">
        <w:rPr>
          <w:rFonts w:ascii="Verdana" w:hAnsi="Verdana"/>
          <w:b/>
          <w:bCs/>
          <w:sz w:val="18"/>
          <w:szCs w:val="18"/>
        </w:rPr>
        <w:t>up to</w:t>
      </w:r>
      <w:r>
        <w:rPr>
          <w:rFonts w:ascii="Verdana" w:hAnsi="Verdana"/>
          <w:b/>
          <w:bCs/>
          <w:sz w:val="18"/>
          <w:szCs w:val="18"/>
        </w:rPr>
        <w:t xml:space="preserve"> </w:t>
      </w:r>
      <w:r w:rsidRPr="00AE33C5">
        <w:rPr>
          <w:rFonts w:ascii="Verdana" w:hAnsi="Verdana"/>
          <w:b/>
          <w:bCs/>
          <w:sz w:val="18"/>
          <w:szCs w:val="18"/>
        </w:rPr>
        <w:t>202</w:t>
      </w:r>
      <w:r w:rsidR="00880C1A">
        <w:rPr>
          <w:rFonts w:ascii="Verdana" w:hAnsi="Verdana"/>
          <w:b/>
          <w:bCs/>
          <w:sz w:val="18"/>
          <w:szCs w:val="18"/>
        </w:rPr>
        <w:t>2</w:t>
      </w:r>
      <w:r w:rsidRPr="00AE33C5">
        <w:rPr>
          <w:rFonts w:ascii="Verdana" w:hAnsi="Verdana"/>
          <w:b/>
          <w:bCs/>
          <w:sz w:val="18"/>
          <w:szCs w:val="18"/>
        </w:rPr>
        <w:t>.</w:t>
      </w:r>
    </w:p>
    <w:p w14:paraId="338F6844" w14:textId="0141FB58" w:rsidR="00AE33C5" w:rsidRPr="00AE33C5" w:rsidRDefault="00AE33C5" w:rsidP="00F55DB9">
      <w:pPr>
        <w:jc w:val="both"/>
        <w:rPr>
          <w:rFonts w:ascii="Verdana" w:hAnsi="Verdana"/>
          <w:b/>
          <w:bCs/>
          <w:sz w:val="18"/>
          <w:szCs w:val="18"/>
        </w:rPr>
      </w:pPr>
      <w:r w:rsidRPr="00AE33C5">
        <w:rPr>
          <w:rFonts w:ascii="Verdana" w:hAnsi="Verdana"/>
          <w:b/>
          <w:bCs/>
          <w:sz w:val="18"/>
          <w:szCs w:val="18"/>
        </w:rPr>
        <w:t>Data from 2023 onwards will be available only in the CYSTAT-DB Online</w:t>
      </w:r>
      <w:r w:rsidR="00F55DB9">
        <w:rPr>
          <w:rFonts w:ascii="Verdana" w:hAnsi="Verdana"/>
          <w:b/>
          <w:bCs/>
          <w:sz w:val="18"/>
          <w:szCs w:val="18"/>
        </w:rPr>
        <w:t xml:space="preserve"> </w:t>
      </w:r>
      <w:r w:rsidRPr="00AE33C5">
        <w:rPr>
          <w:rFonts w:ascii="Verdana" w:hAnsi="Verdana"/>
          <w:b/>
          <w:bCs/>
          <w:sz w:val="18"/>
          <w:szCs w:val="18"/>
        </w:rPr>
        <w:t>Database.</w:t>
      </w:r>
    </w:p>
    <w:p w14:paraId="1F9FB89F" w14:textId="77777777" w:rsidR="0095405B" w:rsidRDefault="0095405B" w:rsidP="00072754">
      <w:pPr>
        <w:jc w:val="both"/>
        <w:rPr>
          <w:rFonts w:ascii="Verdana" w:eastAsia="Malgun Gothic" w:hAnsi="Verdana" w:cs="Arial"/>
          <w:sz w:val="18"/>
          <w:szCs w:val="18"/>
        </w:rPr>
      </w:pPr>
    </w:p>
    <w:p w14:paraId="4D7A5CEA" w14:textId="77777777" w:rsidR="006F21EB" w:rsidRPr="00816D35" w:rsidRDefault="006F21EB" w:rsidP="006F21EB">
      <w:pPr>
        <w:jc w:val="both"/>
        <w:rPr>
          <w:rFonts w:ascii="Verdana" w:eastAsia="Malgun Gothic" w:hAnsi="Verdana" w:cs="Arial"/>
          <w:i/>
          <w:sz w:val="18"/>
          <w:szCs w:val="18"/>
        </w:rPr>
      </w:pPr>
      <w:r w:rsidRPr="00816D35">
        <w:rPr>
          <w:rFonts w:ascii="Verdana" w:eastAsia="Malgun Gothic" w:hAnsi="Verdana" w:cs="Arial"/>
          <w:i/>
          <w:sz w:val="18"/>
          <w:szCs w:val="18"/>
          <w:u w:val="single"/>
        </w:rPr>
        <w:t>Contact</w:t>
      </w:r>
      <w:r w:rsidRPr="00816D35">
        <w:rPr>
          <w:rFonts w:ascii="Verdana" w:eastAsia="Malgun Gothic" w:hAnsi="Verdana" w:cs="Arial"/>
          <w:i/>
          <w:sz w:val="18"/>
          <w:szCs w:val="18"/>
        </w:rPr>
        <w:t xml:space="preserve"> </w:t>
      </w:r>
    </w:p>
    <w:p w14:paraId="6A4B5CD7" w14:textId="6DD94527" w:rsidR="006F21EB" w:rsidRPr="00F55DB9" w:rsidRDefault="00267406" w:rsidP="006F21EB">
      <w:pPr>
        <w:rPr>
          <w:rFonts w:ascii="Verdana" w:eastAsia="Malgun Gothic" w:hAnsi="Verdana" w:cs="Arial"/>
          <w:sz w:val="18"/>
          <w:szCs w:val="18"/>
        </w:rPr>
      </w:pPr>
      <w:r w:rsidRPr="00F55DB9">
        <w:rPr>
          <w:rFonts w:ascii="Verdana" w:eastAsia="Malgun Gothic" w:hAnsi="Verdana" w:cs="Arial"/>
          <w:sz w:val="18"/>
          <w:szCs w:val="18"/>
        </w:rPr>
        <w:t xml:space="preserve">Christodoulou </w:t>
      </w:r>
      <w:proofErr w:type="spellStart"/>
      <w:r w:rsidRPr="00F55DB9">
        <w:rPr>
          <w:rFonts w:ascii="Verdana" w:eastAsia="Malgun Gothic" w:hAnsi="Verdana" w:cs="Arial"/>
          <w:sz w:val="18"/>
          <w:szCs w:val="18"/>
        </w:rPr>
        <w:t>Antigoni</w:t>
      </w:r>
      <w:proofErr w:type="spellEnd"/>
      <w:r w:rsidR="006F21EB" w:rsidRPr="00F55DB9">
        <w:rPr>
          <w:rFonts w:ascii="Verdana" w:eastAsia="Malgun Gothic" w:hAnsi="Verdana" w:cs="Arial"/>
          <w:sz w:val="18"/>
          <w:szCs w:val="18"/>
        </w:rPr>
        <w:t xml:space="preserve">: </w:t>
      </w:r>
      <w:r w:rsidR="006F21EB" w:rsidRPr="00980ECC">
        <w:rPr>
          <w:rFonts w:ascii="Verdana" w:eastAsia="Malgun Gothic" w:hAnsi="Verdana" w:cs="Arial"/>
          <w:sz w:val="18"/>
          <w:szCs w:val="18"/>
          <w:lang w:val="el-GR"/>
        </w:rPr>
        <w:t>Τ</w:t>
      </w:r>
      <w:proofErr w:type="spellStart"/>
      <w:r w:rsidR="006F21EB" w:rsidRPr="00F55DB9">
        <w:rPr>
          <w:rFonts w:ascii="Verdana" w:eastAsia="Malgun Gothic" w:hAnsi="Verdana" w:cs="Arial"/>
          <w:sz w:val="18"/>
          <w:szCs w:val="18"/>
        </w:rPr>
        <w:t>el</w:t>
      </w:r>
      <w:proofErr w:type="spellEnd"/>
      <w:r w:rsidR="006F21EB" w:rsidRPr="00F55DB9">
        <w:rPr>
          <w:rFonts w:ascii="Verdana" w:eastAsia="Malgun Gothic" w:hAnsi="Verdana" w:cs="Arial"/>
          <w:sz w:val="18"/>
          <w:szCs w:val="18"/>
        </w:rPr>
        <w:t>: +357226021</w:t>
      </w:r>
      <w:r w:rsidRPr="00F55DB9">
        <w:rPr>
          <w:rFonts w:ascii="Verdana" w:eastAsia="Malgun Gothic" w:hAnsi="Verdana" w:cs="Arial"/>
          <w:sz w:val="18"/>
          <w:szCs w:val="18"/>
        </w:rPr>
        <w:t>79</w:t>
      </w:r>
      <w:r w:rsidR="006F21EB" w:rsidRPr="00F55DB9">
        <w:rPr>
          <w:rFonts w:ascii="Verdana" w:eastAsia="Malgun Gothic" w:hAnsi="Verdana" w:cs="Arial"/>
          <w:sz w:val="18"/>
          <w:szCs w:val="18"/>
        </w:rPr>
        <w:t xml:space="preserve">, Email: </w:t>
      </w:r>
      <w:hyperlink r:id="rId13" w:history="1">
        <w:r w:rsidRPr="00F55DB9">
          <w:rPr>
            <w:rStyle w:val="Hyperlink"/>
            <w:rFonts w:ascii="Verdana" w:hAnsi="Verdana"/>
            <w:sz w:val="18"/>
            <w:szCs w:val="18"/>
          </w:rPr>
          <w:t>achristodoulou</w:t>
        </w:r>
        <w:r w:rsidRPr="00F55DB9">
          <w:rPr>
            <w:rStyle w:val="Hyperlink"/>
            <w:rFonts w:ascii="Verdana" w:eastAsia="Malgun Gothic" w:hAnsi="Verdana" w:cs="Arial"/>
            <w:sz w:val="18"/>
            <w:szCs w:val="18"/>
          </w:rPr>
          <w:t>@cystat.mof.gov.cy</w:t>
        </w:r>
      </w:hyperlink>
    </w:p>
    <w:p w14:paraId="68358A28" w14:textId="77777777" w:rsidR="006F21EB" w:rsidRPr="00F55DB9" w:rsidRDefault="006F21EB" w:rsidP="00072754">
      <w:pPr>
        <w:jc w:val="both"/>
        <w:rPr>
          <w:rFonts w:ascii="Verdana" w:eastAsia="Malgun Gothic" w:hAnsi="Verdana" w:cs="Arial"/>
          <w:sz w:val="18"/>
          <w:szCs w:val="18"/>
        </w:rPr>
      </w:pPr>
    </w:p>
    <w:p w14:paraId="69020981" w14:textId="77777777" w:rsidR="00C26329" w:rsidRPr="00F55DB9" w:rsidRDefault="00C26329" w:rsidP="00072754">
      <w:pPr>
        <w:jc w:val="both"/>
        <w:rPr>
          <w:rFonts w:ascii="Verdana" w:eastAsia="Malgun Gothic" w:hAnsi="Verdana" w:cs="Arial"/>
          <w:sz w:val="18"/>
          <w:szCs w:val="18"/>
        </w:rPr>
      </w:pPr>
    </w:p>
    <w:p w14:paraId="0E338610" w14:textId="77777777" w:rsidR="00C26329" w:rsidRPr="00F55DB9" w:rsidRDefault="00C26329" w:rsidP="00072754">
      <w:pPr>
        <w:jc w:val="both"/>
        <w:rPr>
          <w:rFonts w:ascii="Verdana" w:eastAsia="Malgun Gothic" w:hAnsi="Verdana" w:cs="Arial"/>
          <w:sz w:val="18"/>
          <w:szCs w:val="18"/>
        </w:rPr>
      </w:pPr>
    </w:p>
    <w:p w14:paraId="69AAD260" w14:textId="77777777" w:rsidR="00C26329" w:rsidRPr="00F55DB9" w:rsidRDefault="00C26329" w:rsidP="00072754">
      <w:pPr>
        <w:jc w:val="both"/>
        <w:rPr>
          <w:rFonts w:ascii="Verdana" w:eastAsia="Malgun Gothic" w:hAnsi="Verdana" w:cs="Arial"/>
          <w:sz w:val="18"/>
          <w:szCs w:val="18"/>
        </w:rPr>
      </w:pPr>
    </w:p>
    <w:p w14:paraId="5955A06A" w14:textId="77777777" w:rsidR="00C26329" w:rsidRPr="00F55DB9" w:rsidRDefault="00C26329" w:rsidP="00072754">
      <w:pPr>
        <w:jc w:val="both"/>
        <w:rPr>
          <w:rFonts w:ascii="Verdana" w:eastAsia="Malgun Gothic" w:hAnsi="Verdana" w:cs="Arial"/>
          <w:sz w:val="18"/>
          <w:szCs w:val="18"/>
        </w:rPr>
      </w:pPr>
    </w:p>
    <w:p w14:paraId="44F7DFCB" w14:textId="77777777" w:rsidR="00C26329" w:rsidRPr="00F55DB9" w:rsidRDefault="00C26329" w:rsidP="00072754">
      <w:pPr>
        <w:jc w:val="both"/>
        <w:rPr>
          <w:rFonts w:ascii="Verdana" w:eastAsia="Malgun Gothic" w:hAnsi="Verdana" w:cs="Arial"/>
          <w:sz w:val="18"/>
          <w:szCs w:val="18"/>
        </w:rPr>
      </w:pPr>
    </w:p>
    <w:sectPr w:rsidR="00C26329" w:rsidRPr="00F55DB9" w:rsidSect="003D664D">
      <w:headerReference w:type="default" r:id="rId14"/>
      <w:footerReference w:type="default" r:id="rId15"/>
      <w:headerReference w:type="first" r:id="rId16"/>
      <w:footerReference w:type="first" r:id="rId17"/>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0953A" w14:textId="77777777" w:rsidR="003D664D" w:rsidRDefault="003D664D" w:rsidP="00FB398F">
      <w:r>
        <w:separator/>
      </w:r>
    </w:p>
  </w:endnote>
  <w:endnote w:type="continuationSeparator" w:id="0">
    <w:p w14:paraId="20C31991" w14:textId="77777777" w:rsidR="003D664D" w:rsidRDefault="003D664D"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10A58" w14:textId="77777777" w:rsidR="004E4F42" w:rsidRPr="000A1A88" w:rsidRDefault="004E4F42" w:rsidP="00763722">
    <w:pPr>
      <w:pStyle w:val="Footer"/>
      <w:tabs>
        <w:tab w:val="left" w:pos="3375"/>
        <w:tab w:val="left" w:pos="4500"/>
        <w:tab w:val="center" w:pos="4723"/>
      </w:tabs>
    </w:pPr>
    <w:r>
      <w:tab/>
    </w:r>
    <w:r>
      <w:tab/>
    </w:r>
    <w:r>
      <w:tab/>
    </w:r>
    <w:r>
      <w:tab/>
      <w:t>-</w:t>
    </w:r>
    <w:r w:rsidR="00925378">
      <w:fldChar w:fldCharType="begin"/>
    </w:r>
    <w:r w:rsidR="004D4950">
      <w:instrText xml:space="preserve"> PAGE   \* MERGEFORMAT </w:instrText>
    </w:r>
    <w:r w:rsidR="00925378">
      <w:fldChar w:fldCharType="separate"/>
    </w:r>
    <w:r w:rsidR="00112241">
      <w:rPr>
        <w:noProof/>
      </w:rPr>
      <w:t>3</w:t>
    </w:r>
    <w:r w:rsidR="00925378">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31CDA4" w14:textId="77777777"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31AAE332" w14:textId="77777777" w:rsidR="0060256A" w:rsidRPr="00CC6F2F" w:rsidRDefault="00122143" w:rsidP="0060256A">
    <w:pPr>
      <w:pStyle w:val="Footer"/>
      <w:tabs>
        <w:tab w:val="left" w:pos="4500"/>
      </w:tabs>
      <w:jc w:val="center"/>
      <w:rPr>
        <w:rFonts w:ascii="Arial" w:hAnsi="Arial" w:cs="Arial"/>
        <w:i/>
        <w:iCs/>
        <w:sz w:val="16"/>
        <w:szCs w:val="16"/>
        <w:lang w:val="pt-PT"/>
      </w:rPr>
    </w:pPr>
    <w:r w:rsidRPr="00CC6F2F">
      <w:rPr>
        <w:rFonts w:ascii="Arial" w:hAnsi="Arial" w:cs="Arial"/>
        <w:i/>
        <w:iCs/>
        <w:sz w:val="16"/>
        <w:szCs w:val="16"/>
        <w:lang w:val="pt-PT"/>
      </w:rPr>
      <w:t xml:space="preserve">Tel.:  22 602129, </w:t>
    </w:r>
    <w:r w:rsidR="0060256A" w:rsidRPr="00CC6F2F">
      <w:rPr>
        <w:rFonts w:ascii="Arial" w:hAnsi="Arial" w:cs="Arial"/>
        <w:i/>
        <w:iCs/>
        <w:sz w:val="16"/>
        <w:szCs w:val="16"/>
        <w:lang w:val="pt-PT"/>
      </w:rPr>
      <w:t>Fax: 22 661313, E-mail:  enquiries@cystat.mof.gov.cy</w:t>
    </w:r>
  </w:p>
  <w:p w14:paraId="03DACE1C"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729A1" w14:textId="77777777" w:rsidR="003D664D" w:rsidRDefault="003D664D" w:rsidP="00FB398F">
      <w:r>
        <w:separator/>
      </w:r>
    </w:p>
  </w:footnote>
  <w:footnote w:type="continuationSeparator" w:id="0">
    <w:p w14:paraId="314CCAAC" w14:textId="77777777" w:rsidR="003D664D" w:rsidRDefault="003D664D"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DBE3"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AA3E9" w14:textId="571C681B"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6192" behindDoc="0" locked="0" layoutInCell="1" allowOverlap="1" wp14:anchorId="5D6B4C43" wp14:editId="78597CF4">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anchor>
      </w:drawing>
    </w:r>
    <w:r w:rsidR="008E16D2">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1C1B9BF2" wp14:editId="62439E4A">
              <wp:simplePos x="0" y="0"/>
              <wp:positionH relativeFrom="column">
                <wp:posOffset>4772660</wp:posOffset>
              </wp:positionH>
              <wp:positionV relativeFrom="paragraph">
                <wp:posOffset>-69215</wp:posOffset>
              </wp:positionV>
              <wp:extent cx="1288415" cy="1047750"/>
              <wp:effectExtent l="0" t="0" r="7620" b="0"/>
              <wp:wrapNone/>
              <wp:docPr id="197920964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1047750"/>
                      </a:xfrm>
                      <a:prstGeom prst="rect">
                        <a:avLst/>
                      </a:prstGeom>
                      <a:solidFill>
                        <a:srgbClr val="FFFFFF"/>
                      </a:solidFill>
                      <a:ln w="9525">
                        <a:solidFill>
                          <a:srgbClr val="FFFFFF"/>
                        </a:solidFill>
                        <a:miter lim="800000"/>
                        <a:headEnd/>
                        <a:tailEnd/>
                      </a:ln>
                    </wps:spPr>
                    <wps:txb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1B9BF2" id="_x0000_t202" coordsize="21600,21600" o:spt="202" path="m,l,21600r21600,l21600,xe">
              <v:stroke joinstyle="miter"/>
              <v:path gradientshapeok="t" o:connecttype="rect"/>
            </v:shapetype>
            <v:shape id="Text Box 3" o:spid="_x0000_s1026" type="#_x0000_t202" style="position:absolute;left:0;text-align:left;margin-left:375.8pt;margin-top:-5.45pt;width:101.45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" strokecolor="white">
              <v:textbox>
                <w:txbxContent>
                  <w:p w14:paraId="21FAB347" w14:textId="77777777" w:rsidR="004E4F42" w:rsidRDefault="00572BC2" w:rsidP="000932CF">
                    <w:r w:rsidRPr="009342E9">
                      <w:rPr>
                        <w:noProof/>
                      </w:rPr>
                      <w:drawing>
                        <wp:inline distT="0" distB="0" distL="0" distR="0" wp14:anchorId="06EC1E2A" wp14:editId="2B4DE86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sidR="008E16D2">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6A3A5DC4" wp14:editId="06F2578B">
              <wp:simplePos x="0" y="0"/>
              <wp:positionH relativeFrom="column">
                <wp:posOffset>3439160</wp:posOffset>
              </wp:positionH>
              <wp:positionV relativeFrom="paragraph">
                <wp:posOffset>-221615</wp:posOffset>
              </wp:positionV>
              <wp:extent cx="1469390" cy="1200150"/>
              <wp:effectExtent l="0" t="0" r="0" b="0"/>
              <wp:wrapNone/>
              <wp:docPr id="1804555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200150"/>
                      </a:xfrm>
                      <a:prstGeom prst="rect">
                        <a:avLst/>
                      </a:prstGeom>
                      <a:solidFill>
                        <a:srgbClr val="FFFFFF"/>
                      </a:solidFill>
                      <a:ln w="9525">
                        <a:solidFill>
                          <a:srgbClr val="FFFFFF"/>
                        </a:solidFill>
                        <a:miter lim="800000"/>
                        <a:headEnd/>
                        <a:tailEnd/>
                      </a:ln>
                    </wps:spPr>
                    <wps:txb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A5DC4" id="Text Box 2" o:spid="_x0000_s1027" type="#_x0000_t202" style="position:absolute;left:0;text-align:left;margin-left:270.8pt;margin-top:-17.45pt;width:115.7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" strokecolor="white">
              <v:textbox>
                <w:txbxContent>
                  <w:p w14:paraId="3EC07D77" w14:textId="77777777" w:rsidR="004E4F42" w:rsidRDefault="00572BC2" w:rsidP="000932CF">
                    <w:r w:rsidRPr="009342E9">
                      <w:rPr>
                        <w:noProof/>
                      </w:rPr>
                      <w:drawing>
                        <wp:inline distT="0" distB="0" distL="0" distR="0" wp14:anchorId="66D9ABA1" wp14:editId="479A3520">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712F1B5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37383EC2"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03CC58D8"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51790B11"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2BAA78A6" w14:textId="7B48AAF1" w:rsidR="00364377" w:rsidRPr="00AC704B" w:rsidRDefault="008E16D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C2C13A6" wp14:editId="08C150E2">
              <wp:simplePos x="0" y="0"/>
              <wp:positionH relativeFrom="column">
                <wp:posOffset>4102100</wp:posOffset>
              </wp:positionH>
              <wp:positionV relativeFrom="paragraph">
                <wp:posOffset>-140335</wp:posOffset>
              </wp:positionV>
              <wp:extent cx="1828800" cy="533400"/>
              <wp:effectExtent l="0" t="0" r="0" b="0"/>
              <wp:wrapNone/>
              <wp:docPr id="18916117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wps:spPr>
                    <wps:txbx>
                      <w:txbxContent>
                        <w:p w14:paraId="27F3583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D8B8FB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2E145A1C"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C13A6" id="Text Box 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7F35834"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3D8B8FB1"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2E145A1C"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45E33A3E" w14:textId="77777777"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393E305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645821869">
    <w:abstractNumId w:val="4"/>
  </w:num>
  <w:num w:numId="2" w16cid:durableId="360401115">
    <w:abstractNumId w:val="1"/>
  </w:num>
  <w:num w:numId="3" w16cid:durableId="1093472666">
    <w:abstractNumId w:val="2"/>
  </w:num>
  <w:num w:numId="4" w16cid:durableId="901906564">
    <w:abstractNumId w:val="3"/>
  </w:num>
  <w:num w:numId="5" w16cid:durableId="1350378088">
    <w:abstractNumId w:val="0"/>
  </w:num>
  <w:num w:numId="6" w16cid:durableId="481195976">
    <w:abstractNumId w:val="5"/>
  </w:num>
  <w:num w:numId="7" w16cid:durableId="14676258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065A"/>
    <w:rsid w:val="00013E40"/>
    <w:rsid w:val="00014426"/>
    <w:rsid w:val="000161B1"/>
    <w:rsid w:val="0002024D"/>
    <w:rsid w:val="00024990"/>
    <w:rsid w:val="00025A39"/>
    <w:rsid w:val="00027853"/>
    <w:rsid w:val="00030E18"/>
    <w:rsid w:val="00031D32"/>
    <w:rsid w:val="0003603D"/>
    <w:rsid w:val="00036FA9"/>
    <w:rsid w:val="00045088"/>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A786C"/>
    <w:rsid w:val="000B6F3B"/>
    <w:rsid w:val="000C4E72"/>
    <w:rsid w:val="000D1E7A"/>
    <w:rsid w:val="000E24B1"/>
    <w:rsid w:val="000E2735"/>
    <w:rsid w:val="000E32D6"/>
    <w:rsid w:val="000E57F2"/>
    <w:rsid w:val="000E72A7"/>
    <w:rsid w:val="000E72FC"/>
    <w:rsid w:val="000F1162"/>
    <w:rsid w:val="000F3467"/>
    <w:rsid w:val="000F38DE"/>
    <w:rsid w:val="000F5D6C"/>
    <w:rsid w:val="000F7308"/>
    <w:rsid w:val="00106852"/>
    <w:rsid w:val="00110F9D"/>
    <w:rsid w:val="00112241"/>
    <w:rsid w:val="00114A67"/>
    <w:rsid w:val="00122143"/>
    <w:rsid w:val="00123097"/>
    <w:rsid w:val="001253B6"/>
    <w:rsid w:val="00127320"/>
    <w:rsid w:val="00127456"/>
    <w:rsid w:val="001312D8"/>
    <w:rsid w:val="0013137B"/>
    <w:rsid w:val="0015118B"/>
    <w:rsid w:val="001519CE"/>
    <w:rsid w:val="00152950"/>
    <w:rsid w:val="00156D32"/>
    <w:rsid w:val="00161CF3"/>
    <w:rsid w:val="00162C00"/>
    <w:rsid w:val="001639EF"/>
    <w:rsid w:val="0016589F"/>
    <w:rsid w:val="00166FC4"/>
    <w:rsid w:val="00176558"/>
    <w:rsid w:val="0017756A"/>
    <w:rsid w:val="0017769A"/>
    <w:rsid w:val="00183DFC"/>
    <w:rsid w:val="00184384"/>
    <w:rsid w:val="00186717"/>
    <w:rsid w:val="00187FFC"/>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06F1B"/>
    <w:rsid w:val="00210B58"/>
    <w:rsid w:val="00222423"/>
    <w:rsid w:val="00225B28"/>
    <w:rsid w:val="002313AC"/>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67D0"/>
    <w:rsid w:val="00267406"/>
    <w:rsid w:val="00267554"/>
    <w:rsid w:val="0027122D"/>
    <w:rsid w:val="002717D8"/>
    <w:rsid w:val="0028338F"/>
    <w:rsid w:val="00285C24"/>
    <w:rsid w:val="002915C4"/>
    <w:rsid w:val="002A15BF"/>
    <w:rsid w:val="002A1D1C"/>
    <w:rsid w:val="002A4D64"/>
    <w:rsid w:val="002B6554"/>
    <w:rsid w:val="002B6D31"/>
    <w:rsid w:val="002D05F0"/>
    <w:rsid w:val="002D7D4A"/>
    <w:rsid w:val="002E1906"/>
    <w:rsid w:val="002E3846"/>
    <w:rsid w:val="002E3F78"/>
    <w:rsid w:val="002F400C"/>
    <w:rsid w:val="002F4D76"/>
    <w:rsid w:val="002F6D26"/>
    <w:rsid w:val="002F7438"/>
    <w:rsid w:val="0030231E"/>
    <w:rsid w:val="003042C4"/>
    <w:rsid w:val="00304CB4"/>
    <w:rsid w:val="00304E5B"/>
    <w:rsid w:val="00313F37"/>
    <w:rsid w:val="003141D0"/>
    <w:rsid w:val="003168C1"/>
    <w:rsid w:val="00322FBE"/>
    <w:rsid w:val="00325632"/>
    <w:rsid w:val="00327549"/>
    <w:rsid w:val="00332B95"/>
    <w:rsid w:val="003342A5"/>
    <w:rsid w:val="00334E18"/>
    <w:rsid w:val="00336C36"/>
    <w:rsid w:val="00340922"/>
    <w:rsid w:val="00342957"/>
    <w:rsid w:val="00343815"/>
    <w:rsid w:val="00347234"/>
    <w:rsid w:val="003522BB"/>
    <w:rsid w:val="00352F6C"/>
    <w:rsid w:val="00353625"/>
    <w:rsid w:val="003556EA"/>
    <w:rsid w:val="00364377"/>
    <w:rsid w:val="00377ABB"/>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570"/>
    <w:rsid w:val="003D664D"/>
    <w:rsid w:val="003D6822"/>
    <w:rsid w:val="003D724C"/>
    <w:rsid w:val="003E0CE2"/>
    <w:rsid w:val="003E1CEE"/>
    <w:rsid w:val="003F49E4"/>
    <w:rsid w:val="003F4D2F"/>
    <w:rsid w:val="003F5E32"/>
    <w:rsid w:val="003F75F6"/>
    <w:rsid w:val="004045C2"/>
    <w:rsid w:val="00404670"/>
    <w:rsid w:val="00414CA0"/>
    <w:rsid w:val="00422F54"/>
    <w:rsid w:val="00431516"/>
    <w:rsid w:val="004361B3"/>
    <w:rsid w:val="00437544"/>
    <w:rsid w:val="0044249D"/>
    <w:rsid w:val="0044379F"/>
    <w:rsid w:val="00446FB1"/>
    <w:rsid w:val="0046078F"/>
    <w:rsid w:val="00463214"/>
    <w:rsid w:val="0046434D"/>
    <w:rsid w:val="004656FA"/>
    <w:rsid w:val="00471D77"/>
    <w:rsid w:val="00475587"/>
    <w:rsid w:val="00480BC2"/>
    <w:rsid w:val="00482ED3"/>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0F83"/>
    <w:rsid w:val="00505503"/>
    <w:rsid w:val="00510388"/>
    <w:rsid w:val="0051107B"/>
    <w:rsid w:val="00512F9C"/>
    <w:rsid w:val="00527CDB"/>
    <w:rsid w:val="005317FB"/>
    <w:rsid w:val="005341C9"/>
    <w:rsid w:val="005369CA"/>
    <w:rsid w:val="00536DE9"/>
    <w:rsid w:val="00540668"/>
    <w:rsid w:val="00541E08"/>
    <w:rsid w:val="005504B4"/>
    <w:rsid w:val="0055789A"/>
    <w:rsid w:val="005652D1"/>
    <w:rsid w:val="005660A0"/>
    <w:rsid w:val="00566A4F"/>
    <w:rsid w:val="00567D64"/>
    <w:rsid w:val="00572BC2"/>
    <w:rsid w:val="00573BD9"/>
    <w:rsid w:val="005938ED"/>
    <w:rsid w:val="0059478C"/>
    <w:rsid w:val="0059604C"/>
    <w:rsid w:val="005978D4"/>
    <w:rsid w:val="005B2A67"/>
    <w:rsid w:val="005B3DCD"/>
    <w:rsid w:val="005B4AD4"/>
    <w:rsid w:val="005B5CC7"/>
    <w:rsid w:val="005B5DCC"/>
    <w:rsid w:val="005C2798"/>
    <w:rsid w:val="005C36C3"/>
    <w:rsid w:val="005C56EE"/>
    <w:rsid w:val="005C5D4B"/>
    <w:rsid w:val="005D1714"/>
    <w:rsid w:val="005D2D39"/>
    <w:rsid w:val="005D7638"/>
    <w:rsid w:val="005E0450"/>
    <w:rsid w:val="005F12F5"/>
    <w:rsid w:val="005F4B4F"/>
    <w:rsid w:val="005F7C7D"/>
    <w:rsid w:val="0060256A"/>
    <w:rsid w:val="006044B7"/>
    <w:rsid w:val="0060571D"/>
    <w:rsid w:val="006071CE"/>
    <w:rsid w:val="006075B5"/>
    <w:rsid w:val="0061018C"/>
    <w:rsid w:val="0061094E"/>
    <w:rsid w:val="00613440"/>
    <w:rsid w:val="00613BE3"/>
    <w:rsid w:val="00622395"/>
    <w:rsid w:val="0062327B"/>
    <w:rsid w:val="00632777"/>
    <w:rsid w:val="00633750"/>
    <w:rsid w:val="00634491"/>
    <w:rsid w:val="006355D0"/>
    <w:rsid w:val="0063679C"/>
    <w:rsid w:val="00637055"/>
    <w:rsid w:val="00641D59"/>
    <w:rsid w:val="00644302"/>
    <w:rsid w:val="00644507"/>
    <w:rsid w:val="00646543"/>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B46D5"/>
    <w:rsid w:val="006B46F4"/>
    <w:rsid w:val="006C7AF3"/>
    <w:rsid w:val="006D2CAE"/>
    <w:rsid w:val="006D543F"/>
    <w:rsid w:val="006D6548"/>
    <w:rsid w:val="006E0E20"/>
    <w:rsid w:val="006E4256"/>
    <w:rsid w:val="006E4BBA"/>
    <w:rsid w:val="006E5F43"/>
    <w:rsid w:val="006E60A6"/>
    <w:rsid w:val="006F0F69"/>
    <w:rsid w:val="006F116B"/>
    <w:rsid w:val="006F117F"/>
    <w:rsid w:val="006F13DF"/>
    <w:rsid w:val="006F1E66"/>
    <w:rsid w:val="006F21EB"/>
    <w:rsid w:val="006F4FC2"/>
    <w:rsid w:val="00702F26"/>
    <w:rsid w:val="0070313E"/>
    <w:rsid w:val="00703799"/>
    <w:rsid w:val="00705C5C"/>
    <w:rsid w:val="00711475"/>
    <w:rsid w:val="0072548A"/>
    <w:rsid w:val="007277A6"/>
    <w:rsid w:val="007437AB"/>
    <w:rsid w:val="007534F8"/>
    <w:rsid w:val="007545AD"/>
    <w:rsid w:val="00763722"/>
    <w:rsid w:val="00764BC1"/>
    <w:rsid w:val="00770869"/>
    <w:rsid w:val="007738AA"/>
    <w:rsid w:val="00773A72"/>
    <w:rsid w:val="00780A62"/>
    <w:rsid w:val="00783241"/>
    <w:rsid w:val="007838EC"/>
    <w:rsid w:val="00784BDC"/>
    <w:rsid w:val="00792F28"/>
    <w:rsid w:val="0079543F"/>
    <w:rsid w:val="00795880"/>
    <w:rsid w:val="007A4367"/>
    <w:rsid w:val="007B0867"/>
    <w:rsid w:val="007B1AC1"/>
    <w:rsid w:val="007B5A08"/>
    <w:rsid w:val="007B693D"/>
    <w:rsid w:val="007D0338"/>
    <w:rsid w:val="007E041B"/>
    <w:rsid w:val="007E199A"/>
    <w:rsid w:val="007E2415"/>
    <w:rsid w:val="007E39F3"/>
    <w:rsid w:val="007E68F4"/>
    <w:rsid w:val="007F31BA"/>
    <w:rsid w:val="007F4078"/>
    <w:rsid w:val="0080014B"/>
    <w:rsid w:val="00801793"/>
    <w:rsid w:val="00803642"/>
    <w:rsid w:val="00805BAE"/>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5CD8"/>
    <w:rsid w:val="00867186"/>
    <w:rsid w:val="00870AF6"/>
    <w:rsid w:val="00880C1A"/>
    <w:rsid w:val="00881268"/>
    <w:rsid w:val="0088394A"/>
    <w:rsid w:val="008860BD"/>
    <w:rsid w:val="00887399"/>
    <w:rsid w:val="0088779E"/>
    <w:rsid w:val="008912AF"/>
    <w:rsid w:val="00892114"/>
    <w:rsid w:val="00892CB9"/>
    <w:rsid w:val="008935CB"/>
    <w:rsid w:val="008B0E7E"/>
    <w:rsid w:val="008B5FF0"/>
    <w:rsid w:val="008B65BD"/>
    <w:rsid w:val="008B721B"/>
    <w:rsid w:val="008B7900"/>
    <w:rsid w:val="008C3DCF"/>
    <w:rsid w:val="008C71BF"/>
    <w:rsid w:val="008C7FE0"/>
    <w:rsid w:val="008D5717"/>
    <w:rsid w:val="008E16D2"/>
    <w:rsid w:val="008E44A9"/>
    <w:rsid w:val="008E6B4D"/>
    <w:rsid w:val="008E6BFF"/>
    <w:rsid w:val="008F21AF"/>
    <w:rsid w:val="008F2400"/>
    <w:rsid w:val="008F61BA"/>
    <w:rsid w:val="008F6E3C"/>
    <w:rsid w:val="008F7C55"/>
    <w:rsid w:val="0090338C"/>
    <w:rsid w:val="00914A23"/>
    <w:rsid w:val="009206B5"/>
    <w:rsid w:val="00925378"/>
    <w:rsid w:val="00930754"/>
    <w:rsid w:val="00931164"/>
    <w:rsid w:val="00934F68"/>
    <w:rsid w:val="009355AC"/>
    <w:rsid w:val="00935F38"/>
    <w:rsid w:val="00937586"/>
    <w:rsid w:val="00947889"/>
    <w:rsid w:val="0095405B"/>
    <w:rsid w:val="00960E98"/>
    <w:rsid w:val="00963A82"/>
    <w:rsid w:val="00972912"/>
    <w:rsid w:val="00972CA0"/>
    <w:rsid w:val="00976D1F"/>
    <w:rsid w:val="00981C81"/>
    <w:rsid w:val="00984145"/>
    <w:rsid w:val="009901DC"/>
    <w:rsid w:val="00992209"/>
    <w:rsid w:val="009A23D6"/>
    <w:rsid w:val="009A2D24"/>
    <w:rsid w:val="009A456C"/>
    <w:rsid w:val="009A4B24"/>
    <w:rsid w:val="009B00E0"/>
    <w:rsid w:val="009B292A"/>
    <w:rsid w:val="009B76D5"/>
    <w:rsid w:val="009C165D"/>
    <w:rsid w:val="009C201E"/>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13B2F"/>
    <w:rsid w:val="00A33875"/>
    <w:rsid w:val="00A360A1"/>
    <w:rsid w:val="00A402B3"/>
    <w:rsid w:val="00A522FD"/>
    <w:rsid w:val="00A544B7"/>
    <w:rsid w:val="00A618CF"/>
    <w:rsid w:val="00A62770"/>
    <w:rsid w:val="00A62EEB"/>
    <w:rsid w:val="00A660FF"/>
    <w:rsid w:val="00A6625A"/>
    <w:rsid w:val="00A66266"/>
    <w:rsid w:val="00A73395"/>
    <w:rsid w:val="00A82B4C"/>
    <w:rsid w:val="00A93A4C"/>
    <w:rsid w:val="00A93E4F"/>
    <w:rsid w:val="00A94D5D"/>
    <w:rsid w:val="00AA1D9B"/>
    <w:rsid w:val="00AA2543"/>
    <w:rsid w:val="00AA3804"/>
    <w:rsid w:val="00AA55C2"/>
    <w:rsid w:val="00AB0ACA"/>
    <w:rsid w:val="00AB1D41"/>
    <w:rsid w:val="00AC5E9A"/>
    <w:rsid w:val="00AC704B"/>
    <w:rsid w:val="00AD553E"/>
    <w:rsid w:val="00AD5848"/>
    <w:rsid w:val="00AE33C5"/>
    <w:rsid w:val="00AE5ADA"/>
    <w:rsid w:val="00AE67BD"/>
    <w:rsid w:val="00AF6145"/>
    <w:rsid w:val="00B01386"/>
    <w:rsid w:val="00B01BB5"/>
    <w:rsid w:val="00B04AF4"/>
    <w:rsid w:val="00B05214"/>
    <w:rsid w:val="00B0736F"/>
    <w:rsid w:val="00B12479"/>
    <w:rsid w:val="00B30D97"/>
    <w:rsid w:val="00B31738"/>
    <w:rsid w:val="00B3181A"/>
    <w:rsid w:val="00B35A7C"/>
    <w:rsid w:val="00B37758"/>
    <w:rsid w:val="00B450D1"/>
    <w:rsid w:val="00B529DB"/>
    <w:rsid w:val="00B53D47"/>
    <w:rsid w:val="00B54A25"/>
    <w:rsid w:val="00B618C3"/>
    <w:rsid w:val="00B63652"/>
    <w:rsid w:val="00B65098"/>
    <w:rsid w:val="00B668B0"/>
    <w:rsid w:val="00B70F5C"/>
    <w:rsid w:val="00B71873"/>
    <w:rsid w:val="00B75AE5"/>
    <w:rsid w:val="00B77F52"/>
    <w:rsid w:val="00B800C0"/>
    <w:rsid w:val="00B8132B"/>
    <w:rsid w:val="00B84C5A"/>
    <w:rsid w:val="00B858F5"/>
    <w:rsid w:val="00B85ADA"/>
    <w:rsid w:val="00B9134E"/>
    <w:rsid w:val="00B93668"/>
    <w:rsid w:val="00BA23AD"/>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0C2"/>
    <w:rsid w:val="00C54EF9"/>
    <w:rsid w:val="00C56BBF"/>
    <w:rsid w:val="00C572AA"/>
    <w:rsid w:val="00C57A9A"/>
    <w:rsid w:val="00C6016A"/>
    <w:rsid w:val="00C60B3F"/>
    <w:rsid w:val="00C623EB"/>
    <w:rsid w:val="00C6258A"/>
    <w:rsid w:val="00C64C6B"/>
    <w:rsid w:val="00C65138"/>
    <w:rsid w:val="00C66F2E"/>
    <w:rsid w:val="00C6785C"/>
    <w:rsid w:val="00C67992"/>
    <w:rsid w:val="00C70FD1"/>
    <w:rsid w:val="00C733AA"/>
    <w:rsid w:val="00C83027"/>
    <w:rsid w:val="00C84B8A"/>
    <w:rsid w:val="00C85E65"/>
    <w:rsid w:val="00C87CA1"/>
    <w:rsid w:val="00C911B4"/>
    <w:rsid w:val="00C91B3B"/>
    <w:rsid w:val="00C94262"/>
    <w:rsid w:val="00C976E1"/>
    <w:rsid w:val="00CA148E"/>
    <w:rsid w:val="00CA3A9A"/>
    <w:rsid w:val="00CB6BC1"/>
    <w:rsid w:val="00CB7021"/>
    <w:rsid w:val="00CC6F2F"/>
    <w:rsid w:val="00CD3294"/>
    <w:rsid w:val="00CD4524"/>
    <w:rsid w:val="00CD784D"/>
    <w:rsid w:val="00CF40F8"/>
    <w:rsid w:val="00D008DA"/>
    <w:rsid w:val="00D0416F"/>
    <w:rsid w:val="00D05851"/>
    <w:rsid w:val="00D07A31"/>
    <w:rsid w:val="00D10FED"/>
    <w:rsid w:val="00D11736"/>
    <w:rsid w:val="00D12EE8"/>
    <w:rsid w:val="00D15FF1"/>
    <w:rsid w:val="00D167F4"/>
    <w:rsid w:val="00D16895"/>
    <w:rsid w:val="00D2092A"/>
    <w:rsid w:val="00D2216D"/>
    <w:rsid w:val="00D31A6F"/>
    <w:rsid w:val="00D33293"/>
    <w:rsid w:val="00D353D1"/>
    <w:rsid w:val="00D367DB"/>
    <w:rsid w:val="00D36E05"/>
    <w:rsid w:val="00D44F27"/>
    <w:rsid w:val="00D45304"/>
    <w:rsid w:val="00D461C7"/>
    <w:rsid w:val="00D50424"/>
    <w:rsid w:val="00D57D3E"/>
    <w:rsid w:val="00D843F4"/>
    <w:rsid w:val="00D87950"/>
    <w:rsid w:val="00DB38E0"/>
    <w:rsid w:val="00DC23CF"/>
    <w:rsid w:val="00DC6562"/>
    <w:rsid w:val="00DE130D"/>
    <w:rsid w:val="00DE24CF"/>
    <w:rsid w:val="00DE407C"/>
    <w:rsid w:val="00DE7C7D"/>
    <w:rsid w:val="00DF2992"/>
    <w:rsid w:val="00DF2D0C"/>
    <w:rsid w:val="00E017A8"/>
    <w:rsid w:val="00E01B9D"/>
    <w:rsid w:val="00E04F5E"/>
    <w:rsid w:val="00E0522E"/>
    <w:rsid w:val="00E120F4"/>
    <w:rsid w:val="00E155F9"/>
    <w:rsid w:val="00E17172"/>
    <w:rsid w:val="00E3181C"/>
    <w:rsid w:val="00E3280A"/>
    <w:rsid w:val="00E32EC5"/>
    <w:rsid w:val="00E372AF"/>
    <w:rsid w:val="00E37D68"/>
    <w:rsid w:val="00E40EAE"/>
    <w:rsid w:val="00E436AC"/>
    <w:rsid w:val="00E44FF8"/>
    <w:rsid w:val="00E5066A"/>
    <w:rsid w:val="00E52CF9"/>
    <w:rsid w:val="00E63F34"/>
    <w:rsid w:val="00E6715A"/>
    <w:rsid w:val="00E72961"/>
    <w:rsid w:val="00E73698"/>
    <w:rsid w:val="00E75DC9"/>
    <w:rsid w:val="00E81610"/>
    <w:rsid w:val="00E84910"/>
    <w:rsid w:val="00E85B28"/>
    <w:rsid w:val="00E87FFA"/>
    <w:rsid w:val="00E91976"/>
    <w:rsid w:val="00E947A6"/>
    <w:rsid w:val="00E97FC7"/>
    <w:rsid w:val="00EA0690"/>
    <w:rsid w:val="00EA202C"/>
    <w:rsid w:val="00EA2FCF"/>
    <w:rsid w:val="00EA3065"/>
    <w:rsid w:val="00EA3956"/>
    <w:rsid w:val="00EA5571"/>
    <w:rsid w:val="00EC02A5"/>
    <w:rsid w:val="00EC176B"/>
    <w:rsid w:val="00EC33CD"/>
    <w:rsid w:val="00EC5BE5"/>
    <w:rsid w:val="00ED2650"/>
    <w:rsid w:val="00ED721A"/>
    <w:rsid w:val="00ED7B83"/>
    <w:rsid w:val="00EE393D"/>
    <w:rsid w:val="00EF01CF"/>
    <w:rsid w:val="00EF6A66"/>
    <w:rsid w:val="00EF7AF9"/>
    <w:rsid w:val="00F01495"/>
    <w:rsid w:val="00F01EE6"/>
    <w:rsid w:val="00F07E19"/>
    <w:rsid w:val="00F10138"/>
    <w:rsid w:val="00F10CBC"/>
    <w:rsid w:val="00F13F92"/>
    <w:rsid w:val="00F22ECA"/>
    <w:rsid w:val="00F240E8"/>
    <w:rsid w:val="00F244FA"/>
    <w:rsid w:val="00F3363A"/>
    <w:rsid w:val="00F366A2"/>
    <w:rsid w:val="00F44F43"/>
    <w:rsid w:val="00F450E1"/>
    <w:rsid w:val="00F50DF4"/>
    <w:rsid w:val="00F55DB9"/>
    <w:rsid w:val="00F57AFE"/>
    <w:rsid w:val="00F60B3D"/>
    <w:rsid w:val="00F6278E"/>
    <w:rsid w:val="00F63C41"/>
    <w:rsid w:val="00F63E96"/>
    <w:rsid w:val="00F701E3"/>
    <w:rsid w:val="00F71F8C"/>
    <w:rsid w:val="00F80362"/>
    <w:rsid w:val="00F8143B"/>
    <w:rsid w:val="00F86AD4"/>
    <w:rsid w:val="00F92EE4"/>
    <w:rsid w:val="00FA0113"/>
    <w:rsid w:val="00FA12B2"/>
    <w:rsid w:val="00FA7610"/>
    <w:rsid w:val="00FB02BD"/>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49B3730"/>
  <w15:docId w15:val="{CCBB624F-5B6A-44B9-A1EF-AB1D6596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rPr>
  </w:style>
  <w:style w:type="character" w:styleId="FollowedHyperlink">
    <w:name w:val="FollowedHyperlink"/>
    <w:uiPriority w:val="99"/>
    <w:semiHidden/>
    <w:unhideWhenUsed/>
    <w:rsid w:val="000B6F3B"/>
    <w:rPr>
      <w:color w:val="800080"/>
      <w:u w:val="single"/>
    </w:rPr>
  </w:style>
  <w:style w:type="character" w:customStyle="1" w:styleId="UnresolvedMention1">
    <w:name w:val="Unresolved Mention1"/>
    <w:basedOn w:val="DefaultParagraphFont"/>
    <w:uiPriority w:val="99"/>
    <w:semiHidden/>
    <w:unhideWhenUsed/>
    <w:rsid w:val="006F21EB"/>
    <w:rPr>
      <w:color w:val="605E5C"/>
      <w:shd w:val="clear" w:color="auto" w:fill="E1DFDD"/>
    </w:rPr>
  </w:style>
  <w:style w:type="character" w:styleId="UnresolvedMention">
    <w:name w:val="Unresolved Mention"/>
    <w:basedOn w:val="DefaultParagraphFont"/>
    <w:uiPriority w:val="99"/>
    <w:semiHidden/>
    <w:unhideWhenUsed/>
    <w:rsid w:val="00267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christodoul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21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Public%20Finance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id=48"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3.emf"/><Relationship Id="rId1" Type="http://schemas.openxmlformats.org/officeDocument/2006/relationships/image" Target="media/image2.png"/><Relationship Id="rId5" Type="http://schemas.openxmlformats.org/officeDocument/2006/relationships/image" Target="media/image40.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1C794-D63A-4CC3-A7D9-1127E7FA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864</Words>
  <Characters>4930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5783</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12</cp:revision>
  <cp:lastPrinted>2024-04-19T08:45:00Z</cp:lastPrinted>
  <dcterms:created xsi:type="dcterms:W3CDTF">2023-10-23T09:34:00Z</dcterms:created>
  <dcterms:modified xsi:type="dcterms:W3CDTF">2024-04-22T08:37:00Z</dcterms:modified>
</cp:coreProperties>
</file>