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A6731" w14:textId="77777777" w:rsidR="007437AB" w:rsidRPr="00815974" w:rsidRDefault="007437AB" w:rsidP="006F1E66">
      <w:pPr>
        <w:jc w:val="both"/>
        <w:rPr>
          <w:rFonts w:ascii="Verdana" w:hAnsi="Verdana" w:cs="Arial"/>
          <w:sz w:val="18"/>
          <w:szCs w:val="18"/>
        </w:rPr>
      </w:pPr>
    </w:p>
    <w:p w14:paraId="40D581BE" w14:textId="77777777" w:rsidR="004045C2" w:rsidRDefault="004045C2" w:rsidP="006F1E66">
      <w:pPr>
        <w:jc w:val="both"/>
        <w:rPr>
          <w:rFonts w:ascii="Verdana" w:hAnsi="Verdana" w:cs="Arial"/>
          <w:sz w:val="18"/>
          <w:szCs w:val="18"/>
          <w:lang w:val="el-GR"/>
        </w:rPr>
      </w:pPr>
    </w:p>
    <w:p w14:paraId="59DF1FAD" w14:textId="28A76086" w:rsidR="006F21EB" w:rsidRPr="006F21EB" w:rsidRDefault="009C201E" w:rsidP="00E32EC5">
      <w:pPr>
        <w:jc w:val="right"/>
        <w:rPr>
          <w:rFonts w:ascii="Verdana" w:hAnsi="Verdana" w:cs="Arial"/>
          <w:sz w:val="18"/>
          <w:szCs w:val="18"/>
        </w:rPr>
      </w:pPr>
      <w:r w:rsidRPr="00510388">
        <w:rPr>
          <w:rFonts w:ascii="Verdana" w:hAnsi="Verdana" w:cs="Arial"/>
          <w:sz w:val="18"/>
          <w:szCs w:val="18"/>
        </w:rPr>
        <w:t>22</w:t>
      </w:r>
      <w:r w:rsidR="006F21EB" w:rsidRPr="006F21EB">
        <w:rPr>
          <w:rFonts w:ascii="Verdana" w:hAnsi="Verdana" w:cs="Arial"/>
          <w:sz w:val="18"/>
          <w:szCs w:val="18"/>
        </w:rPr>
        <w:t xml:space="preserve"> </w:t>
      </w:r>
      <w:r w:rsidR="00815974">
        <w:rPr>
          <w:rFonts w:ascii="Verdana" w:hAnsi="Verdana" w:cs="Arial"/>
          <w:sz w:val="18"/>
          <w:szCs w:val="18"/>
        </w:rPr>
        <w:t>October</w:t>
      </w:r>
      <w:r w:rsidR="006F21EB" w:rsidRPr="006F21EB">
        <w:rPr>
          <w:rFonts w:ascii="Verdana" w:hAnsi="Verdana" w:cs="Arial"/>
          <w:sz w:val="18"/>
          <w:szCs w:val="18"/>
        </w:rPr>
        <w:t>, 202</w:t>
      </w:r>
      <w:r>
        <w:rPr>
          <w:rFonts w:ascii="Verdana" w:hAnsi="Verdana" w:cs="Arial"/>
          <w:sz w:val="18"/>
          <w:szCs w:val="18"/>
        </w:rPr>
        <w:t>4</w:t>
      </w:r>
    </w:p>
    <w:p w14:paraId="5FCF1EE4" w14:textId="77777777" w:rsidR="006F21EB" w:rsidRDefault="006F21EB" w:rsidP="006F21EB">
      <w:pPr>
        <w:jc w:val="both"/>
        <w:rPr>
          <w:rFonts w:ascii="Verdana" w:hAnsi="Verdana" w:cs="Arial"/>
          <w:sz w:val="18"/>
          <w:szCs w:val="18"/>
        </w:rPr>
      </w:pPr>
    </w:p>
    <w:p w14:paraId="27E0F203" w14:textId="77777777" w:rsidR="004045C2" w:rsidRDefault="004045C2" w:rsidP="006F21EB">
      <w:pPr>
        <w:jc w:val="both"/>
        <w:rPr>
          <w:rFonts w:ascii="Verdana" w:hAnsi="Verdana" w:cs="Arial"/>
          <w:sz w:val="18"/>
          <w:szCs w:val="18"/>
        </w:rPr>
      </w:pPr>
    </w:p>
    <w:p w14:paraId="7BB1271E" w14:textId="77777777" w:rsidR="004045C2" w:rsidRPr="006F21EB" w:rsidRDefault="004045C2" w:rsidP="006F21EB">
      <w:pPr>
        <w:jc w:val="both"/>
        <w:rPr>
          <w:rFonts w:ascii="Verdana" w:hAnsi="Verdana" w:cs="Arial"/>
          <w:sz w:val="18"/>
          <w:szCs w:val="18"/>
        </w:rPr>
      </w:pPr>
    </w:p>
    <w:p w14:paraId="5636956B"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070F1CE4" w14:textId="77777777" w:rsidR="006F21EB" w:rsidRDefault="006F21EB" w:rsidP="006F21EB">
      <w:pPr>
        <w:jc w:val="both"/>
        <w:rPr>
          <w:rFonts w:ascii="Verdana" w:hAnsi="Verdana" w:cs="Arial"/>
          <w:sz w:val="18"/>
          <w:szCs w:val="18"/>
        </w:rPr>
      </w:pPr>
    </w:p>
    <w:p w14:paraId="69D40355" w14:textId="77777777" w:rsidR="00A13B2F" w:rsidRPr="006F21EB" w:rsidRDefault="00A13B2F" w:rsidP="006F21EB">
      <w:pPr>
        <w:jc w:val="both"/>
        <w:rPr>
          <w:rFonts w:ascii="Verdana" w:hAnsi="Verdana" w:cs="Arial"/>
          <w:sz w:val="18"/>
          <w:szCs w:val="18"/>
        </w:rPr>
      </w:pPr>
    </w:p>
    <w:p w14:paraId="0590D00A" w14:textId="2CEE8CB2" w:rsidR="006F21EB" w:rsidRPr="009C201E" w:rsidRDefault="00D87950" w:rsidP="00D6003A">
      <w:pPr>
        <w:rPr>
          <w:rFonts w:ascii="Verdana" w:hAnsi="Verdana" w:cs="Arial"/>
          <w:u w:val="single"/>
        </w:rPr>
      </w:pPr>
      <w:r>
        <w:rPr>
          <w:rFonts w:ascii="Verdana" w:hAnsi="Verdana" w:cs="Arial"/>
          <w:u w:val="single"/>
        </w:rPr>
        <w:t xml:space="preserve">EXCESSIVE DEFICIT PROCEDURE AND ANNUAL </w:t>
      </w:r>
      <w:r w:rsidR="006F21EB" w:rsidRPr="00A13B2F">
        <w:rPr>
          <w:rFonts w:ascii="Verdana" w:hAnsi="Verdana" w:cs="Arial"/>
          <w:u w:val="single"/>
        </w:rPr>
        <w:t>ACCOUNTS OF GENERAL GOVERNMENT</w:t>
      </w:r>
      <w:r w:rsidR="00A13B2F">
        <w:rPr>
          <w:rFonts w:ascii="Verdana" w:hAnsi="Verdana" w:cs="Arial"/>
          <w:u w:val="single"/>
        </w:rPr>
        <w:t xml:space="preserve">: </w:t>
      </w:r>
      <w:r>
        <w:rPr>
          <w:rFonts w:ascii="Verdana" w:hAnsi="Verdana" w:cs="Arial"/>
          <w:b/>
          <w:bCs/>
          <w:u w:val="single"/>
        </w:rPr>
        <w:t>202</w:t>
      </w:r>
      <w:r w:rsidR="009C201E" w:rsidRPr="009C201E">
        <w:rPr>
          <w:rFonts w:ascii="Verdana" w:hAnsi="Verdana" w:cs="Arial"/>
          <w:b/>
          <w:bCs/>
          <w:u w:val="single"/>
        </w:rPr>
        <w:t>3</w:t>
      </w:r>
    </w:p>
    <w:p w14:paraId="1F89C249" w14:textId="77777777" w:rsidR="006F21EB" w:rsidRDefault="006F21EB" w:rsidP="00D87950">
      <w:pPr>
        <w:jc w:val="both"/>
        <w:rPr>
          <w:rFonts w:ascii="Verdana" w:hAnsi="Verdana" w:cs="Arial"/>
          <w:sz w:val="18"/>
          <w:szCs w:val="18"/>
        </w:rPr>
      </w:pPr>
    </w:p>
    <w:p w14:paraId="02EF3C45" w14:textId="77777777" w:rsidR="004045C2" w:rsidRDefault="004045C2" w:rsidP="00D87950">
      <w:pPr>
        <w:jc w:val="both"/>
        <w:rPr>
          <w:rFonts w:ascii="Verdana" w:hAnsi="Verdana" w:cs="Arial"/>
          <w:sz w:val="18"/>
          <w:szCs w:val="18"/>
        </w:rPr>
      </w:pPr>
    </w:p>
    <w:p w14:paraId="2EE7DD10" w14:textId="23D23155" w:rsidR="00A13B2F" w:rsidRPr="00510388" w:rsidRDefault="00D87950" w:rsidP="00A13B2F">
      <w:pPr>
        <w:jc w:val="center"/>
        <w:rPr>
          <w:rFonts w:ascii="Verdana" w:hAnsi="Verdana" w:cs="Arial"/>
          <w:b/>
          <w:bCs/>
        </w:rPr>
      </w:pPr>
      <w:r w:rsidRPr="00510388">
        <w:rPr>
          <w:rFonts w:ascii="Verdana" w:hAnsi="Verdana" w:cs="Arial"/>
          <w:b/>
          <w:bCs/>
        </w:rPr>
        <w:t>Surplus</w:t>
      </w:r>
      <w:r w:rsidR="00773A72" w:rsidRPr="00510388">
        <w:rPr>
          <w:rFonts w:ascii="Verdana" w:hAnsi="Verdana" w:cs="Arial"/>
          <w:b/>
          <w:bCs/>
        </w:rPr>
        <w:t xml:space="preserve"> €</w:t>
      </w:r>
      <w:r w:rsidR="00815974">
        <w:rPr>
          <w:rFonts w:ascii="Verdana" w:hAnsi="Verdana" w:cs="Arial"/>
          <w:b/>
          <w:bCs/>
        </w:rPr>
        <w:t>631</w:t>
      </w:r>
      <w:r w:rsidR="00773A72" w:rsidRPr="00510388">
        <w:rPr>
          <w:rFonts w:ascii="Verdana" w:hAnsi="Verdana" w:cs="Arial"/>
          <w:b/>
          <w:bCs/>
        </w:rPr>
        <w:t>,</w:t>
      </w:r>
      <w:r w:rsidR="00815974">
        <w:rPr>
          <w:rFonts w:ascii="Verdana" w:hAnsi="Verdana" w:cs="Arial"/>
          <w:b/>
          <w:bCs/>
        </w:rPr>
        <w:t>8</w:t>
      </w:r>
      <w:r w:rsidR="00773A72" w:rsidRPr="00510388">
        <w:rPr>
          <w:rFonts w:ascii="Verdana" w:hAnsi="Verdana" w:cs="Arial"/>
          <w:b/>
          <w:bCs/>
        </w:rPr>
        <w:t xml:space="preserve"> </w:t>
      </w:r>
      <w:proofErr w:type="spellStart"/>
      <w:r w:rsidR="00A13B2F" w:rsidRPr="00510388">
        <w:rPr>
          <w:rFonts w:ascii="Verdana" w:hAnsi="Verdana" w:cs="Arial"/>
          <w:b/>
          <w:bCs/>
        </w:rPr>
        <w:t>mn</w:t>
      </w:r>
      <w:proofErr w:type="spellEnd"/>
    </w:p>
    <w:p w14:paraId="101878EC" w14:textId="77777777" w:rsidR="006F21EB" w:rsidRPr="00510388" w:rsidRDefault="006F21EB" w:rsidP="006F21EB">
      <w:pPr>
        <w:jc w:val="both"/>
        <w:rPr>
          <w:rFonts w:ascii="Verdana" w:hAnsi="Verdana" w:cs="Arial"/>
          <w:sz w:val="18"/>
          <w:szCs w:val="18"/>
        </w:rPr>
      </w:pPr>
    </w:p>
    <w:p w14:paraId="04323F3B" w14:textId="25A61F94" w:rsidR="00D87950" w:rsidRPr="00510388" w:rsidRDefault="00D87950" w:rsidP="00D87950">
      <w:pPr>
        <w:rPr>
          <w:rFonts w:ascii="Verdana" w:hAnsi="Verdana" w:cs="Arial"/>
          <w:sz w:val="18"/>
          <w:szCs w:val="18"/>
        </w:rPr>
      </w:pPr>
      <w:r w:rsidRPr="00510388">
        <w:rPr>
          <w:rFonts w:ascii="Verdana" w:hAnsi="Verdana" w:cs="Arial"/>
          <w:sz w:val="18"/>
          <w:szCs w:val="18"/>
        </w:rPr>
        <w:t>The Statistical Service announces the fiscal results for 202</w:t>
      </w:r>
      <w:r w:rsidR="009C201E" w:rsidRPr="00510388">
        <w:rPr>
          <w:rFonts w:ascii="Verdana" w:hAnsi="Verdana" w:cs="Arial"/>
          <w:sz w:val="18"/>
          <w:szCs w:val="18"/>
        </w:rPr>
        <w:t>3</w:t>
      </w:r>
      <w:r w:rsidRPr="00510388">
        <w:rPr>
          <w:rFonts w:ascii="Verdana" w:hAnsi="Verdana" w:cs="Arial"/>
          <w:sz w:val="18"/>
          <w:szCs w:val="18"/>
        </w:rPr>
        <w:t>, which have been audited and verified within the Excessive Deficit Procedure framework of the European Commission.</w:t>
      </w:r>
    </w:p>
    <w:p w14:paraId="16B06273" w14:textId="77777777" w:rsidR="00D87950" w:rsidRPr="00510388" w:rsidRDefault="00D87950" w:rsidP="00D87950">
      <w:pPr>
        <w:rPr>
          <w:rFonts w:ascii="Verdana" w:hAnsi="Verdana" w:cs="Arial"/>
          <w:sz w:val="18"/>
          <w:szCs w:val="18"/>
        </w:rPr>
      </w:pPr>
    </w:p>
    <w:p w14:paraId="07BD891B" w14:textId="721342CA" w:rsidR="00D87950" w:rsidRPr="00D87950" w:rsidRDefault="00D87950" w:rsidP="00D87950">
      <w:pPr>
        <w:rPr>
          <w:rFonts w:ascii="Verdana" w:hAnsi="Verdana" w:cs="Arial"/>
          <w:sz w:val="18"/>
          <w:szCs w:val="18"/>
        </w:rPr>
      </w:pPr>
      <w:r w:rsidRPr="00510388">
        <w:rPr>
          <w:rFonts w:ascii="Verdana" w:hAnsi="Verdana" w:cs="Arial"/>
          <w:sz w:val="18"/>
          <w:szCs w:val="18"/>
        </w:rPr>
        <w:t>The results for 202</w:t>
      </w:r>
      <w:r w:rsidR="009C201E" w:rsidRPr="00510388">
        <w:rPr>
          <w:rFonts w:ascii="Verdana" w:hAnsi="Verdana" w:cs="Arial"/>
          <w:sz w:val="18"/>
          <w:szCs w:val="18"/>
        </w:rPr>
        <w:t>3</w:t>
      </w:r>
      <w:r w:rsidRPr="00510388">
        <w:rPr>
          <w:rFonts w:ascii="Verdana" w:hAnsi="Verdana" w:cs="Arial"/>
          <w:sz w:val="18"/>
          <w:szCs w:val="18"/>
        </w:rPr>
        <w:t xml:space="preserve"> indicate a fiscal surplus of €</w:t>
      </w:r>
      <w:r w:rsidR="00815974">
        <w:rPr>
          <w:rFonts w:ascii="Verdana" w:hAnsi="Verdana" w:cs="Arial"/>
          <w:sz w:val="18"/>
          <w:szCs w:val="18"/>
        </w:rPr>
        <w:t>631</w:t>
      </w:r>
      <w:r w:rsidRPr="00510388">
        <w:rPr>
          <w:rFonts w:ascii="Verdana" w:hAnsi="Verdana" w:cs="Arial"/>
          <w:sz w:val="18"/>
          <w:szCs w:val="18"/>
        </w:rPr>
        <w:t>,</w:t>
      </w:r>
      <w:r w:rsidR="00815974">
        <w:rPr>
          <w:rFonts w:ascii="Verdana" w:hAnsi="Verdana" w:cs="Arial"/>
          <w:sz w:val="18"/>
          <w:szCs w:val="18"/>
        </w:rPr>
        <w:t>8</w:t>
      </w:r>
      <w:r w:rsidRPr="00510388">
        <w:rPr>
          <w:rFonts w:ascii="Verdana" w:hAnsi="Verdana" w:cs="Arial"/>
          <w:sz w:val="18"/>
          <w:szCs w:val="18"/>
        </w:rPr>
        <w:t xml:space="preserve"> mn, which corresponds to </w:t>
      </w:r>
      <w:r w:rsidR="00815974">
        <w:rPr>
          <w:rFonts w:ascii="Verdana" w:hAnsi="Verdana" w:cs="Arial"/>
          <w:sz w:val="18"/>
          <w:szCs w:val="18"/>
        </w:rPr>
        <w:t>2</w:t>
      </w:r>
      <w:r w:rsidRPr="00510388">
        <w:rPr>
          <w:rFonts w:ascii="Verdana" w:hAnsi="Verdana" w:cs="Arial"/>
          <w:sz w:val="18"/>
          <w:szCs w:val="18"/>
        </w:rPr>
        <w:t>,</w:t>
      </w:r>
      <w:r w:rsidR="00815974">
        <w:rPr>
          <w:rFonts w:ascii="Verdana" w:hAnsi="Verdana" w:cs="Arial"/>
          <w:sz w:val="18"/>
          <w:szCs w:val="18"/>
        </w:rPr>
        <w:t>0</w:t>
      </w:r>
      <w:r w:rsidRPr="00510388">
        <w:rPr>
          <w:rFonts w:ascii="Verdana" w:hAnsi="Verdana" w:cs="Arial"/>
          <w:sz w:val="18"/>
          <w:szCs w:val="18"/>
        </w:rPr>
        <w:t>% of GDP and a fiscal debt of €23.</w:t>
      </w:r>
      <w:r w:rsidR="00510388" w:rsidRPr="00510388">
        <w:rPr>
          <w:rFonts w:ascii="Verdana" w:hAnsi="Verdana" w:cs="Arial"/>
          <w:sz w:val="18"/>
          <w:szCs w:val="18"/>
        </w:rPr>
        <w:t>0</w:t>
      </w:r>
      <w:r w:rsidR="00815974">
        <w:rPr>
          <w:rFonts w:ascii="Verdana" w:hAnsi="Verdana" w:cs="Arial"/>
          <w:sz w:val="18"/>
          <w:szCs w:val="18"/>
        </w:rPr>
        <w:t>75</w:t>
      </w:r>
      <w:r w:rsidRPr="00510388">
        <w:rPr>
          <w:rFonts w:ascii="Verdana" w:hAnsi="Verdana" w:cs="Arial"/>
          <w:sz w:val="18"/>
          <w:szCs w:val="18"/>
        </w:rPr>
        <w:t>,</w:t>
      </w:r>
      <w:r w:rsidR="00815974">
        <w:rPr>
          <w:rFonts w:ascii="Verdana" w:hAnsi="Verdana" w:cs="Arial"/>
          <w:sz w:val="18"/>
          <w:szCs w:val="18"/>
        </w:rPr>
        <w:t>9</w:t>
      </w:r>
      <w:r w:rsidRPr="00510388">
        <w:rPr>
          <w:rFonts w:ascii="Verdana" w:hAnsi="Verdana" w:cs="Arial"/>
          <w:sz w:val="18"/>
          <w:szCs w:val="18"/>
        </w:rPr>
        <w:t xml:space="preserve"> mn, which corresponds to </w:t>
      </w:r>
      <w:r w:rsidR="00510388" w:rsidRPr="00510388">
        <w:rPr>
          <w:rFonts w:ascii="Verdana" w:hAnsi="Verdana" w:cs="Arial"/>
          <w:sz w:val="18"/>
          <w:szCs w:val="18"/>
        </w:rPr>
        <w:t>7</w:t>
      </w:r>
      <w:r w:rsidR="00815974">
        <w:rPr>
          <w:rFonts w:ascii="Verdana" w:hAnsi="Verdana" w:cs="Arial"/>
          <w:sz w:val="18"/>
          <w:szCs w:val="18"/>
        </w:rPr>
        <w:t>3</w:t>
      </w:r>
      <w:r w:rsidRPr="00510388">
        <w:rPr>
          <w:rFonts w:ascii="Verdana" w:hAnsi="Verdana" w:cs="Arial"/>
          <w:sz w:val="18"/>
          <w:szCs w:val="18"/>
        </w:rPr>
        <w:t>,</w:t>
      </w:r>
      <w:r w:rsidR="00815974">
        <w:rPr>
          <w:rFonts w:ascii="Verdana" w:hAnsi="Verdana" w:cs="Arial"/>
          <w:sz w:val="18"/>
          <w:szCs w:val="18"/>
        </w:rPr>
        <w:t>6</w:t>
      </w:r>
      <w:r w:rsidRPr="00510388">
        <w:rPr>
          <w:rFonts w:ascii="Verdana" w:hAnsi="Verdana" w:cs="Arial"/>
          <w:sz w:val="18"/>
          <w:szCs w:val="18"/>
        </w:rPr>
        <w:t>% of GDP.</w:t>
      </w:r>
    </w:p>
    <w:p w14:paraId="5B43BE40" w14:textId="77777777" w:rsidR="006F21EB" w:rsidRDefault="006F21EB" w:rsidP="006F21EB">
      <w:pPr>
        <w:jc w:val="both"/>
        <w:rPr>
          <w:rFonts w:ascii="Verdana" w:hAnsi="Verdana" w:cs="Arial"/>
          <w:sz w:val="18"/>
          <w:szCs w:val="18"/>
        </w:rPr>
      </w:pPr>
    </w:p>
    <w:p w14:paraId="50E690B7" w14:textId="77777777" w:rsidR="004045C2" w:rsidRDefault="004045C2" w:rsidP="006F21EB">
      <w:pPr>
        <w:jc w:val="both"/>
        <w:rPr>
          <w:rFonts w:ascii="Verdana" w:hAnsi="Verdana" w:cs="Arial"/>
          <w:sz w:val="18"/>
          <w:szCs w:val="18"/>
        </w:rPr>
      </w:pPr>
    </w:p>
    <w:p w14:paraId="384A92CC" w14:textId="61DB9DFD" w:rsidR="004045C2" w:rsidRDefault="00815974" w:rsidP="004045C2">
      <w:pPr>
        <w:jc w:val="center"/>
        <w:rPr>
          <w:rFonts w:ascii="Verdana" w:hAnsi="Verdana" w:cs="Arial"/>
          <w:sz w:val="18"/>
          <w:szCs w:val="18"/>
        </w:rPr>
      </w:pPr>
      <w:r>
        <w:rPr>
          <w:rFonts w:ascii="Verdana" w:hAnsi="Verdana" w:cs="Arial"/>
          <w:noProof/>
          <w:sz w:val="18"/>
          <w:szCs w:val="18"/>
        </w:rPr>
        <w:drawing>
          <wp:inline distT="0" distB="0" distL="0" distR="0" wp14:anchorId="5995DC36" wp14:editId="5FC34930">
            <wp:extent cx="6102350" cy="4547870"/>
            <wp:effectExtent l="0" t="0" r="0" b="5080"/>
            <wp:docPr id="15722920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547870"/>
                    </a:xfrm>
                    <a:prstGeom prst="rect">
                      <a:avLst/>
                    </a:prstGeom>
                    <a:noFill/>
                  </pic:spPr>
                </pic:pic>
              </a:graphicData>
            </a:graphic>
          </wp:inline>
        </w:drawing>
      </w:r>
    </w:p>
    <w:p w14:paraId="1FEE7F8B" w14:textId="77777777" w:rsidR="006F21EB" w:rsidRDefault="006F21EB" w:rsidP="006F21EB">
      <w:pPr>
        <w:jc w:val="both"/>
        <w:rPr>
          <w:rFonts w:ascii="Verdana" w:hAnsi="Verdana" w:cs="Arial"/>
          <w:sz w:val="18"/>
          <w:szCs w:val="18"/>
        </w:rPr>
      </w:pPr>
    </w:p>
    <w:p w14:paraId="1B9FAC66" w14:textId="77777777" w:rsidR="00A13B2F" w:rsidRDefault="00A13B2F" w:rsidP="006F21EB">
      <w:pPr>
        <w:jc w:val="both"/>
        <w:rPr>
          <w:rFonts w:ascii="Verdana" w:hAnsi="Verdana" w:cs="Arial"/>
          <w:sz w:val="18"/>
          <w:szCs w:val="18"/>
        </w:rPr>
      </w:pPr>
    </w:p>
    <w:p w14:paraId="1D090EFF"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F9110E5" w14:textId="77777777" w:rsidR="00A13B2F" w:rsidRPr="006F21EB" w:rsidRDefault="00A13B2F" w:rsidP="006F21EB">
      <w:pPr>
        <w:jc w:val="both"/>
        <w:rPr>
          <w:rFonts w:ascii="Verdana" w:hAnsi="Verdana" w:cs="Arial"/>
          <w:sz w:val="18"/>
          <w:szCs w:val="18"/>
        </w:rPr>
      </w:pPr>
    </w:p>
    <w:p w14:paraId="7B420D3C" w14:textId="22E5CBC9" w:rsidR="009206B5" w:rsidRPr="00510388" w:rsidRDefault="00D87950" w:rsidP="009206B5">
      <w:pPr>
        <w:jc w:val="both"/>
        <w:rPr>
          <w:rFonts w:ascii="Verdana" w:hAnsi="Verdana" w:cs="Arial"/>
          <w:sz w:val="18"/>
          <w:szCs w:val="18"/>
        </w:rPr>
      </w:pPr>
      <w:r w:rsidRPr="00510388">
        <w:rPr>
          <w:rFonts w:ascii="Verdana" w:hAnsi="Verdana" w:cs="Arial"/>
          <w:sz w:val="18"/>
          <w:szCs w:val="18"/>
        </w:rPr>
        <w:t>In 202</w:t>
      </w:r>
      <w:r w:rsidR="009C201E" w:rsidRPr="00510388">
        <w:rPr>
          <w:rFonts w:ascii="Verdana" w:hAnsi="Verdana" w:cs="Arial"/>
          <w:sz w:val="18"/>
          <w:szCs w:val="18"/>
        </w:rPr>
        <w:t>3</w:t>
      </w:r>
      <w:r w:rsidR="009206B5" w:rsidRPr="00510388">
        <w:rPr>
          <w:rFonts w:ascii="Verdana" w:hAnsi="Verdana" w:cs="Arial"/>
          <w:sz w:val="18"/>
          <w:szCs w:val="18"/>
        </w:rPr>
        <w:t>, total revenue increased by €</w:t>
      </w:r>
      <w:r w:rsidRPr="00510388">
        <w:rPr>
          <w:rFonts w:ascii="Verdana" w:hAnsi="Verdana" w:cs="Arial"/>
          <w:sz w:val="18"/>
          <w:szCs w:val="18"/>
        </w:rPr>
        <w:t>1.</w:t>
      </w:r>
      <w:r w:rsidR="00815974">
        <w:rPr>
          <w:rFonts w:ascii="Verdana" w:hAnsi="Verdana" w:cs="Arial"/>
          <w:sz w:val="18"/>
          <w:szCs w:val="18"/>
        </w:rPr>
        <w:t>824</w:t>
      </w:r>
      <w:r w:rsidR="009206B5" w:rsidRPr="00510388">
        <w:rPr>
          <w:rFonts w:ascii="Verdana" w:hAnsi="Verdana" w:cs="Arial"/>
          <w:sz w:val="18"/>
          <w:szCs w:val="18"/>
        </w:rPr>
        <w:t>,</w:t>
      </w:r>
      <w:r w:rsidR="00815974">
        <w:rPr>
          <w:rFonts w:ascii="Verdana" w:hAnsi="Verdana" w:cs="Arial"/>
          <w:sz w:val="18"/>
          <w:szCs w:val="18"/>
        </w:rPr>
        <w:t>1</w:t>
      </w:r>
      <w:r w:rsidR="009206B5" w:rsidRPr="00510388">
        <w:rPr>
          <w:rFonts w:ascii="Verdana" w:hAnsi="Verdana" w:cs="Arial"/>
          <w:sz w:val="18"/>
          <w:szCs w:val="18"/>
        </w:rPr>
        <w:t xml:space="preserve"> </w:t>
      </w:r>
      <w:proofErr w:type="spellStart"/>
      <w:r w:rsidR="009206B5" w:rsidRPr="00510388">
        <w:rPr>
          <w:rFonts w:ascii="Verdana" w:hAnsi="Verdana" w:cs="Arial"/>
          <w:sz w:val="18"/>
          <w:szCs w:val="18"/>
        </w:rPr>
        <w:t>mn</w:t>
      </w:r>
      <w:proofErr w:type="spellEnd"/>
      <w:r w:rsidR="009206B5" w:rsidRPr="00510388">
        <w:rPr>
          <w:rFonts w:ascii="Verdana" w:hAnsi="Verdana" w:cs="Arial"/>
          <w:sz w:val="18"/>
          <w:szCs w:val="18"/>
        </w:rPr>
        <w:t xml:space="preserve"> (+</w:t>
      </w:r>
      <w:r w:rsidR="00B77F52" w:rsidRPr="00510388">
        <w:rPr>
          <w:rFonts w:ascii="Verdana" w:hAnsi="Verdana" w:cs="Arial"/>
          <w:sz w:val="18"/>
          <w:szCs w:val="18"/>
        </w:rPr>
        <w:t>1</w:t>
      </w:r>
      <w:r w:rsidR="00815974">
        <w:rPr>
          <w:rFonts w:ascii="Verdana" w:hAnsi="Verdana" w:cs="Arial"/>
          <w:sz w:val="18"/>
          <w:szCs w:val="18"/>
        </w:rPr>
        <w:t>5</w:t>
      </w:r>
      <w:r w:rsidR="00B77F52" w:rsidRPr="00510388">
        <w:rPr>
          <w:rFonts w:ascii="Verdana" w:hAnsi="Verdana" w:cs="Arial"/>
          <w:sz w:val="18"/>
          <w:szCs w:val="18"/>
        </w:rPr>
        <w:t>,</w:t>
      </w:r>
      <w:r w:rsidR="00815974">
        <w:rPr>
          <w:rFonts w:ascii="Verdana" w:hAnsi="Verdana" w:cs="Arial"/>
          <w:sz w:val="18"/>
          <w:szCs w:val="18"/>
        </w:rPr>
        <w:t>3</w:t>
      </w:r>
      <w:r w:rsidR="009206B5" w:rsidRPr="00510388">
        <w:rPr>
          <w:rFonts w:ascii="Verdana" w:hAnsi="Verdana" w:cs="Arial"/>
          <w:sz w:val="18"/>
          <w:szCs w:val="18"/>
        </w:rPr>
        <w:t>%) and amounted to €</w:t>
      </w:r>
      <w:r w:rsidRPr="00510388">
        <w:rPr>
          <w:rFonts w:ascii="Verdana" w:hAnsi="Verdana" w:cs="Arial"/>
          <w:sz w:val="18"/>
          <w:szCs w:val="18"/>
        </w:rPr>
        <w:t>1</w:t>
      </w:r>
      <w:r w:rsidR="00815974">
        <w:rPr>
          <w:rFonts w:ascii="Verdana" w:hAnsi="Verdana" w:cs="Arial"/>
          <w:sz w:val="18"/>
          <w:szCs w:val="18"/>
        </w:rPr>
        <w:t>3</w:t>
      </w:r>
      <w:r w:rsidR="009206B5" w:rsidRPr="00510388">
        <w:rPr>
          <w:rFonts w:ascii="Verdana" w:hAnsi="Verdana" w:cs="Arial"/>
          <w:sz w:val="18"/>
          <w:szCs w:val="18"/>
        </w:rPr>
        <w:t>.</w:t>
      </w:r>
      <w:r w:rsidR="00815974">
        <w:rPr>
          <w:rFonts w:ascii="Verdana" w:hAnsi="Verdana" w:cs="Arial"/>
          <w:sz w:val="18"/>
          <w:szCs w:val="18"/>
        </w:rPr>
        <w:t>761</w:t>
      </w:r>
      <w:r w:rsidR="009206B5" w:rsidRPr="00510388">
        <w:rPr>
          <w:rFonts w:ascii="Verdana" w:hAnsi="Verdana" w:cs="Arial"/>
          <w:sz w:val="18"/>
          <w:szCs w:val="18"/>
        </w:rPr>
        <w:t>,</w:t>
      </w:r>
      <w:r w:rsidR="00510388" w:rsidRPr="00510388">
        <w:rPr>
          <w:rFonts w:ascii="Verdana" w:hAnsi="Verdana" w:cs="Arial"/>
          <w:sz w:val="18"/>
          <w:szCs w:val="18"/>
        </w:rPr>
        <w:t>8</w:t>
      </w:r>
      <w:r w:rsidR="009206B5" w:rsidRPr="00510388">
        <w:rPr>
          <w:rFonts w:ascii="Verdana" w:hAnsi="Verdana" w:cs="Arial"/>
          <w:sz w:val="18"/>
          <w:szCs w:val="18"/>
        </w:rPr>
        <w:t xml:space="preserve"> </w:t>
      </w:r>
      <w:proofErr w:type="spellStart"/>
      <w:r w:rsidR="009206B5" w:rsidRPr="00510388">
        <w:rPr>
          <w:rFonts w:ascii="Verdana" w:hAnsi="Verdana" w:cs="Arial"/>
          <w:sz w:val="18"/>
          <w:szCs w:val="18"/>
        </w:rPr>
        <w:t>mn</w:t>
      </w:r>
      <w:proofErr w:type="spellEnd"/>
      <w:r w:rsidR="009206B5" w:rsidRPr="00510388">
        <w:rPr>
          <w:rFonts w:ascii="Verdana" w:hAnsi="Verdana" w:cs="Arial"/>
          <w:sz w:val="18"/>
          <w:szCs w:val="18"/>
        </w:rPr>
        <w:t>, compared to €</w:t>
      </w:r>
      <w:r w:rsidR="00510388" w:rsidRPr="00510388">
        <w:rPr>
          <w:rFonts w:ascii="Verdana" w:hAnsi="Verdana" w:cs="Arial"/>
          <w:sz w:val="18"/>
          <w:szCs w:val="18"/>
        </w:rPr>
        <w:t>11</w:t>
      </w:r>
      <w:r w:rsidR="009206B5" w:rsidRPr="00510388">
        <w:rPr>
          <w:rFonts w:ascii="Verdana" w:hAnsi="Verdana" w:cs="Arial"/>
          <w:sz w:val="18"/>
          <w:szCs w:val="18"/>
        </w:rPr>
        <w:t>.</w:t>
      </w:r>
      <w:r w:rsidR="00815974">
        <w:rPr>
          <w:rFonts w:ascii="Verdana" w:hAnsi="Verdana" w:cs="Arial"/>
          <w:sz w:val="18"/>
          <w:szCs w:val="18"/>
        </w:rPr>
        <w:t>9</w:t>
      </w:r>
      <w:r w:rsidR="00510388" w:rsidRPr="00510388">
        <w:rPr>
          <w:rFonts w:ascii="Verdana" w:hAnsi="Verdana" w:cs="Arial"/>
          <w:sz w:val="18"/>
          <w:szCs w:val="18"/>
        </w:rPr>
        <w:t>3</w:t>
      </w:r>
      <w:r w:rsidR="00815974">
        <w:rPr>
          <w:rFonts w:ascii="Verdana" w:hAnsi="Verdana" w:cs="Arial"/>
          <w:sz w:val="18"/>
          <w:szCs w:val="18"/>
        </w:rPr>
        <w:t>7</w:t>
      </w:r>
      <w:r w:rsidR="009206B5" w:rsidRPr="00510388">
        <w:rPr>
          <w:rFonts w:ascii="Verdana" w:hAnsi="Verdana" w:cs="Arial"/>
          <w:sz w:val="18"/>
          <w:szCs w:val="18"/>
        </w:rPr>
        <w:t>,</w:t>
      </w:r>
      <w:r w:rsidR="00815974">
        <w:rPr>
          <w:rFonts w:ascii="Verdana" w:hAnsi="Verdana" w:cs="Arial"/>
          <w:sz w:val="18"/>
          <w:szCs w:val="18"/>
        </w:rPr>
        <w:t>7</w:t>
      </w:r>
      <w:r w:rsidR="009206B5" w:rsidRPr="00510388">
        <w:rPr>
          <w:rFonts w:ascii="Verdana" w:hAnsi="Verdana" w:cs="Arial"/>
          <w:sz w:val="18"/>
          <w:szCs w:val="18"/>
        </w:rPr>
        <w:t xml:space="preserve"> </w:t>
      </w:r>
      <w:proofErr w:type="spellStart"/>
      <w:r w:rsidR="009206B5" w:rsidRPr="00510388">
        <w:rPr>
          <w:rFonts w:ascii="Verdana" w:hAnsi="Verdana" w:cs="Arial"/>
          <w:sz w:val="18"/>
          <w:szCs w:val="18"/>
        </w:rPr>
        <w:t>mn</w:t>
      </w:r>
      <w:proofErr w:type="spellEnd"/>
      <w:r w:rsidR="009206B5" w:rsidRPr="00510388">
        <w:rPr>
          <w:rFonts w:ascii="Verdana" w:hAnsi="Verdana" w:cs="Arial"/>
          <w:sz w:val="18"/>
          <w:szCs w:val="18"/>
        </w:rPr>
        <w:t xml:space="preserve"> in 202</w:t>
      </w:r>
      <w:r w:rsidR="009C201E" w:rsidRPr="00510388">
        <w:rPr>
          <w:rFonts w:ascii="Verdana" w:hAnsi="Verdana" w:cs="Arial"/>
          <w:sz w:val="18"/>
          <w:szCs w:val="18"/>
        </w:rPr>
        <w:t>2</w:t>
      </w:r>
      <w:r w:rsidR="009206B5" w:rsidRPr="00510388">
        <w:rPr>
          <w:rFonts w:ascii="Verdana" w:hAnsi="Verdana" w:cs="Arial"/>
          <w:sz w:val="18"/>
          <w:szCs w:val="18"/>
        </w:rPr>
        <w:t>.</w:t>
      </w:r>
    </w:p>
    <w:p w14:paraId="3002B44E" w14:textId="77777777" w:rsidR="009206B5" w:rsidRPr="00510388" w:rsidRDefault="009206B5" w:rsidP="009206B5">
      <w:pPr>
        <w:jc w:val="both"/>
        <w:rPr>
          <w:rFonts w:ascii="Verdana" w:hAnsi="Verdana" w:cs="Arial"/>
          <w:sz w:val="18"/>
          <w:szCs w:val="18"/>
        </w:rPr>
      </w:pPr>
    </w:p>
    <w:p w14:paraId="31BDF158" w14:textId="25682EF9" w:rsidR="004045C2" w:rsidRPr="00510388" w:rsidRDefault="009206B5" w:rsidP="00510388">
      <w:pPr>
        <w:jc w:val="both"/>
        <w:rPr>
          <w:rFonts w:ascii="Arial" w:hAnsi="Arial" w:cs="Arial"/>
          <w:sz w:val="20"/>
          <w:szCs w:val="20"/>
        </w:rPr>
      </w:pPr>
      <w:r w:rsidRPr="00510388">
        <w:rPr>
          <w:rFonts w:ascii="Verdana" w:hAnsi="Verdana" w:cs="Arial"/>
          <w:sz w:val="18"/>
          <w:szCs w:val="18"/>
        </w:rPr>
        <w:t>In detail, taxes on production and imports increased by €</w:t>
      </w:r>
      <w:r w:rsidR="00510388" w:rsidRPr="00510388">
        <w:rPr>
          <w:rFonts w:ascii="Verdana" w:hAnsi="Verdana" w:cs="Arial"/>
          <w:sz w:val="18"/>
          <w:szCs w:val="18"/>
        </w:rPr>
        <w:t>40</w:t>
      </w:r>
      <w:r w:rsidR="00815974">
        <w:rPr>
          <w:rFonts w:ascii="Verdana" w:hAnsi="Verdana" w:cs="Arial"/>
          <w:sz w:val="18"/>
          <w:szCs w:val="18"/>
        </w:rPr>
        <w:t>8</w:t>
      </w:r>
      <w:r w:rsidRPr="00510388">
        <w:rPr>
          <w:rFonts w:ascii="Verdana" w:hAnsi="Verdana" w:cs="Arial"/>
          <w:sz w:val="18"/>
          <w:szCs w:val="18"/>
        </w:rPr>
        <w:t>,</w:t>
      </w:r>
      <w:r w:rsidR="00815974">
        <w:rPr>
          <w:rFonts w:ascii="Verdana" w:hAnsi="Verdana" w:cs="Arial"/>
          <w:sz w:val="18"/>
          <w:szCs w:val="18"/>
        </w:rPr>
        <w:t>3</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w:t>
      </w:r>
      <w:r w:rsidR="00865CD8" w:rsidRPr="00510388">
        <w:rPr>
          <w:rFonts w:ascii="Verdana" w:hAnsi="Verdana" w:cs="Arial"/>
          <w:sz w:val="18"/>
          <w:szCs w:val="18"/>
        </w:rPr>
        <w:t>1</w:t>
      </w:r>
      <w:r w:rsidR="00510388" w:rsidRPr="00510388">
        <w:rPr>
          <w:rFonts w:ascii="Verdana" w:hAnsi="Verdana" w:cs="Arial"/>
          <w:sz w:val="18"/>
          <w:szCs w:val="18"/>
        </w:rPr>
        <w:t>0</w:t>
      </w:r>
      <w:r w:rsidRPr="00510388">
        <w:rPr>
          <w:rFonts w:ascii="Verdana" w:hAnsi="Verdana" w:cs="Arial"/>
          <w:sz w:val="18"/>
          <w:szCs w:val="18"/>
        </w:rPr>
        <w:t>,</w:t>
      </w:r>
      <w:r w:rsidR="00815974">
        <w:rPr>
          <w:rFonts w:ascii="Verdana" w:hAnsi="Verdana" w:cs="Arial"/>
          <w:sz w:val="18"/>
          <w:szCs w:val="18"/>
        </w:rPr>
        <w:t>1</w:t>
      </w:r>
      <w:r w:rsidRPr="00510388">
        <w:rPr>
          <w:rFonts w:ascii="Verdana" w:hAnsi="Verdana" w:cs="Arial"/>
          <w:sz w:val="18"/>
          <w:szCs w:val="18"/>
        </w:rPr>
        <w:t>%) and amounted to</w:t>
      </w:r>
      <w:r w:rsidR="00644302" w:rsidRPr="00510388">
        <w:rPr>
          <w:rFonts w:ascii="Verdana" w:hAnsi="Verdana" w:cs="Arial"/>
          <w:sz w:val="18"/>
          <w:szCs w:val="18"/>
        </w:rPr>
        <w:t xml:space="preserve">       </w:t>
      </w:r>
      <w:r w:rsidRPr="00510388">
        <w:rPr>
          <w:rFonts w:ascii="Verdana" w:hAnsi="Verdana" w:cs="Arial"/>
          <w:sz w:val="18"/>
          <w:szCs w:val="18"/>
        </w:rPr>
        <w:t>€</w:t>
      </w:r>
      <w:r w:rsidR="00D87950" w:rsidRPr="00510388">
        <w:rPr>
          <w:rFonts w:ascii="Verdana" w:hAnsi="Verdana" w:cs="Arial"/>
          <w:sz w:val="18"/>
          <w:szCs w:val="18"/>
        </w:rPr>
        <w:t>4.</w:t>
      </w:r>
      <w:r w:rsidR="00510388" w:rsidRPr="00510388">
        <w:rPr>
          <w:rFonts w:ascii="Verdana" w:hAnsi="Verdana" w:cs="Arial"/>
          <w:sz w:val="18"/>
          <w:szCs w:val="18"/>
        </w:rPr>
        <w:t>4</w:t>
      </w:r>
      <w:r w:rsidR="00815974">
        <w:rPr>
          <w:rFonts w:ascii="Verdana" w:hAnsi="Verdana" w:cs="Arial"/>
          <w:sz w:val="18"/>
          <w:szCs w:val="18"/>
        </w:rPr>
        <w:t>42</w:t>
      </w:r>
      <w:r w:rsidRPr="00510388">
        <w:rPr>
          <w:rFonts w:ascii="Verdana" w:hAnsi="Verdana" w:cs="Arial"/>
          <w:sz w:val="18"/>
          <w:szCs w:val="18"/>
        </w:rPr>
        <w:t>,</w:t>
      </w:r>
      <w:r w:rsidR="00815974">
        <w:rPr>
          <w:rFonts w:ascii="Verdana" w:hAnsi="Verdana" w:cs="Arial"/>
          <w:sz w:val="18"/>
          <w:szCs w:val="18"/>
        </w:rPr>
        <w:t>4</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compared to €</w:t>
      </w:r>
      <w:r w:rsidR="00510388" w:rsidRPr="00510388">
        <w:rPr>
          <w:rFonts w:ascii="Verdana" w:hAnsi="Verdana" w:cs="Arial"/>
          <w:sz w:val="18"/>
          <w:szCs w:val="18"/>
        </w:rPr>
        <w:t>4</w:t>
      </w:r>
      <w:r w:rsidR="00D87950" w:rsidRPr="00510388">
        <w:rPr>
          <w:rFonts w:ascii="Verdana" w:hAnsi="Verdana" w:cs="Arial"/>
          <w:sz w:val="18"/>
          <w:szCs w:val="18"/>
        </w:rPr>
        <w:t>.</w:t>
      </w:r>
      <w:r w:rsidR="00510388" w:rsidRPr="00510388">
        <w:rPr>
          <w:rFonts w:ascii="Verdana" w:hAnsi="Verdana" w:cs="Arial"/>
          <w:sz w:val="18"/>
          <w:szCs w:val="18"/>
        </w:rPr>
        <w:t>03</w:t>
      </w:r>
      <w:r w:rsidR="00815974">
        <w:rPr>
          <w:rFonts w:ascii="Verdana" w:hAnsi="Verdana" w:cs="Arial"/>
          <w:sz w:val="18"/>
          <w:szCs w:val="18"/>
        </w:rPr>
        <w:t>4</w:t>
      </w:r>
      <w:r w:rsidRPr="00510388">
        <w:rPr>
          <w:rFonts w:ascii="Verdana" w:hAnsi="Verdana" w:cs="Arial"/>
          <w:sz w:val="18"/>
          <w:szCs w:val="18"/>
        </w:rPr>
        <w:t>,</w:t>
      </w:r>
      <w:r w:rsidR="00815974">
        <w:rPr>
          <w:rFonts w:ascii="Verdana" w:hAnsi="Verdana" w:cs="Arial"/>
          <w:sz w:val="18"/>
          <w:szCs w:val="18"/>
        </w:rPr>
        <w:t>1</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in </w:t>
      </w:r>
      <w:r w:rsidRPr="00510388">
        <w:rPr>
          <w:rFonts w:ascii="Verdana" w:hAnsi="Verdana" w:cs="Arial"/>
          <w:sz w:val="18"/>
          <w:szCs w:val="18"/>
        </w:rPr>
        <w:t>202</w:t>
      </w:r>
      <w:r w:rsidR="009C201E" w:rsidRPr="00510388">
        <w:rPr>
          <w:rFonts w:ascii="Verdana" w:hAnsi="Verdana" w:cs="Arial"/>
          <w:sz w:val="18"/>
          <w:szCs w:val="18"/>
        </w:rPr>
        <w:t>2</w:t>
      </w:r>
      <w:r w:rsidRPr="00510388">
        <w:rPr>
          <w:rFonts w:ascii="Verdana" w:hAnsi="Verdana" w:cs="Arial"/>
          <w:sz w:val="18"/>
          <w:szCs w:val="18"/>
        </w:rPr>
        <w:t>, of which</w:t>
      </w:r>
      <w:r w:rsidR="00865CD8" w:rsidRPr="00510388">
        <w:rPr>
          <w:rFonts w:ascii="Verdana" w:hAnsi="Verdana" w:cs="Arial"/>
          <w:sz w:val="18"/>
          <w:szCs w:val="18"/>
        </w:rPr>
        <w:t xml:space="preserve"> net VAT revenue increased by €</w:t>
      </w:r>
      <w:r w:rsidR="00510388" w:rsidRPr="00510388">
        <w:rPr>
          <w:rFonts w:ascii="Verdana" w:hAnsi="Verdana" w:cs="Arial"/>
          <w:sz w:val="18"/>
          <w:szCs w:val="18"/>
        </w:rPr>
        <w:t>273</w:t>
      </w:r>
      <w:r w:rsidRPr="00510388">
        <w:rPr>
          <w:rFonts w:ascii="Verdana" w:hAnsi="Verdana" w:cs="Arial"/>
          <w:sz w:val="18"/>
          <w:szCs w:val="18"/>
        </w:rPr>
        <w:t>,</w:t>
      </w:r>
      <w:r w:rsidR="00510388" w:rsidRPr="00510388">
        <w:rPr>
          <w:rFonts w:ascii="Verdana" w:hAnsi="Verdana" w:cs="Arial"/>
          <w:sz w:val="18"/>
          <w:szCs w:val="18"/>
        </w:rPr>
        <w:t>1</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w:t>
      </w:r>
      <w:r w:rsidR="00510388" w:rsidRPr="00510388">
        <w:rPr>
          <w:rFonts w:ascii="Verdana" w:hAnsi="Verdana" w:cs="Arial"/>
          <w:sz w:val="18"/>
          <w:szCs w:val="18"/>
        </w:rPr>
        <w:t>10</w:t>
      </w:r>
      <w:r w:rsidRPr="00510388">
        <w:rPr>
          <w:rFonts w:ascii="Verdana" w:hAnsi="Verdana" w:cs="Arial"/>
          <w:sz w:val="18"/>
          <w:szCs w:val="18"/>
        </w:rPr>
        <w:t>,</w:t>
      </w:r>
      <w:r w:rsidR="00510388" w:rsidRPr="00510388">
        <w:rPr>
          <w:rFonts w:ascii="Verdana" w:hAnsi="Verdana" w:cs="Arial"/>
          <w:sz w:val="18"/>
          <w:szCs w:val="18"/>
        </w:rPr>
        <w:t>1</w:t>
      </w:r>
      <w:r w:rsidRPr="00510388">
        <w:rPr>
          <w:rFonts w:ascii="Verdana" w:hAnsi="Verdana" w:cs="Arial"/>
          <w:sz w:val="18"/>
          <w:szCs w:val="18"/>
        </w:rPr>
        <w:t>%) and amounted to €</w:t>
      </w:r>
      <w:r w:rsidR="00D87950" w:rsidRPr="00510388">
        <w:rPr>
          <w:rFonts w:ascii="Verdana" w:hAnsi="Verdana" w:cs="Arial"/>
          <w:sz w:val="18"/>
          <w:szCs w:val="18"/>
        </w:rPr>
        <w:t>2.</w:t>
      </w:r>
      <w:r w:rsidR="00510388" w:rsidRPr="00510388">
        <w:rPr>
          <w:rFonts w:ascii="Verdana" w:hAnsi="Verdana" w:cs="Arial"/>
          <w:sz w:val="18"/>
          <w:szCs w:val="18"/>
        </w:rPr>
        <w:t>978</w:t>
      </w:r>
      <w:r w:rsidRPr="00510388">
        <w:rPr>
          <w:rFonts w:ascii="Verdana" w:hAnsi="Verdana" w:cs="Arial"/>
          <w:sz w:val="18"/>
          <w:szCs w:val="18"/>
        </w:rPr>
        <w:t>,</w:t>
      </w:r>
      <w:r w:rsidR="00510388" w:rsidRPr="00510388">
        <w:rPr>
          <w:rFonts w:ascii="Verdana" w:hAnsi="Verdana" w:cs="Arial"/>
          <w:sz w:val="18"/>
          <w:szCs w:val="18"/>
        </w:rPr>
        <w:t>8</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compared to €</w:t>
      </w:r>
      <w:r w:rsidR="00D87950" w:rsidRPr="00510388">
        <w:rPr>
          <w:rFonts w:ascii="Verdana" w:hAnsi="Verdana" w:cs="Arial"/>
          <w:sz w:val="18"/>
          <w:szCs w:val="18"/>
        </w:rPr>
        <w:t>2.</w:t>
      </w:r>
      <w:r w:rsidR="00510388" w:rsidRPr="00510388">
        <w:rPr>
          <w:rFonts w:ascii="Verdana" w:hAnsi="Verdana" w:cs="Arial"/>
          <w:sz w:val="18"/>
          <w:szCs w:val="18"/>
        </w:rPr>
        <w:t>705</w:t>
      </w:r>
      <w:r w:rsidRPr="00510388">
        <w:rPr>
          <w:rFonts w:ascii="Verdana" w:hAnsi="Verdana" w:cs="Arial"/>
          <w:sz w:val="18"/>
          <w:szCs w:val="18"/>
        </w:rPr>
        <w:t>,</w:t>
      </w:r>
      <w:r w:rsidR="00510388" w:rsidRPr="00510388">
        <w:rPr>
          <w:rFonts w:ascii="Verdana" w:hAnsi="Verdana" w:cs="Arial"/>
          <w:sz w:val="18"/>
          <w:szCs w:val="18"/>
        </w:rPr>
        <w:t>7</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in 202</w:t>
      </w:r>
      <w:r w:rsidR="009C201E" w:rsidRPr="00510388">
        <w:rPr>
          <w:rFonts w:ascii="Verdana" w:hAnsi="Verdana" w:cs="Arial"/>
          <w:sz w:val="18"/>
          <w:szCs w:val="18"/>
        </w:rPr>
        <w:t>2</w:t>
      </w:r>
      <w:r w:rsidRPr="00510388">
        <w:rPr>
          <w:rFonts w:ascii="Verdana" w:hAnsi="Verdana" w:cs="Arial"/>
          <w:sz w:val="18"/>
          <w:szCs w:val="18"/>
        </w:rPr>
        <w:t>. Social contributions increased by €</w:t>
      </w:r>
      <w:r w:rsidR="00815974">
        <w:rPr>
          <w:rFonts w:ascii="Verdana" w:hAnsi="Verdana" w:cs="Arial"/>
          <w:sz w:val="18"/>
          <w:szCs w:val="18"/>
        </w:rPr>
        <w:t>860</w:t>
      </w:r>
      <w:r w:rsidRPr="00510388">
        <w:rPr>
          <w:rFonts w:ascii="Verdana" w:hAnsi="Verdana" w:cs="Arial"/>
          <w:sz w:val="18"/>
          <w:szCs w:val="18"/>
        </w:rPr>
        <w:t>,</w:t>
      </w:r>
      <w:r w:rsidR="00510388" w:rsidRPr="00510388">
        <w:rPr>
          <w:rFonts w:ascii="Verdana" w:hAnsi="Verdana" w:cs="Arial"/>
          <w:sz w:val="18"/>
          <w:szCs w:val="18"/>
        </w:rPr>
        <w:t>7</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w:t>
      </w:r>
      <w:r w:rsidR="00815974">
        <w:rPr>
          <w:rFonts w:ascii="Verdana" w:hAnsi="Verdana" w:cs="Arial"/>
          <w:sz w:val="18"/>
          <w:szCs w:val="18"/>
        </w:rPr>
        <w:t>2</w:t>
      </w:r>
      <w:r w:rsidR="00510388" w:rsidRPr="00510388">
        <w:rPr>
          <w:rFonts w:ascii="Verdana" w:hAnsi="Verdana" w:cs="Arial"/>
          <w:sz w:val="18"/>
          <w:szCs w:val="18"/>
        </w:rPr>
        <w:t>4</w:t>
      </w:r>
      <w:r w:rsidRPr="00510388">
        <w:rPr>
          <w:rFonts w:ascii="Verdana" w:hAnsi="Verdana" w:cs="Arial"/>
          <w:sz w:val="18"/>
          <w:szCs w:val="18"/>
        </w:rPr>
        <w:t>,</w:t>
      </w:r>
      <w:r w:rsidR="00510388" w:rsidRPr="00510388">
        <w:rPr>
          <w:rFonts w:ascii="Verdana" w:hAnsi="Verdana" w:cs="Arial"/>
          <w:sz w:val="18"/>
          <w:szCs w:val="18"/>
        </w:rPr>
        <w:t>5</w:t>
      </w:r>
      <w:r w:rsidRPr="00510388">
        <w:rPr>
          <w:rFonts w:ascii="Verdana" w:hAnsi="Verdana" w:cs="Arial"/>
          <w:sz w:val="18"/>
          <w:szCs w:val="18"/>
        </w:rPr>
        <w:t>%) and amounted to €</w:t>
      </w:r>
      <w:r w:rsidR="00815974">
        <w:rPr>
          <w:rFonts w:ascii="Verdana" w:hAnsi="Verdana" w:cs="Arial"/>
          <w:sz w:val="18"/>
          <w:szCs w:val="18"/>
        </w:rPr>
        <w:t>4</w:t>
      </w:r>
      <w:r w:rsidR="00D87950" w:rsidRPr="00510388">
        <w:rPr>
          <w:rFonts w:ascii="Verdana" w:hAnsi="Verdana" w:cs="Arial"/>
          <w:sz w:val="18"/>
          <w:szCs w:val="18"/>
        </w:rPr>
        <w:t>.</w:t>
      </w:r>
      <w:r w:rsidR="00815974">
        <w:rPr>
          <w:rFonts w:ascii="Verdana" w:hAnsi="Verdana" w:cs="Arial"/>
          <w:sz w:val="18"/>
          <w:szCs w:val="18"/>
        </w:rPr>
        <w:t>380</w:t>
      </w:r>
      <w:r w:rsidRPr="00510388">
        <w:rPr>
          <w:rFonts w:ascii="Verdana" w:hAnsi="Verdana" w:cs="Arial"/>
          <w:sz w:val="18"/>
          <w:szCs w:val="18"/>
        </w:rPr>
        <w:t>,</w:t>
      </w:r>
      <w:r w:rsidR="00815974">
        <w:rPr>
          <w:rFonts w:ascii="Verdana" w:hAnsi="Verdana" w:cs="Arial"/>
          <w:sz w:val="18"/>
          <w:szCs w:val="18"/>
        </w:rPr>
        <w:t>5</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compared to </w:t>
      </w:r>
      <w:r w:rsidRPr="00510388">
        <w:rPr>
          <w:rFonts w:ascii="Verdana" w:hAnsi="Verdana" w:cs="Arial"/>
          <w:sz w:val="18"/>
          <w:szCs w:val="18"/>
        </w:rPr>
        <w:t>€</w:t>
      </w:r>
      <w:r w:rsidR="00510388" w:rsidRPr="00510388">
        <w:rPr>
          <w:rFonts w:ascii="Verdana" w:hAnsi="Verdana" w:cs="Arial"/>
          <w:sz w:val="18"/>
          <w:szCs w:val="18"/>
        </w:rPr>
        <w:t>3</w:t>
      </w:r>
      <w:r w:rsidR="00D87950" w:rsidRPr="00510388">
        <w:rPr>
          <w:rFonts w:ascii="Verdana" w:hAnsi="Verdana" w:cs="Arial"/>
          <w:sz w:val="18"/>
          <w:szCs w:val="18"/>
        </w:rPr>
        <w:t>.</w:t>
      </w:r>
      <w:r w:rsidR="00815974">
        <w:rPr>
          <w:rFonts w:ascii="Verdana" w:hAnsi="Verdana" w:cs="Arial"/>
          <w:sz w:val="18"/>
          <w:szCs w:val="18"/>
        </w:rPr>
        <w:t>519</w:t>
      </w:r>
      <w:r w:rsidRPr="00510388">
        <w:rPr>
          <w:rFonts w:ascii="Verdana" w:hAnsi="Verdana" w:cs="Arial"/>
          <w:sz w:val="18"/>
          <w:szCs w:val="18"/>
        </w:rPr>
        <w:t>,</w:t>
      </w:r>
      <w:r w:rsidR="00815974">
        <w:rPr>
          <w:rFonts w:ascii="Verdana" w:hAnsi="Verdana" w:cs="Arial"/>
          <w:sz w:val="18"/>
          <w:szCs w:val="18"/>
        </w:rPr>
        <w:t>8</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in </w:t>
      </w:r>
      <w:r w:rsidRPr="00510388">
        <w:rPr>
          <w:rFonts w:ascii="Verdana" w:hAnsi="Verdana" w:cs="Arial"/>
          <w:sz w:val="18"/>
          <w:szCs w:val="18"/>
        </w:rPr>
        <w:t>202</w:t>
      </w:r>
      <w:r w:rsidR="009C201E" w:rsidRPr="00510388">
        <w:rPr>
          <w:rFonts w:ascii="Verdana" w:hAnsi="Verdana" w:cs="Arial"/>
          <w:sz w:val="18"/>
          <w:szCs w:val="18"/>
        </w:rPr>
        <w:t>2</w:t>
      </w:r>
      <w:r w:rsidRPr="00510388">
        <w:rPr>
          <w:rFonts w:ascii="Verdana" w:hAnsi="Verdana" w:cs="Arial"/>
          <w:sz w:val="18"/>
          <w:szCs w:val="18"/>
        </w:rPr>
        <w:t>. Revenue from taxes on</w:t>
      </w:r>
      <w:r w:rsidR="00865CD8" w:rsidRPr="00510388">
        <w:rPr>
          <w:rFonts w:ascii="Verdana" w:hAnsi="Verdana" w:cs="Arial"/>
          <w:sz w:val="18"/>
          <w:szCs w:val="18"/>
        </w:rPr>
        <w:t xml:space="preserve"> income and wealth increased by </w:t>
      </w:r>
      <w:r w:rsidRPr="00510388">
        <w:rPr>
          <w:rFonts w:ascii="Verdana" w:hAnsi="Verdana" w:cs="Arial"/>
          <w:sz w:val="18"/>
          <w:szCs w:val="18"/>
        </w:rPr>
        <w:t>€</w:t>
      </w:r>
      <w:r w:rsidR="00510388" w:rsidRPr="00510388">
        <w:rPr>
          <w:rFonts w:ascii="Verdana" w:hAnsi="Verdana" w:cs="Arial"/>
          <w:sz w:val="18"/>
          <w:szCs w:val="18"/>
        </w:rPr>
        <w:t>340</w:t>
      </w:r>
      <w:r w:rsidRPr="00510388">
        <w:rPr>
          <w:rFonts w:ascii="Verdana" w:hAnsi="Verdana" w:cs="Arial"/>
          <w:sz w:val="18"/>
          <w:szCs w:val="18"/>
        </w:rPr>
        <w:t>,</w:t>
      </w:r>
      <w:r w:rsidR="00510388" w:rsidRPr="00510388">
        <w:rPr>
          <w:rFonts w:ascii="Verdana" w:hAnsi="Verdana" w:cs="Arial"/>
          <w:sz w:val="18"/>
          <w:szCs w:val="18"/>
        </w:rPr>
        <w:t>7</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w:t>
      </w:r>
      <w:r w:rsidR="00865CD8" w:rsidRPr="00510388">
        <w:rPr>
          <w:rFonts w:ascii="Verdana" w:hAnsi="Verdana" w:cs="Arial"/>
          <w:sz w:val="18"/>
          <w:szCs w:val="18"/>
        </w:rPr>
        <w:t>1</w:t>
      </w:r>
      <w:r w:rsidR="00510388" w:rsidRPr="00510388">
        <w:rPr>
          <w:rFonts w:ascii="Verdana" w:hAnsi="Verdana" w:cs="Arial"/>
          <w:sz w:val="18"/>
          <w:szCs w:val="18"/>
        </w:rPr>
        <w:t>1</w:t>
      </w:r>
      <w:r w:rsidRPr="00510388">
        <w:rPr>
          <w:rFonts w:ascii="Verdana" w:hAnsi="Verdana" w:cs="Arial"/>
          <w:sz w:val="18"/>
          <w:szCs w:val="18"/>
        </w:rPr>
        <w:t>,</w:t>
      </w:r>
      <w:r w:rsidR="00510388" w:rsidRPr="00510388">
        <w:rPr>
          <w:rFonts w:ascii="Verdana" w:hAnsi="Verdana" w:cs="Arial"/>
          <w:sz w:val="18"/>
          <w:szCs w:val="18"/>
        </w:rPr>
        <w:t>7</w:t>
      </w:r>
      <w:r w:rsidRPr="00510388">
        <w:rPr>
          <w:rFonts w:ascii="Verdana" w:hAnsi="Verdana" w:cs="Arial"/>
          <w:sz w:val="18"/>
          <w:szCs w:val="18"/>
        </w:rPr>
        <w:t xml:space="preserve">%) and amounted to </w:t>
      </w:r>
      <w:r w:rsidR="006D543F" w:rsidRPr="00510388">
        <w:rPr>
          <w:rFonts w:ascii="Verdana" w:hAnsi="Verdana" w:cs="Arial"/>
          <w:sz w:val="18"/>
          <w:szCs w:val="18"/>
        </w:rPr>
        <w:t xml:space="preserve">     </w:t>
      </w:r>
      <w:r w:rsidRPr="00510388">
        <w:rPr>
          <w:rFonts w:ascii="Verdana" w:hAnsi="Verdana" w:cs="Arial"/>
          <w:sz w:val="18"/>
          <w:szCs w:val="18"/>
        </w:rPr>
        <w:t>€</w:t>
      </w:r>
      <w:r w:rsidR="00510388" w:rsidRPr="00510388">
        <w:rPr>
          <w:rFonts w:ascii="Verdana" w:hAnsi="Verdana" w:cs="Arial"/>
          <w:sz w:val="18"/>
          <w:szCs w:val="18"/>
        </w:rPr>
        <w:t>3</w:t>
      </w:r>
      <w:r w:rsidR="00D87950" w:rsidRPr="00510388">
        <w:rPr>
          <w:rFonts w:ascii="Verdana" w:hAnsi="Verdana" w:cs="Arial"/>
          <w:sz w:val="18"/>
          <w:szCs w:val="18"/>
        </w:rPr>
        <w:t>.</w:t>
      </w:r>
      <w:r w:rsidR="00510388" w:rsidRPr="00510388">
        <w:rPr>
          <w:rFonts w:ascii="Verdana" w:hAnsi="Verdana" w:cs="Arial"/>
          <w:sz w:val="18"/>
          <w:szCs w:val="18"/>
        </w:rPr>
        <w:t>264</w:t>
      </w:r>
      <w:r w:rsidRPr="00510388">
        <w:rPr>
          <w:rFonts w:ascii="Verdana" w:hAnsi="Verdana" w:cs="Arial"/>
          <w:sz w:val="18"/>
          <w:szCs w:val="18"/>
        </w:rPr>
        <w:t>,</w:t>
      </w:r>
      <w:r w:rsidR="00510388" w:rsidRPr="00510388">
        <w:rPr>
          <w:rFonts w:ascii="Verdana" w:hAnsi="Verdana" w:cs="Arial"/>
          <w:sz w:val="18"/>
          <w:szCs w:val="18"/>
        </w:rPr>
        <w:t>9</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compared to €</w:t>
      </w:r>
      <w:r w:rsidR="00D87950" w:rsidRPr="00510388">
        <w:rPr>
          <w:rFonts w:ascii="Verdana" w:hAnsi="Verdana" w:cs="Arial"/>
          <w:sz w:val="18"/>
          <w:szCs w:val="18"/>
        </w:rPr>
        <w:t>2.</w:t>
      </w:r>
      <w:r w:rsidR="00510388" w:rsidRPr="00510388">
        <w:rPr>
          <w:rFonts w:ascii="Verdana" w:hAnsi="Verdana" w:cs="Arial"/>
          <w:sz w:val="18"/>
          <w:szCs w:val="18"/>
        </w:rPr>
        <w:t>924</w:t>
      </w:r>
      <w:r w:rsidRPr="00510388">
        <w:rPr>
          <w:rFonts w:ascii="Verdana" w:hAnsi="Verdana" w:cs="Arial"/>
          <w:sz w:val="18"/>
          <w:szCs w:val="18"/>
        </w:rPr>
        <w:t>,</w:t>
      </w:r>
      <w:r w:rsidR="00510388" w:rsidRPr="00510388">
        <w:rPr>
          <w:rFonts w:ascii="Verdana" w:hAnsi="Verdana" w:cs="Arial"/>
          <w:sz w:val="18"/>
          <w:szCs w:val="18"/>
        </w:rPr>
        <w:t>2</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in 202</w:t>
      </w:r>
      <w:r w:rsidR="009C201E" w:rsidRPr="00510388">
        <w:rPr>
          <w:rFonts w:ascii="Verdana" w:hAnsi="Verdana" w:cs="Arial"/>
          <w:sz w:val="18"/>
          <w:szCs w:val="18"/>
        </w:rPr>
        <w:t>2</w:t>
      </w:r>
      <w:r w:rsidRPr="00510388">
        <w:rPr>
          <w:rFonts w:ascii="Verdana" w:hAnsi="Verdana" w:cs="Arial"/>
          <w:sz w:val="18"/>
          <w:szCs w:val="18"/>
        </w:rPr>
        <w:t xml:space="preserve">. </w:t>
      </w:r>
      <w:r w:rsidR="000E72FC" w:rsidRPr="00510388">
        <w:rPr>
          <w:rFonts w:ascii="Verdana" w:hAnsi="Verdana" w:cs="Arial"/>
          <w:sz w:val="18"/>
          <w:szCs w:val="18"/>
        </w:rPr>
        <w:t>Other c</w:t>
      </w:r>
      <w:r w:rsidR="00865CD8" w:rsidRPr="00510388">
        <w:rPr>
          <w:rFonts w:ascii="Verdana" w:hAnsi="Verdana" w:cs="Arial"/>
          <w:sz w:val="18"/>
          <w:szCs w:val="18"/>
        </w:rPr>
        <w:t>urrent transfers increased by €</w:t>
      </w:r>
      <w:r w:rsidR="00815974">
        <w:rPr>
          <w:rFonts w:ascii="Verdana" w:hAnsi="Verdana" w:cs="Arial"/>
          <w:sz w:val="18"/>
          <w:szCs w:val="18"/>
        </w:rPr>
        <w:t>113</w:t>
      </w:r>
      <w:r w:rsidR="00865CD8" w:rsidRPr="00510388">
        <w:rPr>
          <w:rFonts w:ascii="Verdana" w:hAnsi="Verdana" w:cs="Arial"/>
          <w:sz w:val="18"/>
          <w:szCs w:val="18"/>
        </w:rPr>
        <w:t>,</w:t>
      </w:r>
      <w:r w:rsidR="00815974">
        <w:rPr>
          <w:rFonts w:ascii="Verdana" w:hAnsi="Verdana" w:cs="Arial"/>
          <w:sz w:val="18"/>
          <w:szCs w:val="18"/>
        </w:rPr>
        <w:t>2</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w:t>
      </w:r>
      <w:r w:rsidR="005E0450" w:rsidRPr="00510388">
        <w:rPr>
          <w:rFonts w:ascii="Verdana" w:hAnsi="Verdana" w:cs="Arial"/>
          <w:sz w:val="18"/>
          <w:szCs w:val="18"/>
        </w:rPr>
        <w:t>(+</w:t>
      </w:r>
      <w:r w:rsidR="00815974">
        <w:rPr>
          <w:rFonts w:ascii="Verdana" w:hAnsi="Verdana" w:cs="Arial"/>
          <w:sz w:val="18"/>
          <w:szCs w:val="18"/>
        </w:rPr>
        <w:t>53</w:t>
      </w:r>
      <w:r w:rsidR="005E0450" w:rsidRPr="00510388">
        <w:rPr>
          <w:rFonts w:ascii="Verdana" w:hAnsi="Verdana" w:cs="Arial"/>
          <w:sz w:val="18"/>
          <w:szCs w:val="18"/>
        </w:rPr>
        <w:t>,</w:t>
      </w:r>
      <w:r w:rsidR="00815974">
        <w:rPr>
          <w:rFonts w:ascii="Verdana" w:hAnsi="Verdana" w:cs="Arial"/>
          <w:sz w:val="18"/>
          <w:szCs w:val="18"/>
        </w:rPr>
        <w:t>4</w:t>
      </w:r>
      <w:r w:rsidR="005E0450" w:rsidRPr="00510388">
        <w:rPr>
          <w:rFonts w:ascii="Verdana" w:hAnsi="Verdana" w:cs="Arial"/>
          <w:sz w:val="18"/>
          <w:szCs w:val="18"/>
        </w:rPr>
        <w:t xml:space="preserve">%) </w:t>
      </w:r>
      <w:r w:rsidR="00865CD8" w:rsidRPr="00510388">
        <w:rPr>
          <w:rFonts w:ascii="Verdana" w:hAnsi="Verdana" w:cs="Arial"/>
          <w:sz w:val="18"/>
          <w:szCs w:val="18"/>
        </w:rPr>
        <w:t>and amounted to €</w:t>
      </w:r>
      <w:r w:rsidR="00510388" w:rsidRPr="00510388">
        <w:rPr>
          <w:rFonts w:ascii="Verdana" w:hAnsi="Verdana" w:cs="Arial"/>
          <w:sz w:val="18"/>
          <w:szCs w:val="18"/>
        </w:rPr>
        <w:t>3</w:t>
      </w:r>
      <w:r w:rsidR="00815974">
        <w:rPr>
          <w:rFonts w:ascii="Verdana" w:hAnsi="Verdana" w:cs="Arial"/>
          <w:sz w:val="18"/>
          <w:szCs w:val="18"/>
        </w:rPr>
        <w:t>25</w:t>
      </w:r>
      <w:r w:rsidR="00865CD8" w:rsidRPr="00510388">
        <w:rPr>
          <w:rFonts w:ascii="Verdana" w:hAnsi="Verdana" w:cs="Arial"/>
          <w:sz w:val="18"/>
          <w:szCs w:val="18"/>
        </w:rPr>
        <w:t>,</w:t>
      </w:r>
      <w:r w:rsidR="00510388" w:rsidRPr="00510388">
        <w:rPr>
          <w:rFonts w:ascii="Verdana" w:hAnsi="Verdana" w:cs="Arial"/>
          <w:sz w:val="18"/>
          <w:szCs w:val="18"/>
        </w:rPr>
        <w:t>2</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w:t>
      </w:r>
      <w:r w:rsidR="005E0450" w:rsidRPr="00510388">
        <w:rPr>
          <w:rFonts w:ascii="Verdana" w:hAnsi="Verdana" w:cs="Arial"/>
          <w:sz w:val="18"/>
          <w:szCs w:val="18"/>
        </w:rPr>
        <w:t>compared to</w:t>
      </w:r>
      <w:r w:rsidR="00865CD8" w:rsidRPr="00510388">
        <w:rPr>
          <w:rFonts w:ascii="Verdana" w:hAnsi="Verdana" w:cs="Arial"/>
          <w:sz w:val="18"/>
          <w:szCs w:val="18"/>
        </w:rPr>
        <w:t xml:space="preserve"> €</w:t>
      </w:r>
      <w:r w:rsidR="005E0450" w:rsidRPr="00510388">
        <w:rPr>
          <w:rFonts w:ascii="Verdana" w:hAnsi="Verdana" w:cs="Arial"/>
          <w:sz w:val="18"/>
          <w:szCs w:val="18"/>
        </w:rPr>
        <w:t>2</w:t>
      </w:r>
      <w:r w:rsidR="00815974">
        <w:rPr>
          <w:rFonts w:ascii="Verdana" w:hAnsi="Verdana" w:cs="Arial"/>
          <w:sz w:val="18"/>
          <w:szCs w:val="18"/>
        </w:rPr>
        <w:t>12</w:t>
      </w:r>
      <w:r w:rsidR="00865CD8" w:rsidRPr="00510388">
        <w:rPr>
          <w:rFonts w:ascii="Verdana" w:hAnsi="Verdana" w:cs="Arial"/>
          <w:sz w:val="18"/>
          <w:szCs w:val="18"/>
        </w:rPr>
        <w:t>,</w:t>
      </w:r>
      <w:r w:rsidR="00815974">
        <w:rPr>
          <w:rFonts w:ascii="Verdana" w:hAnsi="Verdana" w:cs="Arial"/>
          <w:sz w:val="18"/>
          <w:szCs w:val="18"/>
        </w:rPr>
        <w:t>0</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in 202</w:t>
      </w:r>
      <w:r w:rsidR="009C201E" w:rsidRPr="00510388">
        <w:rPr>
          <w:rFonts w:ascii="Verdana" w:hAnsi="Verdana" w:cs="Arial"/>
          <w:sz w:val="18"/>
          <w:szCs w:val="18"/>
        </w:rPr>
        <w:t>2</w:t>
      </w:r>
      <w:r w:rsidR="00865CD8" w:rsidRPr="00510388">
        <w:rPr>
          <w:rFonts w:ascii="Verdana" w:hAnsi="Verdana" w:cs="Arial"/>
          <w:sz w:val="18"/>
          <w:szCs w:val="18"/>
        </w:rPr>
        <w:t>.</w:t>
      </w:r>
      <w:r w:rsidR="005E0450" w:rsidRPr="00510388">
        <w:rPr>
          <w:rFonts w:ascii="Verdana" w:hAnsi="Verdana" w:cs="Arial"/>
          <w:sz w:val="18"/>
          <w:szCs w:val="18"/>
        </w:rPr>
        <w:t xml:space="preserve"> Property income receivable increased by €</w:t>
      </w:r>
      <w:r w:rsidR="00815974">
        <w:rPr>
          <w:rFonts w:ascii="Verdana" w:hAnsi="Verdana" w:cs="Arial"/>
          <w:sz w:val="18"/>
          <w:szCs w:val="18"/>
        </w:rPr>
        <w:t>23</w:t>
      </w:r>
      <w:r w:rsidR="005E0450" w:rsidRPr="00510388">
        <w:rPr>
          <w:rFonts w:ascii="Verdana" w:hAnsi="Verdana" w:cs="Arial"/>
          <w:sz w:val="18"/>
          <w:szCs w:val="18"/>
        </w:rPr>
        <w:t>,</w:t>
      </w:r>
      <w:r w:rsidR="00815974">
        <w:rPr>
          <w:rFonts w:ascii="Verdana" w:hAnsi="Verdana" w:cs="Arial"/>
          <w:sz w:val="18"/>
          <w:szCs w:val="18"/>
        </w:rPr>
        <w:t>3</w:t>
      </w:r>
      <w:r w:rsidR="005E0450" w:rsidRPr="00510388">
        <w:rPr>
          <w:rFonts w:ascii="Verdana" w:hAnsi="Verdana" w:cs="Arial"/>
          <w:sz w:val="18"/>
          <w:szCs w:val="18"/>
        </w:rPr>
        <w:t xml:space="preserve"> </w:t>
      </w:r>
      <w:proofErr w:type="spellStart"/>
      <w:r w:rsidR="005E0450" w:rsidRPr="00510388">
        <w:rPr>
          <w:rFonts w:ascii="Verdana" w:hAnsi="Verdana" w:cs="Arial"/>
          <w:sz w:val="18"/>
          <w:szCs w:val="18"/>
        </w:rPr>
        <w:t>mn</w:t>
      </w:r>
      <w:proofErr w:type="spellEnd"/>
      <w:r w:rsidR="005E0450" w:rsidRPr="00510388">
        <w:rPr>
          <w:rFonts w:ascii="Verdana" w:hAnsi="Verdana" w:cs="Arial"/>
          <w:sz w:val="18"/>
          <w:szCs w:val="18"/>
        </w:rPr>
        <w:t xml:space="preserve"> (+</w:t>
      </w:r>
      <w:r w:rsidR="00815974">
        <w:rPr>
          <w:rFonts w:ascii="Verdana" w:hAnsi="Verdana" w:cs="Arial"/>
          <w:sz w:val="18"/>
          <w:szCs w:val="18"/>
        </w:rPr>
        <w:t>20</w:t>
      </w:r>
      <w:r w:rsidR="005E0450" w:rsidRPr="00510388">
        <w:rPr>
          <w:rFonts w:ascii="Verdana" w:hAnsi="Verdana" w:cs="Arial"/>
          <w:sz w:val="18"/>
          <w:szCs w:val="18"/>
        </w:rPr>
        <w:t>,</w:t>
      </w:r>
      <w:r w:rsidR="00510388" w:rsidRPr="00510388">
        <w:rPr>
          <w:rFonts w:ascii="Verdana" w:hAnsi="Verdana" w:cs="Arial"/>
          <w:sz w:val="18"/>
          <w:szCs w:val="18"/>
        </w:rPr>
        <w:t>4</w:t>
      </w:r>
      <w:r w:rsidR="005E0450" w:rsidRPr="00510388">
        <w:rPr>
          <w:rFonts w:ascii="Verdana" w:hAnsi="Verdana" w:cs="Arial"/>
          <w:sz w:val="18"/>
          <w:szCs w:val="18"/>
        </w:rPr>
        <w:t>%) and amounted to €1</w:t>
      </w:r>
      <w:r w:rsidR="00510388" w:rsidRPr="00510388">
        <w:rPr>
          <w:rFonts w:ascii="Verdana" w:hAnsi="Verdana" w:cs="Arial"/>
          <w:sz w:val="18"/>
          <w:szCs w:val="18"/>
        </w:rPr>
        <w:t>3</w:t>
      </w:r>
      <w:r w:rsidR="00815974">
        <w:rPr>
          <w:rFonts w:ascii="Verdana" w:hAnsi="Verdana" w:cs="Arial"/>
          <w:sz w:val="18"/>
          <w:szCs w:val="18"/>
        </w:rPr>
        <w:t>7</w:t>
      </w:r>
      <w:r w:rsidR="005E0450" w:rsidRPr="00510388">
        <w:rPr>
          <w:rFonts w:ascii="Verdana" w:hAnsi="Verdana" w:cs="Arial"/>
          <w:sz w:val="18"/>
          <w:szCs w:val="18"/>
        </w:rPr>
        <w:t>,</w:t>
      </w:r>
      <w:r w:rsidR="00815974">
        <w:rPr>
          <w:rFonts w:ascii="Verdana" w:hAnsi="Verdana" w:cs="Arial"/>
          <w:sz w:val="18"/>
          <w:szCs w:val="18"/>
        </w:rPr>
        <w:t>5</w:t>
      </w:r>
      <w:r w:rsidR="005E0450" w:rsidRPr="00510388">
        <w:rPr>
          <w:rFonts w:ascii="Verdana" w:hAnsi="Verdana" w:cs="Arial"/>
          <w:sz w:val="18"/>
          <w:szCs w:val="18"/>
        </w:rPr>
        <w:t xml:space="preserve"> </w:t>
      </w:r>
      <w:proofErr w:type="spellStart"/>
      <w:r w:rsidR="005E0450" w:rsidRPr="00510388">
        <w:rPr>
          <w:rFonts w:ascii="Verdana" w:hAnsi="Verdana" w:cs="Arial"/>
          <w:sz w:val="18"/>
          <w:szCs w:val="18"/>
        </w:rPr>
        <w:t>mn</w:t>
      </w:r>
      <w:proofErr w:type="spellEnd"/>
      <w:r w:rsidR="005E0450" w:rsidRPr="00510388">
        <w:rPr>
          <w:rFonts w:ascii="Verdana" w:hAnsi="Verdana" w:cs="Arial"/>
          <w:sz w:val="18"/>
          <w:szCs w:val="18"/>
        </w:rPr>
        <w:t xml:space="preserve">, </w:t>
      </w:r>
      <w:r w:rsidR="00E87FFA" w:rsidRPr="00510388">
        <w:rPr>
          <w:rFonts w:ascii="Verdana" w:hAnsi="Verdana" w:cs="Arial"/>
          <w:sz w:val="18"/>
          <w:szCs w:val="18"/>
        </w:rPr>
        <w:t xml:space="preserve">compared to </w:t>
      </w:r>
      <w:r w:rsidR="005E0450" w:rsidRPr="00510388">
        <w:rPr>
          <w:rFonts w:ascii="Verdana" w:hAnsi="Verdana" w:cs="Arial"/>
          <w:sz w:val="18"/>
          <w:szCs w:val="18"/>
        </w:rPr>
        <w:t>€</w:t>
      </w:r>
      <w:r w:rsidR="00E87FFA" w:rsidRPr="00510388">
        <w:rPr>
          <w:rFonts w:ascii="Verdana" w:hAnsi="Verdana" w:cs="Arial"/>
          <w:sz w:val="18"/>
          <w:szCs w:val="18"/>
        </w:rPr>
        <w:t>1</w:t>
      </w:r>
      <w:r w:rsidR="00510388" w:rsidRPr="00510388">
        <w:rPr>
          <w:rFonts w:ascii="Verdana" w:hAnsi="Verdana" w:cs="Arial"/>
          <w:sz w:val="18"/>
          <w:szCs w:val="18"/>
        </w:rPr>
        <w:t>14</w:t>
      </w:r>
      <w:r w:rsidR="005E0450" w:rsidRPr="00510388">
        <w:rPr>
          <w:rFonts w:ascii="Verdana" w:hAnsi="Verdana" w:cs="Arial"/>
          <w:sz w:val="18"/>
          <w:szCs w:val="18"/>
        </w:rPr>
        <w:t>,</w:t>
      </w:r>
      <w:r w:rsidR="00510388" w:rsidRPr="00510388">
        <w:rPr>
          <w:rFonts w:ascii="Verdana" w:hAnsi="Verdana" w:cs="Arial"/>
          <w:sz w:val="18"/>
          <w:szCs w:val="18"/>
        </w:rPr>
        <w:t>2</w:t>
      </w:r>
      <w:r w:rsidR="005E0450" w:rsidRPr="00510388">
        <w:rPr>
          <w:rFonts w:ascii="Verdana" w:hAnsi="Verdana" w:cs="Arial"/>
          <w:sz w:val="18"/>
          <w:szCs w:val="18"/>
        </w:rPr>
        <w:t xml:space="preserve"> </w:t>
      </w:r>
      <w:proofErr w:type="spellStart"/>
      <w:r w:rsidR="005E0450" w:rsidRPr="00510388">
        <w:rPr>
          <w:rFonts w:ascii="Verdana" w:hAnsi="Verdana" w:cs="Arial"/>
          <w:sz w:val="18"/>
          <w:szCs w:val="18"/>
        </w:rPr>
        <w:t>mn</w:t>
      </w:r>
      <w:proofErr w:type="spellEnd"/>
      <w:r w:rsidR="005E0450" w:rsidRPr="00510388">
        <w:rPr>
          <w:rFonts w:ascii="Verdana" w:hAnsi="Verdana" w:cs="Arial"/>
          <w:sz w:val="18"/>
          <w:szCs w:val="18"/>
        </w:rPr>
        <w:t xml:space="preserve"> in 202</w:t>
      </w:r>
      <w:r w:rsidR="009C201E" w:rsidRPr="00510388">
        <w:rPr>
          <w:rFonts w:ascii="Verdana" w:hAnsi="Verdana" w:cs="Arial"/>
          <w:sz w:val="18"/>
          <w:szCs w:val="18"/>
        </w:rPr>
        <w:t>2</w:t>
      </w:r>
      <w:r w:rsidR="005E0450" w:rsidRPr="00510388">
        <w:rPr>
          <w:rFonts w:ascii="Verdana" w:hAnsi="Verdana" w:cs="Arial"/>
          <w:sz w:val="18"/>
          <w:szCs w:val="18"/>
        </w:rPr>
        <w:t xml:space="preserve">. Revenue from the sale of goods and services </w:t>
      </w:r>
      <w:r w:rsidR="00E87FFA" w:rsidRPr="00510388">
        <w:rPr>
          <w:rFonts w:ascii="Verdana" w:hAnsi="Verdana" w:cs="Arial"/>
          <w:sz w:val="18"/>
          <w:szCs w:val="18"/>
        </w:rPr>
        <w:t>in</w:t>
      </w:r>
      <w:r w:rsidR="005E0450" w:rsidRPr="00510388">
        <w:rPr>
          <w:rFonts w:ascii="Verdana" w:hAnsi="Verdana" w:cs="Arial"/>
          <w:sz w:val="18"/>
          <w:szCs w:val="18"/>
        </w:rPr>
        <w:t>creased by €</w:t>
      </w:r>
      <w:r w:rsidR="00815974">
        <w:rPr>
          <w:rFonts w:ascii="Verdana" w:hAnsi="Verdana" w:cs="Arial"/>
          <w:sz w:val="18"/>
          <w:szCs w:val="18"/>
        </w:rPr>
        <w:t>12</w:t>
      </w:r>
      <w:r w:rsidR="005E0450" w:rsidRPr="00510388">
        <w:rPr>
          <w:rFonts w:ascii="Verdana" w:hAnsi="Verdana" w:cs="Arial"/>
          <w:sz w:val="18"/>
          <w:szCs w:val="18"/>
        </w:rPr>
        <w:t>,</w:t>
      </w:r>
      <w:r w:rsidR="00510388" w:rsidRPr="00510388">
        <w:rPr>
          <w:rFonts w:ascii="Verdana" w:hAnsi="Verdana" w:cs="Arial"/>
          <w:sz w:val="18"/>
          <w:szCs w:val="18"/>
        </w:rPr>
        <w:t>8</w:t>
      </w:r>
      <w:r w:rsidR="005E0450" w:rsidRPr="00510388">
        <w:rPr>
          <w:rFonts w:ascii="Verdana" w:hAnsi="Verdana" w:cs="Arial"/>
          <w:sz w:val="18"/>
          <w:szCs w:val="18"/>
        </w:rPr>
        <w:t xml:space="preserve"> </w:t>
      </w:r>
      <w:proofErr w:type="spellStart"/>
      <w:r w:rsidR="005E0450" w:rsidRPr="00510388">
        <w:rPr>
          <w:rFonts w:ascii="Verdana" w:hAnsi="Verdana" w:cs="Arial"/>
          <w:sz w:val="18"/>
          <w:szCs w:val="18"/>
        </w:rPr>
        <w:t>mn</w:t>
      </w:r>
      <w:proofErr w:type="spellEnd"/>
      <w:r w:rsidR="005E0450" w:rsidRPr="00510388">
        <w:rPr>
          <w:rFonts w:ascii="Verdana" w:hAnsi="Verdana" w:cs="Arial"/>
          <w:sz w:val="18"/>
          <w:szCs w:val="18"/>
        </w:rPr>
        <w:t xml:space="preserve"> (</w:t>
      </w:r>
      <w:r w:rsidR="00E87FFA" w:rsidRPr="00510388">
        <w:rPr>
          <w:rFonts w:ascii="Verdana" w:hAnsi="Verdana" w:cs="Arial"/>
          <w:sz w:val="18"/>
          <w:szCs w:val="18"/>
        </w:rPr>
        <w:t>+</w:t>
      </w:r>
      <w:r w:rsidR="00815974">
        <w:rPr>
          <w:rFonts w:ascii="Verdana" w:hAnsi="Verdana" w:cs="Arial"/>
          <w:sz w:val="18"/>
          <w:szCs w:val="18"/>
        </w:rPr>
        <w:t>1</w:t>
      </w:r>
      <w:r w:rsidR="005E0450" w:rsidRPr="00510388">
        <w:rPr>
          <w:rFonts w:ascii="Verdana" w:hAnsi="Verdana" w:cs="Arial"/>
          <w:sz w:val="18"/>
          <w:szCs w:val="18"/>
        </w:rPr>
        <w:t>,</w:t>
      </w:r>
      <w:r w:rsidR="00815974">
        <w:rPr>
          <w:rFonts w:ascii="Verdana" w:hAnsi="Verdana" w:cs="Arial"/>
          <w:sz w:val="18"/>
          <w:szCs w:val="18"/>
        </w:rPr>
        <w:t>5</w:t>
      </w:r>
      <w:r w:rsidR="005E0450" w:rsidRPr="00510388">
        <w:rPr>
          <w:rFonts w:ascii="Verdana" w:hAnsi="Verdana" w:cs="Arial"/>
          <w:sz w:val="18"/>
          <w:szCs w:val="18"/>
        </w:rPr>
        <w:t xml:space="preserve">%) </w:t>
      </w:r>
      <w:r w:rsidR="00E87FFA" w:rsidRPr="00510388">
        <w:rPr>
          <w:rFonts w:ascii="Verdana" w:hAnsi="Verdana" w:cs="Arial"/>
          <w:sz w:val="18"/>
          <w:szCs w:val="18"/>
        </w:rPr>
        <w:t xml:space="preserve">and amounted </w:t>
      </w:r>
      <w:r w:rsidR="005E0450" w:rsidRPr="00510388">
        <w:rPr>
          <w:rFonts w:ascii="Verdana" w:hAnsi="Verdana" w:cs="Arial"/>
          <w:sz w:val="18"/>
          <w:szCs w:val="18"/>
        </w:rPr>
        <w:t>to €</w:t>
      </w:r>
      <w:r w:rsidR="00E87FFA" w:rsidRPr="00510388">
        <w:rPr>
          <w:rFonts w:ascii="Verdana" w:hAnsi="Verdana" w:cs="Arial"/>
          <w:sz w:val="18"/>
          <w:szCs w:val="18"/>
        </w:rPr>
        <w:t>8</w:t>
      </w:r>
      <w:r w:rsidR="00815974">
        <w:rPr>
          <w:rFonts w:ascii="Verdana" w:hAnsi="Verdana" w:cs="Arial"/>
          <w:sz w:val="18"/>
          <w:szCs w:val="18"/>
        </w:rPr>
        <w:t>53</w:t>
      </w:r>
      <w:r w:rsidR="005E0450" w:rsidRPr="00510388">
        <w:rPr>
          <w:rFonts w:ascii="Verdana" w:hAnsi="Verdana" w:cs="Arial"/>
          <w:sz w:val="18"/>
          <w:szCs w:val="18"/>
        </w:rPr>
        <w:t>,</w:t>
      </w:r>
      <w:r w:rsidR="00815974">
        <w:rPr>
          <w:rFonts w:ascii="Verdana" w:hAnsi="Verdana" w:cs="Arial"/>
          <w:sz w:val="18"/>
          <w:szCs w:val="18"/>
        </w:rPr>
        <w:t>4</w:t>
      </w:r>
      <w:r w:rsidR="005E0450" w:rsidRPr="00510388">
        <w:rPr>
          <w:rFonts w:ascii="Verdana" w:hAnsi="Verdana" w:cs="Arial"/>
          <w:sz w:val="18"/>
          <w:szCs w:val="18"/>
        </w:rPr>
        <w:t xml:space="preserve"> </w:t>
      </w:r>
      <w:proofErr w:type="spellStart"/>
      <w:r w:rsidR="005E0450" w:rsidRPr="00510388">
        <w:rPr>
          <w:rFonts w:ascii="Verdana" w:hAnsi="Verdana" w:cs="Arial"/>
          <w:sz w:val="18"/>
          <w:szCs w:val="18"/>
        </w:rPr>
        <w:t>mn</w:t>
      </w:r>
      <w:proofErr w:type="spellEnd"/>
      <w:r w:rsidR="005E0450" w:rsidRPr="00510388">
        <w:rPr>
          <w:rFonts w:ascii="Verdana" w:hAnsi="Verdana" w:cs="Arial"/>
          <w:sz w:val="18"/>
          <w:szCs w:val="18"/>
        </w:rPr>
        <w:t xml:space="preserve">, </w:t>
      </w:r>
      <w:r w:rsidR="00E87FFA" w:rsidRPr="00510388">
        <w:rPr>
          <w:rFonts w:ascii="Verdana" w:hAnsi="Verdana" w:cs="Arial"/>
          <w:sz w:val="18"/>
          <w:szCs w:val="18"/>
        </w:rPr>
        <w:t>compared to</w:t>
      </w:r>
      <w:r w:rsidR="00815974">
        <w:rPr>
          <w:rFonts w:ascii="Verdana" w:hAnsi="Verdana" w:cs="Arial"/>
          <w:sz w:val="18"/>
          <w:szCs w:val="18"/>
        </w:rPr>
        <w:t xml:space="preserve"> </w:t>
      </w:r>
      <w:r w:rsidR="005E0450" w:rsidRPr="00510388">
        <w:rPr>
          <w:rFonts w:ascii="Verdana" w:hAnsi="Verdana" w:cs="Arial"/>
          <w:sz w:val="18"/>
          <w:szCs w:val="18"/>
        </w:rPr>
        <w:t>€</w:t>
      </w:r>
      <w:r w:rsidR="00510388" w:rsidRPr="00510388">
        <w:rPr>
          <w:rFonts w:ascii="Verdana" w:hAnsi="Verdana" w:cs="Arial"/>
          <w:sz w:val="18"/>
          <w:szCs w:val="18"/>
        </w:rPr>
        <w:t>8</w:t>
      </w:r>
      <w:r w:rsidR="00815974">
        <w:rPr>
          <w:rFonts w:ascii="Verdana" w:hAnsi="Verdana" w:cs="Arial"/>
          <w:sz w:val="18"/>
          <w:szCs w:val="18"/>
        </w:rPr>
        <w:t>40</w:t>
      </w:r>
      <w:r w:rsidR="005E0450" w:rsidRPr="00510388">
        <w:rPr>
          <w:rFonts w:ascii="Verdana" w:hAnsi="Verdana" w:cs="Arial"/>
          <w:sz w:val="18"/>
          <w:szCs w:val="18"/>
        </w:rPr>
        <w:t>,</w:t>
      </w:r>
      <w:r w:rsidR="00815974">
        <w:rPr>
          <w:rFonts w:ascii="Verdana" w:hAnsi="Verdana" w:cs="Arial"/>
          <w:sz w:val="18"/>
          <w:szCs w:val="18"/>
        </w:rPr>
        <w:t>6</w:t>
      </w:r>
      <w:r w:rsidR="005E0450" w:rsidRPr="00510388">
        <w:rPr>
          <w:rFonts w:ascii="Verdana" w:hAnsi="Verdana" w:cs="Arial"/>
          <w:sz w:val="18"/>
          <w:szCs w:val="18"/>
        </w:rPr>
        <w:t xml:space="preserve"> </w:t>
      </w:r>
      <w:proofErr w:type="spellStart"/>
      <w:r w:rsidR="005E0450" w:rsidRPr="00510388">
        <w:rPr>
          <w:rFonts w:ascii="Verdana" w:hAnsi="Verdana" w:cs="Arial"/>
          <w:sz w:val="18"/>
          <w:szCs w:val="18"/>
        </w:rPr>
        <w:t>mn</w:t>
      </w:r>
      <w:proofErr w:type="spellEnd"/>
      <w:r w:rsidR="005E0450" w:rsidRPr="00510388">
        <w:rPr>
          <w:rFonts w:ascii="Verdana" w:hAnsi="Verdana" w:cs="Arial"/>
          <w:sz w:val="18"/>
          <w:szCs w:val="18"/>
        </w:rPr>
        <w:t xml:space="preserve"> in 202</w:t>
      </w:r>
      <w:r w:rsidR="009C201E" w:rsidRPr="00510388">
        <w:rPr>
          <w:rFonts w:ascii="Verdana" w:hAnsi="Verdana" w:cs="Arial"/>
          <w:sz w:val="18"/>
          <w:szCs w:val="18"/>
        </w:rPr>
        <w:t>2</w:t>
      </w:r>
      <w:r w:rsidR="005E0450" w:rsidRPr="00510388">
        <w:rPr>
          <w:rFonts w:ascii="Verdana" w:hAnsi="Verdana" w:cs="Arial"/>
          <w:sz w:val="18"/>
          <w:szCs w:val="18"/>
        </w:rPr>
        <w:t>.</w:t>
      </w:r>
      <w:r w:rsidR="00510388" w:rsidRPr="00510388">
        <w:rPr>
          <w:rFonts w:ascii="Verdana" w:hAnsi="Verdana" w:cs="Arial"/>
          <w:sz w:val="18"/>
          <w:szCs w:val="18"/>
        </w:rPr>
        <w:t xml:space="preserve"> C</w:t>
      </w:r>
      <w:r w:rsidR="00865CD8" w:rsidRPr="00510388">
        <w:rPr>
          <w:rFonts w:ascii="Verdana" w:hAnsi="Verdana" w:cs="Arial"/>
          <w:sz w:val="18"/>
          <w:szCs w:val="18"/>
        </w:rPr>
        <w:t xml:space="preserve">apital transfers </w:t>
      </w:r>
      <w:r w:rsidR="00510388" w:rsidRPr="00510388">
        <w:rPr>
          <w:rFonts w:ascii="Verdana" w:hAnsi="Verdana" w:cs="Arial"/>
          <w:sz w:val="18"/>
          <w:szCs w:val="18"/>
        </w:rPr>
        <w:t>in</w:t>
      </w:r>
      <w:r w:rsidR="00865CD8" w:rsidRPr="00510388">
        <w:rPr>
          <w:rFonts w:ascii="Verdana" w:hAnsi="Verdana" w:cs="Arial"/>
          <w:sz w:val="18"/>
          <w:szCs w:val="18"/>
        </w:rPr>
        <w:t>creased by €</w:t>
      </w:r>
      <w:r w:rsidR="00815974">
        <w:rPr>
          <w:rFonts w:ascii="Verdana" w:hAnsi="Verdana" w:cs="Arial"/>
          <w:sz w:val="18"/>
          <w:szCs w:val="18"/>
        </w:rPr>
        <w:t>65</w:t>
      </w:r>
      <w:r w:rsidR="00865CD8" w:rsidRPr="00510388">
        <w:rPr>
          <w:rFonts w:ascii="Verdana" w:hAnsi="Verdana" w:cs="Arial"/>
          <w:sz w:val="18"/>
          <w:szCs w:val="18"/>
        </w:rPr>
        <w:t>,</w:t>
      </w:r>
      <w:r w:rsidR="00815974">
        <w:rPr>
          <w:rFonts w:ascii="Verdana" w:hAnsi="Verdana" w:cs="Arial"/>
          <w:sz w:val="18"/>
          <w:szCs w:val="18"/>
        </w:rPr>
        <w:t>1</w:t>
      </w:r>
      <w:r w:rsidR="00865CD8" w:rsidRPr="00510388">
        <w:rPr>
          <w:rFonts w:ascii="Verdana" w:hAnsi="Verdana" w:cs="Arial"/>
          <w:sz w:val="18"/>
          <w:szCs w:val="18"/>
        </w:rPr>
        <w:t xml:space="preserve"> mn (</w:t>
      </w:r>
      <w:r w:rsidR="00510388" w:rsidRPr="00510388">
        <w:rPr>
          <w:rFonts w:ascii="Verdana" w:hAnsi="Verdana" w:cs="Arial"/>
          <w:sz w:val="18"/>
          <w:szCs w:val="18"/>
        </w:rPr>
        <w:t>+2</w:t>
      </w:r>
      <w:r w:rsidR="00815974">
        <w:rPr>
          <w:rFonts w:ascii="Verdana" w:hAnsi="Verdana" w:cs="Arial"/>
          <w:sz w:val="18"/>
          <w:szCs w:val="18"/>
        </w:rPr>
        <w:t>2</w:t>
      </w:r>
      <w:r w:rsidR="000E72FC" w:rsidRPr="00510388">
        <w:rPr>
          <w:rFonts w:ascii="Verdana" w:hAnsi="Verdana" w:cs="Arial"/>
          <w:sz w:val="18"/>
          <w:szCs w:val="18"/>
        </w:rPr>
        <w:t>,</w:t>
      </w:r>
      <w:r w:rsidR="00815974">
        <w:rPr>
          <w:rFonts w:ascii="Verdana" w:hAnsi="Verdana" w:cs="Arial"/>
          <w:sz w:val="18"/>
          <w:szCs w:val="18"/>
        </w:rPr>
        <w:t>2</w:t>
      </w:r>
      <w:r w:rsidR="00865CD8" w:rsidRPr="00510388">
        <w:rPr>
          <w:rFonts w:ascii="Verdana" w:hAnsi="Verdana" w:cs="Arial"/>
          <w:sz w:val="18"/>
          <w:szCs w:val="18"/>
        </w:rPr>
        <w:t xml:space="preserve">%) </w:t>
      </w:r>
      <w:r w:rsidR="00510388" w:rsidRPr="00510388">
        <w:rPr>
          <w:rFonts w:ascii="Verdana" w:hAnsi="Verdana" w:cs="Arial"/>
          <w:sz w:val="18"/>
          <w:szCs w:val="18"/>
        </w:rPr>
        <w:t xml:space="preserve">and amounted </w:t>
      </w:r>
      <w:r w:rsidR="00865CD8" w:rsidRPr="00510388">
        <w:rPr>
          <w:rFonts w:ascii="Verdana" w:hAnsi="Verdana" w:cs="Arial"/>
          <w:sz w:val="18"/>
          <w:szCs w:val="18"/>
        </w:rPr>
        <w:t>to €</w:t>
      </w:r>
      <w:r w:rsidR="00510388" w:rsidRPr="00510388">
        <w:rPr>
          <w:rFonts w:ascii="Verdana" w:hAnsi="Verdana" w:cs="Arial"/>
          <w:sz w:val="18"/>
          <w:szCs w:val="18"/>
        </w:rPr>
        <w:t>35</w:t>
      </w:r>
      <w:r w:rsidR="00815974">
        <w:rPr>
          <w:rFonts w:ascii="Verdana" w:hAnsi="Verdana" w:cs="Arial"/>
          <w:sz w:val="18"/>
          <w:szCs w:val="18"/>
        </w:rPr>
        <w:t>7</w:t>
      </w:r>
      <w:r w:rsidR="00865CD8" w:rsidRPr="00510388">
        <w:rPr>
          <w:rFonts w:ascii="Verdana" w:hAnsi="Verdana" w:cs="Arial"/>
          <w:sz w:val="18"/>
          <w:szCs w:val="18"/>
        </w:rPr>
        <w:t>,</w:t>
      </w:r>
      <w:r w:rsidR="00510388" w:rsidRPr="00510388">
        <w:rPr>
          <w:rFonts w:ascii="Verdana" w:hAnsi="Verdana" w:cs="Arial"/>
          <w:sz w:val="18"/>
          <w:szCs w:val="18"/>
        </w:rPr>
        <w:t>9</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w:t>
      </w:r>
      <w:r w:rsidR="00510388" w:rsidRPr="00510388">
        <w:rPr>
          <w:rFonts w:ascii="Verdana" w:hAnsi="Verdana" w:cs="Arial"/>
          <w:sz w:val="18"/>
          <w:szCs w:val="18"/>
        </w:rPr>
        <w:t>compared to</w:t>
      </w:r>
      <w:r w:rsidR="00865CD8" w:rsidRPr="00510388">
        <w:rPr>
          <w:rFonts w:ascii="Verdana" w:hAnsi="Verdana" w:cs="Arial"/>
          <w:sz w:val="18"/>
          <w:szCs w:val="18"/>
        </w:rPr>
        <w:t xml:space="preserve"> €</w:t>
      </w:r>
      <w:r w:rsidR="00510388" w:rsidRPr="00510388">
        <w:rPr>
          <w:rFonts w:ascii="Verdana" w:hAnsi="Verdana" w:cs="Arial"/>
          <w:sz w:val="18"/>
          <w:szCs w:val="18"/>
        </w:rPr>
        <w:t>2</w:t>
      </w:r>
      <w:r w:rsidR="00815974">
        <w:rPr>
          <w:rFonts w:ascii="Verdana" w:hAnsi="Verdana" w:cs="Arial"/>
          <w:sz w:val="18"/>
          <w:szCs w:val="18"/>
        </w:rPr>
        <w:t>92</w:t>
      </w:r>
      <w:r w:rsidR="00865CD8" w:rsidRPr="00510388">
        <w:rPr>
          <w:rFonts w:ascii="Verdana" w:hAnsi="Verdana" w:cs="Arial"/>
          <w:sz w:val="18"/>
          <w:szCs w:val="18"/>
        </w:rPr>
        <w:t>,</w:t>
      </w:r>
      <w:r w:rsidR="00815974">
        <w:rPr>
          <w:rFonts w:ascii="Verdana" w:hAnsi="Verdana" w:cs="Arial"/>
          <w:sz w:val="18"/>
          <w:szCs w:val="18"/>
        </w:rPr>
        <w:t>8</w:t>
      </w:r>
      <w:r w:rsidR="000E72FC" w:rsidRPr="00510388">
        <w:rPr>
          <w:rFonts w:ascii="Verdana" w:hAnsi="Verdana" w:cs="Arial"/>
          <w:sz w:val="18"/>
          <w:szCs w:val="18"/>
        </w:rPr>
        <w:t xml:space="preserve"> </w:t>
      </w:r>
      <w:proofErr w:type="spellStart"/>
      <w:r w:rsidR="000E72FC" w:rsidRPr="00510388">
        <w:rPr>
          <w:rFonts w:ascii="Verdana" w:hAnsi="Verdana" w:cs="Arial"/>
          <w:sz w:val="18"/>
          <w:szCs w:val="18"/>
        </w:rPr>
        <w:t>mn</w:t>
      </w:r>
      <w:proofErr w:type="spellEnd"/>
      <w:r w:rsidR="000E72FC" w:rsidRPr="00510388">
        <w:rPr>
          <w:rFonts w:ascii="Verdana" w:hAnsi="Verdana" w:cs="Arial"/>
          <w:sz w:val="18"/>
          <w:szCs w:val="18"/>
        </w:rPr>
        <w:t xml:space="preserve"> in </w:t>
      </w:r>
      <w:r w:rsidR="00865CD8" w:rsidRPr="00510388">
        <w:rPr>
          <w:rFonts w:ascii="Verdana" w:hAnsi="Verdana" w:cs="Arial"/>
          <w:sz w:val="18"/>
          <w:szCs w:val="18"/>
        </w:rPr>
        <w:t>202</w:t>
      </w:r>
      <w:r w:rsidR="009C201E" w:rsidRPr="00510388">
        <w:rPr>
          <w:rFonts w:ascii="Verdana" w:hAnsi="Verdana" w:cs="Arial"/>
          <w:sz w:val="18"/>
          <w:szCs w:val="18"/>
        </w:rPr>
        <w:t>2</w:t>
      </w:r>
      <w:r w:rsidR="00865CD8" w:rsidRPr="00510388">
        <w:rPr>
          <w:rFonts w:ascii="Verdana" w:hAnsi="Verdana" w:cs="Arial"/>
          <w:sz w:val="18"/>
          <w:szCs w:val="18"/>
        </w:rPr>
        <w:t xml:space="preserve">. </w:t>
      </w:r>
    </w:p>
    <w:p w14:paraId="5EE07C5B" w14:textId="77777777" w:rsidR="00972CA0" w:rsidRPr="00510388" w:rsidRDefault="00463214" w:rsidP="00C26329">
      <w:pPr>
        <w:jc w:val="both"/>
        <w:rPr>
          <w:rFonts w:ascii="Arial" w:hAnsi="Arial" w:cs="Arial"/>
          <w:sz w:val="18"/>
          <w:szCs w:val="18"/>
        </w:rPr>
      </w:pPr>
      <w:r w:rsidRPr="00510388">
        <w:rPr>
          <w:rFonts w:ascii="Arial" w:hAnsi="Arial" w:cs="Arial"/>
          <w:sz w:val="18"/>
          <w:szCs w:val="18"/>
        </w:rPr>
        <w:tab/>
      </w:r>
    </w:p>
    <w:p w14:paraId="650FA285" w14:textId="77777777" w:rsidR="00A13B2F" w:rsidRPr="00014426" w:rsidRDefault="00A13B2F" w:rsidP="00A13B2F">
      <w:pPr>
        <w:jc w:val="both"/>
        <w:rPr>
          <w:rFonts w:ascii="Verdana" w:hAnsi="Verdana" w:cs="Arial"/>
          <w:b/>
          <w:bCs/>
          <w:sz w:val="18"/>
          <w:szCs w:val="18"/>
          <w:u w:val="single"/>
        </w:rPr>
      </w:pPr>
      <w:r w:rsidRPr="00014426">
        <w:rPr>
          <w:rFonts w:ascii="Verdana" w:hAnsi="Verdana" w:cs="Arial"/>
          <w:b/>
          <w:bCs/>
          <w:sz w:val="18"/>
          <w:szCs w:val="18"/>
          <w:u w:val="single"/>
        </w:rPr>
        <w:t>Expenditure</w:t>
      </w:r>
    </w:p>
    <w:p w14:paraId="23DAC500" w14:textId="77777777" w:rsidR="00A13B2F" w:rsidRPr="00014426" w:rsidRDefault="00A13B2F" w:rsidP="00A13B2F">
      <w:pPr>
        <w:jc w:val="both"/>
        <w:rPr>
          <w:rFonts w:ascii="Verdana" w:hAnsi="Verdana" w:cs="Arial"/>
          <w:sz w:val="18"/>
          <w:szCs w:val="18"/>
        </w:rPr>
      </w:pPr>
    </w:p>
    <w:p w14:paraId="1AC44E12" w14:textId="70D0C041" w:rsidR="009206B5" w:rsidRPr="00014426" w:rsidRDefault="008B721B" w:rsidP="009206B5">
      <w:pPr>
        <w:jc w:val="both"/>
        <w:rPr>
          <w:rFonts w:ascii="Verdana" w:hAnsi="Verdana" w:cs="Arial"/>
          <w:sz w:val="18"/>
          <w:szCs w:val="18"/>
        </w:rPr>
      </w:pPr>
      <w:r w:rsidRPr="00014426">
        <w:rPr>
          <w:rFonts w:ascii="Verdana" w:hAnsi="Verdana" w:cs="Arial"/>
          <w:sz w:val="18"/>
          <w:szCs w:val="18"/>
        </w:rPr>
        <w:t>In 202</w:t>
      </w:r>
      <w:r w:rsidR="009C201E" w:rsidRPr="00014426">
        <w:rPr>
          <w:rFonts w:ascii="Verdana" w:hAnsi="Verdana" w:cs="Arial"/>
          <w:sz w:val="18"/>
          <w:szCs w:val="18"/>
        </w:rPr>
        <w:t>3</w:t>
      </w:r>
      <w:r w:rsidR="009206B5" w:rsidRPr="00014426">
        <w:rPr>
          <w:rFonts w:ascii="Verdana" w:hAnsi="Verdana" w:cs="Arial"/>
          <w:sz w:val="18"/>
          <w:szCs w:val="18"/>
        </w:rPr>
        <w:t xml:space="preserve">, total expenditure increased by </w:t>
      </w:r>
      <w:r w:rsidR="00014426" w:rsidRPr="00014426">
        <w:rPr>
          <w:rFonts w:ascii="Verdana" w:hAnsi="Verdana" w:cs="Arial"/>
          <w:sz w:val="18"/>
          <w:szCs w:val="18"/>
        </w:rPr>
        <w:t>€1.</w:t>
      </w:r>
      <w:r w:rsidR="005A73D2">
        <w:rPr>
          <w:rFonts w:ascii="Verdana" w:hAnsi="Verdana" w:cs="Arial"/>
          <w:sz w:val="18"/>
          <w:szCs w:val="18"/>
        </w:rPr>
        <w:t>970</w:t>
      </w:r>
      <w:r w:rsidR="00014426" w:rsidRPr="00014426">
        <w:rPr>
          <w:rFonts w:ascii="Verdana" w:hAnsi="Verdana" w:cs="Arial"/>
          <w:sz w:val="18"/>
          <w:szCs w:val="18"/>
        </w:rPr>
        <w:t>,</w:t>
      </w:r>
      <w:r w:rsidR="005A73D2">
        <w:rPr>
          <w:rFonts w:ascii="Verdana" w:hAnsi="Verdana" w:cs="Arial"/>
          <w:sz w:val="18"/>
          <w:szCs w:val="18"/>
        </w:rPr>
        <w:t>1</w:t>
      </w:r>
      <w:r w:rsidR="00014426" w:rsidRPr="00014426">
        <w:rPr>
          <w:rFonts w:ascii="Verdana" w:hAnsi="Verdana" w:cs="Arial"/>
          <w:sz w:val="18"/>
          <w:szCs w:val="18"/>
        </w:rPr>
        <w:t xml:space="preserve"> </w:t>
      </w:r>
      <w:proofErr w:type="spellStart"/>
      <w:r w:rsidR="009206B5" w:rsidRPr="00014426">
        <w:rPr>
          <w:rFonts w:ascii="Verdana" w:hAnsi="Verdana" w:cs="Arial"/>
          <w:sz w:val="18"/>
          <w:szCs w:val="18"/>
        </w:rPr>
        <w:t>mn</w:t>
      </w:r>
      <w:proofErr w:type="spellEnd"/>
      <w:r w:rsidR="009206B5" w:rsidRPr="00014426">
        <w:rPr>
          <w:rFonts w:ascii="Verdana" w:hAnsi="Verdana" w:cs="Arial"/>
          <w:sz w:val="18"/>
          <w:szCs w:val="18"/>
        </w:rPr>
        <w:t xml:space="preserve"> (+</w:t>
      </w:r>
      <w:r w:rsidR="00014426" w:rsidRPr="00014426">
        <w:rPr>
          <w:rFonts w:ascii="Verdana" w:hAnsi="Verdana" w:cs="Arial"/>
          <w:sz w:val="18"/>
          <w:szCs w:val="18"/>
        </w:rPr>
        <w:t>1</w:t>
      </w:r>
      <w:r w:rsidR="005A73D2">
        <w:rPr>
          <w:rFonts w:ascii="Verdana" w:hAnsi="Verdana" w:cs="Arial"/>
          <w:sz w:val="18"/>
          <w:szCs w:val="18"/>
        </w:rPr>
        <w:t>7</w:t>
      </w:r>
      <w:r w:rsidR="009206B5" w:rsidRPr="00014426">
        <w:rPr>
          <w:rFonts w:ascii="Verdana" w:hAnsi="Verdana" w:cs="Arial"/>
          <w:sz w:val="18"/>
          <w:szCs w:val="18"/>
        </w:rPr>
        <w:t>,</w:t>
      </w:r>
      <w:r w:rsidR="005A73D2">
        <w:rPr>
          <w:rFonts w:ascii="Verdana" w:hAnsi="Verdana" w:cs="Arial"/>
          <w:sz w:val="18"/>
          <w:szCs w:val="18"/>
        </w:rPr>
        <w:t>7</w:t>
      </w:r>
      <w:r w:rsidR="009206B5" w:rsidRPr="00014426">
        <w:rPr>
          <w:rFonts w:ascii="Verdana" w:hAnsi="Verdana" w:cs="Arial"/>
          <w:sz w:val="18"/>
          <w:szCs w:val="18"/>
        </w:rPr>
        <w:t>%) and amounted to €</w:t>
      </w:r>
      <w:r w:rsidR="00152950" w:rsidRPr="00014426">
        <w:rPr>
          <w:rFonts w:ascii="Verdana" w:hAnsi="Verdana" w:cs="Arial"/>
          <w:sz w:val="18"/>
          <w:szCs w:val="18"/>
        </w:rPr>
        <w:t>1</w:t>
      </w:r>
      <w:r w:rsidR="005A73D2">
        <w:rPr>
          <w:rFonts w:ascii="Verdana" w:hAnsi="Verdana" w:cs="Arial"/>
          <w:sz w:val="18"/>
          <w:szCs w:val="18"/>
        </w:rPr>
        <w:t>3</w:t>
      </w:r>
      <w:r w:rsidR="009206B5" w:rsidRPr="00014426">
        <w:rPr>
          <w:rFonts w:ascii="Verdana" w:hAnsi="Verdana" w:cs="Arial"/>
          <w:sz w:val="18"/>
          <w:szCs w:val="18"/>
        </w:rPr>
        <w:t>.</w:t>
      </w:r>
      <w:r w:rsidR="005A73D2">
        <w:rPr>
          <w:rFonts w:ascii="Verdana" w:hAnsi="Verdana" w:cs="Arial"/>
          <w:sz w:val="18"/>
          <w:szCs w:val="18"/>
        </w:rPr>
        <w:t>130</w:t>
      </w:r>
      <w:r w:rsidR="009206B5" w:rsidRPr="00014426">
        <w:rPr>
          <w:rFonts w:ascii="Verdana" w:hAnsi="Verdana" w:cs="Arial"/>
          <w:sz w:val="18"/>
          <w:szCs w:val="18"/>
        </w:rPr>
        <w:t>,</w:t>
      </w:r>
      <w:r w:rsidR="005A73D2">
        <w:rPr>
          <w:rFonts w:ascii="Verdana" w:hAnsi="Verdana" w:cs="Arial"/>
          <w:sz w:val="18"/>
          <w:szCs w:val="18"/>
        </w:rPr>
        <w:t>0</w:t>
      </w:r>
      <w:r w:rsidR="009206B5" w:rsidRPr="00014426">
        <w:rPr>
          <w:rFonts w:ascii="Verdana" w:hAnsi="Verdana" w:cs="Arial"/>
          <w:sz w:val="18"/>
          <w:szCs w:val="18"/>
        </w:rPr>
        <w:t xml:space="preserve"> </w:t>
      </w:r>
      <w:proofErr w:type="spellStart"/>
      <w:r w:rsidR="009206B5" w:rsidRPr="00014426">
        <w:rPr>
          <w:rFonts w:ascii="Verdana" w:hAnsi="Verdana" w:cs="Arial"/>
          <w:sz w:val="18"/>
          <w:szCs w:val="18"/>
        </w:rPr>
        <w:t>mn</w:t>
      </w:r>
      <w:proofErr w:type="spellEnd"/>
      <w:r w:rsidR="009206B5" w:rsidRPr="00014426">
        <w:rPr>
          <w:rFonts w:ascii="Verdana" w:hAnsi="Verdana" w:cs="Arial"/>
          <w:sz w:val="18"/>
          <w:szCs w:val="18"/>
        </w:rPr>
        <w:t>, from €</w:t>
      </w:r>
      <w:r w:rsidR="00152950" w:rsidRPr="00014426">
        <w:rPr>
          <w:rFonts w:ascii="Verdana" w:hAnsi="Verdana" w:cs="Arial"/>
          <w:sz w:val="18"/>
          <w:szCs w:val="18"/>
        </w:rPr>
        <w:t>1</w:t>
      </w:r>
      <w:r w:rsidR="005A73D2">
        <w:rPr>
          <w:rFonts w:ascii="Verdana" w:hAnsi="Verdana" w:cs="Arial"/>
          <w:sz w:val="18"/>
          <w:szCs w:val="18"/>
        </w:rPr>
        <w:t>1</w:t>
      </w:r>
      <w:r w:rsidR="009206B5" w:rsidRPr="00014426">
        <w:rPr>
          <w:rFonts w:ascii="Verdana" w:hAnsi="Verdana" w:cs="Arial"/>
          <w:sz w:val="18"/>
          <w:szCs w:val="18"/>
        </w:rPr>
        <w:t>.</w:t>
      </w:r>
      <w:r w:rsidR="005A73D2">
        <w:rPr>
          <w:rFonts w:ascii="Verdana" w:hAnsi="Verdana" w:cs="Arial"/>
          <w:sz w:val="18"/>
          <w:szCs w:val="18"/>
        </w:rPr>
        <w:t>159</w:t>
      </w:r>
      <w:r w:rsidR="009206B5" w:rsidRPr="00014426">
        <w:rPr>
          <w:rFonts w:ascii="Verdana" w:hAnsi="Verdana" w:cs="Arial"/>
          <w:sz w:val="18"/>
          <w:szCs w:val="18"/>
        </w:rPr>
        <w:t>,</w:t>
      </w:r>
      <w:r w:rsidR="005A73D2">
        <w:rPr>
          <w:rFonts w:ascii="Verdana" w:hAnsi="Verdana" w:cs="Arial"/>
          <w:sz w:val="18"/>
          <w:szCs w:val="18"/>
        </w:rPr>
        <w:t>9</w:t>
      </w:r>
      <w:r w:rsidR="009206B5" w:rsidRPr="00014426">
        <w:rPr>
          <w:rFonts w:ascii="Verdana" w:hAnsi="Verdana" w:cs="Arial"/>
          <w:sz w:val="18"/>
          <w:szCs w:val="18"/>
        </w:rPr>
        <w:t xml:space="preserve"> </w:t>
      </w:r>
      <w:proofErr w:type="spellStart"/>
      <w:r w:rsidR="009206B5" w:rsidRPr="00014426">
        <w:rPr>
          <w:rFonts w:ascii="Verdana" w:hAnsi="Verdana" w:cs="Arial"/>
          <w:sz w:val="18"/>
          <w:szCs w:val="18"/>
        </w:rPr>
        <w:t>mn</w:t>
      </w:r>
      <w:proofErr w:type="spellEnd"/>
      <w:r w:rsidR="009206B5" w:rsidRPr="00014426">
        <w:rPr>
          <w:rFonts w:ascii="Verdana" w:hAnsi="Verdana" w:cs="Arial"/>
          <w:sz w:val="18"/>
          <w:szCs w:val="18"/>
        </w:rPr>
        <w:t xml:space="preserve"> in 202</w:t>
      </w:r>
      <w:r w:rsidR="009C201E" w:rsidRPr="00014426">
        <w:rPr>
          <w:rFonts w:ascii="Verdana" w:hAnsi="Verdana" w:cs="Arial"/>
          <w:sz w:val="18"/>
          <w:szCs w:val="18"/>
        </w:rPr>
        <w:t>2</w:t>
      </w:r>
      <w:r w:rsidR="009206B5" w:rsidRPr="00014426">
        <w:rPr>
          <w:rFonts w:ascii="Verdana" w:hAnsi="Verdana" w:cs="Arial"/>
          <w:sz w:val="18"/>
          <w:szCs w:val="18"/>
        </w:rPr>
        <w:t xml:space="preserve">. </w:t>
      </w:r>
    </w:p>
    <w:p w14:paraId="77F3BD6F" w14:textId="77777777" w:rsidR="009206B5" w:rsidRPr="009C201E" w:rsidRDefault="009206B5" w:rsidP="009206B5">
      <w:pPr>
        <w:jc w:val="both"/>
        <w:rPr>
          <w:rFonts w:ascii="Verdana" w:hAnsi="Verdana" w:cs="Arial"/>
          <w:sz w:val="18"/>
          <w:szCs w:val="18"/>
          <w:highlight w:val="yellow"/>
        </w:rPr>
      </w:pPr>
    </w:p>
    <w:p w14:paraId="536CAC78" w14:textId="000832FD" w:rsidR="003254B5" w:rsidRPr="00C26329" w:rsidRDefault="009206B5" w:rsidP="003254B5">
      <w:pPr>
        <w:jc w:val="both"/>
        <w:rPr>
          <w:rFonts w:ascii="Verdana" w:eastAsia="Malgun Gothic" w:hAnsi="Verdana" w:cs="Arial"/>
          <w:sz w:val="18"/>
          <w:szCs w:val="18"/>
        </w:rPr>
      </w:pPr>
      <w:r w:rsidRPr="00342957">
        <w:rPr>
          <w:rFonts w:ascii="Verdana" w:hAnsi="Verdana" w:cs="Arial"/>
          <w:sz w:val="18"/>
          <w:szCs w:val="18"/>
        </w:rPr>
        <w:t xml:space="preserve">Specifically, </w:t>
      </w:r>
      <w:r w:rsidR="00342957">
        <w:rPr>
          <w:rFonts w:ascii="Verdana" w:hAnsi="Verdana" w:cs="Arial"/>
          <w:sz w:val="18"/>
          <w:szCs w:val="18"/>
        </w:rPr>
        <w:t>c</w:t>
      </w:r>
      <w:r w:rsidR="00152950" w:rsidRPr="00342957">
        <w:rPr>
          <w:rFonts w:ascii="Verdana" w:hAnsi="Verdana" w:cs="Arial"/>
          <w:sz w:val="18"/>
          <w:szCs w:val="18"/>
        </w:rPr>
        <w:t>ompensation of employees (including imputed social contributions and pensions of civil servants) increased by €</w:t>
      </w:r>
      <w:r w:rsidR="00342957" w:rsidRPr="00342957">
        <w:rPr>
          <w:rFonts w:ascii="Verdana" w:hAnsi="Verdana" w:cs="Arial"/>
          <w:sz w:val="18"/>
          <w:szCs w:val="18"/>
        </w:rPr>
        <w:t>4</w:t>
      </w:r>
      <w:r w:rsidR="005A73D2">
        <w:rPr>
          <w:rFonts w:ascii="Verdana" w:hAnsi="Verdana" w:cs="Arial"/>
          <w:sz w:val="18"/>
          <w:szCs w:val="18"/>
        </w:rPr>
        <w:t>23</w:t>
      </w:r>
      <w:r w:rsidR="00152950" w:rsidRPr="00342957">
        <w:rPr>
          <w:rFonts w:ascii="Verdana" w:hAnsi="Verdana" w:cs="Arial"/>
          <w:sz w:val="18"/>
          <w:szCs w:val="18"/>
        </w:rPr>
        <w:t>,</w:t>
      </w:r>
      <w:r w:rsidR="005A73D2">
        <w:rPr>
          <w:rFonts w:ascii="Verdana" w:hAnsi="Verdana" w:cs="Arial"/>
          <w:sz w:val="18"/>
          <w:szCs w:val="18"/>
        </w:rPr>
        <w:t>6</w:t>
      </w:r>
      <w:r w:rsidR="00152950" w:rsidRPr="00342957">
        <w:rPr>
          <w:rFonts w:ascii="Verdana" w:hAnsi="Verdana" w:cs="Arial"/>
          <w:sz w:val="18"/>
          <w:szCs w:val="18"/>
        </w:rPr>
        <w:t xml:space="preserve"> </w:t>
      </w:r>
      <w:proofErr w:type="spellStart"/>
      <w:r w:rsidR="00152950" w:rsidRPr="00342957">
        <w:rPr>
          <w:rFonts w:ascii="Verdana" w:hAnsi="Verdana" w:cs="Arial"/>
          <w:sz w:val="18"/>
          <w:szCs w:val="18"/>
        </w:rPr>
        <w:t>mn</w:t>
      </w:r>
      <w:proofErr w:type="spellEnd"/>
      <w:r w:rsidR="00152950" w:rsidRPr="00342957">
        <w:rPr>
          <w:rFonts w:ascii="Verdana" w:hAnsi="Verdana" w:cs="Arial"/>
          <w:sz w:val="18"/>
          <w:szCs w:val="18"/>
        </w:rPr>
        <w:t xml:space="preserve"> (+</w:t>
      </w:r>
      <w:r w:rsidR="00342957" w:rsidRPr="00342957">
        <w:rPr>
          <w:rFonts w:ascii="Verdana" w:hAnsi="Verdana" w:cs="Arial"/>
          <w:sz w:val="18"/>
          <w:szCs w:val="18"/>
        </w:rPr>
        <w:t>1</w:t>
      </w:r>
      <w:r w:rsidR="005A73D2">
        <w:rPr>
          <w:rFonts w:ascii="Verdana" w:hAnsi="Verdana" w:cs="Arial"/>
          <w:sz w:val="18"/>
          <w:szCs w:val="18"/>
        </w:rPr>
        <w:t>3</w:t>
      </w:r>
      <w:r w:rsidR="00152950" w:rsidRPr="00342957">
        <w:rPr>
          <w:rFonts w:ascii="Verdana" w:hAnsi="Verdana" w:cs="Arial"/>
          <w:sz w:val="18"/>
          <w:szCs w:val="18"/>
        </w:rPr>
        <w:t>,</w:t>
      </w:r>
      <w:r w:rsidR="005A73D2">
        <w:rPr>
          <w:rFonts w:ascii="Verdana" w:hAnsi="Verdana" w:cs="Arial"/>
          <w:sz w:val="18"/>
          <w:szCs w:val="18"/>
        </w:rPr>
        <w:t>4</w:t>
      </w:r>
      <w:r w:rsidR="00152950" w:rsidRPr="00342957">
        <w:rPr>
          <w:rFonts w:ascii="Verdana" w:hAnsi="Verdana" w:cs="Arial"/>
          <w:sz w:val="18"/>
          <w:szCs w:val="18"/>
        </w:rPr>
        <w:t>%) and amounted to €3.</w:t>
      </w:r>
      <w:r w:rsidR="00342957" w:rsidRPr="00342957">
        <w:rPr>
          <w:rFonts w:ascii="Verdana" w:hAnsi="Verdana" w:cs="Arial"/>
          <w:sz w:val="18"/>
          <w:szCs w:val="18"/>
        </w:rPr>
        <w:t>5</w:t>
      </w:r>
      <w:r w:rsidR="005A73D2">
        <w:rPr>
          <w:rFonts w:ascii="Verdana" w:hAnsi="Verdana" w:cs="Arial"/>
          <w:sz w:val="18"/>
          <w:szCs w:val="18"/>
        </w:rPr>
        <w:t>91</w:t>
      </w:r>
      <w:r w:rsidR="00152950" w:rsidRPr="00342957">
        <w:rPr>
          <w:rFonts w:ascii="Verdana" w:hAnsi="Verdana" w:cs="Arial"/>
          <w:sz w:val="18"/>
          <w:szCs w:val="18"/>
        </w:rPr>
        <w:t>,</w:t>
      </w:r>
      <w:r w:rsidR="005A73D2">
        <w:rPr>
          <w:rFonts w:ascii="Verdana" w:hAnsi="Verdana" w:cs="Arial"/>
          <w:sz w:val="18"/>
          <w:szCs w:val="18"/>
        </w:rPr>
        <w:t>8</w:t>
      </w:r>
      <w:r w:rsidR="00152950" w:rsidRPr="00342957">
        <w:rPr>
          <w:rFonts w:ascii="Verdana" w:hAnsi="Verdana" w:cs="Arial"/>
          <w:sz w:val="18"/>
          <w:szCs w:val="18"/>
        </w:rPr>
        <w:t xml:space="preserve"> </w:t>
      </w:r>
      <w:proofErr w:type="spellStart"/>
      <w:r w:rsidR="00152950" w:rsidRPr="00342957">
        <w:rPr>
          <w:rFonts w:ascii="Verdana" w:hAnsi="Verdana" w:cs="Arial"/>
          <w:sz w:val="18"/>
          <w:szCs w:val="18"/>
        </w:rPr>
        <w:t>mn</w:t>
      </w:r>
      <w:proofErr w:type="spellEnd"/>
      <w:r w:rsidR="00152950" w:rsidRPr="00342957">
        <w:rPr>
          <w:rFonts w:ascii="Verdana" w:hAnsi="Verdana" w:cs="Arial"/>
          <w:sz w:val="18"/>
          <w:szCs w:val="18"/>
        </w:rPr>
        <w:t>, compared to €</w:t>
      </w:r>
      <w:r w:rsidR="00342957" w:rsidRPr="00342957">
        <w:rPr>
          <w:rFonts w:ascii="Verdana" w:hAnsi="Verdana" w:cs="Arial"/>
          <w:sz w:val="18"/>
          <w:szCs w:val="18"/>
        </w:rPr>
        <w:t>3</w:t>
      </w:r>
      <w:r w:rsidR="00152950" w:rsidRPr="00342957">
        <w:rPr>
          <w:rFonts w:ascii="Verdana" w:hAnsi="Verdana" w:cs="Arial"/>
          <w:sz w:val="18"/>
          <w:szCs w:val="18"/>
        </w:rPr>
        <w:t>.</w:t>
      </w:r>
      <w:r w:rsidR="00342957" w:rsidRPr="00342957">
        <w:rPr>
          <w:rFonts w:ascii="Verdana" w:hAnsi="Verdana" w:cs="Arial"/>
          <w:sz w:val="18"/>
          <w:szCs w:val="18"/>
        </w:rPr>
        <w:t>1</w:t>
      </w:r>
      <w:r w:rsidR="005A73D2">
        <w:rPr>
          <w:rFonts w:ascii="Verdana" w:hAnsi="Verdana" w:cs="Arial"/>
          <w:sz w:val="18"/>
          <w:szCs w:val="18"/>
        </w:rPr>
        <w:t>68</w:t>
      </w:r>
      <w:r w:rsidR="00152950" w:rsidRPr="00342957">
        <w:rPr>
          <w:rFonts w:ascii="Verdana" w:hAnsi="Verdana" w:cs="Arial"/>
          <w:sz w:val="18"/>
          <w:szCs w:val="18"/>
        </w:rPr>
        <w:t>,</w:t>
      </w:r>
      <w:r w:rsidR="00342957" w:rsidRPr="00342957">
        <w:rPr>
          <w:rFonts w:ascii="Verdana" w:hAnsi="Verdana" w:cs="Arial"/>
          <w:sz w:val="18"/>
          <w:szCs w:val="18"/>
        </w:rPr>
        <w:t>2</w:t>
      </w:r>
      <w:r w:rsidR="00152950" w:rsidRPr="00342957">
        <w:rPr>
          <w:rFonts w:ascii="Verdana" w:hAnsi="Verdana" w:cs="Arial"/>
          <w:sz w:val="18"/>
          <w:szCs w:val="18"/>
        </w:rPr>
        <w:t xml:space="preserve"> </w:t>
      </w:r>
      <w:proofErr w:type="spellStart"/>
      <w:r w:rsidR="00152950" w:rsidRPr="00342957">
        <w:rPr>
          <w:rFonts w:ascii="Verdana" w:hAnsi="Verdana" w:cs="Arial"/>
          <w:sz w:val="18"/>
          <w:szCs w:val="18"/>
        </w:rPr>
        <w:t>mn</w:t>
      </w:r>
      <w:proofErr w:type="spellEnd"/>
      <w:r w:rsidR="00152950" w:rsidRPr="00342957">
        <w:rPr>
          <w:rFonts w:ascii="Verdana" w:hAnsi="Verdana" w:cs="Arial"/>
          <w:sz w:val="18"/>
          <w:szCs w:val="18"/>
        </w:rPr>
        <w:t xml:space="preserve"> in 202</w:t>
      </w:r>
      <w:r w:rsidR="009C201E" w:rsidRPr="00342957">
        <w:rPr>
          <w:rFonts w:ascii="Verdana" w:hAnsi="Verdana" w:cs="Arial"/>
          <w:sz w:val="18"/>
          <w:szCs w:val="18"/>
        </w:rPr>
        <w:t>2</w:t>
      </w:r>
      <w:r w:rsidR="00152950" w:rsidRPr="00342957">
        <w:rPr>
          <w:rFonts w:ascii="Verdana" w:hAnsi="Verdana" w:cs="Arial"/>
          <w:sz w:val="18"/>
          <w:szCs w:val="18"/>
        </w:rPr>
        <w:t>. S</w:t>
      </w:r>
      <w:r w:rsidRPr="00342957">
        <w:rPr>
          <w:rFonts w:ascii="Verdana" w:hAnsi="Verdana" w:cs="Arial"/>
          <w:sz w:val="18"/>
          <w:szCs w:val="18"/>
        </w:rPr>
        <w:t>ocial transfers increased by €</w:t>
      </w:r>
      <w:r w:rsidR="00342957" w:rsidRPr="00342957">
        <w:rPr>
          <w:rFonts w:ascii="Verdana" w:hAnsi="Verdana" w:cs="Arial"/>
          <w:sz w:val="18"/>
          <w:szCs w:val="18"/>
        </w:rPr>
        <w:t>32</w:t>
      </w:r>
      <w:r w:rsidR="003254B5">
        <w:rPr>
          <w:rFonts w:ascii="Verdana" w:hAnsi="Verdana" w:cs="Arial"/>
          <w:sz w:val="18"/>
          <w:szCs w:val="18"/>
        </w:rPr>
        <w:t>9</w:t>
      </w:r>
      <w:r w:rsidRPr="00342957">
        <w:rPr>
          <w:rFonts w:ascii="Verdana" w:hAnsi="Verdana" w:cs="Arial"/>
          <w:sz w:val="18"/>
          <w:szCs w:val="18"/>
        </w:rPr>
        <w:t>,</w:t>
      </w:r>
      <w:r w:rsidR="003254B5">
        <w:rPr>
          <w:rFonts w:ascii="Verdana" w:hAnsi="Verdana" w:cs="Arial"/>
          <w:sz w:val="18"/>
          <w:szCs w:val="18"/>
        </w:rPr>
        <w:t>3</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342957" w:rsidRPr="00342957">
        <w:rPr>
          <w:rFonts w:ascii="Verdana" w:hAnsi="Verdana" w:cs="Arial"/>
          <w:sz w:val="18"/>
          <w:szCs w:val="18"/>
        </w:rPr>
        <w:t>7</w:t>
      </w:r>
      <w:r w:rsidRPr="00342957">
        <w:rPr>
          <w:rFonts w:ascii="Verdana" w:hAnsi="Verdana" w:cs="Arial"/>
          <w:sz w:val="18"/>
          <w:szCs w:val="18"/>
        </w:rPr>
        <w:t>,</w:t>
      </w:r>
      <w:r w:rsidR="003254B5">
        <w:rPr>
          <w:rFonts w:ascii="Verdana" w:hAnsi="Verdana" w:cs="Arial"/>
          <w:sz w:val="18"/>
          <w:szCs w:val="18"/>
        </w:rPr>
        <w:t>1</w:t>
      </w:r>
      <w:r w:rsidRPr="00342957">
        <w:rPr>
          <w:rFonts w:ascii="Verdana" w:hAnsi="Verdana" w:cs="Arial"/>
          <w:sz w:val="18"/>
          <w:szCs w:val="18"/>
        </w:rPr>
        <w:t>%) and amounted to €</w:t>
      </w:r>
      <w:r w:rsidR="00152950" w:rsidRPr="00342957">
        <w:rPr>
          <w:rFonts w:ascii="Verdana" w:hAnsi="Verdana" w:cs="Arial"/>
          <w:sz w:val="18"/>
          <w:szCs w:val="18"/>
        </w:rPr>
        <w:t>4</w:t>
      </w:r>
      <w:r w:rsidRPr="00342957">
        <w:rPr>
          <w:rFonts w:ascii="Verdana" w:hAnsi="Verdana" w:cs="Arial"/>
          <w:sz w:val="18"/>
          <w:szCs w:val="18"/>
        </w:rPr>
        <w:t>.</w:t>
      </w:r>
      <w:r w:rsidR="003254B5">
        <w:rPr>
          <w:rFonts w:ascii="Verdana" w:hAnsi="Verdana" w:cs="Arial"/>
          <w:sz w:val="18"/>
          <w:szCs w:val="18"/>
        </w:rPr>
        <w:t>941</w:t>
      </w:r>
      <w:r w:rsidR="009A23D6" w:rsidRPr="00342957">
        <w:rPr>
          <w:rFonts w:ascii="Verdana" w:hAnsi="Verdana" w:cs="Arial"/>
          <w:sz w:val="18"/>
          <w:szCs w:val="18"/>
        </w:rPr>
        <w:t>,</w:t>
      </w:r>
      <w:r w:rsidR="003254B5">
        <w:rPr>
          <w:rFonts w:ascii="Verdana" w:hAnsi="Verdana" w:cs="Arial"/>
          <w:sz w:val="18"/>
          <w:szCs w:val="18"/>
        </w:rPr>
        <w:t>4</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compared to €</w:t>
      </w:r>
      <w:r w:rsidR="00342957" w:rsidRPr="00342957">
        <w:rPr>
          <w:rFonts w:ascii="Verdana" w:hAnsi="Verdana" w:cs="Arial"/>
          <w:sz w:val="18"/>
          <w:szCs w:val="18"/>
        </w:rPr>
        <w:t>4</w:t>
      </w:r>
      <w:r w:rsidR="009A23D6" w:rsidRPr="00342957">
        <w:rPr>
          <w:rFonts w:ascii="Verdana" w:hAnsi="Verdana" w:cs="Arial"/>
          <w:sz w:val="18"/>
          <w:szCs w:val="18"/>
        </w:rPr>
        <w:t>.</w:t>
      </w:r>
      <w:r w:rsidR="003254B5">
        <w:rPr>
          <w:rFonts w:ascii="Verdana" w:hAnsi="Verdana" w:cs="Arial"/>
          <w:sz w:val="18"/>
          <w:szCs w:val="18"/>
        </w:rPr>
        <w:t>612</w:t>
      </w:r>
      <w:r w:rsidRPr="00342957">
        <w:rPr>
          <w:rFonts w:ascii="Verdana" w:hAnsi="Verdana" w:cs="Arial"/>
          <w:sz w:val="18"/>
          <w:szCs w:val="18"/>
        </w:rPr>
        <w:t>,</w:t>
      </w:r>
      <w:r w:rsidR="003254B5">
        <w:rPr>
          <w:rFonts w:ascii="Verdana" w:hAnsi="Verdana" w:cs="Arial"/>
          <w:sz w:val="18"/>
          <w:szCs w:val="18"/>
        </w:rPr>
        <w:t>1</w:t>
      </w:r>
      <w:r w:rsidR="009A23D6" w:rsidRPr="00342957">
        <w:rPr>
          <w:rFonts w:ascii="Verdana" w:hAnsi="Verdana" w:cs="Arial"/>
          <w:sz w:val="18"/>
          <w:szCs w:val="18"/>
        </w:rPr>
        <w:t xml:space="preserve"> </w:t>
      </w:r>
      <w:proofErr w:type="spellStart"/>
      <w:r w:rsidR="009A23D6" w:rsidRPr="00342957">
        <w:rPr>
          <w:rFonts w:ascii="Verdana" w:hAnsi="Verdana" w:cs="Arial"/>
          <w:sz w:val="18"/>
          <w:szCs w:val="18"/>
        </w:rPr>
        <w:t>mn</w:t>
      </w:r>
      <w:proofErr w:type="spellEnd"/>
      <w:r w:rsidR="009A23D6" w:rsidRPr="00342957">
        <w:rPr>
          <w:rFonts w:ascii="Verdana" w:hAnsi="Verdana" w:cs="Arial"/>
          <w:sz w:val="18"/>
          <w:szCs w:val="18"/>
        </w:rPr>
        <w:t xml:space="preserve"> in </w:t>
      </w:r>
      <w:r w:rsidRPr="00342957">
        <w:rPr>
          <w:rFonts w:ascii="Verdana" w:hAnsi="Verdana" w:cs="Arial"/>
          <w:sz w:val="18"/>
          <w:szCs w:val="18"/>
        </w:rPr>
        <w:t>202</w:t>
      </w:r>
      <w:r w:rsidR="009C201E" w:rsidRPr="00342957">
        <w:rPr>
          <w:rFonts w:ascii="Verdana" w:hAnsi="Verdana" w:cs="Arial"/>
          <w:sz w:val="18"/>
          <w:szCs w:val="18"/>
        </w:rPr>
        <w:t>2</w:t>
      </w:r>
      <w:r w:rsidRPr="00342957">
        <w:rPr>
          <w:rFonts w:ascii="Verdana" w:hAnsi="Verdana" w:cs="Arial"/>
          <w:sz w:val="18"/>
          <w:szCs w:val="18"/>
        </w:rPr>
        <w:t xml:space="preserve">. </w:t>
      </w:r>
      <w:r w:rsidR="0002024D" w:rsidRPr="00342957">
        <w:rPr>
          <w:rFonts w:ascii="Verdana" w:hAnsi="Verdana" w:cs="Arial"/>
          <w:sz w:val="18"/>
          <w:szCs w:val="18"/>
        </w:rPr>
        <w:t>Other c</w:t>
      </w:r>
      <w:r w:rsidRPr="00342957">
        <w:rPr>
          <w:rFonts w:ascii="Verdana" w:hAnsi="Verdana" w:cs="Arial"/>
          <w:sz w:val="18"/>
          <w:szCs w:val="18"/>
        </w:rPr>
        <w:t xml:space="preserve">urrent </w:t>
      </w:r>
      <w:r w:rsidR="0002024D" w:rsidRPr="00342957">
        <w:rPr>
          <w:rFonts w:ascii="Verdana" w:hAnsi="Verdana" w:cs="Arial"/>
          <w:sz w:val="18"/>
          <w:szCs w:val="18"/>
        </w:rPr>
        <w:t>expenditure</w:t>
      </w:r>
      <w:r w:rsidRPr="00342957">
        <w:rPr>
          <w:rFonts w:ascii="Verdana" w:hAnsi="Verdana" w:cs="Arial"/>
          <w:sz w:val="18"/>
          <w:szCs w:val="18"/>
        </w:rPr>
        <w:t xml:space="preserve"> increased by €</w:t>
      </w:r>
      <w:r w:rsidR="003254B5">
        <w:rPr>
          <w:rFonts w:ascii="Verdana" w:hAnsi="Verdana" w:cs="Arial"/>
          <w:sz w:val="18"/>
          <w:szCs w:val="18"/>
        </w:rPr>
        <w:t>520</w:t>
      </w:r>
      <w:r w:rsidRPr="00342957">
        <w:rPr>
          <w:rFonts w:ascii="Verdana" w:hAnsi="Verdana" w:cs="Arial"/>
          <w:sz w:val="18"/>
          <w:szCs w:val="18"/>
        </w:rPr>
        <w:t>,</w:t>
      </w:r>
      <w:r w:rsidR="003254B5">
        <w:rPr>
          <w:rFonts w:ascii="Verdana" w:hAnsi="Verdana" w:cs="Arial"/>
          <w:sz w:val="18"/>
          <w:szCs w:val="18"/>
        </w:rPr>
        <w:t>8</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3254B5">
        <w:rPr>
          <w:rFonts w:ascii="Verdana" w:hAnsi="Verdana" w:cs="Arial"/>
          <w:sz w:val="18"/>
          <w:szCs w:val="18"/>
        </w:rPr>
        <w:t>80</w:t>
      </w:r>
      <w:r w:rsidRPr="00342957">
        <w:rPr>
          <w:rFonts w:ascii="Verdana" w:hAnsi="Verdana" w:cs="Arial"/>
          <w:sz w:val="18"/>
          <w:szCs w:val="18"/>
        </w:rPr>
        <w:t>,</w:t>
      </w:r>
      <w:r w:rsidR="003254B5">
        <w:rPr>
          <w:rFonts w:ascii="Verdana" w:hAnsi="Verdana" w:cs="Arial"/>
          <w:sz w:val="18"/>
          <w:szCs w:val="18"/>
        </w:rPr>
        <w:t>2</w:t>
      </w:r>
      <w:r w:rsidRPr="00342957">
        <w:rPr>
          <w:rFonts w:ascii="Verdana" w:hAnsi="Verdana" w:cs="Arial"/>
          <w:sz w:val="18"/>
          <w:szCs w:val="18"/>
        </w:rPr>
        <w:t>%) and amounted to €</w:t>
      </w:r>
      <w:r w:rsidR="003254B5">
        <w:rPr>
          <w:rFonts w:ascii="Verdana" w:hAnsi="Verdana" w:cs="Arial"/>
          <w:sz w:val="18"/>
          <w:szCs w:val="18"/>
        </w:rPr>
        <w:t>1.170</w:t>
      </w:r>
      <w:r w:rsidRPr="00342957">
        <w:rPr>
          <w:rFonts w:ascii="Verdana" w:hAnsi="Verdana" w:cs="Arial"/>
          <w:sz w:val="18"/>
          <w:szCs w:val="18"/>
        </w:rPr>
        <w:t>,</w:t>
      </w:r>
      <w:r w:rsidR="003254B5">
        <w:rPr>
          <w:rFonts w:ascii="Verdana" w:hAnsi="Verdana" w:cs="Arial"/>
          <w:sz w:val="18"/>
          <w:szCs w:val="18"/>
        </w:rPr>
        <w:t>2</w:t>
      </w:r>
      <w:r w:rsidR="009A23D6" w:rsidRPr="00342957">
        <w:rPr>
          <w:rFonts w:ascii="Verdana" w:hAnsi="Verdana" w:cs="Arial"/>
          <w:sz w:val="18"/>
          <w:szCs w:val="18"/>
        </w:rPr>
        <w:t xml:space="preserve"> </w:t>
      </w:r>
      <w:proofErr w:type="spellStart"/>
      <w:r w:rsidR="009A23D6" w:rsidRPr="00342957">
        <w:rPr>
          <w:rFonts w:ascii="Verdana" w:hAnsi="Verdana" w:cs="Arial"/>
          <w:sz w:val="18"/>
          <w:szCs w:val="18"/>
        </w:rPr>
        <w:t>mn</w:t>
      </w:r>
      <w:proofErr w:type="spellEnd"/>
      <w:r w:rsidR="009A23D6" w:rsidRPr="00342957">
        <w:rPr>
          <w:rFonts w:ascii="Verdana" w:hAnsi="Verdana" w:cs="Arial"/>
          <w:sz w:val="18"/>
          <w:szCs w:val="18"/>
        </w:rPr>
        <w:t>, compared to €</w:t>
      </w:r>
      <w:r w:rsidR="00A522FD" w:rsidRPr="00342957">
        <w:rPr>
          <w:rFonts w:ascii="Verdana" w:hAnsi="Verdana" w:cs="Arial"/>
          <w:sz w:val="18"/>
          <w:szCs w:val="18"/>
        </w:rPr>
        <w:t>6</w:t>
      </w:r>
      <w:r w:rsidR="00342957" w:rsidRPr="00342957">
        <w:rPr>
          <w:rFonts w:ascii="Verdana" w:hAnsi="Verdana" w:cs="Arial"/>
          <w:sz w:val="18"/>
          <w:szCs w:val="18"/>
        </w:rPr>
        <w:t>49</w:t>
      </w:r>
      <w:r w:rsidRPr="00342957">
        <w:rPr>
          <w:rFonts w:ascii="Verdana" w:hAnsi="Verdana" w:cs="Arial"/>
          <w:sz w:val="18"/>
          <w:szCs w:val="18"/>
        </w:rPr>
        <w:t>,</w:t>
      </w:r>
      <w:r w:rsidR="003254B5">
        <w:rPr>
          <w:rFonts w:ascii="Verdana" w:hAnsi="Verdana" w:cs="Arial"/>
          <w:sz w:val="18"/>
          <w:szCs w:val="18"/>
        </w:rPr>
        <w:t>4</w:t>
      </w:r>
      <w:r w:rsidR="009A23D6" w:rsidRPr="00342957">
        <w:rPr>
          <w:rFonts w:ascii="Verdana" w:hAnsi="Verdana" w:cs="Arial"/>
          <w:sz w:val="18"/>
          <w:szCs w:val="18"/>
        </w:rPr>
        <w:t xml:space="preserve"> </w:t>
      </w:r>
      <w:proofErr w:type="spellStart"/>
      <w:r w:rsidR="009A23D6" w:rsidRPr="00342957">
        <w:rPr>
          <w:rFonts w:ascii="Verdana" w:hAnsi="Verdana" w:cs="Arial"/>
          <w:sz w:val="18"/>
          <w:szCs w:val="18"/>
        </w:rPr>
        <w:t>mn</w:t>
      </w:r>
      <w:proofErr w:type="spellEnd"/>
      <w:r w:rsidR="009A23D6" w:rsidRPr="00342957">
        <w:rPr>
          <w:rFonts w:ascii="Verdana" w:hAnsi="Verdana" w:cs="Arial"/>
          <w:sz w:val="18"/>
          <w:szCs w:val="18"/>
        </w:rPr>
        <w:t xml:space="preserve"> in </w:t>
      </w:r>
      <w:r w:rsidRPr="00342957">
        <w:rPr>
          <w:rFonts w:ascii="Verdana" w:hAnsi="Verdana" w:cs="Arial"/>
          <w:sz w:val="18"/>
          <w:szCs w:val="18"/>
        </w:rPr>
        <w:t>202</w:t>
      </w:r>
      <w:r w:rsidR="009C201E" w:rsidRPr="00342957">
        <w:rPr>
          <w:rFonts w:ascii="Verdana" w:hAnsi="Verdana" w:cs="Arial"/>
          <w:sz w:val="18"/>
          <w:szCs w:val="18"/>
        </w:rPr>
        <w:t>2</w:t>
      </w:r>
      <w:r w:rsidRPr="00342957">
        <w:rPr>
          <w:rFonts w:ascii="Verdana" w:hAnsi="Verdana" w:cs="Arial"/>
          <w:sz w:val="18"/>
          <w:szCs w:val="18"/>
        </w:rPr>
        <w:t>.</w:t>
      </w:r>
      <w:r w:rsidR="009A23D6" w:rsidRPr="00342957">
        <w:rPr>
          <w:rFonts w:ascii="Verdana" w:hAnsi="Verdana" w:cs="Arial"/>
          <w:sz w:val="18"/>
          <w:szCs w:val="18"/>
        </w:rPr>
        <w:t xml:space="preserve"> </w:t>
      </w:r>
      <w:r w:rsidR="00342957" w:rsidRPr="00342957">
        <w:rPr>
          <w:rFonts w:ascii="Verdana" w:hAnsi="Verdana" w:cs="Arial"/>
          <w:sz w:val="18"/>
          <w:szCs w:val="18"/>
        </w:rPr>
        <w:t>Property income payable increased by €</w:t>
      </w:r>
      <w:r w:rsidR="003254B5">
        <w:rPr>
          <w:rFonts w:ascii="Verdana" w:hAnsi="Verdana" w:cs="Arial"/>
          <w:sz w:val="18"/>
          <w:szCs w:val="18"/>
        </w:rPr>
        <w:t>18</w:t>
      </w:r>
      <w:r w:rsidR="00342957" w:rsidRPr="00342957">
        <w:rPr>
          <w:rFonts w:ascii="Verdana" w:hAnsi="Verdana" w:cs="Arial"/>
          <w:sz w:val="18"/>
          <w:szCs w:val="18"/>
        </w:rPr>
        <w:t>,</w:t>
      </w:r>
      <w:r w:rsidR="003254B5">
        <w:rPr>
          <w:rFonts w:ascii="Verdana" w:hAnsi="Verdana" w:cs="Arial"/>
          <w:sz w:val="18"/>
          <w:szCs w:val="18"/>
        </w:rPr>
        <w:t>7</w:t>
      </w:r>
      <w:r w:rsidR="00342957" w:rsidRPr="00342957">
        <w:rPr>
          <w:rFonts w:ascii="Verdana" w:hAnsi="Verdana" w:cs="Arial"/>
          <w:sz w:val="18"/>
          <w:szCs w:val="18"/>
        </w:rPr>
        <w:t xml:space="preserve"> </w:t>
      </w:r>
      <w:proofErr w:type="spellStart"/>
      <w:r w:rsidR="00342957" w:rsidRPr="00342957">
        <w:rPr>
          <w:rFonts w:ascii="Verdana" w:hAnsi="Verdana" w:cs="Arial"/>
          <w:sz w:val="18"/>
          <w:szCs w:val="18"/>
        </w:rPr>
        <w:t>mn</w:t>
      </w:r>
      <w:proofErr w:type="spellEnd"/>
      <w:r w:rsidR="00342957" w:rsidRPr="00342957">
        <w:rPr>
          <w:rFonts w:ascii="Verdana" w:hAnsi="Verdana" w:cs="Arial"/>
          <w:sz w:val="18"/>
          <w:szCs w:val="18"/>
        </w:rPr>
        <w:t xml:space="preserve"> (+</w:t>
      </w:r>
      <w:r w:rsidR="003254B5">
        <w:rPr>
          <w:rFonts w:ascii="Verdana" w:hAnsi="Verdana" w:cs="Arial"/>
          <w:sz w:val="18"/>
          <w:szCs w:val="18"/>
        </w:rPr>
        <w:t>4</w:t>
      </w:r>
      <w:r w:rsidR="00342957" w:rsidRPr="00342957">
        <w:rPr>
          <w:rFonts w:ascii="Verdana" w:hAnsi="Verdana" w:cs="Arial"/>
          <w:sz w:val="18"/>
          <w:szCs w:val="18"/>
        </w:rPr>
        <w:t>,</w:t>
      </w:r>
      <w:r w:rsidR="003254B5">
        <w:rPr>
          <w:rFonts w:ascii="Verdana" w:hAnsi="Verdana" w:cs="Arial"/>
          <w:sz w:val="18"/>
          <w:szCs w:val="18"/>
        </w:rPr>
        <w:t>8</w:t>
      </w:r>
      <w:r w:rsidR="00342957" w:rsidRPr="00342957">
        <w:rPr>
          <w:rFonts w:ascii="Verdana" w:hAnsi="Verdana" w:cs="Arial"/>
          <w:sz w:val="18"/>
          <w:szCs w:val="18"/>
        </w:rPr>
        <w:t>%) and amounted to €4</w:t>
      </w:r>
      <w:r w:rsidR="003254B5">
        <w:rPr>
          <w:rFonts w:ascii="Verdana" w:hAnsi="Verdana" w:cs="Arial"/>
          <w:sz w:val="18"/>
          <w:szCs w:val="18"/>
        </w:rPr>
        <w:t>08</w:t>
      </w:r>
      <w:r w:rsidR="00342957" w:rsidRPr="00342957">
        <w:rPr>
          <w:rFonts w:ascii="Verdana" w:hAnsi="Verdana" w:cs="Arial"/>
          <w:sz w:val="18"/>
          <w:szCs w:val="18"/>
        </w:rPr>
        <w:t>,</w:t>
      </w:r>
      <w:r w:rsidR="003254B5">
        <w:rPr>
          <w:rFonts w:ascii="Verdana" w:hAnsi="Verdana" w:cs="Arial"/>
          <w:sz w:val="18"/>
          <w:szCs w:val="18"/>
        </w:rPr>
        <w:t>3</w:t>
      </w:r>
      <w:r w:rsidR="00342957" w:rsidRPr="00342957">
        <w:rPr>
          <w:rFonts w:ascii="Verdana" w:hAnsi="Verdana" w:cs="Arial"/>
          <w:sz w:val="18"/>
          <w:szCs w:val="18"/>
        </w:rPr>
        <w:t xml:space="preserve"> </w:t>
      </w:r>
      <w:proofErr w:type="spellStart"/>
      <w:r w:rsidR="00342957" w:rsidRPr="00342957">
        <w:rPr>
          <w:rFonts w:ascii="Verdana" w:hAnsi="Verdana" w:cs="Arial"/>
          <w:sz w:val="18"/>
          <w:szCs w:val="18"/>
        </w:rPr>
        <w:t>mn</w:t>
      </w:r>
      <w:proofErr w:type="spellEnd"/>
      <w:r w:rsidR="00342957" w:rsidRPr="00342957">
        <w:rPr>
          <w:rFonts w:ascii="Verdana" w:hAnsi="Verdana" w:cs="Arial"/>
          <w:sz w:val="18"/>
          <w:szCs w:val="18"/>
        </w:rPr>
        <w:t>, compared to €</w:t>
      </w:r>
      <w:r w:rsidR="003254B5">
        <w:rPr>
          <w:rFonts w:ascii="Verdana" w:hAnsi="Verdana" w:cs="Arial"/>
          <w:sz w:val="18"/>
          <w:szCs w:val="18"/>
        </w:rPr>
        <w:t>389</w:t>
      </w:r>
      <w:r w:rsidR="00342957" w:rsidRPr="00342957">
        <w:rPr>
          <w:rFonts w:ascii="Verdana" w:hAnsi="Verdana" w:cs="Arial"/>
          <w:sz w:val="18"/>
          <w:szCs w:val="18"/>
        </w:rPr>
        <w:t xml:space="preserve">,6 </w:t>
      </w:r>
      <w:proofErr w:type="spellStart"/>
      <w:r w:rsidR="00342957" w:rsidRPr="00342957">
        <w:rPr>
          <w:rFonts w:ascii="Verdana" w:hAnsi="Verdana" w:cs="Arial"/>
          <w:sz w:val="18"/>
          <w:szCs w:val="18"/>
        </w:rPr>
        <w:t>mn</w:t>
      </w:r>
      <w:proofErr w:type="spellEnd"/>
      <w:r w:rsidR="00342957" w:rsidRPr="00342957">
        <w:rPr>
          <w:rFonts w:ascii="Verdana" w:hAnsi="Verdana" w:cs="Arial"/>
          <w:sz w:val="18"/>
          <w:szCs w:val="18"/>
        </w:rPr>
        <w:t xml:space="preserve"> in 2022. Subsidies increased by €2</w:t>
      </w:r>
      <w:r w:rsidR="003254B5">
        <w:rPr>
          <w:rFonts w:ascii="Verdana" w:hAnsi="Verdana" w:cs="Arial"/>
          <w:sz w:val="18"/>
          <w:szCs w:val="18"/>
        </w:rPr>
        <w:t>5</w:t>
      </w:r>
      <w:r w:rsidR="00342957" w:rsidRPr="00342957">
        <w:rPr>
          <w:rFonts w:ascii="Verdana" w:hAnsi="Verdana" w:cs="Arial"/>
          <w:sz w:val="18"/>
          <w:szCs w:val="18"/>
        </w:rPr>
        <w:t>,</w:t>
      </w:r>
      <w:r w:rsidR="003254B5">
        <w:rPr>
          <w:rFonts w:ascii="Verdana" w:hAnsi="Verdana" w:cs="Arial"/>
          <w:sz w:val="18"/>
          <w:szCs w:val="18"/>
        </w:rPr>
        <w:t>5</w:t>
      </w:r>
      <w:r w:rsidR="00342957" w:rsidRPr="00342957">
        <w:rPr>
          <w:rFonts w:ascii="Verdana" w:hAnsi="Verdana" w:cs="Arial"/>
          <w:sz w:val="18"/>
          <w:szCs w:val="18"/>
        </w:rPr>
        <w:t xml:space="preserve"> </w:t>
      </w:r>
      <w:proofErr w:type="spellStart"/>
      <w:r w:rsidR="00342957" w:rsidRPr="00342957">
        <w:rPr>
          <w:rFonts w:ascii="Verdana" w:hAnsi="Verdana" w:cs="Arial"/>
          <w:sz w:val="18"/>
          <w:szCs w:val="18"/>
        </w:rPr>
        <w:t>mn</w:t>
      </w:r>
      <w:proofErr w:type="spellEnd"/>
      <w:r w:rsidR="00342957" w:rsidRPr="00342957">
        <w:rPr>
          <w:rFonts w:ascii="Verdana" w:hAnsi="Verdana" w:cs="Arial"/>
          <w:sz w:val="18"/>
          <w:szCs w:val="18"/>
        </w:rPr>
        <w:t xml:space="preserve"> (+1</w:t>
      </w:r>
      <w:r w:rsidR="003254B5">
        <w:rPr>
          <w:rFonts w:ascii="Verdana" w:hAnsi="Verdana" w:cs="Arial"/>
          <w:sz w:val="18"/>
          <w:szCs w:val="18"/>
        </w:rPr>
        <w:t>9</w:t>
      </w:r>
      <w:r w:rsidR="00342957" w:rsidRPr="00342957">
        <w:rPr>
          <w:rFonts w:ascii="Verdana" w:hAnsi="Verdana" w:cs="Arial"/>
          <w:sz w:val="18"/>
          <w:szCs w:val="18"/>
        </w:rPr>
        <w:t>,</w:t>
      </w:r>
      <w:r w:rsidR="003254B5">
        <w:rPr>
          <w:rFonts w:ascii="Verdana" w:hAnsi="Verdana" w:cs="Arial"/>
          <w:sz w:val="18"/>
          <w:szCs w:val="18"/>
        </w:rPr>
        <w:t>1</w:t>
      </w:r>
      <w:r w:rsidR="00342957" w:rsidRPr="00342957">
        <w:rPr>
          <w:rFonts w:ascii="Verdana" w:hAnsi="Verdana" w:cs="Arial"/>
          <w:sz w:val="18"/>
          <w:szCs w:val="18"/>
        </w:rPr>
        <w:t>%) and amounted to €1</w:t>
      </w:r>
      <w:r w:rsidR="003254B5">
        <w:rPr>
          <w:rFonts w:ascii="Verdana" w:hAnsi="Verdana" w:cs="Arial"/>
          <w:sz w:val="18"/>
          <w:szCs w:val="18"/>
        </w:rPr>
        <w:t>59</w:t>
      </w:r>
      <w:r w:rsidR="00342957" w:rsidRPr="00342957">
        <w:rPr>
          <w:rFonts w:ascii="Verdana" w:hAnsi="Verdana" w:cs="Arial"/>
          <w:sz w:val="18"/>
          <w:szCs w:val="18"/>
        </w:rPr>
        <w:t>,</w:t>
      </w:r>
      <w:r w:rsidR="003254B5">
        <w:rPr>
          <w:rFonts w:ascii="Verdana" w:hAnsi="Verdana" w:cs="Arial"/>
          <w:sz w:val="18"/>
          <w:szCs w:val="18"/>
        </w:rPr>
        <w:t>1</w:t>
      </w:r>
      <w:r w:rsidR="00342957" w:rsidRPr="00342957">
        <w:rPr>
          <w:rFonts w:ascii="Verdana" w:hAnsi="Verdana" w:cs="Arial"/>
          <w:sz w:val="18"/>
          <w:szCs w:val="18"/>
        </w:rPr>
        <w:t xml:space="preserve"> </w:t>
      </w:r>
      <w:proofErr w:type="spellStart"/>
      <w:r w:rsidR="00342957" w:rsidRPr="00342957">
        <w:rPr>
          <w:rFonts w:ascii="Verdana" w:hAnsi="Verdana" w:cs="Arial"/>
          <w:sz w:val="18"/>
          <w:szCs w:val="18"/>
        </w:rPr>
        <w:t>mn</w:t>
      </w:r>
      <w:proofErr w:type="spellEnd"/>
      <w:r w:rsidR="00342957" w:rsidRPr="00342957">
        <w:rPr>
          <w:rFonts w:ascii="Verdana" w:hAnsi="Verdana" w:cs="Arial"/>
          <w:sz w:val="18"/>
          <w:szCs w:val="18"/>
        </w:rPr>
        <w:t>, compared to €13</w:t>
      </w:r>
      <w:r w:rsidR="003254B5">
        <w:rPr>
          <w:rFonts w:ascii="Verdana" w:hAnsi="Verdana" w:cs="Arial"/>
          <w:sz w:val="18"/>
          <w:szCs w:val="18"/>
        </w:rPr>
        <w:t>3</w:t>
      </w:r>
      <w:r w:rsidR="00342957" w:rsidRPr="00342957">
        <w:rPr>
          <w:rFonts w:ascii="Verdana" w:hAnsi="Verdana" w:cs="Arial"/>
          <w:sz w:val="18"/>
          <w:szCs w:val="18"/>
        </w:rPr>
        <w:t>,</w:t>
      </w:r>
      <w:r w:rsidR="003254B5">
        <w:rPr>
          <w:rFonts w:ascii="Verdana" w:hAnsi="Verdana" w:cs="Arial"/>
          <w:sz w:val="18"/>
          <w:szCs w:val="18"/>
        </w:rPr>
        <w:t>6</w:t>
      </w:r>
      <w:r w:rsidR="00342957" w:rsidRPr="00342957">
        <w:rPr>
          <w:rFonts w:ascii="Verdana" w:hAnsi="Verdana" w:cs="Arial"/>
          <w:sz w:val="18"/>
          <w:szCs w:val="18"/>
        </w:rPr>
        <w:t xml:space="preserve"> </w:t>
      </w:r>
      <w:proofErr w:type="spellStart"/>
      <w:r w:rsidR="00342957" w:rsidRPr="00342957">
        <w:rPr>
          <w:rFonts w:ascii="Verdana" w:hAnsi="Verdana" w:cs="Arial"/>
          <w:sz w:val="18"/>
          <w:szCs w:val="18"/>
        </w:rPr>
        <w:t>mn</w:t>
      </w:r>
      <w:proofErr w:type="spellEnd"/>
      <w:r w:rsidR="00342957" w:rsidRPr="00342957">
        <w:rPr>
          <w:rFonts w:ascii="Verdana" w:hAnsi="Verdana" w:cs="Arial"/>
          <w:sz w:val="18"/>
          <w:szCs w:val="18"/>
        </w:rPr>
        <w:t xml:space="preserve"> in 2022.</w:t>
      </w:r>
      <w:bookmarkStart w:id="0" w:name="_Hlk164418951"/>
      <w:r w:rsidR="003254B5" w:rsidRPr="003254B5">
        <w:rPr>
          <w:rFonts w:ascii="Verdana" w:hAnsi="Verdana" w:cs="Arial"/>
          <w:sz w:val="18"/>
          <w:szCs w:val="18"/>
        </w:rPr>
        <w:t xml:space="preserve"> </w:t>
      </w:r>
      <w:r w:rsidR="003254B5">
        <w:rPr>
          <w:rFonts w:ascii="Verdana" w:hAnsi="Verdana" w:cs="Arial"/>
          <w:sz w:val="18"/>
          <w:szCs w:val="18"/>
        </w:rPr>
        <w:t>I</w:t>
      </w:r>
      <w:r w:rsidR="003254B5" w:rsidRPr="00342957">
        <w:rPr>
          <w:rFonts w:ascii="Verdana" w:hAnsi="Verdana" w:cs="Arial"/>
          <w:sz w:val="18"/>
          <w:szCs w:val="18"/>
        </w:rPr>
        <w:t xml:space="preserve">ntermediate consumption </w:t>
      </w:r>
      <w:r w:rsidR="003254B5">
        <w:rPr>
          <w:rFonts w:ascii="Verdana" w:hAnsi="Verdana" w:cs="Arial"/>
          <w:sz w:val="18"/>
          <w:szCs w:val="18"/>
        </w:rPr>
        <w:t>in</w:t>
      </w:r>
      <w:r w:rsidR="003254B5" w:rsidRPr="00342957">
        <w:rPr>
          <w:rFonts w:ascii="Verdana" w:hAnsi="Verdana" w:cs="Arial"/>
          <w:sz w:val="18"/>
          <w:szCs w:val="18"/>
        </w:rPr>
        <w:t>creased by €</w:t>
      </w:r>
      <w:r w:rsidR="003254B5">
        <w:rPr>
          <w:rFonts w:ascii="Verdana" w:hAnsi="Verdana" w:cs="Arial"/>
          <w:sz w:val="18"/>
          <w:szCs w:val="18"/>
        </w:rPr>
        <w:t>25</w:t>
      </w:r>
      <w:r w:rsidR="003254B5" w:rsidRPr="00342957">
        <w:rPr>
          <w:rFonts w:ascii="Verdana" w:hAnsi="Verdana" w:cs="Arial"/>
          <w:sz w:val="18"/>
          <w:szCs w:val="18"/>
        </w:rPr>
        <w:t>,</w:t>
      </w:r>
      <w:r w:rsidR="003254B5">
        <w:rPr>
          <w:rFonts w:ascii="Verdana" w:hAnsi="Verdana" w:cs="Arial"/>
          <w:sz w:val="18"/>
          <w:szCs w:val="18"/>
        </w:rPr>
        <w:t>9</w:t>
      </w:r>
      <w:r w:rsidR="003254B5" w:rsidRPr="00342957">
        <w:rPr>
          <w:rFonts w:ascii="Verdana" w:hAnsi="Verdana" w:cs="Arial"/>
          <w:sz w:val="18"/>
          <w:szCs w:val="18"/>
        </w:rPr>
        <w:t xml:space="preserve"> </w:t>
      </w:r>
      <w:proofErr w:type="spellStart"/>
      <w:r w:rsidR="003254B5" w:rsidRPr="00342957">
        <w:rPr>
          <w:rFonts w:ascii="Verdana" w:hAnsi="Verdana" w:cs="Arial"/>
          <w:sz w:val="18"/>
          <w:szCs w:val="18"/>
        </w:rPr>
        <w:t>mn</w:t>
      </w:r>
      <w:proofErr w:type="spellEnd"/>
      <w:r w:rsidR="003254B5" w:rsidRPr="00342957">
        <w:rPr>
          <w:rFonts w:ascii="Verdana" w:hAnsi="Verdana" w:cs="Arial"/>
          <w:sz w:val="18"/>
          <w:szCs w:val="18"/>
        </w:rPr>
        <w:t xml:space="preserve"> (</w:t>
      </w:r>
      <w:r w:rsidR="003254B5">
        <w:rPr>
          <w:rFonts w:ascii="Verdana" w:hAnsi="Verdana" w:cs="Arial"/>
          <w:sz w:val="18"/>
          <w:szCs w:val="18"/>
        </w:rPr>
        <w:t>+2</w:t>
      </w:r>
      <w:r w:rsidR="003254B5" w:rsidRPr="00342957">
        <w:rPr>
          <w:rFonts w:ascii="Verdana" w:hAnsi="Verdana" w:cs="Arial"/>
          <w:sz w:val="18"/>
          <w:szCs w:val="18"/>
        </w:rPr>
        <w:t>,</w:t>
      </w:r>
      <w:r w:rsidR="003254B5">
        <w:rPr>
          <w:rFonts w:ascii="Verdana" w:hAnsi="Verdana" w:cs="Arial"/>
          <w:sz w:val="18"/>
          <w:szCs w:val="18"/>
        </w:rPr>
        <w:t>0</w:t>
      </w:r>
      <w:r w:rsidR="003254B5" w:rsidRPr="00342957">
        <w:rPr>
          <w:rFonts w:ascii="Verdana" w:hAnsi="Verdana" w:cs="Arial"/>
          <w:sz w:val="18"/>
          <w:szCs w:val="18"/>
        </w:rPr>
        <w:t xml:space="preserve">%) </w:t>
      </w:r>
      <w:r w:rsidR="003254B5">
        <w:rPr>
          <w:rFonts w:ascii="Verdana" w:hAnsi="Verdana" w:cs="Arial"/>
          <w:sz w:val="18"/>
          <w:szCs w:val="18"/>
        </w:rPr>
        <w:t xml:space="preserve">and amounted </w:t>
      </w:r>
      <w:r w:rsidR="003254B5" w:rsidRPr="00342957">
        <w:rPr>
          <w:rFonts w:ascii="Verdana" w:hAnsi="Verdana" w:cs="Arial"/>
          <w:sz w:val="18"/>
          <w:szCs w:val="18"/>
        </w:rPr>
        <w:t>to €1.</w:t>
      </w:r>
      <w:r w:rsidR="003254B5">
        <w:rPr>
          <w:rFonts w:ascii="Verdana" w:hAnsi="Verdana" w:cs="Arial"/>
          <w:sz w:val="18"/>
          <w:szCs w:val="18"/>
        </w:rPr>
        <w:t>301</w:t>
      </w:r>
      <w:r w:rsidR="003254B5" w:rsidRPr="00342957">
        <w:rPr>
          <w:rFonts w:ascii="Verdana" w:hAnsi="Verdana" w:cs="Arial"/>
          <w:sz w:val="18"/>
          <w:szCs w:val="18"/>
        </w:rPr>
        <w:t>,</w:t>
      </w:r>
      <w:r w:rsidR="003254B5">
        <w:rPr>
          <w:rFonts w:ascii="Verdana" w:hAnsi="Verdana" w:cs="Arial"/>
          <w:sz w:val="18"/>
          <w:szCs w:val="18"/>
        </w:rPr>
        <w:t>6</w:t>
      </w:r>
      <w:r w:rsidR="003254B5" w:rsidRPr="00342957">
        <w:rPr>
          <w:rFonts w:ascii="Verdana" w:hAnsi="Verdana" w:cs="Arial"/>
          <w:sz w:val="18"/>
          <w:szCs w:val="18"/>
        </w:rPr>
        <w:t xml:space="preserve"> </w:t>
      </w:r>
      <w:proofErr w:type="spellStart"/>
      <w:r w:rsidR="003254B5" w:rsidRPr="00342957">
        <w:rPr>
          <w:rFonts w:ascii="Verdana" w:hAnsi="Verdana" w:cs="Arial"/>
          <w:sz w:val="18"/>
          <w:szCs w:val="18"/>
        </w:rPr>
        <w:t>mn</w:t>
      </w:r>
      <w:proofErr w:type="spellEnd"/>
      <w:r w:rsidR="003254B5" w:rsidRPr="00342957">
        <w:rPr>
          <w:rFonts w:ascii="Verdana" w:hAnsi="Verdana" w:cs="Arial"/>
          <w:sz w:val="18"/>
          <w:szCs w:val="18"/>
        </w:rPr>
        <w:t xml:space="preserve">, </w:t>
      </w:r>
      <w:r w:rsidR="003254B5">
        <w:rPr>
          <w:rFonts w:ascii="Verdana" w:hAnsi="Verdana" w:cs="Arial"/>
          <w:sz w:val="18"/>
          <w:szCs w:val="18"/>
        </w:rPr>
        <w:t>compared to</w:t>
      </w:r>
      <w:r w:rsidR="003254B5" w:rsidRPr="00342957">
        <w:rPr>
          <w:rFonts w:ascii="Verdana" w:hAnsi="Verdana" w:cs="Arial"/>
          <w:sz w:val="18"/>
          <w:szCs w:val="18"/>
        </w:rPr>
        <w:t xml:space="preserve"> €1.</w:t>
      </w:r>
      <w:r w:rsidR="003254B5">
        <w:rPr>
          <w:rFonts w:ascii="Verdana" w:hAnsi="Verdana" w:cs="Arial"/>
          <w:sz w:val="18"/>
          <w:szCs w:val="18"/>
        </w:rPr>
        <w:t>275</w:t>
      </w:r>
      <w:r w:rsidR="003254B5" w:rsidRPr="00342957">
        <w:rPr>
          <w:rFonts w:ascii="Verdana" w:hAnsi="Verdana" w:cs="Arial"/>
          <w:sz w:val="18"/>
          <w:szCs w:val="18"/>
        </w:rPr>
        <w:t>,</w:t>
      </w:r>
      <w:r w:rsidR="003254B5">
        <w:rPr>
          <w:rFonts w:ascii="Verdana" w:hAnsi="Verdana" w:cs="Arial"/>
          <w:sz w:val="18"/>
          <w:szCs w:val="18"/>
        </w:rPr>
        <w:t>7</w:t>
      </w:r>
      <w:r w:rsidR="003254B5" w:rsidRPr="00342957">
        <w:rPr>
          <w:rFonts w:ascii="Verdana" w:hAnsi="Verdana" w:cs="Arial"/>
          <w:sz w:val="18"/>
          <w:szCs w:val="18"/>
        </w:rPr>
        <w:t xml:space="preserve"> </w:t>
      </w:r>
      <w:proofErr w:type="spellStart"/>
      <w:r w:rsidR="003254B5" w:rsidRPr="00342957">
        <w:rPr>
          <w:rFonts w:ascii="Verdana" w:hAnsi="Verdana" w:cs="Arial"/>
          <w:sz w:val="18"/>
          <w:szCs w:val="18"/>
        </w:rPr>
        <w:t>mn</w:t>
      </w:r>
      <w:proofErr w:type="spellEnd"/>
      <w:r w:rsidR="003254B5" w:rsidRPr="00342957">
        <w:rPr>
          <w:rFonts w:ascii="Verdana" w:hAnsi="Verdana" w:cs="Arial"/>
          <w:sz w:val="18"/>
          <w:szCs w:val="18"/>
        </w:rPr>
        <w:t xml:space="preserve"> in 2022. </w:t>
      </w:r>
      <w:bookmarkEnd w:id="0"/>
    </w:p>
    <w:p w14:paraId="7ECBDB66" w14:textId="77777777" w:rsidR="009206B5" w:rsidRPr="009C201E" w:rsidRDefault="009206B5" w:rsidP="009206B5">
      <w:pPr>
        <w:jc w:val="both"/>
        <w:rPr>
          <w:rFonts w:ascii="Verdana" w:hAnsi="Verdana" w:cs="Arial"/>
          <w:sz w:val="18"/>
          <w:szCs w:val="18"/>
          <w:highlight w:val="yellow"/>
        </w:rPr>
      </w:pPr>
    </w:p>
    <w:p w14:paraId="6DACCFDD" w14:textId="2651F74C" w:rsidR="009206B5" w:rsidRPr="00342957" w:rsidRDefault="009206B5" w:rsidP="009206B5">
      <w:pPr>
        <w:jc w:val="both"/>
        <w:rPr>
          <w:rFonts w:ascii="Verdana" w:hAnsi="Verdana" w:cs="Arial"/>
          <w:sz w:val="18"/>
          <w:szCs w:val="18"/>
        </w:rPr>
      </w:pPr>
      <w:r w:rsidRPr="00342957">
        <w:rPr>
          <w:rFonts w:ascii="Verdana" w:hAnsi="Verdana" w:cs="Arial"/>
          <w:sz w:val="18"/>
          <w:szCs w:val="18"/>
        </w:rPr>
        <w:t>T</w:t>
      </w:r>
      <w:r w:rsidR="00A522FD" w:rsidRPr="00342957">
        <w:rPr>
          <w:rFonts w:ascii="Verdana" w:hAnsi="Verdana" w:cs="Arial"/>
          <w:sz w:val="18"/>
          <w:szCs w:val="18"/>
        </w:rPr>
        <w:t>otal</w:t>
      </w:r>
      <w:r w:rsidRPr="00342957">
        <w:rPr>
          <w:rFonts w:ascii="Verdana" w:hAnsi="Verdana" w:cs="Arial"/>
          <w:sz w:val="18"/>
          <w:szCs w:val="18"/>
        </w:rPr>
        <w:t xml:space="preserve"> capital </w:t>
      </w:r>
      <w:r w:rsidR="00A522FD" w:rsidRPr="00342957">
        <w:rPr>
          <w:rFonts w:ascii="Verdana" w:hAnsi="Verdana" w:cs="Arial"/>
          <w:sz w:val="18"/>
          <w:szCs w:val="18"/>
        </w:rPr>
        <w:t>expenditure</w:t>
      </w:r>
      <w:r w:rsidRPr="00342957">
        <w:rPr>
          <w:rFonts w:ascii="Verdana" w:hAnsi="Verdana" w:cs="Arial"/>
          <w:sz w:val="18"/>
          <w:szCs w:val="18"/>
        </w:rPr>
        <w:t xml:space="preserve"> increased by €</w:t>
      </w:r>
      <w:r w:rsidR="003254B5">
        <w:rPr>
          <w:rFonts w:ascii="Verdana" w:hAnsi="Verdana" w:cs="Arial"/>
          <w:sz w:val="18"/>
          <w:szCs w:val="18"/>
        </w:rPr>
        <w:t>626</w:t>
      </w:r>
      <w:r w:rsidRPr="00342957">
        <w:rPr>
          <w:rFonts w:ascii="Verdana" w:hAnsi="Verdana" w:cs="Arial"/>
          <w:sz w:val="18"/>
          <w:szCs w:val="18"/>
        </w:rPr>
        <w:t>,</w:t>
      </w:r>
      <w:r w:rsidR="003254B5">
        <w:rPr>
          <w:rFonts w:ascii="Verdana" w:hAnsi="Verdana" w:cs="Arial"/>
          <w:sz w:val="18"/>
          <w:szCs w:val="18"/>
        </w:rPr>
        <w:t>3</w:t>
      </w:r>
      <w:r w:rsidRPr="00342957">
        <w:rPr>
          <w:rFonts w:ascii="Verdana" w:hAnsi="Verdana" w:cs="Arial"/>
          <w:sz w:val="18"/>
          <w:szCs w:val="18"/>
        </w:rPr>
        <w:t xml:space="preserve"> mn (+</w:t>
      </w:r>
      <w:r w:rsidR="003254B5">
        <w:rPr>
          <w:rFonts w:ascii="Verdana" w:hAnsi="Verdana" w:cs="Arial"/>
          <w:sz w:val="18"/>
          <w:szCs w:val="18"/>
        </w:rPr>
        <w:t>67</w:t>
      </w:r>
      <w:r w:rsidRPr="00342957">
        <w:rPr>
          <w:rFonts w:ascii="Verdana" w:hAnsi="Verdana" w:cs="Arial"/>
          <w:sz w:val="18"/>
          <w:szCs w:val="18"/>
        </w:rPr>
        <w:t>,</w:t>
      </w:r>
      <w:r w:rsidR="003254B5">
        <w:rPr>
          <w:rFonts w:ascii="Verdana" w:hAnsi="Verdana" w:cs="Arial"/>
          <w:sz w:val="18"/>
          <w:szCs w:val="18"/>
        </w:rPr>
        <w:t>3</w:t>
      </w:r>
      <w:r w:rsidRPr="00342957">
        <w:rPr>
          <w:rFonts w:ascii="Verdana" w:hAnsi="Verdana" w:cs="Arial"/>
          <w:sz w:val="18"/>
          <w:szCs w:val="18"/>
        </w:rPr>
        <w:t xml:space="preserve">%) and amounted to </w:t>
      </w:r>
      <w:r w:rsidR="00342957" w:rsidRPr="00342957">
        <w:rPr>
          <w:rFonts w:ascii="Verdana" w:hAnsi="Verdana" w:cs="Arial"/>
          <w:sz w:val="18"/>
          <w:szCs w:val="18"/>
        </w:rPr>
        <w:t>€1.</w:t>
      </w:r>
      <w:r w:rsidR="003254B5">
        <w:rPr>
          <w:rFonts w:ascii="Verdana" w:hAnsi="Verdana" w:cs="Arial"/>
          <w:sz w:val="18"/>
          <w:szCs w:val="18"/>
        </w:rPr>
        <w:t>557</w:t>
      </w:r>
      <w:r w:rsidR="00342957" w:rsidRPr="00342957">
        <w:rPr>
          <w:rFonts w:ascii="Verdana" w:hAnsi="Verdana" w:cs="Arial"/>
          <w:sz w:val="18"/>
          <w:szCs w:val="18"/>
        </w:rPr>
        <w:t>,</w:t>
      </w:r>
      <w:r w:rsidR="003254B5">
        <w:rPr>
          <w:rFonts w:ascii="Verdana" w:hAnsi="Verdana" w:cs="Arial"/>
          <w:sz w:val="18"/>
          <w:szCs w:val="18"/>
        </w:rPr>
        <w:t>6</w:t>
      </w:r>
      <w:r w:rsidR="00342957"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342957" w:rsidRPr="00342957">
        <w:rPr>
          <w:rFonts w:ascii="Verdana" w:hAnsi="Verdana" w:cs="Arial"/>
          <w:sz w:val="18"/>
          <w:szCs w:val="18"/>
        </w:rPr>
        <w:t>(€</w:t>
      </w:r>
      <w:r w:rsidR="003254B5">
        <w:rPr>
          <w:rFonts w:ascii="Verdana" w:hAnsi="Verdana" w:cs="Arial"/>
          <w:sz w:val="18"/>
          <w:szCs w:val="18"/>
        </w:rPr>
        <w:t>977</w:t>
      </w:r>
      <w:r w:rsidR="00342957" w:rsidRPr="00342957">
        <w:rPr>
          <w:rFonts w:ascii="Verdana" w:hAnsi="Verdana" w:cs="Arial"/>
          <w:sz w:val="18"/>
          <w:szCs w:val="18"/>
        </w:rPr>
        <w:t>,</w:t>
      </w:r>
      <w:r w:rsidR="003254B5">
        <w:rPr>
          <w:rFonts w:ascii="Verdana" w:hAnsi="Verdana" w:cs="Arial"/>
          <w:sz w:val="18"/>
          <w:szCs w:val="18"/>
        </w:rPr>
        <w:t>5</w:t>
      </w:r>
      <w:r w:rsidR="00342957"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A522FD" w:rsidRPr="00342957">
        <w:rPr>
          <w:rFonts w:ascii="Verdana" w:hAnsi="Verdana" w:cs="Arial"/>
          <w:sz w:val="18"/>
          <w:szCs w:val="18"/>
        </w:rPr>
        <w:t xml:space="preserve">gross </w:t>
      </w:r>
      <w:r w:rsidRPr="00342957">
        <w:rPr>
          <w:rFonts w:ascii="Verdana" w:hAnsi="Verdana" w:cs="Arial"/>
          <w:sz w:val="18"/>
          <w:szCs w:val="18"/>
        </w:rPr>
        <w:t>capital formation and €</w:t>
      </w:r>
      <w:r w:rsidR="003254B5">
        <w:rPr>
          <w:rFonts w:ascii="Verdana" w:hAnsi="Verdana" w:cs="Arial"/>
          <w:sz w:val="18"/>
          <w:szCs w:val="18"/>
        </w:rPr>
        <w:t>580</w:t>
      </w:r>
      <w:r w:rsidRPr="00342957">
        <w:rPr>
          <w:rFonts w:ascii="Verdana" w:hAnsi="Verdana" w:cs="Arial"/>
          <w:sz w:val="18"/>
          <w:szCs w:val="18"/>
        </w:rPr>
        <w:t>,</w:t>
      </w:r>
      <w:r w:rsidR="003254B5">
        <w:rPr>
          <w:rFonts w:ascii="Verdana" w:hAnsi="Verdana" w:cs="Arial"/>
          <w:sz w:val="18"/>
          <w:szCs w:val="18"/>
        </w:rPr>
        <w:t>1</w:t>
      </w:r>
      <w:r w:rsidRPr="00342957">
        <w:rPr>
          <w:rFonts w:ascii="Verdana" w:hAnsi="Verdana" w:cs="Arial"/>
          <w:sz w:val="18"/>
          <w:szCs w:val="18"/>
        </w:rPr>
        <w:t xml:space="preserve"> mn </w:t>
      </w:r>
      <w:r w:rsidR="00A522FD" w:rsidRPr="00342957">
        <w:rPr>
          <w:rFonts w:ascii="Verdana" w:hAnsi="Verdana" w:cs="Arial"/>
          <w:sz w:val="18"/>
          <w:szCs w:val="18"/>
        </w:rPr>
        <w:t xml:space="preserve">other </w:t>
      </w:r>
      <w:r w:rsidRPr="00342957">
        <w:rPr>
          <w:rFonts w:ascii="Verdana" w:hAnsi="Verdana" w:cs="Arial"/>
          <w:sz w:val="18"/>
          <w:szCs w:val="18"/>
        </w:rPr>
        <w:t xml:space="preserve">capital </w:t>
      </w:r>
      <w:r w:rsidR="00A522FD" w:rsidRPr="00342957">
        <w:rPr>
          <w:rFonts w:ascii="Verdana" w:hAnsi="Verdana" w:cs="Arial"/>
          <w:sz w:val="18"/>
          <w:szCs w:val="18"/>
        </w:rPr>
        <w:t>expenditure</w:t>
      </w:r>
      <w:r w:rsidRPr="00342957">
        <w:rPr>
          <w:rFonts w:ascii="Verdana" w:hAnsi="Verdana" w:cs="Arial"/>
          <w:sz w:val="18"/>
          <w:szCs w:val="18"/>
        </w:rPr>
        <w:t>), compared to €</w:t>
      </w:r>
      <w:r w:rsidR="00342957" w:rsidRPr="00342957">
        <w:rPr>
          <w:rFonts w:ascii="Verdana" w:hAnsi="Verdana" w:cs="Arial"/>
          <w:sz w:val="18"/>
          <w:szCs w:val="18"/>
        </w:rPr>
        <w:t>9</w:t>
      </w:r>
      <w:r w:rsidR="003254B5">
        <w:rPr>
          <w:rFonts w:ascii="Verdana" w:hAnsi="Verdana" w:cs="Arial"/>
          <w:sz w:val="18"/>
          <w:szCs w:val="18"/>
        </w:rPr>
        <w:t>31</w:t>
      </w:r>
      <w:r w:rsidRPr="00342957">
        <w:rPr>
          <w:rFonts w:ascii="Verdana" w:hAnsi="Verdana" w:cs="Arial"/>
          <w:sz w:val="18"/>
          <w:szCs w:val="18"/>
        </w:rPr>
        <w:t>,</w:t>
      </w:r>
      <w:r w:rsidR="003254B5">
        <w:rPr>
          <w:rFonts w:ascii="Verdana" w:hAnsi="Verdana" w:cs="Arial"/>
          <w:sz w:val="18"/>
          <w:szCs w:val="18"/>
        </w:rPr>
        <w:t>3</w:t>
      </w:r>
      <w:r w:rsidR="00332B95" w:rsidRPr="00342957">
        <w:rPr>
          <w:rFonts w:ascii="Verdana" w:hAnsi="Verdana" w:cs="Arial"/>
          <w:sz w:val="18"/>
          <w:szCs w:val="18"/>
        </w:rPr>
        <w:t xml:space="preserve"> mn (€</w:t>
      </w:r>
      <w:r w:rsidR="00342957" w:rsidRPr="00342957">
        <w:rPr>
          <w:rFonts w:ascii="Verdana" w:hAnsi="Verdana" w:cs="Arial"/>
          <w:sz w:val="18"/>
          <w:szCs w:val="18"/>
        </w:rPr>
        <w:t>7</w:t>
      </w:r>
      <w:r w:rsidR="003254B5">
        <w:rPr>
          <w:rFonts w:ascii="Verdana" w:hAnsi="Verdana" w:cs="Arial"/>
          <w:sz w:val="18"/>
          <w:szCs w:val="18"/>
        </w:rPr>
        <w:t>13</w:t>
      </w:r>
      <w:r w:rsidRPr="00342957">
        <w:rPr>
          <w:rFonts w:ascii="Verdana" w:hAnsi="Verdana" w:cs="Arial"/>
          <w:sz w:val="18"/>
          <w:szCs w:val="18"/>
        </w:rPr>
        <w:t>,</w:t>
      </w:r>
      <w:r w:rsidR="00342957" w:rsidRPr="00342957">
        <w:rPr>
          <w:rFonts w:ascii="Verdana" w:hAnsi="Verdana" w:cs="Arial"/>
          <w:sz w:val="18"/>
          <w:szCs w:val="18"/>
        </w:rPr>
        <w:t>7</w:t>
      </w:r>
      <w:r w:rsidRPr="00342957">
        <w:rPr>
          <w:rFonts w:ascii="Verdana" w:hAnsi="Verdana" w:cs="Arial"/>
          <w:sz w:val="18"/>
          <w:szCs w:val="18"/>
        </w:rPr>
        <w:t xml:space="preserve"> mn </w:t>
      </w:r>
      <w:r w:rsidR="00A522FD" w:rsidRPr="00342957">
        <w:rPr>
          <w:rFonts w:ascii="Verdana" w:hAnsi="Verdana" w:cs="Arial"/>
          <w:sz w:val="18"/>
          <w:szCs w:val="18"/>
        </w:rPr>
        <w:t xml:space="preserve">gross capital formation </w:t>
      </w:r>
      <w:r w:rsidRPr="00342957">
        <w:rPr>
          <w:rFonts w:ascii="Verdana" w:hAnsi="Verdana" w:cs="Arial"/>
          <w:sz w:val="18"/>
          <w:szCs w:val="18"/>
        </w:rPr>
        <w:t>and €</w:t>
      </w:r>
      <w:r w:rsidR="00342957" w:rsidRPr="00342957">
        <w:rPr>
          <w:rFonts w:ascii="Verdana" w:hAnsi="Verdana" w:cs="Arial"/>
          <w:sz w:val="18"/>
          <w:szCs w:val="18"/>
        </w:rPr>
        <w:t>2</w:t>
      </w:r>
      <w:r w:rsidR="003254B5">
        <w:rPr>
          <w:rFonts w:ascii="Verdana" w:hAnsi="Verdana" w:cs="Arial"/>
          <w:sz w:val="18"/>
          <w:szCs w:val="18"/>
        </w:rPr>
        <w:t>17</w:t>
      </w:r>
      <w:r w:rsidRPr="00342957">
        <w:rPr>
          <w:rFonts w:ascii="Verdana" w:hAnsi="Verdana" w:cs="Arial"/>
          <w:sz w:val="18"/>
          <w:szCs w:val="18"/>
        </w:rPr>
        <w:t>,</w:t>
      </w:r>
      <w:r w:rsidR="003254B5">
        <w:rPr>
          <w:rFonts w:ascii="Verdana" w:hAnsi="Verdana" w:cs="Arial"/>
          <w:sz w:val="18"/>
          <w:szCs w:val="18"/>
        </w:rPr>
        <w:t>6</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A522FD" w:rsidRPr="00342957">
        <w:rPr>
          <w:rFonts w:ascii="Verdana" w:hAnsi="Verdana" w:cs="Arial"/>
          <w:sz w:val="18"/>
          <w:szCs w:val="18"/>
        </w:rPr>
        <w:t>other capital expenditure</w:t>
      </w:r>
      <w:r w:rsidRPr="00342957">
        <w:rPr>
          <w:rFonts w:ascii="Verdana" w:hAnsi="Verdana" w:cs="Arial"/>
          <w:sz w:val="18"/>
          <w:szCs w:val="18"/>
        </w:rPr>
        <w:t>) in 202</w:t>
      </w:r>
      <w:r w:rsidR="009C201E" w:rsidRPr="00342957">
        <w:rPr>
          <w:rFonts w:ascii="Verdana" w:hAnsi="Verdana" w:cs="Arial"/>
          <w:sz w:val="18"/>
          <w:szCs w:val="18"/>
        </w:rPr>
        <w:t>2</w:t>
      </w:r>
      <w:r w:rsidRPr="00342957">
        <w:rPr>
          <w:rFonts w:ascii="Verdana" w:hAnsi="Verdana" w:cs="Arial"/>
          <w:sz w:val="18"/>
          <w:szCs w:val="18"/>
        </w:rPr>
        <w:t>.</w:t>
      </w:r>
    </w:p>
    <w:p w14:paraId="19AF4A99" w14:textId="77777777" w:rsidR="00ED7B83" w:rsidRPr="009C201E" w:rsidRDefault="00ED7B83" w:rsidP="009206B5">
      <w:pPr>
        <w:jc w:val="both"/>
        <w:rPr>
          <w:rFonts w:ascii="Verdana" w:hAnsi="Verdana" w:cs="Arial"/>
          <w:sz w:val="18"/>
          <w:szCs w:val="18"/>
          <w:highlight w:val="yellow"/>
        </w:rPr>
      </w:pPr>
    </w:p>
    <w:p w14:paraId="25A2628E" w14:textId="77777777" w:rsidR="00972CA0" w:rsidRPr="00C26329" w:rsidRDefault="00972CA0" w:rsidP="00072754">
      <w:pPr>
        <w:jc w:val="both"/>
        <w:rPr>
          <w:rFonts w:ascii="Verdana" w:eastAsia="Malgun Gothic" w:hAnsi="Verdana" w:cs="Arial"/>
          <w:sz w:val="18"/>
          <w:szCs w:val="18"/>
        </w:rPr>
      </w:pPr>
    </w:p>
    <w:p w14:paraId="61ABB9A0" w14:textId="77777777" w:rsidR="00972CA0" w:rsidRPr="00C26329" w:rsidRDefault="00972CA0" w:rsidP="00072754">
      <w:pPr>
        <w:jc w:val="both"/>
        <w:rPr>
          <w:rFonts w:ascii="Verdana" w:eastAsia="Malgun Gothic" w:hAnsi="Verdana" w:cs="Arial"/>
          <w:sz w:val="18"/>
          <w:szCs w:val="18"/>
        </w:rPr>
      </w:pPr>
    </w:p>
    <w:p w14:paraId="13FD1960" w14:textId="77777777" w:rsidR="00972CA0" w:rsidRPr="00C26329" w:rsidRDefault="00972CA0" w:rsidP="00072754">
      <w:pPr>
        <w:jc w:val="both"/>
        <w:rPr>
          <w:rFonts w:ascii="Verdana" w:eastAsia="Malgun Gothic" w:hAnsi="Verdana" w:cs="Arial"/>
          <w:sz w:val="18"/>
          <w:szCs w:val="18"/>
        </w:rPr>
      </w:pPr>
    </w:p>
    <w:p w14:paraId="6FC34114" w14:textId="77777777" w:rsidR="00972CA0" w:rsidRDefault="00972CA0" w:rsidP="00072754">
      <w:pPr>
        <w:jc w:val="both"/>
        <w:rPr>
          <w:rFonts w:ascii="Verdana" w:eastAsia="Malgun Gothic" w:hAnsi="Verdana" w:cs="Arial"/>
          <w:sz w:val="18"/>
          <w:szCs w:val="18"/>
        </w:rPr>
      </w:pPr>
    </w:p>
    <w:p w14:paraId="30A487DD" w14:textId="77777777" w:rsidR="004045C2" w:rsidRDefault="004045C2" w:rsidP="00072754">
      <w:pPr>
        <w:jc w:val="both"/>
        <w:rPr>
          <w:rFonts w:ascii="Verdana" w:eastAsia="Malgun Gothic" w:hAnsi="Verdana" w:cs="Arial"/>
          <w:sz w:val="18"/>
          <w:szCs w:val="18"/>
        </w:rPr>
      </w:pPr>
    </w:p>
    <w:p w14:paraId="32FCFCD5" w14:textId="77777777" w:rsidR="004045C2" w:rsidRDefault="004045C2" w:rsidP="00072754">
      <w:pPr>
        <w:jc w:val="both"/>
        <w:rPr>
          <w:rFonts w:ascii="Verdana" w:eastAsia="Malgun Gothic" w:hAnsi="Verdana" w:cs="Arial"/>
          <w:sz w:val="18"/>
          <w:szCs w:val="18"/>
        </w:rPr>
      </w:pPr>
    </w:p>
    <w:p w14:paraId="2E7C3F29" w14:textId="77777777" w:rsidR="004045C2" w:rsidRDefault="004045C2" w:rsidP="00072754">
      <w:pPr>
        <w:jc w:val="both"/>
        <w:rPr>
          <w:rFonts w:ascii="Verdana" w:eastAsia="Malgun Gothic" w:hAnsi="Verdana" w:cs="Arial"/>
          <w:sz w:val="18"/>
          <w:szCs w:val="18"/>
        </w:rPr>
      </w:pPr>
    </w:p>
    <w:p w14:paraId="6F8FE22E" w14:textId="77777777" w:rsidR="004045C2" w:rsidRDefault="004045C2" w:rsidP="00072754">
      <w:pPr>
        <w:jc w:val="both"/>
        <w:rPr>
          <w:rFonts w:ascii="Verdana" w:eastAsia="Malgun Gothic" w:hAnsi="Verdana" w:cs="Arial"/>
          <w:sz w:val="18"/>
          <w:szCs w:val="18"/>
        </w:rPr>
      </w:pPr>
    </w:p>
    <w:p w14:paraId="7DE4FA30" w14:textId="77777777" w:rsidR="004045C2" w:rsidRDefault="004045C2" w:rsidP="00072754">
      <w:pPr>
        <w:jc w:val="both"/>
        <w:rPr>
          <w:rFonts w:ascii="Verdana" w:eastAsia="Malgun Gothic" w:hAnsi="Verdana" w:cs="Arial"/>
          <w:sz w:val="18"/>
          <w:szCs w:val="18"/>
        </w:rPr>
      </w:pPr>
    </w:p>
    <w:p w14:paraId="545F10D4" w14:textId="77777777" w:rsidR="004045C2" w:rsidRDefault="004045C2" w:rsidP="00072754">
      <w:pPr>
        <w:jc w:val="both"/>
        <w:rPr>
          <w:rFonts w:ascii="Verdana" w:eastAsia="Malgun Gothic" w:hAnsi="Verdana" w:cs="Arial"/>
          <w:sz w:val="18"/>
          <w:szCs w:val="18"/>
        </w:rPr>
      </w:pPr>
    </w:p>
    <w:p w14:paraId="5E156590" w14:textId="77777777" w:rsidR="004045C2" w:rsidRDefault="004045C2" w:rsidP="00072754">
      <w:pPr>
        <w:jc w:val="both"/>
        <w:rPr>
          <w:rFonts w:ascii="Verdana" w:eastAsia="Malgun Gothic" w:hAnsi="Verdana" w:cs="Arial"/>
          <w:sz w:val="18"/>
          <w:szCs w:val="18"/>
        </w:rPr>
      </w:pPr>
    </w:p>
    <w:p w14:paraId="75E62944" w14:textId="77777777" w:rsidR="004045C2" w:rsidRDefault="004045C2" w:rsidP="00072754">
      <w:pPr>
        <w:jc w:val="both"/>
        <w:rPr>
          <w:rFonts w:ascii="Verdana" w:eastAsia="Malgun Gothic" w:hAnsi="Verdana" w:cs="Arial"/>
          <w:sz w:val="18"/>
          <w:szCs w:val="18"/>
        </w:rPr>
      </w:pPr>
    </w:p>
    <w:p w14:paraId="19C9FB62" w14:textId="77777777" w:rsidR="004045C2" w:rsidRDefault="004045C2" w:rsidP="00072754">
      <w:pPr>
        <w:jc w:val="both"/>
        <w:rPr>
          <w:rFonts w:ascii="Verdana" w:eastAsia="Malgun Gothic" w:hAnsi="Verdana" w:cs="Arial"/>
          <w:sz w:val="18"/>
          <w:szCs w:val="18"/>
        </w:rPr>
      </w:pPr>
    </w:p>
    <w:p w14:paraId="74BDA4CE" w14:textId="77777777" w:rsidR="004045C2" w:rsidRDefault="004045C2" w:rsidP="00072754">
      <w:pPr>
        <w:jc w:val="both"/>
        <w:rPr>
          <w:rFonts w:ascii="Verdana" w:eastAsia="Malgun Gothic" w:hAnsi="Verdana" w:cs="Arial"/>
          <w:sz w:val="18"/>
          <w:szCs w:val="18"/>
        </w:rPr>
      </w:pPr>
    </w:p>
    <w:p w14:paraId="2A687A9C" w14:textId="77777777" w:rsidR="004045C2" w:rsidRDefault="004045C2" w:rsidP="00072754">
      <w:pPr>
        <w:jc w:val="both"/>
        <w:rPr>
          <w:rFonts w:ascii="Verdana" w:eastAsia="Malgun Gothic" w:hAnsi="Verdana" w:cs="Arial"/>
          <w:sz w:val="18"/>
          <w:szCs w:val="18"/>
        </w:rPr>
      </w:pPr>
    </w:p>
    <w:p w14:paraId="05346B3F" w14:textId="77777777" w:rsidR="004045C2" w:rsidRDefault="004045C2" w:rsidP="00072754">
      <w:pPr>
        <w:jc w:val="both"/>
        <w:rPr>
          <w:rFonts w:ascii="Verdana" w:eastAsia="Malgun Gothic" w:hAnsi="Verdana" w:cs="Arial"/>
          <w:sz w:val="18"/>
          <w:szCs w:val="18"/>
        </w:rPr>
      </w:pPr>
    </w:p>
    <w:p w14:paraId="470308AF" w14:textId="77777777" w:rsidR="004045C2" w:rsidRDefault="004045C2" w:rsidP="00072754">
      <w:pPr>
        <w:jc w:val="both"/>
        <w:rPr>
          <w:rFonts w:ascii="Verdana" w:eastAsia="Malgun Gothic" w:hAnsi="Verdana" w:cs="Arial"/>
          <w:sz w:val="18"/>
          <w:szCs w:val="18"/>
        </w:rPr>
      </w:pPr>
    </w:p>
    <w:p w14:paraId="5A70EF46" w14:textId="77777777" w:rsidR="004045C2" w:rsidRDefault="004045C2" w:rsidP="00072754">
      <w:pPr>
        <w:jc w:val="both"/>
        <w:rPr>
          <w:rFonts w:ascii="Verdana" w:eastAsia="Malgun Gothic" w:hAnsi="Verdana" w:cs="Arial"/>
          <w:sz w:val="18"/>
          <w:szCs w:val="18"/>
        </w:rPr>
      </w:pPr>
    </w:p>
    <w:p w14:paraId="39983822" w14:textId="77777777" w:rsidR="004045C2" w:rsidRDefault="004045C2" w:rsidP="00072754">
      <w:pPr>
        <w:jc w:val="both"/>
        <w:rPr>
          <w:rFonts w:ascii="Verdana" w:eastAsia="Malgun Gothic" w:hAnsi="Verdana" w:cs="Arial"/>
          <w:sz w:val="18"/>
          <w:szCs w:val="18"/>
        </w:rPr>
      </w:pPr>
    </w:p>
    <w:p w14:paraId="1FAE32D1" w14:textId="77777777" w:rsidR="004045C2" w:rsidRDefault="004045C2" w:rsidP="00072754">
      <w:pPr>
        <w:jc w:val="both"/>
        <w:rPr>
          <w:rFonts w:ascii="Verdana" w:eastAsia="Malgun Gothic" w:hAnsi="Verdana" w:cs="Arial"/>
          <w:sz w:val="18"/>
          <w:szCs w:val="18"/>
        </w:rPr>
      </w:pPr>
    </w:p>
    <w:p w14:paraId="78E033D2" w14:textId="77777777" w:rsidR="004045C2" w:rsidRDefault="004045C2" w:rsidP="00072754">
      <w:pPr>
        <w:jc w:val="both"/>
        <w:rPr>
          <w:rFonts w:ascii="Verdana" w:eastAsia="Malgun Gothic" w:hAnsi="Verdana" w:cs="Arial"/>
          <w:sz w:val="18"/>
          <w:szCs w:val="18"/>
        </w:rPr>
      </w:pPr>
    </w:p>
    <w:p w14:paraId="4C30EC76" w14:textId="77777777" w:rsidR="004045C2" w:rsidRDefault="004045C2" w:rsidP="00072754">
      <w:pPr>
        <w:jc w:val="both"/>
        <w:rPr>
          <w:rFonts w:ascii="Verdana" w:eastAsia="Malgun Gothic" w:hAnsi="Verdana" w:cs="Arial"/>
          <w:sz w:val="18"/>
          <w:szCs w:val="18"/>
        </w:rPr>
      </w:pPr>
    </w:p>
    <w:p w14:paraId="0BEC375F" w14:textId="77777777" w:rsidR="004045C2" w:rsidRDefault="004045C2" w:rsidP="00072754">
      <w:pPr>
        <w:jc w:val="both"/>
        <w:rPr>
          <w:rFonts w:ascii="Verdana" w:eastAsia="Malgun Gothic" w:hAnsi="Verdana" w:cs="Arial"/>
          <w:sz w:val="18"/>
          <w:szCs w:val="18"/>
        </w:rPr>
      </w:pPr>
    </w:p>
    <w:p w14:paraId="0014FC73" w14:textId="77777777" w:rsidR="004045C2" w:rsidRDefault="004045C2" w:rsidP="00072754">
      <w:pPr>
        <w:jc w:val="both"/>
        <w:rPr>
          <w:rFonts w:ascii="Verdana" w:eastAsia="Malgun Gothic" w:hAnsi="Verdana" w:cs="Arial"/>
          <w:sz w:val="18"/>
          <w:szCs w:val="18"/>
        </w:rPr>
      </w:pPr>
    </w:p>
    <w:p w14:paraId="40257F73" w14:textId="77777777" w:rsidR="00BA23AD" w:rsidRDefault="00BA23AD" w:rsidP="00072754">
      <w:pPr>
        <w:jc w:val="both"/>
        <w:rPr>
          <w:rFonts w:ascii="Verdana" w:eastAsia="Malgun Gothic" w:hAnsi="Verdana" w:cs="Arial"/>
          <w:sz w:val="18"/>
          <w:szCs w:val="18"/>
        </w:rPr>
      </w:pPr>
    </w:p>
    <w:p w14:paraId="7997370B" w14:textId="77777777" w:rsidR="004045C2" w:rsidRDefault="004045C2" w:rsidP="00072754">
      <w:pPr>
        <w:jc w:val="both"/>
        <w:rPr>
          <w:rFonts w:ascii="Verdana" w:eastAsia="Malgun Gothic" w:hAnsi="Verdana" w:cs="Arial"/>
          <w:sz w:val="18"/>
          <w:szCs w:val="18"/>
        </w:rPr>
      </w:pPr>
    </w:p>
    <w:p w14:paraId="22E01EA4" w14:textId="77777777" w:rsidR="002667D0" w:rsidRDefault="002667D0" w:rsidP="00072754">
      <w:pPr>
        <w:jc w:val="both"/>
        <w:rPr>
          <w:rFonts w:ascii="Verdana" w:eastAsia="Malgun Gothic" w:hAnsi="Verdana" w:cs="Arial"/>
          <w:sz w:val="18"/>
          <w:szCs w:val="18"/>
        </w:rPr>
      </w:pPr>
    </w:p>
    <w:p w14:paraId="6C2682AD" w14:textId="77777777" w:rsidR="003254B5" w:rsidRDefault="003254B5" w:rsidP="00072754">
      <w:pPr>
        <w:jc w:val="both"/>
        <w:rPr>
          <w:rFonts w:ascii="Verdana" w:eastAsia="Malgun Gothic" w:hAnsi="Verdana" w:cs="Arial"/>
          <w:sz w:val="18"/>
          <w:szCs w:val="18"/>
        </w:rPr>
      </w:pPr>
    </w:p>
    <w:p w14:paraId="115E2019" w14:textId="77777777" w:rsidR="003254B5" w:rsidRDefault="003254B5" w:rsidP="00072754">
      <w:pPr>
        <w:jc w:val="both"/>
        <w:rPr>
          <w:rFonts w:ascii="Verdana" w:eastAsia="Malgun Gothic" w:hAnsi="Verdana" w:cs="Arial"/>
          <w:sz w:val="18"/>
          <w:szCs w:val="18"/>
        </w:rPr>
      </w:pPr>
    </w:p>
    <w:p w14:paraId="64C7C481" w14:textId="77777777" w:rsidR="003254B5" w:rsidRDefault="003254B5" w:rsidP="00072754">
      <w:pPr>
        <w:jc w:val="both"/>
        <w:rPr>
          <w:rFonts w:ascii="Verdana" w:eastAsia="Malgun Gothic" w:hAnsi="Verdana" w:cs="Arial"/>
          <w:sz w:val="18"/>
          <w:szCs w:val="18"/>
        </w:rPr>
      </w:pPr>
    </w:p>
    <w:p w14:paraId="32A0C2AF" w14:textId="77777777" w:rsidR="002667D0" w:rsidRDefault="002667D0" w:rsidP="00072754">
      <w:pPr>
        <w:jc w:val="both"/>
        <w:rPr>
          <w:rFonts w:ascii="Verdana" w:eastAsia="Malgun Gothic" w:hAnsi="Verdana" w:cs="Arial"/>
          <w:sz w:val="18"/>
          <w:szCs w:val="18"/>
        </w:rPr>
      </w:pPr>
    </w:p>
    <w:p w14:paraId="72790E57" w14:textId="77777777" w:rsidR="002667D0" w:rsidRDefault="002667D0" w:rsidP="00072754">
      <w:pPr>
        <w:jc w:val="both"/>
        <w:rPr>
          <w:rFonts w:ascii="Verdana" w:eastAsia="Malgun Gothic" w:hAnsi="Verdana" w:cs="Arial"/>
          <w:sz w:val="18"/>
          <w:szCs w:val="18"/>
          <w:lang w:val="el-GR"/>
        </w:rPr>
      </w:pPr>
    </w:p>
    <w:p w14:paraId="174F612A" w14:textId="77777777" w:rsidR="00D6003A" w:rsidRPr="00D6003A" w:rsidRDefault="00D6003A" w:rsidP="00072754">
      <w:pPr>
        <w:jc w:val="both"/>
        <w:rPr>
          <w:rFonts w:ascii="Verdana" w:eastAsia="Malgun Gothic" w:hAnsi="Verdana" w:cs="Arial"/>
          <w:sz w:val="18"/>
          <w:szCs w:val="18"/>
          <w:lang w:val="el-GR"/>
        </w:rPr>
      </w:pPr>
    </w:p>
    <w:tbl>
      <w:tblPr>
        <w:tblStyle w:val="TableGrid"/>
        <w:tblW w:w="9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6"/>
        <w:gridCol w:w="1304"/>
        <w:gridCol w:w="1304"/>
        <w:gridCol w:w="1304"/>
        <w:gridCol w:w="236"/>
        <w:gridCol w:w="1361"/>
      </w:tblGrid>
      <w:tr w:rsidR="006F21EB" w:rsidRPr="006F21EB" w14:paraId="3BAE4400" w14:textId="77777777" w:rsidTr="006F21EB">
        <w:trPr>
          <w:trHeight w:val="284"/>
          <w:jc w:val="center"/>
        </w:trPr>
        <w:tc>
          <w:tcPr>
            <w:tcW w:w="4196" w:type="dxa"/>
            <w:tcBorders>
              <w:bottom w:val="single" w:sz="4" w:space="0" w:color="2F5496" w:themeColor="accent1" w:themeShade="BF"/>
            </w:tcBorders>
            <w:vAlign w:val="center"/>
          </w:tcPr>
          <w:p w14:paraId="3927876C" w14:textId="77777777" w:rsidR="006F21EB" w:rsidRPr="006F21EB" w:rsidRDefault="006F21EB" w:rsidP="00CA6AD5">
            <w:pPr>
              <w:rPr>
                <w:rFonts w:ascii="Verdana" w:hAnsi="Verdana" w:cs="Arial"/>
                <w:b/>
                <w:bCs/>
                <w:color w:val="2F5496" w:themeColor="accent1" w:themeShade="BF"/>
                <w:sz w:val="18"/>
                <w:szCs w:val="18"/>
              </w:rPr>
            </w:pPr>
            <w:r>
              <w:rPr>
                <w:rFonts w:ascii="Verdana" w:hAnsi="Verdana" w:cs="Arial"/>
                <w:b/>
                <w:bCs/>
                <w:color w:val="2F5496" w:themeColor="accent1" w:themeShade="BF"/>
                <w:sz w:val="18"/>
                <w:szCs w:val="18"/>
              </w:rPr>
              <w:lastRenderedPageBreak/>
              <w:t>Table</w:t>
            </w:r>
          </w:p>
        </w:tc>
        <w:tc>
          <w:tcPr>
            <w:tcW w:w="1304" w:type="dxa"/>
            <w:tcBorders>
              <w:bottom w:val="single" w:sz="4" w:space="0" w:color="2F5496" w:themeColor="accent1" w:themeShade="BF"/>
            </w:tcBorders>
          </w:tcPr>
          <w:p w14:paraId="3C831FC3" w14:textId="77777777" w:rsidR="006F21EB" w:rsidRPr="006F21EB" w:rsidRDefault="006F21EB" w:rsidP="00CA6AD5">
            <w:pPr>
              <w:jc w:val="both"/>
              <w:rPr>
                <w:rFonts w:ascii="Verdana" w:hAnsi="Verdana" w:cs="Arial"/>
                <w:color w:val="2F5496" w:themeColor="accent1" w:themeShade="BF"/>
                <w:sz w:val="18"/>
                <w:szCs w:val="18"/>
                <w:lang w:val="el-GR"/>
              </w:rPr>
            </w:pPr>
          </w:p>
        </w:tc>
        <w:tc>
          <w:tcPr>
            <w:tcW w:w="1304" w:type="dxa"/>
            <w:tcBorders>
              <w:bottom w:val="single" w:sz="4" w:space="0" w:color="2F5496" w:themeColor="accent1" w:themeShade="BF"/>
            </w:tcBorders>
          </w:tcPr>
          <w:p w14:paraId="0D665A67" w14:textId="77777777" w:rsidR="006F21EB" w:rsidRPr="006F21EB" w:rsidRDefault="006F21EB" w:rsidP="00CA6AD5">
            <w:pPr>
              <w:jc w:val="both"/>
              <w:rPr>
                <w:rFonts w:ascii="Verdana" w:hAnsi="Verdana" w:cs="Arial"/>
                <w:color w:val="2F5496" w:themeColor="accent1" w:themeShade="BF"/>
                <w:sz w:val="18"/>
                <w:szCs w:val="18"/>
                <w:lang w:val="el-GR"/>
              </w:rPr>
            </w:pPr>
          </w:p>
        </w:tc>
        <w:tc>
          <w:tcPr>
            <w:tcW w:w="1304" w:type="dxa"/>
            <w:tcBorders>
              <w:bottom w:val="single" w:sz="4" w:space="0" w:color="2F5496" w:themeColor="accent1" w:themeShade="BF"/>
            </w:tcBorders>
          </w:tcPr>
          <w:p w14:paraId="2AA6DDBD" w14:textId="77777777" w:rsidR="006F21EB" w:rsidRPr="006F21EB" w:rsidRDefault="006F21EB" w:rsidP="00CA6AD5">
            <w:pPr>
              <w:jc w:val="both"/>
              <w:rPr>
                <w:rFonts w:ascii="Verdana" w:hAnsi="Verdana" w:cs="Arial"/>
                <w:color w:val="2F5496" w:themeColor="accent1" w:themeShade="BF"/>
                <w:sz w:val="18"/>
                <w:szCs w:val="18"/>
                <w:lang w:val="el-GR"/>
              </w:rPr>
            </w:pPr>
          </w:p>
        </w:tc>
        <w:tc>
          <w:tcPr>
            <w:tcW w:w="236" w:type="dxa"/>
            <w:tcBorders>
              <w:bottom w:val="single" w:sz="4" w:space="0" w:color="2F5496" w:themeColor="accent1" w:themeShade="BF"/>
            </w:tcBorders>
          </w:tcPr>
          <w:p w14:paraId="5E95579A" w14:textId="77777777" w:rsidR="006F21EB" w:rsidRPr="006F21EB" w:rsidRDefault="006F21EB" w:rsidP="00CA6AD5">
            <w:pPr>
              <w:jc w:val="both"/>
              <w:rPr>
                <w:rFonts w:ascii="Verdana" w:hAnsi="Verdana" w:cs="Arial"/>
                <w:color w:val="2F5496" w:themeColor="accent1" w:themeShade="BF"/>
                <w:sz w:val="18"/>
                <w:szCs w:val="18"/>
                <w:lang w:val="el-GR"/>
              </w:rPr>
            </w:pPr>
          </w:p>
        </w:tc>
        <w:tc>
          <w:tcPr>
            <w:tcW w:w="1361" w:type="dxa"/>
            <w:tcBorders>
              <w:bottom w:val="single" w:sz="4" w:space="0" w:color="2F5496" w:themeColor="accent1" w:themeShade="BF"/>
            </w:tcBorders>
          </w:tcPr>
          <w:p w14:paraId="224E94C6" w14:textId="77777777" w:rsidR="006F21EB" w:rsidRPr="006F21EB" w:rsidRDefault="006F21EB" w:rsidP="00CA6AD5">
            <w:pPr>
              <w:jc w:val="both"/>
              <w:rPr>
                <w:rFonts w:ascii="Verdana" w:hAnsi="Verdana" w:cs="Arial"/>
                <w:color w:val="2F5496" w:themeColor="accent1" w:themeShade="BF"/>
                <w:sz w:val="18"/>
                <w:szCs w:val="18"/>
                <w:lang w:val="el-GR"/>
              </w:rPr>
            </w:pPr>
          </w:p>
        </w:tc>
      </w:tr>
      <w:tr w:rsidR="006F21EB" w:rsidRPr="006F21EB" w14:paraId="7E06CC96" w14:textId="77777777" w:rsidTr="006F21EB">
        <w:trPr>
          <w:trHeight w:val="340"/>
          <w:jc w:val="center"/>
        </w:trPr>
        <w:tc>
          <w:tcPr>
            <w:tcW w:w="4196" w:type="dxa"/>
            <w:vMerge w:val="restart"/>
            <w:tcBorders>
              <w:top w:val="single" w:sz="4" w:space="0" w:color="2F5496" w:themeColor="accent1" w:themeShade="BF"/>
            </w:tcBorders>
            <w:vAlign w:val="center"/>
          </w:tcPr>
          <w:p w14:paraId="27738633" w14:textId="77777777" w:rsidR="006F21EB" w:rsidRPr="00340922" w:rsidRDefault="00340922" w:rsidP="00CA6AD5">
            <w:pPr>
              <w:jc w:val="center"/>
              <w:rPr>
                <w:rFonts w:ascii="Verdana" w:hAnsi="Verdana" w:cs="Arial"/>
                <w:b/>
                <w:bCs/>
                <w:color w:val="2F5496" w:themeColor="accent1" w:themeShade="BF"/>
                <w:sz w:val="18"/>
                <w:szCs w:val="18"/>
              </w:rPr>
            </w:pPr>
            <w:r w:rsidRPr="00340922">
              <w:rPr>
                <w:rFonts w:ascii="Verdana" w:hAnsi="Verdana" w:cs="Arial"/>
                <w:b/>
                <w:bCs/>
                <w:color w:val="2F5496" w:themeColor="accent1" w:themeShade="BF"/>
                <w:sz w:val="18"/>
                <w:szCs w:val="18"/>
              </w:rPr>
              <w:t>M</w:t>
            </w:r>
            <w:r>
              <w:rPr>
                <w:rFonts w:ascii="Verdana" w:hAnsi="Verdana" w:cs="Arial"/>
                <w:b/>
                <w:bCs/>
                <w:color w:val="2F5496" w:themeColor="accent1" w:themeShade="BF"/>
                <w:sz w:val="18"/>
                <w:szCs w:val="18"/>
              </w:rPr>
              <w:t>acroeconomic</w:t>
            </w:r>
            <w:r w:rsidRPr="00340922">
              <w:rPr>
                <w:rFonts w:ascii="Verdana" w:hAnsi="Verdana" w:cs="Arial"/>
                <w:b/>
                <w:bCs/>
                <w:color w:val="2F5496" w:themeColor="accent1" w:themeShade="BF"/>
                <w:sz w:val="18"/>
                <w:szCs w:val="18"/>
              </w:rPr>
              <w:t xml:space="preserve"> A</w:t>
            </w:r>
            <w:r>
              <w:rPr>
                <w:rFonts w:ascii="Verdana" w:hAnsi="Verdana" w:cs="Arial"/>
                <w:b/>
                <w:bCs/>
                <w:color w:val="2F5496" w:themeColor="accent1" w:themeShade="BF"/>
                <w:sz w:val="18"/>
                <w:szCs w:val="18"/>
              </w:rPr>
              <w:t>ggregates</w:t>
            </w:r>
            <w:r w:rsidRPr="00340922">
              <w:rPr>
                <w:rFonts w:ascii="Verdana" w:hAnsi="Verdana" w:cs="Arial"/>
                <w:b/>
                <w:bCs/>
                <w:color w:val="2F5496" w:themeColor="accent1" w:themeShade="BF"/>
                <w:sz w:val="18"/>
                <w:szCs w:val="18"/>
              </w:rPr>
              <w:t xml:space="preserve"> </w:t>
            </w:r>
            <w:r>
              <w:rPr>
                <w:rFonts w:ascii="Verdana" w:hAnsi="Verdana" w:cs="Arial"/>
                <w:b/>
                <w:bCs/>
                <w:color w:val="2F5496" w:themeColor="accent1" w:themeShade="BF"/>
                <w:sz w:val="18"/>
                <w:szCs w:val="18"/>
              </w:rPr>
              <w:t>of</w:t>
            </w:r>
            <w:r w:rsidRPr="00340922">
              <w:rPr>
                <w:rFonts w:ascii="Verdana" w:hAnsi="Verdana" w:cs="Arial"/>
                <w:b/>
                <w:bCs/>
                <w:color w:val="2F5496" w:themeColor="accent1" w:themeShade="BF"/>
                <w:sz w:val="18"/>
                <w:szCs w:val="18"/>
              </w:rPr>
              <w:t xml:space="preserve"> </w:t>
            </w:r>
            <w:r>
              <w:rPr>
                <w:rFonts w:ascii="Verdana" w:hAnsi="Verdana" w:cs="Arial"/>
                <w:b/>
                <w:bCs/>
                <w:color w:val="2F5496" w:themeColor="accent1" w:themeShade="BF"/>
                <w:sz w:val="18"/>
                <w:szCs w:val="18"/>
              </w:rPr>
              <w:t>General</w:t>
            </w:r>
            <w:r w:rsidRPr="00340922">
              <w:rPr>
                <w:rFonts w:ascii="Verdana" w:hAnsi="Verdana" w:cs="Arial"/>
                <w:b/>
                <w:bCs/>
                <w:color w:val="2F5496" w:themeColor="accent1" w:themeShade="BF"/>
                <w:sz w:val="18"/>
                <w:szCs w:val="18"/>
              </w:rPr>
              <w:t xml:space="preserve"> </w:t>
            </w:r>
            <w:r>
              <w:rPr>
                <w:rFonts w:ascii="Verdana" w:hAnsi="Verdana" w:cs="Arial"/>
                <w:b/>
                <w:bCs/>
                <w:color w:val="2F5496" w:themeColor="accent1" w:themeShade="BF"/>
                <w:sz w:val="18"/>
                <w:szCs w:val="18"/>
              </w:rPr>
              <w:t>Government</w:t>
            </w:r>
          </w:p>
        </w:tc>
        <w:tc>
          <w:tcPr>
            <w:tcW w:w="3912" w:type="dxa"/>
            <w:gridSpan w:val="3"/>
            <w:tcBorders>
              <w:top w:val="single" w:sz="4" w:space="0" w:color="2F5496" w:themeColor="accent1" w:themeShade="BF"/>
              <w:bottom w:val="single" w:sz="4" w:space="0" w:color="2F5496" w:themeColor="accent1" w:themeShade="BF"/>
            </w:tcBorders>
            <w:vAlign w:val="center"/>
          </w:tcPr>
          <w:p w14:paraId="15F00FF9" w14:textId="77777777" w:rsidR="006F21EB" w:rsidRPr="006F21EB" w:rsidRDefault="006F21EB" w:rsidP="00CA6AD5">
            <w:pPr>
              <w:jc w:val="center"/>
              <w:rPr>
                <w:rFonts w:ascii="Verdana" w:hAnsi="Verdana" w:cs="Arial"/>
                <w:b/>
                <w:bCs/>
                <w:color w:val="2F5496" w:themeColor="accent1" w:themeShade="BF"/>
                <w:sz w:val="18"/>
                <w:szCs w:val="18"/>
                <w:lang w:val="el-GR"/>
              </w:rPr>
            </w:pPr>
            <w:r>
              <w:rPr>
                <w:rFonts w:ascii="Verdana" w:hAnsi="Verdana" w:cs="Arial"/>
                <w:b/>
                <w:bCs/>
                <w:color w:val="2F5496" w:themeColor="accent1" w:themeShade="BF"/>
                <w:sz w:val="18"/>
                <w:szCs w:val="18"/>
              </w:rPr>
              <w:t>Euro</w:t>
            </w:r>
            <w:r w:rsidRPr="006F21EB">
              <w:rPr>
                <w:rFonts w:ascii="Verdana" w:hAnsi="Verdana" w:cs="Arial"/>
                <w:b/>
                <w:bCs/>
                <w:color w:val="2F5496" w:themeColor="accent1" w:themeShade="BF"/>
                <w:sz w:val="18"/>
                <w:szCs w:val="18"/>
                <w:lang w:val="el-GR"/>
              </w:rPr>
              <w:t xml:space="preserve"> (</w:t>
            </w:r>
            <w:r>
              <w:rPr>
                <w:rFonts w:ascii="Verdana" w:hAnsi="Verdana" w:cs="Arial"/>
                <w:b/>
                <w:bCs/>
                <w:color w:val="2F5496" w:themeColor="accent1" w:themeShade="BF"/>
                <w:sz w:val="18"/>
                <w:szCs w:val="18"/>
              </w:rPr>
              <w:t>million</w:t>
            </w:r>
            <w:r w:rsidRPr="006F21EB">
              <w:rPr>
                <w:rFonts w:ascii="Verdana" w:hAnsi="Verdana" w:cs="Arial"/>
                <w:b/>
                <w:bCs/>
                <w:color w:val="2F5496" w:themeColor="accent1" w:themeShade="BF"/>
                <w:sz w:val="18"/>
                <w:szCs w:val="18"/>
                <w:lang w:val="el-GR"/>
              </w:rPr>
              <w:t>)</w:t>
            </w:r>
          </w:p>
        </w:tc>
        <w:tc>
          <w:tcPr>
            <w:tcW w:w="236" w:type="dxa"/>
            <w:tcBorders>
              <w:top w:val="single" w:sz="4" w:space="0" w:color="2F5496" w:themeColor="accent1" w:themeShade="BF"/>
            </w:tcBorders>
          </w:tcPr>
          <w:p w14:paraId="35A174D6" w14:textId="77777777" w:rsidR="006F21EB" w:rsidRPr="006F21EB" w:rsidRDefault="006F21EB" w:rsidP="00CA6AD5">
            <w:pPr>
              <w:jc w:val="both"/>
              <w:rPr>
                <w:rFonts w:ascii="Verdana" w:hAnsi="Verdana" w:cs="Arial"/>
                <w:color w:val="2F5496" w:themeColor="accent1" w:themeShade="BF"/>
                <w:sz w:val="18"/>
                <w:szCs w:val="18"/>
                <w:lang w:val="el-GR"/>
              </w:rPr>
            </w:pPr>
          </w:p>
        </w:tc>
        <w:tc>
          <w:tcPr>
            <w:tcW w:w="1361" w:type="dxa"/>
            <w:tcBorders>
              <w:top w:val="single" w:sz="4" w:space="0" w:color="2F5496" w:themeColor="accent1" w:themeShade="BF"/>
            </w:tcBorders>
            <w:vAlign w:val="center"/>
          </w:tcPr>
          <w:p w14:paraId="0E0C041F" w14:textId="77777777" w:rsidR="006F21EB" w:rsidRPr="006F21EB" w:rsidRDefault="006F21EB" w:rsidP="00CA6AD5">
            <w:pPr>
              <w:jc w:val="center"/>
              <w:rPr>
                <w:rFonts w:ascii="Verdana" w:hAnsi="Verdana" w:cs="Arial"/>
                <w:color w:val="2F5496" w:themeColor="accent1" w:themeShade="BF"/>
                <w:sz w:val="18"/>
                <w:szCs w:val="18"/>
                <w:lang w:val="el-GR"/>
              </w:rPr>
            </w:pPr>
            <w:r>
              <w:rPr>
                <w:rFonts w:ascii="Verdana" w:hAnsi="Verdana" w:cs="Arial"/>
                <w:b/>
                <w:bCs/>
                <w:color w:val="2F5496" w:themeColor="accent1" w:themeShade="BF"/>
                <w:sz w:val="18"/>
                <w:szCs w:val="18"/>
              </w:rPr>
              <w:t>Change</w:t>
            </w:r>
          </w:p>
        </w:tc>
      </w:tr>
      <w:tr w:rsidR="006F21EB" w:rsidRPr="006F21EB" w14:paraId="04DE1666" w14:textId="77777777" w:rsidTr="006F21EB">
        <w:trPr>
          <w:trHeight w:val="510"/>
          <w:jc w:val="center"/>
        </w:trPr>
        <w:tc>
          <w:tcPr>
            <w:tcW w:w="4196" w:type="dxa"/>
            <w:vMerge/>
          </w:tcPr>
          <w:p w14:paraId="65E38097" w14:textId="77777777" w:rsidR="006F21EB" w:rsidRPr="006F21EB" w:rsidRDefault="006F21EB" w:rsidP="00CA6AD5">
            <w:pPr>
              <w:jc w:val="both"/>
              <w:rPr>
                <w:rFonts w:ascii="Verdana" w:hAnsi="Verdana" w:cs="Arial"/>
                <w:b/>
                <w:bCs/>
                <w:color w:val="2F5496" w:themeColor="accent1" w:themeShade="BF"/>
                <w:sz w:val="18"/>
                <w:szCs w:val="18"/>
                <w:lang w:val="el-GR"/>
              </w:rPr>
            </w:pPr>
          </w:p>
        </w:tc>
        <w:tc>
          <w:tcPr>
            <w:tcW w:w="2608" w:type="dxa"/>
            <w:gridSpan w:val="2"/>
            <w:tcBorders>
              <w:top w:val="single" w:sz="4" w:space="0" w:color="2F5496" w:themeColor="accent1" w:themeShade="BF"/>
              <w:bottom w:val="single" w:sz="4" w:space="0" w:color="2F5496" w:themeColor="accent1" w:themeShade="BF"/>
              <w:right w:val="double" w:sz="4" w:space="0" w:color="2F5496" w:themeColor="accent1" w:themeShade="BF"/>
            </w:tcBorders>
            <w:vAlign w:val="center"/>
          </w:tcPr>
          <w:p w14:paraId="63C9027C" w14:textId="77777777" w:rsidR="006F21EB" w:rsidRPr="006F21EB" w:rsidRDefault="00340922" w:rsidP="00340922">
            <w:pPr>
              <w:jc w:val="center"/>
              <w:rPr>
                <w:rFonts w:ascii="Verdana" w:hAnsi="Verdana" w:cs="Arial"/>
                <w:b/>
                <w:bCs/>
                <w:color w:val="2F5496" w:themeColor="accent1" w:themeShade="BF"/>
                <w:sz w:val="18"/>
                <w:szCs w:val="18"/>
                <w:lang w:val="el-GR"/>
              </w:rPr>
            </w:pPr>
            <w:r>
              <w:rPr>
                <w:rFonts w:ascii="Verdana" w:hAnsi="Verdana" w:cs="Arial"/>
                <w:b/>
                <w:bCs/>
                <w:color w:val="2F5496" w:themeColor="accent1" w:themeShade="BF"/>
                <w:sz w:val="18"/>
                <w:szCs w:val="18"/>
              </w:rPr>
              <w:t>Fiscal Results</w:t>
            </w:r>
          </w:p>
        </w:tc>
        <w:tc>
          <w:tcPr>
            <w:tcW w:w="1304" w:type="dxa"/>
            <w:tcBorders>
              <w:top w:val="single" w:sz="4" w:space="0" w:color="2F5496" w:themeColor="accent1" w:themeShade="BF"/>
              <w:left w:val="double" w:sz="4" w:space="0" w:color="2F5496" w:themeColor="accent1" w:themeShade="BF"/>
              <w:bottom w:val="single" w:sz="4" w:space="0" w:color="2F5496" w:themeColor="accent1" w:themeShade="BF"/>
            </w:tcBorders>
            <w:vAlign w:val="center"/>
          </w:tcPr>
          <w:p w14:paraId="317142E3" w14:textId="77777777" w:rsidR="006F21EB" w:rsidRPr="006F21EB" w:rsidRDefault="003E1CEE" w:rsidP="00CA6AD5">
            <w:pPr>
              <w:jc w:val="center"/>
              <w:rPr>
                <w:rFonts w:ascii="Verdana" w:hAnsi="Verdana" w:cs="Arial"/>
                <w:b/>
                <w:bCs/>
                <w:color w:val="2F5496" w:themeColor="accent1" w:themeShade="BF"/>
                <w:sz w:val="18"/>
                <w:szCs w:val="18"/>
                <w:lang w:val="el-GR"/>
              </w:rPr>
            </w:pPr>
            <w:r>
              <w:rPr>
                <w:rFonts w:ascii="Verdana" w:hAnsi="Verdana" w:cs="Arial"/>
                <w:b/>
                <w:bCs/>
                <w:color w:val="2F5496" w:themeColor="accent1" w:themeShade="BF"/>
                <w:sz w:val="18"/>
                <w:szCs w:val="18"/>
              </w:rPr>
              <w:t>Difference</w:t>
            </w:r>
          </w:p>
        </w:tc>
        <w:tc>
          <w:tcPr>
            <w:tcW w:w="236" w:type="dxa"/>
          </w:tcPr>
          <w:p w14:paraId="611FD142" w14:textId="77777777" w:rsidR="006F21EB" w:rsidRPr="006F21EB" w:rsidRDefault="006F21EB" w:rsidP="00CA6AD5">
            <w:pPr>
              <w:jc w:val="both"/>
              <w:rPr>
                <w:rFonts w:ascii="Verdana" w:hAnsi="Verdana" w:cs="Arial"/>
                <w:b/>
                <w:bCs/>
                <w:color w:val="2F5496" w:themeColor="accent1" w:themeShade="BF"/>
                <w:sz w:val="18"/>
                <w:szCs w:val="18"/>
                <w:lang w:val="el-GR"/>
              </w:rPr>
            </w:pPr>
          </w:p>
        </w:tc>
        <w:tc>
          <w:tcPr>
            <w:tcW w:w="1361" w:type="dxa"/>
            <w:tcBorders>
              <w:bottom w:val="single" w:sz="4" w:space="0" w:color="2F5496" w:themeColor="accent1" w:themeShade="BF"/>
            </w:tcBorders>
            <w:vAlign w:val="center"/>
          </w:tcPr>
          <w:p w14:paraId="1CABC62B" w14:textId="77777777" w:rsidR="006F21EB" w:rsidRPr="006F21EB" w:rsidRDefault="006F21EB" w:rsidP="00CA6AD5">
            <w:pPr>
              <w:jc w:val="center"/>
              <w:rPr>
                <w:rFonts w:ascii="Verdana" w:hAnsi="Verdana" w:cs="Arial"/>
                <w:b/>
                <w:bCs/>
                <w:color w:val="2F5496" w:themeColor="accent1" w:themeShade="BF"/>
                <w:sz w:val="18"/>
                <w:szCs w:val="18"/>
                <w:lang w:val="el-GR"/>
              </w:rPr>
            </w:pPr>
            <w:r w:rsidRPr="006F21EB">
              <w:rPr>
                <w:rFonts w:ascii="Verdana" w:hAnsi="Verdana" w:cs="Arial"/>
                <w:b/>
                <w:bCs/>
                <w:color w:val="2F5496" w:themeColor="accent1" w:themeShade="BF"/>
                <w:sz w:val="18"/>
                <w:szCs w:val="18"/>
                <w:lang w:val="el-GR"/>
              </w:rPr>
              <w:t>(%)</w:t>
            </w:r>
          </w:p>
        </w:tc>
      </w:tr>
      <w:tr w:rsidR="006F21EB" w:rsidRPr="006F21EB" w14:paraId="497EA4CD" w14:textId="77777777" w:rsidTr="00D6003A">
        <w:trPr>
          <w:trHeight w:val="624"/>
          <w:jc w:val="center"/>
        </w:trPr>
        <w:tc>
          <w:tcPr>
            <w:tcW w:w="4196" w:type="dxa"/>
            <w:vMerge/>
            <w:tcBorders>
              <w:bottom w:val="single" w:sz="4" w:space="0" w:color="2F5496" w:themeColor="accent1" w:themeShade="BF"/>
            </w:tcBorders>
          </w:tcPr>
          <w:p w14:paraId="570DF210" w14:textId="77777777" w:rsidR="006F21EB" w:rsidRPr="006F21EB" w:rsidRDefault="006F21EB" w:rsidP="00CA6AD5">
            <w:pPr>
              <w:jc w:val="both"/>
              <w:rPr>
                <w:rFonts w:ascii="Verdana" w:hAnsi="Verdana" w:cs="Arial"/>
                <w:color w:val="2F5496" w:themeColor="accent1" w:themeShade="BF"/>
                <w:sz w:val="18"/>
                <w:szCs w:val="18"/>
                <w:lang w:val="el-GR"/>
              </w:rPr>
            </w:pPr>
          </w:p>
        </w:tc>
        <w:tc>
          <w:tcPr>
            <w:tcW w:w="1304" w:type="dxa"/>
            <w:tcBorders>
              <w:top w:val="single" w:sz="4" w:space="0" w:color="2F5496" w:themeColor="accent1" w:themeShade="BF"/>
              <w:bottom w:val="single" w:sz="4" w:space="0" w:color="2F5496" w:themeColor="accent1" w:themeShade="BF"/>
            </w:tcBorders>
            <w:vAlign w:val="center"/>
          </w:tcPr>
          <w:p w14:paraId="6827EC02" w14:textId="0A5F0036" w:rsidR="006F21EB" w:rsidRPr="00334E18" w:rsidRDefault="006F21EB" w:rsidP="00D6003A">
            <w:pPr>
              <w:jc w:val="center"/>
              <w:rPr>
                <w:rFonts w:ascii="Verdana" w:hAnsi="Verdana" w:cs="Arial"/>
                <w:b/>
                <w:bCs/>
                <w:color w:val="2F5496" w:themeColor="accent1" w:themeShade="BF"/>
                <w:sz w:val="18"/>
                <w:szCs w:val="18"/>
              </w:rPr>
            </w:pPr>
            <w:r w:rsidRPr="006F21EB">
              <w:rPr>
                <w:rFonts w:ascii="Verdana" w:hAnsi="Verdana" w:cs="Arial"/>
                <w:b/>
                <w:bCs/>
                <w:color w:val="2F5496" w:themeColor="accent1" w:themeShade="BF"/>
                <w:sz w:val="18"/>
                <w:szCs w:val="18"/>
                <w:lang w:val="el-GR"/>
              </w:rPr>
              <w:t>202</w:t>
            </w:r>
            <w:r w:rsidR="00342957">
              <w:rPr>
                <w:rFonts w:ascii="Verdana" w:hAnsi="Verdana" w:cs="Arial"/>
                <w:b/>
                <w:bCs/>
                <w:color w:val="2F5496" w:themeColor="accent1" w:themeShade="BF"/>
                <w:sz w:val="18"/>
                <w:szCs w:val="18"/>
              </w:rPr>
              <w:t>2</w:t>
            </w:r>
          </w:p>
        </w:tc>
        <w:tc>
          <w:tcPr>
            <w:tcW w:w="1304" w:type="dxa"/>
            <w:tcBorders>
              <w:top w:val="single" w:sz="4" w:space="0" w:color="2F5496" w:themeColor="accent1" w:themeShade="BF"/>
              <w:bottom w:val="single" w:sz="4" w:space="0" w:color="2F5496" w:themeColor="accent1" w:themeShade="BF"/>
              <w:right w:val="double" w:sz="4" w:space="0" w:color="2F5496" w:themeColor="accent1" w:themeShade="BF"/>
            </w:tcBorders>
            <w:vAlign w:val="center"/>
          </w:tcPr>
          <w:p w14:paraId="3A8B7F09" w14:textId="7997BB94" w:rsidR="006F21EB" w:rsidRPr="00334E18" w:rsidRDefault="006F21EB" w:rsidP="00D6003A">
            <w:pPr>
              <w:jc w:val="center"/>
              <w:rPr>
                <w:rFonts w:ascii="Verdana" w:hAnsi="Verdana" w:cs="Arial"/>
                <w:b/>
                <w:bCs/>
                <w:color w:val="2F5496" w:themeColor="accent1" w:themeShade="BF"/>
                <w:sz w:val="18"/>
                <w:szCs w:val="18"/>
              </w:rPr>
            </w:pPr>
            <w:r w:rsidRPr="006F21EB">
              <w:rPr>
                <w:rFonts w:ascii="Verdana" w:hAnsi="Verdana" w:cs="Arial"/>
                <w:b/>
                <w:bCs/>
                <w:color w:val="2F5496" w:themeColor="accent1" w:themeShade="BF"/>
                <w:sz w:val="18"/>
                <w:szCs w:val="18"/>
                <w:lang w:val="el-GR"/>
              </w:rPr>
              <w:t>202</w:t>
            </w:r>
            <w:r w:rsidR="00342957">
              <w:rPr>
                <w:rFonts w:ascii="Verdana" w:hAnsi="Verdana" w:cs="Arial"/>
                <w:b/>
                <w:bCs/>
                <w:color w:val="2F5496" w:themeColor="accent1" w:themeShade="BF"/>
                <w:sz w:val="18"/>
                <w:szCs w:val="18"/>
              </w:rPr>
              <w:t>3</w:t>
            </w:r>
          </w:p>
        </w:tc>
        <w:tc>
          <w:tcPr>
            <w:tcW w:w="1304" w:type="dxa"/>
            <w:tcBorders>
              <w:top w:val="single" w:sz="4" w:space="0" w:color="2F5496" w:themeColor="accent1" w:themeShade="BF"/>
              <w:left w:val="double" w:sz="4" w:space="0" w:color="2F5496" w:themeColor="accent1" w:themeShade="BF"/>
              <w:bottom w:val="single" w:sz="4" w:space="0" w:color="2F5496" w:themeColor="accent1" w:themeShade="BF"/>
            </w:tcBorders>
            <w:vAlign w:val="center"/>
          </w:tcPr>
          <w:p w14:paraId="14953C7C" w14:textId="0FAE7E87" w:rsidR="006F21EB" w:rsidRPr="00334E18" w:rsidRDefault="006F21EB" w:rsidP="00CA6AD5">
            <w:pPr>
              <w:jc w:val="center"/>
              <w:rPr>
                <w:rFonts w:ascii="Verdana" w:hAnsi="Verdana" w:cs="Arial"/>
                <w:b/>
                <w:bCs/>
                <w:color w:val="2F5496" w:themeColor="accent1" w:themeShade="BF"/>
                <w:sz w:val="18"/>
                <w:szCs w:val="18"/>
              </w:rPr>
            </w:pPr>
            <w:r w:rsidRPr="006F21EB">
              <w:rPr>
                <w:rFonts w:ascii="Verdana" w:hAnsi="Verdana" w:cs="Arial"/>
                <w:b/>
                <w:bCs/>
                <w:color w:val="2F5496" w:themeColor="accent1" w:themeShade="BF"/>
                <w:sz w:val="18"/>
                <w:szCs w:val="18"/>
                <w:lang w:val="el-GR"/>
              </w:rPr>
              <w:t>202</w:t>
            </w:r>
            <w:r w:rsidR="009C201E">
              <w:rPr>
                <w:rFonts w:ascii="Verdana" w:hAnsi="Verdana" w:cs="Arial"/>
                <w:b/>
                <w:bCs/>
                <w:color w:val="2F5496" w:themeColor="accent1" w:themeShade="BF"/>
                <w:sz w:val="18"/>
                <w:szCs w:val="18"/>
              </w:rPr>
              <w:t>3</w:t>
            </w:r>
            <w:r w:rsidRPr="006F21EB">
              <w:rPr>
                <w:rFonts w:ascii="Verdana" w:hAnsi="Verdana" w:cs="Arial"/>
                <w:b/>
                <w:bCs/>
                <w:color w:val="2F5496" w:themeColor="accent1" w:themeShade="BF"/>
                <w:sz w:val="18"/>
                <w:szCs w:val="18"/>
                <w:lang w:val="el-GR"/>
              </w:rPr>
              <w:t>/</w:t>
            </w:r>
            <w:r w:rsidR="00334E18">
              <w:rPr>
                <w:rFonts w:ascii="Verdana" w:hAnsi="Verdana" w:cs="Arial"/>
                <w:b/>
                <w:bCs/>
                <w:color w:val="2F5496" w:themeColor="accent1" w:themeShade="BF"/>
                <w:sz w:val="18"/>
                <w:szCs w:val="18"/>
              </w:rPr>
              <w:t xml:space="preserve"> </w:t>
            </w:r>
            <w:r w:rsidRPr="006F21EB">
              <w:rPr>
                <w:rFonts w:ascii="Verdana" w:hAnsi="Verdana" w:cs="Arial"/>
                <w:b/>
                <w:bCs/>
                <w:color w:val="2F5496" w:themeColor="accent1" w:themeShade="BF"/>
                <w:sz w:val="18"/>
                <w:szCs w:val="18"/>
                <w:lang w:val="el-GR"/>
              </w:rPr>
              <w:t>2</w:t>
            </w:r>
            <w:r w:rsidR="00334E18">
              <w:rPr>
                <w:rFonts w:ascii="Verdana" w:hAnsi="Verdana" w:cs="Arial"/>
                <w:b/>
                <w:bCs/>
                <w:color w:val="2F5496" w:themeColor="accent1" w:themeShade="BF"/>
                <w:sz w:val="18"/>
                <w:szCs w:val="18"/>
              </w:rPr>
              <w:t>0</w:t>
            </w:r>
            <w:r w:rsidRPr="006F21EB">
              <w:rPr>
                <w:rFonts w:ascii="Verdana" w:hAnsi="Verdana" w:cs="Arial"/>
                <w:b/>
                <w:bCs/>
                <w:color w:val="2F5496" w:themeColor="accent1" w:themeShade="BF"/>
                <w:sz w:val="18"/>
                <w:szCs w:val="18"/>
                <w:lang w:val="el-GR"/>
              </w:rPr>
              <w:t>2</w:t>
            </w:r>
            <w:r w:rsidR="00334E18">
              <w:rPr>
                <w:rFonts w:ascii="Verdana" w:hAnsi="Verdana" w:cs="Arial"/>
                <w:b/>
                <w:bCs/>
                <w:color w:val="2F5496" w:themeColor="accent1" w:themeShade="BF"/>
                <w:sz w:val="18"/>
                <w:szCs w:val="18"/>
              </w:rPr>
              <w:t>2</w:t>
            </w:r>
          </w:p>
        </w:tc>
        <w:tc>
          <w:tcPr>
            <w:tcW w:w="236" w:type="dxa"/>
            <w:tcBorders>
              <w:bottom w:val="single" w:sz="4" w:space="0" w:color="2F5496" w:themeColor="accent1" w:themeShade="BF"/>
            </w:tcBorders>
            <w:vAlign w:val="center"/>
          </w:tcPr>
          <w:p w14:paraId="3C3E2E13" w14:textId="77777777" w:rsidR="006F21EB" w:rsidRPr="006F21EB" w:rsidRDefault="006F21EB" w:rsidP="00CA6AD5">
            <w:pPr>
              <w:jc w:val="center"/>
              <w:rPr>
                <w:rFonts w:ascii="Verdana" w:hAnsi="Verdana" w:cs="Arial"/>
                <w:b/>
                <w:bCs/>
                <w:color w:val="2F5496" w:themeColor="accent1" w:themeShade="BF"/>
                <w:sz w:val="18"/>
                <w:szCs w:val="18"/>
                <w:lang w:val="el-GR"/>
              </w:rPr>
            </w:pPr>
          </w:p>
        </w:tc>
        <w:tc>
          <w:tcPr>
            <w:tcW w:w="1361" w:type="dxa"/>
            <w:tcBorders>
              <w:top w:val="single" w:sz="4" w:space="0" w:color="2F5496" w:themeColor="accent1" w:themeShade="BF"/>
              <w:bottom w:val="single" w:sz="4" w:space="0" w:color="2F5496" w:themeColor="accent1" w:themeShade="BF"/>
            </w:tcBorders>
            <w:vAlign w:val="center"/>
          </w:tcPr>
          <w:p w14:paraId="387A5E41" w14:textId="7DD9CAD7" w:rsidR="006F21EB" w:rsidRPr="006F21EB" w:rsidRDefault="00334E18" w:rsidP="00CA6AD5">
            <w:pPr>
              <w:jc w:val="center"/>
              <w:rPr>
                <w:rFonts w:ascii="Verdana" w:hAnsi="Verdana" w:cs="Arial"/>
                <w:b/>
                <w:bCs/>
                <w:color w:val="2F5496" w:themeColor="accent1" w:themeShade="BF"/>
                <w:sz w:val="18"/>
                <w:szCs w:val="18"/>
                <w:lang w:val="el-GR"/>
              </w:rPr>
            </w:pPr>
            <w:r w:rsidRPr="00334E18">
              <w:rPr>
                <w:rFonts w:ascii="Verdana" w:hAnsi="Verdana" w:cs="Arial"/>
                <w:b/>
                <w:bCs/>
                <w:color w:val="2F5496" w:themeColor="accent1" w:themeShade="BF"/>
                <w:sz w:val="18"/>
                <w:szCs w:val="18"/>
              </w:rPr>
              <w:t>202</w:t>
            </w:r>
            <w:r w:rsidR="009C201E">
              <w:rPr>
                <w:rFonts w:ascii="Verdana" w:hAnsi="Verdana" w:cs="Arial"/>
                <w:b/>
                <w:bCs/>
                <w:color w:val="2F5496" w:themeColor="accent1" w:themeShade="BF"/>
                <w:sz w:val="18"/>
                <w:szCs w:val="18"/>
              </w:rPr>
              <w:t>3</w:t>
            </w:r>
            <w:r w:rsidRPr="00334E18">
              <w:rPr>
                <w:rFonts w:ascii="Verdana" w:hAnsi="Verdana" w:cs="Arial"/>
                <w:b/>
                <w:bCs/>
                <w:color w:val="2F5496" w:themeColor="accent1" w:themeShade="BF"/>
                <w:sz w:val="18"/>
                <w:szCs w:val="18"/>
              </w:rPr>
              <w:t>/ 2022</w:t>
            </w:r>
          </w:p>
        </w:tc>
      </w:tr>
      <w:tr w:rsidR="003254B5" w:rsidRPr="006F21EB" w14:paraId="73E1365F" w14:textId="77777777" w:rsidTr="003254B5">
        <w:trPr>
          <w:trHeight w:val="397"/>
          <w:jc w:val="center"/>
        </w:trPr>
        <w:tc>
          <w:tcPr>
            <w:tcW w:w="4196" w:type="dxa"/>
            <w:tcBorders>
              <w:top w:val="single" w:sz="4" w:space="0" w:color="2F5496" w:themeColor="accent1" w:themeShade="BF"/>
            </w:tcBorders>
            <w:vAlign w:val="center"/>
          </w:tcPr>
          <w:p w14:paraId="1A85275D" w14:textId="77777777" w:rsidR="003254B5" w:rsidRPr="006F21EB" w:rsidRDefault="003254B5" w:rsidP="003254B5">
            <w:pPr>
              <w:rPr>
                <w:rFonts w:ascii="Verdana" w:hAnsi="Verdana" w:cs="Arial"/>
                <w:b/>
                <w:bCs/>
                <w:color w:val="2F5496" w:themeColor="accent1" w:themeShade="BF"/>
                <w:sz w:val="18"/>
                <w:szCs w:val="18"/>
                <w:lang w:val="el-GR"/>
              </w:rPr>
            </w:pPr>
            <w:r>
              <w:rPr>
                <w:rFonts w:ascii="Verdana" w:hAnsi="Verdana" w:cs="Arial"/>
                <w:b/>
                <w:bCs/>
                <w:color w:val="2F5496" w:themeColor="accent1" w:themeShade="BF"/>
                <w:sz w:val="18"/>
                <w:szCs w:val="18"/>
              </w:rPr>
              <w:t>Total Revenue</w:t>
            </w:r>
          </w:p>
        </w:tc>
        <w:tc>
          <w:tcPr>
            <w:tcW w:w="1304" w:type="dxa"/>
            <w:tcBorders>
              <w:top w:val="single" w:sz="4" w:space="0" w:color="2F5496" w:themeColor="accent1" w:themeShade="BF"/>
            </w:tcBorders>
            <w:shd w:val="clear" w:color="000000" w:fill="FFFFFF"/>
            <w:vAlign w:val="center"/>
          </w:tcPr>
          <w:p w14:paraId="0143DAEE" w14:textId="3FE0D7E5" w:rsidR="003254B5" w:rsidRPr="00DC55A2" w:rsidRDefault="003254B5" w:rsidP="00D6003A">
            <w:pPr>
              <w:ind w:right="113"/>
              <w:jc w:val="right"/>
              <w:rPr>
                <w:rFonts w:ascii="Verdana" w:hAnsi="Verdana" w:cs="Calibri"/>
                <w:b/>
                <w:bCs/>
                <w:color w:val="2F5496" w:themeColor="accent1" w:themeShade="BF"/>
                <w:sz w:val="18"/>
                <w:szCs w:val="18"/>
              </w:rPr>
            </w:pPr>
            <w:r w:rsidRPr="00DC55A2">
              <w:rPr>
                <w:rFonts w:ascii="Verdana" w:hAnsi="Verdana"/>
                <w:b/>
                <w:bCs/>
                <w:color w:val="2F5496" w:themeColor="accent1" w:themeShade="BF"/>
                <w:sz w:val="18"/>
                <w:szCs w:val="18"/>
              </w:rPr>
              <w:t>11.937,7</w:t>
            </w:r>
          </w:p>
        </w:tc>
        <w:tc>
          <w:tcPr>
            <w:tcW w:w="1304" w:type="dxa"/>
            <w:tcBorders>
              <w:top w:val="single" w:sz="4" w:space="0" w:color="2F5496" w:themeColor="accent1" w:themeShade="BF"/>
              <w:right w:val="double" w:sz="4" w:space="0" w:color="2F5496" w:themeColor="accent1" w:themeShade="BF"/>
            </w:tcBorders>
            <w:vAlign w:val="center"/>
          </w:tcPr>
          <w:p w14:paraId="23327C28" w14:textId="5C89FC46" w:rsidR="003254B5" w:rsidRPr="00DC55A2" w:rsidRDefault="003254B5" w:rsidP="00D6003A">
            <w:pPr>
              <w:ind w:right="113"/>
              <w:jc w:val="right"/>
              <w:rPr>
                <w:rFonts w:ascii="Verdana" w:hAnsi="Verdana" w:cs="Calibri"/>
                <w:b/>
                <w:bCs/>
                <w:color w:val="2F5496" w:themeColor="accent1" w:themeShade="BF"/>
                <w:sz w:val="18"/>
                <w:szCs w:val="18"/>
              </w:rPr>
            </w:pPr>
            <w:r w:rsidRPr="00DC55A2">
              <w:rPr>
                <w:rFonts w:ascii="Verdana" w:hAnsi="Verdana"/>
                <w:b/>
                <w:bCs/>
                <w:color w:val="2F5496" w:themeColor="accent1" w:themeShade="BF"/>
                <w:sz w:val="18"/>
                <w:szCs w:val="18"/>
              </w:rPr>
              <w:t>13.761,8</w:t>
            </w:r>
          </w:p>
        </w:tc>
        <w:tc>
          <w:tcPr>
            <w:tcW w:w="1304" w:type="dxa"/>
            <w:tcBorders>
              <w:top w:val="single" w:sz="4" w:space="0" w:color="2F5496" w:themeColor="accent1" w:themeShade="BF"/>
              <w:left w:val="double" w:sz="4" w:space="0" w:color="2F5496" w:themeColor="accent1" w:themeShade="BF"/>
              <w:right w:val="single" w:sz="4" w:space="0" w:color="2F5496" w:themeColor="accent1" w:themeShade="BF"/>
            </w:tcBorders>
            <w:vAlign w:val="center"/>
          </w:tcPr>
          <w:p w14:paraId="62D1DE00" w14:textId="4C51C487" w:rsidR="003254B5" w:rsidRPr="00DC55A2" w:rsidRDefault="003254B5" w:rsidP="00D6003A">
            <w:pPr>
              <w:ind w:right="113"/>
              <w:jc w:val="right"/>
              <w:rPr>
                <w:rFonts w:ascii="Verdana" w:hAnsi="Verdana" w:cs="Calibri"/>
                <w:b/>
                <w:bCs/>
                <w:color w:val="2F5496" w:themeColor="accent1" w:themeShade="BF"/>
                <w:sz w:val="18"/>
                <w:szCs w:val="18"/>
              </w:rPr>
            </w:pPr>
            <w:r w:rsidRPr="00DC55A2">
              <w:rPr>
                <w:rFonts w:ascii="Verdana" w:hAnsi="Verdana"/>
                <w:b/>
                <w:bCs/>
                <w:color w:val="2F5496" w:themeColor="accent1" w:themeShade="BF"/>
                <w:sz w:val="18"/>
                <w:szCs w:val="18"/>
              </w:rPr>
              <w:t>1.824,1</w:t>
            </w:r>
          </w:p>
        </w:tc>
        <w:tc>
          <w:tcPr>
            <w:tcW w:w="236" w:type="dxa"/>
            <w:tcBorders>
              <w:top w:val="single" w:sz="4" w:space="0" w:color="2F5496" w:themeColor="accent1" w:themeShade="BF"/>
              <w:left w:val="single" w:sz="4" w:space="0" w:color="2F5496" w:themeColor="accent1" w:themeShade="BF"/>
              <w:right w:val="single" w:sz="4" w:space="0" w:color="2F5496" w:themeColor="accent1" w:themeShade="BF"/>
            </w:tcBorders>
            <w:vAlign w:val="center"/>
          </w:tcPr>
          <w:p w14:paraId="283E98AE" w14:textId="77777777" w:rsidR="003254B5" w:rsidRPr="00DC55A2" w:rsidRDefault="003254B5" w:rsidP="003254B5">
            <w:pPr>
              <w:jc w:val="right"/>
              <w:rPr>
                <w:rFonts w:ascii="Verdana" w:hAnsi="Verdana" w:cs="Arial"/>
                <w:b/>
                <w:bCs/>
                <w:color w:val="2F5496" w:themeColor="accent1" w:themeShade="BF"/>
                <w:sz w:val="18"/>
                <w:szCs w:val="18"/>
                <w:lang w:val="el-GR"/>
              </w:rPr>
            </w:pPr>
          </w:p>
        </w:tc>
        <w:tc>
          <w:tcPr>
            <w:tcW w:w="1361" w:type="dxa"/>
            <w:tcBorders>
              <w:top w:val="single" w:sz="4" w:space="0" w:color="2F5496" w:themeColor="accent1" w:themeShade="BF"/>
              <w:left w:val="single" w:sz="4" w:space="0" w:color="2F5496" w:themeColor="accent1" w:themeShade="BF"/>
            </w:tcBorders>
            <w:shd w:val="clear" w:color="000000" w:fill="FFFFFF"/>
            <w:vAlign w:val="center"/>
          </w:tcPr>
          <w:p w14:paraId="047411F2" w14:textId="0F2F1E9F" w:rsidR="003254B5" w:rsidRPr="00DC55A2" w:rsidRDefault="003254B5" w:rsidP="00D6003A">
            <w:pPr>
              <w:ind w:right="284"/>
              <w:jc w:val="right"/>
              <w:rPr>
                <w:rFonts w:ascii="Verdana" w:hAnsi="Verdana" w:cs="Calibri"/>
                <w:b/>
                <w:bCs/>
                <w:color w:val="2F5496" w:themeColor="accent1" w:themeShade="BF"/>
                <w:sz w:val="18"/>
                <w:szCs w:val="18"/>
              </w:rPr>
            </w:pPr>
            <w:r w:rsidRPr="00DC55A2">
              <w:rPr>
                <w:rFonts w:ascii="Verdana" w:hAnsi="Verdana"/>
                <w:b/>
                <w:bCs/>
                <w:color w:val="2F5496" w:themeColor="accent1" w:themeShade="BF"/>
                <w:sz w:val="18"/>
                <w:szCs w:val="18"/>
              </w:rPr>
              <w:t>15,3</w:t>
            </w:r>
          </w:p>
        </w:tc>
      </w:tr>
      <w:tr w:rsidR="003254B5" w:rsidRPr="006F21EB" w14:paraId="7B21BFF6" w14:textId="77777777" w:rsidTr="003254B5">
        <w:trPr>
          <w:trHeight w:val="340"/>
          <w:jc w:val="center"/>
        </w:trPr>
        <w:tc>
          <w:tcPr>
            <w:tcW w:w="4196" w:type="dxa"/>
            <w:vAlign w:val="center"/>
          </w:tcPr>
          <w:p w14:paraId="21EFC2F7" w14:textId="77777777" w:rsidR="003254B5" w:rsidRPr="008C3DCF" w:rsidRDefault="003254B5" w:rsidP="003254B5">
            <w:pPr>
              <w:ind w:left="170"/>
              <w:rPr>
                <w:rFonts w:ascii="Verdana" w:hAnsi="Verdana" w:cs="Arial"/>
                <w:color w:val="2F5496" w:themeColor="accent1" w:themeShade="BF"/>
                <w:sz w:val="18"/>
                <w:szCs w:val="18"/>
              </w:rPr>
            </w:pPr>
            <w:r w:rsidRPr="008C3DCF">
              <w:rPr>
                <w:rFonts w:ascii="Verdana" w:hAnsi="Verdana" w:cs="Arial"/>
                <w:color w:val="2F5496" w:themeColor="accent1" w:themeShade="BF"/>
                <w:sz w:val="18"/>
                <w:szCs w:val="18"/>
              </w:rPr>
              <w:t xml:space="preserve">Taxes on </w:t>
            </w:r>
            <w:r>
              <w:rPr>
                <w:rFonts w:ascii="Verdana" w:hAnsi="Verdana" w:cs="Arial"/>
                <w:color w:val="2F5496" w:themeColor="accent1" w:themeShade="BF"/>
                <w:sz w:val="18"/>
                <w:szCs w:val="18"/>
              </w:rPr>
              <w:t>P</w:t>
            </w:r>
            <w:r w:rsidRPr="008C3DCF">
              <w:rPr>
                <w:rFonts w:ascii="Verdana" w:hAnsi="Verdana" w:cs="Arial"/>
                <w:color w:val="2F5496" w:themeColor="accent1" w:themeShade="BF"/>
                <w:sz w:val="18"/>
                <w:szCs w:val="18"/>
              </w:rPr>
              <w:t xml:space="preserve">roduction and </w:t>
            </w:r>
            <w:r>
              <w:rPr>
                <w:rFonts w:ascii="Verdana" w:hAnsi="Verdana" w:cs="Arial"/>
                <w:color w:val="2F5496" w:themeColor="accent1" w:themeShade="BF"/>
                <w:sz w:val="18"/>
                <w:szCs w:val="18"/>
              </w:rPr>
              <w:t>I</w:t>
            </w:r>
            <w:r w:rsidRPr="008C3DCF">
              <w:rPr>
                <w:rFonts w:ascii="Verdana" w:hAnsi="Verdana" w:cs="Arial"/>
                <w:color w:val="2F5496" w:themeColor="accent1" w:themeShade="BF"/>
                <w:sz w:val="18"/>
                <w:szCs w:val="18"/>
              </w:rPr>
              <w:t>mports</w:t>
            </w:r>
          </w:p>
        </w:tc>
        <w:tc>
          <w:tcPr>
            <w:tcW w:w="1304" w:type="dxa"/>
            <w:shd w:val="clear" w:color="000000" w:fill="FFFFFF"/>
            <w:vAlign w:val="center"/>
          </w:tcPr>
          <w:p w14:paraId="0617394D" w14:textId="0C4F01A4"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4.034,1</w:t>
            </w:r>
          </w:p>
        </w:tc>
        <w:tc>
          <w:tcPr>
            <w:tcW w:w="1304" w:type="dxa"/>
            <w:tcBorders>
              <w:right w:val="double" w:sz="4" w:space="0" w:color="2F5496" w:themeColor="accent1" w:themeShade="BF"/>
            </w:tcBorders>
            <w:vAlign w:val="center"/>
          </w:tcPr>
          <w:p w14:paraId="43FE01F5" w14:textId="75375FB7"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4.442,4</w:t>
            </w:r>
          </w:p>
        </w:tc>
        <w:tc>
          <w:tcPr>
            <w:tcW w:w="1304" w:type="dxa"/>
            <w:tcBorders>
              <w:left w:val="double" w:sz="4" w:space="0" w:color="2F5496" w:themeColor="accent1" w:themeShade="BF"/>
              <w:right w:val="single" w:sz="4" w:space="0" w:color="2F5496" w:themeColor="accent1" w:themeShade="BF"/>
            </w:tcBorders>
            <w:vAlign w:val="center"/>
          </w:tcPr>
          <w:p w14:paraId="029DFCAF" w14:textId="6317EE88"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408,3</w:t>
            </w:r>
          </w:p>
        </w:tc>
        <w:tc>
          <w:tcPr>
            <w:tcW w:w="236" w:type="dxa"/>
            <w:tcBorders>
              <w:left w:val="single" w:sz="4" w:space="0" w:color="2F5496" w:themeColor="accent1" w:themeShade="BF"/>
              <w:right w:val="single" w:sz="4" w:space="0" w:color="2F5496" w:themeColor="accent1" w:themeShade="BF"/>
            </w:tcBorders>
            <w:vAlign w:val="center"/>
          </w:tcPr>
          <w:p w14:paraId="01F36F8A"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730AA9D2" w14:textId="78CC02E0"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10,1</w:t>
            </w:r>
          </w:p>
        </w:tc>
      </w:tr>
      <w:tr w:rsidR="003254B5" w:rsidRPr="006F21EB" w14:paraId="643FDBBE" w14:textId="77777777" w:rsidTr="003254B5">
        <w:trPr>
          <w:trHeight w:val="284"/>
          <w:jc w:val="center"/>
        </w:trPr>
        <w:tc>
          <w:tcPr>
            <w:tcW w:w="4196" w:type="dxa"/>
            <w:vAlign w:val="center"/>
          </w:tcPr>
          <w:p w14:paraId="58CE4178" w14:textId="77777777" w:rsidR="003254B5" w:rsidRPr="006F21EB" w:rsidRDefault="003254B5" w:rsidP="003254B5">
            <w:pPr>
              <w:ind w:left="340"/>
              <w:rPr>
                <w:rFonts w:ascii="Verdana" w:hAnsi="Verdana" w:cs="Arial"/>
                <w:i/>
                <w:iCs/>
                <w:color w:val="2F5496" w:themeColor="accent1" w:themeShade="BF"/>
                <w:sz w:val="18"/>
                <w:szCs w:val="18"/>
                <w:lang w:val="el-GR"/>
              </w:rPr>
            </w:pPr>
            <w:r w:rsidRPr="008C3DCF">
              <w:rPr>
                <w:rFonts w:ascii="Verdana" w:hAnsi="Verdana" w:cs="Arial"/>
                <w:i/>
                <w:iCs/>
                <w:color w:val="2F5496" w:themeColor="accent1" w:themeShade="BF"/>
                <w:sz w:val="18"/>
                <w:szCs w:val="18"/>
                <w:lang w:val="el-GR"/>
              </w:rPr>
              <w:t xml:space="preserve">of </w:t>
            </w:r>
            <w:proofErr w:type="spellStart"/>
            <w:r w:rsidRPr="008C3DCF">
              <w:rPr>
                <w:rFonts w:ascii="Verdana" w:hAnsi="Verdana" w:cs="Arial"/>
                <w:i/>
                <w:iCs/>
                <w:color w:val="2F5496" w:themeColor="accent1" w:themeShade="BF"/>
                <w:sz w:val="18"/>
                <w:szCs w:val="18"/>
                <w:lang w:val="el-GR"/>
              </w:rPr>
              <w:t>which</w:t>
            </w:r>
            <w:proofErr w:type="spellEnd"/>
            <w:r w:rsidRPr="008C3DCF">
              <w:rPr>
                <w:rFonts w:ascii="Verdana" w:hAnsi="Verdana" w:cs="Arial"/>
                <w:i/>
                <w:iCs/>
                <w:color w:val="2F5496" w:themeColor="accent1" w:themeShade="BF"/>
                <w:sz w:val="18"/>
                <w:szCs w:val="18"/>
                <w:lang w:val="el-GR"/>
              </w:rPr>
              <w:t xml:space="preserve"> VAT</w:t>
            </w:r>
          </w:p>
        </w:tc>
        <w:tc>
          <w:tcPr>
            <w:tcW w:w="1304" w:type="dxa"/>
            <w:shd w:val="clear" w:color="000000" w:fill="FFFFFF"/>
            <w:vAlign w:val="center"/>
          </w:tcPr>
          <w:p w14:paraId="7BB2713B" w14:textId="3C6CE452"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2.705,7</w:t>
            </w:r>
          </w:p>
        </w:tc>
        <w:tc>
          <w:tcPr>
            <w:tcW w:w="1304" w:type="dxa"/>
            <w:tcBorders>
              <w:right w:val="double" w:sz="4" w:space="0" w:color="2F5496" w:themeColor="accent1" w:themeShade="BF"/>
            </w:tcBorders>
            <w:vAlign w:val="center"/>
          </w:tcPr>
          <w:p w14:paraId="07AEE012" w14:textId="41335880"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2.978,8</w:t>
            </w:r>
          </w:p>
        </w:tc>
        <w:tc>
          <w:tcPr>
            <w:tcW w:w="1304" w:type="dxa"/>
            <w:tcBorders>
              <w:left w:val="double" w:sz="4" w:space="0" w:color="2F5496" w:themeColor="accent1" w:themeShade="BF"/>
              <w:right w:val="single" w:sz="4" w:space="0" w:color="2F5496" w:themeColor="accent1" w:themeShade="BF"/>
            </w:tcBorders>
            <w:vAlign w:val="center"/>
          </w:tcPr>
          <w:p w14:paraId="5AD6BAED" w14:textId="7494D411"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273,1</w:t>
            </w:r>
          </w:p>
        </w:tc>
        <w:tc>
          <w:tcPr>
            <w:tcW w:w="236" w:type="dxa"/>
            <w:tcBorders>
              <w:left w:val="single" w:sz="4" w:space="0" w:color="2F5496" w:themeColor="accent1" w:themeShade="BF"/>
              <w:right w:val="single" w:sz="4" w:space="0" w:color="2F5496" w:themeColor="accent1" w:themeShade="BF"/>
            </w:tcBorders>
            <w:vAlign w:val="center"/>
          </w:tcPr>
          <w:p w14:paraId="7ACDEC43" w14:textId="77777777" w:rsidR="003254B5" w:rsidRPr="003254B5" w:rsidRDefault="003254B5" w:rsidP="003254B5">
            <w:pPr>
              <w:jc w:val="right"/>
              <w:rPr>
                <w:rFonts w:ascii="Verdana" w:hAnsi="Verdana" w:cs="Arial"/>
                <w:i/>
                <w:iCs/>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48EDC232" w14:textId="56277683"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10,1</w:t>
            </w:r>
          </w:p>
        </w:tc>
      </w:tr>
      <w:tr w:rsidR="003254B5" w:rsidRPr="006F21EB" w14:paraId="6199494B" w14:textId="77777777" w:rsidTr="003254B5">
        <w:trPr>
          <w:trHeight w:val="397"/>
          <w:jc w:val="center"/>
        </w:trPr>
        <w:tc>
          <w:tcPr>
            <w:tcW w:w="4196" w:type="dxa"/>
            <w:vAlign w:val="center"/>
          </w:tcPr>
          <w:p w14:paraId="00DDF13A" w14:textId="77777777" w:rsidR="003254B5" w:rsidRPr="008C3DCF" w:rsidRDefault="003254B5" w:rsidP="003254B5">
            <w:pPr>
              <w:ind w:left="170"/>
              <w:rPr>
                <w:rFonts w:ascii="Verdana" w:hAnsi="Verdana" w:cs="Arial"/>
                <w:color w:val="2F5496" w:themeColor="accent1" w:themeShade="BF"/>
                <w:sz w:val="18"/>
                <w:szCs w:val="18"/>
              </w:rPr>
            </w:pPr>
            <w:r w:rsidRPr="008C3DCF">
              <w:rPr>
                <w:rFonts w:ascii="Verdana" w:hAnsi="Verdana" w:cs="Arial"/>
                <w:color w:val="2F5496" w:themeColor="accent1" w:themeShade="BF"/>
                <w:sz w:val="18"/>
                <w:szCs w:val="18"/>
              </w:rPr>
              <w:t xml:space="preserve">Current </w:t>
            </w:r>
            <w:r>
              <w:rPr>
                <w:rFonts w:ascii="Verdana" w:hAnsi="Verdana" w:cs="Arial"/>
                <w:color w:val="2F5496" w:themeColor="accent1" w:themeShade="BF"/>
                <w:sz w:val="18"/>
                <w:szCs w:val="18"/>
              </w:rPr>
              <w:t>T</w:t>
            </w:r>
            <w:r w:rsidRPr="008C3DCF">
              <w:rPr>
                <w:rFonts w:ascii="Verdana" w:hAnsi="Verdana" w:cs="Arial"/>
                <w:color w:val="2F5496" w:themeColor="accent1" w:themeShade="BF"/>
                <w:sz w:val="18"/>
                <w:szCs w:val="18"/>
              </w:rPr>
              <w:t xml:space="preserve">axes on </w:t>
            </w:r>
            <w:r>
              <w:rPr>
                <w:rFonts w:ascii="Verdana" w:hAnsi="Verdana" w:cs="Arial"/>
                <w:color w:val="2F5496" w:themeColor="accent1" w:themeShade="BF"/>
                <w:sz w:val="18"/>
                <w:szCs w:val="18"/>
              </w:rPr>
              <w:t>I</w:t>
            </w:r>
            <w:r w:rsidRPr="008C3DCF">
              <w:rPr>
                <w:rFonts w:ascii="Verdana" w:hAnsi="Verdana" w:cs="Arial"/>
                <w:color w:val="2F5496" w:themeColor="accent1" w:themeShade="BF"/>
                <w:sz w:val="18"/>
                <w:szCs w:val="18"/>
              </w:rPr>
              <w:t xml:space="preserve">ncome and </w:t>
            </w:r>
            <w:r>
              <w:rPr>
                <w:rFonts w:ascii="Verdana" w:hAnsi="Verdana" w:cs="Arial"/>
                <w:color w:val="2F5496" w:themeColor="accent1" w:themeShade="BF"/>
                <w:sz w:val="18"/>
                <w:szCs w:val="18"/>
              </w:rPr>
              <w:t>W</w:t>
            </w:r>
            <w:r w:rsidRPr="008C3DCF">
              <w:rPr>
                <w:rFonts w:ascii="Verdana" w:hAnsi="Verdana" w:cs="Arial"/>
                <w:color w:val="2F5496" w:themeColor="accent1" w:themeShade="BF"/>
                <w:sz w:val="18"/>
                <w:szCs w:val="18"/>
              </w:rPr>
              <w:t xml:space="preserve">ealth, </w:t>
            </w:r>
            <w:proofErr w:type="spellStart"/>
            <w:r w:rsidRPr="008C3DCF">
              <w:rPr>
                <w:rFonts w:ascii="Verdana" w:hAnsi="Verdana" w:cs="Arial"/>
                <w:color w:val="2F5496" w:themeColor="accent1" w:themeShade="BF"/>
                <w:sz w:val="18"/>
                <w:szCs w:val="18"/>
              </w:rPr>
              <w:t>etc</w:t>
            </w:r>
            <w:proofErr w:type="spellEnd"/>
          </w:p>
        </w:tc>
        <w:tc>
          <w:tcPr>
            <w:tcW w:w="1304" w:type="dxa"/>
            <w:shd w:val="clear" w:color="000000" w:fill="FFFFFF"/>
            <w:vAlign w:val="center"/>
          </w:tcPr>
          <w:p w14:paraId="5D7BF272" w14:textId="1E09E728"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2.924,2</w:t>
            </w:r>
          </w:p>
        </w:tc>
        <w:tc>
          <w:tcPr>
            <w:tcW w:w="1304" w:type="dxa"/>
            <w:tcBorders>
              <w:right w:val="double" w:sz="4" w:space="0" w:color="2F5496" w:themeColor="accent1" w:themeShade="BF"/>
            </w:tcBorders>
            <w:vAlign w:val="center"/>
          </w:tcPr>
          <w:p w14:paraId="7710D7FA" w14:textId="770708DA"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3.264,9</w:t>
            </w:r>
          </w:p>
        </w:tc>
        <w:tc>
          <w:tcPr>
            <w:tcW w:w="1304" w:type="dxa"/>
            <w:tcBorders>
              <w:left w:val="double" w:sz="4" w:space="0" w:color="2F5496" w:themeColor="accent1" w:themeShade="BF"/>
              <w:right w:val="single" w:sz="4" w:space="0" w:color="2F5496" w:themeColor="accent1" w:themeShade="BF"/>
            </w:tcBorders>
            <w:vAlign w:val="center"/>
          </w:tcPr>
          <w:p w14:paraId="5C3A91F2" w14:textId="5175072D"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340,7</w:t>
            </w:r>
          </w:p>
        </w:tc>
        <w:tc>
          <w:tcPr>
            <w:tcW w:w="236" w:type="dxa"/>
            <w:tcBorders>
              <w:left w:val="single" w:sz="4" w:space="0" w:color="2F5496" w:themeColor="accent1" w:themeShade="BF"/>
              <w:right w:val="single" w:sz="4" w:space="0" w:color="2F5496" w:themeColor="accent1" w:themeShade="BF"/>
            </w:tcBorders>
            <w:vAlign w:val="center"/>
          </w:tcPr>
          <w:p w14:paraId="4DFDE221"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1FD8F770" w14:textId="1A9033C3"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11,7</w:t>
            </w:r>
          </w:p>
        </w:tc>
      </w:tr>
      <w:tr w:rsidR="003254B5" w:rsidRPr="006F21EB" w14:paraId="559F8B22" w14:textId="77777777" w:rsidTr="003254B5">
        <w:trPr>
          <w:trHeight w:val="340"/>
          <w:jc w:val="center"/>
        </w:trPr>
        <w:tc>
          <w:tcPr>
            <w:tcW w:w="4196" w:type="dxa"/>
            <w:vAlign w:val="center"/>
          </w:tcPr>
          <w:p w14:paraId="509DB8A2" w14:textId="77777777" w:rsidR="003254B5" w:rsidRPr="006F21EB" w:rsidRDefault="003254B5" w:rsidP="003254B5">
            <w:pPr>
              <w:ind w:left="170"/>
              <w:rPr>
                <w:rFonts w:ascii="Verdana" w:hAnsi="Verdana" w:cs="Arial"/>
                <w:color w:val="2F5496" w:themeColor="accent1" w:themeShade="BF"/>
                <w:sz w:val="18"/>
                <w:szCs w:val="18"/>
                <w:lang w:val="el-GR"/>
              </w:rPr>
            </w:pPr>
            <w:r w:rsidRPr="008C3DCF">
              <w:rPr>
                <w:rFonts w:ascii="Verdana" w:hAnsi="Verdana" w:cs="Arial"/>
                <w:color w:val="2F5496" w:themeColor="accent1" w:themeShade="BF"/>
                <w:sz w:val="18"/>
                <w:szCs w:val="18"/>
                <w:lang w:val="el-GR"/>
              </w:rPr>
              <w:t xml:space="preserve">Social </w:t>
            </w:r>
            <w:r>
              <w:rPr>
                <w:rFonts w:ascii="Verdana" w:hAnsi="Verdana" w:cs="Arial"/>
                <w:color w:val="2F5496" w:themeColor="accent1" w:themeShade="BF"/>
                <w:sz w:val="18"/>
                <w:szCs w:val="18"/>
              </w:rPr>
              <w:t>C</w:t>
            </w:r>
            <w:proofErr w:type="spellStart"/>
            <w:r w:rsidRPr="008C3DCF">
              <w:rPr>
                <w:rFonts w:ascii="Verdana" w:hAnsi="Verdana" w:cs="Arial"/>
                <w:color w:val="2F5496" w:themeColor="accent1" w:themeShade="BF"/>
                <w:sz w:val="18"/>
                <w:szCs w:val="18"/>
                <w:lang w:val="el-GR"/>
              </w:rPr>
              <w:t>ontributions</w:t>
            </w:r>
            <w:proofErr w:type="spellEnd"/>
            <w:r w:rsidRPr="008C3DCF">
              <w:rPr>
                <w:rFonts w:ascii="Verdana" w:hAnsi="Verdana" w:cs="Arial"/>
                <w:color w:val="2F5496" w:themeColor="accent1" w:themeShade="BF"/>
                <w:sz w:val="18"/>
                <w:szCs w:val="18"/>
                <w:lang w:val="el-GR"/>
              </w:rPr>
              <w:t xml:space="preserve"> </w:t>
            </w:r>
          </w:p>
        </w:tc>
        <w:tc>
          <w:tcPr>
            <w:tcW w:w="1304" w:type="dxa"/>
            <w:shd w:val="clear" w:color="000000" w:fill="FFFFFF"/>
            <w:vAlign w:val="center"/>
          </w:tcPr>
          <w:p w14:paraId="4DC0F864" w14:textId="78EAE0FC"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3.519,8</w:t>
            </w:r>
          </w:p>
        </w:tc>
        <w:tc>
          <w:tcPr>
            <w:tcW w:w="1304" w:type="dxa"/>
            <w:tcBorders>
              <w:right w:val="double" w:sz="4" w:space="0" w:color="2F5496" w:themeColor="accent1" w:themeShade="BF"/>
            </w:tcBorders>
            <w:vAlign w:val="center"/>
          </w:tcPr>
          <w:p w14:paraId="7F05F07D" w14:textId="610C5002"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4.380,5</w:t>
            </w:r>
          </w:p>
        </w:tc>
        <w:tc>
          <w:tcPr>
            <w:tcW w:w="1304" w:type="dxa"/>
            <w:tcBorders>
              <w:left w:val="double" w:sz="4" w:space="0" w:color="2F5496" w:themeColor="accent1" w:themeShade="BF"/>
              <w:right w:val="single" w:sz="4" w:space="0" w:color="2F5496" w:themeColor="accent1" w:themeShade="BF"/>
            </w:tcBorders>
            <w:vAlign w:val="center"/>
          </w:tcPr>
          <w:p w14:paraId="21E7D549" w14:textId="7130F32E"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860,7</w:t>
            </w:r>
          </w:p>
        </w:tc>
        <w:tc>
          <w:tcPr>
            <w:tcW w:w="236" w:type="dxa"/>
            <w:tcBorders>
              <w:left w:val="single" w:sz="4" w:space="0" w:color="2F5496" w:themeColor="accent1" w:themeShade="BF"/>
              <w:right w:val="single" w:sz="4" w:space="0" w:color="2F5496" w:themeColor="accent1" w:themeShade="BF"/>
            </w:tcBorders>
            <w:vAlign w:val="center"/>
          </w:tcPr>
          <w:p w14:paraId="55EE1E52"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2B0E1099" w14:textId="13E0F212"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24,5</w:t>
            </w:r>
          </w:p>
        </w:tc>
      </w:tr>
      <w:tr w:rsidR="003254B5" w:rsidRPr="006F21EB" w14:paraId="79FD8FC4" w14:textId="77777777" w:rsidTr="003254B5">
        <w:trPr>
          <w:trHeight w:val="340"/>
          <w:jc w:val="center"/>
        </w:trPr>
        <w:tc>
          <w:tcPr>
            <w:tcW w:w="4196" w:type="dxa"/>
            <w:vAlign w:val="center"/>
          </w:tcPr>
          <w:p w14:paraId="64A9711D" w14:textId="77777777" w:rsidR="003254B5" w:rsidRPr="006F21EB" w:rsidRDefault="003254B5" w:rsidP="003254B5">
            <w:pPr>
              <w:ind w:left="170"/>
              <w:rPr>
                <w:rFonts w:ascii="Verdana" w:hAnsi="Verdana" w:cs="Arial"/>
                <w:color w:val="2F5496" w:themeColor="accent1" w:themeShade="BF"/>
                <w:sz w:val="18"/>
                <w:szCs w:val="18"/>
                <w:lang w:val="el-GR"/>
              </w:rPr>
            </w:pPr>
            <w:proofErr w:type="spellStart"/>
            <w:r w:rsidRPr="008C3DCF">
              <w:rPr>
                <w:rFonts w:ascii="Verdana" w:hAnsi="Verdana" w:cs="Arial"/>
                <w:color w:val="2F5496" w:themeColor="accent1" w:themeShade="BF"/>
                <w:sz w:val="18"/>
                <w:szCs w:val="18"/>
                <w:lang w:val="el-GR"/>
              </w:rPr>
              <w:t>Other</w:t>
            </w:r>
            <w:proofErr w:type="spellEnd"/>
            <w:r w:rsidRPr="008C3DCF">
              <w:rPr>
                <w:rFonts w:ascii="Verdana" w:hAnsi="Verdana" w:cs="Arial"/>
                <w:color w:val="2F5496" w:themeColor="accent1" w:themeShade="BF"/>
                <w:sz w:val="18"/>
                <w:szCs w:val="18"/>
                <w:lang w:val="el-GR"/>
              </w:rPr>
              <w:t xml:space="preserve"> </w:t>
            </w:r>
            <w:r>
              <w:rPr>
                <w:rFonts w:ascii="Verdana" w:hAnsi="Verdana" w:cs="Arial"/>
                <w:color w:val="2F5496" w:themeColor="accent1" w:themeShade="BF"/>
                <w:sz w:val="18"/>
                <w:szCs w:val="18"/>
              </w:rPr>
              <w:t>C</w:t>
            </w:r>
            <w:proofErr w:type="spellStart"/>
            <w:r w:rsidRPr="008C3DCF">
              <w:rPr>
                <w:rFonts w:ascii="Verdana" w:hAnsi="Verdana" w:cs="Arial"/>
                <w:color w:val="2F5496" w:themeColor="accent1" w:themeShade="BF"/>
                <w:sz w:val="18"/>
                <w:szCs w:val="18"/>
                <w:lang w:val="el-GR"/>
              </w:rPr>
              <w:t>urrent</w:t>
            </w:r>
            <w:proofErr w:type="spellEnd"/>
            <w:r w:rsidRPr="008C3DCF">
              <w:rPr>
                <w:rFonts w:ascii="Verdana" w:hAnsi="Verdana" w:cs="Arial"/>
                <w:color w:val="2F5496" w:themeColor="accent1" w:themeShade="BF"/>
                <w:sz w:val="18"/>
                <w:szCs w:val="18"/>
                <w:lang w:val="el-GR"/>
              </w:rPr>
              <w:t xml:space="preserve"> </w:t>
            </w:r>
            <w:r>
              <w:rPr>
                <w:rFonts w:ascii="Verdana" w:hAnsi="Verdana" w:cs="Arial"/>
                <w:color w:val="2F5496" w:themeColor="accent1" w:themeShade="BF"/>
                <w:sz w:val="18"/>
                <w:szCs w:val="18"/>
              </w:rPr>
              <w:t>R</w:t>
            </w:r>
            <w:proofErr w:type="spellStart"/>
            <w:r w:rsidRPr="008C3DCF">
              <w:rPr>
                <w:rFonts w:ascii="Verdana" w:hAnsi="Verdana" w:cs="Arial"/>
                <w:color w:val="2F5496" w:themeColor="accent1" w:themeShade="BF"/>
                <w:sz w:val="18"/>
                <w:szCs w:val="18"/>
                <w:lang w:val="el-GR"/>
              </w:rPr>
              <w:t>esources</w:t>
            </w:r>
            <w:proofErr w:type="spellEnd"/>
          </w:p>
        </w:tc>
        <w:tc>
          <w:tcPr>
            <w:tcW w:w="1304" w:type="dxa"/>
            <w:shd w:val="clear" w:color="000000" w:fill="FFFFFF"/>
            <w:vAlign w:val="center"/>
          </w:tcPr>
          <w:p w14:paraId="5365569A" w14:textId="7DD4C8CE"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1.166,8</w:t>
            </w:r>
          </w:p>
        </w:tc>
        <w:tc>
          <w:tcPr>
            <w:tcW w:w="1304" w:type="dxa"/>
            <w:tcBorders>
              <w:right w:val="double" w:sz="4" w:space="0" w:color="2F5496" w:themeColor="accent1" w:themeShade="BF"/>
            </w:tcBorders>
            <w:shd w:val="clear" w:color="000000" w:fill="FFFFFF"/>
            <w:vAlign w:val="center"/>
          </w:tcPr>
          <w:p w14:paraId="71B82F74" w14:textId="5DD7B85F"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1.316,1</w:t>
            </w:r>
          </w:p>
        </w:tc>
        <w:tc>
          <w:tcPr>
            <w:tcW w:w="1304" w:type="dxa"/>
            <w:tcBorders>
              <w:left w:val="double" w:sz="4" w:space="0" w:color="2F5496" w:themeColor="accent1" w:themeShade="BF"/>
              <w:right w:val="single" w:sz="4" w:space="0" w:color="2F5496" w:themeColor="accent1" w:themeShade="BF"/>
            </w:tcBorders>
            <w:shd w:val="clear" w:color="000000" w:fill="FFFFFF"/>
            <w:vAlign w:val="center"/>
          </w:tcPr>
          <w:p w14:paraId="4201695B" w14:textId="331AB8B9"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149,3</w:t>
            </w:r>
          </w:p>
        </w:tc>
        <w:tc>
          <w:tcPr>
            <w:tcW w:w="236" w:type="dxa"/>
            <w:tcBorders>
              <w:left w:val="single" w:sz="4" w:space="0" w:color="2F5496" w:themeColor="accent1" w:themeShade="BF"/>
              <w:right w:val="single" w:sz="4" w:space="0" w:color="2F5496" w:themeColor="accent1" w:themeShade="BF"/>
            </w:tcBorders>
            <w:vAlign w:val="center"/>
          </w:tcPr>
          <w:p w14:paraId="4B339768"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15445856" w14:textId="75819614"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12,8</w:t>
            </w:r>
          </w:p>
        </w:tc>
      </w:tr>
      <w:tr w:rsidR="003254B5" w:rsidRPr="006F21EB" w14:paraId="103BBFD5" w14:textId="77777777" w:rsidTr="003254B5">
        <w:trPr>
          <w:trHeight w:val="284"/>
          <w:jc w:val="center"/>
        </w:trPr>
        <w:tc>
          <w:tcPr>
            <w:tcW w:w="4196" w:type="dxa"/>
            <w:vAlign w:val="center"/>
          </w:tcPr>
          <w:p w14:paraId="0F8138B5" w14:textId="77777777" w:rsidR="003254B5" w:rsidRPr="00EA202C" w:rsidRDefault="003254B5" w:rsidP="003254B5">
            <w:pPr>
              <w:ind w:left="340"/>
              <w:rPr>
                <w:rFonts w:ascii="Verdana" w:hAnsi="Verdana" w:cs="Arial"/>
                <w:color w:val="2F5496" w:themeColor="accent1" w:themeShade="BF"/>
                <w:sz w:val="18"/>
                <w:szCs w:val="18"/>
              </w:rPr>
            </w:pPr>
            <w:r>
              <w:rPr>
                <w:rFonts w:ascii="Verdana" w:hAnsi="Verdana" w:cs="Arial"/>
                <w:color w:val="2F5496" w:themeColor="accent1" w:themeShade="BF"/>
                <w:sz w:val="18"/>
                <w:szCs w:val="18"/>
              </w:rPr>
              <w:t>Property income receivable</w:t>
            </w:r>
          </w:p>
        </w:tc>
        <w:tc>
          <w:tcPr>
            <w:tcW w:w="1304" w:type="dxa"/>
            <w:vAlign w:val="center"/>
          </w:tcPr>
          <w:p w14:paraId="6B693DCF" w14:textId="159E2151"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114,2</w:t>
            </w:r>
          </w:p>
        </w:tc>
        <w:tc>
          <w:tcPr>
            <w:tcW w:w="1304" w:type="dxa"/>
            <w:tcBorders>
              <w:right w:val="double" w:sz="4" w:space="0" w:color="2F5496" w:themeColor="accent1" w:themeShade="BF"/>
            </w:tcBorders>
            <w:shd w:val="clear" w:color="000000" w:fill="FFFFFF"/>
            <w:vAlign w:val="center"/>
          </w:tcPr>
          <w:p w14:paraId="3F752808" w14:textId="32C0209E"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137,5</w:t>
            </w:r>
          </w:p>
        </w:tc>
        <w:tc>
          <w:tcPr>
            <w:tcW w:w="1304" w:type="dxa"/>
            <w:tcBorders>
              <w:left w:val="double" w:sz="4" w:space="0" w:color="2F5496" w:themeColor="accent1" w:themeShade="BF"/>
              <w:right w:val="single" w:sz="4" w:space="0" w:color="2F5496" w:themeColor="accent1" w:themeShade="BF"/>
            </w:tcBorders>
            <w:shd w:val="clear" w:color="000000" w:fill="FFFFFF"/>
            <w:vAlign w:val="center"/>
          </w:tcPr>
          <w:p w14:paraId="0C8DA23C" w14:textId="1CCD26EF"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23,3</w:t>
            </w:r>
          </w:p>
        </w:tc>
        <w:tc>
          <w:tcPr>
            <w:tcW w:w="236" w:type="dxa"/>
            <w:tcBorders>
              <w:left w:val="single" w:sz="4" w:space="0" w:color="2F5496" w:themeColor="accent1" w:themeShade="BF"/>
              <w:right w:val="single" w:sz="4" w:space="0" w:color="2F5496" w:themeColor="accent1" w:themeShade="BF"/>
            </w:tcBorders>
            <w:vAlign w:val="center"/>
          </w:tcPr>
          <w:p w14:paraId="30959DC8"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76D2CE28" w14:textId="271D2397"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20,4</w:t>
            </w:r>
          </w:p>
        </w:tc>
      </w:tr>
      <w:tr w:rsidR="003254B5" w:rsidRPr="006F21EB" w14:paraId="42FBE960" w14:textId="77777777" w:rsidTr="003254B5">
        <w:trPr>
          <w:trHeight w:val="284"/>
          <w:jc w:val="center"/>
        </w:trPr>
        <w:tc>
          <w:tcPr>
            <w:tcW w:w="4196" w:type="dxa"/>
            <w:vAlign w:val="center"/>
          </w:tcPr>
          <w:p w14:paraId="5F3B060D" w14:textId="77777777" w:rsidR="003254B5" w:rsidRPr="006F21EB" w:rsidRDefault="003254B5" w:rsidP="003254B5">
            <w:pPr>
              <w:ind w:left="340"/>
              <w:rPr>
                <w:rFonts w:ascii="Verdana" w:hAnsi="Verdana" w:cs="Arial"/>
                <w:color w:val="2F5496" w:themeColor="accent1" w:themeShade="BF"/>
                <w:sz w:val="18"/>
                <w:szCs w:val="18"/>
                <w:lang w:val="el-GR"/>
              </w:rPr>
            </w:pPr>
            <w:proofErr w:type="spellStart"/>
            <w:r w:rsidRPr="008C3DCF">
              <w:rPr>
                <w:rFonts w:ascii="Verdana" w:hAnsi="Verdana" w:cs="Arial"/>
                <w:color w:val="2F5496" w:themeColor="accent1" w:themeShade="BF"/>
                <w:sz w:val="18"/>
                <w:szCs w:val="18"/>
                <w:lang w:val="el-GR"/>
              </w:rPr>
              <w:t>Current</w:t>
            </w:r>
            <w:proofErr w:type="spellEnd"/>
            <w:r w:rsidRPr="008C3DCF">
              <w:rPr>
                <w:rFonts w:ascii="Verdana" w:hAnsi="Verdana" w:cs="Arial"/>
                <w:color w:val="2F5496" w:themeColor="accent1" w:themeShade="BF"/>
                <w:sz w:val="18"/>
                <w:szCs w:val="18"/>
                <w:lang w:val="el-GR"/>
              </w:rPr>
              <w:t xml:space="preserve"> </w:t>
            </w:r>
            <w:r>
              <w:rPr>
                <w:rFonts w:ascii="Verdana" w:hAnsi="Verdana" w:cs="Arial"/>
                <w:color w:val="2F5496" w:themeColor="accent1" w:themeShade="BF"/>
                <w:sz w:val="18"/>
                <w:szCs w:val="18"/>
              </w:rPr>
              <w:t>t</w:t>
            </w:r>
            <w:proofErr w:type="spellStart"/>
            <w:r w:rsidRPr="008C3DCF">
              <w:rPr>
                <w:rFonts w:ascii="Verdana" w:hAnsi="Verdana" w:cs="Arial"/>
                <w:color w:val="2F5496" w:themeColor="accent1" w:themeShade="BF"/>
                <w:sz w:val="18"/>
                <w:szCs w:val="18"/>
                <w:lang w:val="el-GR"/>
              </w:rPr>
              <w:t>ransfers</w:t>
            </w:r>
            <w:proofErr w:type="spellEnd"/>
          </w:p>
        </w:tc>
        <w:tc>
          <w:tcPr>
            <w:tcW w:w="1304" w:type="dxa"/>
            <w:vAlign w:val="center"/>
          </w:tcPr>
          <w:p w14:paraId="7663F8FC" w14:textId="794D38C9"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212,0</w:t>
            </w:r>
          </w:p>
        </w:tc>
        <w:tc>
          <w:tcPr>
            <w:tcW w:w="1304" w:type="dxa"/>
            <w:tcBorders>
              <w:right w:val="double" w:sz="4" w:space="0" w:color="2F5496" w:themeColor="accent1" w:themeShade="BF"/>
            </w:tcBorders>
            <w:shd w:val="clear" w:color="000000" w:fill="FFFFFF"/>
            <w:vAlign w:val="center"/>
          </w:tcPr>
          <w:p w14:paraId="7453DAB3" w14:textId="7323493C"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325,2</w:t>
            </w:r>
          </w:p>
        </w:tc>
        <w:tc>
          <w:tcPr>
            <w:tcW w:w="1304" w:type="dxa"/>
            <w:tcBorders>
              <w:left w:val="double" w:sz="4" w:space="0" w:color="2F5496" w:themeColor="accent1" w:themeShade="BF"/>
              <w:right w:val="single" w:sz="4" w:space="0" w:color="2F5496" w:themeColor="accent1" w:themeShade="BF"/>
            </w:tcBorders>
            <w:shd w:val="clear" w:color="000000" w:fill="FFFFFF"/>
            <w:vAlign w:val="center"/>
          </w:tcPr>
          <w:p w14:paraId="4FF9E84F" w14:textId="20003124"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113,2</w:t>
            </w:r>
          </w:p>
        </w:tc>
        <w:tc>
          <w:tcPr>
            <w:tcW w:w="236" w:type="dxa"/>
            <w:tcBorders>
              <w:left w:val="single" w:sz="4" w:space="0" w:color="2F5496" w:themeColor="accent1" w:themeShade="BF"/>
              <w:right w:val="single" w:sz="4" w:space="0" w:color="2F5496" w:themeColor="accent1" w:themeShade="BF"/>
            </w:tcBorders>
            <w:vAlign w:val="center"/>
          </w:tcPr>
          <w:p w14:paraId="4151EC1A"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7EDB6D45" w14:textId="0B6C2A10"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53,4</w:t>
            </w:r>
          </w:p>
        </w:tc>
      </w:tr>
      <w:tr w:rsidR="003254B5" w:rsidRPr="006F21EB" w14:paraId="48B5A92A" w14:textId="77777777" w:rsidTr="003254B5">
        <w:trPr>
          <w:trHeight w:val="284"/>
          <w:jc w:val="center"/>
        </w:trPr>
        <w:tc>
          <w:tcPr>
            <w:tcW w:w="4196" w:type="dxa"/>
            <w:vAlign w:val="center"/>
          </w:tcPr>
          <w:p w14:paraId="5534E4B6" w14:textId="77777777" w:rsidR="003254B5" w:rsidRPr="006F21EB" w:rsidRDefault="003254B5" w:rsidP="003254B5">
            <w:pPr>
              <w:ind w:left="340"/>
              <w:rPr>
                <w:rFonts w:ascii="Verdana" w:hAnsi="Verdana" w:cs="Arial"/>
                <w:color w:val="2F5496" w:themeColor="accent1" w:themeShade="BF"/>
                <w:sz w:val="18"/>
                <w:szCs w:val="18"/>
                <w:lang w:val="el-GR"/>
              </w:rPr>
            </w:pPr>
            <w:r>
              <w:rPr>
                <w:rFonts w:ascii="Verdana" w:hAnsi="Verdana" w:cs="Arial"/>
                <w:color w:val="2F5496" w:themeColor="accent1" w:themeShade="BF"/>
                <w:sz w:val="18"/>
                <w:szCs w:val="18"/>
              </w:rPr>
              <w:t>Sales</w:t>
            </w:r>
          </w:p>
        </w:tc>
        <w:tc>
          <w:tcPr>
            <w:tcW w:w="1304" w:type="dxa"/>
            <w:vAlign w:val="center"/>
          </w:tcPr>
          <w:p w14:paraId="6936F5FA" w14:textId="6744639C"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840,6</w:t>
            </w:r>
          </w:p>
        </w:tc>
        <w:tc>
          <w:tcPr>
            <w:tcW w:w="1304" w:type="dxa"/>
            <w:tcBorders>
              <w:right w:val="double" w:sz="4" w:space="0" w:color="2F5496" w:themeColor="accent1" w:themeShade="BF"/>
            </w:tcBorders>
            <w:shd w:val="clear" w:color="000000" w:fill="FFFFFF"/>
            <w:vAlign w:val="center"/>
          </w:tcPr>
          <w:p w14:paraId="7C876C2E" w14:textId="202C4A9D"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853,4</w:t>
            </w:r>
          </w:p>
        </w:tc>
        <w:tc>
          <w:tcPr>
            <w:tcW w:w="1304" w:type="dxa"/>
            <w:tcBorders>
              <w:left w:val="double" w:sz="4" w:space="0" w:color="2F5496" w:themeColor="accent1" w:themeShade="BF"/>
              <w:right w:val="single" w:sz="4" w:space="0" w:color="2F5496" w:themeColor="accent1" w:themeShade="BF"/>
            </w:tcBorders>
            <w:shd w:val="clear" w:color="000000" w:fill="FFFFFF"/>
            <w:vAlign w:val="center"/>
          </w:tcPr>
          <w:p w14:paraId="724E2448" w14:textId="75C0316D"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12,8</w:t>
            </w:r>
          </w:p>
        </w:tc>
        <w:tc>
          <w:tcPr>
            <w:tcW w:w="236" w:type="dxa"/>
            <w:tcBorders>
              <w:left w:val="single" w:sz="4" w:space="0" w:color="2F5496" w:themeColor="accent1" w:themeShade="BF"/>
              <w:right w:val="single" w:sz="4" w:space="0" w:color="2F5496" w:themeColor="accent1" w:themeShade="BF"/>
            </w:tcBorders>
            <w:vAlign w:val="center"/>
          </w:tcPr>
          <w:p w14:paraId="3AD2DCDC"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466FC3C1" w14:textId="56BA51BC"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1,5</w:t>
            </w:r>
          </w:p>
        </w:tc>
      </w:tr>
      <w:tr w:rsidR="003254B5" w:rsidRPr="006F21EB" w14:paraId="354073E3" w14:textId="77777777" w:rsidTr="00D6003A">
        <w:trPr>
          <w:trHeight w:val="397"/>
          <w:jc w:val="center"/>
        </w:trPr>
        <w:tc>
          <w:tcPr>
            <w:tcW w:w="4196" w:type="dxa"/>
            <w:vAlign w:val="center"/>
          </w:tcPr>
          <w:p w14:paraId="7C27993B" w14:textId="77777777" w:rsidR="003254B5" w:rsidRPr="006F21EB" w:rsidRDefault="003254B5" w:rsidP="003254B5">
            <w:pPr>
              <w:ind w:left="170"/>
              <w:rPr>
                <w:rFonts w:ascii="Verdana" w:hAnsi="Verdana" w:cs="Arial"/>
                <w:color w:val="2F5496" w:themeColor="accent1" w:themeShade="BF"/>
                <w:sz w:val="18"/>
                <w:szCs w:val="18"/>
                <w:lang w:val="el-GR"/>
              </w:rPr>
            </w:pPr>
            <w:r w:rsidRPr="008C3DCF">
              <w:rPr>
                <w:rFonts w:ascii="Verdana" w:hAnsi="Verdana" w:cs="Arial"/>
                <w:color w:val="2F5496" w:themeColor="accent1" w:themeShade="BF"/>
                <w:sz w:val="18"/>
                <w:szCs w:val="18"/>
                <w:lang w:val="el-GR"/>
              </w:rPr>
              <w:t xml:space="preserve">Capital </w:t>
            </w:r>
            <w:r>
              <w:rPr>
                <w:rFonts w:ascii="Verdana" w:hAnsi="Verdana" w:cs="Arial"/>
                <w:color w:val="2F5496" w:themeColor="accent1" w:themeShade="BF"/>
                <w:sz w:val="18"/>
                <w:szCs w:val="18"/>
              </w:rPr>
              <w:t>T</w:t>
            </w:r>
            <w:proofErr w:type="spellStart"/>
            <w:r w:rsidRPr="008C3DCF">
              <w:rPr>
                <w:rFonts w:ascii="Verdana" w:hAnsi="Verdana" w:cs="Arial"/>
                <w:color w:val="2F5496" w:themeColor="accent1" w:themeShade="BF"/>
                <w:sz w:val="18"/>
                <w:szCs w:val="18"/>
                <w:lang w:val="el-GR"/>
              </w:rPr>
              <w:t>ransfers</w:t>
            </w:r>
            <w:proofErr w:type="spellEnd"/>
            <w:r w:rsidRPr="008C3DCF">
              <w:rPr>
                <w:rFonts w:ascii="Verdana" w:hAnsi="Verdana" w:cs="Arial"/>
                <w:color w:val="2F5496" w:themeColor="accent1" w:themeShade="BF"/>
                <w:sz w:val="18"/>
                <w:szCs w:val="18"/>
                <w:lang w:val="el-GR"/>
              </w:rPr>
              <w:t xml:space="preserve"> </w:t>
            </w:r>
            <w:r>
              <w:rPr>
                <w:rFonts w:ascii="Verdana" w:hAnsi="Verdana" w:cs="Arial"/>
                <w:color w:val="2F5496" w:themeColor="accent1" w:themeShade="BF"/>
                <w:sz w:val="18"/>
                <w:szCs w:val="18"/>
              </w:rPr>
              <w:t>R</w:t>
            </w:r>
            <w:proofErr w:type="spellStart"/>
            <w:r w:rsidRPr="008C3DCF">
              <w:rPr>
                <w:rFonts w:ascii="Verdana" w:hAnsi="Verdana" w:cs="Arial"/>
                <w:color w:val="2F5496" w:themeColor="accent1" w:themeShade="BF"/>
                <w:sz w:val="18"/>
                <w:szCs w:val="18"/>
                <w:lang w:val="el-GR"/>
              </w:rPr>
              <w:t>eceived</w:t>
            </w:r>
            <w:proofErr w:type="spellEnd"/>
          </w:p>
        </w:tc>
        <w:tc>
          <w:tcPr>
            <w:tcW w:w="1304" w:type="dxa"/>
            <w:vAlign w:val="center"/>
          </w:tcPr>
          <w:p w14:paraId="162E58A2" w14:textId="48380E8B"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292,8</w:t>
            </w:r>
          </w:p>
        </w:tc>
        <w:tc>
          <w:tcPr>
            <w:tcW w:w="1304" w:type="dxa"/>
            <w:tcBorders>
              <w:right w:val="double" w:sz="4" w:space="0" w:color="2F5496" w:themeColor="accent1" w:themeShade="BF"/>
            </w:tcBorders>
            <w:vAlign w:val="center"/>
          </w:tcPr>
          <w:p w14:paraId="0B0AFD6C" w14:textId="06C01790"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357,9</w:t>
            </w:r>
          </w:p>
        </w:tc>
        <w:tc>
          <w:tcPr>
            <w:tcW w:w="1304" w:type="dxa"/>
            <w:tcBorders>
              <w:left w:val="double" w:sz="4" w:space="0" w:color="2F5496" w:themeColor="accent1" w:themeShade="BF"/>
              <w:right w:val="single" w:sz="4" w:space="0" w:color="2F5496" w:themeColor="accent1" w:themeShade="BF"/>
            </w:tcBorders>
            <w:shd w:val="clear" w:color="000000" w:fill="FFFFFF"/>
            <w:vAlign w:val="center"/>
          </w:tcPr>
          <w:p w14:paraId="3FA8BF0C" w14:textId="32DBCE61"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65,1</w:t>
            </w:r>
          </w:p>
        </w:tc>
        <w:tc>
          <w:tcPr>
            <w:tcW w:w="236" w:type="dxa"/>
            <w:tcBorders>
              <w:left w:val="single" w:sz="4" w:space="0" w:color="2F5496" w:themeColor="accent1" w:themeShade="BF"/>
              <w:right w:val="single" w:sz="4" w:space="0" w:color="2F5496" w:themeColor="accent1" w:themeShade="BF"/>
            </w:tcBorders>
            <w:vAlign w:val="center"/>
          </w:tcPr>
          <w:p w14:paraId="47B60CA5"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2E0FF540" w14:textId="25D6ED2C"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22,2</w:t>
            </w:r>
          </w:p>
        </w:tc>
      </w:tr>
      <w:tr w:rsidR="003254B5" w:rsidRPr="00DC55A2" w14:paraId="5F66D872" w14:textId="77777777" w:rsidTr="003254B5">
        <w:trPr>
          <w:trHeight w:val="397"/>
          <w:jc w:val="center"/>
        </w:trPr>
        <w:tc>
          <w:tcPr>
            <w:tcW w:w="4196" w:type="dxa"/>
            <w:vAlign w:val="center"/>
          </w:tcPr>
          <w:p w14:paraId="04AAAAED" w14:textId="77777777" w:rsidR="003254B5" w:rsidRPr="008C3DCF" w:rsidRDefault="003254B5" w:rsidP="003254B5">
            <w:pPr>
              <w:rPr>
                <w:rFonts w:ascii="Verdana" w:hAnsi="Verdana" w:cs="Arial"/>
                <w:b/>
                <w:bCs/>
                <w:color w:val="2F5496" w:themeColor="accent1" w:themeShade="BF"/>
                <w:sz w:val="18"/>
                <w:szCs w:val="18"/>
              </w:rPr>
            </w:pPr>
            <w:r>
              <w:rPr>
                <w:rFonts w:ascii="Verdana" w:hAnsi="Verdana" w:cs="Arial"/>
                <w:b/>
                <w:bCs/>
                <w:color w:val="2F5496" w:themeColor="accent1" w:themeShade="BF"/>
                <w:sz w:val="18"/>
                <w:szCs w:val="18"/>
              </w:rPr>
              <w:t>Total Expenditure</w:t>
            </w:r>
          </w:p>
        </w:tc>
        <w:tc>
          <w:tcPr>
            <w:tcW w:w="1304" w:type="dxa"/>
            <w:vAlign w:val="center"/>
          </w:tcPr>
          <w:p w14:paraId="226C094F" w14:textId="001276F1" w:rsidR="003254B5" w:rsidRPr="00DC55A2" w:rsidRDefault="003254B5" w:rsidP="00D6003A">
            <w:pPr>
              <w:ind w:right="113"/>
              <w:jc w:val="right"/>
              <w:rPr>
                <w:rFonts w:ascii="Verdana" w:hAnsi="Verdana" w:cs="Calibri"/>
                <w:b/>
                <w:bCs/>
                <w:color w:val="2F5496" w:themeColor="accent1" w:themeShade="BF"/>
                <w:sz w:val="18"/>
                <w:szCs w:val="18"/>
              </w:rPr>
            </w:pPr>
            <w:r w:rsidRPr="00DC55A2">
              <w:rPr>
                <w:rFonts w:ascii="Verdana" w:hAnsi="Verdana"/>
                <w:b/>
                <w:bCs/>
                <w:color w:val="2F5496" w:themeColor="accent1" w:themeShade="BF"/>
                <w:sz w:val="18"/>
                <w:szCs w:val="18"/>
              </w:rPr>
              <w:t>11.159,9</w:t>
            </w:r>
          </w:p>
        </w:tc>
        <w:tc>
          <w:tcPr>
            <w:tcW w:w="1304" w:type="dxa"/>
            <w:tcBorders>
              <w:right w:val="double" w:sz="4" w:space="0" w:color="2F5496" w:themeColor="accent1" w:themeShade="BF"/>
            </w:tcBorders>
            <w:vAlign w:val="center"/>
          </w:tcPr>
          <w:p w14:paraId="25ADF2EB" w14:textId="54045068" w:rsidR="003254B5" w:rsidRPr="00DC55A2" w:rsidRDefault="003254B5" w:rsidP="00D6003A">
            <w:pPr>
              <w:ind w:right="113"/>
              <w:jc w:val="right"/>
              <w:rPr>
                <w:rFonts w:ascii="Verdana" w:hAnsi="Verdana" w:cs="Calibri"/>
                <w:b/>
                <w:bCs/>
                <w:color w:val="2F5496" w:themeColor="accent1" w:themeShade="BF"/>
                <w:sz w:val="18"/>
                <w:szCs w:val="18"/>
              </w:rPr>
            </w:pPr>
            <w:r w:rsidRPr="00DC55A2">
              <w:rPr>
                <w:rFonts w:ascii="Verdana" w:hAnsi="Verdana"/>
                <w:b/>
                <w:bCs/>
                <w:color w:val="2F5496" w:themeColor="accent1" w:themeShade="BF"/>
                <w:sz w:val="18"/>
                <w:szCs w:val="18"/>
              </w:rPr>
              <w:t>13.130,0</w:t>
            </w:r>
          </w:p>
        </w:tc>
        <w:tc>
          <w:tcPr>
            <w:tcW w:w="1304" w:type="dxa"/>
            <w:tcBorders>
              <w:left w:val="double" w:sz="4" w:space="0" w:color="2F5496" w:themeColor="accent1" w:themeShade="BF"/>
              <w:right w:val="single" w:sz="4" w:space="0" w:color="2F5496" w:themeColor="accent1" w:themeShade="BF"/>
            </w:tcBorders>
            <w:vAlign w:val="center"/>
          </w:tcPr>
          <w:p w14:paraId="1D4CE555" w14:textId="6D765964" w:rsidR="003254B5" w:rsidRPr="00DC55A2" w:rsidRDefault="003254B5" w:rsidP="00D6003A">
            <w:pPr>
              <w:ind w:right="113"/>
              <w:jc w:val="right"/>
              <w:rPr>
                <w:rFonts w:ascii="Verdana" w:hAnsi="Verdana" w:cs="Calibri"/>
                <w:b/>
                <w:bCs/>
                <w:color w:val="2F5496" w:themeColor="accent1" w:themeShade="BF"/>
                <w:sz w:val="18"/>
                <w:szCs w:val="18"/>
              </w:rPr>
            </w:pPr>
            <w:r w:rsidRPr="00DC55A2">
              <w:rPr>
                <w:rFonts w:ascii="Verdana" w:hAnsi="Verdana"/>
                <w:b/>
                <w:bCs/>
                <w:color w:val="2F5496" w:themeColor="accent1" w:themeShade="BF"/>
                <w:sz w:val="18"/>
                <w:szCs w:val="18"/>
              </w:rPr>
              <w:t>1.970,1</w:t>
            </w:r>
          </w:p>
        </w:tc>
        <w:tc>
          <w:tcPr>
            <w:tcW w:w="236" w:type="dxa"/>
            <w:tcBorders>
              <w:left w:val="single" w:sz="4" w:space="0" w:color="2F5496" w:themeColor="accent1" w:themeShade="BF"/>
              <w:right w:val="single" w:sz="4" w:space="0" w:color="2F5496" w:themeColor="accent1" w:themeShade="BF"/>
            </w:tcBorders>
            <w:vAlign w:val="center"/>
          </w:tcPr>
          <w:p w14:paraId="2A06BE0E" w14:textId="77777777" w:rsidR="003254B5" w:rsidRPr="00DC55A2" w:rsidRDefault="003254B5" w:rsidP="003254B5">
            <w:pPr>
              <w:jc w:val="right"/>
              <w:rPr>
                <w:rFonts w:ascii="Verdana" w:hAnsi="Verdana" w:cs="Arial"/>
                <w:b/>
                <w:bCs/>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5FB5E032" w14:textId="06DE934E" w:rsidR="003254B5" w:rsidRPr="00DC55A2" w:rsidRDefault="003254B5" w:rsidP="00D6003A">
            <w:pPr>
              <w:ind w:right="284"/>
              <w:jc w:val="right"/>
              <w:rPr>
                <w:rFonts w:ascii="Verdana" w:hAnsi="Verdana" w:cs="Calibri"/>
                <w:b/>
                <w:bCs/>
                <w:color w:val="2F5496" w:themeColor="accent1" w:themeShade="BF"/>
                <w:sz w:val="18"/>
                <w:szCs w:val="18"/>
              </w:rPr>
            </w:pPr>
            <w:r w:rsidRPr="00DC55A2">
              <w:rPr>
                <w:rFonts w:ascii="Verdana" w:hAnsi="Verdana"/>
                <w:b/>
                <w:bCs/>
                <w:color w:val="2F5496" w:themeColor="accent1" w:themeShade="BF"/>
                <w:sz w:val="18"/>
                <w:szCs w:val="18"/>
              </w:rPr>
              <w:t>17,7</w:t>
            </w:r>
          </w:p>
        </w:tc>
      </w:tr>
      <w:tr w:rsidR="003254B5" w:rsidRPr="006F21EB" w14:paraId="7F291030" w14:textId="77777777" w:rsidTr="003254B5">
        <w:trPr>
          <w:trHeight w:val="340"/>
          <w:jc w:val="center"/>
        </w:trPr>
        <w:tc>
          <w:tcPr>
            <w:tcW w:w="4196" w:type="dxa"/>
            <w:shd w:val="clear" w:color="000000" w:fill="FFFFFF"/>
            <w:vAlign w:val="center"/>
          </w:tcPr>
          <w:p w14:paraId="078A780A" w14:textId="77777777" w:rsidR="003254B5" w:rsidRPr="006F21EB" w:rsidRDefault="003254B5" w:rsidP="003254B5">
            <w:pPr>
              <w:ind w:left="170"/>
              <w:rPr>
                <w:rFonts w:ascii="Verdana" w:hAnsi="Verdana" w:cs="Arial"/>
                <w:color w:val="2F5496" w:themeColor="accent1" w:themeShade="BF"/>
                <w:sz w:val="18"/>
                <w:szCs w:val="18"/>
                <w:lang w:val="el-GR"/>
              </w:rPr>
            </w:pPr>
            <w:proofErr w:type="spellStart"/>
            <w:r w:rsidRPr="00F07E19">
              <w:rPr>
                <w:rFonts w:ascii="Verdana" w:hAnsi="Verdana" w:cs="Arial"/>
                <w:color w:val="2F5496" w:themeColor="accent1" w:themeShade="BF"/>
                <w:sz w:val="18"/>
                <w:szCs w:val="18"/>
                <w:lang w:val="el-GR"/>
              </w:rPr>
              <w:t>Total</w:t>
            </w:r>
            <w:proofErr w:type="spellEnd"/>
            <w:r w:rsidRPr="00F07E19">
              <w:rPr>
                <w:rFonts w:ascii="Verdana" w:hAnsi="Verdana" w:cs="Arial"/>
                <w:color w:val="2F5496" w:themeColor="accent1" w:themeShade="BF"/>
                <w:sz w:val="18"/>
                <w:szCs w:val="18"/>
                <w:lang w:val="el-GR"/>
              </w:rPr>
              <w:t xml:space="preserve"> </w:t>
            </w:r>
            <w:r>
              <w:rPr>
                <w:rFonts w:ascii="Verdana" w:hAnsi="Verdana" w:cs="Arial"/>
                <w:color w:val="2F5496" w:themeColor="accent1" w:themeShade="BF"/>
                <w:sz w:val="18"/>
                <w:szCs w:val="18"/>
              </w:rPr>
              <w:t>C</w:t>
            </w:r>
            <w:proofErr w:type="spellStart"/>
            <w:r w:rsidRPr="00F07E19">
              <w:rPr>
                <w:rFonts w:ascii="Verdana" w:hAnsi="Verdana" w:cs="Arial"/>
                <w:color w:val="2F5496" w:themeColor="accent1" w:themeShade="BF"/>
                <w:sz w:val="18"/>
                <w:szCs w:val="18"/>
                <w:lang w:val="el-GR"/>
              </w:rPr>
              <w:t>urrent</w:t>
            </w:r>
            <w:proofErr w:type="spellEnd"/>
            <w:r w:rsidRPr="00F07E19">
              <w:rPr>
                <w:rFonts w:ascii="Verdana" w:hAnsi="Verdana" w:cs="Arial"/>
                <w:color w:val="2F5496" w:themeColor="accent1" w:themeShade="BF"/>
                <w:sz w:val="18"/>
                <w:szCs w:val="18"/>
                <w:lang w:val="el-GR"/>
              </w:rPr>
              <w:t xml:space="preserve"> </w:t>
            </w:r>
            <w:r>
              <w:rPr>
                <w:rFonts w:ascii="Verdana" w:hAnsi="Verdana" w:cs="Arial"/>
                <w:color w:val="2F5496" w:themeColor="accent1" w:themeShade="BF"/>
                <w:sz w:val="18"/>
                <w:szCs w:val="18"/>
              </w:rPr>
              <w:t>E</w:t>
            </w:r>
            <w:proofErr w:type="spellStart"/>
            <w:r w:rsidRPr="00F07E19">
              <w:rPr>
                <w:rFonts w:ascii="Verdana" w:hAnsi="Verdana" w:cs="Arial"/>
                <w:color w:val="2F5496" w:themeColor="accent1" w:themeShade="BF"/>
                <w:sz w:val="18"/>
                <w:szCs w:val="18"/>
                <w:lang w:val="el-GR"/>
              </w:rPr>
              <w:t>xpenditure</w:t>
            </w:r>
            <w:proofErr w:type="spellEnd"/>
          </w:p>
        </w:tc>
        <w:tc>
          <w:tcPr>
            <w:tcW w:w="1304" w:type="dxa"/>
            <w:vAlign w:val="center"/>
          </w:tcPr>
          <w:p w14:paraId="662BDD50" w14:textId="74BFCD76"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10.228,6</w:t>
            </w:r>
          </w:p>
        </w:tc>
        <w:tc>
          <w:tcPr>
            <w:tcW w:w="1304" w:type="dxa"/>
            <w:tcBorders>
              <w:right w:val="double" w:sz="4" w:space="0" w:color="2F5496" w:themeColor="accent1" w:themeShade="BF"/>
            </w:tcBorders>
            <w:vAlign w:val="center"/>
          </w:tcPr>
          <w:p w14:paraId="3BD6436B" w14:textId="05FDCA90"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11.572,4</w:t>
            </w:r>
          </w:p>
        </w:tc>
        <w:tc>
          <w:tcPr>
            <w:tcW w:w="1304" w:type="dxa"/>
            <w:tcBorders>
              <w:left w:val="double" w:sz="4" w:space="0" w:color="2F5496" w:themeColor="accent1" w:themeShade="BF"/>
              <w:right w:val="single" w:sz="4" w:space="0" w:color="2F5496" w:themeColor="accent1" w:themeShade="BF"/>
            </w:tcBorders>
            <w:vAlign w:val="center"/>
          </w:tcPr>
          <w:p w14:paraId="25E5354B" w14:textId="51D95CCF"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1.343,8</w:t>
            </w:r>
          </w:p>
        </w:tc>
        <w:tc>
          <w:tcPr>
            <w:tcW w:w="236" w:type="dxa"/>
            <w:tcBorders>
              <w:left w:val="single" w:sz="4" w:space="0" w:color="2F5496" w:themeColor="accent1" w:themeShade="BF"/>
              <w:right w:val="single" w:sz="4" w:space="0" w:color="2F5496" w:themeColor="accent1" w:themeShade="BF"/>
            </w:tcBorders>
            <w:vAlign w:val="center"/>
          </w:tcPr>
          <w:p w14:paraId="653A346B"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04F9D33A" w14:textId="7832E603"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13,1</w:t>
            </w:r>
          </w:p>
        </w:tc>
      </w:tr>
      <w:tr w:rsidR="003254B5" w:rsidRPr="006F21EB" w14:paraId="52AA351F" w14:textId="77777777" w:rsidTr="003254B5">
        <w:trPr>
          <w:trHeight w:val="284"/>
          <w:jc w:val="center"/>
        </w:trPr>
        <w:tc>
          <w:tcPr>
            <w:tcW w:w="4196" w:type="dxa"/>
            <w:shd w:val="clear" w:color="000000" w:fill="FFFFFF"/>
            <w:vAlign w:val="center"/>
          </w:tcPr>
          <w:p w14:paraId="655F0383" w14:textId="77777777" w:rsidR="003254B5" w:rsidRPr="006F21EB" w:rsidRDefault="003254B5" w:rsidP="003254B5">
            <w:pPr>
              <w:ind w:left="340"/>
              <w:rPr>
                <w:rFonts w:ascii="Verdana" w:hAnsi="Verdana" w:cs="Arial"/>
                <w:color w:val="2F5496" w:themeColor="accent1" w:themeShade="BF"/>
                <w:sz w:val="18"/>
                <w:szCs w:val="18"/>
                <w:lang w:val="el-GR"/>
              </w:rPr>
            </w:pPr>
            <w:r w:rsidRPr="00F10CBC">
              <w:rPr>
                <w:rFonts w:ascii="Verdana" w:hAnsi="Verdana" w:cs="Arial"/>
                <w:color w:val="2F5496" w:themeColor="accent1" w:themeShade="BF"/>
                <w:sz w:val="18"/>
                <w:szCs w:val="18"/>
              </w:rPr>
              <w:t>Intermediate consumption</w:t>
            </w:r>
          </w:p>
        </w:tc>
        <w:tc>
          <w:tcPr>
            <w:tcW w:w="1304" w:type="dxa"/>
            <w:vAlign w:val="center"/>
          </w:tcPr>
          <w:p w14:paraId="09169F05" w14:textId="3C705D15"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1.275,7</w:t>
            </w:r>
          </w:p>
        </w:tc>
        <w:tc>
          <w:tcPr>
            <w:tcW w:w="1304" w:type="dxa"/>
            <w:tcBorders>
              <w:right w:val="double" w:sz="4" w:space="0" w:color="2F5496" w:themeColor="accent1" w:themeShade="BF"/>
            </w:tcBorders>
            <w:vAlign w:val="center"/>
          </w:tcPr>
          <w:p w14:paraId="43DF41E8" w14:textId="568E508B"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1.301,6</w:t>
            </w:r>
          </w:p>
        </w:tc>
        <w:tc>
          <w:tcPr>
            <w:tcW w:w="1304" w:type="dxa"/>
            <w:tcBorders>
              <w:left w:val="double" w:sz="4" w:space="0" w:color="2F5496" w:themeColor="accent1" w:themeShade="BF"/>
              <w:right w:val="single" w:sz="4" w:space="0" w:color="2F5496" w:themeColor="accent1" w:themeShade="BF"/>
            </w:tcBorders>
            <w:vAlign w:val="center"/>
          </w:tcPr>
          <w:p w14:paraId="66F038DF" w14:textId="5E378A18"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25,9</w:t>
            </w:r>
          </w:p>
        </w:tc>
        <w:tc>
          <w:tcPr>
            <w:tcW w:w="236" w:type="dxa"/>
            <w:tcBorders>
              <w:left w:val="single" w:sz="4" w:space="0" w:color="2F5496" w:themeColor="accent1" w:themeShade="BF"/>
              <w:right w:val="single" w:sz="4" w:space="0" w:color="2F5496" w:themeColor="accent1" w:themeShade="BF"/>
            </w:tcBorders>
            <w:vAlign w:val="center"/>
          </w:tcPr>
          <w:p w14:paraId="28C2A9D1"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4EF9727E" w14:textId="7C0DC933"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2,0</w:t>
            </w:r>
          </w:p>
        </w:tc>
      </w:tr>
      <w:tr w:rsidR="003254B5" w:rsidRPr="006F21EB" w14:paraId="48AD895E" w14:textId="77777777" w:rsidTr="003254B5">
        <w:trPr>
          <w:trHeight w:val="284"/>
          <w:jc w:val="center"/>
        </w:trPr>
        <w:tc>
          <w:tcPr>
            <w:tcW w:w="4196" w:type="dxa"/>
            <w:shd w:val="clear" w:color="000000" w:fill="FFFFFF"/>
            <w:vAlign w:val="center"/>
          </w:tcPr>
          <w:p w14:paraId="66C4CEEF" w14:textId="77777777" w:rsidR="003254B5" w:rsidRPr="006F21EB" w:rsidRDefault="003254B5" w:rsidP="003254B5">
            <w:pPr>
              <w:ind w:left="340"/>
              <w:rPr>
                <w:rFonts w:ascii="Verdana" w:hAnsi="Verdana" w:cs="Arial"/>
                <w:color w:val="2F5496" w:themeColor="accent1" w:themeShade="BF"/>
                <w:sz w:val="18"/>
                <w:szCs w:val="18"/>
                <w:lang w:val="el-GR"/>
              </w:rPr>
            </w:pPr>
            <w:r w:rsidRPr="00F10CBC">
              <w:rPr>
                <w:rFonts w:ascii="Verdana" w:hAnsi="Verdana" w:cs="Arial"/>
                <w:color w:val="2F5496" w:themeColor="accent1" w:themeShade="BF"/>
                <w:sz w:val="18"/>
                <w:szCs w:val="18"/>
              </w:rPr>
              <w:t>Compensation of employees</w:t>
            </w:r>
          </w:p>
        </w:tc>
        <w:tc>
          <w:tcPr>
            <w:tcW w:w="1304" w:type="dxa"/>
            <w:vAlign w:val="center"/>
          </w:tcPr>
          <w:p w14:paraId="27439D83" w14:textId="18579B8C"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3.168,2</w:t>
            </w:r>
          </w:p>
        </w:tc>
        <w:tc>
          <w:tcPr>
            <w:tcW w:w="1304" w:type="dxa"/>
            <w:tcBorders>
              <w:right w:val="double" w:sz="4" w:space="0" w:color="2F5496" w:themeColor="accent1" w:themeShade="BF"/>
            </w:tcBorders>
            <w:vAlign w:val="center"/>
          </w:tcPr>
          <w:p w14:paraId="67FE79A3" w14:textId="2F6F1E77"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3.591,8</w:t>
            </w:r>
          </w:p>
        </w:tc>
        <w:tc>
          <w:tcPr>
            <w:tcW w:w="1304" w:type="dxa"/>
            <w:tcBorders>
              <w:left w:val="double" w:sz="4" w:space="0" w:color="2F5496" w:themeColor="accent1" w:themeShade="BF"/>
              <w:right w:val="single" w:sz="4" w:space="0" w:color="2F5496" w:themeColor="accent1" w:themeShade="BF"/>
            </w:tcBorders>
            <w:vAlign w:val="center"/>
          </w:tcPr>
          <w:p w14:paraId="288D5442" w14:textId="564D8C87"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423,6</w:t>
            </w:r>
          </w:p>
        </w:tc>
        <w:tc>
          <w:tcPr>
            <w:tcW w:w="236" w:type="dxa"/>
            <w:tcBorders>
              <w:left w:val="single" w:sz="4" w:space="0" w:color="2F5496" w:themeColor="accent1" w:themeShade="BF"/>
              <w:right w:val="single" w:sz="4" w:space="0" w:color="2F5496" w:themeColor="accent1" w:themeShade="BF"/>
            </w:tcBorders>
            <w:vAlign w:val="center"/>
          </w:tcPr>
          <w:p w14:paraId="50E62CFC"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2958A48D" w14:textId="0BAE6E7A"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13,4</w:t>
            </w:r>
          </w:p>
        </w:tc>
      </w:tr>
      <w:tr w:rsidR="003254B5" w:rsidRPr="006F21EB" w14:paraId="2EAB8390" w14:textId="77777777" w:rsidTr="003254B5">
        <w:trPr>
          <w:trHeight w:val="284"/>
          <w:jc w:val="center"/>
        </w:trPr>
        <w:tc>
          <w:tcPr>
            <w:tcW w:w="4196" w:type="dxa"/>
            <w:shd w:val="clear" w:color="auto" w:fill="auto"/>
            <w:vAlign w:val="center"/>
          </w:tcPr>
          <w:p w14:paraId="447BB450" w14:textId="77777777" w:rsidR="003254B5" w:rsidRPr="006F21EB" w:rsidRDefault="003254B5" w:rsidP="003254B5">
            <w:pPr>
              <w:ind w:left="340"/>
              <w:rPr>
                <w:rFonts w:ascii="Verdana" w:hAnsi="Verdana" w:cs="Arial"/>
                <w:color w:val="2F5496" w:themeColor="accent1" w:themeShade="BF"/>
                <w:sz w:val="18"/>
                <w:szCs w:val="18"/>
                <w:lang w:val="el-GR"/>
              </w:rPr>
            </w:pPr>
            <w:r w:rsidRPr="00F10CBC">
              <w:rPr>
                <w:rFonts w:ascii="Verdana" w:hAnsi="Verdana" w:cs="Arial"/>
                <w:color w:val="2F5496" w:themeColor="accent1" w:themeShade="BF"/>
                <w:sz w:val="18"/>
                <w:szCs w:val="18"/>
              </w:rPr>
              <w:t>Social transfers</w:t>
            </w:r>
          </w:p>
        </w:tc>
        <w:tc>
          <w:tcPr>
            <w:tcW w:w="1304" w:type="dxa"/>
            <w:vAlign w:val="center"/>
          </w:tcPr>
          <w:p w14:paraId="58C140BF" w14:textId="69E529EC"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4.612,1</w:t>
            </w:r>
          </w:p>
        </w:tc>
        <w:tc>
          <w:tcPr>
            <w:tcW w:w="1304" w:type="dxa"/>
            <w:tcBorders>
              <w:right w:val="double" w:sz="4" w:space="0" w:color="2F5496" w:themeColor="accent1" w:themeShade="BF"/>
            </w:tcBorders>
            <w:vAlign w:val="center"/>
          </w:tcPr>
          <w:p w14:paraId="08DDB782" w14:textId="28DF0FE4"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4.941,4</w:t>
            </w:r>
          </w:p>
        </w:tc>
        <w:tc>
          <w:tcPr>
            <w:tcW w:w="1304" w:type="dxa"/>
            <w:tcBorders>
              <w:left w:val="double" w:sz="4" w:space="0" w:color="2F5496" w:themeColor="accent1" w:themeShade="BF"/>
              <w:right w:val="single" w:sz="4" w:space="0" w:color="2F5496" w:themeColor="accent1" w:themeShade="BF"/>
            </w:tcBorders>
            <w:vAlign w:val="center"/>
          </w:tcPr>
          <w:p w14:paraId="3CD59AB8" w14:textId="57B750C5"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329,3</w:t>
            </w:r>
          </w:p>
        </w:tc>
        <w:tc>
          <w:tcPr>
            <w:tcW w:w="236" w:type="dxa"/>
            <w:tcBorders>
              <w:left w:val="single" w:sz="4" w:space="0" w:color="2F5496" w:themeColor="accent1" w:themeShade="BF"/>
              <w:right w:val="single" w:sz="4" w:space="0" w:color="2F5496" w:themeColor="accent1" w:themeShade="BF"/>
            </w:tcBorders>
            <w:vAlign w:val="center"/>
          </w:tcPr>
          <w:p w14:paraId="699D49ED"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5229F512" w14:textId="143D8C42"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7,1</w:t>
            </w:r>
          </w:p>
        </w:tc>
      </w:tr>
      <w:tr w:rsidR="003254B5" w:rsidRPr="006F21EB" w14:paraId="6F1E386F" w14:textId="77777777" w:rsidTr="003254B5">
        <w:trPr>
          <w:trHeight w:val="284"/>
          <w:jc w:val="center"/>
        </w:trPr>
        <w:tc>
          <w:tcPr>
            <w:tcW w:w="4196" w:type="dxa"/>
            <w:shd w:val="clear" w:color="000000" w:fill="FFFFFF"/>
            <w:vAlign w:val="center"/>
          </w:tcPr>
          <w:p w14:paraId="04E304DB" w14:textId="77777777" w:rsidR="003254B5" w:rsidRPr="006F21EB" w:rsidRDefault="003254B5" w:rsidP="003254B5">
            <w:pPr>
              <w:ind w:left="340"/>
              <w:rPr>
                <w:rFonts w:ascii="Verdana" w:hAnsi="Verdana" w:cs="Arial"/>
                <w:color w:val="2F5496" w:themeColor="accent1" w:themeShade="BF"/>
                <w:sz w:val="18"/>
                <w:szCs w:val="18"/>
                <w:lang w:val="el-GR"/>
              </w:rPr>
            </w:pPr>
            <w:r>
              <w:rPr>
                <w:rFonts w:ascii="Verdana" w:hAnsi="Verdana" w:cs="Arial"/>
                <w:color w:val="2F5496" w:themeColor="accent1" w:themeShade="BF"/>
                <w:sz w:val="18"/>
                <w:szCs w:val="18"/>
              </w:rPr>
              <w:t>Property income payable</w:t>
            </w:r>
          </w:p>
        </w:tc>
        <w:tc>
          <w:tcPr>
            <w:tcW w:w="1304" w:type="dxa"/>
            <w:vAlign w:val="center"/>
          </w:tcPr>
          <w:p w14:paraId="143DFB5C" w14:textId="13A34FCC"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389,6</w:t>
            </w:r>
          </w:p>
        </w:tc>
        <w:tc>
          <w:tcPr>
            <w:tcW w:w="1304" w:type="dxa"/>
            <w:tcBorders>
              <w:right w:val="double" w:sz="4" w:space="0" w:color="2F5496" w:themeColor="accent1" w:themeShade="BF"/>
            </w:tcBorders>
            <w:vAlign w:val="center"/>
          </w:tcPr>
          <w:p w14:paraId="28E0BBEF" w14:textId="68CCD209"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408,3</w:t>
            </w:r>
          </w:p>
        </w:tc>
        <w:tc>
          <w:tcPr>
            <w:tcW w:w="1304" w:type="dxa"/>
            <w:tcBorders>
              <w:left w:val="double" w:sz="4" w:space="0" w:color="2F5496" w:themeColor="accent1" w:themeShade="BF"/>
              <w:right w:val="single" w:sz="4" w:space="0" w:color="2F5496" w:themeColor="accent1" w:themeShade="BF"/>
            </w:tcBorders>
            <w:vAlign w:val="center"/>
          </w:tcPr>
          <w:p w14:paraId="50968C8D" w14:textId="2BA69747"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18,7</w:t>
            </w:r>
          </w:p>
        </w:tc>
        <w:tc>
          <w:tcPr>
            <w:tcW w:w="236" w:type="dxa"/>
            <w:tcBorders>
              <w:left w:val="single" w:sz="4" w:space="0" w:color="2F5496" w:themeColor="accent1" w:themeShade="BF"/>
              <w:right w:val="single" w:sz="4" w:space="0" w:color="2F5496" w:themeColor="accent1" w:themeShade="BF"/>
            </w:tcBorders>
            <w:vAlign w:val="center"/>
          </w:tcPr>
          <w:p w14:paraId="3A9AD710"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6139527C" w14:textId="16BC4BAF"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4,8</w:t>
            </w:r>
          </w:p>
        </w:tc>
      </w:tr>
      <w:tr w:rsidR="003254B5" w:rsidRPr="006F21EB" w14:paraId="5BBBAEDB" w14:textId="77777777" w:rsidTr="003254B5">
        <w:trPr>
          <w:trHeight w:val="284"/>
          <w:jc w:val="center"/>
        </w:trPr>
        <w:tc>
          <w:tcPr>
            <w:tcW w:w="4196" w:type="dxa"/>
            <w:shd w:val="clear" w:color="000000" w:fill="FFFFFF"/>
            <w:vAlign w:val="center"/>
          </w:tcPr>
          <w:p w14:paraId="7567EEE9" w14:textId="77777777" w:rsidR="003254B5" w:rsidRPr="006F21EB" w:rsidRDefault="003254B5" w:rsidP="003254B5">
            <w:pPr>
              <w:ind w:left="340"/>
              <w:rPr>
                <w:rFonts w:ascii="Verdana" w:hAnsi="Verdana" w:cs="Arial"/>
                <w:color w:val="2F5496" w:themeColor="accent1" w:themeShade="BF"/>
                <w:sz w:val="18"/>
                <w:szCs w:val="18"/>
                <w:lang w:val="el-GR"/>
              </w:rPr>
            </w:pPr>
            <w:r w:rsidRPr="00F10CBC">
              <w:rPr>
                <w:rFonts w:ascii="Verdana" w:hAnsi="Verdana" w:cs="Arial"/>
                <w:color w:val="2F5496" w:themeColor="accent1" w:themeShade="BF"/>
                <w:sz w:val="18"/>
                <w:szCs w:val="18"/>
              </w:rPr>
              <w:t>Subsidies</w:t>
            </w:r>
          </w:p>
        </w:tc>
        <w:tc>
          <w:tcPr>
            <w:tcW w:w="1304" w:type="dxa"/>
            <w:vAlign w:val="center"/>
          </w:tcPr>
          <w:p w14:paraId="2F4552C3" w14:textId="5218B603"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133,6</w:t>
            </w:r>
          </w:p>
        </w:tc>
        <w:tc>
          <w:tcPr>
            <w:tcW w:w="1304" w:type="dxa"/>
            <w:tcBorders>
              <w:right w:val="double" w:sz="4" w:space="0" w:color="2F5496" w:themeColor="accent1" w:themeShade="BF"/>
            </w:tcBorders>
            <w:vAlign w:val="center"/>
          </w:tcPr>
          <w:p w14:paraId="1184CEE5" w14:textId="3DF8EF8B"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159,1</w:t>
            </w:r>
          </w:p>
        </w:tc>
        <w:tc>
          <w:tcPr>
            <w:tcW w:w="1304" w:type="dxa"/>
            <w:tcBorders>
              <w:left w:val="double" w:sz="4" w:space="0" w:color="2F5496" w:themeColor="accent1" w:themeShade="BF"/>
              <w:right w:val="single" w:sz="4" w:space="0" w:color="2F5496" w:themeColor="accent1" w:themeShade="BF"/>
            </w:tcBorders>
            <w:vAlign w:val="center"/>
          </w:tcPr>
          <w:p w14:paraId="2F01E8AE" w14:textId="5A2FDFC8"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25,5</w:t>
            </w:r>
          </w:p>
        </w:tc>
        <w:tc>
          <w:tcPr>
            <w:tcW w:w="236" w:type="dxa"/>
            <w:tcBorders>
              <w:left w:val="single" w:sz="4" w:space="0" w:color="2F5496" w:themeColor="accent1" w:themeShade="BF"/>
              <w:right w:val="single" w:sz="4" w:space="0" w:color="2F5496" w:themeColor="accent1" w:themeShade="BF"/>
            </w:tcBorders>
            <w:vAlign w:val="center"/>
          </w:tcPr>
          <w:p w14:paraId="77482B9B"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26BDD5B1" w14:textId="1400C498"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19,1</w:t>
            </w:r>
          </w:p>
        </w:tc>
      </w:tr>
      <w:tr w:rsidR="003254B5" w:rsidRPr="006F21EB" w14:paraId="1C005020" w14:textId="77777777" w:rsidTr="003254B5">
        <w:trPr>
          <w:trHeight w:val="284"/>
          <w:jc w:val="center"/>
        </w:trPr>
        <w:tc>
          <w:tcPr>
            <w:tcW w:w="4196" w:type="dxa"/>
            <w:shd w:val="clear" w:color="000000" w:fill="FFFFFF"/>
            <w:vAlign w:val="center"/>
          </w:tcPr>
          <w:p w14:paraId="4A2FF34E" w14:textId="77777777" w:rsidR="003254B5" w:rsidRPr="006F21EB" w:rsidRDefault="003254B5" w:rsidP="003254B5">
            <w:pPr>
              <w:ind w:left="340"/>
              <w:rPr>
                <w:rFonts w:ascii="Verdana" w:hAnsi="Verdana" w:cs="Arial"/>
                <w:color w:val="2F5496" w:themeColor="accent1" w:themeShade="BF"/>
                <w:sz w:val="18"/>
                <w:szCs w:val="18"/>
                <w:lang w:val="el-GR"/>
              </w:rPr>
            </w:pPr>
            <w:r w:rsidRPr="00F10CBC">
              <w:rPr>
                <w:rFonts w:ascii="Verdana" w:hAnsi="Verdana" w:cs="Arial"/>
                <w:color w:val="2F5496" w:themeColor="accent1" w:themeShade="BF"/>
                <w:sz w:val="18"/>
                <w:szCs w:val="18"/>
              </w:rPr>
              <w:t>Other current expenditure</w:t>
            </w:r>
          </w:p>
        </w:tc>
        <w:tc>
          <w:tcPr>
            <w:tcW w:w="1304" w:type="dxa"/>
            <w:vAlign w:val="center"/>
          </w:tcPr>
          <w:p w14:paraId="2C95D8D2" w14:textId="64FE0A8C"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649,4</w:t>
            </w:r>
          </w:p>
        </w:tc>
        <w:tc>
          <w:tcPr>
            <w:tcW w:w="1304" w:type="dxa"/>
            <w:tcBorders>
              <w:right w:val="double" w:sz="4" w:space="0" w:color="2F5496" w:themeColor="accent1" w:themeShade="BF"/>
            </w:tcBorders>
            <w:vAlign w:val="center"/>
          </w:tcPr>
          <w:p w14:paraId="0BABAFD5" w14:textId="38780D42"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1.170,2</w:t>
            </w:r>
          </w:p>
        </w:tc>
        <w:tc>
          <w:tcPr>
            <w:tcW w:w="1304" w:type="dxa"/>
            <w:tcBorders>
              <w:left w:val="double" w:sz="4" w:space="0" w:color="2F5496" w:themeColor="accent1" w:themeShade="BF"/>
              <w:right w:val="single" w:sz="4" w:space="0" w:color="2F5496" w:themeColor="accent1" w:themeShade="BF"/>
            </w:tcBorders>
            <w:vAlign w:val="center"/>
          </w:tcPr>
          <w:p w14:paraId="5485330D" w14:textId="60E48ED6"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520,8</w:t>
            </w:r>
          </w:p>
        </w:tc>
        <w:tc>
          <w:tcPr>
            <w:tcW w:w="236" w:type="dxa"/>
            <w:tcBorders>
              <w:left w:val="single" w:sz="4" w:space="0" w:color="2F5496" w:themeColor="accent1" w:themeShade="BF"/>
              <w:right w:val="single" w:sz="4" w:space="0" w:color="2F5496" w:themeColor="accent1" w:themeShade="BF"/>
            </w:tcBorders>
            <w:vAlign w:val="center"/>
          </w:tcPr>
          <w:p w14:paraId="15046E2A"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6602FF12" w14:textId="3BD69B73"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80,2</w:t>
            </w:r>
          </w:p>
        </w:tc>
      </w:tr>
      <w:tr w:rsidR="003254B5" w:rsidRPr="006F21EB" w14:paraId="13217EF7" w14:textId="77777777" w:rsidTr="00D6003A">
        <w:trPr>
          <w:trHeight w:val="397"/>
          <w:jc w:val="center"/>
        </w:trPr>
        <w:tc>
          <w:tcPr>
            <w:tcW w:w="4196" w:type="dxa"/>
            <w:shd w:val="clear" w:color="000000" w:fill="FFFFFF"/>
            <w:vAlign w:val="center"/>
          </w:tcPr>
          <w:p w14:paraId="530E9565" w14:textId="77777777" w:rsidR="003254B5" w:rsidRPr="006F21EB" w:rsidRDefault="003254B5" w:rsidP="003254B5">
            <w:pPr>
              <w:ind w:left="170"/>
              <w:rPr>
                <w:rFonts w:ascii="Verdana" w:hAnsi="Verdana" w:cs="Arial"/>
                <w:color w:val="2F5496" w:themeColor="accent1" w:themeShade="BF"/>
                <w:sz w:val="18"/>
                <w:szCs w:val="18"/>
                <w:lang w:val="el-GR"/>
              </w:rPr>
            </w:pPr>
            <w:proofErr w:type="spellStart"/>
            <w:r w:rsidRPr="00F10CBC">
              <w:rPr>
                <w:rFonts w:ascii="Verdana" w:hAnsi="Verdana" w:cs="Arial"/>
                <w:color w:val="2F5496" w:themeColor="accent1" w:themeShade="BF"/>
                <w:sz w:val="18"/>
                <w:szCs w:val="18"/>
                <w:lang w:val="el-GR"/>
              </w:rPr>
              <w:t>Total</w:t>
            </w:r>
            <w:proofErr w:type="spellEnd"/>
            <w:r w:rsidRPr="00F10CBC">
              <w:rPr>
                <w:rFonts w:ascii="Verdana" w:hAnsi="Verdana" w:cs="Arial"/>
                <w:color w:val="2F5496" w:themeColor="accent1" w:themeShade="BF"/>
                <w:sz w:val="18"/>
                <w:szCs w:val="18"/>
                <w:lang w:val="el-GR"/>
              </w:rPr>
              <w:t xml:space="preserve"> Capital </w:t>
            </w:r>
            <w:proofErr w:type="spellStart"/>
            <w:r w:rsidRPr="00F10CBC">
              <w:rPr>
                <w:rFonts w:ascii="Verdana" w:hAnsi="Verdana" w:cs="Arial"/>
                <w:color w:val="2F5496" w:themeColor="accent1" w:themeShade="BF"/>
                <w:sz w:val="18"/>
                <w:szCs w:val="18"/>
                <w:lang w:val="el-GR"/>
              </w:rPr>
              <w:t>Expenditure</w:t>
            </w:r>
            <w:proofErr w:type="spellEnd"/>
          </w:p>
        </w:tc>
        <w:tc>
          <w:tcPr>
            <w:tcW w:w="1304" w:type="dxa"/>
            <w:vAlign w:val="center"/>
          </w:tcPr>
          <w:p w14:paraId="71861F40" w14:textId="4C7C2EC8"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931,3</w:t>
            </w:r>
          </w:p>
        </w:tc>
        <w:tc>
          <w:tcPr>
            <w:tcW w:w="1304" w:type="dxa"/>
            <w:tcBorders>
              <w:right w:val="double" w:sz="4" w:space="0" w:color="2F5496" w:themeColor="accent1" w:themeShade="BF"/>
            </w:tcBorders>
            <w:vAlign w:val="center"/>
          </w:tcPr>
          <w:p w14:paraId="4169D91B" w14:textId="7E0A3993"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1.557,6</w:t>
            </w:r>
          </w:p>
        </w:tc>
        <w:tc>
          <w:tcPr>
            <w:tcW w:w="1304" w:type="dxa"/>
            <w:tcBorders>
              <w:left w:val="double" w:sz="4" w:space="0" w:color="2F5496" w:themeColor="accent1" w:themeShade="BF"/>
              <w:right w:val="single" w:sz="4" w:space="0" w:color="2F5496" w:themeColor="accent1" w:themeShade="BF"/>
            </w:tcBorders>
            <w:vAlign w:val="center"/>
          </w:tcPr>
          <w:p w14:paraId="14BAA838" w14:textId="6A51E3C3"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626,3</w:t>
            </w:r>
          </w:p>
        </w:tc>
        <w:tc>
          <w:tcPr>
            <w:tcW w:w="236" w:type="dxa"/>
            <w:tcBorders>
              <w:left w:val="single" w:sz="4" w:space="0" w:color="2F5496" w:themeColor="accent1" w:themeShade="BF"/>
              <w:right w:val="single" w:sz="4" w:space="0" w:color="2F5496" w:themeColor="accent1" w:themeShade="BF"/>
            </w:tcBorders>
            <w:vAlign w:val="center"/>
          </w:tcPr>
          <w:p w14:paraId="57D423CA"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006DE61C" w14:textId="7C8959CB"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67,3</w:t>
            </w:r>
          </w:p>
        </w:tc>
      </w:tr>
      <w:tr w:rsidR="003254B5" w:rsidRPr="006F21EB" w14:paraId="1FCBCC9B" w14:textId="77777777" w:rsidTr="00D6003A">
        <w:trPr>
          <w:trHeight w:val="284"/>
          <w:jc w:val="center"/>
        </w:trPr>
        <w:tc>
          <w:tcPr>
            <w:tcW w:w="4196" w:type="dxa"/>
            <w:shd w:val="clear" w:color="auto" w:fill="auto"/>
            <w:vAlign w:val="center"/>
          </w:tcPr>
          <w:p w14:paraId="07108574" w14:textId="77777777" w:rsidR="003254B5" w:rsidRPr="006F21EB" w:rsidRDefault="003254B5" w:rsidP="003254B5">
            <w:pPr>
              <w:ind w:left="340"/>
              <w:rPr>
                <w:rFonts w:ascii="Verdana" w:hAnsi="Verdana" w:cs="Arial"/>
                <w:color w:val="2F5496" w:themeColor="accent1" w:themeShade="BF"/>
                <w:sz w:val="18"/>
                <w:szCs w:val="18"/>
                <w:lang w:val="el-GR"/>
              </w:rPr>
            </w:pPr>
            <w:proofErr w:type="spellStart"/>
            <w:r w:rsidRPr="00F10CBC">
              <w:rPr>
                <w:rFonts w:ascii="Verdana" w:hAnsi="Verdana" w:cs="Arial"/>
                <w:color w:val="2F5496" w:themeColor="accent1" w:themeShade="BF"/>
                <w:sz w:val="18"/>
                <w:szCs w:val="18"/>
                <w:lang w:val="el-GR"/>
              </w:rPr>
              <w:t>Gross</w:t>
            </w:r>
            <w:proofErr w:type="spellEnd"/>
            <w:r w:rsidRPr="00F10CBC">
              <w:rPr>
                <w:rFonts w:ascii="Verdana" w:hAnsi="Verdana" w:cs="Arial"/>
                <w:color w:val="2F5496" w:themeColor="accent1" w:themeShade="BF"/>
                <w:sz w:val="18"/>
                <w:szCs w:val="18"/>
                <w:lang w:val="el-GR"/>
              </w:rPr>
              <w:t xml:space="preserve"> </w:t>
            </w:r>
            <w:proofErr w:type="spellStart"/>
            <w:r w:rsidRPr="00F10CBC">
              <w:rPr>
                <w:rFonts w:ascii="Verdana" w:hAnsi="Verdana" w:cs="Arial"/>
                <w:color w:val="2F5496" w:themeColor="accent1" w:themeShade="BF"/>
                <w:sz w:val="18"/>
                <w:szCs w:val="18"/>
                <w:lang w:val="el-GR"/>
              </w:rPr>
              <w:t>capital</w:t>
            </w:r>
            <w:proofErr w:type="spellEnd"/>
            <w:r w:rsidRPr="00F10CBC">
              <w:rPr>
                <w:rFonts w:ascii="Verdana" w:hAnsi="Verdana" w:cs="Arial"/>
                <w:color w:val="2F5496" w:themeColor="accent1" w:themeShade="BF"/>
                <w:sz w:val="18"/>
                <w:szCs w:val="18"/>
                <w:lang w:val="el-GR"/>
              </w:rPr>
              <w:t xml:space="preserve"> </w:t>
            </w:r>
            <w:proofErr w:type="spellStart"/>
            <w:r w:rsidRPr="00F10CBC">
              <w:rPr>
                <w:rFonts w:ascii="Verdana" w:hAnsi="Verdana" w:cs="Arial"/>
                <w:color w:val="2F5496" w:themeColor="accent1" w:themeShade="BF"/>
                <w:sz w:val="18"/>
                <w:szCs w:val="18"/>
                <w:lang w:val="el-GR"/>
              </w:rPr>
              <w:t>formation</w:t>
            </w:r>
            <w:proofErr w:type="spellEnd"/>
          </w:p>
        </w:tc>
        <w:tc>
          <w:tcPr>
            <w:tcW w:w="1304" w:type="dxa"/>
            <w:vAlign w:val="center"/>
          </w:tcPr>
          <w:p w14:paraId="1FDC6934" w14:textId="64DFAFC9"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713,7</w:t>
            </w:r>
          </w:p>
        </w:tc>
        <w:tc>
          <w:tcPr>
            <w:tcW w:w="1304" w:type="dxa"/>
            <w:tcBorders>
              <w:right w:val="double" w:sz="4" w:space="0" w:color="2F5496" w:themeColor="accent1" w:themeShade="BF"/>
            </w:tcBorders>
            <w:vAlign w:val="center"/>
          </w:tcPr>
          <w:p w14:paraId="65BCB89B" w14:textId="34E64254"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977,5</w:t>
            </w:r>
          </w:p>
        </w:tc>
        <w:tc>
          <w:tcPr>
            <w:tcW w:w="1304" w:type="dxa"/>
            <w:tcBorders>
              <w:left w:val="double" w:sz="4" w:space="0" w:color="2F5496" w:themeColor="accent1" w:themeShade="BF"/>
              <w:right w:val="single" w:sz="4" w:space="0" w:color="2F5496" w:themeColor="accent1" w:themeShade="BF"/>
            </w:tcBorders>
            <w:vAlign w:val="center"/>
          </w:tcPr>
          <w:p w14:paraId="14030A29" w14:textId="052E5C2E"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263,8</w:t>
            </w:r>
          </w:p>
        </w:tc>
        <w:tc>
          <w:tcPr>
            <w:tcW w:w="236" w:type="dxa"/>
            <w:tcBorders>
              <w:left w:val="single" w:sz="4" w:space="0" w:color="2F5496" w:themeColor="accent1" w:themeShade="BF"/>
              <w:right w:val="single" w:sz="4" w:space="0" w:color="2F5496" w:themeColor="accent1" w:themeShade="BF"/>
            </w:tcBorders>
            <w:vAlign w:val="center"/>
          </w:tcPr>
          <w:p w14:paraId="53A97BA5"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27F93DFD" w14:textId="7EF25837"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37,0</w:t>
            </w:r>
          </w:p>
        </w:tc>
      </w:tr>
      <w:tr w:rsidR="003254B5" w:rsidRPr="006F21EB" w14:paraId="3DC72117" w14:textId="77777777" w:rsidTr="00D6003A">
        <w:trPr>
          <w:trHeight w:val="340"/>
          <w:jc w:val="center"/>
        </w:trPr>
        <w:tc>
          <w:tcPr>
            <w:tcW w:w="4196" w:type="dxa"/>
            <w:tcBorders>
              <w:bottom w:val="single" w:sz="4" w:space="0" w:color="2F5496" w:themeColor="accent1" w:themeShade="BF"/>
            </w:tcBorders>
            <w:shd w:val="clear" w:color="000000" w:fill="FFFFFF"/>
            <w:vAlign w:val="center"/>
          </w:tcPr>
          <w:p w14:paraId="68752AE7" w14:textId="77777777" w:rsidR="003254B5" w:rsidRPr="006F21EB" w:rsidRDefault="003254B5" w:rsidP="003254B5">
            <w:pPr>
              <w:ind w:left="340"/>
              <w:rPr>
                <w:rFonts w:ascii="Verdana" w:hAnsi="Verdana" w:cs="Arial"/>
                <w:color w:val="2F5496" w:themeColor="accent1" w:themeShade="BF"/>
                <w:sz w:val="18"/>
                <w:szCs w:val="18"/>
                <w:lang w:val="el-GR"/>
              </w:rPr>
            </w:pPr>
            <w:r w:rsidRPr="00F10CBC">
              <w:rPr>
                <w:rFonts w:ascii="Verdana" w:hAnsi="Verdana" w:cs="Arial"/>
                <w:color w:val="2F5496" w:themeColor="accent1" w:themeShade="BF"/>
                <w:sz w:val="18"/>
                <w:szCs w:val="18"/>
              </w:rPr>
              <w:t>Other capital expenditure</w:t>
            </w:r>
          </w:p>
        </w:tc>
        <w:tc>
          <w:tcPr>
            <w:tcW w:w="1304" w:type="dxa"/>
            <w:tcBorders>
              <w:bottom w:val="single" w:sz="4" w:space="0" w:color="2F5496" w:themeColor="accent1" w:themeShade="BF"/>
            </w:tcBorders>
            <w:vAlign w:val="center"/>
          </w:tcPr>
          <w:p w14:paraId="71FBBC87" w14:textId="4513D595"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217,6</w:t>
            </w:r>
          </w:p>
        </w:tc>
        <w:tc>
          <w:tcPr>
            <w:tcW w:w="1304" w:type="dxa"/>
            <w:tcBorders>
              <w:bottom w:val="single" w:sz="4" w:space="0" w:color="2F5496" w:themeColor="accent1" w:themeShade="BF"/>
              <w:right w:val="double" w:sz="4" w:space="0" w:color="2F5496" w:themeColor="accent1" w:themeShade="BF"/>
            </w:tcBorders>
            <w:vAlign w:val="center"/>
          </w:tcPr>
          <w:p w14:paraId="617C745D" w14:textId="00310E96"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580,1</w:t>
            </w:r>
          </w:p>
        </w:tc>
        <w:tc>
          <w:tcPr>
            <w:tcW w:w="1304" w:type="dxa"/>
            <w:tcBorders>
              <w:left w:val="double" w:sz="4" w:space="0" w:color="2F5496" w:themeColor="accent1" w:themeShade="BF"/>
              <w:bottom w:val="single" w:sz="4" w:space="0" w:color="2F5496" w:themeColor="accent1" w:themeShade="BF"/>
              <w:right w:val="single" w:sz="4" w:space="0" w:color="2F5496" w:themeColor="accent1" w:themeShade="BF"/>
            </w:tcBorders>
            <w:vAlign w:val="center"/>
          </w:tcPr>
          <w:p w14:paraId="7E88EE38" w14:textId="46CA117E" w:rsidR="003254B5" w:rsidRPr="003254B5" w:rsidRDefault="003254B5" w:rsidP="00D6003A">
            <w:pPr>
              <w:ind w:right="113"/>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362,5</w:t>
            </w:r>
          </w:p>
        </w:tc>
        <w:tc>
          <w:tcPr>
            <w:tcW w:w="236" w:type="dxa"/>
            <w:tcBorders>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627E3C3"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bottom w:val="single" w:sz="4" w:space="0" w:color="2F5496" w:themeColor="accent1" w:themeShade="BF"/>
            </w:tcBorders>
            <w:shd w:val="clear" w:color="000000" w:fill="FFFFFF"/>
            <w:vAlign w:val="center"/>
          </w:tcPr>
          <w:p w14:paraId="23598EC7" w14:textId="55DFF608" w:rsidR="003254B5" w:rsidRPr="003254B5" w:rsidRDefault="003254B5" w:rsidP="00D6003A">
            <w:pPr>
              <w:ind w:right="284"/>
              <w:jc w:val="right"/>
              <w:rPr>
                <w:rFonts w:ascii="Verdana" w:hAnsi="Verdana" w:cs="Calibri"/>
                <w:color w:val="2F5496" w:themeColor="accent1" w:themeShade="BF"/>
                <w:sz w:val="18"/>
                <w:szCs w:val="18"/>
              </w:rPr>
            </w:pPr>
            <w:r w:rsidRPr="003254B5">
              <w:rPr>
                <w:rFonts w:ascii="Verdana" w:hAnsi="Verdana"/>
                <w:color w:val="2F5496" w:themeColor="accent1" w:themeShade="BF"/>
                <w:sz w:val="18"/>
                <w:szCs w:val="18"/>
              </w:rPr>
              <w:t>166,6</w:t>
            </w:r>
          </w:p>
        </w:tc>
      </w:tr>
      <w:tr w:rsidR="003254B5" w:rsidRPr="006F21EB" w14:paraId="20FC8550" w14:textId="77777777" w:rsidTr="00D6003A">
        <w:trPr>
          <w:trHeight w:val="454"/>
          <w:jc w:val="center"/>
        </w:trPr>
        <w:tc>
          <w:tcPr>
            <w:tcW w:w="4196" w:type="dxa"/>
            <w:vAlign w:val="center"/>
          </w:tcPr>
          <w:p w14:paraId="1B4D3D0F" w14:textId="77777777" w:rsidR="003254B5" w:rsidRPr="006F21EB" w:rsidRDefault="003254B5" w:rsidP="003254B5">
            <w:pPr>
              <w:rPr>
                <w:rFonts w:ascii="Verdana" w:hAnsi="Verdana" w:cs="Arial"/>
                <w:b/>
                <w:bCs/>
                <w:color w:val="2F5496" w:themeColor="accent1" w:themeShade="BF"/>
                <w:sz w:val="18"/>
                <w:szCs w:val="18"/>
                <w:lang w:val="el-GR"/>
              </w:rPr>
            </w:pPr>
            <w:r w:rsidRPr="00F10CBC">
              <w:rPr>
                <w:rFonts w:ascii="Verdana" w:hAnsi="Verdana" w:cs="Arial"/>
                <w:b/>
                <w:bCs/>
                <w:color w:val="2F5496" w:themeColor="accent1" w:themeShade="BF"/>
                <w:sz w:val="18"/>
                <w:szCs w:val="18"/>
                <w:lang w:val="el-GR"/>
              </w:rPr>
              <w:t>N</w:t>
            </w:r>
            <w:r>
              <w:rPr>
                <w:rFonts w:ascii="Verdana" w:hAnsi="Verdana" w:cs="Arial"/>
                <w:b/>
                <w:bCs/>
                <w:color w:val="2F5496" w:themeColor="accent1" w:themeShade="BF"/>
                <w:sz w:val="18"/>
                <w:szCs w:val="18"/>
              </w:rPr>
              <w:t>et</w:t>
            </w:r>
            <w:r w:rsidRPr="00F10CBC">
              <w:rPr>
                <w:rFonts w:ascii="Verdana" w:hAnsi="Verdana" w:cs="Arial"/>
                <w:b/>
                <w:bCs/>
                <w:color w:val="2F5496" w:themeColor="accent1" w:themeShade="BF"/>
                <w:sz w:val="18"/>
                <w:szCs w:val="18"/>
                <w:lang w:val="el-GR"/>
              </w:rPr>
              <w:t xml:space="preserve"> L</w:t>
            </w:r>
            <w:r>
              <w:rPr>
                <w:rFonts w:ascii="Verdana" w:hAnsi="Verdana" w:cs="Arial"/>
                <w:b/>
                <w:bCs/>
                <w:color w:val="2F5496" w:themeColor="accent1" w:themeShade="BF"/>
                <w:sz w:val="18"/>
                <w:szCs w:val="18"/>
              </w:rPr>
              <w:t>ending</w:t>
            </w:r>
            <w:r w:rsidRPr="00F10CBC">
              <w:rPr>
                <w:rFonts w:ascii="Verdana" w:hAnsi="Verdana" w:cs="Arial"/>
                <w:b/>
                <w:bCs/>
                <w:color w:val="2F5496" w:themeColor="accent1" w:themeShade="BF"/>
                <w:sz w:val="18"/>
                <w:szCs w:val="18"/>
                <w:lang w:val="el-GR"/>
              </w:rPr>
              <w:t xml:space="preserve"> (+)/ B</w:t>
            </w:r>
            <w:proofErr w:type="spellStart"/>
            <w:r>
              <w:rPr>
                <w:rFonts w:ascii="Verdana" w:hAnsi="Verdana" w:cs="Arial"/>
                <w:b/>
                <w:bCs/>
                <w:color w:val="2F5496" w:themeColor="accent1" w:themeShade="BF"/>
                <w:sz w:val="18"/>
                <w:szCs w:val="18"/>
              </w:rPr>
              <w:t>orrowing</w:t>
            </w:r>
            <w:proofErr w:type="spellEnd"/>
            <w:r w:rsidRPr="00F10CBC">
              <w:rPr>
                <w:rFonts w:ascii="Verdana" w:hAnsi="Verdana" w:cs="Arial"/>
                <w:b/>
                <w:bCs/>
                <w:color w:val="2F5496" w:themeColor="accent1" w:themeShade="BF"/>
                <w:sz w:val="18"/>
                <w:szCs w:val="18"/>
                <w:lang w:val="el-GR"/>
              </w:rPr>
              <w:t xml:space="preserve"> (-)</w:t>
            </w:r>
          </w:p>
        </w:tc>
        <w:tc>
          <w:tcPr>
            <w:tcW w:w="1304" w:type="dxa"/>
            <w:vAlign w:val="center"/>
          </w:tcPr>
          <w:p w14:paraId="7D2C29C9" w14:textId="7C9FC492" w:rsidR="003254B5" w:rsidRPr="00DC55A2" w:rsidRDefault="003254B5" w:rsidP="00D6003A">
            <w:pPr>
              <w:ind w:right="113"/>
              <w:jc w:val="right"/>
              <w:rPr>
                <w:rFonts w:ascii="Verdana" w:hAnsi="Verdana" w:cs="Calibri"/>
                <w:b/>
                <w:bCs/>
                <w:color w:val="2F5496" w:themeColor="accent1" w:themeShade="BF"/>
                <w:sz w:val="18"/>
                <w:szCs w:val="18"/>
              </w:rPr>
            </w:pPr>
            <w:r w:rsidRPr="00DC55A2">
              <w:rPr>
                <w:rFonts w:ascii="Verdana" w:hAnsi="Verdana"/>
                <w:b/>
                <w:bCs/>
                <w:color w:val="2F5496" w:themeColor="accent1" w:themeShade="BF"/>
                <w:sz w:val="18"/>
                <w:szCs w:val="18"/>
              </w:rPr>
              <w:t>777,8</w:t>
            </w:r>
          </w:p>
        </w:tc>
        <w:tc>
          <w:tcPr>
            <w:tcW w:w="1304" w:type="dxa"/>
            <w:tcBorders>
              <w:right w:val="double" w:sz="4" w:space="0" w:color="2F5496" w:themeColor="accent1" w:themeShade="BF"/>
            </w:tcBorders>
            <w:vAlign w:val="center"/>
          </w:tcPr>
          <w:p w14:paraId="224BECD9" w14:textId="00C62FA8" w:rsidR="003254B5" w:rsidRPr="00DC55A2" w:rsidRDefault="003254B5" w:rsidP="00D6003A">
            <w:pPr>
              <w:ind w:right="113"/>
              <w:jc w:val="right"/>
              <w:rPr>
                <w:rFonts w:ascii="Verdana" w:hAnsi="Verdana" w:cs="Calibri"/>
                <w:b/>
                <w:bCs/>
                <w:color w:val="2F5496" w:themeColor="accent1" w:themeShade="BF"/>
                <w:sz w:val="18"/>
                <w:szCs w:val="18"/>
              </w:rPr>
            </w:pPr>
            <w:r w:rsidRPr="00DC55A2">
              <w:rPr>
                <w:rFonts w:ascii="Verdana" w:hAnsi="Verdana"/>
                <w:b/>
                <w:bCs/>
                <w:color w:val="2F5496" w:themeColor="accent1" w:themeShade="BF"/>
                <w:sz w:val="18"/>
                <w:szCs w:val="18"/>
              </w:rPr>
              <w:t>631,8</w:t>
            </w:r>
          </w:p>
        </w:tc>
        <w:tc>
          <w:tcPr>
            <w:tcW w:w="1304" w:type="dxa"/>
            <w:tcBorders>
              <w:left w:val="double" w:sz="4" w:space="0" w:color="2F5496" w:themeColor="accent1" w:themeShade="BF"/>
              <w:right w:val="single" w:sz="4" w:space="0" w:color="2F5496" w:themeColor="accent1" w:themeShade="BF"/>
            </w:tcBorders>
            <w:vAlign w:val="center"/>
          </w:tcPr>
          <w:p w14:paraId="55C9F8CD" w14:textId="1D11E72D" w:rsidR="003254B5" w:rsidRPr="00DC55A2" w:rsidRDefault="003254B5" w:rsidP="00D6003A">
            <w:pPr>
              <w:ind w:right="113"/>
              <w:jc w:val="right"/>
              <w:rPr>
                <w:rFonts w:ascii="Verdana" w:hAnsi="Verdana" w:cs="Calibri"/>
                <w:b/>
                <w:bCs/>
                <w:color w:val="2F5496" w:themeColor="accent1" w:themeShade="BF"/>
                <w:sz w:val="18"/>
                <w:szCs w:val="18"/>
              </w:rPr>
            </w:pPr>
            <w:r w:rsidRPr="00DC55A2">
              <w:rPr>
                <w:rFonts w:ascii="Verdana" w:hAnsi="Verdana"/>
                <w:b/>
                <w:bCs/>
                <w:color w:val="2F5496" w:themeColor="accent1" w:themeShade="BF"/>
                <w:sz w:val="18"/>
                <w:szCs w:val="18"/>
              </w:rPr>
              <w:t>-146,0</w:t>
            </w:r>
          </w:p>
        </w:tc>
        <w:tc>
          <w:tcPr>
            <w:tcW w:w="236" w:type="dxa"/>
            <w:tcBorders>
              <w:left w:val="single" w:sz="4" w:space="0" w:color="2F5496" w:themeColor="accent1" w:themeShade="BF"/>
              <w:right w:val="single" w:sz="4" w:space="0" w:color="2F5496" w:themeColor="accent1" w:themeShade="BF"/>
            </w:tcBorders>
            <w:vAlign w:val="center"/>
          </w:tcPr>
          <w:p w14:paraId="405AC49D"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tcBorders>
            <w:shd w:val="clear" w:color="000000" w:fill="FFFFFF"/>
            <w:vAlign w:val="center"/>
          </w:tcPr>
          <w:p w14:paraId="75358357" w14:textId="77777777" w:rsidR="003254B5" w:rsidRPr="003254B5" w:rsidRDefault="003254B5" w:rsidP="003254B5">
            <w:pPr>
              <w:ind w:right="284"/>
              <w:jc w:val="right"/>
              <w:rPr>
                <w:rFonts w:ascii="Verdana" w:hAnsi="Verdana" w:cs="Arial"/>
                <w:color w:val="2F5496" w:themeColor="accent1" w:themeShade="BF"/>
                <w:sz w:val="18"/>
                <w:szCs w:val="18"/>
                <w:lang w:val="el-GR"/>
              </w:rPr>
            </w:pPr>
          </w:p>
        </w:tc>
      </w:tr>
      <w:tr w:rsidR="003254B5" w:rsidRPr="006F21EB" w14:paraId="775058C1" w14:textId="77777777" w:rsidTr="003254B5">
        <w:trPr>
          <w:trHeight w:val="454"/>
          <w:jc w:val="center"/>
        </w:trPr>
        <w:tc>
          <w:tcPr>
            <w:tcW w:w="4196" w:type="dxa"/>
            <w:tcBorders>
              <w:bottom w:val="single" w:sz="4" w:space="0" w:color="2F5496" w:themeColor="accent1" w:themeShade="BF"/>
            </w:tcBorders>
            <w:vAlign w:val="center"/>
          </w:tcPr>
          <w:p w14:paraId="12930656" w14:textId="77777777" w:rsidR="003254B5" w:rsidRPr="006F21EB" w:rsidRDefault="003254B5" w:rsidP="003254B5">
            <w:pPr>
              <w:rPr>
                <w:rFonts w:ascii="Verdana" w:hAnsi="Verdana" w:cs="Arial"/>
                <w:color w:val="2F5496" w:themeColor="accent1" w:themeShade="BF"/>
                <w:sz w:val="18"/>
                <w:szCs w:val="18"/>
                <w:lang w:val="el-GR"/>
              </w:rPr>
            </w:pPr>
            <w:r w:rsidRPr="006F21EB">
              <w:rPr>
                <w:rFonts w:ascii="Verdana" w:hAnsi="Verdana" w:cs="Arial"/>
                <w:color w:val="2F5496" w:themeColor="accent1" w:themeShade="BF"/>
                <w:sz w:val="18"/>
                <w:szCs w:val="18"/>
                <w:lang w:val="el-GR"/>
              </w:rPr>
              <w:t xml:space="preserve">% </w:t>
            </w:r>
            <w:r>
              <w:rPr>
                <w:rFonts w:ascii="Verdana" w:hAnsi="Verdana" w:cs="Arial"/>
                <w:color w:val="2F5496" w:themeColor="accent1" w:themeShade="BF"/>
                <w:sz w:val="18"/>
                <w:szCs w:val="18"/>
              </w:rPr>
              <w:t>of GDP</w:t>
            </w:r>
          </w:p>
        </w:tc>
        <w:tc>
          <w:tcPr>
            <w:tcW w:w="1304" w:type="dxa"/>
            <w:tcBorders>
              <w:bottom w:val="single" w:sz="4" w:space="0" w:color="2F5496" w:themeColor="accent1" w:themeShade="BF"/>
            </w:tcBorders>
            <w:vAlign w:val="center"/>
          </w:tcPr>
          <w:p w14:paraId="2D66D487" w14:textId="2D7ABB34" w:rsidR="003254B5" w:rsidRPr="003254B5" w:rsidRDefault="003254B5" w:rsidP="00D6003A">
            <w:pPr>
              <w:ind w:right="113"/>
              <w:jc w:val="right"/>
              <w:rPr>
                <w:rFonts w:ascii="Verdana" w:hAnsi="Verdana" w:cs="Calibri"/>
                <w:i/>
                <w:iCs/>
                <w:color w:val="2F5496" w:themeColor="accent1" w:themeShade="BF"/>
                <w:sz w:val="18"/>
                <w:szCs w:val="18"/>
              </w:rPr>
            </w:pPr>
            <w:r w:rsidRPr="003254B5">
              <w:rPr>
                <w:rFonts w:ascii="Verdana" w:hAnsi="Verdana"/>
                <w:color w:val="2F5496" w:themeColor="accent1" w:themeShade="BF"/>
                <w:sz w:val="18"/>
                <w:szCs w:val="18"/>
              </w:rPr>
              <w:t>2,6%</w:t>
            </w:r>
          </w:p>
        </w:tc>
        <w:tc>
          <w:tcPr>
            <w:tcW w:w="1304" w:type="dxa"/>
            <w:tcBorders>
              <w:bottom w:val="single" w:sz="4" w:space="0" w:color="2F5496" w:themeColor="accent1" w:themeShade="BF"/>
              <w:right w:val="double" w:sz="4" w:space="0" w:color="2F5496" w:themeColor="accent1" w:themeShade="BF"/>
            </w:tcBorders>
            <w:vAlign w:val="center"/>
          </w:tcPr>
          <w:p w14:paraId="5CF41D3A" w14:textId="12C1674D" w:rsidR="003254B5" w:rsidRPr="003254B5" w:rsidRDefault="003254B5" w:rsidP="00D6003A">
            <w:pPr>
              <w:ind w:right="113"/>
              <w:jc w:val="right"/>
              <w:rPr>
                <w:rFonts w:ascii="Verdana" w:hAnsi="Verdana" w:cs="Calibri"/>
                <w:i/>
                <w:iCs/>
                <w:color w:val="2F5496" w:themeColor="accent1" w:themeShade="BF"/>
                <w:sz w:val="18"/>
                <w:szCs w:val="18"/>
              </w:rPr>
            </w:pPr>
            <w:r w:rsidRPr="003254B5">
              <w:rPr>
                <w:rFonts w:ascii="Verdana" w:hAnsi="Verdana"/>
                <w:color w:val="2F5496" w:themeColor="accent1" w:themeShade="BF"/>
                <w:sz w:val="18"/>
                <w:szCs w:val="18"/>
              </w:rPr>
              <w:t>2,0%</w:t>
            </w:r>
          </w:p>
        </w:tc>
        <w:tc>
          <w:tcPr>
            <w:tcW w:w="1304" w:type="dxa"/>
            <w:tcBorders>
              <w:left w:val="double" w:sz="4" w:space="0" w:color="2F5496" w:themeColor="accent1" w:themeShade="BF"/>
              <w:bottom w:val="single" w:sz="4" w:space="0" w:color="2F5496" w:themeColor="accent1" w:themeShade="BF"/>
              <w:right w:val="single" w:sz="4" w:space="0" w:color="2F5496" w:themeColor="accent1" w:themeShade="BF"/>
            </w:tcBorders>
            <w:vAlign w:val="center"/>
          </w:tcPr>
          <w:p w14:paraId="1C122046" w14:textId="77777777" w:rsidR="003254B5" w:rsidRPr="003254B5" w:rsidRDefault="003254B5" w:rsidP="00D6003A">
            <w:pPr>
              <w:ind w:right="113"/>
              <w:jc w:val="right"/>
              <w:rPr>
                <w:rFonts w:ascii="Verdana" w:hAnsi="Verdana" w:cs="Arial"/>
                <w:color w:val="2F5496" w:themeColor="accent1" w:themeShade="BF"/>
                <w:sz w:val="18"/>
                <w:szCs w:val="18"/>
                <w:lang w:val="el-GR"/>
              </w:rPr>
            </w:pPr>
          </w:p>
        </w:tc>
        <w:tc>
          <w:tcPr>
            <w:tcW w:w="236" w:type="dxa"/>
            <w:tcBorders>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E6CEDF9" w14:textId="77777777" w:rsidR="003254B5" w:rsidRPr="003254B5" w:rsidRDefault="003254B5" w:rsidP="003254B5">
            <w:pPr>
              <w:jc w:val="right"/>
              <w:rPr>
                <w:rFonts w:ascii="Verdana" w:hAnsi="Verdana" w:cs="Arial"/>
                <w:color w:val="2F5496" w:themeColor="accent1" w:themeShade="BF"/>
                <w:sz w:val="18"/>
                <w:szCs w:val="18"/>
                <w:lang w:val="el-GR"/>
              </w:rPr>
            </w:pPr>
          </w:p>
        </w:tc>
        <w:tc>
          <w:tcPr>
            <w:tcW w:w="1361" w:type="dxa"/>
            <w:tcBorders>
              <w:left w:val="single" w:sz="4" w:space="0" w:color="2F5496" w:themeColor="accent1" w:themeShade="BF"/>
              <w:bottom w:val="single" w:sz="4" w:space="0" w:color="2F5496" w:themeColor="accent1" w:themeShade="BF"/>
            </w:tcBorders>
            <w:shd w:val="clear" w:color="000000" w:fill="FFFFFF"/>
            <w:vAlign w:val="center"/>
          </w:tcPr>
          <w:p w14:paraId="33F273C7" w14:textId="77777777" w:rsidR="003254B5" w:rsidRPr="003254B5" w:rsidRDefault="003254B5" w:rsidP="003254B5">
            <w:pPr>
              <w:jc w:val="right"/>
              <w:rPr>
                <w:rFonts w:ascii="Verdana" w:hAnsi="Verdana" w:cs="Arial"/>
                <w:color w:val="2F5496" w:themeColor="accent1" w:themeShade="BF"/>
                <w:sz w:val="18"/>
                <w:szCs w:val="18"/>
                <w:lang w:val="el-GR"/>
              </w:rPr>
            </w:pPr>
          </w:p>
        </w:tc>
      </w:tr>
    </w:tbl>
    <w:p w14:paraId="6069DE8B" w14:textId="77777777" w:rsidR="00972CA0" w:rsidRPr="00C26329" w:rsidRDefault="00972CA0" w:rsidP="00072754">
      <w:pPr>
        <w:jc w:val="both"/>
        <w:rPr>
          <w:rFonts w:ascii="Verdana" w:eastAsia="Malgun Gothic" w:hAnsi="Verdana" w:cs="Arial"/>
          <w:sz w:val="18"/>
          <w:szCs w:val="18"/>
        </w:rPr>
      </w:pPr>
    </w:p>
    <w:p w14:paraId="588B7334" w14:textId="77777777" w:rsidR="00972CA0" w:rsidRPr="00C26329" w:rsidRDefault="00972CA0" w:rsidP="00072754">
      <w:pPr>
        <w:jc w:val="both"/>
        <w:rPr>
          <w:rFonts w:ascii="Verdana" w:eastAsia="Malgun Gothic" w:hAnsi="Verdana" w:cs="Arial"/>
          <w:sz w:val="18"/>
          <w:szCs w:val="18"/>
        </w:rPr>
      </w:pPr>
    </w:p>
    <w:p w14:paraId="78CF83A1" w14:textId="77777777" w:rsidR="00972CA0" w:rsidRPr="00C26329" w:rsidRDefault="00972CA0" w:rsidP="00072754">
      <w:pPr>
        <w:jc w:val="both"/>
        <w:rPr>
          <w:rFonts w:ascii="Verdana" w:eastAsia="Malgun Gothic" w:hAnsi="Verdana" w:cs="Arial"/>
          <w:sz w:val="18"/>
          <w:szCs w:val="18"/>
        </w:rPr>
      </w:pPr>
    </w:p>
    <w:p w14:paraId="4BF9AD5A" w14:textId="77777777" w:rsidR="00972CA0" w:rsidRPr="00C26329" w:rsidRDefault="00972CA0" w:rsidP="00072754">
      <w:pPr>
        <w:jc w:val="both"/>
        <w:rPr>
          <w:rFonts w:ascii="Verdana" w:eastAsia="Malgun Gothic" w:hAnsi="Verdana" w:cs="Arial"/>
          <w:sz w:val="18"/>
          <w:szCs w:val="18"/>
        </w:rPr>
      </w:pPr>
    </w:p>
    <w:p w14:paraId="447C24E5" w14:textId="77777777" w:rsidR="00972CA0" w:rsidRPr="00C26329" w:rsidRDefault="00972CA0" w:rsidP="00072754">
      <w:pPr>
        <w:jc w:val="both"/>
        <w:rPr>
          <w:rFonts w:ascii="Verdana" w:eastAsia="Malgun Gothic" w:hAnsi="Verdana" w:cs="Arial"/>
          <w:sz w:val="18"/>
          <w:szCs w:val="18"/>
        </w:rPr>
      </w:pPr>
    </w:p>
    <w:p w14:paraId="69A03ECE" w14:textId="77777777" w:rsidR="00691191" w:rsidRPr="00C26329" w:rsidRDefault="00691191" w:rsidP="00072754">
      <w:pPr>
        <w:jc w:val="both"/>
        <w:rPr>
          <w:rFonts w:ascii="Verdana" w:eastAsia="Malgun Gothic" w:hAnsi="Verdana" w:cs="Arial"/>
          <w:sz w:val="18"/>
          <w:szCs w:val="18"/>
        </w:rPr>
      </w:pPr>
    </w:p>
    <w:p w14:paraId="439647F7" w14:textId="77777777" w:rsidR="00691191" w:rsidRPr="00C26329" w:rsidRDefault="00691191" w:rsidP="00072754">
      <w:pPr>
        <w:jc w:val="both"/>
        <w:rPr>
          <w:rFonts w:ascii="Verdana" w:eastAsia="Malgun Gothic" w:hAnsi="Verdana" w:cs="Arial"/>
          <w:sz w:val="18"/>
          <w:szCs w:val="18"/>
        </w:rPr>
      </w:pPr>
    </w:p>
    <w:p w14:paraId="7753B47B" w14:textId="77777777" w:rsidR="00691191" w:rsidRPr="00C26329" w:rsidRDefault="00691191" w:rsidP="00072754">
      <w:pPr>
        <w:jc w:val="both"/>
        <w:rPr>
          <w:rFonts w:ascii="Verdana" w:eastAsia="Malgun Gothic" w:hAnsi="Verdana" w:cs="Arial"/>
          <w:sz w:val="18"/>
          <w:szCs w:val="18"/>
        </w:rPr>
      </w:pPr>
    </w:p>
    <w:p w14:paraId="613FC625" w14:textId="77777777" w:rsidR="00691191" w:rsidRPr="00C26329" w:rsidRDefault="00691191" w:rsidP="00072754">
      <w:pPr>
        <w:jc w:val="both"/>
        <w:rPr>
          <w:rFonts w:ascii="Verdana" w:eastAsia="Malgun Gothic" w:hAnsi="Verdana" w:cs="Arial"/>
          <w:sz w:val="18"/>
          <w:szCs w:val="18"/>
        </w:rPr>
      </w:pPr>
    </w:p>
    <w:p w14:paraId="66A17632" w14:textId="77777777" w:rsidR="00691191" w:rsidRPr="00C26329" w:rsidRDefault="00691191" w:rsidP="00072754">
      <w:pPr>
        <w:jc w:val="both"/>
        <w:rPr>
          <w:rFonts w:ascii="Verdana" w:eastAsia="Malgun Gothic" w:hAnsi="Verdana" w:cs="Arial"/>
          <w:sz w:val="18"/>
          <w:szCs w:val="18"/>
        </w:rPr>
      </w:pPr>
    </w:p>
    <w:p w14:paraId="5B404690" w14:textId="77777777" w:rsidR="00691191" w:rsidRPr="00C26329" w:rsidRDefault="00691191" w:rsidP="00072754">
      <w:pPr>
        <w:jc w:val="both"/>
        <w:rPr>
          <w:rFonts w:ascii="Verdana" w:eastAsia="Malgun Gothic" w:hAnsi="Verdana" w:cs="Arial"/>
          <w:sz w:val="18"/>
          <w:szCs w:val="18"/>
        </w:rPr>
      </w:pPr>
    </w:p>
    <w:p w14:paraId="4BDFD974" w14:textId="77777777" w:rsidR="00691191" w:rsidRPr="00C26329" w:rsidRDefault="00691191" w:rsidP="00072754">
      <w:pPr>
        <w:jc w:val="both"/>
        <w:rPr>
          <w:rFonts w:ascii="Verdana" w:eastAsia="Malgun Gothic" w:hAnsi="Verdana" w:cs="Arial"/>
          <w:sz w:val="18"/>
          <w:szCs w:val="18"/>
        </w:rPr>
      </w:pPr>
    </w:p>
    <w:p w14:paraId="65A61A7E" w14:textId="77777777" w:rsidR="00691191" w:rsidRPr="00C26329" w:rsidRDefault="00691191" w:rsidP="00072754">
      <w:pPr>
        <w:jc w:val="both"/>
        <w:rPr>
          <w:rFonts w:ascii="Verdana" w:eastAsia="Malgun Gothic" w:hAnsi="Verdana" w:cs="Arial"/>
          <w:sz w:val="18"/>
          <w:szCs w:val="18"/>
        </w:rPr>
      </w:pPr>
    </w:p>
    <w:p w14:paraId="30534E6F" w14:textId="77777777" w:rsidR="00691191" w:rsidRPr="00C26329" w:rsidRDefault="00691191" w:rsidP="00072754">
      <w:pPr>
        <w:jc w:val="both"/>
        <w:rPr>
          <w:rFonts w:ascii="Verdana" w:eastAsia="Malgun Gothic" w:hAnsi="Verdana" w:cs="Arial"/>
          <w:sz w:val="18"/>
          <w:szCs w:val="18"/>
        </w:rPr>
      </w:pPr>
    </w:p>
    <w:p w14:paraId="06F4B911" w14:textId="77777777" w:rsidR="00691191" w:rsidRPr="00C26329" w:rsidRDefault="00691191" w:rsidP="00072754">
      <w:pPr>
        <w:jc w:val="both"/>
        <w:rPr>
          <w:rFonts w:ascii="Verdana" w:eastAsia="Malgun Gothic" w:hAnsi="Verdana" w:cs="Arial"/>
          <w:sz w:val="18"/>
          <w:szCs w:val="18"/>
        </w:rPr>
      </w:pPr>
    </w:p>
    <w:p w14:paraId="756C7240" w14:textId="77777777" w:rsidR="00691191" w:rsidRPr="00C26329" w:rsidRDefault="00691191" w:rsidP="00072754">
      <w:pPr>
        <w:jc w:val="both"/>
        <w:rPr>
          <w:rFonts w:ascii="Verdana" w:eastAsia="Malgun Gothic" w:hAnsi="Verdana" w:cs="Arial"/>
          <w:sz w:val="18"/>
          <w:szCs w:val="18"/>
        </w:rPr>
      </w:pPr>
    </w:p>
    <w:p w14:paraId="5C68007A" w14:textId="77777777" w:rsidR="00691191" w:rsidRPr="00C26329" w:rsidRDefault="00691191" w:rsidP="00072754">
      <w:pPr>
        <w:jc w:val="both"/>
        <w:rPr>
          <w:rFonts w:ascii="Verdana" w:eastAsia="Malgun Gothic" w:hAnsi="Verdana" w:cs="Arial"/>
          <w:sz w:val="18"/>
          <w:szCs w:val="18"/>
        </w:rPr>
      </w:pPr>
    </w:p>
    <w:p w14:paraId="1CE732A5" w14:textId="77777777" w:rsidR="00691191" w:rsidRPr="00C26329" w:rsidRDefault="00691191" w:rsidP="00072754">
      <w:pPr>
        <w:jc w:val="both"/>
        <w:rPr>
          <w:rFonts w:ascii="Verdana" w:eastAsia="Malgun Gothic" w:hAnsi="Verdana" w:cs="Arial"/>
          <w:sz w:val="18"/>
          <w:szCs w:val="18"/>
        </w:rPr>
      </w:pPr>
    </w:p>
    <w:p w14:paraId="6C8EB41D" w14:textId="77777777" w:rsidR="00691191" w:rsidRPr="00C26329" w:rsidRDefault="00691191" w:rsidP="00072754">
      <w:pPr>
        <w:jc w:val="both"/>
        <w:rPr>
          <w:rFonts w:ascii="Verdana" w:eastAsia="Malgun Gothic" w:hAnsi="Verdana" w:cs="Arial"/>
          <w:sz w:val="18"/>
          <w:szCs w:val="18"/>
        </w:rPr>
      </w:pPr>
    </w:p>
    <w:p w14:paraId="39A0A403" w14:textId="77777777" w:rsidR="0095405B" w:rsidRDefault="0095405B" w:rsidP="00072754">
      <w:pPr>
        <w:jc w:val="both"/>
        <w:rPr>
          <w:rFonts w:ascii="Verdana" w:eastAsia="Malgun Gothic" w:hAnsi="Verdana" w:cs="Arial"/>
          <w:sz w:val="18"/>
          <w:szCs w:val="18"/>
        </w:rPr>
      </w:pPr>
    </w:p>
    <w:p w14:paraId="62C0DB15" w14:textId="77777777" w:rsidR="0059604C" w:rsidRDefault="0059604C" w:rsidP="00072754">
      <w:pPr>
        <w:jc w:val="both"/>
        <w:rPr>
          <w:rFonts w:ascii="Verdana" w:eastAsia="Malgun Gothic" w:hAnsi="Verdana" w:cs="Arial"/>
          <w:sz w:val="18"/>
          <w:szCs w:val="18"/>
        </w:rPr>
      </w:pPr>
    </w:p>
    <w:p w14:paraId="1BA1A639" w14:textId="77777777" w:rsidR="00BA23AD" w:rsidRDefault="00BA23AD" w:rsidP="00072754">
      <w:pPr>
        <w:jc w:val="both"/>
        <w:rPr>
          <w:rFonts w:ascii="Verdana" w:eastAsia="Malgun Gothic" w:hAnsi="Verdana" w:cs="Arial"/>
          <w:sz w:val="18"/>
          <w:szCs w:val="18"/>
        </w:rPr>
      </w:pPr>
    </w:p>
    <w:p w14:paraId="23729A45" w14:textId="77777777" w:rsidR="00BA23AD" w:rsidRDefault="00BA23AD" w:rsidP="00072754">
      <w:pPr>
        <w:jc w:val="both"/>
        <w:rPr>
          <w:rFonts w:ascii="Verdana" w:eastAsia="Malgun Gothic" w:hAnsi="Verdana" w:cs="Arial"/>
          <w:sz w:val="18"/>
          <w:szCs w:val="18"/>
          <w:lang w:val="el-GR"/>
        </w:rPr>
      </w:pPr>
    </w:p>
    <w:p w14:paraId="74910014" w14:textId="77777777" w:rsidR="00D6003A" w:rsidRPr="00D6003A" w:rsidRDefault="00D6003A" w:rsidP="00072754">
      <w:pPr>
        <w:jc w:val="both"/>
        <w:rPr>
          <w:rFonts w:ascii="Verdana" w:eastAsia="Malgun Gothic" w:hAnsi="Verdana" w:cs="Arial"/>
          <w:sz w:val="18"/>
          <w:szCs w:val="18"/>
          <w:lang w:val="el-GR"/>
        </w:rPr>
      </w:pPr>
    </w:p>
    <w:p w14:paraId="7E95206E" w14:textId="77777777"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3A0A1439" w14:textId="77777777" w:rsidR="0095405B" w:rsidRDefault="0095405B" w:rsidP="00072754">
      <w:pPr>
        <w:jc w:val="both"/>
        <w:rPr>
          <w:rFonts w:ascii="Verdana" w:eastAsia="Malgun Gothic" w:hAnsi="Verdana" w:cs="Arial"/>
          <w:sz w:val="18"/>
          <w:szCs w:val="18"/>
        </w:rPr>
      </w:pPr>
    </w:p>
    <w:p w14:paraId="2FB696B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0AC0B350" w14:textId="77777777" w:rsidR="006F21EB" w:rsidRPr="006F21EB" w:rsidRDefault="006F21EB" w:rsidP="006F21EB">
      <w:pPr>
        <w:jc w:val="both"/>
        <w:rPr>
          <w:rFonts w:ascii="Verdana" w:eastAsia="Malgun Gothic" w:hAnsi="Verdana" w:cs="Arial"/>
          <w:sz w:val="18"/>
          <w:szCs w:val="18"/>
        </w:rPr>
      </w:pPr>
    </w:p>
    <w:p w14:paraId="1DABCCD2" w14:textId="77777777" w:rsidR="009206B5" w:rsidRPr="009206B5"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62DD5613" w14:textId="77777777" w:rsidR="009206B5" w:rsidRPr="009206B5" w:rsidRDefault="009206B5" w:rsidP="009206B5">
      <w:pPr>
        <w:jc w:val="both"/>
        <w:rPr>
          <w:rFonts w:ascii="Verdana" w:eastAsia="Malgun Gothic" w:hAnsi="Verdana" w:cs="Arial"/>
          <w:sz w:val="18"/>
          <w:szCs w:val="18"/>
        </w:rPr>
      </w:pPr>
    </w:p>
    <w:p w14:paraId="603C032C" w14:textId="77777777" w:rsidR="006F21EB" w:rsidRPr="006F21EB"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9529AE1" w14:textId="77777777" w:rsidR="006F21EB" w:rsidRPr="006F21EB" w:rsidRDefault="006F21EB" w:rsidP="006F21EB">
      <w:pPr>
        <w:jc w:val="both"/>
        <w:rPr>
          <w:rFonts w:ascii="Verdana" w:eastAsia="Malgun Gothic" w:hAnsi="Verdana" w:cs="Arial"/>
          <w:sz w:val="18"/>
          <w:szCs w:val="18"/>
        </w:rPr>
      </w:pPr>
    </w:p>
    <w:p w14:paraId="710C992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0B5C7145" w14:textId="77777777" w:rsidR="006F21EB" w:rsidRPr="006F21EB" w:rsidRDefault="006F21EB" w:rsidP="006F21EB">
      <w:pPr>
        <w:jc w:val="both"/>
        <w:rPr>
          <w:rFonts w:ascii="Verdana" w:eastAsia="Malgun Gothic" w:hAnsi="Verdana" w:cs="Arial"/>
          <w:sz w:val="18"/>
          <w:szCs w:val="18"/>
        </w:rPr>
      </w:pPr>
    </w:p>
    <w:p w14:paraId="74722088"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6D3BD5F9" w14:textId="77777777" w:rsidR="00880C1A" w:rsidRPr="00880C1A" w:rsidRDefault="00880C1A" w:rsidP="00880C1A">
      <w:pPr>
        <w:rPr>
          <w:rFonts w:ascii="Verdana" w:hAnsi="Verdana"/>
          <w:sz w:val="18"/>
          <w:szCs w:val="18"/>
          <w:shd w:val="clear" w:color="auto" w:fill="FFFFFF"/>
        </w:rPr>
      </w:pPr>
      <w:r w:rsidRPr="00880C1A">
        <w:rPr>
          <w:rFonts w:ascii="Verdana" w:hAnsi="Verdana"/>
          <w:sz w:val="18"/>
          <w:szCs w:val="18"/>
          <w:shd w:val="clear" w:color="auto" w:fill="FFFFFF"/>
        </w:rPr>
        <w:t>-Financial Information Management Automation System (FIMAS) for Central Government and Extra Budgetary Funds,</w:t>
      </w:r>
    </w:p>
    <w:p w14:paraId="2B8C9424" w14:textId="77777777" w:rsidR="00880C1A" w:rsidRPr="00880C1A" w:rsidRDefault="00880C1A" w:rsidP="00880C1A">
      <w:pPr>
        <w:rPr>
          <w:rFonts w:ascii="Verdana" w:hAnsi="Verdana"/>
          <w:sz w:val="18"/>
          <w:szCs w:val="18"/>
          <w:shd w:val="clear" w:color="auto" w:fill="FFFFFF"/>
        </w:rPr>
      </w:pPr>
      <w:r w:rsidRPr="00880C1A">
        <w:rPr>
          <w:rFonts w:ascii="Verdana" w:hAnsi="Verdana"/>
          <w:sz w:val="18"/>
          <w:szCs w:val="18"/>
          <w:shd w:val="clear" w:color="auto" w:fill="FFFFFF"/>
        </w:rPr>
        <w:t>- Financial statements of Municipalities and Communities,</w:t>
      </w:r>
    </w:p>
    <w:p w14:paraId="4B1BE518" w14:textId="77777777" w:rsidR="00880C1A" w:rsidRPr="00880C1A" w:rsidRDefault="00880C1A" w:rsidP="00880C1A">
      <w:pPr>
        <w:rPr>
          <w:rFonts w:ascii="Verdana" w:hAnsi="Verdana"/>
          <w:sz w:val="18"/>
          <w:szCs w:val="18"/>
          <w:shd w:val="clear" w:color="auto" w:fill="FFFFFF"/>
        </w:rPr>
      </w:pPr>
      <w:r w:rsidRPr="00880C1A">
        <w:rPr>
          <w:rFonts w:ascii="Verdana" w:hAnsi="Verdana"/>
          <w:sz w:val="18"/>
          <w:szCs w:val="18"/>
          <w:shd w:val="clear" w:color="auto" w:fill="FFFFFF"/>
        </w:rPr>
        <w:t>- Financial statements of Semi-Government Organizations,</w:t>
      </w:r>
    </w:p>
    <w:p w14:paraId="4FC43C63" w14:textId="0830B685" w:rsidR="009206B5" w:rsidRDefault="00880C1A" w:rsidP="00880C1A">
      <w:pPr>
        <w:jc w:val="both"/>
        <w:rPr>
          <w:rFonts w:ascii="Verdana" w:hAnsi="Verdana"/>
          <w:sz w:val="18"/>
          <w:szCs w:val="18"/>
          <w:shd w:val="clear" w:color="auto" w:fill="FFFFFF"/>
        </w:rPr>
      </w:pPr>
      <w:r w:rsidRPr="00880C1A">
        <w:rPr>
          <w:rFonts w:ascii="Verdana" w:hAnsi="Verdana"/>
          <w:sz w:val="18"/>
          <w:szCs w:val="18"/>
          <w:shd w:val="clear" w:color="auto" w:fill="FFFFFF"/>
        </w:rPr>
        <w:t>- Financial Statements of Social Security Funds.</w:t>
      </w:r>
    </w:p>
    <w:p w14:paraId="7B0D317C" w14:textId="77777777" w:rsidR="00880C1A" w:rsidRPr="004C2B00" w:rsidRDefault="00880C1A" w:rsidP="00880C1A">
      <w:pPr>
        <w:jc w:val="both"/>
        <w:rPr>
          <w:rFonts w:ascii="Verdana" w:hAnsi="Verdana"/>
          <w:sz w:val="18"/>
          <w:szCs w:val="18"/>
          <w:shd w:val="clear" w:color="auto" w:fill="FFFFFF"/>
        </w:rPr>
      </w:pPr>
    </w:p>
    <w:p w14:paraId="364D919C" w14:textId="77777777" w:rsidR="009206B5"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For the completion of the estimates, any methodological adjustments or corrections based on the European System of Accounts 2010 (ESA 2010) are taken into account.</w:t>
      </w:r>
    </w:p>
    <w:p w14:paraId="58D7D9DF" w14:textId="77777777" w:rsidR="0095405B" w:rsidRDefault="0095405B" w:rsidP="00072754">
      <w:pPr>
        <w:jc w:val="both"/>
        <w:rPr>
          <w:rFonts w:ascii="Verdana" w:eastAsia="Malgun Gothic" w:hAnsi="Verdana" w:cs="Arial"/>
          <w:sz w:val="18"/>
          <w:szCs w:val="18"/>
        </w:rPr>
      </w:pPr>
    </w:p>
    <w:p w14:paraId="6BCE35CC" w14:textId="77777777" w:rsidR="0095405B" w:rsidRDefault="0095405B" w:rsidP="00072754">
      <w:pPr>
        <w:jc w:val="both"/>
        <w:rPr>
          <w:rFonts w:ascii="Verdana" w:eastAsia="Malgun Gothic" w:hAnsi="Verdana" w:cs="Arial"/>
          <w:sz w:val="18"/>
          <w:szCs w:val="18"/>
        </w:rPr>
      </w:pPr>
    </w:p>
    <w:p w14:paraId="60F2C1A0" w14:textId="77777777" w:rsidR="0095405B" w:rsidRDefault="0095405B" w:rsidP="0095405B">
      <w:pPr>
        <w:rPr>
          <w:color w:val="000000"/>
        </w:rPr>
      </w:pPr>
      <w:r>
        <w:rPr>
          <w:rFonts w:ascii="Verdana" w:hAnsi="Verdana"/>
          <w:b/>
          <w:bCs/>
          <w:i/>
          <w:iCs/>
          <w:color w:val="000000"/>
          <w:sz w:val="18"/>
          <w:szCs w:val="18"/>
          <w:lang w:val="en-GB"/>
        </w:rPr>
        <w:t>For more information:</w:t>
      </w:r>
    </w:p>
    <w:p w14:paraId="5BFB1454"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4A47C85C" w14:textId="77777777" w:rsidR="00C540C2" w:rsidRDefault="00000000" w:rsidP="00C540C2">
      <w:pPr>
        <w:rPr>
          <w:color w:val="000000"/>
        </w:rPr>
      </w:pPr>
      <w:hyperlink r:id="rId10" w:history="1">
        <w:r w:rsidR="00C540C2" w:rsidRPr="006F21EB">
          <w:rPr>
            <w:rStyle w:val="Hyperlink"/>
            <w:rFonts w:ascii="Verdana" w:hAnsi="Verdana"/>
            <w:sz w:val="18"/>
            <w:szCs w:val="18"/>
          </w:rPr>
          <w:t>CYSTAT-DB</w:t>
        </w:r>
      </w:hyperlink>
      <w:r w:rsidR="00C540C2">
        <w:rPr>
          <w:rFonts w:ascii="Verdana" w:hAnsi="Verdana"/>
          <w:color w:val="000000"/>
          <w:sz w:val="18"/>
          <w:szCs w:val="18"/>
        </w:rPr>
        <w:t xml:space="preserve"> (Online Database)</w:t>
      </w:r>
    </w:p>
    <w:p w14:paraId="3EDE5633" w14:textId="77777777" w:rsidR="006F21EB" w:rsidRPr="006F21EB" w:rsidRDefault="00000000" w:rsidP="006F21EB">
      <w:pPr>
        <w:jc w:val="both"/>
        <w:rPr>
          <w:rFonts w:ascii="Verdana" w:hAnsi="Verdana"/>
          <w:sz w:val="18"/>
          <w:szCs w:val="18"/>
        </w:rPr>
      </w:pPr>
      <w:hyperlink r:id="rId11" w:history="1">
        <w:r w:rsidR="006F21EB" w:rsidRPr="006F21EB">
          <w:rPr>
            <w:rStyle w:val="Hyperlink"/>
            <w:rFonts w:ascii="Verdana" w:hAnsi="Verdana"/>
            <w:sz w:val="18"/>
            <w:szCs w:val="18"/>
          </w:rPr>
          <w:t>Predefined Tables</w:t>
        </w:r>
      </w:hyperlink>
      <w:r w:rsidR="006F21EB" w:rsidRPr="006F21EB">
        <w:rPr>
          <w:rFonts w:ascii="Verdana" w:hAnsi="Verdana"/>
          <w:sz w:val="18"/>
          <w:szCs w:val="18"/>
        </w:rPr>
        <w:t xml:space="preserve"> (Excel)</w:t>
      </w:r>
    </w:p>
    <w:p w14:paraId="729DC821" w14:textId="7B2F8F2D" w:rsidR="006F21EB" w:rsidRDefault="00000000" w:rsidP="006F21EB">
      <w:pPr>
        <w:jc w:val="both"/>
        <w:rPr>
          <w:rStyle w:val="Hyperlink"/>
          <w:rFonts w:ascii="Verdana" w:hAnsi="Verdana"/>
          <w:sz w:val="18"/>
          <w:szCs w:val="18"/>
        </w:rPr>
      </w:pPr>
      <w:hyperlink r:id="rId12" w:history="1">
        <w:r w:rsidR="006F21EB" w:rsidRPr="005504B4">
          <w:rPr>
            <w:rStyle w:val="Hyperlink"/>
            <w:rFonts w:ascii="Verdana" w:hAnsi="Verdana"/>
            <w:sz w:val="18"/>
            <w:szCs w:val="18"/>
          </w:rPr>
          <w:t>Methodological Information</w:t>
        </w:r>
      </w:hyperlink>
    </w:p>
    <w:p w14:paraId="2A137F85" w14:textId="77777777" w:rsidR="00AE33C5" w:rsidRDefault="00AE33C5" w:rsidP="006F21EB">
      <w:pPr>
        <w:jc w:val="both"/>
        <w:rPr>
          <w:rStyle w:val="Hyperlink"/>
          <w:rFonts w:ascii="Verdana" w:hAnsi="Verdana"/>
          <w:sz w:val="18"/>
          <w:szCs w:val="18"/>
        </w:rPr>
      </w:pPr>
    </w:p>
    <w:p w14:paraId="490FC996" w14:textId="50D489E4" w:rsidR="00AE33C5" w:rsidRPr="00AE33C5" w:rsidRDefault="00AE33C5" w:rsidP="00D16895">
      <w:pPr>
        <w:jc w:val="both"/>
        <w:rPr>
          <w:rFonts w:ascii="Verdana" w:hAnsi="Verdana"/>
          <w:b/>
          <w:bCs/>
          <w:sz w:val="18"/>
          <w:szCs w:val="18"/>
        </w:rPr>
      </w:pPr>
      <w:r w:rsidRPr="00AE33C5">
        <w:rPr>
          <w:rFonts w:ascii="Verdana" w:hAnsi="Verdana"/>
          <w:b/>
          <w:bCs/>
          <w:sz w:val="18"/>
          <w:szCs w:val="18"/>
        </w:rPr>
        <w:t xml:space="preserve">The Predefined Tables, available in Excel format, include data </w:t>
      </w:r>
      <w:r w:rsidR="00D16895">
        <w:rPr>
          <w:rFonts w:ascii="Verdana" w:hAnsi="Verdana"/>
          <w:b/>
          <w:bCs/>
          <w:sz w:val="18"/>
          <w:szCs w:val="18"/>
        </w:rPr>
        <w:t>up to</w:t>
      </w:r>
      <w:r>
        <w:rPr>
          <w:rFonts w:ascii="Verdana" w:hAnsi="Verdana"/>
          <w:b/>
          <w:bCs/>
          <w:sz w:val="18"/>
          <w:szCs w:val="18"/>
        </w:rPr>
        <w:t xml:space="preserve"> </w:t>
      </w:r>
      <w:r w:rsidRPr="00AE33C5">
        <w:rPr>
          <w:rFonts w:ascii="Verdana" w:hAnsi="Verdana"/>
          <w:b/>
          <w:bCs/>
          <w:sz w:val="18"/>
          <w:szCs w:val="18"/>
        </w:rPr>
        <w:t>202</w:t>
      </w:r>
      <w:r w:rsidR="00880C1A">
        <w:rPr>
          <w:rFonts w:ascii="Verdana" w:hAnsi="Verdana"/>
          <w:b/>
          <w:bCs/>
          <w:sz w:val="18"/>
          <w:szCs w:val="18"/>
        </w:rPr>
        <w:t>2</w:t>
      </w:r>
      <w:r w:rsidRPr="00AE33C5">
        <w:rPr>
          <w:rFonts w:ascii="Verdana" w:hAnsi="Verdana"/>
          <w:b/>
          <w:bCs/>
          <w:sz w:val="18"/>
          <w:szCs w:val="18"/>
        </w:rPr>
        <w:t>.</w:t>
      </w:r>
    </w:p>
    <w:p w14:paraId="338F6844" w14:textId="0141FB58" w:rsidR="00AE33C5" w:rsidRPr="00AE33C5" w:rsidRDefault="00AE33C5" w:rsidP="00F55DB9">
      <w:pPr>
        <w:jc w:val="both"/>
        <w:rPr>
          <w:rFonts w:ascii="Verdana" w:hAnsi="Verdana"/>
          <w:b/>
          <w:bCs/>
          <w:sz w:val="18"/>
          <w:szCs w:val="18"/>
        </w:rPr>
      </w:pPr>
      <w:r w:rsidRPr="00AE33C5">
        <w:rPr>
          <w:rFonts w:ascii="Verdana" w:hAnsi="Verdana"/>
          <w:b/>
          <w:bCs/>
          <w:sz w:val="18"/>
          <w:szCs w:val="18"/>
        </w:rPr>
        <w:t>Data from 2023 onwards will be available only in the CYSTAT-DB Online</w:t>
      </w:r>
      <w:r w:rsidR="00F55DB9">
        <w:rPr>
          <w:rFonts w:ascii="Verdana" w:hAnsi="Verdana"/>
          <w:b/>
          <w:bCs/>
          <w:sz w:val="18"/>
          <w:szCs w:val="18"/>
        </w:rPr>
        <w:t xml:space="preserve"> </w:t>
      </w:r>
      <w:r w:rsidRPr="00AE33C5">
        <w:rPr>
          <w:rFonts w:ascii="Verdana" w:hAnsi="Verdana"/>
          <w:b/>
          <w:bCs/>
          <w:sz w:val="18"/>
          <w:szCs w:val="18"/>
        </w:rPr>
        <w:t>Database.</w:t>
      </w:r>
    </w:p>
    <w:p w14:paraId="1F9FB89F" w14:textId="77777777" w:rsidR="0095405B" w:rsidRDefault="0095405B" w:rsidP="00072754">
      <w:pPr>
        <w:jc w:val="both"/>
        <w:rPr>
          <w:rFonts w:ascii="Verdana" w:eastAsia="Malgun Gothic" w:hAnsi="Verdana" w:cs="Arial"/>
          <w:sz w:val="18"/>
          <w:szCs w:val="18"/>
        </w:rPr>
      </w:pPr>
    </w:p>
    <w:p w14:paraId="4D7A5CEA" w14:textId="77777777" w:rsidR="006F21EB" w:rsidRPr="00816D35" w:rsidRDefault="006F21EB" w:rsidP="006F21EB">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6A4B5CD7" w14:textId="6DD94527" w:rsidR="006F21EB" w:rsidRPr="00F55DB9" w:rsidRDefault="00267406" w:rsidP="006F21EB">
      <w:pPr>
        <w:rPr>
          <w:rFonts w:ascii="Verdana" w:eastAsia="Malgun Gothic" w:hAnsi="Verdana" w:cs="Arial"/>
          <w:sz w:val="18"/>
          <w:szCs w:val="18"/>
        </w:rPr>
      </w:pPr>
      <w:r w:rsidRPr="00F55DB9">
        <w:rPr>
          <w:rFonts w:ascii="Verdana" w:eastAsia="Malgun Gothic" w:hAnsi="Verdana" w:cs="Arial"/>
          <w:sz w:val="18"/>
          <w:szCs w:val="18"/>
        </w:rPr>
        <w:t xml:space="preserve">Christodoulou </w:t>
      </w:r>
      <w:proofErr w:type="spellStart"/>
      <w:r w:rsidRPr="00F55DB9">
        <w:rPr>
          <w:rFonts w:ascii="Verdana" w:eastAsia="Malgun Gothic" w:hAnsi="Verdana" w:cs="Arial"/>
          <w:sz w:val="18"/>
          <w:szCs w:val="18"/>
        </w:rPr>
        <w:t>Antigoni</w:t>
      </w:r>
      <w:proofErr w:type="spellEnd"/>
      <w:r w:rsidR="006F21EB" w:rsidRPr="00F55DB9">
        <w:rPr>
          <w:rFonts w:ascii="Verdana" w:eastAsia="Malgun Gothic" w:hAnsi="Verdana" w:cs="Arial"/>
          <w:sz w:val="18"/>
          <w:szCs w:val="18"/>
        </w:rPr>
        <w:t xml:space="preserve">: </w:t>
      </w:r>
      <w:r w:rsidR="006F21EB" w:rsidRPr="00980ECC">
        <w:rPr>
          <w:rFonts w:ascii="Verdana" w:eastAsia="Malgun Gothic" w:hAnsi="Verdana" w:cs="Arial"/>
          <w:sz w:val="18"/>
          <w:szCs w:val="18"/>
          <w:lang w:val="el-GR"/>
        </w:rPr>
        <w:t>Τ</w:t>
      </w:r>
      <w:proofErr w:type="spellStart"/>
      <w:r w:rsidR="006F21EB" w:rsidRPr="00F55DB9">
        <w:rPr>
          <w:rFonts w:ascii="Verdana" w:eastAsia="Malgun Gothic" w:hAnsi="Verdana" w:cs="Arial"/>
          <w:sz w:val="18"/>
          <w:szCs w:val="18"/>
        </w:rPr>
        <w:t>el</w:t>
      </w:r>
      <w:proofErr w:type="spellEnd"/>
      <w:r w:rsidR="006F21EB" w:rsidRPr="00F55DB9">
        <w:rPr>
          <w:rFonts w:ascii="Verdana" w:eastAsia="Malgun Gothic" w:hAnsi="Verdana" w:cs="Arial"/>
          <w:sz w:val="18"/>
          <w:szCs w:val="18"/>
        </w:rPr>
        <w:t>: +357226021</w:t>
      </w:r>
      <w:r w:rsidRPr="00F55DB9">
        <w:rPr>
          <w:rFonts w:ascii="Verdana" w:eastAsia="Malgun Gothic" w:hAnsi="Verdana" w:cs="Arial"/>
          <w:sz w:val="18"/>
          <w:szCs w:val="18"/>
        </w:rPr>
        <w:t>79</w:t>
      </w:r>
      <w:r w:rsidR="006F21EB" w:rsidRPr="00F55DB9">
        <w:rPr>
          <w:rFonts w:ascii="Verdana" w:eastAsia="Malgun Gothic" w:hAnsi="Verdana" w:cs="Arial"/>
          <w:sz w:val="18"/>
          <w:szCs w:val="18"/>
        </w:rPr>
        <w:t xml:space="preserve">, Email: </w:t>
      </w:r>
      <w:hyperlink r:id="rId13" w:history="1">
        <w:r w:rsidRPr="00F55DB9">
          <w:rPr>
            <w:rStyle w:val="Hyperlink"/>
            <w:rFonts w:ascii="Verdana" w:hAnsi="Verdana"/>
            <w:sz w:val="18"/>
            <w:szCs w:val="18"/>
          </w:rPr>
          <w:t>achristodoulou</w:t>
        </w:r>
        <w:r w:rsidRPr="00F55DB9">
          <w:rPr>
            <w:rStyle w:val="Hyperlink"/>
            <w:rFonts w:ascii="Verdana" w:eastAsia="Malgun Gothic" w:hAnsi="Verdana" w:cs="Arial"/>
            <w:sz w:val="18"/>
            <w:szCs w:val="18"/>
          </w:rPr>
          <w:t>@cystat.mof.gov.cy</w:t>
        </w:r>
      </w:hyperlink>
    </w:p>
    <w:p w14:paraId="68358A28" w14:textId="77777777" w:rsidR="006F21EB" w:rsidRPr="00F55DB9" w:rsidRDefault="006F21EB" w:rsidP="00072754">
      <w:pPr>
        <w:jc w:val="both"/>
        <w:rPr>
          <w:rFonts w:ascii="Verdana" w:eastAsia="Malgun Gothic" w:hAnsi="Verdana" w:cs="Arial"/>
          <w:sz w:val="18"/>
          <w:szCs w:val="18"/>
        </w:rPr>
      </w:pPr>
    </w:p>
    <w:p w14:paraId="69020981" w14:textId="77777777" w:rsidR="00C26329" w:rsidRPr="00F55DB9" w:rsidRDefault="00C26329" w:rsidP="00072754">
      <w:pPr>
        <w:jc w:val="both"/>
        <w:rPr>
          <w:rFonts w:ascii="Verdana" w:eastAsia="Malgun Gothic" w:hAnsi="Verdana" w:cs="Arial"/>
          <w:sz w:val="18"/>
          <w:szCs w:val="18"/>
        </w:rPr>
      </w:pPr>
    </w:p>
    <w:p w14:paraId="0E338610" w14:textId="77777777" w:rsidR="00C26329" w:rsidRPr="00F55DB9" w:rsidRDefault="00C26329" w:rsidP="00072754">
      <w:pPr>
        <w:jc w:val="both"/>
        <w:rPr>
          <w:rFonts w:ascii="Verdana" w:eastAsia="Malgun Gothic" w:hAnsi="Verdana" w:cs="Arial"/>
          <w:sz w:val="18"/>
          <w:szCs w:val="18"/>
        </w:rPr>
      </w:pPr>
    </w:p>
    <w:p w14:paraId="69AAD260" w14:textId="77777777" w:rsidR="00C26329" w:rsidRPr="00F55DB9" w:rsidRDefault="00C26329" w:rsidP="00072754">
      <w:pPr>
        <w:jc w:val="both"/>
        <w:rPr>
          <w:rFonts w:ascii="Verdana" w:eastAsia="Malgun Gothic" w:hAnsi="Verdana" w:cs="Arial"/>
          <w:sz w:val="18"/>
          <w:szCs w:val="18"/>
        </w:rPr>
      </w:pPr>
    </w:p>
    <w:p w14:paraId="5955A06A" w14:textId="77777777" w:rsidR="00C26329" w:rsidRPr="00F55DB9" w:rsidRDefault="00C26329" w:rsidP="00072754">
      <w:pPr>
        <w:jc w:val="both"/>
        <w:rPr>
          <w:rFonts w:ascii="Verdana" w:eastAsia="Malgun Gothic" w:hAnsi="Verdana" w:cs="Arial"/>
          <w:sz w:val="18"/>
          <w:szCs w:val="18"/>
        </w:rPr>
      </w:pPr>
    </w:p>
    <w:p w14:paraId="44F7DFCB" w14:textId="77777777" w:rsidR="00C26329" w:rsidRPr="00F55DB9" w:rsidRDefault="00C26329" w:rsidP="00072754">
      <w:pPr>
        <w:jc w:val="both"/>
        <w:rPr>
          <w:rFonts w:ascii="Verdana" w:eastAsia="Malgun Gothic" w:hAnsi="Verdana" w:cs="Arial"/>
          <w:sz w:val="18"/>
          <w:szCs w:val="18"/>
        </w:rPr>
      </w:pPr>
    </w:p>
    <w:sectPr w:rsidR="00C26329" w:rsidRPr="00F55DB9" w:rsidSect="005938ED">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C4178" w14:textId="77777777" w:rsidR="00053AB3" w:rsidRDefault="00053AB3" w:rsidP="00FB398F">
      <w:r>
        <w:separator/>
      </w:r>
    </w:p>
  </w:endnote>
  <w:endnote w:type="continuationSeparator" w:id="0">
    <w:p w14:paraId="3A2C8F32" w14:textId="77777777" w:rsidR="00053AB3" w:rsidRDefault="00053AB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10A58" w14:textId="77777777" w:rsidR="004E4F42" w:rsidRPr="000A1A88" w:rsidRDefault="004E4F42" w:rsidP="00763722">
    <w:pPr>
      <w:pStyle w:val="Footer"/>
      <w:tabs>
        <w:tab w:val="left" w:pos="3375"/>
        <w:tab w:val="left" w:pos="4500"/>
        <w:tab w:val="center" w:pos="4723"/>
      </w:tabs>
    </w:pPr>
    <w:r>
      <w:tab/>
    </w:r>
    <w:r>
      <w:tab/>
    </w:r>
    <w:r>
      <w:tab/>
    </w:r>
    <w:r>
      <w:tab/>
      <w:t>-</w:t>
    </w:r>
    <w:r w:rsidR="00925378">
      <w:fldChar w:fldCharType="begin"/>
    </w:r>
    <w:r w:rsidR="004D4950">
      <w:instrText xml:space="preserve"> PAGE   \* MERGEFORMAT </w:instrText>
    </w:r>
    <w:r w:rsidR="00925378">
      <w:fldChar w:fldCharType="separate"/>
    </w:r>
    <w:r w:rsidR="00112241">
      <w:rPr>
        <w:noProof/>
      </w:rPr>
      <w:t>3</w:t>
    </w:r>
    <w:r w:rsidR="00925378">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1CDA4" w14:textId="77777777" w:rsidR="0060256A" w:rsidRPr="00122143" w:rsidRDefault="0060256A" w:rsidP="0060256A">
    <w:pPr>
      <w:pStyle w:val="Footer"/>
      <w:pBdr>
        <w:top w:val="single" w:sz="4" w:space="1" w:color="auto"/>
      </w:pBdr>
      <w:tabs>
        <w:tab w:val="left" w:pos="4500"/>
      </w:tabs>
      <w:jc w:val="center"/>
      <w:rPr>
        <w:rFonts w:ascii="Arial" w:hAnsi="Arial" w:cs="Arial"/>
        <w:i/>
        <w:iCs/>
        <w:sz w:val="16"/>
        <w:szCs w:val="16"/>
      </w:rPr>
    </w:pPr>
    <w:r w:rsidRPr="00122143">
      <w:rPr>
        <w:rFonts w:ascii="Arial" w:hAnsi="Arial" w:cs="Arial"/>
        <w:i/>
        <w:iCs/>
        <w:sz w:val="16"/>
        <w:szCs w:val="16"/>
      </w:rPr>
      <w:t>Address:  Micha</w:t>
    </w:r>
    <w:r w:rsidR="00EF6A66">
      <w:rPr>
        <w:rFonts w:ascii="Arial" w:hAnsi="Arial" w:cs="Arial"/>
        <w:i/>
        <w:iCs/>
        <w:sz w:val="16"/>
        <w:szCs w:val="16"/>
      </w:rPr>
      <w:t>el</w:t>
    </w:r>
    <w:r w:rsidRPr="00122143">
      <w:rPr>
        <w:rFonts w:ascii="Arial" w:hAnsi="Arial" w:cs="Arial"/>
        <w:i/>
        <w:iCs/>
        <w:sz w:val="16"/>
        <w:szCs w:val="16"/>
      </w:rPr>
      <w:t xml:space="preserve"> Karaoli Str., 1444 Nicosia, Cyprus</w:t>
    </w:r>
  </w:p>
  <w:p w14:paraId="31AAE332" w14:textId="77777777" w:rsidR="0060256A" w:rsidRPr="00CC6F2F" w:rsidRDefault="00122143" w:rsidP="0060256A">
    <w:pPr>
      <w:pStyle w:val="Footer"/>
      <w:tabs>
        <w:tab w:val="left" w:pos="4500"/>
      </w:tabs>
      <w:jc w:val="center"/>
      <w:rPr>
        <w:rFonts w:ascii="Arial" w:hAnsi="Arial" w:cs="Arial"/>
        <w:i/>
        <w:iCs/>
        <w:sz w:val="16"/>
        <w:szCs w:val="16"/>
        <w:lang w:val="pt-PT"/>
      </w:rPr>
    </w:pPr>
    <w:r w:rsidRPr="00CC6F2F">
      <w:rPr>
        <w:rFonts w:ascii="Arial" w:hAnsi="Arial" w:cs="Arial"/>
        <w:i/>
        <w:iCs/>
        <w:sz w:val="16"/>
        <w:szCs w:val="16"/>
        <w:lang w:val="pt-PT"/>
      </w:rPr>
      <w:t xml:space="preserve">Tel.:  22 602129, </w:t>
    </w:r>
    <w:r w:rsidR="0060256A" w:rsidRPr="00CC6F2F">
      <w:rPr>
        <w:rFonts w:ascii="Arial" w:hAnsi="Arial" w:cs="Arial"/>
        <w:i/>
        <w:iCs/>
        <w:sz w:val="16"/>
        <w:szCs w:val="16"/>
        <w:lang w:val="pt-PT"/>
      </w:rPr>
      <w:t>Fax: 22 661313, E-mail:  enquiries@cystat.mof.gov.cy</w:t>
    </w:r>
  </w:p>
  <w:p w14:paraId="03DACE1C" w14:textId="77777777" w:rsidR="004E4F42" w:rsidRPr="00122143" w:rsidRDefault="0060256A" w:rsidP="0060256A">
    <w:pPr>
      <w:pStyle w:val="Footer"/>
      <w:tabs>
        <w:tab w:val="left" w:pos="4500"/>
      </w:tabs>
      <w:jc w:val="center"/>
      <w:rPr>
        <w:rFonts w:ascii="Arial" w:hAnsi="Arial" w:cs="Arial"/>
        <w:sz w:val="16"/>
        <w:szCs w:val="16"/>
      </w:rPr>
    </w:pPr>
    <w:r w:rsidRPr="00122143">
      <w:rPr>
        <w:rFonts w:ascii="Arial" w:hAnsi="Arial" w:cs="Arial"/>
        <w:i/>
        <w:iCs/>
        <w:sz w:val="16"/>
        <w:szCs w:val="16"/>
      </w:rPr>
      <w:t xml:space="preserve">Web site: </w:t>
    </w:r>
    <w:hyperlink r:id="rId1" w:history="1">
      <w:r w:rsidRPr="00122143">
        <w:rPr>
          <w:rStyle w:val="Hyperlink"/>
          <w:rFonts w:ascii="Arial" w:hAnsi="Arial" w:cs="Arial"/>
          <w:i/>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DE482" w14:textId="77777777" w:rsidR="00053AB3" w:rsidRDefault="00053AB3" w:rsidP="00FB398F">
      <w:r>
        <w:separator/>
      </w:r>
    </w:p>
  </w:footnote>
  <w:footnote w:type="continuationSeparator" w:id="0">
    <w:p w14:paraId="00448B55" w14:textId="77777777" w:rsidR="00053AB3" w:rsidRDefault="00053AB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DBE3"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A3E9" w14:textId="571C681B"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5D6B4C43" wp14:editId="78597CF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8E16D2">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C1B9BF2" wp14:editId="62439E4A">
              <wp:simplePos x="0" y="0"/>
              <wp:positionH relativeFrom="column">
                <wp:posOffset>4772660</wp:posOffset>
              </wp:positionH>
              <wp:positionV relativeFrom="paragraph">
                <wp:posOffset>-69215</wp:posOffset>
              </wp:positionV>
              <wp:extent cx="1288415" cy="1047750"/>
              <wp:effectExtent l="0" t="0" r="7620" b="0"/>
              <wp:wrapNone/>
              <wp:docPr id="1979209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B9BF2" id="_x0000_t202" coordsize="21600,21600" o:spt="202" path="m,l,21600r21600,l21600,xe">
              <v:stroke joinstyle="miter"/>
              <v:path gradientshapeok="t" o:connecttype="rect"/>
            </v:shapetype>
            <v:shape id="Text Box 3"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8E16D2">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6A3A5DC4" wp14:editId="06F2578B">
              <wp:simplePos x="0" y="0"/>
              <wp:positionH relativeFrom="column">
                <wp:posOffset>3439160</wp:posOffset>
              </wp:positionH>
              <wp:positionV relativeFrom="paragraph">
                <wp:posOffset>-221615</wp:posOffset>
              </wp:positionV>
              <wp:extent cx="1469390" cy="1200150"/>
              <wp:effectExtent l="0" t="0" r="0" b="0"/>
              <wp:wrapNone/>
              <wp:docPr id="1804555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A5DC4" id="Text Box 2"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12F1B5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7383EC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3CC58D8"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51790B11"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2BAA78A6" w14:textId="7B48AAF1" w:rsidR="00364377" w:rsidRPr="00AC704B" w:rsidRDefault="008E16D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C2C13A6" wp14:editId="08C150E2">
              <wp:simplePos x="0" y="0"/>
              <wp:positionH relativeFrom="column">
                <wp:posOffset>4102100</wp:posOffset>
              </wp:positionH>
              <wp:positionV relativeFrom="paragraph">
                <wp:posOffset>-140335</wp:posOffset>
              </wp:positionV>
              <wp:extent cx="1828800" cy="533400"/>
              <wp:effectExtent l="0" t="0" r="0" b="0"/>
              <wp:wrapNone/>
              <wp:docPr id="18916117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27F35834"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3D8B8FB1"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place">
                            <w:smartTag w:uri="urn:schemas-microsoft-com:office:smarttags" w:element="country-region">
                              <w:r w:rsidRPr="00BA5A5E">
                                <w:rPr>
                                  <w:rFonts w:ascii="Arial" w:hAnsi="Arial" w:cs="Arial"/>
                                  <w:b/>
                                  <w:sz w:val="20"/>
                                  <w:szCs w:val="20"/>
                                </w:rPr>
                                <w:t>CYPRUS</w:t>
                              </w:r>
                            </w:smartTag>
                          </w:smartTag>
                        </w:p>
                        <w:p w14:paraId="2E145A1C"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C13A6"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7F35834"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3D8B8FB1"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country-region">
                      <w:smartTag w:uri="urn:schemas-microsoft-com:office:smarttags" w:element="place">
                        <w:r w:rsidRPr="00BA5A5E">
                          <w:rPr>
                            <w:rFonts w:ascii="Arial" w:hAnsi="Arial" w:cs="Arial"/>
                            <w:b/>
                            <w:sz w:val="20"/>
                            <w:szCs w:val="20"/>
                          </w:rPr>
                          <w:t>CYPRUS</w:t>
                        </w:r>
                      </w:smartTag>
                    </w:smartTag>
                  </w:p>
                  <w:p w14:paraId="2E145A1C"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7C1520">
      <w:rPr>
        <w:rFonts w:ascii="Arial" w:hAnsi="Arial" w:cs="Arial"/>
        <w:bCs/>
        <w:sz w:val="18"/>
        <w:szCs w:val="18"/>
        <w:lang w:val="en-US"/>
      </w:rPr>
      <w:t>REPUBLIC OF CYPRUS</w:t>
    </w:r>
    <w:r w:rsidR="00364377" w:rsidRPr="00AC704B">
      <w:rPr>
        <w:b/>
        <w:bCs/>
        <w:sz w:val="20"/>
        <w:szCs w:val="20"/>
        <w:lang w:val="en-US"/>
      </w:rPr>
      <w:t xml:space="preserve"> </w:t>
    </w:r>
    <w:r w:rsidR="00364377" w:rsidRPr="00AC704B">
      <w:rPr>
        <w:b/>
        <w:bCs/>
        <w:sz w:val="20"/>
        <w:szCs w:val="20"/>
        <w:lang w:val="en-US"/>
      </w:rPr>
      <w:tab/>
    </w:r>
  </w:p>
  <w:p w14:paraId="45E33A3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93E305E"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45821869">
    <w:abstractNumId w:val="4"/>
  </w:num>
  <w:num w:numId="2" w16cid:durableId="360401115">
    <w:abstractNumId w:val="1"/>
  </w:num>
  <w:num w:numId="3" w16cid:durableId="1093472666">
    <w:abstractNumId w:val="2"/>
  </w:num>
  <w:num w:numId="4" w16cid:durableId="901906564">
    <w:abstractNumId w:val="3"/>
  </w:num>
  <w:num w:numId="5" w16cid:durableId="1350378088">
    <w:abstractNumId w:val="0"/>
  </w:num>
  <w:num w:numId="6" w16cid:durableId="481195976">
    <w:abstractNumId w:val="5"/>
  </w:num>
  <w:num w:numId="7" w16cid:durableId="1467625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065A"/>
    <w:rsid w:val="00013E40"/>
    <w:rsid w:val="00014426"/>
    <w:rsid w:val="000161B1"/>
    <w:rsid w:val="0002024D"/>
    <w:rsid w:val="00024990"/>
    <w:rsid w:val="00025A39"/>
    <w:rsid w:val="00027853"/>
    <w:rsid w:val="00030E18"/>
    <w:rsid w:val="00031D32"/>
    <w:rsid w:val="0003603D"/>
    <w:rsid w:val="00036FA9"/>
    <w:rsid w:val="00045088"/>
    <w:rsid w:val="00045A06"/>
    <w:rsid w:val="00050391"/>
    <w:rsid w:val="00053AB3"/>
    <w:rsid w:val="00055291"/>
    <w:rsid w:val="000563D3"/>
    <w:rsid w:val="00057E44"/>
    <w:rsid w:val="00061299"/>
    <w:rsid w:val="00070576"/>
    <w:rsid w:val="00072754"/>
    <w:rsid w:val="000752BB"/>
    <w:rsid w:val="00081ADF"/>
    <w:rsid w:val="00084A02"/>
    <w:rsid w:val="00084BF7"/>
    <w:rsid w:val="000870E9"/>
    <w:rsid w:val="000932CF"/>
    <w:rsid w:val="00096ED8"/>
    <w:rsid w:val="000A1A88"/>
    <w:rsid w:val="000A2B5C"/>
    <w:rsid w:val="000A3601"/>
    <w:rsid w:val="000A6FA8"/>
    <w:rsid w:val="000A786C"/>
    <w:rsid w:val="000B6F3B"/>
    <w:rsid w:val="000C4E72"/>
    <w:rsid w:val="000D1E7A"/>
    <w:rsid w:val="000E24B1"/>
    <w:rsid w:val="000E2735"/>
    <w:rsid w:val="000E32D6"/>
    <w:rsid w:val="000E57F2"/>
    <w:rsid w:val="000E72A7"/>
    <w:rsid w:val="000E72FC"/>
    <w:rsid w:val="000F1162"/>
    <w:rsid w:val="000F3467"/>
    <w:rsid w:val="000F38DE"/>
    <w:rsid w:val="000F5D6C"/>
    <w:rsid w:val="000F7308"/>
    <w:rsid w:val="00106852"/>
    <w:rsid w:val="00110F9D"/>
    <w:rsid w:val="00112241"/>
    <w:rsid w:val="00114A67"/>
    <w:rsid w:val="00122143"/>
    <w:rsid w:val="00123097"/>
    <w:rsid w:val="001253B6"/>
    <w:rsid w:val="00127320"/>
    <w:rsid w:val="00127456"/>
    <w:rsid w:val="001312D8"/>
    <w:rsid w:val="0013137B"/>
    <w:rsid w:val="0015118B"/>
    <w:rsid w:val="001519CE"/>
    <w:rsid w:val="00152950"/>
    <w:rsid w:val="00156D32"/>
    <w:rsid w:val="00161CF3"/>
    <w:rsid w:val="00162C00"/>
    <w:rsid w:val="001639EF"/>
    <w:rsid w:val="0016589F"/>
    <w:rsid w:val="00166FC4"/>
    <w:rsid w:val="00176558"/>
    <w:rsid w:val="0017756A"/>
    <w:rsid w:val="0017769A"/>
    <w:rsid w:val="00183DFC"/>
    <w:rsid w:val="00184384"/>
    <w:rsid w:val="00186717"/>
    <w:rsid w:val="00187FFC"/>
    <w:rsid w:val="001A2018"/>
    <w:rsid w:val="001A3DD4"/>
    <w:rsid w:val="001B2C39"/>
    <w:rsid w:val="001B3675"/>
    <w:rsid w:val="001B54AB"/>
    <w:rsid w:val="001B5E10"/>
    <w:rsid w:val="001B6AB3"/>
    <w:rsid w:val="001B73D5"/>
    <w:rsid w:val="001C0681"/>
    <w:rsid w:val="001C14B9"/>
    <w:rsid w:val="001C62B3"/>
    <w:rsid w:val="001C7C8C"/>
    <w:rsid w:val="001D0D6A"/>
    <w:rsid w:val="001D20A4"/>
    <w:rsid w:val="001E00D1"/>
    <w:rsid w:val="001E0E58"/>
    <w:rsid w:val="001E14F3"/>
    <w:rsid w:val="001E15ED"/>
    <w:rsid w:val="001E61AA"/>
    <w:rsid w:val="001E7D09"/>
    <w:rsid w:val="0020309E"/>
    <w:rsid w:val="00205BA0"/>
    <w:rsid w:val="00206F1B"/>
    <w:rsid w:val="00210B58"/>
    <w:rsid w:val="00222423"/>
    <w:rsid w:val="00225B28"/>
    <w:rsid w:val="002313AC"/>
    <w:rsid w:val="00235FB2"/>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4F04"/>
    <w:rsid w:val="002667D0"/>
    <w:rsid w:val="00267406"/>
    <w:rsid w:val="00267554"/>
    <w:rsid w:val="0027122D"/>
    <w:rsid w:val="002717D8"/>
    <w:rsid w:val="0028338F"/>
    <w:rsid w:val="00285C24"/>
    <w:rsid w:val="002915C4"/>
    <w:rsid w:val="002A15BF"/>
    <w:rsid w:val="002A1D1C"/>
    <w:rsid w:val="002A4D64"/>
    <w:rsid w:val="002B6554"/>
    <w:rsid w:val="002B6D31"/>
    <w:rsid w:val="002D05F0"/>
    <w:rsid w:val="002D7D4A"/>
    <w:rsid w:val="002E1906"/>
    <w:rsid w:val="002E3846"/>
    <w:rsid w:val="002E3F78"/>
    <w:rsid w:val="002F400C"/>
    <w:rsid w:val="002F4D76"/>
    <w:rsid w:val="002F6D26"/>
    <w:rsid w:val="002F7438"/>
    <w:rsid w:val="0030231E"/>
    <w:rsid w:val="003042C4"/>
    <w:rsid w:val="00304CB4"/>
    <w:rsid w:val="00304E5B"/>
    <w:rsid w:val="00313F37"/>
    <w:rsid w:val="003141D0"/>
    <w:rsid w:val="003168C1"/>
    <w:rsid w:val="00322FBE"/>
    <w:rsid w:val="003254B5"/>
    <w:rsid w:val="00325632"/>
    <w:rsid w:val="00327549"/>
    <w:rsid w:val="00332B95"/>
    <w:rsid w:val="003342A5"/>
    <w:rsid w:val="00334E18"/>
    <w:rsid w:val="00336C36"/>
    <w:rsid w:val="00340922"/>
    <w:rsid w:val="00342957"/>
    <w:rsid w:val="00343815"/>
    <w:rsid w:val="00347234"/>
    <w:rsid w:val="00350975"/>
    <w:rsid w:val="003522BB"/>
    <w:rsid w:val="00352F6C"/>
    <w:rsid w:val="00353625"/>
    <w:rsid w:val="003556EA"/>
    <w:rsid w:val="00364377"/>
    <w:rsid w:val="00377ABB"/>
    <w:rsid w:val="003854F5"/>
    <w:rsid w:val="00386FC7"/>
    <w:rsid w:val="00390A32"/>
    <w:rsid w:val="00396C89"/>
    <w:rsid w:val="003A40F2"/>
    <w:rsid w:val="003A50D1"/>
    <w:rsid w:val="003B196D"/>
    <w:rsid w:val="003B2710"/>
    <w:rsid w:val="003B4608"/>
    <w:rsid w:val="003C1B8E"/>
    <w:rsid w:val="003C2392"/>
    <w:rsid w:val="003C5174"/>
    <w:rsid w:val="003C5240"/>
    <w:rsid w:val="003D14E0"/>
    <w:rsid w:val="003D1EA5"/>
    <w:rsid w:val="003D3348"/>
    <w:rsid w:val="003D6570"/>
    <w:rsid w:val="003D6822"/>
    <w:rsid w:val="003D724C"/>
    <w:rsid w:val="003E0CE2"/>
    <w:rsid w:val="003E1CEE"/>
    <w:rsid w:val="003F49E4"/>
    <w:rsid w:val="003F4D2F"/>
    <w:rsid w:val="003F5E32"/>
    <w:rsid w:val="003F75F6"/>
    <w:rsid w:val="004045C2"/>
    <w:rsid w:val="00404670"/>
    <w:rsid w:val="00414CA0"/>
    <w:rsid w:val="00422F54"/>
    <w:rsid w:val="00431516"/>
    <w:rsid w:val="004361B3"/>
    <w:rsid w:val="00437544"/>
    <w:rsid w:val="0044249D"/>
    <w:rsid w:val="0044379F"/>
    <w:rsid w:val="00446FB1"/>
    <w:rsid w:val="0046078F"/>
    <w:rsid w:val="00463214"/>
    <w:rsid w:val="0046434D"/>
    <w:rsid w:val="004656FA"/>
    <w:rsid w:val="00471D77"/>
    <w:rsid w:val="00475587"/>
    <w:rsid w:val="00480BC2"/>
    <w:rsid w:val="00482ED3"/>
    <w:rsid w:val="004929C2"/>
    <w:rsid w:val="00493FDD"/>
    <w:rsid w:val="0049586B"/>
    <w:rsid w:val="004A3E4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0F83"/>
    <w:rsid w:val="00505503"/>
    <w:rsid w:val="00510388"/>
    <w:rsid w:val="0051107B"/>
    <w:rsid w:val="00512F9C"/>
    <w:rsid w:val="00527CDB"/>
    <w:rsid w:val="005317FB"/>
    <w:rsid w:val="005341C9"/>
    <w:rsid w:val="005369CA"/>
    <w:rsid w:val="00536DE9"/>
    <w:rsid w:val="00540668"/>
    <w:rsid w:val="00541E08"/>
    <w:rsid w:val="005504B4"/>
    <w:rsid w:val="0055789A"/>
    <w:rsid w:val="005652D1"/>
    <w:rsid w:val="005660A0"/>
    <w:rsid w:val="00566A4F"/>
    <w:rsid w:val="00567D64"/>
    <w:rsid w:val="00572BC2"/>
    <w:rsid w:val="00573BD9"/>
    <w:rsid w:val="005938ED"/>
    <w:rsid w:val="0059478C"/>
    <w:rsid w:val="0059604C"/>
    <w:rsid w:val="005978D4"/>
    <w:rsid w:val="005A73D2"/>
    <w:rsid w:val="005B2A67"/>
    <w:rsid w:val="005B3DCD"/>
    <w:rsid w:val="005B4AD4"/>
    <w:rsid w:val="005B5CC7"/>
    <w:rsid w:val="005B5DCC"/>
    <w:rsid w:val="005C2798"/>
    <w:rsid w:val="005C36C3"/>
    <w:rsid w:val="005C56EE"/>
    <w:rsid w:val="005C5D4B"/>
    <w:rsid w:val="005D1714"/>
    <w:rsid w:val="005D2D39"/>
    <w:rsid w:val="005D7638"/>
    <w:rsid w:val="005E0450"/>
    <w:rsid w:val="005F12F5"/>
    <w:rsid w:val="005F4B4F"/>
    <w:rsid w:val="005F7C7D"/>
    <w:rsid w:val="0060256A"/>
    <w:rsid w:val="006044B7"/>
    <w:rsid w:val="0060571D"/>
    <w:rsid w:val="006071CE"/>
    <w:rsid w:val="006075B5"/>
    <w:rsid w:val="0061018C"/>
    <w:rsid w:val="0061094E"/>
    <w:rsid w:val="00613440"/>
    <w:rsid w:val="00613BE3"/>
    <w:rsid w:val="00622395"/>
    <w:rsid w:val="0062327B"/>
    <w:rsid w:val="00632777"/>
    <w:rsid w:val="00633750"/>
    <w:rsid w:val="00634491"/>
    <w:rsid w:val="006355D0"/>
    <w:rsid w:val="0063679C"/>
    <w:rsid w:val="00637055"/>
    <w:rsid w:val="00641D59"/>
    <w:rsid w:val="00644302"/>
    <w:rsid w:val="00644507"/>
    <w:rsid w:val="00646543"/>
    <w:rsid w:val="00646880"/>
    <w:rsid w:val="00647D2A"/>
    <w:rsid w:val="006537BB"/>
    <w:rsid w:val="0065711B"/>
    <w:rsid w:val="00671785"/>
    <w:rsid w:val="00672BA9"/>
    <w:rsid w:val="00673005"/>
    <w:rsid w:val="006804BE"/>
    <w:rsid w:val="0069008E"/>
    <w:rsid w:val="0069087E"/>
    <w:rsid w:val="00691191"/>
    <w:rsid w:val="006925C4"/>
    <w:rsid w:val="0069309C"/>
    <w:rsid w:val="006A02B7"/>
    <w:rsid w:val="006B0DFC"/>
    <w:rsid w:val="006B46D5"/>
    <w:rsid w:val="006B46F4"/>
    <w:rsid w:val="006C7AF3"/>
    <w:rsid w:val="006D2CAE"/>
    <w:rsid w:val="006D543F"/>
    <w:rsid w:val="006D6548"/>
    <w:rsid w:val="006E0E20"/>
    <w:rsid w:val="006E4256"/>
    <w:rsid w:val="006E4BBA"/>
    <w:rsid w:val="006E5F43"/>
    <w:rsid w:val="006E60A6"/>
    <w:rsid w:val="006F0F69"/>
    <w:rsid w:val="006F116B"/>
    <w:rsid w:val="006F117F"/>
    <w:rsid w:val="006F13DF"/>
    <w:rsid w:val="006F1E66"/>
    <w:rsid w:val="006F21EB"/>
    <w:rsid w:val="006F4FC2"/>
    <w:rsid w:val="00702F26"/>
    <w:rsid w:val="0070313E"/>
    <w:rsid w:val="00703799"/>
    <w:rsid w:val="00705C5C"/>
    <w:rsid w:val="00711475"/>
    <w:rsid w:val="0072548A"/>
    <w:rsid w:val="007277A6"/>
    <w:rsid w:val="007437AB"/>
    <w:rsid w:val="007534F8"/>
    <w:rsid w:val="007545AD"/>
    <w:rsid w:val="00763722"/>
    <w:rsid w:val="00764BC1"/>
    <w:rsid w:val="00770869"/>
    <w:rsid w:val="007738AA"/>
    <w:rsid w:val="00773A72"/>
    <w:rsid w:val="00780A62"/>
    <w:rsid w:val="00783241"/>
    <w:rsid w:val="007838EC"/>
    <w:rsid w:val="00784BDC"/>
    <w:rsid w:val="00792F28"/>
    <w:rsid w:val="0079543F"/>
    <w:rsid w:val="00795880"/>
    <w:rsid w:val="007A4367"/>
    <w:rsid w:val="007B0867"/>
    <w:rsid w:val="007B1AC1"/>
    <w:rsid w:val="007B5A08"/>
    <w:rsid w:val="007B693D"/>
    <w:rsid w:val="007D0338"/>
    <w:rsid w:val="007E041B"/>
    <w:rsid w:val="007E199A"/>
    <w:rsid w:val="007E2415"/>
    <w:rsid w:val="007E39F3"/>
    <w:rsid w:val="007E68F4"/>
    <w:rsid w:val="007F31BA"/>
    <w:rsid w:val="007F4078"/>
    <w:rsid w:val="0080014B"/>
    <w:rsid w:val="00801793"/>
    <w:rsid w:val="00803642"/>
    <w:rsid w:val="00805BAE"/>
    <w:rsid w:val="00806EA2"/>
    <w:rsid w:val="00812A2B"/>
    <w:rsid w:val="00814A4C"/>
    <w:rsid w:val="00815974"/>
    <w:rsid w:val="00831AAB"/>
    <w:rsid w:val="0083574E"/>
    <w:rsid w:val="0083640C"/>
    <w:rsid w:val="0084157B"/>
    <w:rsid w:val="00842BFB"/>
    <w:rsid w:val="00846B85"/>
    <w:rsid w:val="00847DC3"/>
    <w:rsid w:val="00847F49"/>
    <w:rsid w:val="008535C5"/>
    <w:rsid w:val="00853765"/>
    <w:rsid w:val="0085516F"/>
    <w:rsid w:val="00861278"/>
    <w:rsid w:val="00865CD8"/>
    <w:rsid w:val="00867186"/>
    <w:rsid w:val="00870AF6"/>
    <w:rsid w:val="00880C1A"/>
    <w:rsid w:val="00881268"/>
    <w:rsid w:val="0088394A"/>
    <w:rsid w:val="008860BD"/>
    <w:rsid w:val="00887399"/>
    <w:rsid w:val="0088779E"/>
    <w:rsid w:val="008912AF"/>
    <w:rsid w:val="00892114"/>
    <w:rsid w:val="00892CB9"/>
    <w:rsid w:val="008935CB"/>
    <w:rsid w:val="008B0E7E"/>
    <w:rsid w:val="008B5FF0"/>
    <w:rsid w:val="008B65BD"/>
    <w:rsid w:val="008B721B"/>
    <w:rsid w:val="008B7900"/>
    <w:rsid w:val="008C3DCF"/>
    <w:rsid w:val="008C71BF"/>
    <w:rsid w:val="008C7FE0"/>
    <w:rsid w:val="008D5717"/>
    <w:rsid w:val="008E16D2"/>
    <w:rsid w:val="008E44A9"/>
    <w:rsid w:val="008E6B4D"/>
    <w:rsid w:val="008E6BFF"/>
    <w:rsid w:val="008F21AF"/>
    <w:rsid w:val="008F2400"/>
    <w:rsid w:val="008F61BA"/>
    <w:rsid w:val="008F6E3C"/>
    <w:rsid w:val="008F7C55"/>
    <w:rsid w:val="0090338C"/>
    <w:rsid w:val="00914A23"/>
    <w:rsid w:val="009206B5"/>
    <w:rsid w:val="00925378"/>
    <w:rsid w:val="00930754"/>
    <w:rsid w:val="00931164"/>
    <w:rsid w:val="00934F68"/>
    <w:rsid w:val="009355AC"/>
    <w:rsid w:val="00935F38"/>
    <w:rsid w:val="00937586"/>
    <w:rsid w:val="00947889"/>
    <w:rsid w:val="0095405B"/>
    <w:rsid w:val="00960E98"/>
    <w:rsid w:val="00963A82"/>
    <w:rsid w:val="00972912"/>
    <w:rsid w:val="00972CA0"/>
    <w:rsid w:val="00976D1F"/>
    <w:rsid w:val="00981C81"/>
    <w:rsid w:val="00984145"/>
    <w:rsid w:val="009901DC"/>
    <w:rsid w:val="00992209"/>
    <w:rsid w:val="009A23D6"/>
    <w:rsid w:val="009A2D24"/>
    <w:rsid w:val="009A456C"/>
    <w:rsid w:val="009A4B24"/>
    <w:rsid w:val="009B00E0"/>
    <w:rsid w:val="009B292A"/>
    <w:rsid w:val="009B76D5"/>
    <w:rsid w:val="009C165D"/>
    <w:rsid w:val="009C201E"/>
    <w:rsid w:val="009C37F7"/>
    <w:rsid w:val="009C3CEA"/>
    <w:rsid w:val="009C583D"/>
    <w:rsid w:val="009D2611"/>
    <w:rsid w:val="009D79D2"/>
    <w:rsid w:val="009E247C"/>
    <w:rsid w:val="009E31BA"/>
    <w:rsid w:val="009F0528"/>
    <w:rsid w:val="009F0806"/>
    <w:rsid w:val="009F0B47"/>
    <w:rsid w:val="009F233B"/>
    <w:rsid w:val="00A05D16"/>
    <w:rsid w:val="00A0659F"/>
    <w:rsid w:val="00A079BA"/>
    <w:rsid w:val="00A13B2F"/>
    <w:rsid w:val="00A33875"/>
    <w:rsid w:val="00A360A1"/>
    <w:rsid w:val="00A402B3"/>
    <w:rsid w:val="00A522FD"/>
    <w:rsid w:val="00A544B7"/>
    <w:rsid w:val="00A618CF"/>
    <w:rsid w:val="00A62770"/>
    <w:rsid w:val="00A62EEB"/>
    <w:rsid w:val="00A660FF"/>
    <w:rsid w:val="00A6625A"/>
    <w:rsid w:val="00A66266"/>
    <w:rsid w:val="00A73395"/>
    <w:rsid w:val="00A82B4C"/>
    <w:rsid w:val="00A93A4C"/>
    <w:rsid w:val="00A93E4F"/>
    <w:rsid w:val="00A94D5D"/>
    <w:rsid w:val="00AA1D9B"/>
    <w:rsid w:val="00AA2543"/>
    <w:rsid w:val="00AA3804"/>
    <w:rsid w:val="00AA55C2"/>
    <w:rsid w:val="00AB0ACA"/>
    <w:rsid w:val="00AB1D41"/>
    <w:rsid w:val="00AC5E9A"/>
    <w:rsid w:val="00AC704B"/>
    <w:rsid w:val="00AD553E"/>
    <w:rsid w:val="00AD5848"/>
    <w:rsid w:val="00AE33C5"/>
    <w:rsid w:val="00AE5ADA"/>
    <w:rsid w:val="00AE67BD"/>
    <w:rsid w:val="00AF6145"/>
    <w:rsid w:val="00B01386"/>
    <w:rsid w:val="00B01BB5"/>
    <w:rsid w:val="00B04AF4"/>
    <w:rsid w:val="00B05214"/>
    <w:rsid w:val="00B0736F"/>
    <w:rsid w:val="00B12479"/>
    <w:rsid w:val="00B30D97"/>
    <w:rsid w:val="00B31738"/>
    <w:rsid w:val="00B3181A"/>
    <w:rsid w:val="00B35A7C"/>
    <w:rsid w:val="00B37758"/>
    <w:rsid w:val="00B450D1"/>
    <w:rsid w:val="00B529DB"/>
    <w:rsid w:val="00B53D47"/>
    <w:rsid w:val="00B54A25"/>
    <w:rsid w:val="00B618C3"/>
    <w:rsid w:val="00B63652"/>
    <w:rsid w:val="00B65098"/>
    <w:rsid w:val="00B668B0"/>
    <w:rsid w:val="00B70F5C"/>
    <w:rsid w:val="00B71873"/>
    <w:rsid w:val="00B75AE5"/>
    <w:rsid w:val="00B77F52"/>
    <w:rsid w:val="00B800C0"/>
    <w:rsid w:val="00B8132B"/>
    <w:rsid w:val="00B84C5A"/>
    <w:rsid w:val="00B858F5"/>
    <w:rsid w:val="00B85ADA"/>
    <w:rsid w:val="00B9134E"/>
    <w:rsid w:val="00B93668"/>
    <w:rsid w:val="00BA23AD"/>
    <w:rsid w:val="00BA68C6"/>
    <w:rsid w:val="00BB12F1"/>
    <w:rsid w:val="00BB276E"/>
    <w:rsid w:val="00BB3FEE"/>
    <w:rsid w:val="00BB5EB0"/>
    <w:rsid w:val="00BB7A27"/>
    <w:rsid w:val="00BC245A"/>
    <w:rsid w:val="00BC340C"/>
    <w:rsid w:val="00BD16FA"/>
    <w:rsid w:val="00BD41C3"/>
    <w:rsid w:val="00BD488B"/>
    <w:rsid w:val="00BD7CCC"/>
    <w:rsid w:val="00BE002A"/>
    <w:rsid w:val="00BE1BC9"/>
    <w:rsid w:val="00BE5CDA"/>
    <w:rsid w:val="00BE608F"/>
    <w:rsid w:val="00BF23BB"/>
    <w:rsid w:val="00BF33DD"/>
    <w:rsid w:val="00BF5755"/>
    <w:rsid w:val="00BF684B"/>
    <w:rsid w:val="00C016F3"/>
    <w:rsid w:val="00C15193"/>
    <w:rsid w:val="00C15609"/>
    <w:rsid w:val="00C15F6A"/>
    <w:rsid w:val="00C23EA7"/>
    <w:rsid w:val="00C256F3"/>
    <w:rsid w:val="00C26329"/>
    <w:rsid w:val="00C270A2"/>
    <w:rsid w:val="00C315B5"/>
    <w:rsid w:val="00C32D3A"/>
    <w:rsid w:val="00C35E28"/>
    <w:rsid w:val="00C426AF"/>
    <w:rsid w:val="00C469C1"/>
    <w:rsid w:val="00C50659"/>
    <w:rsid w:val="00C51B39"/>
    <w:rsid w:val="00C5338A"/>
    <w:rsid w:val="00C540C2"/>
    <w:rsid w:val="00C54EF9"/>
    <w:rsid w:val="00C56BBF"/>
    <w:rsid w:val="00C572AA"/>
    <w:rsid w:val="00C57A9A"/>
    <w:rsid w:val="00C6016A"/>
    <w:rsid w:val="00C60B3F"/>
    <w:rsid w:val="00C623EB"/>
    <w:rsid w:val="00C6258A"/>
    <w:rsid w:val="00C64C6B"/>
    <w:rsid w:val="00C65138"/>
    <w:rsid w:val="00C66F2E"/>
    <w:rsid w:val="00C6785C"/>
    <w:rsid w:val="00C67992"/>
    <w:rsid w:val="00C70FD1"/>
    <w:rsid w:val="00C733AA"/>
    <w:rsid w:val="00C83027"/>
    <w:rsid w:val="00C84B8A"/>
    <w:rsid w:val="00C85E65"/>
    <w:rsid w:val="00C87CA1"/>
    <w:rsid w:val="00C911B4"/>
    <w:rsid w:val="00C91B3B"/>
    <w:rsid w:val="00C94262"/>
    <w:rsid w:val="00C976E1"/>
    <w:rsid w:val="00CA148E"/>
    <w:rsid w:val="00CA3A9A"/>
    <w:rsid w:val="00CB6BC1"/>
    <w:rsid w:val="00CB7021"/>
    <w:rsid w:val="00CC6F2F"/>
    <w:rsid w:val="00CD3294"/>
    <w:rsid w:val="00CD4524"/>
    <w:rsid w:val="00CD784D"/>
    <w:rsid w:val="00CF40F8"/>
    <w:rsid w:val="00D008DA"/>
    <w:rsid w:val="00D0416F"/>
    <w:rsid w:val="00D05851"/>
    <w:rsid w:val="00D07A31"/>
    <w:rsid w:val="00D10FED"/>
    <w:rsid w:val="00D11736"/>
    <w:rsid w:val="00D12EE8"/>
    <w:rsid w:val="00D15FF1"/>
    <w:rsid w:val="00D167F4"/>
    <w:rsid w:val="00D16895"/>
    <w:rsid w:val="00D2092A"/>
    <w:rsid w:val="00D2216D"/>
    <w:rsid w:val="00D31A6F"/>
    <w:rsid w:val="00D33293"/>
    <w:rsid w:val="00D353D1"/>
    <w:rsid w:val="00D367DB"/>
    <w:rsid w:val="00D36E05"/>
    <w:rsid w:val="00D44F27"/>
    <w:rsid w:val="00D45304"/>
    <w:rsid w:val="00D461C7"/>
    <w:rsid w:val="00D50424"/>
    <w:rsid w:val="00D57D3E"/>
    <w:rsid w:val="00D6003A"/>
    <w:rsid w:val="00D843F4"/>
    <w:rsid w:val="00D87950"/>
    <w:rsid w:val="00D94374"/>
    <w:rsid w:val="00DB38E0"/>
    <w:rsid w:val="00DC23CF"/>
    <w:rsid w:val="00DC55A2"/>
    <w:rsid w:val="00DC6562"/>
    <w:rsid w:val="00DE130D"/>
    <w:rsid w:val="00DE24CF"/>
    <w:rsid w:val="00DE407C"/>
    <w:rsid w:val="00DE7C7D"/>
    <w:rsid w:val="00DF2992"/>
    <w:rsid w:val="00DF2D0C"/>
    <w:rsid w:val="00E017A8"/>
    <w:rsid w:val="00E01B9D"/>
    <w:rsid w:val="00E04F5E"/>
    <w:rsid w:val="00E0522E"/>
    <w:rsid w:val="00E120F4"/>
    <w:rsid w:val="00E155F9"/>
    <w:rsid w:val="00E17172"/>
    <w:rsid w:val="00E3181C"/>
    <w:rsid w:val="00E3280A"/>
    <w:rsid w:val="00E32EC5"/>
    <w:rsid w:val="00E372AF"/>
    <w:rsid w:val="00E37D68"/>
    <w:rsid w:val="00E40EAE"/>
    <w:rsid w:val="00E436AC"/>
    <w:rsid w:val="00E44FF8"/>
    <w:rsid w:val="00E5066A"/>
    <w:rsid w:val="00E52CF9"/>
    <w:rsid w:val="00E63F34"/>
    <w:rsid w:val="00E6715A"/>
    <w:rsid w:val="00E72961"/>
    <w:rsid w:val="00E73698"/>
    <w:rsid w:val="00E75DC9"/>
    <w:rsid w:val="00E81610"/>
    <w:rsid w:val="00E84910"/>
    <w:rsid w:val="00E85B28"/>
    <w:rsid w:val="00E87FFA"/>
    <w:rsid w:val="00E908BB"/>
    <w:rsid w:val="00E91976"/>
    <w:rsid w:val="00E947A6"/>
    <w:rsid w:val="00E97FC7"/>
    <w:rsid w:val="00EA0690"/>
    <w:rsid w:val="00EA202C"/>
    <w:rsid w:val="00EA3065"/>
    <w:rsid w:val="00EA3956"/>
    <w:rsid w:val="00EA5571"/>
    <w:rsid w:val="00EC02A5"/>
    <w:rsid w:val="00EC176B"/>
    <w:rsid w:val="00EC33CD"/>
    <w:rsid w:val="00EC5BE5"/>
    <w:rsid w:val="00ED2650"/>
    <w:rsid w:val="00ED721A"/>
    <w:rsid w:val="00ED7B83"/>
    <w:rsid w:val="00EE393D"/>
    <w:rsid w:val="00EF01CF"/>
    <w:rsid w:val="00EF6A66"/>
    <w:rsid w:val="00EF7AF9"/>
    <w:rsid w:val="00F01495"/>
    <w:rsid w:val="00F01EE6"/>
    <w:rsid w:val="00F07E19"/>
    <w:rsid w:val="00F10138"/>
    <w:rsid w:val="00F10CBC"/>
    <w:rsid w:val="00F13F92"/>
    <w:rsid w:val="00F22ECA"/>
    <w:rsid w:val="00F240E8"/>
    <w:rsid w:val="00F244FA"/>
    <w:rsid w:val="00F3363A"/>
    <w:rsid w:val="00F366A2"/>
    <w:rsid w:val="00F44F43"/>
    <w:rsid w:val="00F450E1"/>
    <w:rsid w:val="00F50DF4"/>
    <w:rsid w:val="00F55DB9"/>
    <w:rsid w:val="00F57AFE"/>
    <w:rsid w:val="00F60B3D"/>
    <w:rsid w:val="00F6278E"/>
    <w:rsid w:val="00F63C41"/>
    <w:rsid w:val="00F63E96"/>
    <w:rsid w:val="00F701E3"/>
    <w:rsid w:val="00F71F8C"/>
    <w:rsid w:val="00F80362"/>
    <w:rsid w:val="00F8143B"/>
    <w:rsid w:val="00F86AD4"/>
    <w:rsid w:val="00F92EE4"/>
    <w:rsid w:val="00FA0113"/>
    <w:rsid w:val="00FA12B2"/>
    <w:rsid w:val="00FA7610"/>
    <w:rsid w:val="00FB02BD"/>
    <w:rsid w:val="00FB398F"/>
    <w:rsid w:val="00FB4EF8"/>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49B3730"/>
  <w15:docId w15:val="{CCBB624F-5B6A-44B9-A1EF-AB1D6596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styleId="UnresolvedMention">
    <w:name w:val="Unresolved Mention"/>
    <w:basedOn w:val="DefaultParagraphFont"/>
    <w:uiPriority w:val="99"/>
    <w:semiHidden/>
    <w:unhideWhenUsed/>
    <w:rsid w:val="00267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hristodoul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21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cystat.gov.cy/pxweb/en/8.CYSTAT-DB/8.CYSTAT-DB__Public%20Finance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C794-D63A-4CC3-A7D9-1127E7FA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15</cp:revision>
  <cp:lastPrinted>2024-04-19T08:45:00Z</cp:lastPrinted>
  <dcterms:created xsi:type="dcterms:W3CDTF">2023-10-23T09:34:00Z</dcterms:created>
  <dcterms:modified xsi:type="dcterms:W3CDTF">2024-10-22T08:36:00Z</dcterms:modified>
</cp:coreProperties>
</file>