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77818B" w14:textId="77777777" w:rsidR="007437AB" w:rsidRPr="005A4DC0" w:rsidRDefault="007437AB" w:rsidP="00D23155">
      <w:pPr>
        <w:jc w:val="right"/>
        <w:rPr>
          <w:rFonts w:ascii="Verdana" w:hAnsi="Verdana" w:cs="Arial"/>
          <w:sz w:val="18"/>
          <w:szCs w:val="18"/>
        </w:rPr>
      </w:pPr>
    </w:p>
    <w:p w14:paraId="2FB18558" w14:textId="77777777" w:rsidR="004045C2" w:rsidRDefault="004045C2" w:rsidP="00D23155">
      <w:pPr>
        <w:jc w:val="right"/>
        <w:rPr>
          <w:rFonts w:ascii="Verdana" w:hAnsi="Verdana" w:cs="Arial"/>
          <w:sz w:val="18"/>
          <w:szCs w:val="18"/>
          <w:lang w:val="el-GR"/>
        </w:rPr>
      </w:pPr>
    </w:p>
    <w:p w14:paraId="48553E43" w14:textId="5DD3F50C" w:rsidR="006F21EB" w:rsidRPr="006F21EB" w:rsidRDefault="001F042B" w:rsidP="00D23155">
      <w:pPr>
        <w:jc w:val="right"/>
        <w:rPr>
          <w:rFonts w:ascii="Verdana" w:hAnsi="Verdana" w:cs="Arial"/>
          <w:sz w:val="18"/>
          <w:szCs w:val="18"/>
        </w:rPr>
      </w:pPr>
      <w:r w:rsidRPr="008E00A6">
        <w:rPr>
          <w:rFonts w:ascii="Verdana" w:hAnsi="Verdana" w:cs="Arial"/>
          <w:sz w:val="18"/>
          <w:szCs w:val="18"/>
        </w:rPr>
        <w:t>8</w:t>
      </w:r>
      <w:r w:rsidR="000D1644">
        <w:rPr>
          <w:rFonts w:ascii="Verdana" w:hAnsi="Verdana" w:cs="Arial"/>
          <w:sz w:val="18"/>
          <w:szCs w:val="18"/>
        </w:rPr>
        <w:t xml:space="preserve"> </w:t>
      </w:r>
      <w:r>
        <w:rPr>
          <w:rFonts w:ascii="Verdana" w:hAnsi="Verdana" w:cs="Arial"/>
          <w:sz w:val="18"/>
          <w:szCs w:val="18"/>
        </w:rPr>
        <w:t>October</w:t>
      </w:r>
      <w:r w:rsidR="006F21EB" w:rsidRPr="006F21EB">
        <w:rPr>
          <w:rFonts w:ascii="Verdana" w:hAnsi="Verdana" w:cs="Arial"/>
          <w:sz w:val="18"/>
          <w:szCs w:val="18"/>
        </w:rPr>
        <w:t>, 202</w:t>
      </w:r>
      <w:r w:rsidR="00CA2A02">
        <w:rPr>
          <w:rFonts w:ascii="Verdana" w:hAnsi="Verdana" w:cs="Arial"/>
          <w:sz w:val="18"/>
          <w:szCs w:val="18"/>
        </w:rPr>
        <w:t>4</w:t>
      </w:r>
    </w:p>
    <w:p w14:paraId="09425A26" w14:textId="77777777" w:rsidR="006F21EB" w:rsidRDefault="006F21EB" w:rsidP="00D23155">
      <w:pPr>
        <w:jc w:val="right"/>
        <w:rPr>
          <w:rFonts w:ascii="Verdana" w:hAnsi="Verdana" w:cs="Arial"/>
          <w:sz w:val="18"/>
          <w:szCs w:val="18"/>
        </w:rPr>
      </w:pPr>
    </w:p>
    <w:p w14:paraId="5189140F" w14:textId="77777777" w:rsidR="004045C2" w:rsidRDefault="004045C2" w:rsidP="00D23155">
      <w:pPr>
        <w:jc w:val="right"/>
        <w:rPr>
          <w:rFonts w:ascii="Verdana" w:hAnsi="Verdana" w:cs="Arial"/>
          <w:sz w:val="18"/>
          <w:szCs w:val="18"/>
        </w:rPr>
      </w:pPr>
    </w:p>
    <w:p w14:paraId="12D35C64" w14:textId="77777777" w:rsidR="004045C2" w:rsidRPr="006F21EB" w:rsidRDefault="004045C2" w:rsidP="006F21EB">
      <w:pPr>
        <w:jc w:val="both"/>
        <w:rPr>
          <w:rFonts w:ascii="Verdana" w:hAnsi="Verdana" w:cs="Arial"/>
          <w:sz w:val="18"/>
          <w:szCs w:val="18"/>
        </w:rPr>
      </w:pPr>
    </w:p>
    <w:p w14:paraId="518C331B" w14:textId="77777777" w:rsidR="006F21EB" w:rsidRPr="00E32EC5" w:rsidRDefault="006F21EB" w:rsidP="00A13B2F">
      <w:pPr>
        <w:jc w:val="center"/>
        <w:rPr>
          <w:rFonts w:ascii="Verdana" w:hAnsi="Verdana" w:cs="Arial"/>
          <w:b/>
          <w:bCs/>
          <w:sz w:val="24"/>
          <w:szCs w:val="24"/>
        </w:rPr>
      </w:pPr>
      <w:r w:rsidRPr="00E32EC5">
        <w:rPr>
          <w:rFonts w:ascii="Verdana" w:hAnsi="Verdana" w:cs="Arial"/>
          <w:b/>
          <w:bCs/>
          <w:sz w:val="24"/>
          <w:szCs w:val="24"/>
        </w:rPr>
        <w:t>PRESS RELEASE</w:t>
      </w:r>
    </w:p>
    <w:p w14:paraId="0A91774B" w14:textId="77777777" w:rsidR="006F21EB" w:rsidRDefault="006F21EB" w:rsidP="006F21EB">
      <w:pPr>
        <w:jc w:val="both"/>
        <w:rPr>
          <w:rFonts w:ascii="Verdana" w:hAnsi="Verdana" w:cs="Arial"/>
          <w:sz w:val="18"/>
          <w:szCs w:val="18"/>
        </w:rPr>
      </w:pPr>
    </w:p>
    <w:p w14:paraId="099A1B9E" w14:textId="77777777" w:rsidR="00A13B2F" w:rsidRPr="006F21EB" w:rsidRDefault="00A13B2F" w:rsidP="006F21EB">
      <w:pPr>
        <w:jc w:val="both"/>
        <w:rPr>
          <w:rFonts w:ascii="Verdana" w:hAnsi="Verdana" w:cs="Arial"/>
          <w:sz w:val="18"/>
          <w:szCs w:val="18"/>
        </w:rPr>
      </w:pPr>
    </w:p>
    <w:p w14:paraId="782225AE" w14:textId="7DEF259E" w:rsidR="006F21EB" w:rsidRPr="00A13B2F" w:rsidRDefault="006F21EB" w:rsidP="00CC1F10">
      <w:pPr>
        <w:jc w:val="both"/>
        <w:rPr>
          <w:rFonts w:ascii="Verdana" w:hAnsi="Verdana" w:cs="Arial"/>
          <w:u w:val="single"/>
        </w:rPr>
      </w:pPr>
      <w:r w:rsidRPr="00A13B2F">
        <w:rPr>
          <w:rFonts w:ascii="Verdana" w:hAnsi="Verdana" w:cs="Arial"/>
          <w:u w:val="single"/>
        </w:rPr>
        <w:t>FISCAL ACCOUNTS OF GENERAL GOVERNMENT</w:t>
      </w:r>
      <w:r w:rsidR="00A13B2F">
        <w:rPr>
          <w:rFonts w:ascii="Verdana" w:hAnsi="Verdana" w:cs="Arial"/>
          <w:u w:val="single"/>
        </w:rPr>
        <w:t xml:space="preserve">: </w:t>
      </w:r>
      <w:r w:rsidRPr="00A13B2F">
        <w:rPr>
          <w:rFonts w:ascii="Verdana" w:hAnsi="Verdana" w:cs="Arial"/>
          <w:b/>
          <w:bCs/>
          <w:u w:val="single"/>
        </w:rPr>
        <w:t>JAN</w:t>
      </w:r>
      <w:r w:rsidR="00477E96">
        <w:rPr>
          <w:rFonts w:ascii="Verdana" w:hAnsi="Verdana" w:cs="Arial"/>
          <w:b/>
          <w:bCs/>
          <w:u w:val="single"/>
        </w:rPr>
        <w:t>-</w:t>
      </w:r>
      <w:r w:rsidR="001F042B">
        <w:rPr>
          <w:rFonts w:ascii="Verdana" w:hAnsi="Verdana" w:cs="Arial"/>
          <w:b/>
          <w:bCs/>
          <w:u w:val="single"/>
        </w:rPr>
        <w:t>AUG</w:t>
      </w:r>
      <w:r w:rsidRPr="00A13B2F">
        <w:rPr>
          <w:rFonts w:ascii="Verdana" w:hAnsi="Verdana" w:cs="Arial"/>
          <w:b/>
          <w:bCs/>
          <w:u w:val="single"/>
        </w:rPr>
        <w:t xml:space="preserve"> 202</w:t>
      </w:r>
      <w:r w:rsidR="00357C52">
        <w:rPr>
          <w:rFonts w:ascii="Verdana" w:hAnsi="Verdana" w:cs="Arial"/>
          <w:b/>
          <w:bCs/>
          <w:u w:val="single"/>
        </w:rPr>
        <w:t>4</w:t>
      </w:r>
    </w:p>
    <w:p w14:paraId="510C87A2" w14:textId="77777777" w:rsidR="006F21EB" w:rsidRDefault="006F21EB" w:rsidP="006F21EB">
      <w:pPr>
        <w:jc w:val="both"/>
        <w:rPr>
          <w:rFonts w:ascii="Verdana" w:hAnsi="Verdana" w:cs="Arial"/>
          <w:sz w:val="18"/>
          <w:szCs w:val="18"/>
        </w:rPr>
      </w:pPr>
    </w:p>
    <w:p w14:paraId="68BC42C4" w14:textId="77777777" w:rsidR="004045C2" w:rsidRDefault="004045C2" w:rsidP="006F21EB">
      <w:pPr>
        <w:jc w:val="both"/>
        <w:rPr>
          <w:rFonts w:ascii="Verdana" w:hAnsi="Verdana" w:cs="Arial"/>
          <w:sz w:val="18"/>
          <w:szCs w:val="18"/>
        </w:rPr>
      </w:pPr>
    </w:p>
    <w:p w14:paraId="195A4F25" w14:textId="3E1B64EE" w:rsidR="00A13B2F" w:rsidRPr="00A13B2F" w:rsidRDefault="00A13B2F" w:rsidP="00A13B2F">
      <w:pPr>
        <w:jc w:val="center"/>
        <w:rPr>
          <w:rFonts w:ascii="Verdana" w:hAnsi="Verdana" w:cs="Arial"/>
          <w:b/>
          <w:bCs/>
        </w:rPr>
      </w:pPr>
      <w:r w:rsidRPr="00A13B2F">
        <w:rPr>
          <w:rFonts w:ascii="Verdana" w:hAnsi="Verdana" w:cs="Arial"/>
          <w:b/>
          <w:bCs/>
        </w:rPr>
        <w:t>Surplus €</w:t>
      </w:r>
      <w:r w:rsidR="001F042B">
        <w:rPr>
          <w:rFonts w:ascii="Verdana" w:hAnsi="Verdana" w:cs="Arial"/>
          <w:b/>
          <w:bCs/>
        </w:rPr>
        <w:t>1.368</w:t>
      </w:r>
      <w:r w:rsidR="00357C52" w:rsidRPr="00357C52">
        <w:rPr>
          <w:rFonts w:ascii="Verdana" w:hAnsi="Verdana" w:cs="Arial"/>
          <w:b/>
          <w:bCs/>
        </w:rPr>
        <w:t>,</w:t>
      </w:r>
      <w:r w:rsidR="001F042B">
        <w:rPr>
          <w:rFonts w:ascii="Verdana" w:hAnsi="Verdana" w:cs="Arial"/>
          <w:b/>
          <w:bCs/>
        </w:rPr>
        <w:t>4</w:t>
      </w:r>
      <w:r w:rsidRPr="00A13B2F">
        <w:rPr>
          <w:rFonts w:ascii="Verdana" w:hAnsi="Verdana" w:cs="Arial"/>
          <w:b/>
          <w:bCs/>
        </w:rPr>
        <w:t xml:space="preserve"> </w:t>
      </w:r>
      <w:proofErr w:type="spellStart"/>
      <w:r w:rsidRPr="00A13B2F">
        <w:rPr>
          <w:rFonts w:ascii="Verdana" w:hAnsi="Verdana" w:cs="Arial"/>
          <w:b/>
          <w:bCs/>
        </w:rPr>
        <w:t>mn</w:t>
      </w:r>
      <w:proofErr w:type="spellEnd"/>
    </w:p>
    <w:p w14:paraId="389AEE2C" w14:textId="77777777" w:rsidR="006F21EB" w:rsidRPr="006F21EB" w:rsidRDefault="006F21EB" w:rsidP="006F21EB">
      <w:pPr>
        <w:jc w:val="both"/>
        <w:rPr>
          <w:rFonts w:ascii="Verdana" w:hAnsi="Verdana" w:cs="Arial"/>
          <w:sz w:val="18"/>
          <w:szCs w:val="18"/>
        </w:rPr>
      </w:pPr>
    </w:p>
    <w:p w14:paraId="2AAFDC83" w14:textId="5AB2AEAA" w:rsidR="006F21EB" w:rsidRDefault="006F21EB" w:rsidP="00CA2A02">
      <w:pPr>
        <w:jc w:val="both"/>
        <w:rPr>
          <w:rFonts w:ascii="Verdana" w:hAnsi="Verdana" w:cs="Arial"/>
          <w:sz w:val="18"/>
          <w:szCs w:val="18"/>
        </w:rPr>
      </w:pPr>
      <w:r w:rsidRPr="006F21EB">
        <w:rPr>
          <w:rFonts w:ascii="Verdana" w:hAnsi="Verdana" w:cs="Arial"/>
          <w:sz w:val="18"/>
          <w:szCs w:val="18"/>
        </w:rPr>
        <w:t xml:space="preserve">The preliminary General Government fiscal results, which are prepared by the Statistical Service of Cyprus (CYSTAT) indicate a surplus of </w:t>
      </w:r>
      <w:r w:rsidRPr="001A76A6">
        <w:rPr>
          <w:rFonts w:ascii="Verdana" w:hAnsi="Verdana" w:cs="Arial"/>
          <w:sz w:val="18"/>
          <w:szCs w:val="18"/>
        </w:rPr>
        <w:t>€</w:t>
      </w:r>
      <w:r w:rsidR="001F042B">
        <w:rPr>
          <w:rFonts w:ascii="Verdana" w:hAnsi="Verdana" w:cs="Arial"/>
          <w:sz w:val="18"/>
          <w:szCs w:val="18"/>
        </w:rPr>
        <w:t>1.368</w:t>
      </w:r>
      <w:r w:rsidR="00357C52" w:rsidRPr="00357C52">
        <w:rPr>
          <w:rFonts w:ascii="Verdana" w:hAnsi="Verdana" w:cs="Arial"/>
          <w:sz w:val="18"/>
          <w:szCs w:val="18"/>
        </w:rPr>
        <w:t>,</w:t>
      </w:r>
      <w:r w:rsidR="001F042B">
        <w:rPr>
          <w:rFonts w:ascii="Verdana" w:hAnsi="Verdana" w:cs="Arial"/>
          <w:sz w:val="18"/>
          <w:szCs w:val="18"/>
        </w:rPr>
        <w:t>4</w:t>
      </w:r>
      <w:r w:rsidRPr="001A76A6">
        <w:rPr>
          <w:rFonts w:ascii="Verdana" w:hAnsi="Verdana" w:cs="Arial"/>
          <w:sz w:val="18"/>
          <w:szCs w:val="18"/>
        </w:rPr>
        <w:t xml:space="preserve"> mn (</w:t>
      </w:r>
      <w:r w:rsidR="001F042B">
        <w:rPr>
          <w:rFonts w:ascii="Verdana" w:hAnsi="Verdana" w:cs="Arial"/>
          <w:sz w:val="18"/>
          <w:szCs w:val="18"/>
        </w:rPr>
        <w:t>4</w:t>
      </w:r>
      <w:r w:rsidRPr="001A76A6">
        <w:rPr>
          <w:rFonts w:ascii="Verdana" w:hAnsi="Verdana" w:cs="Arial"/>
          <w:sz w:val="18"/>
          <w:szCs w:val="18"/>
        </w:rPr>
        <w:t>,</w:t>
      </w:r>
      <w:r w:rsidR="001F042B">
        <w:rPr>
          <w:rFonts w:ascii="Verdana" w:hAnsi="Verdana" w:cs="Arial"/>
          <w:sz w:val="18"/>
          <w:szCs w:val="18"/>
        </w:rPr>
        <w:t>3</w:t>
      </w:r>
      <w:r w:rsidRPr="001A76A6">
        <w:rPr>
          <w:rFonts w:ascii="Verdana" w:hAnsi="Verdana" w:cs="Arial"/>
          <w:sz w:val="18"/>
          <w:szCs w:val="18"/>
        </w:rPr>
        <w:t xml:space="preserve">% of GDP) for </w:t>
      </w:r>
      <w:r w:rsidR="00477E96" w:rsidRPr="00477E96">
        <w:rPr>
          <w:rFonts w:ascii="Verdana" w:hAnsi="Verdana" w:cs="Arial"/>
          <w:sz w:val="18"/>
          <w:szCs w:val="18"/>
        </w:rPr>
        <w:t>the period of January-</w:t>
      </w:r>
      <w:r w:rsidR="001F042B">
        <w:rPr>
          <w:rFonts w:ascii="Verdana" w:hAnsi="Verdana" w:cs="Arial"/>
          <w:sz w:val="18"/>
          <w:szCs w:val="18"/>
        </w:rPr>
        <w:t>August</w:t>
      </w:r>
      <w:r w:rsidRPr="001A76A6">
        <w:rPr>
          <w:rFonts w:ascii="Verdana" w:hAnsi="Verdana" w:cs="Arial"/>
          <w:sz w:val="18"/>
          <w:szCs w:val="18"/>
        </w:rPr>
        <w:t xml:space="preserve"> 202</w:t>
      </w:r>
      <w:r w:rsidR="00357C52">
        <w:rPr>
          <w:rFonts w:ascii="Verdana" w:hAnsi="Verdana" w:cs="Arial"/>
          <w:sz w:val="18"/>
          <w:szCs w:val="18"/>
        </w:rPr>
        <w:t>4</w:t>
      </w:r>
      <w:r w:rsidR="001A76A6" w:rsidRPr="001A76A6">
        <w:rPr>
          <w:rFonts w:ascii="Verdana" w:hAnsi="Verdana" w:cs="Arial"/>
          <w:sz w:val="18"/>
          <w:szCs w:val="18"/>
        </w:rPr>
        <w:t xml:space="preserve">, as compared to a </w:t>
      </w:r>
      <w:r w:rsidR="00BA091C">
        <w:rPr>
          <w:rFonts w:ascii="Verdana" w:hAnsi="Verdana" w:cs="Arial"/>
          <w:sz w:val="18"/>
          <w:szCs w:val="18"/>
        </w:rPr>
        <w:t>surplus</w:t>
      </w:r>
      <w:r w:rsidR="001A76A6" w:rsidRPr="001A76A6">
        <w:rPr>
          <w:rFonts w:ascii="Verdana" w:hAnsi="Verdana" w:cs="Arial"/>
          <w:sz w:val="18"/>
          <w:szCs w:val="18"/>
        </w:rPr>
        <w:t xml:space="preserve"> of €</w:t>
      </w:r>
      <w:r w:rsidR="001F042B">
        <w:rPr>
          <w:rFonts w:ascii="Verdana" w:hAnsi="Verdana" w:cs="Arial"/>
          <w:sz w:val="18"/>
          <w:szCs w:val="18"/>
        </w:rPr>
        <w:t>898</w:t>
      </w:r>
      <w:r w:rsidRPr="001A76A6">
        <w:rPr>
          <w:rFonts w:ascii="Verdana" w:hAnsi="Verdana" w:cs="Arial"/>
          <w:sz w:val="18"/>
          <w:szCs w:val="18"/>
        </w:rPr>
        <w:t>,</w:t>
      </w:r>
      <w:r w:rsidR="001F042B">
        <w:rPr>
          <w:rFonts w:ascii="Verdana" w:hAnsi="Verdana" w:cs="Arial"/>
          <w:sz w:val="18"/>
          <w:szCs w:val="18"/>
        </w:rPr>
        <w:t>5</w:t>
      </w:r>
      <w:r w:rsidR="00CA2A02">
        <w:rPr>
          <w:rFonts w:ascii="Verdana" w:hAnsi="Verdana" w:cs="Arial"/>
          <w:sz w:val="18"/>
          <w:szCs w:val="18"/>
        </w:rPr>
        <w:t xml:space="preserve"> </w:t>
      </w:r>
      <w:proofErr w:type="spellStart"/>
      <w:r w:rsidRPr="001A76A6">
        <w:rPr>
          <w:rFonts w:ascii="Verdana" w:hAnsi="Verdana" w:cs="Arial"/>
          <w:sz w:val="18"/>
          <w:szCs w:val="18"/>
        </w:rPr>
        <w:t>mn</w:t>
      </w:r>
      <w:proofErr w:type="spellEnd"/>
      <w:r w:rsidRPr="001A76A6">
        <w:rPr>
          <w:rFonts w:ascii="Verdana" w:hAnsi="Verdana" w:cs="Arial"/>
          <w:sz w:val="18"/>
          <w:szCs w:val="18"/>
        </w:rPr>
        <w:t xml:space="preserve"> (</w:t>
      </w:r>
      <w:r w:rsidR="001F042B">
        <w:rPr>
          <w:rFonts w:ascii="Verdana" w:hAnsi="Verdana" w:cs="Arial"/>
          <w:sz w:val="18"/>
          <w:szCs w:val="18"/>
        </w:rPr>
        <w:t>3</w:t>
      </w:r>
      <w:r w:rsidRPr="001A76A6">
        <w:rPr>
          <w:rFonts w:ascii="Verdana" w:hAnsi="Verdana" w:cs="Arial"/>
          <w:sz w:val="18"/>
          <w:szCs w:val="18"/>
        </w:rPr>
        <w:t>,</w:t>
      </w:r>
      <w:r w:rsidR="001F042B">
        <w:rPr>
          <w:rFonts w:ascii="Verdana" w:hAnsi="Verdana" w:cs="Arial"/>
          <w:sz w:val="18"/>
          <w:szCs w:val="18"/>
        </w:rPr>
        <w:t>0</w:t>
      </w:r>
      <w:r w:rsidRPr="001A76A6">
        <w:rPr>
          <w:rFonts w:ascii="Verdana" w:hAnsi="Verdana" w:cs="Arial"/>
          <w:sz w:val="18"/>
          <w:szCs w:val="18"/>
        </w:rPr>
        <w:t>% of GDP) that was recorded</w:t>
      </w:r>
      <w:r w:rsidRPr="006F21EB">
        <w:rPr>
          <w:rFonts w:ascii="Verdana" w:hAnsi="Verdana" w:cs="Arial"/>
          <w:sz w:val="18"/>
          <w:szCs w:val="18"/>
        </w:rPr>
        <w:t xml:space="preserve"> during </w:t>
      </w:r>
      <w:r w:rsidR="00477E96" w:rsidRPr="00477E96">
        <w:rPr>
          <w:rFonts w:ascii="Verdana" w:hAnsi="Verdana" w:cs="Arial"/>
          <w:sz w:val="18"/>
          <w:szCs w:val="18"/>
        </w:rPr>
        <w:t>the period of January-</w:t>
      </w:r>
      <w:r w:rsidR="001F042B">
        <w:rPr>
          <w:rFonts w:ascii="Verdana" w:hAnsi="Verdana" w:cs="Arial"/>
          <w:sz w:val="18"/>
          <w:szCs w:val="18"/>
        </w:rPr>
        <w:t>August</w:t>
      </w:r>
      <w:r w:rsidRPr="006F21EB">
        <w:rPr>
          <w:rFonts w:ascii="Verdana" w:hAnsi="Verdana" w:cs="Arial"/>
          <w:sz w:val="18"/>
          <w:szCs w:val="18"/>
        </w:rPr>
        <w:t xml:space="preserve"> 202</w:t>
      </w:r>
      <w:r w:rsidR="00357C52">
        <w:rPr>
          <w:rFonts w:ascii="Verdana" w:hAnsi="Verdana" w:cs="Arial"/>
          <w:sz w:val="18"/>
          <w:szCs w:val="18"/>
        </w:rPr>
        <w:t>3</w:t>
      </w:r>
      <w:r w:rsidRPr="006F21EB">
        <w:rPr>
          <w:rFonts w:ascii="Verdana" w:hAnsi="Verdana" w:cs="Arial"/>
          <w:sz w:val="18"/>
          <w:szCs w:val="18"/>
        </w:rPr>
        <w:t>.</w:t>
      </w:r>
    </w:p>
    <w:p w14:paraId="37AB4EDA" w14:textId="77777777" w:rsidR="006F21EB" w:rsidRPr="000D2CB9" w:rsidRDefault="006F21EB" w:rsidP="006F21EB">
      <w:pPr>
        <w:jc w:val="both"/>
        <w:rPr>
          <w:rFonts w:ascii="Verdana" w:hAnsi="Verdana" w:cs="Arial"/>
          <w:sz w:val="18"/>
          <w:szCs w:val="18"/>
        </w:rPr>
      </w:pPr>
    </w:p>
    <w:p w14:paraId="41FCE30D" w14:textId="7427B44E" w:rsidR="00A13B2F" w:rsidRDefault="001F042B" w:rsidP="004050F7">
      <w:pPr>
        <w:jc w:val="center"/>
        <w:rPr>
          <w:rFonts w:ascii="Verdana" w:hAnsi="Verdana" w:cs="Arial"/>
          <w:sz w:val="18"/>
          <w:szCs w:val="18"/>
        </w:rPr>
      </w:pPr>
      <w:r>
        <w:rPr>
          <w:rFonts w:ascii="Verdana" w:hAnsi="Verdana" w:cs="Arial"/>
          <w:noProof/>
          <w:sz w:val="18"/>
          <w:szCs w:val="18"/>
        </w:rPr>
        <w:drawing>
          <wp:inline distT="0" distB="0" distL="0" distR="0" wp14:anchorId="27F2211D" wp14:editId="437B8199">
            <wp:extent cx="6102350" cy="4547870"/>
            <wp:effectExtent l="0" t="0" r="0" b="0"/>
            <wp:docPr id="868920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2350" cy="4547870"/>
                    </a:xfrm>
                    <a:prstGeom prst="rect">
                      <a:avLst/>
                    </a:prstGeom>
                    <a:noFill/>
                  </pic:spPr>
                </pic:pic>
              </a:graphicData>
            </a:graphic>
          </wp:inline>
        </w:drawing>
      </w:r>
    </w:p>
    <w:p w14:paraId="1D9F4C1B" w14:textId="276CA9E6" w:rsidR="00D23155" w:rsidRDefault="00D23155">
      <w:pPr>
        <w:rPr>
          <w:rFonts w:ascii="Verdana" w:hAnsi="Verdana" w:cs="Arial"/>
          <w:sz w:val="18"/>
          <w:szCs w:val="18"/>
        </w:rPr>
      </w:pPr>
    </w:p>
    <w:p w14:paraId="03376E3F" w14:textId="77777777" w:rsidR="00EE0B41" w:rsidRDefault="00EE0B41" w:rsidP="006F21EB">
      <w:pPr>
        <w:jc w:val="both"/>
        <w:rPr>
          <w:rFonts w:ascii="Verdana" w:hAnsi="Verdana" w:cs="Arial"/>
          <w:b/>
          <w:bCs/>
          <w:sz w:val="18"/>
          <w:szCs w:val="18"/>
          <w:u w:val="single"/>
        </w:rPr>
      </w:pPr>
    </w:p>
    <w:p w14:paraId="41885EFB" w14:textId="77777777" w:rsidR="004050F7" w:rsidRDefault="004050F7" w:rsidP="006F21EB">
      <w:pPr>
        <w:jc w:val="both"/>
        <w:rPr>
          <w:rFonts w:ascii="Verdana" w:hAnsi="Verdana" w:cs="Arial"/>
          <w:b/>
          <w:bCs/>
          <w:sz w:val="18"/>
          <w:szCs w:val="18"/>
          <w:u w:val="single"/>
        </w:rPr>
      </w:pPr>
    </w:p>
    <w:p w14:paraId="3DCC9D9E" w14:textId="77777777" w:rsidR="004050F7" w:rsidRDefault="004050F7" w:rsidP="006F21EB">
      <w:pPr>
        <w:jc w:val="both"/>
        <w:rPr>
          <w:rFonts w:ascii="Verdana" w:hAnsi="Verdana" w:cs="Arial"/>
          <w:b/>
          <w:bCs/>
          <w:sz w:val="18"/>
          <w:szCs w:val="18"/>
          <w:u w:val="single"/>
        </w:rPr>
      </w:pPr>
    </w:p>
    <w:p w14:paraId="1DB2D1CA" w14:textId="77777777" w:rsidR="004050F7" w:rsidRDefault="004050F7" w:rsidP="006F21EB">
      <w:pPr>
        <w:jc w:val="both"/>
        <w:rPr>
          <w:rFonts w:ascii="Verdana" w:hAnsi="Verdana" w:cs="Arial"/>
          <w:b/>
          <w:bCs/>
          <w:sz w:val="18"/>
          <w:szCs w:val="18"/>
          <w:u w:val="single"/>
        </w:rPr>
      </w:pPr>
    </w:p>
    <w:p w14:paraId="008D107A" w14:textId="77777777" w:rsidR="006F21EB" w:rsidRPr="00A13B2F" w:rsidRDefault="006F21EB" w:rsidP="006F21EB">
      <w:pPr>
        <w:jc w:val="both"/>
        <w:rPr>
          <w:rFonts w:ascii="Verdana" w:hAnsi="Verdana" w:cs="Arial"/>
          <w:b/>
          <w:bCs/>
          <w:sz w:val="18"/>
          <w:szCs w:val="18"/>
          <w:u w:val="single"/>
        </w:rPr>
      </w:pPr>
      <w:r w:rsidRPr="00A13B2F">
        <w:rPr>
          <w:rFonts w:ascii="Verdana" w:hAnsi="Verdana" w:cs="Arial"/>
          <w:b/>
          <w:bCs/>
          <w:sz w:val="18"/>
          <w:szCs w:val="18"/>
          <w:u w:val="single"/>
        </w:rPr>
        <w:lastRenderedPageBreak/>
        <w:t>R</w:t>
      </w:r>
      <w:r w:rsidR="00A13B2F" w:rsidRPr="00A13B2F">
        <w:rPr>
          <w:rFonts w:ascii="Verdana" w:hAnsi="Verdana" w:cs="Arial"/>
          <w:b/>
          <w:bCs/>
          <w:sz w:val="18"/>
          <w:szCs w:val="18"/>
          <w:u w:val="single"/>
        </w:rPr>
        <w:t>evenue</w:t>
      </w:r>
    </w:p>
    <w:p w14:paraId="3EBDC488" w14:textId="77777777" w:rsidR="00A13B2F" w:rsidRPr="006F21EB" w:rsidRDefault="00A13B2F" w:rsidP="006F21EB">
      <w:pPr>
        <w:jc w:val="both"/>
        <w:rPr>
          <w:rFonts w:ascii="Verdana" w:hAnsi="Verdana" w:cs="Arial"/>
          <w:sz w:val="18"/>
          <w:szCs w:val="18"/>
        </w:rPr>
      </w:pPr>
    </w:p>
    <w:p w14:paraId="11296653" w14:textId="44CBDCD7" w:rsidR="006F21EB" w:rsidRPr="006F21EB" w:rsidRDefault="008C6BF1" w:rsidP="009A0B95">
      <w:pPr>
        <w:jc w:val="both"/>
        <w:rPr>
          <w:rFonts w:ascii="Verdana" w:hAnsi="Verdana" w:cs="Arial"/>
          <w:sz w:val="18"/>
          <w:szCs w:val="18"/>
        </w:rPr>
      </w:pPr>
      <w:r w:rsidRPr="006F21EB">
        <w:rPr>
          <w:rFonts w:ascii="Verdana" w:hAnsi="Verdana" w:cs="Arial"/>
          <w:sz w:val="18"/>
          <w:szCs w:val="18"/>
        </w:rPr>
        <w:t xml:space="preserve">During the period of </w:t>
      </w:r>
      <w:r w:rsidRPr="00411BA6">
        <w:rPr>
          <w:rFonts w:ascii="Verdana" w:hAnsi="Verdana" w:cs="Arial"/>
          <w:sz w:val="18"/>
          <w:szCs w:val="18"/>
        </w:rPr>
        <w:t>January-</w:t>
      </w:r>
      <w:r w:rsidR="001F042B">
        <w:rPr>
          <w:rFonts w:ascii="Verdana" w:hAnsi="Verdana" w:cs="Arial"/>
          <w:sz w:val="18"/>
          <w:szCs w:val="18"/>
        </w:rPr>
        <w:t>August</w:t>
      </w:r>
      <w:r>
        <w:rPr>
          <w:rFonts w:ascii="Verdana" w:hAnsi="Verdana" w:cs="Arial"/>
          <w:sz w:val="18"/>
          <w:szCs w:val="18"/>
        </w:rPr>
        <w:t xml:space="preserve"> </w:t>
      </w:r>
      <w:r w:rsidR="006F21EB" w:rsidRPr="006F21EB">
        <w:rPr>
          <w:rFonts w:ascii="Verdana" w:hAnsi="Verdana" w:cs="Arial"/>
          <w:sz w:val="18"/>
          <w:szCs w:val="18"/>
        </w:rPr>
        <w:t>202</w:t>
      </w:r>
      <w:r w:rsidR="00357C52">
        <w:rPr>
          <w:rFonts w:ascii="Verdana" w:hAnsi="Verdana" w:cs="Arial"/>
          <w:sz w:val="18"/>
          <w:szCs w:val="18"/>
        </w:rPr>
        <w:t>4</w:t>
      </w:r>
      <w:r w:rsidR="006F21EB" w:rsidRPr="006F21EB">
        <w:rPr>
          <w:rFonts w:ascii="Verdana" w:hAnsi="Verdana" w:cs="Arial"/>
          <w:sz w:val="18"/>
          <w:szCs w:val="18"/>
        </w:rPr>
        <w:t xml:space="preserve">, total revenue </w:t>
      </w:r>
      <w:r w:rsidR="006F21EB" w:rsidRPr="009727E7">
        <w:rPr>
          <w:rFonts w:ascii="Verdana" w:hAnsi="Verdana" w:cs="Arial"/>
          <w:sz w:val="18"/>
          <w:szCs w:val="18"/>
        </w:rPr>
        <w:t xml:space="preserve">increased by </w:t>
      </w:r>
      <w:r w:rsidR="00057E52" w:rsidRPr="009727E7">
        <w:rPr>
          <w:rFonts w:ascii="Verdana" w:hAnsi="Verdana" w:cs="Arial"/>
          <w:sz w:val="18"/>
          <w:szCs w:val="18"/>
        </w:rPr>
        <w:t>€</w:t>
      </w:r>
      <w:r w:rsidR="001F042B">
        <w:rPr>
          <w:rFonts w:ascii="Verdana" w:hAnsi="Verdana" w:cs="Arial"/>
          <w:sz w:val="18"/>
          <w:szCs w:val="18"/>
        </w:rPr>
        <w:t>1.073</w:t>
      </w:r>
      <w:r w:rsidR="00357C52">
        <w:rPr>
          <w:rFonts w:ascii="Verdana" w:hAnsi="Verdana" w:cs="Arial"/>
          <w:sz w:val="18"/>
          <w:szCs w:val="18"/>
        </w:rPr>
        <w:t>,</w:t>
      </w:r>
      <w:r w:rsidR="001F042B">
        <w:rPr>
          <w:rFonts w:ascii="Verdana" w:hAnsi="Verdana" w:cs="Arial"/>
          <w:sz w:val="18"/>
          <w:szCs w:val="18"/>
        </w:rPr>
        <w:t>4</w:t>
      </w:r>
      <w:r w:rsidR="00057E52" w:rsidRPr="009727E7">
        <w:rPr>
          <w:rFonts w:ascii="Verdana" w:hAnsi="Verdana" w:cs="Arial"/>
          <w:sz w:val="18"/>
          <w:szCs w:val="18"/>
        </w:rPr>
        <w:t xml:space="preserve"> </w:t>
      </w:r>
      <w:proofErr w:type="spellStart"/>
      <w:r w:rsidR="006F21EB" w:rsidRPr="009727E7">
        <w:rPr>
          <w:rFonts w:ascii="Verdana" w:hAnsi="Verdana" w:cs="Arial"/>
          <w:sz w:val="18"/>
          <w:szCs w:val="18"/>
        </w:rPr>
        <w:t>mn</w:t>
      </w:r>
      <w:proofErr w:type="spellEnd"/>
      <w:r w:rsidR="006F21EB" w:rsidRPr="009727E7">
        <w:rPr>
          <w:rFonts w:ascii="Verdana" w:hAnsi="Verdana" w:cs="Arial"/>
          <w:sz w:val="18"/>
          <w:szCs w:val="18"/>
        </w:rPr>
        <w:t xml:space="preserve"> (+</w:t>
      </w:r>
      <w:r w:rsidR="00357C52">
        <w:rPr>
          <w:rFonts w:ascii="Verdana" w:hAnsi="Verdana" w:cs="Arial"/>
          <w:sz w:val="18"/>
          <w:szCs w:val="18"/>
        </w:rPr>
        <w:t>1</w:t>
      </w:r>
      <w:r w:rsidR="001F042B">
        <w:rPr>
          <w:rFonts w:ascii="Verdana" w:hAnsi="Verdana" w:cs="Arial"/>
          <w:sz w:val="18"/>
          <w:szCs w:val="18"/>
        </w:rPr>
        <w:t>3</w:t>
      </w:r>
      <w:r w:rsidR="006F21EB" w:rsidRPr="009727E7">
        <w:rPr>
          <w:rFonts w:ascii="Verdana" w:hAnsi="Verdana" w:cs="Arial"/>
          <w:sz w:val="18"/>
          <w:szCs w:val="18"/>
        </w:rPr>
        <w:t>,</w:t>
      </w:r>
      <w:r w:rsidR="001F042B">
        <w:rPr>
          <w:rFonts w:ascii="Verdana" w:hAnsi="Verdana" w:cs="Arial"/>
          <w:sz w:val="18"/>
          <w:szCs w:val="18"/>
        </w:rPr>
        <w:t>0</w:t>
      </w:r>
      <w:r w:rsidR="006F21EB" w:rsidRPr="009727E7">
        <w:rPr>
          <w:rFonts w:ascii="Verdana" w:hAnsi="Verdana" w:cs="Arial"/>
          <w:sz w:val="18"/>
          <w:szCs w:val="18"/>
        </w:rPr>
        <w:t>%) and amounted to €</w:t>
      </w:r>
      <w:r w:rsidR="001F042B">
        <w:rPr>
          <w:rFonts w:ascii="Verdana" w:hAnsi="Verdana" w:cs="Arial"/>
          <w:sz w:val="18"/>
          <w:szCs w:val="18"/>
        </w:rPr>
        <w:t>9</w:t>
      </w:r>
      <w:r w:rsidR="00357C52">
        <w:rPr>
          <w:rFonts w:ascii="Verdana" w:hAnsi="Verdana" w:cs="Arial"/>
          <w:sz w:val="18"/>
          <w:szCs w:val="18"/>
        </w:rPr>
        <w:t>.</w:t>
      </w:r>
      <w:r w:rsidR="002540A2">
        <w:rPr>
          <w:rFonts w:ascii="Verdana" w:hAnsi="Verdana" w:cs="Arial"/>
          <w:sz w:val="18"/>
          <w:szCs w:val="18"/>
        </w:rPr>
        <w:t>2</w:t>
      </w:r>
      <w:r w:rsidR="001F042B">
        <w:rPr>
          <w:rFonts w:ascii="Verdana" w:hAnsi="Verdana" w:cs="Arial"/>
          <w:sz w:val="18"/>
          <w:szCs w:val="18"/>
        </w:rPr>
        <w:t>98</w:t>
      </w:r>
      <w:r w:rsidR="00357C52">
        <w:rPr>
          <w:rFonts w:ascii="Verdana" w:hAnsi="Verdana" w:cs="Arial"/>
          <w:sz w:val="18"/>
          <w:szCs w:val="18"/>
        </w:rPr>
        <w:t>,</w:t>
      </w:r>
      <w:r w:rsidR="001F042B">
        <w:rPr>
          <w:rFonts w:ascii="Verdana" w:hAnsi="Verdana" w:cs="Arial"/>
          <w:sz w:val="18"/>
          <w:szCs w:val="18"/>
        </w:rPr>
        <w:t>9</w:t>
      </w:r>
      <w:r w:rsidR="006F21EB" w:rsidRPr="009727E7">
        <w:rPr>
          <w:rFonts w:ascii="Verdana" w:hAnsi="Verdana" w:cs="Arial"/>
          <w:sz w:val="18"/>
          <w:szCs w:val="18"/>
        </w:rPr>
        <w:t xml:space="preserve"> </w:t>
      </w:r>
      <w:proofErr w:type="spellStart"/>
      <w:r w:rsidR="006F21EB" w:rsidRPr="009727E7">
        <w:rPr>
          <w:rFonts w:ascii="Verdana" w:hAnsi="Verdana" w:cs="Arial"/>
          <w:sz w:val="18"/>
          <w:szCs w:val="18"/>
        </w:rPr>
        <w:t>mn</w:t>
      </w:r>
      <w:proofErr w:type="spellEnd"/>
      <w:r w:rsidR="006F21EB" w:rsidRPr="009727E7">
        <w:rPr>
          <w:rFonts w:ascii="Verdana" w:hAnsi="Verdana" w:cs="Arial"/>
          <w:sz w:val="18"/>
          <w:szCs w:val="18"/>
        </w:rPr>
        <w:t xml:space="preserve">, compared to </w:t>
      </w:r>
      <w:bookmarkStart w:id="0" w:name="_Hlk136266167"/>
      <w:r w:rsidR="006F21EB" w:rsidRPr="009727E7">
        <w:rPr>
          <w:rFonts w:ascii="Verdana" w:hAnsi="Verdana" w:cs="Arial"/>
          <w:sz w:val="18"/>
          <w:szCs w:val="18"/>
        </w:rPr>
        <w:t>€</w:t>
      </w:r>
      <w:r w:rsidR="001F042B">
        <w:rPr>
          <w:rFonts w:ascii="Verdana" w:hAnsi="Verdana" w:cs="Arial"/>
          <w:sz w:val="18"/>
          <w:szCs w:val="18"/>
        </w:rPr>
        <w:t>8</w:t>
      </w:r>
      <w:r w:rsidR="006F21EB" w:rsidRPr="009727E7">
        <w:rPr>
          <w:rFonts w:ascii="Verdana" w:hAnsi="Verdana" w:cs="Arial"/>
          <w:sz w:val="18"/>
          <w:szCs w:val="18"/>
        </w:rPr>
        <w:t>.</w:t>
      </w:r>
      <w:r w:rsidR="001F042B">
        <w:rPr>
          <w:rFonts w:ascii="Verdana" w:hAnsi="Verdana" w:cs="Arial"/>
          <w:sz w:val="18"/>
          <w:szCs w:val="18"/>
        </w:rPr>
        <w:t>225</w:t>
      </w:r>
      <w:r w:rsidR="006F21EB" w:rsidRPr="009727E7">
        <w:rPr>
          <w:rFonts w:ascii="Verdana" w:hAnsi="Verdana" w:cs="Arial"/>
          <w:sz w:val="18"/>
          <w:szCs w:val="18"/>
        </w:rPr>
        <w:t>,</w:t>
      </w:r>
      <w:bookmarkEnd w:id="0"/>
      <w:r w:rsidR="008E00A6">
        <w:rPr>
          <w:rFonts w:ascii="Verdana" w:hAnsi="Verdana" w:cs="Arial"/>
          <w:sz w:val="18"/>
          <w:szCs w:val="18"/>
        </w:rPr>
        <w:t>5</w:t>
      </w:r>
      <w:r w:rsidR="006F21EB" w:rsidRPr="009727E7">
        <w:rPr>
          <w:rFonts w:ascii="Verdana" w:hAnsi="Verdana" w:cs="Arial"/>
          <w:sz w:val="18"/>
          <w:szCs w:val="18"/>
        </w:rPr>
        <w:t xml:space="preserve"> </w:t>
      </w:r>
      <w:proofErr w:type="spellStart"/>
      <w:r w:rsidR="006F21EB" w:rsidRPr="009727E7">
        <w:rPr>
          <w:rFonts w:ascii="Verdana" w:hAnsi="Verdana" w:cs="Arial"/>
          <w:sz w:val="18"/>
          <w:szCs w:val="18"/>
        </w:rPr>
        <w:t>mn</w:t>
      </w:r>
      <w:proofErr w:type="spellEnd"/>
      <w:r w:rsidR="006F21EB" w:rsidRPr="009727E7">
        <w:rPr>
          <w:rFonts w:ascii="Verdana" w:hAnsi="Verdana" w:cs="Arial"/>
          <w:sz w:val="18"/>
          <w:szCs w:val="18"/>
        </w:rPr>
        <w:t xml:space="preserve"> in the corresponding </w:t>
      </w:r>
      <w:r w:rsidRPr="006F21EB">
        <w:rPr>
          <w:rFonts w:ascii="Verdana" w:hAnsi="Verdana" w:cs="Arial"/>
          <w:sz w:val="18"/>
          <w:szCs w:val="18"/>
        </w:rPr>
        <w:t xml:space="preserve">period </w:t>
      </w:r>
      <w:r w:rsidR="00002313">
        <w:rPr>
          <w:rFonts w:ascii="Verdana" w:hAnsi="Verdana" w:cs="Arial"/>
          <w:sz w:val="18"/>
          <w:szCs w:val="18"/>
        </w:rPr>
        <w:t xml:space="preserve">of </w:t>
      </w:r>
      <w:r w:rsidR="006F21EB" w:rsidRPr="009727E7">
        <w:rPr>
          <w:rFonts w:ascii="Verdana" w:hAnsi="Verdana" w:cs="Arial"/>
          <w:sz w:val="18"/>
          <w:szCs w:val="18"/>
        </w:rPr>
        <w:t>202</w:t>
      </w:r>
      <w:r w:rsidR="00357C52">
        <w:rPr>
          <w:rFonts w:ascii="Verdana" w:hAnsi="Verdana" w:cs="Arial"/>
          <w:sz w:val="18"/>
          <w:szCs w:val="18"/>
        </w:rPr>
        <w:t>3</w:t>
      </w:r>
      <w:r w:rsidR="006F21EB" w:rsidRPr="009727E7">
        <w:rPr>
          <w:rFonts w:ascii="Verdana" w:hAnsi="Verdana" w:cs="Arial"/>
          <w:sz w:val="18"/>
          <w:szCs w:val="18"/>
        </w:rPr>
        <w:t>.</w:t>
      </w:r>
    </w:p>
    <w:p w14:paraId="7C474B7A" w14:textId="77777777" w:rsidR="006F21EB" w:rsidRPr="006F21EB" w:rsidRDefault="006F21EB" w:rsidP="009A0B95">
      <w:pPr>
        <w:jc w:val="both"/>
        <w:rPr>
          <w:rFonts w:ascii="Verdana" w:hAnsi="Verdana" w:cs="Arial"/>
          <w:sz w:val="18"/>
          <w:szCs w:val="18"/>
        </w:rPr>
      </w:pPr>
    </w:p>
    <w:p w14:paraId="5627728B" w14:textId="53FAB82F" w:rsidR="00992372" w:rsidRDefault="006F21EB" w:rsidP="00C8140E">
      <w:pPr>
        <w:jc w:val="both"/>
        <w:rPr>
          <w:rFonts w:ascii="Verdana" w:hAnsi="Verdana" w:cs="Arial"/>
          <w:sz w:val="18"/>
          <w:szCs w:val="18"/>
        </w:rPr>
      </w:pPr>
      <w:r w:rsidRPr="00CC5EEA">
        <w:rPr>
          <w:rFonts w:ascii="Verdana" w:hAnsi="Verdana" w:cs="Arial"/>
          <w:sz w:val="18"/>
          <w:szCs w:val="18"/>
        </w:rPr>
        <w:t xml:space="preserve">In detail, </w:t>
      </w:r>
      <w:r w:rsidR="008C6BF1">
        <w:rPr>
          <w:rFonts w:ascii="Verdana" w:hAnsi="Verdana" w:cs="Arial"/>
          <w:sz w:val="18"/>
          <w:szCs w:val="18"/>
        </w:rPr>
        <w:t>t</w:t>
      </w:r>
      <w:r w:rsidR="008C6BF1" w:rsidRPr="00CC5EEA">
        <w:rPr>
          <w:rFonts w:ascii="Verdana" w:hAnsi="Verdana" w:cs="Arial"/>
          <w:sz w:val="18"/>
          <w:szCs w:val="18"/>
        </w:rPr>
        <w:t xml:space="preserve">axes on production and imports </w:t>
      </w:r>
      <w:r w:rsidR="008C6BF1" w:rsidRPr="009727E7">
        <w:rPr>
          <w:rFonts w:ascii="Verdana" w:hAnsi="Verdana" w:cs="Arial"/>
          <w:sz w:val="18"/>
          <w:szCs w:val="18"/>
        </w:rPr>
        <w:t>increased</w:t>
      </w:r>
      <w:r w:rsidR="008C6BF1" w:rsidRPr="00CC5EEA">
        <w:rPr>
          <w:rFonts w:ascii="Verdana" w:hAnsi="Verdana" w:cs="Arial"/>
          <w:sz w:val="18"/>
          <w:szCs w:val="18"/>
        </w:rPr>
        <w:t xml:space="preserve"> by €</w:t>
      </w:r>
      <w:r w:rsidR="001F042B">
        <w:rPr>
          <w:rFonts w:ascii="Verdana" w:hAnsi="Verdana" w:cs="Arial"/>
          <w:sz w:val="18"/>
          <w:szCs w:val="18"/>
        </w:rPr>
        <w:t>2</w:t>
      </w:r>
      <w:r w:rsidR="002540A2">
        <w:rPr>
          <w:rFonts w:ascii="Verdana" w:hAnsi="Verdana" w:cs="Arial"/>
          <w:sz w:val="18"/>
          <w:szCs w:val="18"/>
        </w:rPr>
        <w:t>75</w:t>
      </w:r>
      <w:r w:rsidR="008C6BF1" w:rsidRPr="00CC5EEA">
        <w:rPr>
          <w:rFonts w:ascii="Verdana" w:hAnsi="Verdana" w:cs="Arial"/>
          <w:sz w:val="18"/>
          <w:szCs w:val="18"/>
        </w:rPr>
        <w:t>,</w:t>
      </w:r>
      <w:r w:rsidR="001F042B">
        <w:rPr>
          <w:rFonts w:ascii="Verdana" w:hAnsi="Verdana" w:cs="Arial"/>
          <w:sz w:val="18"/>
          <w:szCs w:val="18"/>
        </w:rPr>
        <w:t>4</w:t>
      </w:r>
      <w:r w:rsidR="008C6BF1" w:rsidRPr="00CC5EEA">
        <w:rPr>
          <w:rFonts w:ascii="Verdana" w:hAnsi="Verdana" w:cs="Arial"/>
          <w:sz w:val="18"/>
          <w:szCs w:val="18"/>
        </w:rPr>
        <w:t xml:space="preserve"> </w:t>
      </w:r>
      <w:proofErr w:type="spellStart"/>
      <w:r w:rsidR="008C6BF1" w:rsidRPr="00CC5EEA">
        <w:rPr>
          <w:rFonts w:ascii="Verdana" w:hAnsi="Verdana" w:cs="Arial"/>
          <w:sz w:val="18"/>
          <w:szCs w:val="18"/>
        </w:rPr>
        <w:t>mn</w:t>
      </w:r>
      <w:proofErr w:type="spellEnd"/>
      <w:r w:rsidR="008C6BF1" w:rsidRPr="00CC5EEA">
        <w:rPr>
          <w:rFonts w:ascii="Verdana" w:hAnsi="Verdana" w:cs="Arial"/>
          <w:sz w:val="18"/>
          <w:szCs w:val="18"/>
        </w:rPr>
        <w:t xml:space="preserve"> (</w:t>
      </w:r>
      <w:r w:rsidR="008C6BF1">
        <w:rPr>
          <w:rFonts w:ascii="Verdana" w:hAnsi="Verdana" w:cs="Arial"/>
          <w:sz w:val="18"/>
          <w:szCs w:val="18"/>
        </w:rPr>
        <w:t>+</w:t>
      </w:r>
      <w:r w:rsidR="001F042B">
        <w:rPr>
          <w:rFonts w:ascii="Verdana" w:hAnsi="Verdana" w:cs="Arial"/>
          <w:sz w:val="18"/>
          <w:szCs w:val="18"/>
        </w:rPr>
        <w:t>9</w:t>
      </w:r>
      <w:r w:rsidR="008C6BF1" w:rsidRPr="00CC5EEA">
        <w:rPr>
          <w:rFonts w:ascii="Verdana" w:hAnsi="Verdana" w:cs="Arial"/>
          <w:sz w:val="18"/>
          <w:szCs w:val="18"/>
        </w:rPr>
        <w:t>,</w:t>
      </w:r>
      <w:r w:rsidR="001F042B">
        <w:rPr>
          <w:rFonts w:ascii="Verdana" w:hAnsi="Verdana" w:cs="Arial"/>
          <w:sz w:val="18"/>
          <w:szCs w:val="18"/>
        </w:rPr>
        <w:t>8</w:t>
      </w:r>
      <w:r w:rsidR="008C6BF1" w:rsidRPr="00CC5EEA">
        <w:rPr>
          <w:rFonts w:ascii="Verdana" w:hAnsi="Verdana" w:cs="Arial"/>
          <w:sz w:val="18"/>
          <w:szCs w:val="18"/>
        </w:rPr>
        <w:t>%)</w:t>
      </w:r>
      <w:r w:rsidR="008C6BF1">
        <w:rPr>
          <w:rFonts w:ascii="Verdana" w:hAnsi="Verdana" w:cs="Arial"/>
          <w:sz w:val="18"/>
          <w:szCs w:val="18"/>
        </w:rPr>
        <w:t xml:space="preserve"> </w:t>
      </w:r>
      <w:r w:rsidR="008C6BF1" w:rsidRPr="009727E7">
        <w:rPr>
          <w:rFonts w:ascii="Verdana" w:hAnsi="Verdana" w:cs="Arial"/>
          <w:sz w:val="18"/>
          <w:szCs w:val="18"/>
        </w:rPr>
        <w:t>and amounted</w:t>
      </w:r>
      <w:r w:rsidR="008C6BF1">
        <w:rPr>
          <w:rFonts w:ascii="Verdana" w:hAnsi="Verdana" w:cs="Arial"/>
          <w:sz w:val="18"/>
          <w:szCs w:val="18"/>
        </w:rPr>
        <w:t xml:space="preserve"> to </w:t>
      </w:r>
      <w:r w:rsidR="007D07E9">
        <w:rPr>
          <w:rFonts w:ascii="Verdana" w:hAnsi="Verdana" w:cs="Arial"/>
          <w:sz w:val="18"/>
          <w:szCs w:val="18"/>
        </w:rPr>
        <w:t xml:space="preserve">           </w:t>
      </w:r>
      <w:r w:rsidR="007D07E9" w:rsidRPr="007D07E9">
        <w:rPr>
          <w:rFonts w:ascii="Verdana" w:hAnsi="Verdana" w:cs="Arial"/>
          <w:sz w:val="18"/>
          <w:szCs w:val="18"/>
        </w:rPr>
        <w:t>€</w:t>
      </w:r>
      <w:r w:rsidR="001F042B">
        <w:rPr>
          <w:rFonts w:ascii="Verdana" w:hAnsi="Verdana" w:cs="Arial"/>
          <w:sz w:val="18"/>
          <w:szCs w:val="18"/>
        </w:rPr>
        <w:t>3.073</w:t>
      </w:r>
      <w:r w:rsidR="007D07E9" w:rsidRPr="007D07E9">
        <w:rPr>
          <w:rFonts w:ascii="Verdana" w:hAnsi="Verdana" w:cs="Arial"/>
          <w:sz w:val="18"/>
          <w:szCs w:val="18"/>
        </w:rPr>
        <w:t>,</w:t>
      </w:r>
      <w:r w:rsidR="001F042B">
        <w:rPr>
          <w:rFonts w:ascii="Verdana" w:hAnsi="Verdana" w:cs="Arial"/>
          <w:sz w:val="18"/>
          <w:szCs w:val="18"/>
        </w:rPr>
        <w:t>3</w:t>
      </w:r>
      <w:r w:rsidR="008C6BF1" w:rsidRPr="00CC5EEA">
        <w:rPr>
          <w:rFonts w:ascii="Verdana" w:hAnsi="Verdana" w:cs="Arial"/>
          <w:sz w:val="18"/>
          <w:szCs w:val="18"/>
        </w:rPr>
        <w:t xml:space="preserve"> </w:t>
      </w:r>
      <w:proofErr w:type="spellStart"/>
      <w:r w:rsidR="008C6BF1" w:rsidRPr="00CC5EEA">
        <w:rPr>
          <w:rFonts w:ascii="Verdana" w:hAnsi="Verdana" w:cs="Arial"/>
          <w:sz w:val="18"/>
          <w:szCs w:val="18"/>
        </w:rPr>
        <w:t>mn</w:t>
      </w:r>
      <w:proofErr w:type="spellEnd"/>
      <w:r w:rsidR="008C6BF1" w:rsidRPr="00CC5EEA">
        <w:rPr>
          <w:rFonts w:ascii="Verdana" w:hAnsi="Verdana" w:cs="Arial"/>
          <w:sz w:val="18"/>
          <w:szCs w:val="18"/>
        </w:rPr>
        <w:t xml:space="preserve">, </w:t>
      </w:r>
      <w:r w:rsidR="008C6BF1" w:rsidRPr="008C6BF1">
        <w:rPr>
          <w:rFonts w:ascii="Verdana" w:hAnsi="Verdana" w:cs="Arial"/>
          <w:sz w:val="18"/>
          <w:szCs w:val="18"/>
        </w:rPr>
        <w:t>compared to</w:t>
      </w:r>
      <w:r w:rsidR="008C6BF1" w:rsidRPr="00CC5EEA">
        <w:rPr>
          <w:rFonts w:ascii="Verdana" w:hAnsi="Verdana" w:cs="Arial"/>
          <w:sz w:val="18"/>
          <w:szCs w:val="18"/>
        </w:rPr>
        <w:t xml:space="preserve"> </w:t>
      </w:r>
      <w:bookmarkStart w:id="1" w:name="_Hlk167954295"/>
      <w:r w:rsidR="007D07E9" w:rsidRPr="007D07E9">
        <w:rPr>
          <w:rFonts w:ascii="Verdana" w:hAnsi="Verdana" w:cs="Arial"/>
          <w:sz w:val="18"/>
          <w:szCs w:val="18"/>
        </w:rPr>
        <w:t>€</w:t>
      </w:r>
      <w:r w:rsidR="00992372">
        <w:rPr>
          <w:rFonts w:ascii="Verdana" w:hAnsi="Verdana" w:cs="Arial"/>
          <w:sz w:val="18"/>
          <w:szCs w:val="18"/>
        </w:rPr>
        <w:t>2</w:t>
      </w:r>
      <w:r w:rsidR="007D07E9" w:rsidRPr="007D07E9">
        <w:rPr>
          <w:rFonts w:ascii="Verdana" w:hAnsi="Verdana" w:cs="Arial"/>
          <w:sz w:val="18"/>
          <w:szCs w:val="18"/>
        </w:rPr>
        <w:t>.</w:t>
      </w:r>
      <w:r w:rsidR="001F042B">
        <w:rPr>
          <w:rFonts w:ascii="Verdana" w:hAnsi="Verdana" w:cs="Arial"/>
          <w:sz w:val="18"/>
          <w:szCs w:val="18"/>
        </w:rPr>
        <w:t>797</w:t>
      </w:r>
      <w:r w:rsidR="007D07E9" w:rsidRPr="007D07E9">
        <w:rPr>
          <w:rFonts w:ascii="Verdana" w:hAnsi="Verdana" w:cs="Arial"/>
          <w:sz w:val="18"/>
          <w:szCs w:val="18"/>
        </w:rPr>
        <w:t>,</w:t>
      </w:r>
      <w:bookmarkEnd w:id="1"/>
      <w:r w:rsidR="001F042B">
        <w:rPr>
          <w:rFonts w:ascii="Verdana" w:hAnsi="Verdana" w:cs="Arial"/>
          <w:sz w:val="18"/>
          <w:szCs w:val="18"/>
        </w:rPr>
        <w:t>9</w:t>
      </w:r>
      <w:r w:rsidR="007D07E9" w:rsidRPr="007D07E9">
        <w:rPr>
          <w:rFonts w:ascii="Verdana" w:hAnsi="Verdana" w:cs="Arial"/>
          <w:sz w:val="18"/>
          <w:szCs w:val="18"/>
        </w:rPr>
        <w:t xml:space="preserve"> </w:t>
      </w:r>
      <w:proofErr w:type="spellStart"/>
      <w:r w:rsidR="008C6BF1" w:rsidRPr="00CC5EEA">
        <w:rPr>
          <w:rFonts w:ascii="Verdana" w:hAnsi="Verdana" w:cs="Arial"/>
          <w:sz w:val="18"/>
          <w:szCs w:val="18"/>
        </w:rPr>
        <w:t>mn</w:t>
      </w:r>
      <w:proofErr w:type="spellEnd"/>
      <w:r w:rsidR="008C6BF1" w:rsidRPr="00CC5EEA">
        <w:rPr>
          <w:rFonts w:ascii="Verdana" w:hAnsi="Verdana" w:cs="Arial"/>
          <w:sz w:val="18"/>
          <w:szCs w:val="18"/>
        </w:rPr>
        <w:t xml:space="preserve"> in 202</w:t>
      </w:r>
      <w:r w:rsidR="008C6BF1">
        <w:rPr>
          <w:rFonts w:ascii="Verdana" w:hAnsi="Verdana" w:cs="Arial"/>
          <w:sz w:val="18"/>
          <w:szCs w:val="18"/>
        </w:rPr>
        <w:t>3</w:t>
      </w:r>
      <w:r w:rsidR="008C6BF1" w:rsidRPr="00CC5EEA">
        <w:rPr>
          <w:rFonts w:ascii="Verdana" w:hAnsi="Verdana" w:cs="Arial"/>
          <w:sz w:val="18"/>
          <w:szCs w:val="18"/>
        </w:rPr>
        <w:t xml:space="preserve">, of which net VAT revenue </w:t>
      </w:r>
      <w:r w:rsidR="008C6BF1" w:rsidRPr="008C6BF1">
        <w:rPr>
          <w:rFonts w:ascii="Verdana" w:hAnsi="Verdana" w:cs="Arial"/>
          <w:sz w:val="18"/>
          <w:szCs w:val="18"/>
        </w:rPr>
        <w:t>increased</w:t>
      </w:r>
      <w:r w:rsidR="008C6BF1" w:rsidRPr="00CC5EEA">
        <w:rPr>
          <w:rFonts w:ascii="Verdana" w:hAnsi="Verdana" w:cs="Arial"/>
          <w:sz w:val="18"/>
          <w:szCs w:val="18"/>
        </w:rPr>
        <w:t xml:space="preserve"> by €</w:t>
      </w:r>
      <w:r w:rsidR="001F042B">
        <w:rPr>
          <w:rFonts w:ascii="Verdana" w:hAnsi="Verdana" w:cs="Arial"/>
          <w:sz w:val="18"/>
          <w:szCs w:val="18"/>
        </w:rPr>
        <w:t>247</w:t>
      </w:r>
      <w:r w:rsidR="008C6BF1">
        <w:rPr>
          <w:rFonts w:ascii="Verdana" w:hAnsi="Verdana" w:cs="Arial"/>
          <w:sz w:val="18"/>
          <w:szCs w:val="18"/>
        </w:rPr>
        <w:t>,</w:t>
      </w:r>
      <w:r w:rsidR="001F042B">
        <w:rPr>
          <w:rFonts w:ascii="Verdana" w:hAnsi="Verdana" w:cs="Arial"/>
          <w:sz w:val="18"/>
          <w:szCs w:val="18"/>
        </w:rPr>
        <w:t>2</w:t>
      </w:r>
      <w:r w:rsidR="008C6BF1" w:rsidRPr="00CC5EEA">
        <w:rPr>
          <w:rFonts w:ascii="Verdana" w:hAnsi="Verdana" w:cs="Arial"/>
          <w:sz w:val="18"/>
          <w:szCs w:val="18"/>
        </w:rPr>
        <w:t xml:space="preserve"> </w:t>
      </w:r>
      <w:proofErr w:type="spellStart"/>
      <w:r w:rsidR="008C6BF1" w:rsidRPr="00CC5EEA">
        <w:rPr>
          <w:rFonts w:ascii="Verdana" w:hAnsi="Verdana" w:cs="Arial"/>
          <w:sz w:val="18"/>
          <w:szCs w:val="18"/>
        </w:rPr>
        <w:t>mn</w:t>
      </w:r>
      <w:proofErr w:type="spellEnd"/>
      <w:r w:rsidR="008C6BF1" w:rsidRPr="00CC5EEA">
        <w:rPr>
          <w:rFonts w:ascii="Verdana" w:hAnsi="Verdana" w:cs="Arial"/>
          <w:sz w:val="18"/>
          <w:szCs w:val="18"/>
        </w:rPr>
        <w:t xml:space="preserve"> (</w:t>
      </w:r>
      <w:r w:rsidR="008C6BF1">
        <w:rPr>
          <w:rFonts w:ascii="Verdana" w:hAnsi="Verdana" w:cs="Arial"/>
          <w:sz w:val="18"/>
          <w:szCs w:val="18"/>
        </w:rPr>
        <w:t>+</w:t>
      </w:r>
      <w:r w:rsidR="001F042B">
        <w:rPr>
          <w:rFonts w:ascii="Verdana" w:hAnsi="Verdana" w:cs="Arial"/>
          <w:sz w:val="18"/>
          <w:szCs w:val="18"/>
        </w:rPr>
        <w:t>13</w:t>
      </w:r>
      <w:r w:rsidR="008C6BF1" w:rsidRPr="00CC5EEA">
        <w:rPr>
          <w:rFonts w:ascii="Verdana" w:hAnsi="Verdana" w:cs="Arial"/>
          <w:sz w:val="18"/>
          <w:szCs w:val="18"/>
        </w:rPr>
        <w:t>,</w:t>
      </w:r>
      <w:r w:rsidR="001F042B">
        <w:rPr>
          <w:rFonts w:ascii="Verdana" w:hAnsi="Verdana" w:cs="Arial"/>
          <w:sz w:val="18"/>
          <w:szCs w:val="18"/>
        </w:rPr>
        <w:t>6</w:t>
      </w:r>
      <w:r w:rsidR="008C6BF1" w:rsidRPr="00CC5EEA">
        <w:rPr>
          <w:rFonts w:ascii="Verdana" w:hAnsi="Verdana" w:cs="Arial"/>
          <w:sz w:val="18"/>
          <w:szCs w:val="18"/>
        </w:rPr>
        <w:t xml:space="preserve">%) </w:t>
      </w:r>
      <w:r w:rsidR="008C6BF1" w:rsidRPr="008C6BF1">
        <w:rPr>
          <w:rFonts w:ascii="Verdana" w:hAnsi="Verdana" w:cs="Arial"/>
          <w:sz w:val="18"/>
          <w:szCs w:val="18"/>
        </w:rPr>
        <w:t xml:space="preserve">and amounted </w:t>
      </w:r>
      <w:r w:rsidR="008C6BF1">
        <w:rPr>
          <w:rFonts w:ascii="Verdana" w:hAnsi="Verdana" w:cs="Arial"/>
          <w:sz w:val="18"/>
          <w:szCs w:val="18"/>
        </w:rPr>
        <w:t>to</w:t>
      </w:r>
      <w:r w:rsidR="008C6BF1" w:rsidRPr="00CC5EEA">
        <w:rPr>
          <w:rFonts w:ascii="Verdana" w:hAnsi="Verdana" w:cs="Arial"/>
          <w:sz w:val="18"/>
          <w:szCs w:val="18"/>
        </w:rPr>
        <w:t xml:space="preserve"> </w:t>
      </w:r>
      <w:r w:rsidR="008072B1" w:rsidRPr="008072B1">
        <w:rPr>
          <w:rFonts w:ascii="Verdana" w:hAnsi="Verdana" w:cs="Arial"/>
          <w:sz w:val="18"/>
          <w:szCs w:val="18"/>
        </w:rPr>
        <w:t>€</w:t>
      </w:r>
      <w:r w:rsidR="001F042B">
        <w:rPr>
          <w:rFonts w:ascii="Verdana" w:hAnsi="Verdana" w:cs="Arial"/>
          <w:sz w:val="18"/>
          <w:szCs w:val="18"/>
        </w:rPr>
        <w:t>2</w:t>
      </w:r>
      <w:r w:rsidR="008072B1" w:rsidRPr="008072B1">
        <w:rPr>
          <w:rFonts w:ascii="Verdana" w:hAnsi="Verdana" w:cs="Arial"/>
          <w:sz w:val="18"/>
          <w:szCs w:val="18"/>
        </w:rPr>
        <w:t>.</w:t>
      </w:r>
      <w:r w:rsidR="001F042B">
        <w:rPr>
          <w:rFonts w:ascii="Verdana" w:hAnsi="Verdana" w:cs="Arial"/>
          <w:sz w:val="18"/>
          <w:szCs w:val="18"/>
        </w:rPr>
        <w:t>070</w:t>
      </w:r>
      <w:r w:rsidR="008072B1" w:rsidRPr="008072B1">
        <w:rPr>
          <w:rFonts w:ascii="Verdana" w:hAnsi="Verdana" w:cs="Arial"/>
          <w:sz w:val="18"/>
          <w:szCs w:val="18"/>
        </w:rPr>
        <w:t>,</w:t>
      </w:r>
      <w:r w:rsidR="001F042B">
        <w:rPr>
          <w:rFonts w:ascii="Verdana" w:hAnsi="Verdana" w:cs="Arial"/>
          <w:sz w:val="18"/>
          <w:szCs w:val="18"/>
        </w:rPr>
        <w:t>1</w:t>
      </w:r>
      <w:r w:rsidR="008072B1">
        <w:rPr>
          <w:rFonts w:ascii="Verdana" w:hAnsi="Verdana" w:cs="Arial"/>
          <w:sz w:val="18"/>
          <w:szCs w:val="18"/>
        </w:rPr>
        <w:t xml:space="preserve"> </w:t>
      </w:r>
      <w:proofErr w:type="spellStart"/>
      <w:r w:rsidR="008C6BF1" w:rsidRPr="00CC5EEA">
        <w:rPr>
          <w:rFonts w:ascii="Verdana" w:hAnsi="Verdana" w:cs="Arial"/>
          <w:sz w:val="18"/>
          <w:szCs w:val="18"/>
        </w:rPr>
        <w:t>mn</w:t>
      </w:r>
      <w:proofErr w:type="spellEnd"/>
      <w:r w:rsidR="008C6BF1" w:rsidRPr="00CC5EEA">
        <w:rPr>
          <w:rFonts w:ascii="Verdana" w:hAnsi="Verdana" w:cs="Arial"/>
          <w:sz w:val="18"/>
          <w:szCs w:val="18"/>
        </w:rPr>
        <w:t xml:space="preserve">, </w:t>
      </w:r>
      <w:r w:rsidR="008C6BF1" w:rsidRPr="008C6BF1">
        <w:rPr>
          <w:rFonts w:ascii="Verdana" w:hAnsi="Verdana" w:cs="Arial"/>
          <w:sz w:val="18"/>
          <w:szCs w:val="18"/>
        </w:rPr>
        <w:t>compared to</w:t>
      </w:r>
      <w:r w:rsidR="008C6BF1">
        <w:rPr>
          <w:rFonts w:ascii="Verdana" w:hAnsi="Verdana" w:cs="Arial"/>
          <w:sz w:val="18"/>
          <w:szCs w:val="18"/>
        </w:rPr>
        <w:t xml:space="preserve"> </w:t>
      </w:r>
      <w:r w:rsidR="000F1AC2" w:rsidRPr="000F1AC2">
        <w:rPr>
          <w:rFonts w:ascii="Verdana" w:hAnsi="Verdana" w:cs="Arial"/>
          <w:sz w:val="18"/>
          <w:szCs w:val="18"/>
        </w:rPr>
        <w:t>€1.</w:t>
      </w:r>
      <w:r w:rsidR="001F042B">
        <w:rPr>
          <w:rFonts w:ascii="Verdana" w:hAnsi="Verdana" w:cs="Arial"/>
          <w:sz w:val="18"/>
          <w:szCs w:val="18"/>
        </w:rPr>
        <w:t>822</w:t>
      </w:r>
      <w:r w:rsidR="000F1AC2" w:rsidRPr="000F1AC2">
        <w:rPr>
          <w:rFonts w:ascii="Verdana" w:hAnsi="Verdana" w:cs="Arial"/>
          <w:sz w:val="18"/>
          <w:szCs w:val="18"/>
        </w:rPr>
        <w:t>,</w:t>
      </w:r>
      <w:r w:rsidR="001F042B">
        <w:rPr>
          <w:rFonts w:ascii="Verdana" w:hAnsi="Verdana" w:cs="Arial"/>
          <w:sz w:val="18"/>
          <w:szCs w:val="18"/>
        </w:rPr>
        <w:t>9</w:t>
      </w:r>
      <w:r w:rsidR="000F1AC2" w:rsidRPr="000F1AC2">
        <w:rPr>
          <w:rFonts w:ascii="Verdana" w:hAnsi="Verdana" w:cs="Arial"/>
          <w:sz w:val="18"/>
          <w:szCs w:val="18"/>
        </w:rPr>
        <w:t xml:space="preserve"> </w:t>
      </w:r>
      <w:proofErr w:type="spellStart"/>
      <w:r w:rsidR="008C6BF1" w:rsidRPr="00CC5EEA">
        <w:rPr>
          <w:rFonts w:ascii="Verdana" w:hAnsi="Verdana" w:cs="Arial"/>
          <w:sz w:val="18"/>
          <w:szCs w:val="18"/>
        </w:rPr>
        <w:t>mn</w:t>
      </w:r>
      <w:proofErr w:type="spellEnd"/>
      <w:r w:rsidR="008C6BF1" w:rsidRPr="00CC5EEA">
        <w:rPr>
          <w:rFonts w:ascii="Verdana" w:hAnsi="Verdana" w:cs="Arial"/>
          <w:sz w:val="18"/>
          <w:szCs w:val="18"/>
        </w:rPr>
        <w:t xml:space="preserve"> in 202</w:t>
      </w:r>
      <w:r w:rsidR="008C6BF1">
        <w:rPr>
          <w:rFonts w:ascii="Verdana" w:hAnsi="Verdana" w:cs="Arial"/>
          <w:sz w:val="18"/>
          <w:szCs w:val="18"/>
        </w:rPr>
        <w:t>3</w:t>
      </w:r>
      <w:r w:rsidR="008C6BF1" w:rsidRPr="00CC5EEA">
        <w:rPr>
          <w:rFonts w:ascii="Verdana" w:hAnsi="Verdana" w:cs="Arial"/>
          <w:sz w:val="18"/>
          <w:szCs w:val="18"/>
        </w:rPr>
        <w:t>.</w:t>
      </w:r>
      <w:r w:rsidR="008C6BF1">
        <w:rPr>
          <w:rFonts w:ascii="Verdana" w:hAnsi="Verdana" w:cs="Arial"/>
          <w:sz w:val="18"/>
          <w:szCs w:val="18"/>
        </w:rPr>
        <w:t xml:space="preserve"> R</w:t>
      </w:r>
      <w:r w:rsidRPr="00CC5EEA">
        <w:rPr>
          <w:rFonts w:ascii="Verdana" w:hAnsi="Verdana" w:cs="Arial"/>
          <w:sz w:val="18"/>
          <w:szCs w:val="18"/>
        </w:rPr>
        <w:t>evenue from taxes on income and wealth increased by €</w:t>
      </w:r>
      <w:r w:rsidR="001F042B">
        <w:rPr>
          <w:rFonts w:ascii="Verdana" w:hAnsi="Verdana" w:cs="Arial"/>
          <w:sz w:val="18"/>
          <w:szCs w:val="18"/>
        </w:rPr>
        <w:t>371</w:t>
      </w:r>
      <w:r w:rsidR="00357C52">
        <w:rPr>
          <w:rFonts w:ascii="Verdana" w:hAnsi="Verdana" w:cs="Arial"/>
          <w:sz w:val="18"/>
          <w:szCs w:val="18"/>
        </w:rPr>
        <w:t>,</w:t>
      </w:r>
      <w:r w:rsidR="001F042B">
        <w:rPr>
          <w:rFonts w:ascii="Verdana" w:hAnsi="Verdana" w:cs="Arial"/>
          <w:sz w:val="18"/>
          <w:szCs w:val="18"/>
        </w:rPr>
        <w:t>7</w:t>
      </w:r>
      <w:r w:rsidRPr="00CC5EEA">
        <w:rPr>
          <w:rFonts w:ascii="Verdana" w:hAnsi="Verdana" w:cs="Arial"/>
          <w:sz w:val="18"/>
          <w:szCs w:val="18"/>
        </w:rPr>
        <w:t xml:space="preserve"> </w:t>
      </w:r>
      <w:proofErr w:type="spellStart"/>
      <w:r w:rsidRPr="00CC5EEA">
        <w:rPr>
          <w:rFonts w:ascii="Verdana" w:hAnsi="Verdana" w:cs="Arial"/>
          <w:sz w:val="18"/>
          <w:szCs w:val="18"/>
        </w:rPr>
        <w:t>mn</w:t>
      </w:r>
      <w:proofErr w:type="spellEnd"/>
      <w:r w:rsidRPr="00CC5EEA">
        <w:rPr>
          <w:rFonts w:ascii="Verdana" w:hAnsi="Verdana" w:cs="Arial"/>
          <w:sz w:val="18"/>
          <w:szCs w:val="18"/>
        </w:rPr>
        <w:t xml:space="preserve"> (+</w:t>
      </w:r>
      <w:r w:rsidR="007D07E9">
        <w:rPr>
          <w:rFonts w:ascii="Verdana" w:hAnsi="Verdana" w:cs="Arial"/>
          <w:sz w:val="18"/>
          <w:szCs w:val="18"/>
        </w:rPr>
        <w:t>1</w:t>
      </w:r>
      <w:r w:rsidR="001F042B">
        <w:rPr>
          <w:rFonts w:ascii="Verdana" w:hAnsi="Verdana" w:cs="Arial"/>
          <w:sz w:val="18"/>
          <w:szCs w:val="18"/>
        </w:rPr>
        <w:t>7</w:t>
      </w:r>
      <w:r w:rsidRPr="00CC5EEA">
        <w:rPr>
          <w:rFonts w:ascii="Verdana" w:hAnsi="Verdana" w:cs="Arial"/>
          <w:sz w:val="18"/>
          <w:szCs w:val="18"/>
        </w:rPr>
        <w:t>,</w:t>
      </w:r>
      <w:r w:rsidR="001F042B">
        <w:rPr>
          <w:rFonts w:ascii="Verdana" w:hAnsi="Verdana" w:cs="Arial"/>
          <w:sz w:val="18"/>
          <w:szCs w:val="18"/>
        </w:rPr>
        <w:t>3</w:t>
      </w:r>
      <w:r w:rsidRPr="00CC5EEA">
        <w:rPr>
          <w:rFonts w:ascii="Verdana" w:hAnsi="Verdana" w:cs="Arial"/>
          <w:sz w:val="18"/>
          <w:szCs w:val="18"/>
        </w:rPr>
        <w:t xml:space="preserve">%) and amounted to </w:t>
      </w:r>
      <w:bookmarkStart w:id="2" w:name="_Hlk141263034"/>
      <w:r w:rsidR="008072B1" w:rsidRPr="008072B1">
        <w:rPr>
          <w:rFonts w:ascii="Verdana" w:hAnsi="Verdana" w:cs="Arial"/>
          <w:sz w:val="18"/>
          <w:szCs w:val="18"/>
        </w:rPr>
        <w:t>€</w:t>
      </w:r>
      <w:r w:rsidR="001F042B">
        <w:rPr>
          <w:rFonts w:ascii="Verdana" w:hAnsi="Verdana" w:cs="Arial"/>
          <w:sz w:val="18"/>
          <w:szCs w:val="18"/>
        </w:rPr>
        <w:t>2</w:t>
      </w:r>
      <w:r w:rsidR="008072B1" w:rsidRPr="008072B1">
        <w:rPr>
          <w:rFonts w:ascii="Verdana" w:hAnsi="Verdana" w:cs="Arial"/>
          <w:sz w:val="18"/>
          <w:szCs w:val="18"/>
        </w:rPr>
        <w:t>.</w:t>
      </w:r>
      <w:r w:rsidR="001F042B">
        <w:rPr>
          <w:rFonts w:ascii="Verdana" w:hAnsi="Verdana" w:cs="Arial"/>
          <w:sz w:val="18"/>
          <w:szCs w:val="18"/>
        </w:rPr>
        <w:t>517</w:t>
      </w:r>
      <w:r w:rsidR="008072B1" w:rsidRPr="008072B1">
        <w:rPr>
          <w:rFonts w:ascii="Verdana" w:hAnsi="Verdana" w:cs="Arial"/>
          <w:sz w:val="18"/>
          <w:szCs w:val="18"/>
        </w:rPr>
        <w:t>,</w:t>
      </w:r>
      <w:r w:rsidR="001F042B">
        <w:rPr>
          <w:rFonts w:ascii="Verdana" w:hAnsi="Verdana" w:cs="Arial"/>
          <w:sz w:val="18"/>
          <w:szCs w:val="18"/>
        </w:rPr>
        <w:t>7</w:t>
      </w:r>
      <w:r w:rsidR="00CC5EEA" w:rsidRPr="00CC5EEA">
        <w:rPr>
          <w:rFonts w:ascii="Verdana" w:hAnsi="Verdana" w:cs="Arial"/>
          <w:sz w:val="18"/>
          <w:szCs w:val="18"/>
        </w:rPr>
        <w:t xml:space="preserve"> </w:t>
      </w:r>
      <w:bookmarkEnd w:id="2"/>
      <w:proofErr w:type="spellStart"/>
      <w:r w:rsidRPr="00CC5EEA">
        <w:rPr>
          <w:rFonts w:ascii="Verdana" w:hAnsi="Verdana" w:cs="Arial"/>
          <w:sz w:val="18"/>
          <w:szCs w:val="18"/>
        </w:rPr>
        <w:t>mn</w:t>
      </w:r>
      <w:proofErr w:type="spellEnd"/>
      <w:r w:rsidRPr="00CC5EEA">
        <w:rPr>
          <w:rFonts w:ascii="Verdana" w:hAnsi="Verdana" w:cs="Arial"/>
          <w:sz w:val="18"/>
          <w:szCs w:val="18"/>
        </w:rPr>
        <w:t>, compared to</w:t>
      </w:r>
      <w:r w:rsidR="00EE0B41" w:rsidRPr="00CC5EEA">
        <w:rPr>
          <w:rFonts w:ascii="Verdana" w:hAnsi="Verdana" w:cs="Arial"/>
          <w:sz w:val="18"/>
          <w:szCs w:val="18"/>
        </w:rPr>
        <w:t xml:space="preserve"> </w:t>
      </w:r>
      <w:r w:rsidR="007E7296" w:rsidRPr="007E7296">
        <w:rPr>
          <w:rFonts w:ascii="Verdana" w:hAnsi="Verdana" w:cs="Arial"/>
          <w:sz w:val="18"/>
          <w:szCs w:val="18"/>
        </w:rPr>
        <w:t>€</w:t>
      </w:r>
      <w:r w:rsidR="001F042B">
        <w:rPr>
          <w:rFonts w:ascii="Verdana" w:hAnsi="Verdana" w:cs="Arial"/>
          <w:sz w:val="18"/>
          <w:szCs w:val="18"/>
        </w:rPr>
        <w:t>2</w:t>
      </w:r>
      <w:r w:rsidR="000F1AC2">
        <w:rPr>
          <w:rFonts w:ascii="Verdana" w:hAnsi="Verdana" w:cs="Arial"/>
          <w:sz w:val="18"/>
          <w:szCs w:val="18"/>
        </w:rPr>
        <w:t>.</w:t>
      </w:r>
      <w:r w:rsidR="001F042B">
        <w:rPr>
          <w:rFonts w:ascii="Verdana" w:hAnsi="Verdana" w:cs="Arial"/>
          <w:sz w:val="18"/>
          <w:szCs w:val="18"/>
        </w:rPr>
        <w:t>146</w:t>
      </w:r>
      <w:r w:rsidR="00357C52">
        <w:rPr>
          <w:rFonts w:ascii="Verdana" w:hAnsi="Verdana" w:cs="Arial"/>
          <w:sz w:val="18"/>
          <w:szCs w:val="18"/>
        </w:rPr>
        <w:t>,</w:t>
      </w:r>
      <w:r w:rsidR="001F042B">
        <w:rPr>
          <w:rFonts w:ascii="Verdana" w:hAnsi="Verdana" w:cs="Arial"/>
          <w:sz w:val="18"/>
          <w:szCs w:val="18"/>
        </w:rPr>
        <w:t>0</w:t>
      </w:r>
      <w:r w:rsidR="007E7296" w:rsidRPr="007E7296">
        <w:rPr>
          <w:rFonts w:ascii="Verdana" w:hAnsi="Verdana" w:cs="Arial"/>
          <w:sz w:val="18"/>
          <w:szCs w:val="18"/>
        </w:rPr>
        <w:t xml:space="preserve"> </w:t>
      </w:r>
      <w:proofErr w:type="spellStart"/>
      <w:r w:rsidRPr="00CC5EEA">
        <w:rPr>
          <w:rFonts w:ascii="Verdana" w:hAnsi="Verdana" w:cs="Arial"/>
          <w:sz w:val="18"/>
          <w:szCs w:val="18"/>
        </w:rPr>
        <w:t>mn</w:t>
      </w:r>
      <w:proofErr w:type="spellEnd"/>
      <w:r w:rsidRPr="00CC5EEA">
        <w:rPr>
          <w:rFonts w:ascii="Verdana" w:hAnsi="Verdana" w:cs="Arial"/>
          <w:sz w:val="18"/>
          <w:szCs w:val="18"/>
        </w:rPr>
        <w:t xml:space="preserve"> in 202</w:t>
      </w:r>
      <w:r w:rsidR="00357C52">
        <w:rPr>
          <w:rFonts w:ascii="Verdana" w:hAnsi="Verdana" w:cs="Arial"/>
          <w:sz w:val="18"/>
          <w:szCs w:val="18"/>
        </w:rPr>
        <w:t>3</w:t>
      </w:r>
      <w:r w:rsidRPr="00CC5EEA">
        <w:rPr>
          <w:rFonts w:ascii="Verdana" w:hAnsi="Verdana" w:cs="Arial"/>
          <w:sz w:val="18"/>
          <w:szCs w:val="18"/>
        </w:rPr>
        <w:t>. Social contributions increased by €</w:t>
      </w:r>
      <w:r w:rsidR="0060593F">
        <w:rPr>
          <w:rFonts w:ascii="Verdana" w:hAnsi="Verdana" w:cs="Arial"/>
          <w:sz w:val="18"/>
          <w:szCs w:val="18"/>
        </w:rPr>
        <w:t>3</w:t>
      </w:r>
      <w:r w:rsidR="001F042B">
        <w:rPr>
          <w:rFonts w:ascii="Verdana" w:hAnsi="Verdana" w:cs="Arial"/>
          <w:sz w:val="18"/>
          <w:szCs w:val="18"/>
        </w:rPr>
        <w:t>65</w:t>
      </w:r>
      <w:r w:rsidR="00430ADF">
        <w:rPr>
          <w:rFonts w:ascii="Verdana" w:hAnsi="Verdana" w:cs="Arial"/>
          <w:sz w:val="18"/>
          <w:szCs w:val="18"/>
        </w:rPr>
        <w:t>,</w:t>
      </w:r>
      <w:r w:rsidR="001F042B">
        <w:rPr>
          <w:rFonts w:ascii="Verdana" w:hAnsi="Verdana" w:cs="Arial"/>
          <w:sz w:val="18"/>
          <w:szCs w:val="18"/>
        </w:rPr>
        <w:t>7</w:t>
      </w:r>
      <w:r w:rsidRPr="00CC5EEA">
        <w:rPr>
          <w:rFonts w:ascii="Verdana" w:hAnsi="Verdana" w:cs="Arial"/>
          <w:sz w:val="18"/>
          <w:szCs w:val="18"/>
        </w:rPr>
        <w:t xml:space="preserve"> </w:t>
      </w:r>
      <w:proofErr w:type="spellStart"/>
      <w:r w:rsidRPr="00CC5EEA">
        <w:rPr>
          <w:rFonts w:ascii="Verdana" w:hAnsi="Verdana" w:cs="Arial"/>
          <w:sz w:val="18"/>
          <w:szCs w:val="18"/>
        </w:rPr>
        <w:t>mn</w:t>
      </w:r>
      <w:proofErr w:type="spellEnd"/>
      <w:r w:rsidRPr="00CC5EEA">
        <w:rPr>
          <w:rFonts w:ascii="Verdana" w:hAnsi="Verdana" w:cs="Arial"/>
          <w:sz w:val="18"/>
          <w:szCs w:val="18"/>
        </w:rPr>
        <w:t xml:space="preserve"> (+1</w:t>
      </w:r>
      <w:r w:rsidR="001F042B">
        <w:rPr>
          <w:rFonts w:ascii="Verdana" w:hAnsi="Verdana" w:cs="Arial"/>
          <w:sz w:val="18"/>
          <w:szCs w:val="18"/>
        </w:rPr>
        <w:t>5</w:t>
      </w:r>
      <w:r w:rsidRPr="00CC5EEA">
        <w:rPr>
          <w:rFonts w:ascii="Verdana" w:hAnsi="Verdana" w:cs="Arial"/>
          <w:sz w:val="18"/>
          <w:szCs w:val="18"/>
        </w:rPr>
        <w:t>,</w:t>
      </w:r>
      <w:r w:rsidR="001F042B">
        <w:rPr>
          <w:rFonts w:ascii="Verdana" w:hAnsi="Verdana" w:cs="Arial"/>
          <w:sz w:val="18"/>
          <w:szCs w:val="18"/>
        </w:rPr>
        <w:t>7</w:t>
      </w:r>
      <w:r w:rsidRPr="00CC5EEA">
        <w:rPr>
          <w:rFonts w:ascii="Verdana" w:hAnsi="Verdana" w:cs="Arial"/>
          <w:sz w:val="18"/>
          <w:szCs w:val="18"/>
        </w:rPr>
        <w:t>%) and amounted to</w:t>
      </w:r>
      <w:r w:rsidR="007E7296">
        <w:rPr>
          <w:rFonts w:ascii="Verdana" w:hAnsi="Verdana" w:cs="Arial"/>
          <w:sz w:val="18"/>
          <w:szCs w:val="18"/>
        </w:rPr>
        <w:t xml:space="preserve"> </w:t>
      </w:r>
      <w:r w:rsidR="000F1AC2">
        <w:rPr>
          <w:rFonts w:ascii="Verdana" w:hAnsi="Verdana" w:cs="Arial"/>
          <w:sz w:val="18"/>
          <w:szCs w:val="18"/>
        </w:rPr>
        <w:t xml:space="preserve">      </w:t>
      </w:r>
      <w:r w:rsidR="00A57059" w:rsidRPr="00A57059">
        <w:rPr>
          <w:rFonts w:ascii="Verdana" w:hAnsi="Verdana" w:cs="Arial"/>
          <w:sz w:val="18"/>
          <w:szCs w:val="18"/>
        </w:rPr>
        <w:t>€</w:t>
      </w:r>
      <w:r w:rsidR="00992372">
        <w:rPr>
          <w:rFonts w:ascii="Verdana" w:hAnsi="Verdana" w:cs="Arial"/>
          <w:sz w:val="18"/>
          <w:szCs w:val="18"/>
        </w:rPr>
        <w:t>2</w:t>
      </w:r>
      <w:r w:rsidR="00A57059" w:rsidRPr="00A57059">
        <w:rPr>
          <w:rFonts w:ascii="Verdana" w:hAnsi="Verdana" w:cs="Arial"/>
          <w:sz w:val="18"/>
          <w:szCs w:val="18"/>
        </w:rPr>
        <w:t>.</w:t>
      </w:r>
      <w:r w:rsidR="001F042B">
        <w:rPr>
          <w:rFonts w:ascii="Verdana" w:hAnsi="Verdana" w:cs="Arial"/>
          <w:sz w:val="18"/>
          <w:szCs w:val="18"/>
        </w:rPr>
        <w:t>694</w:t>
      </w:r>
      <w:r w:rsidR="00A57059" w:rsidRPr="00A57059">
        <w:rPr>
          <w:rFonts w:ascii="Verdana" w:hAnsi="Verdana" w:cs="Arial"/>
          <w:sz w:val="18"/>
          <w:szCs w:val="18"/>
        </w:rPr>
        <w:t>,</w:t>
      </w:r>
      <w:r w:rsidR="001F042B">
        <w:rPr>
          <w:rFonts w:ascii="Verdana" w:hAnsi="Verdana" w:cs="Arial"/>
          <w:sz w:val="18"/>
          <w:szCs w:val="18"/>
        </w:rPr>
        <w:t>1</w:t>
      </w:r>
      <w:r w:rsidRPr="00CC5EEA">
        <w:rPr>
          <w:rFonts w:ascii="Verdana" w:hAnsi="Verdana" w:cs="Arial"/>
          <w:sz w:val="18"/>
          <w:szCs w:val="18"/>
        </w:rPr>
        <w:t xml:space="preserve"> </w:t>
      </w:r>
      <w:proofErr w:type="spellStart"/>
      <w:r w:rsidRPr="00CC5EEA">
        <w:rPr>
          <w:rFonts w:ascii="Verdana" w:hAnsi="Verdana" w:cs="Arial"/>
          <w:sz w:val="18"/>
          <w:szCs w:val="18"/>
        </w:rPr>
        <w:t>mn</w:t>
      </w:r>
      <w:proofErr w:type="spellEnd"/>
      <w:r w:rsidRPr="00CC5EEA">
        <w:rPr>
          <w:rFonts w:ascii="Verdana" w:hAnsi="Verdana" w:cs="Arial"/>
          <w:sz w:val="18"/>
          <w:szCs w:val="18"/>
        </w:rPr>
        <w:t xml:space="preserve">, compared to </w:t>
      </w:r>
      <w:r w:rsidR="0060593F">
        <w:rPr>
          <w:rFonts w:ascii="Verdana" w:hAnsi="Verdana" w:cs="Arial"/>
          <w:sz w:val="18"/>
          <w:szCs w:val="18"/>
        </w:rPr>
        <w:t>€2</w:t>
      </w:r>
      <w:r w:rsidR="00A57059" w:rsidRPr="00A57059">
        <w:rPr>
          <w:rFonts w:ascii="Verdana" w:hAnsi="Verdana" w:cs="Arial"/>
          <w:sz w:val="18"/>
          <w:szCs w:val="18"/>
        </w:rPr>
        <w:t>.</w:t>
      </w:r>
      <w:r w:rsidR="001F042B">
        <w:rPr>
          <w:rFonts w:ascii="Verdana" w:hAnsi="Verdana" w:cs="Arial"/>
          <w:sz w:val="18"/>
          <w:szCs w:val="18"/>
        </w:rPr>
        <w:t>328</w:t>
      </w:r>
      <w:r w:rsidR="00A57059" w:rsidRPr="00A57059">
        <w:rPr>
          <w:rFonts w:ascii="Verdana" w:hAnsi="Verdana" w:cs="Arial"/>
          <w:sz w:val="18"/>
          <w:szCs w:val="18"/>
        </w:rPr>
        <w:t>,</w:t>
      </w:r>
      <w:r w:rsidR="001F042B">
        <w:rPr>
          <w:rFonts w:ascii="Verdana" w:hAnsi="Verdana" w:cs="Arial"/>
          <w:sz w:val="18"/>
          <w:szCs w:val="18"/>
        </w:rPr>
        <w:t>4</w:t>
      </w:r>
      <w:r w:rsidR="00CC5EEA" w:rsidRPr="00CC5EEA">
        <w:rPr>
          <w:rFonts w:ascii="Verdana" w:hAnsi="Verdana" w:cs="Arial"/>
          <w:sz w:val="18"/>
          <w:szCs w:val="18"/>
        </w:rPr>
        <w:t xml:space="preserve"> </w:t>
      </w:r>
      <w:proofErr w:type="spellStart"/>
      <w:r w:rsidRPr="00CC5EEA">
        <w:rPr>
          <w:rFonts w:ascii="Verdana" w:hAnsi="Verdana" w:cs="Arial"/>
          <w:sz w:val="18"/>
          <w:szCs w:val="18"/>
        </w:rPr>
        <w:t>mn</w:t>
      </w:r>
      <w:proofErr w:type="spellEnd"/>
      <w:r w:rsidRPr="00CC5EEA">
        <w:rPr>
          <w:rFonts w:ascii="Verdana" w:hAnsi="Verdana" w:cs="Arial"/>
          <w:sz w:val="18"/>
          <w:szCs w:val="18"/>
        </w:rPr>
        <w:t xml:space="preserve"> in 202</w:t>
      </w:r>
      <w:r w:rsidR="00430ADF">
        <w:rPr>
          <w:rFonts w:ascii="Verdana" w:hAnsi="Verdana" w:cs="Arial"/>
          <w:sz w:val="18"/>
          <w:szCs w:val="18"/>
        </w:rPr>
        <w:t>3</w:t>
      </w:r>
      <w:r w:rsidRPr="00CC5EEA">
        <w:rPr>
          <w:rFonts w:ascii="Verdana" w:hAnsi="Verdana" w:cs="Arial"/>
          <w:sz w:val="18"/>
          <w:szCs w:val="18"/>
        </w:rPr>
        <w:t xml:space="preserve">. </w:t>
      </w:r>
      <w:r w:rsidR="00C8140E">
        <w:rPr>
          <w:rFonts w:ascii="Verdana" w:hAnsi="Verdana" w:cs="Arial"/>
          <w:sz w:val="18"/>
          <w:szCs w:val="18"/>
        </w:rPr>
        <w:t>P</w:t>
      </w:r>
      <w:r w:rsidR="00C8140E" w:rsidRPr="002515EE">
        <w:rPr>
          <w:rFonts w:ascii="Verdana" w:hAnsi="Verdana" w:cs="Arial"/>
          <w:sz w:val="18"/>
          <w:szCs w:val="18"/>
        </w:rPr>
        <w:t xml:space="preserve">roperty income </w:t>
      </w:r>
      <w:r w:rsidR="00C8140E">
        <w:rPr>
          <w:rFonts w:ascii="Verdana" w:hAnsi="Verdana" w:cs="Arial"/>
          <w:sz w:val="18"/>
          <w:szCs w:val="18"/>
        </w:rPr>
        <w:t>in</w:t>
      </w:r>
      <w:r w:rsidR="00C8140E" w:rsidRPr="002515EE">
        <w:rPr>
          <w:rFonts w:ascii="Verdana" w:hAnsi="Verdana" w:cs="Arial"/>
          <w:sz w:val="18"/>
          <w:szCs w:val="18"/>
        </w:rPr>
        <w:t>creased by €</w:t>
      </w:r>
      <w:r w:rsidR="00641A75">
        <w:rPr>
          <w:rFonts w:ascii="Verdana" w:hAnsi="Verdana" w:cs="Arial"/>
          <w:sz w:val="18"/>
          <w:szCs w:val="18"/>
        </w:rPr>
        <w:t>21</w:t>
      </w:r>
      <w:r w:rsidR="00C8140E">
        <w:rPr>
          <w:rFonts w:ascii="Verdana" w:hAnsi="Verdana" w:cs="Arial"/>
          <w:sz w:val="18"/>
          <w:szCs w:val="18"/>
        </w:rPr>
        <w:t>,</w:t>
      </w:r>
      <w:r w:rsidR="001F042B">
        <w:rPr>
          <w:rFonts w:ascii="Verdana" w:hAnsi="Verdana" w:cs="Arial"/>
          <w:sz w:val="18"/>
          <w:szCs w:val="18"/>
        </w:rPr>
        <w:t>4</w:t>
      </w:r>
      <w:r w:rsidR="00C8140E" w:rsidRPr="002515EE">
        <w:rPr>
          <w:rFonts w:ascii="Verdana" w:hAnsi="Verdana" w:cs="Arial"/>
          <w:sz w:val="18"/>
          <w:szCs w:val="18"/>
        </w:rPr>
        <w:t xml:space="preserve"> </w:t>
      </w:r>
      <w:proofErr w:type="spellStart"/>
      <w:r w:rsidR="00C8140E" w:rsidRPr="002515EE">
        <w:rPr>
          <w:rFonts w:ascii="Verdana" w:hAnsi="Verdana" w:cs="Arial"/>
          <w:sz w:val="18"/>
          <w:szCs w:val="18"/>
        </w:rPr>
        <w:t>mn</w:t>
      </w:r>
      <w:proofErr w:type="spellEnd"/>
      <w:r w:rsidR="00C8140E" w:rsidRPr="002515EE">
        <w:rPr>
          <w:rFonts w:ascii="Verdana" w:hAnsi="Verdana" w:cs="Arial"/>
          <w:sz w:val="18"/>
          <w:szCs w:val="18"/>
        </w:rPr>
        <w:t xml:space="preserve"> (</w:t>
      </w:r>
      <w:r w:rsidR="00C8140E">
        <w:rPr>
          <w:rFonts w:ascii="Verdana" w:hAnsi="Verdana" w:cs="Arial"/>
          <w:sz w:val="18"/>
          <w:szCs w:val="18"/>
        </w:rPr>
        <w:t>+</w:t>
      </w:r>
      <w:r w:rsidR="00641A75">
        <w:rPr>
          <w:rFonts w:ascii="Verdana" w:hAnsi="Verdana" w:cs="Arial"/>
          <w:sz w:val="18"/>
          <w:szCs w:val="18"/>
        </w:rPr>
        <w:t>3</w:t>
      </w:r>
      <w:r w:rsidR="001F042B">
        <w:rPr>
          <w:rFonts w:ascii="Verdana" w:hAnsi="Verdana" w:cs="Arial"/>
          <w:sz w:val="18"/>
          <w:szCs w:val="18"/>
        </w:rPr>
        <w:t>1</w:t>
      </w:r>
      <w:r w:rsidR="00C8140E">
        <w:rPr>
          <w:rFonts w:ascii="Verdana" w:hAnsi="Verdana" w:cs="Arial"/>
          <w:sz w:val="18"/>
          <w:szCs w:val="18"/>
        </w:rPr>
        <w:t>,</w:t>
      </w:r>
      <w:r w:rsidR="001F042B">
        <w:rPr>
          <w:rFonts w:ascii="Verdana" w:hAnsi="Verdana" w:cs="Arial"/>
          <w:sz w:val="18"/>
          <w:szCs w:val="18"/>
        </w:rPr>
        <w:t>1</w:t>
      </w:r>
      <w:r w:rsidR="00C8140E" w:rsidRPr="002515EE">
        <w:rPr>
          <w:rFonts w:ascii="Verdana" w:hAnsi="Verdana" w:cs="Arial"/>
          <w:sz w:val="18"/>
          <w:szCs w:val="18"/>
        </w:rPr>
        <w:t xml:space="preserve">%) </w:t>
      </w:r>
      <w:r w:rsidR="00C8140E" w:rsidRPr="00CA2A02">
        <w:rPr>
          <w:rFonts w:ascii="Verdana" w:hAnsi="Verdana" w:cs="Arial"/>
          <w:sz w:val="18"/>
          <w:szCs w:val="18"/>
        </w:rPr>
        <w:t xml:space="preserve">and amounted </w:t>
      </w:r>
      <w:r w:rsidR="00C8140E" w:rsidRPr="002515EE">
        <w:rPr>
          <w:rFonts w:ascii="Verdana" w:hAnsi="Verdana" w:cs="Arial"/>
          <w:sz w:val="18"/>
          <w:szCs w:val="18"/>
        </w:rPr>
        <w:t>to €</w:t>
      </w:r>
      <w:r w:rsidR="001F042B">
        <w:rPr>
          <w:rFonts w:ascii="Verdana" w:hAnsi="Verdana" w:cs="Arial"/>
          <w:sz w:val="18"/>
          <w:szCs w:val="18"/>
        </w:rPr>
        <w:t>90</w:t>
      </w:r>
      <w:r w:rsidR="00C8140E">
        <w:rPr>
          <w:rFonts w:ascii="Verdana" w:hAnsi="Verdana" w:cs="Arial"/>
          <w:sz w:val="18"/>
          <w:szCs w:val="18"/>
        </w:rPr>
        <w:t>,</w:t>
      </w:r>
      <w:r w:rsidR="001F042B">
        <w:rPr>
          <w:rFonts w:ascii="Verdana" w:hAnsi="Verdana" w:cs="Arial"/>
          <w:sz w:val="18"/>
          <w:szCs w:val="18"/>
        </w:rPr>
        <w:t>3</w:t>
      </w:r>
      <w:r w:rsidR="00C8140E" w:rsidRPr="002515EE">
        <w:rPr>
          <w:rFonts w:ascii="Verdana" w:hAnsi="Verdana" w:cs="Arial"/>
          <w:sz w:val="18"/>
          <w:szCs w:val="18"/>
        </w:rPr>
        <w:t xml:space="preserve"> </w:t>
      </w:r>
      <w:proofErr w:type="spellStart"/>
      <w:r w:rsidR="00C8140E" w:rsidRPr="002515EE">
        <w:rPr>
          <w:rFonts w:ascii="Verdana" w:hAnsi="Verdana" w:cs="Arial"/>
          <w:sz w:val="18"/>
          <w:szCs w:val="18"/>
        </w:rPr>
        <w:t>mn</w:t>
      </w:r>
      <w:proofErr w:type="spellEnd"/>
      <w:r w:rsidR="00C8140E" w:rsidRPr="002515EE">
        <w:rPr>
          <w:rFonts w:ascii="Verdana" w:hAnsi="Verdana" w:cs="Arial"/>
          <w:sz w:val="18"/>
          <w:szCs w:val="18"/>
        </w:rPr>
        <w:t xml:space="preserve">, </w:t>
      </w:r>
      <w:r w:rsidR="00C8140E" w:rsidRPr="00CA2A02">
        <w:rPr>
          <w:rFonts w:ascii="Verdana" w:hAnsi="Verdana" w:cs="Arial"/>
          <w:sz w:val="18"/>
          <w:szCs w:val="18"/>
        </w:rPr>
        <w:t>compared to</w:t>
      </w:r>
      <w:r w:rsidR="00C8140E" w:rsidRPr="002515EE">
        <w:rPr>
          <w:rFonts w:ascii="Verdana" w:hAnsi="Verdana" w:cs="Arial"/>
          <w:sz w:val="18"/>
          <w:szCs w:val="18"/>
        </w:rPr>
        <w:t xml:space="preserve"> €</w:t>
      </w:r>
      <w:r w:rsidR="00641A75">
        <w:rPr>
          <w:rFonts w:ascii="Verdana" w:hAnsi="Verdana" w:cs="Arial"/>
          <w:sz w:val="18"/>
          <w:szCs w:val="18"/>
        </w:rPr>
        <w:t>6</w:t>
      </w:r>
      <w:r w:rsidR="001F042B">
        <w:rPr>
          <w:rFonts w:ascii="Verdana" w:hAnsi="Verdana" w:cs="Arial"/>
          <w:sz w:val="18"/>
          <w:szCs w:val="18"/>
        </w:rPr>
        <w:t>8</w:t>
      </w:r>
      <w:r w:rsidR="00C8140E">
        <w:rPr>
          <w:rFonts w:ascii="Verdana" w:hAnsi="Verdana" w:cs="Arial"/>
          <w:sz w:val="18"/>
          <w:szCs w:val="18"/>
        </w:rPr>
        <w:t>,</w:t>
      </w:r>
      <w:r w:rsidR="00641A75">
        <w:rPr>
          <w:rFonts w:ascii="Verdana" w:hAnsi="Verdana" w:cs="Arial"/>
          <w:sz w:val="18"/>
          <w:szCs w:val="18"/>
        </w:rPr>
        <w:t>9</w:t>
      </w:r>
      <w:r w:rsidR="00C8140E" w:rsidRPr="002515EE">
        <w:rPr>
          <w:rFonts w:ascii="Verdana" w:hAnsi="Verdana" w:cs="Arial"/>
          <w:sz w:val="18"/>
          <w:szCs w:val="18"/>
        </w:rPr>
        <w:t xml:space="preserve"> </w:t>
      </w:r>
      <w:proofErr w:type="spellStart"/>
      <w:r w:rsidR="00C8140E" w:rsidRPr="002515EE">
        <w:rPr>
          <w:rFonts w:ascii="Verdana" w:hAnsi="Verdana" w:cs="Arial"/>
          <w:sz w:val="18"/>
          <w:szCs w:val="18"/>
        </w:rPr>
        <w:t>mn</w:t>
      </w:r>
      <w:proofErr w:type="spellEnd"/>
      <w:r w:rsidR="00C8140E" w:rsidRPr="002515EE">
        <w:rPr>
          <w:rFonts w:ascii="Verdana" w:hAnsi="Verdana" w:cs="Arial"/>
          <w:sz w:val="18"/>
          <w:szCs w:val="18"/>
        </w:rPr>
        <w:t xml:space="preserve"> in 202</w:t>
      </w:r>
      <w:r w:rsidR="00C8140E">
        <w:rPr>
          <w:rFonts w:ascii="Verdana" w:hAnsi="Verdana" w:cs="Arial"/>
          <w:sz w:val="18"/>
          <w:szCs w:val="18"/>
        </w:rPr>
        <w:t>3</w:t>
      </w:r>
      <w:r w:rsidR="00C8140E" w:rsidRPr="002515EE">
        <w:rPr>
          <w:rFonts w:ascii="Verdana" w:hAnsi="Verdana" w:cs="Arial"/>
          <w:sz w:val="18"/>
          <w:szCs w:val="18"/>
        </w:rPr>
        <w:t>.</w:t>
      </w:r>
      <w:r w:rsidR="00C8140E">
        <w:rPr>
          <w:rFonts w:ascii="Verdana" w:hAnsi="Verdana" w:cs="Arial"/>
          <w:sz w:val="18"/>
          <w:szCs w:val="18"/>
        </w:rPr>
        <w:t xml:space="preserve"> </w:t>
      </w:r>
      <w:r w:rsidR="00FE6234" w:rsidRPr="00555663">
        <w:rPr>
          <w:rFonts w:ascii="Verdana" w:hAnsi="Verdana" w:cs="Arial"/>
          <w:sz w:val="18"/>
          <w:szCs w:val="18"/>
        </w:rPr>
        <w:t xml:space="preserve">Revenue from the sale of goods and services </w:t>
      </w:r>
      <w:r w:rsidR="00FE6234">
        <w:rPr>
          <w:rFonts w:ascii="Verdana" w:hAnsi="Verdana" w:cs="Arial"/>
          <w:sz w:val="18"/>
          <w:szCs w:val="18"/>
        </w:rPr>
        <w:t>in</w:t>
      </w:r>
      <w:r w:rsidR="00FE6234" w:rsidRPr="00555663">
        <w:rPr>
          <w:rFonts w:ascii="Verdana" w:hAnsi="Verdana" w:cs="Arial"/>
          <w:sz w:val="18"/>
          <w:szCs w:val="18"/>
        </w:rPr>
        <w:t>creased by €</w:t>
      </w:r>
      <w:r w:rsidR="009E6163">
        <w:rPr>
          <w:rFonts w:ascii="Verdana" w:hAnsi="Verdana" w:cs="Arial"/>
          <w:sz w:val="18"/>
          <w:szCs w:val="18"/>
        </w:rPr>
        <w:t>1</w:t>
      </w:r>
      <w:r w:rsidR="001F042B">
        <w:rPr>
          <w:rFonts w:ascii="Verdana" w:hAnsi="Verdana" w:cs="Arial"/>
          <w:sz w:val="18"/>
          <w:szCs w:val="18"/>
        </w:rPr>
        <w:t>4</w:t>
      </w:r>
      <w:r w:rsidR="009E6163">
        <w:rPr>
          <w:rFonts w:ascii="Verdana" w:hAnsi="Verdana" w:cs="Arial"/>
          <w:sz w:val="18"/>
          <w:szCs w:val="18"/>
        </w:rPr>
        <w:t>3</w:t>
      </w:r>
      <w:r w:rsidR="00430ADF">
        <w:rPr>
          <w:rFonts w:ascii="Verdana" w:hAnsi="Verdana" w:cs="Arial"/>
          <w:sz w:val="18"/>
          <w:szCs w:val="18"/>
        </w:rPr>
        <w:t>,</w:t>
      </w:r>
      <w:r w:rsidR="001F042B">
        <w:rPr>
          <w:rFonts w:ascii="Verdana" w:hAnsi="Verdana" w:cs="Arial"/>
          <w:sz w:val="18"/>
          <w:szCs w:val="18"/>
        </w:rPr>
        <w:t>4</w:t>
      </w:r>
      <w:r w:rsidR="00FE6234" w:rsidRPr="00555663">
        <w:rPr>
          <w:rFonts w:ascii="Verdana" w:hAnsi="Verdana" w:cs="Arial"/>
          <w:sz w:val="18"/>
          <w:szCs w:val="18"/>
        </w:rPr>
        <w:t xml:space="preserve"> </w:t>
      </w:r>
      <w:proofErr w:type="spellStart"/>
      <w:r w:rsidR="00FE6234" w:rsidRPr="00555663">
        <w:rPr>
          <w:rFonts w:ascii="Verdana" w:hAnsi="Verdana" w:cs="Arial"/>
          <w:sz w:val="18"/>
          <w:szCs w:val="18"/>
        </w:rPr>
        <w:t>mn</w:t>
      </w:r>
      <w:proofErr w:type="spellEnd"/>
      <w:r w:rsidR="00751EF2">
        <w:rPr>
          <w:rFonts w:ascii="Verdana" w:hAnsi="Verdana" w:cs="Arial"/>
          <w:sz w:val="18"/>
          <w:szCs w:val="18"/>
        </w:rPr>
        <w:t xml:space="preserve"> </w:t>
      </w:r>
      <w:r w:rsidR="000D4845" w:rsidRPr="000D4845">
        <w:rPr>
          <w:rFonts w:ascii="Verdana" w:hAnsi="Verdana" w:cs="Arial"/>
          <w:sz w:val="18"/>
          <w:szCs w:val="18"/>
        </w:rPr>
        <w:t>(+</w:t>
      </w:r>
      <w:r w:rsidR="001F042B">
        <w:rPr>
          <w:rFonts w:ascii="Verdana" w:hAnsi="Verdana" w:cs="Arial"/>
          <w:sz w:val="18"/>
          <w:szCs w:val="18"/>
        </w:rPr>
        <w:t>30</w:t>
      </w:r>
      <w:r w:rsidR="000D4845" w:rsidRPr="000D4845">
        <w:rPr>
          <w:rFonts w:ascii="Verdana" w:hAnsi="Verdana" w:cs="Arial"/>
          <w:sz w:val="18"/>
          <w:szCs w:val="18"/>
        </w:rPr>
        <w:t>,</w:t>
      </w:r>
      <w:r w:rsidR="001F042B">
        <w:rPr>
          <w:rFonts w:ascii="Verdana" w:hAnsi="Verdana" w:cs="Arial"/>
          <w:sz w:val="18"/>
          <w:szCs w:val="18"/>
        </w:rPr>
        <w:t>2</w:t>
      </w:r>
      <w:r w:rsidR="000D4845" w:rsidRPr="000D4845">
        <w:rPr>
          <w:rFonts w:ascii="Verdana" w:hAnsi="Verdana" w:cs="Arial"/>
          <w:sz w:val="18"/>
          <w:szCs w:val="18"/>
        </w:rPr>
        <w:t xml:space="preserve">%) </w:t>
      </w:r>
      <w:r w:rsidR="00FE6234">
        <w:rPr>
          <w:rFonts w:ascii="Verdana" w:hAnsi="Verdana" w:cs="Arial"/>
          <w:sz w:val="18"/>
          <w:szCs w:val="18"/>
        </w:rPr>
        <w:t xml:space="preserve">and amounted </w:t>
      </w:r>
      <w:r w:rsidR="00FE6234" w:rsidRPr="00555663">
        <w:rPr>
          <w:rFonts w:ascii="Verdana" w:hAnsi="Verdana" w:cs="Arial"/>
          <w:sz w:val="18"/>
          <w:szCs w:val="18"/>
        </w:rPr>
        <w:t>to €</w:t>
      </w:r>
      <w:r w:rsidR="001F042B">
        <w:rPr>
          <w:rFonts w:ascii="Verdana" w:hAnsi="Verdana" w:cs="Arial"/>
          <w:sz w:val="18"/>
          <w:szCs w:val="18"/>
        </w:rPr>
        <w:t>618</w:t>
      </w:r>
      <w:r w:rsidR="00430ADF">
        <w:rPr>
          <w:rFonts w:ascii="Verdana" w:hAnsi="Verdana" w:cs="Arial"/>
          <w:sz w:val="18"/>
          <w:szCs w:val="18"/>
        </w:rPr>
        <w:t>,</w:t>
      </w:r>
      <w:r w:rsidR="001F042B">
        <w:rPr>
          <w:rFonts w:ascii="Verdana" w:hAnsi="Verdana" w:cs="Arial"/>
          <w:sz w:val="18"/>
          <w:szCs w:val="18"/>
        </w:rPr>
        <w:t>4</w:t>
      </w:r>
      <w:r w:rsidR="00FE6234" w:rsidRPr="00555663">
        <w:rPr>
          <w:rFonts w:ascii="Verdana" w:hAnsi="Verdana" w:cs="Arial"/>
          <w:sz w:val="18"/>
          <w:szCs w:val="18"/>
        </w:rPr>
        <w:t xml:space="preserve"> </w:t>
      </w:r>
      <w:proofErr w:type="spellStart"/>
      <w:r w:rsidR="00FE6234" w:rsidRPr="00555663">
        <w:rPr>
          <w:rFonts w:ascii="Verdana" w:hAnsi="Verdana" w:cs="Arial"/>
          <w:sz w:val="18"/>
          <w:szCs w:val="18"/>
        </w:rPr>
        <w:t>mn</w:t>
      </w:r>
      <w:proofErr w:type="spellEnd"/>
      <w:r w:rsidR="00FE6234" w:rsidRPr="00555663">
        <w:rPr>
          <w:rFonts w:ascii="Verdana" w:hAnsi="Verdana" w:cs="Arial"/>
          <w:sz w:val="18"/>
          <w:szCs w:val="18"/>
        </w:rPr>
        <w:t xml:space="preserve">, </w:t>
      </w:r>
      <w:r w:rsidR="00FE6234" w:rsidRPr="00CC5EEA">
        <w:rPr>
          <w:rFonts w:ascii="Verdana" w:hAnsi="Verdana" w:cs="Arial"/>
          <w:sz w:val="18"/>
          <w:szCs w:val="18"/>
        </w:rPr>
        <w:t>compared to</w:t>
      </w:r>
      <w:r w:rsidR="00FE6234" w:rsidRPr="00555663">
        <w:rPr>
          <w:rFonts w:ascii="Verdana" w:hAnsi="Verdana" w:cs="Arial"/>
          <w:sz w:val="18"/>
          <w:szCs w:val="18"/>
        </w:rPr>
        <w:t xml:space="preserve"> €</w:t>
      </w:r>
      <w:r w:rsidR="001F042B">
        <w:rPr>
          <w:rFonts w:ascii="Verdana" w:hAnsi="Verdana" w:cs="Arial"/>
          <w:sz w:val="18"/>
          <w:szCs w:val="18"/>
        </w:rPr>
        <w:t>4</w:t>
      </w:r>
      <w:r w:rsidR="009E5147">
        <w:rPr>
          <w:rFonts w:ascii="Verdana" w:hAnsi="Verdana" w:cs="Arial"/>
          <w:sz w:val="18"/>
          <w:szCs w:val="18"/>
        </w:rPr>
        <w:t>75</w:t>
      </w:r>
      <w:r w:rsidR="00430ADF">
        <w:rPr>
          <w:rFonts w:ascii="Verdana" w:hAnsi="Verdana" w:cs="Arial"/>
          <w:sz w:val="18"/>
          <w:szCs w:val="18"/>
        </w:rPr>
        <w:t>,</w:t>
      </w:r>
      <w:r w:rsidR="001F042B">
        <w:rPr>
          <w:rFonts w:ascii="Verdana" w:hAnsi="Verdana" w:cs="Arial"/>
          <w:sz w:val="18"/>
          <w:szCs w:val="18"/>
        </w:rPr>
        <w:t>0</w:t>
      </w:r>
      <w:r w:rsidR="00FE6234" w:rsidRPr="00555663">
        <w:rPr>
          <w:rFonts w:ascii="Verdana" w:hAnsi="Verdana" w:cs="Arial"/>
          <w:sz w:val="18"/>
          <w:szCs w:val="18"/>
        </w:rPr>
        <w:t xml:space="preserve"> </w:t>
      </w:r>
      <w:proofErr w:type="spellStart"/>
      <w:r w:rsidR="00FE6234" w:rsidRPr="00555663">
        <w:rPr>
          <w:rFonts w:ascii="Verdana" w:hAnsi="Verdana" w:cs="Arial"/>
          <w:sz w:val="18"/>
          <w:szCs w:val="18"/>
        </w:rPr>
        <w:t>mn</w:t>
      </w:r>
      <w:proofErr w:type="spellEnd"/>
      <w:r w:rsidR="00FE6234" w:rsidRPr="00555663">
        <w:rPr>
          <w:rFonts w:ascii="Verdana" w:hAnsi="Verdana" w:cs="Arial"/>
          <w:sz w:val="18"/>
          <w:szCs w:val="18"/>
        </w:rPr>
        <w:t xml:space="preserve"> in 202</w:t>
      </w:r>
      <w:r w:rsidR="00430ADF">
        <w:rPr>
          <w:rFonts w:ascii="Verdana" w:hAnsi="Verdana" w:cs="Arial"/>
          <w:sz w:val="18"/>
          <w:szCs w:val="18"/>
        </w:rPr>
        <w:t>3</w:t>
      </w:r>
      <w:r w:rsidR="00FE6234" w:rsidRPr="00555663">
        <w:rPr>
          <w:rFonts w:ascii="Verdana" w:hAnsi="Verdana" w:cs="Arial"/>
          <w:sz w:val="18"/>
          <w:szCs w:val="18"/>
        </w:rPr>
        <w:t>.</w:t>
      </w:r>
      <w:r w:rsidR="00CA2A02">
        <w:rPr>
          <w:rFonts w:ascii="Verdana" w:hAnsi="Verdana" w:cs="Arial"/>
          <w:sz w:val="18"/>
          <w:szCs w:val="18"/>
        </w:rPr>
        <w:t xml:space="preserve"> </w:t>
      </w:r>
    </w:p>
    <w:p w14:paraId="426215A3" w14:textId="77777777" w:rsidR="00992372" w:rsidRDefault="00992372" w:rsidP="00C8140E">
      <w:pPr>
        <w:jc w:val="both"/>
        <w:rPr>
          <w:rFonts w:ascii="Verdana" w:hAnsi="Verdana" w:cs="Arial"/>
          <w:sz w:val="18"/>
          <w:szCs w:val="18"/>
        </w:rPr>
      </w:pPr>
    </w:p>
    <w:p w14:paraId="47E4F192" w14:textId="256A0182" w:rsidR="00657109" w:rsidRPr="007023FD" w:rsidRDefault="00992372" w:rsidP="00C8140E">
      <w:pPr>
        <w:jc w:val="both"/>
        <w:rPr>
          <w:rFonts w:ascii="Verdana" w:hAnsi="Verdana" w:cs="Arial"/>
          <w:sz w:val="18"/>
          <w:szCs w:val="18"/>
        </w:rPr>
      </w:pPr>
      <w:r w:rsidRPr="001F042B">
        <w:rPr>
          <w:rFonts w:ascii="Verdana" w:eastAsia="Malgun Gothic" w:hAnsi="Verdana" w:cs="Arial"/>
          <w:sz w:val="18"/>
          <w:szCs w:val="18"/>
        </w:rPr>
        <w:t>On the contrary,</w:t>
      </w:r>
      <w:r w:rsidRPr="001F042B">
        <w:rPr>
          <w:rFonts w:ascii="Verdana" w:hAnsi="Verdana" w:cs="Arial"/>
          <w:sz w:val="18"/>
          <w:szCs w:val="18"/>
        </w:rPr>
        <w:t xml:space="preserve"> </w:t>
      </w:r>
      <w:r w:rsidR="001F042B" w:rsidRPr="001F042B">
        <w:rPr>
          <w:rFonts w:ascii="Verdana" w:hAnsi="Verdana" w:cs="Arial"/>
          <w:sz w:val="18"/>
          <w:szCs w:val="18"/>
        </w:rPr>
        <w:t xml:space="preserve">current transfers decreased by €71,4 </w:t>
      </w:r>
      <w:proofErr w:type="spellStart"/>
      <w:r w:rsidR="001F042B" w:rsidRPr="001F042B">
        <w:rPr>
          <w:rFonts w:ascii="Verdana" w:hAnsi="Verdana" w:cs="Arial"/>
          <w:sz w:val="18"/>
          <w:szCs w:val="18"/>
        </w:rPr>
        <w:t>mn</w:t>
      </w:r>
      <w:proofErr w:type="spellEnd"/>
      <w:r w:rsidR="001F042B" w:rsidRPr="001F042B">
        <w:rPr>
          <w:rFonts w:ascii="Verdana" w:hAnsi="Verdana" w:cs="Arial"/>
          <w:sz w:val="18"/>
          <w:szCs w:val="18"/>
        </w:rPr>
        <w:t xml:space="preserve"> (-23,5%) to €232,9 </w:t>
      </w:r>
      <w:proofErr w:type="spellStart"/>
      <w:r w:rsidR="001F042B" w:rsidRPr="001F042B">
        <w:rPr>
          <w:rFonts w:ascii="Verdana" w:hAnsi="Verdana" w:cs="Arial"/>
          <w:sz w:val="18"/>
          <w:szCs w:val="18"/>
        </w:rPr>
        <w:t>mn</w:t>
      </w:r>
      <w:proofErr w:type="spellEnd"/>
      <w:r w:rsidR="001F042B" w:rsidRPr="001F042B">
        <w:rPr>
          <w:rFonts w:ascii="Verdana" w:hAnsi="Verdana" w:cs="Arial"/>
          <w:sz w:val="18"/>
          <w:szCs w:val="18"/>
        </w:rPr>
        <w:t xml:space="preserve">, from €304,3 </w:t>
      </w:r>
      <w:proofErr w:type="spellStart"/>
      <w:r w:rsidR="001F042B" w:rsidRPr="001F042B">
        <w:rPr>
          <w:rFonts w:ascii="Verdana" w:hAnsi="Verdana" w:cs="Arial"/>
          <w:sz w:val="18"/>
          <w:szCs w:val="18"/>
        </w:rPr>
        <w:t>mn</w:t>
      </w:r>
      <w:proofErr w:type="spellEnd"/>
      <w:r w:rsidR="001F042B" w:rsidRPr="001F042B">
        <w:rPr>
          <w:rFonts w:ascii="Verdana" w:hAnsi="Verdana" w:cs="Arial"/>
          <w:sz w:val="18"/>
          <w:szCs w:val="18"/>
        </w:rPr>
        <w:t xml:space="preserve"> in 2023. C</w:t>
      </w:r>
      <w:r w:rsidR="00002313" w:rsidRPr="001F042B">
        <w:rPr>
          <w:rFonts w:ascii="Verdana" w:hAnsi="Verdana" w:cs="Arial"/>
          <w:sz w:val="18"/>
          <w:szCs w:val="18"/>
        </w:rPr>
        <w:t xml:space="preserve">apital transfers </w:t>
      </w:r>
      <w:r w:rsidR="0031296D" w:rsidRPr="001F042B">
        <w:rPr>
          <w:rFonts w:ascii="Verdana" w:hAnsi="Verdana" w:cs="Arial"/>
          <w:sz w:val="18"/>
          <w:szCs w:val="18"/>
        </w:rPr>
        <w:t>de</w:t>
      </w:r>
      <w:r w:rsidR="00002313" w:rsidRPr="001F042B">
        <w:rPr>
          <w:rFonts w:ascii="Verdana" w:hAnsi="Verdana" w:cs="Arial"/>
          <w:sz w:val="18"/>
          <w:szCs w:val="18"/>
        </w:rPr>
        <w:t>creased by €</w:t>
      </w:r>
      <w:r w:rsidR="001F042B" w:rsidRPr="001F042B">
        <w:rPr>
          <w:rFonts w:ascii="Verdana" w:hAnsi="Verdana" w:cs="Arial"/>
          <w:sz w:val="18"/>
          <w:szCs w:val="18"/>
        </w:rPr>
        <w:t>32</w:t>
      </w:r>
      <w:r w:rsidR="00002313" w:rsidRPr="001F042B">
        <w:rPr>
          <w:rFonts w:ascii="Verdana" w:hAnsi="Verdana" w:cs="Arial"/>
          <w:sz w:val="18"/>
          <w:szCs w:val="18"/>
        </w:rPr>
        <w:t>,</w:t>
      </w:r>
      <w:r w:rsidR="001F042B" w:rsidRPr="001F042B">
        <w:rPr>
          <w:rFonts w:ascii="Verdana" w:hAnsi="Verdana" w:cs="Arial"/>
          <w:sz w:val="18"/>
          <w:szCs w:val="18"/>
        </w:rPr>
        <w:t>8</w:t>
      </w:r>
      <w:r w:rsidR="00002313" w:rsidRPr="001F042B">
        <w:rPr>
          <w:rFonts w:ascii="Verdana" w:hAnsi="Verdana" w:cs="Arial"/>
          <w:sz w:val="18"/>
          <w:szCs w:val="18"/>
        </w:rPr>
        <w:t xml:space="preserve"> mn</w:t>
      </w:r>
      <w:r w:rsidR="00C8140E" w:rsidRPr="001F042B">
        <w:rPr>
          <w:rFonts w:ascii="Verdana" w:hAnsi="Verdana" w:cs="Arial"/>
          <w:sz w:val="18"/>
          <w:szCs w:val="18"/>
        </w:rPr>
        <w:t xml:space="preserve"> </w:t>
      </w:r>
      <w:r w:rsidR="000F1AC2" w:rsidRPr="001F042B">
        <w:rPr>
          <w:rFonts w:ascii="Verdana" w:hAnsi="Verdana" w:cs="Arial"/>
          <w:sz w:val="18"/>
          <w:szCs w:val="18"/>
        </w:rPr>
        <w:t>(</w:t>
      </w:r>
      <w:r w:rsidR="0048559B" w:rsidRPr="001F042B">
        <w:rPr>
          <w:rFonts w:ascii="Verdana" w:hAnsi="Verdana" w:cs="Arial"/>
          <w:sz w:val="18"/>
          <w:szCs w:val="18"/>
        </w:rPr>
        <w:t>-3</w:t>
      </w:r>
      <w:r w:rsidR="001F042B" w:rsidRPr="001F042B">
        <w:rPr>
          <w:rFonts w:ascii="Verdana" w:hAnsi="Verdana" w:cs="Arial"/>
          <w:sz w:val="18"/>
          <w:szCs w:val="18"/>
        </w:rPr>
        <w:t>1</w:t>
      </w:r>
      <w:r w:rsidR="000F1AC2" w:rsidRPr="001F042B">
        <w:rPr>
          <w:rFonts w:ascii="Verdana" w:hAnsi="Verdana" w:cs="Arial"/>
          <w:sz w:val="18"/>
          <w:szCs w:val="18"/>
        </w:rPr>
        <w:t>,</w:t>
      </w:r>
      <w:r w:rsidR="0048559B" w:rsidRPr="001F042B">
        <w:rPr>
          <w:rFonts w:ascii="Verdana" w:hAnsi="Verdana" w:cs="Arial"/>
          <w:sz w:val="18"/>
          <w:szCs w:val="18"/>
        </w:rPr>
        <w:t>2</w:t>
      </w:r>
      <w:r w:rsidR="000F1AC2" w:rsidRPr="001F042B">
        <w:rPr>
          <w:rFonts w:ascii="Verdana" w:hAnsi="Verdana" w:cs="Arial"/>
          <w:sz w:val="18"/>
          <w:szCs w:val="18"/>
        </w:rPr>
        <w:t xml:space="preserve">%) </w:t>
      </w:r>
      <w:r w:rsidR="00002313" w:rsidRPr="001F042B">
        <w:rPr>
          <w:rFonts w:ascii="Verdana" w:hAnsi="Verdana" w:cs="Arial"/>
          <w:sz w:val="18"/>
          <w:szCs w:val="18"/>
        </w:rPr>
        <w:t>to €</w:t>
      </w:r>
      <w:r w:rsidR="001F042B" w:rsidRPr="001F042B">
        <w:rPr>
          <w:rFonts w:ascii="Verdana" w:hAnsi="Verdana" w:cs="Arial"/>
          <w:sz w:val="18"/>
          <w:szCs w:val="18"/>
        </w:rPr>
        <w:t>72</w:t>
      </w:r>
      <w:r w:rsidR="00430ADF" w:rsidRPr="001F042B">
        <w:rPr>
          <w:rFonts w:ascii="Verdana" w:hAnsi="Verdana" w:cs="Arial"/>
          <w:sz w:val="18"/>
          <w:szCs w:val="18"/>
        </w:rPr>
        <w:t>,</w:t>
      </w:r>
      <w:r w:rsidR="001F042B" w:rsidRPr="001F042B">
        <w:rPr>
          <w:rFonts w:ascii="Verdana" w:hAnsi="Verdana" w:cs="Arial"/>
          <w:sz w:val="18"/>
          <w:szCs w:val="18"/>
        </w:rPr>
        <w:t>2</w:t>
      </w:r>
      <w:r w:rsidR="00002313" w:rsidRPr="001F042B">
        <w:rPr>
          <w:rFonts w:ascii="Verdana" w:hAnsi="Verdana" w:cs="Arial"/>
          <w:sz w:val="18"/>
          <w:szCs w:val="18"/>
        </w:rPr>
        <w:t xml:space="preserve"> </w:t>
      </w:r>
      <w:proofErr w:type="spellStart"/>
      <w:r w:rsidR="00002313" w:rsidRPr="001F042B">
        <w:rPr>
          <w:rFonts w:ascii="Verdana" w:hAnsi="Verdana" w:cs="Arial"/>
          <w:sz w:val="18"/>
          <w:szCs w:val="18"/>
        </w:rPr>
        <w:t>mn</w:t>
      </w:r>
      <w:proofErr w:type="spellEnd"/>
      <w:r w:rsidR="00002313" w:rsidRPr="001F042B">
        <w:rPr>
          <w:rFonts w:ascii="Verdana" w:hAnsi="Verdana" w:cs="Arial"/>
          <w:sz w:val="18"/>
          <w:szCs w:val="18"/>
        </w:rPr>
        <w:t xml:space="preserve">, </w:t>
      </w:r>
      <w:r w:rsidR="00815212" w:rsidRPr="001F042B">
        <w:rPr>
          <w:rFonts w:ascii="Verdana" w:hAnsi="Verdana" w:cs="Arial"/>
          <w:sz w:val="18"/>
          <w:szCs w:val="18"/>
        </w:rPr>
        <w:t>from</w:t>
      </w:r>
      <w:r w:rsidR="002515EE" w:rsidRPr="001F042B">
        <w:rPr>
          <w:rFonts w:ascii="Verdana" w:hAnsi="Verdana" w:cs="Arial"/>
          <w:sz w:val="18"/>
          <w:szCs w:val="18"/>
        </w:rPr>
        <w:t xml:space="preserve"> </w:t>
      </w:r>
      <w:r w:rsidR="00002313" w:rsidRPr="001F042B">
        <w:rPr>
          <w:rFonts w:ascii="Verdana" w:hAnsi="Verdana" w:cs="Arial"/>
          <w:sz w:val="18"/>
          <w:szCs w:val="18"/>
        </w:rPr>
        <w:t>€</w:t>
      </w:r>
      <w:r w:rsidR="001F042B" w:rsidRPr="001F042B">
        <w:rPr>
          <w:rFonts w:ascii="Verdana" w:hAnsi="Verdana" w:cs="Arial"/>
          <w:sz w:val="18"/>
          <w:szCs w:val="18"/>
        </w:rPr>
        <w:t>10</w:t>
      </w:r>
      <w:r w:rsidR="0048559B" w:rsidRPr="001F042B">
        <w:rPr>
          <w:rFonts w:ascii="Verdana" w:hAnsi="Verdana" w:cs="Arial"/>
          <w:sz w:val="18"/>
          <w:szCs w:val="18"/>
        </w:rPr>
        <w:t>5</w:t>
      </w:r>
      <w:r w:rsidR="00002313" w:rsidRPr="001F042B">
        <w:rPr>
          <w:rFonts w:ascii="Verdana" w:hAnsi="Verdana" w:cs="Arial"/>
          <w:sz w:val="18"/>
          <w:szCs w:val="18"/>
        </w:rPr>
        <w:t>,</w:t>
      </w:r>
      <w:r w:rsidR="001F042B" w:rsidRPr="001F042B">
        <w:rPr>
          <w:rFonts w:ascii="Verdana" w:hAnsi="Verdana" w:cs="Arial"/>
          <w:sz w:val="18"/>
          <w:szCs w:val="18"/>
        </w:rPr>
        <w:t>0</w:t>
      </w:r>
      <w:r w:rsidR="00002313" w:rsidRPr="001F042B">
        <w:rPr>
          <w:rFonts w:ascii="Verdana" w:hAnsi="Verdana" w:cs="Arial"/>
          <w:sz w:val="18"/>
          <w:szCs w:val="18"/>
        </w:rPr>
        <w:t xml:space="preserve"> </w:t>
      </w:r>
      <w:proofErr w:type="spellStart"/>
      <w:r w:rsidR="00002313" w:rsidRPr="001F042B">
        <w:rPr>
          <w:rFonts w:ascii="Verdana" w:hAnsi="Verdana" w:cs="Arial"/>
          <w:sz w:val="18"/>
          <w:szCs w:val="18"/>
        </w:rPr>
        <w:t>mn</w:t>
      </w:r>
      <w:proofErr w:type="spellEnd"/>
      <w:r w:rsidR="00002313" w:rsidRPr="001F042B">
        <w:rPr>
          <w:rFonts w:ascii="Verdana" w:hAnsi="Verdana" w:cs="Arial"/>
          <w:sz w:val="18"/>
          <w:szCs w:val="18"/>
        </w:rPr>
        <w:t xml:space="preserve"> in 202</w:t>
      </w:r>
      <w:r w:rsidR="00430ADF" w:rsidRPr="001F042B">
        <w:rPr>
          <w:rFonts w:ascii="Verdana" w:hAnsi="Verdana" w:cs="Arial"/>
          <w:sz w:val="18"/>
          <w:szCs w:val="18"/>
        </w:rPr>
        <w:t>3</w:t>
      </w:r>
      <w:r w:rsidR="00002313" w:rsidRPr="001F042B">
        <w:rPr>
          <w:rFonts w:ascii="Verdana" w:hAnsi="Verdana" w:cs="Arial"/>
          <w:sz w:val="18"/>
          <w:szCs w:val="18"/>
        </w:rPr>
        <w:t>.</w:t>
      </w:r>
    </w:p>
    <w:p w14:paraId="65419DFA" w14:textId="77777777" w:rsidR="008C6BF1" w:rsidRDefault="008C6BF1" w:rsidP="00A13B2F">
      <w:pPr>
        <w:jc w:val="both"/>
        <w:rPr>
          <w:rFonts w:ascii="Verdana" w:hAnsi="Verdana" w:cs="Arial"/>
          <w:b/>
          <w:bCs/>
          <w:sz w:val="18"/>
          <w:szCs w:val="18"/>
          <w:u w:val="single"/>
        </w:rPr>
      </w:pPr>
    </w:p>
    <w:p w14:paraId="21567DA1" w14:textId="77777777" w:rsidR="00A13B2F" w:rsidRPr="00A13B2F" w:rsidRDefault="00A13B2F" w:rsidP="00A13B2F">
      <w:pPr>
        <w:jc w:val="both"/>
        <w:rPr>
          <w:rFonts w:ascii="Verdana" w:hAnsi="Verdana" w:cs="Arial"/>
          <w:b/>
          <w:bCs/>
          <w:sz w:val="18"/>
          <w:szCs w:val="18"/>
          <w:u w:val="single"/>
        </w:rPr>
      </w:pPr>
      <w:r w:rsidRPr="00A13B2F">
        <w:rPr>
          <w:rFonts w:ascii="Verdana" w:hAnsi="Verdana" w:cs="Arial"/>
          <w:b/>
          <w:bCs/>
          <w:sz w:val="18"/>
          <w:szCs w:val="18"/>
          <w:u w:val="single"/>
        </w:rPr>
        <w:t>Expenditure</w:t>
      </w:r>
    </w:p>
    <w:p w14:paraId="0E1E3BFE" w14:textId="77777777" w:rsidR="00A13B2F" w:rsidRPr="006F21EB" w:rsidRDefault="00A13B2F" w:rsidP="00A13B2F">
      <w:pPr>
        <w:jc w:val="both"/>
        <w:rPr>
          <w:rFonts w:ascii="Verdana" w:hAnsi="Verdana" w:cs="Arial"/>
          <w:sz w:val="18"/>
          <w:szCs w:val="18"/>
        </w:rPr>
      </w:pPr>
    </w:p>
    <w:p w14:paraId="38F04316" w14:textId="1AB5D749" w:rsidR="00A13B2F" w:rsidRPr="006310D3" w:rsidRDefault="00C8140E" w:rsidP="009A0B95">
      <w:pPr>
        <w:jc w:val="both"/>
        <w:rPr>
          <w:rFonts w:ascii="Verdana" w:hAnsi="Verdana" w:cs="Arial"/>
          <w:sz w:val="18"/>
          <w:szCs w:val="18"/>
        </w:rPr>
      </w:pPr>
      <w:r w:rsidRPr="006F21EB">
        <w:rPr>
          <w:rFonts w:ascii="Verdana" w:hAnsi="Verdana" w:cs="Arial"/>
          <w:sz w:val="18"/>
          <w:szCs w:val="18"/>
        </w:rPr>
        <w:t xml:space="preserve">During the period of </w:t>
      </w:r>
      <w:r w:rsidRPr="00411BA6">
        <w:rPr>
          <w:rFonts w:ascii="Verdana" w:hAnsi="Verdana" w:cs="Arial"/>
          <w:sz w:val="18"/>
          <w:szCs w:val="18"/>
        </w:rPr>
        <w:t>January-</w:t>
      </w:r>
      <w:r w:rsidR="000D086E">
        <w:rPr>
          <w:rFonts w:ascii="Verdana" w:hAnsi="Verdana" w:cs="Arial"/>
          <w:sz w:val="18"/>
          <w:szCs w:val="18"/>
        </w:rPr>
        <w:t>August</w:t>
      </w:r>
      <w:r w:rsidR="00411BA6" w:rsidRPr="00411BA6">
        <w:rPr>
          <w:rFonts w:ascii="Verdana" w:hAnsi="Verdana" w:cs="Arial"/>
          <w:sz w:val="18"/>
          <w:szCs w:val="18"/>
        </w:rPr>
        <w:t xml:space="preserve"> </w:t>
      </w:r>
      <w:r w:rsidR="00A13B2F" w:rsidRPr="006310D3">
        <w:rPr>
          <w:rFonts w:ascii="Verdana" w:hAnsi="Verdana" w:cs="Arial"/>
          <w:sz w:val="18"/>
          <w:szCs w:val="18"/>
        </w:rPr>
        <w:t>202</w:t>
      </w:r>
      <w:r w:rsidR="00430ADF">
        <w:rPr>
          <w:rFonts w:ascii="Verdana" w:hAnsi="Verdana" w:cs="Arial"/>
          <w:sz w:val="18"/>
          <w:szCs w:val="18"/>
        </w:rPr>
        <w:t>4</w:t>
      </w:r>
      <w:r w:rsidR="00A13B2F" w:rsidRPr="006310D3">
        <w:rPr>
          <w:rFonts w:ascii="Verdana" w:hAnsi="Verdana" w:cs="Arial"/>
          <w:sz w:val="18"/>
          <w:szCs w:val="18"/>
        </w:rPr>
        <w:t xml:space="preserve">, total expenditure increased by </w:t>
      </w:r>
      <w:r w:rsidR="00197A2E" w:rsidRPr="00197A2E">
        <w:rPr>
          <w:rFonts w:ascii="Verdana" w:hAnsi="Verdana" w:cs="Arial"/>
          <w:sz w:val="18"/>
          <w:szCs w:val="18"/>
        </w:rPr>
        <w:t>€</w:t>
      </w:r>
      <w:r w:rsidR="000D086E">
        <w:rPr>
          <w:rFonts w:ascii="Verdana" w:hAnsi="Verdana" w:cs="Arial"/>
          <w:sz w:val="18"/>
          <w:szCs w:val="18"/>
        </w:rPr>
        <w:t>603</w:t>
      </w:r>
      <w:r w:rsidR="00197A2E" w:rsidRPr="00197A2E">
        <w:rPr>
          <w:rFonts w:ascii="Verdana" w:hAnsi="Verdana" w:cs="Arial"/>
          <w:sz w:val="18"/>
          <w:szCs w:val="18"/>
        </w:rPr>
        <w:t>,</w:t>
      </w:r>
      <w:r w:rsidR="000D086E">
        <w:rPr>
          <w:rFonts w:ascii="Verdana" w:hAnsi="Verdana" w:cs="Arial"/>
          <w:sz w:val="18"/>
          <w:szCs w:val="18"/>
        </w:rPr>
        <w:t>5</w:t>
      </w:r>
      <w:r w:rsidR="006310D3" w:rsidRPr="006310D3">
        <w:rPr>
          <w:rFonts w:ascii="Verdana" w:hAnsi="Verdana" w:cs="Arial"/>
          <w:sz w:val="18"/>
          <w:szCs w:val="18"/>
        </w:rPr>
        <w:t xml:space="preserve"> </w:t>
      </w:r>
      <w:proofErr w:type="spellStart"/>
      <w:r w:rsidR="006310D3" w:rsidRPr="006310D3">
        <w:rPr>
          <w:rFonts w:ascii="Verdana" w:hAnsi="Verdana" w:cs="Arial"/>
          <w:sz w:val="18"/>
          <w:szCs w:val="18"/>
        </w:rPr>
        <w:t>mn</w:t>
      </w:r>
      <w:proofErr w:type="spellEnd"/>
      <w:r w:rsidR="006310D3" w:rsidRPr="006310D3">
        <w:rPr>
          <w:rFonts w:ascii="Verdana" w:hAnsi="Verdana" w:cs="Arial"/>
          <w:sz w:val="18"/>
          <w:szCs w:val="18"/>
        </w:rPr>
        <w:t xml:space="preserve"> (+</w:t>
      </w:r>
      <w:r w:rsidR="000D086E">
        <w:rPr>
          <w:rFonts w:ascii="Verdana" w:hAnsi="Verdana" w:cs="Arial"/>
          <w:sz w:val="18"/>
          <w:szCs w:val="18"/>
        </w:rPr>
        <w:t>8</w:t>
      </w:r>
      <w:r w:rsidR="00A13B2F" w:rsidRPr="006310D3">
        <w:rPr>
          <w:rFonts w:ascii="Verdana" w:hAnsi="Verdana" w:cs="Arial"/>
          <w:sz w:val="18"/>
          <w:szCs w:val="18"/>
        </w:rPr>
        <w:t>,</w:t>
      </w:r>
      <w:r w:rsidR="000D086E">
        <w:rPr>
          <w:rFonts w:ascii="Verdana" w:hAnsi="Verdana" w:cs="Arial"/>
          <w:sz w:val="18"/>
          <w:szCs w:val="18"/>
        </w:rPr>
        <w:t>2</w:t>
      </w:r>
      <w:r w:rsidR="00A13B2F" w:rsidRPr="006310D3">
        <w:rPr>
          <w:rFonts w:ascii="Verdana" w:hAnsi="Verdana" w:cs="Arial"/>
          <w:sz w:val="18"/>
          <w:szCs w:val="18"/>
        </w:rPr>
        <w:t>%) and amounted to €</w:t>
      </w:r>
      <w:r w:rsidR="000D086E">
        <w:rPr>
          <w:rFonts w:ascii="Verdana" w:hAnsi="Verdana" w:cs="Arial"/>
          <w:sz w:val="18"/>
          <w:szCs w:val="18"/>
        </w:rPr>
        <w:t>7</w:t>
      </w:r>
      <w:r w:rsidR="00D21357">
        <w:rPr>
          <w:rFonts w:ascii="Verdana" w:hAnsi="Verdana" w:cs="Arial"/>
          <w:sz w:val="18"/>
          <w:szCs w:val="18"/>
        </w:rPr>
        <w:t>.</w:t>
      </w:r>
      <w:r w:rsidR="00E06B38">
        <w:rPr>
          <w:rFonts w:ascii="Verdana" w:hAnsi="Verdana" w:cs="Arial"/>
          <w:sz w:val="18"/>
          <w:szCs w:val="18"/>
        </w:rPr>
        <w:t>9</w:t>
      </w:r>
      <w:r w:rsidR="000D086E">
        <w:rPr>
          <w:rFonts w:ascii="Verdana" w:hAnsi="Verdana" w:cs="Arial"/>
          <w:sz w:val="18"/>
          <w:szCs w:val="18"/>
        </w:rPr>
        <w:t>30</w:t>
      </w:r>
      <w:r w:rsidR="00A13B2F" w:rsidRPr="006310D3">
        <w:rPr>
          <w:rFonts w:ascii="Verdana" w:hAnsi="Verdana" w:cs="Arial"/>
          <w:sz w:val="18"/>
          <w:szCs w:val="18"/>
        </w:rPr>
        <w:t>,</w:t>
      </w:r>
      <w:r w:rsidR="000D086E">
        <w:rPr>
          <w:rFonts w:ascii="Verdana" w:hAnsi="Verdana" w:cs="Arial"/>
          <w:sz w:val="18"/>
          <w:szCs w:val="18"/>
        </w:rPr>
        <w:t>5</w:t>
      </w:r>
      <w:r w:rsidR="00A13B2F" w:rsidRPr="006310D3">
        <w:rPr>
          <w:rFonts w:ascii="Verdana" w:hAnsi="Verdana" w:cs="Arial"/>
          <w:sz w:val="18"/>
          <w:szCs w:val="18"/>
        </w:rPr>
        <w:t xml:space="preserve"> </w:t>
      </w:r>
      <w:proofErr w:type="spellStart"/>
      <w:r w:rsidR="00A13B2F" w:rsidRPr="006310D3">
        <w:rPr>
          <w:rFonts w:ascii="Verdana" w:hAnsi="Verdana" w:cs="Arial"/>
          <w:sz w:val="18"/>
          <w:szCs w:val="18"/>
        </w:rPr>
        <w:t>mn</w:t>
      </w:r>
      <w:proofErr w:type="spellEnd"/>
      <w:r w:rsidR="00A13B2F" w:rsidRPr="006310D3">
        <w:rPr>
          <w:rFonts w:ascii="Verdana" w:hAnsi="Verdana" w:cs="Arial"/>
          <w:sz w:val="18"/>
          <w:szCs w:val="18"/>
        </w:rPr>
        <w:t>, compared to €</w:t>
      </w:r>
      <w:r w:rsidR="000D086E">
        <w:rPr>
          <w:rFonts w:ascii="Verdana" w:hAnsi="Verdana" w:cs="Arial"/>
          <w:sz w:val="18"/>
          <w:szCs w:val="18"/>
        </w:rPr>
        <w:t>7</w:t>
      </w:r>
      <w:r w:rsidR="00D21357">
        <w:rPr>
          <w:rFonts w:ascii="Verdana" w:hAnsi="Verdana" w:cs="Arial"/>
          <w:sz w:val="18"/>
          <w:szCs w:val="18"/>
        </w:rPr>
        <w:t>.</w:t>
      </w:r>
      <w:r w:rsidR="00E06B38">
        <w:rPr>
          <w:rFonts w:ascii="Verdana" w:hAnsi="Verdana" w:cs="Arial"/>
          <w:sz w:val="18"/>
          <w:szCs w:val="18"/>
        </w:rPr>
        <w:t>3</w:t>
      </w:r>
      <w:r w:rsidR="000D086E">
        <w:rPr>
          <w:rFonts w:ascii="Verdana" w:hAnsi="Verdana" w:cs="Arial"/>
          <w:sz w:val="18"/>
          <w:szCs w:val="18"/>
        </w:rPr>
        <w:t>27</w:t>
      </w:r>
      <w:r w:rsidR="00A13B2F" w:rsidRPr="006310D3">
        <w:rPr>
          <w:rFonts w:ascii="Verdana" w:hAnsi="Verdana" w:cs="Arial"/>
          <w:sz w:val="18"/>
          <w:szCs w:val="18"/>
        </w:rPr>
        <w:t>,</w:t>
      </w:r>
      <w:r w:rsidR="000D086E">
        <w:rPr>
          <w:rFonts w:ascii="Verdana" w:hAnsi="Verdana" w:cs="Arial"/>
          <w:sz w:val="18"/>
          <w:szCs w:val="18"/>
        </w:rPr>
        <w:t>0</w:t>
      </w:r>
      <w:r w:rsidR="00A13B2F" w:rsidRPr="006310D3">
        <w:rPr>
          <w:rFonts w:ascii="Verdana" w:hAnsi="Verdana" w:cs="Arial"/>
          <w:sz w:val="18"/>
          <w:szCs w:val="18"/>
        </w:rPr>
        <w:t xml:space="preserve"> </w:t>
      </w:r>
      <w:proofErr w:type="spellStart"/>
      <w:r w:rsidR="00A13B2F" w:rsidRPr="006310D3">
        <w:rPr>
          <w:rFonts w:ascii="Verdana" w:hAnsi="Verdana" w:cs="Arial"/>
          <w:sz w:val="18"/>
          <w:szCs w:val="18"/>
        </w:rPr>
        <w:t>mn</w:t>
      </w:r>
      <w:proofErr w:type="spellEnd"/>
      <w:r w:rsidR="00A13B2F" w:rsidRPr="006310D3">
        <w:rPr>
          <w:rFonts w:ascii="Verdana" w:hAnsi="Verdana" w:cs="Arial"/>
          <w:sz w:val="18"/>
          <w:szCs w:val="18"/>
        </w:rPr>
        <w:t xml:space="preserve"> in the corresponding </w:t>
      </w:r>
      <w:r w:rsidR="00D21357" w:rsidRPr="006F21EB">
        <w:rPr>
          <w:rFonts w:ascii="Verdana" w:hAnsi="Verdana" w:cs="Arial"/>
          <w:sz w:val="18"/>
          <w:szCs w:val="18"/>
        </w:rPr>
        <w:t>period</w:t>
      </w:r>
      <w:r w:rsidR="00A13B2F" w:rsidRPr="006310D3">
        <w:rPr>
          <w:rFonts w:ascii="Verdana" w:hAnsi="Verdana" w:cs="Arial"/>
          <w:sz w:val="18"/>
          <w:szCs w:val="18"/>
        </w:rPr>
        <w:t xml:space="preserve"> of 202</w:t>
      </w:r>
      <w:r w:rsidR="00430ADF">
        <w:rPr>
          <w:rFonts w:ascii="Verdana" w:hAnsi="Verdana" w:cs="Arial"/>
          <w:sz w:val="18"/>
          <w:szCs w:val="18"/>
        </w:rPr>
        <w:t>3</w:t>
      </w:r>
      <w:r w:rsidR="00A13B2F" w:rsidRPr="006310D3">
        <w:rPr>
          <w:rFonts w:ascii="Verdana" w:hAnsi="Verdana" w:cs="Arial"/>
          <w:sz w:val="18"/>
          <w:szCs w:val="18"/>
        </w:rPr>
        <w:t xml:space="preserve">. </w:t>
      </w:r>
    </w:p>
    <w:p w14:paraId="744A653A" w14:textId="77777777" w:rsidR="00A13B2F" w:rsidRPr="006836CB" w:rsidRDefault="00A13B2F" w:rsidP="009A0B95">
      <w:pPr>
        <w:jc w:val="both"/>
        <w:rPr>
          <w:rFonts w:ascii="Verdana" w:hAnsi="Verdana" w:cs="Arial"/>
          <w:sz w:val="18"/>
          <w:szCs w:val="18"/>
        </w:rPr>
      </w:pPr>
    </w:p>
    <w:p w14:paraId="651A51C9" w14:textId="3D7E7F74" w:rsidR="00155020" w:rsidRDefault="00A13B2F" w:rsidP="00053E94">
      <w:pPr>
        <w:jc w:val="both"/>
        <w:rPr>
          <w:rFonts w:ascii="Verdana" w:hAnsi="Verdana" w:cs="Arial"/>
          <w:sz w:val="18"/>
          <w:szCs w:val="18"/>
        </w:rPr>
      </w:pPr>
      <w:r w:rsidRPr="006836CB">
        <w:rPr>
          <w:rFonts w:ascii="Verdana" w:hAnsi="Verdana" w:cs="Arial"/>
          <w:sz w:val="18"/>
          <w:szCs w:val="18"/>
        </w:rPr>
        <w:t xml:space="preserve">In detail, </w:t>
      </w:r>
      <w:r w:rsidR="00D60D8E">
        <w:rPr>
          <w:rFonts w:ascii="Verdana" w:hAnsi="Verdana" w:cs="Arial"/>
          <w:sz w:val="18"/>
          <w:szCs w:val="18"/>
        </w:rPr>
        <w:t>i</w:t>
      </w:r>
      <w:r w:rsidR="00D60D8E" w:rsidRPr="00155020">
        <w:rPr>
          <w:rFonts w:ascii="Verdana" w:hAnsi="Verdana" w:cs="Arial"/>
          <w:sz w:val="18"/>
          <w:szCs w:val="18"/>
        </w:rPr>
        <w:t>ntermediate consumption increased by €</w:t>
      </w:r>
      <w:r w:rsidR="000D086E">
        <w:rPr>
          <w:rFonts w:ascii="Verdana" w:hAnsi="Verdana" w:cs="Arial"/>
          <w:sz w:val="18"/>
          <w:szCs w:val="18"/>
        </w:rPr>
        <w:t>4</w:t>
      </w:r>
      <w:r w:rsidR="007851EC">
        <w:rPr>
          <w:rFonts w:ascii="Verdana" w:hAnsi="Verdana" w:cs="Arial"/>
          <w:sz w:val="18"/>
          <w:szCs w:val="18"/>
        </w:rPr>
        <w:t>9</w:t>
      </w:r>
      <w:r w:rsidR="00D60D8E" w:rsidRPr="00155020">
        <w:rPr>
          <w:rFonts w:ascii="Verdana" w:hAnsi="Verdana" w:cs="Arial"/>
          <w:sz w:val="18"/>
          <w:szCs w:val="18"/>
        </w:rPr>
        <w:t>,</w:t>
      </w:r>
      <w:r w:rsidR="000D086E">
        <w:rPr>
          <w:rFonts w:ascii="Verdana" w:hAnsi="Verdana" w:cs="Arial"/>
          <w:sz w:val="18"/>
          <w:szCs w:val="18"/>
        </w:rPr>
        <w:t>9</w:t>
      </w:r>
      <w:r w:rsidR="00630661">
        <w:rPr>
          <w:rFonts w:ascii="Verdana" w:hAnsi="Verdana" w:cs="Arial"/>
          <w:sz w:val="18"/>
          <w:szCs w:val="18"/>
        </w:rPr>
        <w:t xml:space="preserve"> </w:t>
      </w:r>
      <w:proofErr w:type="spellStart"/>
      <w:r w:rsidR="00630661">
        <w:rPr>
          <w:rFonts w:ascii="Verdana" w:hAnsi="Verdana" w:cs="Arial"/>
          <w:sz w:val="18"/>
          <w:szCs w:val="18"/>
        </w:rPr>
        <w:t>mn</w:t>
      </w:r>
      <w:proofErr w:type="spellEnd"/>
      <w:r w:rsidR="00630661">
        <w:rPr>
          <w:rFonts w:ascii="Verdana" w:hAnsi="Verdana" w:cs="Arial"/>
          <w:sz w:val="18"/>
          <w:szCs w:val="18"/>
        </w:rPr>
        <w:t xml:space="preserve"> </w:t>
      </w:r>
      <w:r w:rsidR="00D60D8E" w:rsidRPr="00155020">
        <w:rPr>
          <w:rFonts w:ascii="Verdana" w:hAnsi="Verdana" w:cs="Arial"/>
          <w:sz w:val="18"/>
          <w:szCs w:val="18"/>
        </w:rPr>
        <w:t>(+</w:t>
      </w:r>
      <w:r w:rsidR="000D086E">
        <w:rPr>
          <w:rFonts w:ascii="Verdana" w:hAnsi="Verdana" w:cs="Arial"/>
          <w:sz w:val="18"/>
          <w:szCs w:val="18"/>
        </w:rPr>
        <w:t>6</w:t>
      </w:r>
      <w:r w:rsidR="00D60D8E" w:rsidRPr="00155020">
        <w:rPr>
          <w:rFonts w:ascii="Verdana" w:hAnsi="Verdana" w:cs="Arial"/>
          <w:sz w:val="18"/>
          <w:szCs w:val="18"/>
        </w:rPr>
        <w:t>,</w:t>
      </w:r>
      <w:r w:rsidR="000D086E">
        <w:rPr>
          <w:rFonts w:ascii="Verdana" w:hAnsi="Verdana" w:cs="Arial"/>
          <w:sz w:val="18"/>
          <w:szCs w:val="18"/>
        </w:rPr>
        <w:t>5</w:t>
      </w:r>
      <w:r w:rsidR="00D60D8E" w:rsidRPr="00155020">
        <w:rPr>
          <w:rFonts w:ascii="Verdana" w:hAnsi="Verdana" w:cs="Arial"/>
          <w:sz w:val="18"/>
          <w:szCs w:val="18"/>
        </w:rPr>
        <w:t>%) and amounted to €</w:t>
      </w:r>
      <w:r w:rsidR="000D086E">
        <w:rPr>
          <w:rFonts w:ascii="Verdana" w:hAnsi="Verdana" w:cs="Arial"/>
          <w:sz w:val="18"/>
          <w:szCs w:val="18"/>
        </w:rPr>
        <w:t>818</w:t>
      </w:r>
      <w:r w:rsidR="00D60D8E" w:rsidRPr="00155020">
        <w:rPr>
          <w:rFonts w:ascii="Verdana" w:hAnsi="Verdana" w:cs="Arial"/>
          <w:sz w:val="18"/>
          <w:szCs w:val="18"/>
        </w:rPr>
        <w:t>,</w:t>
      </w:r>
      <w:r w:rsidR="000D086E">
        <w:rPr>
          <w:rFonts w:ascii="Verdana" w:hAnsi="Verdana" w:cs="Arial"/>
          <w:sz w:val="18"/>
          <w:szCs w:val="18"/>
        </w:rPr>
        <w:t>2</w:t>
      </w:r>
      <w:r w:rsidR="00D60D8E" w:rsidRPr="00155020">
        <w:rPr>
          <w:rFonts w:ascii="Verdana" w:hAnsi="Verdana" w:cs="Arial"/>
          <w:sz w:val="18"/>
          <w:szCs w:val="18"/>
        </w:rPr>
        <w:t xml:space="preserve"> </w:t>
      </w:r>
      <w:proofErr w:type="spellStart"/>
      <w:r w:rsidR="00D60D8E" w:rsidRPr="00155020">
        <w:rPr>
          <w:rFonts w:ascii="Verdana" w:hAnsi="Verdana" w:cs="Arial"/>
          <w:sz w:val="18"/>
          <w:szCs w:val="18"/>
        </w:rPr>
        <w:t>mn</w:t>
      </w:r>
      <w:proofErr w:type="spellEnd"/>
      <w:r w:rsidR="00D60D8E" w:rsidRPr="00155020">
        <w:rPr>
          <w:rFonts w:ascii="Verdana" w:hAnsi="Verdana" w:cs="Arial"/>
          <w:sz w:val="18"/>
          <w:szCs w:val="18"/>
        </w:rPr>
        <w:t>, compared to €</w:t>
      </w:r>
      <w:r w:rsidR="000D086E">
        <w:rPr>
          <w:rFonts w:ascii="Verdana" w:hAnsi="Verdana" w:cs="Arial"/>
          <w:sz w:val="18"/>
          <w:szCs w:val="18"/>
        </w:rPr>
        <w:t>768</w:t>
      </w:r>
      <w:r w:rsidR="00D60D8E" w:rsidRPr="00155020">
        <w:rPr>
          <w:rFonts w:ascii="Verdana" w:hAnsi="Verdana" w:cs="Arial"/>
          <w:sz w:val="18"/>
          <w:szCs w:val="18"/>
        </w:rPr>
        <w:t>,</w:t>
      </w:r>
      <w:r w:rsidR="000D086E">
        <w:rPr>
          <w:rFonts w:ascii="Verdana" w:hAnsi="Verdana" w:cs="Arial"/>
          <w:sz w:val="18"/>
          <w:szCs w:val="18"/>
        </w:rPr>
        <w:t>3</w:t>
      </w:r>
      <w:r w:rsidR="00D60D8E" w:rsidRPr="00155020">
        <w:rPr>
          <w:rFonts w:ascii="Verdana" w:hAnsi="Verdana" w:cs="Arial"/>
          <w:sz w:val="18"/>
          <w:szCs w:val="18"/>
        </w:rPr>
        <w:t xml:space="preserve"> </w:t>
      </w:r>
      <w:proofErr w:type="spellStart"/>
      <w:r w:rsidR="00D60D8E" w:rsidRPr="00155020">
        <w:rPr>
          <w:rFonts w:ascii="Verdana" w:hAnsi="Verdana" w:cs="Arial"/>
          <w:sz w:val="18"/>
          <w:szCs w:val="18"/>
        </w:rPr>
        <w:t>mn</w:t>
      </w:r>
      <w:proofErr w:type="spellEnd"/>
      <w:r w:rsidR="00D60D8E" w:rsidRPr="00155020">
        <w:rPr>
          <w:rFonts w:ascii="Verdana" w:hAnsi="Verdana" w:cs="Arial"/>
          <w:sz w:val="18"/>
          <w:szCs w:val="18"/>
        </w:rPr>
        <w:t xml:space="preserve"> in 2023.</w:t>
      </w:r>
      <w:r w:rsidR="00D60D8E">
        <w:rPr>
          <w:rFonts w:ascii="Verdana" w:hAnsi="Verdana" w:cs="Arial"/>
          <w:sz w:val="18"/>
          <w:szCs w:val="18"/>
        </w:rPr>
        <w:t xml:space="preserve"> </w:t>
      </w:r>
      <w:r w:rsidR="00D60D8E" w:rsidRPr="006836CB">
        <w:rPr>
          <w:rFonts w:ascii="Verdana" w:hAnsi="Verdana" w:cs="Arial"/>
          <w:sz w:val="18"/>
          <w:szCs w:val="18"/>
        </w:rPr>
        <w:t>Compensation of employees (including imputed social contributions and pensions of civil servants) increased by €</w:t>
      </w:r>
      <w:r w:rsidR="007851EC">
        <w:rPr>
          <w:rFonts w:ascii="Verdana" w:hAnsi="Verdana" w:cs="Arial"/>
          <w:sz w:val="18"/>
          <w:szCs w:val="18"/>
        </w:rPr>
        <w:t>2</w:t>
      </w:r>
      <w:r w:rsidR="000D086E">
        <w:rPr>
          <w:rFonts w:ascii="Verdana" w:hAnsi="Verdana" w:cs="Arial"/>
          <w:sz w:val="18"/>
          <w:szCs w:val="18"/>
        </w:rPr>
        <w:t>6</w:t>
      </w:r>
      <w:r w:rsidR="007851EC">
        <w:rPr>
          <w:rFonts w:ascii="Verdana" w:hAnsi="Verdana" w:cs="Arial"/>
          <w:sz w:val="18"/>
          <w:szCs w:val="18"/>
        </w:rPr>
        <w:t>2</w:t>
      </w:r>
      <w:r w:rsidR="00D60D8E" w:rsidRPr="006836CB">
        <w:rPr>
          <w:rFonts w:ascii="Verdana" w:hAnsi="Verdana" w:cs="Arial"/>
          <w:sz w:val="18"/>
          <w:szCs w:val="18"/>
        </w:rPr>
        <w:t>,</w:t>
      </w:r>
      <w:r w:rsidR="000D086E">
        <w:rPr>
          <w:rFonts w:ascii="Verdana" w:hAnsi="Verdana" w:cs="Arial"/>
          <w:sz w:val="18"/>
          <w:szCs w:val="18"/>
        </w:rPr>
        <w:t>4</w:t>
      </w:r>
      <w:r w:rsidR="00D60D8E" w:rsidRPr="006836CB">
        <w:rPr>
          <w:rFonts w:ascii="Verdana" w:hAnsi="Verdana" w:cs="Arial"/>
          <w:sz w:val="18"/>
          <w:szCs w:val="18"/>
        </w:rPr>
        <w:t xml:space="preserve"> </w:t>
      </w:r>
      <w:proofErr w:type="spellStart"/>
      <w:r w:rsidR="00D60D8E" w:rsidRPr="006836CB">
        <w:rPr>
          <w:rFonts w:ascii="Verdana" w:hAnsi="Verdana" w:cs="Arial"/>
          <w:sz w:val="18"/>
          <w:szCs w:val="18"/>
        </w:rPr>
        <w:t>mn</w:t>
      </w:r>
      <w:proofErr w:type="spellEnd"/>
      <w:r w:rsidR="00D60D8E" w:rsidRPr="006836CB">
        <w:rPr>
          <w:rFonts w:ascii="Verdana" w:hAnsi="Verdana" w:cs="Arial"/>
          <w:sz w:val="18"/>
          <w:szCs w:val="18"/>
        </w:rPr>
        <w:t xml:space="preserve"> (+1</w:t>
      </w:r>
      <w:r w:rsidR="000240FB">
        <w:rPr>
          <w:rFonts w:ascii="Verdana" w:hAnsi="Verdana" w:cs="Arial"/>
          <w:sz w:val="18"/>
          <w:szCs w:val="18"/>
        </w:rPr>
        <w:t>2</w:t>
      </w:r>
      <w:r w:rsidR="00D60D8E" w:rsidRPr="006836CB">
        <w:rPr>
          <w:rFonts w:ascii="Verdana" w:hAnsi="Verdana" w:cs="Arial"/>
          <w:sz w:val="18"/>
          <w:szCs w:val="18"/>
        </w:rPr>
        <w:t>,</w:t>
      </w:r>
      <w:r w:rsidR="000D086E">
        <w:rPr>
          <w:rFonts w:ascii="Verdana" w:hAnsi="Verdana" w:cs="Arial"/>
          <w:sz w:val="18"/>
          <w:szCs w:val="18"/>
        </w:rPr>
        <w:t>0</w:t>
      </w:r>
      <w:r w:rsidR="00D60D8E" w:rsidRPr="006836CB">
        <w:rPr>
          <w:rFonts w:ascii="Verdana" w:hAnsi="Verdana" w:cs="Arial"/>
          <w:sz w:val="18"/>
          <w:szCs w:val="18"/>
        </w:rPr>
        <w:t xml:space="preserve">%) and amounted to </w:t>
      </w:r>
      <w:r w:rsidR="007851EC">
        <w:rPr>
          <w:rFonts w:ascii="Verdana" w:hAnsi="Verdana" w:cs="Arial"/>
          <w:sz w:val="18"/>
          <w:szCs w:val="18"/>
        </w:rPr>
        <w:t>€2</w:t>
      </w:r>
      <w:r w:rsidR="00A57059" w:rsidRPr="00A57059">
        <w:rPr>
          <w:rFonts w:ascii="Verdana" w:hAnsi="Verdana" w:cs="Arial"/>
          <w:sz w:val="18"/>
          <w:szCs w:val="18"/>
        </w:rPr>
        <w:t>.</w:t>
      </w:r>
      <w:r w:rsidR="000D086E">
        <w:rPr>
          <w:rFonts w:ascii="Verdana" w:hAnsi="Verdana" w:cs="Arial"/>
          <w:sz w:val="18"/>
          <w:szCs w:val="18"/>
        </w:rPr>
        <w:t>454</w:t>
      </w:r>
      <w:r w:rsidR="00A57059" w:rsidRPr="00A57059">
        <w:rPr>
          <w:rFonts w:ascii="Verdana" w:hAnsi="Verdana" w:cs="Arial"/>
          <w:sz w:val="18"/>
          <w:szCs w:val="18"/>
        </w:rPr>
        <w:t>,</w:t>
      </w:r>
      <w:r w:rsidR="000D086E">
        <w:rPr>
          <w:rFonts w:ascii="Verdana" w:hAnsi="Verdana" w:cs="Arial"/>
          <w:sz w:val="18"/>
          <w:szCs w:val="18"/>
        </w:rPr>
        <w:t>1</w:t>
      </w:r>
      <w:r w:rsidR="00D60D8E">
        <w:rPr>
          <w:rFonts w:ascii="Verdana" w:hAnsi="Verdana" w:cs="Arial"/>
          <w:sz w:val="18"/>
          <w:szCs w:val="18"/>
        </w:rPr>
        <w:t xml:space="preserve"> </w:t>
      </w:r>
      <w:proofErr w:type="spellStart"/>
      <w:r w:rsidR="00D60D8E" w:rsidRPr="006836CB">
        <w:rPr>
          <w:rFonts w:ascii="Verdana" w:hAnsi="Verdana" w:cs="Arial"/>
          <w:sz w:val="18"/>
          <w:szCs w:val="18"/>
        </w:rPr>
        <w:t>mn</w:t>
      </w:r>
      <w:proofErr w:type="spellEnd"/>
      <w:r w:rsidR="00D60D8E" w:rsidRPr="006836CB">
        <w:rPr>
          <w:rFonts w:ascii="Verdana" w:hAnsi="Verdana" w:cs="Arial"/>
          <w:sz w:val="18"/>
          <w:szCs w:val="18"/>
        </w:rPr>
        <w:t xml:space="preserve">, compared to </w:t>
      </w:r>
      <w:r w:rsidR="00A57059" w:rsidRPr="00A57059">
        <w:rPr>
          <w:rFonts w:ascii="Verdana" w:hAnsi="Verdana" w:cs="Arial"/>
          <w:sz w:val="18"/>
          <w:szCs w:val="18"/>
        </w:rPr>
        <w:t>€</w:t>
      </w:r>
      <w:r w:rsidR="000D086E">
        <w:rPr>
          <w:rFonts w:ascii="Verdana" w:hAnsi="Verdana" w:cs="Arial"/>
          <w:sz w:val="18"/>
          <w:szCs w:val="18"/>
        </w:rPr>
        <w:t>2</w:t>
      </w:r>
      <w:r w:rsidR="00A57059" w:rsidRPr="00A57059">
        <w:rPr>
          <w:rFonts w:ascii="Verdana" w:hAnsi="Verdana" w:cs="Arial"/>
          <w:sz w:val="18"/>
          <w:szCs w:val="18"/>
        </w:rPr>
        <w:t>.</w:t>
      </w:r>
      <w:r w:rsidR="000D086E">
        <w:rPr>
          <w:rFonts w:ascii="Verdana" w:hAnsi="Verdana" w:cs="Arial"/>
          <w:sz w:val="18"/>
          <w:szCs w:val="18"/>
        </w:rPr>
        <w:t>191</w:t>
      </w:r>
      <w:r w:rsidR="00A57059" w:rsidRPr="00A57059">
        <w:rPr>
          <w:rFonts w:ascii="Verdana" w:hAnsi="Verdana" w:cs="Arial"/>
          <w:sz w:val="18"/>
          <w:szCs w:val="18"/>
        </w:rPr>
        <w:t>,</w:t>
      </w:r>
      <w:r w:rsidR="000D086E">
        <w:rPr>
          <w:rFonts w:ascii="Verdana" w:hAnsi="Verdana" w:cs="Arial"/>
          <w:sz w:val="18"/>
          <w:szCs w:val="18"/>
        </w:rPr>
        <w:t>7</w:t>
      </w:r>
      <w:r w:rsidR="00D60D8E">
        <w:rPr>
          <w:rFonts w:ascii="Verdana" w:hAnsi="Verdana" w:cs="Arial"/>
          <w:sz w:val="18"/>
          <w:szCs w:val="18"/>
        </w:rPr>
        <w:t xml:space="preserve"> </w:t>
      </w:r>
      <w:proofErr w:type="spellStart"/>
      <w:r w:rsidR="00D60D8E" w:rsidRPr="006836CB">
        <w:rPr>
          <w:rFonts w:ascii="Verdana" w:hAnsi="Verdana" w:cs="Arial"/>
          <w:sz w:val="18"/>
          <w:szCs w:val="18"/>
        </w:rPr>
        <w:t>mn</w:t>
      </w:r>
      <w:proofErr w:type="spellEnd"/>
      <w:r w:rsidR="00D60D8E" w:rsidRPr="006836CB">
        <w:rPr>
          <w:rFonts w:ascii="Verdana" w:hAnsi="Verdana" w:cs="Arial"/>
          <w:sz w:val="18"/>
          <w:szCs w:val="18"/>
        </w:rPr>
        <w:t xml:space="preserve"> in 202</w:t>
      </w:r>
      <w:r w:rsidR="00D60D8E">
        <w:rPr>
          <w:rFonts w:ascii="Verdana" w:hAnsi="Verdana" w:cs="Arial"/>
          <w:sz w:val="18"/>
          <w:szCs w:val="18"/>
        </w:rPr>
        <w:t>3</w:t>
      </w:r>
      <w:r w:rsidR="00D60D8E" w:rsidRPr="006836CB">
        <w:rPr>
          <w:rFonts w:ascii="Verdana" w:hAnsi="Verdana" w:cs="Arial"/>
          <w:sz w:val="18"/>
          <w:szCs w:val="18"/>
        </w:rPr>
        <w:t>.</w:t>
      </w:r>
      <w:r w:rsidR="00D60D8E">
        <w:rPr>
          <w:rFonts w:ascii="Verdana" w:hAnsi="Verdana" w:cs="Arial"/>
          <w:sz w:val="18"/>
          <w:szCs w:val="18"/>
        </w:rPr>
        <w:t xml:space="preserve"> S</w:t>
      </w:r>
      <w:r w:rsidRPr="006836CB">
        <w:rPr>
          <w:rFonts w:ascii="Verdana" w:hAnsi="Verdana" w:cs="Arial"/>
          <w:sz w:val="18"/>
          <w:szCs w:val="18"/>
        </w:rPr>
        <w:t>ocial benefits increased by €</w:t>
      </w:r>
      <w:r w:rsidR="007851EC">
        <w:rPr>
          <w:rFonts w:ascii="Verdana" w:hAnsi="Verdana" w:cs="Arial"/>
          <w:sz w:val="18"/>
          <w:szCs w:val="18"/>
        </w:rPr>
        <w:t>2</w:t>
      </w:r>
      <w:r w:rsidR="000D086E">
        <w:rPr>
          <w:rFonts w:ascii="Verdana" w:hAnsi="Verdana" w:cs="Arial"/>
          <w:sz w:val="18"/>
          <w:szCs w:val="18"/>
        </w:rPr>
        <w:t>42</w:t>
      </w:r>
      <w:r w:rsidR="00430ADF">
        <w:rPr>
          <w:rFonts w:ascii="Verdana" w:hAnsi="Verdana" w:cs="Arial"/>
          <w:sz w:val="18"/>
          <w:szCs w:val="18"/>
        </w:rPr>
        <w:t>,</w:t>
      </w:r>
      <w:r w:rsidR="000D086E">
        <w:rPr>
          <w:rFonts w:ascii="Verdana" w:hAnsi="Verdana" w:cs="Arial"/>
          <w:sz w:val="18"/>
          <w:szCs w:val="18"/>
        </w:rPr>
        <w:t>3</w:t>
      </w:r>
      <w:r w:rsidRPr="006836CB">
        <w:rPr>
          <w:rFonts w:ascii="Verdana" w:hAnsi="Verdana" w:cs="Arial"/>
          <w:sz w:val="18"/>
          <w:szCs w:val="18"/>
        </w:rPr>
        <w:t xml:space="preserve"> </w:t>
      </w:r>
      <w:proofErr w:type="spellStart"/>
      <w:r w:rsidRPr="006836CB">
        <w:rPr>
          <w:rFonts w:ascii="Verdana" w:hAnsi="Verdana" w:cs="Arial"/>
          <w:sz w:val="18"/>
          <w:szCs w:val="18"/>
        </w:rPr>
        <w:t>mn</w:t>
      </w:r>
      <w:proofErr w:type="spellEnd"/>
      <w:r w:rsidRPr="006836CB">
        <w:rPr>
          <w:rFonts w:ascii="Verdana" w:hAnsi="Verdana" w:cs="Arial"/>
          <w:sz w:val="18"/>
          <w:szCs w:val="18"/>
        </w:rPr>
        <w:t xml:space="preserve"> (+</w:t>
      </w:r>
      <w:r w:rsidR="007851EC">
        <w:rPr>
          <w:rFonts w:ascii="Verdana" w:hAnsi="Verdana" w:cs="Arial"/>
          <w:sz w:val="18"/>
          <w:szCs w:val="18"/>
        </w:rPr>
        <w:t>8</w:t>
      </w:r>
      <w:r w:rsidRPr="006836CB">
        <w:rPr>
          <w:rFonts w:ascii="Verdana" w:hAnsi="Verdana" w:cs="Arial"/>
          <w:sz w:val="18"/>
          <w:szCs w:val="18"/>
        </w:rPr>
        <w:t>,</w:t>
      </w:r>
      <w:r w:rsidR="000D086E">
        <w:rPr>
          <w:rFonts w:ascii="Verdana" w:hAnsi="Verdana" w:cs="Arial"/>
          <w:sz w:val="18"/>
          <w:szCs w:val="18"/>
        </w:rPr>
        <w:t>4</w:t>
      </w:r>
      <w:r w:rsidRPr="006836CB">
        <w:rPr>
          <w:rFonts w:ascii="Verdana" w:hAnsi="Verdana" w:cs="Arial"/>
          <w:sz w:val="18"/>
          <w:szCs w:val="18"/>
        </w:rPr>
        <w:t xml:space="preserve">%) and amounted to </w:t>
      </w:r>
      <w:r w:rsidR="00730D7F">
        <w:rPr>
          <w:rFonts w:ascii="Verdana" w:hAnsi="Verdana" w:cs="Arial"/>
          <w:sz w:val="18"/>
          <w:szCs w:val="18"/>
        </w:rPr>
        <w:t xml:space="preserve">       </w:t>
      </w:r>
      <w:r w:rsidR="00CF0CCE" w:rsidRPr="00CF0CCE">
        <w:rPr>
          <w:rFonts w:ascii="Verdana" w:hAnsi="Verdana" w:cs="Arial"/>
          <w:sz w:val="18"/>
          <w:szCs w:val="18"/>
        </w:rPr>
        <w:t>€</w:t>
      </w:r>
      <w:r w:rsidR="000D086E">
        <w:rPr>
          <w:rFonts w:ascii="Verdana" w:hAnsi="Verdana" w:cs="Arial"/>
          <w:sz w:val="18"/>
          <w:szCs w:val="18"/>
        </w:rPr>
        <w:t>3</w:t>
      </w:r>
      <w:r w:rsidR="00CF0CCE" w:rsidRPr="00CF0CCE">
        <w:rPr>
          <w:rFonts w:ascii="Verdana" w:hAnsi="Verdana" w:cs="Arial"/>
          <w:sz w:val="18"/>
          <w:szCs w:val="18"/>
        </w:rPr>
        <w:t>.</w:t>
      </w:r>
      <w:r w:rsidR="000D086E">
        <w:rPr>
          <w:rFonts w:ascii="Verdana" w:hAnsi="Verdana" w:cs="Arial"/>
          <w:sz w:val="18"/>
          <w:szCs w:val="18"/>
        </w:rPr>
        <w:t>132</w:t>
      </w:r>
      <w:r w:rsidR="00CF0CCE" w:rsidRPr="00CF0CCE">
        <w:rPr>
          <w:rFonts w:ascii="Verdana" w:hAnsi="Verdana" w:cs="Arial"/>
          <w:sz w:val="18"/>
          <w:szCs w:val="18"/>
        </w:rPr>
        <w:t>,</w:t>
      </w:r>
      <w:r w:rsidR="000D086E">
        <w:rPr>
          <w:rFonts w:ascii="Verdana" w:hAnsi="Verdana" w:cs="Arial"/>
          <w:sz w:val="18"/>
          <w:szCs w:val="18"/>
        </w:rPr>
        <w:t>1</w:t>
      </w:r>
      <w:r w:rsidR="00CF0CCE" w:rsidRPr="00CF0CCE">
        <w:rPr>
          <w:rFonts w:ascii="Verdana" w:hAnsi="Verdana" w:cs="Arial"/>
          <w:sz w:val="18"/>
          <w:szCs w:val="18"/>
        </w:rPr>
        <w:t xml:space="preserve"> </w:t>
      </w:r>
      <w:proofErr w:type="spellStart"/>
      <w:r w:rsidRPr="006836CB">
        <w:rPr>
          <w:rFonts w:ascii="Verdana" w:hAnsi="Verdana" w:cs="Arial"/>
          <w:sz w:val="18"/>
          <w:szCs w:val="18"/>
        </w:rPr>
        <w:t>mn</w:t>
      </w:r>
      <w:proofErr w:type="spellEnd"/>
      <w:r w:rsidRPr="006836CB">
        <w:rPr>
          <w:rFonts w:ascii="Verdana" w:hAnsi="Verdana" w:cs="Arial"/>
          <w:sz w:val="18"/>
          <w:szCs w:val="18"/>
        </w:rPr>
        <w:t xml:space="preserve">, compared to </w:t>
      </w:r>
      <w:r w:rsidR="00CF0CCE" w:rsidRPr="00CF0CCE">
        <w:rPr>
          <w:rFonts w:ascii="Verdana" w:hAnsi="Verdana" w:cs="Arial"/>
          <w:sz w:val="18"/>
          <w:szCs w:val="18"/>
        </w:rPr>
        <w:t>€</w:t>
      </w:r>
      <w:r w:rsidR="000240FB">
        <w:rPr>
          <w:rFonts w:ascii="Verdana" w:hAnsi="Verdana" w:cs="Arial"/>
          <w:sz w:val="18"/>
          <w:szCs w:val="18"/>
        </w:rPr>
        <w:t>2</w:t>
      </w:r>
      <w:r w:rsidR="00CF0CCE" w:rsidRPr="00CF0CCE">
        <w:rPr>
          <w:rFonts w:ascii="Verdana" w:hAnsi="Verdana" w:cs="Arial"/>
          <w:sz w:val="18"/>
          <w:szCs w:val="18"/>
        </w:rPr>
        <w:t>.</w:t>
      </w:r>
      <w:r w:rsidR="000D086E">
        <w:rPr>
          <w:rFonts w:ascii="Verdana" w:hAnsi="Verdana" w:cs="Arial"/>
          <w:sz w:val="18"/>
          <w:szCs w:val="18"/>
        </w:rPr>
        <w:t>889</w:t>
      </w:r>
      <w:r w:rsidR="00CF0CCE" w:rsidRPr="00CF0CCE">
        <w:rPr>
          <w:rFonts w:ascii="Verdana" w:hAnsi="Verdana" w:cs="Arial"/>
          <w:sz w:val="18"/>
          <w:szCs w:val="18"/>
        </w:rPr>
        <w:t>,</w:t>
      </w:r>
      <w:r w:rsidR="000D086E">
        <w:rPr>
          <w:rFonts w:ascii="Verdana" w:hAnsi="Verdana" w:cs="Arial"/>
          <w:sz w:val="18"/>
          <w:szCs w:val="18"/>
        </w:rPr>
        <w:t>8</w:t>
      </w:r>
      <w:r w:rsidR="00CF0CCE" w:rsidRPr="00CF0CCE">
        <w:rPr>
          <w:rFonts w:ascii="Verdana" w:hAnsi="Verdana" w:cs="Arial"/>
          <w:sz w:val="18"/>
          <w:szCs w:val="18"/>
        </w:rPr>
        <w:t xml:space="preserve"> </w:t>
      </w:r>
      <w:proofErr w:type="spellStart"/>
      <w:r w:rsidRPr="006836CB">
        <w:rPr>
          <w:rFonts w:ascii="Verdana" w:hAnsi="Verdana" w:cs="Arial"/>
          <w:sz w:val="18"/>
          <w:szCs w:val="18"/>
        </w:rPr>
        <w:t>mn</w:t>
      </w:r>
      <w:proofErr w:type="spellEnd"/>
      <w:r w:rsidRPr="006836CB">
        <w:rPr>
          <w:rFonts w:ascii="Verdana" w:hAnsi="Verdana" w:cs="Arial"/>
          <w:sz w:val="18"/>
          <w:szCs w:val="18"/>
        </w:rPr>
        <w:t xml:space="preserve"> in 202</w:t>
      </w:r>
      <w:r w:rsidR="00430ADF">
        <w:rPr>
          <w:rFonts w:ascii="Verdana" w:hAnsi="Verdana" w:cs="Arial"/>
          <w:sz w:val="18"/>
          <w:szCs w:val="18"/>
        </w:rPr>
        <w:t>3</w:t>
      </w:r>
      <w:r w:rsidRPr="006836CB">
        <w:rPr>
          <w:rFonts w:ascii="Verdana" w:hAnsi="Verdana" w:cs="Arial"/>
          <w:sz w:val="18"/>
          <w:szCs w:val="18"/>
        </w:rPr>
        <w:t xml:space="preserve">. </w:t>
      </w:r>
      <w:r w:rsidR="00B77EA8" w:rsidRPr="004C5ED6">
        <w:rPr>
          <w:rFonts w:ascii="Verdana" w:hAnsi="Verdana" w:cs="Arial"/>
          <w:sz w:val="18"/>
          <w:szCs w:val="18"/>
        </w:rPr>
        <w:t xml:space="preserve">Current transfers </w:t>
      </w:r>
      <w:r w:rsidR="00B77EA8" w:rsidRPr="00155020">
        <w:rPr>
          <w:rFonts w:ascii="Verdana" w:hAnsi="Verdana" w:cs="Arial"/>
          <w:sz w:val="18"/>
          <w:szCs w:val="18"/>
        </w:rPr>
        <w:t>increased</w:t>
      </w:r>
      <w:r w:rsidR="00B77EA8">
        <w:rPr>
          <w:rFonts w:ascii="Verdana" w:hAnsi="Verdana" w:cs="Arial"/>
          <w:sz w:val="18"/>
          <w:szCs w:val="18"/>
        </w:rPr>
        <w:t xml:space="preserve"> </w:t>
      </w:r>
      <w:r w:rsidR="00B77EA8" w:rsidRPr="004C5ED6">
        <w:rPr>
          <w:rFonts w:ascii="Verdana" w:hAnsi="Verdana" w:cs="Arial"/>
          <w:sz w:val="18"/>
          <w:szCs w:val="18"/>
        </w:rPr>
        <w:t>by €</w:t>
      </w:r>
      <w:r w:rsidR="00D00930">
        <w:rPr>
          <w:rFonts w:ascii="Verdana" w:hAnsi="Verdana" w:cs="Arial"/>
          <w:sz w:val="18"/>
          <w:szCs w:val="18"/>
        </w:rPr>
        <w:t>117</w:t>
      </w:r>
      <w:r w:rsidR="00B77EA8" w:rsidRPr="004C5ED6">
        <w:rPr>
          <w:rFonts w:ascii="Verdana" w:hAnsi="Verdana" w:cs="Arial"/>
          <w:sz w:val="18"/>
          <w:szCs w:val="18"/>
        </w:rPr>
        <w:t>,</w:t>
      </w:r>
      <w:r w:rsidR="00D00930">
        <w:rPr>
          <w:rFonts w:ascii="Verdana" w:hAnsi="Verdana" w:cs="Arial"/>
          <w:sz w:val="18"/>
          <w:szCs w:val="18"/>
        </w:rPr>
        <w:t>3</w:t>
      </w:r>
      <w:r w:rsidR="00B77EA8" w:rsidRPr="004C5ED6">
        <w:rPr>
          <w:rFonts w:ascii="Verdana" w:hAnsi="Verdana" w:cs="Arial"/>
          <w:sz w:val="18"/>
          <w:szCs w:val="18"/>
        </w:rPr>
        <w:t xml:space="preserve"> </w:t>
      </w:r>
      <w:proofErr w:type="spellStart"/>
      <w:r w:rsidR="00B77EA8" w:rsidRPr="004C5ED6">
        <w:rPr>
          <w:rFonts w:ascii="Verdana" w:hAnsi="Verdana" w:cs="Arial"/>
          <w:sz w:val="18"/>
          <w:szCs w:val="18"/>
        </w:rPr>
        <w:t>mn</w:t>
      </w:r>
      <w:proofErr w:type="spellEnd"/>
      <w:r w:rsidR="00B77EA8" w:rsidRPr="004C5ED6">
        <w:rPr>
          <w:rFonts w:ascii="Verdana" w:hAnsi="Verdana" w:cs="Arial"/>
          <w:sz w:val="18"/>
          <w:szCs w:val="18"/>
        </w:rPr>
        <w:t xml:space="preserve"> (</w:t>
      </w:r>
      <w:r w:rsidR="00B77EA8">
        <w:rPr>
          <w:rFonts w:ascii="Verdana" w:hAnsi="Verdana" w:cs="Arial"/>
          <w:sz w:val="18"/>
          <w:szCs w:val="18"/>
        </w:rPr>
        <w:t>+</w:t>
      </w:r>
      <w:r w:rsidR="0014623D">
        <w:rPr>
          <w:rFonts w:ascii="Verdana" w:hAnsi="Verdana" w:cs="Arial"/>
          <w:sz w:val="18"/>
          <w:szCs w:val="18"/>
        </w:rPr>
        <w:t>2</w:t>
      </w:r>
      <w:r w:rsidR="00D00930">
        <w:rPr>
          <w:rFonts w:ascii="Verdana" w:hAnsi="Verdana" w:cs="Arial"/>
          <w:sz w:val="18"/>
          <w:szCs w:val="18"/>
        </w:rPr>
        <w:t>3</w:t>
      </w:r>
      <w:r w:rsidR="00B77EA8" w:rsidRPr="004C5ED6">
        <w:rPr>
          <w:rFonts w:ascii="Verdana" w:hAnsi="Verdana" w:cs="Arial"/>
          <w:sz w:val="18"/>
          <w:szCs w:val="18"/>
        </w:rPr>
        <w:t>,</w:t>
      </w:r>
      <w:r w:rsidR="00D00930">
        <w:rPr>
          <w:rFonts w:ascii="Verdana" w:hAnsi="Verdana" w:cs="Arial"/>
          <w:sz w:val="18"/>
          <w:szCs w:val="18"/>
        </w:rPr>
        <w:t>6</w:t>
      </w:r>
      <w:r w:rsidR="00B77EA8" w:rsidRPr="004C5ED6">
        <w:rPr>
          <w:rFonts w:ascii="Verdana" w:hAnsi="Verdana" w:cs="Arial"/>
          <w:sz w:val="18"/>
          <w:szCs w:val="18"/>
        </w:rPr>
        <w:t xml:space="preserve">%) </w:t>
      </w:r>
      <w:r w:rsidR="00B77EA8" w:rsidRPr="00155020">
        <w:rPr>
          <w:rFonts w:ascii="Verdana" w:hAnsi="Verdana" w:cs="Arial"/>
          <w:sz w:val="18"/>
          <w:szCs w:val="18"/>
        </w:rPr>
        <w:t>and amounted</w:t>
      </w:r>
      <w:r w:rsidR="00B77EA8" w:rsidRPr="004C5ED6">
        <w:rPr>
          <w:rFonts w:ascii="Verdana" w:hAnsi="Verdana" w:cs="Arial"/>
          <w:sz w:val="18"/>
          <w:szCs w:val="18"/>
        </w:rPr>
        <w:t xml:space="preserve"> to €</w:t>
      </w:r>
      <w:r w:rsidR="00D00930">
        <w:rPr>
          <w:rFonts w:ascii="Verdana" w:hAnsi="Verdana" w:cs="Arial"/>
          <w:sz w:val="18"/>
          <w:szCs w:val="18"/>
        </w:rPr>
        <w:t>614</w:t>
      </w:r>
      <w:r w:rsidR="00B77EA8" w:rsidRPr="004C5ED6">
        <w:rPr>
          <w:rFonts w:ascii="Verdana" w:hAnsi="Verdana" w:cs="Arial"/>
          <w:sz w:val="18"/>
          <w:szCs w:val="18"/>
        </w:rPr>
        <w:t>,</w:t>
      </w:r>
      <w:r w:rsidR="00D00930">
        <w:rPr>
          <w:rFonts w:ascii="Verdana" w:hAnsi="Verdana" w:cs="Arial"/>
          <w:sz w:val="18"/>
          <w:szCs w:val="18"/>
        </w:rPr>
        <w:t>9</w:t>
      </w:r>
      <w:r w:rsidR="00B77EA8" w:rsidRPr="004C5ED6">
        <w:rPr>
          <w:rFonts w:ascii="Verdana" w:hAnsi="Verdana" w:cs="Arial"/>
          <w:sz w:val="18"/>
          <w:szCs w:val="18"/>
        </w:rPr>
        <w:t xml:space="preserve"> </w:t>
      </w:r>
      <w:proofErr w:type="spellStart"/>
      <w:r w:rsidR="00B77EA8" w:rsidRPr="004C5ED6">
        <w:rPr>
          <w:rFonts w:ascii="Verdana" w:hAnsi="Verdana" w:cs="Arial"/>
          <w:sz w:val="18"/>
          <w:szCs w:val="18"/>
        </w:rPr>
        <w:t>mn</w:t>
      </w:r>
      <w:proofErr w:type="spellEnd"/>
      <w:r w:rsidR="00B77EA8" w:rsidRPr="004C5ED6">
        <w:rPr>
          <w:rFonts w:ascii="Verdana" w:hAnsi="Verdana" w:cs="Arial"/>
          <w:sz w:val="18"/>
          <w:szCs w:val="18"/>
        </w:rPr>
        <w:t xml:space="preserve">, </w:t>
      </w:r>
      <w:r w:rsidR="00B77EA8" w:rsidRPr="006836CB">
        <w:rPr>
          <w:rFonts w:ascii="Verdana" w:hAnsi="Verdana" w:cs="Arial"/>
          <w:sz w:val="18"/>
          <w:szCs w:val="18"/>
        </w:rPr>
        <w:t>compared to</w:t>
      </w:r>
      <w:r w:rsidR="00B77EA8" w:rsidRPr="004C5ED6">
        <w:rPr>
          <w:rFonts w:ascii="Verdana" w:hAnsi="Verdana" w:cs="Arial"/>
          <w:sz w:val="18"/>
          <w:szCs w:val="18"/>
        </w:rPr>
        <w:t xml:space="preserve"> €</w:t>
      </w:r>
      <w:r w:rsidR="0014623D">
        <w:rPr>
          <w:rFonts w:ascii="Verdana" w:hAnsi="Verdana" w:cs="Arial"/>
          <w:sz w:val="18"/>
          <w:szCs w:val="18"/>
        </w:rPr>
        <w:t>4</w:t>
      </w:r>
      <w:r w:rsidR="00D00930">
        <w:rPr>
          <w:rFonts w:ascii="Verdana" w:hAnsi="Verdana" w:cs="Arial"/>
          <w:sz w:val="18"/>
          <w:szCs w:val="18"/>
        </w:rPr>
        <w:t>97</w:t>
      </w:r>
      <w:r w:rsidR="00B77EA8" w:rsidRPr="004C5ED6">
        <w:rPr>
          <w:rFonts w:ascii="Verdana" w:hAnsi="Verdana" w:cs="Arial"/>
          <w:sz w:val="18"/>
          <w:szCs w:val="18"/>
        </w:rPr>
        <w:t>,</w:t>
      </w:r>
      <w:r w:rsidR="00D00930">
        <w:rPr>
          <w:rFonts w:ascii="Verdana" w:hAnsi="Verdana" w:cs="Arial"/>
          <w:sz w:val="18"/>
          <w:szCs w:val="18"/>
        </w:rPr>
        <w:t>6</w:t>
      </w:r>
      <w:r w:rsidR="00B77EA8" w:rsidRPr="004C5ED6">
        <w:rPr>
          <w:rFonts w:ascii="Verdana" w:hAnsi="Verdana" w:cs="Arial"/>
          <w:sz w:val="18"/>
          <w:szCs w:val="18"/>
        </w:rPr>
        <w:t xml:space="preserve"> </w:t>
      </w:r>
      <w:proofErr w:type="spellStart"/>
      <w:r w:rsidR="00B77EA8" w:rsidRPr="004C5ED6">
        <w:rPr>
          <w:rFonts w:ascii="Verdana" w:hAnsi="Verdana" w:cs="Arial"/>
          <w:sz w:val="18"/>
          <w:szCs w:val="18"/>
        </w:rPr>
        <w:t>mn</w:t>
      </w:r>
      <w:proofErr w:type="spellEnd"/>
      <w:r w:rsidR="00B77EA8" w:rsidRPr="004C5ED6">
        <w:rPr>
          <w:rFonts w:ascii="Verdana" w:hAnsi="Verdana" w:cs="Arial"/>
          <w:sz w:val="18"/>
          <w:szCs w:val="18"/>
        </w:rPr>
        <w:t xml:space="preserve"> in 202</w:t>
      </w:r>
      <w:r w:rsidR="00B77EA8">
        <w:rPr>
          <w:rFonts w:ascii="Verdana" w:hAnsi="Verdana" w:cs="Arial"/>
          <w:sz w:val="18"/>
          <w:szCs w:val="18"/>
        </w:rPr>
        <w:t>3</w:t>
      </w:r>
      <w:r w:rsidR="00B77EA8" w:rsidRPr="004C5ED6">
        <w:rPr>
          <w:rFonts w:ascii="Verdana" w:hAnsi="Verdana" w:cs="Arial"/>
          <w:sz w:val="18"/>
          <w:szCs w:val="18"/>
        </w:rPr>
        <w:t>.</w:t>
      </w:r>
      <w:r w:rsidR="00CF0CCE" w:rsidRPr="00CF0CCE">
        <w:t xml:space="preserve"> </w:t>
      </w:r>
      <w:r w:rsidR="00053E94">
        <w:rPr>
          <w:rFonts w:ascii="Verdana" w:hAnsi="Verdana" w:cs="Arial"/>
          <w:sz w:val="18"/>
          <w:szCs w:val="18"/>
        </w:rPr>
        <w:t>I</w:t>
      </w:r>
      <w:r w:rsidR="00053E94" w:rsidRPr="00053E94">
        <w:rPr>
          <w:rFonts w:ascii="Verdana" w:hAnsi="Verdana" w:cs="Arial"/>
          <w:sz w:val="18"/>
          <w:szCs w:val="18"/>
        </w:rPr>
        <w:t xml:space="preserve">nterest payable </w:t>
      </w:r>
      <w:r w:rsidR="00053E94">
        <w:rPr>
          <w:rFonts w:ascii="Verdana" w:hAnsi="Verdana" w:cs="Arial"/>
          <w:sz w:val="18"/>
          <w:szCs w:val="18"/>
        </w:rPr>
        <w:t>in</w:t>
      </w:r>
      <w:r w:rsidR="00053E94" w:rsidRPr="00053E94">
        <w:rPr>
          <w:rFonts w:ascii="Verdana" w:hAnsi="Verdana" w:cs="Arial"/>
          <w:sz w:val="18"/>
          <w:szCs w:val="18"/>
        </w:rPr>
        <w:t>creased by €</w:t>
      </w:r>
      <w:r w:rsidR="00D00930">
        <w:rPr>
          <w:rFonts w:ascii="Verdana" w:hAnsi="Verdana" w:cs="Arial"/>
          <w:sz w:val="18"/>
          <w:szCs w:val="18"/>
        </w:rPr>
        <w:t>3</w:t>
      </w:r>
      <w:r w:rsidR="00772E46">
        <w:rPr>
          <w:rFonts w:ascii="Verdana" w:hAnsi="Verdana" w:cs="Arial"/>
          <w:sz w:val="18"/>
          <w:szCs w:val="18"/>
        </w:rPr>
        <w:t>7</w:t>
      </w:r>
      <w:r w:rsidR="00053E94" w:rsidRPr="00053E94">
        <w:rPr>
          <w:rFonts w:ascii="Verdana" w:hAnsi="Verdana" w:cs="Arial"/>
          <w:sz w:val="18"/>
          <w:szCs w:val="18"/>
        </w:rPr>
        <w:t>,</w:t>
      </w:r>
      <w:r w:rsidR="00D00930">
        <w:rPr>
          <w:rFonts w:ascii="Verdana" w:hAnsi="Verdana" w:cs="Arial"/>
          <w:sz w:val="18"/>
          <w:szCs w:val="18"/>
        </w:rPr>
        <w:t>0</w:t>
      </w:r>
      <w:r w:rsidR="00053E94" w:rsidRPr="00053E94">
        <w:rPr>
          <w:rFonts w:ascii="Verdana" w:hAnsi="Verdana" w:cs="Arial"/>
          <w:sz w:val="18"/>
          <w:szCs w:val="18"/>
        </w:rPr>
        <w:t xml:space="preserve"> </w:t>
      </w:r>
      <w:proofErr w:type="spellStart"/>
      <w:r w:rsidR="00053E94" w:rsidRPr="00053E94">
        <w:rPr>
          <w:rFonts w:ascii="Verdana" w:hAnsi="Verdana" w:cs="Arial"/>
          <w:sz w:val="18"/>
          <w:szCs w:val="18"/>
        </w:rPr>
        <w:t>mn</w:t>
      </w:r>
      <w:proofErr w:type="spellEnd"/>
      <w:r w:rsidR="00053E94" w:rsidRPr="00053E94">
        <w:rPr>
          <w:rFonts w:ascii="Verdana" w:hAnsi="Verdana" w:cs="Arial"/>
          <w:sz w:val="18"/>
          <w:szCs w:val="18"/>
        </w:rPr>
        <w:t xml:space="preserve"> (</w:t>
      </w:r>
      <w:r w:rsidR="00053E94">
        <w:rPr>
          <w:rFonts w:ascii="Verdana" w:hAnsi="Verdana" w:cs="Arial"/>
          <w:sz w:val="18"/>
          <w:szCs w:val="18"/>
        </w:rPr>
        <w:t>+</w:t>
      </w:r>
      <w:r w:rsidR="00772E46">
        <w:rPr>
          <w:rFonts w:ascii="Verdana" w:hAnsi="Verdana" w:cs="Arial"/>
          <w:sz w:val="18"/>
          <w:szCs w:val="18"/>
        </w:rPr>
        <w:t>1</w:t>
      </w:r>
      <w:r w:rsidR="00D00930">
        <w:rPr>
          <w:rFonts w:ascii="Verdana" w:hAnsi="Verdana" w:cs="Arial"/>
          <w:sz w:val="18"/>
          <w:szCs w:val="18"/>
        </w:rPr>
        <w:t>4</w:t>
      </w:r>
      <w:r w:rsidR="00053E94" w:rsidRPr="00053E94">
        <w:rPr>
          <w:rFonts w:ascii="Verdana" w:hAnsi="Verdana" w:cs="Arial"/>
          <w:sz w:val="18"/>
          <w:szCs w:val="18"/>
        </w:rPr>
        <w:t>,</w:t>
      </w:r>
      <w:r w:rsidR="00D00930">
        <w:rPr>
          <w:rFonts w:ascii="Verdana" w:hAnsi="Verdana" w:cs="Arial"/>
          <w:sz w:val="18"/>
          <w:szCs w:val="18"/>
        </w:rPr>
        <w:t>2</w:t>
      </w:r>
      <w:r w:rsidR="00053E94" w:rsidRPr="00053E94">
        <w:rPr>
          <w:rFonts w:ascii="Verdana" w:hAnsi="Verdana" w:cs="Arial"/>
          <w:sz w:val="18"/>
          <w:szCs w:val="18"/>
        </w:rPr>
        <w:t xml:space="preserve">%) </w:t>
      </w:r>
      <w:r w:rsidR="00053E94">
        <w:rPr>
          <w:rFonts w:ascii="Verdana" w:hAnsi="Verdana" w:cs="Arial"/>
          <w:sz w:val="18"/>
          <w:szCs w:val="18"/>
        </w:rPr>
        <w:t xml:space="preserve">and amounted </w:t>
      </w:r>
      <w:r w:rsidR="00053E94" w:rsidRPr="00053E94">
        <w:rPr>
          <w:rFonts w:ascii="Verdana" w:hAnsi="Verdana" w:cs="Arial"/>
          <w:sz w:val="18"/>
          <w:szCs w:val="18"/>
        </w:rPr>
        <w:t>to €</w:t>
      </w:r>
      <w:r w:rsidR="00772E46">
        <w:rPr>
          <w:rFonts w:ascii="Verdana" w:hAnsi="Verdana" w:cs="Arial"/>
          <w:sz w:val="18"/>
          <w:szCs w:val="18"/>
        </w:rPr>
        <w:t>2</w:t>
      </w:r>
      <w:r w:rsidR="00D00930">
        <w:rPr>
          <w:rFonts w:ascii="Verdana" w:hAnsi="Verdana" w:cs="Arial"/>
          <w:sz w:val="18"/>
          <w:szCs w:val="18"/>
        </w:rPr>
        <w:t>98</w:t>
      </w:r>
      <w:r w:rsidR="00053E94" w:rsidRPr="00053E94">
        <w:rPr>
          <w:rFonts w:ascii="Verdana" w:hAnsi="Verdana" w:cs="Arial"/>
          <w:sz w:val="18"/>
          <w:szCs w:val="18"/>
        </w:rPr>
        <w:t>,</w:t>
      </w:r>
      <w:r w:rsidR="00772E46">
        <w:rPr>
          <w:rFonts w:ascii="Verdana" w:hAnsi="Verdana" w:cs="Arial"/>
          <w:sz w:val="18"/>
          <w:szCs w:val="18"/>
        </w:rPr>
        <w:t>6</w:t>
      </w:r>
      <w:r w:rsidR="00053E94" w:rsidRPr="00053E94">
        <w:rPr>
          <w:rFonts w:ascii="Verdana" w:hAnsi="Verdana" w:cs="Arial"/>
          <w:sz w:val="18"/>
          <w:szCs w:val="18"/>
        </w:rPr>
        <w:t xml:space="preserve"> </w:t>
      </w:r>
      <w:proofErr w:type="spellStart"/>
      <w:r w:rsidR="00053E94" w:rsidRPr="00053E94">
        <w:rPr>
          <w:rFonts w:ascii="Verdana" w:hAnsi="Verdana" w:cs="Arial"/>
          <w:sz w:val="18"/>
          <w:szCs w:val="18"/>
        </w:rPr>
        <w:t>mn</w:t>
      </w:r>
      <w:proofErr w:type="spellEnd"/>
      <w:r w:rsidR="00053E94" w:rsidRPr="00053E94">
        <w:rPr>
          <w:rFonts w:ascii="Verdana" w:hAnsi="Verdana" w:cs="Arial"/>
          <w:sz w:val="18"/>
          <w:szCs w:val="18"/>
        </w:rPr>
        <w:t xml:space="preserve">, </w:t>
      </w:r>
      <w:r w:rsidR="00053E94">
        <w:rPr>
          <w:rFonts w:ascii="Verdana" w:hAnsi="Verdana" w:cs="Arial"/>
          <w:sz w:val="18"/>
          <w:szCs w:val="18"/>
        </w:rPr>
        <w:t xml:space="preserve">compared to </w:t>
      </w:r>
      <w:r w:rsidR="00053E94" w:rsidRPr="00053E94">
        <w:rPr>
          <w:rFonts w:ascii="Verdana" w:hAnsi="Verdana" w:cs="Arial"/>
          <w:sz w:val="18"/>
          <w:szCs w:val="18"/>
        </w:rPr>
        <w:t>€</w:t>
      </w:r>
      <w:r w:rsidR="00772E46">
        <w:rPr>
          <w:rFonts w:ascii="Verdana" w:hAnsi="Verdana" w:cs="Arial"/>
          <w:sz w:val="18"/>
          <w:szCs w:val="18"/>
        </w:rPr>
        <w:t>2</w:t>
      </w:r>
      <w:r w:rsidR="00D00930">
        <w:rPr>
          <w:rFonts w:ascii="Verdana" w:hAnsi="Verdana" w:cs="Arial"/>
          <w:sz w:val="18"/>
          <w:szCs w:val="18"/>
        </w:rPr>
        <w:t>6</w:t>
      </w:r>
      <w:r w:rsidR="00772E46">
        <w:rPr>
          <w:rFonts w:ascii="Verdana" w:hAnsi="Verdana" w:cs="Arial"/>
          <w:sz w:val="18"/>
          <w:szCs w:val="18"/>
        </w:rPr>
        <w:t>1</w:t>
      </w:r>
      <w:r w:rsidR="00053E94" w:rsidRPr="00053E94">
        <w:rPr>
          <w:rFonts w:ascii="Verdana" w:hAnsi="Verdana" w:cs="Arial"/>
          <w:sz w:val="18"/>
          <w:szCs w:val="18"/>
        </w:rPr>
        <w:t>,</w:t>
      </w:r>
      <w:r w:rsidR="00772E46">
        <w:rPr>
          <w:rFonts w:ascii="Verdana" w:hAnsi="Verdana" w:cs="Arial"/>
          <w:sz w:val="18"/>
          <w:szCs w:val="18"/>
        </w:rPr>
        <w:t>6</w:t>
      </w:r>
      <w:r w:rsidR="00053E94" w:rsidRPr="00053E94">
        <w:rPr>
          <w:rFonts w:ascii="Verdana" w:hAnsi="Verdana" w:cs="Arial"/>
          <w:sz w:val="18"/>
          <w:szCs w:val="18"/>
        </w:rPr>
        <w:t xml:space="preserve"> </w:t>
      </w:r>
      <w:proofErr w:type="spellStart"/>
      <w:r w:rsidR="00053E94" w:rsidRPr="00053E94">
        <w:rPr>
          <w:rFonts w:ascii="Verdana" w:hAnsi="Verdana" w:cs="Arial"/>
          <w:sz w:val="18"/>
          <w:szCs w:val="18"/>
        </w:rPr>
        <w:t>mn</w:t>
      </w:r>
      <w:proofErr w:type="spellEnd"/>
      <w:r w:rsidR="00053E94" w:rsidRPr="00053E94">
        <w:rPr>
          <w:rFonts w:ascii="Verdana" w:hAnsi="Verdana" w:cs="Arial"/>
          <w:sz w:val="18"/>
          <w:szCs w:val="18"/>
        </w:rPr>
        <w:t xml:space="preserve"> in 2023.</w:t>
      </w:r>
    </w:p>
    <w:p w14:paraId="3DC085A1" w14:textId="77777777" w:rsidR="00053E94" w:rsidRDefault="00053E94" w:rsidP="00053E94">
      <w:pPr>
        <w:jc w:val="both"/>
        <w:rPr>
          <w:rFonts w:ascii="Verdana" w:hAnsi="Verdana" w:cs="Arial"/>
          <w:sz w:val="18"/>
          <w:szCs w:val="18"/>
        </w:rPr>
      </w:pPr>
    </w:p>
    <w:p w14:paraId="1DD343C3" w14:textId="5F9D7245" w:rsidR="00D03452" w:rsidRPr="006F21EB" w:rsidRDefault="00155020" w:rsidP="00D03452">
      <w:pPr>
        <w:jc w:val="both"/>
        <w:rPr>
          <w:rFonts w:ascii="Verdana" w:hAnsi="Verdana" w:cs="Arial"/>
          <w:sz w:val="18"/>
          <w:szCs w:val="18"/>
        </w:rPr>
      </w:pPr>
      <w:r w:rsidRPr="00155020">
        <w:rPr>
          <w:rFonts w:ascii="Verdana" w:hAnsi="Verdana" w:cs="Arial"/>
          <w:sz w:val="18"/>
          <w:szCs w:val="18"/>
        </w:rPr>
        <w:t xml:space="preserve">The capital account </w:t>
      </w:r>
      <w:r w:rsidR="00CF0CCE">
        <w:rPr>
          <w:rFonts w:ascii="Verdana" w:hAnsi="Verdana" w:cs="Arial"/>
          <w:sz w:val="18"/>
          <w:szCs w:val="18"/>
        </w:rPr>
        <w:t>de</w:t>
      </w:r>
      <w:r w:rsidRPr="00155020">
        <w:rPr>
          <w:rFonts w:ascii="Verdana" w:hAnsi="Verdana" w:cs="Arial"/>
          <w:sz w:val="18"/>
          <w:szCs w:val="18"/>
        </w:rPr>
        <w:t>creased by €</w:t>
      </w:r>
      <w:r w:rsidR="00D00930">
        <w:rPr>
          <w:rFonts w:ascii="Verdana" w:hAnsi="Verdana" w:cs="Arial"/>
          <w:sz w:val="18"/>
          <w:szCs w:val="18"/>
        </w:rPr>
        <w:t>74</w:t>
      </w:r>
      <w:r w:rsidRPr="00155020">
        <w:rPr>
          <w:rFonts w:ascii="Verdana" w:hAnsi="Verdana" w:cs="Arial"/>
          <w:sz w:val="18"/>
          <w:szCs w:val="18"/>
        </w:rPr>
        <w:t>,</w:t>
      </w:r>
      <w:r w:rsidR="00D00930">
        <w:rPr>
          <w:rFonts w:ascii="Verdana" w:hAnsi="Verdana" w:cs="Arial"/>
          <w:sz w:val="18"/>
          <w:szCs w:val="18"/>
        </w:rPr>
        <w:t>3</w:t>
      </w:r>
      <w:r w:rsidRPr="00155020">
        <w:rPr>
          <w:rFonts w:ascii="Verdana" w:hAnsi="Verdana" w:cs="Arial"/>
          <w:sz w:val="18"/>
          <w:szCs w:val="18"/>
        </w:rPr>
        <w:t xml:space="preserve"> </w:t>
      </w:r>
      <w:proofErr w:type="spellStart"/>
      <w:r w:rsidRPr="00155020">
        <w:rPr>
          <w:rFonts w:ascii="Verdana" w:hAnsi="Verdana" w:cs="Arial"/>
          <w:sz w:val="18"/>
          <w:szCs w:val="18"/>
        </w:rPr>
        <w:t>mn</w:t>
      </w:r>
      <w:proofErr w:type="spellEnd"/>
      <w:r w:rsidRPr="00155020">
        <w:rPr>
          <w:rFonts w:ascii="Verdana" w:hAnsi="Verdana" w:cs="Arial"/>
          <w:sz w:val="18"/>
          <w:szCs w:val="18"/>
        </w:rPr>
        <w:t xml:space="preserve"> (</w:t>
      </w:r>
      <w:r w:rsidR="00CF0CCE">
        <w:rPr>
          <w:rFonts w:ascii="Verdana" w:hAnsi="Verdana" w:cs="Arial"/>
          <w:sz w:val="18"/>
          <w:szCs w:val="18"/>
        </w:rPr>
        <w:t>-</w:t>
      </w:r>
      <w:r w:rsidR="00053E94">
        <w:rPr>
          <w:rFonts w:ascii="Verdana" w:hAnsi="Verdana" w:cs="Arial"/>
          <w:sz w:val="18"/>
          <w:szCs w:val="18"/>
        </w:rPr>
        <w:t>1</w:t>
      </w:r>
      <w:r w:rsidR="00680097">
        <w:rPr>
          <w:rFonts w:ascii="Verdana" w:hAnsi="Verdana" w:cs="Arial"/>
          <w:sz w:val="18"/>
          <w:szCs w:val="18"/>
        </w:rPr>
        <w:t>2</w:t>
      </w:r>
      <w:r w:rsidRPr="00155020">
        <w:rPr>
          <w:rFonts w:ascii="Verdana" w:hAnsi="Verdana" w:cs="Arial"/>
          <w:sz w:val="18"/>
          <w:szCs w:val="18"/>
        </w:rPr>
        <w:t>,</w:t>
      </w:r>
      <w:r w:rsidR="00680097">
        <w:rPr>
          <w:rFonts w:ascii="Verdana" w:hAnsi="Verdana" w:cs="Arial"/>
          <w:sz w:val="18"/>
          <w:szCs w:val="18"/>
        </w:rPr>
        <w:t>4</w:t>
      </w:r>
      <w:r w:rsidRPr="00155020">
        <w:rPr>
          <w:rFonts w:ascii="Verdana" w:hAnsi="Verdana" w:cs="Arial"/>
          <w:sz w:val="18"/>
          <w:szCs w:val="18"/>
        </w:rPr>
        <w:t>%) to €</w:t>
      </w:r>
      <w:r w:rsidR="00D00930">
        <w:rPr>
          <w:rFonts w:ascii="Verdana" w:hAnsi="Verdana" w:cs="Arial"/>
          <w:sz w:val="18"/>
          <w:szCs w:val="18"/>
        </w:rPr>
        <w:t>526</w:t>
      </w:r>
      <w:r w:rsidRPr="00155020">
        <w:rPr>
          <w:rFonts w:ascii="Verdana" w:hAnsi="Verdana" w:cs="Arial"/>
          <w:sz w:val="18"/>
          <w:szCs w:val="18"/>
        </w:rPr>
        <w:t>,</w:t>
      </w:r>
      <w:r w:rsidR="00D00930">
        <w:rPr>
          <w:rFonts w:ascii="Verdana" w:hAnsi="Verdana" w:cs="Arial"/>
          <w:sz w:val="18"/>
          <w:szCs w:val="18"/>
        </w:rPr>
        <w:t>0</w:t>
      </w:r>
      <w:r w:rsidRPr="00155020">
        <w:rPr>
          <w:rFonts w:ascii="Verdana" w:hAnsi="Verdana" w:cs="Arial"/>
          <w:sz w:val="18"/>
          <w:szCs w:val="18"/>
        </w:rPr>
        <w:t xml:space="preserve"> </w:t>
      </w:r>
      <w:proofErr w:type="spellStart"/>
      <w:r w:rsidRPr="00155020">
        <w:rPr>
          <w:rFonts w:ascii="Verdana" w:hAnsi="Verdana" w:cs="Arial"/>
          <w:sz w:val="18"/>
          <w:szCs w:val="18"/>
        </w:rPr>
        <w:t>mn</w:t>
      </w:r>
      <w:proofErr w:type="spellEnd"/>
      <w:r w:rsidRPr="00155020">
        <w:rPr>
          <w:rFonts w:ascii="Verdana" w:hAnsi="Verdana" w:cs="Arial"/>
          <w:sz w:val="18"/>
          <w:szCs w:val="18"/>
        </w:rPr>
        <w:t xml:space="preserve">, </w:t>
      </w:r>
      <w:r w:rsidR="00CF0CCE">
        <w:rPr>
          <w:rFonts w:ascii="Verdana" w:hAnsi="Verdana" w:cs="Arial"/>
          <w:sz w:val="18"/>
          <w:szCs w:val="18"/>
        </w:rPr>
        <w:t>from</w:t>
      </w:r>
      <w:r w:rsidRPr="00155020">
        <w:rPr>
          <w:rFonts w:ascii="Verdana" w:hAnsi="Verdana" w:cs="Arial"/>
          <w:sz w:val="18"/>
          <w:szCs w:val="18"/>
        </w:rPr>
        <w:t xml:space="preserve"> €</w:t>
      </w:r>
      <w:r w:rsidR="00D00930">
        <w:rPr>
          <w:rFonts w:ascii="Verdana" w:hAnsi="Verdana" w:cs="Arial"/>
          <w:sz w:val="18"/>
          <w:szCs w:val="18"/>
        </w:rPr>
        <w:t>600</w:t>
      </w:r>
      <w:r w:rsidRPr="00155020">
        <w:rPr>
          <w:rFonts w:ascii="Verdana" w:hAnsi="Verdana" w:cs="Arial"/>
          <w:sz w:val="18"/>
          <w:szCs w:val="18"/>
        </w:rPr>
        <w:t>,</w:t>
      </w:r>
      <w:r w:rsidR="00D00930">
        <w:rPr>
          <w:rFonts w:ascii="Verdana" w:hAnsi="Verdana" w:cs="Arial"/>
          <w:sz w:val="18"/>
          <w:szCs w:val="18"/>
        </w:rPr>
        <w:t>3</w:t>
      </w:r>
      <w:r w:rsidRPr="00155020">
        <w:rPr>
          <w:rFonts w:ascii="Verdana" w:hAnsi="Verdana" w:cs="Arial"/>
          <w:sz w:val="18"/>
          <w:szCs w:val="18"/>
        </w:rPr>
        <w:t xml:space="preserve"> </w:t>
      </w:r>
      <w:proofErr w:type="spellStart"/>
      <w:r w:rsidRPr="00155020">
        <w:rPr>
          <w:rFonts w:ascii="Verdana" w:hAnsi="Verdana" w:cs="Arial"/>
          <w:sz w:val="18"/>
          <w:szCs w:val="18"/>
        </w:rPr>
        <w:t>mn</w:t>
      </w:r>
      <w:proofErr w:type="spellEnd"/>
      <w:r w:rsidRPr="00155020">
        <w:rPr>
          <w:rFonts w:ascii="Verdana" w:hAnsi="Verdana" w:cs="Arial"/>
          <w:sz w:val="18"/>
          <w:szCs w:val="18"/>
        </w:rPr>
        <w:t xml:space="preserve"> in 2023, of which gross capital formation </w:t>
      </w:r>
      <w:r w:rsidR="00CF0CCE">
        <w:rPr>
          <w:rFonts w:ascii="Verdana" w:hAnsi="Verdana" w:cs="Arial"/>
          <w:sz w:val="18"/>
          <w:szCs w:val="18"/>
        </w:rPr>
        <w:t>de</w:t>
      </w:r>
      <w:r w:rsidRPr="00155020">
        <w:rPr>
          <w:rFonts w:ascii="Verdana" w:hAnsi="Verdana" w:cs="Arial"/>
          <w:sz w:val="18"/>
          <w:szCs w:val="18"/>
        </w:rPr>
        <w:t>creased by €</w:t>
      </w:r>
      <w:r w:rsidR="00D00930">
        <w:rPr>
          <w:rFonts w:ascii="Verdana" w:hAnsi="Verdana" w:cs="Arial"/>
          <w:sz w:val="18"/>
          <w:szCs w:val="18"/>
        </w:rPr>
        <w:t>69,4</w:t>
      </w:r>
      <w:r w:rsidRPr="00155020">
        <w:rPr>
          <w:rFonts w:ascii="Verdana" w:hAnsi="Verdana" w:cs="Arial"/>
          <w:sz w:val="18"/>
          <w:szCs w:val="18"/>
        </w:rPr>
        <w:t xml:space="preserve"> </w:t>
      </w:r>
      <w:proofErr w:type="spellStart"/>
      <w:r w:rsidRPr="00155020">
        <w:rPr>
          <w:rFonts w:ascii="Verdana" w:hAnsi="Verdana" w:cs="Arial"/>
          <w:sz w:val="18"/>
          <w:szCs w:val="18"/>
        </w:rPr>
        <w:t>mn</w:t>
      </w:r>
      <w:proofErr w:type="spellEnd"/>
      <w:r w:rsidRPr="00155020">
        <w:rPr>
          <w:rFonts w:ascii="Verdana" w:hAnsi="Verdana" w:cs="Arial"/>
          <w:sz w:val="18"/>
          <w:szCs w:val="18"/>
        </w:rPr>
        <w:t xml:space="preserve"> (</w:t>
      </w:r>
      <w:r w:rsidR="00CF0CCE">
        <w:rPr>
          <w:rFonts w:ascii="Verdana" w:hAnsi="Verdana" w:cs="Arial"/>
          <w:sz w:val="18"/>
          <w:szCs w:val="18"/>
        </w:rPr>
        <w:t>-</w:t>
      </w:r>
      <w:r w:rsidR="009124A1">
        <w:rPr>
          <w:rFonts w:ascii="Verdana" w:hAnsi="Verdana" w:cs="Arial"/>
          <w:sz w:val="18"/>
          <w:szCs w:val="18"/>
        </w:rPr>
        <w:t>1</w:t>
      </w:r>
      <w:r w:rsidR="00D00930">
        <w:rPr>
          <w:rFonts w:ascii="Verdana" w:hAnsi="Verdana" w:cs="Arial"/>
          <w:sz w:val="18"/>
          <w:szCs w:val="18"/>
        </w:rPr>
        <w:t>3</w:t>
      </w:r>
      <w:r w:rsidRPr="00155020">
        <w:rPr>
          <w:rFonts w:ascii="Verdana" w:hAnsi="Verdana" w:cs="Arial"/>
          <w:sz w:val="18"/>
          <w:szCs w:val="18"/>
        </w:rPr>
        <w:t>,</w:t>
      </w:r>
      <w:r w:rsidR="00D00930">
        <w:rPr>
          <w:rFonts w:ascii="Verdana" w:hAnsi="Verdana" w:cs="Arial"/>
          <w:sz w:val="18"/>
          <w:szCs w:val="18"/>
        </w:rPr>
        <w:t>9</w:t>
      </w:r>
      <w:r w:rsidRPr="00155020">
        <w:rPr>
          <w:rFonts w:ascii="Verdana" w:hAnsi="Verdana" w:cs="Arial"/>
          <w:sz w:val="18"/>
          <w:szCs w:val="18"/>
        </w:rPr>
        <w:t>%) to €</w:t>
      </w:r>
      <w:r w:rsidR="00D00930">
        <w:rPr>
          <w:rFonts w:ascii="Verdana" w:hAnsi="Verdana" w:cs="Arial"/>
          <w:sz w:val="18"/>
          <w:szCs w:val="18"/>
        </w:rPr>
        <w:t>429</w:t>
      </w:r>
      <w:r w:rsidRPr="00155020">
        <w:rPr>
          <w:rFonts w:ascii="Verdana" w:hAnsi="Verdana" w:cs="Arial"/>
          <w:sz w:val="18"/>
          <w:szCs w:val="18"/>
        </w:rPr>
        <w:t>,</w:t>
      </w:r>
      <w:r w:rsidR="004F04E8">
        <w:rPr>
          <w:rFonts w:ascii="Verdana" w:hAnsi="Verdana" w:cs="Arial"/>
          <w:sz w:val="18"/>
          <w:szCs w:val="18"/>
        </w:rPr>
        <w:t>3</w:t>
      </w:r>
      <w:r w:rsidRPr="00155020">
        <w:rPr>
          <w:rFonts w:ascii="Verdana" w:hAnsi="Verdana" w:cs="Arial"/>
          <w:sz w:val="18"/>
          <w:szCs w:val="18"/>
        </w:rPr>
        <w:t xml:space="preserve"> </w:t>
      </w:r>
      <w:proofErr w:type="spellStart"/>
      <w:r w:rsidRPr="00155020">
        <w:rPr>
          <w:rFonts w:ascii="Verdana" w:hAnsi="Verdana" w:cs="Arial"/>
          <w:sz w:val="18"/>
          <w:szCs w:val="18"/>
        </w:rPr>
        <w:t>mn</w:t>
      </w:r>
      <w:proofErr w:type="spellEnd"/>
      <w:r w:rsidRPr="00155020">
        <w:rPr>
          <w:rFonts w:ascii="Verdana" w:hAnsi="Verdana" w:cs="Arial"/>
          <w:sz w:val="18"/>
          <w:szCs w:val="18"/>
        </w:rPr>
        <w:t xml:space="preserve">, </w:t>
      </w:r>
      <w:r w:rsidR="00CF0CCE">
        <w:rPr>
          <w:rFonts w:ascii="Verdana" w:hAnsi="Verdana" w:cs="Arial"/>
          <w:sz w:val="18"/>
          <w:szCs w:val="18"/>
        </w:rPr>
        <w:t>from</w:t>
      </w:r>
      <w:r w:rsidRPr="00155020">
        <w:rPr>
          <w:rFonts w:ascii="Verdana" w:hAnsi="Verdana" w:cs="Arial"/>
          <w:sz w:val="18"/>
          <w:szCs w:val="18"/>
        </w:rPr>
        <w:t xml:space="preserve"> €</w:t>
      </w:r>
      <w:r w:rsidR="004F04E8">
        <w:rPr>
          <w:rFonts w:ascii="Verdana" w:hAnsi="Verdana" w:cs="Arial"/>
          <w:sz w:val="18"/>
          <w:szCs w:val="18"/>
        </w:rPr>
        <w:t>4</w:t>
      </w:r>
      <w:r w:rsidR="00D00930">
        <w:rPr>
          <w:rFonts w:ascii="Verdana" w:hAnsi="Verdana" w:cs="Arial"/>
          <w:sz w:val="18"/>
          <w:szCs w:val="18"/>
        </w:rPr>
        <w:t>98</w:t>
      </w:r>
      <w:r w:rsidRPr="00155020">
        <w:rPr>
          <w:rFonts w:ascii="Verdana" w:hAnsi="Verdana" w:cs="Arial"/>
          <w:sz w:val="18"/>
          <w:szCs w:val="18"/>
        </w:rPr>
        <w:t>,</w:t>
      </w:r>
      <w:r w:rsidR="00D00930">
        <w:rPr>
          <w:rFonts w:ascii="Verdana" w:hAnsi="Verdana" w:cs="Arial"/>
          <w:sz w:val="18"/>
          <w:szCs w:val="18"/>
        </w:rPr>
        <w:t>7</w:t>
      </w:r>
      <w:r w:rsidRPr="00155020">
        <w:rPr>
          <w:rFonts w:ascii="Verdana" w:hAnsi="Verdana" w:cs="Arial"/>
          <w:sz w:val="18"/>
          <w:szCs w:val="18"/>
        </w:rPr>
        <w:t xml:space="preserve"> </w:t>
      </w:r>
      <w:proofErr w:type="spellStart"/>
      <w:r w:rsidRPr="00155020">
        <w:rPr>
          <w:rFonts w:ascii="Verdana" w:hAnsi="Verdana" w:cs="Arial"/>
          <w:sz w:val="18"/>
          <w:szCs w:val="18"/>
        </w:rPr>
        <w:t>mn</w:t>
      </w:r>
      <w:proofErr w:type="spellEnd"/>
      <w:r w:rsidRPr="00155020">
        <w:rPr>
          <w:rFonts w:ascii="Verdana" w:hAnsi="Verdana" w:cs="Arial"/>
          <w:sz w:val="18"/>
          <w:szCs w:val="18"/>
        </w:rPr>
        <w:t xml:space="preserve"> in 2023</w:t>
      </w:r>
      <w:r w:rsidR="00D03452" w:rsidRPr="00D03452">
        <w:rPr>
          <w:rFonts w:ascii="Verdana" w:hAnsi="Verdana" w:cs="Arial"/>
          <w:sz w:val="18"/>
          <w:szCs w:val="18"/>
        </w:rPr>
        <w:t xml:space="preserve"> </w:t>
      </w:r>
      <w:r w:rsidR="00D03452" w:rsidRPr="001B7577">
        <w:rPr>
          <w:rFonts w:ascii="Verdana" w:hAnsi="Verdana" w:cs="Arial"/>
          <w:sz w:val="18"/>
          <w:szCs w:val="18"/>
        </w:rPr>
        <w:t xml:space="preserve">and other capital expenditure </w:t>
      </w:r>
      <w:r w:rsidR="00D00930">
        <w:rPr>
          <w:rFonts w:ascii="Verdana" w:hAnsi="Verdana" w:cs="Arial"/>
          <w:sz w:val="18"/>
          <w:szCs w:val="18"/>
        </w:rPr>
        <w:t>de</w:t>
      </w:r>
      <w:r w:rsidR="00D03452" w:rsidRPr="001B7577">
        <w:rPr>
          <w:rFonts w:ascii="Verdana" w:hAnsi="Verdana" w:cs="Arial"/>
          <w:sz w:val="18"/>
          <w:szCs w:val="18"/>
        </w:rPr>
        <w:t>creased by €</w:t>
      </w:r>
      <w:r w:rsidR="00D00930">
        <w:rPr>
          <w:rFonts w:ascii="Verdana" w:hAnsi="Verdana" w:cs="Arial"/>
          <w:sz w:val="18"/>
          <w:szCs w:val="18"/>
        </w:rPr>
        <w:t>4</w:t>
      </w:r>
      <w:r w:rsidR="00D03452" w:rsidRPr="001B7577">
        <w:rPr>
          <w:rFonts w:ascii="Verdana" w:hAnsi="Verdana" w:cs="Arial"/>
          <w:sz w:val="18"/>
          <w:szCs w:val="18"/>
        </w:rPr>
        <w:t>,</w:t>
      </w:r>
      <w:r w:rsidR="00D00930">
        <w:rPr>
          <w:rFonts w:ascii="Verdana" w:hAnsi="Verdana" w:cs="Arial"/>
          <w:sz w:val="18"/>
          <w:szCs w:val="18"/>
        </w:rPr>
        <w:t>9</w:t>
      </w:r>
      <w:r w:rsidR="00D03452" w:rsidRPr="001B7577">
        <w:rPr>
          <w:rFonts w:ascii="Verdana" w:hAnsi="Verdana" w:cs="Arial"/>
          <w:sz w:val="18"/>
          <w:szCs w:val="18"/>
        </w:rPr>
        <w:t xml:space="preserve"> </w:t>
      </w:r>
      <w:proofErr w:type="spellStart"/>
      <w:r w:rsidR="00D03452" w:rsidRPr="001B7577">
        <w:rPr>
          <w:rFonts w:ascii="Verdana" w:hAnsi="Verdana" w:cs="Arial"/>
          <w:sz w:val="18"/>
          <w:szCs w:val="18"/>
        </w:rPr>
        <w:t>mn</w:t>
      </w:r>
      <w:proofErr w:type="spellEnd"/>
      <w:r w:rsidR="00D03452">
        <w:rPr>
          <w:rFonts w:ascii="Verdana" w:hAnsi="Verdana" w:cs="Arial"/>
          <w:sz w:val="18"/>
          <w:szCs w:val="18"/>
        </w:rPr>
        <w:t xml:space="preserve"> </w:t>
      </w:r>
      <w:r w:rsidR="00CF0CCE">
        <w:rPr>
          <w:rFonts w:ascii="Verdana" w:hAnsi="Verdana" w:cs="Arial"/>
          <w:sz w:val="18"/>
          <w:szCs w:val="18"/>
        </w:rPr>
        <w:t>(</w:t>
      </w:r>
      <w:r w:rsidR="00D00930">
        <w:rPr>
          <w:rFonts w:ascii="Verdana" w:hAnsi="Verdana" w:cs="Arial"/>
          <w:sz w:val="18"/>
          <w:szCs w:val="18"/>
        </w:rPr>
        <w:t>-4</w:t>
      </w:r>
      <w:r w:rsidR="00CF0CCE">
        <w:rPr>
          <w:rFonts w:ascii="Verdana" w:hAnsi="Verdana" w:cs="Arial"/>
          <w:sz w:val="18"/>
          <w:szCs w:val="18"/>
        </w:rPr>
        <w:t>,</w:t>
      </w:r>
      <w:r w:rsidR="00D00930">
        <w:rPr>
          <w:rFonts w:ascii="Verdana" w:hAnsi="Verdana" w:cs="Arial"/>
          <w:sz w:val="18"/>
          <w:szCs w:val="18"/>
        </w:rPr>
        <w:t>8</w:t>
      </w:r>
      <w:r w:rsidR="00CF0CCE">
        <w:rPr>
          <w:rFonts w:ascii="Verdana" w:hAnsi="Verdana" w:cs="Arial"/>
          <w:sz w:val="18"/>
          <w:szCs w:val="18"/>
        </w:rPr>
        <w:t xml:space="preserve">%) </w:t>
      </w:r>
      <w:r w:rsidR="00D03452" w:rsidRPr="001B7577">
        <w:rPr>
          <w:rFonts w:ascii="Verdana" w:hAnsi="Verdana" w:cs="Arial"/>
          <w:sz w:val="18"/>
          <w:szCs w:val="18"/>
        </w:rPr>
        <w:t>to €</w:t>
      </w:r>
      <w:r w:rsidR="00D00930">
        <w:rPr>
          <w:rFonts w:ascii="Verdana" w:hAnsi="Verdana" w:cs="Arial"/>
          <w:sz w:val="18"/>
          <w:szCs w:val="18"/>
        </w:rPr>
        <w:t>96</w:t>
      </w:r>
      <w:r w:rsidR="00D03452">
        <w:rPr>
          <w:rFonts w:ascii="Verdana" w:hAnsi="Verdana" w:cs="Arial"/>
          <w:sz w:val="18"/>
          <w:szCs w:val="18"/>
        </w:rPr>
        <w:t>,</w:t>
      </w:r>
      <w:r w:rsidR="00D00930">
        <w:rPr>
          <w:rFonts w:ascii="Verdana" w:hAnsi="Verdana" w:cs="Arial"/>
          <w:sz w:val="18"/>
          <w:szCs w:val="18"/>
        </w:rPr>
        <w:t>7</w:t>
      </w:r>
      <w:r w:rsidR="00D03452" w:rsidRPr="001B7577">
        <w:rPr>
          <w:rFonts w:ascii="Verdana" w:hAnsi="Verdana" w:cs="Arial"/>
          <w:sz w:val="18"/>
          <w:szCs w:val="18"/>
        </w:rPr>
        <w:t xml:space="preserve"> </w:t>
      </w:r>
      <w:proofErr w:type="spellStart"/>
      <w:r w:rsidR="00D03452" w:rsidRPr="001B7577">
        <w:rPr>
          <w:rFonts w:ascii="Verdana" w:hAnsi="Verdana" w:cs="Arial"/>
          <w:sz w:val="18"/>
          <w:szCs w:val="18"/>
        </w:rPr>
        <w:t>mn</w:t>
      </w:r>
      <w:proofErr w:type="spellEnd"/>
      <w:r w:rsidR="00D03452" w:rsidRPr="001B7577">
        <w:rPr>
          <w:rFonts w:ascii="Verdana" w:hAnsi="Verdana" w:cs="Arial"/>
          <w:sz w:val="18"/>
          <w:szCs w:val="18"/>
        </w:rPr>
        <w:t xml:space="preserve">, </w:t>
      </w:r>
      <w:r w:rsidR="00D00930">
        <w:rPr>
          <w:rFonts w:ascii="Verdana" w:hAnsi="Verdana" w:cs="Arial"/>
          <w:sz w:val="18"/>
          <w:szCs w:val="18"/>
        </w:rPr>
        <w:t>from</w:t>
      </w:r>
      <w:r w:rsidR="00D03452" w:rsidRPr="00155020">
        <w:rPr>
          <w:rFonts w:ascii="Verdana" w:hAnsi="Verdana" w:cs="Arial"/>
          <w:sz w:val="18"/>
          <w:szCs w:val="18"/>
        </w:rPr>
        <w:t xml:space="preserve"> </w:t>
      </w:r>
      <w:r w:rsidR="00D03452" w:rsidRPr="001B7577">
        <w:rPr>
          <w:rFonts w:ascii="Verdana" w:hAnsi="Verdana" w:cs="Arial"/>
          <w:sz w:val="18"/>
          <w:szCs w:val="18"/>
        </w:rPr>
        <w:t>€</w:t>
      </w:r>
      <w:r w:rsidR="00D00930">
        <w:rPr>
          <w:rFonts w:ascii="Verdana" w:hAnsi="Verdana" w:cs="Arial"/>
          <w:sz w:val="18"/>
          <w:szCs w:val="18"/>
        </w:rPr>
        <w:t>101</w:t>
      </w:r>
      <w:r w:rsidR="00D03452" w:rsidRPr="001B7577">
        <w:rPr>
          <w:rFonts w:ascii="Verdana" w:hAnsi="Verdana" w:cs="Arial"/>
          <w:sz w:val="18"/>
          <w:szCs w:val="18"/>
        </w:rPr>
        <w:t>,</w:t>
      </w:r>
      <w:r w:rsidR="00D00930">
        <w:rPr>
          <w:rFonts w:ascii="Verdana" w:hAnsi="Verdana" w:cs="Arial"/>
          <w:sz w:val="18"/>
          <w:szCs w:val="18"/>
        </w:rPr>
        <w:t>6</w:t>
      </w:r>
      <w:r w:rsidR="00053E94">
        <w:rPr>
          <w:rFonts w:ascii="Verdana" w:hAnsi="Verdana" w:cs="Arial"/>
          <w:sz w:val="18"/>
          <w:szCs w:val="18"/>
        </w:rPr>
        <w:t xml:space="preserve"> </w:t>
      </w:r>
      <w:proofErr w:type="spellStart"/>
      <w:r w:rsidR="00D03452" w:rsidRPr="001B7577">
        <w:rPr>
          <w:rFonts w:ascii="Verdana" w:hAnsi="Verdana" w:cs="Arial"/>
          <w:sz w:val="18"/>
          <w:szCs w:val="18"/>
        </w:rPr>
        <w:t>mn</w:t>
      </w:r>
      <w:proofErr w:type="spellEnd"/>
      <w:r w:rsidR="00D03452" w:rsidRPr="001B7577">
        <w:rPr>
          <w:rFonts w:ascii="Verdana" w:hAnsi="Verdana" w:cs="Arial"/>
          <w:sz w:val="18"/>
          <w:szCs w:val="18"/>
        </w:rPr>
        <w:t xml:space="preserve"> in 202</w:t>
      </w:r>
      <w:r w:rsidR="00D03452">
        <w:rPr>
          <w:rFonts w:ascii="Verdana" w:hAnsi="Verdana" w:cs="Arial"/>
          <w:sz w:val="18"/>
          <w:szCs w:val="18"/>
        </w:rPr>
        <w:t>3</w:t>
      </w:r>
      <w:r w:rsidR="00D03452" w:rsidRPr="001B7577">
        <w:rPr>
          <w:rFonts w:ascii="Verdana" w:hAnsi="Verdana" w:cs="Arial"/>
          <w:sz w:val="18"/>
          <w:szCs w:val="18"/>
        </w:rPr>
        <w:t>.</w:t>
      </w:r>
      <w:r w:rsidR="00D03452" w:rsidRPr="006F21EB">
        <w:rPr>
          <w:rFonts w:ascii="Verdana" w:hAnsi="Verdana" w:cs="Arial"/>
          <w:sz w:val="18"/>
          <w:szCs w:val="18"/>
        </w:rPr>
        <w:t xml:space="preserve"> </w:t>
      </w:r>
    </w:p>
    <w:p w14:paraId="4CDB5440" w14:textId="77777777" w:rsidR="00155020" w:rsidRDefault="00155020" w:rsidP="009A0B95">
      <w:pPr>
        <w:jc w:val="both"/>
        <w:rPr>
          <w:rFonts w:ascii="Verdana" w:hAnsi="Verdana" w:cs="Arial"/>
          <w:sz w:val="18"/>
          <w:szCs w:val="18"/>
        </w:rPr>
      </w:pPr>
    </w:p>
    <w:p w14:paraId="153BEEDF" w14:textId="137DAFAB" w:rsidR="00177C97" w:rsidRPr="00177C97" w:rsidRDefault="0034763B" w:rsidP="009A0B95">
      <w:pPr>
        <w:jc w:val="both"/>
        <w:rPr>
          <w:rFonts w:ascii="Verdana" w:hAnsi="Verdana" w:cs="Arial"/>
          <w:sz w:val="18"/>
          <w:szCs w:val="18"/>
        </w:rPr>
      </w:pPr>
      <w:bookmarkStart w:id="3" w:name="_Hlk165366164"/>
      <w:r>
        <w:rPr>
          <w:rFonts w:ascii="Verdana" w:eastAsia="Malgun Gothic" w:hAnsi="Verdana" w:cs="Arial"/>
          <w:sz w:val="18"/>
          <w:szCs w:val="18"/>
        </w:rPr>
        <w:t>On the contrary, s</w:t>
      </w:r>
      <w:r w:rsidR="009124A1" w:rsidRPr="00BD1C42">
        <w:rPr>
          <w:rFonts w:ascii="Verdana" w:hAnsi="Verdana" w:cs="Arial"/>
          <w:sz w:val="18"/>
          <w:szCs w:val="18"/>
        </w:rPr>
        <w:t>ubsidies decreased by €</w:t>
      </w:r>
      <w:r w:rsidR="00D00930">
        <w:rPr>
          <w:rFonts w:ascii="Verdana" w:hAnsi="Verdana" w:cs="Arial"/>
          <w:sz w:val="18"/>
          <w:szCs w:val="18"/>
        </w:rPr>
        <w:t>31</w:t>
      </w:r>
      <w:r w:rsidR="00316AB3">
        <w:rPr>
          <w:rFonts w:ascii="Verdana" w:hAnsi="Verdana" w:cs="Arial"/>
          <w:sz w:val="18"/>
          <w:szCs w:val="18"/>
        </w:rPr>
        <w:t>,</w:t>
      </w:r>
      <w:r w:rsidR="00D00930">
        <w:rPr>
          <w:rFonts w:ascii="Verdana" w:hAnsi="Verdana" w:cs="Arial"/>
          <w:sz w:val="18"/>
          <w:szCs w:val="18"/>
        </w:rPr>
        <w:t>2</w:t>
      </w:r>
      <w:r w:rsidR="009124A1" w:rsidRPr="00BD1C42">
        <w:rPr>
          <w:rFonts w:ascii="Verdana" w:hAnsi="Verdana" w:cs="Arial"/>
          <w:sz w:val="18"/>
          <w:szCs w:val="18"/>
        </w:rPr>
        <w:t xml:space="preserve"> mn (-</w:t>
      </w:r>
      <w:r w:rsidR="00D00930">
        <w:rPr>
          <w:rFonts w:ascii="Verdana" w:hAnsi="Verdana" w:cs="Arial"/>
          <w:sz w:val="18"/>
          <w:szCs w:val="18"/>
        </w:rPr>
        <w:t>26</w:t>
      </w:r>
      <w:r w:rsidR="009124A1" w:rsidRPr="00BD1C42">
        <w:rPr>
          <w:rFonts w:ascii="Verdana" w:hAnsi="Verdana" w:cs="Arial"/>
          <w:sz w:val="18"/>
          <w:szCs w:val="18"/>
        </w:rPr>
        <w:t>,</w:t>
      </w:r>
      <w:r w:rsidR="00D00930">
        <w:rPr>
          <w:rFonts w:ascii="Verdana" w:hAnsi="Verdana" w:cs="Arial"/>
          <w:sz w:val="18"/>
          <w:szCs w:val="18"/>
        </w:rPr>
        <w:t>5</w:t>
      </w:r>
      <w:r w:rsidR="009124A1" w:rsidRPr="00BD1C42">
        <w:rPr>
          <w:rFonts w:ascii="Verdana" w:hAnsi="Verdana" w:cs="Arial"/>
          <w:sz w:val="18"/>
          <w:szCs w:val="18"/>
        </w:rPr>
        <w:t>%) to €</w:t>
      </w:r>
      <w:r w:rsidR="00316AB3">
        <w:rPr>
          <w:rFonts w:ascii="Verdana" w:hAnsi="Verdana" w:cs="Arial"/>
          <w:sz w:val="18"/>
          <w:szCs w:val="18"/>
        </w:rPr>
        <w:t>8</w:t>
      </w:r>
      <w:r w:rsidR="00D00930">
        <w:rPr>
          <w:rFonts w:ascii="Verdana" w:hAnsi="Verdana" w:cs="Arial"/>
          <w:sz w:val="18"/>
          <w:szCs w:val="18"/>
        </w:rPr>
        <w:t>6</w:t>
      </w:r>
      <w:r w:rsidR="009124A1" w:rsidRPr="00BD1C42">
        <w:rPr>
          <w:rFonts w:ascii="Verdana" w:hAnsi="Verdana" w:cs="Arial"/>
          <w:sz w:val="18"/>
          <w:szCs w:val="18"/>
        </w:rPr>
        <w:t>,</w:t>
      </w:r>
      <w:r w:rsidR="00316AB3">
        <w:rPr>
          <w:rFonts w:ascii="Verdana" w:hAnsi="Verdana" w:cs="Arial"/>
          <w:sz w:val="18"/>
          <w:szCs w:val="18"/>
        </w:rPr>
        <w:t>6</w:t>
      </w:r>
      <w:r w:rsidR="009124A1" w:rsidRPr="00BD1C42">
        <w:rPr>
          <w:rFonts w:ascii="Verdana" w:hAnsi="Verdana" w:cs="Arial"/>
          <w:sz w:val="18"/>
          <w:szCs w:val="18"/>
        </w:rPr>
        <w:t xml:space="preserve"> </w:t>
      </w:r>
      <w:proofErr w:type="spellStart"/>
      <w:r w:rsidR="009124A1" w:rsidRPr="00BD1C42">
        <w:rPr>
          <w:rFonts w:ascii="Verdana" w:hAnsi="Verdana" w:cs="Arial"/>
          <w:sz w:val="18"/>
          <w:szCs w:val="18"/>
        </w:rPr>
        <w:t>mn</w:t>
      </w:r>
      <w:proofErr w:type="spellEnd"/>
      <w:r w:rsidR="009124A1" w:rsidRPr="00BD1C42">
        <w:rPr>
          <w:rFonts w:ascii="Verdana" w:hAnsi="Verdana" w:cs="Arial"/>
          <w:sz w:val="18"/>
          <w:szCs w:val="18"/>
        </w:rPr>
        <w:t xml:space="preserve">, </w:t>
      </w:r>
      <w:r w:rsidR="0026156A" w:rsidRPr="00BD1C42">
        <w:rPr>
          <w:rFonts w:ascii="Verdana" w:hAnsi="Verdana" w:cs="Arial"/>
          <w:sz w:val="18"/>
          <w:szCs w:val="18"/>
        </w:rPr>
        <w:t>from</w:t>
      </w:r>
      <w:r w:rsidR="009124A1" w:rsidRPr="00BD1C42">
        <w:rPr>
          <w:rFonts w:ascii="Verdana" w:hAnsi="Verdana" w:cs="Arial"/>
          <w:sz w:val="18"/>
          <w:szCs w:val="18"/>
        </w:rPr>
        <w:t xml:space="preserve"> €</w:t>
      </w:r>
      <w:r w:rsidR="00D00930">
        <w:rPr>
          <w:rFonts w:ascii="Verdana" w:hAnsi="Verdana" w:cs="Arial"/>
          <w:sz w:val="18"/>
          <w:szCs w:val="18"/>
        </w:rPr>
        <w:t>117</w:t>
      </w:r>
      <w:r w:rsidR="009124A1" w:rsidRPr="00BD1C42">
        <w:rPr>
          <w:rFonts w:ascii="Verdana" w:hAnsi="Verdana" w:cs="Arial"/>
          <w:sz w:val="18"/>
          <w:szCs w:val="18"/>
        </w:rPr>
        <w:t>,</w:t>
      </w:r>
      <w:r w:rsidR="00D00930">
        <w:rPr>
          <w:rFonts w:ascii="Verdana" w:hAnsi="Verdana" w:cs="Arial"/>
          <w:sz w:val="18"/>
          <w:szCs w:val="18"/>
        </w:rPr>
        <w:t>8</w:t>
      </w:r>
      <w:r w:rsidR="009124A1" w:rsidRPr="00BD1C42">
        <w:rPr>
          <w:rFonts w:ascii="Verdana" w:hAnsi="Verdana" w:cs="Arial"/>
          <w:sz w:val="18"/>
          <w:szCs w:val="18"/>
        </w:rPr>
        <w:t xml:space="preserve"> </w:t>
      </w:r>
      <w:proofErr w:type="spellStart"/>
      <w:r w:rsidR="009124A1" w:rsidRPr="00BD1C42">
        <w:rPr>
          <w:rFonts w:ascii="Verdana" w:hAnsi="Verdana" w:cs="Arial"/>
          <w:sz w:val="18"/>
          <w:szCs w:val="18"/>
        </w:rPr>
        <w:t>mn</w:t>
      </w:r>
      <w:proofErr w:type="spellEnd"/>
      <w:r w:rsidR="009124A1" w:rsidRPr="00BD1C42">
        <w:rPr>
          <w:rFonts w:ascii="Verdana" w:hAnsi="Verdana" w:cs="Arial"/>
          <w:sz w:val="18"/>
          <w:szCs w:val="18"/>
        </w:rPr>
        <w:t xml:space="preserve"> in 2023.</w:t>
      </w:r>
    </w:p>
    <w:bookmarkEnd w:id="3"/>
    <w:p w14:paraId="3747AFC3" w14:textId="77777777" w:rsidR="00A13B2F" w:rsidRPr="006F21EB" w:rsidRDefault="00A13B2F" w:rsidP="009A0B95">
      <w:pPr>
        <w:jc w:val="both"/>
        <w:rPr>
          <w:rFonts w:ascii="Verdana" w:hAnsi="Verdana" w:cs="Arial"/>
          <w:sz w:val="18"/>
          <w:szCs w:val="18"/>
        </w:rPr>
      </w:pPr>
    </w:p>
    <w:p w14:paraId="542EA202" w14:textId="77777777" w:rsidR="00972CA0" w:rsidRPr="00C26329" w:rsidRDefault="00972CA0" w:rsidP="00072754">
      <w:pPr>
        <w:jc w:val="both"/>
        <w:rPr>
          <w:rFonts w:ascii="Verdana" w:eastAsia="Malgun Gothic" w:hAnsi="Verdana" w:cs="Arial"/>
          <w:sz w:val="18"/>
          <w:szCs w:val="18"/>
        </w:rPr>
      </w:pPr>
    </w:p>
    <w:p w14:paraId="1C09FC39" w14:textId="77777777" w:rsidR="00972CA0" w:rsidRPr="00C26329" w:rsidRDefault="00972CA0" w:rsidP="00072754">
      <w:pPr>
        <w:jc w:val="both"/>
        <w:rPr>
          <w:rFonts w:ascii="Verdana" w:eastAsia="Malgun Gothic" w:hAnsi="Verdana" w:cs="Arial"/>
          <w:sz w:val="18"/>
          <w:szCs w:val="18"/>
        </w:rPr>
      </w:pPr>
    </w:p>
    <w:p w14:paraId="461DD3D9" w14:textId="77777777" w:rsidR="00972CA0" w:rsidRPr="00C26329" w:rsidRDefault="00972CA0" w:rsidP="00072754">
      <w:pPr>
        <w:jc w:val="both"/>
        <w:rPr>
          <w:rFonts w:ascii="Verdana" w:eastAsia="Malgun Gothic" w:hAnsi="Verdana" w:cs="Arial"/>
          <w:sz w:val="18"/>
          <w:szCs w:val="18"/>
        </w:rPr>
      </w:pPr>
    </w:p>
    <w:p w14:paraId="01550E11" w14:textId="77777777" w:rsidR="00972CA0" w:rsidRDefault="00972CA0" w:rsidP="00072754">
      <w:pPr>
        <w:jc w:val="both"/>
        <w:rPr>
          <w:rFonts w:ascii="Verdana" w:eastAsia="Malgun Gothic" w:hAnsi="Verdana" w:cs="Arial"/>
          <w:sz w:val="18"/>
          <w:szCs w:val="18"/>
        </w:rPr>
      </w:pPr>
    </w:p>
    <w:p w14:paraId="37095AAC" w14:textId="77777777" w:rsidR="004045C2" w:rsidRDefault="004045C2" w:rsidP="00072754">
      <w:pPr>
        <w:jc w:val="both"/>
        <w:rPr>
          <w:rFonts w:ascii="Verdana" w:eastAsia="Malgun Gothic" w:hAnsi="Verdana" w:cs="Arial"/>
          <w:sz w:val="18"/>
          <w:szCs w:val="18"/>
        </w:rPr>
      </w:pPr>
    </w:p>
    <w:p w14:paraId="7CE850AC" w14:textId="77777777" w:rsidR="004045C2" w:rsidRDefault="004045C2" w:rsidP="00072754">
      <w:pPr>
        <w:jc w:val="both"/>
        <w:rPr>
          <w:rFonts w:ascii="Verdana" w:eastAsia="Malgun Gothic" w:hAnsi="Verdana" w:cs="Arial"/>
          <w:sz w:val="18"/>
          <w:szCs w:val="18"/>
        </w:rPr>
      </w:pPr>
    </w:p>
    <w:p w14:paraId="776BDA21" w14:textId="77777777" w:rsidR="004045C2" w:rsidRDefault="004045C2" w:rsidP="00072754">
      <w:pPr>
        <w:jc w:val="both"/>
        <w:rPr>
          <w:rFonts w:ascii="Verdana" w:eastAsia="Malgun Gothic" w:hAnsi="Verdana" w:cs="Arial"/>
          <w:sz w:val="18"/>
          <w:szCs w:val="18"/>
        </w:rPr>
      </w:pPr>
    </w:p>
    <w:p w14:paraId="7F9C29BB" w14:textId="77777777" w:rsidR="004045C2" w:rsidRDefault="004045C2" w:rsidP="00072754">
      <w:pPr>
        <w:jc w:val="both"/>
        <w:rPr>
          <w:rFonts w:ascii="Verdana" w:eastAsia="Malgun Gothic" w:hAnsi="Verdana" w:cs="Arial"/>
          <w:sz w:val="18"/>
          <w:szCs w:val="18"/>
        </w:rPr>
      </w:pPr>
    </w:p>
    <w:p w14:paraId="24F9F3FB" w14:textId="77777777" w:rsidR="004045C2" w:rsidRDefault="004045C2" w:rsidP="00072754">
      <w:pPr>
        <w:jc w:val="both"/>
        <w:rPr>
          <w:rFonts w:ascii="Verdana" w:eastAsia="Malgun Gothic" w:hAnsi="Verdana" w:cs="Arial"/>
          <w:sz w:val="18"/>
          <w:szCs w:val="18"/>
        </w:rPr>
      </w:pPr>
    </w:p>
    <w:p w14:paraId="2411A034" w14:textId="77777777" w:rsidR="004045C2" w:rsidRDefault="004045C2" w:rsidP="00072754">
      <w:pPr>
        <w:jc w:val="both"/>
        <w:rPr>
          <w:rFonts w:ascii="Verdana" w:eastAsia="Malgun Gothic" w:hAnsi="Verdana" w:cs="Arial"/>
          <w:sz w:val="18"/>
          <w:szCs w:val="18"/>
        </w:rPr>
      </w:pPr>
    </w:p>
    <w:p w14:paraId="533BB153" w14:textId="77777777" w:rsidR="004045C2" w:rsidRDefault="004045C2" w:rsidP="00072754">
      <w:pPr>
        <w:jc w:val="both"/>
        <w:rPr>
          <w:rFonts w:ascii="Verdana" w:eastAsia="Malgun Gothic" w:hAnsi="Verdana" w:cs="Arial"/>
          <w:sz w:val="18"/>
          <w:szCs w:val="18"/>
        </w:rPr>
      </w:pPr>
    </w:p>
    <w:p w14:paraId="340E8D1A" w14:textId="77777777" w:rsidR="004045C2" w:rsidRDefault="004045C2" w:rsidP="00072754">
      <w:pPr>
        <w:jc w:val="both"/>
        <w:rPr>
          <w:rFonts w:ascii="Verdana" w:eastAsia="Malgun Gothic" w:hAnsi="Verdana" w:cs="Arial"/>
          <w:sz w:val="18"/>
          <w:szCs w:val="18"/>
        </w:rPr>
      </w:pPr>
    </w:p>
    <w:p w14:paraId="2D47F105" w14:textId="77777777" w:rsidR="004045C2" w:rsidRDefault="004045C2" w:rsidP="00072754">
      <w:pPr>
        <w:jc w:val="both"/>
        <w:rPr>
          <w:rFonts w:ascii="Verdana" w:eastAsia="Malgun Gothic" w:hAnsi="Verdana" w:cs="Arial"/>
          <w:sz w:val="18"/>
          <w:szCs w:val="18"/>
        </w:rPr>
      </w:pPr>
    </w:p>
    <w:p w14:paraId="3BF606BD" w14:textId="77777777" w:rsidR="004045C2" w:rsidRDefault="004045C2" w:rsidP="00072754">
      <w:pPr>
        <w:jc w:val="both"/>
        <w:rPr>
          <w:rFonts w:ascii="Verdana" w:eastAsia="Malgun Gothic" w:hAnsi="Verdana" w:cs="Arial"/>
          <w:sz w:val="18"/>
          <w:szCs w:val="18"/>
        </w:rPr>
      </w:pPr>
    </w:p>
    <w:p w14:paraId="686D43CB" w14:textId="77777777" w:rsidR="004045C2" w:rsidRDefault="004045C2" w:rsidP="00072754">
      <w:pPr>
        <w:jc w:val="both"/>
        <w:rPr>
          <w:rFonts w:ascii="Verdana" w:eastAsia="Malgun Gothic" w:hAnsi="Verdana" w:cs="Arial"/>
          <w:sz w:val="18"/>
          <w:szCs w:val="18"/>
        </w:rPr>
      </w:pPr>
    </w:p>
    <w:p w14:paraId="42CEB95C" w14:textId="77777777" w:rsidR="004045C2" w:rsidRDefault="004045C2" w:rsidP="00072754">
      <w:pPr>
        <w:jc w:val="both"/>
        <w:rPr>
          <w:rFonts w:ascii="Verdana" w:eastAsia="Malgun Gothic" w:hAnsi="Verdana" w:cs="Arial"/>
          <w:sz w:val="18"/>
          <w:szCs w:val="18"/>
        </w:rPr>
      </w:pPr>
    </w:p>
    <w:p w14:paraId="0FA9C682" w14:textId="77777777" w:rsidR="004045C2" w:rsidRDefault="004045C2" w:rsidP="00072754">
      <w:pPr>
        <w:jc w:val="both"/>
        <w:rPr>
          <w:rFonts w:ascii="Verdana" w:eastAsia="Malgun Gothic" w:hAnsi="Verdana" w:cs="Arial"/>
          <w:sz w:val="18"/>
          <w:szCs w:val="18"/>
        </w:rPr>
      </w:pPr>
    </w:p>
    <w:p w14:paraId="7F3112A9" w14:textId="77777777" w:rsidR="004045C2" w:rsidRDefault="004045C2" w:rsidP="00072754">
      <w:pPr>
        <w:jc w:val="both"/>
        <w:rPr>
          <w:rFonts w:ascii="Verdana" w:eastAsia="Malgun Gothic" w:hAnsi="Verdana" w:cs="Arial"/>
          <w:sz w:val="18"/>
          <w:szCs w:val="18"/>
        </w:rPr>
      </w:pPr>
    </w:p>
    <w:p w14:paraId="18A5C865" w14:textId="77777777" w:rsidR="004045C2" w:rsidRDefault="004045C2" w:rsidP="00072754">
      <w:pPr>
        <w:jc w:val="both"/>
        <w:rPr>
          <w:rFonts w:ascii="Verdana" w:eastAsia="Malgun Gothic" w:hAnsi="Verdana" w:cs="Arial"/>
          <w:sz w:val="18"/>
          <w:szCs w:val="18"/>
        </w:rPr>
      </w:pPr>
    </w:p>
    <w:p w14:paraId="2B058CDB" w14:textId="77777777" w:rsidR="004045C2" w:rsidRDefault="004045C2" w:rsidP="00072754">
      <w:pPr>
        <w:jc w:val="both"/>
        <w:rPr>
          <w:rFonts w:ascii="Verdana" w:eastAsia="Malgun Gothic" w:hAnsi="Verdana" w:cs="Arial"/>
          <w:sz w:val="18"/>
          <w:szCs w:val="18"/>
        </w:rPr>
      </w:pPr>
    </w:p>
    <w:p w14:paraId="0EF96FF3" w14:textId="77777777" w:rsidR="004045C2" w:rsidRDefault="004045C2" w:rsidP="00072754">
      <w:pPr>
        <w:jc w:val="both"/>
        <w:rPr>
          <w:rFonts w:ascii="Verdana" w:eastAsia="Malgun Gothic" w:hAnsi="Verdana" w:cs="Arial"/>
          <w:sz w:val="18"/>
          <w:szCs w:val="18"/>
        </w:rPr>
      </w:pPr>
    </w:p>
    <w:p w14:paraId="12486E35" w14:textId="77777777" w:rsidR="004045C2" w:rsidRDefault="004045C2" w:rsidP="00072754">
      <w:pPr>
        <w:jc w:val="both"/>
        <w:rPr>
          <w:rFonts w:ascii="Verdana" w:eastAsia="Malgun Gothic" w:hAnsi="Verdana" w:cs="Arial"/>
          <w:sz w:val="18"/>
          <w:szCs w:val="18"/>
        </w:rPr>
      </w:pPr>
    </w:p>
    <w:p w14:paraId="7FB8B22E" w14:textId="77777777" w:rsidR="004045C2" w:rsidRDefault="004045C2" w:rsidP="00072754">
      <w:pPr>
        <w:jc w:val="both"/>
        <w:rPr>
          <w:rFonts w:ascii="Verdana" w:eastAsia="Malgun Gothic" w:hAnsi="Verdana" w:cs="Arial"/>
          <w:sz w:val="18"/>
          <w:szCs w:val="18"/>
        </w:rPr>
      </w:pPr>
    </w:p>
    <w:p w14:paraId="6B988120" w14:textId="77777777" w:rsidR="00D23155" w:rsidRDefault="00D23155">
      <w:pPr>
        <w:rPr>
          <w:rFonts w:ascii="Verdana" w:eastAsia="Malgun Gothic" w:hAnsi="Verdana" w:cs="Arial"/>
          <w:sz w:val="18"/>
          <w:szCs w:val="18"/>
        </w:rPr>
      </w:pPr>
      <w:r>
        <w:rPr>
          <w:rFonts w:ascii="Verdana" w:eastAsia="Malgun Gothic" w:hAnsi="Verdana" w:cs="Arial"/>
          <w:sz w:val="18"/>
          <w:szCs w:val="18"/>
        </w:rPr>
        <w:br w:type="page"/>
      </w:r>
    </w:p>
    <w:tbl>
      <w:tblPr>
        <w:tblStyle w:val="TableGrid"/>
        <w:tblW w:w="103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42"/>
        <w:gridCol w:w="1279"/>
        <w:gridCol w:w="1483"/>
        <w:gridCol w:w="264"/>
        <w:gridCol w:w="204"/>
        <w:gridCol w:w="1075"/>
        <w:gridCol w:w="204"/>
        <w:gridCol w:w="264"/>
        <w:gridCol w:w="204"/>
        <w:gridCol w:w="1130"/>
        <w:gridCol w:w="204"/>
      </w:tblGrid>
      <w:tr w:rsidR="00D23155" w:rsidRPr="006F21EB" w14:paraId="5E177FB2" w14:textId="77777777" w:rsidTr="00ED341D">
        <w:trPr>
          <w:gridAfter w:val="1"/>
          <w:wAfter w:w="204" w:type="dxa"/>
          <w:trHeight w:val="284"/>
          <w:jc w:val="center"/>
        </w:trPr>
        <w:tc>
          <w:tcPr>
            <w:tcW w:w="4042" w:type="dxa"/>
            <w:tcBorders>
              <w:bottom w:val="single" w:sz="4" w:space="0" w:color="2F5496" w:themeColor="accent1" w:themeShade="BF"/>
            </w:tcBorders>
            <w:vAlign w:val="center"/>
          </w:tcPr>
          <w:p w14:paraId="621C48AA" w14:textId="77777777" w:rsidR="00D23155" w:rsidRPr="006F21EB" w:rsidRDefault="00D23155" w:rsidP="00CA6AD5">
            <w:pPr>
              <w:rPr>
                <w:rFonts w:ascii="Verdana" w:hAnsi="Verdana" w:cs="Arial"/>
                <w:b/>
                <w:bCs/>
                <w:color w:val="2F5496" w:themeColor="accent1" w:themeShade="BF"/>
                <w:sz w:val="18"/>
                <w:szCs w:val="18"/>
              </w:rPr>
            </w:pPr>
            <w:r>
              <w:rPr>
                <w:rFonts w:ascii="Verdana" w:hAnsi="Verdana" w:cs="Arial"/>
                <w:b/>
                <w:bCs/>
                <w:color w:val="2F5496" w:themeColor="accent1" w:themeShade="BF"/>
                <w:sz w:val="18"/>
                <w:szCs w:val="18"/>
              </w:rPr>
              <w:lastRenderedPageBreak/>
              <w:t>Table</w:t>
            </w:r>
          </w:p>
        </w:tc>
        <w:tc>
          <w:tcPr>
            <w:tcW w:w="1279" w:type="dxa"/>
            <w:tcBorders>
              <w:bottom w:val="single" w:sz="4" w:space="0" w:color="2F5496" w:themeColor="accent1" w:themeShade="BF"/>
            </w:tcBorders>
          </w:tcPr>
          <w:p w14:paraId="721C7A9F" w14:textId="77777777" w:rsidR="00D23155" w:rsidRPr="006F21EB" w:rsidRDefault="00D23155" w:rsidP="00CA6AD5">
            <w:pPr>
              <w:jc w:val="both"/>
              <w:rPr>
                <w:rFonts w:ascii="Verdana" w:hAnsi="Verdana" w:cs="Arial"/>
                <w:color w:val="2F5496" w:themeColor="accent1" w:themeShade="BF"/>
                <w:sz w:val="18"/>
                <w:szCs w:val="18"/>
                <w:lang w:val="el-GR"/>
              </w:rPr>
            </w:pPr>
          </w:p>
        </w:tc>
        <w:tc>
          <w:tcPr>
            <w:tcW w:w="1483" w:type="dxa"/>
            <w:tcBorders>
              <w:bottom w:val="single" w:sz="4" w:space="0" w:color="2F5496" w:themeColor="accent1" w:themeShade="BF"/>
            </w:tcBorders>
          </w:tcPr>
          <w:p w14:paraId="49990FEF" w14:textId="77777777" w:rsidR="00D23155" w:rsidRPr="006F21EB" w:rsidRDefault="00D23155" w:rsidP="00CA6AD5">
            <w:pPr>
              <w:jc w:val="both"/>
              <w:rPr>
                <w:rFonts w:ascii="Verdana" w:hAnsi="Verdana" w:cs="Arial"/>
                <w:color w:val="2F5496" w:themeColor="accent1" w:themeShade="BF"/>
                <w:sz w:val="18"/>
                <w:szCs w:val="18"/>
                <w:lang w:val="el-GR"/>
              </w:rPr>
            </w:pPr>
          </w:p>
        </w:tc>
        <w:tc>
          <w:tcPr>
            <w:tcW w:w="264" w:type="dxa"/>
            <w:tcBorders>
              <w:bottom w:val="single" w:sz="4" w:space="0" w:color="2F5496" w:themeColor="accent1" w:themeShade="BF"/>
            </w:tcBorders>
          </w:tcPr>
          <w:p w14:paraId="10052C81" w14:textId="77777777" w:rsidR="00D23155" w:rsidRPr="006F21EB" w:rsidRDefault="00D23155" w:rsidP="00CA6AD5">
            <w:pPr>
              <w:jc w:val="both"/>
              <w:rPr>
                <w:rFonts w:ascii="Verdana" w:hAnsi="Verdana" w:cs="Arial"/>
                <w:color w:val="2F5496" w:themeColor="accent1" w:themeShade="BF"/>
                <w:sz w:val="18"/>
                <w:szCs w:val="18"/>
                <w:lang w:val="el-GR"/>
              </w:rPr>
            </w:pPr>
          </w:p>
        </w:tc>
        <w:tc>
          <w:tcPr>
            <w:tcW w:w="1279" w:type="dxa"/>
            <w:gridSpan w:val="2"/>
            <w:tcBorders>
              <w:bottom w:val="single" w:sz="4" w:space="0" w:color="2F5496" w:themeColor="accent1" w:themeShade="BF"/>
            </w:tcBorders>
          </w:tcPr>
          <w:p w14:paraId="3188FAD3" w14:textId="77777777" w:rsidR="00D23155" w:rsidRPr="006F21EB" w:rsidRDefault="00D23155" w:rsidP="00CA6AD5">
            <w:pPr>
              <w:jc w:val="both"/>
              <w:rPr>
                <w:rFonts w:ascii="Verdana" w:hAnsi="Verdana" w:cs="Arial"/>
                <w:color w:val="2F5496" w:themeColor="accent1" w:themeShade="BF"/>
                <w:sz w:val="18"/>
                <w:szCs w:val="18"/>
                <w:lang w:val="el-GR"/>
              </w:rPr>
            </w:pPr>
          </w:p>
        </w:tc>
        <w:tc>
          <w:tcPr>
            <w:tcW w:w="468" w:type="dxa"/>
            <w:gridSpan w:val="2"/>
            <w:tcBorders>
              <w:bottom w:val="single" w:sz="4" w:space="0" w:color="2F5496" w:themeColor="accent1" w:themeShade="BF"/>
            </w:tcBorders>
          </w:tcPr>
          <w:p w14:paraId="6F0B3FB3" w14:textId="77777777" w:rsidR="00D23155" w:rsidRPr="006F21EB" w:rsidRDefault="00D23155" w:rsidP="00CA6AD5">
            <w:pPr>
              <w:jc w:val="both"/>
              <w:rPr>
                <w:rFonts w:ascii="Verdana" w:hAnsi="Verdana" w:cs="Arial"/>
                <w:color w:val="2F5496" w:themeColor="accent1" w:themeShade="BF"/>
                <w:sz w:val="18"/>
                <w:szCs w:val="18"/>
                <w:lang w:val="el-GR"/>
              </w:rPr>
            </w:pPr>
          </w:p>
        </w:tc>
        <w:tc>
          <w:tcPr>
            <w:tcW w:w="1334" w:type="dxa"/>
            <w:gridSpan w:val="2"/>
            <w:tcBorders>
              <w:bottom w:val="single" w:sz="4" w:space="0" w:color="2F5496" w:themeColor="accent1" w:themeShade="BF"/>
            </w:tcBorders>
          </w:tcPr>
          <w:p w14:paraId="1D97A812" w14:textId="77777777" w:rsidR="00D23155" w:rsidRPr="006F21EB" w:rsidRDefault="00D23155" w:rsidP="00CA6AD5">
            <w:pPr>
              <w:jc w:val="both"/>
              <w:rPr>
                <w:rFonts w:ascii="Verdana" w:hAnsi="Verdana" w:cs="Arial"/>
                <w:color w:val="2F5496" w:themeColor="accent1" w:themeShade="BF"/>
                <w:sz w:val="18"/>
                <w:szCs w:val="18"/>
                <w:lang w:val="el-GR"/>
              </w:rPr>
            </w:pPr>
          </w:p>
        </w:tc>
      </w:tr>
      <w:tr w:rsidR="00D23155" w:rsidRPr="006F21EB" w14:paraId="36D56CA1" w14:textId="77777777" w:rsidTr="00ED341D">
        <w:trPr>
          <w:gridAfter w:val="1"/>
          <w:wAfter w:w="204" w:type="dxa"/>
          <w:trHeight w:val="340"/>
          <w:jc w:val="center"/>
        </w:trPr>
        <w:tc>
          <w:tcPr>
            <w:tcW w:w="4042" w:type="dxa"/>
            <w:vMerge w:val="restart"/>
            <w:tcBorders>
              <w:top w:val="single" w:sz="4" w:space="0" w:color="2F5496" w:themeColor="accent1" w:themeShade="BF"/>
            </w:tcBorders>
            <w:vAlign w:val="center"/>
          </w:tcPr>
          <w:p w14:paraId="468AC29B" w14:textId="77777777" w:rsidR="00D23155" w:rsidRPr="00340922" w:rsidRDefault="00D23155" w:rsidP="00CA6AD5">
            <w:pPr>
              <w:jc w:val="center"/>
              <w:rPr>
                <w:rFonts w:ascii="Verdana" w:hAnsi="Verdana" w:cs="Arial"/>
                <w:b/>
                <w:bCs/>
                <w:color w:val="2F5496" w:themeColor="accent1" w:themeShade="BF"/>
                <w:sz w:val="18"/>
                <w:szCs w:val="18"/>
              </w:rPr>
            </w:pPr>
            <w:r w:rsidRPr="00340922">
              <w:rPr>
                <w:rFonts w:ascii="Verdana" w:hAnsi="Verdana" w:cs="Arial"/>
                <w:b/>
                <w:bCs/>
                <w:color w:val="2F5496" w:themeColor="accent1" w:themeShade="BF"/>
                <w:sz w:val="18"/>
                <w:szCs w:val="18"/>
              </w:rPr>
              <w:t>M</w:t>
            </w:r>
            <w:r>
              <w:rPr>
                <w:rFonts w:ascii="Verdana" w:hAnsi="Verdana" w:cs="Arial"/>
                <w:b/>
                <w:bCs/>
                <w:color w:val="2F5496" w:themeColor="accent1" w:themeShade="BF"/>
                <w:sz w:val="18"/>
                <w:szCs w:val="18"/>
              </w:rPr>
              <w:t>acroeconomic</w:t>
            </w:r>
            <w:r w:rsidRPr="00340922">
              <w:rPr>
                <w:rFonts w:ascii="Verdana" w:hAnsi="Verdana" w:cs="Arial"/>
                <w:b/>
                <w:bCs/>
                <w:color w:val="2F5496" w:themeColor="accent1" w:themeShade="BF"/>
                <w:sz w:val="18"/>
                <w:szCs w:val="18"/>
              </w:rPr>
              <w:t xml:space="preserve"> A</w:t>
            </w:r>
            <w:r>
              <w:rPr>
                <w:rFonts w:ascii="Verdana" w:hAnsi="Verdana" w:cs="Arial"/>
                <w:b/>
                <w:bCs/>
                <w:color w:val="2F5496" w:themeColor="accent1" w:themeShade="BF"/>
                <w:sz w:val="18"/>
                <w:szCs w:val="18"/>
              </w:rPr>
              <w:t>ggregates</w:t>
            </w:r>
            <w:r w:rsidRPr="00340922">
              <w:rPr>
                <w:rFonts w:ascii="Verdana" w:hAnsi="Verdana" w:cs="Arial"/>
                <w:b/>
                <w:bCs/>
                <w:color w:val="2F5496" w:themeColor="accent1" w:themeShade="BF"/>
                <w:sz w:val="18"/>
                <w:szCs w:val="18"/>
              </w:rPr>
              <w:t xml:space="preserve"> </w:t>
            </w:r>
            <w:r>
              <w:rPr>
                <w:rFonts w:ascii="Verdana" w:hAnsi="Verdana" w:cs="Arial"/>
                <w:b/>
                <w:bCs/>
                <w:color w:val="2F5496" w:themeColor="accent1" w:themeShade="BF"/>
                <w:sz w:val="18"/>
                <w:szCs w:val="18"/>
              </w:rPr>
              <w:t>of</w:t>
            </w:r>
            <w:r w:rsidRPr="00340922">
              <w:rPr>
                <w:rFonts w:ascii="Verdana" w:hAnsi="Verdana" w:cs="Arial"/>
                <w:b/>
                <w:bCs/>
                <w:color w:val="2F5496" w:themeColor="accent1" w:themeShade="BF"/>
                <w:sz w:val="18"/>
                <w:szCs w:val="18"/>
              </w:rPr>
              <w:t xml:space="preserve"> </w:t>
            </w:r>
            <w:r>
              <w:rPr>
                <w:rFonts w:ascii="Verdana" w:hAnsi="Verdana" w:cs="Arial"/>
                <w:b/>
                <w:bCs/>
                <w:color w:val="2F5496" w:themeColor="accent1" w:themeShade="BF"/>
                <w:sz w:val="18"/>
                <w:szCs w:val="18"/>
              </w:rPr>
              <w:t>General</w:t>
            </w:r>
            <w:r w:rsidRPr="00340922">
              <w:rPr>
                <w:rFonts w:ascii="Verdana" w:hAnsi="Verdana" w:cs="Arial"/>
                <w:b/>
                <w:bCs/>
                <w:color w:val="2F5496" w:themeColor="accent1" w:themeShade="BF"/>
                <w:sz w:val="18"/>
                <w:szCs w:val="18"/>
              </w:rPr>
              <w:t xml:space="preserve"> </w:t>
            </w:r>
            <w:r>
              <w:rPr>
                <w:rFonts w:ascii="Verdana" w:hAnsi="Verdana" w:cs="Arial"/>
                <w:b/>
                <w:bCs/>
                <w:color w:val="2F5496" w:themeColor="accent1" w:themeShade="BF"/>
                <w:sz w:val="18"/>
                <w:szCs w:val="18"/>
              </w:rPr>
              <w:t>Government</w:t>
            </w:r>
          </w:p>
        </w:tc>
        <w:tc>
          <w:tcPr>
            <w:tcW w:w="4305" w:type="dxa"/>
            <w:gridSpan w:val="5"/>
            <w:tcBorders>
              <w:top w:val="single" w:sz="4" w:space="0" w:color="2F5496" w:themeColor="accent1" w:themeShade="BF"/>
              <w:bottom w:val="single" w:sz="4" w:space="0" w:color="2F5496" w:themeColor="accent1" w:themeShade="BF"/>
            </w:tcBorders>
            <w:vAlign w:val="center"/>
          </w:tcPr>
          <w:p w14:paraId="54588036" w14:textId="77777777" w:rsidR="00D23155" w:rsidRPr="006F21EB" w:rsidRDefault="00D23155" w:rsidP="00CA6AD5">
            <w:pPr>
              <w:jc w:val="center"/>
              <w:rPr>
                <w:rFonts w:ascii="Verdana" w:hAnsi="Verdana" w:cs="Arial"/>
                <w:b/>
                <w:bCs/>
                <w:color w:val="2F5496" w:themeColor="accent1" w:themeShade="BF"/>
                <w:sz w:val="18"/>
                <w:szCs w:val="18"/>
                <w:lang w:val="el-GR"/>
              </w:rPr>
            </w:pPr>
            <w:r>
              <w:rPr>
                <w:rFonts w:ascii="Verdana" w:hAnsi="Verdana" w:cs="Arial"/>
                <w:b/>
                <w:bCs/>
                <w:color w:val="2F5496" w:themeColor="accent1" w:themeShade="BF"/>
                <w:sz w:val="18"/>
                <w:szCs w:val="18"/>
              </w:rPr>
              <w:t>Euro</w:t>
            </w:r>
            <w:r w:rsidRPr="006F21EB">
              <w:rPr>
                <w:rFonts w:ascii="Verdana" w:hAnsi="Verdana" w:cs="Arial"/>
                <w:b/>
                <w:bCs/>
                <w:color w:val="2F5496" w:themeColor="accent1" w:themeShade="BF"/>
                <w:sz w:val="18"/>
                <w:szCs w:val="18"/>
                <w:lang w:val="el-GR"/>
              </w:rPr>
              <w:t xml:space="preserve"> (</w:t>
            </w:r>
            <w:r>
              <w:rPr>
                <w:rFonts w:ascii="Verdana" w:hAnsi="Verdana" w:cs="Arial"/>
                <w:b/>
                <w:bCs/>
                <w:color w:val="2F5496" w:themeColor="accent1" w:themeShade="BF"/>
                <w:sz w:val="18"/>
                <w:szCs w:val="18"/>
              </w:rPr>
              <w:t>million</w:t>
            </w:r>
            <w:r w:rsidRPr="006F21EB">
              <w:rPr>
                <w:rFonts w:ascii="Verdana" w:hAnsi="Verdana" w:cs="Arial"/>
                <w:b/>
                <w:bCs/>
                <w:color w:val="2F5496" w:themeColor="accent1" w:themeShade="BF"/>
                <w:sz w:val="18"/>
                <w:szCs w:val="18"/>
                <w:lang w:val="el-GR"/>
              </w:rPr>
              <w:t>)</w:t>
            </w:r>
          </w:p>
        </w:tc>
        <w:tc>
          <w:tcPr>
            <w:tcW w:w="468" w:type="dxa"/>
            <w:gridSpan w:val="2"/>
            <w:tcBorders>
              <w:top w:val="single" w:sz="4" w:space="0" w:color="2F5496" w:themeColor="accent1" w:themeShade="BF"/>
            </w:tcBorders>
          </w:tcPr>
          <w:p w14:paraId="623B7188" w14:textId="77777777" w:rsidR="00D23155" w:rsidRPr="006F21EB" w:rsidRDefault="00D23155" w:rsidP="00CA6AD5">
            <w:pPr>
              <w:jc w:val="both"/>
              <w:rPr>
                <w:rFonts w:ascii="Verdana" w:hAnsi="Verdana" w:cs="Arial"/>
                <w:color w:val="2F5496" w:themeColor="accent1" w:themeShade="BF"/>
                <w:sz w:val="18"/>
                <w:szCs w:val="18"/>
                <w:lang w:val="el-GR"/>
              </w:rPr>
            </w:pPr>
          </w:p>
        </w:tc>
        <w:tc>
          <w:tcPr>
            <w:tcW w:w="1334" w:type="dxa"/>
            <w:gridSpan w:val="2"/>
            <w:tcBorders>
              <w:top w:val="single" w:sz="4" w:space="0" w:color="2F5496" w:themeColor="accent1" w:themeShade="BF"/>
            </w:tcBorders>
            <w:vAlign w:val="center"/>
          </w:tcPr>
          <w:p w14:paraId="1D7F470D" w14:textId="77777777" w:rsidR="00D23155" w:rsidRPr="006F21EB" w:rsidRDefault="00D23155" w:rsidP="00CA6AD5">
            <w:pPr>
              <w:jc w:val="center"/>
              <w:rPr>
                <w:rFonts w:ascii="Verdana" w:hAnsi="Verdana" w:cs="Arial"/>
                <w:color w:val="2F5496" w:themeColor="accent1" w:themeShade="BF"/>
                <w:sz w:val="18"/>
                <w:szCs w:val="18"/>
                <w:lang w:val="el-GR"/>
              </w:rPr>
            </w:pPr>
            <w:r>
              <w:rPr>
                <w:rFonts w:ascii="Verdana" w:hAnsi="Verdana" w:cs="Arial"/>
                <w:b/>
                <w:bCs/>
                <w:color w:val="2F5496" w:themeColor="accent1" w:themeShade="BF"/>
                <w:sz w:val="18"/>
                <w:szCs w:val="18"/>
              </w:rPr>
              <w:t>Change</w:t>
            </w:r>
          </w:p>
        </w:tc>
      </w:tr>
      <w:tr w:rsidR="00D23155" w:rsidRPr="006F21EB" w14:paraId="1924FF48" w14:textId="77777777" w:rsidTr="00ED341D">
        <w:trPr>
          <w:gridAfter w:val="1"/>
          <w:wAfter w:w="204" w:type="dxa"/>
          <w:trHeight w:val="510"/>
          <w:jc w:val="center"/>
        </w:trPr>
        <w:tc>
          <w:tcPr>
            <w:tcW w:w="4042" w:type="dxa"/>
            <w:vMerge/>
          </w:tcPr>
          <w:p w14:paraId="34B52B17" w14:textId="77777777" w:rsidR="00D23155" w:rsidRPr="006F21EB" w:rsidRDefault="00D23155" w:rsidP="00CA6AD5">
            <w:pPr>
              <w:jc w:val="both"/>
              <w:rPr>
                <w:rFonts w:ascii="Verdana" w:hAnsi="Verdana" w:cs="Arial"/>
                <w:b/>
                <w:bCs/>
                <w:color w:val="2F5496" w:themeColor="accent1" w:themeShade="BF"/>
                <w:sz w:val="18"/>
                <w:szCs w:val="18"/>
                <w:lang w:val="el-GR"/>
              </w:rPr>
            </w:pPr>
          </w:p>
        </w:tc>
        <w:tc>
          <w:tcPr>
            <w:tcW w:w="2762" w:type="dxa"/>
            <w:gridSpan w:val="2"/>
            <w:tcBorders>
              <w:top w:val="single" w:sz="4" w:space="0" w:color="2F5496" w:themeColor="accent1" w:themeShade="BF"/>
              <w:bottom w:val="single" w:sz="4" w:space="0" w:color="2F5496" w:themeColor="accent1" w:themeShade="BF"/>
            </w:tcBorders>
            <w:vAlign w:val="center"/>
          </w:tcPr>
          <w:p w14:paraId="2542D997" w14:textId="77777777" w:rsidR="00D23155" w:rsidRPr="006F21EB" w:rsidRDefault="00D23155" w:rsidP="00340922">
            <w:pPr>
              <w:jc w:val="center"/>
              <w:rPr>
                <w:rFonts w:ascii="Verdana" w:hAnsi="Verdana" w:cs="Arial"/>
                <w:b/>
                <w:bCs/>
                <w:color w:val="2F5496" w:themeColor="accent1" w:themeShade="BF"/>
                <w:sz w:val="18"/>
                <w:szCs w:val="18"/>
                <w:lang w:val="el-GR"/>
              </w:rPr>
            </w:pPr>
            <w:r>
              <w:rPr>
                <w:rFonts w:ascii="Verdana" w:hAnsi="Verdana" w:cs="Arial"/>
                <w:b/>
                <w:bCs/>
                <w:color w:val="2F5496" w:themeColor="accent1" w:themeShade="BF"/>
                <w:sz w:val="18"/>
                <w:szCs w:val="18"/>
              </w:rPr>
              <w:t>Fiscal Results</w:t>
            </w:r>
          </w:p>
        </w:tc>
        <w:tc>
          <w:tcPr>
            <w:tcW w:w="264" w:type="dxa"/>
            <w:tcBorders>
              <w:top w:val="single" w:sz="4" w:space="0" w:color="2F5496" w:themeColor="accent1" w:themeShade="BF"/>
            </w:tcBorders>
          </w:tcPr>
          <w:p w14:paraId="10A22D3B" w14:textId="77777777" w:rsidR="00D23155" w:rsidRDefault="00D23155" w:rsidP="00CA6AD5">
            <w:pPr>
              <w:jc w:val="center"/>
              <w:rPr>
                <w:rFonts w:ascii="Verdana" w:hAnsi="Verdana" w:cs="Arial"/>
                <w:b/>
                <w:bCs/>
                <w:color w:val="2F5496" w:themeColor="accent1" w:themeShade="BF"/>
                <w:sz w:val="18"/>
                <w:szCs w:val="18"/>
              </w:rPr>
            </w:pPr>
          </w:p>
        </w:tc>
        <w:tc>
          <w:tcPr>
            <w:tcW w:w="1279" w:type="dxa"/>
            <w:gridSpan w:val="2"/>
            <w:tcBorders>
              <w:top w:val="single" w:sz="4" w:space="0" w:color="2F5496" w:themeColor="accent1" w:themeShade="BF"/>
              <w:left w:val="nil"/>
              <w:bottom w:val="single" w:sz="4" w:space="0" w:color="2F5496" w:themeColor="accent1" w:themeShade="BF"/>
            </w:tcBorders>
            <w:vAlign w:val="center"/>
          </w:tcPr>
          <w:p w14:paraId="38ADECD4" w14:textId="77777777" w:rsidR="00D23155" w:rsidRPr="006F21EB" w:rsidRDefault="00D23155" w:rsidP="00CA6AD5">
            <w:pPr>
              <w:jc w:val="center"/>
              <w:rPr>
                <w:rFonts w:ascii="Verdana" w:hAnsi="Verdana" w:cs="Arial"/>
                <w:b/>
                <w:bCs/>
                <w:color w:val="2F5496" w:themeColor="accent1" w:themeShade="BF"/>
                <w:sz w:val="18"/>
                <w:szCs w:val="18"/>
                <w:lang w:val="el-GR"/>
              </w:rPr>
            </w:pPr>
            <w:r>
              <w:rPr>
                <w:rFonts w:ascii="Verdana" w:hAnsi="Verdana" w:cs="Arial"/>
                <w:b/>
                <w:bCs/>
                <w:color w:val="2F5496" w:themeColor="accent1" w:themeShade="BF"/>
                <w:sz w:val="18"/>
                <w:szCs w:val="18"/>
              </w:rPr>
              <w:t>Difference</w:t>
            </w:r>
          </w:p>
        </w:tc>
        <w:tc>
          <w:tcPr>
            <w:tcW w:w="468" w:type="dxa"/>
            <w:gridSpan w:val="2"/>
          </w:tcPr>
          <w:p w14:paraId="036343EE" w14:textId="77777777" w:rsidR="00D23155" w:rsidRPr="006F21EB" w:rsidRDefault="00D23155" w:rsidP="00CA6AD5">
            <w:pPr>
              <w:jc w:val="both"/>
              <w:rPr>
                <w:rFonts w:ascii="Verdana" w:hAnsi="Verdana" w:cs="Arial"/>
                <w:b/>
                <w:bCs/>
                <w:color w:val="2F5496" w:themeColor="accent1" w:themeShade="BF"/>
                <w:sz w:val="18"/>
                <w:szCs w:val="18"/>
                <w:lang w:val="el-GR"/>
              </w:rPr>
            </w:pPr>
          </w:p>
        </w:tc>
        <w:tc>
          <w:tcPr>
            <w:tcW w:w="1334" w:type="dxa"/>
            <w:gridSpan w:val="2"/>
            <w:tcBorders>
              <w:bottom w:val="single" w:sz="4" w:space="0" w:color="2F5496" w:themeColor="accent1" w:themeShade="BF"/>
            </w:tcBorders>
            <w:vAlign w:val="center"/>
          </w:tcPr>
          <w:p w14:paraId="1231BCCF" w14:textId="77777777" w:rsidR="00D23155" w:rsidRPr="006F21EB" w:rsidRDefault="00D23155" w:rsidP="00CA6AD5">
            <w:pPr>
              <w:jc w:val="center"/>
              <w:rPr>
                <w:rFonts w:ascii="Verdana" w:hAnsi="Verdana" w:cs="Arial"/>
                <w:b/>
                <w:bCs/>
                <w:color w:val="2F5496" w:themeColor="accent1" w:themeShade="BF"/>
                <w:sz w:val="18"/>
                <w:szCs w:val="18"/>
                <w:lang w:val="el-GR"/>
              </w:rPr>
            </w:pPr>
            <w:r w:rsidRPr="006F21EB">
              <w:rPr>
                <w:rFonts w:ascii="Verdana" w:hAnsi="Verdana" w:cs="Arial"/>
                <w:b/>
                <w:bCs/>
                <w:color w:val="2F5496" w:themeColor="accent1" w:themeShade="BF"/>
                <w:sz w:val="18"/>
                <w:szCs w:val="18"/>
                <w:lang w:val="el-GR"/>
              </w:rPr>
              <w:t>(%)</w:t>
            </w:r>
          </w:p>
        </w:tc>
      </w:tr>
      <w:tr w:rsidR="00D23155" w:rsidRPr="006F21EB" w14:paraId="33490BC8" w14:textId="77777777" w:rsidTr="00ED341D">
        <w:trPr>
          <w:gridAfter w:val="1"/>
          <w:wAfter w:w="204" w:type="dxa"/>
          <w:trHeight w:val="624"/>
          <w:jc w:val="center"/>
        </w:trPr>
        <w:tc>
          <w:tcPr>
            <w:tcW w:w="4042" w:type="dxa"/>
            <w:vMerge/>
            <w:tcBorders>
              <w:bottom w:val="single" w:sz="4" w:space="0" w:color="2F5496" w:themeColor="accent1" w:themeShade="BF"/>
            </w:tcBorders>
          </w:tcPr>
          <w:p w14:paraId="3B623BD5" w14:textId="77777777" w:rsidR="00D23155" w:rsidRPr="006F21EB" w:rsidRDefault="00D23155" w:rsidP="00CA6AD5">
            <w:pPr>
              <w:jc w:val="both"/>
              <w:rPr>
                <w:rFonts w:ascii="Verdana" w:hAnsi="Verdana" w:cs="Arial"/>
                <w:color w:val="2F5496" w:themeColor="accent1" w:themeShade="BF"/>
                <w:sz w:val="18"/>
                <w:szCs w:val="18"/>
                <w:lang w:val="el-GR"/>
              </w:rPr>
            </w:pPr>
          </w:p>
        </w:tc>
        <w:tc>
          <w:tcPr>
            <w:tcW w:w="1279" w:type="dxa"/>
            <w:tcBorders>
              <w:top w:val="single" w:sz="4" w:space="0" w:color="2F5496" w:themeColor="accent1" w:themeShade="BF"/>
              <w:bottom w:val="single" w:sz="4" w:space="0" w:color="2F5496" w:themeColor="accent1" w:themeShade="BF"/>
            </w:tcBorders>
            <w:vAlign w:val="center"/>
          </w:tcPr>
          <w:p w14:paraId="429E2994" w14:textId="62E426A2" w:rsidR="00D23155" w:rsidRPr="00B97BB7" w:rsidRDefault="00D23155" w:rsidP="00CA6AD5">
            <w:pPr>
              <w:jc w:val="center"/>
              <w:rPr>
                <w:rFonts w:ascii="Verdana" w:hAnsi="Verdana" w:cs="Arial"/>
                <w:b/>
                <w:bCs/>
                <w:color w:val="2F5496" w:themeColor="accent1" w:themeShade="BF"/>
                <w:sz w:val="18"/>
                <w:szCs w:val="18"/>
              </w:rPr>
            </w:pPr>
            <w:r>
              <w:rPr>
                <w:rFonts w:ascii="Verdana" w:hAnsi="Verdana" w:cs="Arial"/>
                <w:b/>
                <w:bCs/>
                <w:color w:val="2F5496" w:themeColor="accent1" w:themeShade="BF"/>
                <w:sz w:val="18"/>
                <w:szCs w:val="18"/>
              </w:rPr>
              <w:t>Jan</w:t>
            </w:r>
            <w:r w:rsidR="00B876E7">
              <w:rPr>
                <w:rFonts w:ascii="Verdana" w:hAnsi="Verdana" w:cs="Arial"/>
                <w:b/>
                <w:bCs/>
                <w:color w:val="2F5496" w:themeColor="accent1" w:themeShade="BF"/>
                <w:sz w:val="18"/>
                <w:szCs w:val="18"/>
              </w:rPr>
              <w:t>-</w:t>
            </w:r>
            <w:r w:rsidR="00D00930">
              <w:rPr>
                <w:rFonts w:ascii="Verdana" w:hAnsi="Verdana" w:cs="Arial"/>
                <w:b/>
                <w:bCs/>
                <w:color w:val="2F5496" w:themeColor="accent1" w:themeShade="BF"/>
                <w:sz w:val="18"/>
                <w:szCs w:val="18"/>
              </w:rPr>
              <w:t>Aug</w:t>
            </w:r>
            <w:r w:rsidR="00B97BB7">
              <w:rPr>
                <w:rFonts w:ascii="Verdana" w:hAnsi="Verdana" w:cs="Arial"/>
                <w:b/>
                <w:bCs/>
                <w:color w:val="2F5496" w:themeColor="accent1" w:themeShade="BF"/>
                <w:sz w:val="18"/>
                <w:szCs w:val="18"/>
              </w:rPr>
              <w:t xml:space="preserve">   </w:t>
            </w:r>
            <w:r w:rsidRPr="006F21EB">
              <w:rPr>
                <w:rFonts w:ascii="Verdana" w:hAnsi="Verdana" w:cs="Arial"/>
                <w:b/>
                <w:bCs/>
                <w:color w:val="2F5496" w:themeColor="accent1" w:themeShade="BF"/>
                <w:sz w:val="18"/>
                <w:szCs w:val="18"/>
                <w:lang w:val="el-GR"/>
              </w:rPr>
              <w:t xml:space="preserve"> 202</w:t>
            </w:r>
            <w:r w:rsidR="00B97BB7">
              <w:rPr>
                <w:rFonts w:ascii="Verdana" w:hAnsi="Verdana" w:cs="Arial"/>
                <w:b/>
                <w:bCs/>
                <w:color w:val="2F5496" w:themeColor="accent1" w:themeShade="BF"/>
                <w:sz w:val="18"/>
                <w:szCs w:val="18"/>
              </w:rPr>
              <w:t>3</w:t>
            </w:r>
          </w:p>
        </w:tc>
        <w:tc>
          <w:tcPr>
            <w:tcW w:w="1483" w:type="dxa"/>
            <w:tcBorders>
              <w:top w:val="single" w:sz="4" w:space="0" w:color="2F5496" w:themeColor="accent1" w:themeShade="BF"/>
              <w:bottom w:val="single" w:sz="4" w:space="0" w:color="2F5496" w:themeColor="accent1" w:themeShade="BF"/>
            </w:tcBorders>
            <w:vAlign w:val="center"/>
          </w:tcPr>
          <w:p w14:paraId="48ADEC61" w14:textId="05262634" w:rsidR="00D23155" w:rsidRPr="00B97BB7" w:rsidRDefault="00B876E7" w:rsidP="00CA6AD5">
            <w:pPr>
              <w:jc w:val="center"/>
              <w:rPr>
                <w:rFonts w:ascii="Verdana" w:hAnsi="Verdana" w:cs="Arial"/>
                <w:b/>
                <w:bCs/>
                <w:color w:val="2F5496" w:themeColor="accent1" w:themeShade="BF"/>
                <w:sz w:val="18"/>
                <w:szCs w:val="18"/>
              </w:rPr>
            </w:pPr>
            <w:r>
              <w:rPr>
                <w:rFonts w:ascii="Verdana" w:hAnsi="Verdana" w:cs="Arial"/>
                <w:b/>
                <w:bCs/>
                <w:color w:val="2F5496" w:themeColor="accent1" w:themeShade="BF"/>
                <w:sz w:val="18"/>
                <w:szCs w:val="18"/>
              </w:rPr>
              <w:t>Jan-</w:t>
            </w:r>
            <w:r w:rsidR="00D00930">
              <w:t xml:space="preserve"> </w:t>
            </w:r>
            <w:r w:rsidR="00D00930" w:rsidRPr="00D00930">
              <w:rPr>
                <w:rFonts w:ascii="Verdana" w:hAnsi="Verdana" w:cs="Arial"/>
                <w:b/>
                <w:bCs/>
                <w:color w:val="2F5496" w:themeColor="accent1" w:themeShade="BF"/>
                <w:sz w:val="18"/>
                <w:szCs w:val="18"/>
              </w:rPr>
              <w:t>Aug</w:t>
            </w:r>
            <w:r w:rsidR="00B97BB7">
              <w:rPr>
                <w:rFonts w:ascii="Verdana" w:hAnsi="Verdana" w:cs="Arial"/>
                <w:b/>
                <w:bCs/>
                <w:color w:val="2F5496" w:themeColor="accent1" w:themeShade="BF"/>
                <w:sz w:val="18"/>
                <w:szCs w:val="18"/>
              </w:rPr>
              <w:t xml:space="preserve">    </w:t>
            </w:r>
            <w:r w:rsidR="00411BA6">
              <w:rPr>
                <w:rFonts w:ascii="Verdana" w:hAnsi="Verdana" w:cs="Arial"/>
                <w:b/>
                <w:bCs/>
                <w:color w:val="2F5496" w:themeColor="accent1" w:themeShade="BF"/>
                <w:sz w:val="18"/>
                <w:szCs w:val="18"/>
              </w:rPr>
              <w:t xml:space="preserve"> </w:t>
            </w:r>
            <w:r w:rsidR="00D23155" w:rsidRPr="006F21EB">
              <w:rPr>
                <w:rFonts w:ascii="Verdana" w:hAnsi="Verdana" w:cs="Arial"/>
                <w:b/>
                <w:bCs/>
                <w:color w:val="2F5496" w:themeColor="accent1" w:themeShade="BF"/>
                <w:sz w:val="18"/>
                <w:szCs w:val="18"/>
                <w:lang w:val="el-GR"/>
              </w:rPr>
              <w:t>202</w:t>
            </w:r>
            <w:r w:rsidR="00B97BB7">
              <w:rPr>
                <w:rFonts w:ascii="Verdana" w:hAnsi="Verdana" w:cs="Arial"/>
                <w:b/>
                <w:bCs/>
                <w:color w:val="2F5496" w:themeColor="accent1" w:themeShade="BF"/>
                <w:sz w:val="18"/>
                <w:szCs w:val="18"/>
              </w:rPr>
              <w:t>4</w:t>
            </w:r>
          </w:p>
        </w:tc>
        <w:tc>
          <w:tcPr>
            <w:tcW w:w="264" w:type="dxa"/>
            <w:tcBorders>
              <w:bottom w:val="single" w:sz="4" w:space="0" w:color="2F5496" w:themeColor="accent1" w:themeShade="BF"/>
            </w:tcBorders>
          </w:tcPr>
          <w:p w14:paraId="5352285E" w14:textId="77777777" w:rsidR="00D23155" w:rsidRDefault="00D23155" w:rsidP="00CA6AD5">
            <w:pPr>
              <w:jc w:val="center"/>
              <w:rPr>
                <w:rFonts w:ascii="Verdana" w:hAnsi="Verdana" w:cs="Arial"/>
                <w:b/>
                <w:bCs/>
                <w:color w:val="2F5496" w:themeColor="accent1" w:themeShade="BF"/>
                <w:sz w:val="18"/>
                <w:szCs w:val="18"/>
              </w:rPr>
            </w:pPr>
          </w:p>
        </w:tc>
        <w:tc>
          <w:tcPr>
            <w:tcW w:w="1279" w:type="dxa"/>
            <w:gridSpan w:val="2"/>
            <w:tcBorders>
              <w:top w:val="single" w:sz="4" w:space="0" w:color="2F5496" w:themeColor="accent1" w:themeShade="BF"/>
              <w:left w:val="nil"/>
              <w:bottom w:val="single" w:sz="4" w:space="0" w:color="2F5496" w:themeColor="accent1" w:themeShade="BF"/>
            </w:tcBorders>
            <w:vAlign w:val="center"/>
          </w:tcPr>
          <w:p w14:paraId="11E383E7" w14:textId="192C0378" w:rsidR="00D23155" w:rsidRPr="00B97BB7" w:rsidRDefault="00B876E7" w:rsidP="00CA6AD5">
            <w:pPr>
              <w:jc w:val="center"/>
              <w:rPr>
                <w:rFonts w:ascii="Verdana" w:hAnsi="Verdana" w:cs="Arial"/>
                <w:b/>
                <w:bCs/>
                <w:color w:val="2F5496" w:themeColor="accent1" w:themeShade="BF"/>
                <w:sz w:val="18"/>
                <w:szCs w:val="18"/>
              </w:rPr>
            </w:pPr>
            <w:r>
              <w:rPr>
                <w:rFonts w:ascii="Verdana" w:hAnsi="Verdana" w:cs="Arial"/>
                <w:b/>
                <w:bCs/>
                <w:color w:val="2F5496" w:themeColor="accent1" w:themeShade="BF"/>
                <w:sz w:val="18"/>
                <w:szCs w:val="18"/>
              </w:rPr>
              <w:t>Jan-</w:t>
            </w:r>
            <w:r w:rsidR="00D00930">
              <w:t xml:space="preserve"> </w:t>
            </w:r>
            <w:r w:rsidR="00D00930" w:rsidRPr="00D00930">
              <w:rPr>
                <w:rFonts w:ascii="Verdana" w:hAnsi="Verdana" w:cs="Arial"/>
                <w:b/>
                <w:bCs/>
                <w:color w:val="2F5496" w:themeColor="accent1" w:themeShade="BF"/>
                <w:sz w:val="18"/>
                <w:szCs w:val="18"/>
              </w:rPr>
              <w:t>Aug</w:t>
            </w:r>
            <w:r w:rsidR="00D23155" w:rsidRPr="006F21EB">
              <w:rPr>
                <w:rFonts w:ascii="Verdana" w:hAnsi="Verdana" w:cs="Arial"/>
                <w:b/>
                <w:bCs/>
                <w:color w:val="2F5496" w:themeColor="accent1" w:themeShade="BF"/>
                <w:sz w:val="18"/>
                <w:szCs w:val="18"/>
                <w:lang w:val="el-GR"/>
              </w:rPr>
              <w:t xml:space="preserve"> 202</w:t>
            </w:r>
            <w:r w:rsidR="00B97BB7">
              <w:rPr>
                <w:rFonts w:ascii="Verdana" w:hAnsi="Verdana" w:cs="Arial"/>
                <w:b/>
                <w:bCs/>
                <w:color w:val="2F5496" w:themeColor="accent1" w:themeShade="BF"/>
                <w:sz w:val="18"/>
                <w:szCs w:val="18"/>
              </w:rPr>
              <w:t>4</w:t>
            </w:r>
            <w:r w:rsidR="00D23155" w:rsidRPr="006F21EB">
              <w:rPr>
                <w:rFonts w:ascii="Verdana" w:hAnsi="Verdana" w:cs="Arial"/>
                <w:b/>
                <w:bCs/>
                <w:color w:val="2F5496" w:themeColor="accent1" w:themeShade="BF"/>
                <w:sz w:val="18"/>
                <w:szCs w:val="18"/>
                <w:lang w:val="el-GR"/>
              </w:rPr>
              <w:t>/2</w:t>
            </w:r>
            <w:r w:rsidR="00B97BB7">
              <w:rPr>
                <w:rFonts w:ascii="Verdana" w:hAnsi="Verdana" w:cs="Arial"/>
                <w:b/>
                <w:bCs/>
                <w:color w:val="2F5496" w:themeColor="accent1" w:themeShade="BF"/>
                <w:sz w:val="18"/>
                <w:szCs w:val="18"/>
              </w:rPr>
              <w:t>3</w:t>
            </w:r>
          </w:p>
        </w:tc>
        <w:tc>
          <w:tcPr>
            <w:tcW w:w="468" w:type="dxa"/>
            <w:gridSpan w:val="2"/>
            <w:tcBorders>
              <w:bottom w:val="single" w:sz="4" w:space="0" w:color="2F5496" w:themeColor="accent1" w:themeShade="BF"/>
            </w:tcBorders>
            <w:vAlign w:val="center"/>
          </w:tcPr>
          <w:p w14:paraId="60480204" w14:textId="77777777" w:rsidR="00D23155" w:rsidRPr="006F21EB" w:rsidRDefault="00D23155" w:rsidP="00CA6AD5">
            <w:pPr>
              <w:jc w:val="center"/>
              <w:rPr>
                <w:rFonts w:ascii="Verdana" w:hAnsi="Verdana" w:cs="Arial"/>
                <w:b/>
                <w:bCs/>
                <w:color w:val="2F5496" w:themeColor="accent1" w:themeShade="BF"/>
                <w:sz w:val="18"/>
                <w:szCs w:val="18"/>
                <w:lang w:val="el-GR"/>
              </w:rPr>
            </w:pPr>
          </w:p>
        </w:tc>
        <w:tc>
          <w:tcPr>
            <w:tcW w:w="1334" w:type="dxa"/>
            <w:gridSpan w:val="2"/>
            <w:tcBorders>
              <w:top w:val="single" w:sz="4" w:space="0" w:color="2F5496" w:themeColor="accent1" w:themeShade="BF"/>
              <w:bottom w:val="single" w:sz="4" w:space="0" w:color="2F5496" w:themeColor="accent1" w:themeShade="BF"/>
            </w:tcBorders>
            <w:vAlign w:val="center"/>
          </w:tcPr>
          <w:p w14:paraId="45825022" w14:textId="1C71C6B8" w:rsidR="00D23155" w:rsidRPr="00B97BB7" w:rsidRDefault="00B876E7" w:rsidP="00CA6AD5">
            <w:pPr>
              <w:jc w:val="center"/>
              <w:rPr>
                <w:rFonts w:ascii="Verdana" w:hAnsi="Verdana" w:cs="Arial"/>
                <w:b/>
                <w:bCs/>
                <w:color w:val="2F5496" w:themeColor="accent1" w:themeShade="BF"/>
                <w:sz w:val="18"/>
                <w:szCs w:val="18"/>
              </w:rPr>
            </w:pPr>
            <w:r>
              <w:rPr>
                <w:rFonts w:ascii="Verdana" w:hAnsi="Verdana" w:cs="Arial"/>
                <w:b/>
                <w:bCs/>
                <w:color w:val="2F5496" w:themeColor="accent1" w:themeShade="BF"/>
                <w:sz w:val="18"/>
                <w:szCs w:val="18"/>
              </w:rPr>
              <w:t>Jan-</w:t>
            </w:r>
            <w:r w:rsidR="00D00930">
              <w:t xml:space="preserve"> </w:t>
            </w:r>
            <w:r w:rsidR="00D00930" w:rsidRPr="00D00930">
              <w:rPr>
                <w:rFonts w:ascii="Verdana" w:hAnsi="Verdana" w:cs="Arial"/>
                <w:b/>
                <w:bCs/>
                <w:color w:val="2F5496" w:themeColor="accent1" w:themeShade="BF"/>
                <w:sz w:val="18"/>
                <w:szCs w:val="18"/>
              </w:rPr>
              <w:t>Aug</w:t>
            </w:r>
            <w:r w:rsidR="002515EE" w:rsidRPr="002515EE">
              <w:rPr>
                <w:rFonts w:ascii="Verdana" w:hAnsi="Verdana" w:cs="Arial"/>
                <w:b/>
                <w:bCs/>
                <w:color w:val="2F5496" w:themeColor="accent1" w:themeShade="BF"/>
                <w:sz w:val="18"/>
                <w:szCs w:val="18"/>
              </w:rPr>
              <w:t xml:space="preserve"> </w:t>
            </w:r>
            <w:r w:rsidR="00D23155" w:rsidRPr="006F21EB">
              <w:rPr>
                <w:rFonts w:ascii="Verdana" w:hAnsi="Verdana" w:cs="Arial"/>
                <w:b/>
                <w:bCs/>
                <w:color w:val="2F5496" w:themeColor="accent1" w:themeShade="BF"/>
                <w:sz w:val="18"/>
                <w:szCs w:val="18"/>
                <w:lang w:val="el-GR"/>
              </w:rPr>
              <w:t>202</w:t>
            </w:r>
            <w:r w:rsidR="00B97BB7">
              <w:rPr>
                <w:rFonts w:ascii="Verdana" w:hAnsi="Verdana" w:cs="Arial"/>
                <w:b/>
                <w:bCs/>
                <w:color w:val="2F5496" w:themeColor="accent1" w:themeShade="BF"/>
                <w:sz w:val="18"/>
                <w:szCs w:val="18"/>
              </w:rPr>
              <w:t>4</w:t>
            </w:r>
            <w:r w:rsidR="00D23155" w:rsidRPr="006F21EB">
              <w:rPr>
                <w:rFonts w:ascii="Verdana" w:hAnsi="Verdana" w:cs="Arial"/>
                <w:b/>
                <w:bCs/>
                <w:color w:val="2F5496" w:themeColor="accent1" w:themeShade="BF"/>
                <w:sz w:val="18"/>
                <w:szCs w:val="18"/>
                <w:lang w:val="el-GR"/>
              </w:rPr>
              <w:t>/2</w:t>
            </w:r>
            <w:r w:rsidR="00B97BB7">
              <w:rPr>
                <w:rFonts w:ascii="Verdana" w:hAnsi="Verdana" w:cs="Arial"/>
                <w:b/>
                <w:bCs/>
                <w:color w:val="2F5496" w:themeColor="accent1" w:themeShade="BF"/>
                <w:sz w:val="18"/>
                <w:szCs w:val="18"/>
              </w:rPr>
              <w:t>3</w:t>
            </w:r>
          </w:p>
        </w:tc>
      </w:tr>
      <w:tr w:rsidR="00D00930" w:rsidRPr="00427234" w14:paraId="294A635D" w14:textId="77777777" w:rsidTr="00D00930">
        <w:trPr>
          <w:trHeight w:val="397"/>
          <w:jc w:val="center"/>
        </w:trPr>
        <w:tc>
          <w:tcPr>
            <w:tcW w:w="4042" w:type="dxa"/>
            <w:tcBorders>
              <w:top w:val="single" w:sz="4" w:space="0" w:color="2F5496" w:themeColor="accent1" w:themeShade="BF"/>
            </w:tcBorders>
            <w:vAlign w:val="center"/>
          </w:tcPr>
          <w:p w14:paraId="1455D2EC" w14:textId="77777777" w:rsidR="00D00930" w:rsidRPr="00834A32" w:rsidRDefault="00D00930" w:rsidP="00D00930">
            <w:pPr>
              <w:rPr>
                <w:rFonts w:ascii="Verdana" w:hAnsi="Verdana" w:cs="Arial"/>
                <w:b/>
                <w:bCs/>
                <w:color w:val="2F5496" w:themeColor="accent1" w:themeShade="BF"/>
                <w:sz w:val="18"/>
                <w:szCs w:val="18"/>
                <w:lang w:val="el-GR"/>
              </w:rPr>
            </w:pPr>
            <w:r w:rsidRPr="00834A32">
              <w:rPr>
                <w:rFonts w:ascii="Verdana" w:hAnsi="Verdana" w:cs="Arial"/>
                <w:b/>
                <w:bCs/>
                <w:color w:val="2F5496" w:themeColor="accent1" w:themeShade="BF"/>
                <w:sz w:val="18"/>
                <w:szCs w:val="18"/>
              </w:rPr>
              <w:t>Total Revenue</w:t>
            </w:r>
          </w:p>
        </w:tc>
        <w:tc>
          <w:tcPr>
            <w:tcW w:w="1279" w:type="dxa"/>
            <w:tcBorders>
              <w:top w:val="single" w:sz="4" w:space="0" w:color="2F5496" w:themeColor="accent1" w:themeShade="BF"/>
            </w:tcBorders>
            <w:shd w:val="clear" w:color="000000" w:fill="FFFFFF"/>
            <w:tcMar>
              <w:right w:w="340" w:type="dxa"/>
            </w:tcMar>
            <w:vAlign w:val="center"/>
          </w:tcPr>
          <w:p w14:paraId="3B89645A" w14:textId="1033FCA4" w:rsidR="00D00930" w:rsidRPr="00D00930" w:rsidRDefault="00D00930" w:rsidP="00D00930">
            <w:pPr>
              <w:jc w:val="right"/>
              <w:rPr>
                <w:rFonts w:ascii="Verdana" w:hAnsi="Verdana" w:cs="Arial"/>
                <w:b/>
                <w:bCs/>
                <w:color w:val="2F5496" w:themeColor="accent1" w:themeShade="BF"/>
                <w:sz w:val="18"/>
                <w:szCs w:val="18"/>
              </w:rPr>
            </w:pPr>
            <w:r w:rsidRPr="00D00930">
              <w:rPr>
                <w:rFonts w:ascii="Verdana" w:hAnsi="Verdana"/>
                <w:b/>
                <w:bCs/>
                <w:color w:val="2F5496" w:themeColor="accent1" w:themeShade="BF"/>
                <w:sz w:val="18"/>
                <w:szCs w:val="18"/>
              </w:rPr>
              <w:t>8.225,5</w:t>
            </w:r>
          </w:p>
        </w:tc>
        <w:tc>
          <w:tcPr>
            <w:tcW w:w="1483" w:type="dxa"/>
            <w:tcBorders>
              <w:top w:val="single" w:sz="4" w:space="0" w:color="2F5496" w:themeColor="accent1" w:themeShade="BF"/>
            </w:tcBorders>
            <w:tcMar>
              <w:right w:w="340" w:type="dxa"/>
            </w:tcMar>
            <w:vAlign w:val="center"/>
          </w:tcPr>
          <w:p w14:paraId="20DBA883" w14:textId="3F6BB8E0" w:rsidR="00D00930" w:rsidRPr="00D00930" w:rsidRDefault="00D00930" w:rsidP="00D00930">
            <w:pPr>
              <w:jc w:val="right"/>
              <w:rPr>
                <w:rFonts w:ascii="Verdana" w:hAnsi="Verdana" w:cs="Arial"/>
                <w:b/>
                <w:bCs/>
                <w:color w:val="2F5496" w:themeColor="accent1" w:themeShade="BF"/>
                <w:sz w:val="18"/>
                <w:szCs w:val="18"/>
              </w:rPr>
            </w:pPr>
            <w:r w:rsidRPr="00D00930">
              <w:rPr>
                <w:rFonts w:ascii="Verdana" w:hAnsi="Verdana"/>
                <w:b/>
                <w:bCs/>
                <w:color w:val="2F5496" w:themeColor="accent1" w:themeShade="BF"/>
                <w:sz w:val="18"/>
                <w:szCs w:val="18"/>
              </w:rPr>
              <w:t>9.298,9</w:t>
            </w:r>
          </w:p>
        </w:tc>
        <w:tc>
          <w:tcPr>
            <w:tcW w:w="468" w:type="dxa"/>
            <w:gridSpan w:val="2"/>
            <w:tcBorders>
              <w:top w:val="single" w:sz="4" w:space="0" w:color="2F5496" w:themeColor="accent1" w:themeShade="BF"/>
            </w:tcBorders>
            <w:tcMar>
              <w:right w:w="340" w:type="dxa"/>
            </w:tcMar>
            <w:vAlign w:val="center"/>
          </w:tcPr>
          <w:p w14:paraId="25DC7EEF" w14:textId="77777777" w:rsidR="00D00930" w:rsidRPr="00D00930" w:rsidRDefault="00D00930" w:rsidP="00D00930">
            <w:pPr>
              <w:ind w:right="-123"/>
              <w:jc w:val="right"/>
              <w:rPr>
                <w:rFonts w:ascii="Verdana" w:hAnsi="Verdana" w:cstheme="minorBidi"/>
                <w:b/>
                <w:bCs/>
                <w:color w:val="2F5496" w:themeColor="accent1" w:themeShade="BF"/>
                <w:sz w:val="18"/>
                <w:szCs w:val="18"/>
              </w:rPr>
            </w:pPr>
          </w:p>
        </w:tc>
        <w:tc>
          <w:tcPr>
            <w:tcW w:w="1279" w:type="dxa"/>
            <w:gridSpan w:val="2"/>
            <w:tcBorders>
              <w:top w:val="single" w:sz="4" w:space="0" w:color="2F5496" w:themeColor="accent1" w:themeShade="BF"/>
              <w:left w:val="nil"/>
            </w:tcBorders>
            <w:tcMar>
              <w:right w:w="340" w:type="dxa"/>
            </w:tcMar>
            <w:vAlign w:val="center"/>
          </w:tcPr>
          <w:p w14:paraId="16FE6C65" w14:textId="7F788FD5" w:rsidR="00D00930" w:rsidRPr="00D00930" w:rsidRDefault="00D00930" w:rsidP="00D00930">
            <w:pPr>
              <w:jc w:val="right"/>
              <w:rPr>
                <w:rFonts w:ascii="Verdana" w:hAnsi="Verdana" w:cs="Arial"/>
                <w:b/>
                <w:bCs/>
                <w:color w:val="2F5496" w:themeColor="accent1" w:themeShade="BF"/>
                <w:sz w:val="18"/>
                <w:szCs w:val="18"/>
              </w:rPr>
            </w:pPr>
            <w:r w:rsidRPr="00D00930">
              <w:rPr>
                <w:rFonts w:ascii="Verdana" w:hAnsi="Verdana"/>
                <w:b/>
                <w:bCs/>
                <w:color w:val="2F5496" w:themeColor="accent1" w:themeShade="BF"/>
                <w:sz w:val="18"/>
                <w:szCs w:val="18"/>
              </w:rPr>
              <w:t>1.073,4</w:t>
            </w:r>
          </w:p>
        </w:tc>
        <w:tc>
          <w:tcPr>
            <w:tcW w:w="468" w:type="dxa"/>
            <w:gridSpan w:val="2"/>
            <w:tcBorders>
              <w:top w:val="single" w:sz="4" w:space="0" w:color="2F5496" w:themeColor="accent1" w:themeShade="BF"/>
            </w:tcBorders>
            <w:tcMar>
              <w:right w:w="340" w:type="dxa"/>
            </w:tcMar>
            <w:vAlign w:val="center"/>
          </w:tcPr>
          <w:p w14:paraId="399122CD" w14:textId="77777777" w:rsidR="00D00930" w:rsidRPr="00D00930" w:rsidRDefault="00D00930" w:rsidP="00D00930">
            <w:pPr>
              <w:ind w:right="-123"/>
              <w:jc w:val="right"/>
              <w:rPr>
                <w:rFonts w:ascii="Verdana" w:hAnsi="Verdana" w:cstheme="minorBidi"/>
                <w:b/>
                <w:bCs/>
                <w:color w:val="2F5496" w:themeColor="accent1" w:themeShade="BF"/>
                <w:sz w:val="18"/>
                <w:szCs w:val="18"/>
                <w:lang w:val="el-GR"/>
              </w:rPr>
            </w:pPr>
          </w:p>
        </w:tc>
        <w:tc>
          <w:tcPr>
            <w:tcW w:w="1334" w:type="dxa"/>
            <w:gridSpan w:val="2"/>
            <w:tcBorders>
              <w:top w:val="single" w:sz="4" w:space="0" w:color="2F5496" w:themeColor="accent1" w:themeShade="BF"/>
              <w:left w:val="nil"/>
            </w:tcBorders>
            <w:shd w:val="clear" w:color="000000" w:fill="FFFFFF"/>
            <w:tcMar>
              <w:right w:w="340" w:type="dxa"/>
            </w:tcMar>
            <w:vAlign w:val="center"/>
          </w:tcPr>
          <w:p w14:paraId="0FF0F096" w14:textId="2783AA30" w:rsidR="00D00930" w:rsidRPr="00D00930" w:rsidRDefault="00D00930" w:rsidP="004050F7">
            <w:pPr>
              <w:ind w:right="113"/>
              <w:jc w:val="right"/>
              <w:rPr>
                <w:rFonts w:ascii="Verdana" w:hAnsi="Verdana" w:cs="Arial"/>
                <w:b/>
                <w:bCs/>
                <w:color w:val="2F5496" w:themeColor="accent1" w:themeShade="BF"/>
                <w:sz w:val="18"/>
                <w:szCs w:val="18"/>
              </w:rPr>
            </w:pPr>
            <w:r w:rsidRPr="00D00930">
              <w:rPr>
                <w:rFonts w:ascii="Verdana" w:hAnsi="Verdana"/>
                <w:b/>
                <w:bCs/>
                <w:color w:val="2F5496" w:themeColor="accent1" w:themeShade="BF"/>
                <w:sz w:val="18"/>
                <w:szCs w:val="18"/>
              </w:rPr>
              <w:t>13,0%</w:t>
            </w:r>
          </w:p>
        </w:tc>
      </w:tr>
      <w:tr w:rsidR="00D00930" w:rsidRPr="00427234" w14:paraId="3271BED6" w14:textId="77777777" w:rsidTr="00D00930">
        <w:trPr>
          <w:trHeight w:val="340"/>
          <w:jc w:val="center"/>
        </w:trPr>
        <w:tc>
          <w:tcPr>
            <w:tcW w:w="4042" w:type="dxa"/>
            <w:vAlign w:val="center"/>
          </w:tcPr>
          <w:p w14:paraId="25D2BB75" w14:textId="77777777" w:rsidR="00D00930" w:rsidRPr="00C273E1" w:rsidRDefault="00D00930" w:rsidP="00D00930">
            <w:pPr>
              <w:ind w:left="170"/>
              <w:rPr>
                <w:rFonts w:ascii="Verdana" w:hAnsi="Verdana" w:cs="Arial"/>
                <w:color w:val="2F5496" w:themeColor="accent1" w:themeShade="BF"/>
                <w:sz w:val="18"/>
                <w:szCs w:val="18"/>
              </w:rPr>
            </w:pPr>
            <w:r w:rsidRPr="00C273E1">
              <w:rPr>
                <w:rFonts w:ascii="Verdana" w:hAnsi="Verdana" w:cs="Arial"/>
                <w:color w:val="2F5496" w:themeColor="accent1" w:themeShade="BF"/>
                <w:sz w:val="18"/>
                <w:szCs w:val="18"/>
              </w:rPr>
              <w:t>Taxes on Production and Imports</w:t>
            </w:r>
          </w:p>
        </w:tc>
        <w:tc>
          <w:tcPr>
            <w:tcW w:w="1279" w:type="dxa"/>
            <w:shd w:val="clear" w:color="000000" w:fill="FFFFFF"/>
            <w:tcMar>
              <w:right w:w="340" w:type="dxa"/>
            </w:tcMar>
            <w:vAlign w:val="center"/>
          </w:tcPr>
          <w:p w14:paraId="206E34B9" w14:textId="1E652D3C" w:rsidR="00D00930" w:rsidRPr="00D00930" w:rsidRDefault="00D00930" w:rsidP="00D00930">
            <w:pPr>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2.797,9</w:t>
            </w:r>
          </w:p>
        </w:tc>
        <w:tc>
          <w:tcPr>
            <w:tcW w:w="1483" w:type="dxa"/>
            <w:tcMar>
              <w:right w:w="340" w:type="dxa"/>
            </w:tcMar>
            <w:vAlign w:val="center"/>
          </w:tcPr>
          <w:p w14:paraId="3EE9600B" w14:textId="7B2DD068" w:rsidR="00D00930" w:rsidRPr="00D00930" w:rsidRDefault="00D00930" w:rsidP="00D00930">
            <w:pPr>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3.073,3</w:t>
            </w:r>
          </w:p>
        </w:tc>
        <w:tc>
          <w:tcPr>
            <w:tcW w:w="468" w:type="dxa"/>
            <w:gridSpan w:val="2"/>
            <w:tcMar>
              <w:right w:w="340" w:type="dxa"/>
            </w:tcMar>
            <w:vAlign w:val="center"/>
          </w:tcPr>
          <w:p w14:paraId="1A1660BD" w14:textId="77777777" w:rsidR="00D00930" w:rsidRPr="00D00930" w:rsidRDefault="00D00930" w:rsidP="00D00930">
            <w:pPr>
              <w:jc w:val="right"/>
              <w:rPr>
                <w:rFonts w:ascii="Verdana" w:hAnsi="Verdana" w:cstheme="minorBidi"/>
                <w:color w:val="2F5496" w:themeColor="accent1" w:themeShade="BF"/>
                <w:sz w:val="18"/>
                <w:szCs w:val="18"/>
              </w:rPr>
            </w:pPr>
          </w:p>
        </w:tc>
        <w:tc>
          <w:tcPr>
            <w:tcW w:w="1279" w:type="dxa"/>
            <w:gridSpan w:val="2"/>
            <w:tcBorders>
              <w:left w:val="nil"/>
            </w:tcBorders>
            <w:tcMar>
              <w:right w:w="340" w:type="dxa"/>
            </w:tcMar>
            <w:vAlign w:val="center"/>
          </w:tcPr>
          <w:p w14:paraId="6789E4DC" w14:textId="6D9D4B5B" w:rsidR="00D00930" w:rsidRPr="00D00930" w:rsidRDefault="00D00930" w:rsidP="00D00930">
            <w:pPr>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275,4</w:t>
            </w:r>
          </w:p>
        </w:tc>
        <w:tc>
          <w:tcPr>
            <w:tcW w:w="468" w:type="dxa"/>
            <w:gridSpan w:val="2"/>
            <w:tcMar>
              <w:right w:w="340" w:type="dxa"/>
            </w:tcMar>
            <w:vAlign w:val="center"/>
          </w:tcPr>
          <w:p w14:paraId="301DC096" w14:textId="77777777" w:rsidR="00D00930" w:rsidRPr="00D00930" w:rsidRDefault="00D00930" w:rsidP="00D00930">
            <w:pPr>
              <w:jc w:val="right"/>
              <w:rPr>
                <w:rFonts w:ascii="Verdana" w:hAnsi="Verdana" w:cstheme="minorBidi"/>
                <w:color w:val="2F5496" w:themeColor="accent1" w:themeShade="BF"/>
                <w:sz w:val="18"/>
                <w:szCs w:val="18"/>
                <w:lang w:val="el-GR"/>
              </w:rPr>
            </w:pPr>
          </w:p>
        </w:tc>
        <w:tc>
          <w:tcPr>
            <w:tcW w:w="1334" w:type="dxa"/>
            <w:gridSpan w:val="2"/>
            <w:tcBorders>
              <w:left w:val="nil"/>
            </w:tcBorders>
            <w:shd w:val="clear" w:color="000000" w:fill="FFFFFF"/>
            <w:tcMar>
              <w:right w:w="340" w:type="dxa"/>
            </w:tcMar>
            <w:vAlign w:val="center"/>
          </w:tcPr>
          <w:p w14:paraId="00720D38" w14:textId="7BBE9025" w:rsidR="00D00930" w:rsidRPr="00D00930" w:rsidRDefault="00D00930" w:rsidP="004050F7">
            <w:pPr>
              <w:ind w:right="113"/>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9,8%</w:t>
            </w:r>
          </w:p>
        </w:tc>
      </w:tr>
      <w:tr w:rsidR="00D00930" w:rsidRPr="00427234" w14:paraId="50E2120C" w14:textId="77777777" w:rsidTr="00D00930">
        <w:trPr>
          <w:trHeight w:val="284"/>
          <w:jc w:val="center"/>
        </w:trPr>
        <w:tc>
          <w:tcPr>
            <w:tcW w:w="4042" w:type="dxa"/>
            <w:vAlign w:val="center"/>
          </w:tcPr>
          <w:p w14:paraId="50B2F900" w14:textId="77777777" w:rsidR="00D00930" w:rsidRPr="00C273E1" w:rsidRDefault="00D00930" w:rsidP="00D00930">
            <w:pPr>
              <w:ind w:left="340"/>
              <w:rPr>
                <w:rFonts w:ascii="Verdana" w:hAnsi="Verdana" w:cs="Arial"/>
                <w:i/>
                <w:iCs/>
                <w:color w:val="2F5496" w:themeColor="accent1" w:themeShade="BF"/>
                <w:sz w:val="18"/>
                <w:szCs w:val="18"/>
                <w:lang w:val="el-GR"/>
              </w:rPr>
            </w:pPr>
            <w:r w:rsidRPr="00C273E1">
              <w:rPr>
                <w:rFonts w:ascii="Verdana" w:hAnsi="Verdana" w:cs="Arial"/>
                <w:i/>
                <w:iCs/>
                <w:color w:val="2F5496" w:themeColor="accent1" w:themeShade="BF"/>
                <w:sz w:val="18"/>
                <w:szCs w:val="18"/>
                <w:lang w:val="el-GR"/>
              </w:rPr>
              <w:t>of which VAT</w:t>
            </w:r>
          </w:p>
        </w:tc>
        <w:tc>
          <w:tcPr>
            <w:tcW w:w="1279" w:type="dxa"/>
            <w:shd w:val="clear" w:color="000000" w:fill="FFFFFF"/>
            <w:tcMar>
              <w:right w:w="340" w:type="dxa"/>
            </w:tcMar>
            <w:vAlign w:val="center"/>
          </w:tcPr>
          <w:p w14:paraId="7D07517F" w14:textId="4E3841F8" w:rsidR="00D00930" w:rsidRPr="00D00930" w:rsidRDefault="00D00930" w:rsidP="00D00930">
            <w:pPr>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1.822,9</w:t>
            </w:r>
          </w:p>
        </w:tc>
        <w:tc>
          <w:tcPr>
            <w:tcW w:w="1483" w:type="dxa"/>
            <w:tcMar>
              <w:right w:w="340" w:type="dxa"/>
            </w:tcMar>
            <w:vAlign w:val="center"/>
          </w:tcPr>
          <w:p w14:paraId="1CCE6B3A" w14:textId="696C669F" w:rsidR="00D00930" w:rsidRPr="00D00930" w:rsidRDefault="00D00930" w:rsidP="00D00930">
            <w:pPr>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2.070,1</w:t>
            </w:r>
          </w:p>
        </w:tc>
        <w:tc>
          <w:tcPr>
            <w:tcW w:w="468" w:type="dxa"/>
            <w:gridSpan w:val="2"/>
            <w:tcMar>
              <w:right w:w="340" w:type="dxa"/>
            </w:tcMar>
            <w:vAlign w:val="center"/>
          </w:tcPr>
          <w:p w14:paraId="35F44DBD" w14:textId="77777777" w:rsidR="00D00930" w:rsidRPr="00D00930" w:rsidRDefault="00D00930" w:rsidP="00D00930">
            <w:pPr>
              <w:jc w:val="right"/>
              <w:rPr>
                <w:rFonts w:ascii="Verdana" w:hAnsi="Verdana" w:cstheme="minorBidi"/>
                <w:color w:val="2F5496" w:themeColor="accent1" w:themeShade="BF"/>
                <w:sz w:val="18"/>
                <w:szCs w:val="18"/>
              </w:rPr>
            </w:pPr>
          </w:p>
        </w:tc>
        <w:tc>
          <w:tcPr>
            <w:tcW w:w="1279" w:type="dxa"/>
            <w:gridSpan w:val="2"/>
            <w:tcBorders>
              <w:left w:val="nil"/>
            </w:tcBorders>
            <w:tcMar>
              <w:right w:w="340" w:type="dxa"/>
            </w:tcMar>
            <w:vAlign w:val="center"/>
          </w:tcPr>
          <w:p w14:paraId="785711F1" w14:textId="0C56A75E" w:rsidR="00D00930" w:rsidRPr="00D00930" w:rsidRDefault="00D00930" w:rsidP="00D00930">
            <w:pPr>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247,2</w:t>
            </w:r>
          </w:p>
        </w:tc>
        <w:tc>
          <w:tcPr>
            <w:tcW w:w="468" w:type="dxa"/>
            <w:gridSpan w:val="2"/>
            <w:tcMar>
              <w:right w:w="340" w:type="dxa"/>
            </w:tcMar>
            <w:vAlign w:val="center"/>
          </w:tcPr>
          <w:p w14:paraId="3F5832ED" w14:textId="77777777" w:rsidR="00D00930" w:rsidRPr="00D00930" w:rsidRDefault="00D00930" w:rsidP="00D00930">
            <w:pPr>
              <w:jc w:val="right"/>
              <w:rPr>
                <w:rFonts w:ascii="Verdana" w:hAnsi="Verdana" w:cstheme="minorBidi"/>
                <w:i/>
                <w:iCs/>
                <w:color w:val="2F5496" w:themeColor="accent1" w:themeShade="BF"/>
                <w:sz w:val="18"/>
                <w:szCs w:val="18"/>
                <w:lang w:val="el-GR"/>
              </w:rPr>
            </w:pPr>
          </w:p>
        </w:tc>
        <w:tc>
          <w:tcPr>
            <w:tcW w:w="1334" w:type="dxa"/>
            <w:gridSpan w:val="2"/>
            <w:tcBorders>
              <w:left w:val="nil"/>
            </w:tcBorders>
            <w:shd w:val="clear" w:color="000000" w:fill="FFFFFF"/>
            <w:tcMar>
              <w:right w:w="340" w:type="dxa"/>
            </w:tcMar>
            <w:vAlign w:val="center"/>
          </w:tcPr>
          <w:p w14:paraId="35A688FD" w14:textId="76E9AEE3" w:rsidR="00D00930" w:rsidRPr="00D00930" w:rsidRDefault="00D00930" w:rsidP="004050F7">
            <w:pPr>
              <w:ind w:right="113"/>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13,6%</w:t>
            </w:r>
          </w:p>
        </w:tc>
      </w:tr>
      <w:tr w:rsidR="00D00930" w:rsidRPr="00427234" w14:paraId="791B3AE3" w14:textId="77777777" w:rsidTr="00D00930">
        <w:trPr>
          <w:trHeight w:val="397"/>
          <w:jc w:val="center"/>
        </w:trPr>
        <w:tc>
          <w:tcPr>
            <w:tcW w:w="4042" w:type="dxa"/>
            <w:vAlign w:val="center"/>
          </w:tcPr>
          <w:p w14:paraId="0BDB42C9" w14:textId="77777777" w:rsidR="00D00930" w:rsidRPr="00C273E1" w:rsidRDefault="00D00930" w:rsidP="00D00930">
            <w:pPr>
              <w:ind w:left="170"/>
              <w:rPr>
                <w:rFonts w:ascii="Verdana" w:hAnsi="Verdana" w:cs="Arial"/>
                <w:color w:val="2F5496" w:themeColor="accent1" w:themeShade="BF"/>
                <w:sz w:val="18"/>
                <w:szCs w:val="18"/>
              </w:rPr>
            </w:pPr>
            <w:r w:rsidRPr="00C273E1">
              <w:rPr>
                <w:rFonts w:ascii="Verdana" w:hAnsi="Verdana" w:cs="Arial"/>
                <w:color w:val="2F5496" w:themeColor="accent1" w:themeShade="BF"/>
                <w:sz w:val="18"/>
                <w:szCs w:val="18"/>
              </w:rPr>
              <w:t>Current Taxes on Income and Wealth, etc</w:t>
            </w:r>
          </w:p>
        </w:tc>
        <w:tc>
          <w:tcPr>
            <w:tcW w:w="1279" w:type="dxa"/>
            <w:shd w:val="clear" w:color="000000" w:fill="FFFFFF"/>
            <w:tcMar>
              <w:right w:w="340" w:type="dxa"/>
            </w:tcMar>
            <w:vAlign w:val="center"/>
          </w:tcPr>
          <w:p w14:paraId="759DC620" w14:textId="5C5FC6B1" w:rsidR="00D00930" w:rsidRPr="00D00930" w:rsidRDefault="00D00930" w:rsidP="00D00930">
            <w:pPr>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2.146,0</w:t>
            </w:r>
          </w:p>
        </w:tc>
        <w:tc>
          <w:tcPr>
            <w:tcW w:w="1483" w:type="dxa"/>
            <w:tcMar>
              <w:right w:w="340" w:type="dxa"/>
            </w:tcMar>
            <w:vAlign w:val="center"/>
          </w:tcPr>
          <w:p w14:paraId="40C6A0CD" w14:textId="5673F0B8" w:rsidR="00D00930" w:rsidRPr="00D00930" w:rsidRDefault="00D00930" w:rsidP="00D00930">
            <w:pPr>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2.517,7</w:t>
            </w:r>
          </w:p>
        </w:tc>
        <w:tc>
          <w:tcPr>
            <w:tcW w:w="468" w:type="dxa"/>
            <w:gridSpan w:val="2"/>
            <w:tcMar>
              <w:right w:w="340" w:type="dxa"/>
            </w:tcMar>
            <w:vAlign w:val="center"/>
          </w:tcPr>
          <w:p w14:paraId="1F13B6F6" w14:textId="77777777" w:rsidR="00D00930" w:rsidRPr="00D00930" w:rsidRDefault="00D00930" w:rsidP="00D00930">
            <w:pPr>
              <w:jc w:val="right"/>
              <w:rPr>
                <w:rFonts w:ascii="Verdana" w:hAnsi="Verdana" w:cstheme="minorBidi"/>
                <w:color w:val="2F5496" w:themeColor="accent1" w:themeShade="BF"/>
                <w:sz w:val="18"/>
                <w:szCs w:val="18"/>
              </w:rPr>
            </w:pPr>
          </w:p>
        </w:tc>
        <w:tc>
          <w:tcPr>
            <w:tcW w:w="1279" w:type="dxa"/>
            <w:gridSpan w:val="2"/>
            <w:tcBorders>
              <w:left w:val="nil"/>
            </w:tcBorders>
            <w:tcMar>
              <w:right w:w="340" w:type="dxa"/>
            </w:tcMar>
            <w:vAlign w:val="center"/>
          </w:tcPr>
          <w:p w14:paraId="525EB0B7" w14:textId="2DF627B9" w:rsidR="00D00930" w:rsidRPr="00D00930" w:rsidRDefault="00D00930" w:rsidP="00D00930">
            <w:pPr>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371,7</w:t>
            </w:r>
          </w:p>
        </w:tc>
        <w:tc>
          <w:tcPr>
            <w:tcW w:w="468" w:type="dxa"/>
            <w:gridSpan w:val="2"/>
            <w:tcMar>
              <w:right w:w="340" w:type="dxa"/>
            </w:tcMar>
            <w:vAlign w:val="center"/>
          </w:tcPr>
          <w:p w14:paraId="15AE42E9" w14:textId="77777777" w:rsidR="00D00930" w:rsidRPr="00D00930" w:rsidRDefault="00D00930" w:rsidP="00D00930">
            <w:pPr>
              <w:jc w:val="right"/>
              <w:rPr>
                <w:rFonts w:ascii="Verdana" w:hAnsi="Verdana" w:cstheme="minorBidi"/>
                <w:color w:val="2F5496" w:themeColor="accent1" w:themeShade="BF"/>
                <w:sz w:val="18"/>
                <w:szCs w:val="18"/>
                <w:lang w:val="el-GR"/>
              </w:rPr>
            </w:pPr>
          </w:p>
        </w:tc>
        <w:tc>
          <w:tcPr>
            <w:tcW w:w="1334" w:type="dxa"/>
            <w:gridSpan w:val="2"/>
            <w:tcBorders>
              <w:left w:val="nil"/>
            </w:tcBorders>
            <w:shd w:val="clear" w:color="000000" w:fill="FFFFFF"/>
            <w:tcMar>
              <w:right w:w="340" w:type="dxa"/>
            </w:tcMar>
            <w:vAlign w:val="center"/>
          </w:tcPr>
          <w:p w14:paraId="5949A3BC" w14:textId="299A711D" w:rsidR="00D00930" w:rsidRPr="00D00930" w:rsidRDefault="00D00930" w:rsidP="004050F7">
            <w:pPr>
              <w:ind w:right="113"/>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17,3%</w:t>
            </w:r>
          </w:p>
        </w:tc>
      </w:tr>
      <w:tr w:rsidR="00D00930" w:rsidRPr="00427234" w14:paraId="370CB15F" w14:textId="77777777" w:rsidTr="00D00930">
        <w:trPr>
          <w:trHeight w:val="340"/>
          <w:jc w:val="center"/>
        </w:trPr>
        <w:tc>
          <w:tcPr>
            <w:tcW w:w="4042" w:type="dxa"/>
            <w:vAlign w:val="center"/>
          </w:tcPr>
          <w:p w14:paraId="24AEFD45" w14:textId="77777777" w:rsidR="00D00930" w:rsidRPr="00C273E1" w:rsidRDefault="00D00930" w:rsidP="00D00930">
            <w:pPr>
              <w:ind w:left="170"/>
              <w:rPr>
                <w:rFonts w:ascii="Verdana" w:hAnsi="Verdana" w:cs="Arial"/>
                <w:color w:val="2F5496" w:themeColor="accent1" w:themeShade="BF"/>
                <w:sz w:val="18"/>
                <w:szCs w:val="18"/>
                <w:lang w:val="el-GR"/>
              </w:rPr>
            </w:pPr>
            <w:r w:rsidRPr="00C273E1">
              <w:rPr>
                <w:rFonts w:ascii="Verdana" w:hAnsi="Verdana" w:cs="Arial"/>
                <w:color w:val="2F5496" w:themeColor="accent1" w:themeShade="BF"/>
                <w:sz w:val="18"/>
                <w:szCs w:val="18"/>
                <w:lang w:val="el-GR"/>
              </w:rPr>
              <w:t xml:space="preserve">Social </w:t>
            </w:r>
            <w:r w:rsidRPr="00C273E1">
              <w:rPr>
                <w:rFonts w:ascii="Verdana" w:hAnsi="Verdana" w:cs="Arial"/>
                <w:color w:val="2F5496" w:themeColor="accent1" w:themeShade="BF"/>
                <w:sz w:val="18"/>
                <w:szCs w:val="18"/>
              </w:rPr>
              <w:t>C</w:t>
            </w:r>
            <w:r w:rsidRPr="00C273E1">
              <w:rPr>
                <w:rFonts w:ascii="Verdana" w:hAnsi="Verdana" w:cs="Arial"/>
                <w:color w:val="2F5496" w:themeColor="accent1" w:themeShade="BF"/>
                <w:sz w:val="18"/>
                <w:szCs w:val="18"/>
                <w:lang w:val="el-GR"/>
              </w:rPr>
              <w:t xml:space="preserve">ontributions </w:t>
            </w:r>
          </w:p>
        </w:tc>
        <w:tc>
          <w:tcPr>
            <w:tcW w:w="1279" w:type="dxa"/>
            <w:shd w:val="clear" w:color="000000" w:fill="FFFFFF"/>
            <w:tcMar>
              <w:right w:w="340" w:type="dxa"/>
            </w:tcMar>
            <w:vAlign w:val="center"/>
          </w:tcPr>
          <w:p w14:paraId="6836FBA2" w14:textId="466273DD" w:rsidR="00D00930" w:rsidRPr="00D00930" w:rsidRDefault="00D00930" w:rsidP="00D00930">
            <w:pPr>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2.328,4</w:t>
            </w:r>
          </w:p>
        </w:tc>
        <w:tc>
          <w:tcPr>
            <w:tcW w:w="1483" w:type="dxa"/>
            <w:tcMar>
              <w:right w:w="340" w:type="dxa"/>
            </w:tcMar>
            <w:vAlign w:val="center"/>
          </w:tcPr>
          <w:p w14:paraId="20605F34" w14:textId="057F8FEF" w:rsidR="00D00930" w:rsidRPr="00D00930" w:rsidRDefault="00D00930" w:rsidP="00D00930">
            <w:pPr>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2.694,1</w:t>
            </w:r>
          </w:p>
        </w:tc>
        <w:tc>
          <w:tcPr>
            <w:tcW w:w="468" w:type="dxa"/>
            <w:gridSpan w:val="2"/>
            <w:tcMar>
              <w:right w:w="340" w:type="dxa"/>
            </w:tcMar>
            <w:vAlign w:val="center"/>
          </w:tcPr>
          <w:p w14:paraId="2C311034" w14:textId="77777777" w:rsidR="00D00930" w:rsidRPr="00D00930" w:rsidRDefault="00D00930" w:rsidP="00D00930">
            <w:pPr>
              <w:jc w:val="right"/>
              <w:rPr>
                <w:rFonts w:ascii="Verdana" w:hAnsi="Verdana" w:cstheme="minorBidi"/>
                <w:color w:val="2F5496" w:themeColor="accent1" w:themeShade="BF"/>
                <w:sz w:val="18"/>
                <w:szCs w:val="18"/>
              </w:rPr>
            </w:pPr>
          </w:p>
        </w:tc>
        <w:tc>
          <w:tcPr>
            <w:tcW w:w="1279" w:type="dxa"/>
            <w:gridSpan w:val="2"/>
            <w:tcBorders>
              <w:left w:val="nil"/>
            </w:tcBorders>
            <w:tcMar>
              <w:right w:w="340" w:type="dxa"/>
            </w:tcMar>
            <w:vAlign w:val="center"/>
          </w:tcPr>
          <w:p w14:paraId="71476B36" w14:textId="67E46D15" w:rsidR="00D00930" w:rsidRPr="00D00930" w:rsidRDefault="00D00930" w:rsidP="00D00930">
            <w:pPr>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365,7</w:t>
            </w:r>
          </w:p>
        </w:tc>
        <w:tc>
          <w:tcPr>
            <w:tcW w:w="468" w:type="dxa"/>
            <w:gridSpan w:val="2"/>
            <w:tcMar>
              <w:right w:w="340" w:type="dxa"/>
            </w:tcMar>
            <w:vAlign w:val="center"/>
          </w:tcPr>
          <w:p w14:paraId="5BE8EC07" w14:textId="77777777" w:rsidR="00D00930" w:rsidRPr="00D00930" w:rsidRDefault="00D00930" w:rsidP="00D00930">
            <w:pPr>
              <w:jc w:val="right"/>
              <w:rPr>
                <w:rFonts w:ascii="Verdana" w:hAnsi="Verdana" w:cstheme="minorBidi"/>
                <w:color w:val="2F5496" w:themeColor="accent1" w:themeShade="BF"/>
                <w:sz w:val="18"/>
                <w:szCs w:val="18"/>
                <w:lang w:val="el-GR"/>
              </w:rPr>
            </w:pPr>
          </w:p>
        </w:tc>
        <w:tc>
          <w:tcPr>
            <w:tcW w:w="1334" w:type="dxa"/>
            <w:gridSpan w:val="2"/>
            <w:tcBorders>
              <w:left w:val="nil"/>
            </w:tcBorders>
            <w:shd w:val="clear" w:color="000000" w:fill="FFFFFF"/>
            <w:tcMar>
              <w:right w:w="340" w:type="dxa"/>
            </w:tcMar>
            <w:vAlign w:val="center"/>
          </w:tcPr>
          <w:p w14:paraId="11B3BAA9" w14:textId="7CC693EC" w:rsidR="00D00930" w:rsidRPr="00D00930" w:rsidRDefault="00D00930" w:rsidP="004050F7">
            <w:pPr>
              <w:ind w:right="113"/>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15,7%</w:t>
            </w:r>
          </w:p>
        </w:tc>
      </w:tr>
      <w:tr w:rsidR="00D00930" w:rsidRPr="00427234" w14:paraId="79BC38F6" w14:textId="77777777" w:rsidTr="00D00930">
        <w:trPr>
          <w:trHeight w:val="340"/>
          <w:jc w:val="center"/>
        </w:trPr>
        <w:tc>
          <w:tcPr>
            <w:tcW w:w="4042" w:type="dxa"/>
            <w:vAlign w:val="center"/>
          </w:tcPr>
          <w:p w14:paraId="7CFD6A64" w14:textId="77777777" w:rsidR="00D00930" w:rsidRPr="00C273E1" w:rsidRDefault="00D00930" w:rsidP="00D00930">
            <w:pPr>
              <w:ind w:left="170"/>
              <w:rPr>
                <w:rFonts w:ascii="Verdana" w:hAnsi="Verdana" w:cs="Arial"/>
                <w:color w:val="2F5496" w:themeColor="accent1" w:themeShade="BF"/>
                <w:sz w:val="18"/>
                <w:szCs w:val="18"/>
                <w:lang w:val="el-GR"/>
              </w:rPr>
            </w:pPr>
            <w:r w:rsidRPr="00C273E1">
              <w:rPr>
                <w:rFonts w:ascii="Verdana" w:hAnsi="Verdana" w:cs="Arial"/>
                <w:color w:val="2F5496" w:themeColor="accent1" w:themeShade="BF"/>
                <w:sz w:val="18"/>
                <w:szCs w:val="18"/>
                <w:lang w:val="el-GR"/>
              </w:rPr>
              <w:t xml:space="preserve">Other </w:t>
            </w:r>
            <w:r w:rsidRPr="00C273E1">
              <w:rPr>
                <w:rFonts w:ascii="Verdana" w:hAnsi="Verdana" w:cs="Arial"/>
                <w:color w:val="2F5496" w:themeColor="accent1" w:themeShade="BF"/>
                <w:sz w:val="18"/>
                <w:szCs w:val="18"/>
              </w:rPr>
              <w:t>C</w:t>
            </w:r>
            <w:r w:rsidRPr="00C273E1">
              <w:rPr>
                <w:rFonts w:ascii="Verdana" w:hAnsi="Verdana" w:cs="Arial"/>
                <w:color w:val="2F5496" w:themeColor="accent1" w:themeShade="BF"/>
                <w:sz w:val="18"/>
                <w:szCs w:val="18"/>
                <w:lang w:val="el-GR"/>
              </w:rPr>
              <w:t xml:space="preserve">urrent </w:t>
            </w:r>
            <w:r w:rsidRPr="00C273E1">
              <w:rPr>
                <w:rFonts w:ascii="Verdana" w:hAnsi="Verdana" w:cs="Arial"/>
                <w:color w:val="2F5496" w:themeColor="accent1" w:themeShade="BF"/>
                <w:sz w:val="18"/>
                <w:szCs w:val="18"/>
              </w:rPr>
              <w:t>R</w:t>
            </w:r>
            <w:r w:rsidRPr="00C273E1">
              <w:rPr>
                <w:rFonts w:ascii="Verdana" w:hAnsi="Verdana" w:cs="Arial"/>
                <w:color w:val="2F5496" w:themeColor="accent1" w:themeShade="BF"/>
                <w:sz w:val="18"/>
                <w:szCs w:val="18"/>
                <w:lang w:val="el-GR"/>
              </w:rPr>
              <w:t>esources</w:t>
            </w:r>
          </w:p>
        </w:tc>
        <w:tc>
          <w:tcPr>
            <w:tcW w:w="1279" w:type="dxa"/>
            <w:shd w:val="clear" w:color="000000" w:fill="FFFFFF"/>
            <w:tcMar>
              <w:right w:w="340" w:type="dxa"/>
            </w:tcMar>
            <w:vAlign w:val="center"/>
          </w:tcPr>
          <w:p w14:paraId="20E77936" w14:textId="0C2FA728" w:rsidR="00D00930" w:rsidRPr="00D00930" w:rsidRDefault="00D00930" w:rsidP="00D00930">
            <w:pPr>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848,2</w:t>
            </w:r>
          </w:p>
        </w:tc>
        <w:tc>
          <w:tcPr>
            <w:tcW w:w="1483" w:type="dxa"/>
            <w:shd w:val="clear" w:color="000000" w:fill="FFFFFF"/>
            <w:tcMar>
              <w:right w:w="340" w:type="dxa"/>
            </w:tcMar>
            <w:vAlign w:val="center"/>
          </w:tcPr>
          <w:p w14:paraId="6B21E242" w14:textId="5FF340A8" w:rsidR="00D00930" w:rsidRPr="00D00930" w:rsidRDefault="00D00930" w:rsidP="00D00930">
            <w:pPr>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941,6</w:t>
            </w:r>
          </w:p>
        </w:tc>
        <w:tc>
          <w:tcPr>
            <w:tcW w:w="468" w:type="dxa"/>
            <w:gridSpan w:val="2"/>
            <w:shd w:val="clear" w:color="000000" w:fill="FFFFFF"/>
            <w:tcMar>
              <w:right w:w="340" w:type="dxa"/>
            </w:tcMar>
            <w:vAlign w:val="center"/>
          </w:tcPr>
          <w:p w14:paraId="0DF1EF6C" w14:textId="77777777" w:rsidR="00D00930" w:rsidRPr="00D00930" w:rsidRDefault="00D00930" w:rsidP="00D00930">
            <w:pPr>
              <w:jc w:val="right"/>
              <w:rPr>
                <w:rFonts w:ascii="Verdana" w:hAnsi="Verdana" w:cstheme="minorBidi"/>
                <w:color w:val="2F5496" w:themeColor="accent1" w:themeShade="BF"/>
                <w:sz w:val="18"/>
                <w:szCs w:val="18"/>
              </w:rPr>
            </w:pPr>
          </w:p>
        </w:tc>
        <w:tc>
          <w:tcPr>
            <w:tcW w:w="1279" w:type="dxa"/>
            <w:gridSpan w:val="2"/>
            <w:tcBorders>
              <w:left w:val="nil"/>
            </w:tcBorders>
            <w:shd w:val="clear" w:color="000000" w:fill="FFFFFF"/>
            <w:tcMar>
              <w:right w:w="340" w:type="dxa"/>
            </w:tcMar>
            <w:vAlign w:val="center"/>
          </w:tcPr>
          <w:p w14:paraId="157AB603" w14:textId="5C8663A4" w:rsidR="00D00930" w:rsidRPr="00D00930" w:rsidRDefault="00D00930" w:rsidP="00D00930">
            <w:pPr>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93,4</w:t>
            </w:r>
          </w:p>
        </w:tc>
        <w:tc>
          <w:tcPr>
            <w:tcW w:w="468" w:type="dxa"/>
            <w:gridSpan w:val="2"/>
            <w:tcMar>
              <w:right w:w="340" w:type="dxa"/>
            </w:tcMar>
            <w:vAlign w:val="center"/>
          </w:tcPr>
          <w:p w14:paraId="1FA55846" w14:textId="77777777" w:rsidR="00D00930" w:rsidRPr="00D00930" w:rsidRDefault="00D00930" w:rsidP="00D00930">
            <w:pPr>
              <w:jc w:val="right"/>
              <w:rPr>
                <w:rFonts w:ascii="Verdana" w:hAnsi="Verdana" w:cstheme="minorBidi"/>
                <w:color w:val="2F5496" w:themeColor="accent1" w:themeShade="BF"/>
                <w:sz w:val="18"/>
                <w:szCs w:val="18"/>
                <w:lang w:val="el-GR"/>
              </w:rPr>
            </w:pPr>
          </w:p>
        </w:tc>
        <w:tc>
          <w:tcPr>
            <w:tcW w:w="1334" w:type="dxa"/>
            <w:gridSpan w:val="2"/>
            <w:tcBorders>
              <w:left w:val="nil"/>
            </w:tcBorders>
            <w:shd w:val="clear" w:color="000000" w:fill="FFFFFF"/>
            <w:tcMar>
              <w:right w:w="340" w:type="dxa"/>
            </w:tcMar>
            <w:vAlign w:val="center"/>
          </w:tcPr>
          <w:p w14:paraId="25383E56" w14:textId="68E43E3A" w:rsidR="00D00930" w:rsidRPr="00D00930" w:rsidRDefault="00D00930" w:rsidP="004050F7">
            <w:pPr>
              <w:ind w:right="113"/>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11,0%</w:t>
            </w:r>
          </w:p>
        </w:tc>
      </w:tr>
      <w:tr w:rsidR="00D00930" w:rsidRPr="00427234" w14:paraId="556F3E14" w14:textId="77777777" w:rsidTr="00D00930">
        <w:trPr>
          <w:trHeight w:val="284"/>
          <w:jc w:val="center"/>
        </w:trPr>
        <w:tc>
          <w:tcPr>
            <w:tcW w:w="4042" w:type="dxa"/>
            <w:vAlign w:val="center"/>
          </w:tcPr>
          <w:p w14:paraId="44E23FC3" w14:textId="77777777" w:rsidR="00D00930" w:rsidRPr="00C273E1" w:rsidRDefault="00D00930" w:rsidP="00D00930">
            <w:pPr>
              <w:ind w:left="340"/>
              <w:rPr>
                <w:rFonts w:ascii="Verdana" w:hAnsi="Verdana" w:cs="Arial"/>
                <w:color w:val="2F5496" w:themeColor="accent1" w:themeShade="BF"/>
                <w:sz w:val="18"/>
                <w:szCs w:val="18"/>
                <w:lang w:val="el-GR"/>
              </w:rPr>
            </w:pPr>
            <w:r w:rsidRPr="00C273E1">
              <w:rPr>
                <w:rFonts w:ascii="Verdana" w:hAnsi="Verdana" w:cs="Arial"/>
                <w:color w:val="2F5496" w:themeColor="accent1" w:themeShade="BF"/>
                <w:sz w:val="18"/>
                <w:szCs w:val="18"/>
                <w:lang w:val="el-GR"/>
              </w:rPr>
              <w:t>Interest receivable</w:t>
            </w:r>
          </w:p>
        </w:tc>
        <w:tc>
          <w:tcPr>
            <w:tcW w:w="1279" w:type="dxa"/>
            <w:tcMar>
              <w:right w:w="340" w:type="dxa"/>
            </w:tcMar>
            <w:vAlign w:val="center"/>
          </w:tcPr>
          <w:p w14:paraId="36B4E233" w14:textId="0E245C7B" w:rsidR="00D00930" w:rsidRPr="00D00930" w:rsidRDefault="00D00930" w:rsidP="00D00930">
            <w:pPr>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68,9</w:t>
            </w:r>
          </w:p>
        </w:tc>
        <w:tc>
          <w:tcPr>
            <w:tcW w:w="1483" w:type="dxa"/>
            <w:shd w:val="clear" w:color="000000" w:fill="FFFFFF"/>
            <w:tcMar>
              <w:right w:w="340" w:type="dxa"/>
            </w:tcMar>
            <w:vAlign w:val="center"/>
          </w:tcPr>
          <w:p w14:paraId="54568782" w14:textId="4D4CFA93" w:rsidR="00D00930" w:rsidRPr="00D00930" w:rsidRDefault="00D00930" w:rsidP="00D00930">
            <w:pPr>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90,3</w:t>
            </w:r>
          </w:p>
        </w:tc>
        <w:tc>
          <w:tcPr>
            <w:tcW w:w="468" w:type="dxa"/>
            <w:gridSpan w:val="2"/>
            <w:shd w:val="clear" w:color="000000" w:fill="FFFFFF"/>
            <w:tcMar>
              <w:right w:w="340" w:type="dxa"/>
            </w:tcMar>
            <w:vAlign w:val="center"/>
          </w:tcPr>
          <w:p w14:paraId="16995CEC" w14:textId="77777777" w:rsidR="00D00930" w:rsidRPr="00D00930" w:rsidRDefault="00D00930" w:rsidP="00D00930">
            <w:pPr>
              <w:jc w:val="right"/>
              <w:rPr>
                <w:rFonts w:ascii="Verdana" w:hAnsi="Verdana" w:cstheme="minorBidi"/>
                <w:color w:val="2F5496" w:themeColor="accent1" w:themeShade="BF"/>
                <w:sz w:val="18"/>
                <w:szCs w:val="18"/>
              </w:rPr>
            </w:pPr>
          </w:p>
        </w:tc>
        <w:tc>
          <w:tcPr>
            <w:tcW w:w="1279" w:type="dxa"/>
            <w:gridSpan w:val="2"/>
            <w:tcBorders>
              <w:left w:val="nil"/>
            </w:tcBorders>
            <w:shd w:val="clear" w:color="000000" w:fill="FFFFFF"/>
            <w:tcMar>
              <w:right w:w="340" w:type="dxa"/>
            </w:tcMar>
            <w:vAlign w:val="center"/>
          </w:tcPr>
          <w:p w14:paraId="148E8348" w14:textId="3FD46AAA" w:rsidR="00D00930" w:rsidRPr="00D00930" w:rsidRDefault="00D00930" w:rsidP="00D00930">
            <w:pPr>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21,4</w:t>
            </w:r>
          </w:p>
        </w:tc>
        <w:tc>
          <w:tcPr>
            <w:tcW w:w="468" w:type="dxa"/>
            <w:gridSpan w:val="2"/>
            <w:tcMar>
              <w:right w:w="340" w:type="dxa"/>
            </w:tcMar>
            <w:vAlign w:val="center"/>
          </w:tcPr>
          <w:p w14:paraId="3A4F27D0" w14:textId="77777777" w:rsidR="00D00930" w:rsidRPr="00D00930" w:rsidRDefault="00D00930" w:rsidP="00D00930">
            <w:pPr>
              <w:jc w:val="right"/>
              <w:rPr>
                <w:rFonts w:ascii="Verdana" w:hAnsi="Verdana" w:cstheme="minorBidi"/>
                <w:color w:val="2F5496" w:themeColor="accent1" w:themeShade="BF"/>
                <w:sz w:val="18"/>
                <w:szCs w:val="18"/>
                <w:lang w:val="el-GR"/>
              </w:rPr>
            </w:pPr>
          </w:p>
        </w:tc>
        <w:tc>
          <w:tcPr>
            <w:tcW w:w="1334" w:type="dxa"/>
            <w:gridSpan w:val="2"/>
            <w:tcBorders>
              <w:left w:val="nil"/>
            </w:tcBorders>
            <w:shd w:val="clear" w:color="000000" w:fill="FFFFFF"/>
            <w:tcMar>
              <w:right w:w="340" w:type="dxa"/>
            </w:tcMar>
            <w:vAlign w:val="center"/>
          </w:tcPr>
          <w:p w14:paraId="09B73B6B" w14:textId="44E0DC27" w:rsidR="00D00930" w:rsidRPr="00D00930" w:rsidRDefault="00D00930" w:rsidP="004050F7">
            <w:pPr>
              <w:ind w:right="113"/>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31,1%</w:t>
            </w:r>
          </w:p>
        </w:tc>
      </w:tr>
      <w:tr w:rsidR="00D00930" w:rsidRPr="00427234" w14:paraId="1FF05182" w14:textId="77777777" w:rsidTr="00D00930">
        <w:trPr>
          <w:trHeight w:val="284"/>
          <w:jc w:val="center"/>
        </w:trPr>
        <w:tc>
          <w:tcPr>
            <w:tcW w:w="4042" w:type="dxa"/>
            <w:vAlign w:val="center"/>
          </w:tcPr>
          <w:p w14:paraId="27AD66AD" w14:textId="77777777" w:rsidR="00D00930" w:rsidRPr="00C273E1" w:rsidRDefault="00D00930" w:rsidP="00D00930">
            <w:pPr>
              <w:ind w:left="340"/>
              <w:rPr>
                <w:rFonts w:ascii="Verdana" w:hAnsi="Verdana" w:cs="Arial"/>
                <w:color w:val="2F5496" w:themeColor="accent1" w:themeShade="BF"/>
                <w:sz w:val="18"/>
                <w:szCs w:val="18"/>
                <w:lang w:val="el-GR"/>
              </w:rPr>
            </w:pPr>
            <w:r w:rsidRPr="00C273E1">
              <w:rPr>
                <w:rFonts w:ascii="Verdana" w:hAnsi="Verdana" w:cs="Arial"/>
                <w:color w:val="2F5496" w:themeColor="accent1" w:themeShade="BF"/>
                <w:sz w:val="18"/>
                <w:szCs w:val="18"/>
                <w:lang w:val="el-GR"/>
              </w:rPr>
              <w:t xml:space="preserve">Current </w:t>
            </w:r>
            <w:r w:rsidRPr="00C273E1">
              <w:rPr>
                <w:rFonts w:ascii="Verdana" w:hAnsi="Verdana" w:cs="Arial"/>
                <w:color w:val="2F5496" w:themeColor="accent1" w:themeShade="BF"/>
                <w:sz w:val="18"/>
                <w:szCs w:val="18"/>
              </w:rPr>
              <w:t>t</w:t>
            </w:r>
            <w:r w:rsidRPr="00C273E1">
              <w:rPr>
                <w:rFonts w:ascii="Verdana" w:hAnsi="Verdana" w:cs="Arial"/>
                <w:color w:val="2F5496" w:themeColor="accent1" w:themeShade="BF"/>
                <w:sz w:val="18"/>
                <w:szCs w:val="18"/>
                <w:lang w:val="el-GR"/>
              </w:rPr>
              <w:t>ransfers</w:t>
            </w:r>
          </w:p>
        </w:tc>
        <w:tc>
          <w:tcPr>
            <w:tcW w:w="1279" w:type="dxa"/>
            <w:tcMar>
              <w:right w:w="340" w:type="dxa"/>
            </w:tcMar>
            <w:vAlign w:val="center"/>
          </w:tcPr>
          <w:p w14:paraId="4248B36B" w14:textId="2DC38B97" w:rsidR="00D00930" w:rsidRPr="00D00930" w:rsidRDefault="00D00930" w:rsidP="00D00930">
            <w:pPr>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304,3</w:t>
            </w:r>
          </w:p>
        </w:tc>
        <w:tc>
          <w:tcPr>
            <w:tcW w:w="1483" w:type="dxa"/>
            <w:shd w:val="clear" w:color="000000" w:fill="FFFFFF"/>
            <w:tcMar>
              <w:right w:w="340" w:type="dxa"/>
            </w:tcMar>
            <w:vAlign w:val="center"/>
          </w:tcPr>
          <w:p w14:paraId="7A17EF07" w14:textId="30526163" w:rsidR="00D00930" w:rsidRPr="00D00930" w:rsidRDefault="00D00930" w:rsidP="00D00930">
            <w:pPr>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232,9</w:t>
            </w:r>
          </w:p>
        </w:tc>
        <w:tc>
          <w:tcPr>
            <w:tcW w:w="468" w:type="dxa"/>
            <w:gridSpan w:val="2"/>
            <w:shd w:val="clear" w:color="000000" w:fill="FFFFFF"/>
            <w:tcMar>
              <w:right w:w="340" w:type="dxa"/>
            </w:tcMar>
            <w:vAlign w:val="center"/>
          </w:tcPr>
          <w:p w14:paraId="0339D39C" w14:textId="77777777" w:rsidR="00D00930" w:rsidRPr="00D00930" w:rsidRDefault="00D00930" w:rsidP="00D00930">
            <w:pPr>
              <w:jc w:val="right"/>
              <w:rPr>
                <w:rFonts w:ascii="Verdana" w:hAnsi="Verdana" w:cstheme="minorBidi"/>
                <w:color w:val="2F5496" w:themeColor="accent1" w:themeShade="BF"/>
                <w:sz w:val="18"/>
                <w:szCs w:val="18"/>
              </w:rPr>
            </w:pPr>
          </w:p>
        </w:tc>
        <w:tc>
          <w:tcPr>
            <w:tcW w:w="1279" w:type="dxa"/>
            <w:gridSpan w:val="2"/>
            <w:tcBorders>
              <w:left w:val="nil"/>
            </w:tcBorders>
            <w:shd w:val="clear" w:color="000000" w:fill="FFFFFF"/>
            <w:tcMar>
              <w:right w:w="340" w:type="dxa"/>
            </w:tcMar>
            <w:vAlign w:val="center"/>
          </w:tcPr>
          <w:p w14:paraId="5C77C915" w14:textId="2D122FC6" w:rsidR="00D00930" w:rsidRPr="00D00930" w:rsidRDefault="00D00930" w:rsidP="00D00930">
            <w:pPr>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-71,4</w:t>
            </w:r>
          </w:p>
        </w:tc>
        <w:tc>
          <w:tcPr>
            <w:tcW w:w="468" w:type="dxa"/>
            <w:gridSpan w:val="2"/>
            <w:tcMar>
              <w:right w:w="340" w:type="dxa"/>
            </w:tcMar>
            <w:vAlign w:val="center"/>
          </w:tcPr>
          <w:p w14:paraId="7A6A1A6C" w14:textId="77777777" w:rsidR="00D00930" w:rsidRPr="00D00930" w:rsidRDefault="00D00930" w:rsidP="00D00930">
            <w:pPr>
              <w:jc w:val="right"/>
              <w:rPr>
                <w:rFonts w:ascii="Verdana" w:hAnsi="Verdana" w:cstheme="minorBidi"/>
                <w:color w:val="2F5496" w:themeColor="accent1" w:themeShade="BF"/>
                <w:sz w:val="18"/>
                <w:szCs w:val="18"/>
                <w:lang w:val="el-GR"/>
              </w:rPr>
            </w:pPr>
          </w:p>
        </w:tc>
        <w:tc>
          <w:tcPr>
            <w:tcW w:w="1334" w:type="dxa"/>
            <w:gridSpan w:val="2"/>
            <w:tcBorders>
              <w:left w:val="nil"/>
            </w:tcBorders>
            <w:shd w:val="clear" w:color="000000" w:fill="FFFFFF"/>
            <w:tcMar>
              <w:right w:w="340" w:type="dxa"/>
            </w:tcMar>
            <w:vAlign w:val="center"/>
          </w:tcPr>
          <w:p w14:paraId="53849260" w14:textId="6FB5C17E" w:rsidR="00D00930" w:rsidRPr="00D00930" w:rsidRDefault="00D00930" w:rsidP="004050F7">
            <w:pPr>
              <w:ind w:right="113"/>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-23,5%</w:t>
            </w:r>
          </w:p>
        </w:tc>
      </w:tr>
      <w:tr w:rsidR="00D00930" w:rsidRPr="00427234" w14:paraId="0F3EBC30" w14:textId="77777777" w:rsidTr="00D00930">
        <w:trPr>
          <w:trHeight w:val="284"/>
          <w:jc w:val="center"/>
        </w:trPr>
        <w:tc>
          <w:tcPr>
            <w:tcW w:w="4042" w:type="dxa"/>
            <w:vAlign w:val="center"/>
          </w:tcPr>
          <w:p w14:paraId="61739987" w14:textId="77777777" w:rsidR="00D00930" w:rsidRPr="00C273E1" w:rsidRDefault="00D00930" w:rsidP="00D00930">
            <w:pPr>
              <w:ind w:left="340"/>
              <w:rPr>
                <w:rFonts w:ascii="Verdana" w:hAnsi="Verdana" w:cs="Arial"/>
                <w:color w:val="2F5496" w:themeColor="accent1" w:themeShade="BF"/>
                <w:sz w:val="18"/>
                <w:szCs w:val="18"/>
                <w:lang w:val="el-GR"/>
              </w:rPr>
            </w:pPr>
            <w:r w:rsidRPr="00C273E1">
              <w:rPr>
                <w:rFonts w:ascii="Verdana" w:hAnsi="Verdana" w:cs="Arial"/>
                <w:color w:val="2F5496" w:themeColor="accent1" w:themeShade="BF"/>
                <w:sz w:val="18"/>
                <w:szCs w:val="18"/>
              </w:rPr>
              <w:t>Sales</w:t>
            </w:r>
          </w:p>
        </w:tc>
        <w:tc>
          <w:tcPr>
            <w:tcW w:w="1279" w:type="dxa"/>
            <w:tcMar>
              <w:right w:w="340" w:type="dxa"/>
            </w:tcMar>
            <w:vAlign w:val="center"/>
          </w:tcPr>
          <w:p w14:paraId="2AD5BDD1" w14:textId="39FAEE1B" w:rsidR="00D00930" w:rsidRPr="00D00930" w:rsidRDefault="00D00930" w:rsidP="00D00930">
            <w:pPr>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475,0</w:t>
            </w:r>
          </w:p>
        </w:tc>
        <w:tc>
          <w:tcPr>
            <w:tcW w:w="1483" w:type="dxa"/>
            <w:shd w:val="clear" w:color="000000" w:fill="FFFFFF"/>
            <w:tcMar>
              <w:right w:w="340" w:type="dxa"/>
            </w:tcMar>
            <w:vAlign w:val="center"/>
          </w:tcPr>
          <w:p w14:paraId="64DFB25F" w14:textId="2E888EA7" w:rsidR="00D00930" w:rsidRPr="00D00930" w:rsidRDefault="00D00930" w:rsidP="00D00930">
            <w:pPr>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618,4</w:t>
            </w:r>
          </w:p>
        </w:tc>
        <w:tc>
          <w:tcPr>
            <w:tcW w:w="468" w:type="dxa"/>
            <w:gridSpan w:val="2"/>
            <w:shd w:val="clear" w:color="000000" w:fill="FFFFFF"/>
            <w:tcMar>
              <w:right w:w="340" w:type="dxa"/>
            </w:tcMar>
            <w:vAlign w:val="center"/>
          </w:tcPr>
          <w:p w14:paraId="74CAD03C" w14:textId="77777777" w:rsidR="00D00930" w:rsidRPr="00D00930" w:rsidRDefault="00D00930" w:rsidP="00D00930">
            <w:pPr>
              <w:jc w:val="right"/>
              <w:rPr>
                <w:rFonts w:ascii="Verdana" w:hAnsi="Verdana" w:cstheme="minorBidi"/>
                <w:color w:val="2F5496" w:themeColor="accent1" w:themeShade="BF"/>
                <w:sz w:val="18"/>
                <w:szCs w:val="18"/>
              </w:rPr>
            </w:pPr>
          </w:p>
        </w:tc>
        <w:tc>
          <w:tcPr>
            <w:tcW w:w="1279" w:type="dxa"/>
            <w:gridSpan w:val="2"/>
            <w:tcBorders>
              <w:left w:val="nil"/>
            </w:tcBorders>
            <w:shd w:val="clear" w:color="000000" w:fill="FFFFFF"/>
            <w:tcMar>
              <w:right w:w="340" w:type="dxa"/>
            </w:tcMar>
            <w:vAlign w:val="center"/>
          </w:tcPr>
          <w:p w14:paraId="23A372F4" w14:textId="29A25742" w:rsidR="00D00930" w:rsidRPr="00D00930" w:rsidRDefault="00D00930" w:rsidP="00D00930">
            <w:pPr>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143,4</w:t>
            </w:r>
          </w:p>
        </w:tc>
        <w:tc>
          <w:tcPr>
            <w:tcW w:w="468" w:type="dxa"/>
            <w:gridSpan w:val="2"/>
            <w:tcMar>
              <w:right w:w="340" w:type="dxa"/>
            </w:tcMar>
            <w:vAlign w:val="center"/>
          </w:tcPr>
          <w:p w14:paraId="507DB682" w14:textId="77777777" w:rsidR="00D00930" w:rsidRPr="00D00930" w:rsidRDefault="00D00930" w:rsidP="00D00930">
            <w:pPr>
              <w:jc w:val="right"/>
              <w:rPr>
                <w:rFonts w:ascii="Verdana" w:hAnsi="Verdana" w:cstheme="minorBidi"/>
                <w:color w:val="2F5496" w:themeColor="accent1" w:themeShade="BF"/>
                <w:sz w:val="18"/>
                <w:szCs w:val="18"/>
                <w:lang w:val="el-GR"/>
              </w:rPr>
            </w:pPr>
          </w:p>
        </w:tc>
        <w:tc>
          <w:tcPr>
            <w:tcW w:w="1334" w:type="dxa"/>
            <w:gridSpan w:val="2"/>
            <w:tcBorders>
              <w:left w:val="nil"/>
            </w:tcBorders>
            <w:shd w:val="clear" w:color="000000" w:fill="FFFFFF"/>
            <w:tcMar>
              <w:right w:w="340" w:type="dxa"/>
            </w:tcMar>
            <w:vAlign w:val="center"/>
          </w:tcPr>
          <w:p w14:paraId="01CF7817" w14:textId="16476F8F" w:rsidR="00D00930" w:rsidRPr="00D00930" w:rsidRDefault="00D00930" w:rsidP="004050F7">
            <w:pPr>
              <w:ind w:right="113"/>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30,2%</w:t>
            </w:r>
          </w:p>
        </w:tc>
      </w:tr>
      <w:tr w:rsidR="00D00930" w:rsidRPr="00427234" w14:paraId="580CEC6E" w14:textId="77777777" w:rsidTr="00D00930">
        <w:trPr>
          <w:trHeight w:val="454"/>
          <w:jc w:val="center"/>
        </w:trPr>
        <w:tc>
          <w:tcPr>
            <w:tcW w:w="4042" w:type="dxa"/>
            <w:vAlign w:val="center"/>
          </w:tcPr>
          <w:p w14:paraId="74C628E5" w14:textId="77777777" w:rsidR="00D00930" w:rsidRPr="00C273E1" w:rsidRDefault="00D00930" w:rsidP="00D00930">
            <w:pPr>
              <w:ind w:left="170"/>
              <w:rPr>
                <w:rFonts w:ascii="Verdana" w:hAnsi="Verdana" w:cs="Arial"/>
                <w:color w:val="2F5496" w:themeColor="accent1" w:themeShade="BF"/>
                <w:sz w:val="18"/>
                <w:szCs w:val="18"/>
                <w:lang w:val="el-GR"/>
              </w:rPr>
            </w:pPr>
            <w:r w:rsidRPr="00C273E1">
              <w:rPr>
                <w:rFonts w:ascii="Verdana" w:hAnsi="Verdana" w:cs="Arial"/>
                <w:color w:val="2F5496" w:themeColor="accent1" w:themeShade="BF"/>
                <w:sz w:val="18"/>
                <w:szCs w:val="18"/>
                <w:lang w:val="el-GR"/>
              </w:rPr>
              <w:t xml:space="preserve">Capital </w:t>
            </w:r>
            <w:r w:rsidRPr="00C273E1">
              <w:rPr>
                <w:rFonts w:ascii="Verdana" w:hAnsi="Verdana" w:cs="Arial"/>
                <w:color w:val="2F5496" w:themeColor="accent1" w:themeShade="BF"/>
                <w:sz w:val="18"/>
                <w:szCs w:val="18"/>
              </w:rPr>
              <w:t>T</w:t>
            </w:r>
            <w:r w:rsidRPr="00C273E1">
              <w:rPr>
                <w:rFonts w:ascii="Verdana" w:hAnsi="Verdana" w:cs="Arial"/>
                <w:color w:val="2F5496" w:themeColor="accent1" w:themeShade="BF"/>
                <w:sz w:val="18"/>
                <w:szCs w:val="18"/>
                <w:lang w:val="el-GR"/>
              </w:rPr>
              <w:t xml:space="preserve">ransfers </w:t>
            </w:r>
            <w:r w:rsidRPr="00C273E1">
              <w:rPr>
                <w:rFonts w:ascii="Verdana" w:hAnsi="Verdana" w:cs="Arial"/>
                <w:color w:val="2F5496" w:themeColor="accent1" w:themeShade="BF"/>
                <w:sz w:val="18"/>
                <w:szCs w:val="18"/>
              </w:rPr>
              <w:t>R</w:t>
            </w:r>
            <w:r w:rsidRPr="00C273E1">
              <w:rPr>
                <w:rFonts w:ascii="Verdana" w:hAnsi="Verdana" w:cs="Arial"/>
                <w:color w:val="2F5496" w:themeColor="accent1" w:themeShade="BF"/>
                <w:sz w:val="18"/>
                <w:szCs w:val="18"/>
                <w:lang w:val="el-GR"/>
              </w:rPr>
              <w:t>eceived</w:t>
            </w:r>
          </w:p>
        </w:tc>
        <w:tc>
          <w:tcPr>
            <w:tcW w:w="1279" w:type="dxa"/>
            <w:tcMar>
              <w:right w:w="340" w:type="dxa"/>
            </w:tcMar>
            <w:vAlign w:val="center"/>
          </w:tcPr>
          <w:p w14:paraId="711BD785" w14:textId="4D4C521B" w:rsidR="00D00930" w:rsidRPr="00D00930" w:rsidRDefault="00D00930" w:rsidP="00D00930">
            <w:pPr>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105,0</w:t>
            </w:r>
          </w:p>
        </w:tc>
        <w:tc>
          <w:tcPr>
            <w:tcW w:w="1483" w:type="dxa"/>
            <w:tcMar>
              <w:right w:w="340" w:type="dxa"/>
            </w:tcMar>
            <w:vAlign w:val="center"/>
          </w:tcPr>
          <w:p w14:paraId="5427ECBF" w14:textId="5F701617" w:rsidR="00D00930" w:rsidRPr="00D00930" w:rsidRDefault="00D00930" w:rsidP="00D00930">
            <w:pPr>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72,2</w:t>
            </w:r>
          </w:p>
        </w:tc>
        <w:tc>
          <w:tcPr>
            <w:tcW w:w="468" w:type="dxa"/>
            <w:gridSpan w:val="2"/>
            <w:shd w:val="clear" w:color="000000" w:fill="FFFFFF"/>
            <w:tcMar>
              <w:right w:w="340" w:type="dxa"/>
            </w:tcMar>
            <w:vAlign w:val="center"/>
          </w:tcPr>
          <w:p w14:paraId="1AB236BA" w14:textId="77777777" w:rsidR="00D00930" w:rsidRPr="00D00930" w:rsidRDefault="00D00930" w:rsidP="00D00930">
            <w:pPr>
              <w:jc w:val="right"/>
              <w:rPr>
                <w:rFonts w:ascii="Verdana" w:hAnsi="Verdana" w:cstheme="minorBidi"/>
                <w:color w:val="2F5496" w:themeColor="accent1" w:themeShade="BF"/>
                <w:sz w:val="18"/>
                <w:szCs w:val="18"/>
              </w:rPr>
            </w:pPr>
          </w:p>
        </w:tc>
        <w:tc>
          <w:tcPr>
            <w:tcW w:w="1279" w:type="dxa"/>
            <w:gridSpan w:val="2"/>
            <w:tcBorders>
              <w:left w:val="nil"/>
            </w:tcBorders>
            <w:shd w:val="clear" w:color="000000" w:fill="FFFFFF"/>
            <w:tcMar>
              <w:right w:w="340" w:type="dxa"/>
            </w:tcMar>
            <w:vAlign w:val="center"/>
          </w:tcPr>
          <w:p w14:paraId="41EA4128" w14:textId="4428B2E0" w:rsidR="00D00930" w:rsidRPr="00D00930" w:rsidRDefault="00D00930" w:rsidP="00D00930">
            <w:pPr>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-32,8</w:t>
            </w:r>
          </w:p>
        </w:tc>
        <w:tc>
          <w:tcPr>
            <w:tcW w:w="468" w:type="dxa"/>
            <w:gridSpan w:val="2"/>
            <w:tcMar>
              <w:right w:w="340" w:type="dxa"/>
            </w:tcMar>
            <w:vAlign w:val="center"/>
          </w:tcPr>
          <w:p w14:paraId="52D26F3A" w14:textId="77777777" w:rsidR="00D00930" w:rsidRPr="00D00930" w:rsidRDefault="00D00930" w:rsidP="00D00930">
            <w:pPr>
              <w:jc w:val="right"/>
              <w:rPr>
                <w:rFonts w:ascii="Verdana" w:hAnsi="Verdana" w:cstheme="minorBidi"/>
                <w:color w:val="2F5496" w:themeColor="accent1" w:themeShade="BF"/>
                <w:sz w:val="18"/>
                <w:szCs w:val="18"/>
                <w:lang w:val="el-GR"/>
              </w:rPr>
            </w:pPr>
          </w:p>
        </w:tc>
        <w:tc>
          <w:tcPr>
            <w:tcW w:w="1334" w:type="dxa"/>
            <w:gridSpan w:val="2"/>
            <w:tcBorders>
              <w:left w:val="nil"/>
            </w:tcBorders>
            <w:shd w:val="clear" w:color="000000" w:fill="FFFFFF"/>
            <w:tcMar>
              <w:right w:w="340" w:type="dxa"/>
            </w:tcMar>
            <w:vAlign w:val="center"/>
          </w:tcPr>
          <w:p w14:paraId="6E01D9C9" w14:textId="14F09A12" w:rsidR="00D00930" w:rsidRPr="00D00930" w:rsidRDefault="00D00930" w:rsidP="004050F7">
            <w:pPr>
              <w:ind w:right="113"/>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-31,2%</w:t>
            </w:r>
          </w:p>
        </w:tc>
      </w:tr>
      <w:tr w:rsidR="00D00930" w:rsidRPr="00D00930" w14:paraId="6348EC5F" w14:textId="77777777" w:rsidTr="00D00930">
        <w:trPr>
          <w:trHeight w:val="397"/>
          <w:jc w:val="center"/>
        </w:trPr>
        <w:tc>
          <w:tcPr>
            <w:tcW w:w="4042" w:type="dxa"/>
            <w:vAlign w:val="center"/>
          </w:tcPr>
          <w:p w14:paraId="02D70DE8" w14:textId="77777777" w:rsidR="00D00930" w:rsidRPr="00C273E1" w:rsidRDefault="00D00930" w:rsidP="00D00930">
            <w:pPr>
              <w:rPr>
                <w:rFonts w:ascii="Verdana" w:hAnsi="Verdana" w:cs="Arial"/>
                <w:b/>
                <w:bCs/>
                <w:color w:val="2F5496" w:themeColor="accent1" w:themeShade="BF"/>
                <w:sz w:val="18"/>
                <w:szCs w:val="18"/>
              </w:rPr>
            </w:pPr>
            <w:r w:rsidRPr="00C273E1">
              <w:rPr>
                <w:rFonts w:ascii="Verdana" w:hAnsi="Verdana" w:cs="Arial"/>
                <w:b/>
                <w:bCs/>
                <w:color w:val="2F5496" w:themeColor="accent1" w:themeShade="BF"/>
                <w:sz w:val="18"/>
                <w:szCs w:val="18"/>
              </w:rPr>
              <w:t>Total Expenditure</w:t>
            </w:r>
          </w:p>
        </w:tc>
        <w:tc>
          <w:tcPr>
            <w:tcW w:w="1279" w:type="dxa"/>
            <w:tcMar>
              <w:right w:w="340" w:type="dxa"/>
            </w:tcMar>
            <w:vAlign w:val="center"/>
          </w:tcPr>
          <w:p w14:paraId="0F3D3DDF" w14:textId="27A3BD2A" w:rsidR="00D00930" w:rsidRPr="00D00930" w:rsidRDefault="00D00930" w:rsidP="00D00930">
            <w:pPr>
              <w:jc w:val="right"/>
              <w:rPr>
                <w:rFonts w:ascii="Verdana" w:hAnsi="Verdana" w:cs="Arial"/>
                <w:b/>
                <w:bCs/>
                <w:color w:val="2F5496" w:themeColor="accent1" w:themeShade="BF"/>
                <w:sz w:val="18"/>
                <w:szCs w:val="18"/>
              </w:rPr>
            </w:pPr>
            <w:r w:rsidRPr="00D00930">
              <w:rPr>
                <w:rFonts w:ascii="Verdana" w:hAnsi="Verdana"/>
                <w:b/>
                <w:bCs/>
                <w:color w:val="2F5496" w:themeColor="accent1" w:themeShade="BF"/>
                <w:sz w:val="18"/>
                <w:szCs w:val="18"/>
              </w:rPr>
              <w:t>7.327,0</w:t>
            </w:r>
          </w:p>
        </w:tc>
        <w:tc>
          <w:tcPr>
            <w:tcW w:w="1483" w:type="dxa"/>
            <w:tcMar>
              <w:right w:w="340" w:type="dxa"/>
            </w:tcMar>
            <w:vAlign w:val="center"/>
          </w:tcPr>
          <w:p w14:paraId="3B7B5D85" w14:textId="79837869" w:rsidR="00D00930" w:rsidRPr="00D00930" w:rsidRDefault="00D00930" w:rsidP="00D00930">
            <w:pPr>
              <w:jc w:val="right"/>
              <w:rPr>
                <w:rFonts w:ascii="Verdana" w:hAnsi="Verdana" w:cs="Arial"/>
                <w:b/>
                <w:bCs/>
                <w:color w:val="2F5496" w:themeColor="accent1" w:themeShade="BF"/>
                <w:sz w:val="18"/>
                <w:szCs w:val="18"/>
              </w:rPr>
            </w:pPr>
            <w:r w:rsidRPr="00D00930">
              <w:rPr>
                <w:rFonts w:ascii="Verdana" w:hAnsi="Verdana"/>
                <w:b/>
                <w:bCs/>
                <w:color w:val="2F5496" w:themeColor="accent1" w:themeShade="BF"/>
                <w:sz w:val="18"/>
                <w:szCs w:val="18"/>
              </w:rPr>
              <w:t>7.930,5</w:t>
            </w:r>
          </w:p>
        </w:tc>
        <w:tc>
          <w:tcPr>
            <w:tcW w:w="468" w:type="dxa"/>
            <w:gridSpan w:val="2"/>
            <w:tcMar>
              <w:right w:w="340" w:type="dxa"/>
            </w:tcMar>
            <w:vAlign w:val="center"/>
          </w:tcPr>
          <w:p w14:paraId="06BF8911" w14:textId="77777777" w:rsidR="00D00930" w:rsidRPr="00D00930" w:rsidRDefault="00D00930" w:rsidP="00D00930">
            <w:pPr>
              <w:ind w:right="-123"/>
              <w:jc w:val="right"/>
              <w:rPr>
                <w:rFonts w:ascii="Verdana" w:hAnsi="Verdana" w:cstheme="minorBidi"/>
                <w:b/>
                <w:bCs/>
                <w:color w:val="2F5496" w:themeColor="accent1" w:themeShade="BF"/>
                <w:sz w:val="18"/>
                <w:szCs w:val="18"/>
              </w:rPr>
            </w:pPr>
          </w:p>
        </w:tc>
        <w:tc>
          <w:tcPr>
            <w:tcW w:w="1279" w:type="dxa"/>
            <w:gridSpan w:val="2"/>
            <w:tcBorders>
              <w:left w:val="nil"/>
            </w:tcBorders>
            <w:tcMar>
              <w:right w:w="340" w:type="dxa"/>
            </w:tcMar>
            <w:vAlign w:val="center"/>
          </w:tcPr>
          <w:p w14:paraId="7CFA0B2B" w14:textId="3E0EDB2F" w:rsidR="00D00930" w:rsidRPr="00D00930" w:rsidRDefault="00D00930" w:rsidP="00D00930">
            <w:pPr>
              <w:jc w:val="right"/>
              <w:rPr>
                <w:rFonts w:ascii="Verdana" w:hAnsi="Verdana" w:cs="Arial"/>
                <w:b/>
                <w:bCs/>
                <w:color w:val="2F5496" w:themeColor="accent1" w:themeShade="BF"/>
                <w:sz w:val="18"/>
                <w:szCs w:val="18"/>
              </w:rPr>
            </w:pPr>
            <w:r w:rsidRPr="00D00930">
              <w:rPr>
                <w:rFonts w:ascii="Verdana" w:hAnsi="Verdana"/>
                <w:b/>
                <w:bCs/>
                <w:color w:val="2F5496" w:themeColor="accent1" w:themeShade="BF"/>
                <w:sz w:val="18"/>
                <w:szCs w:val="18"/>
              </w:rPr>
              <w:t>603,5</w:t>
            </w:r>
          </w:p>
        </w:tc>
        <w:tc>
          <w:tcPr>
            <w:tcW w:w="468" w:type="dxa"/>
            <w:gridSpan w:val="2"/>
            <w:tcMar>
              <w:right w:w="340" w:type="dxa"/>
            </w:tcMar>
            <w:vAlign w:val="center"/>
          </w:tcPr>
          <w:p w14:paraId="1F8B6117" w14:textId="77777777" w:rsidR="00D00930" w:rsidRPr="00D00930" w:rsidRDefault="00D00930" w:rsidP="00D00930">
            <w:pPr>
              <w:ind w:right="-123"/>
              <w:jc w:val="right"/>
              <w:rPr>
                <w:rFonts w:ascii="Verdana" w:hAnsi="Verdana" w:cstheme="minorBidi"/>
                <w:b/>
                <w:bCs/>
                <w:color w:val="2F5496" w:themeColor="accent1" w:themeShade="BF"/>
                <w:sz w:val="18"/>
                <w:szCs w:val="18"/>
                <w:lang w:val="el-GR"/>
              </w:rPr>
            </w:pPr>
          </w:p>
        </w:tc>
        <w:tc>
          <w:tcPr>
            <w:tcW w:w="1334" w:type="dxa"/>
            <w:gridSpan w:val="2"/>
            <w:tcBorders>
              <w:left w:val="nil"/>
            </w:tcBorders>
            <w:shd w:val="clear" w:color="000000" w:fill="FFFFFF"/>
            <w:tcMar>
              <w:right w:w="340" w:type="dxa"/>
            </w:tcMar>
            <w:vAlign w:val="center"/>
          </w:tcPr>
          <w:p w14:paraId="41187B8F" w14:textId="356C54B3" w:rsidR="00D00930" w:rsidRPr="00D00930" w:rsidRDefault="00D00930" w:rsidP="004050F7">
            <w:pPr>
              <w:ind w:right="113"/>
              <w:jc w:val="right"/>
              <w:rPr>
                <w:rFonts w:ascii="Verdana" w:hAnsi="Verdana" w:cs="Arial"/>
                <w:b/>
                <w:bCs/>
                <w:color w:val="2F5496" w:themeColor="accent1" w:themeShade="BF"/>
                <w:sz w:val="18"/>
                <w:szCs w:val="18"/>
              </w:rPr>
            </w:pPr>
            <w:r w:rsidRPr="00D00930">
              <w:rPr>
                <w:rFonts w:ascii="Verdana" w:hAnsi="Verdana"/>
                <w:b/>
                <w:bCs/>
                <w:color w:val="2F5496" w:themeColor="accent1" w:themeShade="BF"/>
                <w:sz w:val="18"/>
                <w:szCs w:val="18"/>
              </w:rPr>
              <w:t>8,2%</w:t>
            </w:r>
          </w:p>
        </w:tc>
      </w:tr>
      <w:tr w:rsidR="00D00930" w:rsidRPr="00427234" w14:paraId="07BE2962" w14:textId="77777777" w:rsidTr="00D00930">
        <w:trPr>
          <w:trHeight w:val="340"/>
          <w:jc w:val="center"/>
        </w:trPr>
        <w:tc>
          <w:tcPr>
            <w:tcW w:w="4042" w:type="dxa"/>
            <w:shd w:val="clear" w:color="000000" w:fill="FFFFFF"/>
            <w:vAlign w:val="center"/>
          </w:tcPr>
          <w:p w14:paraId="7FA0E707" w14:textId="77777777" w:rsidR="00D00930" w:rsidRPr="00C273E1" w:rsidRDefault="00D00930" w:rsidP="00D00930">
            <w:pPr>
              <w:ind w:left="170"/>
              <w:rPr>
                <w:rFonts w:ascii="Verdana" w:hAnsi="Verdana" w:cs="Arial"/>
                <w:color w:val="2F5496" w:themeColor="accent1" w:themeShade="BF"/>
                <w:sz w:val="18"/>
                <w:szCs w:val="18"/>
                <w:lang w:val="el-GR"/>
              </w:rPr>
            </w:pPr>
            <w:r w:rsidRPr="00C273E1">
              <w:rPr>
                <w:rFonts w:ascii="Verdana" w:hAnsi="Verdana" w:cs="Arial"/>
                <w:color w:val="2F5496" w:themeColor="accent1" w:themeShade="BF"/>
                <w:sz w:val="18"/>
                <w:szCs w:val="18"/>
                <w:lang w:val="el-GR"/>
              </w:rPr>
              <w:t xml:space="preserve">Total </w:t>
            </w:r>
            <w:r w:rsidRPr="00C273E1">
              <w:rPr>
                <w:rFonts w:ascii="Verdana" w:hAnsi="Verdana" w:cs="Arial"/>
                <w:color w:val="2F5496" w:themeColor="accent1" w:themeShade="BF"/>
                <w:sz w:val="18"/>
                <w:szCs w:val="18"/>
              </w:rPr>
              <w:t>C</w:t>
            </w:r>
            <w:r w:rsidRPr="00C273E1">
              <w:rPr>
                <w:rFonts w:ascii="Verdana" w:hAnsi="Verdana" w:cs="Arial"/>
                <w:color w:val="2F5496" w:themeColor="accent1" w:themeShade="BF"/>
                <w:sz w:val="18"/>
                <w:szCs w:val="18"/>
                <w:lang w:val="el-GR"/>
              </w:rPr>
              <w:t xml:space="preserve">urrent </w:t>
            </w:r>
            <w:r w:rsidRPr="00C273E1">
              <w:rPr>
                <w:rFonts w:ascii="Verdana" w:hAnsi="Verdana" w:cs="Arial"/>
                <w:color w:val="2F5496" w:themeColor="accent1" w:themeShade="BF"/>
                <w:sz w:val="18"/>
                <w:szCs w:val="18"/>
              </w:rPr>
              <w:t>E</w:t>
            </w:r>
            <w:r w:rsidRPr="00C273E1">
              <w:rPr>
                <w:rFonts w:ascii="Verdana" w:hAnsi="Verdana" w:cs="Arial"/>
                <w:color w:val="2F5496" w:themeColor="accent1" w:themeShade="BF"/>
                <w:sz w:val="18"/>
                <w:szCs w:val="18"/>
                <w:lang w:val="el-GR"/>
              </w:rPr>
              <w:t>xpenditure</w:t>
            </w:r>
          </w:p>
        </w:tc>
        <w:tc>
          <w:tcPr>
            <w:tcW w:w="1279" w:type="dxa"/>
            <w:tcMar>
              <w:right w:w="340" w:type="dxa"/>
            </w:tcMar>
            <w:vAlign w:val="center"/>
          </w:tcPr>
          <w:p w14:paraId="5ACBF4AC" w14:textId="484BC3ED" w:rsidR="00D00930" w:rsidRPr="00D00930" w:rsidRDefault="00D00930" w:rsidP="00D00930">
            <w:pPr>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6.726,7</w:t>
            </w:r>
          </w:p>
        </w:tc>
        <w:tc>
          <w:tcPr>
            <w:tcW w:w="1483" w:type="dxa"/>
            <w:tcMar>
              <w:right w:w="340" w:type="dxa"/>
            </w:tcMar>
            <w:vAlign w:val="center"/>
          </w:tcPr>
          <w:p w14:paraId="5D765182" w14:textId="39F2D8AE" w:rsidR="00D00930" w:rsidRPr="00D00930" w:rsidRDefault="00D00930" w:rsidP="00D00930">
            <w:pPr>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7.404,5</w:t>
            </w:r>
          </w:p>
        </w:tc>
        <w:tc>
          <w:tcPr>
            <w:tcW w:w="468" w:type="dxa"/>
            <w:gridSpan w:val="2"/>
            <w:tcMar>
              <w:right w:w="340" w:type="dxa"/>
            </w:tcMar>
            <w:vAlign w:val="center"/>
          </w:tcPr>
          <w:p w14:paraId="1F21DF11" w14:textId="77777777" w:rsidR="00D00930" w:rsidRPr="00D00930" w:rsidRDefault="00D00930" w:rsidP="00D00930">
            <w:pPr>
              <w:jc w:val="right"/>
              <w:rPr>
                <w:rFonts w:ascii="Verdana" w:hAnsi="Verdana" w:cstheme="minorBidi"/>
                <w:color w:val="2F5496" w:themeColor="accent1" w:themeShade="BF"/>
                <w:sz w:val="18"/>
                <w:szCs w:val="18"/>
              </w:rPr>
            </w:pPr>
          </w:p>
        </w:tc>
        <w:tc>
          <w:tcPr>
            <w:tcW w:w="1279" w:type="dxa"/>
            <w:gridSpan w:val="2"/>
            <w:tcBorders>
              <w:left w:val="nil"/>
            </w:tcBorders>
            <w:tcMar>
              <w:right w:w="340" w:type="dxa"/>
            </w:tcMar>
            <w:vAlign w:val="center"/>
          </w:tcPr>
          <w:p w14:paraId="717745CC" w14:textId="7C809F55" w:rsidR="00D00930" w:rsidRPr="00D00930" w:rsidRDefault="00D00930" w:rsidP="00D00930">
            <w:pPr>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677,8</w:t>
            </w:r>
          </w:p>
        </w:tc>
        <w:tc>
          <w:tcPr>
            <w:tcW w:w="468" w:type="dxa"/>
            <w:gridSpan w:val="2"/>
            <w:tcMar>
              <w:right w:w="340" w:type="dxa"/>
            </w:tcMar>
            <w:vAlign w:val="center"/>
          </w:tcPr>
          <w:p w14:paraId="07BD8CE9" w14:textId="77777777" w:rsidR="00D00930" w:rsidRPr="00D00930" w:rsidRDefault="00D00930" w:rsidP="00D00930">
            <w:pPr>
              <w:jc w:val="right"/>
              <w:rPr>
                <w:rFonts w:ascii="Verdana" w:hAnsi="Verdana" w:cstheme="minorBidi"/>
                <w:color w:val="2F5496" w:themeColor="accent1" w:themeShade="BF"/>
                <w:sz w:val="18"/>
                <w:szCs w:val="18"/>
                <w:lang w:val="el-GR"/>
              </w:rPr>
            </w:pPr>
          </w:p>
        </w:tc>
        <w:tc>
          <w:tcPr>
            <w:tcW w:w="1334" w:type="dxa"/>
            <w:gridSpan w:val="2"/>
            <w:tcBorders>
              <w:left w:val="nil"/>
            </w:tcBorders>
            <w:shd w:val="clear" w:color="000000" w:fill="FFFFFF"/>
            <w:tcMar>
              <w:right w:w="340" w:type="dxa"/>
            </w:tcMar>
            <w:vAlign w:val="center"/>
          </w:tcPr>
          <w:p w14:paraId="0DD38C68" w14:textId="70E46C57" w:rsidR="00D00930" w:rsidRPr="00D00930" w:rsidRDefault="00D00930" w:rsidP="004050F7">
            <w:pPr>
              <w:ind w:right="113"/>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10,1%</w:t>
            </w:r>
          </w:p>
        </w:tc>
      </w:tr>
      <w:tr w:rsidR="00D00930" w:rsidRPr="00427234" w14:paraId="69F741CF" w14:textId="77777777" w:rsidTr="00D00930">
        <w:trPr>
          <w:trHeight w:val="284"/>
          <w:jc w:val="center"/>
        </w:trPr>
        <w:tc>
          <w:tcPr>
            <w:tcW w:w="4042" w:type="dxa"/>
            <w:shd w:val="clear" w:color="000000" w:fill="FFFFFF"/>
            <w:vAlign w:val="center"/>
          </w:tcPr>
          <w:p w14:paraId="25463F8A" w14:textId="77777777" w:rsidR="00D00930" w:rsidRPr="00C273E1" w:rsidRDefault="00D00930" w:rsidP="00D00930">
            <w:pPr>
              <w:ind w:left="340"/>
              <w:rPr>
                <w:rFonts w:ascii="Verdana" w:hAnsi="Verdana" w:cs="Arial"/>
                <w:color w:val="2F5496" w:themeColor="accent1" w:themeShade="BF"/>
                <w:sz w:val="18"/>
                <w:szCs w:val="18"/>
                <w:lang w:val="el-GR"/>
              </w:rPr>
            </w:pPr>
            <w:r w:rsidRPr="00C273E1">
              <w:rPr>
                <w:rFonts w:ascii="Verdana" w:hAnsi="Verdana" w:cs="Arial"/>
                <w:color w:val="2F5496" w:themeColor="accent1" w:themeShade="BF"/>
                <w:sz w:val="18"/>
                <w:szCs w:val="18"/>
              </w:rPr>
              <w:t>Intermediate consumption</w:t>
            </w:r>
          </w:p>
        </w:tc>
        <w:tc>
          <w:tcPr>
            <w:tcW w:w="1279" w:type="dxa"/>
            <w:tcMar>
              <w:right w:w="340" w:type="dxa"/>
            </w:tcMar>
            <w:vAlign w:val="center"/>
          </w:tcPr>
          <w:p w14:paraId="130047AF" w14:textId="57DB9A2E" w:rsidR="00D00930" w:rsidRPr="00D00930" w:rsidRDefault="00D00930" w:rsidP="00D00930">
            <w:pPr>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768,3</w:t>
            </w:r>
          </w:p>
        </w:tc>
        <w:tc>
          <w:tcPr>
            <w:tcW w:w="1483" w:type="dxa"/>
            <w:tcMar>
              <w:right w:w="340" w:type="dxa"/>
            </w:tcMar>
            <w:vAlign w:val="center"/>
          </w:tcPr>
          <w:p w14:paraId="0CCAC10B" w14:textId="30D7D1A5" w:rsidR="00D00930" w:rsidRPr="00D00930" w:rsidRDefault="00D00930" w:rsidP="00D00930">
            <w:pPr>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818,2</w:t>
            </w:r>
          </w:p>
        </w:tc>
        <w:tc>
          <w:tcPr>
            <w:tcW w:w="468" w:type="dxa"/>
            <w:gridSpan w:val="2"/>
            <w:tcMar>
              <w:right w:w="340" w:type="dxa"/>
            </w:tcMar>
            <w:vAlign w:val="center"/>
          </w:tcPr>
          <w:p w14:paraId="595C8CE0" w14:textId="77777777" w:rsidR="00D00930" w:rsidRPr="00D00930" w:rsidRDefault="00D00930" w:rsidP="00D00930">
            <w:pPr>
              <w:jc w:val="right"/>
              <w:rPr>
                <w:rFonts w:ascii="Verdana" w:hAnsi="Verdana" w:cstheme="minorBidi"/>
                <w:color w:val="2F5496" w:themeColor="accent1" w:themeShade="BF"/>
                <w:sz w:val="18"/>
                <w:szCs w:val="18"/>
              </w:rPr>
            </w:pPr>
          </w:p>
        </w:tc>
        <w:tc>
          <w:tcPr>
            <w:tcW w:w="1279" w:type="dxa"/>
            <w:gridSpan w:val="2"/>
            <w:tcBorders>
              <w:left w:val="nil"/>
            </w:tcBorders>
            <w:tcMar>
              <w:right w:w="340" w:type="dxa"/>
            </w:tcMar>
            <w:vAlign w:val="center"/>
          </w:tcPr>
          <w:p w14:paraId="4E954AF6" w14:textId="195C5F78" w:rsidR="00D00930" w:rsidRPr="00D00930" w:rsidRDefault="00D00930" w:rsidP="00D00930">
            <w:pPr>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49,9</w:t>
            </w:r>
          </w:p>
        </w:tc>
        <w:tc>
          <w:tcPr>
            <w:tcW w:w="468" w:type="dxa"/>
            <w:gridSpan w:val="2"/>
            <w:tcMar>
              <w:right w:w="340" w:type="dxa"/>
            </w:tcMar>
            <w:vAlign w:val="center"/>
          </w:tcPr>
          <w:p w14:paraId="5069942F" w14:textId="77777777" w:rsidR="00D00930" w:rsidRPr="00D00930" w:rsidRDefault="00D00930" w:rsidP="00D00930">
            <w:pPr>
              <w:jc w:val="right"/>
              <w:rPr>
                <w:rFonts w:ascii="Verdana" w:hAnsi="Verdana" w:cstheme="minorBidi"/>
                <w:color w:val="2F5496" w:themeColor="accent1" w:themeShade="BF"/>
                <w:sz w:val="18"/>
                <w:szCs w:val="18"/>
                <w:lang w:val="el-GR"/>
              </w:rPr>
            </w:pPr>
          </w:p>
        </w:tc>
        <w:tc>
          <w:tcPr>
            <w:tcW w:w="1334" w:type="dxa"/>
            <w:gridSpan w:val="2"/>
            <w:tcBorders>
              <w:left w:val="nil"/>
            </w:tcBorders>
            <w:shd w:val="clear" w:color="000000" w:fill="FFFFFF"/>
            <w:tcMar>
              <w:right w:w="340" w:type="dxa"/>
            </w:tcMar>
            <w:vAlign w:val="center"/>
          </w:tcPr>
          <w:p w14:paraId="7D66C096" w14:textId="29938466" w:rsidR="00D00930" w:rsidRPr="00D00930" w:rsidRDefault="00D00930" w:rsidP="004050F7">
            <w:pPr>
              <w:ind w:right="113"/>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6,5%</w:t>
            </w:r>
          </w:p>
        </w:tc>
      </w:tr>
      <w:tr w:rsidR="00D00930" w:rsidRPr="00427234" w14:paraId="30CDE90D" w14:textId="77777777" w:rsidTr="00D00930">
        <w:trPr>
          <w:trHeight w:val="284"/>
          <w:jc w:val="center"/>
        </w:trPr>
        <w:tc>
          <w:tcPr>
            <w:tcW w:w="4042" w:type="dxa"/>
            <w:shd w:val="clear" w:color="000000" w:fill="FFFFFF"/>
            <w:vAlign w:val="center"/>
          </w:tcPr>
          <w:p w14:paraId="4DA4A433" w14:textId="77777777" w:rsidR="00D00930" w:rsidRPr="00C273E1" w:rsidRDefault="00D00930" w:rsidP="00D00930">
            <w:pPr>
              <w:ind w:left="340"/>
              <w:rPr>
                <w:rFonts w:ascii="Verdana" w:hAnsi="Verdana" w:cs="Arial"/>
                <w:color w:val="2F5496" w:themeColor="accent1" w:themeShade="BF"/>
                <w:sz w:val="18"/>
                <w:szCs w:val="18"/>
                <w:lang w:val="el-GR"/>
              </w:rPr>
            </w:pPr>
            <w:r w:rsidRPr="00C273E1">
              <w:rPr>
                <w:rFonts w:ascii="Verdana" w:hAnsi="Verdana" w:cs="Arial"/>
                <w:color w:val="2F5496" w:themeColor="accent1" w:themeShade="BF"/>
                <w:sz w:val="18"/>
                <w:szCs w:val="18"/>
              </w:rPr>
              <w:t>Compensation of employees</w:t>
            </w:r>
          </w:p>
        </w:tc>
        <w:tc>
          <w:tcPr>
            <w:tcW w:w="1279" w:type="dxa"/>
            <w:tcMar>
              <w:right w:w="340" w:type="dxa"/>
            </w:tcMar>
            <w:vAlign w:val="center"/>
          </w:tcPr>
          <w:p w14:paraId="403C17FC" w14:textId="61ED7F67" w:rsidR="00D00930" w:rsidRPr="00D00930" w:rsidRDefault="00D00930" w:rsidP="00D00930">
            <w:pPr>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2.191,7</w:t>
            </w:r>
          </w:p>
        </w:tc>
        <w:tc>
          <w:tcPr>
            <w:tcW w:w="1483" w:type="dxa"/>
            <w:tcMar>
              <w:right w:w="340" w:type="dxa"/>
            </w:tcMar>
            <w:vAlign w:val="center"/>
          </w:tcPr>
          <w:p w14:paraId="5C71081F" w14:textId="28A872BC" w:rsidR="00D00930" w:rsidRPr="00D00930" w:rsidRDefault="00D00930" w:rsidP="00D00930">
            <w:pPr>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2.454,1</w:t>
            </w:r>
          </w:p>
        </w:tc>
        <w:tc>
          <w:tcPr>
            <w:tcW w:w="468" w:type="dxa"/>
            <w:gridSpan w:val="2"/>
            <w:tcMar>
              <w:right w:w="340" w:type="dxa"/>
            </w:tcMar>
            <w:vAlign w:val="center"/>
          </w:tcPr>
          <w:p w14:paraId="7751647A" w14:textId="77777777" w:rsidR="00D00930" w:rsidRPr="00D00930" w:rsidRDefault="00D00930" w:rsidP="00D00930">
            <w:pPr>
              <w:jc w:val="right"/>
              <w:rPr>
                <w:rFonts w:ascii="Verdana" w:hAnsi="Verdana" w:cstheme="minorBidi"/>
                <w:color w:val="2F5496" w:themeColor="accent1" w:themeShade="BF"/>
                <w:sz w:val="18"/>
                <w:szCs w:val="18"/>
              </w:rPr>
            </w:pPr>
          </w:p>
        </w:tc>
        <w:tc>
          <w:tcPr>
            <w:tcW w:w="1279" w:type="dxa"/>
            <w:gridSpan w:val="2"/>
            <w:tcBorders>
              <w:left w:val="nil"/>
            </w:tcBorders>
            <w:tcMar>
              <w:right w:w="340" w:type="dxa"/>
            </w:tcMar>
            <w:vAlign w:val="center"/>
          </w:tcPr>
          <w:p w14:paraId="088886A6" w14:textId="02904EEB" w:rsidR="00D00930" w:rsidRPr="00D00930" w:rsidRDefault="00D00930" w:rsidP="00D00930">
            <w:pPr>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262,4</w:t>
            </w:r>
          </w:p>
        </w:tc>
        <w:tc>
          <w:tcPr>
            <w:tcW w:w="468" w:type="dxa"/>
            <w:gridSpan w:val="2"/>
            <w:tcMar>
              <w:right w:w="340" w:type="dxa"/>
            </w:tcMar>
            <w:vAlign w:val="center"/>
          </w:tcPr>
          <w:p w14:paraId="78A23830" w14:textId="77777777" w:rsidR="00D00930" w:rsidRPr="00D00930" w:rsidRDefault="00D00930" w:rsidP="00D00930">
            <w:pPr>
              <w:jc w:val="right"/>
              <w:rPr>
                <w:rFonts w:ascii="Verdana" w:hAnsi="Verdana" w:cstheme="minorBidi"/>
                <w:color w:val="2F5496" w:themeColor="accent1" w:themeShade="BF"/>
                <w:sz w:val="18"/>
                <w:szCs w:val="18"/>
                <w:lang w:val="el-GR"/>
              </w:rPr>
            </w:pPr>
          </w:p>
        </w:tc>
        <w:tc>
          <w:tcPr>
            <w:tcW w:w="1334" w:type="dxa"/>
            <w:gridSpan w:val="2"/>
            <w:tcBorders>
              <w:left w:val="nil"/>
            </w:tcBorders>
            <w:shd w:val="clear" w:color="000000" w:fill="FFFFFF"/>
            <w:tcMar>
              <w:right w:w="340" w:type="dxa"/>
            </w:tcMar>
            <w:vAlign w:val="center"/>
          </w:tcPr>
          <w:p w14:paraId="025277E3" w14:textId="2997CDED" w:rsidR="00D00930" w:rsidRPr="00D00930" w:rsidRDefault="00D00930" w:rsidP="004050F7">
            <w:pPr>
              <w:ind w:right="113"/>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12,0%</w:t>
            </w:r>
          </w:p>
        </w:tc>
      </w:tr>
      <w:tr w:rsidR="00D00930" w:rsidRPr="00427234" w14:paraId="1350D819" w14:textId="77777777" w:rsidTr="00D00930">
        <w:trPr>
          <w:trHeight w:val="284"/>
          <w:jc w:val="center"/>
        </w:trPr>
        <w:tc>
          <w:tcPr>
            <w:tcW w:w="4042" w:type="dxa"/>
            <w:shd w:val="clear" w:color="auto" w:fill="auto"/>
            <w:vAlign w:val="center"/>
          </w:tcPr>
          <w:p w14:paraId="66726A4B" w14:textId="77777777" w:rsidR="00D00930" w:rsidRPr="00C273E1" w:rsidRDefault="00D00930" w:rsidP="00D00930">
            <w:pPr>
              <w:ind w:left="340"/>
              <w:rPr>
                <w:rFonts w:ascii="Verdana" w:hAnsi="Verdana" w:cs="Arial"/>
                <w:color w:val="2F5496" w:themeColor="accent1" w:themeShade="BF"/>
                <w:sz w:val="18"/>
                <w:szCs w:val="18"/>
                <w:lang w:val="el-GR"/>
              </w:rPr>
            </w:pPr>
            <w:r w:rsidRPr="00C273E1">
              <w:rPr>
                <w:rFonts w:ascii="Verdana" w:hAnsi="Verdana" w:cs="Arial"/>
                <w:color w:val="2F5496" w:themeColor="accent1" w:themeShade="BF"/>
                <w:sz w:val="18"/>
                <w:szCs w:val="18"/>
              </w:rPr>
              <w:t>Social transfers</w:t>
            </w:r>
          </w:p>
        </w:tc>
        <w:tc>
          <w:tcPr>
            <w:tcW w:w="1279" w:type="dxa"/>
            <w:tcMar>
              <w:right w:w="340" w:type="dxa"/>
            </w:tcMar>
            <w:vAlign w:val="center"/>
          </w:tcPr>
          <w:p w14:paraId="4E64B688" w14:textId="22F04BD5" w:rsidR="00D00930" w:rsidRPr="00D00930" w:rsidRDefault="00D00930" w:rsidP="00D00930">
            <w:pPr>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2.889,8</w:t>
            </w:r>
          </w:p>
        </w:tc>
        <w:tc>
          <w:tcPr>
            <w:tcW w:w="1483" w:type="dxa"/>
            <w:tcMar>
              <w:right w:w="340" w:type="dxa"/>
            </w:tcMar>
            <w:vAlign w:val="center"/>
          </w:tcPr>
          <w:p w14:paraId="08BB5FD8" w14:textId="661DA253" w:rsidR="00D00930" w:rsidRPr="00D00930" w:rsidRDefault="00D00930" w:rsidP="00D00930">
            <w:pPr>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3.132,1</w:t>
            </w:r>
          </w:p>
        </w:tc>
        <w:tc>
          <w:tcPr>
            <w:tcW w:w="468" w:type="dxa"/>
            <w:gridSpan w:val="2"/>
            <w:tcMar>
              <w:right w:w="340" w:type="dxa"/>
            </w:tcMar>
            <w:vAlign w:val="center"/>
          </w:tcPr>
          <w:p w14:paraId="17588C2E" w14:textId="77777777" w:rsidR="00D00930" w:rsidRPr="00D00930" w:rsidRDefault="00D00930" w:rsidP="00D00930">
            <w:pPr>
              <w:jc w:val="right"/>
              <w:rPr>
                <w:rFonts w:ascii="Verdana" w:hAnsi="Verdana" w:cstheme="minorBidi"/>
                <w:color w:val="2F5496" w:themeColor="accent1" w:themeShade="BF"/>
                <w:sz w:val="18"/>
                <w:szCs w:val="18"/>
              </w:rPr>
            </w:pPr>
          </w:p>
        </w:tc>
        <w:tc>
          <w:tcPr>
            <w:tcW w:w="1279" w:type="dxa"/>
            <w:gridSpan w:val="2"/>
            <w:tcBorders>
              <w:left w:val="nil"/>
            </w:tcBorders>
            <w:tcMar>
              <w:right w:w="340" w:type="dxa"/>
            </w:tcMar>
            <w:vAlign w:val="center"/>
          </w:tcPr>
          <w:p w14:paraId="3B0688B8" w14:textId="57291706" w:rsidR="00D00930" w:rsidRPr="00D00930" w:rsidRDefault="00D00930" w:rsidP="00D00930">
            <w:pPr>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242,3</w:t>
            </w:r>
          </w:p>
        </w:tc>
        <w:tc>
          <w:tcPr>
            <w:tcW w:w="468" w:type="dxa"/>
            <w:gridSpan w:val="2"/>
            <w:tcMar>
              <w:right w:w="340" w:type="dxa"/>
            </w:tcMar>
            <w:vAlign w:val="center"/>
          </w:tcPr>
          <w:p w14:paraId="04B7C3AE" w14:textId="77777777" w:rsidR="00D00930" w:rsidRPr="00D00930" w:rsidRDefault="00D00930" w:rsidP="00D00930">
            <w:pPr>
              <w:jc w:val="right"/>
              <w:rPr>
                <w:rFonts w:ascii="Verdana" w:hAnsi="Verdana" w:cstheme="minorBidi"/>
                <w:color w:val="2F5496" w:themeColor="accent1" w:themeShade="BF"/>
                <w:sz w:val="18"/>
                <w:szCs w:val="18"/>
                <w:lang w:val="el-GR"/>
              </w:rPr>
            </w:pPr>
          </w:p>
        </w:tc>
        <w:tc>
          <w:tcPr>
            <w:tcW w:w="1334" w:type="dxa"/>
            <w:gridSpan w:val="2"/>
            <w:tcBorders>
              <w:left w:val="nil"/>
            </w:tcBorders>
            <w:shd w:val="clear" w:color="000000" w:fill="FFFFFF"/>
            <w:tcMar>
              <w:right w:w="340" w:type="dxa"/>
            </w:tcMar>
            <w:vAlign w:val="center"/>
          </w:tcPr>
          <w:p w14:paraId="18DA8C9B" w14:textId="562AF198" w:rsidR="00D00930" w:rsidRPr="00D00930" w:rsidRDefault="00D00930" w:rsidP="004050F7">
            <w:pPr>
              <w:ind w:right="113"/>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8,4%</w:t>
            </w:r>
          </w:p>
        </w:tc>
      </w:tr>
      <w:tr w:rsidR="00D00930" w:rsidRPr="00427234" w14:paraId="694BB738" w14:textId="77777777" w:rsidTr="00D00930">
        <w:trPr>
          <w:trHeight w:val="284"/>
          <w:jc w:val="center"/>
        </w:trPr>
        <w:tc>
          <w:tcPr>
            <w:tcW w:w="4042" w:type="dxa"/>
            <w:shd w:val="clear" w:color="000000" w:fill="FFFFFF"/>
            <w:vAlign w:val="center"/>
          </w:tcPr>
          <w:p w14:paraId="1F7EFCFE" w14:textId="77777777" w:rsidR="00D00930" w:rsidRPr="00C273E1" w:rsidRDefault="00D00930" w:rsidP="00D00930">
            <w:pPr>
              <w:ind w:left="340"/>
              <w:rPr>
                <w:rFonts w:ascii="Verdana" w:hAnsi="Verdana" w:cs="Arial"/>
                <w:color w:val="2F5496" w:themeColor="accent1" w:themeShade="BF"/>
                <w:sz w:val="18"/>
                <w:szCs w:val="18"/>
                <w:lang w:val="el-GR"/>
              </w:rPr>
            </w:pPr>
            <w:r w:rsidRPr="00C273E1">
              <w:rPr>
                <w:rFonts w:ascii="Verdana" w:hAnsi="Verdana" w:cs="Arial"/>
                <w:color w:val="2F5496" w:themeColor="accent1" w:themeShade="BF"/>
                <w:sz w:val="18"/>
                <w:szCs w:val="18"/>
              </w:rPr>
              <w:t>Interest</w:t>
            </w:r>
          </w:p>
        </w:tc>
        <w:tc>
          <w:tcPr>
            <w:tcW w:w="1279" w:type="dxa"/>
            <w:tcMar>
              <w:right w:w="340" w:type="dxa"/>
            </w:tcMar>
            <w:vAlign w:val="center"/>
          </w:tcPr>
          <w:p w14:paraId="65BC61CE" w14:textId="65C6E1E2" w:rsidR="00D00930" w:rsidRPr="00D00930" w:rsidRDefault="00D00930" w:rsidP="00D00930">
            <w:pPr>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261,6</w:t>
            </w:r>
          </w:p>
        </w:tc>
        <w:tc>
          <w:tcPr>
            <w:tcW w:w="1483" w:type="dxa"/>
            <w:tcMar>
              <w:right w:w="340" w:type="dxa"/>
            </w:tcMar>
            <w:vAlign w:val="center"/>
          </w:tcPr>
          <w:p w14:paraId="07010B42" w14:textId="2389113F" w:rsidR="00D00930" w:rsidRPr="00D00930" w:rsidRDefault="00D00930" w:rsidP="00D00930">
            <w:pPr>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298,6</w:t>
            </w:r>
          </w:p>
        </w:tc>
        <w:tc>
          <w:tcPr>
            <w:tcW w:w="468" w:type="dxa"/>
            <w:gridSpan w:val="2"/>
            <w:tcMar>
              <w:right w:w="340" w:type="dxa"/>
            </w:tcMar>
            <w:vAlign w:val="center"/>
          </w:tcPr>
          <w:p w14:paraId="4E199A46" w14:textId="77777777" w:rsidR="00D00930" w:rsidRPr="00D00930" w:rsidRDefault="00D00930" w:rsidP="00D00930">
            <w:pPr>
              <w:jc w:val="right"/>
              <w:rPr>
                <w:rFonts w:ascii="Verdana" w:hAnsi="Verdana" w:cstheme="minorBidi"/>
                <w:color w:val="2F5496" w:themeColor="accent1" w:themeShade="BF"/>
                <w:sz w:val="18"/>
                <w:szCs w:val="18"/>
              </w:rPr>
            </w:pPr>
          </w:p>
        </w:tc>
        <w:tc>
          <w:tcPr>
            <w:tcW w:w="1279" w:type="dxa"/>
            <w:gridSpan w:val="2"/>
            <w:tcBorders>
              <w:left w:val="nil"/>
            </w:tcBorders>
            <w:tcMar>
              <w:right w:w="340" w:type="dxa"/>
            </w:tcMar>
            <w:vAlign w:val="center"/>
          </w:tcPr>
          <w:p w14:paraId="47404B37" w14:textId="67E71F31" w:rsidR="00D00930" w:rsidRPr="00D00930" w:rsidRDefault="00D00930" w:rsidP="00D00930">
            <w:pPr>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37,0</w:t>
            </w:r>
          </w:p>
        </w:tc>
        <w:tc>
          <w:tcPr>
            <w:tcW w:w="468" w:type="dxa"/>
            <w:gridSpan w:val="2"/>
            <w:tcMar>
              <w:right w:w="340" w:type="dxa"/>
            </w:tcMar>
            <w:vAlign w:val="center"/>
          </w:tcPr>
          <w:p w14:paraId="08926A61" w14:textId="77777777" w:rsidR="00D00930" w:rsidRPr="00D00930" w:rsidRDefault="00D00930" w:rsidP="00D00930">
            <w:pPr>
              <w:jc w:val="right"/>
              <w:rPr>
                <w:rFonts w:ascii="Verdana" w:hAnsi="Verdana" w:cstheme="minorBidi"/>
                <w:color w:val="2F5496" w:themeColor="accent1" w:themeShade="BF"/>
                <w:sz w:val="18"/>
                <w:szCs w:val="18"/>
                <w:lang w:val="el-GR"/>
              </w:rPr>
            </w:pPr>
          </w:p>
        </w:tc>
        <w:tc>
          <w:tcPr>
            <w:tcW w:w="1334" w:type="dxa"/>
            <w:gridSpan w:val="2"/>
            <w:tcBorders>
              <w:left w:val="nil"/>
            </w:tcBorders>
            <w:shd w:val="clear" w:color="000000" w:fill="FFFFFF"/>
            <w:tcMar>
              <w:right w:w="340" w:type="dxa"/>
            </w:tcMar>
            <w:vAlign w:val="center"/>
          </w:tcPr>
          <w:p w14:paraId="7407C634" w14:textId="6AFDED75" w:rsidR="00D00930" w:rsidRPr="00D00930" w:rsidRDefault="00D00930" w:rsidP="004050F7">
            <w:pPr>
              <w:ind w:right="113"/>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14,2%</w:t>
            </w:r>
          </w:p>
        </w:tc>
      </w:tr>
      <w:tr w:rsidR="00D00930" w:rsidRPr="00427234" w14:paraId="013B556C" w14:textId="77777777" w:rsidTr="00D00930">
        <w:trPr>
          <w:trHeight w:val="284"/>
          <w:jc w:val="center"/>
        </w:trPr>
        <w:tc>
          <w:tcPr>
            <w:tcW w:w="4042" w:type="dxa"/>
            <w:shd w:val="clear" w:color="000000" w:fill="FFFFFF"/>
            <w:vAlign w:val="center"/>
          </w:tcPr>
          <w:p w14:paraId="18C0C2C7" w14:textId="77777777" w:rsidR="00D00930" w:rsidRPr="00C273E1" w:rsidRDefault="00D00930" w:rsidP="00D00930">
            <w:pPr>
              <w:ind w:left="340"/>
              <w:rPr>
                <w:rFonts w:ascii="Verdana" w:hAnsi="Verdana" w:cs="Arial"/>
                <w:color w:val="2F5496" w:themeColor="accent1" w:themeShade="BF"/>
                <w:sz w:val="18"/>
                <w:szCs w:val="18"/>
                <w:lang w:val="el-GR"/>
              </w:rPr>
            </w:pPr>
            <w:r w:rsidRPr="00C273E1">
              <w:rPr>
                <w:rFonts w:ascii="Verdana" w:hAnsi="Verdana" w:cs="Arial"/>
                <w:color w:val="2F5496" w:themeColor="accent1" w:themeShade="BF"/>
                <w:sz w:val="18"/>
                <w:szCs w:val="18"/>
              </w:rPr>
              <w:t>Subsidies</w:t>
            </w:r>
          </w:p>
        </w:tc>
        <w:tc>
          <w:tcPr>
            <w:tcW w:w="1279" w:type="dxa"/>
            <w:tcMar>
              <w:right w:w="340" w:type="dxa"/>
            </w:tcMar>
            <w:vAlign w:val="center"/>
          </w:tcPr>
          <w:p w14:paraId="35FD0131" w14:textId="08E178D8" w:rsidR="00D00930" w:rsidRPr="00D00930" w:rsidRDefault="00D00930" w:rsidP="00D00930">
            <w:pPr>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117,8</w:t>
            </w:r>
          </w:p>
        </w:tc>
        <w:tc>
          <w:tcPr>
            <w:tcW w:w="1483" w:type="dxa"/>
            <w:tcMar>
              <w:right w:w="340" w:type="dxa"/>
            </w:tcMar>
            <w:vAlign w:val="center"/>
          </w:tcPr>
          <w:p w14:paraId="462397C8" w14:textId="02B78DD0" w:rsidR="00D00930" w:rsidRPr="00D00930" w:rsidRDefault="00D00930" w:rsidP="00D00930">
            <w:pPr>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86,6</w:t>
            </w:r>
          </w:p>
        </w:tc>
        <w:tc>
          <w:tcPr>
            <w:tcW w:w="468" w:type="dxa"/>
            <w:gridSpan w:val="2"/>
            <w:tcMar>
              <w:right w:w="340" w:type="dxa"/>
            </w:tcMar>
            <w:vAlign w:val="center"/>
          </w:tcPr>
          <w:p w14:paraId="5E82AB78" w14:textId="77777777" w:rsidR="00D00930" w:rsidRPr="00D00930" w:rsidRDefault="00D00930" w:rsidP="00D00930">
            <w:pPr>
              <w:jc w:val="right"/>
              <w:rPr>
                <w:rFonts w:ascii="Verdana" w:hAnsi="Verdana" w:cstheme="minorBidi"/>
                <w:color w:val="2F5496" w:themeColor="accent1" w:themeShade="BF"/>
                <w:sz w:val="18"/>
                <w:szCs w:val="18"/>
              </w:rPr>
            </w:pPr>
          </w:p>
        </w:tc>
        <w:tc>
          <w:tcPr>
            <w:tcW w:w="1279" w:type="dxa"/>
            <w:gridSpan w:val="2"/>
            <w:tcBorders>
              <w:left w:val="nil"/>
            </w:tcBorders>
            <w:tcMar>
              <w:right w:w="340" w:type="dxa"/>
            </w:tcMar>
            <w:vAlign w:val="center"/>
          </w:tcPr>
          <w:p w14:paraId="55F9164D" w14:textId="4D5CCCBA" w:rsidR="00D00930" w:rsidRPr="00D00930" w:rsidRDefault="00D00930" w:rsidP="00D00930">
            <w:pPr>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-31,2</w:t>
            </w:r>
          </w:p>
        </w:tc>
        <w:tc>
          <w:tcPr>
            <w:tcW w:w="468" w:type="dxa"/>
            <w:gridSpan w:val="2"/>
            <w:tcMar>
              <w:right w:w="340" w:type="dxa"/>
            </w:tcMar>
            <w:vAlign w:val="center"/>
          </w:tcPr>
          <w:p w14:paraId="4FD95D8A" w14:textId="77777777" w:rsidR="00D00930" w:rsidRPr="00D00930" w:rsidRDefault="00D00930" w:rsidP="00D00930">
            <w:pPr>
              <w:jc w:val="right"/>
              <w:rPr>
                <w:rFonts w:ascii="Verdana" w:hAnsi="Verdana" w:cstheme="minorBidi"/>
                <w:color w:val="2F5496" w:themeColor="accent1" w:themeShade="BF"/>
                <w:sz w:val="18"/>
                <w:szCs w:val="18"/>
                <w:lang w:val="el-GR"/>
              </w:rPr>
            </w:pPr>
          </w:p>
        </w:tc>
        <w:tc>
          <w:tcPr>
            <w:tcW w:w="1334" w:type="dxa"/>
            <w:gridSpan w:val="2"/>
            <w:tcBorders>
              <w:left w:val="nil"/>
            </w:tcBorders>
            <w:shd w:val="clear" w:color="000000" w:fill="FFFFFF"/>
            <w:tcMar>
              <w:right w:w="340" w:type="dxa"/>
            </w:tcMar>
            <w:vAlign w:val="center"/>
          </w:tcPr>
          <w:p w14:paraId="60E6619B" w14:textId="457A7FF5" w:rsidR="00D00930" w:rsidRPr="00D00930" w:rsidRDefault="00D00930" w:rsidP="004050F7">
            <w:pPr>
              <w:ind w:right="113"/>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-26,5%</w:t>
            </w:r>
          </w:p>
        </w:tc>
      </w:tr>
      <w:tr w:rsidR="00D00930" w:rsidRPr="00427234" w14:paraId="5015B339" w14:textId="77777777" w:rsidTr="00D00930">
        <w:trPr>
          <w:trHeight w:val="284"/>
          <w:jc w:val="center"/>
        </w:trPr>
        <w:tc>
          <w:tcPr>
            <w:tcW w:w="4042" w:type="dxa"/>
            <w:shd w:val="clear" w:color="000000" w:fill="FFFFFF"/>
            <w:vAlign w:val="center"/>
          </w:tcPr>
          <w:p w14:paraId="5C48C91B" w14:textId="77777777" w:rsidR="00D00930" w:rsidRPr="00C273E1" w:rsidRDefault="00D00930" w:rsidP="00D00930">
            <w:pPr>
              <w:ind w:left="340"/>
              <w:rPr>
                <w:rFonts w:ascii="Verdana" w:hAnsi="Verdana" w:cs="Arial"/>
                <w:color w:val="2F5496" w:themeColor="accent1" w:themeShade="BF"/>
                <w:sz w:val="18"/>
                <w:szCs w:val="18"/>
                <w:lang w:val="el-GR"/>
              </w:rPr>
            </w:pPr>
            <w:r w:rsidRPr="00C273E1">
              <w:rPr>
                <w:rFonts w:ascii="Verdana" w:hAnsi="Verdana" w:cs="Arial"/>
                <w:color w:val="2F5496" w:themeColor="accent1" w:themeShade="BF"/>
                <w:sz w:val="18"/>
                <w:szCs w:val="18"/>
              </w:rPr>
              <w:t>Other current expenditure</w:t>
            </w:r>
          </w:p>
        </w:tc>
        <w:tc>
          <w:tcPr>
            <w:tcW w:w="1279" w:type="dxa"/>
            <w:tcMar>
              <w:right w:w="340" w:type="dxa"/>
            </w:tcMar>
            <w:vAlign w:val="center"/>
          </w:tcPr>
          <w:p w14:paraId="6F57E57A" w14:textId="2222B5AC" w:rsidR="00D00930" w:rsidRPr="00D00930" w:rsidRDefault="00D00930" w:rsidP="00D00930">
            <w:pPr>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497,6</w:t>
            </w:r>
          </w:p>
        </w:tc>
        <w:tc>
          <w:tcPr>
            <w:tcW w:w="1483" w:type="dxa"/>
            <w:tcMar>
              <w:right w:w="340" w:type="dxa"/>
            </w:tcMar>
            <w:vAlign w:val="center"/>
          </w:tcPr>
          <w:p w14:paraId="1A0B685E" w14:textId="57E70B6E" w:rsidR="00D00930" w:rsidRPr="00D00930" w:rsidRDefault="00D00930" w:rsidP="00D00930">
            <w:pPr>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614,9</w:t>
            </w:r>
          </w:p>
        </w:tc>
        <w:tc>
          <w:tcPr>
            <w:tcW w:w="468" w:type="dxa"/>
            <w:gridSpan w:val="2"/>
            <w:tcMar>
              <w:right w:w="340" w:type="dxa"/>
            </w:tcMar>
            <w:vAlign w:val="center"/>
          </w:tcPr>
          <w:p w14:paraId="42AF991E" w14:textId="77777777" w:rsidR="00D00930" w:rsidRPr="00D00930" w:rsidRDefault="00D00930" w:rsidP="00D00930">
            <w:pPr>
              <w:jc w:val="right"/>
              <w:rPr>
                <w:rFonts w:ascii="Verdana" w:hAnsi="Verdana" w:cstheme="minorBidi"/>
                <w:color w:val="2F5496" w:themeColor="accent1" w:themeShade="BF"/>
                <w:sz w:val="18"/>
                <w:szCs w:val="18"/>
              </w:rPr>
            </w:pPr>
          </w:p>
        </w:tc>
        <w:tc>
          <w:tcPr>
            <w:tcW w:w="1279" w:type="dxa"/>
            <w:gridSpan w:val="2"/>
            <w:tcBorders>
              <w:left w:val="nil"/>
            </w:tcBorders>
            <w:tcMar>
              <w:right w:w="340" w:type="dxa"/>
            </w:tcMar>
            <w:vAlign w:val="center"/>
          </w:tcPr>
          <w:p w14:paraId="6591EBDD" w14:textId="773241B2" w:rsidR="00D00930" w:rsidRPr="00D00930" w:rsidRDefault="00D00930" w:rsidP="00D00930">
            <w:pPr>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117,3</w:t>
            </w:r>
          </w:p>
        </w:tc>
        <w:tc>
          <w:tcPr>
            <w:tcW w:w="468" w:type="dxa"/>
            <w:gridSpan w:val="2"/>
            <w:tcMar>
              <w:right w:w="340" w:type="dxa"/>
            </w:tcMar>
            <w:vAlign w:val="center"/>
          </w:tcPr>
          <w:p w14:paraId="2A126091" w14:textId="77777777" w:rsidR="00D00930" w:rsidRPr="00D00930" w:rsidRDefault="00D00930" w:rsidP="00D00930">
            <w:pPr>
              <w:jc w:val="right"/>
              <w:rPr>
                <w:rFonts w:ascii="Verdana" w:hAnsi="Verdana" w:cstheme="minorBidi"/>
                <w:color w:val="2F5496" w:themeColor="accent1" w:themeShade="BF"/>
                <w:sz w:val="18"/>
                <w:szCs w:val="18"/>
                <w:lang w:val="el-GR"/>
              </w:rPr>
            </w:pPr>
          </w:p>
        </w:tc>
        <w:tc>
          <w:tcPr>
            <w:tcW w:w="1334" w:type="dxa"/>
            <w:gridSpan w:val="2"/>
            <w:tcBorders>
              <w:left w:val="nil"/>
            </w:tcBorders>
            <w:shd w:val="clear" w:color="000000" w:fill="FFFFFF"/>
            <w:tcMar>
              <w:right w:w="340" w:type="dxa"/>
            </w:tcMar>
            <w:vAlign w:val="center"/>
          </w:tcPr>
          <w:p w14:paraId="1E0F6801" w14:textId="163FCE7B" w:rsidR="00D00930" w:rsidRPr="00D00930" w:rsidRDefault="00D00930" w:rsidP="004050F7">
            <w:pPr>
              <w:ind w:right="113"/>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23,6%</w:t>
            </w:r>
          </w:p>
        </w:tc>
      </w:tr>
      <w:tr w:rsidR="00D00930" w:rsidRPr="00427234" w14:paraId="358878A5" w14:textId="77777777" w:rsidTr="00D00930">
        <w:trPr>
          <w:trHeight w:val="454"/>
          <w:jc w:val="center"/>
        </w:trPr>
        <w:tc>
          <w:tcPr>
            <w:tcW w:w="4042" w:type="dxa"/>
            <w:shd w:val="clear" w:color="000000" w:fill="FFFFFF"/>
            <w:vAlign w:val="center"/>
          </w:tcPr>
          <w:p w14:paraId="6B8968C5" w14:textId="77777777" w:rsidR="00D00930" w:rsidRPr="00C273E1" w:rsidRDefault="00D00930" w:rsidP="00D00930">
            <w:pPr>
              <w:ind w:left="170"/>
              <w:rPr>
                <w:rFonts w:ascii="Verdana" w:hAnsi="Verdana" w:cs="Arial"/>
                <w:color w:val="2F5496" w:themeColor="accent1" w:themeShade="BF"/>
                <w:sz w:val="18"/>
                <w:szCs w:val="18"/>
                <w:lang w:val="el-GR"/>
              </w:rPr>
            </w:pPr>
            <w:r w:rsidRPr="00C273E1">
              <w:rPr>
                <w:rFonts w:ascii="Verdana" w:hAnsi="Verdana" w:cs="Arial"/>
                <w:color w:val="2F5496" w:themeColor="accent1" w:themeShade="BF"/>
                <w:sz w:val="18"/>
                <w:szCs w:val="18"/>
                <w:lang w:val="el-GR"/>
              </w:rPr>
              <w:t>Total Capital Expenditure</w:t>
            </w:r>
          </w:p>
        </w:tc>
        <w:tc>
          <w:tcPr>
            <w:tcW w:w="1279" w:type="dxa"/>
            <w:tcMar>
              <w:right w:w="340" w:type="dxa"/>
            </w:tcMar>
            <w:vAlign w:val="center"/>
          </w:tcPr>
          <w:p w14:paraId="11855052" w14:textId="2B388509" w:rsidR="00D00930" w:rsidRPr="00D00930" w:rsidRDefault="00D00930" w:rsidP="00D00930">
            <w:pPr>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600,3</w:t>
            </w:r>
          </w:p>
        </w:tc>
        <w:tc>
          <w:tcPr>
            <w:tcW w:w="1483" w:type="dxa"/>
            <w:tcMar>
              <w:right w:w="340" w:type="dxa"/>
            </w:tcMar>
            <w:vAlign w:val="center"/>
          </w:tcPr>
          <w:p w14:paraId="42670BEB" w14:textId="206A5AEF" w:rsidR="00D00930" w:rsidRPr="00D00930" w:rsidRDefault="00D00930" w:rsidP="00D00930">
            <w:pPr>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526,0</w:t>
            </w:r>
          </w:p>
        </w:tc>
        <w:tc>
          <w:tcPr>
            <w:tcW w:w="468" w:type="dxa"/>
            <w:gridSpan w:val="2"/>
            <w:tcMar>
              <w:right w:w="340" w:type="dxa"/>
            </w:tcMar>
            <w:vAlign w:val="center"/>
          </w:tcPr>
          <w:p w14:paraId="0640FDB5" w14:textId="77777777" w:rsidR="00D00930" w:rsidRPr="00D00930" w:rsidRDefault="00D00930" w:rsidP="00D00930">
            <w:pPr>
              <w:jc w:val="right"/>
              <w:rPr>
                <w:rFonts w:ascii="Verdana" w:hAnsi="Verdana" w:cstheme="minorBidi"/>
                <w:color w:val="2F5496" w:themeColor="accent1" w:themeShade="BF"/>
                <w:sz w:val="18"/>
                <w:szCs w:val="18"/>
              </w:rPr>
            </w:pPr>
          </w:p>
        </w:tc>
        <w:tc>
          <w:tcPr>
            <w:tcW w:w="1279" w:type="dxa"/>
            <w:gridSpan w:val="2"/>
            <w:tcBorders>
              <w:left w:val="nil"/>
            </w:tcBorders>
            <w:tcMar>
              <w:right w:w="340" w:type="dxa"/>
            </w:tcMar>
            <w:vAlign w:val="center"/>
          </w:tcPr>
          <w:p w14:paraId="0651B93D" w14:textId="09AEB120" w:rsidR="00D00930" w:rsidRPr="00D00930" w:rsidRDefault="00D00930" w:rsidP="00D00930">
            <w:pPr>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-74,3</w:t>
            </w:r>
          </w:p>
        </w:tc>
        <w:tc>
          <w:tcPr>
            <w:tcW w:w="468" w:type="dxa"/>
            <w:gridSpan w:val="2"/>
            <w:tcMar>
              <w:right w:w="340" w:type="dxa"/>
            </w:tcMar>
            <w:vAlign w:val="center"/>
          </w:tcPr>
          <w:p w14:paraId="083BFA48" w14:textId="77777777" w:rsidR="00D00930" w:rsidRPr="00D00930" w:rsidRDefault="00D00930" w:rsidP="00D00930">
            <w:pPr>
              <w:jc w:val="right"/>
              <w:rPr>
                <w:rFonts w:ascii="Verdana" w:hAnsi="Verdana" w:cstheme="minorBidi"/>
                <w:color w:val="2F5496" w:themeColor="accent1" w:themeShade="BF"/>
                <w:sz w:val="18"/>
                <w:szCs w:val="18"/>
                <w:lang w:val="el-GR"/>
              </w:rPr>
            </w:pPr>
          </w:p>
        </w:tc>
        <w:tc>
          <w:tcPr>
            <w:tcW w:w="1334" w:type="dxa"/>
            <w:gridSpan w:val="2"/>
            <w:tcBorders>
              <w:left w:val="nil"/>
            </w:tcBorders>
            <w:shd w:val="clear" w:color="000000" w:fill="FFFFFF"/>
            <w:tcMar>
              <w:right w:w="340" w:type="dxa"/>
            </w:tcMar>
            <w:vAlign w:val="center"/>
          </w:tcPr>
          <w:p w14:paraId="7FFD5A91" w14:textId="58697C67" w:rsidR="00D00930" w:rsidRPr="00D00930" w:rsidRDefault="00D00930" w:rsidP="004050F7">
            <w:pPr>
              <w:ind w:right="113"/>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-12,4%</w:t>
            </w:r>
          </w:p>
        </w:tc>
      </w:tr>
      <w:tr w:rsidR="00D00930" w:rsidRPr="00427234" w14:paraId="2D2D6E14" w14:textId="77777777" w:rsidTr="00D00930">
        <w:trPr>
          <w:trHeight w:val="340"/>
          <w:jc w:val="center"/>
        </w:trPr>
        <w:tc>
          <w:tcPr>
            <w:tcW w:w="4042" w:type="dxa"/>
            <w:shd w:val="clear" w:color="auto" w:fill="auto"/>
            <w:vAlign w:val="center"/>
          </w:tcPr>
          <w:p w14:paraId="4F89111B" w14:textId="77777777" w:rsidR="00D00930" w:rsidRPr="00C273E1" w:rsidRDefault="00D00930" w:rsidP="00D00930">
            <w:pPr>
              <w:ind w:left="340"/>
              <w:rPr>
                <w:rFonts w:ascii="Verdana" w:hAnsi="Verdana" w:cs="Arial"/>
                <w:color w:val="2F5496" w:themeColor="accent1" w:themeShade="BF"/>
                <w:sz w:val="18"/>
                <w:szCs w:val="18"/>
                <w:lang w:val="el-GR"/>
              </w:rPr>
            </w:pPr>
            <w:r w:rsidRPr="00C273E1">
              <w:rPr>
                <w:rFonts w:ascii="Verdana" w:hAnsi="Verdana" w:cs="Arial"/>
                <w:color w:val="2F5496" w:themeColor="accent1" w:themeShade="BF"/>
                <w:sz w:val="18"/>
                <w:szCs w:val="18"/>
                <w:lang w:val="el-GR"/>
              </w:rPr>
              <w:t>Gross capital formation</w:t>
            </w:r>
          </w:p>
        </w:tc>
        <w:tc>
          <w:tcPr>
            <w:tcW w:w="1279" w:type="dxa"/>
            <w:tcMar>
              <w:right w:w="340" w:type="dxa"/>
            </w:tcMar>
            <w:vAlign w:val="center"/>
          </w:tcPr>
          <w:p w14:paraId="5862175E" w14:textId="6A71F07C" w:rsidR="00D00930" w:rsidRPr="00D00930" w:rsidRDefault="00D00930" w:rsidP="00D00930">
            <w:pPr>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498,7</w:t>
            </w:r>
          </w:p>
        </w:tc>
        <w:tc>
          <w:tcPr>
            <w:tcW w:w="1483" w:type="dxa"/>
            <w:tcMar>
              <w:right w:w="340" w:type="dxa"/>
            </w:tcMar>
            <w:vAlign w:val="center"/>
          </w:tcPr>
          <w:p w14:paraId="462753D4" w14:textId="4FD81BE6" w:rsidR="00D00930" w:rsidRPr="00D00930" w:rsidRDefault="00D00930" w:rsidP="00D00930">
            <w:pPr>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429,3</w:t>
            </w:r>
          </w:p>
        </w:tc>
        <w:tc>
          <w:tcPr>
            <w:tcW w:w="468" w:type="dxa"/>
            <w:gridSpan w:val="2"/>
            <w:tcMar>
              <w:right w:w="340" w:type="dxa"/>
            </w:tcMar>
            <w:vAlign w:val="center"/>
          </w:tcPr>
          <w:p w14:paraId="6DC7CE52" w14:textId="77777777" w:rsidR="00D00930" w:rsidRPr="00D00930" w:rsidRDefault="00D00930" w:rsidP="00D00930">
            <w:pPr>
              <w:jc w:val="right"/>
              <w:rPr>
                <w:rFonts w:ascii="Verdana" w:hAnsi="Verdana" w:cstheme="minorBidi"/>
                <w:color w:val="2F5496" w:themeColor="accent1" w:themeShade="BF"/>
                <w:sz w:val="18"/>
                <w:szCs w:val="18"/>
              </w:rPr>
            </w:pPr>
          </w:p>
        </w:tc>
        <w:tc>
          <w:tcPr>
            <w:tcW w:w="1279" w:type="dxa"/>
            <w:gridSpan w:val="2"/>
            <w:tcBorders>
              <w:left w:val="nil"/>
            </w:tcBorders>
            <w:tcMar>
              <w:right w:w="340" w:type="dxa"/>
            </w:tcMar>
            <w:vAlign w:val="center"/>
          </w:tcPr>
          <w:p w14:paraId="2543059E" w14:textId="2C5AE4C3" w:rsidR="00D00930" w:rsidRPr="00D00930" w:rsidRDefault="00D00930" w:rsidP="00D00930">
            <w:pPr>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-69,4</w:t>
            </w:r>
          </w:p>
        </w:tc>
        <w:tc>
          <w:tcPr>
            <w:tcW w:w="468" w:type="dxa"/>
            <w:gridSpan w:val="2"/>
            <w:tcMar>
              <w:right w:w="340" w:type="dxa"/>
            </w:tcMar>
            <w:vAlign w:val="center"/>
          </w:tcPr>
          <w:p w14:paraId="173B528C" w14:textId="77777777" w:rsidR="00D00930" w:rsidRPr="00D00930" w:rsidRDefault="00D00930" w:rsidP="00D00930">
            <w:pPr>
              <w:jc w:val="right"/>
              <w:rPr>
                <w:rFonts w:ascii="Verdana" w:hAnsi="Verdana" w:cstheme="minorBidi"/>
                <w:color w:val="2F5496" w:themeColor="accent1" w:themeShade="BF"/>
                <w:sz w:val="18"/>
                <w:szCs w:val="18"/>
                <w:lang w:val="el-GR"/>
              </w:rPr>
            </w:pPr>
          </w:p>
        </w:tc>
        <w:tc>
          <w:tcPr>
            <w:tcW w:w="1334" w:type="dxa"/>
            <w:gridSpan w:val="2"/>
            <w:tcBorders>
              <w:left w:val="nil"/>
            </w:tcBorders>
            <w:shd w:val="clear" w:color="000000" w:fill="FFFFFF"/>
            <w:tcMar>
              <w:right w:w="340" w:type="dxa"/>
            </w:tcMar>
            <w:vAlign w:val="center"/>
          </w:tcPr>
          <w:p w14:paraId="59DA77A9" w14:textId="795796B4" w:rsidR="00D00930" w:rsidRPr="00D00930" w:rsidRDefault="00D00930" w:rsidP="004050F7">
            <w:pPr>
              <w:ind w:right="113"/>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-13,9%</w:t>
            </w:r>
          </w:p>
        </w:tc>
      </w:tr>
      <w:tr w:rsidR="00D00930" w:rsidRPr="00427234" w14:paraId="180246AB" w14:textId="77777777" w:rsidTr="00D00930">
        <w:trPr>
          <w:trHeight w:val="454"/>
          <w:jc w:val="center"/>
        </w:trPr>
        <w:tc>
          <w:tcPr>
            <w:tcW w:w="4042" w:type="dxa"/>
            <w:shd w:val="clear" w:color="auto" w:fill="auto"/>
            <w:vAlign w:val="center"/>
          </w:tcPr>
          <w:p w14:paraId="42E4CD62" w14:textId="77777777" w:rsidR="00D00930" w:rsidRPr="00C273E1" w:rsidRDefault="00D00930" w:rsidP="00D00930">
            <w:pPr>
              <w:ind w:left="454"/>
              <w:rPr>
                <w:rFonts w:ascii="Verdana" w:hAnsi="Verdana" w:cs="Arial"/>
                <w:i/>
                <w:iCs/>
                <w:color w:val="2F5496" w:themeColor="accent1" w:themeShade="BF"/>
                <w:sz w:val="18"/>
                <w:szCs w:val="18"/>
              </w:rPr>
            </w:pPr>
            <w:r w:rsidRPr="00C273E1">
              <w:rPr>
                <w:rFonts w:ascii="Verdana" w:hAnsi="Verdana" w:cs="Arial"/>
                <w:i/>
                <w:iCs/>
                <w:color w:val="2F5496" w:themeColor="accent1" w:themeShade="BF"/>
                <w:sz w:val="18"/>
                <w:szCs w:val="18"/>
              </w:rPr>
              <w:t>Gross capital formation</w:t>
            </w:r>
            <w:r w:rsidRPr="00C273E1">
              <w:rPr>
                <w:color w:val="2F5496" w:themeColor="accent1" w:themeShade="BF"/>
              </w:rPr>
              <w:t xml:space="preserve"> </w:t>
            </w:r>
            <w:r w:rsidRPr="00C273E1">
              <w:rPr>
                <w:rFonts w:ascii="Verdana" w:hAnsi="Verdana" w:cs="Arial"/>
                <w:i/>
                <w:iCs/>
                <w:color w:val="2F5496" w:themeColor="accent1" w:themeShade="BF"/>
                <w:sz w:val="18"/>
                <w:szCs w:val="18"/>
              </w:rPr>
              <w:t xml:space="preserve">excluding land annexations </w:t>
            </w:r>
          </w:p>
        </w:tc>
        <w:tc>
          <w:tcPr>
            <w:tcW w:w="1279" w:type="dxa"/>
            <w:tcMar>
              <w:right w:w="340" w:type="dxa"/>
            </w:tcMar>
            <w:vAlign w:val="center"/>
          </w:tcPr>
          <w:p w14:paraId="5EA7F374" w14:textId="678C7755" w:rsidR="00D00930" w:rsidRPr="00D00930" w:rsidRDefault="00D00930" w:rsidP="00D00930">
            <w:pPr>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489,9</w:t>
            </w:r>
          </w:p>
        </w:tc>
        <w:tc>
          <w:tcPr>
            <w:tcW w:w="1483" w:type="dxa"/>
            <w:tcMar>
              <w:right w:w="340" w:type="dxa"/>
            </w:tcMar>
            <w:vAlign w:val="center"/>
          </w:tcPr>
          <w:p w14:paraId="6C339496" w14:textId="648C81BD" w:rsidR="00D00930" w:rsidRPr="00D00930" w:rsidRDefault="00D00930" w:rsidP="00D00930">
            <w:pPr>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411,2</w:t>
            </w:r>
          </w:p>
        </w:tc>
        <w:tc>
          <w:tcPr>
            <w:tcW w:w="468" w:type="dxa"/>
            <w:gridSpan w:val="2"/>
            <w:tcMar>
              <w:right w:w="340" w:type="dxa"/>
            </w:tcMar>
            <w:vAlign w:val="center"/>
          </w:tcPr>
          <w:p w14:paraId="11D82A78" w14:textId="77777777" w:rsidR="00D00930" w:rsidRPr="00D00930" w:rsidRDefault="00D00930" w:rsidP="00D00930">
            <w:pPr>
              <w:jc w:val="right"/>
              <w:rPr>
                <w:rFonts w:ascii="Verdana" w:hAnsi="Verdana" w:cstheme="minorBidi"/>
                <w:color w:val="2F5496" w:themeColor="accent1" w:themeShade="BF"/>
                <w:sz w:val="18"/>
                <w:szCs w:val="18"/>
              </w:rPr>
            </w:pPr>
          </w:p>
        </w:tc>
        <w:tc>
          <w:tcPr>
            <w:tcW w:w="1279" w:type="dxa"/>
            <w:gridSpan w:val="2"/>
            <w:tcBorders>
              <w:left w:val="nil"/>
            </w:tcBorders>
            <w:tcMar>
              <w:right w:w="340" w:type="dxa"/>
            </w:tcMar>
            <w:vAlign w:val="center"/>
          </w:tcPr>
          <w:p w14:paraId="2CE1E755" w14:textId="422B4E9D" w:rsidR="00D00930" w:rsidRPr="00D00930" w:rsidRDefault="00D00930" w:rsidP="00D00930">
            <w:pPr>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-78,7</w:t>
            </w:r>
          </w:p>
        </w:tc>
        <w:tc>
          <w:tcPr>
            <w:tcW w:w="468" w:type="dxa"/>
            <w:gridSpan w:val="2"/>
            <w:tcMar>
              <w:right w:w="340" w:type="dxa"/>
            </w:tcMar>
            <w:vAlign w:val="center"/>
          </w:tcPr>
          <w:p w14:paraId="71746205" w14:textId="77777777" w:rsidR="00D00930" w:rsidRPr="00D00930" w:rsidRDefault="00D00930" w:rsidP="00D00930">
            <w:pPr>
              <w:jc w:val="right"/>
              <w:rPr>
                <w:rFonts w:ascii="Verdana" w:hAnsi="Verdana" w:cstheme="minorBidi"/>
                <w:i/>
                <w:iCs/>
                <w:color w:val="2F5496" w:themeColor="accent1" w:themeShade="BF"/>
                <w:sz w:val="18"/>
                <w:szCs w:val="18"/>
                <w:lang w:val="el-GR"/>
              </w:rPr>
            </w:pPr>
          </w:p>
        </w:tc>
        <w:tc>
          <w:tcPr>
            <w:tcW w:w="1334" w:type="dxa"/>
            <w:gridSpan w:val="2"/>
            <w:tcBorders>
              <w:left w:val="nil"/>
            </w:tcBorders>
            <w:shd w:val="clear" w:color="000000" w:fill="FFFFFF"/>
            <w:tcMar>
              <w:right w:w="340" w:type="dxa"/>
            </w:tcMar>
            <w:vAlign w:val="center"/>
          </w:tcPr>
          <w:p w14:paraId="18E15839" w14:textId="3DFFD7F9" w:rsidR="00D00930" w:rsidRPr="00D00930" w:rsidRDefault="00D00930" w:rsidP="004050F7">
            <w:pPr>
              <w:ind w:right="113"/>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-16,1%</w:t>
            </w:r>
          </w:p>
        </w:tc>
      </w:tr>
      <w:tr w:rsidR="00D00930" w:rsidRPr="00427234" w14:paraId="5C52FB81" w14:textId="77777777" w:rsidTr="00D00930">
        <w:trPr>
          <w:trHeight w:val="454"/>
          <w:jc w:val="center"/>
        </w:trPr>
        <w:tc>
          <w:tcPr>
            <w:tcW w:w="4042" w:type="dxa"/>
            <w:tcBorders>
              <w:bottom w:val="single" w:sz="4" w:space="0" w:color="2F5496" w:themeColor="accent1" w:themeShade="BF"/>
            </w:tcBorders>
            <w:shd w:val="clear" w:color="000000" w:fill="FFFFFF"/>
            <w:vAlign w:val="center"/>
          </w:tcPr>
          <w:p w14:paraId="2A5DDE4C" w14:textId="77777777" w:rsidR="00D00930" w:rsidRPr="00C273E1" w:rsidRDefault="00D00930" w:rsidP="00D00930">
            <w:pPr>
              <w:ind w:left="340"/>
              <w:rPr>
                <w:rFonts w:ascii="Verdana" w:hAnsi="Verdana" w:cs="Arial"/>
                <w:color w:val="2F5496" w:themeColor="accent1" w:themeShade="BF"/>
                <w:sz w:val="18"/>
                <w:szCs w:val="18"/>
                <w:lang w:val="el-GR"/>
              </w:rPr>
            </w:pPr>
            <w:r w:rsidRPr="00C273E1">
              <w:rPr>
                <w:rFonts w:ascii="Verdana" w:hAnsi="Verdana" w:cs="Arial"/>
                <w:color w:val="2F5496" w:themeColor="accent1" w:themeShade="BF"/>
                <w:sz w:val="18"/>
                <w:szCs w:val="18"/>
              </w:rPr>
              <w:t>Other capital expenditure</w:t>
            </w:r>
          </w:p>
        </w:tc>
        <w:tc>
          <w:tcPr>
            <w:tcW w:w="1279" w:type="dxa"/>
            <w:tcBorders>
              <w:bottom w:val="single" w:sz="4" w:space="0" w:color="2F5496" w:themeColor="accent1" w:themeShade="BF"/>
            </w:tcBorders>
            <w:tcMar>
              <w:right w:w="340" w:type="dxa"/>
            </w:tcMar>
            <w:vAlign w:val="center"/>
          </w:tcPr>
          <w:p w14:paraId="6E25CAB8" w14:textId="0EB059E9" w:rsidR="00D00930" w:rsidRPr="00D00930" w:rsidRDefault="00D00930" w:rsidP="00D00930">
            <w:pPr>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101,6</w:t>
            </w:r>
          </w:p>
        </w:tc>
        <w:tc>
          <w:tcPr>
            <w:tcW w:w="1483" w:type="dxa"/>
            <w:tcBorders>
              <w:bottom w:val="single" w:sz="4" w:space="0" w:color="2F5496" w:themeColor="accent1" w:themeShade="BF"/>
            </w:tcBorders>
            <w:tcMar>
              <w:right w:w="340" w:type="dxa"/>
            </w:tcMar>
            <w:vAlign w:val="center"/>
          </w:tcPr>
          <w:p w14:paraId="3ADEEF21" w14:textId="0527E2C6" w:rsidR="00D00930" w:rsidRPr="00D00930" w:rsidRDefault="00D00930" w:rsidP="00D00930">
            <w:pPr>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96,7</w:t>
            </w:r>
          </w:p>
        </w:tc>
        <w:tc>
          <w:tcPr>
            <w:tcW w:w="468" w:type="dxa"/>
            <w:gridSpan w:val="2"/>
            <w:tcBorders>
              <w:bottom w:val="single" w:sz="4" w:space="0" w:color="2F5496" w:themeColor="accent1" w:themeShade="BF"/>
            </w:tcBorders>
            <w:tcMar>
              <w:right w:w="340" w:type="dxa"/>
            </w:tcMar>
            <w:vAlign w:val="center"/>
          </w:tcPr>
          <w:p w14:paraId="15888940" w14:textId="77777777" w:rsidR="00D00930" w:rsidRPr="00D00930" w:rsidRDefault="00D00930" w:rsidP="00D00930">
            <w:pPr>
              <w:jc w:val="right"/>
              <w:rPr>
                <w:rFonts w:ascii="Verdana" w:hAnsi="Verdana" w:cstheme="minorBidi"/>
                <w:color w:val="2F5496" w:themeColor="accent1" w:themeShade="BF"/>
                <w:sz w:val="18"/>
                <w:szCs w:val="18"/>
              </w:rPr>
            </w:pPr>
          </w:p>
        </w:tc>
        <w:tc>
          <w:tcPr>
            <w:tcW w:w="1279" w:type="dxa"/>
            <w:gridSpan w:val="2"/>
            <w:tcBorders>
              <w:left w:val="nil"/>
              <w:bottom w:val="single" w:sz="4" w:space="0" w:color="2F5496" w:themeColor="accent1" w:themeShade="BF"/>
            </w:tcBorders>
            <w:tcMar>
              <w:right w:w="340" w:type="dxa"/>
            </w:tcMar>
            <w:vAlign w:val="center"/>
          </w:tcPr>
          <w:p w14:paraId="320621EF" w14:textId="7EC803B0" w:rsidR="00D00930" w:rsidRPr="00D00930" w:rsidRDefault="00D00930" w:rsidP="00D00930">
            <w:pPr>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-4,9</w:t>
            </w:r>
          </w:p>
        </w:tc>
        <w:tc>
          <w:tcPr>
            <w:tcW w:w="468" w:type="dxa"/>
            <w:gridSpan w:val="2"/>
            <w:tcBorders>
              <w:bottom w:val="single" w:sz="4" w:space="0" w:color="2F5496" w:themeColor="accent1" w:themeShade="BF"/>
            </w:tcBorders>
            <w:tcMar>
              <w:right w:w="340" w:type="dxa"/>
            </w:tcMar>
            <w:vAlign w:val="center"/>
          </w:tcPr>
          <w:p w14:paraId="3050A4D1" w14:textId="77777777" w:rsidR="00D00930" w:rsidRPr="00D00930" w:rsidRDefault="00D00930" w:rsidP="00D00930">
            <w:pPr>
              <w:jc w:val="right"/>
              <w:rPr>
                <w:rFonts w:ascii="Verdana" w:hAnsi="Verdana" w:cstheme="minorBidi"/>
                <w:color w:val="2F5496" w:themeColor="accent1" w:themeShade="BF"/>
                <w:sz w:val="18"/>
                <w:szCs w:val="18"/>
                <w:lang w:val="el-GR"/>
              </w:rPr>
            </w:pPr>
          </w:p>
        </w:tc>
        <w:tc>
          <w:tcPr>
            <w:tcW w:w="1334" w:type="dxa"/>
            <w:gridSpan w:val="2"/>
            <w:tcBorders>
              <w:left w:val="nil"/>
              <w:bottom w:val="single" w:sz="4" w:space="0" w:color="2F5496" w:themeColor="accent1" w:themeShade="BF"/>
            </w:tcBorders>
            <w:shd w:val="clear" w:color="000000" w:fill="FFFFFF"/>
            <w:tcMar>
              <w:right w:w="340" w:type="dxa"/>
            </w:tcMar>
            <w:vAlign w:val="center"/>
          </w:tcPr>
          <w:p w14:paraId="20CFBB59" w14:textId="66EBE8FF" w:rsidR="00D00930" w:rsidRPr="00D00930" w:rsidRDefault="00D00930" w:rsidP="004050F7">
            <w:pPr>
              <w:ind w:right="113"/>
              <w:jc w:val="right"/>
              <w:rPr>
                <w:rFonts w:ascii="Verdana" w:hAnsi="Verdana" w:cs="Arial"/>
                <w:color w:val="2F5496" w:themeColor="accent1" w:themeShade="BF"/>
                <w:sz w:val="18"/>
                <w:szCs w:val="18"/>
              </w:rPr>
            </w:pPr>
            <w:r w:rsidRPr="00D00930">
              <w:rPr>
                <w:rFonts w:ascii="Verdana" w:hAnsi="Verdana"/>
                <w:color w:val="2F5496" w:themeColor="accent1" w:themeShade="BF"/>
                <w:sz w:val="18"/>
                <w:szCs w:val="18"/>
              </w:rPr>
              <w:t>-4,8%</w:t>
            </w:r>
          </w:p>
        </w:tc>
      </w:tr>
      <w:tr w:rsidR="00D00930" w:rsidRPr="00427234" w14:paraId="46957A3C" w14:textId="77777777" w:rsidTr="00D00930">
        <w:trPr>
          <w:trHeight w:val="510"/>
          <w:jc w:val="center"/>
        </w:trPr>
        <w:tc>
          <w:tcPr>
            <w:tcW w:w="4042" w:type="dxa"/>
            <w:vAlign w:val="center"/>
          </w:tcPr>
          <w:p w14:paraId="76876A36" w14:textId="77777777" w:rsidR="00D00930" w:rsidRPr="00C273E1" w:rsidRDefault="00D00930" w:rsidP="00D00930">
            <w:pPr>
              <w:rPr>
                <w:rFonts w:ascii="Verdana" w:hAnsi="Verdana" w:cs="Arial"/>
                <w:b/>
                <w:bCs/>
                <w:color w:val="2F5496" w:themeColor="accent1" w:themeShade="BF"/>
                <w:sz w:val="18"/>
                <w:szCs w:val="18"/>
                <w:lang w:val="el-GR"/>
              </w:rPr>
            </w:pPr>
            <w:r w:rsidRPr="00C273E1">
              <w:rPr>
                <w:rFonts w:ascii="Verdana" w:hAnsi="Verdana" w:cs="Arial"/>
                <w:b/>
                <w:bCs/>
                <w:color w:val="2F5496" w:themeColor="accent1" w:themeShade="BF"/>
                <w:sz w:val="18"/>
                <w:szCs w:val="18"/>
                <w:lang w:val="el-GR"/>
              </w:rPr>
              <w:t>N</w:t>
            </w:r>
            <w:r w:rsidRPr="00C273E1">
              <w:rPr>
                <w:rFonts w:ascii="Verdana" w:hAnsi="Verdana" w:cs="Arial"/>
                <w:b/>
                <w:bCs/>
                <w:color w:val="2F5496" w:themeColor="accent1" w:themeShade="BF"/>
                <w:sz w:val="18"/>
                <w:szCs w:val="18"/>
              </w:rPr>
              <w:t>et</w:t>
            </w:r>
            <w:r w:rsidRPr="00C273E1">
              <w:rPr>
                <w:rFonts w:ascii="Verdana" w:hAnsi="Verdana" w:cs="Arial"/>
                <w:b/>
                <w:bCs/>
                <w:color w:val="2F5496" w:themeColor="accent1" w:themeShade="BF"/>
                <w:sz w:val="18"/>
                <w:szCs w:val="18"/>
                <w:lang w:val="el-GR"/>
              </w:rPr>
              <w:t xml:space="preserve"> L</w:t>
            </w:r>
            <w:r w:rsidRPr="00C273E1">
              <w:rPr>
                <w:rFonts w:ascii="Verdana" w:hAnsi="Verdana" w:cs="Arial"/>
                <w:b/>
                <w:bCs/>
                <w:color w:val="2F5496" w:themeColor="accent1" w:themeShade="BF"/>
                <w:sz w:val="18"/>
                <w:szCs w:val="18"/>
              </w:rPr>
              <w:t>ending</w:t>
            </w:r>
            <w:r w:rsidRPr="00C273E1">
              <w:rPr>
                <w:rFonts w:ascii="Verdana" w:hAnsi="Verdana" w:cs="Arial"/>
                <w:b/>
                <w:bCs/>
                <w:color w:val="2F5496" w:themeColor="accent1" w:themeShade="BF"/>
                <w:sz w:val="18"/>
                <w:szCs w:val="18"/>
                <w:lang w:val="el-GR"/>
              </w:rPr>
              <w:t xml:space="preserve"> (+)/ B</w:t>
            </w:r>
            <w:proofErr w:type="spellStart"/>
            <w:r w:rsidRPr="00C273E1">
              <w:rPr>
                <w:rFonts w:ascii="Verdana" w:hAnsi="Verdana" w:cs="Arial"/>
                <w:b/>
                <w:bCs/>
                <w:color w:val="2F5496" w:themeColor="accent1" w:themeShade="BF"/>
                <w:sz w:val="18"/>
                <w:szCs w:val="18"/>
              </w:rPr>
              <w:t>orrowing</w:t>
            </w:r>
            <w:proofErr w:type="spellEnd"/>
            <w:r w:rsidRPr="00C273E1">
              <w:rPr>
                <w:rFonts w:ascii="Verdana" w:hAnsi="Verdana" w:cs="Arial"/>
                <w:b/>
                <w:bCs/>
                <w:color w:val="2F5496" w:themeColor="accent1" w:themeShade="BF"/>
                <w:sz w:val="18"/>
                <w:szCs w:val="18"/>
                <w:lang w:val="el-GR"/>
              </w:rPr>
              <w:t xml:space="preserve"> (-)</w:t>
            </w:r>
          </w:p>
        </w:tc>
        <w:tc>
          <w:tcPr>
            <w:tcW w:w="1279" w:type="dxa"/>
            <w:tcMar>
              <w:right w:w="340" w:type="dxa"/>
            </w:tcMar>
            <w:vAlign w:val="center"/>
          </w:tcPr>
          <w:p w14:paraId="44029E77" w14:textId="2CD1CB63" w:rsidR="00D00930" w:rsidRPr="00D00930" w:rsidRDefault="00D00930" w:rsidP="00D00930">
            <w:pPr>
              <w:jc w:val="right"/>
              <w:rPr>
                <w:rFonts w:ascii="Verdana" w:hAnsi="Verdana" w:cs="Arial"/>
                <w:b/>
                <w:bCs/>
                <w:color w:val="2F5496" w:themeColor="accent1" w:themeShade="BF"/>
                <w:sz w:val="18"/>
                <w:szCs w:val="18"/>
              </w:rPr>
            </w:pPr>
            <w:r w:rsidRPr="00D00930">
              <w:rPr>
                <w:rFonts w:ascii="Verdana" w:hAnsi="Verdana"/>
                <w:b/>
                <w:bCs/>
                <w:color w:val="2F5496" w:themeColor="accent1" w:themeShade="BF"/>
                <w:sz w:val="18"/>
                <w:szCs w:val="18"/>
              </w:rPr>
              <w:t>898,5</w:t>
            </w:r>
          </w:p>
        </w:tc>
        <w:tc>
          <w:tcPr>
            <w:tcW w:w="1483" w:type="dxa"/>
            <w:tcMar>
              <w:right w:w="340" w:type="dxa"/>
            </w:tcMar>
            <w:vAlign w:val="center"/>
          </w:tcPr>
          <w:p w14:paraId="33861705" w14:textId="6226C109" w:rsidR="00D00930" w:rsidRPr="00D00930" w:rsidRDefault="00D00930" w:rsidP="00D00930">
            <w:pPr>
              <w:jc w:val="right"/>
              <w:rPr>
                <w:rFonts w:ascii="Verdana" w:hAnsi="Verdana" w:cs="Arial"/>
                <w:b/>
                <w:bCs/>
                <w:color w:val="2F5496" w:themeColor="accent1" w:themeShade="BF"/>
                <w:sz w:val="18"/>
                <w:szCs w:val="18"/>
              </w:rPr>
            </w:pPr>
            <w:r w:rsidRPr="00D00930">
              <w:rPr>
                <w:rFonts w:ascii="Verdana" w:hAnsi="Verdana"/>
                <w:b/>
                <w:bCs/>
                <w:color w:val="2F5496" w:themeColor="accent1" w:themeShade="BF"/>
                <w:sz w:val="18"/>
                <w:szCs w:val="18"/>
              </w:rPr>
              <w:t>1.368,4</w:t>
            </w:r>
          </w:p>
        </w:tc>
        <w:tc>
          <w:tcPr>
            <w:tcW w:w="468" w:type="dxa"/>
            <w:gridSpan w:val="2"/>
            <w:tcMar>
              <w:right w:w="340" w:type="dxa"/>
            </w:tcMar>
            <w:vAlign w:val="center"/>
          </w:tcPr>
          <w:p w14:paraId="3A2DE1D9" w14:textId="77777777" w:rsidR="00D00930" w:rsidRPr="00D00930" w:rsidRDefault="00D00930" w:rsidP="00D00930">
            <w:pPr>
              <w:jc w:val="right"/>
              <w:rPr>
                <w:rFonts w:ascii="Verdana" w:hAnsi="Verdana" w:cstheme="minorBidi"/>
                <w:b/>
                <w:bCs/>
                <w:color w:val="2F5496" w:themeColor="accent1" w:themeShade="BF"/>
                <w:sz w:val="18"/>
                <w:szCs w:val="18"/>
              </w:rPr>
            </w:pPr>
          </w:p>
        </w:tc>
        <w:tc>
          <w:tcPr>
            <w:tcW w:w="1279" w:type="dxa"/>
            <w:gridSpan w:val="2"/>
            <w:tcBorders>
              <w:left w:val="nil"/>
            </w:tcBorders>
            <w:tcMar>
              <w:right w:w="340" w:type="dxa"/>
            </w:tcMar>
            <w:vAlign w:val="center"/>
          </w:tcPr>
          <w:p w14:paraId="0D3E232B" w14:textId="4099EC01" w:rsidR="00D00930" w:rsidRPr="00D00930" w:rsidRDefault="00D00930" w:rsidP="00D00930">
            <w:pPr>
              <w:jc w:val="right"/>
              <w:rPr>
                <w:rFonts w:ascii="Verdana" w:hAnsi="Verdana" w:cs="Arial"/>
                <w:b/>
                <w:bCs/>
                <w:color w:val="2F5496" w:themeColor="accent1" w:themeShade="BF"/>
                <w:sz w:val="18"/>
                <w:szCs w:val="18"/>
              </w:rPr>
            </w:pPr>
            <w:r w:rsidRPr="00D00930">
              <w:rPr>
                <w:rFonts w:ascii="Verdana" w:hAnsi="Verdana"/>
                <w:b/>
                <w:bCs/>
                <w:color w:val="2F5496" w:themeColor="accent1" w:themeShade="BF"/>
                <w:sz w:val="18"/>
                <w:szCs w:val="18"/>
              </w:rPr>
              <w:t>469,9</w:t>
            </w:r>
          </w:p>
        </w:tc>
        <w:tc>
          <w:tcPr>
            <w:tcW w:w="468" w:type="dxa"/>
            <w:gridSpan w:val="2"/>
            <w:tcMar>
              <w:right w:w="340" w:type="dxa"/>
            </w:tcMar>
            <w:vAlign w:val="center"/>
          </w:tcPr>
          <w:p w14:paraId="23D7DA3A" w14:textId="77777777" w:rsidR="00D00930" w:rsidRPr="00D00930" w:rsidRDefault="00D00930" w:rsidP="00D00930">
            <w:pPr>
              <w:jc w:val="right"/>
              <w:rPr>
                <w:rFonts w:ascii="Verdana" w:hAnsi="Verdana" w:cstheme="minorBidi"/>
                <w:b/>
                <w:bCs/>
                <w:color w:val="2F5496" w:themeColor="accent1" w:themeShade="BF"/>
                <w:sz w:val="18"/>
                <w:szCs w:val="18"/>
                <w:lang w:val="el-GR"/>
              </w:rPr>
            </w:pPr>
          </w:p>
        </w:tc>
        <w:tc>
          <w:tcPr>
            <w:tcW w:w="1334" w:type="dxa"/>
            <w:gridSpan w:val="2"/>
            <w:tcBorders>
              <w:left w:val="nil"/>
            </w:tcBorders>
            <w:shd w:val="clear" w:color="000000" w:fill="FFFFFF"/>
            <w:tcMar>
              <w:right w:w="340" w:type="dxa"/>
            </w:tcMar>
            <w:vAlign w:val="center"/>
          </w:tcPr>
          <w:p w14:paraId="2ADB9FFD" w14:textId="77777777" w:rsidR="00D00930" w:rsidRPr="00D00930" w:rsidRDefault="00D00930" w:rsidP="00D00930">
            <w:pPr>
              <w:ind w:right="284"/>
              <w:jc w:val="right"/>
              <w:rPr>
                <w:rFonts w:ascii="Verdana" w:hAnsi="Verdana" w:cstheme="minorBidi"/>
                <w:b/>
                <w:bCs/>
                <w:color w:val="2F5496" w:themeColor="accent1" w:themeShade="BF"/>
                <w:sz w:val="18"/>
                <w:szCs w:val="18"/>
                <w:lang w:val="el-GR"/>
              </w:rPr>
            </w:pPr>
          </w:p>
        </w:tc>
      </w:tr>
      <w:tr w:rsidR="00D00930" w:rsidRPr="00427234" w14:paraId="4AAC0810" w14:textId="77777777" w:rsidTr="00D00930">
        <w:trPr>
          <w:trHeight w:val="454"/>
          <w:jc w:val="center"/>
        </w:trPr>
        <w:tc>
          <w:tcPr>
            <w:tcW w:w="4042" w:type="dxa"/>
            <w:tcBorders>
              <w:bottom w:val="single" w:sz="4" w:space="0" w:color="2F5496" w:themeColor="accent1" w:themeShade="BF"/>
            </w:tcBorders>
            <w:vAlign w:val="center"/>
          </w:tcPr>
          <w:p w14:paraId="6F7F3B04" w14:textId="77777777" w:rsidR="00D00930" w:rsidRPr="00C273E1" w:rsidRDefault="00D00930" w:rsidP="00D00930">
            <w:pPr>
              <w:rPr>
                <w:rFonts w:ascii="Verdana" w:hAnsi="Verdana" w:cs="Arial"/>
                <w:color w:val="2F5496" w:themeColor="accent1" w:themeShade="BF"/>
                <w:sz w:val="18"/>
                <w:szCs w:val="18"/>
                <w:lang w:val="el-GR"/>
              </w:rPr>
            </w:pPr>
            <w:r w:rsidRPr="00C273E1">
              <w:rPr>
                <w:rFonts w:ascii="Verdana" w:hAnsi="Verdana" w:cs="Arial"/>
                <w:color w:val="2F5496" w:themeColor="accent1" w:themeShade="BF"/>
                <w:sz w:val="18"/>
                <w:szCs w:val="18"/>
                <w:lang w:val="el-GR"/>
              </w:rPr>
              <w:t xml:space="preserve">% </w:t>
            </w:r>
            <w:r w:rsidRPr="00C273E1">
              <w:rPr>
                <w:rFonts w:ascii="Verdana" w:hAnsi="Verdana" w:cs="Arial"/>
                <w:color w:val="2F5496" w:themeColor="accent1" w:themeShade="BF"/>
                <w:sz w:val="18"/>
                <w:szCs w:val="18"/>
              </w:rPr>
              <w:t>of GDP</w:t>
            </w:r>
          </w:p>
        </w:tc>
        <w:tc>
          <w:tcPr>
            <w:tcW w:w="1279" w:type="dxa"/>
            <w:tcBorders>
              <w:bottom w:val="single" w:sz="4" w:space="0" w:color="2F5496" w:themeColor="accent1" w:themeShade="BF"/>
            </w:tcBorders>
            <w:tcMar>
              <w:right w:w="340" w:type="dxa"/>
            </w:tcMar>
            <w:vAlign w:val="center"/>
          </w:tcPr>
          <w:p w14:paraId="7F0805E1" w14:textId="13F79E1F" w:rsidR="00D00930" w:rsidRPr="00D00930" w:rsidRDefault="00D00930" w:rsidP="00D00930">
            <w:pPr>
              <w:jc w:val="right"/>
              <w:rPr>
                <w:rFonts w:ascii="Verdana" w:hAnsi="Verdana" w:cs="Arial"/>
                <w:i/>
                <w:iCs/>
                <w:color w:val="2F5496" w:themeColor="accent1" w:themeShade="BF"/>
                <w:sz w:val="18"/>
                <w:szCs w:val="18"/>
              </w:rPr>
            </w:pPr>
            <w:r w:rsidRPr="00D00930">
              <w:rPr>
                <w:rFonts w:ascii="Verdana" w:hAnsi="Verdana"/>
                <w:color w:val="2F5496" w:themeColor="accent1" w:themeShade="BF"/>
                <w:sz w:val="18"/>
                <w:szCs w:val="18"/>
              </w:rPr>
              <w:t>3,0%</w:t>
            </w:r>
          </w:p>
        </w:tc>
        <w:tc>
          <w:tcPr>
            <w:tcW w:w="1483" w:type="dxa"/>
            <w:tcBorders>
              <w:bottom w:val="single" w:sz="4" w:space="0" w:color="2F5496" w:themeColor="accent1" w:themeShade="BF"/>
            </w:tcBorders>
            <w:tcMar>
              <w:right w:w="340" w:type="dxa"/>
            </w:tcMar>
            <w:vAlign w:val="center"/>
          </w:tcPr>
          <w:p w14:paraId="71D68BA3" w14:textId="37F2459E" w:rsidR="00D00930" w:rsidRPr="00D00930" w:rsidRDefault="00D00930" w:rsidP="00D00930">
            <w:pPr>
              <w:jc w:val="right"/>
              <w:rPr>
                <w:rFonts w:ascii="Verdana" w:hAnsi="Verdana" w:cs="Arial"/>
                <w:i/>
                <w:iCs/>
                <w:color w:val="2F5496" w:themeColor="accent1" w:themeShade="BF"/>
                <w:sz w:val="18"/>
                <w:szCs w:val="18"/>
              </w:rPr>
            </w:pPr>
            <w:r w:rsidRPr="00D00930">
              <w:rPr>
                <w:rFonts w:ascii="Verdana" w:hAnsi="Verdana"/>
                <w:color w:val="2F5496" w:themeColor="accent1" w:themeShade="BF"/>
                <w:sz w:val="18"/>
                <w:szCs w:val="18"/>
              </w:rPr>
              <w:t>4,3%</w:t>
            </w:r>
          </w:p>
        </w:tc>
        <w:tc>
          <w:tcPr>
            <w:tcW w:w="468" w:type="dxa"/>
            <w:gridSpan w:val="2"/>
            <w:tcBorders>
              <w:bottom w:val="single" w:sz="4" w:space="0" w:color="2F5496" w:themeColor="accent1" w:themeShade="BF"/>
            </w:tcBorders>
            <w:tcMar>
              <w:right w:w="340" w:type="dxa"/>
            </w:tcMar>
            <w:vAlign w:val="center"/>
          </w:tcPr>
          <w:p w14:paraId="4EB7D2A4" w14:textId="77777777" w:rsidR="00D00930" w:rsidRPr="00D00930" w:rsidRDefault="00D00930" w:rsidP="00D00930">
            <w:pPr>
              <w:jc w:val="right"/>
              <w:rPr>
                <w:rFonts w:ascii="Verdana" w:hAnsi="Verdana" w:cstheme="minorBidi"/>
                <w:i/>
                <w:iCs/>
                <w:color w:val="2F5496" w:themeColor="accent1" w:themeShade="BF"/>
                <w:sz w:val="18"/>
                <w:szCs w:val="18"/>
              </w:rPr>
            </w:pPr>
          </w:p>
        </w:tc>
        <w:tc>
          <w:tcPr>
            <w:tcW w:w="1279" w:type="dxa"/>
            <w:gridSpan w:val="2"/>
            <w:tcBorders>
              <w:left w:val="nil"/>
              <w:bottom w:val="single" w:sz="4" w:space="0" w:color="2F5496" w:themeColor="accent1" w:themeShade="BF"/>
            </w:tcBorders>
            <w:tcMar>
              <w:right w:w="340" w:type="dxa"/>
            </w:tcMar>
            <w:vAlign w:val="center"/>
          </w:tcPr>
          <w:p w14:paraId="7D18C31A" w14:textId="77777777" w:rsidR="00D00930" w:rsidRPr="00D00930" w:rsidRDefault="00D00930" w:rsidP="00D00930">
            <w:pPr>
              <w:jc w:val="right"/>
              <w:rPr>
                <w:rFonts w:ascii="Verdana" w:hAnsi="Verdana" w:cstheme="minorBidi"/>
                <w:i/>
                <w:iCs/>
                <w:color w:val="2F5496" w:themeColor="accent1" w:themeShade="BF"/>
                <w:sz w:val="18"/>
                <w:szCs w:val="18"/>
              </w:rPr>
            </w:pPr>
          </w:p>
        </w:tc>
        <w:tc>
          <w:tcPr>
            <w:tcW w:w="468" w:type="dxa"/>
            <w:gridSpan w:val="2"/>
            <w:tcBorders>
              <w:bottom w:val="single" w:sz="4" w:space="0" w:color="2F5496" w:themeColor="accent1" w:themeShade="BF"/>
            </w:tcBorders>
            <w:tcMar>
              <w:right w:w="340" w:type="dxa"/>
            </w:tcMar>
            <w:vAlign w:val="center"/>
          </w:tcPr>
          <w:p w14:paraId="3A01C15E" w14:textId="77777777" w:rsidR="00D00930" w:rsidRPr="00D00930" w:rsidRDefault="00D00930" w:rsidP="00D00930">
            <w:pPr>
              <w:jc w:val="right"/>
              <w:rPr>
                <w:rFonts w:ascii="Verdana" w:hAnsi="Verdana" w:cstheme="minorBidi"/>
                <w:color w:val="2F5496" w:themeColor="accent1" w:themeShade="BF"/>
                <w:sz w:val="18"/>
                <w:szCs w:val="18"/>
                <w:lang w:val="el-GR"/>
              </w:rPr>
            </w:pPr>
          </w:p>
        </w:tc>
        <w:tc>
          <w:tcPr>
            <w:tcW w:w="1334" w:type="dxa"/>
            <w:gridSpan w:val="2"/>
            <w:tcBorders>
              <w:left w:val="nil"/>
              <w:bottom w:val="single" w:sz="4" w:space="0" w:color="2F5496" w:themeColor="accent1" w:themeShade="BF"/>
            </w:tcBorders>
            <w:shd w:val="clear" w:color="000000" w:fill="FFFFFF"/>
            <w:tcMar>
              <w:right w:w="340" w:type="dxa"/>
            </w:tcMar>
            <w:vAlign w:val="center"/>
          </w:tcPr>
          <w:p w14:paraId="706415FA" w14:textId="77777777" w:rsidR="00D00930" w:rsidRPr="00D00930" w:rsidRDefault="00D00930" w:rsidP="00D00930">
            <w:pPr>
              <w:jc w:val="right"/>
              <w:rPr>
                <w:rFonts w:ascii="Verdana" w:hAnsi="Verdana" w:cstheme="minorBidi"/>
                <w:color w:val="2F5496" w:themeColor="accent1" w:themeShade="BF"/>
                <w:sz w:val="18"/>
                <w:szCs w:val="18"/>
                <w:lang w:val="el-GR"/>
              </w:rPr>
            </w:pPr>
          </w:p>
        </w:tc>
      </w:tr>
    </w:tbl>
    <w:p w14:paraId="44BE2B8C" w14:textId="77777777" w:rsidR="00972CA0" w:rsidRPr="00C273E1" w:rsidRDefault="00972CA0" w:rsidP="00072754">
      <w:pPr>
        <w:jc w:val="both"/>
        <w:rPr>
          <w:rFonts w:ascii="Verdana" w:eastAsia="Malgun Gothic" w:hAnsi="Verdana" w:cs="Arial"/>
          <w:color w:val="2F5496" w:themeColor="accent1" w:themeShade="BF"/>
          <w:sz w:val="18"/>
          <w:szCs w:val="18"/>
        </w:rPr>
      </w:pPr>
    </w:p>
    <w:p w14:paraId="4E997C9D" w14:textId="77777777" w:rsidR="00972CA0" w:rsidRPr="00C273E1" w:rsidRDefault="00972CA0" w:rsidP="00072754">
      <w:pPr>
        <w:jc w:val="both"/>
        <w:rPr>
          <w:rFonts w:ascii="Verdana" w:eastAsia="Malgun Gothic" w:hAnsi="Verdana" w:cs="Arial"/>
          <w:color w:val="2F5496" w:themeColor="accent1" w:themeShade="BF"/>
          <w:sz w:val="18"/>
          <w:szCs w:val="18"/>
        </w:rPr>
      </w:pPr>
    </w:p>
    <w:p w14:paraId="714E7C4F" w14:textId="77777777" w:rsidR="00972CA0" w:rsidRPr="00C26329" w:rsidRDefault="00972CA0" w:rsidP="00072754">
      <w:pPr>
        <w:jc w:val="both"/>
        <w:rPr>
          <w:rFonts w:ascii="Verdana" w:eastAsia="Malgun Gothic" w:hAnsi="Verdana" w:cs="Arial"/>
          <w:sz w:val="18"/>
          <w:szCs w:val="18"/>
        </w:rPr>
      </w:pPr>
    </w:p>
    <w:p w14:paraId="6B03C467" w14:textId="77777777" w:rsidR="00972CA0" w:rsidRPr="00C26329" w:rsidRDefault="00972CA0" w:rsidP="00072754">
      <w:pPr>
        <w:jc w:val="both"/>
        <w:rPr>
          <w:rFonts w:ascii="Verdana" w:eastAsia="Malgun Gothic" w:hAnsi="Verdana" w:cs="Arial"/>
          <w:sz w:val="18"/>
          <w:szCs w:val="18"/>
        </w:rPr>
      </w:pPr>
    </w:p>
    <w:p w14:paraId="0A929E3B" w14:textId="77777777" w:rsidR="00972CA0" w:rsidRPr="00C26329" w:rsidRDefault="00972CA0" w:rsidP="00072754">
      <w:pPr>
        <w:jc w:val="both"/>
        <w:rPr>
          <w:rFonts w:ascii="Verdana" w:eastAsia="Malgun Gothic" w:hAnsi="Verdana" w:cs="Arial"/>
          <w:sz w:val="18"/>
          <w:szCs w:val="18"/>
        </w:rPr>
      </w:pPr>
    </w:p>
    <w:p w14:paraId="35CCE5D2" w14:textId="77777777" w:rsidR="00691191" w:rsidRPr="00C26329" w:rsidRDefault="00691191" w:rsidP="00072754">
      <w:pPr>
        <w:jc w:val="both"/>
        <w:rPr>
          <w:rFonts w:ascii="Verdana" w:eastAsia="Malgun Gothic" w:hAnsi="Verdana" w:cs="Arial"/>
          <w:sz w:val="18"/>
          <w:szCs w:val="18"/>
        </w:rPr>
      </w:pPr>
    </w:p>
    <w:p w14:paraId="10997F76" w14:textId="77777777" w:rsidR="00691191" w:rsidRPr="00C26329" w:rsidRDefault="00691191" w:rsidP="00072754">
      <w:pPr>
        <w:jc w:val="both"/>
        <w:rPr>
          <w:rFonts w:ascii="Verdana" w:eastAsia="Malgun Gothic" w:hAnsi="Verdana" w:cs="Arial"/>
          <w:sz w:val="18"/>
          <w:szCs w:val="18"/>
        </w:rPr>
      </w:pPr>
    </w:p>
    <w:p w14:paraId="6BBB80FF" w14:textId="77777777" w:rsidR="00691191" w:rsidRPr="00C26329" w:rsidRDefault="00691191" w:rsidP="00072754">
      <w:pPr>
        <w:jc w:val="both"/>
        <w:rPr>
          <w:rFonts w:ascii="Verdana" w:eastAsia="Malgun Gothic" w:hAnsi="Verdana" w:cs="Arial"/>
          <w:sz w:val="18"/>
          <w:szCs w:val="18"/>
        </w:rPr>
      </w:pPr>
    </w:p>
    <w:p w14:paraId="13509A25" w14:textId="77777777" w:rsidR="00691191" w:rsidRPr="00C26329" w:rsidRDefault="00691191" w:rsidP="00072754">
      <w:pPr>
        <w:jc w:val="both"/>
        <w:rPr>
          <w:rFonts w:ascii="Verdana" w:eastAsia="Malgun Gothic" w:hAnsi="Verdana" w:cs="Arial"/>
          <w:sz w:val="18"/>
          <w:szCs w:val="18"/>
        </w:rPr>
      </w:pPr>
    </w:p>
    <w:p w14:paraId="16363950" w14:textId="77777777" w:rsidR="00691191" w:rsidRPr="00C26329" w:rsidRDefault="00691191" w:rsidP="00072754">
      <w:pPr>
        <w:jc w:val="both"/>
        <w:rPr>
          <w:rFonts w:ascii="Verdana" w:eastAsia="Malgun Gothic" w:hAnsi="Verdana" w:cs="Arial"/>
          <w:sz w:val="18"/>
          <w:szCs w:val="18"/>
        </w:rPr>
      </w:pPr>
    </w:p>
    <w:p w14:paraId="39416A8F" w14:textId="77777777" w:rsidR="00691191" w:rsidRPr="00C26329" w:rsidRDefault="00691191" w:rsidP="00072754">
      <w:pPr>
        <w:jc w:val="both"/>
        <w:rPr>
          <w:rFonts w:ascii="Verdana" w:eastAsia="Malgun Gothic" w:hAnsi="Verdana" w:cs="Arial"/>
          <w:sz w:val="18"/>
          <w:szCs w:val="18"/>
        </w:rPr>
      </w:pPr>
    </w:p>
    <w:p w14:paraId="1DA1C824" w14:textId="77777777" w:rsidR="00691191" w:rsidRPr="00C26329" w:rsidRDefault="00691191" w:rsidP="00072754">
      <w:pPr>
        <w:jc w:val="both"/>
        <w:rPr>
          <w:rFonts w:ascii="Verdana" w:eastAsia="Malgun Gothic" w:hAnsi="Verdana" w:cs="Arial"/>
          <w:sz w:val="18"/>
          <w:szCs w:val="18"/>
        </w:rPr>
      </w:pPr>
    </w:p>
    <w:p w14:paraId="6287DEE6" w14:textId="77777777" w:rsidR="00691191" w:rsidRPr="00C26329" w:rsidRDefault="00691191" w:rsidP="00072754">
      <w:pPr>
        <w:jc w:val="both"/>
        <w:rPr>
          <w:rFonts w:ascii="Verdana" w:eastAsia="Malgun Gothic" w:hAnsi="Verdana" w:cs="Arial"/>
          <w:sz w:val="18"/>
          <w:szCs w:val="18"/>
        </w:rPr>
      </w:pPr>
    </w:p>
    <w:p w14:paraId="117F04E2" w14:textId="77777777" w:rsidR="00691191" w:rsidRPr="00C26329" w:rsidRDefault="00691191" w:rsidP="00072754">
      <w:pPr>
        <w:jc w:val="both"/>
        <w:rPr>
          <w:rFonts w:ascii="Verdana" w:eastAsia="Malgun Gothic" w:hAnsi="Verdana" w:cs="Arial"/>
          <w:sz w:val="18"/>
          <w:szCs w:val="18"/>
        </w:rPr>
      </w:pPr>
    </w:p>
    <w:p w14:paraId="50EB1815" w14:textId="77777777" w:rsidR="00691191" w:rsidRPr="00C26329" w:rsidRDefault="00691191" w:rsidP="00072754">
      <w:pPr>
        <w:jc w:val="both"/>
        <w:rPr>
          <w:rFonts w:ascii="Verdana" w:eastAsia="Malgun Gothic" w:hAnsi="Verdana" w:cs="Arial"/>
          <w:sz w:val="18"/>
          <w:szCs w:val="18"/>
        </w:rPr>
      </w:pPr>
    </w:p>
    <w:p w14:paraId="6607D07E" w14:textId="77777777" w:rsidR="00691191" w:rsidRPr="00C26329" w:rsidRDefault="00691191" w:rsidP="00072754">
      <w:pPr>
        <w:jc w:val="both"/>
        <w:rPr>
          <w:rFonts w:ascii="Verdana" w:eastAsia="Malgun Gothic" w:hAnsi="Verdana" w:cs="Arial"/>
          <w:sz w:val="18"/>
          <w:szCs w:val="18"/>
        </w:rPr>
      </w:pPr>
    </w:p>
    <w:p w14:paraId="54D65D12" w14:textId="77777777" w:rsidR="00691191" w:rsidRPr="00C26329" w:rsidRDefault="00691191" w:rsidP="00072754">
      <w:pPr>
        <w:jc w:val="both"/>
        <w:rPr>
          <w:rFonts w:ascii="Verdana" w:eastAsia="Malgun Gothic" w:hAnsi="Verdana" w:cs="Arial"/>
          <w:sz w:val="18"/>
          <w:szCs w:val="18"/>
        </w:rPr>
      </w:pPr>
    </w:p>
    <w:p w14:paraId="3EBD5993" w14:textId="77777777" w:rsidR="00691191" w:rsidRPr="00C26329" w:rsidRDefault="00691191" w:rsidP="00072754">
      <w:pPr>
        <w:jc w:val="both"/>
        <w:rPr>
          <w:rFonts w:ascii="Verdana" w:eastAsia="Malgun Gothic" w:hAnsi="Verdana" w:cs="Arial"/>
          <w:sz w:val="18"/>
          <w:szCs w:val="18"/>
        </w:rPr>
      </w:pPr>
    </w:p>
    <w:p w14:paraId="012234AC" w14:textId="77777777" w:rsidR="00D23155" w:rsidRDefault="00D23155">
      <w:pPr>
        <w:rPr>
          <w:rFonts w:ascii="Verdana" w:eastAsia="Malgun Gothic" w:hAnsi="Verdana" w:cs="Arial"/>
          <w:sz w:val="18"/>
          <w:szCs w:val="18"/>
        </w:rPr>
      </w:pPr>
      <w:r>
        <w:rPr>
          <w:rFonts w:ascii="Verdana" w:eastAsia="Malgun Gothic" w:hAnsi="Verdana" w:cs="Arial"/>
          <w:sz w:val="18"/>
          <w:szCs w:val="18"/>
        </w:rPr>
        <w:br w:type="page"/>
      </w:r>
    </w:p>
    <w:p w14:paraId="1E3839DA" w14:textId="77777777" w:rsidR="0095405B" w:rsidRPr="00970856" w:rsidRDefault="0095405B" w:rsidP="0095405B">
      <w:pPr>
        <w:jc w:val="center"/>
        <w:rPr>
          <w:rFonts w:ascii="Verdana" w:eastAsia="Malgun Gothic" w:hAnsi="Verdana" w:cs="Arial"/>
          <w:b/>
          <w:u w:val="single"/>
        </w:rPr>
      </w:pPr>
      <w:r w:rsidRPr="00970856">
        <w:rPr>
          <w:rFonts w:ascii="Verdana" w:eastAsia="Malgun Gothic" w:hAnsi="Verdana" w:cs="Arial"/>
          <w:b/>
          <w:u w:val="single"/>
        </w:rPr>
        <w:lastRenderedPageBreak/>
        <w:t>METHODOLOGICAL INFORMATION</w:t>
      </w:r>
    </w:p>
    <w:p w14:paraId="6E10320D" w14:textId="77777777" w:rsidR="0095405B" w:rsidRDefault="0095405B" w:rsidP="00072754">
      <w:pPr>
        <w:jc w:val="both"/>
        <w:rPr>
          <w:rFonts w:ascii="Verdana" w:eastAsia="Malgun Gothic" w:hAnsi="Verdana" w:cs="Arial"/>
          <w:sz w:val="18"/>
          <w:szCs w:val="18"/>
        </w:rPr>
      </w:pPr>
    </w:p>
    <w:p w14:paraId="7E5D1AB6" w14:textId="77777777" w:rsidR="006F21EB" w:rsidRPr="006F21EB" w:rsidRDefault="006F21EB" w:rsidP="006F21EB">
      <w:pPr>
        <w:jc w:val="both"/>
        <w:rPr>
          <w:rFonts w:ascii="Verdana" w:eastAsia="Malgun Gothic" w:hAnsi="Verdana" w:cs="Arial"/>
          <w:b/>
          <w:bCs/>
          <w:sz w:val="18"/>
          <w:szCs w:val="18"/>
          <w:u w:val="single"/>
        </w:rPr>
      </w:pPr>
      <w:r w:rsidRPr="006F21EB">
        <w:rPr>
          <w:rFonts w:ascii="Verdana" w:eastAsia="Malgun Gothic" w:hAnsi="Verdana" w:cs="Arial"/>
          <w:b/>
          <w:bCs/>
          <w:sz w:val="18"/>
          <w:szCs w:val="18"/>
          <w:u w:val="single"/>
        </w:rPr>
        <w:t>Data Coverage and Methodology</w:t>
      </w:r>
    </w:p>
    <w:p w14:paraId="54D6B59F" w14:textId="77777777" w:rsidR="006F21EB" w:rsidRPr="006F21EB" w:rsidRDefault="006F21EB" w:rsidP="006F21EB">
      <w:pPr>
        <w:jc w:val="both"/>
        <w:rPr>
          <w:rFonts w:ascii="Verdana" w:eastAsia="Malgun Gothic" w:hAnsi="Verdana" w:cs="Arial"/>
          <w:sz w:val="18"/>
          <w:szCs w:val="18"/>
        </w:rPr>
      </w:pPr>
    </w:p>
    <w:p w14:paraId="4C027831"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Information is provided for the whole sequence of accounts for the General Government sector. The revenue and expenditure are analyzed by category and these are classified between current and capital, respectively.</w:t>
      </w:r>
    </w:p>
    <w:p w14:paraId="15C9CB11" w14:textId="77777777" w:rsidR="006F21EB" w:rsidRPr="006F21EB" w:rsidRDefault="006F21EB" w:rsidP="006F21EB">
      <w:pPr>
        <w:jc w:val="both"/>
        <w:rPr>
          <w:rFonts w:ascii="Verdana" w:eastAsia="Malgun Gothic" w:hAnsi="Verdana" w:cs="Arial"/>
          <w:sz w:val="18"/>
          <w:szCs w:val="18"/>
        </w:rPr>
      </w:pPr>
    </w:p>
    <w:p w14:paraId="798007CA"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The categories of revenue and expenditure for General Government cover all the subsectors of the General Government based on the European System of Accounts 2010 (ESA 2010).</w:t>
      </w:r>
    </w:p>
    <w:p w14:paraId="3FB7CE90" w14:textId="77777777" w:rsidR="006F21EB" w:rsidRPr="006F21EB" w:rsidRDefault="006F21EB" w:rsidP="006F21EB">
      <w:pPr>
        <w:jc w:val="both"/>
        <w:rPr>
          <w:rFonts w:ascii="Verdana" w:eastAsia="Malgun Gothic" w:hAnsi="Verdana" w:cs="Arial"/>
          <w:sz w:val="18"/>
          <w:szCs w:val="18"/>
        </w:rPr>
      </w:pPr>
    </w:p>
    <w:p w14:paraId="097C3FA9" w14:textId="77777777" w:rsidR="006F21EB" w:rsidRPr="006F21EB" w:rsidRDefault="006F21EB" w:rsidP="006F21EB">
      <w:pPr>
        <w:jc w:val="both"/>
        <w:rPr>
          <w:rFonts w:ascii="Verdana" w:eastAsia="Malgun Gothic" w:hAnsi="Verdana" w:cs="Arial"/>
          <w:b/>
          <w:bCs/>
          <w:sz w:val="18"/>
          <w:szCs w:val="18"/>
          <w:u w:val="single"/>
        </w:rPr>
      </w:pPr>
      <w:r w:rsidRPr="006F21EB">
        <w:rPr>
          <w:rFonts w:ascii="Verdana" w:eastAsia="Malgun Gothic" w:hAnsi="Verdana" w:cs="Arial"/>
          <w:b/>
          <w:bCs/>
          <w:sz w:val="18"/>
          <w:szCs w:val="18"/>
          <w:u w:val="single"/>
        </w:rPr>
        <w:t>Source of Data</w:t>
      </w:r>
    </w:p>
    <w:p w14:paraId="7EA2E599" w14:textId="77777777" w:rsidR="006F21EB" w:rsidRPr="006F21EB" w:rsidRDefault="006F21EB" w:rsidP="006F21EB">
      <w:pPr>
        <w:jc w:val="both"/>
        <w:rPr>
          <w:rFonts w:ascii="Verdana" w:eastAsia="Malgun Gothic" w:hAnsi="Verdana" w:cs="Arial"/>
          <w:sz w:val="18"/>
          <w:szCs w:val="18"/>
        </w:rPr>
      </w:pPr>
    </w:p>
    <w:p w14:paraId="4A4F090E"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The data is collected from:</w:t>
      </w:r>
    </w:p>
    <w:p w14:paraId="551B3C45"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 Financial Information Management Automation System (FIMAS) for Central Government, Extra Budgetary Funds and Social Security Funds,</w:t>
      </w:r>
    </w:p>
    <w:p w14:paraId="10E40946"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 Budget execution of Municipalities and Communities,</w:t>
      </w:r>
    </w:p>
    <w:p w14:paraId="17446C9E"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 Budget execution of Semi-Government Organizations.</w:t>
      </w:r>
    </w:p>
    <w:p w14:paraId="3707A6FE" w14:textId="77777777" w:rsidR="006F21EB" w:rsidRPr="006F21EB" w:rsidRDefault="006F21EB" w:rsidP="006F21EB">
      <w:pPr>
        <w:jc w:val="both"/>
        <w:rPr>
          <w:rFonts w:ascii="Verdana" w:eastAsia="Malgun Gothic" w:hAnsi="Verdana" w:cs="Arial"/>
          <w:sz w:val="18"/>
          <w:szCs w:val="18"/>
        </w:rPr>
      </w:pPr>
    </w:p>
    <w:p w14:paraId="3B9E1D97" w14:textId="77777777" w:rsidR="0095405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For the completion of the estimates, any methodological adjustments or corrections based on the European System of Accounts 2010 (ESA 2010) are taken into account.</w:t>
      </w:r>
    </w:p>
    <w:p w14:paraId="3BE1EFFD" w14:textId="77777777" w:rsidR="0095405B" w:rsidRDefault="0095405B" w:rsidP="00072754">
      <w:pPr>
        <w:jc w:val="both"/>
        <w:rPr>
          <w:rFonts w:ascii="Verdana" w:eastAsia="Malgun Gothic" w:hAnsi="Verdana" w:cs="Arial"/>
          <w:sz w:val="18"/>
          <w:szCs w:val="18"/>
        </w:rPr>
      </w:pPr>
    </w:p>
    <w:p w14:paraId="65C09759" w14:textId="77777777" w:rsidR="0095405B" w:rsidRDefault="0095405B" w:rsidP="00072754">
      <w:pPr>
        <w:jc w:val="both"/>
        <w:rPr>
          <w:rFonts w:ascii="Verdana" w:eastAsia="Malgun Gothic" w:hAnsi="Verdana" w:cs="Arial"/>
          <w:sz w:val="18"/>
          <w:szCs w:val="18"/>
        </w:rPr>
      </w:pPr>
    </w:p>
    <w:p w14:paraId="287B1464" w14:textId="77777777" w:rsidR="0095405B" w:rsidRDefault="0095405B" w:rsidP="0095405B">
      <w:pPr>
        <w:rPr>
          <w:color w:val="000000"/>
        </w:rPr>
      </w:pPr>
      <w:r>
        <w:rPr>
          <w:rFonts w:ascii="Verdana" w:hAnsi="Verdana"/>
          <w:b/>
          <w:bCs/>
          <w:i/>
          <w:iCs/>
          <w:color w:val="000000"/>
          <w:sz w:val="18"/>
          <w:szCs w:val="18"/>
          <w:lang w:val="en-GB"/>
        </w:rPr>
        <w:t>For more information:</w:t>
      </w:r>
    </w:p>
    <w:p w14:paraId="14C9F8C1" w14:textId="77777777" w:rsidR="0095405B" w:rsidRDefault="0095405B" w:rsidP="0095405B">
      <w:pPr>
        <w:rPr>
          <w:rStyle w:val="Hyperlink"/>
          <w:rFonts w:ascii="Verdana" w:hAnsi="Verdana"/>
          <w:sz w:val="18"/>
          <w:szCs w:val="18"/>
          <w:lang w:val="en-GB"/>
        </w:rPr>
      </w:pPr>
      <w:r>
        <w:rPr>
          <w:rFonts w:ascii="Verdana" w:hAnsi="Verdana"/>
          <w:color w:val="000000"/>
          <w:sz w:val="18"/>
          <w:szCs w:val="18"/>
          <w:lang w:val="en-GB"/>
        </w:rPr>
        <w:t>CYSTAT Portal, subtheme</w:t>
      </w:r>
      <w:r w:rsidR="006F21EB" w:rsidRPr="006F21EB">
        <w:rPr>
          <w:rFonts w:ascii="Verdana" w:hAnsi="Verdana"/>
          <w:color w:val="000000"/>
          <w:sz w:val="18"/>
          <w:szCs w:val="18"/>
        </w:rPr>
        <w:t xml:space="preserve"> </w:t>
      </w:r>
      <w:hyperlink r:id="rId9" w:history="1">
        <w:r w:rsidR="006F21EB" w:rsidRPr="004C2B00">
          <w:rPr>
            <w:rStyle w:val="Hyperlink"/>
            <w:rFonts w:ascii="Verdana" w:hAnsi="Verdana"/>
            <w:sz w:val="18"/>
            <w:szCs w:val="18"/>
            <w:lang w:val="en-GB"/>
          </w:rPr>
          <w:t xml:space="preserve">Public </w:t>
        </w:r>
        <w:r w:rsidR="006F21EB">
          <w:rPr>
            <w:rStyle w:val="Hyperlink"/>
            <w:rFonts w:ascii="Verdana" w:hAnsi="Verdana"/>
            <w:sz w:val="18"/>
            <w:szCs w:val="18"/>
          </w:rPr>
          <w:t>F</w:t>
        </w:r>
        <w:proofErr w:type="spellStart"/>
        <w:r w:rsidR="006F21EB" w:rsidRPr="004C2B00">
          <w:rPr>
            <w:rStyle w:val="Hyperlink"/>
            <w:rFonts w:ascii="Verdana" w:hAnsi="Verdana"/>
            <w:sz w:val="18"/>
            <w:szCs w:val="18"/>
            <w:lang w:val="en-GB"/>
          </w:rPr>
          <w:t>inance</w:t>
        </w:r>
        <w:proofErr w:type="spellEnd"/>
      </w:hyperlink>
    </w:p>
    <w:p w14:paraId="2358AEF9" w14:textId="77777777" w:rsidR="006F21EB" w:rsidRPr="006F21EB" w:rsidRDefault="00000000" w:rsidP="006F21EB">
      <w:pPr>
        <w:jc w:val="both"/>
        <w:rPr>
          <w:rFonts w:ascii="Verdana" w:hAnsi="Verdana"/>
          <w:sz w:val="18"/>
          <w:szCs w:val="18"/>
        </w:rPr>
      </w:pPr>
      <w:hyperlink r:id="rId10" w:history="1">
        <w:r w:rsidR="006F21EB" w:rsidRPr="006F21EB">
          <w:rPr>
            <w:rStyle w:val="Hyperlink"/>
            <w:rFonts w:ascii="Verdana" w:hAnsi="Verdana"/>
            <w:sz w:val="18"/>
            <w:szCs w:val="18"/>
          </w:rPr>
          <w:t>Predefined Tables</w:t>
        </w:r>
      </w:hyperlink>
      <w:r w:rsidR="006F21EB" w:rsidRPr="006F21EB">
        <w:rPr>
          <w:rFonts w:ascii="Verdana" w:hAnsi="Verdana"/>
          <w:sz w:val="18"/>
          <w:szCs w:val="18"/>
        </w:rPr>
        <w:t xml:space="preserve"> (Excel)</w:t>
      </w:r>
    </w:p>
    <w:p w14:paraId="1C3D5C67" w14:textId="77777777" w:rsidR="0095405B" w:rsidRDefault="0095405B" w:rsidP="00072754">
      <w:pPr>
        <w:jc w:val="both"/>
        <w:rPr>
          <w:rFonts w:ascii="Verdana" w:eastAsia="Malgun Gothic" w:hAnsi="Verdana" w:cs="Arial"/>
          <w:sz w:val="18"/>
          <w:szCs w:val="18"/>
        </w:rPr>
      </w:pPr>
    </w:p>
    <w:p w14:paraId="790E9C01" w14:textId="77777777" w:rsidR="009717B2" w:rsidRPr="00816D35" w:rsidRDefault="009717B2" w:rsidP="009717B2">
      <w:pPr>
        <w:jc w:val="both"/>
        <w:rPr>
          <w:rFonts w:ascii="Verdana" w:eastAsia="Malgun Gothic" w:hAnsi="Verdana" w:cs="Arial"/>
          <w:i/>
          <w:sz w:val="18"/>
          <w:szCs w:val="18"/>
        </w:rPr>
      </w:pPr>
      <w:r w:rsidRPr="00816D35">
        <w:rPr>
          <w:rFonts w:ascii="Verdana" w:eastAsia="Malgun Gothic" w:hAnsi="Verdana" w:cs="Arial"/>
          <w:i/>
          <w:sz w:val="18"/>
          <w:szCs w:val="18"/>
          <w:u w:val="single"/>
        </w:rPr>
        <w:t>Contact</w:t>
      </w:r>
      <w:r w:rsidRPr="00816D35">
        <w:rPr>
          <w:rFonts w:ascii="Verdana" w:eastAsia="Malgun Gothic" w:hAnsi="Verdana" w:cs="Arial"/>
          <w:i/>
          <w:sz w:val="18"/>
          <w:szCs w:val="18"/>
        </w:rPr>
        <w:t xml:space="preserve"> </w:t>
      </w:r>
    </w:p>
    <w:p w14:paraId="4083C23B" w14:textId="77777777" w:rsidR="009717B2" w:rsidRPr="00816D35" w:rsidRDefault="009717B2" w:rsidP="009717B2">
      <w:pPr>
        <w:rPr>
          <w:rFonts w:ascii="Verdana" w:eastAsia="Malgun Gothic" w:hAnsi="Verdana" w:cs="Arial"/>
          <w:sz w:val="18"/>
          <w:szCs w:val="18"/>
        </w:rPr>
      </w:pPr>
      <w:r w:rsidRPr="00816D35">
        <w:rPr>
          <w:rFonts w:ascii="Verdana" w:eastAsia="Malgun Gothic" w:hAnsi="Verdana" w:cs="Arial"/>
          <w:sz w:val="18"/>
          <w:szCs w:val="18"/>
        </w:rPr>
        <w:t xml:space="preserve">Michael Panayiota: </w:t>
      </w:r>
      <w:r w:rsidRPr="00980ECC">
        <w:rPr>
          <w:rFonts w:ascii="Verdana" w:eastAsia="Malgun Gothic" w:hAnsi="Verdana" w:cs="Arial"/>
          <w:sz w:val="18"/>
          <w:szCs w:val="18"/>
          <w:lang w:val="el-GR"/>
        </w:rPr>
        <w:t>Τ</w:t>
      </w:r>
      <w:r w:rsidRPr="00816D35">
        <w:rPr>
          <w:rFonts w:ascii="Verdana" w:eastAsia="Malgun Gothic" w:hAnsi="Verdana" w:cs="Arial"/>
          <w:sz w:val="18"/>
          <w:szCs w:val="18"/>
        </w:rPr>
        <w:t xml:space="preserve">el: +35722602186, Email: </w:t>
      </w:r>
      <w:hyperlink r:id="rId11" w:history="1">
        <w:r w:rsidRPr="00816D35">
          <w:rPr>
            <w:rStyle w:val="Hyperlink"/>
            <w:rFonts w:ascii="Verdana" w:hAnsi="Verdana"/>
            <w:sz w:val="18"/>
            <w:szCs w:val="18"/>
          </w:rPr>
          <w:t>pmichael</w:t>
        </w:r>
        <w:r w:rsidRPr="00816D35">
          <w:rPr>
            <w:rStyle w:val="Hyperlink"/>
            <w:rFonts w:ascii="Verdana" w:eastAsia="Malgun Gothic" w:hAnsi="Verdana" w:cs="Arial"/>
            <w:sz w:val="18"/>
            <w:szCs w:val="18"/>
          </w:rPr>
          <w:t>@cystat.mof.gov.cy</w:t>
        </w:r>
      </w:hyperlink>
    </w:p>
    <w:p w14:paraId="19BF329E" w14:textId="77777777" w:rsidR="00901DC3" w:rsidRPr="00155020" w:rsidRDefault="00901DC3" w:rsidP="00901DC3"/>
    <w:p w14:paraId="5705A16D" w14:textId="77777777" w:rsidR="00B97BB7" w:rsidRPr="00155020" w:rsidRDefault="00B97BB7" w:rsidP="00901DC3">
      <w:pPr>
        <w:rPr>
          <w:rFonts w:ascii="Verdana" w:eastAsia="Malgun Gothic" w:hAnsi="Verdana" w:cs="Arial"/>
          <w:sz w:val="18"/>
          <w:szCs w:val="18"/>
        </w:rPr>
      </w:pPr>
    </w:p>
    <w:p w14:paraId="0E0EBE20" w14:textId="77777777" w:rsidR="00901DC3" w:rsidRPr="00155020" w:rsidRDefault="00901DC3" w:rsidP="00901DC3">
      <w:pPr>
        <w:jc w:val="both"/>
        <w:rPr>
          <w:rFonts w:ascii="Verdana" w:eastAsia="Malgun Gothic" w:hAnsi="Verdana" w:cs="Arial"/>
          <w:sz w:val="18"/>
          <w:szCs w:val="18"/>
        </w:rPr>
      </w:pPr>
    </w:p>
    <w:p w14:paraId="66A077D6" w14:textId="77777777" w:rsidR="00C26329" w:rsidRPr="00155020" w:rsidRDefault="00C26329" w:rsidP="00072754">
      <w:pPr>
        <w:jc w:val="both"/>
        <w:rPr>
          <w:rFonts w:ascii="Verdana" w:eastAsia="Malgun Gothic" w:hAnsi="Verdana" w:cs="Arial"/>
          <w:sz w:val="18"/>
          <w:szCs w:val="18"/>
        </w:rPr>
      </w:pPr>
    </w:p>
    <w:p w14:paraId="35223F02" w14:textId="77777777" w:rsidR="00C26329" w:rsidRPr="00155020" w:rsidRDefault="00C26329" w:rsidP="00072754">
      <w:pPr>
        <w:jc w:val="both"/>
        <w:rPr>
          <w:rFonts w:ascii="Verdana" w:eastAsia="Malgun Gothic" w:hAnsi="Verdana" w:cs="Arial"/>
          <w:sz w:val="18"/>
          <w:szCs w:val="18"/>
        </w:rPr>
      </w:pPr>
    </w:p>
    <w:p w14:paraId="7DD809A3" w14:textId="77777777" w:rsidR="00C26329" w:rsidRPr="00155020" w:rsidRDefault="00C26329" w:rsidP="00072754">
      <w:pPr>
        <w:jc w:val="both"/>
        <w:rPr>
          <w:rFonts w:ascii="Verdana" w:eastAsia="Malgun Gothic" w:hAnsi="Verdana" w:cs="Arial"/>
          <w:sz w:val="18"/>
          <w:szCs w:val="18"/>
        </w:rPr>
      </w:pPr>
    </w:p>
    <w:p w14:paraId="63F6B137" w14:textId="77777777" w:rsidR="00C26329" w:rsidRPr="00792163" w:rsidRDefault="00C26329" w:rsidP="00072754">
      <w:pPr>
        <w:jc w:val="both"/>
        <w:rPr>
          <w:rFonts w:ascii="Verdana" w:eastAsia="Malgun Gothic" w:hAnsi="Verdana" w:cs="Arial"/>
          <w:sz w:val="18"/>
          <w:szCs w:val="18"/>
        </w:rPr>
      </w:pPr>
    </w:p>
    <w:sectPr w:rsidR="00C26329" w:rsidRPr="00792163" w:rsidSect="005938ED">
      <w:headerReference w:type="default" r:id="rId12"/>
      <w:footerReference w:type="default" r:id="rId13"/>
      <w:headerReference w:type="first" r:id="rId14"/>
      <w:footerReference w:type="first" r:id="rId15"/>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1ED518" w14:textId="77777777" w:rsidR="006A6FC3" w:rsidRDefault="006A6FC3" w:rsidP="00FB398F">
      <w:r>
        <w:separator/>
      </w:r>
    </w:p>
  </w:endnote>
  <w:endnote w:type="continuationSeparator" w:id="0">
    <w:p w14:paraId="3429C87A" w14:textId="77777777" w:rsidR="006A6FC3" w:rsidRDefault="006A6FC3"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altName w:val="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8A6F4" w14:textId="77777777" w:rsidR="004E4F42" w:rsidRPr="000A1A88" w:rsidRDefault="004E4F42" w:rsidP="00763722">
    <w:pPr>
      <w:pStyle w:val="Footer"/>
      <w:tabs>
        <w:tab w:val="left" w:pos="3375"/>
        <w:tab w:val="left" w:pos="4500"/>
        <w:tab w:val="center" w:pos="4723"/>
      </w:tabs>
    </w:pPr>
    <w:r>
      <w:tab/>
    </w:r>
    <w:r>
      <w:tab/>
    </w:r>
    <w:r>
      <w:tab/>
    </w:r>
    <w:r>
      <w:tab/>
      <w:t>-</w:t>
    </w:r>
    <w:r w:rsidR="00016C32">
      <w:fldChar w:fldCharType="begin"/>
    </w:r>
    <w:r w:rsidR="004D4950">
      <w:instrText xml:space="preserve"> PAGE   \* MERGEFORMAT </w:instrText>
    </w:r>
    <w:r w:rsidR="00016C32">
      <w:fldChar w:fldCharType="separate"/>
    </w:r>
    <w:r w:rsidR="001B1C76">
      <w:rPr>
        <w:noProof/>
      </w:rPr>
      <w:t>2</w:t>
    </w:r>
    <w:r w:rsidR="00016C32">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8FE43" w14:textId="77777777" w:rsidR="0060256A" w:rsidRPr="00122143" w:rsidRDefault="0060256A" w:rsidP="0060256A">
    <w:pPr>
      <w:pStyle w:val="Footer"/>
      <w:pBdr>
        <w:top w:val="single" w:sz="4" w:space="1" w:color="auto"/>
      </w:pBdr>
      <w:tabs>
        <w:tab w:val="left" w:pos="4500"/>
      </w:tabs>
      <w:jc w:val="center"/>
      <w:rPr>
        <w:rFonts w:ascii="Arial" w:hAnsi="Arial" w:cs="Arial"/>
        <w:i/>
        <w:iCs/>
        <w:sz w:val="16"/>
        <w:szCs w:val="16"/>
      </w:rPr>
    </w:pPr>
    <w:r w:rsidRPr="00122143">
      <w:rPr>
        <w:rFonts w:ascii="Arial" w:hAnsi="Arial" w:cs="Arial"/>
        <w:i/>
        <w:iCs/>
        <w:sz w:val="16"/>
        <w:szCs w:val="16"/>
      </w:rPr>
      <w:t>Address:  Micha</w:t>
    </w:r>
    <w:r w:rsidR="00EF6A66">
      <w:rPr>
        <w:rFonts w:ascii="Arial" w:hAnsi="Arial" w:cs="Arial"/>
        <w:i/>
        <w:iCs/>
        <w:sz w:val="16"/>
        <w:szCs w:val="16"/>
      </w:rPr>
      <w:t>el</w:t>
    </w:r>
    <w:r w:rsidRPr="00122143">
      <w:rPr>
        <w:rFonts w:ascii="Arial" w:hAnsi="Arial" w:cs="Arial"/>
        <w:i/>
        <w:iCs/>
        <w:sz w:val="16"/>
        <w:szCs w:val="16"/>
      </w:rPr>
      <w:t xml:space="preserve"> Karaoli Str., 1444 Nicosia, Cyprus</w:t>
    </w:r>
  </w:p>
  <w:p w14:paraId="0F9F2F94" w14:textId="77777777" w:rsidR="0060256A" w:rsidRPr="003808E4" w:rsidRDefault="00122143" w:rsidP="0060256A">
    <w:pPr>
      <w:pStyle w:val="Footer"/>
      <w:tabs>
        <w:tab w:val="left" w:pos="4500"/>
      </w:tabs>
      <w:jc w:val="center"/>
      <w:rPr>
        <w:rFonts w:ascii="Arial" w:hAnsi="Arial" w:cs="Arial"/>
        <w:i/>
        <w:iCs/>
        <w:sz w:val="16"/>
        <w:szCs w:val="16"/>
        <w:lang w:val="pt-PT"/>
      </w:rPr>
    </w:pPr>
    <w:r w:rsidRPr="003808E4">
      <w:rPr>
        <w:rFonts w:ascii="Arial" w:hAnsi="Arial" w:cs="Arial"/>
        <w:i/>
        <w:iCs/>
        <w:sz w:val="16"/>
        <w:szCs w:val="16"/>
        <w:lang w:val="pt-PT"/>
      </w:rPr>
      <w:t xml:space="preserve">Tel.:  22 602129, </w:t>
    </w:r>
    <w:r w:rsidR="0060256A" w:rsidRPr="003808E4">
      <w:rPr>
        <w:rFonts w:ascii="Arial" w:hAnsi="Arial" w:cs="Arial"/>
        <w:i/>
        <w:iCs/>
        <w:sz w:val="16"/>
        <w:szCs w:val="16"/>
        <w:lang w:val="pt-PT"/>
      </w:rPr>
      <w:t>Fax: 22 661313, E-mail:  enquiries@cystat.mof.gov.cy</w:t>
    </w:r>
  </w:p>
  <w:p w14:paraId="68F0EF12" w14:textId="77777777" w:rsidR="004E4F42" w:rsidRPr="00122143" w:rsidRDefault="0060256A" w:rsidP="0060256A">
    <w:pPr>
      <w:pStyle w:val="Footer"/>
      <w:tabs>
        <w:tab w:val="left" w:pos="4500"/>
      </w:tabs>
      <w:jc w:val="center"/>
      <w:rPr>
        <w:rFonts w:ascii="Arial" w:hAnsi="Arial" w:cs="Arial"/>
        <w:sz w:val="16"/>
        <w:szCs w:val="16"/>
      </w:rPr>
    </w:pPr>
    <w:r w:rsidRPr="00122143">
      <w:rPr>
        <w:rFonts w:ascii="Arial" w:hAnsi="Arial" w:cs="Arial"/>
        <w:i/>
        <w:iCs/>
        <w:sz w:val="16"/>
        <w:szCs w:val="16"/>
      </w:rPr>
      <w:t xml:space="preserve">Web site: </w:t>
    </w:r>
    <w:hyperlink r:id="rId1" w:history="1">
      <w:r w:rsidRPr="00122143">
        <w:rPr>
          <w:rStyle w:val="Hyperlink"/>
          <w:rFonts w:ascii="Arial" w:hAnsi="Arial" w:cs="Arial"/>
          <w:i/>
          <w:iCs/>
          <w:sz w:val="16"/>
          <w:szCs w:val="16"/>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9B7242" w14:textId="77777777" w:rsidR="006A6FC3" w:rsidRDefault="006A6FC3" w:rsidP="00FB398F">
      <w:r>
        <w:separator/>
      </w:r>
    </w:p>
  </w:footnote>
  <w:footnote w:type="continuationSeparator" w:id="0">
    <w:p w14:paraId="010B911E" w14:textId="77777777" w:rsidR="006A6FC3" w:rsidRDefault="006A6FC3"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E467B"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023CB" w14:textId="77777777"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US" w:eastAsia="en-US"/>
      </w:rPr>
      <w:drawing>
        <wp:anchor distT="0" distB="0" distL="114300" distR="114300" simplePos="0" relativeHeight="251656192" behindDoc="0" locked="0" layoutInCell="1" allowOverlap="1" wp14:anchorId="753AD2D1" wp14:editId="6CB69ADA">
          <wp:simplePos x="0" y="0"/>
          <wp:positionH relativeFrom="column">
            <wp:posOffset>523875</wp:posOffset>
          </wp:positionH>
          <wp:positionV relativeFrom="paragraph">
            <wp:posOffset>168910</wp:posOffset>
          </wp:positionV>
          <wp:extent cx="676275" cy="676275"/>
          <wp:effectExtent l="0" t="0" r="0" b="0"/>
          <wp:wrapNone/>
          <wp:docPr id="686434992" name="Picture 686434992"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r w:rsidR="00000000">
      <w:rPr>
        <w:rFonts w:ascii="Arial" w:hAnsi="Arial" w:cs="Arial"/>
        <w:bCs/>
        <w:noProof/>
        <w:sz w:val="18"/>
        <w:szCs w:val="18"/>
        <w:lang w:val="en-US" w:eastAsia="en-US"/>
      </w:rPr>
      <w:pict w14:anchorId="345F9202">
        <v:shapetype id="_x0000_t202" coordsize="21600,21600" o:spt="202" path="m,l,21600r21600,l21600,xe">
          <v:stroke joinstyle="miter"/>
          <v:path gradientshapeok="t" o:connecttype="rect"/>
        </v:shapetype>
        <v:shape id="Text Box 3" o:spid="_x0000_s1026" type="#_x0000_t202" style="position:absolute;left:0;text-align:left;margin-left:375.8pt;margin-top:-5.45pt;width:101.45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" strokecolor="white">
          <v:textbox>
            <w:txbxContent>
              <w:p w14:paraId="0B0BC9AB" w14:textId="77777777" w:rsidR="004E4F42" w:rsidRDefault="00572BC2" w:rsidP="000932CF">
                <w:r w:rsidRPr="009342E9">
                  <w:rPr>
                    <w:noProof/>
                  </w:rPr>
                  <w:drawing>
                    <wp:inline distT="0" distB="0" distL="0" distR="0" wp14:anchorId="51E45717" wp14:editId="3FEDF5CE">
                      <wp:extent cx="1095375" cy="790575"/>
                      <wp:effectExtent l="0" t="0" r="0" b="0"/>
                      <wp:docPr id="188755824" name="Picture 188755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w:r>
    <w:r w:rsidR="00000000">
      <w:rPr>
        <w:rFonts w:ascii="Arial" w:hAnsi="Arial" w:cs="Arial"/>
        <w:bCs/>
        <w:noProof/>
        <w:sz w:val="18"/>
        <w:szCs w:val="18"/>
        <w:lang w:val="en-US" w:eastAsia="en-US"/>
      </w:rPr>
      <w:pict w14:anchorId="51713775">
        <v:shape id="Text Box 2" o:spid="_x0000_s1027" type="#_x0000_t202" style="position:absolute;left:0;text-align:left;margin-left:270.8pt;margin-top:-17.45pt;width:115.7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" strokecolor="white">
          <v:textbox>
            <w:txbxContent>
              <w:p w14:paraId="7CB791E4" w14:textId="77777777" w:rsidR="004E4F42" w:rsidRDefault="00572BC2" w:rsidP="000932CF">
                <w:r w:rsidRPr="009342E9">
                  <w:rPr>
                    <w:noProof/>
                  </w:rPr>
                  <w:drawing>
                    <wp:inline distT="0" distB="0" distL="0" distR="0" wp14:anchorId="26FBC19F" wp14:editId="233FA5D0">
                      <wp:extent cx="1276350" cy="1009650"/>
                      <wp:effectExtent l="0" t="0" r="0" b="0"/>
                      <wp:docPr id="624053176" name="Picture 624053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w:r>
  </w:p>
  <w:p w14:paraId="1C59F911"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42B4BE3E"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2AF32BCA"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4DE3A100"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30A454D1" w14:textId="77777777" w:rsidR="00364377" w:rsidRPr="00AC704B" w:rsidRDefault="00000000"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Cs/>
        <w:noProof/>
        <w:sz w:val="18"/>
        <w:szCs w:val="18"/>
      </w:rPr>
      <w:pict w14:anchorId="7F697072">
        <v:shape id="Text Box 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1D6CF4E5" w14:textId="77777777" w:rsidR="0060256A" w:rsidRPr="00BA5A5E" w:rsidRDefault="0060256A" w:rsidP="0060256A">
                <w:pPr>
                  <w:jc w:val="center"/>
                  <w:rPr>
                    <w:rFonts w:ascii="Arial" w:hAnsi="Arial" w:cs="Arial"/>
                    <w:b/>
                    <w:sz w:val="20"/>
                    <w:szCs w:val="20"/>
                  </w:rPr>
                </w:pPr>
                <w:r w:rsidRPr="00BA5A5E">
                  <w:rPr>
                    <w:rFonts w:ascii="Arial" w:hAnsi="Arial" w:cs="Arial"/>
                    <w:b/>
                    <w:sz w:val="20"/>
                    <w:szCs w:val="20"/>
                  </w:rPr>
                  <w:t>STATISTICAL SERVICE</w:t>
                </w:r>
              </w:p>
              <w:p w14:paraId="77FBC476" w14:textId="77777777" w:rsidR="0060256A" w:rsidRDefault="0060256A" w:rsidP="0060256A">
                <w:pPr>
                  <w:jc w:val="center"/>
                  <w:rPr>
                    <w:rFonts w:ascii="Arial" w:hAnsi="Arial" w:cs="Arial"/>
                    <w:b/>
                    <w:sz w:val="20"/>
                    <w:szCs w:val="20"/>
                  </w:rPr>
                </w:pPr>
                <w:r w:rsidRPr="00BA5A5E">
                  <w:rPr>
                    <w:rFonts w:ascii="Arial" w:hAnsi="Arial" w:cs="Arial"/>
                    <w:b/>
                    <w:sz w:val="20"/>
                    <w:szCs w:val="20"/>
                  </w:rPr>
                  <w:t xml:space="preserve">OF </w:t>
                </w:r>
                <w:smartTag w:uri="urn:schemas-microsoft-com:office:smarttags" w:element="country-region">
                  <w:smartTag w:uri="urn:schemas-microsoft-com:office:smarttags" w:element="place">
                    <w:r w:rsidRPr="00BA5A5E">
                      <w:rPr>
                        <w:rFonts w:ascii="Arial" w:hAnsi="Arial" w:cs="Arial"/>
                        <w:b/>
                        <w:sz w:val="20"/>
                        <w:szCs w:val="20"/>
                      </w:rPr>
                      <w:t>CYPRUS</w:t>
                    </w:r>
                  </w:smartTag>
                </w:smartTag>
              </w:p>
              <w:p w14:paraId="10ACE9D1" w14:textId="77777777" w:rsidR="0060256A" w:rsidRPr="00435025" w:rsidRDefault="0060256A" w:rsidP="0060256A">
                <w:pPr>
                  <w:jc w:val="center"/>
                  <w:rPr>
                    <w:rFonts w:ascii="Arial" w:hAnsi="Arial" w:cs="Arial"/>
                    <w:sz w:val="20"/>
                    <w:szCs w:val="20"/>
                  </w:rPr>
                </w:pPr>
                <w:r w:rsidRPr="00435025">
                  <w:rPr>
                    <w:rFonts w:ascii="Arial" w:hAnsi="Arial" w:cs="Arial"/>
                    <w:sz w:val="20"/>
                    <w:szCs w:val="20"/>
                  </w:rPr>
                  <w:t>1444 NICOSIA</w:t>
                </w:r>
              </w:p>
            </w:txbxContent>
          </v:textbox>
        </v:shape>
      </w:pict>
    </w:r>
    <w:r w:rsidR="004E4F42" w:rsidRPr="00AC704B">
      <w:rPr>
        <w:rFonts w:ascii="Arial" w:hAnsi="Arial" w:cs="Arial"/>
        <w:bCs/>
        <w:sz w:val="18"/>
        <w:szCs w:val="18"/>
        <w:lang w:val="en-US"/>
      </w:rPr>
      <w:t xml:space="preserve">     </w:t>
    </w:r>
    <w:r w:rsidR="004E4F42">
      <w:rPr>
        <w:rFonts w:ascii="Arial" w:hAnsi="Arial" w:cs="Arial"/>
        <w:bCs/>
        <w:sz w:val="18"/>
        <w:szCs w:val="18"/>
        <w:lang w:val="en-US"/>
      </w:rPr>
      <w:t xml:space="preserve">   </w:t>
    </w:r>
    <w:r w:rsidR="00364377" w:rsidRPr="007C1520">
      <w:rPr>
        <w:rFonts w:ascii="Arial" w:hAnsi="Arial" w:cs="Arial"/>
        <w:bCs/>
        <w:sz w:val="18"/>
        <w:szCs w:val="18"/>
        <w:lang w:val="en-US"/>
      </w:rPr>
      <w:t>REPUBLIC OF CYPRUS</w:t>
    </w:r>
    <w:r w:rsidR="00364377" w:rsidRPr="00AC704B">
      <w:rPr>
        <w:b/>
        <w:bCs/>
        <w:sz w:val="20"/>
        <w:szCs w:val="20"/>
        <w:lang w:val="en-US"/>
      </w:rPr>
      <w:t xml:space="preserve"> </w:t>
    </w:r>
    <w:r w:rsidR="00364377" w:rsidRPr="00AC704B">
      <w:rPr>
        <w:b/>
        <w:bCs/>
        <w:sz w:val="20"/>
        <w:szCs w:val="20"/>
        <w:lang w:val="en-US"/>
      </w:rPr>
      <w:tab/>
    </w:r>
  </w:p>
  <w:p w14:paraId="2B56AB45" w14:textId="77777777"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36F54BA3"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208373577">
    <w:abstractNumId w:val="4"/>
  </w:num>
  <w:num w:numId="2" w16cid:durableId="278681010">
    <w:abstractNumId w:val="1"/>
  </w:num>
  <w:num w:numId="3" w16cid:durableId="1284965322">
    <w:abstractNumId w:val="2"/>
  </w:num>
  <w:num w:numId="4" w16cid:durableId="1135946626">
    <w:abstractNumId w:val="3"/>
  </w:num>
  <w:num w:numId="5" w16cid:durableId="1463157152">
    <w:abstractNumId w:val="0"/>
  </w:num>
  <w:num w:numId="6" w16cid:durableId="1825391019">
    <w:abstractNumId w:val="5"/>
  </w:num>
  <w:num w:numId="7" w16cid:durableId="20693020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398F"/>
    <w:rsid w:val="00002313"/>
    <w:rsid w:val="00004F86"/>
    <w:rsid w:val="0000542E"/>
    <w:rsid w:val="000063E6"/>
    <w:rsid w:val="00013E40"/>
    <w:rsid w:val="000161B1"/>
    <w:rsid w:val="0001637A"/>
    <w:rsid w:val="00016C32"/>
    <w:rsid w:val="000240FB"/>
    <w:rsid w:val="00025A39"/>
    <w:rsid w:val="00027853"/>
    <w:rsid w:val="00030E18"/>
    <w:rsid w:val="00031D32"/>
    <w:rsid w:val="0003603D"/>
    <w:rsid w:val="00036FA9"/>
    <w:rsid w:val="00045088"/>
    <w:rsid w:val="00045A06"/>
    <w:rsid w:val="00050391"/>
    <w:rsid w:val="00053E94"/>
    <w:rsid w:val="00055291"/>
    <w:rsid w:val="000563D3"/>
    <w:rsid w:val="00057E44"/>
    <w:rsid w:val="00057E52"/>
    <w:rsid w:val="00061299"/>
    <w:rsid w:val="00070576"/>
    <w:rsid w:val="00071828"/>
    <w:rsid w:val="00072754"/>
    <w:rsid w:val="000752BB"/>
    <w:rsid w:val="00081ADF"/>
    <w:rsid w:val="00084A02"/>
    <w:rsid w:val="00084BF7"/>
    <w:rsid w:val="00085CB2"/>
    <w:rsid w:val="000870E9"/>
    <w:rsid w:val="000932CF"/>
    <w:rsid w:val="00096ED8"/>
    <w:rsid w:val="000A1A88"/>
    <w:rsid w:val="000A2B5C"/>
    <w:rsid w:val="000A3601"/>
    <w:rsid w:val="000A6FA8"/>
    <w:rsid w:val="000B269A"/>
    <w:rsid w:val="000B6F3B"/>
    <w:rsid w:val="000C4E72"/>
    <w:rsid w:val="000D086E"/>
    <w:rsid w:val="000D1644"/>
    <w:rsid w:val="000D1E7A"/>
    <w:rsid w:val="000D2CB9"/>
    <w:rsid w:val="000D4845"/>
    <w:rsid w:val="000E24B1"/>
    <w:rsid w:val="000E2735"/>
    <w:rsid w:val="000E32D6"/>
    <w:rsid w:val="000E57F2"/>
    <w:rsid w:val="000E7058"/>
    <w:rsid w:val="000E72A7"/>
    <w:rsid w:val="000F1162"/>
    <w:rsid w:val="000F1AC2"/>
    <w:rsid w:val="000F3004"/>
    <w:rsid w:val="000F3467"/>
    <w:rsid w:val="000F38DE"/>
    <w:rsid w:val="000F4034"/>
    <w:rsid w:val="000F5D6C"/>
    <w:rsid w:val="000F71EE"/>
    <w:rsid w:val="000F7308"/>
    <w:rsid w:val="00106852"/>
    <w:rsid w:val="00110F9D"/>
    <w:rsid w:val="00114A67"/>
    <w:rsid w:val="001168A0"/>
    <w:rsid w:val="00116CC8"/>
    <w:rsid w:val="00122143"/>
    <w:rsid w:val="001253B6"/>
    <w:rsid w:val="00127320"/>
    <w:rsid w:val="00127456"/>
    <w:rsid w:val="001312D8"/>
    <w:rsid w:val="0013137B"/>
    <w:rsid w:val="001416F0"/>
    <w:rsid w:val="00145F75"/>
    <w:rsid w:val="0014623D"/>
    <w:rsid w:val="0015118B"/>
    <w:rsid w:val="001519CE"/>
    <w:rsid w:val="00155020"/>
    <w:rsid w:val="00156D32"/>
    <w:rsid w:val="00161CF3"/>
    <w:rsid w:val="00162C00"/>
    <w:rsid w:val="001639EF"/>
    <w:rsid w:val="0016589F"/>
    <w:rsid w:val="00166FC4"/>
    <w:rsid w:val="00172B39"/>
    <w:rsid w:val="00176558"/>
    <w:rsid w:val="0017756A"/>
    <w:rsid w:val="0017769A"/>
    <w:rsid w:val="00177C97"/>
    <w:rsid w:val="00181BCC"/>
    <w:rsid w:val="00183DFC"/>
    <w:rsid w:val="00184384"/>
    <w:rsid w:val="00186717"/>
    <w:rsid w:val="00187FFC"/>
    <w:rsid w:val="00197A2E"/>
    <w:rsid w:val="001A2018"/>
    <w:rsid w:val="001A26D8"/>
    <w:rsid w:val="001A3DD4"/>
    <w:rsid w:val="001A76A6"/>
    <w:rsid w:val="001B1C76"/>
    <w:rsid w:val="001B2C39"/>
    <w:rsid w:val="001B3675"/>
    <w:rsid w:val="001B54AB"/>
    <w:rsid w:val="001B5E10"/>
    <w:rsid w:val="001B6AB3"/>
    <w:rsid w:val="001B73D5"/>
    <w:rsid w:val="001B7577"/>
    <w:rsid w:val="001C0681"/>
    <w:rsid w:val="001C14B9"/>
    <w:rsid w:val="001C62B3"/>
    <w:rsid w:val="001C7C8C"/>
    <w:rsid w:val="001D0D6A"/>
    <w:rsid w:val="001D20A4"/>
    <w:rsid w:val="001E00D1"/>
    <w:rsid w:val="001E0E58"/>
    <w:rsid w:val="001E14F3"/>
    <w:rsid w:val="001E15ED"/>
    <w:rsid w:val="001E3165"/>
    <w:rsid w:val="001E5DB2"/>
    <w:rsid w:val="001E61AA"/>
    <w:rsid w:val="001E6737"/>
    <w:rsid w:val="001E7D09"/>
    <w:rsid w:val="001F042B"/>
    <w:rsid w:val="0020309E"/>
    <w:rsid w:val="00205BA0"/>
    <w:rsid w:val="00210B58"/>
    <w:rsid w:val="00222423"/>
    <w:rsid w:val="00225B28"/>
    <w:rsid w:val="002313AC"/>
    <w:rsid w:val="00235FB2"/>
    <w:rsid w:val="002361E0"/>
    <w:rsid w:val="00237BC1"/>
    <w:rsid w:val="002430B4"/>
    <w:rsid w:val="002447D0"/>
    <w:rsid w:val="002454C5"/>
    <w:rsid w:val="00245E19"/>
    <w:rsid w:val="0024685F"/>
    <w:rsid w:val="00246AEB"/>
    <w:rsid w:val="00250005"/>
    <w:rsid w:val="002515EE"/>
    <w:rsid w:val="0025254F"/>
    <w:rsid w:val="002540A2"/>
    <w:rsid w:val="0025566D"/>
    <w:rsid w:val="0025595C"/>
    <w:rsid w:val="00257149"/>
    <w:rsid w:val="002576E7"/>
    <w:rsid w:val="00260357"/>
    <w:rsid w:val="0026156A"/>
    <w:rsid w:val="00264F04"/>
    <w:rsid w:val="00267554"/>
    <w:rsid w:val="0027122D"/>
    <w:rsid w:val="0028338F"/>
    <w:rsid w:val="00284F20"/>
    <w:rsid w:val="00285C24"/>
    <w:rsid w:val="002915C4"/>
    <w:rsid w:val="002A1D1C"/>
    <w:rsid w:val="002A4D64"/>
    <w:rsid w:val="002B4E95"/>
    <w:rsid w:val="002B6554"/>
    <w:rsid w:val="002D05F0"/>
    <w:rsid w:val="002D7D4A"/>
    <w:rsid w:val="002E1906"/>
    <w:rsid w:val="002E376E"/>
    <w:rsid w:val="002E3846"/>
    <w:rsid w:val="002E3F78"/>
    <w:rsid w:val="002F400C"/>
    <w:rsid w:val="002F4D76"/>
    <w:rsid w:val="002F5F65"/>
    <w:rsid w:val="002F6D26"/>
    <w:rsid w:val="002F7438"/>
    <w:rsid w:val="0030231E"/>
    <w:rsid w:val="003042C4"/>
    <w:rsid w:val="00304CB4"/>
    <w:rsid w:val="00312301"/>
    <w:rsid w:val="0031296D"/>
    <w:rsid w:val="00313F37"/>
    <w:rsid w:val="003141D0"/>
    <w:rsid w:val="003168C1"/>
    <w:rsid w:val="00316AB3"/>
    <w:rsid w:val="00322FBE"/>
    <w:rsid w:val="00325632"/>
    <w:rsid w:val="00327549"/>
    <w:rsid w:val="00330DE3"/>
    <w:rsid w:val="003342A5"/>
    <w:rsid w:val="00334A6F"/>
    <w:rsid w:val="003351B7"/>
    <w:rsid w:val="00336C36"/>
    <w:rsid w:val="00340922"/>
    <w:rsid w:val="00343815"/>
    <w:rsid w:val="003449A1"/>
    <w:rsid w:val="00347234"/>
    <w:rsid w:val="0034763B"/>
    <w:rsid w:val="003522BB"/>
    <w:rsid w:val="00352F6C"/>
    <w:rsid w:val="003556EA"/>
    <w:rsid w:val="00357C52"/>
    <w:rsid w:val="00364377"/>
    <w:rsid w:val="00377ABB"/>
    <w:rsid w:val="003808E4"/>
    <w:rsid w:val="003854F5"/>
    <w:rsid w:val="00386FC7"/>
    <w:rsid w:val="00390A32"/>
    <w:rsid w:val="00396243"/>
    <w:rsid w:val="00396C89"/>
    <w:rsid w:val="003A2962"/>
    <w:rsid w:val="003A40F2"/>
    <w:rsid w:val="003A50D1"/>
    <w:rsid w:val="003B09BA"/>
    <w:rsid w:val="003B196D"/>
    <w:rsid w:val="003B2710"/>
    <w:rsid w:val="003B4608"/>
    <w:rsid w:val="003C1B8E"/>
    <w:rsid w:val="003C2392"/>
    <w:rsid w:val="003C315C"/>
    <w:rsid w:val="003C4832"/>
    <w:rsid w:val="003C5174"/>
    <w:rsid w:val="003C5240"/>
    <w:rsid w:val="003C5B71"/>
    <w:rsid w:val="003C5BA6"/>
    <w:rsid w:val="003C7901"/>
    <w:rsid w:val="003D14E0"/>
    <w:rsid w:val="003D1EA5"/>
    <w:rsid w:val="003D3348"/>
    <w:rsid w:val="003D6822"/>
    <w:rsid w:val="003D724C"/>
    <w:rsid w:val="003E0CE2"/>
    <w:rsid w:val="003E1CEE"/>
    <w:rsid w:val="003F49E4"/>
    <w:rsid w:val="003F4D2F"/>
    <w:rsid w:val="003F5E32"/>
    <w:rsid w:val="003F75F6"/>
    <w:rsid w:val="004045C2"/>
    <w:rsid w:val="00404670"/>
    <w:rsid w:val="004050F7"/>
    <w:rsid w:val="00411148"/>
    <w:rsid w:val="00411BA6"/>
    <w:rsid w:val="00414CA0"/>
    <w:rsid w:val="004151BF"/>
    <w:rsid w:val="00416966"/>
    <w:rsid w:val="00422F54"/>
    <w:rsid w:val="00427234"/>
    <w:rsid w:val="00430ADF"/>
    <w:rsid w:val="00431516"/>
    <w:rsid w:val="004361B3"/>
    <w:rsid w:val="0044249D"/>
    <w:rsid w:val="004436EB"/>
    <w:rsid w:val="0044379F"/>
    <w:rsid w:val="00446FB1"/>
    <w:rsid w:val="0046078F"/>
    <w:rsid w:val="00461371"/>
    <w:rsid w:val="00463214"/>
    <w:rsid w:val="0046434D"/>
    <w:rsid w:val="004656FA"/>
    <w:rsid w:val="00470641"/>
    <w:rsid w:val="00471D77"/>
    <w:rsid w:val="00475587"/>
    <w:rsid w:val="00477E96"/>
    <w:rsid w:val="00480BC2"/>
    <w:rsid w:val="00483184"/>
    <w:rsid w:val="0048559B"/>
    <w:rsid w:val="00486725"/>
    <w:rsid w:val="004929C2"/>
    <w:rsid w:val="00493FDD"/>
    <w:rsid w:val="0049586B"/>
    <w:rsid w:val="004A3E44"/>
    <w:rsid w:val="004A7983"/>
    <w:rsid w:val="004B2896"/>
    <w:rsid w:val="004B38E9"/>
    <w:rsid w:val="004B3FBA"/>
    <w:rsid w:val="004B556F"/>
    <w:rsid w:val="004B6599"/>
    <w:rsid w:val="004C2335"/>
    <w:rsid w:val="004C35CE"/>
    <w:rsid w:val="004C398E"/>
    <w:rsid w:val="004C4A1C"/>
    <w:rsid w:val="004C5ED6"/>
    <w:rsid w:val="004C6CA7"/>
    <w:rsid w:val="004D4357"/>
    <w:rsid w:val="004D4950"/>
    <w:rsid w:val="004E2393"/>
    <w:rsid w:val="004E27EC"/>
    <w:rsid w:val="004E3745"/>
    <w:rsid w:val="004E42BE"/>
    <w:rsid w:val="004E4F42"/>
    <w:rsid w:val="004E63D5"/>
    <w:rsid w:val="004F03FD"/>
    <w:rsid w:val="004F04E8"/>
    <w:rsid w:val="004F4DC9"/>
    <w:rsid w:val="004F52F0"/>
    <w:rsid w:val="004F5A87"/>
    <w:rsid w:val="004F6250"/>
    <w:rsid w:val="004F677C"/>
    <w:rsid w:val="004F6D8F"/>
    <w:rsid w:val="00505503"/>
    <w:rsid w:val="005056D7"/>
    <w:rsid w:val="0051107B"/>
    <w:rsid w:val="00512F9C"/>
    <w:rsid w:val="00516A71"/>
    <w:rsid w:val="00527CDB"/>
    <w:rsid w:val="005315C5"/>
    <w:rsid w:val="005317FB"/>
    <w:rsid w:val="005341C9"/>
    <w:rsid w:val="005369CA"/>
    <w:rsid w:val="00536DE9"/>
    <w:rsid w:val="00540668"/>
    <w:rsid w:val="00541E08"/>
    <w:rsid w:val="00544D42"/>
    <w:rsid w:val="005503E4"/>
    <w:rsid w:val="005512EE"/>
    <w:rsid w:val="00555663"/>
    <w:rsid w:val="0055789A"/>
    <w:rsid w:val="00560E8B"/>
    <w:rsid w:val="00562C88"/>
    <w:rsid w:val="005652D1"/>
    <w:rsid w:val="005660A0"/>
    <w:rsid w:val="00566A4F"/>
    <w:rsid w:val="00567D64"/>
    <w:rsid w:val="00572BC2"/>
    <w:rsid w:val="0058778F"/>
    <w:rsid w:val="005938ED"/>
    <w:rsid w:val="0059478C"/>
    <w:rsid w:val="0059527E"/>
    <w:rsid w:val="0059604C"/>
    <w:rsid w:val="00596881"/>
    <w:rsid w:val="005978D4"/>
    <w:rsid w:val="005A153B"/>
    <w:rsid w:val="005A3864"/>
    <w:rsid w:val="005A4DC0"/>
    <w:rsid w:val="005B2A67"/>
    <w:rsid w:val="005B3DCD"/>
    <w:rsid w:val="005B4AD4"/>
    <w:rsid w:val="005B5CC7"/>
    <w:rsid w:val="005C2798"/>
    <w:rsid w:val="005C36C3"/>
    <w:rsid w:val="005C56EE"/>
    <w:rsid w:val="005C5D4B"/>
    <w:rsid w:val="005D1714"/>
    <w:rsid w:val="005D2D39"/>
    <w:rsid w:val="005D74D3"/>
    <w:rsid w:val="005D7638"/>
    <w:rsid w:val="005E02DE"/>
    <w:rsid w:val="005F12F5"/>
    <w:rsid w:val="005F4B4F"/>
    <w:rsid w:val="005F5B0C"/>
    <w:rsid w:val="005F7004"/>
    <w:rsid w:val="005F7C7D"/>
    <w:rsid w:val="0060256A"/>
    <w:rsid w:val="006044B7"/>
    <w:rsid w:val="0060593F"/>
    <w:rsid w:val="006071CE"/>
    <w:rsid w:val="006075B5"/>
    <w:rsid w:val="0061018C"/>
    <w:rsid w:val="0061094E"/>
    <w:rsid w:val="00613440"/>
    <w:rsid w:val="00613BE3"/>
    <w:rsid w:val="0062327B"/>
    <w:rsid w:val="00630661"/>
    <w:rsid w:val="006310D3"/>
    <w:rsid w:val="00632777"/>
    <w:rsid w:val="00633750"/>
    <w:rsid w:val="00634491"/>
    <w:rsid w:val="00635FE5"/>
    <w:rsid w:val="0063679C"/>
    <w:rsid w:val="00637055"/>
    <w:rsid w:val="00641A75"/>
    <w:rsid w:val="00641D59"/>
    <w:rsid w:val="00644507"/>
    <w:rsid w:val="00646880"/>
    <w:rsid w:val="00647D2A"/>
    <w:rsid w:val="006537BB"/>
    <w:rsid w:val="00657109"/>
    <w:rsid w:val="0065711B"/>
    <w:rsid w:val="00671785"/>
    <w:rsid w:val="00672BA9"/>
    <w:rsid w:val="00673005"/>
    <w:rsid w:val="00677FF6"/>
    <w:rsid w:val="00680097"/>
    <w:rsid w:val="006804BE"/>
    <w:rsid w:val="006836CB"/>
    <w:rsid w:val="0069008E"/>
    <w:rsid w:val="0069087E"/>
    <w:rsid w:val="00691191"/>
    <w:rsid w:val="006925C4"/>
    <w:rsid w:val="0069309C"/>
    <w:rsid w:val="006A02B7"/>
    <w:rsid w:val="006A6FC3"/>
    <w:rsid w:val="006B46D5"/>
    <w:rsid w:val="006B46F4"/>
    <w:rsid w:val="006B5192"/>
    <w:rsid w:val="006C7AF3"/>
    <w:rsid w:val="006D01AD"/>
    <w:rsid w:val="006D6548"/>
    <w:rsid w:val="006E0C79"/>
    <w:rsid w:val="006E0E20"/>
    <w:rsid w:val="006E4256"/>
    <w:rsid w:val="006E4BBA"/>
    <w:rsid w:val="006E5F43"/>
    <w:rsid w:val="006E60A6"/>
    <w:rsid w:val="006F0F69"/>
    <w:rsid w:val="006F0F85"/>
    <w:rsid w:val="006F116B"/>
    <w:rsid w:val="006F117F"/>
    <w:rsid w:val="006F13DF"/>
    <w:rsid w:val="006F1E66"/>
    <w:rsid w:val="006F21EB"/>
    <w:rsid w:val="006F384F"/>
    <w:rsid w:val="006F4FC2"/>
    <w:rsid w:val="007023FD"/>
    <w:rsid w:val="00702F26"/>
    <w:rsid w:val="007030B4"/>
    <w:rsid w:val="0070313E"/>
    <w:rsid w:val="00703799"/>
    <w:rsid w:val="00705C5C"/>
    <w:rsid w:val="00711475"/>
    <w:rsid w:val="007221F4"/>
    <w:rsid w:val="0072548A"/>
    <w:rsid w:val="007277A6"/>
    <w:rsid w:val="00730D7F"/>
    <w:rsid w:val="00731303"/>
    <w:rsid w:val="00734CFC"/>
    <w:rsid w:val="007429DD"/>
    <w:rsid w:val="007437AB"/>
    <w:rsid w:val="00751EF2"/>
    <w:rsid w:val="00752A8B"/>
    <w:rsid w:val="007534F8"/>
    <w:rsid w:val="007545AD"/>
    <w:rsid w:val="00763722"/>
    <w:rsid w:val="00764BC1"/>
    <w:rsid w:val="00770869"/>
    <w:rsid w:val="00772E46"/>
    <w:rsid w:val="007738AA"/>
    <w:rsid w:val="00780A62"/>
    <w:rsid w:val="00783241"/>
    <w:rsid w:val="007838EC"/>
    <w:rsid w:val="00784BDC"/>
    <w:rsid w:val="007851EC"/>
    <w:rsid w:val="00792163"/>
    <w:rsid w:val="00792F28"/>
    <w:rsid w:val="0079543F"/>
    <w:rsid w:val="00795880"/>
    <w:rsid w:val="007A4367"/>
    <w:rsid w:val="007A6AC1"/>
    <w:rsid w:val="007B0867"/>
    <w:rsid w:val="007B1AC1"/>
    <w:rsid w:val="007B5A08"/>
    <w:rsid w:val="007B693D"/>
    <w:rsid w:val="007C340D"/>
    <w:rsid w:val="007D0338"/>
    <w:rsid w:val="007D07E9"/>
    <w:rsid w:val="007E041B"/>
    <w:rsid w:val="007E199A"/>
    <w:rsid w:val="007E2415"/>
    <w:rsid w:val="007E39F3"/>
    <w:rsid w:val="007E68F4"/>
    <w:rsid w:val="007E7296"/>
    <w:rsid w:val="007E7A23"/>
    <w:rsid w:val="007F31BA"/>
    <w:rsid w:val="007F4078"/>
    <w:rsid w:val="007F7C30"/>
    <w:rsid w:val="0080014B"/>
    <w:rsid w:val="00801793"/>
    <w:rsid w:val="008031FA"/>
    <w:rsid w:val="00803642"/>
    <w:rsid w:val="00806EA2"/>
    <w:rsid w:val="008072B1"/>
    <w:rsid w:val="00812A2B"/>
    <w:rsid w:val="00814A4C"/>
    <w:rsid w:val="00815212"/>
    <w:rsid w:val="00816EF1"/>
    <w:rsid w:val="0082063D"/>
    <w:rsid w:val="00830447"/>
    <w:rsid w:val="00831AAB"/>
    <w:rsid w:val="00834A32"/>
    <w:rsid w:val="0083574E"/>
    <w:rsid w:val="0083640C"/>
    <w:rsid w:val="0084157B"/>
    <w:rsid w:val="00842BFB"/>
    <w:rsid w:val="00846B85"/>
    <w:rsid w:val="00847DC3"/>
    <w:rsid w:val="00847F49"/>
    <w:rsid w:val="00850EC5"/>
    <w:rsid w:val="008535C5"/>
    <w:rsid w:val="00853765"/>
    <w:rsid w:val="0085516F"/>
    <w:rsid w:val="00861278"/>
    <w:rsid w:val="0086532F"/>
    <w:rsid w:val="00867186"/>
    <w:rsid w:val="00870AF6"/>
    <w:rsid w:val="00881268"/>
    <w:rsid w:val="0088394A"/>
    <w:rsid w:val="00884E01"/>
    <w:rsid w:val="008860BD"/>
    <w:rsid w:val="00887399"/>
    <w:rsid w:val="0088779E"/>
    <w:rsid w:val="008902EF"/>
    <w:rsid w:val="008912AF"/>
    <w:rsid w:val="00892114"/>
    <w:rsid w:val="00892CB9"/>
    <w:rsid w:val="008935CB"/>
    <w:rsid w:val="008B0E7E"/>
    <w:rsid w:val="008B1FA5"/>
    <w:rsid w:val="008B5C56"/>
    <w:rsid w:val="008B5FF0"/>
    <w:rsid w:val="008B65BD"/>
    <w:rsid w:val="008B7900"/>
    <w:rsid w:val="008C180B"/>
    <w:rsid w:val="008C3DCF"/>
    <w:rsid w:val="008C6BF1"/>
    <w:rsid w:val="008C71BF"/>
    <w:rsid w:val="008C74D7"/>
    <w:rsid w:val="008C7FE0"/>
    <w:rsid w:val="008D28E7"/>
    <w:rsid w:val="008D5717"/>
    <w:rsid w:val="008E00A6"/>
    <w:rsid w:val="008E44A9"/>
    <w:rsid w:val="008E6B4D"/>
    <w:rsid w:val="008E6BFF"/>
    <w:rsid w:val="008F21AF"/>
    <w:rsid w:val="008F2400"/>
    <w:rsid w:val="008F61BA"/>
    <w:rsid w:val="008F6E3C"/>
    <w:rsid w:val="008F7C55"/>
    <w:rsid w:val="00901DC3"/>
    <w:rsid w:val="0090338C"/>
    <w:rsid w:val="009124A1"/>
    <w:rsid w:val="00912788"/>
    <w:rsid w:val="00914A23"/>
    <w:rsid w:val="00930754"/>
    <w:rsid w:val="00931164"/>
    <w:rsid w:val="00932DBA"/>
    <w:rsid w:val="00934F68"/>
    <w:rsid w:val="009355AC"/>
    <w:rsid w:val="00935F38"/>
    <w:rsid w:val="00936E7F"/>
    <w:rsid w:val="00937586"/>
    <w:rsid w:val="00947889"/>
    <w:rsid w:val="0095405B"/>
    <w:rsid w:val="00960E98"/>
    <w:rsid w:val="00963A82"/>
    <w:rsid w:val="00964B00"/>
    <w:rsid w:val="009717B2"/>
    <w:rsid w:val="009727E7"/>
    <w:rsid w:val="00972912"/>
    <w:rsid w:val="00972CA0"/>
    <w:rsid w:val="00973AFE"/>
    <w:rsid w:val="00975D25"/>
    <w:rsid w:val="00976D1F"/>
    <w:rsid w:val="00977BDC"/>
    <w:rsid w:val="00981C81"/>
    <w:rsid w:val="00992209"/>
    <w:rsid w:val="00992372"/>
    <w:rsid w:val="009A0B95"/>
    <w:rsid w:val="009A2D24"/>
    <w:rsid w:val="009A456C"/>
    <w:rsid w:val="009A4B24"/>
    <w:rsid w:val="009B00E0"/>
    <w:rsid w:val="009B144B"/>
    <w:rsid w:val="009B292A"/>
    <w:rsid w:val="009B76D5"/>
    <w:rsid w:val="009C165D"/>
    <w:rsid w:val="009C37F7"/>
    <w:rsid w:val="009C3CEA"/>
    <w:rsid w:val="009C583D"/>
    <w:rsid w:val="009D2611"/>
    <w:rsid w:val="009D79D2"/>
    <w:rsid w:val="009E247C"/>
    <w:rsid w:val="009E31BA"/>
    <w:rsid w:val="009E5147"/>
    <w:rsid w:val="009E6163"/>
    <w:rsid w:val="009E67F3"/>
    <w:rsid w:val="009E6F30"/>
    <w:rsid w:val="009F0528"/>
    <w:rsid w:val="009F0806"/>
    <w:rsid w:val="009F0B47"/>
    <w:rsid w:val="009F1C72"/>
    <w:rsid w:val="009F233B"/>
    <w:rsid w:val="009F2777"/>
    <w:rsid w:val="00A05D16"/>
    <w:rsid w:val="00A0659F"/>
    <w:rsid w:val="00A079BA"/>
    <w:rsid w:val="00A13B2F"/>
    <w:rsid w:val="00A14601"/>
    <w:rsid w:val="00A33875"/>
    <w:rsid w:val="00A360A1"/>
    <w:rsid w:val="00A402B3"/>
    <w:rsid w:val="00A42879"/>
    <w:rsid w:val="00A44B80"/>
    <w:rsid w:val="00A544B7"/>
    <w:rsid w:val="00A57059"/>
    <w:rsid w:val="00A618CF"/>
    <w:rsid w:val="00A62770"/>
    <w:rsid w:val="00A62EEB"/>
    <w:rsid w:val="00A660FF"/>
    <w:rsid w:val="00A6625A"/>
    <w:rsid w:val="00A66266"/>
    <w:rsid w:val="00A73395"/>
    <w:rsid w:val="00A8186B"/>
    <w:rsid w:val="00A82B4C"/>
    <w:rsid w:val="00A87ED2"/>
    <w:rsid w:val="00A93355"/>
    <w:rsid w:val="00A93A4C"/>
    <w:rsid w:val="00A94D5D"/>
    <w:rsid w:val="00AA1D9B"/>
    <w:rsid w:val="00AA2543"/>
    <w:rsid w:val="00AA3804"/>
    <w:rsid w:val="00AA55C2"/>
    <w:rsid w:val="00AA72E0"/>
    <w:rsid w:val="00AB0ACA"/>
    <w:rsid w:val="00AB1D41"/>
    <w:rsid w:val="00AC0B23"/>
    <w:rsid w:val="00AC198B"/>
    <w:rsid w:val="00AC5E9A"/>
    <w:rsid w:val="00AC704B"/>
    <w:rsid w:val="00AD553E"/>
    <w:rsid w:val="00AD5848"/>
    <w:rsid w:val="00AD6AA8"/>
    <w:rsid w:val="00AE5ADA"/>
    <w:rsid w:val="00AF5B11"/>
    <w:rsid w:val="00AF6145"/>
    <w:rsid w:val="00B01386"/>
    <w:rsid w:val="00B01BB5"/>
    <w:rsid w:val="00B04AF4"/>
    <w:rsid w:val="00B05214"/>
    <w:rsid w:val="00B0736F"/>
    <w:rsid w:val="00B12479"/>
    <w:rsid w:val="00B15842"/>
    <w:rsid w:val="00B163C3"/>
    <w:rsid w:val="00B2695B"/>
    <w:rsid w:val="00B30D97"/>
    <w:rsid w:val="00B31738"/>
    <w:rsid w:val="00B3181A"/>
    <w:rsid w:val="00B35A7C"/>
    <w:rsid w:val="00B37758"/>
    <w:rsid w:val="00B450D1"/>
    <w:rsid w:val="00B53D47"/>
    <w:rsid w:val="00B54A25"/>
    <w:rsid w:val="00B618C3"/>
    <w:rsid w:val="00B63652"/>
    <w:rsid w:val="00B65098"/>
    <w:rsid w:val="00B668B0"/>
    <w:rsid w:val="00B700F8"/>
    <w:rsid w:val="00B70F5C"/>
    <w:rsid w:val="00B71873"/>
    <w:rsid w:val="00B75AE5"/>
    <w:rsid w:val="00B77EA8"/>
    <w:rsid w:val="00B800C0"/>
    <w:rsid w:val="00B8132B"/>
    <w:rsid w:val="00B84C5A"/>
    <w:rsid w:val="00B858F5"/>
    <w:rsid w:val="00B85ADA"/>
    <w:rsid w:val="00B876E7"/>
    <w:rsid w:val="00B93668"/>
    <w:rsid w:val="00B94ADC"/>
    <w:rsid w:val="00B97BB7"/>
    <w:rsid w:val="00BA091C"/>
    <w:rsid w:val="00BA68C6"/>
    <w:rsid w:val="00BB12F1"/>
    <w:rsid w:val="00BB276E"/>
    <w:rsid w:val="00BB3FEE"/>
    <w:rsid w:val="00BB5EB0"/>
    <w:rsid w:val="00BB7A27"/>
    <w:rsid w:val="00BC245A"/>
    <w:rsid w:val="00BC340C"/>
    <w:rsid w:val="00BD16FA"/>
    <w:rsid w:val="00BD1C42"/>
    <w:rsid w:val="00BD41C3"/>
    <w:rsid w:val="00BD488B"/>
    <w:rsid w:val="00BD7CCC"/>
    <w:rsid w:val="00BE002A"/>
    <w:rsid w:val="00BE1BC9"/>
    <w:rsid w:val="00BE5CDA"/>
    <w:rsid w:val="00BE608F"/>
    <w:rsid w:val="00BF23BB"/>
    <w:rsid w:val="00BF2B6A"/>
    <w:rsid w:val="00BF2EDC"/>
    <w:rsid w:val="00BF33DD"/>
    <w:rsid w:val="00BF417B"/>
    <w:rsid w:val="00BF5755"/>
    <w:rsid w:val="00BF684B"/>
    <w:rsid w:val="00C016F3"/>
    <w:rsid w:val="00C15193"/>
    <w:rsid w:val="00C15609"/>
    <w:rsid w:val="00C15A5A"/>
    <w:rsid w:val="00C15F6A"/>
    <w:rsid w:val="00C23EA7"/>
    <w:rsid w:val="00C256F3"/>
    <w:rsid w:val="00C26329"/>
    <w:rsid w:val="00C270A2"/>
    <w:rsid w:val="00C273E1"/>
    <w:rsid w:val="00C315B5"/>
    <w:rsid w:val="00C32D3A"/>
    <w:rsid w:val="00C35E28"/>
    <w:rsid w:val="00C426AF"/>
    <w:rsid w:val="00C469C1"/>
    <w:rsid w:val="00C50659"/>
    <w:rsid w:val="00C51B39"/>
    <w:rsid w:val="00C5338A"/>
    <w:rsid w:val="00C547DC"/>
    <w:rsid w:val="00C54EF9"/>
    <w:rsid w:val="00C56BBF"/>
    <w:rsid w:val="00C572AA"/>
    <w:rsid w:val="00C57A9A"/>
    <w:rsid w:val="00C6016A"/>
    <w:rsid w:val="00C60B3F"/>
    <w:rsid w:val="00C623EB"/>
    <w:rsid w:val="00C6258A"/>
    <w:rsid w:val="00C64C6B"/>
    <w:rsid w:val="00C65138"/>
    <w:rsid w:val="00C66F2E"/>
    <w:rsid w:val="00C6785C"/>
    <w:rsid w:val="00C70FD1"/>
    <w:rsid w:val="00C733AA"/>
    <w:rsid w:val="00C8140E"/>
    <w:rsid w:val="00C83027"/>
    <w:rsid w:val="00C84B8A"/>
    <w:rsid w:val="00C85E65"/>
    <w:rsid w:val="00C87CA1"/>
    <w:rsid w:val="00C911B4"/>
    <w:rsid w:val="00C91B3B"/>
    <w:rsid w:val="00C91ED3"/>
    <w:rsid w:val="00C94262"/>
    <w:rsid w:val="00C9686F"/>
    <w:rsid w:val="00C976E1"/>
    <w:rsid w:val="00CA148E"/>
    <w:rsid w:val="00CA2A02"/>
    <w:rsid w:val="00CA3A9A"/>
    <w:rsid w:val="00CB6BC1"/>
    <w:rsid w:val="00CB7021"/>
    <w:rsid w:val="00CC1F10"/>
    <w:rsid w:val="00CC2DFC"/>
    <w:rsid w:val="00CC5EEA"/>
    <w:rsid w:val="00CD3294"/>
    <w:rsid w:val="00CD4524"/>
    <w:rsid w:val="00CD784D"/>
    <w:rsid w:val="00CE1C57"/>
    <w:rsid w:val="00CF0CCE"/>
    <w:rsid w:val="00CF1841"/>
    <w:rsid w:val="00CF40F8"/>
    <w:rsid w:val="00D008DA"/>
    <w:rsid w:val="00D00930"/>
    <w:rsid w:val="00D013BD"/>
    <w:rsid w:val="00D03452"/>
    <w:rsid w:val="00D0416F"/>
    <w:rsid w:val="00D05851"/>
    <w:rsid w:val="00D10FED"/>
    <w:rsid w:val="00D11736"/>
    <w:rsid w:val="00D12688"/>
    <w:rsid w:val="00D12EE8"/>
    <w:rsid w:val="00D15FF1"/>
    <w:rsid w:val="00D167F4"/>
    <w:rsid w:val="00D2092A"/>
    <w:rsid w:val="00D21357"/>
    <w:rsid w:val="00D2216D"/>
    <w:rsid w:val="00D23155"/>
    <w:rsid w:val="00D31A6F"/>
    <w:rsid w:val="00D33293"/>
    <w:rsid w:val="00D33E4B"/>
    <w:rsid w:val="00D353D1"/>
    <w:rsid w:val="00D367DB"/>
    <w:rsid w:val="00D36E05"/>
    <w:rsid w:val="00D41485"/>
    <w:rsid w:val="00D44F27"/>
    <w:rsid w:val="00D45304"/>
    <w:rsid w:val="00D461C7"/>
    <w:rsid w:val="00D50424"/>
    <w:rsid w:val="00D56F15"/>
    <w:rsid w:val="00D57D3E"/>
    <w:rsid w:val="00D60D8E"/>
    <w:rsid w:val="00D80B71"/>
    <w:rsid w:val="00D843F4"/>
    <w:rsid w:val="00D94DA1"/>
    <w:rsid w:val="00DA1865"/>
    <w:rsid w:val="00DA68A8"/>
    <w:rsid w:val="00DC23CF"/>
    <w:rsid w:val="00DC6562"/>
    <w:rsid w:val="00DE130D"/>
    <w:rsid w:val="00DE24CF"/>
    <w:rsid w:val="00DE407C"/>
    <w:rsid w:val="00DE7C7D"/>
    <w:rsid w:val="00DF2992"/>
    <w:rsid w:val="00DF29AB"/>
    <w:rsid w:val="00DF2D0C"/>
    <w:rsid w:val="00E017A8"/>
    <w:rsid w:val="00E01B9D"/>
    <w:rsid w:val="00E04F5E"/>
    <w:rsid w:val="00E0522E"/>
    <w:rsid w:val="00E06B38"/>
    <w:rsid w:val="00E120F4"/>
    <w:rsid w:val="00E155F9"/>
    <w:rsid w:val="00E17172"/>
    <w:rsid w:val="00E3181C"/>
    <w:rsid w:val="00E3280A"/>
    <w:rsid w:val="00E32EC5"/>
    <w:rsid w:val="00E372AF"/>
    <w:rsid w:val="00E37D68"/>
    <w:rsid w:val="00E40EAE"/>
    <w:rsid w:val="00E436AC"/>
    <w:rsid w:val="00E44FF8"/>
    <w:rsid w:val="00E5066A"/>
    <w:rsid w:val="00E52CF9"/>
    <w:rsid w:val="00E63F34"/>
    <w:rsid w:val="00E655EA"/>
    <w:rsid w:val="00E6715A"/>
    <w:rsid w:val="00E73698"/>
    <w:rsid w:val="00E75DC9"/>
    <w:rsid w:val="00E81610"/>
    <w:rsid w:val="00E84910"/>
    <w:rsid w:val="00E84F1A"/>
    <w:rsid w:val="00E85B28"/>
    <w:rsid w:val="00E866EE"/>
    <w:rsid w:val="00E86AF3"/>
    <w:rsid w:val="00E91976"/>
    <w:rsid w:val="00E947A6"/>
    <w:rsid w:val="00E97FC7"/>
    <w:rsid w:val="00EA02D4"/>
    <w:rsid w:val="00EA0690"/>
    <w:rsid w:val="00EA3956"/>
    <w:rsid w:val="00EA5571"/>
    <w:rsid w:val="00EB7419"/>
    <w:rsid w:val="00EC02A5"/>
    <w:rsid w:val="00EC176B"/>
    <w:rsid w:val="00EC33CD"/>
    <w:rsid w:val="00EC5BE5"/>
    <w:rsid w:val="00ED2650"/>
    <w:rsid w:val="00ED268B"/>
    <w:rsid w:val="00ED341D"/>
    <w:rsid w:val="00ED721A"/>
    <w:rsid w:val="00ED7989"/>
    <w:rsid w:val="00EE0B41"/>
    <w:rsid w:val="00EE393D"/>
    <w:rsid w:val="00EE6D5D"/>
    <w:rsid w:val="00EF01CF"/>
    <w:rsid w:val="00EF6A66"/>
    <w:rsid w:val="00EF7AF9"/>
    <w:rsid w:val="00EF7D2B"/>
    <w:rsid w:val="00F01495"/>
    <w:rsid w:val="00F01EE6"/>
    <w:rsid w:val="00F07E19"/>
    <w:rsid w:val="00F10138"/>
    <w:rsid w:val="00F10CBC"/>
    <w:rsid w:val="00F13F92"/>
    <w:rsid w:val="00F22ECA"/>
    <w:rsid w:val="00F240E8"/>
    <w:rsid w:val="00F244FA"/>
    <w:rsid w:val="00F32CC4"/>
    <w:rsid w:val="00F3363A"/>
    <w:rsid w:val="00F366A2"/>
    <w:rsid w:val="00F44F43"/>
    <w:rsid w:val="00F450E1"/>
    <w:rsid w:val="00F50DF4"/>
    <w:rsid w:val="00F57256"/>
    <w:rsid w:val="00F57AFE"/>
    <w:rsid w:val="00F6278E"/>
    <w:rsid w:val="00F63C41"/>
    <w:rsid w:val="00F63E96"/>
    <w:rsid w:val="00F701E3"/>
    <w:rsid w:val="00F71F8C"/>
    <w:rsid w:val="00F80362"/>
    <w:rsid w:val="00F8143B"/>
    <w:rsid w:val="00F86AD4"/>
    <w:rsid w:val="00F92EE4"/>
    <w:rsid w:val="00FA0113"/>
    <w:rsid w:val="00FA12B2"/>
    <w:rsid w:val="00FA7610"/>
    <w:rsid w:val="00FB02BD"/>
    <w:rsid w:val="00FB17FB"/>
    <w:rsid w:val="00FB2CAB"/>
    <w:rsid w:val="00FB398F"/>
    <w:rsid w:val="00FB47C5"/>
    <w:rsid w:val="00FB4EF8"/>
    <w:rsid w:val="00FB6692"/>
    <w:rsid w:val="00FB78DD"/>
    <w:rsid w:val="00FC125E"/>
    <w:rsid w:val="00FC3EF3"/>
    <w:rsid w:val="00FD2049"/>
    <w:rsid w:val="00FD2140"/>
    <w:rsid w:val="00FD4514"/>
    <w:rsid w:val="00FD5BDE"/>
    <w:rsid w:val="00FD68EC"/>
    <w:rsid w:val="00FE0476"/>
    <w:rsid w:val="00FE0B5A"/>
    <w:rsid w:val="00FE24A5"/>
    <w:rsid w:val="00FE31E5"/>
    <w:rsid w:val="00FE6234"/>
    <w:rsid w:val="00FF04F8"/>
    <w:rsid w:val="00FF18EC"/>
    <w:rsid w:val="00FF19AD"/>
    <w:rsid w:val="00FF1EB5"/>
    <w:rsid w:val="00FF292D"/>
    <w:rsid w:val="00FF298D"/>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5AE06585"/>
  <w15:docId w15:val="{6B22C269-19B5-4DB5-A9A7-F1E36080A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rPr>
  </w:style>
  <w:style w:type="character" w:styleId="FollowedHyperlink">
    <w:name w:val="FollowedHyperlink"/>
    <w:uiPriority w:val="99"/>
    <w:semiHidden/>
    <w:unhideWhenUsed/>
    <w:rsid w:val="000B6F3B"/>
    <w:rPr>
      <w:color w:val="800080"/>
      <w:u w:val="single"/>
    </w:rPr>
  </w:style>
  <w:style w:type="character" w:customStyle="1" w:styleId="UnresolvedMention1">
    <w:name w:val="Unresolved Mention1"/>
    <w:basedOn w:val="DefaultParagraphFont"/>
    <w:uiPriority w:val="99"/>
    <w:semiHidden/>
    <w:unhideWhenUsed/>
    <w:rsid w:val="006F21EB"/>
    <w:rPr>
      <w:color w:val="605E5C"/>
      <w:shd w:val="clear" w:color="auto" w:fill="E1DFDD"/>
    </w:rPr>
  </w:style>
  <w:style w:type="character" w:customStyle="1" w:styleId="UnresolvedMention2">
    <w:name w:val="Unresolved Mention2"/>
    <w:basedOn w:val="DefaultParagraphFont"/>
    <w:uiPriority w:val="99"/>
    <w:semiHidden/>
    <w:unhideWhenUsed/>
    <w:rsid w:val="00B97B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59913622">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387797116">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michael@cystat.mof.gov.c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ystat.gov.cy/en/KeyFiguresList?s=48" TargetMode="External"/><Relationship Id="rId4" Type="http://schemas.openxmlformats.org/officeDocument/2006/relationships/settings" Target="settings.xml"/><Relationship Id="rId9" Type="http://schemas.openxmlformats.org/officeDocument/2006/relationships/hyperlink" Target="https://www.cystat.gov.cy/en/SubthemeStatistics?id=48"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cystat.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A1748-1592-4D7C-98D4-5086B934F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4</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5492</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Theodoulou  George</cp:lastModifiedBy>
  <cp:revision>65</cp:revision>
  <cp:lastPrinted>2024-07-26T09:51:00Z</cp:lastPrinted>
  <dcterms:created xsi:type="dcterms:W3CDTF">2024-03-07T09:45:00Z</dcterms:created>
  <dcterms:modified xsi:type="dcterms:W3CDTF">2024-10-08T08:56:00Z</dcterms:modified>
</cp:coreProperties>
</file>