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1CAA" w:rsidRPr="00604689" w:rsidRDefault="00981CAA" w:rsidP="00604689">
      <w:pPr>
        <w:rPr>
          <w:rFonts w:ascii="Verdana" w:hAnsi="Verdana" w:cs="Arial"/>
          <w:sz w:val="18"/>
          <w:szCs w:val="18"/>
          <w:lang w:val="el-GR"/>
        </w:rPr>
      </w:pPr>
    </w:p>
    <w:p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:rsidR="00DD16F7" w:rsidRPr="00DD16F7" w:rsidRDefault="00951955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4</w:t>
      </w:r>
      <w:r w:rsidR="006C36E2" w:rsidRPr="008C59D8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Μαρτίου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F233C6">
        <w:rPr>
          <w:rFonts w:ascii="Verdana" w:hAnsi="Verdana" w:cs="Arial"/>
          <w:sz w:val="18"/>
          <w:szCs w:val="18"/>
          <w:lang w:val="el-GR"/>
        </w:rPr>
        <w:t>5</w:t>
      </w:r>
    </w:p>
    <w:p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DD16F7" w:rsidRPr="00C43DAE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951955">
        <w:rPr>
          <w:rFonts w:ascii="Verdana" w:hAnsi="Verdana" w:cs="Arial"/>
          <w:b/>
          <w:bCs/>
          <w:u w:val="single"/>
          <w:lang w:val="el-GR"/>
        </w:rPr>
        <w:t>ΙΑΝ-ΔΕΚ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0F7CB3">
        <w:rPr>
          <w:rFonts w:ascii="Verdana" w:hAnsi="Verdana" w:cs="Arial"/>
          <w:b/>
          <w:bCs/>
          <w:u w:val="single"/>
          <w:lang w:val="el-GR"/>
        </w:rPr>
        <w:t>4</w:t>
      </w:r>
    </w:p>
    <w:p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951955">
        <w:rPr>
          <w:rFonts w:ascii="Verdana" w:hAnsi="Verdana" w:cs="Arial"/>
          <w:b/>
          <w:bCs/>
          <w:lang w:val="el-GR"/>
        </w:rPr>
        <w:t>1.507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0B5AC0">
        <w:rPr>
          <w:rFonts w:ascii="Verdana" w:hAnsi="Verdana" w:cs="Arial"/>
          <w:b/>
          <w:bCs/>
          <w:lang w:val="el-GR"/>
        </w:rPr>
        <w:t>8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022B65" w:rsidRPr="005747B4" w:rsidRDefault="00DD16F7" w:rsidP="00022B6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951955">
        <w:rPr>
          <w:rFonts w:ascii="Verdana" w:hAnsi="Verdana" w:cs="Arial"/>
          <w:sz w:val="18"/>
          <w:szCs w:val="18"/>
          <w:lang w:val="el-GR"/>
        </w:rPr>
        <w:t>Δεκε</w:t>
      </w:r>
      <w:r w:rsidR="00F233C6">
        <w:rPr>
          <w:rFonts w:ascii="Verdana" w:hAnsi="Verdana" w:cs="Arial"/>
          <w:sz w:val="18"/>
          <w:szCs w:val="18"/>
          <w:lang w:val="el-GR"/>
        </w:rPr>
        <w:t>μ</w:t>
      </w:r>
      <w:r w:rsidR="000B5AC0">
        <w:rPr>
          <w:rFonts w:ascii="Verdana" w:hAnsi="Verdana" w:cs="Arial"/>
          <w:sz w:val="18"/>
          <w:szCs w:val="18"/>
          <w:lang w:val="el-GR"/>
        </w:rPr>
        <w:t>βρίου</w:t>
      </w:r>
      <w:r w:rsidR="005931A3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="005E7C64">
        <w:rPr>
          <w:rFonts w:ascii="Verdana" w:hAnsi="Verdana" w:cs="Arial"/>
          <w:sz w:val="18"/>
          <w:szCs w:val="18"/>
          <w:lang w:val="el-GR"/>
        </w:rPr>
        <w:t xml:space="preserve">    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951955">
        <w:rPr>
          <w:rFonts w:ascii="Verdana" w:hAnsi="Verdana" w:cs="Arial"/>
          <w:sz w:val="18"/>
          <w:szCs w:val="18"/>
          <w:lang w:val="el-GR"/>
        </w:rPr>
        <w:t>1.507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6C36E2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951955">
        <w:rPr>
          <w:rFonts w:ascii="Verdana" w:hAnsi="Verdana" w:cs="Arial"/>
          <w:sz w:val="18"/>
          <w:szCs w:val="18"/>
          <w:lang w:val="el-GR"/>
        </w:rPr>
        <w:t>631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C59D8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951955">
        <w:rPr>
          <w:rFonts w:ascii="Verdana" w:hAnsi="Verdana" w:cs="Arial"/>
          <w:sz w:val="18"/>
          <w:szCs w:val="18"/>
          <w:lang w:val="el-GR"/>
        </w:rPr>
        <w:t>Δεκε</w:t>
      </w:r>
      <w:r w:rsidR="00F233C6">
        <w:rPr>
          <w:rFonts w:ascii="Verdana" w:hAnsi="Verdana" w:cs="Arial"/>
          <w:sz w:val="18"/>
          <w:szCs w:val="18"/>
          <w:lang w:val="el-GR"/>
        </w:rPr>
        <w:t>μβρίου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E38D4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:rsidR="00981CAA" w:rsidRDefault="00981CAA" w:rsidP="00DD16F7">
      <w:pPr>
        <w:jc w:val="both"/>
        <w:rPr>
          <w:rFonts w:ascii="Verdana" w:hAnsi="Verdana" w:cs="Arial"/>
          <w:sz w:val="18"/>
          <w:szCs w:val="18"/>
        </w:rPr>
      </w:pPr>
    </w:p>
    <w:p w:rsidR="00757EAC" w:rsidRPr="00757EAC" w:rsidRDefault="00757EAC" w:rsidP="00DD16F7">
      <w:pPr>
        <w:jc w:val="both"/>
        <w:rPr>
          <w:rFonts w:ascii="Verdana" w:hAnsi="Verdana" w:cs="Arial"/>
          <w:sz w:val="18"/>
          <w:szCs w:val="18"/>
        </w:rPr>
      </w:pPr>
    </w:p>
    <w:p w:rsidR="00882A5A" w:rsidRPr="00701E0E" w:rsidRDefault="00757EAC" w:rsidP="000A385D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1031E695">
            <wp:extent cx="6102350" cy="4535805"/>
            <wp:effectExtent l="0" t="0" r="0" b="0"/>
            <wp:docPr id="15011341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951955">
        <w:rPr>
          <w:rFonts w:ascii="Verdana" w:hAnsi="Verdana" w:cs="Arial"/>
          <w:sz w:val="18"/>
          <w:szCs w:val="18"/>
          <w:lang w:val="el-GR"/>
        </w:rPr>
        <w:t>Δεκεμβ</w:t>
      </w:r>
      <w:r w:rsidR="000B5AC0">
        <w:rPr>
          <w:rFonts w:ascii="Verdana" w:hAnsi="Verdana" w:cs="Arial"/>
          <w:sz w:val="18"/>
          <w:szCs w:val="18"/>
          <w:lang w:val="el-GR"/>
        </w:rPr>
        <w:t>ρίου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951955">
        <w:rPr>
          <w:rFonts w:ascii="Verdana" w:hAnsi="Verdana" w:cs="Arial"/>
          <w:sz w:val="18"/>
          <w:szCs w:val="18"/>
          <w:lang w:val="el-GR"/>
        </w:rPr>
        <w:t>1.073,7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951955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8C59D8">
        <w:rPr>
          <w:rFonts w:ascii="Verdana" w:hAnsi="Verdana" w:cs="Arial"/>
          <w:sz w:val="18"/>
          <w:szCs w:val="18"/>
          <w:lang w:val="el-GR"/>
        </w:rPr>
        <w:t>1</w:t>
      </w:r>
      <w:r w:rsidR="00951955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951955">
        <w:rPr>
          <w:rFonts w:ascii="Verdana" w:hAnsi="Verdana" w:cs="Arial"/>
          <w:sz w:val="18"/>
          <w:szCs w:val="18"/>
          <w:lang w:val="el-GR"/>
        </w:rPr>
        <w:t>835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B5AC0">
        <w:rPr>
          <w:rFonts w:ascii="Verdana" w:hAnsi="Verdana" w:cs="Arial"/>
          <w:sz w:val="18"/>
          <w:szCs w:val="18"/>
          <w:lang w:val="el-GR"/>
        </w:rPr>
        <w:t>1</w:t>
      </w:r>
      <w:r w:rsidR="00951955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951955">
        <w:rPr>
          <w:rFonts w:ascii="Verdana" w:hAnsi="Verdana" w:cs="Arial"/>
          <w:sz w:val="18"/>
          <w:szCs w:val="18"/>
          <w:lang w:val="el-GR"/>
        </w:rPr>
        <w:t>761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8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A352F">
        <w:rPr>
          <w:rFonts w:ascii="Verdana" w:hAnsi="Verdana" w:cs="Arial"/>
          <w:sz w:val="18"/>
          <w:szCs w:val="18"/>
          <w:lang w:val="el-GR"/>
        </w:rPr>
        <w:t>του 202</w:t>
      </w:r>
      <w:r w:rsidR="000F7CB3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:rsidR="000E2387" w:rsidRDefault="00DD16F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0B5AC0">
        <w:rPr>
          <w:rFonts w:ascii="Verdana" w:hAnsi="Verdana" w:cs="Arial"/>
          <w:sz w:val="18"/>
          <w:szCs w:val="18"/>
          <w:lang w:val="el-GR"/>
        </w:rPr>
        <w:t>2</w:t>
      </w:r>
      <w:r w:rsidR="00951955">
        <w:rPr>
          <w:rFonts w:ascii="Verdana" w:hAnsi="Verdana" w:cs="Arial"/>
          <w:sz w:val="18"/>
          <w:szCs w:val="18"/>
          <w:lang w:val="el-GR"/>
        </w:rPr>
        <w:t>44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951955">
        <w:rPr>
          <w:rFonts w:ascii="Verdana" w:hAnsi="Verdana" w:cs="Arial"/>
          <w:sz w:val="18"/>
          <w:szCs w:val="18"/>
          <w:lang w:val="el-GR"/>
        </w:rPr>
        <w:t>5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5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F233C6">
        <w:rPr>
          <w:rFonts w:ascii="Verdana" w:hAnsi="Verdana" w:cs="Arial"/>
          <w:sz w:val="18"/>
          <w:szCs w:val="18"/>
          <w:lang w:val="el-GR"/>
        </w:rPr>
        <w:t>4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.</w:t>
      </w:r>
      <w:r w:rsidR="00951955">
        <w:rPr>
          <w:rFonts w:ascii="Verdana" w:hAnsi="Verdana" w:cs="Arial"/>
          <w:sz w:val="18"/>
          <w:szCs w:val="18"/>
          <w:lang w:val="el-GR"/>
        </w:rPr>
        <w:t>686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8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F233C6">
        <w:rPr>
          <w:rFonts w:ascii="Verdana" w:hAnsi="Verdana" w:cs="Arial"/>
          <w:sz w:val="18"/>
          <w:szCs w:val="18"/>
          <w:lang w:val="el-GR"/>
        </w:rPr>
        <w:t>4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.</w:t>
      </w:r>
      <w:r w:rsidR="00951955">
        <w:rPr>
          <w:rFonts w:ascii="Verdana" w:hAnsi="Verdana" w:cs="Arial"/>
          <w:sz w:val="18"/>
          <w:szCs w:val="18"/>
          <w:lang w:val="el-GR"/>
        </w:rPr>
        <w:t>442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4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951955">
        <w:rPr>
          <w:rFonts w:ascii="Verdana" w:hAnsi="Verdana" w:cs="Arial"/>
          <w:sz w:val="18"/>
          <w:szCs w:val="18"/>
          <w:lang w:val="el-GR"/>
        </w:rPr>
        <w:t>166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0B5AC0">
        <w:rPr>
          <w:rFonts w:ascii="Verdana" w:hAnsi="Verdana" w:cs="Arial"/>
          <w:sz w:val="18"/>
          <w:szCs w:val="18"/>
          <w:lang w:val="el-GR"/>
        </w:rPr>
        <w:t>2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951955">
        <w:rPr>
          <w:rFonts w:ascii="Verdana" w:hAnsi="Verdana" w:cs="Arial"/>
          <w:sz w:val="18"/>
          <w:szCs w:val="18"/>
          <w:lang w:val="el-GR"/>
        </w:rPr>
        <w:t>5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6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951955">
        <w:rPr>
          <w:rFonts w:ascii="Verdana" w:hAnsi="Verdana" w:cs="Arial"/>
          <w:sz w:val="18"/>
          <w:szCs w:val="18"/>
          <w:lang w:val="el-GR"/>
        </w:rPr>
        <w:t>3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.</w:t>
      </w:r>
      <w:r w:rsidR="00951955">
        <w:rPr>
          <w:rFonts w:ascii="Verdana" w:hAnsi="Verdana" w:cs="Arial"/>
          <w:sz w:val="18"/>
          <w:szCs w:val="18"/>
          <w:lang w:val="el-GR"/>
        </w:rPr>
        <w:t>145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0</w:t>
      </w:r>
      <w:r w:rsidR="000B5AC0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526259">
        <w:rPr>
          <w:rFonts w:ascii="Verdana" w:hAnsi="Verdana" w:cs="Arial"/>
          <w:sz w:val="18"/>
          <w:szCs w:val="18"/>
          <w:lang w:val="el-GR"/>
        </w:rPr>
        <w:t>€2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.</w:t>
      </w:r>
      <w:r w:rsidR="00951955">
        <w:rPr>
          <w:rFonts w:ascii="Verdana" w:hAnsi="Verdana" w:cs="Arial"/>
          <w:sz w:val="18"/>
          <w:szCs w:val="18"/>
          <w:lang w:val="el-GR"/>
        </w:rPr>
        <w:t>978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8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. </w:t>
      </w:r>
      <w:r w:rsidR="00E23A0B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951955">
        <w:rPr>
          <w:rFonts w:ascii="Verdana" w:hAnsi="Verdana" w:cs="Arial"/>
          <w:sz w:val="18"/>
          <w:szCs w:val="18"/>
          <w:lang w:val="el-GR"/>
        </w:rPr>
        <w:t>545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2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0303C">
        <w:rPr>
          <w:rFonts w:ascii="Verdana" w:hAnsi="Verdana" w:cs="Arial"/>
          <w:sz w:val="18"/>
          <w:szCs w:val="18"/>
          <w:lang w:val="el-GR"/>
        </w:rPr>
        <w:t>1</w:t>
      </w:r>
      <w:r w:rsidR="00526259">
        <w:rPr>
          <w:rFonts w:ascii="Verdana" w:hAnsi="Verdana" w:cs="Arial"/>
          <w:sz w:val="18"/>
          <w:szCs w:val="18"/>
          <w:lang w:val="el-GR"/>
        </w:rPr>
        <w:t>6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7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F233C6">
        <w:rPr>
          <w:rFonts w:ascii="Verdana" w:hAnsi="Verdana" w:cs="Arial"/>
          <w:sz w:val="18"/>
          <w:szCs w:val="18"/>
          <w:lang w:val="el-GR"/>
        </w:rPr>
        <w:t>3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.</w:t>
      </w:r>
      <w:r w:rsidR="00951955">
        <w:rPr>
          <w:rFonts w:ascii="Verdana" w:hAnsi="Verdana" w:cs="Arial"/>
          <w:sz w:val="18"/>
          <w:szCs w:val="18"/>
          <w:lang w:val="el-GR"/>
        </w:rPr>
        <w:t>810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1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</w:t>
      </w:r>
      <w:r w:rsidR="00951955">
        <w:rPr>
          <w:rFonts w:ascii="Verdana" w:hAnsi="Verdana" w:cs="Arial"/>
          <w:sz w:val="18"/>
          <w:szCs w:val="18"/>
          <w:lang w:val="el-GR"/>
        </w:rPr>
        <w:t>3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.</w:t>
      </w:r>
      <w:r w:rsidR="00951955">
        <w:rPr>
          <w:rFonts w:ascii="Verdana" w:hAnsi="Verdana" w:cs="Arial"/>
          <w:sz w:val="18"/>
          <w:szCs w:val="18"/>
          <w:lang w:val="el-GR"/>
        </w:rPr>
        <w:t>264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9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E61AF">
        <w:rPr>
          <w:rFonts w:ascii="Verdana" w:hAnsi="Verdana" w:cs="Arial"/>
          <w:sz w:val="18"/>
          <w:szCs w:val="18"/>
          <w:lang w:val="el-GR"/>
        </w:rPr>
        <w:t>Ο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ι εισπραχθέντες τόκοι και μερίσματα </w:t>
      </w:r>
      <w:r w:rsidR="00FE61AF" w:rsidRPr="005477BE">
        <w:rPr>
          <w:rFonts w:ascii="Verdana" w:hAnsi="Verdana" w:cs="Arial"/>
          <w:sz w:val="18"/>
          <w:szCs w:val="18"/>
          <w:lang w:val="el-GR"/>
        </w:rPr>
        <w:t>αυξήθηκαν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951955">
        <w:rPr>
          <w:rFonts w:ascii="Verdana" w:hAnsi="Verdana" w:cs="Arial"/>
          <w:sz w:val="18"/>
          <w:szCs w:val="18"/>
          <w:lang w:val="el-GR"/>
        </w:rPr>
        <w:t>6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1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E61AF">
        <w:rPr>
          <w:rFonts w:ascii="Verdana" w:hAnsi="Verdana" w:cs="Arial"/>
          <w:sz w:val="18"/>
          <w:szCs w:val="18"/>
          <w:lang w:val="el-GR"/>
        </w:rPr>
        <w:t>+</w:t>
      </w:r>
      <w:r w:rsidR="000B5AC0">
        <w:rPr>
          <w:rFonts w:ascii="Verdana" w:hAnsi="Verdana" w:cs="Arial"/>
          <w:sz w:val="18"/>
          <w:szCs w:val="18"/>
          <w:lang w:val="el-GR"/>
        </w:rPr>
        <w:t>4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F233C6">
        <w:rPr>
          <w:rFonts w:ascii="Verdana" w:hAnsi="Verdana" w:cs="Arial"/>
          <w:sz w:val="18"/>
          <w:szCs w:val="18"/>
          <w:lang w:val="el-GR"/>
        </w:rPr>
        <w:t>4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E61AF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7E37C4">
        <w:rPr>
          <w:rFonts w:ascii="Verdana" w:hAnsi="Verdana" w:cs="Arial"/>
          <w:sz w:val="18"/>
          <w:szCs w:val="18"/>
          <w:lang w:val="el-GR"/>
        </w:rPr>
        <w:t>1</w:t>
      </w:r>
      <w:r w:rsidR="00951955">
        <w:rPr>
          <w:rFonts w:ascii="Verdana" w:hAnsi="Verdana" w:cs="Arial"/>
          <w:sz w:val="18"/>
          <w:szCs w:val="18"/>
          <w:lang w:val="el-GR"/>
        </w:rPr>
        <w:t>43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F233C6">
        <w:rPr>
          <w:rFonts w:ascii="Verdana" w:hAnsi="Verdana" w:cs="Arial"/>
          <w:sz w:val="18"/>
          <w:szCs w:val="18"/>
          <w:lang w:val="el-GR"/>
        </w:rPr>
        <w:t>6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51955">
        <w:rPr>
          <w:rFonts w:ascii="Verdana" w:hAnsi="Verdana" w:cs="Arial"/>
          <w:sz w:val="18"/>
          <w:szCs w:val="18"/>
          <w:lang w:val="el-GR"/>
        </w:rPr>
        <w:t>137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5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E61AF">
        <w:rPr>
          <w:rFonts w:ascii="Verdana" w:hAnsi="Verdana" w:cs="Arial"/>
          <w:sz w:val="18"/>
          <w:szCs w:val="18"/>
          <w:lang w:val="el-GR"/>
        </w:rPr>
        <w:t>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.</w:t>
      </w:r>
      <w:r w:rsidR="00FE61AF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Τα έσοδα από παροχή υπηρεσιών </w:t>
      </w:r>
      <w:r w:rsidR="007A4737">
        <w:rPr>
          <w:rFonts w:ascii="Verdana" w:hAnsi="Verdana" w:cs="Arial"/>
          <w:sz w:val="18"/>
          <w:szCs w:val="18"/>
          <w:lang w:val="el-GR"/>
        </w:rPr>
        <w:t>αυξή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θηκαν κατά </w:t>
      </w:r>
      <w:r w:rsidR="007E37C4">
        <w:rPr>
          <w:rFonts w:ascii="Verdana" w:hAnsi="Verdana" w:cs="Arial"/>
          <w:sz w:val="18"/>
          <w:szCs w:val="18"/>
          <w:lang w:val="el-GR"/>
        </w:rPr>
        <w:t xml:space="preserve">   </w:t>
      </w:r>
      <w:r w:rsidR="00830437">
        <w:rPr>
          <w:rFonts w:ascii="Verdana" w:hAnsi="Verdana" w:cs="Arial"/>
          <w:sz w:val="18"/>
          <w:szCs w:val="18"/>
          <w:lang w:val="el-GR"/>
        </w:rPr>
        <w:t xml:space="preserve">      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€</w:t>
      </w:r>
      <w:r w:rsidR="00951955">
        <w:rPr>
          <w:rFonts w:ascii="Verdana" w:hAnsi="Verdana" w:cs="Arial"/>
          <w:sz w:val="18"/>
          <w:szCs w:val="18"/>
          <w:lang w:val="el-GR"/>
        </w:rPr>
        <w:t>240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0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7A4737">
        <w:rPr>
          <w:rFonts w:ascii="Verdana" w:hAnsi="Verdana" w:cs="Arial"/>
          <w:sz w:val="18"/>
          <w:szCs w:val="18"/>
          <w:lang w:val="el-GR"/>
        </w:rPr>
        <w:t xml:space="preserve"> </w:t>
      </w:r>
      <w:bookmarkStart w:id="1" w:name="_Hlk170457397"/>
      <w:r w:rsidR="00EE4190" w:rsidRPr="00EE4190">
        <w:rPr>
          <w:rFonts w:ascii="Verdana" w:hAnsi="Verdana" w:cs="Arial"/>
          <w:sz w:val="18"/>
          <w:szCs w:val="18"/>
          <w:lang w:val="el-GR"/>
        </w:rPr>
        <w:t>(+</w:t>
      </w:r>
      <w:r w:rsidR="007E37C4">
        <w:rPr>
          <w:rFonts w:ascii="Verdana" w:hAnsi="Verdana" w:cs="Arial"/>
          <w:sz w:val="18"/>
          <w:szCs w:val="18"/>
          <w:lang w:val="el-GR"/>
        </w:rPr>
        <w:t>2</w:t>
      </w:r>
      <w:r w:rsidR="00951955">
        <w:rPr>
          <w:rFonts w:ascii="Verdana" w:hAnsi="Verdana" w:cs="Arial"/>
          <w:sz w:val="18"/>
          <w:szCs w:val="18"/>
          <w:lang w:val="el-GR"/>
        </w:rPr>
        <w:t>8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1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%)</w:t>
      </w:r>
      <w:bookmarkEnd w:id="1"/>
      <w:r w:rsidR="00EE4190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7A4737">
        <w:rPr>
          <w:rFonts w:ascii="Verdana" w:hAnsi="Verdana" w:cs="Arial"/>
          <w:sz w:val="18"/>
          <w:szCs w:val="18"/>
          <w:lang w:val="el-GR"/>
        </w:rPr>
        <w:t>ανήλθαν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951955">
        <w:rPr>
          <w:rFonts w:ascii="Verdana" w:hAnsi="Verdana" w:cs="Arial"/>
          <w:sz w:val="18"/>
          <w:szCs w:val="18"/>
          <w:lang w:val="el-GR"/>
        </w:rPr>
        <w:t>1.093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4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51955">
        <w:rPr>
          <w:rFonts w:ascii="Verdana" w:hAnsi="Verdana" w:cs="Arial"/>
          <w:sz w:val="18"/>
          <w:szCs w:val="18"/>
          <w:lang w:val="el-GR"/>
        </w:rPr>
        <w:t>853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4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Οι κοινωνικές εισφορές </w:t>
      </w:r>
      <w:r w:rsidR="000B5AC0">
        <w:rPr>
          <w:rFonts w:ascii="Verdana" w:hAnsi="Verdana" w:cs="Arial"/>
          <w:sz w:val="18"/>
          <w:szCs w:val="18"/>
          <w:lang w:val="el-GR"/>
        </w:rPr>
        <w:t>αυξή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θηκαν κατά €</w:t>
      </w:r>
      <w:r w:rsidR="00951955">
        <w:rPr>
          <w:rFonts w:ascii="Verdana" w:hAnsi="Verdana" w:cs="Arial"/>
          <w:sz w:val="18"/>
          <w:szCs w:val="18"/>
          <w:lang w:val="el-GR"/>
        </w:rPr>
        <w:t>119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5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5AC0">
        <w:rPr>
          <w:rFonts w:ascii="Verdana" w:hAnsi="Verdana" w:cs="Arial"/>
          <w:sz w:val="18"/>
          <w:szCs w:val="18"/>
          <w:lang w:val="el-GR"/>
        </w:rPr>
        <w:t>+</w:t>
      </w:r>
      <w:r w:rsidR="00F233C6">
        <w:rPr>
          <w:rFonts w:ascii="Verdana" w:hAnsi="Verdana" w:cs="Arial"/>
          <w:sz w:val="18"/>
          <w:szCs w:val="18"/>
          <w:lang w:val="el-GR"/>
        </w:rPr>
        <w:t>2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7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5AC0">
        <w:rPr>
          <w:rFonts w:ascii="Verdana" w:hAnsi="Verdana" w:cs="Arial"/>
          <w:sz w:val="18"/>
          <w:szCs w:val="18"/>
          <w:lang w:val="el-GR"/>
        </w:rPr>
        <w:t>ανήλθαν</w:t>
      </w:r>
      <w:r w:rsidR="00951955">
        <w:rPr>
          <w:rFonts w:ascii="Verdana" w:hAnsi="Verdana" w:cs="Arial"/>
          <w:sz w:val="18"/>
          <w:szCs w:val="18"/>
          <w:lang w:val="el-GR"/>
        </w:rPr>
        <w:t xml:space="preserve"> στα €4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.</w:t>
      </w:r>
      <w:r w:rsidR="00951955">
        <w:rPr>
          <w:rFonts w:ascii="Verdana" w:hAnsi="Verdana" w:cs="Arial"/>
          <w:sz w:val="18"/>
          <w:szCs w:val="18"/>
          <w:lang w:val="el-GR"/>
        </w:rPr>
        <w:t>500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0 εκ. σε σύγκριση με      €4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.</w:t>
      </w:r>
      <w:r w:rsidR="00951955">
        <w:rPr>
          <w:rFonts w:ascii="Verdana" w:hAnsi="Verdana" w:cs="Arial"/>
          <w:sz w:val="18"/>
          <w:szCs w:val="18"/>
          <w:lang w:val="el-GR"/>
        </w:rPr>
        <w:t>380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5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εκ. το 2023.</w:t>
      </w:r>
      <w:r w:rsidR="00951955" w:rsidRPr="00951955">
        <w:rPr>
          <w:rFonts w:ascii="Verdana" w:hAnsi="Verdana" w:cs="Arial"/>
          <w:sz w:val="18"/>
          <w:szCs w:val="18"/>
          <w:lang w:val="el-GR"/>
        </w:rPr>
        <w:t xml:space="preserve"> </w:t>
      </w:r>
      <w:r w:rsidR="00951955">
        <w:rPr>
          <w:rFonts w:ascii="Verdana" w:hAnsi="Verdana" w:cs="Arial"/>
          <w:sz w:val="18"/>
          <w:szCs w:val="18"/>
          <w:lang w:val="el-GR"/>
        </w:rPr>
        <w:t>Ο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ι τρέχουσες μεταβιβάσεις </w:t>
      </w:r>
      <w:r w:rsidR="00951955">
        <w:rPr>
          <w:rFonts w:ascii="Verdana" w:hAnsi="Verdana" w:cs="Arial"/>
          <w:sz w:val="18"/>
          <w:szCs w:val="18"/>
          <w:lang w:val="el-GR"/>
        </w:rPr>
        <w:t>αυξή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>θηκαν κατά €</w:t>
      </w:r>
      <w:r w:rsidR="00951955">
        <w:rPr>
          <w:rFonts w:ascii="Verdana" w:hAnsi="Verdana" w:cs="Arial"/>
          <w:sz w:val="18"/>
          <w:szCs w:val="18"/>
          <w:lang w:val="el-GR"/>
        </w:rPr>
        <w:t>56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0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951955">
        <w:rPr>
          <w:rFonts w:ascii="Verdana" w:hAnsi="Verdana" w:cs="Arial"/>
          <w:sz w:val="18"/>
          <w:szCs w:val="18"/>
          <w:lang w:val="el-GR"/>
        </w:rPr>
        <w:t>+17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2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951955">
        <w:rPr>
          <w:rFonts w:ascii="Verdana" w:hAnsi="Verdana" w:cs="Arial"/>
          <w:sz w:val="18"/>
          <w:szCs w:val="18"/>
          <w:lang w:val="el-GR"/>
        </w:rPr>
        <w:t>ανήλθαν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951955">
        <w:rPr>
          <w:rFonts w:ascii="Verdana" w:hAnsi="Verdana" w:cs="Arial"/>
          <w:sz w:val="18"/>
          <w:szCs w:val="18"/>
          <w:lang w:val="el-GR"/>
        </w:rPr>
        <w:t xml:space="preserve">      €381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2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51955">
        <w:rPr>
          <w:rFonts w:ascii="Verdana" w:hAnsi="Verdana" w:cs="Arial"/>
          <w:sz w:val="18"/>
          <w:szCs w:val="18"/>
          <w:lang w:val="el-GR"/>
        </w:rPr>
        <w:t>325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>,</w:t>
      </w:r>
      <w:r w:rsidR="00951955">
        <w:rPr>
          <w:rFonts w:ascii="Verdana" w:hAnsi="Verdana" w:cs="Arial"/>
          <w:sz w:val="18"/>
          <w:szCs w:val="18"/>
          <w:lang w:val="el-GR"/>
        </w:rPr>
        <w:t>2</w:t>
      </w:r>
      <w:r w:rsidR="00951955" w:rsidRPr="008654BF">
        <w:rPr>
          <w:rFonts w:ascii="Verdana" w:hAnsi="Verdana" w:cs="Arial"/>
          <w:sz w:val="18"/>
          <w:szCs w:val="18"/>
          <w:lang w:val="el-GR"/>
        </w:rPr>
        <w:t xml:space="preserve"> εκ. το 2023.</w:t>
      </w:r>
    </w:p>
    <w:p w:rsidR="000E2387" w:rsidRDefault="000E238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D91EB8" w:rsidRPr="007E37C4" w:rsidRDefault="000E238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FA37E0">
        <w:rPr>
          <w:rFonts w:ascii="Verdana" w:hAnsi="Verdana" w:cs="Arial"/>
          <w:sz w:val="18"/>
          <w:szCs w:val="18"/>
          <w:lang w:val="el-GR"/>
        </w:rPr>
        <w:t>ο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Pr="008654BF">
        <w:rPr>
          <w:rFonts w:ascii="Verdana" w:hAnsi="Verdana" w:cs="Arial"/>
          <w:sz w:val="18"/>
          <w:szCs w:val="18"/>
          <w:lang w:val="el-GR"/>
        </w:rPr>
        <w:t>μειώ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θηκαν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FA37E0">
        <w:rPr>
          <w:rFonts w:ascii="Verdana" w:hAnsi="Verdana" w:cs="Arial"/>
          <w:sz w:val="18"/>
          <w:szCs w:val="18"/>
          <w:lang w:val="el-GR"/>
        </w:rPr>
        <w:t>137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37E0">
        <w:rPr>
          <w:rFonts w:ascii="Verdana" w:hAnsi="Verdana" w:cs="Arial"/>
          <w:sz w:val="18"/>
          <w:szCs w:val="18"/>
          <w:lang w:val="el-GR"/>
        </w:rPr>
        <w:t>5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12419" w:rsidRPr="008654BF">
        <w:rPr>
          <w:rFonts w:ascii="Verdana" w:hAnsi="Verdana" w:cs="Arial"/>
          <w:sz w:val="18"/>
          <w:szCs w:val="18"/>
          <w:lang w:val="el-GR"/>
        </w:rPr>
        <w:t>(</w:t>
      </w:r>
      <w:r w:rsidR="007E37C4" w:rsidRPr="008654BF">
        <w:rPr>
          <w:rFonts w:ascii="Verdana" w:hAnsi="Verdana" w:cs="Arial"/>
          <w:sz w:val="18"/>
          <w:szCs w:val="18"/>
          <w:lang w:val="el-GR"/>
        </w:rPr>
        <w:t>-</w:t>
      </w:r>
      <w:r w:rsidR="00F233C6">
        <w:rPr>
          <w:rFonts w:ascii="Verdana" w:hAnsi="Verdana" w:cs="Arial"/>
          <w:sz w:val="18"/>
          <w:szCs w:val="18"/>
          <w:lang w:val="el-GR"/>
        </w:rPr>
        <w:t>38</w:t>
      </w:r>
      <w:r w:rsidR="00E12419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37E0">
        <w:rPr>
          <w:rFonts w:ascii="Verdana" w:hAnsi="Verdana" w:cs="Arial"/>
          <w:sz w:val="18"/>
          <w:szCs w:val="18"/>
          <w:lang w:val="el-GR"/>
        </w:rPr>
        <w:t>4</w:t>
      </w:r>
      <w:r w:rsidR="00E12419" w:rsidRPr="008654BF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Pr="008654B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FA37E0">
        <w:rPr>
          <w:rFonts w:ascii="Verdana" w:hAnsi="Verdana" w:cs="Arial"/>
          <w:sz w:val="18"/>
          <w:szCs w:val="18"/>
          <w:lang w:val="el-GR"/>
        </w:rPr>
        <w:t>220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37E0">
        <w:rPr>
          <w:rFonts w:ascii="Verdana" w:hAnsi="Verdana" w:cs="Arial"/>
          <w:sz w:val="18"/>
          <w:szCs w:val="18"/>
          <w:lang w:val="el-GR"/>
        </w:rPr>
        <w:t>4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FA37E0">
        <w:rPr>
          <w:rFonts w:ascii="Verdana" w:hAnsi="Verdana" w:cs="Arial"/>
          <w:sz w:val="18"/>
          <w:szCs w:val="18"/>
          <w:lang w:val="el-GR"/>
        </w:rPr>
        <w:t>357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,</w:t>
      </w:r>
      <w:r w:rsidR="00FA37E0">
        <w:rPr>
          <w:rFonts w:ascii="Verdana" w:hAnsi="Verdana" w:cs="Arial"/>
          <w:sz w:val="18"/>
          <w:szCs w:val="18"/>
          <w:lang w:val="el-GR"/>
        </w:rPr>
        <w:t>9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 w:rsidRPr="008654BF">
        <w:rPr>
          <w:rFonts w:ascii="Verdana" w:hAnsi="Verdana" w:cs="Arial"/>
          <w:sz w:val="18"/>
          <w:szCs w:val="18"/>
          <w:lang w:val="el-GR"/>
        </w:rPr>
        <w:t>3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.</w:t>
      </w:r>
      <w:r w:rsidR="007E37C4" w:rsidRPr="007E37C4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D42FC9" w:rsidRPr="00D42FC9">
        <w:rPr>
          <w:rFonts w:ascii="Verdana" w:hAnsi="Verdana" w:cs="Arial"/>
          <w:sz w:val="18"/>
          <w:szCs w:val="18"/>
          <w:lang w:val="el-GR"/>
        </w:rPr>
        <w:t xml:space="preserve">την περίοδο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Ιανουαρίου-</w:t>
      </w:r>
      <w:r w:rsidR="002A791E">
        <w:rPr>
          <w:rFonts w:ascii="Verdana" w:hAnsi="Verdana" w:cs="Arial"/>
          <w:sz w:val="18"/>
          <w:szCs w:val="18"/>
          <w:lang w:val="el-GR"/>
        </w:rPr>
        <w:t>Δεκε</w:t>
      </w:r>
      <w:r w:rsidR="00747AD8">
        <w:rPr>
          <w:rFonts w:ascii="Verdana" w:hAnsi="Verdana" w:cs="Arial"/>
          <w:sz w:val="18"/>
          <w:szCs w:val="18"/>
          <w:lang w:val="el-GR"/>
        </w:rPr>
        <w:t>μ</w:t>
      </w:r>
      <w:r w:rsidR="008654BF">
        <w:rPr>
          <w:rFonts w:ascii="Verdana" w:hAnsi="Verdana" w:cs="Arial"/>
          <w:sz w:val="18"/>
          <w:szCs w:val="18"/>
          <w:lang w:val="el-GR"/>
        </w:rPr>
        <w:t>βρίου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EB61F5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7AD8">
        <w:rPr>
          <w:rFonts w:ascii="Verdana" w:hAnsi="Verdana" w:cs="Arial"/>
          <w:sz w:val="18"/>
          <w:szCs w:val="18"/>
          <w:lang w:val="el-GR"/>
        </w:rPr>
        <w:t>αυξήθηκαν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2A791E">
        <w:rPr>
          <w:rFonts w:ascii="Verdana" w:hAnsi="Verdana" w:cs="Arial"/>
          <w:sz w:val="18"/>
          <w:szCs w:val="18"/>
          <w:lang w:val="el-GR"/>
        </w:rPr>
        <w:t>197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4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7E37C4">
        <w:rPr>
          <w:rFonts w:ascii="Verdana" w:hAnsi="Verdana" w:cs="Arial"/>
          <w:sz w:val="18"/>
          <w:szCs w:val="18"/>
          <w:lang w:val="el-GR"/>
        </w:rPr>
        <w:t>(</w:t>
      </w:r>
      <w:r w:rsidR="00747AD8">
        <w:rPr>
          <w:rFonts w:ascii="Verdana" w:hAnsi="Verdana" w:cs="Arial"/>
          <w:sz w:val="18"/>
          <w:szCs w:val="18"/>
          <w:lang w:val="el-GR"/>
        </w:rPr>
        <w:t>+</w:t>
      </w:r>
      <w:r w:rsidR="002A791E">
        <w:rPr>
          <w:rFonts w:ascii="Verdana" w:hAnsi="Verdana" w:cs="Arial"/>
          <w:sz w:val="18"/>
          <w:szCs w:val="18"/>
          <w:lang w:val="el-GR"/>
        </w:rPr>
        <w:t>1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5</w:t>
      </w:r>
      <w:r w:rsid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747AD8">
        <w:rPr>
          <w:rFonts w:ascii="Verdana" w:hAnsi="Verdana" w:cs="Arial"/>
          <w:sz w:val="18"/>
          <w:szCs w:val="18"/>
          <w:lang w:val="el-GR"/>
        </w:rPr>
        <w:t>ανήλθαν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8654BF">
        <w:rPr>
          <w:rFonts w:ascii="Verdana" w:hAnsi="Verdana" w:cs="Arial"/>
          <w:sz w:val="18"/>
          <w:szCs w:val="18"/>
          <w:lang w:val="el-GR"/>
        </w:rPr>
        <w:t>1</w:t>
      </w:r>
      <w:r w:rsidR="002A791E">
        <w:rPr>
          <w:rFonts w:ascii="Verdana" w:hAnsi="Verdana" w:cs="Arial"/>
          <w:sz w:val="18"/>
          <w:szCs w:val="18"/>
          <w:lang w:val="el-GR"/>
        </w:rPr>
        <w:t>3</w:t>
      </w:r>
      <w:r w:rsidR="00D42FC9">
        <w:rPr>
          <w:rFonts w:ascii="Verdana" w:hAnsi="Verdana" w:cs="Arial"/>
          <w:sz w:val="18"/>
          <w:szCs w:val="18"/>
          <w:lang w:val="el-GR"/>
        </w:rPr>
        <w:t>.</w:t>
      </w:r>
      <w:r w:rsidR="002A791E">
        <w:rPr>
          <w:rFonts w:ascii="Verdana" w:hAnsi="Verdana" w:cs="Arial"/>
          <w:sz w:val="18"/>
          <w:szCs w:val="18"/>
          <w:lang w:val="el-GR"/>
        </w:rPr>
        <w:t>327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6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654BF">
        <w:rPr>
          <w:rFonts w:ascii="Verdana" w:hAnsi="Verdana" w:cs="Arial"/>
          <w:sz w:val="18"/>
          <w:szCs w:val="18"/>
          <w:lang w:val="el-GR"/>
        </w:rPr>
        <w:t>1</w:t>
      </w:r>
      <w:r w:rsidR="002A791E">
        <w:rPr>
          <w:rFonts w:ascii="Verdana" w:hAnsi="Verdana" w:cs="Arial"/>
          <w:sz w:val="18"/>
          <w:szCs w:val="18"/>
          <w:lang w:val="el-GR"/>
        </w:rPr>
        <w:t>3</w:t>
      </w:r>
      <w:r w:rsidR="00D42FC9">
        <w:rPr>
          <w:rFonts w:ascii="Verdana" w:hAnsi="Verdana" w:cs="Arial"/>
          <w:sz w:val="18"/>
          <w:szCs w:val="18"/>
          <w:lang w:val="el-GR"/>
        </w:rPr>
        <w:t>.</w:t>
      </w:r>
      <w:r w:rsidR="002A791E">
        <w:rPr>
          <w:rFonts w:ascii="Verdana" w:hAnsi="Verdana" w:cs="Arial"/>
          <w:sz w:val="18"/>
          <w:szCs w:val="18"/>
          <w:lang w:val="el-GR"/>
        </w:rPr>
        <w:t>130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2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0D64D2">
        <w:rPr>
          <w:rFonts w:ascii="Verdana" w:hAnsi="Verdana" w:cs="Arial"/>
          <w:sz w:val="18"/>
          <w:szCs w:val="18"/>
          <w:lang w:val="el-GR"/>
        </w:rPr>
        <w:t xml:space="preserve">την 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1B2433" w:rsidRDefault="00981CAA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B10421">
        <w:rPr>
          <w:rFonts w:ascii="Verdana" w:hAnsi="Verdana" w:cs="Arial"/>
          <w:sz w:val="18"/>
          <w:szCs w:val="18"/>
          <w:lang w:val="el-GR"/>
        </w:rPr>
        <w:t>η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B10421">
        <w:rPr>
          <w:rFonts w:ascii="Verdana" w:hAnsi="Verdana" w:cs="Arial"/>
          <w:sz w:val="18"/>
          <w:szCs w:val="18"/>
          <w:lang w:val="el-GR"/>
        </w:rPr>
        <w:t>αυξήθηκε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2A791E">
        <w:rPr>
          <w:rFonts w:ascii="Verdana" w:hAnsi="Verdana" w:cs="Arial"/>
          <w:sz w:val="18"/>
          <w:szCs w:val="18"/>
          <w:lang w:val="el-GR"/>
        </w:rPr>
        <w:t>205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6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10421">
        <w:rPr>
          <w:rFonts w:ascii="Verdana" w:hAnsi="Verdana" w:cs="Arial"/>
          <w:sz w:val="18"/>
          <w:szCs w:val="18"/>
          <w:lang w:val="el-GR"/>
        </w:rPr>
        <w:t>+</w:t>
      </w:r>
      <w:r w:rsidR="008654BF">
        <w:rPr>
          <w:rFonts w:ascii="Verdana" w:hAnsi="Verdana" w:cs="Arial"/>
          <w:sz w:val="18"/>
          <w:szCs w:val="18"/>
          <w:lang w:val="el-GR"/>
        </w:rPr>
        <w:t>1</w:t>
      </w:r>
      <w:r w:rsidR="002A791E">
        <w:rPr>
          <w:rFonts w:ascii="Verdana" w:hAnsi="Verdana" w:cs="Arial"/>
          <w:sz w:val="18"/>
          <w:szCs w:val="18"/>
          <w:lang w:val="el-GR"/>
        </w:rPr>
        <w:t>5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747AD8">
        <w:rPr>
          <w:rFonts w:ascii="Verdana" w:hAnsi="Verdana" w:cs="Arial"/>
          <w:sz w:val="18"/>
          <w:szCs w:val="18"/>
          <w:lang w:val="el-GR"/>
        </w:rPr>
        <w:t>8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ανήλθε 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στα €</w:t>
      </w:r>
      <w:r w:rsidR="008654BF">
        <w:rPr>
          <w:rFonts w:ascii="Verdana" w:hAnsi="Verdana" w:cs="Arial"/>
          <w:sz w:val="18"/>
          <w:szCs w:val="18"/>
          <w:lang w:val="el-GR"/>
        </w:rPr>
        <w:t>1.</w:t>
      </w:r>
      <w:r w:rsidR="002A791E">
        <w:rPr>
          <w:rFonts w:ascii="Verdana" w:hAnsi="Verdana" w:cs="Arial"/>
          <w:sz w:val="18"/>
          <w:szCs w:val="18"/>
          <w:lang w:val="el-GR"/>
        </w:rPr>
        <w:t>507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3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A791E">
        <w:rPr>
          <w:rFonts w:ascii="Verdana" w:hAnsi="Verdana" w:cs="Arial"/>
          <w:sz w:val="18"/>
          <w:szCs w:val="18"/>
          <w:lang w:val="el-GR"/>
        </w:rPr>
        <w:t>1.301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.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8654BF">
        <w:rPr>
          <w:rFonts w:ascii="Verdana" w:hAnsi="Verdana" w:cs="Arial"/>
          <w:sz w:val="18"/>
          <w:szCs w:val="18"/>
          <w:lang w:val="el-GR"/>
        </w:rPr>
        <w:t>2</w:t>
      </w:r>
      <w:r w:rsidR="002A791E">
        <w:rPr>
          <w:rFonts w:ascii="Verdana" w:hAnsi="Verdana" w:cs="Arial"/>
          <w:sz w:val="18"/>
          <w:szCs w:val="18"/>
          <w:lang w:val="el-GR"/>
        </w:rPr>
        <w:t>69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4</w:t>
      </w:r>
      <w:r w:rsidR="00B36391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B36391" w:rsidRPr="00B36391">
        <w:rPr>
          <w:rFonts w:ascii="Verdana" w:hAnsi="Verdana" w:cs="Arial"/>
          <w:sz w:val="18"/>
          <w:szCs w:val="18"/>
          <w:lang w:val="el-GR"/>
        </w:rPr>
        <w:t>7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5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747AD8">
        <w:rPr>
          <w:rFonts w:ascii="Verdana" w:hAnsi="Verdana" w:cs="Arial"/>
          <w:sz w:val="18"/>
          <w:szCs w:val="18"/>
          <w:lang w:val="el-GR"/>
        </w:rPr>
        <w:t>3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2A791E">
        <w:rPr>
          <w:rFonts w:ascii="Verdana" w:hAnsi="Verdana" w:cs="Arial"/>
          <w:sz w:val="18"/>
          <w:szCs w:val="18"/>
          <w:lang w:val="el-GR"/>
        </w:rPr>
        <w:t>861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3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747AD8">
        <w:rPr>
          <w:rFonts w:ascii="Verdana" w:hAnsi="Verdana" w:cs="Arial"/>
          <w:sz w:val="18"/>
          <w:szCs w:val="18"/>
          <w:lang w:val="el-GR"/>
        </w:rPr>
        <w:t>3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2A791E">
        <w:rPr>
          <w:rFonts w:ascii="Verdana" w:hAnsi="Verdana" w:cs="Arial"/>
          <w:sz w:val="18"/>
          <w:szCs w:val="18"/>
          <w:lang w:val="el-GR"/>
        </w:rPr>
        <w:t>591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9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>ι κο</w:t>
      </w:r>
      <w:r w:rsidR="00BB2517">
        <w:rPr>
          <w:rFonts w:ascii="Verdana" w:hAnsi="Verdana" w:cs="Arial"/>
          <w:sz w:val="18"/>
          <w:szCs w:val="18"/>
          <w:lang w:val="el-GR"/>
        </w:rPr>
        <w:t xml:space="preserve">ινωνικές παροχές αυξήθηκαν κατά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2A791E">
        <w:rPr>
          <w:rFonts w:ascii="Verdana" w:hAnsi="Verdana" w:cs="Arial"/>
          <w:sz w:val="18"/>
          <w:szCs w:val="18"/>
          <w:lang w:val="el-GR"/>
        </w:rPr>
        <w:t>366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2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2A791E">
        <w:rPr>
          <w:rFonts w:ascii="Verdana" w:hAnsi="Verdana" w:cs="Arial"/>
          <w:sz w:val="18"/>
          <w:szCs w:val="18"/>
          <w:lang w:val="el-GR"/>
        </w:rPr>
        <w:t>7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2A791E">
        <w:rPr>
          <w:rFonts w:ascii="Verdana" w:hAnsi="Verdana" w:cs="Arial"/>
          <w:sz w:val="18"/>
          <w:szCs w:val="18"/>
          <w:lang w:val="el-GR"/>
        </w:rPr>
        <w:t>5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.</w:t>
      </w:r>
      <w:r w:rsidR="002A791E">
        <w:rPr>
          <w:rFonts w:ascii="Verdana" w:hAnsi="Verdana" w:cs="Arial"/>
          <w:sz w:val="18"/>
          <w:szCs w:val="18"/>
          <w:lang w:val="el-GR"/>
        </w:rPr>
        <w:t>307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5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747AD8">
        <w:rPr>
          <w:rFonts w:ascii="Verdana" w:hAnsi="Verdana" w:cs="Arial"/>
          <w:sz w:val="18"/>
          <w:szCs w:val="18"/>
          <w:lang w:val="el-GR"/>
        </w:rPr>
        <w:t>4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.</w:t>
      </w:r>
      <w:r w:rsidR="002A791E">
        <w:rPr>
          <w:rFonts w:ascii="Verdana" w:hAnsi="Verdana" w:cs="Arial"/>
          <w:sz w:val="18"/>
          <w:szCs w:val="18"/>
          <w:lang w:val="el-GR"/>
        </w:rPr>
        <w:t>941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747AD8">
        <w:rPr>
          <w:rFonts w:ascii="Verdana" w:hAnsi="Verdana" w:cs="Arial"/>
          <w:sz w:val="18"/>
          <w:szCs w:val="18"/>
          <w:lang w:val="el-GR"/>
        </w:rPr>
        <w:t>3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. </w:t>
      </w:r>
      <w:r w:rsidR="001B2433">
        <w:rPr>
          <w:rFonts w:ascii="Verdana" w:hAnsi="Verdana" w:cs="Arial"/>
          <w:sz w:val="18"/>
          <w:szCs w:val="18"/>
          <w:lang w:val="el-GR"/>
        </w:rPr>
        <w:t>Ο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ι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πληρωθέντες τόκοι </w:t>
      </w:r>
      <w:r w:rsidR="001B2433">
        <w:rPr>
          <w:rFonts w:ascii="Verdana" w:hAnsi="Verdana" w:cs="Arial"/>
          <w:sz w:val="18"/>
          <w:szCs w:val="18"/>
          <w:lang w:val="el-GR"/>
        </w:rPr>
        <w:t>αυξήθηκαν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101864" w:rsidRPr="00101864">
        <w:rPr>
          <w:rFonts w:ascii="Verdana" w:hAnsi="Verdana" w:cs="Arial"/>
          <w:sz w:val="18"/>
          <w:szCs w:val="18"/>
          <w:lang w:val="el-GR"/>
        </w:rPr>
        <w:t>2</w:t>
      </w:r>
      <w:r w:rsidR="002A791E">
        <w:rPr>
          <w:rFonts w:ascii="Verdana" w:hAnsi="Verdana" w:cs="Arial"/>
          <w:sz w:val="18"/>
          <w:szCs w:val="18"/>
          <w:lang w:val="el-GR"/>
        </w:rPr>
        <w:t>5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7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B2433">
        <w:rPr>
          <w:rFonts w:ascii="Verdana" w:hAnsi="Verdana" w:cs="Arial"/>
          <w:sz w:val="18"/>
          <w:szCs w:val="18"/>
          <w:lang w:val="el-GR"/>
        </w:rPr>
        <w:t>+</w:t>
      </w:r>
      <w:r w:rsidR="00747AD8">
        <w:rPr>
          <w:rFonts w:ascii="Verdana" w:hAnsi="Verdana" w:cs="Arial"/>
          <w:sz w:val="18"/>
          <w:szCs w:val="18"/>
          <w:lang w:val="el-GR"/>
        </w:rPr>
        <w:t>6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3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1B2433">
        <w:rPr>
          <w:rFonts w:ascii="Verdana" w:hAnsi="Verdana" w:cs="Arial"/>
          <w:sz w:val="18"/>
          <w:szCs w:val="18"/>
          <w:lang w:val="el-GR"/>
        </w:rPr>
        <w:t>ανήλθαν</w:t>
      </w:r>
      <w:r w:rsidR="00FD350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στα</w:t>
      </w:r>
      <w:r w:rsidR="005F7000" w:rsidRPr="003670D5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€</w:t>
      </w:r>
      <w:r w:rsidR="002A791E">
        <w:rPr>
          <w:rFonts w:ascii="Verdana" w:hAnsi="Verdana" w:cs="Arial"/>
          <w:sz w:val="18"/>
          <w:szCs w:val="18"/>
          <w:lang w:val="el-GR"/>
        </w:rPr>
        <w:t>433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9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A791E">
        <w:rPr>
          <w:rFonts w:ascii="Verdana" w:hAnsi="Verdana" w:cs="Arial"/>
          <w:sz w:val="18"/>
          <w:szCs w:val="18"/>
          <w:lang w:val="el-GR"/>
        </w:rPr>
        <w:t>408</w:t>
      </w:r>
      <w:r w:rsidR="00101864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2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1B2433">
        <w:rPr>
          <w:rFonts w:ascii="Verdana" w:hAnsi="Verdana" w:cs="Arial"/>
          <w:sz w:val="18"/>
          <w:szCs w:val="18"/>
          <w:lang w:val="el-GR"/>
        </w:rPr>
        <w:t>3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.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5D1BBC" w:rsidRPr="00103CE5" w:rsidRDefault="005D1BBC" w:rsidP="005D1BB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5D1BBC" w:rsidRPr="005D1BBC" w:rsidRDefault="005D1BBC" w:rsidP="005D1BBC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Αντιθέτως, ο</w:t>
      </w:r>
      <w:r w:rsidRPr="00DF632F">
        <w:rPr>
          <w:rFonts w:ascii="Verdana" w:hAnsi="Verdana" w:cs="Arial"/>
          <w:sz w:val="18"/>
          <w:szCs w:val="18"/>
          <w:lang w:val="el-GR"/>
        </w:rPr>
        <w:t>ι επιδοτήσεις μειώθηκαν κατά €</w:t>
      </w:r>
      <w:r w:rsidR="002A791E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7</w:t>
      </w:r>
      <w:r w:rsidRPr="00DF632F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2A791E">
        <w:rPr>
          <w:rFonts w:ascii="Verdana" w:hAnsi="Verdana" w:cs="Arial"/>
          <w:sz w:val="18"/>
          <w:szCs w:val="18"/>
          <w:lang w:val="el-GR"/>
        </w:rPr>
        <w:t>3</w:t>
      </w:r>
      <w:r w:rsidRPr="00DF632F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6</w:t>
      </w:r>
      <w:r w:rsidRPr="00DF632F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Pr="005D1BBC">
        <w:rPr>
          <w:rFonts w:ascii="Verdana" w:hAnsi="Verdana" w:cs="Arial"/>
          <w:sz w:val="18"/>
          <w:szCs w:val="18"/>
          <w:lang w:val="el-GR"/>
        </w:rPr>
        <w:t>1</w:t>
      </w:r>
      <w:r w:rsidR="002A791E">
        <w:rPr>
          <w:rFonts w:ascii="Verdana" w:hAnsi="Verdana" w:cs="Arial"/>
          <w:sz w:val="18"/>
          <w:szCs w:val="18"/>
          <w:lang w:val="el-GR"/>
        </w:rPr>
        <w:t>53</w:t>
      </w:r>
      <w:r w:rsidRPr="00DF632F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4</w:t>
      </w:r>
      <w:r w:rsidRPr="00DF63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Pr="005D1BBC">
        <w:rPr>
          <w:rFonts w:ascii="Verdana" w:hAnsi="Verdana" w:cs="Arial"/>
          <w:sz w:val="18"/>
          <w:szCs w:val="18"/>
          <w:lang w:val="el-GR"/>
        </w:rPr>
        <w:t>1</w:t>
      </w:r>
      <w:r w:rsidR="002A791E">
        <w:rPr>
          <w:rFonts w:ascii="Verdana" w:hAnsi="Verdana" w:cs="Arial"/>
          <w:sz w:val="18"/>
          <w:szCs w:val="18"/>
          <w:lang w:val="el-GR"/>
        </w:rPr>
        <w:t>59</w:t>
      </w:r>
      <w:r w:rsidRPr="00DF632F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1</w:t>
      </w:r>
      <w:r w:rsidRPr="00DF632F">
        <w:rPr>
          <w:rFonts w:ascii="Verdana" w:hAnsi="Verdana" w:cs="Arial"/>
          <w:sz w:val="18"/>
          <w:szCs w:val="18"/>
          <w:lang w:val="el-GR"/>
        </w:rPr>
        <w:t xml:space="preserve"> εκ. το 2023.</w:t>
      </w:r>
      <w:r w:rsidRPr="005D1BBC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  <w:r w:rsidRPr="005D1BBC">
        <w:rPr>
          <w:rFonts w:ascii="Verdana" w:hAnsi="Verdana" w:cs="Arial"/>
          <w:sz w:val="18"/>
          <w:szCs w:val="18"/>
          <w:lang w:val="el-GR"/>
        </w:rPr>
        <w:t>Οι τρέχουσες μεταβιβάσεις μειώθηκαν κατά €</w:t>
      </w:r>
      <w:r w:rsidR="002A791E">
        <w:rPr>
          <w:rFonts w:ascii="Verdana" w:hAnsi="Verdana" w:cs="Arial"/>
          <w:sz w:val="18"/>
          <w:szCs w:val="18"/>
          <w:lang w:val="el-GR"/>
        </w:rPr>
        <w:t>282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7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2A791E">
        <w:rPr>
          <w:rFonts w:ascii="Verdana" w:hAnsi="Verdana" w:cs="Arial"/>
          <w:sz w:val="18"/>
          <w:szCs w:val="18"/>
          <w:lang w:val="el-GR"/>
        </w:rPr>
        <w:t>24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2</w:t>
      </w:r>
      <w:r w:rsidRPr="005D1BBC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2A791E">
        <w:rPr>
          <w:rFonts w:ascii="Verdana" w:hAnsi="Verdana" w:cs="Arial"/>
          <w:sz w:val="18"/>
          <w:szCs w:val="18"/>
          <w:lang w:val="el-GR"/>
        </w:rPr>
        <w:t>88</w:t>
      </w:r>
      <w:r w:rsidR="002B5588">
        <w:rPr>
          <w:rFonts w:ascii="Verdana" w:hAnsi="Verdana" w:cs="Arial"/>
          <w:sz w:val="18"/>
          <w:szCs w:val="18"/>
          <w:lang w:val="el-GR"/>
        </w:rPr>
        <w:t>7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7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A791E">
        <w:rPr>
          <w:rFonts w:ascii="Verdana" w:hAnsi="Verdana" w:cs="Arial"/>
          <w:sz w:val="18"/>
          <w:szCs w:val="18"/>
          <w:lang w:val="el-GR"/>
        </w:rPr>
        <w:t>1.170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4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εκ. το 2023.</w:t>
      </w:r>
    </w:p>
    <w:p w:rsidR="001B2433" w:rsidRPr="005D1BBC" w:rsidRDefault="001B2433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A92EEC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8654BF">
        <w:rPr>
          <w:rFonts w:ascii="Verdana" w:hAnsi="Verdana" w:cs="Arial"/>
          <w:sz w:val="18"/>
          <w:szCs w:val="18"/>
          <w:lang w:val="el-GR"/>
        </w:rPr>
        <w:t>3</w:t>
      </w:r>
      <w:r w:rsidR="002A791E">
        <w:rPr>
          <w:rFonts w:ascii="Verdana" w:hAnsi="Verdana" w:cs="Arial"/>
          <w:sz w:val="18"/>
          <w:szCs w:val="18"/>
          <w:lang w:val="el-GR"/>
        </w:rPr>
        <w:t>81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</w:t>
      </w:r>
      <w:r w:rsidR="002A791E">
        <w:rPr>
          <w:rFonts w:ascii="Verdana" w:hAnsi="Verdana" w:cs="Arial"/>
          <w:sz w:val="18"/>
          <w:szCs w:val="18"/>
          <w:lang w:val="el-GR"/>
        </w:rPr>
        <w:t>24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2B5588">
        <w:rPr>
          <w:rFonts w:ascii="Verdana" w:hAnsi="Verdana" w:cs="Arial"/>
          <w:sz w:val="18"/>
          <w:szCs w:val="18"/>
          <w:lang w:val="el-GR"/>
        </w:rPr>
        <w:t>5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2A791E">
        <w:rPr>
          <w:rFonts w:ascii="Verdana" w:hAnsi="Verdana" w:cs="Arial"/>
          <w:sz w:val="18"/>
          <w:szCs w:val="18"/>
          <w:lang w:val="el-GR"/>
        </w:rPr>
        <w:t>1.176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5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01864" w:rsidRPr="00101864">
        <w:rPr>
          <w:rFonts w:ascii="Verdana" w:hAnsi="Verdana" w:cs="Arial"/>
          <w:sz w:val="18"/>
          <w:szCs w:val="18"/>
          <w:lang w:val="el-GR"/>
        </w:rPr>
        <w:t>1.</w:t>
      </w:r>
      <w:r w:rsidR="002A791E">
        <w:rPr>
          <w:rFonts w:ascii="Verdana" w:hAnsi="Verdana" w:cs="Arial"/>
          <w:sz w:val="18"/>
          <w:szCs w:val="18"/>
          <w:lang w:val="el-GR"/>
        </w:rPr>
        <w:t>557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7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Pr="00731131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2A791E">
        <w:rPr>
          <w:rFonts w:ascii="Verdana" w:hAnsi="Verdana" w:cs="Arial"/>
          <w:sz w:val="18"/>
          <w:szCs w:val="18"/>
          <w:lang w:val="el-GR"/>
        </w:rPr>
        <w:t>μειώ</w:t>
      </w:r>
      <w:r w:rsidRPr="00D25E9C">
        <w:rPr>
          <w:rFonts w:ascii="Verdana" w:hAnsi="Verdana" w:cs="Arial"/>
          <w:sz w:val="18"/>
          <w:szCs w:val="18"/>
          <w:lang w:val="el-GR"/>
        </w:rPr>
        <w:t>θηκαν κατά</w:t>
      </w:r>
      <w:r w:rsidR="00830437">
        <w:rPr>
          <w:rFonts w:ascii="Verdana" w:hAnsi="Verdana" w:cs="Arial"/>
          <w:sz w:val="18"/>
          <w:szCs w:val="18"/>
          <w:lang w:val="el-GR"/>
        </w:rPr>
        <w:t xml:space="preserve"> </w:t>
      </w:r>
      <w:r w:rsidR="002A791E">
        <w:rPr>
          <w:rFonts w:ascii="Verdana" w:hAnsi="Verdana" w:cs="Arial"/>
          <w:sz w:val="18"/>
          <w:szCs w:val="18"/>
          <w:lang w:val="el-GR"/>
        </w:rPr>
        <w:t xml:space="preserve">   </w:t>
      </w:r>
      <w:r w:rsidRPr="00D25E9C">
        <w:rPr>
          <w:rFonts w:ascii="Verdana" w:hAnsi="Verdana" w:cs="Arial"/>
          <w:sz w:val="18"/>
          <w:szCs w:val="18"/>
          <w:lang w:val="el-GR"/>
        </w:rPr>
        <w:t>€</w:t>
      </w:r>
      <w:r w:rsidR="002A791E">
        <w:rPr>
          <w:rFonts w:ascii="Verdana" w:hAnsi="Verdana" w:cs="Arial"/>
          <w:sz w:val="18"/>
          <w:szCs w:val="18"/>
          <w:lang w:val="el-GR"/>
        </w:rPr>
        <w:t>1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6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2A791E">
        <w:rPr>
          <w:rFonts w:ascii="Verdana" w:hAnsi="Verdana" w:cs="Arial"/>
          <w:sz w:val="18"/>
          <w:szCs w:val="18"/>
          <w:lang w:val="el-GR"/>
        </w:rPr>
        <w:t>-0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2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2A791E"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2A791E">
        <w:rPr>
          <w:rFonts w:ascii="Verdana" w:hAnsi="Verdana" w:cs="Arial"/>
          <w:sz w:val="18"/>
          <w:szCs w:val="18"/>
          <w:lang w:val="el-GR"/>
        </w:rPr>
        <w:t>983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0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A791E">
        <w:rPr>
          <w:rFonts w:ascii="Verdana" w:hAnsi="Verdana" w:cs="Arial"/>
          <w:sz w:val="18"/>
          <w:szCs w:val="18"/>
          <w:lang w:val="el-GR"/>
        </w:rPr>
        <w:t>9</w:t>
      </w:r>
      <w:r w:rsidR="00583C6B">
        <w:rPr>
          <w:rFonts w:ascii="Verdana" w:hAnsi="Verdana" w:cs="Arial"/>
          <w:sz w:val="18"/>
          <w:szCs w:val="18"/>
          <w:lang w:val="el-GR"/>
        </w:rPr>
        <w:t>8</w:t>
      </w:r>
      <w:r w:rsidR="002A791E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583C6B">
        <w:rPr>
          <w:rFonts w:ascii="Verdana" w:hAnsi="Verdana" w:cs="Arial"/>
          <w:sz w:val="18"/>
          <w:szCs w:val="18"/>
          <w:lang w:val="el-GR"/>
        </w:rPr>
        <w:t>6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="00A92EEC" w:rsidRP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οι άλλες μεταβιβάσεις κεφαλαίου </w:t>
      </w:r>
      <w:r w:rsidR="0094190D">
        <w:rPr>
          <w:rFonts w:ascii="Verdana" w:hAnsi="Verdana" w:cs="Arial"/>
          <w:sz w:val="18"/>
          <w:szCs w:val="18"/>
          <w:lang w:val="el-GR"/>
        </w:rPr>
        <w:t>μειώ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2A791E">
        <w:rPr>
          <w:rFonts w:ascii="Verdana" w:hAnsi="Verdana" w:cs="Arial"/>
          <w:sz w:val="18"/>
          <w:szCs w:val="18"/>
          <w:lang w:val="el-GR"/>
        </w:rPr>
        <w:t>379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6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B06B22">
        <w:rPr>
          <w:rFonts w:ascii="Verdana" w:hAnsi="Verdana" w:cs="Arial"/>
          <w:sz w:val="18"/>
          <w:szCs w:val="18"/>
          <w:lang w:val="el-GR"/>
        </w:rPr>
        <w:t>(</w:t>
      </w:r>
      <w:r w:rsidR="005D1BBC">
        <w:rPr>
          <w:rFonts w:ascii="Verdana" w:hAnsi="Verdana" w:cs="Arial"/>
          <w:sz w:val="18"/>
          <w:szCs w:val="18"/>
          <w:lang w:val="el-GR"/>
        </w:rPr>
        <w:t>-</w:t>
      </w:r>
      <w:r w:rsidR="002A791E">
        <w:rPr>
          <w:rFonts w:ascii="Verdana" w:hAnsi="Verdana" w:cs="Arial"/>
          <w:sz w:val="18"/>
          <w:szCs w:val="18"/>
          <w:lang w:val="el-GR"/>
        </w:rPr>
        <w:t>66</w:t>
      </w:r>
      <w:r w:rsidR="00B06B22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2</w:t>
      </w:r>
      <w:r w:rsidR="00B06B22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94190D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5D1BBC" w:rsidRPr="00103CE5">
        <w:rPr>
          <w:rFonts w:ascii="Verdana" w:hAnsi="Verdana" w:cs="Arial"/>
          <w:sz w:val="18"/>
          <w:szCs w:val="18"/>
          <w:lang w:val="el-GR"/>
        </w:rPr>
        <w:t>1</w:t>
      </w:r>
      <w:r w:rsidR="002A791E">
        <w:rPr>
          <w:rFonts w:ascii="Verdana" w:hAnsi="Verdana" w:cs="Arial"/>
          <w:sz w:val="18"/>
          <w:szCs w:val="18"/>
          <w:lang w:val="el-GR"/>
        </w:rPr>
        <w:t>93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5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34F9F">
        <w:rPr>
          <w:rFonts w:ascii="Verdana" w:hAnsi="Verdana" w:cs="Arial"/>
          <w:sz w:val="18"/>
          <w:szCs w:val="18"/>
          <w:lang w:val="el-GR"/>
        </w:rPr>
        <w:t>5</w:t>
      </w:r>
      <w:r w:rsidR="002A791E">
        <w:rPr>
          <w:rFonts w:ascii="Verdana" w:hAnsi="Verdana" w:cs="Arial"/>
          <w:sz w:val="18"/>
          <w:szCs w:val="18"/>
          <w:lang w:val="el-GR"/>
        </w:rPr>
        <w:t>73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2A791E">
        <w:rPr>
          <w:rFonts w:ascii="Verdana" w:hAnsi="Verdana" w:cs="Arial"/>
          <w:sz w:val="18"/>
          <w:szCs w:val="18"/>
          <w:lang w:val="el-GR"/>
        </w:rPr>
        <w:t>1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A92EEC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.</w:t>
      </w:r>
      <w:r w:rsidR="00A92EEC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E54453" w:rsidRDefault="00E54453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53745A" w:rsidRPr="0053745A" w:rsidRDefault="0053745A" w:rsidP="00B6315F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Σημαντική </w:t>
      </w:r>
      <w:r w:rsidR="00757EAC">
        <w:rPr>
          <w:rFonts w:ascii="Verdana" w:hAnsi="Verdana"/>
          <w:b/>
          <w:bCs/>
          <w:sz w:val="18"/>
          <w:szCs w:val="18"/>
          <w:u w:val="single"/>
          <w:lang w:val="el-GR"/>
        </w:rPr>
        <w:t>Δ</w:t>
      </w: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>ιευκρίνιση</w:t>
      </w:r>
    </w:p>
    <w:p w:rsidR="0053745A" w:rsidRPr="0053745A" w:rsidRDefault="0053745A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:rsidR="00583C6B" w:rsidRPr="00B6315F" w:rsidRDefault="00B6315F" w:rsidP="00583C6B">
      <w:pPr>
        <w:jc w:val="both"/>
        <w:rPr>
          <w:rFonts w:ascii="Verdana" w:hAnsi="Verdana"/>
          <w:sz w:val="18"/>
          <w:szCs w:val="18"/>
          <w:lang w:val="el-GR"/>
        </w:rPr>
      </w:pPr>
      <w:r w:rsidRPr="006D11CE">
        <w:rPr>
          <w:rFonts w:ascii="Verdana" w:hAnsi="Verdana"/>
          <w:sz w:val="18"/>
          <w:szCs w:val="18"/>
          <w:lang w:val="el-GR"/>
        </w:rPr>
        <w:t xml:space="preserve">Τονίζεται ότι για τον υποτομέα της Τοπικής Αυτοδιοίκησης, έχουν παραχθεί εκτιμήσεις λόγω μη υποβολής επαρκών στοιχείων από τις αρμόδιες αρχές </w:t>
      </w:r>
      <w:r w:rsidR="00583C6B">
        <w:rPr>
          <w:rFonts w:ascii="Verdana" w:hAnsi="Verdana"/>
          <w:sz w:val="18"/>
          <w:szCs w:val="18"/>
          <w:lang w:val="el-GR"/>
        </w:rPr>
        <w:t>για</w:t>
      </w:r>
      <w:r w:rsidRPr="006D11CE">
        <w:rPr>
          <w:rFonts w:ascii="Verdana" w:hAnsi="Verdana"/>
          <w:sz w:val="18"/>
          <w:szCs w:val="18"/>
          <w:lang w:val="el-GR"/>
        </w:rPr>
        <w:t xml:space="preserve"> τους Ε</w:t>
      </w:r>
      <w:r w:rsidR="003844E5">
        <w:rPr>
          <w:rFonts w:ascii="Verdana" w:hAnsi="Verdana"/>
          <w:sz w:val="18"/>
          <w:szCs w:val="18"/>
          <w:lang w:val="el-GR"/>
        </w:rPr>
        <w:t xml:space="preserve">παρχιακούς Οργανισμούς Αυτοδιοίκησης </w:t>
      </w:r>
      <w:r w:rsidR="00583C6B">
        <w:rPr>
          <w:rFonts w:ascii="Verdana" w:hAnsi="Verdana"/>
          <w:sz w:val="18"/>
          <w:szCs w:val="18"/>
          <w:lang w:val="el-GR"/>
        </w:rPr>
        <w:t>Αμμοχώστου και Πάφου (δραστηριότητες που αφορούν αποχετεύσεις, ύδρευση, αδειοδοτήσεις και διαχείριση αποβλήτων)</w:t>
      </w:r>
      <w:r w:rsidRPr="006D11CE">
        <w:rPr>
          <w:rFonts w:ascii="Verdana" w:hAnsi="Verdana"/>
          <w:sz w:val="18"/>
          <w:szCs w:val="18"/>
          <w:lang w:val="el-GR"/>
        </w:rPr>
        <w:t xml:space="preserve">. </w:t>
      </w:r>
    </w:p>
    <w:p w:rsidR="00B6315F" w:rsidRPr="00B6315F" w:rsidRDefault="00B6315F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:rsidR="00B6315F" w:rsidRDefault="00B6315F" w:rsidP="00DD16F7">
      <w:pPr>
        <w:jc w:val="both"/>
        <w:rPr>
          <w:rFonts w:ascii="Verdana" w:hAnsi="Verdana"/>
          <w:sz w:val="18"/>
          <w:szCs w:val="18"/>
          <w:lang w:val="el-GR"/>
        </w:rPr>
      </w:pPr>
    </w:p>
    <w:p w:rsidR="00981CAA" w:rsidRDefault="00981CAA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:rsidR="006D11CE" w:rsidRPr="005F7000" w:rsidRDefault="006D11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583C6B" w:rsidRPr="005F7000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376296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:rsidR="00882A5A" w:rsidRPr="00376296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</w:t>
            </w:r>
            <w:r w:rsidR="00F00767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1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376296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:rsidR="00B26CAE" w:rsidRPr="00376296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:rsidR="00B26CAE" w:rsidRPr="007A174A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:rsidR="00B26CAE" w:rsidRPr="00376296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:rsidR="00B26CAE" w:rsidRPr="00376296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376296" w:rsidTr="00B26CAE">
        <w:trPr>
          <w:trHeight w:val="510"/>
          <w:jc w:val="center"/>
        </w:trPr>
        <w:tc>
          <w:tcPr>
            <w:tcW w:w="4263" w:type="dxa"/>
            <w:vMerge/>
          </w:tcPr>
          <w:p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376296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:rsidR="00882A5A" w:rsidRPr="00376296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E371DD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Δεκ</w:t>
            </w: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E371DD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Δεκ</w:t>
            </w:r>
            <w:r w:rsidR="0094190D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:rsidR="00882A5A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E371DD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Δεκ</w:t>
            </w: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E371DD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Δεκ</w:t>
            </w: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</w:tr>
      <w:tr w:rsidR="00D320B0" w:rsidRPr="005D1BBC" w:rsidTr="00D320B0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:rsidR="00D320B0" w:rsidRPr="00376296" w:rsidRDefault="00D320B0" w:rsidP="00E136E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13.761,8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14.835,5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1.073,7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7,8%</w:t>
            </w:r>
          </w:p>
        </w:tc>
      </w:tr>
      <w:tr w:rsidR="00D320B0" w:rsidRPr="005D1BBC" w:rsidTr="00D320B0">
        <w:trPr>
          <w:trHeight w:val="510"/>
          <w:jc w:val="center"/>
        </w:trPr>
        <w:tc>
          <w:tcPr>
            <w:tcW w:w="4263" w:type="dxa"/>
            <w:vAlign w:val="center"/>
          </w:tcPr>
          <w:p w:rsidR="00D320B0" w:rsidRPr="00376296" w:rsidRDefault="00D320B0" w:rsidP="00E136E5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4.442,4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4.686,8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244,4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5,5%</w:t>
            </w:r>
          </w:p>
        </w:tc>
      </w:tr>
      <w:tr w:rsidR="00D320B0" w:rsidRPr="005D1BBC" w:rsidTr="00D320B0">
        <w:trPr>
          <w:trHeight w:val="284"/>
          <w:jc w:val="center"/>
        </w:trPr>
        <w:tc>
          <w:tcPr>
            <w:tcW w:w="4263" w:type="dxa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2.978,8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3.145,0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166,2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5,6%</w:t>
            </w:r>
          </w:p>
        </w:tc>
      </w:tr>
      <w:tr w:rsidR="00D320B0" w:rsidRPr="005D1BBC" w:rsidTr="00D320B0">
        <w:trPr>
          <w:trHeight w:val="567"/>
          <w:jc w:val="center"/>
        </w:trPr>
        <w:tc>
          <w:tcPr>
            <w:tcW w:w="4263" w:type="dxa"/>
            <w:vAlign w:val="center"/>
          </w:tcPr>
          <w:p w:rsidR="00D320B0" w:rsidRPr="00376296" w:rsidRDefault="00D320B0" w:rsidP="00E136E5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3.264,9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3.810,1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545,2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16,7%</w:t>
            </w:r>
          </w:p>
        </w:tc>
      </w:tr>
      <w:tr w:rsidR="00D320B0" w:rsidRPr="005D1BBC" w:rsidTr="00D320B0">
        <w:trPr>
          <w:trHeight w:val="340"/>
          <w:jc w:val="center"/>
        </w:trPr>
        <w:tc>
          <w:tcPr>
            <w:tcW w:w="4263" w:type="dxa"/>
            <w:vAlign w:val="center"/>
          </w:tcPr>
          <w:p w:rsidR="00D320B0" w:rsidRPr="00376296" w:rsidRDefault="00D320B0" w:rsidP="00E136E5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4.380,5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4.500,0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119,5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2,7%</w:t>
            </w:r>
          </w:p>
        </w:tc>
      </w:tr>
      <w:tr w:rsidR="00D320B0" w:rsidRPr="005D1BBC" w:rsidTr="00D320B0">
        <w:trPr>
          <w:trHeight w:val="340"/>
          <w:jc w:val="center"/>
        </w:trPr>
        <w:tc>
          <w:tcPr>
            <w:tcW w:w="4263" w:type="dxa"/>
            <w:vAlign w:val="center"/>
          </w:tcPr>
          <w:p w:rsidR="00D320B0" w:rsidRPr="00376296" w:rsidRDefault="00D320B0" w:rsidP="00E136E5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1.316,1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1.618,2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302,1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23,0%</w:t>
            </w:r>
          </w:p>
        </w:tc>
      </w:tr>
      <w:tr w:rsidR="00D320B0" w:rsidRPr="005D1BBC" w:rsidTr="00D320B0">
        <w:trPr>
          <w:trHeight w:val="284"/>
          <w:jc w:val="center"/>
        </w:trPr>
        <w:tc>
          <w:tcPr>
            <w:tcW w:w="4263" w:type="dxa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137,5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143,6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6,1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4,4%</w:t>
            </w:r>
          </w:p>
        </w:tc>
      </w:tr>
      <w:tr w:rsidR="00D320B0" w:rsidRPr="005D1BBC" w:rsidTr="00D320B0">
        <w:trPr>
          <w:trHeight w:val="284"/>
          <w:jc w:val="center"/>
        </w:trPr>
        <w:tc>
          <w:tcPr>
            <w:tcW w:w="4263" w:type="dxa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325,2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381,2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56,0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17,2%</w:t>
            </w:r>
          </w:p>
        </w:tc>
      </w:tr>
      <w:tr w:rsidR="00D320B0" w:rsidRPr="005D1BBC" w:rsidTr="00D320B0">
        <w:trPr>
          <w:trHeight w:val="284"/>
          <w:jc w:val="center"/>
        </w:trPr>
        <w:tc>
          <w:tcPr>
            <w:tcW w:w="4263" w:type="dxa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853,4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1.093,4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240,0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28,1%</w:t>
            </w:r>
          </w:p>
        </w:tc>
      </w:tr>
      <w:tr w:rsidR="00D320B0" w:rsidRPr="005D1BBC" w:rsidTr="00D320B0">
        <w:trPr>
          <w:trHeight w:val="454"/>
          <w:jc w:val="center"/>
        </w:trPr>
        <w:tc>
          <w:tcPr>
            <w:tcW w:w="4263" w:type="dxa"/>
            <w:vAlign w:val="center"/>
          </w:tcPr>
          <w:p w:rsidR="00D320B0" w:rsidRPr="00376296" w:rsidRDefault="00D320B0" w:rsidP="00E136E5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357,9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220,4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-137,5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-38,4%</w:t>
            </w:r>
          </w:p>
        </w:tc>
      </w:tr>
      <w:tr w:rsidR="00D320B0" w:rsidRPr="005D1BBC" w:rsidTr="00D320B0">
        <w:trPr>
          <w:trHeight w:val="397"/>
          <w:jc w:val="center"/>
        </w:trPr>
        <w:tc>
          <w:tcPr>
            <w:tcW w:w="4263" w:type="dxa"/>
            <w:vAlign w:val="center"/>
          </w:tcPr>
          <w:p w:rsidR="00D320B0" w:rsidRPr="00376296" w:rsidRDefault="00D320B0" w:rsidP="00E136E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13.130,2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13.327,6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197,4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1,5%</w:t>
            </w:r>
          </w:p>
        </w:tc>
      </w:tr>
      <w:tr w:rsidR="00D320B0" w:rsidRPr="005D1BBC" w:rsidTr="00D320B0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:rsidR="00D320B0" w:rsidRPr="00376296" w:rsidRDefault="00D320B0" w:rsidP="00E136E5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Σύνολο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ρεχουσών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11.572,5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12.151,1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578,6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5,0%</w:t>
            </w:r>
          </w:p>
        </w:tc>
      </w:tr>
      <w:tr w:rsidR="00D320B0" w:rsidRPr="005D1BBC" w:rsidTr="00D320B0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 ανάλωση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1.301,7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1.507,3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205,6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15,8%</w:t>
            </w:r>
          </w:p>
        </w:tc>
      </w:tr>
      <w:tr w:rsidR="00D320B0" w:rsidRPr="005D1BBC" w:rsidTr="00D320B0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Απολαβές προσωπικού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3.591,9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3.861,3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269,4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7,5%</w:t>
            </w:r>
          </w:p>
        </w:tc>
      </w:tr>
      <w:tr w:rsidR="00D320B0" w:rsidRPr="005D1BBC" w:rsidTr="00D320B0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 παροχές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4.941,3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5.307,5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366,2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7,4%</w:t>
            </w:r>
          </w:p>
        </w:tc>
      </w:tr>
      <w:tr w:rsidR="00D320B0" w:rsidRPr="005D1BBC" w:rsidTr="00D320B0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 πληρωτέοι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408,2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433,9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25,7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6,3%</w:t>
            </w:r>
          </w:p>
        </w:tc>
      </w:tr>
      <w:tr w:rsidR="00D320B0" w:rsidRPr="005D1BBC" w:rsidTr="00D320B0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Επιδοτήσεις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159,1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153,4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-5,7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-3,6%</w:t>
            </w:r>
          </w:p>
        </w:tc>
      </w:tr>
      <w:tr w:rsidR="00D320B0" w:rsidRPr="005D1BBC" w:rsidTr="00D320B0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Λοιπές τρέχουσες δαπάνες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1.170,4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887,7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-282,7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-24,2%</w:t>
            </w:r>
          </w:p>
        </w:tc>
      </w:tr>
      <w:tr w:rsidR="00D320B0" w:rsidRPr="005D1BBC" w:rsidTr="00D320B0">
        <w:trPr>
          <w:trHeight w:val="397"/>
          <w:jc w:val="center"/>
        </w:trPr>
        <w:tc>
          <w:tcPr>
            <w:tcW w:w="4263" w:type="dxa"/>
            <w:shd w:val="clear" w:color="000000" w:fill="FFFFFF"/>
            <w:vAlign w:val="center"/>
          </w:tcPr>
          <w:p w:rsidR="00D320B0" w:rsidRPr="00376296" w:rsidRDefault="00D320B0" w:rsidP="00E136E5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Κεφαλαιουχικές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απάνες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1.557,7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1.176,5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-381,2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-24,5%</w:t>
            </w:r>
          </w:p>
        </w:tc>
      </w:tr>
      <w:tr w:rsidR="00D320B0" w:rsidRPr="005D1BBC" w:rsidTr="00D320B0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984,6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983,0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-1,6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-0,2%</w:t>
            </w:r>
          </w:p>
        </w:tc>
      </w:tr>
      <w:tr w:rsidR="00D320B0" w:rsidRPr="005D1BBC" w:rsidTr="00D320B0">
        <w:trPr>
          <w:trHeight w:val="397"/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D320B0" w:rsidRPr="0047741C" w:rsidRDefault="00D320B0" w:rsidP="00E136E5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 εξαιρ.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954,9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944,7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-10,2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-1,1%</w:t>
            </w:r>
          </w:p>
        </w:tc>
      </w:tr>
      <w:tr w:rsidR="00D320B0" w:rsidRPr="005D1BBC" w:rsidTr="00D320B0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:rsidR="00D320B0" w:rsidRPr="00376296" w:rsidRDefault="00D320B0" w:rsidP="00E136E5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Λοιπές μεταβιβάσεις κεφαλαίου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573,1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193,5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-379,6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-66,2%</w:t>
            </w:r>
          </w:p>
        </w:tc>
      </w:tr>
      <w:tr w:rsidR="00D320B0" w:rsidRPr="005D1BBC" w:rsidTr="00D320B0">
        <w:trPr>
          <w:trHeight w:val="624"/>
          <w:jc w:val="center"/>
        </w:trPr>
        <w:tc>
          <w:tcPr>
            <w:tcW w:w="4263" w:type="dxa"/>
            <w:vAlign w:val="center"/>
          </w:tcPr>
          <w:p w:rsidR="00D320B0" w:rsidRPr="00376296" w:rsidRDefault="00D320B0" w:rsidP="00E136E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:rsidR="00D320B0" w:rsidRPr="00376296" w:rsidRDefault="00D320B0" w:rsidP="00E136E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631,5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1.507,8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876,3</w:t>
            </w:r>
          </w:p>
        </w:tc>
        <w:tc>
          <w:tcPr>
            <w:tcW w:w="240" w:type="dxa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D320B0" w:rsidRPr="005D1BBC" w:rsidTr="00D320B0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:rsidR="00D320B0" w:rsidRPr="00376296" w:rsidRDefault="00D320B0" w:rsidP="00E136E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  <w:t>2,0%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D320B0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  <w:t>4,5%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:rsidR="00D320B0" w:rsidRPr="00D320B0" w:rsidRDefault="00D320B0" w:rsidP="00D320B0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:rsidR="001712CF" w:rsidRDefault="001712CF" w:rsidP="000E4CB0">
      <w:pPr>
        <w:jc w:val="both"/>
        <w:rPr>
          <w:rFonts w:ascii="Verdana" w:hAnsi="Verdana" w:cs="Arial"/>
          <w:sz w:val="18"/>
          <w:szCs w:val="18"/>
        </w:rPr>
      </w:pPr>
    </w:p>
    <w:p w:rsidR="00757EAC" w:rsidRPr="00757EAC" w:rsidRDefault="00757EAC" w:rsidP="000E4CB0">
      <w:pPr>
        <w:jc w:val="both"/>
        <w:rPr>
          <w:rFonts w:ascii="Verdana" w:hAnsi="Verdana" w:cs="Arial"/>
          <w:sz w:val="18"/>
          <w:szCs w:val="18"/>
        </w:rPr>
      </w:pPr>
    </w:p>
    <w:p w:rsidR="001712CF" w:rsidRPr="007A5325" w:rsidRDefault="007A532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Τ</w:t>
      </w:r>
      <w:r w:rsidR="00A55B66">
        <w:rPr>
          <w:rFonts w:ascii="Verdana" w:hAnsi="Verdana" w:cs="Arial"/>
          <w:sz w:val="18"/>
          <w:szCs w:val="18"/>
          <w:lang w:val="el-GR"/>
        </w:rPr>
        <w:t>ο Δημοσιονομικό πλεόνασμα/έλλειμμα</w:t>
      </w:r>
      <w:r>
        <w:rPr>
          <w:rFonts w:ascii="Verdana" w:hAnsi="Verdana" w:cs="Arial"/>
          <w:sz w:val="18"/>
          <w:szCs w:val="18"/>
          <w:lang w:val="el-GR"/>
        </w:rPr>
        <w:t xml:space="preserve"> της Γενικής Κυβέρνησης</w:t>
      </w:r>
      <w:r w:rsidR="00A30976" w:rsidRPr="00A30976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 xml:space="preserve">για την περίοδο </w:t>
      </w:r>
      <w:r w:rsidR="004B4A9A" w:rsidRPr="009923AE">
        <w:rPr>
          <w:rFonts w:ascii="Verdana" w:hAnsi="Verdana" w:cs="Arial"/>
          <w:sz w:val="18"/>
          <w:szCs w:val="18"/>
          <w:lang w:val="el-GR"/>
        </w:rPr>
        <w:t>Ιανουαρίου-</w:t>
      </w:r>
      <w:r w:rsidR="004B4A9A">
        <w:rPr>
          <w:rFonts w:ascii="Verdana" w:hAnsi="Verdana" w:cs="Arial"/>
          <w:sz w:val="18"/>
          <w:szCs w:val="18"/>
          <w:lang w:val="el-GR"/>
        </w:rPr>
        <w:t>Δεκεμβρίου</w:t>
      </w:r>
      <w:r w:rsidR="00A30976">
        <w:rPr>
          <w:rFonts w:ascii="Verdana" w:hAnsi="Verdana" w:cs="Arial"/>
          <w:sz w:val="18"/>
          <w:szCs w:val="18"/>
          <w:lang w:val="el-GR"/>
        </w:rPr>
        <w:t xml:space="preserve"> 2024</w:t>
      </w:r>
      <w:r>
        <w:rPr>
          <w:rFonts w:ascii="Verdana" w:hAnsi="Verdana" w:cs="Arial"/>
          <w:sz w:val="18"/>
          <w:szCs w:val="18"/>
          <w:lang w:val="el-GR"/>
        </w:rPr>
        <w:t xml:space="preserve"> που παρουσιάζ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πιο πάνω αναλύ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ως εξής</w:t>
      </w:r>
      <w:r w:rsidRPr="007A5325">
        <w:rPr>
          <w:rFonts w:ascii="Verdana" w:hAnsi="Verdana" w:cs="Arial"/>
          <w:sz w:val="18"/>
          <w:szCs w:val="18"/>
          <w:lang w:val="el-GR"/>
        </w:rPr>
        <w:t>:</w:t>
      </w:r>
    </w:p>
    <w:p w:rsidR="00A30976" w:rsidRDefault="00A30976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</w:tblGrid>
      <w:tr w:rsidR="00F00767" w:rsidRPr="00F00767" w:rsidTr="00F00767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:rsidR="00F00767" w:rsidRPr="00F00767" w:rsidRDefault="00F00767" w:rsidP="00F00767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</w:tcPr>
          <w:p w:rsidR="00F00767" w:rsidRPr="00F00767" w:rsidRDefault="00F00767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F00767" w:rsidRPr="00F00767" w:rsidTr="00F00767">
        <w:trPr>
          <w:trHeight w:val="56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:rsidR="00F00767" w:rsidRPr="009D6E4D" w:rsidRDefault="00F00767" w:rsidP="00F00767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D6E4D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(+)/ Έλλειμμα (-)</w:t>
            </w:r>
            <w:r w:rsidR="009D6E4D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3043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κατά υποτομέα Γενικής κυβερνήσης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:rsidR="00F00767" w:rsidRDefault="00D320B0" w:rsidP="00F00767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Ιαν-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="00F00767" w:rsidRPr="00F0076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ε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κ</w:t>
            </w:r>
            <w:r w:rsidR="00F00767" w:rsidRPr="00F0076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2024</w:t>
            </w:r>
          </w:p>
          <w:p w:rsidR="009D6E4D" w:rsidRPr="009D6E4D" w:rsidRDefault="009D6E4D" w:rsidP="00F00767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(€ </w:t>
            </w:r>
            <w:r w:rsidRPr="009D6E4D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εκ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.)</w:t>
            </w:r>
          </w:p>
        </w:tc>
      </w:tr>
      <w:tr w:rsidR="00F00767" w:rsidRPr="00F00767" w:rsidTr="00F00767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</w:tcBorders>
            <w:vAlign w:val="center"/>
          </w:tcPr>
          <w:p w:rsidR="00F00767" w:rsidRPr="00F00767" w:rsidRDefault="00F00767" w:rsidP="00F007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Κεντρική Κυβέρνηση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</w:tcBorders>
            <w:vAlign w:val="center"/>
          </w:tcPr>
          <w:p w:rsidR="00F00767" w:rsidRPr="00D320B0" w:rsidRDefault="00D320B0" w:rsidP="00F00767">
            <w:pPr>
              <w:ind w:right="51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68,3</w:t>
            </w:r>
          </w:p>
        </w:tc>
      </w:tr>
      <w:tr w:rsidR="00F00767" w:rsidRPr="00F00767" w:rsidTr="00F00767">
        <w:trPr>
          <w:trHeight w:val="397"/>
          <w:jc w:val="center"/>
        </w:trPr>
        <w:tc>
          <w:tcPr>
            <w:tcW w:w="5670" w:type="dxa"/>
            <w:vAlign w:val="center"/>
          </w:tcPr>
          <w:p w:rsidR="00F00767" w:rsidRPr="00F00767" w:rsidRDefault="00F00767" w:rsidP="00F007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Τοπική Αυτοδιοίκηση</w:t>
            </w:r>
          </w:p>
        </w:tc>
        <w:tc>
          <w:tcPr>
            <w:tcW w:w="1985" w:type="dxa"/>
            <w:vAlign w:val="center"/>
          </w:tcPr>
          <w:p w:rsidR="00F00767" w:rsidRPr="003844E5" w:rsidRDefault="00D320B0" w:rsidP="00F00767">
            <w:pPr>
              <w:ind w:right="51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22,3</w:t>
            </w:r>
          </w:p>
        </w:tc>
      </w:tr>
      <w:tr w:rsidR="00F00767" w:rsidRPr="00F00767" w:rsidTr="00F00767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:rsidR="00F00767" w:rsidRPr="00F00767" w:rsidRDefault="00F00767" w:rsidP="00F007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Οργανισμοί Κοινωνικής Ασφάλισης</w:t>
            </w:r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  <w:vAlign w:val="center"/>
          </w:tcPr>
          <w:p w:rsidR="00F00767" w:rsidRPr="003844E5" w:rsidRDefault="003844E5" w:rsidP="00F00767">
            <w:pPr>
              <w:ind w:right="51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1.</w:t>
            </w:r>
            <w:r w:rsidR="00D320B0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417,2</w:t>
            </w:r>
          </w:p>
        </w:tc>
      </w:tr>
      <w:tr w:rsidR="00F00767" w:rsidRPr="00D320B0" w:rsidTr="00F00767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:rsidR="00F00767" w:rsidRPr="00F00767" w:rsidRDefault="00F00767" w:rsidP="00F00767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Γενική Κυβέρνηση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:rsidR="00F00767" w:rsidRPr="00F00767" w:rsidRDefault="00F00767" w:rsidP="00F00767">
            <w:pPr>
              <w:ind w:right="510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D320B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D320B0" w:rsidRPr="00D320B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.</w:t>
            </w:r>
            <w:r w:rsidR="00D320B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507</w:t>
            </w:r>
            <w:r w:rsidRPr="00D320B0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,8</w:t>
            </w:r>
          </w:p>
        </w:tc>
      </w:tr>
    </w:tbl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830437" w:rsidRDefault="00830437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Τα έσοδα και οι δαπάνες για την Γενική Κυβέρνηση καλύπτουν όλους τους υποτομείς της Γενικής Κυβέρνησης με βάση το Ευρωπαϊκό Σύστημα Λογαριασμών 2010 (ΕΣΛ 2010).</w:t>
      </w:r>
    </w:p>
    <w:p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Ημικρατικών Οργανισμών.</w:t>
      </w:r>
    </w:p>
    <w:p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:rsidR="000600C4" w:rsidRPr="00573F8E" w:rsidRDefault="000600C4" w:rsidP="000600C4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 Τηλ</w:t>
      </w:r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2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Ταχ.: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2"/>
    </w:p>
    <w:p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A98" w:rsidRDefault="004B0A98" w:rsidP="00FB398F">
      <w:r>
        <w:separator/>
      </w:r>
    </w:p>
  </w:endnote>
  <w:endnote w:type="continuationSeparator" w:id="0">
    <w:p w:rsidR="004B0A98" w:rsidRDefault="004B0A9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1DD" w:rsidRPr="000A1A88" w:rsidRDefault="00E371DD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F35A08">
      <w:fldChar w:fldCharType="begin"/>
    </w:r>
    <w:r w:rsidR="00D320B0">
      <w:instrText xml:space="preserve"> PAGE   \* MERGEFORMAT </w:instrText>
    </w:r>
    <w:r w:rsidR="00F35A08">
      <w:fldChar w:fldCharType="separate"/>
    </w:r>
    <w:r w:rsidR="009D26E8">
      <w:rPr>
        <w:noProof/>
      </w:rPr>
      <w:t>3</w:t>
    </w:r>
    <w:r w:rsidR="00F35A08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1DD" w:rsidRPr="00233FBF" w:rsidRDefault="00E371DD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:rsidR="00E371DD" w:rsidRPr="009D26E8" w:rsidRDefault="00E371DD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9D26E8">
      <w:rPr>
        <w:rFonts w:ascii="Arial" w:hAnsi="Arial" w:cs="Arial"/>
        <w:i/>
        <w:iCs/>
        <w:sz w:val="16"/>
        <w:szCs w:val="16"/>
        <w:lang w:val="de-DE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de-DE"/>
      </w:rPr>
      <w:t>E</w:t>
    </w:r>
    <w:r w:rsidRPr="009D26E8">
      <w:rPr>
        <w:rFonts w:ascii="Arial" w:hAnsi="Arial" w:cs="Arial"/>
        <w:i/>
        <w:iCs/>
        <w:sz w:val="16"/>
        <w:szCs w:val="16"/>
        <w:lang w:val="de-DE"/>
      </w:rPr>
      <w:t>-</w:t>
    </w:r>
    <w:r w:rsidRPr="00233FBF">
      <w:rPr>
        <w:rFonts w:ascii="Arial" w:hAnsi="Arial" w:cs="Arial"/>
        <w:i/>
        <w:iCs/>
        <w:sz w:val="16"/>
        <w:szCs w:val="16"/>
        <w:lang w:val="de-DE"/>
      </w:rPr>
      <w:t>mail</w:t>
    </w:r>
    <w:r w:rsidRPr="009D26E8">
      <w:rPr>
        <w:rFonts w:ascii="Arial" w:hAnsi="Arial" w:cs="Arial"/>
        <w:i/>
        <w:iCs/>
        <w:sz w:val="16"/>
        <w:szCs w:val="16"/>
        <w:lang w:val="de-DE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</w:t>
      </w:r>
      <w:r w:rsidRPr="009D26E8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@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cystat</w:t>
      </w:r>
      <w:r w:rsidRPr="009D26E8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mof</w:t>
      </w:r>
      <w:r w:rsidRPr="009D26E8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gov</w:t>
      </w:r>
      <w:r w:rsidRPr="009D26E8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</w:t>
      </w:r>
    </w:hyperlink>
    <w:r w:rsidRPr="009D26E8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:rsidR="00E371DD" w:rsidRPr="003844E5" w:rsidRDefault="00E371DD" w:rsidP="000932CF">
    <w:pPr>
      <w:pStyle w:val="Footer"/>
      <w:tabs>
        <w:tab w:val="left" w:pos="4500"/>
      </w:tabs>
      <w:jc w:val="center"/>
      <w:rPr>
        <w:rFonts w:ascii="Arial" w:hAnsi="Arial" w:cs="Arial"/>
        <w:lang w:val="pt-PT"/>
      </w:rPr>
    </w:pPr>
    <w:r w:rsidRPr="003844E5">
      <w:rPr>
        <w:rFonts w:ascii="Arial" w:hAnsi="Arial" w:cs="Arial"/>
        <w:i/>
        <w:iCs/>
        <w:sz w:val="16"/>
        <w:szCs w:val="16"/>
        <w:lang w:val="pt-PT"/>
      </w:rPr>
      <w:t xml:space="preserve">Web Portal: </w:t>
    </w:r>
    <w:hyperlink r:id="rId2" w:history="1">
      <w:r w:rsidRPr="003844E5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http://www.cystat.gov.cy</w:t>
      </w:r>
    </w:hyperlink>
    <w:r w:rsidRPr="003844E5">
      <w:rPr>
        <w:rFonts w:ascii="Arial" w:hAnsi="Arial" w:cs="Arial"/>
        <w:i/>
        <w:iCs/>
        <w:sz w:val="18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A98" w:rsidRDefault="004B0A98" w:rsidP="00FB398F">
      <w:r>
        <w:separator/>
      </w:r>
    </w:p>
  </w:footnote>
  <w:footnote w:type="continuationSeparator" w:id="0">
    <w:p w:rsidR="004B0A98" w:rsidRDefault="004B0A9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1DD" w:rsidRPr="00AC704B" w:rsidRDefault="00E371DD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6" type="#_x0000_t202" style="position:absolute;left:0;text-align:left;margin-left:375.8pt;margin-top:-5.45pt;width:101.45pt;height:82.5pt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<v:textbox>
            <w:txbxContent>
              <w:p w:rsidR="00E371DD" w:rsidRDefault="00E371DD" w:rsidP="000932CF">
                <w:r w:rsidRPr="00B96284">
                  <w:rPr>
                    <w:noProof/>
                  </w:rPr>
                  <w:drawing>
                    <wp:inline distT="0" distB="0" distL="0" distR="0">
                      <wp:extent cx="1095375" cy="790575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>
        <v:shape id="Text Box 3" o:spid="_x0000_s1027" type="#_x0000_t202" style="position:absolute;left:0;text-align:left;margin-left:270.8pt;margin-top:-17.45pt;width:115.7pt;height:94.5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<v:textbox>
            <w:txbxContent>
              <w:p w:rsidR="00E371DD" w:rsidRDefault="00E371DD" w:rsidP="000932CF">
                <w:r w:rsidRPr="00B96284">
                  <w:rPr>
                    <w:noProof/>
                  </w:rPr>
                  <w:drawing>
                    <wp:inline distT="0" distB="0" distL="0" distR="0">
                      <wp:extent cx="1276350" cy="1009650"/>
                      <wp:effectExtent l="0" t="0" r="0" b="0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:rsidR="00E371DD" w:rsidRDefault="00000000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w:pict>
        <v:shape id="Text Box 1" o:spid="_x0000_s1028" type="#_x0000_t202" style="position:absolute;margin-left:327.5pt;margin-top:8.2pt;width:2in;height:3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<v:textbox>
            <w:txbxContent>
              <w:p w:rsidR="00E371DD" w:rsidRDefault="00E371DD" w:rsidP="000932CF">
                <w:pPr>
                  <w:spacing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ΣΤΑΤΙΣΤΙΚΗ</w:t>
                </w:r>
                <w:r w:rsidRPr="00AC70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ΥΠΗΡΕΣΙΑ</w:t>
                </w:r>
                <w:r w:rsidRPr="00BA5A5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  <w:p w:rsidR="00E371DD" w:rsidRPr="00BA5A5E" w:rsidRDefault="00E371DD" w:rsidP="000932C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C704B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1444 </w:t>
                </w:r>
                <w:r w:rsidRPr="00EF0360">
                  <w:rPr>
                    <w:rFonts w:ascii="Arial" w:hAnsi="Arial" w:cs="Arial"/>
                    <w:bCs/>
                    <w:sz w:val="20"/>
                    <w:szCs w:val="20"/>
                  </w:rPr>
                  <w:t>ΛΕΥΚΩΣΙΑ</w:t>
                </w:r>
              </w:p>
            </w:txbxContent>
          </v:textbox>
        </v:shape>
      </w:pict>
    </w:r>
  </w:p>
  <w:p w:rsidR="00E371DD" w:rsidRPr="00AC704B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:rsidR="00E371DD" w:rsidRPr="00AC704B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:rsidR="00E371DD" w:rsidRDefault="00E37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9385952">
    <w:abstractNumId w:val="4"/>
  </w:num>
  <w:num w:numId="2" w16cid:durableId="99687283">
    <w:abstractNumId w:val="1"/>
  </w:num>
  <w:num w:numId="3" w16cid:durableId="568884017">
    <w:abstractNumId w:val="2"/>
  </w:num>
  <w:num w:numId="4" w16cid:durableId="1699623797">
    <w:abstractNumId w:val="3"/>
  </w:num>
  <w:num w:numId="5" w16cid:durableId="123740686">
    <w:abstractNumId w:val="0"/>
  </w:num>
  <w:num w:numId="6" w16cid:durableId="1333604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98F"/>
    <w:rsid w:val="00002458"/>
    <w:rsid w:val="0000542E"/>
    <w:rsid w:val="00006309"/>
    <w:rsid w:val="000069CD"/>
    <w:rsid w:val="00013600"/>
    <w:rsid w:val="00013E40"/>
    <w:rsid w:val="000158B7"/>
    <w:rsid w:val="00015E84"/>
    <w:rsid w:val="000161B1"/>
    <w:rsid w:val="00022B65"/>
    <w:rsid w:val="00025A39"/>
    <w:rsid w:val="00027853"/>
    <w:rsid w:val="00030E18"/>
    <w:rsid w:val="00031D32"/>
    <w:rsid w:val="00033031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385D"/>
    <w:rsid w:val="000A5FF0"/>
    <w:rsid w:val="000A6FA8"/>
    <w:rsid w:val="000A7E03"/>
    <w:rsid w:val="000B1825"/>
    <w:rsid w:val="000B5AC0"/>
    <w:rsid w:val="000B7DA2"/>
    <w:rsid w:val="000C1070"/>
    <w:rsid w:val="000C4E72"/>
    <w:rsid w:val="000C6586"/>
    <w:rsid w:val="000D145B"/>
    <w:rsid w:val="000D1E7A"/>
    <w:rsid w:val="000D64D2"/>
    <w:rsid w:val="000E2387"/>
    <w:rsid w:val="000E24B1"/>
    <w:rsid w:val="000E2735"/>
    <w:rsid w:val="000E32D6"/>
    <w:rsid w:val="000E4CB0"/>
    <w:rsid w:val="000E57F2"/>
    <w:rsid w:val="000E72A7"/>
    <w:rsid w:val="000F014F"/>
    <w:rsid w:val="000F1162"/>
    <w:rsid w:val="000F2B47"/>
    <w:rsid w:val="000F3467"/>
    <w:rsid w:val="000F38DE"/>
    <w:rsid w:val="000F532A"/>
    <w:rsid w:val="000F5D6C"/>
    <w:rsid w:val="000F71E6"/>
    <w:rsid w:val="000F7CB3"/>
    <w:rsid w:val="00101864"/>
    <w:rsid w:val="00103CE5"/>
    <w:rsid w:val="00106852"/>
    <w:rsid w:val="00110F9D"/>
    <w:rsid w:val="0011181A"/>
    <w:rsid w:val="00114A67"/>
    <w:rsid w:val="001168A0"/>
    <w:rsid w:val="001253B6"/>
    <w:rsid w:val="001262C3"/>
    <w:rsid w:val="00126788"/>
    <w:rsid w:val="00127320"/>
    <w:rsid w:val="00127456"/>
    <w:rsid w:val="001312D8"/>
    <w:rsid w:val="0013137B"/>
    <w:rsid w:val="0015118B"/>
    <w:rsid w:val="001519CE"/>
    <w:rsid w:val="00153C81"/>
    <w:rsid w:val="001553BC"/>
    <w:rsid w:val="0016055B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6717"/>
    <w:rsid w:val="00187FFC"/>
    <w:rsid w:val="001911B3"/>
    <w:rsid w:val="0019391C"/>
    <w:rsid w:val="00197986"/>
    <w:rsid w:val="001A17A0"/>
    <w:rsid w:val="001A2018"/>
    <w:rsid w:val="001B2433"/>
    <w:rsid w:val="001B2C39"/>
    <w:rsid w:val="001B3675"/>
    <w:rsid w:val="001B5E10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06E06"/>
    <w:rsid w:val="00210B58"/>
    <w:rsid w:val="00212E20"/>
    <w:rsid w:val="00222423"/>
    <w:rsid w:val="00224775"/>
    <w:rsid w:val="00225B28"/>
    <w:rsid w:val="00226891"/>
    <w:rsid w:val="00230D9B"/>
    <w:rsid w:val="002313AC"/>
    <w:rsid w:val="00235FB2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8338F"/>
    <w:rsid w:val="002847A0"/>
    <w:rsid w:val="002910D5"/>
    <w:rsid w:val="002915C4"/>
    <w:rsid w:val="00297E6B"/>
    <w:rsid w:val="002A1D1C"/>
    <w:rsid w:val="002A3E32"/>
    <w:rsid w:val="002A4D64"/>
    <w:rsid w:val="002A6105"/>
    <w:rsid w:val="002A791E"/>
    <w:rsid w:val="002B4969"/>
    <w:rsid w:val="002B5588"/>
    <w:rsid w:val="002B6554"/>
    <w:rsid w:val="002C071F"/>
    <w:rsid w:val="002D05F0"/>
    <w:rsid w:val="002D2829"/>
    <w:rsid w:val="002D4782"/>
    <w:rsid w:val="002D7D4A"/>
    <w:rsid w:val="002E0E52"/>
    <w:rsid w:val="002E3846"/>
    <w:rsid w:val="002E3F78"/>
    <w:rsid w:val="002E772F"/>
    <w:rsid w:val="002E791B"/>
    <w:rsid w:val="002E7CB1"/>
    <w:rsid w:val="002F1DAB"/>
    <w:rsid w:val="002F400C"/>
    <w:rsid w:val="002F4D76"/>
    <w:rsid w:val="002F6D26"/>
    <w:rsid w:val="0030231E"/>
    <w:rsid w:val="003042C4"/>
    <w:rsid w:val="00304CB4"/>
    <w:rsid w:val="0031166C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0FC8"/>
    <w:rsid w:val="003522BB"/>
    <w:rsid w:val="00352F6C"/>
    <w:rsid w:val="00354C7D"/>
    <w:rsid w:val="003556EA"/>
    <w:rsid w:val="003670D5"/>
    <w:rsid w:val="00376296"/>
    <w:rsid w:val="003809E8"/>
    <w:rsid w:val="003844E5"/>
    <w:rsid w:val="00386FC7"/>
    <w:rsid w:val="00390A32"/>
    <w:rsid w:val="00395525"/>
    <w:rsid w:val="003A172C"/>
    <w:rsid w:val="003A1E91"/>
    <w:rsid w:val="003A40F2"/>
    <w:rsid w:val="003A50D1"/>
    <w:rsid w:val="003B196D"/>
    <w:rsid w:val="003B2710"/>
    <w:rsid w:val="003B4608"/>
    <w:rsid w:val="003B4753"/>
    <w:rsid w:val="003C01D4"/>
    <w:rsid w:val="003C0B1E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F374F"/>
    <w:rsid w:val="003F49E4"/>
    <w:rsid w:val="003F4D2F"/>
    <w:rsid w:val="003F5E32"/>
    <w:rsid w:val="003F71CF"/>
    <w:rsid w:val="003F75F6"/>
    <w:rsid w:val="004044B8"/>
    <w:rsid w:val="00404670"/>
    <w:rsid w:val="0040682B"/>
    <w:rsid w:val="00414CA0"/>
    <w:rsid w:val="00417060"/>
    <w:rsid w:val="00422F54"/>
    <w:rsid w:val="0042601B"/>
    <w:rsid w:val="00431516"/>
    <w:rsid w:val="004361B3"/>
    <w:rsid w:val="0044249D"/>
    <w:rsid w:val="0044379F"/>
    <w:rsid w:val="00444FCC"/>
    <w:rsid w:val="00446FB1"/>
    <w:rsid w:val="00452753"/>
    <w:rsid w:val="004551CD"/>
    <w:rsid w:val="004563F9"/>
    <w:rsid w:val="0046078F"/>
    <w:rsid w:val="00463214"/>
    <w:rsid w:val="00463BCB"/>
    <w:rsid w:val="0046434D"/>
    <w:rsid w:val="004656FA"/>
    <w:rsid w:val="00471D77"/>
    <w:rsid w:val="004744FE"/>
    <w:rsid w:val="00475587"/>
    <w:rsid w:val="0047741C"/>
    <w:rsid w:val="00480BC2"/>
    <w:rsid w:val="004845C3"/>
    <w:rsid w:val="0048678A"/>
    <w:rsid w:val="004929C2"/>
    <w:rsid w:val="00493FDD"/>
    <w:rsid w:val="0049586B"/>
    <w:rsid w:val="00497113"/>
    <w:rsid w:val="004A0AE6"/>
    <w:rsid w:val="004A38A7"/>
    <w:rsid w:val="004A3E44"/>
    <w:rsid w:val="004B0A98"/>
    <w:rsid w:val="004B2018"/>
    <w:rsid w:val="004B2896"/>
    <w:rsid w:val="004B38E9"/>
    <w:rsid w:val="004B3FBA"/>
    <w:rsid w:val="004B4A9A"/>
    <w:rsid w:val="004B4EF6"/>
    <w:rsid w:val="004B6599"/>
    <w:rsid w:val="004C07A0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5358"/>
    <w:rsid w:val="004E6279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16FC5"/>
    <w:rsid w:val="00523FCF"/>
    <w:rsid w:val="00526259"/>
    <w:rsid w:val="00527CDB"/>
    <w:rsid w:val="005341C9"/>
    <w:rsid w:val="00534F9F"/>
    <w:rsid w:val="005369CA"/>
    <w:rsid w:val="00536DE9"/>
    <w:rsid w:val="0053745A"/>
    <w:rsid w:val="00541E08"/>
    <w:rsid w:val="005477BE"/>
    <w:rsid w:val="00554FE0"/>
    <w:rsid w:val="0055789A"/>
    <w:rsid w:val="00560952"/>
    <w:rsid w:val="005652D1"/>
    <w:rsid w:val="005660A0"/>
    <w:rsid w:val="00566A4F"/>
    <w:rsid w:val="00567D64"/>
    <w:rsid w:val="005747B4"/>
    <w:rsid w:val="00583C6B"/>
    <w:rsid w:val="00592627"/>
    <w:rsid w:val="005931A3"/>
    <w:rsid w:val="005978D4"/>
    <w:rsid w:val="00597B3C"/>
    <w:rsid w:val="005A23FA"/>
    <w:rsid w:val="005A5825"/>
    <w:rsid w:val="005A6E60"/>
    <w:rsid w:val="005A7791"/>
    <w:rsid w:val="005B0617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1BBC"/>
    <w:rsid w:val="005D7638"/>
    <w:rsid w:val="005E1D85"/>
    <w:rsid w:val="005E26D6"/>
    <w:rsid w:val="005E7C64"/>
    <w:rsid w:val="005F12F5"/>
    <w:rsid w:val="005F7000"/>
    <w:rsid w:val="005F713E"/>
    <w:rsid w:val="005F7C7D"/>
    <w:rsid w:val="006044B7"/>
    <w:rsid w:val="00604689"/>
    <w:rsid w:val="006071CE"/>
    <w:rsid w:val="006075B5"/>
    <w:rsid w:val="0061018C"/>
    <w:rsid w:val="0061094E"/>
    <w:rsid w:val="0061179A"/>
    <w:rsid w:val="00613440"/>
    <w:rsid w:val="00613BE3"/>
    <w:rsid w:val="0062327B"/>
    <w:rsid w:val="0063199E"/>
    <w:rsid w:val="00632777"/>
    <w:rsid w:val="00633750"/>
    <w:rsid w:val="00634491"/>
    <w:rsid w:val="0063636A"/>
    <w:rsid w:val="0063679C"/>
    <w:rsid w:val="00637055"/>
    <w:rsid w:val="00641D59"/>
    <w:rsid w:val="00644507"/>
    <w:rsid w:val="00646880"/>
    <w:rsid w:val="00647D2A"/>
    <w:rsid w:val="006537BB"/>
    <w:rsid w:val="0065643E"/>
    <w:rsid w:val="0066089C"/>
    <w:rsid w:val="00667E07"/>
    <w:rsid w:val="00671785"/>
    <w:rsid w:val="00672BA9"/>
    <w:rsid w:val="00673005"/>
    <w:rsid w:val="006752AE"/>
    <w:rsid w:val="006804BE"/>
    <w:rsid w:val="00680AB5"/>
    <w:rsid w:val="0068434A"/>
    <w:rsid w:val="0069008E"/>
    <w:rsid w:val="0069087E"/>
    <w:rsid w:val="00691A8B"/>
    <w:rsid w:val="006925C4"/>
    <w:rsid w:val="006934A4"/>
    <w:rsid w:val="00693BFA"/>
    <w:rsid w:val="006A02B7"/>
    <w:rsid w:val="006A6B42"/>
    <w:rsid w:val="006A7019"/>
    <w:rsid w:val="006B379D"/>
    <w:rsid w:val="006B46D5"/>
    <w:rsid w:val="006B46F4"/>
    <w:rsid w:val="006B78F8"/>
    <w:rsid w:val="006B7A9A"/>
    <w:rsid w:val="006C332B"/>
    <w:rsid w:val="006C36E2"/>
    <w:rsid w:val="006C5026"/>
    <w:rsid w:val="006C575F"/>
    <w:rsid w:val="006C7AF3"/>
    <w:rsid w:val="006C7E4C"/>
    <w:rsid w:val="006D0B9D"/>
    <w:rsid w:val="006D11CE"/>
    <w:rsid w:val="006D6548"/>
    <w:rsid w:val="006D76D0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1E0E"/>
    <w:rsid w:val="00702F26"/>
    <w:rsid w:val="0070313E"/>
    <w:rsid w:val="00703799"/>
    <w:rsid w:val="007038CC"/>
    <w:rsid w:val="00705C5C"/>
    <w:rsid w:val="00711475"/>
    <w:rsid w:val="00712246"/>
    <w:rsid w:val="007175F6"/>
    <w:rsid w:val="0072548A"/>
    <w:rsid w:val="007277A6"/>
    <w:rsid w:val="00731131"/>
    <w:rsid w:val="0074115C"/>
    <w:rsid w:val="007437AB"/>
    <w:rsid w:val="00745425"/>
    <w:rsid w:val="00747AD8"/>
    <w:rsid w:val="007503F5"/>
    <w:rsid w:val="00750D18"/>
    <w:rsid w:val="007534F8"/>
    <w:rsid w:val="007545AD"/>
    <w:rsid w:val="00757EAC"/>
    <w:rsid w:val="00761A64"/>
    <w:rsid w:val="00761B83"/>
    <w:rsid w:val="00761E3A"/>
    <w:rsid w:val="00763722"/>
    <w:rsid w:val="00764BC1"/>
    <w:rsid w:val="00766958"/>
    <w:rsid w:val="00766B39"/>
    <w:rsid w:val="00770869"/>
    <w:rsid w:val="007738AA"/>
    <w:rsid w:val="00780A62"/>
    <w:rsid w:val="00783241"/>
    <w:rsid w:val="00783535"/>
    <w:rsid w:val="00784BDC"/>
    <w:rsid w:val="00786D00"/>
    <w:rsid w:val="00792F28"/>
    <w:rsid w:val="007935CA"/>
    <w:rsid w:val="0079543F"/>
    <w:rsid w:val="00795880"/>
    <w:rsid w:val="007A174A"/>
    <w:rsid w:val="007A4367"/>
    <w:rsid w:val="007A4737"/>
    <w:rsid w:val="007A5325"/>
    <w:rsid w:val="007A6AC1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1A3"/>
    <w:rsid w:val="007E37C4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1793"/>
    <w:rsid w:val="00803320"/>
    <w:rsid w:val="00803642"/>
    <w:rsid w:val="00806EA2"/>
    <w:rsid w:val="00812A2B"/>
    <w:rsid w:val="00814A4C"/>
    <w:rsid w:val="00816EF1"/>
    <w:rsid w:val="008254EE"/>
    <w:rsid w:val="00830437"/>
    <w:rsid w:val="00831994"/>
    <w:rsid w:val="00831AAB"/>
    <w:rsid w:val="00833BCD"/>
    <w:rsid w:val="00834B82"/>
    <w:rsid w:val="0083574E"/>
    <w:rsid w:val="008360E4"/>
    <w:rsid w:val="0083640C"/>
    <w:rsid w:val="008374E3"/>
    <w:rsid w:val="0084157B"/>
    <w:rsid w:val="00842BFB"/>
    <w:rsid w:val="0084639F"/>
    <w:rsid w:val="00846B85"/>
    <w:rsid w:val="00847DC3"/>
    <w:rsid w:val="00847F49"/>
    <w:rsid w:val="008535C5"/>
    <w:rsid w:val="00853765"/>
    <w:rsid w:val="0085516F"/>
    <w:rsid w:val="00863FB0"/>
    <w:rsid w:val="008654B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A7879"/>
    <w:rsid w:val="008B0E7E"/>
    <w:rsid w:val="008B3EAE"/>
    <w:rsid w:val="008B44B3"/>
    <w:rsid w:val="008B65BD"/>
    <w:rsid w:val="008B7900"/>
    <w:rsid w:val="008C59D8"/>
    <w:rsid w:val="008C71BF"/>
    <w:rsid w:val="008C7FE0"/>
    <w:rsid w:val="008D2807"/>
    <w:rsid w:val="008D5717"/>
    <w:rsid w:val="008E1CF9"/>
    <w:rsid w:val="008E223D"/>
    <w:rsid w:val="008E3684"/>
    <w:rsid w:val="008E37CD"/>
    <w:rsid w:val="008E44A9"/>
    <w:rsid w:val="008E6B4D"/>
    <w:rsid w:val="008E6BFF"/>
    <w:rsid w:val="008F21AF"/>
    <w:rsid w:val="008F2400"/>
    <w:rsid w:val="008F61BA"/>
    <w:rsid w:val="008F6E3C"/>
    <w:rsid w:val="008F7C55"/>
    <w:rsid w:val="009102F6"/>
    <w:rsid w:val="00914A23"/>
    <w:rsid w:val="00917CE0"/>
    <w:rsid w:val="00922F02"/>
    <w:rsid w:val="00930754"/>
    <w:rsid w:val="00934F68"/>
    <w:rsid w:val="009355AC"/>
    <w:rsid w:val="00935F38"/>
    <w:rsid w:val="00937586"/>
    <w:rsid w:val="0094190D"/>
    <w:rsid w:val="00947889"/>
    <w:rsid w:val="009478BD"/>
    <w:rsid w:val="00951955"/>
    <w:rsid w:val="00953538"/>
    <w:rsid w:val="009543D6"/>
    <w:rsid w:val="009559AC"/>
    <w:rsid w:val="00960365"/>
    <w:rsid w:val="00960E98"/>
    <w:rsid w:val="00963A82"/>
    <w:rsid w:val="00972912"/>
    <w:rsid w:val="00973258"/>
    <w:rsid w:val="00973BFC"/>
    <w:rsid w:val="00976D1F"/>
    <w:rsid w:val="00977B16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302"/>
    <w:rsid w:val="009B73DF"/>
    <w:rsid w:val="009B76D5"/>
    <w:rsid w:val="009C165D"/>
    <w:rsid w:val="009C3CEA"/>
    <w:rsid w:val="009C583D"/>
    <w:rsid w:val="009C68B5"/>
    <w:rsid w:val="009D2611"/>
    <w:rsid w:val="009D26E8"/>
    <w:rsid w:val="009D3504"/>
    <w:rsid w:val="009D6E4D"/>
    <w:rsid w:val="009D79D2"/>
    <w:rsid w:val="009E247C"/>
    <w:rsid w:val="009E31BA"/>
    <w:rsid w:val="009E4DA3"/>
    <w:rsid w:val="009E762C"/>
    <w:rsid w:val="009F0528"/>
    <w:rsid w:val="009F0806"/>
    <w:rsid w:val="009F11C9"/>
    <w:rsid w:val="009F233B"/>
    <w:rsid w:val="00A0303C"/>
    <w:rsid w:val="00A05D16"/>
    <w:rsid w:val="00A06045"/>
    <w:rsid w:val="00A0659F"/>
    <w:rsid w:val="00A079BA"/>
    <w:rsid w:val="00A14E8C"/>
    <w:rsid w:val="00A15AA3"/>
    <w:rsid w:val="00A15CF6"/>
    <w:rsid w:val="00A16CF2"/>
    <w:rsid w:val="00A1787E"/>
    <w:rsid w:val="00A20C70"/>
    <w:rsid w:val="00A2564F"/>
    <w:rsid w:val="00A25E5B"/>
    <w:rsid w:val="00A30976"/>
    <w:rsid w:val="00A33393"/>
    <w:rsid w:val="00A33875"/>
    <w:rsid w:val="00A35350"/>
    <w:rsid w:val="00A360A1"/>
    <w:rsid w:val="00A402B3"/>
    <w:rsid w:val="00A544B7"/>
    <w:rsid w:val="00A55B66"/>
    <w:rsid w:val="00A56668"/>
    <w:rsid w:val="00A61643"/>
    <w:rsid w:val="00A618CF"/>
    <w:rsid w:val="00A62770"/>
    <w:rsid w:val="00A62EEB"/>
    <w:rsid w:val="00A660FF"/>
    <w:rsid w:val="00A7117D"/>
    <w:rsid w:val="00A73395"/>
    <w:rsid w:val="00A771E3"/>
    <w:rsid w:val="00A81AE0"/>
    <w:rsid w:val="00A82B4C"/>
    <w:rsid w:val="00A84AF5"/>
    <w:rsid w:val="00A856DD"/>
    <w:rsid w:val="00A87E1B"/>
    <w:rsid w:val="00A87ED2"/>
    <w:rsid w:val="00A9174A"/>
    <w:rsid w:val="00A92EEC"/>
    <w:rsid w:val="00A93596"/>
    <w:rsid w:val="00A93A4C"/>
    <w:rsid w:val="00A949FC"/>
    <w:rsid w:val="00A94D5D"/>
    <w:rsid w:val="00AA1CF3"/>
    <w:rsid w:val="00AA1D9B"/>
    <w:rsid w:val="00AA2543"/>
    <w:rsid w:val="00AA3804"/>
    <w:rsid w:val="00AA55C2"/>
    <w:rsid w:val="00AA6E3B"/>
    <w:rsid w:val="00AB0ACA"/>
    <w:rsid w:val="00AB1D41"/>
    <w:rsid w:val="00AB2364"/>
    <w:rsid w:val="00AB31F3"/>
    <w:rsid w:val="00AC10FE"/>
    <w:rsid w:val="00AC5E9A"/>
    <w:rsid w:val="00AC704B"/>
    <w:rsid w:val="00AD2457"/>
    <w:rsid w:val="00AD553E"/>
    <w:rsid w:val="00AD5848"/>
    <w:rsid w:val="00AE5ADA"/>
    <w:rsid w:val="00AE7AB6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3603E"/>
    <w:rsid w:val="00B36391"/>
    <w:rsid w:val="00B40912"/>
    <w:rsid w:val="00B44ECD"/>
    <w:rsid w:val="00B450D1"/>
    <w:rsid w:val="00B47E59"/>
    <w:rsid w:val="00B47EB5"/>
    <w:rsid w:val="00B50F17"/>
    <w:rsid w:val="00B51AFE"/>
    <w:rsid w:val="00B53D47"/>
    <w:rsid w:val="00B54A25"/>
    <w:rsid w:val="00B618C3"/>
    <w:rsid w:val="00B6315F"/>
    <w:rsid w:val="00B63652"/>
    <w:rsid w:val="00B64E43"/>
    <w:rsid w:val="00B668B0"/>
    <w:rsid w:val="00B70F5C"/>
    <w:rsid w:val="00B71873"/>
    <w:rsid w:val="00B754E6"/>
    <w:rsid w:val="00B75AE5"/>
    <w:rsid w:val="00B800C0"/>
    <w:rsid w:val="00B808B8"/>
    <w:rsid w:val="00B80C99"/>
    <w:rsid w:val="00B8132B"/>
    <w:rsid w:val="00B84C5A"/>
    <w:rsid w:val="00B858F5"/>
    <w:rsid w:val="00B93668"/>
    <w:rsid w:val="00B93F73"/>
    <w:rsid w:val="00B96525"/>
    <w:rsid w:val="00B97206"/>
    <w:rsid w:val="00BA0896"/>
    <w:rsid w:val="00BA352F"/>
    <w:rsid w:val="00BA68C6"/>
    <w:rsid w:val="00BB12F1"/>
    <w:rsid w:val="00BB1A33"/>
    <w:rsid w:val="00BB2517"/>
    <w:rsid w:val="00BB276E"/>
    <w:rsid w:val="00BB3FEE"/>
    <w:rsid w:val="00BB4785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2C03"/>
    <w:rsid w:val="00BE5CDA"/>
    <w:rsid w:val="00BE608F"/>
    <w:rsid w:val="00BE6FAD"/>
    <w:rsid w:val="00BF1818"/>
    <w:rsid w:val="00BF23BB"/>
    <w:rsid w:val="00BF33DD"/>
    <w:rsid w:val="00BF41D7"/>
    <w:rsid w:val="00BF43F3"/>
    <w:rsid w:val="00BF5755"/>
    <w:rsid w:val="00BF684B"/>
    <w:rsid w:val="00C016F3"/>
    <w:rsid w:val="00C035F5"/>
    <w:rsid w:val="00C15193"/>
    <w:rsid w:val="00C15609"/>
    <w:rsid w:val="00C157CD"/>
    <w:rsid w:val="00C15F6A"/>
    <w:rsid w:val="00C17F18"/>
    <w:rsid w:val="00C23EA7"/>
    <w:rsid w:val="00C256F3"/>
    <w:rsid w:val="00C25FA6"/>
    <w:rsid w:val="00C270A2"/>
    <w:rsid w:val="00C30971"/>
    <w:rsid w:val="00C315B5"/>
    <w:rsid w:val="00C31FC4"/>
    <w:rsid w:val="00C35E28"/>
    <w:rsid w:val="00C37927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338"/>
    <w:rsid w:val="00C61E3A"/>
    <w:rsid w:val="00C623EB"/>
    <w:rsid w:val="00C64C6B"/>
    <w:rsid w:val="00C66F2E"/>
    <w:rsid w:val="00C6785C"/>
    <w:rsid w:val="00C67FDB"/>
    <w:rsid w:val="00C70FD1"/>
    <w:rsid w:val="00C72B76"/>
    <w:rsid w:val="00C733AA"/>
    <w:rsid w:val="00C74DE8"/>
    <w:rsid w:val="00C82886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48E"/>
    <w:rsid w:val="00CA1528"/>
    <w:rsid w:val="00CA3A9A"/>
    <w:rsid w:val="00CB1C46"/>
    <w:rsid w:val="00CB6BC1"/>
    <w:rsid w:val="00CB7021"/>
    <w:rsid w:val="00CC0B9F"/>
    <w:rsid w:val="00CC4941"/>
    <w:rsid w:val="00CD3294"/>
    <w:rsid w:val="00CD4524"/>
    <w:rsid w:val="00CD784D"/>
    <w:rsid w:val="00CE0CBF"/>
    <w:rsid w:val="00CE7A6B"/>
    <w:rsid w:val="00CF3A1C"/>
    <w:rsid w:val="00CF40F8"/>
    <w:rsid w:val="00D008DA"/>
    <w:rsid w:val="00D0416F"/>
    <w:rsid w:val="00D05851"/>
    <w:rsid w:val="00D10FED"/>
    <w:rsid w:val="00D113A9"/>
    <w:rsid w:val="00D11736"/>
    <w:rsid w:val="00D12EE8"/>
    <w:rsid w:val="00D14CDF"/>
    <w:rsid w:val="00D15FF1"/>
    <w:rsid w:val="00D167F4"/>
    <w:rsid w:val="00D2092A"/>
    <w:rsid w:val="00D2216D"/>
    <w:rsid w:val="00D25E9C"/>
    <w:rsid w:val="00D31A6F"/>
    <w:rsid w:val="00D320B0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401D"/>
    <w:rsid w:val="00D76249"/>
    <w:rsid w:val="00D82619"/>
    <w:rsid w:val="00D91EB8"/>
    <w:rsid w:val="00D9262C"/>
    <w:rsid w:val="00DA3E21"/>
    <w:rsid w:val="00DA7D12"/>
    <w:rsid w:val="00DB3DA3"/>
    <w:rsid w:val="00DB607F"/>
    <w:rsid w:val="00DC23CF"/>
    <w:rsid w:val="00DC6562"/>
    <w:rsid w:val="00DD16F7"/>
    <w:rsid w:val="00DD5CB9"/>
    <w:rsid w:val="00DE130D"/>
    <w:rsid w:val="00DE24CF"/>
    <w:rsid w:val="00DE407C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36E5"/>
    <w:rsid w:val="00E17172"/>
    <w:rsid w:val="00E23A0B"/>
    <w:rsid w:val="00E3181C"/>
    <w:rsid w:val="00E31D3F"/>
    <w:rsid w:val="00E3280A"/>
    <w:rsid w:val="00E343FE"/>
    <w:rsid w:val="00E371DD"/>
    <w:rsid w:val="00E372AF"/>
    <w:rsid w:val="00E37D68"/>
    <w:rsid w:val="00E40EAE"/>
    <w:rsid w:val="00E436AC"/>
    <w:rsid w:val="00E44F7A"/>
    <w:rsid w:val="00E44FF8"/>
    <w:rsid w:val="00E5066A"/>
    <w:rsid w:val="00E524C2"/>
    <w:rsid w:val="00E52CF9"/>
    <w:rsid w:val="00E54453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4910"/>
    <w:rsid w:val="00E84F1A"/>
    <w:rsid w:val="00E85B28"/>
    <w:rsid w:val="00E91976"/>
    <w:rsid w:val="00E91AB9"/>
    <w:rsid w:val="00E91D56"/>
    <w:rsid w:val="00E947A6"/>
    <w:rsid w:val="00E97FC7"/>
    <w:rsid w:val="00EA0690"/>
    <w:rsid w:val="00EA1CB7"/>
    <w:rsid w:val="00EA1E17"/>
    <w:rsid w:val="00EA3956"/>
    <w:rsid w:val="00EA51BD"/>
    <w:rsid w:val="00EA7136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190"/>
    <w:rsid w:val="00EE5BD1"/>
    <w:rsid w:val="00EF01CF"/>
    <w:rsid w:val="00EF6A47"/>
    <w:rsid w:val="00EF7AF9"/>
    <w:rsid w:val="00F00767"/>
    <w:rsid w:val="00F00952"/>
    <w:rsid w:val="00F01495"/>
    <w:rsid w:val="00F10138"/>
    <w:rsid w:val="00F13F92"/>
    <w:rsid w:val="00F22ECA"/>
    <w:rsid w:val="00F233C6"/>
    <w:rsid w:val="00F240E8"/>
    <w:rsid w:val="00F244FA"/>
    <w:rsid w:val="00F35A08"/>
    <w:rsid w:val="00F366A2"/>
    <w:rsid w:val="00F44F43"/>
    <w:rsid w:val="00F450E1"/>
    <w:rsid w:val="00F50DF4"/>
    <w:rsid w:val="00F517E6"/>
    <w:rsid w:val="00F53671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5A35"/>
    <w:rsid w:val="00F86AD4"/>
    <w:rsid w:val="00FA0113"/>
    <w:rsid w:val="00FA12B2"/>
    <w:rsid w:val="00FA37E0"/>
    <w:rsid w:val="00FA7610"/>
    <w:rsid w:val="00FB02BD"/>
    <w:rsid w:val="00FB238E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3508"/>
    <w:rsid w:val="00FD454E"/>
    <w:rsid w:val="00FD5B5F"/>
    <w:rsid w:val="00FD5BDE"/>
    <w:rsid w:val="00FD68EC"/>
    <w:rsid w:val="00FE24A5"/>
    <w:rsid w:val="00FE31E5"/>
    <w:rsid w:val="00FE38D4"/>
    <w:rsid w:val="00FE61AF"/>
    <w:rsid w:val="00FF050F"/>
    <w:rsid w:val="00FF1334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B210C"/>
  <w15:docId w15:val="{DEC71E48-13FD-417D-879A-2826B765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0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69E4-95C1-4EDB-B037-E45F1D4B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4</cp:revision>
  <cp:lastPrinted>2025-01-08T08:19:00Z</cp:lastPrinted>
  <dcterms:created xsi:type="dcterms:W3CDTF">2025-02-28T11:45:00Z</dcterms:created>
  <dcterms:modified xsi:type="dcterms:W3CDTF">2025-03-04T10:10:00Z</dcterms:modified>
</cp:coreProperties>
</file>