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3F7D1A6D" w:rsidR="00DD16F7" w:rsidRPr="00DD16F7" w:rsidRDefault="00047BB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DC22FD">
        <w:rPr>
          <w:rFonts w:ascii="Verdana" w:hAnsi="Verdana" w:cs="Arial"/>
          <w:sz w:val="18"/>
          <w:szCs w:val="18"/>
          <w:lang w:val="el-GR"/>
        </w:rPr>
        <w:t>0</w:t>
      </w:r>
      <w:r w:rsidR="00EF1ED2" w:rsidRPr="00A442EB">
        <w:rPr>
          <w:rFonts w:ascii="Verdana" w:hAnsi="Verdana" w:cs="Arial"/>
          <w:sz w:val="18"/>
          <w:szCs w:val="18"/>
          <w:lang w:val="el-GR"/>
        </w:rPr>
        <w:t>3</w:t>
      </w:r>
      <w:r w:rsidR="006C36E2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 w:rsidR="00EF1ED2">
        <w:rPr>
          <w:rFonts w:ascii="Verdana" w:hAnsi="Verdana" w:cs="Arial"/>
          <w:sz w:val="18"/>
          <w:szCs w:val="18"/>
          <w:lang w:val="el-GR"/>
        </w:rPr>
        <w:t>Μαρτίου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55C009A5" w:rsidR="00DD16F7" w:rsidRPr="00800ED9" w:rsidRDefault="00DD16F7" w:rsidP="00DD16F7">
      <w:pPr>
        <w:jc w:val="both"/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951955">
        <w:rPr>
          <w:rFonts w:ascii="Verdana" w:hAnsi="Verdana" w:cs="Arial"/>
          <w:b/>
          <w:bCs/>
          <w:u w:val="single"/>
          <w:lang w:val="el-GR"/>
        </w:rPr>
        <w:t>ΙΑΝ</w:t>
      </w:r>
      <w:r w:rsidR="0085127F">
        <w:rPr>
          <w:rFonts w:ascii="Verdana" w:hAnsi="Verdana" w:cs="Arial"/>
          <w:b/>
          <w:bCs/>
          <w:u w:val="single"/>
          <w:lang w:val="el-GR"/>
        </w:rPr>
        <w:t>-</w:t>
      </w:r>
      <w:r w:rsidR="00EF1ED2">
        <w:rPr>
          <w:rFonts w:ascii="Verdana" w:hAnsi="Verdana" w:cs="Arial"/>
          <w:b/>
          <w:bCs/>
          <w:u w:val="single"/>
          <w:lang w:val="el-GR"/>
        </w:rPr>
        <w:t>ΔΕΚ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800ED9" w:rsidRPr="00800ED9">
        <w:rPr>
          <w:rFonts w:ascii="Verdana" w:hAnsi="Verdana" w:cs="Arial"/>
          <w:b/>
          <w:bCs/>
          <w:u w:val="single"/>
          <w:lang w:val="el-GR"/>
        </w:rPr>
        <w:t>5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077B1533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EF1ED2">
        <w:rPr>
          <w:rFonts w:ascii="Verdana" w:hAnsi="Verdana" w:cs="Arial"/>
          <w:b/>
          <w:bCs/>
          <w:lang w:val="el-GR"/>
        </w:rPr>
        <w:t>939</w:t>
      </w:r>
      <w:r w:rsidR="000F7CB3" w:rsidRPr="000F7CB3">
        <w:rPr>
          <w:rFonts w:ascii="Verdana" w:hAnsi="Verdana" w:cs="Arial"/>
          <w:b/>
          <w:bCs/>
          <w:lang w:val="el-GR"/>
        </w:rPr>
        <w:t>,</w:t>
      </w:r>
      <w:r w:rsidR="00EF1ED2">
        <w:rPr>
          <w:rFonts w:ascii="Verdana" w:hAnsi="Verdana" w:cs="Arial"/>
          <w:b/>
          <w:bCs/>
          <w:lang w:val="el-GR"/>
        </w:rPr>
        <w:t>2</w:t>
      </w:r>
      <w:r w:rsidRPr="00C43DAE">
        <w:rPr>
          <w:rFonts w:ascii="Verdana" w:hAnsi="Verdana" w:cs="Arial"/>
          <w:b/>
          <w:bCs/>
          <w:lang w:val="el-GR"/>
        </w:rPr>
        <w:t xml:space="preserve"> 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1D5660C8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EF1ED2">
        <w:rPr>
          <w:rFonts w:ascii="Verdana" w:hAnsi="Verdana" w:cs="Arial"/>
          <w:sz w:val="18"/>
          <w:szCs w:val="18"/>
          <w:lang w:val="el-GR"/>
        </w:rPr>
        <w:t>Δεκε</w:t>
      </w:r>
      <w:r w:rsidR="002F32D2">
        <w:rPr>
          <w:rFonts w:ascii="Verdana" w:hAnsi="Verdana" w:cs="Arial"/>
          <w:sz w:val="18"/>
          <w:szCs w:val="18"/>
          <w:lang w:val="el-GR"/>
        </w:rPr>
        <w:t>μ</w:t>
      </w:r>
      <w:r w:rsidR="00B167F5">
        <w:rPr>
          <w:rFonts w:ascii="Verdana" w:hAnsi="Verdana" w:cs="Arial"/>
          <w:sz w:val="18"/>
          <w:szCs w:val="18"/>
          <w:lang w:val="el-GR"/>
        </w:rPr>
        <w:t>βρίου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 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              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EF1ED2">
        <w:rPr>
          <w:rFonts w:ascii="Verdana" w:hAnsi="Verdana" w:cs="Arial"/>
          <w:sz w:val="18"/>
          <w:szCs w:val="18"/>
          <w:lang w:val="el-GR"/>
        </w:rPr>
        <w:t>939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F1ED2">
        <w:rPr>
          <w:rFonts w:ascii="Verdana" w:hAnsi="Verdana" w:cs="Arial"/>
          <w:sz w:val="18"/>
          <w:szCs w:val="18"/>
          <w:lang w:val="el-GR"/>
        </w:rPr>
        <w:t>2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6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243AE0">
        <w:rPr>
          <w:rFonts w:ascii="Verdana" w:hAnsi="Verdana" w:cs="Arial"/>
          <w:sz w:val="18"/>
          <w:szCs w:val="18"/>
          <w:lang w:val="el-GR"/>
        </w:rPr>
        <w:t>1.</w:t>
      </w:r>
      <w:r w:rsidR="00EF1ED2">
        <w:rPr>
          <w:rFonts w:ascii="Verdana" w:hAnsi="Verdana" w:cs="Arial"/>
          <w:sz w:val="18"/>
          <w:szCs w:val="18"/>
          <w:lang w:val="el-GR"/>
        </w:rPr>
        <w:t>439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F1ED2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για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A442EB" w:rsidRPr="00A442EB">
        <w:rPr>
          <w:rFonts w:ascii="Verdana" w:hAnsi="Verdana" w:cs="Arial"/>
          <w:sz w:val="18"/>
          <w:szCs w:val="18"/>
          <w:lang w:val="el-GR"/>
        </w:rPr>
        <w:t>Δεκεμβρίου</w:t>
      </w:r>
      <w:r w:rsidR="0085127F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2E2F6011" w14:textId="77777777" w:rsidR="00981CAA" w:rsidRPr="008A1A8B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72951A82" w:rsidR="00882A5A" w:rsidRPr="00B03988" w:rsidRDefault="00EF1ED2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36B1C06D" wp14:editId="1AF98CA3">
            <wp:extent cx="6059805" cy="4535805"/>
            <wp:effectExtent l="0" t="0" r="0" b="0"/>
            <wp:docPr id="20270572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2D6F419C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κατά </w:t>
      </w:r>
      <w:r w:rsidR="00552137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bookmarkStart w:id="0" w:name="_Hlk218673127"/>
      <w:r w:rsidR="00EF1ED2">
        <w:rPr>
          <w:rFonts w:ascii="Verdana" w:hAnsi="Verdana" w:cs="Arial"/>
          <w:sz w:val="18"/>
          <w:szCs w:val="18"/>
          <w:lang w:val="el-GR"/>
        </w:rPr>
        <w:t>Δεκε</w:t>
      </w:r>
      <w:r w:rsidR="002F32D2">
        <w:rPr>
          <w:rFonts w:ascii="Verdana" w:hAnsi="Verdana" w:cs="Arial"/>
          <w:sz w:val="18"/>
          <w:szCs w:val="18"/>
          <w:lang w:val="el-GR"/>
        </w:rPr>
        <w:t>μ</w:t>
      </w:r>
      <w:r w:rsidR="00047BB7" w:rsidRPr="00047BB7">
        <w:rPr>
          <w:rFonts w:ascii="Verdana" w:hAnsi="Verdana" w:cs="Arial"/>
          <w:sz w:val="18"/>
          <w:szCs w:val="18"/>
          <w:lang w:val="el-GR"/>
        </w:rPr>
        <w:t>βρίου</w:t>
      </w:r>
      <w:bookmarkEnd w:id="0"/>
      <w:r w:rsidR="0055213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1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1"/>
      <w:r w:rsidR="00EF1ED2">
        <w:rPr>
          <w:rFonts w:ascii="Verdana" w:hAnsi="Verdana" w:cs="Arial"/>
          <w:sz w:val="18"/>
          <w:szCs w:val="18"/>
          <w:lang w:val="el-GR"/>
        </w:rPr>
        <w:t>864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8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EF1ED2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EF1ED2">
        <w:rPr>
          <w:rFonts w:ascii="Verdana" w:hAnsi="Verdana" w:cs="Arial"/>
          <w:sz w:val="18"/>
          <w:szCs w:val="18"/>
          <w:lang w:val="el-GR"/>
        </w:rPr>
        <w:t>615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0556">
        <w:rPr>
          <w:rFonts w:ascii="Verdana" w:hAnsi="Verdana" w:cs="Arial"/>
          <w:sz w:val="18"/>
          <w:szCs w:val="18"/>
          <w:lang w:val="el-GR"/>
        </w:rPr>
        <w:t>1</w:t>
      </w:r>
      <w:r w:rsidR="00EF1ED2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EF1ED2">
        <w:rPr>
          <w:rFonts w:ascii="Verdana" w:hAnsi="Verdana" w:cs="Arial"/>
          <w:sz w:val="18"/>
          <w:szCs w:val="18"/>
          <w:lang w:val="el-GR"/>
        </w:rPr>
        <w:t>750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7E0E7EBB" w14:textId="5EF60019" w:rsidR="00990968" w:rsidRDefault="00DD16F7" w:rsidP="0013499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EF1ED2">
        <w:rPr>
          <w:rFonts w:ascii="Verdana" w:hAnsi="Verdana" w:cs="Arial"/>
          <w:sz w:val="18"/>
          <w:szCs w:val="18"/>
          <w:lang w:val="el-GR"/>
        </w:rPr>
        <w:t>341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3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F1ED2">
        <w:rPr>
          <w:rFonts w:ascii="Verdana" w:hAnsi="Verdana" w:cs="Arial"/>
          <w:sz w:val="18"/>
          <w:szCs w:val="18"/>
          <w:lang w:val="el-GR"/>
        </w:rPr>
        <w:t>9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0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EF1ED2">
        <w:rPr>
          <w:rFonts w:ascii="Verdana" w:hAnsi="Verdana" w:cs="Arial"/>
          <w:sz w:val="18"/>
          <w:szCs w:val="18"/>
          <w:lang w:val="el-GR"/>
        </w:rPr>
        <w:t>4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EF1ED2">
        <w:rPr>
          <w:rFonts w:ascii="Verdana" w:hAnsi="Verdana" w:cs="Arial"/>
          <w:sz w:val="18"/>
          <w:szCs w:val="18"/>
          <w:lang w:val="el-GR"/>
        </w:rPr>
        <w:t>146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0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EF1ED2">
        <w:rPr>
          <w:rFonts w:ascii="Verdana" w:hAnsi="Verdana" w:cs="Arial"/>
          <w:sz w:val="18"/>
          <w:szCs w:val="18"/>
          <w:lang w:val="el-GR"/>
        </w:rPr>
        <w:t>04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7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5B0355">
        <w:rPr>
          <w:rFonts w:ascii="Verdana" w:hAnsi="Verdana" w:cs="Arial"/>
          <w:sz w:val="18"/>
          <w:szCs w:val="18"/>
          <w:lang w:val="el-GR"/>
        </w:rPr>
        <w:t>4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Οι κοινωνικές εισφορές αυξήθηκαν κατά €</w:t>
      </w:r>
      <w:r w:rsidR="002F32D2">
        <w:rPr>
          <w:rFonts w:ascii="Verdana" w:hAnsi="Verdana" w:cs="Arial"/>
          <w:sz w:val="18"/>
          <w:szCs w:val="18"/>
          <w:lang w:val="el-GR"/>
        </w:rPr>
        <w:t>35</w:t>
      </w:r>
      <w:r w:rsidR="003515F4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3515F4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9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3515F4">
        <w:rPr>
          <w:rFonts w:ascii="Verdana" w:hAnsi="Verdana" w:cs="Arial"/>
          <w:sz w:val="18"/>
          <w:szCs w:val="18"/>
          <w:lang w:val="el-GR"/>
        </w:rPr>
        <w:t>878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515F4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3515F4">
        <w:rPr>
          <w:rFonts w:ascii="Verdana" w:hAnsi="Verdana" w:cs="Arial"/>
          <w:sz w:val="18"/>
          <w:szCs w:val="18"/>
          <w:lang w:val="el-GR"/>
        </w:rPr>
        <w:t>520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Οι εισπραχθέντες τόκοι και μερίσματα </w:t>
      </w:r>
      <w:r w:rsidR="00F96C88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2F32D2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>
        <w:rPr>
          <w:rFonts w:ascii="Verdana" w:hAnsi="Verdana" w:cs="Arial"/>
          <w:sz w:val="18"/>
          <w:szCs w:val="18"/>
          <w:lang w:val="el-GR"/>
        </w:rPr>
        <w:t>(+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="003515F4">
        <w:rPr>
          <w:rFonts w:ascii="Verdana" w:hAnsi="Verdana" w:cs="Arial"/>
          <w:sz w:val="18"/>
          <w:szCs w:val="18"/>
          <w:lang w:val="el-GR"/>
        </w:rPr>
        <w:t>0</w:t>
      </w:r>
      <w:r w:rsidR="00A252C3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4</w:t>
      </w:r>
      <w:r w:rsidR="00A252C3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96C88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990968">
        <w:rPr>
          <w:rFonts w:ascii="Verdana" w:hAnsi="Verdana" w:cs="Arial"/>
          <w:sz w:val="18"/>
          <w:szCs w:val="18"/>
          <w:lang w:val="el-GR"/>
        </w:rPr>
        <w:t>1</w:t>
      </w:r>
      <w:r w:rsidR="003515F4">
        <w:rPr>
          <w:rFonts w:ascii="Verdana" w:hAnsi="Verdana" w:cs="Arial"/>
          <w:sz w:val="18"/>
          <w:szCs w:val="18"/>
          <w:lang w:val="el-GR"/>
        </w:rPr>
        <w:t>60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F32D2">
        <w:rPr>
          <w:rFonts w:ascii="Verdana" w:hAnsi="Verdana" w:cs="Arial"/>
          <w:sz w:val="18"/>
          <w:szCs w:val="18"/>
          <w:lang w:val="el-GR"/>
        </w:rPr>
        <w:t>1</w:t>
      </w:r>
      <w:r w:rsidR="003515F4">
        <w:rPr>
          <w:rFonts w:ascii="Verdana" w:hAnsi="Verdana" w:cs="Arial"/>
          <w:sz w:val="18"/>
          <w:szCs w:val="18"/>
          <w:lang w:val="el-GR"/>
        </w:rPr>
        <w:t>22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9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7A4737" w:rsidRPr="00D91EB8">
        <w:rPr>
          <w:rFonts w:ascii="Verdana" w:hAnsi="Verdana" w:cs="Arial"/>
          <w:sz w:val="18"/>
          <w:szCs w:val="18"/>
          <w:lang w:val="el-GR"/>
        </w:rPr>
        <w:t xml:space="preserve"> </w:t>
      </w:r>
      <w:r w:rsidR="00110D30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ι συνολικοί φόροι επί της παραγωγής και των εισαγωγών </w:t>
      </w:r>
      <w:r w:rsidR="00110D30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</w:t>
      </w:r>
      <w:r w:rsidR="002F32D2">
        <w:rPr>
          <w:rFonts w:ascii="Verdana" w:hAnsi="Verdana" w:cs="Arial"/>
          <w:sz w:val="18"/>
          <w:szCs w:val="18"/>
          <w:lang w:val="el-GR"/>
        </w:rPr>
        <w:t xml:space="preserve">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€</w:t>
      </w:r>
      <w:r w:rsidR="003515F4">
        <w:rPr>
          <w:rFonts w:ascii="Verdana" w:hAnsi="Verdana" w:cs="Arial"/>
          <w:sz w:val="18"/>
          <w:szCs w:val="18"/>
          <w:lang w:val="el-GR"/>
        </w:rPr>
        <w:t>1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10D30">
        <w:rPr>
          <w:rFonts w:ascii="Verdana" w:hAnsi="Verdana" w:cs="Arial"/>
          <w:sz w:val="18"/>
          <w:szCs w:val="18"/>
          <w:lang w:val="el-GR"/>
        </w:rPr>
        <w:t>+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10D30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3515F4">
        <w:rPr>
          <w:rFonts w:ascii="Verdana" w:hAnsi="Verdana" w:cs="Arial"/>
          <w:sz w:val="18"/>
          <w:szCs w:val="18"/>
          <w:lang w:val="el-GR"/>
        </w:rPr>
        <w:t>69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3515F4">
        <w:rPr>
          <w:rFonts w:ascii="Verdana" w:hAnsi="Verdana" w:cs="Arial"/>
          <w:sz w:val="18"/>
          <w:szCs w:val="18"/>
          <w:lang w:val="el-GR"/>
        </w:rPr>
        <w:t>6</w:t>
      </w:r>
      <w:r w:rsidR="002F32D2">
        <w:rPr>
          <w:rFonts w:ascii="Verdana" w:hAnsi="Verdana" w:cs="Arial"/>
          <w:sz w:val="18"/>
          <w:szCs w:val="18"/>
          <w:lang w:val="el-GR"/>
        </w:rPr>
        <w:t>82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2024, εκ των οποίων τα καθαρά έσοδα του ΦΠΑ (μετά την αφαίρεση των επιστροφών) </w:t>
      </w:r>
      <w:r w:rsidR="00B03988">
        <w:rPr>
          <w:rFonts w:ascii="Verdana" w:hAnsi="Verdana" w:cs="Arial"/>
          <w:sz w:val="18"/>
          <w:szCs w:val="18"/>
          <w:lang w:val="el-GR"/>
        </w:rPr>
        <w:t>μειώθηκαν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3515F4">
        <w:rPr>
          <w:rFonts w:ascii="Verdana" w:hAnsi="Verdana" w:cs="Arial"/>
          <w:sz w:val="18"/>
          <w:szCs w:val="18"/>
          <w:lang w:val="el-GR"/>
        </w:rPr>
        <w:t>52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03988">
        <w:rPr>
          <w:rFonts w:ascii="Verdana" w:hAnsi="Verdana" w:cs="Arial"/>
          <w:sz w:val="18"/>
          <w:szCs w:val="18"/>
          <w:lang w:val="el-GR"/>
        </w:rPr>
        <w:t>-</w:t>
      </w:r>
      <w:r w:rsidR="003515F4">
        <w:rPr>
          <w:rFonts w:ascii="Verdana" w:hAnsi="Verdana" w:cs="Arial"/>
          <w:sz w:val="18"/>
          <w:szCs w:val="18"/>
          <w:lang w:val="el-GR"/>
        </w:rPr>
        <w:t>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056007" w:rsidRPr="00EC33AF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B03988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515F4">
        <w:rPr>
          <w:rFonts w:ascii="Verdana" w:hAnsi="Verdana" w:cs="Arial"/>
          <w:sz w:val="18"/>
          <w:szCs w:val="18"/>
          <w:lang w:val="el-GR"/>
        </w:rPr>
        <w:t>3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3515F4">
        <w:rPr>
          <w:rFonts w:ascii="Verdana" w:hAnsi="Verdana" w:cs="Arial"/>
          <w:sz w:val="18"/>
          <w:szCs w:val="18"/>
          <w:lang w:val="el-GR"/>
        </w:rPr>
        <w:t>116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3515F4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3499F">
        <w:rPr>
          <w:rFonts w:ascii="Verdana" w:hAnsi="Verdana" w:cs="Arial"/>
          <w:sz w:val="18"/>
          <w:szCs w:val="18"/>
          <w:lang w:val="el-GR"/>
        </w:rPr>
        <w:t>3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13499F">
        <w:rPr>
          <w:rFonts w:ascii="Verdana" w:hAnsi="Verdana" w:cs="Arial"/>
          <w:sz w:val="18"/>
          <w:szCs w:val="18"/>
          <w:lang w:val="el-GR"/>
        </w:rPr>
        <w:t>169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Τα έσοδα από παροχή υπηρεσιών αυξήθηκαν κατά €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13499F">
        <w:rPr>
          <w:rFonts w:ascii="Verdana" w:hAnsi="Verdana" w:cs="Arial"/>
          <w:sz w:val="18"/>
          <w:szCs w:val="18"/>
          <w:lang w:val="el-GR"/>
        </w:rPr>
        <w:t>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6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6B073B">
        <w:rPr>
          <w:rFonts w:ascii="Verdana" w:hAnsi="Verdana" w:cs="Arial"/>
          <w:sz w:val="18"/>
          <w:szCs w:val="18"/>
          <w:lang w:val="el-GR"/>
        </w:rPr>
        <w:t>1</w:t>
      </w:r>
      <w:r w:rsidR="0013499F">
        <w:rPr>
          <w:rFonts w:ascii="Verdana" w:hAnsi="Verdana" w:cs="Arial"/>
          <w:sz w:val="18"/>
          <w:szCs w:val="18"/>
          <w:lang w:val="el-GR"/>
        </w:rPr>
        <w:t>7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13499F">
        <w:rPr>
          <w:rFonts w:ascii="Verdana" w:hAnsi="Verdana" w:cs="Arial"/>
          <w:sz w:val="18"/>
          <w:szCs w:val="18"/>
          <w:lang w:val="el-GR"/>
        </w:rPr>
        <w:t>1.049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4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13499F">
        <w:rPr>
          <w:rFonts w:ascii="Verdana" w:hAnsi="Verdana" w:cs="Arial"/>
          <w:sz w:val="18"/>
          <w:szCs w:val="18"/>
          <w:lang w:val="el-GR"/>
        </w:rPr>
        <w:t>89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8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το 2024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.</w:t>
      </w:r>
      <w:r w:rsidR="0013499F" w:rsidRPr="0013499F">
        <w:rPr>
          <w:rFonts w:ascii="Verdana" w:hAnsi="Verdana" w:cs="Arial"/>
          <w:sz w:val="18"/>
          <w:szCs w:val="18"/>
          <w:lang w:val="el-GR"/>
        </w:rPr>
        <w:t xml:space="preserve"> </w:t>
      </w:r>
      <w:r w:rsidR="0013499F">
        <w:rPr>
          <w:rFonts w:ascii="Verdana" w:hAnsi="Verdana" w:cs="Arial"/>
          <w:sz w:val="18"/>
          <w:szCs w:val="18"/>
          <w:lang w:val="el-GR"/>
        </w:rPr>
        <w:t>Ο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13499F">
        <w:rPr>
          <w:rFonts w:ascii="Verdana" w:hAnsi="Verdana" w:cs="Arial"/>
          <w:sz w:val="18"/>
          <w:szCs w:val="18"/>
          <w:lang w:val="el-GR"/>
        </w:rPr>
        <w:t>αυξήθηκαν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13499F">
        <w:rPr>
          <w:rFonts w:ascii="Verdana" w:hAnsi="Verdana" w:cs="Arial"/>
          <w:sz w:val="18"/>
          <w:szCs w:val="18"/>
          <w:lang w:val="el-GR"/>
        </w:rPr>
        <w:t>27,9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3499F">
        <w:rPr>
          <w:rFonts w:ascii="Verdana" w:hAnsi="Verdana" w:cs="Arial"/>
          <w:sz w:val="18"/>
          <w:szCs w:val="18"/>
          <w:lang w:val="el-GR"/>
        </w:rPr>
        <w:t>+7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1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3499F">
        <w:rPr>
          <w:rFonts w:ascii="Verdana" w:hAnsi="Verdana" w:cs="Arial"/>
          <w:sz w:val="18"/>
          <w:szCs w:val="18"/>
          <w:lang w:val="el-GR"/>
        </w:rPr>
        <w:t>ανήλθαν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στα</w:t>
      </w:r>
      <w:r w:rsidR="0013499F">
        <w:rPr>
          <w:rFonts w:ascii="Verdana" w:hAnsi="Verdana" w:cs="Arial"/>
          <w:sz w:val="18"/>
          <w:szCs w:val="18"/>
          <w:lang w:val="el-GR"/>
        </w:rPr>
        <w:t xml:space="preserve"> €421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1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3499F">
        <w:rPr>
          <w:rFonts w:ascii="Verdana" w:hAnsi="Verdana" w:cs="Arial"/>
          <w:sz w:val="18"/>
          <w:szCs w:val="18"/>
          <w:lang w:val="el-GR"/>
        </w:rPr>
        <w:t>393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2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13499F">
        <w:rPr>
          <w:rFonts w:ascii="Verdana" w:hAnsi="Verdana" w:cs="Arial"/>
          <w:sz w:val="18"/>
          <w:szCs w:val="18"/>
          <w:lang w:val="el-GR"/>
        </w:rPr>
        <w:t>4.</w:t>
      </w:r>
      <w:r w:rsidR="0013499F" w:rsidRPr="007E37C4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  <w:r w:rsidR="000421D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2E9390E" w14:textId="77777777" w:rsidR="00735D8E" w:rsidRDefault="00735D8E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A30BA2" w14:textId="5DD190E2" w:rsidR="00D91EB8" w:rsidRPr="007E37C4" w:rsidRDefault="00EB239D" w:rsidP="0013499F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13499F">
        <w:rPr>
          <w:rFonts w:ascii="Verdana" w:hAnsi="Verdana" w:cs="Arial"/>
          <w:sz w:val="18"/>
          <w:szCs w:val="18"/>
          <w:lang w:val="el-GR"/>
        </w:rPr>
        <w:t>ο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 w:rsidR="0013499F">
        <w:rPr>
          <w:rFonts w:ascii="Verdana" w:hAnsi="Verdana" w:cs="Arial"/>
          <w:sz w:val="18"/>
          <w:szCs w:val="18"/>
          <w:lang w:val="el-GR"/>
        </w:rPr>
        <w:t>μειώθηκαν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13499F">
        <w:rPr>
          <w:rFonts w:ascii="Verdana" w:hAnsi="Verdana" w:cs="Arial"/>
          <w:sz w:val="18"/>
          <w:szCs w:val="18"/>
          <w:lang w:val="el-GR"/>
        </w:rPr>
        <w:t>74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1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3499F">
        <w:rPr>
          <w:rFonts w:ascii="Verdana" w:hAnsi="Verdana" w:cs="Arial"/>
          <w:sz w:val="18"/>
          <w:szCs w:val="18"/>
          <w:lang w:val="el-GR"/>
        </w:rPr>
        <w:t>-22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0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3499F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13499F">
        <w:rPr>
          <w:rFonts w:ascii="Verdana" w:hAnsi="Verdana" w:cs="Arial"/>
          <w:sz w:val="18"/>
          <w:szCs w:val="18"/>
          <w:lang w:val="el-GR"/>
        </w:rPr>
        <w:t>262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9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3499F">
        <w:rPr>
          <w:rFonts w:ascii="Verdana" w:hAnsi="Verdana" w:cs="Arial"/>
          <w:sz w:val="18"/>
          <w:szCs w:val="18"/>
          <w:lang w:val="el-GR"/>
        </w:rPr>
        <w:t>337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,</w:t>
      </w:r>
      <w:r w:rsidR="0013499F">
        <w:rPr>
          <w:rFonts w:ascii="Verdana" w:hAnsi="Verdana" w:cs="Arial"/>
          <w:sz w:val="18"/>
          <w:szCs w:val="18"/>
          <w:lang w:val="el-GR"/>
        </w:rPr>
        <w:t>0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13499F">
        <w:rPr>
          <w:rFonts w:ascii="Verdana" w:hAnsi="Verdana" w:cs="Arial"/>
          <w:sz w:val="18"/>
          <w:szCs w:val="18"/>
          <w:lang w:val="el-GR"/>
        </w:rPr>
        <w:t>4</w:t>
      </w:r>
      <w:r w:rsidR="0013499F" w:rsidRPr="008654BF">
        <w:rPr>
          <w:rFonts w:ascii="Verdana" w:hAnsi="Verdana" w:cs="Arial"/>
          <w:sz w:val="18"/>
          <w:szCs w:val="18"/>
          <w:lang w:val="el-GR"/>
        </w:rPr>
        <w:t>.</w:t>
      </w:r>
      <w:r w:rsidR="0013499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5A02070A" w14:textId="77777777" w:rsidR="00E91AB9" w:rsidRPr="00E12B1C" w:rsidRDefault="00E91AB9" w:rsidP="005477B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06BAAF78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</w:t>
      </w:r>
      <w:r w:rsidR="00626BE1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13499F">
        <w:rPr>
          <w:rFonts w:ascii="Verdana" w:hAnsi="Verdana" w:cs="Arial"/>
          <w:sz w:val="18"/>
          <w:szCs w:val="18"/>
          <w:lang w:val="el-GR"/>
        </w:rPr>
        <w:t>Δεκε</w:t>
      </w:r>
      <w:r w:rsidR="00F7164D">
        <w:rPr>
          <w:rFonts w:ascii="Verdana" w:hAnsi="Verdana" w:cs="Arial"/>
          <w:sz w:val="18"/>
          <w:szCs w:val="18"/>
          <w:lang w:val="el-GR"/>
        </w:rPr>
        <w:t>μ</w:t>
      </w:r>
      <w:r w:rsidR="00F7164D" w:rsidRPr="00047BB7">
        <w:rPr>
          <w:rFonts w:ascii="Verdana" w:hAnsi="Verdana" w:cs="Arial"/>
          <w:sz w:val="18"/>
          <w:szCs w:val="18"/>
          <w:lang w:val="el-GR"/>
        </w:rPr>
        <w:t>βρίου</w:t>
      </w:r>
      <w:r w:rsidR="00DC1CC6" w:rsidRPr="00DC1C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5D2C7A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536C35">
        <w:rPr>
          <w:rFonts w:ascii="Verdana" w:hAnsi="Verdana" w:cs="Arial"/>
          <w:sz w:val="18"/>
          <w:szCs w:val="18"/>
          <w:lang w:val="el-GR"/>
        </w:rPr>
        <w:t>1.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="00536C35">
        <w:rPr>
          <w:rFonts w:ascii="Verdana" w:hAnsi="Verdana" w:cs="Arial"/>
          <w:sz w:val="18"/>
          <w:szCs w:val="18"/>
          <w:lang w:val="el-GR"/>
        </w:rPr>
        <w:t>64</w:t>
      </w:r>
      <w:r w:rsidR="00EB61F5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9</w:t>
      </w:r>
      <w:r w:rsidR="004551CD" w:rsidRPr="004551CD">
        <w:rPr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536C35">
        <w:rPr>
          <w:rFonts w:ascii="Verdana" w:hAnsi="Verdana" w:cs="Arial"/>
          <w:sz w:val="18"/>
          <w:szCs w:val="18"/>
          <w:lang w:val="el-GR"/>
        </w:rPr>
        <w:t>10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536C35">
        <w:rPr>
          <w:rFonts w:ascii="Verdana" w:hAnsi="Verdana" w:cs="Arial"/>
          <w:sz w:val="18"/>
          <w:szCs w:val="18"/>
          <w:lang w:val="el-GR"/>
        </w:rPr>
        <w:t>4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536C35">
        <w:rPr>
          <w:rFonts w:ascii="Verdana" w:hAnsi="Verdana" w:cs="Arial"/>
          <w:sz w:val="18"/>
          <w:szCs w:val="18"/>
          <w:lang w:val="el-GR"/>
        </w:rPr>
        <w:t>675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9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536C35">
        <w:rPr>
          <w:rFonts w:ascii="Verdana" w:hAnsi="Verdana" w:cs="Arial"/>
          <w:sz w:val="18"/>
          <w:szCs w:val="18"/>
          <w:lang w:val="el-GR"/>
        </w:rPr>
        <w:t>311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0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5D2C7A">
        <w:rPr>
          <w:rFonts w:ascii="Verdana" w:hAnsi="Verdana" w:cs="Arial"/>
          <w:sz w:val="18"/>
          <w:szCs w:val="18"/>
          <w:lang w:val="el-GR"/>
        </w:rPr>
        <w:t>4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4D74E19F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2051E8">
        <w:rPr>
          <w:rFonts w:ascii="Verdana" w:hAnsi="Verdana" w:cs="Arial"/>
          <w:sz w:val="18"/>
          <w:szCs w:val="18"/>
          <w:lang w:val="el-GR"/>
        </w:rPr>
        <w:t>ο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ι απολαβές προσωπικού (συμπεριλαμβανομένων των τεκμαρτών κοινωνικών εισφορών και συντάξεων των δημοσίων υπαλλήλων) αυξήθηκαν κατά €</w:t>
      </w:r>
      <w:r w:rsidR="00432394">
        <w:rPr>
          <w:rFonts w:ascii="Verdana" w:hAnsi="Verdana" w:cs="Arial"/>
          <w:sz w:val="18"/>
          <w:szCs w:val="18"/>
          <w:lang w:val="el-GR"/>
        </w:rPr>
        <w:t>2</w:t>
      </w:r>
      <w:r w:rsidR="00536C35">
        <w:rPr>
          <w:rFonts w:ascii="Verdana" w:hAnsi="Verdana" w:cs="Arial"/>
          <w:sz w:val="18"/>
          <w:szCs w:val="18"/>
          <w:lang w:val="el-GR"/>
        </w:rPr>
        <w:t>53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990968">
        <w:rPr>
          <w:rFonts w:ascii="Verdana" w:hAnsi="Verdana" w:cs="Arial"/>
          <w:sz w:val="18"/>
          <w:szCs w:val="18"/>
          <w:lang w:val="el-GR"/>
        </w:rPr>
        <w:t>6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536C35">
        <w:rPr>
          <w:rFonts w:ascii="Verdana" w:hAnsi="Verdana" w:cs="Arial"/>
          <w:sz w:val="18"/>
          <w:szCs w:val="18"/>
          <w:lang w:val="el-GR"/>
        </w:rPr>
        <w:t>4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536C35">
        <w:rPr>
          <w:rFonts w:ascii="Verdana" w:hAnsi="Verdana" w:cs="Arial"/>
          <w:sz w:val="18"/>
          <w:szCs w:val="18"/>
          <w:lang w:val="el-GR"/>
        </w:rPr>
        <w:t>131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536C35">
        <w:rPr>
          <w:rFonts w:ascii="Verdana" w:hAnsi="Verdana" w:cs="Arial"/>
          <w:sz w:val="18"/>
          <w:szCs w:val="18"/>
          <w:lang w:val="el-GR"/>
        </w:rPr>
        <w:t>877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9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F7164D">
        <w:rPr>
          <w:rFonts w:ascii="Verdana" w:hAnsi="Verdana" w:cs="Arial"/>
          <w:sz w:val="18"/>
          <w:szCs w:val="18"/>
          <w:lang w:val="el-GR"/>
        </w:rPr>
        <w:t>38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304209">
        <w:rPr>
          <w:rFonts w:ascii="Verdana" w:hAnsi="Verdana" w:cs="Arial"/>
          <w:sz w:val="18"/>
          <w:szCs w:val="18"/>
          <w:lang w:val="el-GR"/>
        </w:rPr>
        <w:t>7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536C35">
        <w:rPr>
          <w:rFonts w:ascii="Verdana" w:hAnsi="Verdana" w:cs="Arial"/>
          <w:sz w:val="18"/>
          <w:szCs w:val="18"/>
          <w:lang w:val="el-GR"/>
        </w:rPr>
        <w:t>5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536C35">
        <w:rPr>
          <w:rFonts w:ascii="Verdana" w:hAnsi="Verdana" w:cs="Arial"/>
          <w:sz w:val="18"/>
          <w:szCs w:val="18"/>
          <w:lang w:val="el-GR"/>
        </w:rPr>
        <w:t>686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0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536C35">
        <w:rPr>
          <w:rFonts w:ascii="Verdana" w:hAnsi="Verdana" w:cs="Arial"/>
          <w:sz w:val="18"/>
          <w:szCs w:val="18"/>
          <w:lang w:val="el-GR"/>
        </w:rPr>
        <w:t>5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536C35">
        <w:rPr>
          <w:rFonts w:ascii="Verdana" w:hAnsi="Verdana" w:cs="Arial"/>
          <w:sz w:val="18"/>
          <w:szCs w:val="18"/>
          <w:lang w:val="el-GR"/>
        </w:rPr>
        <w:t>303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7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Η ενδιάμεση ανάλωση αυξήθηκε κατά €</w:t>
      </w:r>
      <w:r w:rsidR="00536C35">
        <w:rPr>
          <w:rFonts w:ascii="Verdana" w:hAnsi="Verdana" w:cs="Arial"/>
          <w:sz w:val="18"/>
          <w:szCs w:val="18"/>
          <w:lang w:val="el-GR"/>
        </w:rPr>
        <w:t>136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0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536C35">
        <w:rPr>
          <w:rFonts w:ascii="Verdana" w:hAnsi="Verdana" w:cs="Arial"/>
          <w:sz w:val="18"/>
          <w:szCs w:val="18"/>
          <w:lang w:val="el-GR"/>
        </w:rPr>
        <w:t>9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%) και ανήλθε στα €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1.</w:t>
      </w:r>
      <w:r w:rsidR="00536C35">
        <w:rPr>
          <w:rFonts w:ascii="Verdana" w:hAnsi="Verdana" w:cs="Arial"/>
          <w:sz w:val="18"/>
          <w:szCs w:val="18"/>
          <w:lang w:val="el-GR"/>
        </w:rPr>
        <w:t>600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8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1.</w:t>
      </w:r>
      <w:r w:rsidR="00536C35">
        <w:rPr>
          <w:rFonts w:ascii="Verdana" w:hAnsi="Verdana" w:cs="Arial"/>
          <w:sz w:val="18"/>
          <w:szCs w:val="18"/>
          <w:lang w:val="el-GR"/>
        </w:rPr>
        <w:t>464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8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0B406A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536C35">
        <w:rPr>
          <w:rFonts w:ascii="Verdana" w:hAnsi="Verdana" w:cs="Arial"/>
          <w:sz w:val="18"/>
          <w:szCs w:val="18"/>
          <w:lang w:val="el-GR"/>
        </w:rPr>
        <w:t>Ο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536C35">
        <w:rPr>
          <w:rFonts w:ascii="Verdana" w:hAnsi="Verdana" w:cs="Arial"/>
          <w:sz w:val="18"/>
          <w:szCs w:val="18"/>
          <w:lang w:val="el-GR"/>
        </w:rPr>
        <w:t>αυξή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536C35">
        <w:rPr>
          <w:rFonts w:ascii="Verdana" w:hAnsi="Verdana" w:cs="Arial"/>
          <w:sz w:val="18"/>
          <w:szCs w:val="18"/>
          <w:lang w:val="el-GR"/>
        </w:rPr>
        <w:t>77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8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536C35">
        <w:rPr>
          <w:rFonts w:ascii="Verdana" w:hAnsi="Verdana" w:cs="Arial"/>
          <w:sz w:val="18"/>
          <w:szCs w:val="18"/>
          <w:lang w:val="el-GR"/>
        </w:rPr>
        <w:t>+9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536C35">
        <w:rPr>
          <w:rFonts w:ascii="Verdana" w:hAnsi="Verdana" w:cs="Arial"/>
          <w:sz w:val="18"/>
          <w:szCs w:val="18"/>
          <w:lang w:val="el-GR"/>
        </w:rPr>
        <w:t>ανήλθαν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536C35">
        <w:rPr>
          <w:rFonts w:ascii="Verdana" w:hAnsi="Verdana" w:cs="Arial"/>
          <w:sz w:val="18"/>
          <w:szCs w:val="18"/>
          <w:lang w:val="el-GR"/>
        </w:rPr>
        <w:t>920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6C35">
        <w:rPr>
          <w:rFonts w:ascii="Verdana" w:hAnsi="Verdana" w:cs="Arial"/>
          <w:sz w:val="18"/>
          <w:szCs w:val="18"/>
          <w:lang w:val="el-GR"/>
        </w:rPr>
        <w:t>842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4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το 2024.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5D4EB65D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</w:t>
      </w:r>
      <w:r w:rsidRPr="00497113">
        <w:rPr>
          <w:rFonts w:ascii="Verdana" w:hAnsi="Verdana" w:cs="Arial"/>
          <w:sz w:val="18"/>
          <w:szCs w:val="18"/>
          <w:lang w:val="el-GR"/>
        </w:rPr>
        <w:t>θηκε κατά €</w:t>
      </w:r>
      <w:r w:rsidR="00536C35">
        <w:rPr>
          <w:rFonts w:ascii="Verdana" w:hAnsi="Verdana" w:cs="Arial"/>
          <w:sz w:val="18"/>
          <w:szCs w:val="18"/>
          <w:lang w:val="el-GR"/>
        </w:rPr>
        <w:t>562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1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536C35">
        <w:rPr>
          <w:rFonts w:ascii="Verdana" w:hAnsi="Verdana" w:cs="Arial"/>
          <w:sz w:val="18"/>
          <w:szCs w:val="18"/>
          <w:lang w:val="el-GR"/>
        </w:rPr>
        <w:t>4</w:t>
      </w:r>
      <w:r w:rsidR="00432394">
        <w:rPr>
          <w:rFonts w:ascii="Verdana" w:hAnsi="Verdana" w:cs="Arial"/>
          <w:sz w:val="18"/>
          <w:szCs w:val="18"/>
          <w:lang w:val="el-GR"/>
        </w:rPr>
        <w:t>6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6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1.</w:t>
      </w:r>
      <w:r w:rsidR="00536C35">
        <w:rPr>
          <w:rFonts w:ascii="Verdana" w:hAnsi="Verdana" w:cs="Arial"/>
          <w:sz w:val="18"/>
          <w:szCs w:val="18"/>
          <w:lang w:val="el-GR"/>
        </w:rPr>
        <w:t>767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6C35">
        <w:rPr>
          <w:rFonts w:ascii="Verdana" w:hAnsi="Verdana" w:cs="Arial"/>
          <w:sz w:val="18"/>
          <w:szCs w:val="18"/>
          <w:lang w:val="el-GR"/>
        </w:rPr>
        <w:t>1.205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1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536C35">
        <w:rPr>
          <w:rFonts w:ascii="Verdana" w:hAnsi="Verdana" w:cs="Arial"/>
          <w:sz w:val="18"/>
          <w:szCs w:val="18"/>
          <w:lang w:val="el-GR"/>
        </w:rPr>
        <w:t>242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6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536C35">
        <w:rPr>
          <w:rFonts w:ascii="Verdana" w:hAnsi="Verdana" w:cs="Arial"/>
          <w:sz w:val="18"/>
          <w:szCs w:val="18"/>
          <w:lang w:val="el-GR"/>
        </w:rPr>
        <w:t>25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1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536C35">
        <w:rPr>
          <w:rFonts w:ascii="Verdana" w:hAnsi="Verdana" w:cs="Arial"/>
          <w:sz w:val="18"/>
          <w:szCs w:val="18"/>
          <w:lang w:val="el-GR"/>
        </w:rPr>
        <w:t>1.207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6C35">
        <w:rPr>
          <w:rFonts w:ascii="Verdana" w:hAnsi="Verdana" w:cs="Arial"/>
          <w:sz w:val="18"/>
          <w:szCs w:val="18"/>
          <w:lang w:val="el-GR"/>
        </w:rPr>
        <w:t>964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7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FA53BE">
        <w:rPr>
          <w:rFonts w:ascii="Verdana" w:hAnsi="Verdana" w:cs="Arial"/>
          <w:sz w:val="18"/>
          <w:szCs w:val="18"/>
          <w:lang w:val="el-GR"/>
        </w:rPr>
        <w:t>αυξή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θηκαν κατά €</w:t>
      </w:r>
      <w:r w:rsidR="00536C35">
        <w:rPr>
          <w:rFonts w:ascii="Verdana" w:hAnsi="Verdana" w:cs="Arial"/>
          <w:sz w:val="18"/>
          <w:szCs w:val="18"/>
          <w:lang w:val="el-GR"/>
        </w:rPr>
        <w:t>319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>
        <w:rPr>
          <w:rFonts w:ascii="Verdana" w:hAnsi="Verdana" w:cs="Arial"/>
          <w:sz w:val="18"/>
          <w:szCs w:val="18"/>
          <w:lang w:val="el-GR"/>
        </w:rPr>
        <w:t>ανήλθαν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536C35">
        <w:rPr>
          <w:rFonts w:ascii="Verdana" w:hAnsi="Verdana" w:cs="Arial"/>
          <w:sz w:val="18"/>
          <w:szCs w:val="18"/>
          <w:lang w:val="el-GR"/>
        </w:rPr>
        <w:t>559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9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6C35">
        <w:rPr>
          <w:rFonts w:ascii="Verdana" w:hAnsi="Verdana" w:cs="Arial"/>
          <w:sz w:val="18"/>
          <w:szCs w:val="18"/>
          <w:lang w:val="el-GR"/>
        </w:rPr>
        <w:t>240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54CB2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3EA81667" w:rsidR="00FA53BE" w:rsidRPr="005D1BBC" w:rsidRDefault="004C09F4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F7164D">
        <w:rPr>
          <w:rFonts w:ascii="Verdana" w:hAnsi="Verdana" w:cs="Arial"/>
          <w:sz w:val="18"/>
          <w:szCs w:val="18"/>
          <w:lang w:val="el-GR"/>
        </w:rPr>
        <w:t>ο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ι </w:t>
      </w:r>
      <w:proofErr w:type="spellStart"/>
      <w:r w:rsidR="00F7164D" w:rsidRPr="00251CDD">
        <w:rPr>
          <w:rFonts w:ascii="Verdana" w:hAnsi="Verdana" w:cs="Arial"/>
          <w:sz w:val="18"/>
          <w:szCs w:val="18"/>
          <w:lang w:val="el-GR"/>
        </w:rPr>
        <w:t>πληρωθέντες</w:t>
      </w:r>
      <w:proofErr w:type="spellEnd"/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τόκοι </w:t>
      </w:r>
      <w:r w:rsidR="00F7164D">
        <w:rPr>
          <w:rFonts w:ascii="Verdana" w:hAnsi="Verdana" w:cs="Arial"/>
          <w:sz w:val="18"/>
          <w:szCs w:val="18"/>
          <w:lang w:val="el-GR"/>
        </w:rPr>
        <w:t>μειώθηκαν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F7164D">
        <w:rPr>
          <w:rFonts w:ascii="Verdana" w:hAnsi="Verdana" w:cs="Arial"/>
          <w:sz w:val="18"/>
          <w:szCs w:val="18"/>
          <w:lang w:val="el-GR"/>
        </w:rPr>
        <w:t>2</w:t>
      </w:r>
      <w:r w:rsidR="00536C35">
        <w:rPr>
          <w:rFonts w:ascii="Verdana" w:hAnsi="Verdana" w:cs="Arial"/>
          <w:sz w:val="18"/>
          <w:szCs w:val="18"/>
          <w:lang w:val="el-GR"/>
        </w:rPr>
        <w:t>7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0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7164D">
        <w:rPr>
          <w:rFonts w:ascii="Verdana" w:hAnsi="Verdana" w:cs="Arial"/>
          <w:sz w:val="18"/>
          <w:szCs w:val="18"/>
          <w:lang w:val="el-GR"/>
        </w:rPr>
        <w:t>-</w:t>
      </w:r>
      <w:r w:rsidR="00536C35">
        <w:rPr>
          <w:rFonts w:ascii="Verdana" w:hAnsi="Verdana" w:cs="Arial"/>
          <w:sz w:val="18"/>
          <w:szCs w:val="18"/>
          <w:lang w:val="el-GR"/>
        </w:rPr>
        <w:t>6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1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7164D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536C35">
        <w:rPr>
          <w:rFonts w:ascii="Verdana" w:hAnsi="Verdana" w:cs="Arial"/>
          <w:sz w:val="18"/>
          <w:szCs w:val="18"/>
          <w:lang w:val="el-GR"/>
        </w:rPr>
        <w:t>18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7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F7164D">
        <w:rPr>
          <w:rFonts w:ascii="Verdana" w:hAnsi="Verdana" w:cs="Arial"/>
          <w:sz w:val="18"/>
          <w:szCs w:val="18"/>
          <w:lang w:val="el-GR"/>
        </w:rPr>
        <w:t xml:space="preserve"> 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536C35">
        <w:rPr>
          <w:rFonts w:ascii="Verdana" w:hAnsi="Verdana" w:cs="Arial"/>
          <w:sz w:val="18"/>
          <w:szCs w:val="18"/>
          <w:lang w:val="el-GR"/>
        </w:rPr>
        <w:t>45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7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F716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217178" w:rsidRPr="00217178">
        <w:rPr>
          <w:rFonts w:ascii="Verdana" w:hAnsi="Verdana" w:cs="Arial"/>
          <w:sz w:val="18"/>
          <w:szCs w:val="18"/>
          <w:lang w:val="el-GR"/>
        </w:rPr>
        <w:t>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ι επιδοτήσεις μειώθηκαν κατά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536C35"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6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536C35">
        <w:rPr>
          <w:rFonts w:ascii="Verdana" w:hAnsi="Verdana" w:cs="Arial"/>
          <w:sz w:val="18"/>
          <w:szCs w:val="18"/>
          <w:lang w:val="el-GR"/>
        </w:rPr>
        <w:t>11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4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536C35">
        <w:rPr>
          <w:rFonts w:ascii="Verdana" w:hAnsi="Verdana" w:cs="Arial"/>
          <w:sz w:val="18"/>
          <w:szCs w:val="18"/>
          <w:lang w:val="el-GR"/>
        </w:rPr>
        <w:t>51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96644">
        <w:rPr>
          <w:rFonts w:ascii="Verdana" w:hAnsi="Verdana" w:cs="Arial"/>
          <w:sz w:val="18"/>
          <w:szCs w:val="18"/>
          <w:lang w:val="el-GR"/>
        </w:rPr>
        <w:t>1</w:t>
      </w:r>
      <w:r w:rsidR="00536C35">
        <w:rPr>
          <w:rFonts w:ascii="Verdana" w:hAnsi="Verdana" w:cs="Arial"/>
          <w:sz w:val="18"/>
          <w:szCs w:val="18"/>
          <w:lang w:val="el-GR"/>
        </w:rPr>
        <w:t>71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4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Pr="00FD1DC2" w:rsidRDefault="00BE1BC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="00B6315F" w:rsidRPr="00CF0574">
        <w:rPr>
          <w:rFonts w:ascii="Verdana" w:hAnsi="Verdana"/>
          <w:sz w:val="18"/>
          <w:szCs w:val="18"/>
          <w:lang w:val="el-GR"/>
        </w:rPr>
        <w:t>υποτομέα</w:t>
      </w:r>
      <w:proofErr w:type="spellEnd"/>
      <w:r w:rsidR="00B6315F" w:rsidRPr="00CF0574">
        <w:rPr>
          <w:rFonts w:ascii="Verdana" w:hAnsi="Verdana"/>
          <w:sz w:val="18"/>
          <w:szCs w:val="18"/>
          <w:lang w:val="el-GR"/>
        </w:rPr>
        <w:t xml:space="preserve">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D816A2" w14:textId="77777777" w:rsidR="00065DCE" w:rsidRPr="00F528B1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FC9C8E" w14:textId="77777777" w:rsidR="00065DCE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5D86948" w14:textId="77777777" w:rsidR="00F528B1" w:rsidRDefault="00F528B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80CB44" w14:textId="77777777" w:rsidR="001A7B07" w:rsidRDefault="001A7B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1"/>
        <w:gridCol w:w="1255"/>
        <w:gridCol w:w="1308"/>
        <w:gridCol w:w="236"/>
        <w:gridCol w:w="1260"/>
        <w:gridCol w:w="236"/>
        <w:gridCol w:w="1307"/>
      </w:tblGrid>
      <w:tr w:rsidR="00EC33AF" w:rsidRPr="00EC33AF" w14:paraId="19239BEA" w14:textId="77777777" w:rsidTr="00EC33AF">
        <w:trPr>
          <w:trHeight w:val="294"/>
          <w:jc w:val="center"/>
        </w:trPr>
        <w:tc>
          <w:tcPr>
            <w:tcW w:w="4024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EC33AF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255" w:type="dxa"/>
            <w:tcBorders>
              <w:bottom w:val="single" w:sz="4" w:space="0" w:color="366092"/>
            </w:tcBorders>
          </w:tcPr>
          <w:p w14:paraId="0F3D956D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9" w:type="dxa"/>
            <w:tcBorders>
              <w:bottom w:val="single" w:sz="4" w:space="0" w:color="366092"/>
            </w:tcBorders>
          </w:tcPr>
          <w:p w14:paraId="489A3F81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4" w:type="dxa"/>
            <w:tcBorders>
              <w:bottom w:val="single" w:sz="4" w:space="0" w:color="366092"/>
            </w:tcBorders>
          </w:tcPr>
          <w:p w14:paraId="60830796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tcBorders>
              <w:bottom w:val="single" w:sz="4" w:space="0" w:color="366092"/>
            </w:tcBorders>
          </w:tcPr>
          <w:p w14:paraId="1DC6E986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4" w:type="dxa"/>
            <w:tcBorders>
              <w:bottom w:val="single" w:sz="4" w:space="0" w:color="366092"/>
            </w:tcBorders>
          </w:tcPr>
          <w:p w14:paraId="72F97FF6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bottom w:val="single" w:sz="4" w:space="0" w:color="366092"/>
            </w:tcBorders>
          </w:tcPr>
          <w:p w14:paraId="68AEE8BD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EC33AF" w:rsidRPr="00EC33AF" w14:paraId="1DDA484B" w14:textId="77777777" w:rsidTr="00EC33AF">
        <w:trPr>
          <w:trHeight w:val="352"/>
          <w:jc w:val="center"/>
        </w:trPr>
        <w:tc>
          <w:tcPr>
            <w:tcW w:w="4024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058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34" w:type="dxa"/>
            <w:tcBorders>
              <w:top w:val="single" w:sz="4" w:space="0" w:color="366092"/>
            </w:tcBorders>
          </w:tcPr>
          <w:p w14:paraId="532F4CC1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EC33AF" w:rsidRPr="00EC33AF" w14:paraId="1DE73571" w14:textId="77777777" w:rsidTr="00EC33AF">
        <w:trPr>
          <w:trHeight w:val="528"/>
          <w:jc w:val="center"/>
        </w:trPr>
        <w:tc>
          <w:tcPr>
            <w:tcW w:w="4024" w:type="dxa"/>
            <w:vMerge/>
          </w:tcPr>
          <w:p w14:paraId="5A1439FD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34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34" w:type="dxa"/>
          </w:tcPr>
          <w:p w14:paraId="5C38BEBC" w14:textId="77777777" w:rsidR="00DB0176" w:rsidRPr="00EC33AF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EC33AF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EC33AF" w:rsidRPr="00EC33AF" w14:paraId="12834134" w14:textId="77777777" w:rsidTr="00EC33AF">
        <w:trPr>
          <w:trHeight w:val="646"/>
          <w:jc w:val="center"/>
        </w:trPr>
        <w:tc>
          <w:tcPr>
            <w:tcW w:w="4024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EC33AF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75038BCF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536C35"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</w:p>
          <w:p w14:paraId="4C3F6871" w14:textId="58DBD16D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309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AAC1749" w14:textId="2496239A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536C35"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</w:p>
          <w:p w14:paraId="279D1CDA" w14:textId="47062103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34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384E1897" w14:textId="029B0937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536C35"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2025/24</w:t>
            </w:r>
          </w:p>
        </w:tc>
        <w:tc>
          <w:tcPr>
            <w:tcW w:w="234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D7527C2" w14:textId="1EBA24AD" w:rsidR="00DB0176" w:rsidRPr="00EC33AF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536C35"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D94D91" w:rsidRPr="00EC33AF">
              <w:rPr>
                <w:color w:val="366092"/>
              </w:rPr>
              <w:t xml:space="preserve"> </w:t>
            </w:r>
            <w:r w:rsidR="00142006"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2025/24</w:t>
            </w:r>
          </w:p>
        </w:tc>
      </w:tr>
      <w:tr w:rsidR="00EC33AF" w:rsidRPr="00EC33AF" w14:paraId="67EBC091" w14:textId="77777777" w:rsidTr="00EC33AF">
        <w:trPr>
          <w:trHeight w:val="410"/>
          <w:jc w:val="center"/>
        </w:trPr>
        <w:tc>
          <w:tcPr>
            <w:tcW w:w="4024" w:type="dxa"/>
            <w:tcBorders>
              <w:top w:val="single" w:sz="4" w:space="0" w:color="366092"/>
            </w:tcBorders>
            <w:vAlign w:val="center"/>
          </w:tcPr>
          <w:p w14:paraId="506927F4" w14:textId="77777777" w:rsidR="00536C35" w:rsidRPr="00EC33AF" w:rsidRDefault="00536C35" w:rsidP="00536C3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255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559487F6" w:rsidR="00536C35" w:rsidRPr="00EC33AF" w:rsidRDefault="00536C35" w:rsidP="00EC33AF">
            <w:pPr>
              <w:ind w:right="-108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14.750,3</w:t>
            </w:r>
          </w:p>
        </w:tc>
        <w:tc>
          <w:tcPr>
            <w:tcW w:w="1309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69B43BA5" w:rsidR="00536C35" w:rsidRPr="00EC33AF" w:rsidRDefault="00536C35" w:rsidP="00EC33AF">
            <w:pPr>
              <w:ind w:right="-79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15.615,2</w:t>
            </w:r>
          </w:p>
        </w:tc>
        <w:tc>
          <w:tcPr>
            <w:tcW w:w="234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3486041E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864,8</w:t>
            </w:r>
          </w:p>
        </w:tc>
        <w:tc>
          <w:tcPr>
            <w:tcW w:w="234" w:type="dxa"/>
            <w:tcBorders>
              <w:top w:val="single" w:sz="4" w:space="0" w:color="366092"/>
            </w:tcBorders>
            <w:vAlign w:val="center"/>
          </w:tcPr>
          <w:p w14:paraId="6809A533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40ACC768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5,9</w:t>
            </w:r>
          </w:p>
        </w:tc>
      </w:tr>
      <w:tr w:rsidR="00EC33AF" w:rsidRPr="00EC33AF" w14:paraId="7CD258D1" w14:textId="77777777" w:rsidTr="00EC33AF">
        <w:trPr>
          <w:trHeight w:val="528"/>
          <w:jc w:val="center"/>
        </w:trPr>
        <w:tc>
          <w:tcPr>
            <w:tcW w:w="4024" w:type="dxa"/>
            <w:vAlign w:val="center"/>
          </w:tcPr>
          <w:p w14:paraId="5A475B7B" w14:textId="77777777" w:rsidR="00536C35" w:rsidRPr="00EC33AF" w:rsidRDefault="00536C35" w:rsidP="00536C3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255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6E862936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4.682,8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134BD459" w14:textId="240FA6A4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4.696,8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5F1E252F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2E515938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14,0</w:t>
            </w:r>
          </w:p>
        </w:tc>
        <w:tc>
          <w:tcPr>
            <w:tcW w:w="234" w:type="dxa"/>
            <w:vAlign w:val="center"/>
          </w:tcPr>
          <w:p w14:paraId="72E14549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7AC00BDD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0,3</w:t>
            </w:r>
          </w:p>
        </w:tc>
      </w:tr>
      <w:tr w:rsidR="00EC33AF" w:rsidRPr="00EC33AF" w14:paraId="2F88104A" w14:textId="77777777" w:rsidTr="00EC33AF">
        <w:trPr>
          <w:trHeight w:val="294"/>
          <w:jc w:val="center"/>
        </w:trPr>
        <w:tc>
          <w:tcPr>
            <w:tcW w:w="4024" w:type="dxa"/>
            <w:vAlign w:val="center"/>
          </w:tcPr>
          <w:p w14:paraId="2CA64C74" w14:textId="08265C9F" w:rsidR="00536C35" w:rsidRPr="00EC33AF" w:rsidRDefault="00536C35" w:rsidP="00536C35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EC33AF">
              <w:rPr>
                <w:color w:val="366092"/>
                <w:lang w:val="el-GR"/>
              </w:rPr>
              <w:t xml:space="preserve">                               </w:t>
            </w:r>
            <w:r w:rsidRPr="00EC33AF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255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7937AB85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3.169,6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774AB022" w14:textId="3C47FA3A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3.116,8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07540051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6D091E71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-52,8</w:t>
            </w:r>
          </w:p>
        </w:tc>
        <w:tc>
          <w:tcPr>
            <w:tcW w:w="234" w:type="dxa"/>
            <w:vAlign w:val="center"/>
          </w:tcPr>
          <w:p w14:paraId="6A4312B0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310298BF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-1,7</w:t>
            </w:r>
          </w:p>
        </w:tc>
      </w:tr>
      <w:tr w:rsidR="00EC33AF" w:rsidRPr="00EC33AF" w14:paraId="034EA9BC" w14:textId="77777777" w:rsidTr="00EC33AF">
        <w:trPr>
          <w:trHeight w:val="587"/>
          <w:jc w:val="center"/>
        </w:trPr>
        <w:tc>
          <w:tcPr>
            <w:tcW w:w="4024" w:type="dxa"/>
            <w:vAlign w:val="center"/>
          </w:tcPr>
          <w:p w14:paraId="11E5AF0B" w14:textId="77777777" w:rsidR="00536C35" w:rsidRPr="00EC33AF" w:rsidRDefault="00536C35" w:rsidP="00536C3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255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32BEABE4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3.804,7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409ED4EE" w14:textId="21B11289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4.146,0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285B975D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1D5AC2E9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341,3</w:t>
            </w:r>
          </w:p>
        </w:tc>
        <w:tc>
          <w:tcPr>
            <w:tcW w:w="234" w:type="dxa"/>
            <w:vAlign w:val="center"/>
          </w:tcPr>
          <w:p w14:paraId="610F8E5A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6A729CE0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</w:tr>
      <w:tr w:rsidR="00EC33AF" w:rsidRPr="00EC33AF" w14:paraId="0366A372" w14:textId="77777777" w:rsidTr="00EC33AF">
        <w:trPr>
          <w:trHeight w:val="352"/>
          <w:jc w:val="center"/>
        </w:trPr>
        <w:tc>
          <w:tcPr>
            <w:tcW w:w="4024" w:type="dxa"/>
            <w:vAlign w:val="center"/>
          </w:tcPr>
          <w:p w14:paraId="7BD2387B" w14:textId="77777777" w:rsidR="00536C35" w:rsidRPr="00EC33AF" w:rsidRDefault="00536C35" w:rsidP="00536C3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255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265BCD94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4.520,0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5350FB58" w14:textId="03F65423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4.878,7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64C73A61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5CFCD901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358,7</w:t>
            </w:r>
          </w:p>
        </w:tc>
        <w:tc>
          <w:tcPr>
            <w:tcW w:w="234" w:type="dxa"/>
            <w:vAlign w:val="center"/>
          </w:tcPr>
          <w:p w14:paraId="0468AA1C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76BCAAF7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</w:tr>
      <w:tr w:rsidR="00EC33AF" w:rsidRPr="00EC33AF" w14:paraId="1C59A855" w14:textId="77777777" w:rsidTr="00EC33AF">
        <w:trPr>
          <w:trHeight w:val="352"/>
          <w:jc w:val="center"/>
        </w:trPr>
        <w:tc>
          <w:tcPr>
            <w:tcW w:w="4024" w:type="dxa"/>
            <w:vAlign w:val="center"/>
          </w:tcPr>
          <w:p w14:paraId="13990DAE" w14:textId="77777777" w:rsidR="00536C35" w:rsidRPr="00EC33AF" w:rsidRDefault="00536C35" w:rsidP="00536C3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255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011DEE71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1.405,9</w:t>
            </w:r>
          </w:p>
        </w:tc>
        <w:tc>
          <w:tcPr>
            <w:tcW w:w="1309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3E476F1A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1.630,8</w:t>
            </w:r>
          </w:p>
        </w:tc>
        <w:tc>
          <w:tcPr>
            <w:tcW w:w="234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73A590C2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224,9</w:t>
            </w:r>
          </w:p>
        </w:tc>
        <w:tc>
          <w:tcPr>
            <w:tcW w:w="234" w:type="dxa"/>
            <w:vAlign w:val="center"/>
          </w:tcPr>
          <w:p w14:paraId="26AACBC3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408B6981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16,0</w:t>
            </w:r>
          </w:p>
        </w:tc>
      </w:tr>
      <w:tr w:rsidR="00EC33AF" w:rsidRPr="00EC33AF" w14:paraId="76261BA6" w14:textId="77777777" w:rsidTr="00EC33AF">
        <w:trPr>
          <w:trHeight w:val="294"/>
          <w:jc w:val="center"/>
        </w:trPr>
        <w:tc>
          <w:tcPr>
            <w:tcW w:w="4024" w:type="dxa"/>
            <w:vAlign w:val="center"/>
          </w:tcPr>
          <w:p w14:paraId="369B8086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069E6A24" w14:textId="6651E2C6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122,9</w:t>
            </w:r>
          </w:p>
        </w:tc>
        <w:tc>
          <w:tcPr>
            <w:tcW w:w="1309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62705698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160,3</w:t>
            </w:r>
          </w:p>
        </w:tc>
        <w:tc>
          <w:tcPr>
            <w:tcW w:w="234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2CB4E9A3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37,4</w:t>
            </w:r>
          </w:p>
        </w:tc>
        <w:tc>
          <w:tcPr>
            <w:tcW w:w="234" w:type="dxa"/>
            <w:vAlign w:val="center"/>
          </w:tcPr>
          <w:p w14:paraId="0F28FD4C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2ACFB2C9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30,4</w:t>
            </w:r>
          </w:p>
        </w:tc>
      </w:tr>
      <w:tr w:rsidR="00EC33AF" w:rsidRPr="00EC33AF" w14:paraId="19CE8074" w14:textId="77777777" w:rsidTr="00EC33AF">
        <w:trPr>
          <w:trHeight w:val="294"/>
          <w:jc w:val="center"/>
        </w:trPr>
        <w:tc>
          <w:tcPr>
            <w:tcW w:w="4024" w:type="dxa"/>
            <w:vAlign w:val="center"/>
          </w:tcPr>
          <w:p w14:paraId="2EFFA565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2078D15C" w14:textId="35676D3C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393,2</w:t>
            </w:r>
          </w:p>
        </w:tc>
        <w:tc>
          <w:tcPr>
            <w:tcW w:w="1309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24DFF0E4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421,1</w:t>
            </w:r>
          </w:p>
        </w:tc>
        <w:tc>
          <w:tcPr>
            <w:tcW w:w="234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7F031FF9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27,9</w:t>
            </w:r>
          </w:p>
        </w:tc>
        <w:tc>
          <w:tcPr>
            <w:tcW w:w="234" w:type="dxa"/>
            <w:vAlign w:val="center"/>
          </w:tcPr>
          <w:p w14:paraId="43639FFD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174B3AD2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EC33AF" w:rsidRPr="00EC33AF" w14:paraId="68B93110" w14:textId="77777777" w:rsidTr="00EC33AF">
        <w:trPr>
          <w:trHeight w:val="294"/>
          <w:jc w:val="center"/>
        </w:trPr>
        <w:tc>
          <w:tcPr>
            <w:tcW w:w="4024" w:type="dxa"/>
            <w:vAlign w:val="center"/>
          </w:tcPr>
          <w:p w14:paraId="2222A67A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265962F9" w14:textId="4A6D08C0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889,8</w:t>
            </w:r>
          </w:p>
        </w:tc>
        <w:tc>
          <w:tcPr>
            <w:tcW w:w="1309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49D423F6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1.049,4</w:t>
            </w:r>
          </w:p>
        </w:tc>
        <w:tc>
          <w:tcPr>
            <w:tcW w:w="234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1C44B07D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159,6</w:t>
            </w:r>
          </w:p>
        </w:tc>
        <w:tc>
          <w:tcPr>
            <w:tcW w:w="234" w:type="dxa"/>
            <w:vAlign w:val="center"/>
          </w:tcPr>
          <w:p w14:paraId="4E854E3A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21AB6330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17,9</w:t>
            </w:r>
          </w:p>
        </w:tc>
      </w:tr>
      <w:tr w:rsidR="00EC33AF" w:rsidRPr="00EC33AF" w14:paraId="30A0129F" w14:textId="77777777" w:rsidTr="00EC33AF">
        <w:trPr>
          <w:trHeight w:val="469"/>
          <w:jc w:val="center"/>
        </w:trPr>
        <w:tc>
          <w:tcPr>
            <w:tcW w:w="4024" w:type="dxa"/>
            <w:vAlign w:val="center"/>
          </w:tcPr>
          <w:p w14:paraId="239C2561" w14:textId="77777777" w:rsidR="00536C35" w:rsidRPr="00EC33AF" w:rsidRDefault="00536C35" w:rsidP="00536C3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3852C9AA" w14:textId="10171E3C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337,0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5B0F46EA" w14:textId="11A6028E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262,9</w:t>
            </w:r>
          </w:p>
        </w:tc>
        <w:tc>
          <w:tcPr>
            <w:tcW w:w="234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5733A2FD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-74,1</w:t>
            </w:r>
          </w:p>
        </w:tc>
        <w:tc>
          <w:tcPr>
            <w:tcW w:w="234" w:type="dxa"/>
            <w:vAlign w:val="center"/>
          </w:tcPr>
          <w:p w14:paraId="42728ED0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3E1101D4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-22,0</w:t>
            </w:r>
          </w:p>
        </w:tc>
      </w:tr>
      <w:tr w:rsidR="00EC33AF" w:rsidRPr="00EC33AF" w14:paraId="1193EED2" w14:textId="77777777" w:rsidTr="00EC33AF">
        <w:trPr>
          <w:trHeight w:val="410"/>
          <w:jc w:val="center"/>
        </w:trPr>
        <w:tc>
          <w:tcPr>
            <w:tcW w:w="4024" w:type="dxa"/>
            <w:vAlign w:val="center"/>
          </w:tcPr>
          <w:p w14:paraId="07F72AF1" w14:textId="77777777" w:rsidR="00536C35" w:rsidRPr="00EC33AF" w:rsidRDefault="00536C35" w:rsidP="00536C3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30371679" w14:textId="3F7FAA9F" w:rsidR="00536C35" w:rsidRPr="00EC33AF" w:rsidRDefault="00536C35" w:rsidP="00EC33AF">
            <w:pPr>
              <w:ind w:right="-108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13.311,0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4C65FF44" w14:textId="6CCDFDB6" w:rsidR="00536C35" w:rsidRPr="00EC33AF" w:rsidRDefault="00536C35" w:rsidP="00EC33AF">
            <w:pPr>
              <w:ind w:right="-79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14.675,9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7FFEAF56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7D9BD349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1.364,9</w:t>
            </w:r>
          </w:p>
        </w:tc>
        <w:tc>
          <w:tcPr>
            <w:tcW w:w="234" w:type="dxa"/>
            <w:vAlign w:val="center"/>
          </w:tcPr>
          <w:p w14:paraId="63395B89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23524232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10,3</w:t>
            </w:r>
          </w:p>
        </w:tc>
      </w:tr>
      <w:tr w:rsidR="00EC33AF" w:rsidRPr="00EC33AF" w14:paraId="7D06CF8A" w14:textId="77777777" w:rsidTr="00EC33AF">
        <w:trPr>
          <w:trHeight w:val="352"/>
          <w:jc w:val="center"/>
        </w:trPr>
        <w:tc>
          <w:tcPr>
            <w:tcW w:w="4024" w:type="dxa"/>
            <w:shd w:val="clear" w:color="000000" w:fill="FFFFFF"/>
            <w:vAlign w:val="center"/>
          </w:tcPr>
          <w:p w14:paraId="733D98D8" w14:textId="77777777" w:rsidR="00536C35" w:rsidRPr="00EC33AF" w:rsidRDefault="00536C35" w:rsidP="00536C3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1D1D9D44" w14:textId="578A9F28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12.105,9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14270ADA" w14:textId="36361EE3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12.908,7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38D81C2C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14BA8710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802,8</w:t>
            </w:r>
          </w:p>
        </w:tc>
        <w:tc>
          <w:tcPr>
            <w:tcW w:w="234" w:type="dxa"/>
            <w:vAlign w:val="center"/>
          </w:tcPr>
          <w:p w14:paraId="6331DDCB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28E81806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</w:tr>
      <w:tr w:rsidR="00EC33AF" w:rsidRPr="00EC33AF" w14:paraId="1A77A868" w14:textId="77777777" w:rsidTr="00EC33AF">
        <w:trPr>
          <w:trHeight w:val="294"/>
          <w:jc w:val="center"/>
        </w:trPr>
        <w:tc>
          <w:tcPr>
            <w:tcW w:w="4024" w:type="dxa"/>
            <w:shd w:val="clear" w:color="000000" w:fill="FFFFFF"/>
            <w:vAlign w:val="center"/>
          </w:tcPr>
          <w:p w14:paraId="0954CEE8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159251CE" w14:textId="713D5D2E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1.464,8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2959162B" w14:textId="54976E73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1.600,8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59B42A4A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6642F032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136,0</w:t>
            </w:r>
          </w:p>
        </w:tc>
        <w:tc>
          <w:tcPr>
            <w:tcW w:w="234" w:type="dxa"/>
            <w:vAlign w:val="center"/>
          </w:tcPr>
          <w:p w14:paraId="493C4602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552F5B26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</w:tr>
      <w:tr w:rsidR="00EC33AF" w:rsidRPr="00EC33AF" w14:paraId="51F656C1" w14:textId="77777777" w:rsidTr="00EC33AF">
        <w:trPr>
          <w:trHeight w:val="294"/>
          <w:jc w:val="center"/>
        </w:trPr>
        <w:tc>
          <w:tcPr>
            <w:tcW w:w="4024" w:type="dxa"/>
            <w:shd w:val="clear" w:color="000000" w:fill="FFFFFF"/>
            <w:vAlign w:val="center"/>
          </w:tcPr>
          <w:p w14:paraId="7B84500E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1E0024B8" w14:textId="7F0D3C45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3.877,9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068D7599" w14:textId="36F7CACD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4.131,2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7BE51E62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3D113698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253,3</w:t>
            </w:r>
          </w:p>
        </w:tc>
        <w:tc>
          <w:tcPr>
            <w:tcW w:w="234" w:type="dxa"/>
            <w:vAlign w:val="center"/>
          </w:tcPr>
          <w:p w14:paraId="5F981915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7045ED93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EC33AF" w:rsidRPr="00EC33AF" w14:paraId="1D515361" w14:textId="77777777" w:rsidTr="00EC33AF">
        <w:trPr>
          <w:trHeight w:val="294"/>
          <w:jc w:val="center"/>
        </w:trPr>
        <w:tc>
          <w:tcPr>
            <w:tcW w:w="4024" w:type="dxa"/>
            <w:vAlign w:val="center"/>
          </w:tcPr>
          <w:p w14:paraId="726B02AD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0E529B84" w14:textId="31DE9A67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5.303,7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1224C364" w14:textId="402E93E6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5.686,0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27687BCB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331F8A6C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382,3</w:t>
            </w:r>
          </w:p>
        </w:tc>
        <w:tc>
          <w:tcPr>
            <w:tcW w:w="234" w:type="dxa"/>
            <w:vAlign w:val="center"/>
          </w:tcPr>
          <w:p w14:paraId="39AFACB0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41DF020A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EC33AF" w:rsidRPr="00EC33AF" w14:paraId="7717B6DE" w14:textId="77777777" w:rsidTr="00EC33AF">
        <w:trPr>
          <w:trHeight w:val="294"/>
          <w:jc w:val="center"/>
        </w:trPr>
        <w:tc>
          <w:tcPr>
            <w:tcW w:w="4024" w:type="dxa"/>
            <w:shd w:val="clear" w:color="000000" w:fill="FFFFFF"/>
            <w:vAlign w:val="center"/>
          </w:tcPr>
          <w:p w14:paraId="53F87240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7D43DC0F" w14:textId="09116E2A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445,7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2F5E3159" w14:textId="7528AF56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418,7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4B97ED96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2632AE1A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-27,0</w:t>
            </w:r>
          </w:p>
        </w:tc>
        <w:tc>
          <w:tcPr>
            <w:tcW w:w="234" w:type="dxa"/>
            <w:vAlign w:val="center"/>
          </w:tcPr>
          <w:p w14:paraId="0CB1C72B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6D991E0C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-6,1</w:t>
            </w:r>
          </w:p>
        </w:tc>
      </w:tr>
      <w:tr w:rsidR="00EC33AF" w:rsidRPr="00EC33AF" w14:paraId="5F78D3E5" w14:textId="77777777" w:rsidTr="00EC33AF">
        <w:trPr>
          <w:trHeight w:val="294"/>
          <w:jc w:val="center"/>
        </w:trPr>
        <w:tc>
          <w:tcPr>
            <w:tcW w:w="4024" w:type="dxa"/>
            <w:shd w:val="clear" w:color="000000" w:fill="FFFFFF"/>
            <w:vAlign w:val="center"/>
          </w:tcPr>
          <w:p w14:paraId="63CF4A33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225E6191" w14:textId="545D62CD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171,4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19D1C5C1" w14:textId="5F3F890F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151,8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1F9C3AEE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2554F3E0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-19,6</w:t>
            </w:r>
          </w:p>
        </w:tc>
        <w:tc>
          <w:tcPr>
            <w:tcW w:w="234" w:type="dxa"/>
            <w:vAlign w:val="center"/>
          </w:tcPr>
          <w:p w14:paraId="1CF44359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17D661ED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-11,4</w:t>
            </w:r>
          </w:p>
        </w:tc>
      </w:tr>
      <w:tr w:rsidR="00EC33AF" w:rsidRPr="00EC33AF" w14:paraId="7A54E0AF" w14:textId="77777777" w:rsidTr="00EC33AF">
        <w:trPr>
          <w:trHeight w:val="294"/>
          <w:jc w:val="center"/>
        </w:trPr>
        <w:tc>
          <w:tcPr>
            <w:tcW w:w="4024" w:type="dxa"/>
            <w:shd w:val="clear" w:color="000000" w:fill="FFFFFF"/>
            <w:vAlign w:val="center"/>
          </w:tcPr>
          <w:p w14:paraId="3965E5E3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15310C4F" w14:textId="3EDA4403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842,4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15B1FA2F" w14:textId="15EFA772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920,2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67D79B7D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320AAF5F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77,8</w:t>
            </w:r>
          </w:p>
        </w:tc>
        <w:tc>
          <w:tcPr>
            <w:tcW w:w="234" w:type="dxa"/>
            <w:vAlign w:val="center"/>
          </w:tcPr>
          <w:p w14:paraId="0228889F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03D36E22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</w:tr>
      <w:tr w:rsidR="00EC33AF" w:rsidRPr="00EC33AF" w14:paraId="5F4FCEF5" w14:textId="77777777" w:rsidTr="00EC33AF">
        <w:trPr>
          <w:trHeight w:val="410"/>
          <w:jc w:val="center"/>
        </w:trPr>
        <w:tc>
          <w:tcPr>
            <w:tcW w:w="4024" w:type="dxa"/>
            <w:shd w:val="clear" w:color="000000" w:fill="FFFFFF"/>
            <w:vAlign w:val="center"/>
          </w:tcPr>
          <w:p w14:paraId="253C92E3" w14:textId="77777777" w:rsidR="00536C35" w:rsidRPr="00EC33AF" w:rsidRDefault="00536C35" w:rsidP="00536C3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1FDBC4F1" w14:textId="1E70E3B5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1.205,1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4D1F070D" w14:textId="219B9E33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1.767,2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3A5E4BB9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36F9DCCF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562,1</w:t>
            </w:r>
          </w:p>
        </w:tc>
        <w:tc>
          <w:tcPr>
            <w:tcW w:w="234" w:type="dxa"/>
            <w:vAlign w:val="center"/>
          </w:tcPr>
          <w:p w14:paraId="65874236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3FF41413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46,6</w:t>
            </w:r>
          </w:p>
        </w:tc>
      </w:tr>
      <w:tr w:rsidR="00EC33AF" w:rsidRPr="00EC33AF" w14:paraId="2470DE5D" w14:textId="77777777" w:rsidTr="00EC33AF">
        <w:trPr>
          <w:trHeight w:val="528"/>
          <w:jc w:val="center"/>
        </w:trPr>
        <w:tc>
          <w:tcPr>
            <w:tcW w:w="4024" w:type="dxa"/>
            <w:vAlign w:val="center"/>
          </w:tcPr>
          <w:p w14:paraId="13C37A1A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4D2FFCE7" w14:textId="02095235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964,7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4506125E" w14:textId="22B1775E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1.207,3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14FB81EF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41B7FB8E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242,6</w:t>
            </w:r>
          </w:p>
        </w:tc>
        <w:tc>
          <w:tcPr>
            <w:tcW w:w="234" w:type="dxa"/>
            <w:vAlign w:val="center"/>
          </w:tcPr>
          <w:p w14:paraId="1641F5EE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1B79B423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25,1</w:t>
            </w:r>
          </w:p>
        </w:tc>
      </w:tr>
      <w:tr w:rsidR="00EC33AF" w:rsidRPr="00EC33AF" w14:paraId="03A50E38" w14:textId="77777777" w:rsidTr="00EC33AF">
        <w:trPr>
          <w:trHeight w:val="410"/>
          <w:jc w:val="center"/>
        </w:trPr>
        <w:tc>
          <w:tcPr>
            <w:tcW w:w="4024" w:type="dxa"/>
            <w:vAlign w:val="center"/>
          </w:tcPr>
          <w:p w14:paraId="190F6463" w14:textId="77777777" w:rsidR="00536C35" w:rsidRPr="00EC33AF" w:rsidRDefault="00536C35" w:rsidP="00536C35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EC33AF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EC33AF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255" w:type="dxa"/>
            <w:tcMar>
              <w:right w:w="284" w:type="dxa"/>
            </w:tcMar>
            <w:vAlign w:val="center"/>
          </w:tcPr>
          <w:p w14:paraId="7E8AF231" w14:textId="29495FB7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926,4</w:t>
            </w:r>
          </w:p>
        </w:tc>
        <w:tc>
          <w:tcPr>
            <w:tcW w:w="1309" w:type="dxa"/>
            <w:tcMar>
              <w:right w:w="284" w:type="dxa"/>
            </w:tcMar>
            <w:vAlign w:val="center"/>
          </w:tcPr>
          <w:p w14:paraId="337A45E7" w14:textId="7DE6663E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1.177,9</w:t>
            </w:r>
          </w:p>
        </w:tc>
        <w:tc>
          <w:tcPr>
            <w:tcW w:w="234" w:type="dxa"/>
            <w:tcBorders>
              <w:right w:val="nil"/>
            </w:tcBorders>
            <w:vAlign w:val="center"/>
          </w:tcPr>
          <w:p w14:paraId="74D86B62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3C17C128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251,5</w:t>
            </w:r>
          </w:p>
        </w:tc>
        <w:tc>
          <w:tcPr>
            <w:tcW w:w="234" w:type="dxa"/>
            <w:vAlign w:val="center"/>
          </w:tcPr>
          <w:p w14:paraId="67BB0234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52704D8D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27,1</w:t>
            </w:r>
          </w:p>
        </w:tc>
      </w:tr>
      <w:tr w:rsidR="00EC33AF" w:rsidRPr="00EC33AF" w14:paraId="1E76ED78" w14:textId="77777777" w:rsidTr="00EC33AF">
        <w:trPr>
          <w:trHeight w:val="469"/>
          <w:jc w:val="center"/>
        </w:trPr>
        <w:tc>
          <w:tcPr>
            <w:tcW w:w="4024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536C35" w:rsidRPr="00EC33AF" w:rsidRDefault="00536C35" w:rsidP="00536C3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EC33AF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255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67B81929" w:rsidR="00536C35" w:rsidRPr="00EC33AF" w:rsidRDefault="00536C35" w:rsidP="00EC33AF">
            <w:pPr>
              <w:ind w:right="-108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240,4</w:t>
            </w:r>
          </w:p>
        </w:tc>
        <w:tc>
          <w:tcPr>
            <w:tcW w:w="1309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4F82BD1B" w:rsidR="00536C35" w:rsidRPr="00EC33AF" w:rsidRDefault="00536C35" w:rsidP="00EC33AF">
            <w:pPr>
              <w:ind w:right="-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559,9</w:t>
            </w:r>
          </w:p>
        </w:tc>
        <w:tc>
          <w:tcPr>
            <w:tcW w:w="234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71F68866" w:rsidR="00536C35" w:rsidRPr="00EC33AF" w:rsidRDefault="00536C35" w:rsidP="00EC33AF">
            <w:pPr>
              <w:ind w:right="-5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319,5</w:t>
            </w:r>
          </w:p>
        </w:tc>
        <w:tc>
          <w:tcPr>
            <w:tcW w:w="234" w:type="dxa"/>
            <w:tcBorders>
              <w:bottom w:val="single" w:sz="4" w:space="0" w:color="366092"/>
            </w:tcBorders>
            <w:vAlign w:val="center"/>
          </w:tcPr>
          <w:p w14:paraId="61D959CC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17E57908" w:rsidR="00536C35" w:rsidRPr="00EC33AF" w:rsidRDefault="00536C35" w:rsidP="00536C3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132,9</w:t>
            </w:r>
          </w:p>
        </w:tc>
      </w:tr>
      <w:tr w:rsidR="00EC33AF" w:rsidRPr="00EC33AF" w14:paraId="3F1E0831" w14:textId="77777777" w:rsidTr="00EC33AF">
        <w:trPr>
          <w:trHeight w:val="646"/>
          <w:jc w:val="center"/>
        </w:trPr>
        <w:tc>
          <w:tcPr>
            <w:tcW w:w="4024" w:type="dxa"/>
            <w:tcBorders>
              <w:top w:val="single" w:sz="4" w:space="0" w:color="366092"/>
            </w:tcBorders>
            <w:vAlign w:val="center"/>
          </w:tcPr>
          <w:p w14:paraId="5380C66C" w14:textId="77777777" w:rsidR="00536C35" w:rsidRPr="00EC33AF" w:rsidRDefault="00536C35" w:rsidP="00536C3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536C35" w:rsidRPr="00EC33AF" w:rsidRDefault="00536C35" w:rsidP="00536C3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255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46AF4358" w:rsidR="00536C35" w:rsidRPr="00EC33AF" w:rsidRDefault="00536C35" w:rsidP="00EC33AF">
            <w:pPr>
              <w:ind w:right="-108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1.439,3</w:t>
            </w:r>
          </w:p>
        </w:tc>
        <w:tc>
          <w:tcPr>
            <w:tcW w:w="1309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694DDE46" w:rsidR="00536C35" w:rsidRPr="00EC33AF" w:rsidRDefault="00536C35" w:rsidP="00EC33AF">
            <w:pPr>
              <w:ind w:right="-79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939,2</w:t>
            </w:r>
          </w:p>
        </w:tc>
        <w:tc>
          <w:tcPr>
            <w:tcW w:w="234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1BD006DD" w:rsidR="00536C35" w:rsidRPr="00EC33AF" w:rsidRDefault="00536C35" w:rsidP="00EC33AF">
            <w:pPr>
              <w:ind w:right="-5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-500,1</w:t>
            </w:r>
          </w:p>
        </w:tc>
        <w:tc>
          <w:tcPr>
            <w:tcW w:w="234" w:type="dxa"/>
            <w:tcBorders>
              <w:top w:val="single" w:sz="4" w:space="0" w:color="366092"/>
            </w:tcBorders>
            <w:vAlign w:val="center"/>
          </w:tcPr>
          <w:p w14:paraId="2B86AE9B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EC33AF" w:rsidRPr="00EC33AF" w14:paraId="11E1000C" w14:textId="77777777" w:rsidTr="00EC33AF">
        <w:trPr>
          <w:trHeight w:val="469"/>
          <w:jc w:val="center"/>
        </w:trPr>
        <w:tc>
          <w:tcPr>
            <w:tcW w:w="4024" w:type="dxa"/>
            <w:tcBorders>
              <w:bottom w:val="single" w:sz="4" w:space="0" w:color="366092"/>
            </w:tcBorders>
            <w:vAlign w:val="center"/>
          </w:tcPr>
          <w:p w14:paraId="7E2D2301" w14:textId="77777777" w:rsidR="00536C35" w:rsidRPr="00EC33AF" w:rsidRDefault="00536C35" w:rsidP="00536C3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255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325FF2FE" w:rsidR="00536C35" w:rsidRPr="00EC33AF" w:rsidRDefault="00536C35" w:rsidP="00EC33AF">
            <w:pPr>
              <w:ind w:right="-108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4,1%</w:t>
            </w:r>
          </w:p>
        </w:tc>
        <w:tc>
          <w:tcPr>
            <w:tcW w:w="1309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3BE0340D" w:rsidR="00536C35" w:rsidRPr="00EC33AF" w:rsidRDefault="00536C35" w:rsidP="00EC33AF">
            <w:pPr>
              <w:ind w:right="-79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2,6%</w:t>
            </w:r>
          </w:p>
        </w:tc>
        <w:tc>
          <w:tcPr>
            <w:tcW w:w="234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4" w:type="dxa"/>
            <w:tcBorders>
              <w:bottom w:val="single" w:sz="4" w:space="0" w:color="366092"/>
            </w:tcBorders>
            <w:vAlign w:val="center"/>
          </w:tcPr>
          <w:p w14:paraId="3AA41D6B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7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536C35" w:rsidRPr="00EC33AF" w:rsidRDefault="00536C35" w:rsidP="00536C3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2FF3D053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3C1DD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536C35">
        <w:rPr>
          <w:rFonts w:ascii="Verdana" w:hAnsi="Verdana" w:cs="Arial"/>
          <w:sz w:val="18"/>
          <w:szCs w:val="18"/>
          <w:lang w:val="el-GR"/>
        </w:rPr>
        <w:t>Δεκε</w:t>
      </w:r>
      <w:r w:rsidR="00FB1149">
        <w:rPr>
          <w:rFonts w:ascii="Verdana" w:hAnsi="Verdana" w:cs="Arial"/>
          <w:sz w:val="18"/>
          <w:szCs w:val="18"/>
          <w:lang w:val="el-GR"/>
        </w:rPr>
        <w:t>μ</w:t>
      </w:r>
      <w:r w:rsidR="00EB5BFE" w:rsidRPr="00EB5BFE">
        <w:rPr>
          <w:rFonts w:ascii="Verdana" w:hAnsi="Verdana" w:cs="Arial"/>
          <w:sz w:val="18"/>
          <w:szCs w:val="18"/>
          <w:lang w:val="el-GR"/>
        </w:rPr>
        <w:t xml:space="preserve">βρίου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3A7B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και 2024,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EC33AF" w:rsidRPr="00EC33AF" w14:paraId="677529F6" w14:textId="77777777" w:rsidTr="00EB5BFE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EC33AF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EC33AF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EC33AF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EC33AF" w:rsidRPr="00EC33AF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EC33AF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5FF98B4B" w:rsidR="000D63A5" w:rsidRPr="00EC33AF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536C35"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="00FB1149"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ε</w:t>
            </w:r>
            <w:r w:rsidR="00536C35"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</w:t>
            </w: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2024</w:t>
            </w:r>
          </w:p>
          <w:p w14:paraId="09E6D485" w14:textId="71D409C0" w:rsidR="000D63A5" w:rsidRPr="00EC33AF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25647CF7" w:rsidR="000D63A5" w:rsidRPr="00EC33AF" w:rsidRDefault="000D63A5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536C35"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="00FB1149"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ε</w:t>
            </w:r>
            <w:r w:rsidR="00536C35"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</w:t>
            </w: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7747A603" w14:textId="77777777" w:rsidR="000D63A5" w:rsidRPr="00EC33AF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EC33AF" w:rsidRPr="00EC33AF" w14:paraId="45DEBB12" w14:textId="77777777" w:rsidTr="00536C35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536C35" w:rsidRPr="00EC33AF" w:rsidRDefault="00536C35" w:rsidP="00536C3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1A37AC0B" w:rsidR="00536C35" w:rsidRPr="00EC33AF" w:rsidRDefault="00536C35" w:rsidP="00536C3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27,9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4FE0F68D" w:rsidR="00536C35" w:rsidRPr="00EC33AF" w:rsidRDefault="00536C35" w:rsidP="00536C35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-282,5</w:t>
            </w:r>
          </w:p>
        </w:tc>
      </w:tr>
      <w:tr w:rsidR="00EC33AF" w:rsidRPr="00EC33AF" w14:paraId="6485AD15" w14:textId="77777777" w:rsidTr="00536C35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536C35" w:rsidRPr="00EC33AF" w:rsidRDefault="00536C35" w:rsidP="00536C3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1FE19694" w14:textId="15DB4202" w:rsidR="00536C35" w:rsidRPr="00EC33AF" w:rsidRDefault="00536C35" w:rsidP="00536C3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-9,3</w:t>
            </w:r>
          </w:p>
        </w:tc>
        <w:tc>
          <w:tcPr>
            <w:tcW w:w="1985" w:type="dxa"/>
            <w:vAlign w:val="center"/>
          </w:tcPr>
          <w:p w14:paraId="107E9E25" w14:textId="5A165EE7" w:rsidR="00536C35" w:rsidRPr="00EC33AF" w:rsidRDefault="00536C35" w:rsidP="00536C35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20,4</w:t>
            </w:r>
          </w:p>
        </w:tc>
      </w:tr>
      <w:tr w:rsidR="00EC33AF" w:rsidRPr="00EC33AF" w14:paraId="0ED03272" w14:textId="77777777" w:rsidTr="00536C35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536C35" w:rsidRPr="00EC33AF" w:rsidRDefault="00536C35" w:rsidP="00536C3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26AB0C2A" w:rsidR="00536C35" w:rsidRPr="00EC33AF" w:rsidRDefault="00536C35" w:rsidP="00536C3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1.420,7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6C1B5E33" w:rsidR="00536C35" w:rsidRPr="00EC33AF" w:rsidRDefault="00536C35" w:rsidP="00536C35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color w:val="366092"/>
                <w:sz w:val="18"/>
                <w:szCs w:val="18"/>
              </w:rPr>
              <w:t>1.201,3</w:t>
            </w:r>
          </w:p>
        </w:tc>
      </w:tr>
      <w:tr w:rsidR="00EC33AF" w:rsidRPr="00EC33AF" w14:paraId="7364846F" w14:textId="77777777" w:rsidTr="00536C35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FB1149" w:rsidRPr="00EC33AF" w:rsidRDefault="00FB1149" w:rsidP="00FB114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6B14252E" w:rsidR="00FB1149" w:rsidRPr="00EC33AF" w:rsidRDefault="00536C35" w:rsidP="00536C35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1.439,3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1E1E78B0" w:rsidR="00FB1149" w:rsidRPr="00EC33AF" w:rsidRDefault="00536C35" w:rsidP="00536C35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C33A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939,2</w:t>
            </w:r>
          </w:p>
        </w:tc>
      </w:tr>
    </w:tbl>
    <w:p w14:paraId="54939586" w14:textId="77777777" w:rsidR="00D94D91" w:rsidRDefault="00D94D91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20055024" w14:textId="13C05543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23D0AD9" w14:textId="77777777" w:rsidR="00EC33AF" w:rsidRDefault="00EC33AF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</w:p>
    <w:p w14:paraId="63AB3CC9" w14:textId="148BCCD0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2F935E3A" w14:textId="160C0CD1" w:rsidR="00304209" w:rsidRPr="00573F8E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EC33AF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EC33AF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2" w:name="_Hlk139008772"/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1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2"/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9862" w14:textId="77777777" w:rsidR="00AC5FC2" w:rsidRDefault="00AC5FC2" w:rsidP="00FB398F">
      <w:r>
        <w:separator/>
      </w:r>
    </w:p>
  </w:endnote>
  <w:endnote w:type="continuationSeparator" w:id="0">
    <w:p w14:paraId="0E4F33B6" w14:textId="77777777" w:rsidR="00AC5FC2" w:rsidRDefault="00AC5FC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B1C7E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AB1C7E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proofErr w:type="spellStart"/>
    <w:r w:rsidR="00AB1C7E" w:rsidRPr="00AB1C7E">
      <w:rPr>
        <w:rFonts w:ascii="Verdana" w:hAnsi="Verdana" w:cs="Arial"/>
        <w:sz w:val="16"/>
        <w:szCs w:val="16"/>
        <w:lang w:val="de-DE"/>
      </w:rPr>
      <w:t>Ηλ</w:t>
    </w:r>
    <w:proofErr w:type="spellEnd"/>
    <w:r w:rsidR="00AB1C7E" w:rsidRPr="00AB1C7E">
      <w:rPr>
        <w:rFonts w:ascii="Verdana" w:hAnsi="Verdana" w:cs="Arial"/>
        <w:sz w:val="16"/>
        <w:szCs w:val="16"/>
        <w:lang w:val="de-DE"/>
      </w:rPr>
      <w:t>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125F" w14:textId="77777777" w:rsidR="00AC5FC2" w:rsidRDefault="00AC5FC2" w:rsidP="00FB398F">
      <w:r>
        <w:separator/>
      </w:r>
    </w:p>
  </w:footnote>
  <w:footnote w:type="continuationSeparator" w:id="0">
    <w:p w14:paraId="499FFE84" w14:textId="77777777" w:rsidR="00AC5FC2" w:rsidRDefault="00AC5FC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3AA"/>
    <w:rsid w:val="0000542E"/>
    <w:rsid w:val="00006309"/>
    <w:rsid w:val="000069CD"/>
    <w:rsid w:val="00007A01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47BB7"/>
    <w:rsid w:val="00050391"/>
    <w:rsid w:val="00055291"/>
    <w:rsid w:val="00056007"/>
    <w:rsid w:val="000563D3"/>
    <w:rsid w:val="00057E44"/>
    <w:rsid w:val="000600C4"/>
    <w:rsid w:val="00061299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253B6"/>
    <w:rsid w:val="001262C3"/>
    <w:rsid w:val="00126788"/>
    <w:rsid w:val="00127320"/>
    <w:rsid w:val="00127456"/>
    <w:rsid w:val="001312D8"/>
    <w:rsid w:val="0013137B"/>
    <w:rsid w:val="0013499F"/>
    <w:rsid w:val="00137EE8"/>
    <w:rsid w:val="00142006"/>
    <w:rsid w:val="00143D23"/>
    <w:rsid w:val="0015118B"/>
    <w:rsid w:val="001519CE"/>
    <w:rsid w:val="00153C81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7B07"/>
    <w:rsid w:val="001B07BB"/>
    <w:rsid w:val="001B2433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D6A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1F3DD4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32D2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15F4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6822"/>
    <w:rsid w:val="003D6DB2"/>
    <w:rsid w:val="003D724C"/>
    <w:rsid w:val="003E0CE2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1B2E"/>
    <w:rsid w:val="00414C60"/>
    <w:rsid w:val="00414CA0"/>
    <w:rsid w:val="00417060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E0B0A"/>
    <w:rsid w:val="004E0C02"/>
    <w:rsid w:val="004E2393"/>
    <w:rsid w:val="004E3745"/>
    <w:rsid w:val="004E42BE"/>
    <w:rsid w:val="004E4F42"/>
    <w:rsid w:val="004E5358"/>
    <w:rsid w:val="004E6279"/>
    <w:rsid w:val="004E63D5"/>
    <w:rsid w:val="004F03FD"/>
    <w:rsid w:val="004F52F0"/>
    <w:rsid w:val="004F6250"/>
    <w:rsid w:val="004F677C"/>
    <w:rsid w:val="004F6D8F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C35"/>
    <w:rsid w:val="00536DE9"/>
    <w:rsid w:val="0053745A"/>
    <w:rsid w:val="00541E08"/>
    <w:rsid w:val="005477BE"/>
    <w:rsid w:val="00552137"/>
    <w:rsid w:val="00554FE0"/>
    <w:rsid w:val="0055789A"/>
    <w:rsid w:val="0056095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9008E"/>
    <w:rsid w:val="0069087E"/>
    <w:rsid w:val="00691A8B"/>
    <w:rsid w:val="006925C4"/>
    <w:rsid w:val="006934A4"/>
    <w:rsid w:val="00693BFA"/>
    <w:rsid w:val="006A02B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54EE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AF6"/>
    <w:rsid w:val="0087667D"/>
    <w:rsid w:val="00877452"/>
    <w:rsid w:val="00881268"/>
    <w:rsid w:val="00882A5A"/>
    <w:rsid w:val="00883611"/>
    <w:rsid w:val="0088394A"/>
    <w:rsid w:val="008852D9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1437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402B3"/>
    <w:rsid w:val="00A442EB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5FC2"/>
    <w:rsid w:val="00AC704B"/>
    <w:rsid w:val="00AD2457"/>
    <w:rsid w:val="00AD431A"/>
    <w:rsid w:val="00AD553E"/>
    <w:rsid w:val="00AD5848"/>
    <w:rsid w:val="00AE103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3A88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B16"/>
    <w:rsid w:val="00C94262"/>
    <w:rsid w:val="00C94B1C"/>
    <w:rsid w:val="00C976E1"/>
    <w:rsid w:val="00CA148E"/>
    <w:rsid w:val="00CA1528"/>
    <w:rsid w:val="00CA3A9A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7DB"/>
    <w:rsid w:val="00D36E05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91EB8"/>
    <w:rsid w:val="00D9262C"/>
    <w:rsid w:val="00D94D91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963"/>
    <w:rsid w:val="00DE7C7D"/>
    <w:rsid w:val="00DF2992"/>
    <w:rsid w:val="00DF2D0C"/>
    <w:rsid w:val="00DF632F"/>
    <w:rsid w:val="00DF7D1F"/>
    <w:rsid w:val="00E00058"/>
    <w:rsid w:val="00E000A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AF"/>
    <w:rsid w:val="00EC33CD"/>
    <w:rsid w:val="00EC5BE5"/>
    <w:rsid w:val="00ED2650"/>
    <w:rsid w:val="00ED721A"/>
    <w:rsid w:val="00EE118F"/>
    <w:rsid w:val="00EE393D"/>
    <w:rsid w:val="00EE40F8"/>
    <w:rsid w:val="00EE4190"/>
    <w:rsid w:val="00EE5BD1"/>
    <w:rsid w:val="00EF01CF"/>
    <w:rsid w:val="00EF1ED2"/>
    <w:rsid w:val="00EF6A47"/>
    <w:rsid w:val="00EF7AF9"/>
    <w:rsid w:val="00F00767"/>
    <w:rsid w:val="00F00952"/>
    <w:rsid w:val="00F01495"/>
    <w:rsid w:val="00F03A7B"/>
    <w:rsid w:val="00F10138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701E3"/>
    <w:rsid w:val="00F71008"/>
    <w:rsid w:val="00F7164D"/>
    <w:rsid w:val="00F71F8C"/>
    <w:rsid w:val="00F73660"/>
    <w:rsid w:val="00F75A35"/>
    <w:rsid w:val="00F77727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1149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ichael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42</cp:revision>
  <cp:lastPrinted>2026-03-02T09:12:00Z</cp:lastPrinted>
  <dcterms:created xsi:type="dcterms:W3CDTF">2025-07-31T09:11:00Z</dcterms:created>
  <dcterms:modified xsi:type="dcterms:W3CDTF">2026-03-03T09:04:00Z</dcterms:modified>
</cp:coreProperties>
</file>