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3236E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73A32F6A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565EEA78" w14:textId="78E33F9D" w:rsidR="00DD16F7" w:rsidRPr="00DD16F7" w:rsidRDefault="000F7CB3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8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="009923AE">
        <w:rPr>
          <w:rFonts w:ascii="Verdana" w:hAnsi="Verdana" w:cs="Arial"/>
          <w:sz w:val="18"/>
          <w:szCs w:val="18"/>
          <w:lang w:val="el-GR"/>
        </w:rPr>
        <w:t>Απριλ</w:t>
      </w:r>
      <w:r w:rsidR="00783535">
        <w:rPr>
          <w:rFonts w:ascii="Verdana" w:hAnsi="Verdana" w:cs="Arial"/>
          <w:sz w:val="18"/>
          <w:szCs w:val="18"/>
          <w:lang w:val="el-GR"/>
        </w:rPr>
        <w:t>ίου</w:t>
      </w:r>
      <w:r w:rsidR="00DD16F7" w:rsidRPr="00DD16F7">
        <w:rPr>
          <w:rFonts w:ascii="Verdana" w:hAnsi="Verdana" w:cs="Arial"/>
          <w:sz w:val="18"/>
          <w:szCs w:val="18"/>
          <w:lang w:val="el-GR"/>
        </w:rPr>
        <w:t>, 202</w:t>
      </w:r>
      <w:r w:rsidR="00783535">
        <w:rPr>
          <w:rFonts w:ascii="Verdana" w:hAnsi="Verdana" w:cs="Arial"/>
          <w:sz w:val="18"/>
          <w:szCs w:val="18"/>
          <w:lang w:val="el-GR"/>
        </w:rPr>
        <w:t>4</w:t>
      </w:r>
    </w:p>
    <w:p w14:paraId="1255EC44" w14:textId="77777777" w:rsidR="00DD16F7" w:rsidRDefault="00DD16F7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0555AB0C" w14:textId="77777777" w:rsidR="00981CAA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428FA3A1" w14:textId="77777777" w:rsidR="00981CAA" w:rsidRPr="00DD16F7" w:rsidRDefault="00981CAA" w:rsidP="00882A5A">
      <w:pPr>
        <w:jc w:val="right"/>
        <w:rPr>
          <w:rFonts w:ascii="Verdana" w:hAnsi="Verdana" w:cs="Arial"/>
          <w:sz w:val="18"/>
          <w:szCs w:val="18"/>
          <w:lang w:val="el-GR"/>
        </w:rPr>
      </w:pPr>
    </w:p>
    <w:p w14:paraId="1B854124" w14:textId="77777777" w:rsidR="00DD16F7" w:rsidRPr="00953538" w:rsidRDefault="00DD16F7" w:rsidP="00953538">
      <w:pPr>
        <w:jc w:val="center"/>
        <w:rPr>
          <w:rFonts w:ascii="Verdana" w:hAnsi="Verdana" w:cs="Arial"/>
          <w:b/>
          <w:bCs/>
          <w:sz w:val="24"/>
          <w:szCs w:val="24"/>
          <w:lang w:val="el-GR"/>
        </w:rPr>
      </w:pPr>
      <w:r w:rsidRPr="00953538">
        <w:rPr>
          <w:rFonts w:ascii="Verdana" w:hAnsi="Verdana" w:cs="Arial"/>
          <w:b/>
          <w:bCs/>
          <w:sz w:val="24"/>
          <w:szCs w:val="24"/>
          <w:lang w:val="el-GR"/>
        </w:rPr>
        <w:t>ΔΕΛΤΙΟ ΤΥΠΟΥ</w:t>
      </w:r>
    </w:p>
    <w:p w14:paraId="6220B9E6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8892C2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72ED06" w14:textId="602D95D7" w:rsidR="00DD16F7" w:rsidRPr="00C43DAE" w:rsidRDefault="00DD16F7" w:rsidP="00DD16F7">
      <w:pPr>
        <w:jc w:val="both"/>
        <w:rPr>
          <w:rFonts w:ascii="Verdana" w:hAnsi="Verdana" w:cs="Arial"/>
          <w:b/>
          <w:bCs/>
          <w:u w:val="single"/>
          <w:lang w:val="el-GR"/>
        </w:rPr>
      </w:pPr>
      <w:r w:rsidRPr="00C43DAE">
        <w:rPr>
          <w:rFonts w:ascii="Verdana" w:hAnsi="Verdana" w:cs="Arial"/>
          <w:u w:val="single"/>
          <w:lang w:val="el-GR"/>
        </w:rPr>
        <w:t>ΔΗΜΟΣΙΟΝΟΜΙΚΟΙ ΛΟΓΑΡΙΑΣΜΟΙ ΤΗΣ ΓΕΝΙΚΗΣ ΚΥΒΕΡΝΗΣΗΣ</w:t>
      </w:r>
      <w:r w:rsidR="00C43DAE" w:rsidRPr="00C43DAE">
        <w:rPr>
          <w:rFonts w:ascii="Verdana" w:hAnsi="Verdana" w:cs="Arial"/>
          <w:u w:val="single"/>
          <w:lang w:val="el-GR"/>
        </w:rPr>
        <w:t>:</w:t>
      </w:r>
      <w:r w:rsidR="00C43DAE">
        <w:rPr>
          <w:rFonts w:ascii="Verdana" w:hAnsi="Verdana" w:cs="Arial"/>
          <w:u w:val="single"/>
          <w:lang w:val="el-GR"/>
        </w:rPr>
        <w:t xml:space="preserve"> </w:t>
      </w:r>
      <w:r w:rsidRPr="00C43DAE">
        <w:rPr>
          <w:rFonts w:ascii="Verdana" w:hAnsi="Verdana" w:cs="Arial"/>
          <w:b/>
          <w:bCs/>
          <w:u w:val="single"/>
          <w:lang w:val="el-GR"/>
        </w:rPr>
        <w:t>ΙΑΝ</w:t>
      </w:r>
      <w:r w:rsidR="009923AE">
        <w:rPr>
          <w:rFonts w:ascii="Verdana" w:hAnsi="Verdana" w:cs="Arial"/>
          <w:b/>
          <w:bCs/>
          <w:u w:val="single"/>
          <w:lang w:val="el-GR"/>
        </w:rPr>
        <w:t>-ΦΕΒ</w:t>
      </w:r>
      <w:r w:rsidRPr="00C43DAE">
        <w:rPr>
          <w:rFonts w:ascii="Verdana" w:hAnsi="Verdana" w:cs="Arial"/>
          <w:b/>
          <w:bCs/>
          <w:u w:val="single"/>
          <w:lang w:val="el-GR"/>
        </w:rPr>
        <w:t xml:space="preserve"> 202</w:t>
      </w:r>
      <w:r w:rsidR="000F7CB3">
        <w:rPr>
          <w:rFonts w:ascii="Verdana" w:hAnsi="Verdana" w:cs="Arial"/>
          <w:b/>
          <w:bCs/>
          <w:u w:val="single"/>
          <w:lang w:val="el-GR"/>
        </w:rPr>
        <w:t>4</w:t>
      </w:r>
    </w:p>
    <w:p w14:paraId="59FBE322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45750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6A77A0B" w14:textId="0BCD03FA" w:rsidR="00C43DAE" w:rsidRPr="00C43DAE" w:rsidRDefault="00C43DAE" w:rsidP="00C43DAE">
      <w:pPr>
        <w:jc w:val="center"/>
        <w:rPr>
          <w:rFonts w:ascii="Verdana" w:hAnsi="Verdana" w:cs="Arial"/>
          <w:b/>
          <w:bCs/>
          <w:lang w:val="el-GR"/>
        </w:rPr>
      </w:pPr>
      <w:r w:rsidRPr="00C43DAE">
        <w:rPr>
          <w:rFonts w:ascii="Verdana" w:hAnsi="Verdana" w:cs="Arial"/>
          <w:b/>
          <w:bCs/>
          <w:lang w:val="el-GR"/>
        </w:rPr>
        <w:t>Πλεόνασμα €</w:t>
      </w:r>
      <w:r w:rsidR="009923AE">
        <w:rPr>
          <w:rFonts w:ascii="Verdana" w:hAnsi="Verdana" w:cs="Arial"/>
          <w:b/>
          <w:bCs/>
          <w:lang w:val="el-GR"/>
        </w:rPr>
        <w:t>534</w:t>
      </w:r>
      <w:r w:rsidR="000F7CB3" w:rsidRPr="000F7CB3">
        <w:rPr>
          <w:rFonts w:ascii="Verdana" w:hAnsi="Verdana" w:cs="Arial"/>
          <w:b/>
          <w:bCs/>
          <w:lang w:val="el-GR"/>
        </w:rPr>
        <w:t>,</w:t>
      </w:r>
      <w:r w:rsidR="009923AE">
        <w:rPr>
          <w:rFonts w:ascii="Verdana" w:hAnsi="Verdana" w:cs="Arial"/>
          <w:b/>
          <w:bCs/>
          <w:lang w:val="el-GR"/>
        </w:rPr>
        <w:t>8</w:t>
      </w:r>
      <w:r w:rsidRPr="00C43DAE">
        <w:rPr>
          <w:rFonts w:ascii="Verdana" w:hAnsi="Verdana" w:cs="Arial"/>
          <w:b/>
          <w:bCs/>
          <w:lang w:val="el-GR"/>
        </w:rPr>
        <w:t xml:space="preserve"> εκ.</w:t>
      </w:r>
    </w:p>
    <w:p w14:paraId="3201AC13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5331199" w14:textId="6973AAF7" w:rsidR="007437AB" w:rsidRPr="005747B4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Τα προκαταρκτικά δημοσιονομικά αποτελέσματα που ετοιμάστηκαν από τη Στατιστική Υπηρεσία για </w:t>
      </w:r>
      <w:r w:rsidR="009923AE" w:rsidRPr="009923AE">
        <w:rPr>
          <w:rFonts w:ascii="Verdana" w:hAnsi="Verdana" w:cs="Arial"/>
          <w:sz w:val="18"/>
          <w:szCs w:val="18"/>
          <w:lang w:val="el-GR"/>
        </w:rPr>
        <w:t>την περίοδο Ιανουαρίου-</w:t>
      </w:r>
      <w:r w:rsidR="009923AE">
        <w:rPr>
          <w:rFonts w:ascii="Verdana" w:hAnsi="Verdana" w:cs="Arial"/>
          <w:sz w:val="18"/>
          <w:szCs w:val="18"/>
          <w:lang w:val="el-GR"/>
        </w:rPr>
        <w:t>Φεβρουαρί</w:t>
      </w:r>
      <w:r w:rsidR="009923AE" w:rsidRPr="009923AE">
        <w:rPr>
          <w:rFonts w:ascii="Verdana" w:hAnsi="Verdana" w:cs="Arial"/>
          <w:sz w:val="18"/>
          <w:szCs w:val="18"/>
          <w:lang w:val="el-GR"/>
        </w:rPr>
        <w:t>ου</w:t>
      </w:r>
      <w:r w:rsidR="00BA352F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DD16F7">
        <w:rPr>
          <w:rFonts w:ascii="Verdana" w:hAnsi="Verdana" w:cs="Arial"/>
          <w:sz w:val="18"/>
          <w:szCs w:val="18"/>
          <w:lang w:val="el-GR"/>
        </w:rPr>
        <w:t>202</w:t>
      </w:r>
      <w:r w:rsidR="000F7CB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καταδεικνύουν πλεόνασμα της Γενικής Κυβέρνησης της τάξης των </w:t>
      </w:r>
      <w:r w:rsidRPr="00BA352F">
        <w:rPr>
          <w:rFonts w:ascii="Verdana" w:hAnsi="Verdana" w:cs="Arial"/>
          <w:sz w:val="18"/>
          <w:szCs w:val="18"/>
          <w:lang w:val="el-GR"/>
        </w:rPr>
        <w:t>€</w:t>
      </w:r>
      <w:r w:rsidR="009923AE">
        <w:rPr>
          <w:rFonts w:ascii="Verdana" w:hAnsi="Verdana" w:cs="Arial"/>
          <w:sz w:val="18"/>
          <w:szCs w:val="18"/>
          <w:lang w:val="el-GR"/>
        </w:rPr>
        <w:t>534</w:t>
      </w:r>
      <w:r w:rsidR="000F7CB3" w:rsidRPr="000F7CB3">
        <w:rPr>
          <w:rFonts w:ascii="Verdana" w:hAnsi="Verdana" w:cs="Arial"/>
          <w:sz w:val="18"/>
          <w:szCs w:val="18"/>
          <w:lang w:val="el-GR"/>
        </w:rPr>
        <w:t>,</w:t>
      </w:r>
      <w:r w:rsidR="009923AE">
        <w:rPr>
          <w:rFonts w:ascii="Verdana" w:hAnsi="Verdana" w:cs="Arial"/>
          <w:sz w:val="18"/>
          <w:szCs w:val="18"/>
          <w:lang w:val="el-GR"/>
        </w:rPr>
        <w:t>8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0F7CB3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9923AE">
        <w:rPr>
          <w:rFonts w:ascii="Verdana" w:hAnsi="Verdana" w:cs="Arial"/>
          <w:sz w:val="18"/>
          <w:szCs w:val="18"/>
          <w:lang w:val="el-GR"/>
        </w:rPr>
        <w:t>7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ΑΕΠ) σε σύγκριση με </w:t>
      </w:r>
      <w:r w:rsidR="003C0B1E">
        <w:rPr>
          <w:rFonts w:ascii="Verdana" w:hAnsi="Verdana" w:cs="Arial"/>
          <w:sz w:val="18"/>
          <w:szCs w:val="18"/>
          <w:lang w:val="el-GR"/>
        </w:rPr>
        <w:t>πλεόνασμα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 xml:space="preserve"> €</w:t>
      </w:r>
      <w:r w:rsidR="000F7CB3" w:rsidRPr="000F7CB3">
        <w:rPr>
          <w:rFonts w:ascii="Verdana" w:hAnsi="Verdana" w:cs="Arial"/>
          <w:sz w:val="18"/>
          <w:szCs w:val="18"/>
          <w:lang w:val="el-GR"/>
        </w:rPr>
        <w:t>3</w:t>
      </w:r>
      <w:r w:rsidR="009923AE">
        <w:rPr>
          <w:rFonts w:ascii="Verdana" w:hAnsi="Verdana" w:cs="Arial"/>
          <w:sz w:val="18"/>
          <w:szCs w:val="18"/>
          <w:lang w:val="el-GR"/>
        </w:rPr>
        <w:t>98</w:t>
      </w:r>
      <w:r w:rsidR="000F7CB3" w:rsidRPr="000F7CB3">
        <w:rPr>
          <w:rFonts w:ascii="Verdana" w:hAnsi="Verdana" w:cs="Arial"/>
          <w:sz w:val="18"/>
          <w:szCs w:val="18"/>
          <w:lang w:val="el-GR"/>
        </w:rPr>
        <w:t>,</w:t>
      </w:r>
      <w:r w:rsidR="009923AE">
        <w:rPr>
          <w:rFonts w:ascii="Verdana" w:hAnsi="Verdana" w:cs="Arial"/>
          <w:sz w:val="18"/>
          <w:szCs w:val="18"/>
          <w:lang w:val="el-GR"/>
        </w:rPr>
        <w:t>0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0F7CB3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9923AE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% στο ΑΕΠ) για </w:t>
      </w:r>
      <w:r w:rsidR="009923AE" w:rsidRPr="009923AE">
        <w:rPr>
          <w:rFonts w:ascii="Verdana" w:hAnsi="Verdana" w:cs="Arial"/>
          <w:sz w:val="18"/>
          <w:szCs w:val="18"/>
          <w:lang w:val="el-GR"/>
        </w:rPr>
        <w:t>την περίοδο Ιανουαρίου-Φεβρουαρίου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FE38D4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</w:p>
    <w:p w14:paraId="1336D302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954AA01" w14:textId="7A451E00" w:rsidR="00882A5A" w:rsidRDefault="00D82619" w:rsidP="00301FCB">
      <w:pPr>
        <w:jc w:val="center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1D259E90" wp14:editId="6CC719F5">
            <wp:extent cx="6059805" cy="4535805"/>
            <wp:effectExtent l="0" t="0" r="0" b="0"/>
            <wp:docPr id="51323700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453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499E96" w14:textId="6DA2D836" w:rsidR="00DD16F7" w:rsidRDefault="00DD16F7" w:rsidP="00882A5A">
      <w:pPr>
        <w:jc w:val="center"/>
        <w:rPr>
          <w:rFonts w:ascii="Verdana" w:hAnsi="Verdana" w:cs="Arial"/>
          <w:sz w:val="18"/>
          <w:szCs w:val="18"/>
          <w:lang w:val="el-GR"/>
        </w:rPr>
      </w:pPr>
    </w:p>
    <w:p w14:paraId="6B44A746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D2184C" w14:textId="77777777" w:rsidR="00DD16F7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DFAFCC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C0C1C6" w14:textId="13D01893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0DD6B475" w14:textId="77777777" w:rsidR="00DD16F7" w:rsidRPr="00C43DAE" w:rsidRDefault="00C43DAE" w:rsidP="00DD16F7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lastRenderedPageBreak/>
        <w:t>Έσοδα</w:t>
      </w:r>
    </w:p>
    <w:p w14:paraId="00D592B9" w14:textId="77777777" w:rsidR="00C43DAE" w:rsidRPr="00DD16F7" w:rsidRDefault="00C43DAE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C6A68C0" w14:textId="1174059A" w:rsidR="00DD16F7" w:rsidRPr="00BA352F" w:rsidRDefault="00DD16F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Τα συνολικά έσοδα, κατά 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 xml:space="preserve">την περίοδο Ιανουαρίου-Φεβρουαρίου </w:t>
      </w:r>
      <w:r w:rsidRPr="00DD16F7">
        <w:rPr>
          <w:rFonts w:ascii="Verdana" w:hAnsi="Verdana" w:cs="Arial"/>
          <w:sz w:val="18"/>
          <w:szCs w:val="18"/>
          <w:lang w:val="el-GR"/>
        </w:rPr>
        <w:t>202</w:t>
      </w:r>
      <w:r w:rsidR="000F7CB3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bookmarkStart w:id="0" w:name="_Hlk159839825"/>
      <w:r w:rsidR="00E343FE" w:rsidRPr="00E343FE">
        <w:rPr>
          <w:rFonts w:ascii="Verdana" w:hAnsi="Verdana" w:cs="Arial"/>
          <w:sz w:val="18"/>
          <w:szCs w:val="18"/>
          <w:lang w:val="el-GR"/>
        </w:rPr>
        <w:t>€</w:t>
      </w:r>
      <w:bookmarkEnd w:id="0"/>
      <w:r w:rsidR="00E23A0B" w:rsidRPr="00E23A0B">
        <w:rPr>
          <w:rFonts w:ascii="Verdana" w:hAnsi="Verdana" w:cs="Arial"/>
          <w:sz w:val="18"/>
          <w:szCs w:val="18"/>
          <w:lang w:val="el-GR"/>
        </w:rPr>
        <w:t>333</w:t>
      </w:r>
      <w:r w:rsidR="000F7CB3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9</w:t>
      </w:r>
      <w:r w:rsidR="00E343FE" w:rsidRPr="00E343FE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A352F">
        <w:rPr>
          <w:rFonts w:ascii="Verdana" w:hAnsi="Verdana" w:cs="Arial"/>
          <w:sz w:val="18"/>
          <w:szCs w:val="18"/>
          <w:lang w:val="el-GR"/>
        </w:rPr>
        <w:t>εκ. (+</w:t>
      </w:r>
      <w:r w:rsidR="00BA352F" w:rsidRPr="00BA352F">
        <w:rPr>
          <w:rFonts w:ascii="Verdana" w:hAnsi="Verdana" w:cs="Arial"/>
          <w:sz w:val="18"/>
          <w:szCs w:val="18"/>
          <w:lang w:val="el-GR"/>
        </w:rPr>
        <w:t>1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6</w:t>
      </w:r>
      <w:r w:rsidRPr="00BA352F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7</w:t>
      </w:r>
      <w:r w:rsidRPr="00BA352F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2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0F7CB3">
        <w:rPr>
          <w:rFonts w:ascii="Verdana" w:hAnsi="Verdana" w:cs="Arial"/>
          <w:sz w:val="18"/>
          <w:szCs w:val="18"/>
          <w:lang w:val="el-GR"/>
        </w:rPr>
        <w:t>3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28</w:t>
      </w:r>
      <w:r w:rsidR="000F7CB3">
        <w:rPr>
          <w:rFonts w:ascii="Verdana" w:hAnsi="Verdana" w:cs="Arial"/>
          <w:sz w:val="18"/>
          <w:szCs w:val="18"/>
          <w:lang w:val="el-GR"/>
        </w:rPr>
        <w:t>,0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5477BE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994</w:t>
      </w:r>
      <w:r w:rsidR="000F7CB3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1</w:t>
      </w:r>
      <w:r w:rsidRPr="00BA352F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 xml:space="preserve">την αντίστοιχη περίοδο </w:t>
      </w:r>
      <w:r w:rsidRPr="00BA352F">
        <w:rPr>
          <w:rFonts w:ascii="Verdana" w:hAnsi="Verdana" w:cs="Arial"/>
          <w:sz w:val="18"/>
          <w:szCs w:val="18"/>
          <w:lang w:val="el-GR"/>
        </w:rPr>
        <w:t>του 202</w:t>
      </w:r>
      <w:r w:rsidR="000F7CB3">
        <w:rPr>
          <w:rFonts w:ascii="Verdana" w:hAnsi="Verdana" w:cs="Arial"/>
          <w:sz w:val="18"/>
          <w:szCs w:val="18"/>
          <w:lang w:val="el-GR"/>
        </w:rPr>
        <w:t>3</w:t>
      </w:r>
      <w:r w:rsidRPr="00BA352F">
        <w:rPr>
          <w:rFonts w:ascii="Verdana" w:hAnsi="Verdana" w:cs="Arial"/>
          <w:sz w:val="18"/>
          <w:szCs w:val="18"/>
          <w:lang w:val="el-GR"/>
        </w:rPr>
        <w:t>.</w:t>
      </w:r>
    </w:p>
    <w:p w14:paraId="3941414D" w14:textId="77777777" w:rsidR="00DD16F7" w:rsidRPr="004D538A" w:rsidRDefault="00DD16F7" w:rsidP="00DD16F7">
      <w:pPr>
        <w:jc w:val="both"/>
        <w:rPr>
          <w:rFonts w:ascii="Verdana" w:hAnsi="Verdana" w:cs="Arial"/>
          <w:sz w:val="18"/>
          <w:szCs w:val="18"/>
          <w:highlight w:val="yellow"/>
          <w:lang w:val="el-GR"/>
        </w:rPr>
      </w:pPr>
    </w:p>
    <w:p w14:paraId="0CBD1017" w14:textId="069CDD83" w:rsidR="00D91EB8" w:rsidRDefault="00DD16F7" w:rsidP="00FE61AF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E0E52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οι συνολικοί φόροι επί της παραγωγής και των εισαγωγών </w:t>
      </w:r>
      <w:r w:rsidR="00E23A0B" w:rsidRPr="00BA352F">
        <w:rPr>
          <w:rFonts w:ascii="Verdana" w:hAnsi="Verdana" w:cs="Arial"/>
          <w:sz w:val="18"/>
          <w:szCs w:val="18"/>
          <w:lang w:val="el-GR"/>
        </w:rPr>
        <w:t>αυξήθηκαν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54</w:t>
      </w:r>
      <w:r w:rsidR="00E23A0B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1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E23A0B">
        <w:rPr>
          <w:rFonts w:ascii="Verdana" w:hAnsi="Verdana" w:cs="Arial"/>
          <w:sz w:val="18"/>
          <w:szCs w:val="18"/>
          <w:lang w:val="el-GR"/>
        </w:rPr>
        <w:t>+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8</w:t>
      </w:r>
      <w:r w:rsidR="00E23A0B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0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E23A0B" w:rsidRPr="00BA352F">
        <w:rPr>
          <w:rFonts w:ascii="Verdana" w:hAnsi="Verdana" w:cs="Arial"/>
          <w:sz w:val="18"/>
          <w:szCs w:val="18"/>
          <w:lang w:val="el-GR"/>
        </w:rPr>
        <w:t>ανήλθαν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727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2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673</w:t>
      </w:r>
      <w:r w:rsidR="00E23A0B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1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E23A0B">
        <w:rPr>
          <w:rFonts w:ascii="Verdana" w:hAnsi="Verdana" w:cs="Arial"/>
          <w:sz w:val="18"/>
          <w:szCs w:val="18"/>
          <w:lang w:val="el-GR"/>
        </w:rPr>
        <w:t>3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, εκ των οποίων τα καθαρά έσοδα του ΦΠΑ (μετά την αφαίρεση των επιστροφών) </w:t>
      </w:r>
      <w:r w:rsidR="00E23A0B" w:rsidRPr="00BA352F">
        <w:rPr>
          <w:rFonts w:ascii="Verdana" w:hAnsi="Verdana" w:cs="Arial"/>
          <w:sz w:val="18"/>
          <w:szCs w:val="18"/>
          <w:lang w:val="el-GR"/>
        </w:rPr>
        <w:t>αυξήθηκαν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51</w:t>
      </w:r>
      <w:r w:rsidR="00E23A0B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7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E23A0B">
        <w:rPr>
          <w:rFonts w:ascii="Verdana" w:hAnsi="Verdana" w:cs="Arial"/>
          <w:sz w:val="18"/>
          <w:szCs w:val="18"/>
          <w:lang w:val="el-GR"/>
        </w:rPr>
        <w:t>+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11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0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E23A0B" w:rsidRPr="00BA352F">
        <w:rPr>
          <w:rFonts w:ascii="Verdana" w:hAnsi="Verdana" w:cs="Arial"/>
          <w:sz w:val="18"/>
          <w:szCs w:val="18"/>
          <w:lang w:val="el-GR"/>
        </w:rPr>
        <w:t>ανήλθαν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523</w:t>
      </w:r>
      <w:r w:rsidR="00E23A0B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2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471</w:t>
      </w:r>
      <w:r w:rsidR="00E23A0B">
        <w:rPr>
          <w:rFonts w:ascii="Verdana" w:hAnsi="Verdana" w:cs="Arial"/>
          <w:sz w:val="18"/>
          <w:szCs w:val="18"/>
          <w:lang w:val="el-GR"/>
        </w:rPr>
        <w:t>,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>5</w:t>
      </w:r>
      <w:r w:rsidR="00E23A0B" w:rsidRPr="002E0E52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E23A0B">
        <w:rPr>
          <w:rFonts w:ascii="Verdana" w:hAnsi="Verdana" w:cs="Arial"/>
          <w:sz w:val="18"/>
          <w:szCs w:val="18"/>
          <w:lang w:val="el-GR"/>
        </w:rPr>
        <w:t>3</w:t>
      </w:r>
      <w:r w:rsidR="00E23A0B" w:rsidRPr="00E23A0B">
        <w:rPr>
          <w:rFonts w:ascii="Verdana" w:hAnsi="Verdana" w:cs="Arial"/>
          <w:sz w:val="18"/>
          <w:szCs w:val="18"/>
          <w:lang w:val="el-GR"/>
        </w:rPr>
        <w:t xml:space="preserve">. </w:t>
      </w:r>
      <w:r w:rsidR="00E23A0B">
        <w:rPr>
          <w:rFonts w:ascii="Verdana" w:hAnsi="Verdana" w:cs="Arial"/>
          <w:sz w:val="18"/>
          <w:szCs w:val="18"/>
          <w:lang w:val="el-GR"/>
        </w:rPr>
        <w:t>Τ</w:t>
      </w:r>
      <w:r w:rsidRPr="002E0E52">
        <w:rPr>
          <w:rFonts w:ascii="Verdana" w:hAnsi="Verdana" w:cs="Arial"/>
          <w:sz w:val="18"/>
          <w:szCs w:val="18"/>
          <w:lang w:val="el-GR"/>
        </w:rPr>
        <w:t>α έσοδα από τη φορολογία στο εισόδημα και τον πλούτο αυξήθηκαν κατά €</w:t>
      </w:r>
      <w:r w:rsidR="00E23A0B">
        <w:rPr>
          <w:rFonts w:ascii="Verdana" w:hAnsi="Verdana" w:cs="Arial"/>
          <w:sz w:val="18"/>
          <w:szCs w:val="18"/>
          <w:lang w:val="el-GR"/>
        </w:rPr>
        <w:t>120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E23A0B">
        <w:rPr>
          <w:rFonts w:ascii="Verdana" w:hAnsi="Verdana" w:cs="Arial"/>
          <w:sz w:val="18"/>
          <w:szCs w:val="18"/>
          <w:lang w:val="el-GR"/>
        </w:rPr>
        <w:t>8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BB6FE8">
        <w:rPr>
          <w:rFonts w:ascii="Verdana" w:hAnsi="Verdana" w:cs="Arial"/>
          <w:sz w:val="18"/>
          <w:szCs w:val="18"/>
          <w:lang w:val="el-GR"/>
        </w:rPr>
        <w:t>2</w:t>
      </w:r>
      <w:r w:rsidR="00E23A0B">
        <w:rPr>
          <w:rFonts w:ascii="Verdana" w:hAnsi="Verdana" w:cs="Arial"/>
          <w:sz w:val="18"/>
          <w:szCs w:val="18"/>
          <w:lang w:val="el-GR"/>
        </w:rPr>
        <w:t>0</w:t>
      </w:r>
      <w:r w:rsidRPr="002E0E52">
        <w:rPr>
          <w:rFonts w:ascii="Verdana" w:hAnsi="Verdana" w:cs="Arial"/>
          <w:sz w:val="18"/>
          <w:szCs w:val="18"/>
          <w:lang w:val="el-GR"/>
        </w:rPr>
        <w:t>,</w:t>
      </w:r>
      <w:r w:rsidR="00E23A0B">
        <w:rPr>
          <w:rFonts w:ascii="Verdana" w:hAnsi="Verdana" w:cs="Arial"/>
          <w:sz w:val="18"/>
          <w:szCs w:val="18"/>
          <w:lang w:val="el-GR"/>
        </w:rPr>
        <w:t>1</w:t>
      </w:r>
      <w:r w:rsidRPr="002E0E52">
        <w:rPr>
          <w:rFonts w:ascii="Verdana" w:hAnsi="Verdana" w:cs="Arial"/>
          <w:sz w:val="18"/>
          <w:szCs w:val="18"/>
          <w:lang w:val="el-GR"/>
        </w:rPr>
        <w:t xml:space="preserve">%)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και ανήλθαν στα </w:t>
      </w:r>
      <w:bookmarkStart w:id="1" w:name="_Hlk141267608"/>
      <w:r w:rsidR="002E0E52" w:rsidRPr="00243109">
        <w:rPr>
          <w:rFonts w:ascii="Verdana" w:hAnsi="Verdana" w:cs="Arial"/>
          <w:sz w:val="18"/>
          <w:szCs w:val="18"/>
          <w:lang w:val="el-GR"/>
        </w:rPr>
        <w:t>€</w:t>
      </w:r>
      <w:bookmarkEnd w:id="1"/>
      <w:r w:rsidR="00E23A0B">
        <w:rPr>
          <w:rFonts w:ascii="Verdana" w:hAnsi="Verdana" w:cs="Arial"/>
          <w:sz w:val="18"/>
          <w:szCs w:val="18"/>
          <w:lang w:val="el-GR"/>
        </w:rPr>
        <w:t>721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E23A0B">
        <w:rPr>
          <w:rFonts w:ascii="Verdana" w:hAnsi="Verdana" w:cs="Arial"/>
          <w:sz w:val="18"/>
          <w:szCs w:val="18"/>
          <w:lang w:val="el-GR"/>
        </w:rPr>
        <w:t>7</w:t>
      </w:r>
      <w:r w:rsidR="002E0E52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σε σύγκριση με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="00F53671" w:rsidRPr="00F53671">
        <w:rPr>
          <w:rFonts w:ascii="Verdana" w:hAnsi="Verdana" w:cs="Arial"/>
          <w:sz w:val="18"/>
          <w:szCs w:val="18"/>
          <w:lang w:val="el-GR"/>
        </w:rPr>
        <w:t>€</w:t>
      </w:r>
      <w:r w:rsidR="00E23A0B">
        <w:rPr>
          <w:rFonts w:ascii="Verdana" w:hAnsi="Verdana" w:cs="Arial"/>
          <w:sz w:val="18"/>
          <w:szCs w:val="18"/>
          <w:lang w:val="el-GR"/>
        </w:rPr>
        <w:t>600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E23A0B">
        <w:rPr>
          <w:rFonts w:ascii="Verdana" w:hAnsi="Verdana" w:cs="Arial"/>
          <w:sz w:val="18"/>
          <w:szCs w:val="18"/>
          <w:lang w:val="el-GR"/>
        </w:rPr>
        <w:t>9</w:t>
      </w:r>
      <w:r w:rsidR="00F53671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Pr="00243109">
        <w:rPr>
          <w:rFonts w:ascii="Verdana" w:hAnsi="Verdana" w:cs="Arial"/>
          <w:sz w:val="18"/>
          <w:szCs w:val="18"/>
          <w:lang w:val="el-GR"/>
        </w:rPr>
        <w:t>. Οι κοινωνικές εισφορές αυξήθηκαν κατά €</w:t>
      </w:r>
      <w:r w:rsidR="00FE61AF">
        <w:rPr>
          <w:rFonts w:ascii="Verdana" w:hAnsi="Verdana" w:cs="Arial"/>
          <w:sz w:val="18"/>
          <w:szCs w:val="18"/>
          <w:lang w:val="el-GR"/>
        </w:rPr>
        <w:t>98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6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FE61AF">
        <w:rPr>
          <w:rFonts w:ascii="Verdana" w:hAnsi="Verdana" w:cs="Arial"/>
          <w:sz w:val="18"/>
          <w:szCs w:val="18"/>
          <w:lang w:val="el-GR"/>
        </w:rPr>
        <w:t>7</w:t>
      </w:r>
      <w:r w:rsidRPr="00243109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1</w:t>
      </w:r>
      <w:r w:rsidRPr="0024310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FE61AF">
        <w:rPr>
          <w:rFonts w:ascii="Verdana" w:hAnsi="Verdana" w:cs="Arial"/>
          <w:sz w:val="18"/>
          <w:szCs w:val="18"/>
          <w:lang w:val="el-GR"/>
        </w:rPr>
        <w:t>673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9</w:t>
      </w:r>
      <w:r w:rsidR="004C64E3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εκ. σε σύγκριση με 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>€</w:t>
      </w:r>
      <w:r w:rsidR="00FE61AF">
        <w:rPr>
          <w:rFonts w:ascii="Verdana" w:hAnsi="Verdana" w:cs="Arial"/>
          <w:sz w:val="18"/>
          <w:szCs w:val="18"/>
          <w:lang w:val="el-GR"/>
        </w:rPr>
        <w:t>575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3</w:t>
      </w:r>
      <w:r w:rsidR="00243109" w:rsidRPr="00243109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243109">
        <w:rPr>
          <w:rFonts w:ascii="Verdana" w:hAnsi="Verdana" w:cs="Arial"/>
          <w:sz w:val="18"/>
          <w:szCs w:val="18"/>
          <w:lang w:val="el-GR"/>
        </w:rPr>
        <w:t>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Pr="00243109">
        <w:rPr>
          <w:rFonts w:ascii="Verdana" w:hAnsi="Verdana" w:cs="Arial"/>
          <w:sz w:val="18"/>
          <w:szCs w:val="18"/>
          <w:lang w:val="el-GR"/>
        </w:rPr>
        <w:t xml:space="preserve">. </w:t>
      </w:r>
      <w:r w:rsidR="00FE61AF">
        <w:rPr>
          <w:rFonts w:ascii="Verdana" w:hAnsi="Verdana" w:cs="Arial"/>
          <w:sz w:val="18"/>
          <w:szCs w:val="18"/>
          <w:lang w:val="el-GR"/>
        </w:rPr>
        <w:t>Ο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ι εισπραχθέντες τόκοι και μερίσματα </w:t>
      </w:r>
      <w:r w:rsidR="00FE61AF" w:rsidRPr="005477BE">
        <w:rPr>
          <w:rFonts w:ascii="Verdana" w:hAnsi="Verdana" w:cs="Arial"/>
          <w:sz w:val="18"/>
          <w:szCs w:val="18"/>
          <w:lang w:val="el-GR"/>
        </w:rPr>
        <w:t>αυξήθηκαν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FE61AF">
        <w:rPr>
          <w:rFonts w:ascii="Verdana" w:hAnsi="Verdana" w:cs="Arial"/>
          <w:sz w:val="18"/>
          <w:szCs w:val="18"/>
          <w:lang w:val="el-GR"/>
        </w:rPr>
        <w:t>1,2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FE61AF">
        <w:rPr>
          <w:rFonts w:ascii="Verdana" w:hAnsi="Verdana" w:cs="Arial"/>
          <w:sz w:val="18"/>
          <w:szCs w:val="18"/>
          <w:lang w:val="el-GR"/>
        </w:rPr>
        <w:t>+7,7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FE61AF" w:rsidRPr="00786D00">
        <w:rPr>
          <w:rFonts w:ascii="Verdana" w:hAnsi="Verdana" w:cs="Arial"/>
          <w:sz w:val="18"/>
          <w:szCs w:val="18"/>
          <w:lang w:val="el-GR"/>
        </w:rPr>
        <w:t>ανήλθαν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FE61AF">
        <w:rPr>
          <w:rFonts w:ascii="Verdana" w:hAnsi="Verdana" w:cs="Arial"/>
          <w:sz w:val="18"/>
          <w:szCs w:val="18"/>
          <w:lang w:val="el-GR"/>
        </w:rPr>
        <w:t>16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8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E61AF">
        <w:rPr>
          <w:rFonts w:ascii="Verdana" w:hAnsi="Verdana" w:cs="Arial"/>
          <w:sz w:val="18"/>
          <w:szCs w:val="18"/>
          <w:lang w:val="el-GR"/>
        </w:rPr>
        <w:t>15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6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FE61AF">
        <w:rPr>
          <w:rFonts w:ascii="Verdana" w:hAnsi="Verdana" w:cs="Arial"/>
          <w:sz w:val="18"/>
          <w:szCs w:val="18"/>
          <w:lang w:val="el-GR"/>
        </w:rPr>
        <w:t>3</w:t>
      </w:r>
      <w:r w:rsidR="00FE61AF" w:rsidRPr="007E4426">
        <w:rPr>
          <w:rFonts w:ascii="Verdana" w:hAnsi="Verdana" w:cs="Arial"/>
          <w:sz w:val="18"/>
          <w:szCs w:val="18"/>
          <w:lang w:val="el-GR"/>
        </w:rPr>
        <w:t>.</w:t>
      </w:r>
      <w:r w:rsidR="00FE61AF">
        <w:rPr>
          <w:rFonts w:ascii="Verdana" w:hAnsi="Verdana" w:cs="Arial"/>
          <w:sz w:val="18"/>
          <w:szCs w:val="18"/>
          <w:lang w:val="el-GR"/>
        </w:rPr>
        <w:t xml:space="preserve"> 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Οι τρέχουσες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μεταβιβάσεις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αυξήθηκαν κατά €</w:t>
      </w:r>
      <w:r w:rsidR="00FE61AF">
        <w:rPr>
          <w:rFonts w:ascii="Verdana" w:hAnsi="Verdana" w:cs="Arial"/>
          <w:sz w:val="18"/>
          <w:szCs w:val="18"/>
          <w:lang w:val="el-GR"/>
        </w:rPr>
        <w:t>4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0</w:t>
      </w:r>
      <w:r w:rsidR="004E0B0A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FE61AF">
        <w:rPr>
          <w:rFonts w:ascii="Verdana" w:hAnsi="Verdana" w:cs="Arial"/>
          <w:sz w:val="18"/>
          <w:szCs w:val="18"/>
          <w:lang w:val="el-GR"/>
        </w:rPr>
        <w:t>14</w:t>
      </w:r>
      <w:r w:rsidR="004E0B0A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3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FE61AF">
        <w:rPr>
          <w:rFonts w:ascii="Verdana" w:hAnsi="Verdana" w:cs="Arial"/>
          <w:sz w:val="18"/>
          <w:szCs w:val="18"/>
          <w:lang w:val="el-GR"/>
        </w:rPr>
        <w:t>31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9</w:t>
      </w:r>
      <w:r w:rsidR="00E672E9" w:rsidRPr="00E672E9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E61AF">
        <w:rPr>
          <w:rFonts w:ascii="Verdana" w:hAnsi="Verdana" w:cs="Arial"/>
          <w:sz w:val="18"/>
          <w:szCs w:val="18"/>
          <w:lang w:val="el-GR"/>
        </w:rPr>
        <w:t>27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9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4C64E3" w:rsidRPr="00E672E9">
        <w:rPr>
          <w:rFonts w:ascii="Verdana" w:hAnsi="Verdana" w:cs="Arial"/>
          <w:sz w:val="18"/>
          <w:szCs w:val="18"/>
          <w:lang w:val="el-GR"/>
        </w:rPr>
        <w:t>.</w:t>
      </w:r>
      <w:r w:rsidRPr="00E672E9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Τα έσοδα από παροχή υπηρεσιών </w:t>
      </w:r>
      <w:r w:rsidR="007A4737">
        <w:rPr>
          <w:rFonts w:ascii="Verdana" w:hAnsi="Verdana" w:cs="Arial"/>
          <w:sz w:val="18"/>
          <w:szCs w:val="18"/>
          <w:lang w:val="el-GR"/>
        </w:rPr>
        <w:t>αυξή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θηκαν κατά €</w:t>
      </w:r>
      <w:r w:rsidR="00FE61AF">
        <w:rPr>
          <w:rFonts w:ascii="Verdana" w:hAnsi="Verdana" w:cs="Arial"/>
          <w:sz w:val="18"/>
          <w:szCs w:val="18"/>
          <w:lang w:val="el-GR"/>
        </w:rPr>
        <w:t>53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0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7A4737">
        <w:rPr>
          <w:rFonts w:ascii="Verdana" w:hAnsi="Verdana" w:cs="Arial"/>
          <w:sz w:val="18"/>
          <w:szCs w:val="18"/>
          <w:lang w:val="el-GR"/>
        </w:rPr>
        <w:t xml:space="preserve"> 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(+</w:t>
      </w:r>
      <w:r w:rsidR="00FE61AF">
        <w:rPr>
          <w:rFonts w:ascii="Verdana" w:hAnsi="Verdana" w:cs="Arial"/>
          <w:sz w:val="18"/>
          <w:szCs w:val="18"/>
          <w:lang w:val="el-GR"/>
        </w:rPr>
        <w:t>54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4</w:t>
      </w:r>
      <w:r w:rsidR="00EE4190" w:rsidRPr="00EE4190">
        <w:rPr>
          <w:rFonts w:ascii="Verdana" w:hAnsi="Verdana" w:cs="Arial"/>
          <w:sz w:val="18"/>
          <w:szCs w:val="18"/>
          <w:lang w:val="el-GR"/>
        </w:rPr>
        <w:t>%)</w:t>
      </w:r>
      <w:r w:rsidR="00EE4190">
        <w:rPr>
          <w:rFonts w:ascii="Verdana" w:hAnsi="Verdana" w:cs="Arial"/>
          <w:sz w:val="18"/>
          <w:szCs w:val="18"/>
          <w:lang w:val="el-GR"/>
        </w:rPr>
        <w:t xml:space="preserve"> 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7A4737">
        <w:rPr>
          <w:rFonts w:ascii="Verdana" w:hAnsi="Verdana" w:cs="Arial"/>
          <w:sz w:val="18"/>
          <w:szCs w:val="18"/>
          <w:lang w:val="el-GR"/>
        </w:rPr>
        <w:t>ανήλθαν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FE61AF">
        <w:rPr>
          <w:rFonts w:ascii="Verdana" w:hAnsi="Verdana" w:cs="Arial"/>
          <w:sz w:val="18"/>
          <w:szCs w:val="18"/>
          <w:lang w:val="el-GR"/>
        </w:rPr>
        <w:t>150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4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E61AF">
        <w:rPr>
          <w:rFonts w:ascii="Verdana" w:hAnsi="Verdana" w:cs="Arial"/>
          <w:sz w:val="18"/>
          <w:szCs w:val="18"/>
          <w:lang w:val="el-GR"/>
        </w:rPr>
        <w:t>97</w:t>
      </w:r>
      <w:r w:rsidR="00BB6FE8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4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7A4737" w:rsidRPr="00973258">
        <w:rPr>
          <w:rFonts w:ascii="Verdana" w:hAnsi="Verdana" w:cs="Arial"/>
          <w:sz w:val="18"/>
          <w:szCs w:val="18"/>
          <w:lang w:val="el-GR"/>
        </w:rPr>
        <w:t>.</w:t>
      </w:r>
      <w:r w:rsidR="007A4737" w:rsidRPr="00D91EB8">
        <w:rPr>
          <w:rFonts w:ascii="Verdana" w:hAnsi="Verdana" w:cs="Arial"/>
          <w:sz w:val="18"/>
          <w:szCs w:val="18"/>
          <w:lang w:val="el-GR"/>
        </w:rPr>
        <w:t xml:space="preserve"> 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Οι κεφαλαιουχικές μεταβιβάσεις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αυξήθηκαν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BB6FE8">
        <w:rPr>
          <w:rFonts w:ascii="Verdana" w:hAnsi="Verdana" w:cs="Arial"/>
          <w:sz w:val="18"/>
          <w:szCs w:val="18"/>
          <w:lang w:val="el-GR"/>
        </w:rPr>
        <w:t>2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2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FE61AF">
        <w:rPr>
          <w:rFonts w:ascii="Verdana" w:hAnsi="Verdana" w:cs="Arial"/>
          <w:sz w:val="18"/>
          <w:szCs w:val="18"/>
          <w:lang w:val="el-GR"/>
        </w:rPr>
        <w:t xml:space="preserve"> </w:t>
      </w:r>
      <w:r w:rsidR="00FE61AF" w:rsidRPr="00FE61AF">
        <w:rPr>
          <w:rFonts w:ascii="Verdana" w:hAnsi="Verdana" w:cs="Arial"/>
          <w:sz w:val="18"/>
          <w:szCs w:val="18"/>
          <w:lang w:val="el-GR"/>
        </w:rPr>
        <w:t>(+5</w:t>
      </w:r>
      <w:r w:rsidR="00FE61AF">
        <w:rPr>
          <w:rFonts w:ascii="Verdana" w:hAnsi="Verdana" w:cs="Arial"/>
          <w:sz w:val="18"/>
          <w:szCs w:val="18"/>
          <w:lang w:val="el-GR"/>
        </w:rPr>
        <w:t>6</w:t>
      </w:r>
      <w:r w:rsidR="00FE61AF" w:rsidRPr="00FE61AF">
        <w:rPr>
          <w:rFonts w:ascii="Verdana" w:hAnsi="Verdana" w:cs="Arial"/>
          <w:sz w:val="18"/>
          <w:szCs w:val="18"/>
          <w:lang w:val="el-GR"/>
        </w:rPr>
        <w:t>,4%)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και 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ανήλθαν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FE61AF">
        <w:rPr>
          <w:rFonts w:ascii="Verdana" w:hAnsi="Verdana" w:cs="Arial"/>
          <w:sz w:val="18"/>
          <w:szCs w:val="18"/>
          <w:lang w:val="el-GR"/>
        </w:rPr>
        <w:t>6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,</w:t>
      </w:r>
      <w:r w:rsidR="00FE61AF">
        <w:rPr>
          <w:rFonts w:ascii="Verdana" w:hAnsi="Verdana" w:cs="Arial"/>
          <w:sz w:val="18"/>
          <w:szCs w:val="18"/>
          <w:lang w:val="el-GR"/>
        </w:rPr>
        <w:t>1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FE61AF">
        <w:rPr>
          <w:rFonts w:ascii="Verdana" w:hAnsi="Verdana" w:cs="Arial"/>
          <w:sz w:val="18"/>
          <w:szCs w:val="18"/>
          <w:lang w:val="el-GR"/>
        </w:rPr>
        <w:t>3</w:t>
      </w:r>
      <w:r w:rsidR="00786D00" w:rsidRPr="00786D00">
        <w:rPr>
          <w:rFonts w:ascii="Verdana" w:hAnsi="Verdana" w:cs="Arial"/>
          <w:sz w:val="18"/>
          <w:szCs w:val="18"/>
          <w:lang w:val="el-GR"/>
        </w:rPr>
        <w:t>,</w:t>
      </w:r>
      <w:r w:rsidR="00BB6FE8">
        <w:rPr>
          <w:rFonts w:ascii="Verdana" w:hAnsi="Verdana" w:cs="Arial"/>
          <w:sz w:val="18"/>
          <w:szCs w:val="18"/>
          <w:lang w:val="el-GR"/>
        </w:rPr>
        <w:t>9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B6FE8">
        <w:rPr>
          <w:rFonts w:ascii="Verdana" w:hAnsi="Verdana" w:cs="Arial"/>
          <w:sz w:val="18"/>
          <w:szCs w:val="18"/>
          <w:lang w:val="el-GR"/>
        </w:rPr>
        <w:t>3</w:t>
      </w:r>
      <w:r w:rsidR="005747B4" w:rsidRPr="005747B4">
        <w:rPr>
          <w:rFonts w:ascii="Verdana" w:hAnsi="Verdana" w:cs="Arial"/>
          <w:sz w:val="18"/>
          <w:szCs w:val="18"/>
          <w:lang w:val="el-GR"/>
        </w:rPr>
        <w:t>.</w:t>
      </w:r>
    </w:p>
    <w:p w14:paraId="0AB04635" w14:textId="77777777" w:rsidR="00E91AB9" w:rsidRDefault="00E91AB9" w:rsidP="005477B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6B0439A" w14:textId="3CA7A5F3" w:rsidR="00E91AB9" w:rsidRPr="00E12B1C" w:rsidRDefault="00E91AB9" w:rsidP="005477B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09D0E3" w14:textId="77777777" w:rsidR="00981CAA" w:rsidRPr="00C43DAE" w:rsidRDefault="00981CAA" w:rsidP="00981CAA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C43DA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Δαπάνες</w:t>
      </w:r>
    </w:p>
    <w:p w14:paraId="529F7340" w14:textId="77777777" w:rsidR="00981CAA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152F79" w14:textId="52C8CCC6" w:rsid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DD16F7">
        <w:rPr>
          <w:rFonts w:ascii="Verdana" w:hAnsi="Verdana" w:cs="Arial"/>
          <w:sz w:val="18"/>
          <w:szCs w:val="18"/>
          <w:lang w:val="el-GR"/>
        </w:rPr>
        <w:t xml:space="preserve">Οι συνολικές δαπάνες, κατά </w:t>
      </w:r>
      <w:r w:rsidR="00D42FC9" w:rsidRPr="00D42FC9">
        <w:rPr>
          <w:rFonts w:ascii="Verdana" w:hAnsi="Verdana" w:cs="Arial"/>
          <w:sz w:val="18"/>
          <w:szCs w:val="18"/>
          <w:lang w:val="el-GR"/>
        </w:rPr>
        <w:t>την περίοδο Ιανουαρίου-Φεβρουαρίου</w:t>
      </w:r>
      <w:r w:rsidR="00EB61F5" w:rsidRPr="00DD16F7">
        <w:rPr>
          <w:rFonts w:ascii="Verdana" w:hAnsi="Verdana" w:cs="Arial"/>
          <w:sz w:val="18"/>
          <w:szCs w:val="18"/>
          <w:lang w:val="el-GR"/>
        </w:rPr>
        <w:t xml:space="preserve"> 202</w:t>
      </w:r>
      <w:r w:rsidR="00EB61F5">
        <w:rPr>
          <w:rFonts w:ascii="Verdana" w:hAnsi="Verdana" w:cs="Arial"/>
          <w:sz w:val="18"/>
          <w:szCs w:val="18"/>
          <w:lang w:val="el-GR"/>
        </w:rPr>
        <w:t>4</w:t>
      </w:r>
      <w:r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αυξήθηκαν κατά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€</w:t>
      </w:r>
      <w:r w:rsidR="00D42FC9">
        <w:rPr>
          <w:rFonts w:ascii="Verdana" w:hAnsi="Verdana" w:cs="Arial"/>
          <w:sz w:val="18"/>
          <w:szCs w:val="18"/>
          <w:lang w:val="el-GR"/>
        </w:rPr>
        <w:t>197</w:t>
      </w:r>
      <w:r w:rsidR="00EB61F5">
        <w:rPr>
          <w:rFonts w:ascii="Verdana" w:hAnsi="Verdana" w:cs="Arial"/>
          <w:sz w:val="18"/>
          <w:szCs w:val="18"/>
          <w:lang w:val="el-GR"/>
        </w:rPr>
        <w:t>,</w:t>
      </w:r>
      <w:r w:rsidR="00D42FC9">
        <w:rPr>
          <w:rFonts w:ascii="Verdana" w:hAnsi="Verdana" w:cs="Arial"/>
          <w:sz w:val="18"/>
          <w:szCs w:val="18"/>
          <w:lang w:val="el-GR"/>
        </w:rPr>
        <w:t>1</w:t>
      </w:r>
      <w:r w:rsidR="004551CD" w:rsidRPr="004551CD">
        <w:rPr>
          <w:lang w:val="el-GR"/>
        </w:rPr>
        <w:t xml:space="preserve"> </w:t>
      </w:r>
      <w:r w:rsidR="004551CD" w:rsidRPr="004551CD">
        <w:rPr>
          <w:rFonts w:ascii="Verdana" w:hAnsi="Verdana" w:cs="Arial"/>
          <w:sz w:val="18"/>
          <w:szCs w:val="18"/>
          <w:lang w:val="el-GR"/>
        </w:rPr>
        <w:t>εκ.</w:t>
      </w:r>
      <w:r w:rsidR="004551CD">
        <w:rPr>
          <w:rFonts w:ascii="Verdana" w:hAnsi="Verdana" w:cs="Arial"/>
          <w:sz w:val="18"/>
          <w:szCs w:val="18"/>
          <w:lang w:val="el-GR"/>
        </w:rPr>
        <w:t xml:space="preserve"> </w:t>
      </w:r>
      <w:r w:rsidR="00B64E43" w:rsidRPr="00B64E43">
        <w:rPr>
          <w:rFonts w:ascii="Verdana" w:hAnsi="Verdana" w:cs="Arial"/>
          <w:sz w:val="18"/>
          <w:szCs w:val="18"/>
          <w:lang w:val="el-GR"/>
        </w:rPr>
        <w:t>(+</w:t>
      </w:r>
      <w:r w:rsidR="00D42FC9">
        <w:rPr>
          <w:rFonts w:ascii="Verdana" w:hAnsi="Verdana" w:cs="Arial"/>
          <w:sz w:val="18"/>
          <w:szCs w:val="18"/>
          <w:lang w:val="el-GR"/>
        </w:rPr>
        <w:t>12</w:t>
      </w:r>
      <w:r w:rsidRPr="00B64E43">
        <w:rPr>
          <w:rFonts w:ascii="Verdana" w:hAnsi="Verdana" w:cs="Arial"/>
          <w:sz w:val="18"/>
          <w:szCs w:val="18"/>
          <w:lang w:val="el-GR"/>
        </w:rPr>
        <w:t>,</w:t>
      </w:r>
      <w:r w:rsidR="004551CD">
        <w:rPr>
          <w:rFonts w:ascii="Verdana" w:hAnsi="Verdana" w:cs="Arial"/>
          <w:sz w:val="18"/>
          <w:szCs w:val="18"/>
          <w:lang w:val="el-GR"/>
        </w:rPr>
        <w:t>3</w:t>
      </w:r>
      <w:r w:rsidRPr="00B64E43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D42FC9">
        <w:rPr>
          <w:rFonts w:ascii="Verdana" w:hAnsi="Verdana" w:cs="Arial"/>
          <w:sz w:val="18"/>
          <w:szCs w:val="18"/>
          <w:lang w:val="el-GR"/>
        </w:rPr>
        <w:t>1.793</w:t>
      </w:r>
      <w:r w:rsidR="00EB61F5">
        <w:rPr>
          <w:rFonts w:ascii="Verdana" w:hAnsi="Verdana" w:cs="Arial"/>
          <w:sz w:val="18"/>
          <w:szCs w:val="18"/>
          <w:lang w:val="el-GR"/>
        </w:rPr>
        <w:t>,</w:t>
      </w:r>
      <w:r w:rsidR="00D42FC9">
        <w:rPr>
          <w:rFonts w:ascii="Verdana" w:hAnsi="Verdana" w:cs="Arial"/>
          <w:sz w:val="18"/>
          <w:szCs w:val="18"/>
          <w:lang w:val="el-GR"/>
        </w:rPr>
        <w:t>2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D42FC9">
        <w:rPr>
          <w:rFonts w:ascii="Verdana" w:hAnsi="Verdana" w:cs="Arial"/>
          <w:sz w:val="18"/>
          <w:szCs w:val="18"/>
          <w:lang w:val="el-GR"/>
        </w:rPr>
        <w:t>1.596</w:t>
      </w:r>
      <w:r w:rsidR="00EB61F5">
        <w:rPr>
          <w:rFonts w:ascii="Verdana" w:hAnsi="Verdana" w:cs="Arial"/>
          <w:sz w:val="18"/>
          <w:szCs w:val="18"/>
          <w:lang w:val="el-GR"/>
        </w:rPr>
        <w:t>,</w:t>
      </w:r>
      <w:r w:rsidR="00D42FC9">
        <w:rPr>
          <w:rFonts w:ascii="Verdana" w:hAnsi="Verdana" w:cs="Arial"/>
          <w:sz w:val="18"/>
          <w:szCs w:val="18"/>
          <w:lang w:val="el-GR"/>
        </w:rPr>
        <w:t>1</w:t>
      </w:r>
      <w:r w:rsidRPr="00B64E43">
        <w:rPr>
          <w:rFonts w:ascii="Verdana" w:hAnsi="Verdana" w:cs="Arial"/>
          <w:sz w:val="18"/>
          <w:szCs w:val="18"/>
          <w:lang w:val="el-GR"/>
        </w:rPr>
        <w:t xml:space="preserve"> εκ. </w:t>
      </w:r>
      <w:r w:rsidR="000D64D2">
        <w:rPr>
          <w:rFonts w:ascii="Verdana" w:hAnsi="Verdana" w:cs="Arial"/>
          <w:sz w:val="18"/>
          <w:szCs w:val="18"/>
          <w:lang w:val="el-GR"/>
        </w:rPr>
        <w:t xml:space="preserve">την </w:t>
      </w:r>
      <w:r w:rsidR="00B10421" w:rsidRPr="00B10421">
        <w:rPr>
          <w:rFonts w:ascii="Verdana" w:hAnsi="Verdana" w:cs="Arial"/>
          <w:sz w:val="18"/>
          <w:szCs w:val="18"/>
          <w:lang w:val="el-GR"/>
        </w:rPr>
        <w:t xml:space="preserve">αντίστοιχη περίοδο </w:t>
      </w:r>
      <w:r w:rsidRPr="00B64E43">
        <w:rPr>
          <w:rFonts w:ascii="Verdana" w:hAnsi="Verdana" w:cs="Arial"/>
          <w:sz w:val="18"/>
          <w:szCs w:val="18"/>
          <w:lang w:val="el-GR"/>
        </w:rPr>
        <w:t>του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Pr="00B64E43">
        <w:rPr>
          <w:rFonts w:ascii="Verdana" w:hAnsi="Verdana" w:cs="Arial"/>
          <w:sz w:val="18"/>
          <w:szCs w:val="18"/>
          <w:lang w:val="el-GR"/>
        </w:rPr>
        <w:t>.</w:t>
      </w:r>
    </w:p>
    <w:p w14:paraId="29CB0AE7" w14:textId="77777777" w:rsidR="00981CAA" w:rsidRPr="00766958" w:rsidRDefault="00981CAA" w:rsidP="00981CAA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B64E43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710C4610" w14:textId="6172285A" w:rsidR="004C07A0" w:rsidRDefault="00981CAA" w:rsidP="00B10421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257D60">
        <w:rPr>
          <w:rFonts w:ascii="Verdana" w:hAnsi="Verdana" w:cs="Arial"/>
          <w:sz w:val="18"/>
          <w:szCs w:val="18"/>
          <w:lang w:val="el-GR"/>
        </w:rPr>
        <w:t xml:space="preserve">Συγκεκριμένα, </w:t>
      </w:r>
      <w:r w:rsidR="00B10421">
        <w:rPr>
          <w:rFonts w:ascii="Verdana" w:hAnsi="Verdana" w:cs="Arial"/>
          <w:sz w:val="18"/>
          <w:szCs w:val="18"/>
          <w:lang w:val="el-GR"/>
        </w:rPr>
        <w:t>η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 xml:space="preserve"> ενδιάμεση ανάλωση </w:t>
      </w:r>
      <w:r w:rsidR="00B10421">
        <w:rPr>
          <w:rFonts w:ascii="Verdana" w:hAnsi="Verdana" w:cs="Arial"/>
          <w:sz w:val="18"/>
          <w:szCs w:val="18"/>
          <w:lang w:val="el-GR"/>
        </w:rPr>
        <w:t>αυξήθηκε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B10421">
        <w:rPr>
          <w:rFonts w:ascii="Verdana" w:hAnsi="Verdana" w:cs="Arial"/>
          <w:sz w:val="18"/>
          <w:szCs w:val="18"/>
          <w:lang w:val="el-GR"/>
        </w:rPr>
        <w:t>16,7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B10421">
        <w:rPr>
          <w:rFonts w:ascii="Verdana" w:hAnsi="Verdana" w:cs="Arial"/>
          <w:sz w:val="18"/>
          <w:szCs w:val="18"/>
          <w:lang w:val="el-GR"/>
        </w:rPr>
        <w:t>+10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6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B10421">
        <w:rPr>
          <w:rFonts w:ascii="Verdana" w:hAnsi="Verdana" w:cs="Arial"/>
          <w:sz w:val="18"/>
          <w:szCs w:val="18"/>
          <w:lang w:val="el-GR"/>
        </w:rPr>
        <w:t xml:space="preserve">ανήλθε 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>στα €</w:t>
      </w:r>
      <w:r w:rsidR="00B10421">
        <w:rPr>
          <w:rFonts w:ascii="Verdana" w:hAnsi="Verdana" w:cs="Arial"/>
          <w:sz w:val="18"/>
          <w:szCs w:val="18"/>
          <w:lang w:val="el-GR"/>
        </w:rPr>
        <w:t>174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1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B10421">
        <w:rPr>
          <w:rFonts w:ascii="Verdana" w:hAnsi="Verdana" w:cs="Arial"/>
          <w:sz w:val="18"/>
          <w:szCs w:val="18"/>
          <w:lang w:val="el-GR"/>
        </w:rPr>
        <w:t>157,4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10421">
        <w:rPr>
          <w:rFonts w:ascii="Verdana" w:hAnsi="Verdana" w:cs="Arial"/>
          <w:sz w:val="18"/>
          <w:szCs w:val="18"/>
          <w:lang w:val="el-GR"/>
        </w:rPr>
        <w:t>3</w:t>
      </w:r>
      <w:r w:rsidR="00B10421" w:rsidRPr="00FF050F">
        <w:rPr>
          <w:rFonts w:ascii="Verdana" w:hAnsi="Verdana" w:cs="Arial"/>
          <w:sz w:val="18"/>
          <w:szCs w:val="18"/>
          <w:lang w:val="el-GR"/>
        </w:rPr>
        <w:t>.</w:t>
      </w:r>
      <w:r w:rsidR="00B10421" w:rsidRPr="00B10421">
        <w:rPr>
          <w:rFonts w:ascii="Verdana" w:hAnsi="Verdana" w:cs="Arial"/>
          <w:sz w:val="18"/>
          <w:szCs w:val="18"/>
          <w:lang w:val="el-GR"/>
        </w:rPr>
        <w:t xml:space="preserve"> 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>Οι απολαβές προσωπικού (συμπεριλαμβανομένων των τεκμαρτών κοινωνικών εισφορών και συντάξεων των δημοσίων υπαλλήλων) αυξήθηκαν κατά €</w:t>
      </w:r>
      <w:r w:rsidR="00B10421">
        <w:rPr>
          <w:rFonts w:ascii="Verdana" w:hAnsi="Verdana" w:cs="Arial"/>
          <w:sz w:val="18"/>
          <w:szCs w:val="18"/>
          <w:lang w:val="el-GR"/>
        </w:rPr>
        <w:t>82,0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 xml:space="preserve"> εκ. (+1</w:t>
      </w:r>
      <w:r w:rsidR="00B10421">
        <w:rPr>
          <w:rFonts w:ascii="Verdana" w:hAnsi="Verdana" w:cs="Arial"/>
          <w:sz w:val="18"/>
          <w:szCs w:val="18"/>
          <w:lang w:val="el-GR"/>
        </w:rPr>
        <w:t>5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8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B10421">
        <w:rPr>
          <w:rFonts w:ascii="Verdana" w:hAnsi="Verdana" w:cs="Arial"/>
          <w:sz w:val="18"/>
          <w:szCs w:val="18"/>
          <w:lang w:val="el-GR"/>
        </w:rPr>
        <w:t>601,2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B10421">
        <w:rPr>
          <w:rFonts w:ascii="Verdana" w:hAnsi="Verdana" w:cs="Arial"/>
          <w:sz w:val="18"/>
          <w:szCs w:val="18"/>
          <w:lang w:val="el-GR"/>
        </w:rPr>
        <w:t>519,2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B10421">
        <w:rPr>
          <w:rFonts w:ascii="Verdana" w:hAnsi="Verdana" w:cs="Arial"/>
          <w:sz w:val="18"/>
          <w:szCs w:val="18"/>
          <w:lang w:val="el-GR"/>
        </w:rPr>
        <w:t>3</w:t>
      </w:r>
      <w:r w:rsidR="00B10421" w:rsidRPr="00257D60">
        <w:rPr>
          <w:rFonts w:ascii="Verdana" w:hAnsi="Verdana" w:cs="Arial"/>
          <w:sz w:val="18"/>
          <w:szCs w:val="18"/>
          <w:lang w:val="el-GR"/>
        </w:rPr>
        <w:t>.</w:t>
      </w:r>
      <w:r w:rsidR="00B10421">
        <w:rPr>
          <w:rFonts w:ascii="Verdana" w:hAnsi="Verdana" w:cs="Arial"/>
          <w:sz w:val="18"/>
          <w:szCs w:val="18"/>
          <w:lang w:val="el-GR"/>
        </w:rPr>
        <w:t xml:space="preserve"> Ο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ι κοινωνικές παροχές αυξήθηκαν κατά </w:t>
      </w:r>
      <w:r w:rsidR="00B10421">
        <w:rPr>
          <w:rFonts w:ascii="Verdana" w:hAnsi="Verdana" w:cs="Arial"/>
          <w:sz w:val="18"/>
          <w:szCs w:val="18"/>
          <w:lang w:val="el-GR"/>
        </w:rPr>
        <w:t xml:space="preserve">    </w:t>
      </w:r>
      <w:r w:rsidRPr="00257D60">
        <w:rPr>
          <w:rFonts w:ascii="Verdana" w:hAnsi="Verdana" w:cs="Arial"/>
          <w:sz w:val="18"/>
          <w:szCs w:val="18"/>
          <w:lang w:val="el-GR"/>
        </w:rPr>
        <w:t>€</w:t>
      </w:r>
      <w:r w:rsidR="00B10421">
        <w:rPr>
          <w:rFonts w:ascii="Verdana" w:hAnsi="Verdana" w:cs="Arial"/>
          <w:sz w:val="18"/>
          <w:szCs w:val="18"/>
          <w:lang w:val="el-GR"/>
        </w:rPr>
        <w:t>83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5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EB61F5">
        <w:rPr>
          <w:rFonts w:ascii="Verdana" w:hAnsi="Verdana" w:cs="Arial"/>
          <w:sz w:val="18"/>
          <w:szCs w:val="18"/>
          <w:lang w:val="el-GR"/>
        </w:rPr>
        <w:t>1</w:t>
      </w:r>
      <w:r w:rsidR="00B10421">
        <w:rPr>
          <w:rFonts w:ascii="Verdana" w:hAnsi="Verdana" w:cs="Arial"/>
          <w:sz w:val="18"/>
          <w:szCs w:val="18"/>
          <w:lang w:val="el-GR"/>
        </w:rPr>
        <w:t>2</w:t>
      </w:r>
      <w:r w:rsidRPr="00257D60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9</w:t>
      </w:r>
      <w:r w:rsidRPr="00257D60">
        <w:rPr>
          <w:rFonts w:ascii="Verdana" w:hAnsi="Verdana" w:cs="Arial"/>
          <w:sz w:val="18"/>
          <w:szCs w:val="18"/>
          <w:lang w:val="el-GR"/>
        </w:rPr>
        <w:t>%) και ανήλθαν στα €</w:t>
      </w:r>
      <w:r w:rsidR="00B10421">
        <w:rPr>
          <w:rFonts w:ascii="Verdana" w:hAnsi="Verdana" w:cs="Arial"/>
          <w:sz w:val="18"/>
          <w:szCs w:val="18"/>
          <w:lang w:val="el-GR"/>
        </w:rPr>
        <w:t>730</w:t>
      </w:r>
      <w:r w:rsidR="00EB61F5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8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B10421">
        <w:rPr>
          <w:rFonts w:ascii="Verdana" w:hAnsi="Verdana" w:cs="Arial"/>
          <w:sz w:val="18"/>
          <w:szCs w:val="18"/>
          <w:lang w:val="el-GR"/>
        </w:rPr>
        <w:t>647</w:t>
      </w:r>
      <w:r w:rsidR="00EB61F5">
        <w:rPr>
          <w:rFonts w:ascii="Verdana" w:hAnsi="Verdana" w:cs="Arial"/>
          <w:sz w:val="18"/>
          <w:szCs w:val="18"/>
          <w:lang w:val="el-GR"/>
        </w:rPr>
        <w:t>,</w:t>
      </w:r>
      <w:r w:rsidR="00B10421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EB61F5">
        <w:rPr>
          <w:rFonts w:ascii="Verdana" w:hAnsi="Verdana" w:cs="Arial"/>
          <w:sz w:val="18"/>
          <w:szCs w:val="18"/>
          <w:lang w:val="el-GR"/>
        </w:rPr>
        <w:t>3</w:t>
      </w:r>
      <w:r w:rsidRPr="00257D60">
        <w:rPr>
          <w:rFonts w:ascii="Verdana" w:hAnsi="Verdana" w:cs="Arial"/>
          <w:sz w:val="18"/>
          <w:szCs w:val="18"/>
          <w:lang w:val="el-GR"/>
        </w:rPr>
        <w:t xml:space="preserve">. 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Οι τρέχουσες μεταβιβάσεις </w:t>
      </w:r>
      <w:r w:rsidR="006B7A9A">
        <w:rPr>
          <w:rFonts w:ascii="Verdana" w:hAnsi="Verdana" w:cs="Arial"/>
          <w:sz w:val="18"/>
          <w:szCs w:val="18"/>
          <w:lang w:val="el-GR"/>
        </w:rPr>
        <w:t>αυξήθηκαν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6B7A9A">
        <w:rPr>
          <w:rFonts w:ascii="Verdana" w:hAnsi="Verdana" w:cs="Arial"/>
          <w:sz w:val="18"/>
          <w:szCs w:val="18"/>
          <w:lang w:val="el-GR"/>
        </w:rPr>
        <w:t>3,9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6B7A9A">
        <w:rPr>
          <w:rFonts w:ascii="Verdana" w:hAnsi="Verdana" w:cs="Arial"/>
          <w:sz w:val="18"/>
          <w:szCs w:val="18"/>
          <w:lang w:val="el-GR"/>
        </w:rPr>
        <w:t>+3,2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6B7A9A">
        <w:rPr>
          <w:rFonts w:ascii="Verdana" w:hAnsi="Verdana" w:cs="Arial"/>
          <w:sz w:val="18"/>
          <w:szCs w:val="18"/>
          <w:lang w:val="el-GR"/>
        </w:rPr>
        <w:t>ανήλθαν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6B7A9A">
        <w:rPr>
          <w:rFonts w:ascii="Verdana" w:hAnsi="Verdana" w:cs="Arial"/>
          <w:sz w:val="18"/>
          <w:szCs w:val="18"/>
          <w:lang w:val="el-GR"/>
        </w:rPr>
        <w:t>125,0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6B7A9A">
        <w:rPr>
          <w:rFonts w:ascii="Verdana" w:hAnsi="Verdana" w:cs="Arial"/>
          <w:sz w:val="18"/>
          <w:szCs w:val="18"/>
          <w:lang w:val="el-GR"/>
        </w:rPr>
        <w:t>121,1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6B7A9A">
        <w:rPr>
          <w:rFonts w:ascii="Verdana" w:hAnsi="Verdana" w:cs="Arial"/>
          <w:sz w:val="18"/>
          <w:szCs w:val="18"/>
          <w:lang w:val="el-GR"/>
        </w:rPr>
        <w:t>3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>.</w:t>
      </w:r>
    </w:p>
    <w:p w14:paraId="7EE8C699" w14:textId="77777777" w:rsidR="004C07A0" w:rsidRDefault="004C07A0" w:rsidP="004C07A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62AA981" w14:textId="05D21C1B" w:rsidR="00A92EEC" w:rsidRDefault="004C07A0" w:rsidP="00A92EEC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497113">
        <w:rPr>
          <w:rFonts w:ascii="Verdana" w:hAnsi="Verdana" w:cs="Arial"/>
          <w:sz w:val="18"/>
          <w:szCs w:val="18"/>
          <w:lang w:val="el-GR"/>
        </w:rPr>
        <w:t xml:space="preserve">Ο λογαριασμός κεφαλαίου </w:t>
      </w:r>
      <w:r>
        <w:rPr>
          <w:rFonts w:ascii="Verdana" w:hAnsi="Verdana" w:cs="Arial"/>
          <w:sz w:val="18"/>
          <w:szCs w:val="18"/>
          <w:lang w:val="el-GR"/>
        </w:rPr>
        <w:t>αυξή</w:t>
      </w:r>
      <w:r w:rsidRPr="00497113">
        <w:rPr>
          <w:rFonts w:ascii="Verdana" w:hAnsi="Verdana" w:cs="Arial"/>
          <w:sz w:val="18"/>
          <w:szCs w:val="18"/>
          <w:lang w:val="el-GR"/>
        </w:rPr>
        <w:t>θηκε κατά €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="006B7A9A">
        <w:rPr>
          <w:rFonts w:ascii="Verdana" w:hAnsi="Verdana" w:cs="Arial"/>
          <w:sz w:val="18"/>
          <w:szCs w:val="18"/>
          <w:lang w:val="el-GR"/>
        </w:rPr>
        <w:t>9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8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(</w:t>
      </w:r>
      <w:r>
        <w:rPr>
          <w:rFonts w:ascii="Verdana" w:hAnsi="Verdana" w:cs="Arial"/>
          <w:sz w:val="18"/>
          <w:szCs w:val="18"/>
          <w:lang w:val="el-GR"/>
        </w:rPr>
        <w:t>+</w:t>
      </w:r>
      <w:r w:rsidR="006B7A9A">
        <w:rPr>
          <w:rFonts w:ascii="Verdana" w:hAnsi="Verdana" w:cs="Arial"/>
          <w:sz w:val="18"/>
          <w:szCs w:val="18"/>
          <w:lang w:val="el-GR"/>
        </w:rPr>
        <w:t>73</w:t>
      </w:r>
      <w:r w:rsidRPr="00497113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>4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%) και </w:t>
      </w:r>
      <w:r>
        <w:rPr>
          <w:rFonts w:ascii="Verdana" w:hAnsi="Verdana" w:cs="Arial"/>
          <w:sz w:val="18"/>
          <w:szCs w:val="18"/>
          <w:lang w:val="el-GR"/>
        </w:rPr>
        <w:t>ανήλθε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στα </w:t>
      </w:r>
      <w:r w:rsidRPr="004551CD">
        <w:rPr>
          <w:rFonts w:ascii="Verdana" w:hAnsi="Verdana" w:cs="Arial"/>
          <w:sz w:val="18"/>
          <w:szCs w:val="18"/>
          <w:lang w:val="el-GR"/>
        </w:rPr>
        <w:t>€</w:t>
      </w:r>
      <w:r w:rsidR="006B7A9A">
        <w:rPr>
          <w:rFonts w:ascii="Verdana" w:hAnsi="Verdana" w:cs="Arial"/>
          <w:sz w:val="18"/>
          <w:szCs w:val="18"/>
          <w:lang w:val="el-GR"/>
        </w:rPr>
        <w:t>94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0</w:t>
      </w:r>
      <w:r w:rsidRPr="00497113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6B7A9A">
        <w:rPr>
          <w:rFonts w:ascii="Verdana" w:hAnsi="Verdana" w:cs="Arial"/>
          <w:sz w:val="18"/>
          <w:szCs w:val="18"/>
          <w:lang w:val="el-GR"/>
        </w:rPr>
        <w:t>54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2</w:t>
      </w:r>
      <w:r>
        <w:rPr>
          <w:rFonts w:ascii="Verdana" w:hAnsi="Verdana" w:cs="Arial"/>
          <w:sz w:val="18"/>
          <w:szCs w:val="18"/>
          <w:lang w:val="el-GR"/>
        </w:rPr>
        <w:t xml:space="preserve"> </w:t>
      </w:r>
      <w:r w:rsidRPr="00497113">
        <w:rPr>
          <w:rFonts w:ascii="Verdana" w:hAnsi="Verdana" w:cs="Arial"/>
          <w:sz w:val="18"/>
          <w:szCs w:val="18"/>
          <w:lang w:val="el-GR"/>
        </w:rPr>
        <w:t>εκ. το 202</w:t>
      </w:r>
      <w:r w:rsidRPr="00731131">
        <w:rPr>
          <w:rFonts w:ascii="Verdana" w:hAnsi="Verdana" w:cs="Arial"/>
          <w:sz w:val="18"/>
          <w:szCs w:val="18"/>
          <w:lang w:val="el-GR"/>
        </w:rPr>
        <w:t>3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Pr="00731131">
        <w:rPr>
          <w:rFonts w:ascii="Verdana" w:hAnsi="Verdana" w:cs="Arial"/>
          <w:sz w:val="18"/>
          <w:szCs w:val="18"/>
          <w:lang w:val="el-GR"/>
        </w:rPr>
        <w:t xml:space="preserve"> </w:t>
      </w:r>
      <w:r>
        <w:rPr>
          <w:rFonts w:ascii="Verdana" w:hAnsi="Verdana" w:cs="Arial"/>
          <w:sz w:val="18"/>
          <w:szCs w:val="18"/>
          <w:lang w:val="el-GR"/>
        </w:rPr>
        <w:t>εκ των οποίων</w:t>
      </w:r>
      <w:r w:rsidRPr="00D25E9C">
        <w:rPr>
          <w:rFonts w:ascii="Verdana" w:hAnsi="Verdana" w:cs="Arial"/>
          <w:sz w:val="18"/>
          <w:szCs w:val="18"/>
          <w:lang w:val="el-GR"/>
        </w:rPr>
        <w:t>, οι επενδύσεις πάγιου κεφαλαίου αυξήθηκαν κατά €</w:t>
      </w:r>
      <w:r w:rsidR="006B7A9A">
        <w:rPr>
          <w:rFonts w:ascii="Verdana" w:hAnsi="Verdana" w:cs="Arial"/>
          <w:sz w:val="18"/>
          <w:szCs w:val="18"/>
          <w:lang w:val="el-GR"/>
        </w:rPr>
        <w:t>21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8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(+</w:t>
      </w:r>
      <w:r w:rsidR="006B7A9A">
        <w:rPr>
          <w:rFonts w:ascii="Verdana" w:hAnsi="Verdana" w:cs="Arial"/>
          <w:sz w:val="18"/>
          <w:szCs w:val="18"/>
          <w:lang w:val="el-GR"/>
        </w:rPr>
        <w:t>43</w:t>
      </w:r>
      <w:r w:rsidRPr="00D25E9C"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4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%) και ανήλθαν στα </w:t>
      </w:r>
      <w:r w:rsidRPr="004551CD">
        <w:rPr>
          <w:rFonts w:ascii="Verdana" w:hAnsi="Verdana" w:cs="Arial"/>
          <w:sz w:val="18"/>
          <w:szCs w:val="18"/>
          <w:lang w:val="el-GR"/>
        </w:rPr>
        <w:t>€</w:t>
      </w:r>
      <w:r w:rsidR="006B7A9A">
        <w:rPr>
          <w:rFonts w:ascii="Verdana" w:hAnsi="Verdana" w:cs="Arial"/>
          <w:sz w:val="18"/>
          <w:szCs w:val="18"/>
          <w:lang w:val="el-GR"/>
        </w:rPr>
        <w:t>72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0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6B7A9A">
        <w:rPr>
          <w:rFonts w:ascii="Verdana" w:hAnsi="Verdana" w:cs="Arial"/>
          <w:sz w:val="18"/>
          <w:szCs w:val="18"/>
          <w:lang w:val="el-GR"/>
        </w:rPr>
        <w:t>50</w:t>
      </w:r>
      <w:r>
        <w:rPr>
          <w:rFonts w:ascii="Verdana" w:hAnsi="Verdana" w:cs="Arial"/>
          <w:sz w:val="18"/>
          <w:szCs w:val="18"/>
          <w:lang w:val="el-GR"/>
        </w:rPr>
        <w:t>,</w:t>
      </w:r>
      <w:r w:rsidR="006B7A9A">
        <w:rPr>
          <w:rFonts w:ascii="Verdana" w:hAnsi="Verdana" w:cs="Arial"/>
          <w:sz w:val="18"/>
          <w:szCs w:val="18"/>
          <w:lang w:val="el-GR"/>
        </w:rPr>
        <w:t>2</w:t>
      </w:r>
      <w:r w:rsidRPr="00D25E9C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>
        <w:rPr>
          <w:rFonts w:ascii="Verdana" w:hAnsi="Verdana" w:cs="Arial"/>
          <w:sz w:val="18"/>
          <w:szCs w:val="18"/>
          <w:lang w:val="el-GR"/>
        </w:rPr>
        <w:t>3</w:t>
      </w:r>
      <w:r w:rsidR="00A92EEC" w:rsidRPr="00A92E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 xml:space="preserve">και οι άλλες μεταβιβάσεις κεφαλαίου </w:t>
      </w:r>
      <w:r w:rsidR="00A92EEC">
        <w:rPr>
          <w:rFonts w:ascii="Verdana" w:hAnsi="Verdana" w:cs="Arial"/>
          <w:sz w:val="18"/>
          <w:szCs w:val="18"/>
          <w:lang w:val="el-GR"/>
        </w:rPr>
        <w:t>αυξή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>θηκαν κατά €</w:t>
      </w:r>
      <w:r w:rsidR="00A92EEC">
        <w:rPr>
          <w:rFonts w:ascii="Verdana" w:hAnsi="Verdana" w:cs="Arial"/>
          <w:sz w:val="18"/>
          <w:szCs w:val="18"/>
          <w:lang w:val="el-GR"/>
        </w:rPr>
        <w:t>18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>,</w:t>
      </w:r>
      <w:r w:rsidR="00A92EEC">
        <w:rPr>
          <w:rFonts w:ascii="Verdana" w:hAnsi="Verdana" w:cs="Arial"/>
          <w:sz w:val="18"/>
          <w:szCs w:val="18"/>
          <w:lang w:val="el-GR"/>
        </w:rPr>
        <w:t>0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A92EEC">
        <w:rPr>
          <w:rFonts w:ascii="Verdana" w:hAnsi="Verdana" w:cs="Arial"/>
          <w:sz w:val="18"/>
          <w:szCs w:val="18"/>
          <w:lang w:val="el-GR"/>
        </w:rPr>
        <w:t xml:space="preserve"> 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A92EEC">
        <w:rPr>
          <w:rFonts w:ascii="Verdana" w:hAnsi="Verdana" w:cs="Arial"/>
          <w:sz w:val="18"/>
          <w:szCs w:val="18"/>
          <w:lang w:val="el-GR"/>
        </w:rPr>
        <w:t>ανήλθαν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A92EEC">
        <w:rPr>
          <w:rFonts w:ascii="Verdana" w:hAnsi="Verdana" w:cs="Arial"/>
          <w:sz w:val="18"/>
          <w:szCs w:val="18"/>
          <w:lang w:val="el-GR"/>
        </w:rPr>
        <w:t>22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>,</w:t>
      </w:r>
      <w:r w:rsidR="00A92EEC">
        <w:rPr>
          <w:rFonts w:ascii="Verdana" w:hAnsi="Verdana" w:cs="Arial"/>
          <w:sz w:val="18"/>
          <w:szCs w:val="18"/>
          <w:lang w:val="el-GR"/>
        </w:rPr>
        <w:t>0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A92EEC">
        <w:rPr>
          <w:rFonts w:ascii="Verdana" w:hAnsi="Verdana" w:cs="Arial"/>
          <w:sz w:val="18"/>
          <w:szCs w:val="18"/>
          <w:lang w:val="el-GR"/>
        </w:rPr>
        <w:t>4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>,</w:t>
      </w:r>
      <w:r w:rsidR="00A92EEC">
        <w:rPr>
          <w:rFonts w:ascii="Verdana" w:hAnsi="Verdana" w:cs="Arial"/>
          <w:sz w:val="18"/>
          <w:szCs w:val="18"/>
          <w:lang w:val="el-GR"/>
        </w:rPr>
        <w:t>0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A92EEC">
        <w:rPr>
          <w:rFonts w:ascii="Verdana" w:hAnsi="Verdana" w:cs="Arial"/>
          <w:sz w:val="18"/>
          <w:szCs w:val="18"/>
          <w:lang w:val="el-GR"/>
        </w:rPr>
        <w:t>3</w:t>
      </w:r>
      <w:r w:rsidR="00A92EEC" w:rsidRPr="00D25E9C">
        <w:rPr>
          <w:rFonts w:ascii="Verdana" w:hAnsi="Verdana" w:cs="Arial"/>
          <w:sz w:val="18"/>
          <w:szCs w:val="18"/>
          <w:lang w:val="el-GR"/>
        </w:rPr>
        <w:t>.</w:t>
      </w:r>
      <w:r w:rsidR="00A92EEC" w:rsidRPr="00DD16F7">
        <w:rPr>
          <w:rFonts w:ascii="Verdana" w:hAnsi="Verdana" w:cs="Arial"/>
          <w:sz w:val="18"/>
          <w:szCs w:val="18"/>
          <w:lang w:val="el-GR"/>
        </w:rPr>
        <w:t xml:space="preserve"> </w:t>
      </w:r>
    </w:p>
    <w:p w14:paraId="1BB13056" w14:textId="0DB59DBF" w:rsidR="004C07A0" w:rsidRDefault="004C07A0" w:rsidP="00A92EEC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E745C4" w14:textId="4CC8FA9B" w:rsidR="00CE0CBF" w:rsidRDefault="004C07A0" w:rsidP="00CE0CBF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Αντιθέτως</w:t>
      </w:r>
      <w:r w:rsidRPr="00FF050F">
        <w:rPr>
          <w:rFonts w:ascii="Verdana" w:hAnsi="Verdana" w:cs="Arial"/>
          <w:sz w:val="18"/>
          <w:szCs w:val="18"/>
          <w:lang w:val="el-GR"/>
        </w:rPr>
        <w:t>,</w:t>
      </w:r>
      <w:r>
        <w:rPr>
          <w:rFonts w:ascii="Verdana" w:hAnsi="Verdana" w:cs="Arial"/>
          <w:sz w:val="18"/>
          <w:szCs w:val="18"/>
          <w:lang w:val="el-GR"/>
        </w:rPr>
        <w:t xml:space="preserve"> ο</w:t>
      </w:r>
      <w:r w:rsidR="00CA1528" w:rsidRPr="00CA1528">
        <w:rPr>
          <w:rFonts w:ascii="Verdana" w:hAnsi="Verdana" w:cs="Arial"/>
          <w:sz w:val="18"/>
          <w:szCs w:val="18"/>
          <w:lang w:val="el-GR"/>
        </w:rPr>
        <w:t xml:space="preserve">ι 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πληρωθέντες τόκοι </w:t>
      </w:r>
      <w:r w:rsidR="006B7A9A">
        <w:rPr>
          <w:rFonts w:ascii="Verdana" w:hAnsi="Verdana" w:cs="Arial"/>
          <w:sz w:val="18"/>
          <w:szCs w:val="18"/>
          <w:lang w:val="el-GR"/>
        </w:rPr>
        <w:t>μειώθηκαν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6B7A9A">
        <w:rPr>
          <w:rFonts w:ascii="Verdana" w:hAnsi="Verdana" w:cs="Arial"/>
          <w:sz w:val="18"/>
          <w:szCs w:val="18"/>
          <w:lang w:val="el-GR"/>
        </w:rPr>
        <w:t>13,9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εκ. (</w:t>
      </w:r>
      <w:r w:rsidR="006B7A9A">
        <w:rPr>
          <w:rFonts w:ascii="Verdana" w:hAnsi="Verdana" w:cs="Arial"/>
          <w:sz w:val="18"/>
          <w:szCs w:val="18"/>
          <w:lang w:val="el-GR"/>
        </w:rPr>
        <w:t>-18,9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%) και </w:t>
      </w:r>
      <w:r w:rsidR="006B7A9A">
        <w:rPr>
          <w:rFonts w:ascii="Verdana" w:hAnsi="Verdana" w:cs="Arial"/>
          <w:sz w:val="18"/>
          <w:szCs w:val="18"/>
          <w:lang w:val="el-GR"/>
        </w:rPr>
        <w:t>περιορίστηκαν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6B7A9A">
        <w:rPr>
          <w:rFonts w:ascii="Verdana" w:hAnsi="Verdana" w:cs="Arial"/>
          <w:sz w:val="18"/>
          <w:szCs w:val="18"/>
          <w:lang w:val="el-GR"/>
        </w:rPr>
        <w:t>59,9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6B7A9A">
        <w:rPr>
          <w:rFonts w:ascii="Verdana" w:hAnsi="Verdana" w:cs="Arial"/>
          <w:sz w:val="18"/>
          <w:szCs w:val="18"/>
          <w:lang w:val="el-GR"/>
        </w:rPr>
        <w:t>73,8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6B7A9A">
        <w:rPr>
          <w:rFonts w:ascii="Verdana" w:hAnsi="Verdana" w:cs="Arial"/>
          <w:sz w:val="18"/>
          <w:szCs w:val="18"/>
          <w:lang w:val="el-GR"/>
        </w:rPr>
        <w:t>3</w:t>
      </w:r>
      <w:r w:rsidR="006B7A9A" w:rsidRPr="00FF050F">
        <w:rPr>
          <w:rFonts w:ascii="Verdana" w:hAnsi="Verdana" w:cs="Arial"/>
          <w:sz w:val="18"/>
          <w:szCs w:val="18"/>
          <w:lang w:val="el-GR"/>
        </w:rPr>
        <w:t>.</w:t>
      </w:r>
      <w:r w:rsidR="00981CAA" w:rsidRPr="00CA1528">
        <w:rPr>
          <w:rFonts w:ascii="Verdana" w:hAnsi="Verdana" w:cs="Arial"/>
          <w:sz w:val="18"/>
          <w:szCs w:val="18"/>
          <w:lang w:val="el-GR"/>
        </w:rPr>
        <w:t xml:space="preserve"> </w:t>
      </w:r>
      <w:r w:rsidR="00CE0CBF" w:rsidRPr="00FF050F">
        <w:rPr>
          <w:rFonts w:ascii="Verdana" w:hAnsi="Verdana" w:cs="Arial"/>
          <w:sz w:val="18"/>
          <w:szCs w:val="18"/>
          <w:lang w:val="el-GR"/>
        </w:rPr>
        <w:t xml:space="preserve">Οι 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επιδοτήσεις </w:t>
      </w:r>
      <w:r w:rsidR="006B7A9A">
        <w:rPr>
          <w:rFonts w:ascii="Verdana" w:hAnsi="Verdana" w:cs="Arial"/>
          <w:sz w:val="18"/>
          <w:szCs w:val="18"/>
          <w:lang w:val="el-GR"/>
        </w:rPr>
        <w:t>μειώθηκαν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 κατά €</w:t>
      </w:r>
      <w:r w:rsidR="006B7A9A">
        <w:rPr>
          <w:rFonts w:ascii="Verdana" w:hAnsi="Verdana" w:cs="Arial"/>
          <w:sz w:val="18"/>
          <w:szCs w:val="18"/>
          <w:lang w:val="el-GR"/>
        </w:rPr>
        <w:t>14,9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 εκ.</w:t>
      </w:r>
      <w:r w:rsidR="006B7A9A">
        <w:rPr>
          <w:rFonts w:ascii="Verdana" w:hAnsi="Verdana" w:cs="Arial"/>
          <w:sz w:val="18"/>
          <w:szCs w:val="18"/>
          <w:lang w:val="el-GR"/>
        </w:rPr>
        <w:t xml:space="preserve"> </w:t>
      </w:r>
      <w:r w:rsidR="006B7A9A" w:rsidRPr="009A630D">
        <w:rPr>
          <w:rFonts w:ascii="Verdana" w:hAnsi="Verdana" w:cs="Arial"/>
          <w:sz w:val="18"/>
          <w:szCs w:val="18"/>
          <w:lang w:val="el-GR"/>
        </w:rPr>
        <w:t>(</w:t>
      </w:r>
      <w:r w:rsidR="006B7A9A">
        <w:rPr>
          <w:rFonts w:ascii="Verdana" w:hAnsi="Verdana" w:cs="Arial"/>
          <w:sz w:val="18"/>
          <w:szCs w:val="18"/>
          <w:lang w:val="el-GR"/>
        </w:rPr>
        <w:t>-64,5</w:t>
      </w:r>
      <w:r w:rsidR="006B7A9A" w:rsidRPr="009A630D">
        <w:rPr>
          <w:rFonts w:ascii="Verdana" w:hAnsi="Verdana" w:cs="Arial"/>
          <w:sz w:val="18"/>
          <w:szCs w:val="18"/>
          <w:lang w:val="el-GR"/>
        </w:rPr>
        <w:t xml:space="preserve">%) 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και </w:t>
      </w:r>
      <w:r w:rsidR="006B7A9A">
        <w:rPr>
          <w:rFonts w:ascii="Verdana" w:hAnsi="Verdana" w:cs="Arial"/>
          <w:sz w:val="18"/>
          <w:szCs w:val="18"/>
          <w:lang w:val="el-GR"/>
        </w:rPr>
        <w:t>περιορίστηκαν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 στα €</w:t>
      </w:r>
      <w:r w:rsidR="006B7A9A">
        <w:rPr>
          <w:rFonts w:ascii="Verdana" w:hAnsi="Verdana" w:cs="Arial"/>
          <w:sz w:val="18"/>
          <w:szCs w:val="18"/>
          <w:lang w:val="el-GR"/>
        </w:rPr>
        <w:t>8,2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 εκ. σε σύγκριση με €</w:t>
      </w:r>
      <w:r w:rsidR="006B7A9A">
        <w:rPr>
          <w:rFonts w:ascii="Verdana" w:hAnsi="Verdana" w:cs="Arial"/>
          <w:sz w:val="18"/>
          <w:szCs w:val="18"/>
          <w:lang w:val="el-GR"/>
        </w:rPr>
        <w:t>23,1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 xml:space="preserve"> εκ. το 202</w:t>
      </w:r>
      <w:r w:rsidR="006B7A9A">
        <w:rPr>
          <w:rFonts w:ascii="Verdana" w:hAnsi="Verdana" w:cs="Arial"/>
          <w:sz w:val="18"/>
          <w:szCs w:val="18"/>
          <w:lang w:val="el-GR"/>
        </w:rPr>
        <w:t>3</w:t>
      </w:r>
      <w:r w:rsidR="006B7A9A" w:rsidRPr="00CA1528">
        <w:rPr>
          <w:rFonts w:ascii="Verdana" w:hAnsi="Verdana" w:cs="Arial"/>
          <w:sz w:val="18"/>
          <w:szCs w:val="18"/>
          <w:lang w:val="el-GR"/>
        </w:rPr>
        <w:t>.</w:t>
      </w:r>
    </w:p>
    <w:p w14:paraId="110B3B3C" w14:textId="77777777" w:rsidR="00AE7AB6" w:rsidRDefault="00AE7AB6" w:rsidP="00AE7AB6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E697ED" w14:textId="6698B122" w:rsidR="00981CAA" w:rsidRDefault="00981CAA" w:rsidP="00731131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9DEF61" w14:textId="21D2BFF6" w:rsidR="00981CAA" w:rsidRDefault="00981CAA" w:rsidP="004C07A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F5322F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92F5A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E7444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7329F7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1BC1D7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FE81E63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E2882A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8EA90B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AF7F98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2C13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3FD60B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A745BBE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CF06D41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E9C194C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5836BC5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DCA6BD0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96DF28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FBDE24" w14:textId="77777777" w:rsidR="00981CAA" w:rsidRDefault="00981CAA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85F865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6973B6A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2CF53F6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6D4C0FD" w14:textId="77777777" w:rsidR="000F2B47" w:rsidRDefault="000F2B47" w:rsidP="00DD16F7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FC5B5D" w14:textId="37BC4550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tbl>
      <w:tblPr>
        <w:tblStyle w:val="TableGrid"/>
        <w:tblW w:w="10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1328"/>
        <w:gridCol w:w="1386"/>
        <w:gridCol w:w="240"/>
        <w:gridCol w:w="1329"/>
        <w:gridCol w:w="240"/>
        <w:gridCol w:w="1384"/>
      </w:tblGrid>
      <w:tr w:rsidR="00882A5A" w:rsidRPr="00376296" w14:paraId="2FA9F8F6" w14:textId="77777777" w:rsidTr="00B26CAE">
        <w:trPr>
          <w:trHeight w:val="28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199CF110" w14:textId="77777777" w:rsidR="00882A5A" w:rsidRPr="00376296" w:rsidRDefault="00882A5A" w:rsidP="00700B69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lastRenderedPageBreak/>
              <w:t>Πίνακας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</w:tcPr>
          <w:p w14:paraId="34D8AA8F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</w:tcPr>
          <w:p w14:paraId="77140F2E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3BB96266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bottom w:val="single" w:sz="4" w:space="0" w:color="2F5496" w:themeColor="accent1" w:themeShade="BF"/>
            </w:tcBorders>
          </w:tcPr>
          <w:p w14:paraId="579752BE" w14:textId="54898B7F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</w:tcPr>
          <w:p w14:paraId="634E26C0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</w:tcPr>
          <w:p w14:paraId="48318AE3" w14:textId="77777777" w:rsidR="00882A5A" w:rsidRPr="00376296" w:rsidRDefault="00882A5A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B26CAE" w:rsidRPr="00376296" w14:paraId="21D5E863" w14:textId="77777777" w:rsidTr="00B26CAE">
        <w:trPr>
          <w:trHeight w:val="340"/>
          <w:jc w:val="center"/>
        </w:trPr>
        <w:tc>
          <w:tcPr>
            <w:tcW w:w="4263" w:type="dxa"/>
            <w:vMerge w:val="restart"/>
            <w:tcBorders>
              <w:top w:val="single" w:sz="4" w:space="0" w:color="2F5496" w:themeColor="accent1" w:themeShade="BF"/>
            </w:tcBorders>
            <w:vAlign w:val="center"/>
          </w:tcPr>
          <w:p w14:paraId="26C0CEAF" w14:textId="77777777" w:rsidR="00B26CAE" w:rsidRPr="00376296" w:rsidRDefault="00B26CAE" w:rsidP="00B97206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Μακροοικονομικά Μεγέθη Γενικής Κυβέρνησης</w:t>
            </w:r>
          </w:p>
        </w:tc>
        <w:tc>
          <w:tcPr>
            <w:tcW w:w="4283" w:type="dxa"/>
            <w:gridSpan w:val="4"/>
            <w:tcBorders>
              <w:top w:val="single" w:sz="4" w:space="0" w:color="2F5496" w:themeColor="accent1" w:themeShade="BF"/>
            </w:tcBorders>
            <w:vAlign w:val="center"/>
          </w:tcPr>
          <w:p w14:paraId="4DC5D6D5" w14:textId="5200C609" w:rsidR="00B26CAE" w:rsidRPr="007A174A" w:rsidRDefault="00B26CAE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7A174A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Ευρώ (εκατομμύρια)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</w:tcPr>
          <w:p w14:paraId="39CF7941" w14:textId="77777777" w:rsidR="00B26CAE" w:rsidRPr="00376296" w:rsidRDefault="00B26CAE" w:rsidP="000E4CB0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</w:tcBorders>
            <w:vAlign w:val="center"/>
          </w:tcPr>
          <w:p w14:paraId="676B7E37" w14:textId="77777777" w:rsidR="00B26CAE" w:rsidRPr="00376296" w:rsidRDefault="00B26CAE" w:rsidP="007A174A">
            <w:pPr>
              <w:jc w:val="center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Μεταβολή</w:t>
            </w:r>
          </w:p>
        </w:tc>
      </w:tr>
      <w:tr w:rsidR="00882A5A" w:rsidRPr="00376296" w14:paraId="02916BCB" w14:textId="77777777" w:rsidTr="00B26CAE">
        <w:trPr>
          <w:trHeight w:val="510"/>
          <w:jc w:val="center"/>
        </w:trPr>
        <w:tc>
          <w:tcPr>
            <w:tcW w:w="4263" w:type="dxa"/>
            <w:vMerge/>
          </w:tcPr>
          <w:p w14:paraId="2640E0B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1FA1358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μικά</w:t>
            </w:r>
          </w:p>
          <w:p w14:paraId="11C4CD4B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Αποτελέσμ</w:t>
            </w: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ατα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</w:tcPr>
          <w:p w14:paraId="02E10CD1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4604842C" w14:textId="3947645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Διαφορά</w:t>
            </w:r>
          </w:p>
        </w:tc>
        <w:tc>
          <w:tcPr>
            <w:tcW w:w="240" w:type="dxa"/>
          </w:tcPr>
          <w:p w14:paraId="364F623A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bottom w:val="single" w:sz="4" w:space="0" w:color="2F5496" w:themeColor="accent1" w:themeShade="BF"/>
            </w:tcBorders>
            <w:vAlign w:val="center"/>
          </w:tcPr>
          <w:p w14:paraId="1E782789" w14:textId="77777777" w:rsidR="00882A5A" w:rsidRPr="00376296" w:rsidRDefault="00882A5A" w:rsidP="007A174A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(%)</w:t>
            </w:r>
          </w:p>
        </w:tc>
      </w:tr>
      <w:tr w:rsidR="00882A5A" w:rsidRPr="00376296" w14:paraId="4A582409" w14:textId="77777777" w:rsidTr="00B26CAE">
        <w:trPr>
          <w:trHeight w:val="624"/>
          <w:jc w:val="center"/>
        </w:trPr>
        <w:tc>
          <w:tcPr>
            <w:tcW w:w="4263" w:type="dxa"/>
            <w:vMerge/>
            <w:tcBorders>
              <w:bottom w:val="single" w:sz="4" w:space="0" w:color="2F5496" w:themeColor="accent1" w:themeShade="BF"/>
            </w:tcBorders>
          </w:tcPr>
          <w:p w14:paraId="1FE106FE" w14:textId="77777777" w:rsidR="00882A5A" w:rsidRPr="00376296" w:rsidRDefault="00882A5A" w:rsidP="00886F08">
            <w:pPr>
              <w:jc w:val="both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16D5F341" w14:textId="3168B946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6A6B42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-Φεβ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28E1B8D7" w14:textId="3F8E4708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</w:t>
            </w:r>
            <w:r w:rsidR="006A6B42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-Φεβ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    </w:t>
            </w:r>
            <w:r w:rsidR="00BB1A33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</w:t>
            </w: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</w:tcPr>
          <w:p w14:paraId="5F975BE4" w14:textId="77777777" w:rsidR="00882A5A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</w:tcBorders>
            <w:vAlign w:val="center"/>
          </w:tcPr>
          <w:p w14:paraId="767CDABB" w14:textId="08ABDE3E" w:rsidR="00882A5A" w:rsidRPr="00376296" w:rsidRDefault="006A6B42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Ιαν-Φεβ</w:t>
            </w:r>
            <w:r w:rsidR="00882A5A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  <w:r w:rsidR="00882A5A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EE034D7" w14:textId="77777777" w:rsidR="00882A5A" w:rsidRPr="00376296" w:rsidRDefault="00882A5A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vAlign w:val="center"/>
          </w:tcPr>
          <w:p w14:paraId="6A57EE26" w14:textId="0B6FB056" w:rsidR="00882A5A" w:rsidRPr="00376296" w:rsidRDefault="006A6B42" w:rsidP="00A56668">
            <w:pPr>
              <w:jc w:val="center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Ιαν-Φεβ</w:t>
            </w:r>
            <w:r w:rsidR="00882A5A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 xml:space="preserve"> 202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4</w:t>
            </w:r>
            <w:r w:rsidR="00882A5A"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/2</w:t>
            </w:r>
            <w:r w:rsidR="00B0177B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3</w:t>
            </w:r>
          </w:p>
        </w:tc>
      </w:tr>
      <w:tr w:rsidR="006A6B42" w:rsidRPr="00376296" w14:paraId="704546A5" w14:textId="77777777" w:rsidTr="006A6B42">
        <w:trPr>
          <w:trHeight w:val="397"/>
          <w:jc w:val="center"/>
        </w:trPr>
        <w:tc>
          <w:tcPr>
            <w:tcW w:w="4263" w:type="dxa"/>
            <w:tcBorders>
              <w:top w:val="single" w:sz="4" w:space="0" w:color="2F5496" w:themeColor="accent1" w:themeShade="BF"/>
            </w:tcBorders>
            <w:vAlign w:val="center"/>
          </w:tcPr>
          <w:p w14:paraId="326B4D41" w14:textId="77777777" w:rsidR="006A6B42" w:rsidRPr="00376296" w:rsidRDefault="006A6B42" w:rsidP="006A6B42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Εσόδων</w:t>
            </w:r>
          </w:p>
        </w:tc>
        <w:tc>
          <w:tcPr>
            <w:tcW w:w="1328" w:type="dxa"/>
            <w:tcBorders>
              <w:top w:val="single" w:sz="4" w:space="0" w:color="2F5496" w:themeColor="accent1" w:themeShade="BF"/>
            </w:tcBorders>
            <w:shd w:val="clear" w:color="000000" w:fill="FFFFFF"/>
            <w:tcMar>
              <w:right w:w="284" w:type="dxa"/>
            </w:tcMar>
            <w:vAlign w:val="center"/>
          </w:tcPr>
          <w:p w14:paraId="597F843D" w14:textId="5BB68ECA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1.994,1</w:t>
            </w:r>
          </w:p>
        </w:tc>
        <w:tc>
          <w:tcPr>
            <w:tcW w:w="1386" w:type="dxa"/>
            <w:tcBorders>
              <w:top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0C00F8E5" w14:textId="2DFE103A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2.328,0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  <w:right w:val="nil"/>
            </w:tcBorders>
            <w:vAlign w:val="center"/>
          </w:tcPr>
          <w:p w14:paraId="2B39665C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2F5496" w:themeColor="accent1" w:themeShade="BF"/>
              <w:left w:val="nil"/>
            </w:tcBorders>
            <w:tcMar>
              <w:right w:w="340" w:type="dxa"/>
            </w:tcMar>
            <w:vAlign w:val="center"/>
          </w:tcPr>
          <w:p w14:paraId="1C592FC7" w14:textId="38EA170D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333,9</w:t>
            </w:r>
          </w:p>
        </w:tc>
        <w:tc>
          <w:tcPr>
            <w:tcW w:w="240" w:type="dxa"/>
            <w:tcBorders>
              <w:top w:val="single" w:sz="4" w:space="0" w:color="2F5496" w:themeColor="accent1" w:themeShade="BF"/>
            </w:tcBorders>
            <w:vAlign w:val="center"/>
          </w:tcPr>
          <w:p w14:paraId="248A9CD1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top w:val="single" w:sz="4" w:space="0" w:color="2F5496" w:themeColor="accent1" w:themeShade="BF"/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4AEC840" w14:textId="6E67BD4F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16,7%</w:t>
            </w:r>
          </w:p>
        </w:tc>
      </w:tr>
      <w:tr w:rsidR="006A6B42" w:rsidRPr="00376296" w14:paraId="258F09AD" w14:textId="77777777" w:rsidTr="006A6B42">
        <w:trPr>
          <w:trHeight w:val="510"/>
          <w:jc w:val="center"/>
        </w:trPr>
        <w:tc>
          <w:tcPr>
            <w:tcW w:w="4263" w:type="dxa"/>
            <w:vAlign w:val="center"/>
          </w:tcPr>
          <w:p w14:paraId="2CB40A79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Φόροι επί της Παραγωγής και των Εισαγωγών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2029868" w14:textId="0590B74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673,1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89D7619" w14:textId="06C14423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727,2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D1F6505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BC845EC" w14:textId="07831ECD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54,1</w:t>
            </w:r>
          </w:p>
        </w:tc>
        <w:tc>
          <w:tcPr>
            <w:tcW w:w="240" w:type="dxa"/>
            <w:vAlign w:val="center"/>
          </w:tcPr>
          <w:p w14:paraId="6D2F21FC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437A3AD" w14:textId="1CD65EF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8,0%</w:t>
            </w:r>
          </w:p>
        </w:tc>
      </w:tr>
      <w:tr w:rsidR="006A6B42" w:rsidRPr="00376296" w14:paraId="07613810" w14:textId="77777777" w:rsidTr="006A6B42">
        <w:trPr>
          <w:trHeight w:val="284"/>
          <w:jc w:val="center"/>
        </w:trPr>
        <w:tc>
          <w:tcPr>
            <w:tcW w:w="4263" w:type="dxa"/>
            <w:vAlign w:val="center"/>
          </w:tcPr>
          <w:p w14:paraId="7B7305EA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εκ των οποίων Φ.Π.Α.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6B6DA92" w14:textId="1BD2B9E4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471,5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FEBD08E" w14:textId="3F5F95A2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523,2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0CABD4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04ACB64D" w14:textId="4C41401D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51,7</w:t>
            </w:r>
          </w:p>
        </w:tc>
        <w:tc>
          <w:tcPr>
            <w:tcW w:w="240" w:type="dxa"/>
            <w:vAlign w:val="center"/>
          </w:tcPr>
          <w:p w14:paraId="70DA4BDC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19D375A" w14:textId="6704CB91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11,0%</w:t>
            </w:r>
          </w:p>
        </w:tc>
      </w:tr>
      <w:tr w:rsidR="006A6B42" w:rsidRPr="00376296" w14:paraId="6E6AC45A" w14:textId="77777777" w:rsidTr="006A6B42">
        <w:trPr>
          <w:trHeight w:val="567"/>
          <w:jc w:val="center"/>
        </w:trPr>
        <w:tc>
          <w:tcPr>
            <w:tcW w:w="4263" w:type="dxa"/>
            <w:vAlign w:val="center"/>
          </w:tcPr>
          <w:p w14:paraId="37B0726A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Τρέχοντες Φόροι στο Εισόδημα και τον Πλούτο κλπ.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07221F1F" w14:textId="7E3216AC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600,9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3109285" w14:textId="50FC340E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721,7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1F95FF72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DD1E33D" w14:textId="7E4587B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120,8</w:t>
            </w:r>
          </w:p>
        </w:tc>
        <w:tc>
          <w:tcPr>
            <w:tcW w:w="240" w:type="dxa"/>
            <w:vAlign w:val="center"/>
          </w:tcPr>
          <w:p w14:paraId="28077CB8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2486580" w14:textId="3E026439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20,1%</w:t>
            </w:r>
          </w:p>
        </w:tc>
      </w:tr>
      <w:tr w:rsidR="006A6B42" w:rsidRPr="00376296" w14:paraId="54CF88E3" w14:textId="77777777" w:rsidTr="006A6B42">
        <w:trPr>
          <w:trHeight w:val="340"/>
          <w:jc w:val="center"/>
        </w:trPr>
        <w:tc>
          <w:tcPr>
            <w:tcW w:w="4263" w:type="dxa"/>
            <w:vAlign w:val="center"/>
          </w:tcPr>
          <w:p w14:paraId="10FB9D45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Κοινωνικές Εισφορές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1FCD1B30" w14:textId="629CC33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575,3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A98BFFB" w14:textId="7665CC82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673,9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EC0F895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109B4DB" w14:textId="4C74D9B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98,6</w:t>
            </w:r>
          </w:p>
        </w:tc>
        <w:tc>
          <w:tcPr>
            <w:tcW w:w="240" w:type="dxa"/>
            <w:vAlign w:val="center"/>
          </w:tcPr>
          <w:p w14:paraId="1C6C2A00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C93FFF6" w14:textId="7CCBC3C8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17,1%</w:t>
            </w:r>
          </w:p>
        </w:tc>
      </w:tr>
      <w:tr w:rsidR="006A6B42" w:rsidRPr="00376296" w14:paraId="04984229" w14:textId="77777777" w:rsidTr="006A6B42">
        <w:trPr>
          <w:trHeight w:val="340"/>
          <w:jc w:val="center"/>
        </w:trPr>
        <w:tc>
          <w:tcPr>
            <w:tcW w:w="4263" w:type="dxa"/>
            <w:vAlign w:val="center"/>
          </w:tcPr>
          <w:p w14:paraId="38C34482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Λοιπά Τρέχοντα Έσοδα</w:t>
            </w:r>
          </w:p>
        </w:tc>
        <w:tc>
          <w:tcPr>
            <w:tcW w:w="1328" w:type="dxa"/>
            <w:shd w:val="clear" w:color="000000" w:fill="FFFFFF"/>
            <w:tcMar>
              <w:right w:w="284" w:type="dxa"/>
            </w:tcMar>
            <w:vAlign w:val="center"/>
          </w:tcPr>
          <w:p w14:paraId="3627F31D" w14:textId="32F8E846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140,9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35A668BE" w14:textId="3A6385BF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199,1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42B0DCC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C0D0642" w14:textId="39D01D2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58,2</w:t>
            </w:r>
          </w:p>
        </w:tc>
        <w:tc>
          <w:tcPr>
            <w:tcW w:w="240" w:type="dxa"/>
            <w:vAlign w:val="center"/>
          </w:tcPr>
          <w:p w14:paraId="2AB5E586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F330D77" w14:textId="3022D122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41,3%</w:t>
            </w:r>
          </w:p>
        </w:tc>
      </w:tr>
      <w:tr w:rsidR="006A6B42" w:rsidRPr="00376296" w14:paraId="572B1A32" w14:textId="77777777" w:rsidTr="006A6B42">
        <w:trPr>
          <w:trHeight w:val="284"/>
          <w:jc w:val="center"/>
        </w:trPr>
        <w:tc>
          <w:tcPr>
            <w:tcW w:w="4263" w:type="dxa"/>
            <w:vAlign w:val="center"/>
          </w:tcPr>
          <w:p w14:paraId="602ECDA6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B26CAE">
              <w:rPr>
                <w:rFonts w:ascii="Verdana" w:hAnsi="Verdana" w:cs="Arial"/>
                <w:color w:val="2F5496"/>
                <w:sz w:val="18"/>
                <w:szCs w:val="18"/>
                <w:lang w:val="el-GR"/>
              </w:rPr>
              <w:t>Τόκοι εισπρακτέοι και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 xml:space="preserve"> μερίσματα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E944054" w14:textId="11F3851F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15,6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874CD5B" w14:textId="170EC73B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16,8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121ED7D3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3F6D2D5" w14:textId="7FFBA121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1,2</w:t>
            </w:r>
          </w:p>
        </w:tc>
        <w:tc>
          <w:tcPr>
            <w:tcW w:w="240" w:type="dxa"/>
            <w:vAlign w:val="center"/>
          </w:tcPr>
          <w:p w14:paraId="3F0306C0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226D7A0" w14:textId="42BDDA65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7,7%</w:t>
            </w:r>
          </w:p>
        </w:tc>
      </w:tr>
      <w:tr w:rsidR="006A6B42" w:rsidRPr="00376296" w14:paraId="7908C14C" w14:textId="77777777" w:rsidTr="006A6B42">
        <w:trPr>
          <w:trHeight w:val="284"/>
          <w:jc w:val="center"/>
        </w:trPr>
        <w:tc>
          <w:tcPr>
            <w:tcW w:w="4263" w:type="dxa"/>
            <w:vAlign w:val="center"/>
          </w:tcPr>
          <w:p w14:paraId="2B98E0C8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Τρέχουσες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22F432B9" w14:textId="4646B8DF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27,9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0D4AA36D" w14:textId="2CFDE9EB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31,9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7865C458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36C3344" w14:textId="73617D2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4,0</w:t>
            </w:r>
          </w:p>
        </w:tc>
        <w:tc>
          <w:tcPr>
            <w:tcW w:w="240" w:type="dxa"/>
            <w:vAlign w:val="center"/>
          </w:tcPr>
          <w:p w14:paraId="68F760B0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7545277C" w14:textId="087034C1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14,3%</w:t>
            </w:r>
          </w:p>
        </w:tc>
      </w:tr>
      <w:tr w:rsidR="006A6B42" w:rsidRPr="00376296" w14:paraId="3957EA62" w14:textId="77777777" w:rsidTr="006A6B42">
        <w:trPr>
          <w:trHeight w:val="284"/>
          <w:jc w:val="center"/>
        </w:trPr>
        <w:tc>
          <w:tcPr>
            <w:tcW w:w="4263" w:type="dxa"/>
            <w:vAlign w:val="center"/>
          </w:tcPr>
          <w:p w14:paraId="5FEC672F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Έσοδα από παροχή υπηρεσιών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B3F698B" w14:textId="222F2F36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97,4</w:t>
            </w:r>
          </w:p>
        </w:tc>
        <w:tc>
          <w:tcPr>
            <w:tcW w:w="1386" w:type="dxa"/>
            <w:shd w:val="clear" w:color="000000" w:fill="FFFFFF"/>
            <w:tcMar>
              <w:right w:w="284" w:type="dxa"/>
            </w:tcMar>
            <w:vAlign w:val="center"/>
          </w:tcPr>
          <w:p w14:paraId="1AC0A974" w14:textId="24039AC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150,4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3B210B71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C318434" w14:textId="7E0A247D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53,0</w:t>
            </w:r>
          </w:p>
        </w:tc>
        <w:tc>
          <w:tcPr>
            <w:tcW w:w="240" w:type="dxa"/>
            <w:vAlign w:val="center"/>
          </w:tcPr>
          <w:p w14:paraId="42A9C084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054B6B16" w14:textId="53A47E58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54,4%</w:t>
            </w:r>
          </w:p>
        </w:tc>
      </w:tr>
      <w:tr w:rsidR="006A6B42" w:rsidRPr="00376296" w14:paraId="3E88DC06" w14:textId="77777777" w:rsidTr="006A6B42">
        <w:trPr>
          <w:trHeight w:val="454"/>
          <w:jc w:val="center"/>
        </w:trPr>
        <w:tc>
          <w:tcPr>
            <w:tcW w:w="4263" w:type="dxa"/>
            <w:vAlign w:val="center"/>
          </w:tcPr>
          <w:p w14:paraId="7CC77EB3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Κεφαλαιουχικές Μεταβιβάσεις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C5495B6" w14:textId="0732E93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4002430" w14:textId="3955F69F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6,1</w:t>
            </w:r>
          </w:p>
        </w:tc>
        <w:tc>
          <w:tcPr>
            <w:tcW w:w="240" w:type="dxa"/>
            <w:tcBorders>
              <w:right w:val="nil"/>
            </w:tcBorders>
            <w:shd w:val="clear" w:color="000000" w:fill="FFFFFF"/>
            <w:vAlign w:val="center"/>
          </w:tcPr>
          <w:p w14:paraId="6537A4BA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478FA57" w14:textId="6626D6F4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2,2</w:t>
            </w:r>
          </w:p>
        </w:tc>
        <w:tc>
          <w:tcPr>
            <w:tcW w:w="240" w:type="dxa"/>
            <w:vAlign w:val="center"/>
          </w:tcPr>
          <w:p w14:paraId="2028983A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0649A86" w14:textId="688FD294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56,4%</w:t>
            </w:r>
          </w:p>
        </w:tc>
      </w:tr>
      <w:tr w:rsidR="006A6B42" w:rsidRPr="00376296" w14:paraId="33BC7419" w14:textId="77777777" w:rsidTr="006A6B42">
        <w:trPr>
          <w:trHeight w:val="397"/>
          <w:jc w:val="center"/>
        </w:trPr>
        <w:tc>
          <w:tcPr>
            <w:tcW w:w="4263" w:type="dxa"/>
            <w:vAlign w:val="center"/>
          </w:tcPr>
          <w:p w14:paraId="236DA7C0" w14:textId="77777777" w:rsidR="006A6B42" w:rsidRPr="00376296" w:rsidRDefault="006A6B42" w:rsidP="006A6B42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Σύνολο Δαπανών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0C934DC" w14:textId="47287D40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1.596,1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1FDBA09" w14:textId="31E3174A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1.793,2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EA8753A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DD6A423" w14:textId="7B113F1B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197,1</w:t>
            </w:r>
          </w:p>
        </w:tc>
        <w:tc>
          <w:tcPr>
            <w:tcW w:w="240" w:type="dxa"/>
            <w:vAlign w:val="center"/>
          </w:tcPr>
          <w:p w14:paraId="2E63CDC0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5D9130B" w14:textId="708E6515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12,3%</w:t>
            </w:r>
          </w:p>
        </w:tc>
      </w:tr>
      <w:tr w:rsidR="006A6B42" w:rsidRPr="00376296" w14:paraId="52F73659" w14:textId="77777777" w:rsidTr="006A6B42">
        <w:trPr>
          <w:trHeight w:val="340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5FBEBA86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Σύνολο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Τ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ρεχουσών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νών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33067F8C" w14:textId="7759DD88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1.541,9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B57E1AC" w14:textId="70015071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1.699,2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251624E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157945B9" w14:textId="5FAEE14C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157,3</w:t>
            </w:r>
          </w:p>
        </w:tc>
        <w:tc>
          <w:tcPr>
            <w:tcW w:w="240" w:type="dxa"/>
            <w:vAlign w:val="center"/>
          </w:tcPr>
          <w:p w14:paraId="6874938F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B4DCE7B" w14:textId="21C8D75C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10,2%</w:t>
            </w:r>
          </w:p>
        </w:tc>
      </w:tr>
      <w:tr w:rsidR="006A6B42" w:rsidRPr="00376296" w14:paraId="67BAAD50" w14:textId="77777777" w:rsidTr="006A6B4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0ECE339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Ενδιάμεση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νάλωση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AD5FB51" w14:textId="4D94B014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157,4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0E1724C6" w14:textId="7D77E1B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174,1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8DFB061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28EA8B4F" w14:textId="53060F6D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16,7</w:t>
            </w:r>
          </w:p>
        </w:tc>
        <w:tc>
          <w:tcPr>
            <w:tcW w:w="240" w:type="dxa"/>
            <w:vAlign w:val="center"/>
          </w:tcPr>
          <w:p w14:paraId="48EF2533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972E4A8" w14:textId="30FA9A4C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10,6%</w:t>
            </w:r>
          </w:p>
        </w:tc>
      </w:tr>
      <w:tr w:rsidR="006A6B42" w:rsidRPr="00376296" w14:paraId="71016919" w14:textId="77777777" w:rsidTr="006A6B4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7F97BD4F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ολ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αβές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ροσω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πικού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B468B70" w14:textId="5C33CAE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519,2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C603EBF" w14:textId="7B1BA55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601,2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05482CD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354175A" w14:textId="2A8ABB3D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82,0</w:t>
            </w:r>
          </w:p>
        </w:tc>
        <w:tc>
          <w:tcPr>
            <w:tcW w:w="240" w:type="dxa"/>
            <w:vAlign w:val="center"/>
          </w:tcPr>
          <w:p w14:paraId="7C10BC19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90CF435" w14:textId="18FE201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15,8%</w:t>
            </w:r>
          </w:p>
        </w:tc>
      </w:tr>
      <w:tr w:rsidR="006A6B42" w:rsidRPr="00376296" w14:paraId="103D2E58" w14:textId="77777777" w:rsidTr="006A6B42">
        <w:trPr>
          <w:trHeight w:val="28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5E29C7BC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Κοινωνικές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πα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ροχές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3E0679E" w14:textId="49FBDF6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647,3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2F3D697" w14:textId="6EA1DAEE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730,8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45FE29F5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F7C2F8D" w14:textId="273DE98E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83,5</w:t>
            </w:r>
          </w:p>
        </w:tc>
        <w:tc>
          <w:tcPr>
            <w:tcW w:w="240" w:type="dxa"/>
            <w:vAlign w:val="center"/>
          </w:tcPr>
          <w:p w14:paraId="0A39261E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4D7803F8" w14:textId="6821DAF5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12,9%</w:t>
            </w:r>
          </w:p>
        </w:tc>
      </w:tr>
      <w:tr w:rsidR="006A6B42" w:rsidRPr="00376296" w14:paraId="399F1719" w14:textId="77777777" w:rsidTr="006A6B4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16279301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Τόκοι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ληρωτέοι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73F4736" w14:textId="5EB54F73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73,8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19B9EC9" w14:textId="5258D9D1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59,9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095B9A62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A275963" w14:textId="0D35B0A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-13,9</w:t>
            </w:r>
          </w:p>
        </w:tc>
        <w:tc>
          <w:tcPr>
            <w:tcW w:w="240" w:type="dxa"/>
            <w:vAlign w:val="center"/>
          </w:tcPr>
          <w:p w14:paraId="029D190A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FD64197" w14:textId="75D9E994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-18,9%</w:t>
            </w:r>
          </w:p>
        </w:tc>
      </w:tr>
      <w:tr w:rsidR="006A6B42" w:rsidRPr="00376296" w14:paraId="48B4F4E9" w14:textId="77777777" w:rsidTr="006A6B4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2745F160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Επ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ιδοτήσεις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149BACE" w14:textId="6CB5C5FE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23,1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4903CE3" w14:textId="35A8FC6B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8,2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64CB6C81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C7CB850" w14:textId="5FC59AE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-14,9</w:t>
            </w:r>
          </w:p>
        </w:tc>
        <w:tc>
          <w:tcPr>
            <w:tcW w:w="240" w:type="dxa"/>
            <w:vAlign w:val="center"/>
          </w:tcPr>
          <w:p w14:paraId="07B7CBD4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311333BF" w14:textId="43E2C74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-64,5%</w:t>
            </w:r>
          </w:p>
        </w:tc>
      </w:tr>
      <w:tr w:rsidR="006A6B42" w:rsidRPr="00376296" w14:paraId="4C9EF8A5" w14:textId="77777777" w:rsidTr="006A6B42">
        <w:trPr>
          <w:trHeight w:val="28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61247645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τρέχουσες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 δαπ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4EDA16EC" w14:textId="14798B9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121,1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1FAE3E1E" w14:textId="2EE87861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125,0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25DDAD82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7A91CB54" w14:textId="3AD47346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3,9</w:t>
            </w:r>
          </w:p>
        </w:tc>
        <w:tc>
          <w:tcPr>
            <w:tcW w:w="240" w:type="dxa"/>
            <w:vAlign w:val="center"/>
          </w:tcPr>
          <w:p w14:paraId="46324BD4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1293D6AA" w14:textId="6E03DA03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3,2%</w:t>
            </w:r>
          </w:p>
        </w:tc>
      </w:tr>
      <w:tr w:rsidR="006A6B42" w:rsidRPr="00376296" w14:paraId="4013BA58" w14:textId="77777777" w:rsidTr="006A6B42">
        <w:trPr>
          <w:trHeight w:val="454"/>
          <w:jc w:val="center"/>
        </w:trPr>
        <w:tc>
          <w:tcPr>
            <w:tcW w:w="4263" w:type="dxa"/>
            <w:shd w:val="clear" w:color="000000" w:fill="FFFFFF"/>
            <w:vAlign w:val="center"/>
          </w:tcPr>
          <w:p w14:paraId="09B5B753" w14:textId="77777777" w:rsidR="006A6B42" w:rsidRPr="00376296" w:rsidRDefault="006A6B42" w:rsidP="006A6B42">
            <w:pPr>
              <w:ind w:left="17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αλαιουχικές 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Δ</w:t>
            </w: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απ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άνες</w:t>
            </w:r>
            <w:proofErr w:type="spellEnd"/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B46956A" w14:textId="15ED3CD5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54,2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7DDEC810" w14:textId="275EDD1C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94,0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37F02255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6AE15BB" w14:textId="035718B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39,8</w:t>
            </w:r>
          </w:p>
        </w:tc>
        <w:tc>
          <w:tcPr>
            <w:tcW w:w="240" w:type="dxa"/>
            <w:vAlign w:val="center"/>
          </w:tcPr>
          <w:p w14:paraId="3F8493F4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5C2CDC7E" w14:textId="24CFA286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73,4%</w:t>
            </w:r>
          </w:p>
        </w:tc>
      </w:tr>
      <w:tr w:rsidR="006A6B42" w:rsidRPr="00376296" w14:paraId="73ADDF77" w14:textId="77777777" w:rsidTr="006A6B42">
        <w:trPr>
          <w:trHeight w:val="510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4FE0A360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Ακαθάριστες επενδύσεις παγίου κεφαλαίου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77E878CE" w14:textId="49437F76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50,2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2C6F7C5C" w14:textId="7D5533A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72,0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2795339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C02A346" w14:textId="3F5C584F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21,8</w:t>
            </w:r>
          </w:p>
        </w:tc>
        <w:tc>
          <w:tcPr>
            <w:tcW w:w="240" w:type="dxa"/>
            <w:vAlign w:val="center"/>
          </w:tcPr>
          <w:p w14:paraId="1C3E83B5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254F70FA" w14:textId="4C9AA4DA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43,4%</w:t>
            </w:r>
          </w:p>
        </w:tc>
      </w:tr>
      <w:tr w:rsidR="006A6B42" w:rsidRPr="00376296" w14:paraId="59D13F9C" w14:textId="77777777" w:rsidTr="006A6B42">
        <w:trPr>
          <w:trHeight w:val="454"/>
          <w:jc w:val="center"/>
        </w:trPr>
        <w:tc>
          <w:tcPr>
            <w:tcW w:w="4263" w:type="dxa"/>
            <w:shd w:val="clear" w:color="auto" w:fill="auto"/>
            <w:vAlign w:val="center"/>
          </w:tcPr>
          <w:p w14:paraId="7062BE5B" w14:textId="77777777" w:rsidR="006A6B42" w:rsidRPr="0047741C" w:rsidRDefault="006A6B42" w:rsidP="006A6B42">
            <w:pPr>
              <w:ind w:left="454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 xml:space="preserve">Ακαθάριστες επενδύσεις παγίου κεφαλαίου </w:t>
            </w:r>
            <w:proofErr w:type="spellStart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εξαιρ</w:t>
            </w:r>
            <w:proofErr w:type="spellEnd"/>
            <w:r w:rsidRPr="0047741C"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  <w:t>. απαλλοτριώσεων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172D9914" w14:textId="3D7DA1AB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50,2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4B565D05" w14:textId="48ABFF50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71,0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EC9D138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4B3B70F7" w14:textId="54B4A624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20,8</w:t>
            </w:r>
          </w:p>
        </w:tc>
        <w:tc>
          <w:tcPr>
            <w:tcW w:w="240" w:type="dxa"/>
            <w:vAlign w:val="center"/>
          </w:tcPr>
          <w:p w14:paraId="4269A001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tcMar>
              <w:right w:w="340" w:type="dxa"/>
            </w:tcMar>
            <w:vAlign w:val="center"/>
          </w:tcPr>
          <w:p w14:paraId="692C0BE5" w14:textId="63B3258C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41,4%</w:t>
            </w:r>
          </w:p>
        </w:tc>
      </w:tr>
      <w:tr w:rsidR="006A6B42" w:rsidRPr="00376296" w14:paraId="01B3A1EC" w14:textId="77777777" w:rsidTr="006A6B42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4B822155" w14:textId="77777777" w:rsidR="006A6B42" w:rsidRPr="00376296" w:rsidRDefault="006A6B42" w:rsidP="006A6B42">
            <w:pPr>
              <w:ind w:left="340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Λοι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πές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μετ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 xml:space="preserve">αβιβάσεις </w:t>
            </w:r>
            <w:proofErr w:type="spellStart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κεφ</w:t>
            </w:r>
            <w:proofErr w:type="spellEnd"/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  <w:t>αλαίου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5A4595AA" w14:textId="17AFE1C2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4,0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3A8B8827" w14:textId="096E71F6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22,0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7DD8C69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tcMar>
              <w:right w:w="340" w:type="dxa"/>
            </w:tcMar>
            <w:vAlign w:val="center"/>
          </w:tcPr>
          <w:p w14:paraId="15F32181" w14:textId="31568BF2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18,0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2B590378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tcMar>
              <w:right w:w="340" w:type="dxa"/>
            </w:tcMar>
            <w:vAlign w:val="center"/>
          </w:tcPr>
          <w:p w14:paraId="10E6CF83" w14:textId="6AB44A5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450,0%</w:t>
            </w:r>
          </w:p>
        </w:tc>
      </w:tr>
      <w:tr w:rsidR="006A6B42" w:rsidRPr="00376296" w14:paraId="7F7E9BA4" w14:textId="77777777" w:rsidTr="006A6B42">
        <w:trPr>
          <w:trHeight w:val="624"/>
          <w:jc w:val="center"/>
        </w:trPr>
        <w:tc>
          <w:tcPr>
            <w:tcW w:w="4263" w:type="dxa"/>
            <w:vAlign w:val="center"/>
          </w:tcPr>
          <w:p w14:paraId="6357793A" w14:textId="77777777" w:rsidR="006A6B42" w:rsidRPr="00376296" w:rsidRDefault="006A6B42" w:rsidP="006A6B42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Δημοσιονομικό Πλεόνασμα (+)</w:t>
            </w:r>
          </w:p>
          <w:p w14:paraId="2DD2A381" w14:textId="77777777" w:rsidR="006A6B42" w:rsidRPr="00376296" w:rsidRDefault="006A6B42" w:rsidP="006A6B42">
            <w:pPr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  <w:t>/Έλλειμμα (-)</w:t>
            </w:r>
          </w:p>
        </w:tc>
        <w:tc>
          <w:tcPr>
            <w:tcW w:w="1328" w:type="dxa"/>
            <w:tcMar>
              <w:right w:w="284" w:type="dxa"/>
            </w:tcMar>
            <w:vAlign w:val="center"/>
          </w:tcPr>
          <w:p w14:paraId="04D758E5" w14:textId="517491A3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398,0</w:t>
            </w:r>
          </w:p>
        </w:tc>
        <w:tc>
          <w:tcPr>
            <w:tcW w:w="1386" w:type="dxa"/>
            <w:tcMar>
              <w:right w:w="284" w:type="dxa"/>
            </w:tcMar>
            <w:vAlign w:val="center"/>
          </w:tcPr>
          <w:p w14:paraId="5479F22D" w14:textId="6D16B24C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534,8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14:paraId="57DE75CE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</w:tcBorders>
            <w:tcMar>
              <w:right w:w="340" w:type="dxa"/>
            </w:tcMar>
            <w:vAlign w:val="center"/>
          </w:tcPr>
          <w:p w14:paraId="654C8FE6" w14:textId="604386B9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b/>
                <w:bCs/>
                <w:color w:val="2F5496" w:themeColor="accent1" w:themeShade="BF"/>
                <w:sz w:val="18"/>
                <w:szCs w:val="18"/>
              </w:rPr>
              <w:t>136,8</w:t>
            </w:r>
          </w:p>
        </w:tc>
        <w:tc>
          <w:tcPr>
            <w:tcW w:w="240" w:type="dxa"/>
            <w:vAlign w:val="center"/>
          </w:tcPr>
          <w:p w14:paraId="45394571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</w:tcBorders>
            <w:shd w:val="clear" w:color="000000" w:fill="FFFFFF"/>
            <w:vAlign w:val="center"/>
          </w:tcPr>
          <w:p w14:paraId="4129E68E" w14:textId="696F12A3" w:rsidR="006A6B42" w:rsidRPr="006A6B42" w:rsidRDefault="006A6B42" w:rsidP="006A6B42">
            <w:pPr>
              <w:ind w:right="284"/>
              <w:jc w:val="right"/>
              <w:rPr>
                <w:rFonts w:ascii="Verdana" w:hAnsi="Verdana" w:cs="Arial"/>
                <w:b/>
                <w:bCs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  <w:tr w:rsidR="006A6B42" w:rsidRPr="00376296" w14:paraId="3B996676" w14:textId="77777777" w:rsidTr="006A6B42">
        <w:trPr>
          <w:trHeight w:val="454"/>
          <w:jc w:val="center"/>
        </w:trPr>
        <w:tc>
          <w:tcPr>
            <w:tcW w:w="4263" w:type="dxa"/>
            <w:tcBorders>
              <w:bottom w:val="single" w:sz="4" w:space="0" w:color="2F5496" w:themeColor="accent1" w:themeShade="BF"/>
            </w:tcBorders>
            <w:vAlign w:val="center"/>
          </w:tcPr>
          <w:p w14:paraId="3725DC6A" w14:textId="77777777" w:rsidR="006A6B42" w:rsidRPr="00376296" w:rsidRDefault="006A6B42" w:rsidP="006A6B42">
            <w:pPr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  <w:r w:rsidRPr="00376296"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  <w:t>% επί του ΑΕΠ</w:t>
            </w:r>
          </w:p>
        </w:tc>
        <w:tc>
          <w:tcPr>
            <w:tcW w:w="1328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42858F79" w14:textId="000402F8" w:rsidR="006A6B42" w:rsidRPr="006A6B42" w:rsidRDefault="006A6B42" w:rsidP="006A6B4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1,3%</w:t>
            </w:r>
          </w:p>
        </w:tc>
        <w:tc>
          <w:tcPr>
            <w:tcW w:w="1386" w:type="dxa"/>
            <w:tcBorders>
              <w:bottom w:val="single" w:sz="4" w:space="0" w:color="2F5496" w:themeColor="accent1" w:themeShade="BF"/>
            </w:tcBorders>
            <w:tcMar>
              <w:right w:w="284" w:type="dxa"/>
            </w:tcMar>
            <w:vAlign w:val="center"/>
          </w:tcPr>
          <w:p w14:paraId="18DDDAF1" w14:textId="1AC2F5D6" w:rsidR="006A6B42" w:rsidRPr="006A6B42" w:rsidRDefault="006A6B42" w:rsidP="006A6B4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  <w:r w:rsidRPr="006A6B42">
              <w:rPr>
                <w:rFonts w:ascii="Verdana" w:hAnsi="Verdana"/>
                <w:color w:val="2F5496" w:themeColor="accent1" w:themeShade="BF"/>
                <w:sz w:val="18"/>
                <w:szCs w:val="18"/>
              </w:rPr>
              <w:t>1,7%</w:t>
            </w:r>
          </w:p>
        </w:tc>
        <w:tc>
          <w:tcPr>
            <w:tcW w:w="240" w:type="dxa"/>
            <w:tcBorders>
              <w:bottom w:val="single" w:sz="4" w:space="0" w:color="2F5496" w:themeColor="accent1" w:themeShade="BF"/>
              <w:right w:val="nil"/>
            </w:tcBorders>
            <w:vAlign w:val="center"/>
          </w:tcPr>
          <w:p w14:paraId="7DA28529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1329" w:type="dxa"/>
            <w:tcBorders>
              <w:left w:val="nil"/>
              <w:bottom w:val="single" w:sz="4" w:space="0" w:color="2F5496" w:themeColor="accent1" w:themeShade="BF"/>
            </w:tcBorders>
            <w:vAlign w:val="center"/>
          </w:tcPr>
          <w:p w14:paraId="12251C0E" w14:textId="68826AAF" w:rsidR="006A6B42" w:rsidRPr="006A6B42" w:rsidRDefault="006A6B42" w:rsidP="006A6B42">
            <w:pPr>
              <w:jc w:val="right"/>
              <w:rPr>
                <w:rFonts w:ascii="Verdana" w:hAnsi="Verdana" w:cs="Arial"/>
                <w:i/>
                <w:iCs/>
                <w:color w:val="2F5496" w:themeColor="accent1" w:themeShade="BF"/>
                <w:sz w:val="18"/>
                <w:szCs w:val="18"/>
              </w:rPr>
            </w:pPr>
          </w:p>
        </w:tc>
        <w:tc>
          <w:tcPr>
            <w:tcW w:w="240" w:type="dxa"/>
            <w:tcBorders>
              <w:bottom w:val="single" w:sz="4" w:space="0" w:color="2F5496" w:themeColor="accent1" w:themeShade="BF"/>
            </w:tcBorders>
            <w:vAlign w:val="center"/>
          </w:tcPr>
          <w:p w14:paraId="34B20A05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  <w:tc>
          <w:tcPr>
            <w:tcW w:w="1384" w:type="dxa"/>
            <w:tcBorders>
              <w:left w:val="nil"/>
              <w:bottom w:val="single" w:sz="4" w:space="0" w:color="2F5496" w:themeColor="accent1" w:themeShade="BF"/>
            </w:tcBorders>
            <w:shd w:val="clear" w:color="000000" w:fill="FFFFFF"/>
            <w:vAlign w:val="center"/>
          </w:tcPr>
          <w:p w14:paraId="2D373FDA" w14:textId="77777777" w:rsidR="006A6B42" w:rsidRPr="006A6B42" w:rsidRDefault="006A6B42" w:rsidP="006A6B42">
            <w:pPr>
              <w:jc w:val="right"/>
              <w:rPr>
                <w:rFonts w:ascii="Verdana" w:hAnsi="Verdana" w:cs="Arial"/>
                <w:color w:val="2F5496" w:themeColor="accent1" w:themeShade="BF"/>
                <w:sz w:val="18"/>
                <w:szCs w:val="18"/>
                <w:lang w:val="el-GR"/>
              </w:rPr>
            </w:pPr>
          </w:p>
        </w:tc>
      </w:tr>
    </w:tbl>
    <w:p w14:paraId="06FC95A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306313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F9BB78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DC324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82644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24EBDE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1D74DC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BCEF055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E6B31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713466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F40BF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7CC812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14283E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5893DC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62D47BF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2648A7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1BDCF1D" w14:textId="61576818" w:rsidR="00882A5A" w:rsidRDefault="00882A5A">
      <w:pPr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br w:type="page"/>
      </w:r>
    </w:p>
    <w:p w14:paraId="7C9E73B2" w14:textId="77777777" w:rsidR="00761E3A" w:rsidRPr="00A12E81" w:rsidRDefault="00761E3A" w:rsidP="00761E3A">
      <w:pPr>
        <w:tabs>
          <w:tab w:val="left" w:pos="1080"/>
          <w:tab w:val="left" w:pos="6840"/>
        </w:tabs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A12E81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65C9731D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C521EAF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Κάλυψη και Μεθοδολογία</w:t>
      </w:r>
    </w:p>
    <w:p w14:paraId="75702924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AE736C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Παρέχεται πληροφόρηση για την ακολουθία λογαριασμών για τον τομέα της Γενικής Κυβέρνησης. Η ανάλυση αφορά τις κυριότερες κατηγορίες εσόδων και δαπανών και γίνεται διαχωρισμός των εσόδων και των εξόδων (δαπανών), σε τρέχοντα και κεφαλαιουχικά, αντίστοιχα.</w:t>
      </w:r>
    </w:p>
    <w:p w14:paraId="432E1F8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7C5BC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Τα έσοδα και οι δαπάνες για την Γενική Κυβέρνηση καλύπτουν όλους τους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υποτομείς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της Γενικής Κυβέρνησης με βάση το Ευρωπαϊκό Σύστημα Λογαριασμών 2010 (ΕΣΛ 2010).</w:t>
      </w:r>
    </w:p>
    <w:p w14:paraId="4CD9C40C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42E9A2" w14:textId="77777777" w:rsidR="001D662E" w:rsidRPr="001D662E" w:rsidRDefault="001D662E" w:rsidP="001D662E">
      <w:pPr>
        <w:jc w:val="both"/>
        <w:rPr>
          <w:rFonts w:ascii="Verdana" w:hAnsi="Verdana" w:cs="Arial"/>
          <w:b/>
          <w:bCs/>
          <w:sz w:val="18"/>
          <w:szCs w:val="18"/>
          <w:u w:val="single"/>
          <w:lang w:val="el-GR"/>
        </w:rPr>
      </w:pPr>
      <w:r w:rsidRPr="001D662E">
        <w:rPr>
          <w:rFonts w:ascii="Verdana" w:hAnsi="Verdana" w:cs="Arial"/>
          <w:b/>
          <w:bCs/>
          <w:sz w:val="18"/>
          <w:szCs w:val="18"/>
          <w:u w:val="single"/>
          <w:lang w:val="el-GR"/>
        </w:rPr>
        <w:t>Πηγή Στοιχείων</w:t>
      </w:r>
    </w:p>
    <w:p w14:paraId="7709CD8E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1FBB65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Η συλλογή των οικονομικών στοιχείων γίνεται από:</w:t>
      </w:r>
    </w:p>
    <w:p w14:paraId="3264E071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Το Ολοκληρωμένο Σύστημα Διοικητικής και Οικονομικής Πληροφόρησης του Γενικού Λογιστηρίου (FIMAS) για την Κεντρική Κυβέρνηση, τα Εκτός Προϋπολογισμού Ταμεία και για τους Οργανισμούς Κοινωνικής Ασφάλισης,</w:t>
      </w:r>
    </w:p>
    <w:p w14:paraId="6303253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- Υλοποίηση προϋπολογισμού των Δήμων και Κοινοτήτων,</w:t>
      </w:r>
    </w:p>
    <w:p w14:paraId="0AB7AAD7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 xml:space="preserve">- Υλοποίηση προϋπολογισμού των </w:t>
      </w:r>
      <w:proofErr w:type="spellStart"/>
      <w:r w:rsidRPr="001D662E">
        <w:rPr>
          <w:rFonts w:ascii="Verdana" w:hAnsi="Verdana" w:cs="Arial"/>
          <w:sz w:val="18"/>
          <w:szCs w:val="18"/>
          <w:lang w:val="el-GR"/>
        </w:rPr>
        <w:t>Ημικρατικών</w:t>
      </w:r>
      <w:proofErr w:type="spellEnd"/>
      <w:r w:rsidRPr="001D662E">
        <w:rPr>
          <w:rFonts w:ascii="Verdana" w:hAnsi="Verdana" w:cs="Arial"/>
          <w:sz w:val="18"/>
          <w:szCs w:val="18"/>
          <w:lang w:val="el-GR"/>
        </w:rPr>
        <w:t xml:space="preserve"> Οργανισμών.</w:t>
      </w:r>
    </w:p>
    <w:p w14:paraId="4321B73F" w14:textId="77777777" w:rsidR="001D662E" w:rsidRPr="001D662E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7FCE1D" w14:textId="77777777" w:rsidR="00761E3A" w:rsidRDefault="001D662E" w:rsidP="001D662E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D662E">
        <w:rPr>
          <w:rFonts w:ascii="Verdana" w:hAnsi="Verdana" w:cs="Arial"/>
          <w:sz w:val="18"/>
          <w:szCs w:val="18"/>
          <w:lang w:val="el-GR"/>
        </w:rPr>
        <w:t>Για την ολοκλήρωση των εκτιμήσεων λαμβάνονται υπόψη οποιεσδήποτε μεθοδολογικές προσαρμογές ή διορθώσεις με βάση το  Ευρωπαϊκό Σύστημα Λογαριασμών 2010 (ΕΣΛ 2010).</w:t>
      </w:r>
    </w:p>
    <w:p w14:paraId="651333C1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B571D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7DC3EAF" w14:textId="77777777" w:rsidR="00761E3A" w:rsidRDefault="00761E3A" w:rsidP="00761E3A">
      <w:pPr>
        <w:jc w:val="both"/>
        <w:rPr>
          <w:rFonts w:ascii="Verdana" w:hAnsi="Verdana"/>
          <w:b/>
          <w:bCs/>
          <w:i/>
          <w:iCs/>
          <w:sz w:val="18"/>
          <w:szCs w:val="18"/>
          <w:lang w:val="el-GR"/>
        </w:rPr>
      </w:pPr>
      <w:r>
        <w:rPr>
          <w:rFonts w:ascii="Verdana" w:hAnsi="Verdana"/>
          <w:b/>
          <w:bCs/>
          <w:i/>
          <w:iCs/>
          <w:sz w:val="18"/>
          <w:szCs w:val="18"/>
          <w:lang w:val="el-GR"/>
        </w:rPr>
        <w:t>Για περισσότερες πληροφορίες:</w:t>
      </w:r>
    </w:p>
    <w:p w14:paraId="675D9EA8" w14:textId="77777777" w:rsidR="00761E3A" w:rsidRDefault="00761E3A" w:rsidP="00761E3A">
      <w:pPr>
        <w:rPr>
          <w:color w:val="000000"/>
          <w:lang w:val="el-GR"/>
        </w:rPr>
      </w:pPr>
      <w:r>
        <w:rPr>
          <w:rFonts w:ascii="Verdana" w:hAnsi="Verdana"/>
          <w:color w:val="000000"/>
          <w:sz w:val="18"/>
          <w:szCs w:val="18"/>
          <w:lang w:val="el-GR"/>
        </w:rPr>
        <w:t>Πύλη Στατιστικής Υπηρεσίας, υπόθεμα </w:t>
      </w:r>
      <w:hyperlink r:id="rId9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Δημόσια Οικονομικά</w:t>
        </w:r>
      </w:hyperlink>
    </w:p>
    <w:p w14:paraId="0D9C8021" w14:textId="77777777" w:rsidR="001D662E" w:rsidRPr="001D662E" w:rsidRDefault="00000000" w:rsidP="001D662E">
      <w:pPr>
        <w:rPr>
          <w:rFonts w:ascii="Verdana" w:hAnsi="Verdana"/>
          <w:sz w:val="18"/>
          <w:szCs w:val="18"/>
          <w:lang w:val="el-GR"/>
        </w:rPr>
      </w:pPr>
      <w:hyperlink r:id="rId10" w:history="1">
        <w:r w:rsidR="001D662E" w:rsidRPr="001D662E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="001D662E" w:rsidRPr="001D662E">
        <w:rPr>
          <w:rFonts w:ascii="Verdana" w:hAnsi="Verdana"/>
          <w:sz w:val="18"/>
          <w:szCs w:val="18"/>
          <w:lang w:val="el-GR"/>
        </w:rPr>
        <w:t xml:space="preserve"> (</w:t>
      </w:r>
      <w:r w:rsidR="001D662E" w:rsidRPr="001D662E">
        <w:rPr>
          <w:rFonts w:ascii="Verdana" w:hAnsi="Verdana"/>
          <w:sz w:val="18"/>
          <w:szCs w:val="18"/>
        </w:rPr>
        <w:t>Excel</w:t>
      </w:r>
      <w:r w:rsidR="001D662E" w:rsidRPr="001D662E">
        <w:rPr>
          <w:rFonts w:ascii="Verdana" w:hAnsi="Verdana"/>
          <w:sz w:val="18"/>
          <w:szCs w:val="18"/>
          <w:lang w:val="el-GR"/>
        </w:rPr>
        <w:t>)</w:t>
      </w:r>
    </w:p>
    <w:p w14:paraId="47EC3772" w14:textId="77777777" w:rsidR="00761E3A" w:rsidRDefault="00761E3A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C17F8DD" w14:textId="77777777" w:rsidR="000D145B" w:rsidRPr="00573F8E" w:rsidRDefault="000D145B" w:rsidP="000D145B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573F8E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573F8E">
        <w:rPr>
          <w:rFonts w:ascii="Verdana" w:hAnsi="Verdana"/>
          <w:sz w:val="18"/>
          <w:szCs w:val="18"/>
          <w:lang w:val="el-GR"/>
        </w:rPr>
        <w:t xml:space="preserve"> </w:t>
      </w:r>
    </w:p>
    <w:p w14:paraId="6EA8A990" w14:textId="45296FC1" w:rsidR="009102F6" w:rsidRPr="00C61338" w:rsidRDefault="00C61338" w:rsidP="009102F6">
      <w:pPr>
        <w:tabs>
          <w:tab w:val="left" w:pos="1080"/>
          <w:tab w:val="left" w:pos="7088"/>
        </w:tabs>
        <w:jc w:val="both"/>
        <w:rPr>
          <w:lang w:val="el-GR"/>
        </w:rPr>
      </w:pPr>
      <w:proofErr w:type="spellStart"/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Παντζιαράς</w:t>
      </w:r>
      <w:proofErr w:type="spellEnd"/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 Μιχάλης</w:t>
      </w:r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: </w:t>
      </w:r>
      <w:proofErr w:type="spellStart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Τηλ</w:t>
      </w:r>
      <w:proofErr w:type="spellEnd"/>
      <w:r w:rsidR="009102F6" w:rsidRPr="0016040F">
        <w:rPr>
          <w:rFonts w:ascii="Verdana" w:eastAsia="Malgun Gothic" w:hAnsi="Verdana" w:cs="Arial"/>
          <w:color w:val="000000"/>
          <w:sz w:val="18"/>
          <w:szCs w:val="18"/>
          <w:lang w:val="el-GR"/>
        </w:rPr>
        <w:t>.</w:t>
      </w:r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:+357226</w:t>
      </w:r>
      <w:r w:rsidR="009102F6">
        <w:rPr>
          <w:rFonts w:ascii="Verdana" w:eastAsia="Malgun Gothic" w:hAnsi="Verdana" w:cs="Arial"/>
          <w:color w:val="000000"/>
          <w:sz w:val="18"/>
          <w:szCs w:val="18"/>
          <w:lang w:val="el-GR"/>
        </w:rPr>
        <w:t>0</w:t>
      </w:r>
      <w:r>
        <w:rPr>
          <w:rFonts w:ascii="Verdana" w:eastAsia="Malgun Gothic" w:hAnsi="Verdana" w:cs="Arial"/>
          <w:color w:val="000000"/>
          <w:sz w:val="18"/>
          <w:szCs w:val="18"/>
          <w:lang w:val="el-GR"/>
        </w:rPr>
        <w:t>5127</w:t>
      </w:r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, </w:t>
      </w:r>
      <w:bookmarkStart w:id="2" w:name="_Hlk139008772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Ηλεκτρ. </w:t>
      </w:r>
      <w:proofErr w:type="spellStart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>Ταχ</w:t>
      </w:r>
      <w:proofErr w:type="spellEnd"/>
      <w:r w:rsidR="009102F6" w:rsidRPr="00573F8E">
        <w:rPr>
          <w:rFonts w:ascii="Verdana" w:eastAsia="Malgun Gothic" w:hAnsi="Verdana" w:cs="Arial"/>
          <w:color w:val="000000"/>
          <w:sz w:val="18"/>
          <w:szCs w:val="18"/>
          <w:lang w:val="el-GR"/>
        </w:rPr>
        <w:t xml:space="preserve">.: </w:t>
      </w:r>
      <w:bookmarkEnd w:id="2"/>
      <w:r>
        <w:fldChar w:fldCharType="begin"/>
      </w:r>
      <w:r>
        <w:instrText>HYPERLINK</w:instrText>
      </w:r>
      <w:r w:rsidRPr="00C61338">
        <w:rPr>
          <w:lang w:val="el-GR"/>
        </w:rPr>
        <w:instrText xml:space="preserve"> "</w:instrText>
      </w:r>
      <w:r>
        <w:instrText>mailto</w:instrText>
      </w:r>
      <w:r w:rsidRPr="00C61338">
        <w:rPr>
          <w:lang w:val="el-GR"/>
        </w:rPr>
        <w:instrText>:</w:instrText>
      </w:r>
      <w:r w:rsidRPr="00C61338">
        <w:instrText>MPantziaras</w:instrText>
      </w:r>
      <w:r w:rsidRPr="00C61338">
        <w:rPr>
          <w:lang w:val="el-GR"/>
        </w:rPr>
        <w:instrText>@</w:instrText>
      </w:r>
      <w:r w:rsidRPr="00C61338">
        <w:instrText>cystat</w:instrText>
      </w:r>
      <w:r w:rsidRPr="00C61338">
        <w:rPr>
          <w:lang w:val="el-GR"/>
        </w:rPr>
        <w:instrText>.</w:instrText>
      </w:r>
      <w:r w:rsidRPr="00C61338">
        <w:instrText>mof</w:instrText>
      </w:r>
      <w:r w:rsidRPr="00C61338">
        <w:rPr>
          <w:lang w:val="el-GR"/>
        </w:rPr>
        <w:instrText>.</w:instrText>
      </w:r>
      <w:r w:rsidRPr="00C61338">
        <w:instrText>gov</w:instrText>
      </w:r>
      <w:r w:rsidRPr="00C61338">
        <w:rPr>
          <w:lang w:val="el-GR"/>
        </w:rPr>
        <w:instrText>.</w:instrText>
      </w:r>
      <w:r w:rsidRPr="00C61338">
        <w:instrText>cy</w:instrText>
      </w:r>
      <w:r w:rsidRPr="00C61338">
        <w:rPr>
          <w:lang w:val="el-GR"/>
        </w:rPr>
        <w:instrText>"</w:instrText>
      </w:r>
      <w:r>
        <w:fldChar w:fldCharType="separate"/>
      </w:r>
      <w:r w:rsidRPr="001E3D6A">
        <w:rPr>
          <w:rStyle w:val="Hyperlink"/>
        </w:rPr>
        <w:t>MPantziaras</w:t>
      </w:r>
      <w:r w:rsidRPr="001E3D6A">
        <w:rPr>
          <w:rStyle w:val="Hyperlink"/>
          <w:lang w:val="el-GR"/>
        </w:rPr>
        <w:t>@</w:t>
      </w:r>
      <w:r w:rsidRPr="001E3D6A">
        <w:rPr>
          <w:rStyle w:val="Hyperlink"/>
        </w:rPr>
        <w:t>cystat</w:t>
      </w:r>
      <w:r w:rsidRPr="001E3D6A">
        <w:rPr>
          <w:rStyle w:val="Hyperlink"/>
          <w:lang w:val="el-GR"/>
        </w:rPr>
        <w:t>.</w:t>
      </w:r>
      <w:r w:rsidRPr="001E3D6A">
        <w:rPr>
          <w:rStyle w:val="Hyperlink"/>
        </w:rPr>
        <w:t>mof</w:t>
      </w:r>
      <w:r w:rsidRPr="001E3D6A">
        <w:rPr>
          <w:rStyle w:val="Hyperlink"/>
          <w:lang w:val="el-GR"/>
        </w:rPr>
        <w:t>.</w:t>
      </w:r>
      <w:r w:rsidRPr="001E3D6A">
        <w:rPr>
          <w:rStyle w:val="Hyperlink"/>
        </w:rPr>
        <w:t>gov</w:t>
      </w:r>
      <w:r w:rsidRPr="001E3D6A">
        <w:rPr>
          <w:rStyle w:val="Hyperlink"/>
          <w:lang w:val="el-GR"/>
        </w:rPr>
        <w:t>.</w:t>
      </w:r>
      <w:r w:rsidRPr="001E3D6A">
        <w:rPr>
          <w:rStyle w:val="Hyperlink"/>
        </w:rPr>
        <w:t>cy</w:t>
      </w:r>
      <w:r>
        <w:fldChar w:fldCharType="end"/>
      </w:r>
    </w:p>
    <w:p w14:paraId="04C2AB2F" w14:textId="77777777" w:rsidR="00C61338" w:rsidRPr="00C61338" w:rsidRDefault="00C61338" w:rsidP="009102F6">
      <w:pPr>
        <w:tabs>
          <w:tab w:val="left" w:pos="1080"/>
          <w:tab w:val="left" w:pos="7088"/>
        </w:tabs>
        <w:jc w:val="both"/>
        <w:rPr>
          <w:rFonts w:ascii="Verdana" w:eastAsia="Malgun Gothic" w:hAnsi="Verdana" w:cs="Arial"/>
          <w:color w:val="0000FF"/>
          <w:sz w:val="18"/>
          <w:szCs w:val="18"/>
          <w:u w:val="single"/>
          <w:lang w:val="el-GR"/>
        </w:rPr>
      </w:pPr>
    </w:p>
    <w:p w14:paraId="245BAE6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C3EC1B7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9A85F0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91116C9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FA40B9D" w14:textId="7777777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E652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4E1856" w14:textId="77777777" w:rsidR="00E6521D" w:rsidRDefault="00E6521D" w:rsidP="00FB398F">
      <w:r>
        <w:separator/>
      </w:r>
    </w:p>
  </w:endnote>
  <w:endnote w:type="continuationSeparator" w:id="0">
    <w:p w14:paraId="2EE465BC" w14:textId="77777777" w:rsidR="00E6521D" w:rsidRDefault="00E6521D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5BEBF4" w14:textId="77777777" w:rsidR="004845C3" w:rsidRDefault="00484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572E2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E56698">
      <w:fldChar w:fldCharType="begin"/>
    </w:r>
    <w:r w:rsidR="004D4950">
      <w:instrText xml:space="preserve"> PAGE   \* MERGEFORMAT </w:instrText>
    </w:r>
    <w:r w:rsidR="00E56698">
      <w:fldChar w:fldCharType="separate"/>
    </w:r>
    <w:r w:rsidR="00803320">
      <w:rPr>
        <w:noProof/>
      </w:rPr>
      <w:t>2</w:t>
    </w:r>
    <w:r w:rsidR="00E56698">
      <w:rPr>
        <w:noProof/>
      </w:rPr>
      <w:fldChar w:fldCharType="end"/>
    </w:r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2E42B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5981A4A" w14:textId="77777777" w:rsidR="004E4F42" w:rsidRPr="00301FCB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301FCB">
      <w:rPr>
        <w:rFonts w:ascii="Arial" w:hAnsi="Arial" w:cs="Arial"/>
        <w:i/>
        <w:iCs/>
        <w:sz w:val="16"/>
        <w:szCs w:val="16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301FCB">
      <w:rPr>
        <w:rFonts w:ascii="Arial" w:hAnsi="Arial" w:cs="Arial"/>
        <w:i/>
        <w:iCs/>
        <w:sz w:val="16"/>
        <w:szCs w:val="16"/>
      </w:rPr>
      <w:t xml:space="preserve">:  22 661313, </w:t>
    </w:r>
    <w:r w:rsidRPr="00233FBF">
      <w:rPr>
        <w:rFonts w:ascii="Arial" w:hAnsi="Arial" w:cs="Arial"/>
        <w:i/>
        <w:iCs/>
        <w:sz w:val="16"/>
        <w:szCs w:val="16"/>
        <w:lang w:val="de-DE"/>
      </w:rPr>
      <w:t>E</w:t>
    </w:r>
    <w:r w:rsidRPr="00301FCB">
      <w:rPr>
        <w:rFonts w:ascii="Arial" w:hAnsi="Arial" w:cs="Arial"/>
        <w:i/>
        <w:iCs/>
        <w:sz w:val="16"/>
        <w:szCs w:val="16"/>
      </w:rPr>
      <w:t>-</w:t>
    </w:r>
    <w:r w:rsidRPr="00233FBF">
      <w:rPr>
        <w:rFonts w:ascii="Arial" w:hAnsi="Arial" w:cs="Arial"/>
        <w:i/>
        <w:iCs/>
        <w:sz w:val="16"/>
        <w:szCs w:val="16"/>
        <w:lang w:val="de-DE"/>
      </w:rPr>
      <w:t>mail</w:t>
    </w:r>
    <w:r w:rsidRPr="00301FCB">
      <w:rPr>
        <w:rFonts w:ascii="Arial" w:hAnsi="Arial" w:cs="Arial"/>
        <w:i/>
        <w:iCs/>
        <w:sz w:val="16"/>
        <w:szCs w:val="16"/>
      </w:rPr>
      <w:t xml:space="preserve">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enquiries</w:t>
      </w:r>
      <w:r w:rsidRPr="00301FCB">
        <w:rPr>
          <w:rStyle w:val="Hyperlink"/>
          <w:rFonts w:ascii="Arial" w:hAnsi="Arial" w:cs="Arial"/>
          <w:i/>
          <w:iCs/>
          <w:sz w:val="16"/>
          <w:szCs w:val="16"/>
        </w:rPr>
        <w:t>@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cystat</w:t>
      </w:r>
      <w:r w:rsidRPr="00301FCB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mof</w:t>
      </w:r>
      <w:r w:rsidRPr="00301FCB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gov</w:t>
      </w:r>
      <w:r w:rsidRPr="00301FCB">
        <w:rPr>
          <w:rStyle w:val="Hyperlink"/>
          <w:rFonts w:ascii="Arial" w:hAnsi="Arial" w:cs="Arial"/>
          <w:i/>
          <w:iCs/>
          <w:sz w:val="16"/>
          <w:szCs w:val="16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de-DE"/>
        </w:rPr>
        <w:t>cy</w:t>
      </w:r>
    </w:hyperlink>
    <w:r w:rsidRPr="00301FCB">
      <w:rPr>
        <w:rFonts w:ascii="Arial" w:hAnsi="Arial" w:cs="Arial"/>
        <w:i/>
        <w:iCs/>
        <w:sz w:val="16"/>
        <w:szCs w:val="16"/>
      </w:rPr>
      <w:t xml:space="preserve">  </w:t>
    </w:r>
  </w:p>
  <w:p w14:paraId="67356C76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2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8E689" w14:textId="77777777" w:rsidR="00E6521D" w:rsidRDefault="00E6521D" w:rsidP="00FB398F">
      <w:r>
        <w:separator/>
      </w:r>
    </w:p>
  </w:footnote>
  <w:footnote w:type="continuationSeparator" w:id="0">
    <w:p w14:paraId="205368F3" w14:textId="77777777" w:rsidR="00E6521D" w:rsidRDefault="00E6521D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C85209" w14:textId="77777777" w:rsidR="004845C3" w:rsidRDefault="004845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571522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64BB60" w14:textId="29FFFFA2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56192" behindDoc="0" locked="0" layoutInCell="1" allowOverlap="1" wp14:anchorId="34DAD577" wp14:editId="4A3C04E8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95077A" wp14:editId="75B48930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8415" cy="1047750"/>
              <wp:effectExtent l="0" t="0" r="7620" b="0"/>
              <wp:wrapNone/>
              <wp:docPr id="133217183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77516A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0BE433C8" wp14:editId="4CA343C4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9507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75.8pt;margin-top:-5.45pt;width:101.45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EhEAIAACoEAAAOAAAAZHJzL2Uyb0RvYy54bWysU8Fu2zAMvQ/YPwi6L7aDZEmNOEWXLsOA&#10;rhvQ7QNkWbaFSaIgKbGzrx8lp2nQ3Yr5IIgm9Ug+Pm5uR63IUTgvwVS0mOWUCMOhkaar6K+f+w9r&#10;SnxgpmEKjKjoSXh6u33/bjPYUsyhB9UIRxDE+HKwFe1DsGWWed4LzfwMrDDobMFpFtB0XdY4NiC6&#10;Vtk8zz9mA7jGOuDCe/x7PznpNuG3reDhe9t6EYiqKNYW0unSWccz225Y2Tlme8nPZbA3VKGZNJj0&#10;AnXPAiMHJ/+B0pI78NCGGQedQdtKLlIP2E2Rv+rmqWdWpF6QHG8vNPn/B8sfj0/2hyNh/AQjDjA1&#10;4e0D8N+eGNj1zHTizjkYesEaTFxEyrLB+vL8NFLtSx9B6uEbNDhkdgiQgMbW6cgK9kkQHQdwupAu&#10;xkB4TDlfrxfFkhKOviJfrFbLNJaMlc/PrfPhiwBN4qWiDqea4NnxwYdYDiufQ2I2D0o2e6lUMlxX&#10;75QjR4YK2KcvdfAqTBkyVPRmOV9ODLwBQsuAUlZSV3Sdx28SV+Tts2mS0AKTarpjycqciYzcTSyG&#10;sR4xMBJaQ3NCSh1MksUVw0sP7g8lA8q1ogb3iRL11eBQborFIqo7GYvlao6Gu/bU1x5mOAJVNFAy&#10;XXdh2oiDdbLrMc8kAwN3OMhWJopfajpXjYJMzJ+XJyr+2k5RLyu+/QsAAP//AwBQSwMEFAAGAAgA&#10;AAAhAE4Sc5LhAAAACwEAAA8AAABkcnMvZG93bnJldi54bWxMj0FPg0AQhe8m/ofNmHhrFwxUS1ma&#10;ptGbmhY99DhlVyBlZym7LfjvHU96nLwv732TryfbiasZfOtIQTyPQBiqnG6pVvD58TJ7AuEDksbO&#10;kVHwbTysi9ubHDPtRtqbaxlqwSXkM1TQhNBnUvqqMRb93PWGOPtyg8XA51BLPeDI5baTD1G0kBZb&#10;4oUGe7NtTHUqL1bB8wl37+14fju48+Z1v9smSdk5pe7vps0KRDBT+IPhV5/VoWCno7uQ9qJT8JjG&#10;C0YVzOJoCYKJZZqkII6MpkkMssjl/x+KHwAAAP//AwBQSwECLQAUAAYACAAAACEAtoM4kv4AAADh&#10;AQAAEwAAAAAAAAAAAAAAAAAAAAAAW0NvbnRlbnRfVHlwZXNdLnhtbFBLAQItABQABgAIAAAAIQA4&#10;/SH/1gAAAJQBAAALAAAAAAAAAAAAAAAAAC8BAABfcmVscy8ucmVsc1BLAQItABQABgAIAAAAIQAv&#10;PqEhEAIAACoEAAAOAAAAAAAAAAAAAAAAAC4CAABkcnMvZTJvRG9jLnhtbFBLAQItABQABgAIAAAA&#10;IQBOEnOS4QAAAAsBAAAPAAAAAAAAAAAAAAAAAGoEAABkcnMvZG93bnJldi54bWxQSwUGAAAAAAQA&#10;BADzAAAAeAUAAAAA&#10;" strokecolor="white">
              <v:textbox>
                <w:txbxContent>
                  <w:p w14:paraId="4577516A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0BE433C8" wp14:editId="4CA343C4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4DE8"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CD34D" wp14:editId="08208AFB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9390" cy="1200150"/>
              <wp:effectExtent l="0" t="0" r="0" b="0"/>
              <wp:wrapNone/>
              <wp:docPr id="15098694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562FD" w14:textId="77777777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2E6B9451" wp14:editId="7025A04B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4CD34D" id="Text Box 2" o:spid="_x0000_s1027" type="#_x0000_t202" style="position:absolute;left:0;text-align:left;margin-left:270.8pt;margin-top:-17.45pt;width:115.7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ISEgIAADEEAAAOAAAAZHJzL2Uyb0RvYy54bWysU9tu2zAMfR+wfxD0vjjOkq4x4hRdugwD&#10;ugvQ7QNkWY6FyaJAKbG7rx8lu2nQvRXzg0Ca0iF5eLi5GTrDTgq9BlvyfDbnTFkJtbaHkv/6uX93&#10;zZkPwtbCgFUlf1Se32zfvtn0rlALaMHUChmBWF/0ruRtCK7IMi9b1Qk/A6csBRvATgRy8ZDVKHpC&#10;70y2mM+vsh6wdghSeU9/78Yg3yb8plEyfG8arwIzJafaQjoxnVU8s+1GFAcUrtVyKkO8oopOaEtJ&#10;z1B3Igh2RP0PVKclgocmzCR0GTSNlir1QN3k8xfdPLTCqdQLkePdmSb//2Dlt9OD+4EsDB9hoAGm&#10;Jry7B/nbMwu7VtiDukWEvlWipsR5pCzrnS+mp5FqX/gIUvVfoaYhi2OABDQ02EVWqE9G6DSAxzPp&#10;aghMxpTLq/X7NYUkxXKaab5KY8lE8fTcoQ+fFXQsGiVHmmqCF6d7H2I5oni6ErN5MLrea2OSg4dq&#10;Z5CdBClgn77UwYtrxrK+5OvVYjUy8AqITgeSstFdya/n8RvFFXn7ZOsktCC0GW0q2diJyMjdyGIY&#10;qoHpemI58lpB/UjMIozKpU0jowX8w1lPqi25pbXizHyxNJt1vlxGkSdnufqwIAcvI9VlRFhJQCUP&#10;nI3mLoyLcXSoDy3lGdVg4Zbm2ejE9HNNU/GkyzSAaYei8C/9dOt507d/AQAA//8DAFBLAwQUAAYA&#10;CAAAACEARr4LcOAAAAALAQAADwAAAGRycy9kb3ducmV2LnhtbEyPwU7DMBBE70j8g7VI3FqnNLQQ&#10;4lRVBTeo2sCB4zY2SVR7ncZuE/6e5QTH1TzNvslXo7PiYvrQelIwmyYgDFVet1Qr+Hh/mTyACBFJ&#10;o/VkFHybAKvi+irHTPuB9uZSxlpwCYUMFTQxdpmUoWqMwzD1nSHOvnzvMPLZ11L3OHC5s/IuSRbS&#10;YUv8ocHObBpTHcuzU/B8xN22HU5vn/60ft3vNmlaWq/U7c24fgIRzRj/YPjVZ3Uo2Ongz6SDsAru&#10;09mCUQWTefoIgonlcs7rDoxyBrLI5f8NxQ8AAAD//wMAUEsBAi0AFAAGAAgAAAAhALaDOJL+AAAA&#10;4QEAABMAAAAAAAAAAAAAAAAAAAAAAFtDb250ZW50X1R5cGVzXS54bWxQSwECLQAUAAYACAAAACEA&#10;OP0h/9YAAACUAQAACwAAAAAAAAAAAAAAAAAvAQAAX3JlbHMvLnJlbHNQSwECLQAUAAYACAAAACEA&#10;XgQiEhICAAAxBAAADgAAAAAAAAAAAAAAAAAuAgAAZHJzL2Uyb0RvYy54bWxQSwECLQAUAAYACAAA&#10;ACEARr4LcOAAAAALAQAADwAAAAAAAAAAAAAAAABsBAAAZHJzL2Rvd25yZXYueG1sUEsFBgAAAAAE&#10;AAQA8wAAAHkFAAAAAA==&#10;" strokecolor="white">
              <v:textbox>
                <w:txbxContent>
                  <w:p w14:paraId="470562FD" w14:textId="77777777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2E6B9451" wp14:editId="7025A04B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D74FB02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BCE7138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79DA34B3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4324C28B" w14:textId="0BE3EE45" w:rsidR="004E4F42" w:rsidRDefault="00C74DE8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52EDBD" wp14:editId="16E5E08B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20340225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1904FDE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54DAA0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52EDBD" id="Text Box 1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61904FDE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854DAA0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44830B9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10822E6F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6D3C0A4D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2454327">
    <w:abstractNumId w:val="4"/>
  </w:num>
  <w:num w:numId="2" w16cid:durableId="1320503049">
    <w:abstractNumId w:val="1"/>
  </w:num>
  <w:num w:numId="3" w16cid:durableId="1810125999">
    <w:abstractNumId w:val="2"/>
  </w:num>
  <w:num w:numId="4" w16cid:durableId="530650003">
    <w:abstractNumId w:val="3"/>
  </w:num>
  <w:num w:numId="5" w16cid:durableId="545416022">
    <w:abstractNumId w:val="0"/>
  </w:num>
  <w:num w:numId="6" w16cid:durableId="81063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069CD"/>
    <w:rsid w:val="00013600"/>
    <w:rsid w:val="00013E40"/>
    <w:rsid w:val="000158B7"/>
    <w:rsid w:val="00015E84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64E0F"/>
    <w:rsid w:val="00070576"/>
    <w:rsid w:val="000752BB"/>
    <w:rsid w:val="00081ADF"/>
    <w:rsid w:val="00084A02"/>
    <w:rsid w:val="00084BF7"/>
    <w:rsid w:val="00085C1A"/>
    <w:rsid w:val="000870E9"/>
    <w:rsid w:val="00090281"/>
    <w:rsid w:val="0009191C"/>
    <w:rsid w:val="000932CF"/>
    <w:rsid w:val="00096ED8"/>
    <w:rsid w:val="000A1A88"/>
    <w:rsid w:val="000A2B5C"/>
    <w:rsid w:val="000A3601"/>
    <w:rsid w:val="000A5FF0"/>
    <w:rsid w:val="000A6FA8"/>
    <w:rsid w:val="000C1070"/>
    <w:rsid w:val="000C4E72"/>
    <w:rsid w:val="000D145B"/>
    <w:rsid w:val="000D1E7A"/>
    <w:rsid w:val="000D64D2"/>
    <w:rsid w:val="000E24B1"/>
    <w:rsid w:val="000E2735"/>
    <w:rsid w:val="000E32D6"/>
    <w:rsid w:val="000E4CB0"/>
    <w:rsid w:val="000E57F2"/>
    <w:rsid w:val="000E72A7"/>
    <w:rsid w:val="000F1162"/>
    <w:rsid w:val="000F2B47"/>
    <w:rsid w:val="000F3467"/>
    <w:rsid w:val="000F38DE"/>
    <w:rsid w:val="000F532A"/>
    <w:rsid w:val="000F5D6C"/>
    <w:rsid w:val="000F71E6"/>
    <w:rsid w:val="000F7CB3"/>
    <w:rsid w:val="00106852"/>
    <w:rsid w:val="00110F9D"/>
    <w:rsid w:val="0011181A"/>
    <w:rsid w:val="00114A67"/>
    <w:rsid w:val="001253B6"/>
    <w:rsid w:val="001262C3"/>
    <w:rsid w:val="00126788"/>
    <w:rsid w:val="00127320"/>
    <w:rsid w:val="00127456"/>
    <w:rsid w:val="001312D8"/>
    <w:rsid w:val="0013137B"/>
    <w:rsid w:val="0015118B"/>
    <w:rsid w:val="001519CE"/>
    <w:rsid w:val="00161CF3"/>
    <w:rsid w:val="00162C00"/>
    <w:rsid w:val="001639EF"/>
    <w:rsid w:val="0016589F"/>
    <w:rsid w:val="00166624"/>
    <w:rsid w:val="001712CF"/>
    <w:rsid w:val="0017769A"/>
    <w:rsid w:val="00183DFC"/>
    <w:rsid w:val="00184384"/>
    <w:rsid w:val="00186717"/>
    <w:rsid w:val="00187FFC"/>
    <w:rsid w:val="0019391C"/>
    <w:rsid w:val="00197986"/>
    <w:rsid w:val="001A2018"/>
    <w:rsid w:val="001B2C39"/>
    <w:rsid w:val="001B3675"/>
    <w:rsid w:val="001B5E10"/>
    <w:rsid w:val="001B6AB3"/>
    <w:rsid w:val="001B73D5"/>
    <w:rsid w:val="001C0681"/>
    <w:rsid w:val="001C4DC0"/>
    <w:rsid w:val="001C62B3"/>
    <w:rsid w:val="001C7613"/>
    <w:rsid w:val="001C7C8C"/>
    <w:rsid w:val="001D0D6A"/>
    <w:rsid w:val="001D20A4"/>
    <w:rsid w:val="001D662E"/>
    <w:rsid w:val="001E00D1"/>
    <w:rsid w:val="001E00D9"/>
    <w:rsid w:val="001E0E58"/>
    <w:rsid w:val="001E14F3"/>
    <w:rsid w:val="001E15ED"/>
    <w:rsid w:val="001E18F4"/>
    <w:rsid w:val="001E61AA"/>
    <w:rsid w:val="002000F1"/>
    <w:rsid w:val="0020309E"/>
    <w:rsid w:val="00210B58"/>
    <w:rsid w:val="00222423"/>
    <w:rsid w:val="00224775"/>
    <w:rsid w:val="00225B28"/>
    <w:rsid w:val="00226891"/>
    <w:rsid w:val="00230D9B"/>
    <w:rsid w:val="002313AC"/>
    <w:rsid w:val="00235FB2"/>
    <w:rsid w:val="00237BC1"/>
    <w:rsid w:val="00241362"/>
    <w:rsid w:val="002430B4"/>
    <w:rsid w:val="00243109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57D60"/>
    <w:rsid w:val="00260357"/>
    <w:rsid w:val="00264F04"/>
    <w:rsid w:val="00267554"/>
    <w:rsid w:val="00273C6B"/>
    <w:rsid w:val="0028338F"/>
    <w:rsid w:val="002847A0"/>
    <w:rsid w:val="002915C4"/>
    <w:rsid w:val="00297E6B"/>
    <w:rsid w:val="002A1D1C"/>
    <w:rsid w:val="002A3E32"/>
    <w:rsid w:val="002A4D64"/>
    <w:rsid w:val="002B4969"/>
    <w:rsid w:val="002B6554"/>
    <w:rsid w:val="002C071F"/>
    <w:rsid w:val="002D05F0"/>
    <w:rsid w:val="002D2829"/>
    <w:rsid w:val="002D7D4A"/>
    <w:rsid w:val="002E0E52"/>
    <w:rsid w:val="002E3846"/>
    <w:rsid w:val="002E3F78"/>
    <w:rsid w:val="002F1DAB"/>
    <w:rsid w:val="002F400C"/>
    <w:rsid w:val="002F4D76"/>
    <w:rsid w:val="002F6D26"/>
    <w:rsid w:val="00301FCB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42A5"/>
    <w:rsid w:val="00334616"/>
    <w:rsid w:val="00336C36"/>
    <w:rsid w:val="00343815"/>
    <w:rsid w:val="00350FC8"/>
    <w:rsid w:val="003522BB"/>
    <w:rsid w:val="00352F6C"/>
    <w:rsid w:val="00354C7D"/>
    <w:rsid w:val="003556EA"/>
    <w:rsid w:val="00376296"/>
    <w:rsid w:val="003809E8"/>
    <w:rsid w:val="00386FC7"/>
    <w:rsid w:val="00390A32"/>
    <w:rsid w:val="003A172C"/>
    <w:rsid w:val="003A1E91"/>
    <w:rsid w:val="003A40F2"/>
    <w:rsid w:val="003A50D1"/>
    <w:rsid w:val="003B196D"/>
    <w:rsid w:val="003B2710"/>
    <w:rsid w:val="003B4608"/>
    <w:rsid w:val="003B4753"/>
    <w:rsid w:val="003C0B1E"/>
    <w:rsid w:val="003C2392"/>
    <w:rsid w:val="003C5174"/>
    <w:rsid w:val="003C5240"/>
    <w:rsid w:val="003C76E6"/>
    <w:rsid w:val="003D14E0"/>
    <w:rsid w:val="003D1EA5"/>
    <w:rsid w:val="003D2442"/>
    <w:rsid w:val="003D3348"/>
    <w:rsid w:val="003D4875"/>
    <w:rsid w:val="003D4E63"/>
    <w:rsid w:val="003D6822"/>
    <w:rsid w:val="003D724C"/>
    <w:rsid w:val="003E0CE2"/>
    <w:rsid w:val="003F374F"/>
    <w:rsid w:val="003F49E4"/>
    <w:rsid w:val="003F4D2F"/>
    <w:rsid w:val="003F5E32"/>
    <w:rsid w:val="003F75F6"/>
    <w:rsid w:val="004044B8"/>
    <w:rsid w:val="00404670"/>
    <w:rsid w:val="00414CA0"/>
    <w:rsid w:val="00417060"/>
    <w:rsid w:val="00422F54"/>
    <w:rsid w:val="0042601B"/>
    <w:rsid w:val="00431516"/>
    <w:rsid w:val="004361B3"/>
    <w:rsid w:val="0044249D"/>
    <w:rsid w:val="0044379F"/>
    <w:rsid w:val="00444FCC"/>
    <w:rsid w:val="00446FB1"/>
    <w:rsid w:val="00452753"/>
    <w:rsid w:val="004551CD"/>
    <w:rsid w:val="004563F9"/>
    <w:rsid w:val="0046078F"/>
    <w:rsid w:val="00463214"/>
    <w:rsid w:val="00463BCB"/>
    <w:rsid w:val="0046434D"/>
    <w:rsid w:val="004656FA"/>
    <w:rsid w:val="00471D77"/>
    <w:rsid w:val="00475587"/>
    <w:rsid w:val="0047741C"/>
    <w:rsid w:val="00480BC2"/>
    <w:rsid w:val="004845C3"/>
    <w:rsid w:val="004929C2"/>
    <w:rsid w:val="00493FDD"/>
    <w:rsid w:val="0049586B"/>
    <w:rsid w:val="00497113"/>
    <w:rsid w:val="004A0AE6"/>
    <w:rsid w:val="004A38A7"/>
    <w:rsid w:val="004A3E44"/>
    <w:rsid w:val="004B2018"/>
    <w:rsid w:val="004B2896"/>
    <w:rsid w:val="004B38E9"/>
    <w:rsid w:val="004B3FBA"/>
    <w:rsid w:val="004B4EF6"/>
    <w:rsid w:val="004B6599"/>
    <w:rsid w:val="004C07A0"/>
    <w:rsid w:val="004C64E3"/>
    <w:rsid w:val="004C6CA7"/>
    <w:rsid w:val="004C7638"/>
    <w:rsid w:val="004D4357"/>
    <w:rsid w:val="004D4950"/>
    <w:rsid w:val="004D538A"/>
    <w:rsid w:val="004E0B0A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2D50"/>
    <w:rsid w:val="00505503"/>
    <w:rsid w:val="0051107B"/>
    <w:rsid w:val="00512F9C"/>
    <w:rsid w:val="00513B93"/>
    <w:rsid w:val="00523FCF"/>
    <w:rsid w:val="00527CDB"/>
    <w:rsid w:val="005341C9"/>
    <w:rsid w:val="005369CA"/>
    <w:rsid w:val="00536DE9"/>
    <w:rsid w:val="00541E08"/>
    <w:rsid w:val="005477BE"/>
    <w:rsid w:val="00554FE0"/>
    <w:rsid w:val="0055789A"/>
    <w:rsid w:val="00560952"/>
    <w:rsid w:val="005652D1"/>
    <w:rsid w:val="005660A0"/>
    <w:rsid w:val="00566A4F"/>
    <w:rsid w:val="00567D64"/>
    <w:rsid w:val="005747B4"/>
    <w:rsid w:val="005978D4"/>
    <w:rsid w:val="00597B3C"/>
    <w:rsid w:val="005A23FA"/>
    <w:rsid w:val="005A7791"/>
    <w:rsid w:val="005B2A67"/>
    <w:rsid w:val="005B3DCD"/>
    <w:rsid w:val="005B4240"/>
    <w:rsid w:val="005B4AD4"/>
    <w:rsid w:val="005C2798"/>
    <w:rsid w:val="005C2B85"/>
    <w:rsid w:val="005C36C3"/>
    <w:rsid w:val="005C40D3"/>
    <w:rsid w:val="005C56EE"/>
    <w:rsid w:val="005D1714"/>
    <w:rsid w:val="005D7638"/>
    <w:rsid w:val="005E1D85"/>
    <w:rsid w:val="005F12F5"/>
    <w:rsid w:val="005F7C7D"/>
    <w:rsid w:val="006044B7"/>
    <w:rsid w:val="006071CE"/>
    <w:rsid w:val="006075B5"/>
    <w:rsid w:val="0061018C"/>
    <w:rsid w:val="0061094E"/>
    <w:rsid w:val="0061179A"/>
    <w:rsid w:val="00613440"/>
    <w:rsid w:val="00613BE3"/>
    <w:rsid w:val="0062327B"/>
    <w:rsid w:val="00632777"/>
    <w:rsid w:val="00633750"/>
    <w:rsid w:val="00634491"/>
    <w:rsid w:val="0063636A"/>
    <w:rsid w:val="0063679C"/>
    <w:rsid w:val="00637055"/>
    <w:rsid w:val="00641D59"/>
    <w:rsid w:val="00644507"/>
    <w:rsid w:val="00646880"/>
    <w:rsid w:val="00647D2A"/>
    <w:rsid w:val="006537BB"/>
    <w:rsid w:val="0065643E"/>
    <w:rsid w:val="0066089C"/>
    <w:rsid w:val="00667E07"/>
    <w:rsid w:val="00671785"/>
    <w:rsid w:val="00672BA9"/>
    <w:rsid w:val="00673005"/>
    <w:rsid w:val="006804BE"/>
    <w:rsid w:val="00680AB5"/>
    <w:rsid w:val="0068434A"/>
    <w:rsid w:val="0069008E"/>
    <w:rsid w:val="0069087E"/>
    <w:rsid w:val="006925C4"/>
    <w:rsid w:val="006A02B7"/>
    <w:rsid w:val="006A6B42"/>
    <w:rsid w:val="006A7019"/>
    <w:rsid w:val="006B379D"/>
    <w:rsid w:val="006B46D5"/>
    <w:rsid w:val="006B46F4"/>
    <w:rsid w:val="006B78F8"/>
    <w:rsid w:val="006B7A9A"/>
    <w:rsid w:val="006C332B"/>
    <w:rsid w:val="006C5026"/>
    <w:rsid w:val="006C575F"/>
    <w:rsid w:val="006C7AF3"/>
    <w:rsid w:val="006C7E4C"/>
    <w:rsid w:val="006D0B9D"/>
    <w:rsid w:val="006D6548"/>
    <w:rsid w:val="006E0E20"/>
    <w:rsid w:val="006E4256"/>
    <w:rsid w:val="006E479D"/>
    <w:rsid w:val="006E4BBA"/>
    <w:rsid w:val="006E5F43"/>
    <w:rsid w:val="006E60A6"/>
    <w:rsid w:val="006F0F69"/>
    <w:rsid w:val="006F116B"/>
    <w:rsid w:val="006F117F"/>
    <w:rsid w:val="006F13DF"/>
    <w:rsid w:val="006F2780"/>
    <w:rsid w:val="00700B69"/>
    <w:rsid w:val="00702F26"/>
    <w:rsid w:val="0070313E"/>
    <w:rsid w:val="00703799"/>
    <w:rsid w:val="007038CC"/>
    <w:rsid w:val="00705C5C"/>
    <w:rsid w:val="00711475"/>
    <w:rsid w:val="0072548A"/>
    <w:rsid w:val="007277A6"/>
    <w:rsid w:val="00731131"/>
    <w:rsid w:val="0074115C"/>
    <w:rsid w:val="007437AB"/>
    <w:rsid w:val="00745425"/>
    <w:rsid w:val="007503F5"/>
    <w:rsid w:val="007534F8"/>
    <w:rsid w:val="007545AD"/>
    <w:rsid w:val="00761A64"/>
    <w:rsid w:val="00761B83"/>
    <w:rsid w:val="00761E3A"/>
    <w:rsid w:val="00763722"/>
    <w:rsid w:val="00764BC1"/>
    <w:rsid w:val="00766958"/>
    <w:rsid w:val="00770869"/>
    <w:rsid w:val="007738AA"/>
    <w:rsid w:val="00780A62"/>
    <w:rsid w:val="00783241"/>
    <w:rsid w:val="00783535"/>
    <w:rsid w:val="00784BDC"/>
    <w:rsid w:val="00786D00"/>
    <w:rsid w:val="00792F28"/>
    <w:rsid w:val="007935CA"/>
    <w:rsid w:val="0079543F"/>
    <w:rsid w:val="00795880"/>
    <w:rsid w:val="007A174A"/>
    <w:rsid w:val="007A4367"/>
    <w:rsid w:val="007A4737"/>
    <w:rsid w:val="007A6DCC"/>
    <w:rsid w:val="007B0867"/>
    <w:rsid w:val="007B1AC1"/>
    <w:rsid w:val="007B5A08"/>
    <w:rsid w:val="007B693D"/>
    <w:rsid w:val="007C4CDC"/>
    <w:rsid w:val="007E041B"/>
    <w:rsid w:val="007E199A"/>
    <w:rsid w:val="007E1AED"/>
    <w:rsid w:val="007E2415"/>
    <w:rsid w:val="007E39F3"/>
    <w:rsid w:val="007E4001"/>
    <w:rsid w:val="007E405E"/>
    <w:rsid w:val="007E4426"/>
    <w:rsid w:val="007E68F4"/>
    <w:rsid w:val="007E6DE2"/>
    <w:rsid w:val="007F07E5"/>
    <w:rsid w:val="007F31BA"/>
    <w:rsid w:val="007F4078"/>
    <w:rsid w:val="0080014B"/>
    <w:rsid w:val="00801793"/>
    <w:rsid w:val="00803320"/>
    <w:rsid w:val="00803642"/>
    <w:rsid w:val="00806EA2"/>
    <w:rsid w:val="00812A2B"/>
    <w:rsid w:val="00814A4C"/>
    <w:rsid w:val="00831994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667D"/>
    <w:rsid w:val="00877452"/>
    <w:rsid w:val="00881268"/>
    <w:rsid w:val="00882A5A"/>
    <w:rsid w:val="0088394A"/>
    <w:rsid w:val="008860BD"/>
    <w:rsid w:val="00886F08"/>
    <w:rsid w:val="00887399"/>
    <w:rsid w:val="0088779E"/>
    <w:rsid w:val="008912AF"/>
    <w:rsid w:val="00892114"/>
    <w:rsid w:val="00892CB9"/>
    <w:rsid w:val="008935CB"/>
    <w:rsid w:val="008958C5"/>
    <w:rsid w:val="008A73F0"/>
    <w:rsid w:val="008A7879"/>
    <w:rsid w:val="008B0E7E"/>
    <w:rsid w:val="008B44B3"/>
    <w:rsid w:val="008B65BD"/>
    <w:rsid w:val="008B7900"/>
    <w:rsid w:val="008C71BF"/>
    <w:rsid w:val="008C7FE0"/>
    <w:rsid w:val="008D2807"/>
    <w:rsid w:val="008D5717"/>
    <w:rsid w:val="008E1CF9"/>
    <w:rsid w:val="008E223D"/>
    <w:rsid w:val="008E44A9"/>
    <w:rsid w:val="008E6B4D"/>
    <w:rsid w:val="008E6BFF"/>
    <w:rsid w:val="008F21AF"/>
    <w:rsid w:val="008F2400"/>
    <w:rsid w:val="008F61BA"/>
    <w:rsid w:val="008F6E3C"/>
    <w:rsid w:val="008F7C55"/>
    <w:rsid w:val="009102F6"/>
    <w:rsid w:val="00914A23"/>
    <w:rsid w:val="00917CE0"/>
    <w:rsid w:val="00922F02"/>
    <w:rsid w:val="00930754"/>
    <w:rsid w:val="00934F68"/>
    <w:rsid w:val="009355AC"/>
    <w:rsid w:val="00935F38"/>
    <w:rsid w:val="00937586"/>
    <w:rsid w:val="00947889"/>
    <w:rsid w:val="009478BD"/>
    <w:rsid w:val="00953538"/>
    <w:rsid w:val="009543D6"/>
    <w:rsid w:val="00960365"/>
    <w:rsid w:val="00960E98"/>
    <w:rsid w:val="00963A82"/>
    <w:rsid w:val="00972912"/>
    <w:rsid w:val="00973258"/>
    <w:rsid w:val="00973BFC"/>
    <w:rsid w:val="00976D1F"/>
    <w:rsid w:val="00981C81"/>
    <w:rsid w:val="00981CAA"/>
    <w:rsid w:val="009923AE"/>
    <w:rsid w:val="00996E04"/>
    <w:rsid w:val="009A2D24"/>
    <w:rsid w:val="009A456C"/>
    <w:rsid w:val="009A630D"/>
    <w:rsid w:val="009B00E0"/>
    <w:rsid w:val="009B292A"/>
    <w:rsid w:val="009B3A57"/>
    <w:rsid w:val="009B76D5"/>
    <w:rsid w:val="009C165D"/>
    <w:rsid w:val="009C3CEA"/>
    <w:rsid w:val="009C583D"/>
    <w:rsid w:val="009C68B5"/>
    <w:rsid w:val="009D2611"/>
    <w:rsid w:val="009D3504"/>
    <w:rsid w:val="009D79D2"/>
    <w:rsid w:val="009E247C"/>
    <w:rsid w:val="009E31BA"/>
    <w:rsid w:val="009F0528"/>
    <w:rsid w:val="009F0806"/>
    <w:rsid w:val="009F233B"/>
    <w:rsid w:val="00A05D16"/>
    <w:rsid w:val="00A06045"/>
    <w:rsid w:val="00A0659F"/>
    <w:rsid w:val="00A079BA"/>
    <w:rsid w:val="00A14E8C"/>
    <w:rsid w:val="00A15AA3"/>
    <w:rsid w:val="00A16CF2"/>
    <w:rsid w:val="00A20C70"/>
    <w:rsid w:val="00A2564F"/>
    <w:rsid w:val="00A33875"/>
    <w:rsid w:val="00A360A1"/>
    <w:rsid w:val="00A402B3"/>
    <w:rsid w:val="00A544B7"/>
    <w:rsid w:val="00A56668"/>
    <w:rsid w:val="00A618CF"/>
    <w:rsid w:val="00A62770"/>
    <w:rsid w:val="00A62EEB"/>
    <w:rsid w:val="00A660FF"/>
    <w:rsid w:val="00A73395"/>
    <w:rsid w:val="00A771E3"/>
    <w:rsid w:val="00A81AE0"/>
    <w:rsid w:val="00A82B4C"/>
    <w:rsid w:val="00A856DD"/>
    <w:rsid w:val="00A92EEC"/>
    <w:rsid w:val="00A93A4C"/>
    <w:rsid w:val="00A94D5D"/>
    <w:rsid w:val="00AA1CF3"/>
    <w:rsid w:val="00AA1D9B"/>
    <w:rsid w:val="00AA2543"/>
    <w:rsid w:val="00AA3804"/>
    <w:rsid w:val="00AA55C2"/>
    <w:rsid w:val="00AA6E3B"/>
    <w:rsid w:val="00AB0ACA"/>
    <w:rsid w:val="00AB1D41"/>
    <w:rsid w:val="00AB2364"/>
    <w:rsid w:val="00AB31F3"/>
    <w:rsid w:val="00AC10FE"/>
    <w:rsid w:val="00AC5E9A"/>
    <w:rsid w:val="00AC704B"/>
    <w:rsid w:val="00AD2457"/>
    <w:rsid w:val="00AD553E"/>
    <w:rsid w:val="00AD5848"/>
    <w:rsid w:val="00AE5ADA"/>
    <w:rsid w:val="00AE7AB6"/>
    <w:rsid w:val="00AF6145"/>
    <w:rsid w:val="00B010B3"/>
    <w:rsid w:val="00B01386"/>
    <w:rsid w:val="00B0177B"/>
    <w:rsid w:val="00B01915"/>
    <w:rsid w:val="00B01BB5"/>
    <w:rsid w:val="00B01EB7"/>
    <w:rsid w:val="00B026CC"/>
    <w:rsid w:val="00B04AF4"/>
    <w:rsid w:val="00B05214"/>
    <w:rsid w:val="00B10421"/>
    <w:rsid w:val="00B26CAE"/>
    <w:rsid w:val="00B27901"/>
    <w:rsid w:val="00B30D97"/>
    <w:rsid w:val="00B31074"/>
    <w:rsid w:val="00B3181A"/>
    <w:rsid w:val="00B35A7C"/>
    <w:rsid w:val="00B44ECD"/>
    <w:rsid w:val="00B450D1"/>
    <w:rsid w:val="00B47E59"/>
    <w:rsid w:val="00B50F17"/>
    <w:rsid w:val="00B53D47"/>
    <w:rsid w:val="00B54A25"/>
    <w:rsid w:val="00B618C3"/>
    <w:rsid w:val="00B63652"/>
    <w:rsid w:val="00B64E43"/>
    <w:rsid w:val="00B668B0"/>
    <w:rsid w:val="00B70F5C"/>
    <w:rsid w:val="00B71873"/>
    <w:rsid w:val="00B754E6"/>
    <w:rsid w:val="00B75AE5"/>
    <w:rsid w:val="00B800C0"/>
    <w:rsid w:val="00B808B8"/>
    <w:rsid w:val="00B80C99"/>
    <w:rsid w:val="00B8132B"/>
    <w:rsid w:val="00B84C5A"/>
    <w:rsid w:val="00B858F5"/>
    <w:rsid w:val="00B93668"/>
    <w:rsid w:val="00B97206"/>
    <w:rsid w:val="00BA0896"/>
    <w:rsid w:val="00BA352F"/>
    <w:rsid w:val="00BA68C6"/>
    <w:rsid w:val="00BB12F1"/>
    <w:rsid w:val="00BB1A33"/>
    <w:rsid w:val="00BB276E"/>
    <w:rsid w:val="00BB3FEE"/>
    <w:rsid w:val="00BB4785"/>
    <w:rsid w:val="00BB5EB0"/>
    <w:rsid w:val="00BB6FE8"/>
    <w:rsid w:val="00BB723E"/>
    <w:rsid w:val="00BC245A"/>
    <w:rsid w:val="00BD16FA"/>
    <w:rsid w:val="00BD41C3"/>
    <w:rsid w:val="00BD488B"/>
    <w:rsid w:val="00BD7CCC"/>
    <w:rsid w:val="00BE002A"/>
    <w:rsid w:val="00BE0283"/>
    <w:rsid w:val="00BE1BC9"/>
    <w:rsid w:val="00BE5CDA"/>
    <w:rsid w:val="00BE608F"/>
    <w:rsid w:val="00BF1818"/>
    <w:rsid w:val="00BF23BB"/>
    <w:rsid w:val="00BF33DD"/>
    <w:rsid w:val="00BF5755"/>
    <w:rsid w:val="00BF684B"/>
    <w:rsid w:val="00C016F3"/>
    <w:rsid w:val="00C15193"/>
    <w:rsid w:val="00C15609"/>
    <w:rsid w:val="00C157CD"/>
    <w:rsid w:val="00C15F6A"/>
    <w:rsid w:val="00C23EA7"/>
    <w:rsid w:val="00C256F3"/>
    <w:rsid w:val="00C270A2"/>
    <w:rsid w:val="00C30971"/>
    <w:rsid w:val="00C315B5"/>
    <w:rsid w:val="00C35E28"/>
    <w:rsid w:val="00C426AF"/>
    <w:rsid w:val="00C43DAE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1338"/>
    <w:rsid w:val="00C623EB"/>
    <w:rsid w:val="00C64C6B"/>
    <w:rsid w:val="00C66F2E"/>
    <w:rsid w:val="00C6785C"/>
    <w:rsid w:val="00C70FD1"/>
    <w:rsid w:val="00C72B76"/>
    <w:rsid w:val="00C733AA"/>
    <w:rsid w:val="00C74DE8"/>
    <w:rsid w:val="00C83027"/>
    <w:rsid w:val="00C83F8A"/>
    <w:rsid w:val="00C84B8A"/>
    <w:rsid w:val="00C85E65"/>
    <w:rsid w:val="00C87CA1"/>
    <w:rsid w:val="00C911B4"/>
    <w:rsid w:val="00C91B3B"/>
    <w:rsid w:val="00C94262"/>
    <w:rsid w:val="00C976E1"/>
    <w:rsid w:val="00CA148E"/>
    <w:rsid w:val="00CA1528"/>
    <w:rsid w:val="00CA3A9A"/>
    <w:rsid w:val="00CB6BC1"/>
    <w:rsid w:val="00CB7021"/>
    <w:rsid w:val="00CC0B9F"/>
    <w:rsid w:val="00CC4941"/>
    <w:rsid w:val="00CD3294"/>
    <w:rsid w:val="00CD4524"/>
    <w:rsid w:val="00CD784D"/>
    <w:rsid w:val="00CE0CBF"/>
    <w:rsid w:val="00CF3A1C"/>
    <w:rsid w:val="00CF40F8"/>
    <w:rsid w:val="00D008DA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25E9C"/>
    <w:rsid w:val="00D31A6F"/>
    <w:rsid w:val="00D353D1"/>
    <w:rsid w:val="00D363D3"/>
    <w:rsid w:val="00D367DB"/>
    <w:rsid w:val="00D36E05"/>
    <w:rsid w:val="00D42FC9"/>
    <w:rsid w:val="00D43BEA"/>
    <w:rsid w:val="00D44F27"/>
    <w:rsid w:val="00D45304"/>
    <w:rsid w:val="00D46165"/>
    <w:rsid w:val="00D461C7"/>
    <w:rsid w:val="00D50424"/>
    <w:rsid w:val="00D525C9"/>
    <w:rsid w:val="00D57D3E"/>
    <w:rsid w:val="00D57DCC"/>
    <w:rsid w:val="00D76249"/>
    <w:rsid w:val="00D82619"/>
    <w:rsid w:val="00D91EB8"/>
    <w:rsid w:val="00D9262C"/>
    <w:rsid w:val="00DA7D12"/>
    <w:rsid w:val="00DB3DA3"/>
    <w:rsid w:val="00DC23CF"/>
    <w:rsid w:val="00DC6562"/>
    <w:rsid w:val="00DD16F7"/>
    <w:rsid w:val="00DE130D"/>
    <w:rsid w:val="00DE24CF"/>
    <w:rsid w:val="00DE407C"/>
    <w:rsid w:val="00DE7963"/>
    <w:rsid w:val="00DE7C7D"/>
    <w:rsid w:val="00DF2992"/>
    <w:rsid w:val="00DF2D0C"/>
    <w:rsid w:val="00DF7D1F"/>
    <w:rsid w:val="00E00058"/>
    <w:rsid w:val="00E01B9D"/>
    <w:rsid w:val="00E02C2B"/>
    <w:rsid w:val="00E0468F"/>
    <w:rsid w:val="00E04F5E"/>
    <w:rsid w:val="00E0522E"/>
    <w:rsid w:val="00E120F4"/>
    <w:rsid w:val="00E12B1C"/>
    <w:rsid w:val="00E17172"/>
    <w:rsid w:val="00E23A0B"/>
    <w:rsid w:val="00E3181C"/>
    <w:rsid w:val="00E3280A"/>
    <w:rsid w:val="00E343FE"/>
    <w:rsid w:val="00E372AF"/>
    <w:rsid w:val="00E37D68"/>
    <w:rsid w:val="00E40EAE"/>
    <w:rsid w:val="00E436AC"/>
    <w:rsid w:val="00E44F7A"/>
    <w:rsid w:val="00E44FF8"/>
    <w:rsid w:val="00E5066A"/>
    <w:rsid w:val="00E524C2"/>
    <w:rsid w:val="00E52CF9"/>
    <w:rsid w:val="00E556E6"/>
    <w:rsid w:val="00E56698"/>
    <w:rsid w:val="00E63F34"/>
    <w:rsid w:val="00E63FEA"/>
    <w:rsid w:val="00E64842"/>
    <w:rsid w:val="00E6521D"/>
    <w:rsid w:val="00E6715A"/>
    <w:rsid w:val="00E672E9"/>
    <w:rsid w:val="00E75DC9"/>
    <w:rsid w:val="00E81610"/>
    <w:rsid w:val="00E84910"/>
    <w:rsid w:val="00E85B28"/>
    <w:rsid w:val="00E91976"/>
    <w:rsid w:val="00E91AB9"/>
    <w:rsid w:val="00E947A6"/>
    <w:rsid w:val="00E97FC7"/>
    <w:rsid w:val="00EA0690"/>
    <w:rsid w:val="00EA1CB7"/>
    <w:rsid w:val="00EA1E17"/>
    <w:rsid w:val="00EA3956"/>
    <w:rsid w:val="00EA7136"/>
    <w:rsid w:val="00EB325A"/>
    <w:rsid w:val="00EB61F5"/>
    <w:rsid w:val="00EC02A5"/>
    <w:rsid w:val="00EC176B"/>
    <w:rsid w:val="00EC2B8A"/>
    <w:rsid w:val="00EC30C9"/>
    <w:rsid w:val="00EC33CD"/>
    <w:rsid w:val="00EC5BE5"/>
    <w:rsid w:val="00ED2650"/>
    <w:rsid w:val="00ED721A"/>
    <w:rsid w:val="00EE393D"/>
    <w:rsid w:val="00EE4190"/>
    <w:rsid w:val="00EF01CF"/>
    <w:rsid w:val="00EF6A47"/>
    <w:rsid w:val="00EF7AF9"/>
    <w:rsid w:val="00F00952"/>
    <w:rsid w:val="00F01495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17E6"/>
    <w:rsid w:val="00F53671"/>
    <w:rsid w:val="00F55474"/>
    <w:rsid w:val="00F57834"/>
    <w:rsid w:val="00F57AFE"/>
    <w:rsid w:val="00F6278E"/>
    <w:rsid w:val="00F63C41"/>
    <w:rsid w:val="00F63E96"/>
    <w:rsid w:val="00F701E3"/>
    <w:rsid w:val="00F71008"/>
    <w:rsid w:val="00F71F8C"/>
    <w:rsid w:val="00F75A35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E38D4"/>
    <w:rsid w:val="00FE61AF"/>
    <w:rsid w:val="00FF050F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C1E2DE"/>
  <w15:docId w15:val="{10E96A11-812F-46C6-89FD-59B90635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6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62E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2D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2D50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1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ystat.gov.cy/el/KeyFiguresList?s=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ystat.gov.cy/el/SubthemeStatistics?id=48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stat.gov.cy" TargetMode="External"/><Relationship Id="rId1" Type="http://schemas.openxmlformats.org/officeDocument/2006/relationships/hyperlink" Target="mailto:enquiries@cystat.mof.gov.cy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7E6B0-92F9-408B-BC66-8F9DA33F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6045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14</cp:revision>
  <cp:lastPrinted>2024-04-04T06:13:00Z</cp:lastPrinted>
  <dcterms:created xsi:type="dcterms:W3CDTF">2024-03-07T09:54:00Z</dcterms:created>
  <dcterms:modified xsi:type="dcterms:W3CDTF">2024-04-08T08:53:00Z</dcterms:modified>
</cp:coreProperties>
</file>