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161DBE37" w:rsidR="00DD16F7" w:rsidRPr="00DD16F7" w:rsidRDefault="00022B65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A1787E" w:rsidRPr="00FD3508">
        <w:rPr>
          <w:rFonts w:ascii="Verdana" w:hAnsi="Verdana" w:cs="Arial"/>
          <w:sz w:val="18"/>
          <w:szCs w:val="18"/>
          <w:lang w:val="el-GR"/>
        </w:rPr>
        <w:t>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166C">
        <w:rPr>
          <w:rFonts w:ascii="Verdana" w:hAnsi="Verdana" w:cs="Arial"/>
          <w:sz w:val="18"/>
          <w:szCs w:val="18"/>
          <w:lang w:val="el-GR"/>
        </w:rPr>
        <w:t>Ιουλίου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495FD5DA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31166C" w:rsidRPr="0031166C">
        <w:rPr>
          <w:rFonts w:ascii="Verdana" w:hAnsi="Verdana" w:cs="Arial"/>
          <w:b/>
          <w:bCs/>
          <w:u w:val="single"/>
          <w:lang w:val="el-GR"/>
        </w:rPr>
        <w:t>ΙΑΝ-</w:t>
      </w:r>
      <w:r w:rsidR="00022B65">
        <w:rPr>
          <w:rFonts w:ascii="Verdana" w:hAnsi="Verdana" w:cs="Arial"/>
          <w:b/>
          <w:bCs/>
          <w:u w:val="single"/>
          <w:lang w:val="el-GR"/>
        </w:rPr>
        <w:t>ΙΟΥΝ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4B8D268D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022B65">
        <w:rPr>
          <w:rFonts w:ascii="Verdana" w:hAnsi="Verdana" w:cs="Arial"/>
          <w:b/>
          <w:bCs/>
          <w:lang w:val="el-GR"/>
        </w:rPr>
        <w:t>42</w:t>
      </w:r>
      <w:r w:rsidR="008E3684" w:rsidRPr="008E3684">
        <w:rPr>
          <w:rFonts w:ascii="Verdana" w:hAnsi="Verdana" w:cs="Arial"/>
          <w:b/>
          <w:bCs/>
          <w:lang w:val="el-GR"/>
        </w:rPr>
        <w:t>4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8E3684" w:rsidRPr="008E3684">
        <w:rPr>
          <w:rFonts w:ascii="Verdana" w:hAnsi="Verdana" w:cs="Arial"/>
          <w:b/>
          <w:bCs/>
          <w:lang w:val="el-GR"/>
        </w:rPr>
        <w:t>5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DDBCFD" w14:textId="7DEFF2A3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22B65">
        <w:rPr>
          <w:rFonts w:ascii="Verdana" w:hAnsi="Verdana" w:cs="Arial"/>
          <w:sz w:val="18"/>
          <w:szCs w:val="18"/>
          <w:lang w:val="el-GR"/>
        </w:rPr>
        <w:t>Ιουνίου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</w:t>
      </w:r>
      <w:r w:rsidR="00025B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5E7C64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022B65">
        <w:rPr>
          <w:rFonts w:ascii="Verdana" w:hAnsi="Verdana" w:cs="Arial"/>
          <w:sz w:val="18"/>
          <w:szCs w:val="18"/>
          <w:lang w:val="el-GR"/>
        </w:rPr>
        <w:t>42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4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E7C64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022B65">
        <w:rPr>
          <w:rFonts w:ascii="Verdana" w:hAnsi="Verdana" w:cs="Arial"/>
          <w:sz w:val="18"/>
          <w:szCs w:val="18"/>
          <w:lang w:val="el-GR"/>
        </w:rPr>
        <w:t>6</w:t>
      </w:r>
      <w:r w:rsidR="005E7C64">
        <w:rPr>
          <w:rFonts w:ascii="Verdana" w:hAnsi="Verdana" w:cs="Arial"/>
          <w:sz w:val="18"/>
          <w:szCs w:val="18"/>
          <w:lang w:val="el-GR"/>
        </w:rPr>
        <w:t>2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22B65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22B65">
        <w:rPr>
          <w:rFonts w:ascii="Verdana" w:hAnsi="Verdana" w:cs="Arial"/>
          <w:sz w:val="18"/>
          <w:szCs w:val="18"/>
          <w:lang w:val="el-GR"/>
        </w:rPr>
        <w:t>Ιουνίου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1992D876" w:rsidR="00882A5A" w:rsidRDefault="008E3684" w:rsidP="00CB3A84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39C8D966" wp14:editId="35FF2DF5">
            <wp:extent cx="6102350" cy="4535805"/>
            <wp:effectExtent l="0" t="0" r="0" b="0"/>
            <wp:docPr id="15723850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49E89108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E7C64" w:rsidRPr="005E7C64">
        <w:rPr>
          <w:lang w:val="el-GR"/>
        </w:rPr>
        <w:t xml:space="preserve"> </w:t>
      </w:r>
      <w:r w:rsidR="00022B65">
        <w:rPr>
          <w:rFonts w:ascii="Verdana" w:hAnsi="Verdana" w:cs="Arial"/>
          <w:sz w:val="18"/>
          <w:szCs w:val="18"/>
          <w:lang w:val="el-GR"/>
        </w:rPr>
        <w:t>Ιουνίου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022B65">
        <w:rPr>
          <w:rFonts w:ascii="Verdana" w:hAnsi="Verdana" w:cs="Arial"/>
          <w:sz w:val="18"/>
          <w:szCs w:val="18"/>
          <w:lang w:val="el-GR"/>
        </w:rPr>
        <w:t>8</w:t>
      </w:r>
      <w:r w:rsidR="005E7C64">
        <w:rPr>
          <w:rFonts w:ascii="Verdana" w:hAnsi="Verdana" w:cs="Arial"/>
          <w:sz w:val="18"/>
          <w:szCs w:val="18"/>
          <w:lang w:val="el-GR"/>
        </w:rPr>
        <w:t>00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1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5E7C64">
        <w:rPr>
          <w:rFonts w:ascii="Verdana" w:hAnsi="Verdana" w:cs="Arial"/>
          <w:sz w:val="18"/>
          <w:szCs w:val="18"/>
          <w:lang w:val="el-GR"/>
        </w:rPr>
        <w:t>14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22B65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E7C64">
        <w:rPr>
          <w:rFonts w:ascii="Verdana" w:hAnsi="Verdana" w:cs="Arial"/>
          <w:sz w:val="18"/>
          <w:szCs w:val="18"/>
          <w:lang w:val="el-GR"/>
        </w:rPr>
        <w:t>3</w:t>
      </w:r>
      <w:r w:rsidR="00022B65">
        <w:rPr>
          <w:rFonts w:ascii="Verdana" w:hAnsi="Verdana" w:cs="Arial"/>
          <w:sz w:val="18"/>
          <w:szCs w:val="18"/>
          <w:lang w:val="el-GR"/>
        </w:rPr>
        <w:t>13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22B6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022B65">
        <w:rPr>
          <w:rFonts w:ascii="Verdana" w:hAnsi="Verdana" w:cs="Arial"/>
          <w:sz w:val="18"/>
          <w:szCs w:val="18"/>
          <w:lang w:val="el-GR"/>
        </w:rPr>
        <w:t>513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57C9C40A" w14:textId="77777777" w:rsidR="000E2387" w:rsidRDefault="00DD16F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>7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6752AE">
        <w:rPr>
          <w:rFonts w:ascii="Verdana" w:hAnsi="Verdana" w:cs="Arial"/>
          <w:sz w:val="18"/>
          <w:szCs w:val="18"/>
          <w:lang w:val="el-GR"/>
        </w:rPr>
        <w:t>6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6752AE">
        <w:rPr>
          <w:rFonts w:ascii="Verdana" w:hAnsi="Verdana" w:cs="Arial"/>
          <w:sz w:val="18"/>
          <w:szCs w:val="18"/>
          <w:lang w:val="el-GR"/>
        </w:rPr>
        <w:t>147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6752AE">
        <w:rPr>
          <w:rFonts w:ascii="Verdana" w:hAnsi="Verdana" w:cs="Arial"/>
          <w:sz w:val="18"/>
          <w:szCs w:val="18"/>
          <w:lang w:val="el-GR"/>
        </w:rPr>
        <w:t>019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6752AE">
        <w:rPr>
          <w:rFonts w:ascii="Verdana" w:hAnsi="Verdana" w:cs="Arial"/>
          <w:sz w:val="18"/>
          <w:szCs w:val="18"/>
          <w:lang w:val="el-GR"/>
        </w:rPr>
        <w:t>88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6752AE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6752AE">
        <w:rPr>
          <w:rFonts w:ascii="Verdana" w:hAnsi="Verdana" w:cs="Arial"/>
          <w:sz w:val="18"/>
          <w:szCs w:val="18"/>
          <w:lang w:val="el-GR"/>
        </w:rPr>
        <w:t>428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6752AE">
        <w:rPr>
          <w:rFonts w:ascii="Verdana" w:hAnsi="Verdana" w:cs="Arial"/>
          <w:sz w:val="18"/>
          <w:szCs w:val="18"/>
          <w:lang w:val="el-GR"/>
        </w:rPr>
        <w:t>340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6752AE">
        <w:rPr>
          <w:rFonts w:ascii="Verdana" w:hAnsi="Verdana" w:cs="Arial"/>
          <w:sz w:val="18"/>
          <w:szCs w:val="18"/>
          <w:lang w:val="el-GR"/>
        </w:rPr>
        <w:t>224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9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6752AE">
        <w:rPr>
          <w:rFonts w:ascii="Verdana" w:hAnsi="Verdana" w:cs="Arial"/>
          <w:sz w:val="18"/>
          <w:szCs w:val="18"/>
          <w:lang w:val="el-GR"/>
        </w:rPr>
        <w:t>422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3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6752AE">
        <w:rPr>
          <w:rFonts w:ascii="Verdana" w:hAnsi="Verdana" w:cs="Arial"/>
          <w:sz w:val="18"/>
          <w:szCs w:val="18"/>
          <w:lang w:val="el-GR"/>
        </w:rPr>
        <w:t>197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4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6752AE">
        <w:rPr>
          <w:rFonts w:ascii="Verdana" w:hAnsi="Verdana" w:cs="Arial"/>
          <w:sz w:val="18"/>
          <w:szCs w:val="18"/>
          <w:lang w:val="el-GR"/>
        </w:rPr>
        <w:t>86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0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5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6752AE">
        <w:rPr>
          <w:rFonts w:ascii="Verdana" w:hAnsi="Verdana" w:cs="Arial"/>
          <w:sz w:val="18"/>
          <w:szCs w:val="18"/>
          <w:lang w:val="el-GR"/>
        </w:rPr>
        <w:t>018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6752AE">
        <w:rPr>
          <w:rFonts w:ascii="Verdana" w:hAnsi="Verdana" w:cs="Arial"/>
          <w:sz w:val="18"/>
          <w:szCs w:val="18"/>
          <w:lang w:val="el-GR"/>
        </w:rPr>
        <w:t>732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6752AE">
        <w:rPr>
          <w:rFonts w:ascii="Verdana" w:hAnsi="Verdana" w:cs="Arial"/>
          <w:sz w:val="18"/>
          <w:szCs w:val="18"/>
          <w:lang w:val="el-GR"/>
        </w:rPr>
        <w:t>18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6752AE">
        <w:rPr>
          <w:rFonts w:ascii="Verdana" w:hAnsi="Verdana" w:cs="Arial"/>
          <w:sz w:val="18"/>
          <w:szCs w:val="18"/>
          <w:lang w:val="el-GR"/>
        </w:rPr>
        <w:t>36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2387">
        <w:rPr>
          <w:rFonts w:ascii="Verdana" w:hAnsi="Verdana" w:cs="Arial"/>
          <w:sz w:val="18"/>
          <w:szCs w:val="18"/>
          <w:lang w:val="el-GR"/>
        </w:rPr>
        <w:t>70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51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12419">
        <w:rPr>
          <w:rFonts w:ascii="Verdana" w:hAnsi="Verdana" w:cs="Arial"/>
          <w:sz w:val="18"/>
          <w:szCs w:val="18"/>
          <w:lang w:val="el-GR"/>
        </w:rPr>
        <w:t>19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0E2387">
        <w:rPr>
          <w:rFonts w:ascii="Verdana" w:hAnsi="Verdana" w:cs="Arial"/>
          <w:sz w:val="18"/>
          <w:szCs w:val="18"/>
          <w:lang w:val="el-GR"/>
        </w:rPr>
        <w:t>73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12419">
        <w:rPr>
          <w:rFonts w:ascii="Verdana" w:hAnsi="Verdana" w:cs="Arial"/>
          <w:sz w:val="18"/>
          <w:szCs w:val="18"/>
          <w:lang w:val="el-GR"/>
        </w:rPr>
        <w:t>1</w:t>
      </w:r>
      <w:r w:rsidR="000E2387">
        <w:rPr>
          <w:rFonts w:ascii="Verdana" w:hAnsi="Verdana" w:cs="Arial"/>
          <w:sz w:val="18"/>
          <w:szCs w:val="18"/>
          <w:lang w:val="el-GR"/>
        </w:rPr>
        <w:t>45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E2387">
        <w:rPr>
          <w:rFonts w:ascii="Verdana" w:hAnsi="Verdana" w:cs="Arial"/>
          <w:sz w:val="18"/>
          <w:szCs w:val="18"/>
          <w:lang w:val="el-GR"/>
        </w:rPr>
        <w:t>137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bookmarkStart w:id="1" w:name="_Hlk170457397"/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0E2387">
        <w:rPr>
          <w:rFonts w:ascii="Verdana" w:hAnsi="Verdana" w:cs="Arial"/>
          <w:sz w:val="18"/>
          <w:szCs w:val="18"/>
          <w:lang w:val="el-GR"/>
        </w:rPr>
        <w:t>43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bookmarkEnd w:id="1"/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2387">
        <w:rPr>
          <w:rFonts w:ascii="Verdana" w:hAnsi="Verdana" w:cs="Arial"/>
          <w:sz w:val="18"/>
          <w:szCs w:val="18"/>
          <w:lang w:val="el-GR"/>
        </w:rPr>
        <w:t>455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318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2EA1B887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BD1017" w14:textId="6502CA9F" w:rsidR="00D91EB8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κατά €</w:t>
      </w:r>
      <w:r>
        <w:rPr>
          <w:rFonts w:ascii="Verdana" w:hAnsi="Verdana" w:cs="Arial"/>
          <w:sz w:val="18"/>
          <w:szCs w:val="18"/>
          <w:lang w:val="el-GR"/>
        </w:rPr>
        <w:t>21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(</w:t>
      </w:r>
      <w:r>
        <w:rPr>
          <w:rFonts w:ascii="Verdana" w:hAnsi="Verdana" w:cs="Arial"/>
          <w:sz w:val="18"/>
          <w:szCs w:val="18"/>
          <w:lang w:val="el-GR"/>
        </w:rPr>
        <w:t>-45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%)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και </w:t>
      </w:r>
      <w:r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6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48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.</w:t>
      </w:r>
    </w:p>
    <w:p w14:paraId="0AB04635" w14:textId="77777777" w:rsidR="00E91AB9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B0439A" w14:textId="3CA7A5F3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5F649CAB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0E2387">
        <w:rPr>
          <w:rFonts w:ascii="Verdana" w:hAnsi="Verdana" w:cs="Arial"/>
          <w:sz w:val="18"/>
          <w:szCs w:val="18"/>
          <w:lang w:val="el-GR"/>
        </w:rPr>
        <w:t>Ιουνίου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417A4">
        <w:rPr>
          <w:rFonts w:ascii="Verdana" w:hAnsi="Verdana" w:cs="Arial"/>
          <w:sz w:val="18"/>
          <w:szCs w:val="18"/>
          <w:lang w:val="el-GR"/>
        </w:rPr>
        <w:t>43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7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5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(+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8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8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0E2387">
        <w:rPr>
          <w:rFonts w:ascii="Verdana" w:hAnsi="Verdana" w:cs="Arial"/>
          <w:sz w:val="18"/>
          <w:szCs w:val="18"/>
          <w:lang w:val="el-GR"/>
        </w:rPr>
        <w:t>45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D09888C" w14:textId="6F10639A"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9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2417A4">
        <w:rPr>
          <w:rFonts w:ascii="Verdana" w:hAnsi="Verdana" w:cs="Arial"/>
          <w:sz w:val="18"/>
          <w:szCs w:val="18"/>
          <w:lang w:val="el-GR"/>
        </w:rPr>
        <w:t>9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2417A4">
        <w:rPr>
          <w:rFonts w:ascii="Verdana" w:hAnsi="Verdana" w:cs="Arial"/>
          <w:sz w:val="18"/>
          <w:szCs w:val="18"/>
          <w:lang w:val="el-GR"/>
        </w:rPr>
        <w:t>7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528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0E2387">
        <w:rPr>
          <w:rFonts w:ascii="Verdana" w:hAnsi="Verdana" w:cs="Arial"/>
          <w:sz w:val="18"/>
          <w:szCs w:val="18"/>
          <w:lang w:val="el-GR"/>
        </w:rPr>
        <w:t>203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0E2387">
        <w:rPr>
          <w:rFonts w:ascii="Verdana" w:hAnsi="Verdana" w:cs="Arial"/>
          <w:sz w:val="18"/>
          <w:szCs w:val="18"/>
          <w:lang w:val="el-GR"/>
        </w:rPr>
        <w:t>627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ι κοινωνικές παροχές αυξήθηκαν κατά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0E2387">
        <w:rPr>
          <w:rFonts w:ascii="Verdana" w:hAnsi="Verdana" w:cs="Arial"/>
          <w:sz w:val="18"/>
          <w:szCs w:val="18"/>
          <w:lang w:val="el-GR"/>
        </w:rPr>
        <w:t>70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0E2387">
        <w:rPr>
          <w:rFonts w:ascii="Verdana" w:hAnsi="Verdana" w:cs="Arial"/>
          <w:sz w:val="18"/>
          <w:szCs w:val="18"/>
          <w:lang w:val="el-GR"/>
        </w:rPr>
        <w:t>78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0E2387">
        <w:rPr>
          <w:rFonts w:ascii="Verdana" w:hAnsi="Verdana" w:cs="Arial"/>
          <w:sz w:val="18"/>
          <w:szCs w:val="18"/>
          <w:lang w:val="el-GR"/>
        </w:rPr>
        <w:t>207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9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6B7A9A">
        <w:rPr>
          <w:rFonts w:ascii="Verdana" w:hAnsi="Verdana" w:cs="Arial"/>
          <w:sz w:val="18"/>
          <w:szCs w:val="18"/>
          <w:lang w:val="el-GR"/>
        </w:rPr>
        <w:t>αυξήθηκαν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E2387">
        <w:rPr>
          <w:rFonts w:ascii="Verdana" w:hAnsi="Verdana" w:cs="Arial"/>
          <w:sz w:val="18"/>
          <w:szCs w:val="18"/>
          <w:lang w:val="el-GR"/>
        </w:rPr>
        <w:t>80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7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+</w:t>
      </w:r>
      <w:r w:rsidR="000E2387">
        <w:rPr>
          <w:rFonts w:ascii="Verdana" w:hAnsi="Verdana" w:cs="Arial"/>
          <w:sz w:val="18"/>
          <w:szCs w:val="18"/>
          <w:lang w:val="el-GR"/>
        </w:rPr>
        <w:t>21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ανήλθαν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2387">
        <w:rPr>
          <w:rFonts w:ascii="Verdana" w:hAnsi="Verdana" w:cs="Arial"/>
          <w:sz w:val="18"/>
          <w:szCs w:val="18"/>
          <w:lang w:val="el-GR"/>
        </w:rPr>
        <w:t>464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0E2387">
        <w:rPr>
          <w:rFonts w:ascii="Verdana" w:hAnsi="Verdana" w:cs="Arial"/>
          <w:sz w:val="18"/>
          <w:szCs w:val="18"/>
          <w:lang w:val="el-GR"/>
        </w:rPr>
        <w:t>83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9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0A7E03" w:rsidRPr="000A7E03">
        <w:rPr>
          <w:lang w:val="el-GR"/>
        </w:rPr>
        <w:t xml:space="preserve">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E2387">
        <w:rPr>
          <w:rFonts w:ascii="Verdana" w:hAnsi="Verdana" w:cs="Arial"/>
          <w:sz w:val="18"/>
          <w:szCs w:val="18"/>
          <w:lang w:val="el-GR"/>
        </w:rPr>
        <w:t>30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0E2387">
        <w:rPr>
          <w:rFonts w:ascii="Verdana" w:hAnsi="Verdana" w:cs="Arial"/>
          <w:sz w:val="18"/>
          <w:szCs w:val="18"/>
          <w:lang w:val="el-GR"/>
        </w:rPr>
        <w:t>15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C37927" w:rsidRPr="00022B6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226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0E2387">
        <w:rPr>
          <w:rFonts w:ascii="Verdana" w:hAnsi="Verdana" w:cs="Arial"/>
          <w:sz w:val="18"/>
          <w:szCs w:val="18"/>
          <w:lang w:val="el-GR"/>
        </w:rPr>
        <w:t>96</w:t>
      </w:r>
      <w:r w:rsidR="001B2433">
        <w:rPr>
          <w:rFonts w:ascii="Verdana" w:hAnsi="Verdana" w:cs="Arial"/>
          <w:sz w:val="18"/>
          <w:szCs w:val="18"/>
          <w:lang w:val="el-GR"/>
        </w:rPr>
        <w:t>,0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1C82432" w14:textId="77777777" w:rsidR="001B2433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AA981" w14:textId="2254A7EB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8E3684">
        <w:rPr>
          <w:rFonts w:ascii="Verdana" w:hAnsi="Verdana" w:cs="Arial"/>
          <w:sz w:val="18"/>
          <w:szCs w:val="18"/>
          <w:lang w:val="el-GR"/>
        </w:rPr>
        <w:t>6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8E3684">
        <w:rPr>
          <w:rFonts w:ascii="Verdana" w:hAnsi="Verdana" w:cs="Arial"/>
          <w:sz w:val="18"/>
          <w:szCs w:val="18"/>
          <w:lang w:val="el-GR"/>
        </w:rPr>
        <w:t>6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0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34</w:t>
      </w:r>
      <w:r w:rsidR="008E3684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413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E2387">
        <w:rPr>
          <w:rFonts w:ascii="Verdana" w:hAnsi="Verdana" w:cs="Arial"/>
          <w:sz w:val="18"/>
          <w:szCs w:val="18"/>
          <w:lang w:val="el-GR"/>
        </w:rPr>
        <w:t>67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DF632F">
        <w:rPr>
          <w:rFonts w:ascii="Verdana" w:hAnsi="Verdana" w:cs="Arial"/>
          <w:sz w:val="18"/>
          <w:szCs w:val="18"/>
          <w:lang w:val="el-GR"/>
        </w:rPr>
        <w:t>1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DF632F">
        <w:rPr>
          <w:rFonts w:ascii="Verdana" w:hAnsi="Verdana" w:cs="Arial"/>
          <w:sz w:val="18"/>
          <w:szCs w:val="18"/>
          <w:lang w:val="el-GR"/>
        </w:rPr>
        <w:t>2</w:t>
      </w:r>
      <w:r w:rsidR="000E2387">
        <w:rPr>
          <w:rFonts w:ascii="Verdana" w:hAnsi="Verdana" w:cs="Arial"/>
          <w:sz w:val="18"/>
          <w:szCs w:val="18"/>
          <w:lang w:val="el-GR"/>
        </w:rPr>
        <w:t>90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358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8E3684">
        <w:rPr>
          <w:rFonts w:ascii="Verdana" w:hAnsi="Verdana" w:cs="Arial"/>
          <w:sz w:val="18"/>
          <w:szCs w:val="18"/>
          <w:lang w:val="el-GR"/>
        </w:rPr>
        <w:t>αυξή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8E3684">
        <w:rPr>
          <w:rFonts w:ascii="Verdana" w:hAnsi="Verdana" w:cs="Arial"/>
          <w:sz w:val="18"/>
          <w:szCs w:val="18"/>
          <w:lang w:val="el-GR"/>
        </w:rPr>
        <w:t>1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0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</w:t>
      </w:r>
      <w:r w:rsidR="008E3684">
        <w:rPr>
          <w:rFonts w:ascii="Verdana" w:hAnsi="Verdana" w:cs="Arial"/>
          <w:sz w:val="18"/>
          <w:szCs w:val="18"/>
          <w:lang w:val="el-GR"/>
        </w:rPr>
        <w:t>+1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8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A92EEC">
        <w:rPr>
          <w:rFonts w:ascii="Verdana" w:hAnsi="Verdana" w:cs="Arial"/>
          <w:sz w:val="18"/>
          <w:szCs w:val="18"/>
          <w:lang w:val="el-GR"/>
        </w:rPr>
        <w:t>ανήλθαν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2387">
        <w:rPr>
          <w:rFonts w:ascii="Verdana" w:hAnsi="Verdana" w:cs="Arial"/>
          <w:sz w:val="18"/>
          <w:szCs w:val="18"/>
          <w:lang w:val="el-GR"/>
        </w:rPr>
        <w:t>5</w:t>
      </w:r>
      <w:r w:rsidR="008E3684">
        <w:rPr>
          <w:rFonts w:ascii="Verdana" w:hAnsi="Verdana" w:cs="Arial"/>
          <w:sz w:val="18"/>
          <w:szCs w:val="18"/>
          <w:lang w:val="el-GR"/>
        </w:rPr>
        <w:t>6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8E3684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55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BB13056" w14:textId="0DB59DBF" w:rsidR="004C07A0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65E3559C" w:rsidR="00981CAA" w:rsidRDefault="008E368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0E2387">
        <w:rPr>
          <w:rFonts w:ascii="Verdana" w:hAnsi="Verdana" w:cs="Arial"/>
          <w:sz w:val="18"/>
          <w:szCs w:val="18"/>
          <w:lang w:val="el-GR"/>
        </w:rPr>
        <w:t>29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,2 εκ. (-</w:t>
      </w:r>
      <w:r w:rsidR="000E2387">
        <w:rPr>
          <w:rFonts w:ascii="Verdana" w:hAnsi="Verdana" w:cs="Arial"/>
          <w:sz w:val="18"/>
          <w:szCs w:val="18"/>
          <w:lang w:val="el-GR"/>
        </w:rPr>
        <w:t>31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0E2387">
        <w:rPr>
          <w:rFonts w:ascii="Verdana" w:hAnsi="Verdana" w:cs="Arial"/>
          <w:sz w:val="18"/>
          <w:szCs w:val="18"/>
          <w:lang w:val="el-GR"/>
        </w:rPr>
        <w:t>64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2387">
        <w:rPr>
          <w:rFonts w:ascii="Verdana" w:hAnsi="Verdana" w:cs="Arial"/>
          <w:sz w:val="18"/>
          <w:szCs w:val="18"/>
          <w:lang w:val="el-GR"/>
        </w:rPr>
        <w:t>94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0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01A5968E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0E238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Ιουν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7481EF3A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0E238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Ιουν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5E6F7C45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0E238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Ιουν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5FE6FBA3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0E238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Ιουν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9E4DA3" w:rsidRPr="00376296" w14:paraId="704546A5" w14:textId="77777777" w:rsidTr="009E4DA3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9E4DA3" w:rsidRPr="00376296" w:rsidRDefault="009E4DA3" w:rsidP="009E4DA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72F61621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5.513,1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2E74AA8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6.313,2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6867CE8D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800,1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3333B28D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14,5%</w:t>
            </w:r>
          </w:p>
        </w:tc>
      </w:tr>
      <w:tr w:rsidR="009E4DA3" w:rsidRPr="00376296" w14:paraId="258F09AD" w14:textId="77777777" w:rsidTr="009E4DA3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717C8D46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2.019,8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4F82F69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2.147,6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559B46CB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127,8</w:t>
            </w:r>
          </w:p>
        </w:tc>
        <w:tc>
          <w:tcPr>
            <w:tcW w:w="240" w:type="dxa"/>
            <w:vAlign w:val="center"/>
          </w:tcPr>
          <w:p w14:paraId="6D2F21FC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2C84F5A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6,3%</w:t>
            </w:r>
          </w:p>
        </w:tc>
      </w:tr>
      <w:tr w:rsidR="009E4DA3" w:rsidRPr="00376296" w14:paraId="07613810" w14:textId="77777777" w:rsidTr="009E4DA3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31EB4D7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1.340,4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41C8B03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1.428,8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7E012180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88,4</w:t>
            </w:r>
          </w:p>
        </w:tc>
        <w:tc>
          <w:tcPr>
            <w:tcW w:w="240" w:type="dxa"/>
            <w:vAlign w:val="center"/>
          </w:tcPr>
          <w:p w14:paraId="70DA4BDC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2196003C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6,6%</w:t>
            </w:r>
          </w:p>
        </w:tc>
      </w:tr>
      <w:tr w:rsidR="009E4DA3" w:rsidRPr="00376296" w14:paraId="6E6AC45A" w14:textId="77777777" w:rsidTr="009E4DA3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06706EF2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1.197,4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44491698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1.422,3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1E6B3B78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224,9</w:t>
            </w:r>
          </w:p>
        </w:tc>
        <w:tc>
          <w:tcPr>
            <w:tcW w:w="240" w:type="dxa"/>
            <w:vAlign w:val="center"/>
          </w:tcPr>
          <w:p w14:paraId="28077CB8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46FEDC5C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18,8%</w:t>
            </w:r>
          </w:p>
        </w:tc>
      </w:tr>
      <w:tr w:rsidR="009E4DA3" w:rsidRPr="00376296" w14:paraId="54CF88E3" w14:textId="77777777" w:rsidTr="009E4DA3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62D23E13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1.732,2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3CBD9D2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2.018,2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182E24D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286,0</w:t>
            </w:r>
          </w:p>
        </w:tc>
        <w:tc>
          <w:tcPr>
            <w:tcW w:w="240" w:type="dxa"/>
            <w:vAlign w:val="center"/>
          </w:tcPr>
          <w:p w14:paraId="1C6C2A00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73A7C18F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16,5%</w:t>
            </w:r>
          </w:p>
        </w:tc>
      </w:tr>
      <w:tr w:rsidR="009E4DA3" w:rsidRPr="00376296" w14:paraId="04984229" w14:textId="77777777" w:rsidTr="009E4DA3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58719C8B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515,5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27B720B4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698,8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0DD16C8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183,3</w:t>
            </w:r>
          </w:p>
        </w:tc>
        <w:tc>
          <w:tcPr>
            <w:tcW w:w="240" w:type="dxa"/>
            <w:vAlign w:val="center"/>
          </w:tcPr>
          <w:p w14:paraId="2AB5E586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390DF512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35,6%</w:t>
            </w:r>
          </w:p>
        </w:tc>
      </w:tr>
      <w:tr w:rsidR="009E4DA3" w:rsidRPr="00376296" w14:paraId="572B1A32" w14:textId="77777777" w:rsidTr="009E4DA3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2D41332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51,5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1DDDEE7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0C6B8BA2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18,7</w:t>
            </w:r>
          </w:p>
        </w:tc>
        <w:tc>
          <w:tcPr>
            <w:tcW w:w="240" w:type="dxa"/>
            <w:vAlign w:val="center"/>
          </w:tcPr>
          <w:p w14:paraId="3F0306C0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24E96232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36,3%</w:t>
            </w:r>
          </w:p>
        </w:tc>
      </w:tr>
      <w:tr w:rsidR="009E4DA3" w:rsidRPr="00376296" w14:paraId="7908C14C" w14:textId="77777777" w:rsidTr="009E4DA3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4A0B1E4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145,6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3D4D920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173,2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516569A9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27,6</w:t>
            </w:r>
          </w:p>
        </w:tc>
        <w:tc>
          <w:tcPr>
            <w:tcW w:w="240" w:type="dxa"/>
            <w:vAlign w:val="center"/>
          </w:tcPr>
          <w:p w14:paraId="68F760B0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58E8B246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19,0%</w:t>
            </w:r>
          </w:p>
        </w:tc>
      </w:tr>
      <w:tr w:rsidR="009E4DA3" w:rsidRPr="00376296" w14:paraId="3957EA62" w14:textId="77777777" w:rsidTr="009E4DA3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4EFBBB4F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318,4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47CBFDB9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455,4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3F7088DC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137,0</w:t>
            </w:r>
          </w:p>
        </w:tc>
        <w:tc>
          <w:tcPr>
            <w:tcW w:w="240" w:type="dxa"/>
            <w:vAlign w:val="center"/>
          </w:tcPr>
          <w:p w14:paraId="42A9C084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51ECE1F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43,0%</w:t>
            </w:r>
          </w:p>
        </w:tc>
      </w:tr>
      <w:tr w:rsidR="009E4DA3" w:rsidRPr="00376296" w14:paraId="3E88DC06" w14:textId="77777777" w:rsidTr="009E4DA3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7CF179B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388B4150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22476EA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-21,9</w:t>
            </w:r>
          </w:p>
        </w:tc>
        <w:tc>
          <w:tcPr>
            <w:tcW w:w="240" w:type="dxa"/>
            <w:vAlign w:val="center"/>
          </w:tcPr>
          <w:p w14:paraId="2028983A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18EE1FB4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-45,4%</w:t>
            </w:r>
          </w:p>
        </w:tc>
      </w:tr>
      <w:tr w:rsidR="009E4DA3" w:rsidRPr="003F71CF" w14:paraId="33BC7419" w14:textId="77777777" w:rsidTr="009E4DA3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9E4DA3" w:rsidRPr="00376296" w:rsidRDefault="009E4DA3" w:rsidP="009E4DA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7D4FB56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5.451,1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526F6314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5.888,7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41620CAF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437,5</w:t>
            </w:r>
          </w:p>
        </w:tc>
        <w:tc>
          <w:tcPr>
            <w:tcW w:w="240" w:type="dxa"/>
            <w:vAlign w:val="center"/>
          </w:tcPr>
          <w:p w14:paraId="2E63CDC0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5C2FB25F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8,0%</w:t>
            </w:r>
          </w:p>
        </w:tc>
      </w:tr>
      <w:tr w:rsidR="009E4DA3" w:rsidRPr="00376296" w14:paraId="52F73659" w14:textId="77777777" w:rsidTr="009E4DA3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7379BD78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5.037,7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1C3E315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5.541,5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741D0E7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503,7</w:t>
            </w:r>
          </w:p>
        </w:tc>
        <w:tc>
          <w:tcPr>
            <w:tcW w:w="240" w:type="dxa"/>
            <w:vAlign w:val="center"/>
          </w:tcPr>
          <w:p w14:paraId="6874938F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61FD83B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10,0%</w:t>
            </w:r>
          </w:p>
        </w:tc>
      </w:tr>
      <w:tr w:rsidR="009E4DA3" w:rsidRPr="00376296" w14:paraId="67BAAD50" w14:textId="77777777" w:rsidTr="009E4DA3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1C42FE1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528,8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0F2DFE0C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576,7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27490F6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47,9</w:t>
            </w:r>
          </w:p>
        </w:tc>
        <w:tc>
          <w:tcPr>
            <w:tcW w:w="240" w:type="dxa"/>
            <w:vAlign w:val="center"/>
          </w:tcPr>
          <w:p w14:paraId="48EF2533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76D9BE82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9,1%</w:t>
            </w:r>
          </w:p>
        </w:tc>
      </w:tr>
      <w:tr w:rsidR="009E4DA3" w:rsidRPr="00376296" w14:paraId="71016919" w14:textId="77777777" w:rsidTr="009E4DA3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5D0933B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1.627,1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7A269AC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1.830,9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1B75DD4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203,8</w:t>
            </w:r>
          </w:p>
        </w:tc>
        <w:tc>
          <w:tcPr>
            <w:tcW w:w="240" w:type="dxa"/>
            <w:vAlign w:val="center"/>
          </w:tcPr>
          <w:p w14:paraId="7C10BC19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1B0C5A6F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12,5%</w:t>
            </w:r>
          </w:p>
        </w:tc>
      </w:tr>
      <w:tr w:rsidR="009E4DA3" w:rsidRPr="00376296" w14:paraId="103D2E58" w14:textId="77777777" w:rsidTr="009E4DA3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7F84A1B8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2.207,9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497B510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2.378,1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579E0B6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170,2</w:t>
            </w:r>
          </w:p>
        </w:tc>
        <w:tc>
          <w:tcPr>
            <w:tcW w:w="240" w:type="dxa"/>
            <w:vAlign w:val="center"/>
          </w:tcPr>
          <w:p w14:paraId="0A39261E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52989DFF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7,7%</w:t>
            </w:r>
          </w:p>
        </w:tc>
      </w:tr>
      <w:tr w:rsidR="009E4DA3" w:rsidRPr="00376296" w14:paraId="399F1719" w14:textId="77777777" w:rsidTr="009E4DA3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295AFA23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196,0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06596D7E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66603A3C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30,3</w:t>
            </w:r>
          </w:p>
        </w:tc>
        <w:tc>
          <w:tcPr>
            <w:tcW w:w="240" w:type="dxa"/>
            <w:vAlign w:val="center"/>
          </w:tcPr>
          <w:p w14:paraId="029D190A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38669EE6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15,5%</w:t>
            </w:r>
          </w:p>
        </w:tc>
      </w:tr>
      <w:tr w:rsidR="009E4DA3" w:rsidRPr="00376296" w14:paraId="48B4F4E9" w14:textId="77777777" w:rsidTr="009E4DA3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478D4F0B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7991081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64,8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663D9744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-29,2</w:t>
            </w:r>
          </w:p>
        </w:tc>
        <w:tc>
          <w:tcPr>
            <w:tcW w:w="240" w:type="dxa"/>
            <w:vAlign w:val="center"/>
          </w:tcPr>
          <w:p w14:paraId="07B7CBD4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6FB2820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-31,1%</w:t>
            </w:r>
          </w:p>
        </w:tc>
      </w:tr>
      <w:tr w:rsidR="009E4DA3" w:rsidRPr="00376296" w14:paraId="4C9EF8A5" w14:textId="77777777" w:rsidTr="009E4DA3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0B00D15B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383,9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6DD7E49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464,6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4B2839B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80,7</w:t>
            </w:r>
          </w:p>
        </w:tc>
        <w:tc>
          <w:tcPr>
            <w:tcW w:w="240" w:type="dxa"/>
            <w:vAlign w:val="center"/>
          </w:tcPr>
          <w:p w14:paraId="46324BD4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10FCFD76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21,0%</w:t>
            </w:r>
          </w:p>
        </w:tc>
      </w:tr>
      <w:tr w:rsidR="009E4DA3" w:rsidRPr="00376296" w14:paraId="4013BA58" w14:textId="77777777" w:rsidTr="009E4DA3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9E4DA3" w:rsidRPr="00376296" w:rsidRDefault="009E4DA3" w:rsidP="009E4DA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078D65C9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413,4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0D300BD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347,2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51101FA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-66,2</w:t>
            </w:r>
          </w:p>
        </w:tc>
        <w:tc>
          <w:tcPr>
            <w:tcW w:w="240" w:type="dxa"/>
            <w:vAlign w:val="center"/>
          </w:tcPr>
          <w:p w14:paraId="3F8493F4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5920D4DF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-16,0%</w:t>
            </w:r>
          </w:p>
        </w:tc>
      </w:tr>
      <w:tr w:rsidR="009E4DA3" w:rsidRPr="00376296" w14:paraId="73ADDF77" w14:textId="77777777" w:rsidTr="009E4DA3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7FC8E3D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358,1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224145A3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225AAF40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-67,2</w:t>
            </w:r>
          </w:p>
        </w:tc>
        <w:tc>
          <w:tcPr>
            <w:tcW w:w="240" w:type="dxa"/>
            <w:vAlign w:val="center"/>
          </w:tcPr>
          <w:p w14:paraId="1C3E83B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3D97F6C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-18,8%</w:t>
            </w:r>
          </w:p>
        </w:tc>
      </w:tr>
      <w:tr w:rsidR="009E4DA3" w:rsidRPr="00376296" w14:paraId="59D13F9C" w14:textId="77777777" w:rsidTr="009E4DA3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9E4DA3" w:rsidRPr="0047741C" w:rsidRDefault="009E4DA3" w:rsidP="009E4DA3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0E63F76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0D826339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278,0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40D1A12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-73,3</w:t>
            </w:r>
          </w:p>
        </w:tc>
        <w:tc>
          <w:tcPr>
            <w:tcW w:w="240" w:type="dxa"/>
            <w:vAlign w:val="center"/>
          </w:tcPr>
          <w:p w14:paraId="4269A00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5C241DF5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-20,9%</w:t>
            </w:r>
          </w:p>
        </w:tc>
      </w:tr>
      <w:tr w:rsidR="009E4DA3" w:rsidRPr="00376296" w14:paraId="01B3A1EC" w14:textId="77777777" w:rsidTr="009E4DA3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9E4DA3" w:rsidRPr="00376296" w:rsidRDefault="009E4DA3" w:rsidP="009E4DA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299B5E1D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55,3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542E40FA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56,3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7F92A791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1,0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7FECFBA0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1,8%</w:t>
            </w:r>
          </w:p>
        </w:tc>
      </w:tr>
      <w:tr w:rsidR="009E4DA3" w:rsidRPr="00376296" w14:paraId="7F7E9BA4" w14:textId="77777777" w:rsidTr="009E4DA3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9E4DA3" w:rsidRPr="00376296" w:rsidRDefault="009E4DA3" w:rsidP="009E4DA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9E4DA3" w:rsidRPr="00376296" w:rsidRDefault="009E4DA3" w:rsidP="009E4DA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7F4E8ADD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62,0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75BD2872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424,5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25D58620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362,6</w:t>
            </w:r>
          </w:p>
        </w:tc>
        <w:tc>
          <w:tcPr>
            <w:tcW w:w="240" w:type="dxa"/>
            <w:vAlign w:val="center"/>
          </w:tcPr>
          <w:p w14:paraId="45394571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696F12A3" w:rsidR="009E4DA3" w:rsidRPr="009E4DA3" w:rsidRDefault="009E4DA3" w:rsidP="009E4DA3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9E4DA3" w:rsidRPr="00376296" w14:paraId="3B996676" w14:textId="77777777" w:rsidTr="009E4DA3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9E4DA3" w:rsidRPr="00376296" w:rsidRDefault="009E4DA3" w:rsidP="009E4DA3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37880843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0,2%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5BD22D01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9E4DA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68826AAF" w:rsidR="009E4DA3" w:rsidRPr="009E4DA3" w:rsidRDefault="009E4DA3" w:rsidP="009E4DA3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9E4DA3" w:rsidRPr="009E4DA3" w:rsidRDefault="009E4DA3" w:rsidP="009E4DA3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824D2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E0975F0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14:paraId="04C2AB2F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A1D1" w14:textId="77777777" w:rsidR="003E2B04" w:rsidRDefault="003E2B04" w:rsidP="00FB398F">
      <w:r>
        <w:separator/>
      </w:r>
    </w:p>
  </w:endnote>
  <w:endnote w:type="continuationSeparator" w:id="0">
    <w:p w14:paraId="3225B973" w14:textId="77777777" w:rsidR="003E2B04" w:rsidRDefault="003E2B0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5981A4A" w14:textId="77777777" w:rsidR="004E4F42" w:rsidRPr="000B1825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0B1825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0B1825">
      <w:rPr>
        <w:rFonts w:ascii="Arial" w:hAnsi="Arial" w:cs="Arial"/>
        <w:i/>
        <w:iCs/>
        <w:sz w:val="16"/>
        <w:szCs w:val="16"/>
        <w:lang w:val="pt-PT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0B1825">
      <w:rPr>
        <w:rFonts w:ascii="Arial" w:hAnsi="Arial" w:cs="Arial"/>
        <w:i/>
        <w:iCs/>
        <w:sz w:val="16"/>
        <w:szCs w:val="16"/>
        <w:lang w:val="pt-PT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0B1825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0B1825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0B1825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0B1825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0B1825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0B1825">
      <w:rPr>
        <w:rFonts w:ascii="Arial" w:hAnsi="Arial" w:cs="Arial"/>
        <w:i/>
        <w:iCs/>
        <w:sz w:val="16"/>
        <w:szCs w:val="16"/>
        <w:lang w:val="pt-PT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F0CD" w14:textId="77777777" w:rsidR="003E2B04" w:rsidRDefault="003E2B04" w:rsidP="00FB398F">
      <w:r>
        <w:separator/>
      </w:r>
    </w:p>
  </w:footnote>
  <w:footnote w:type="continuationSeparator" w:id="0">
    <w:p w14:paraId="70320ECB" w14:textId="77777777" w:rsidR="003E2B04" w:rsidRDefault="003E2B0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5E84"/>
    <w:rsid w:val="000161B1"/>
    <w:rsid w:val="00022B65"/>
    <w:rsid w:val="00025A39"/>
    <w:rsid w:val="00025BBE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5FF0"/>
    <w:rsid w:val="000A6FA8"/>
    <w:rsid w:val="000A7E03"/>
    <w:rsid w:val="000B1825"/>
    <w:rsid w:val="000C1070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6852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97986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E2B04"/>
    <w:rsid w:val="003F374F"/>
    <w:rsid w:val="003F49E4"/>
    <w:rsid w:val="003F4D2F"/>
    <w:rsid w:val="003F5E32"/>
    <w:rsid w:val="003F71CF"/>
    <w:rsid w:val="003F75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8678A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3FCF"/>
    <w:rsid w:val="00527CDB"/>
    <w:rsid w:val="005341C9"/>
    <w:rsid w:val="005369CA"/>
    <w:rsid w:val="00536DE9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931A3"/>
    <w:rsid w:val="005978D4"/>
    <w:rsid w:val="00597B3C"/>
    <w:rsid w:val="005A23FA"/>
    <w:rsid w:val="005A6E60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E26D6"/>
    <w:rsid w:val="005E7C64"/>
    <w:rsid w:val="005F12F5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752AE"/>
    <w:rsid w:val="006804BE"/>
    <w:rsid w:val="00680AB5"/>
    <w:rsid w:val="0068434A"/>
    <w:rsid w:val="0069008E"/>
    <w:rsid w:val="0069087E"/>
    <w:rsid w:val="00691A8B"/>
    <w:rsid w:val="006925C4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38CC"/>
    <w:rsid w:val="00705C5C"/>
    <w:rsid w:val="00711475"/>
    <w:rsid w:val="007175F6"/>
    <w:rsid w:val="0072548A"/>
    <w:rsid w:val="007277A6"/>
    <w:rsid w:val="00731131"/>
    <w:rsid w:val="0074115C"/>
    <w:rsid w:val="007437AB"/>
    <w:rsid w:val="00745425"/>
    <w:rsid w:val="007503F5"/>
    <w:rsid w:val="007534F8"/>
    <w:rsid w:val="007545AD"/>
    <w:rsid w:val="00761A64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16EF1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4C45"/>
    <w:rsid w:val="008B65BD"/>
    <w:rsid w:val="008B7900"/>
    <w:rsid w:val="008C71BF"/>
    <w:rsid w:val="008C7FE0"/>
    <w:rsid w:val="008D2807"/>
    <w:rsid w:val="008D5717"/>
    <w:rsid w:val="008E1CF9"/>
    <w:rsid w:val="008E223D"/>
    <w:rsid w:val="008E3684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DF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E4DA3"/>
    <w:rsid w:val="009F0528"/>
    <w:rsid w:val="009F0806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1787E"/>
    <w:rsid w:val="00A20C70"/>
    <w:rsid w:val="00A2564F"/>
    <w:rsid w:val="00A33393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117D"/>
    <w:rsid w:val="00A73395"/>
    <w:rsid w:val="00A771E3"/>
    <w:rsid w:val="00A81AE0"/>
    <w:rsid w:val="00A82B4C"/>
    <w:rsid w:val="00A856DD"/>
    <w:rsid w:val="00A87ED2"/>
    <w:rsid w:val="00A92EEC"/>
    <w:rsid w:val="00A93596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40912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70A2"/>
    <w:rsid w:val="00C30971"/>
    <w:rsid w:val="00C315B5"/>
    <w:rsid w:val="00C35E28"/>
    <w:rsid w:val="00C37927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3A84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A7D12"/>
    <w:rsid w:val="00DB3DA3"/>
    <w:rsid w:val="00DC054E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4F1A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5B5F"/>
    <w:rsid w:val="00FD5BDE"/>
    <w:rsid w:val="00FD68EC"/>
    <w:rsid w:val="00FE24A5"/>
    <w:rsid w:val="00FE31E5"/>
    <w:rsid w:val="00FE38D4"/>
    <w:rsid w:val="00FE61AF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42</cp:revision>
  <cp:lastPrinted>2024-07-31T08:07:00Z</cp:lastPrinted>
  <dcterms:created xsi:type="dcterms:W3CDTF">2024-03-07T09:54:00Z</dcterms:created>
  <dcterms:modified xsi:type="dcterms:W3CDTF">2024-07-31T08:13:00Z</dcterms:modified>
</cp:coreProperties>
</file>