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052026B9" w:rsidR="00DD16F7" w:rsidRPr="00DD16F7" w:rsidRDefault="000D5166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4</w:t>
      </w:r>
      <w:r w:rsidR="0071799E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Μαΐου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13A5D875" w:rsidR="00DD16F7" w:rsidRPr="00800ED9" w:rsidRDefault="00DD16F7" w:rsidP="00354D59">
      <w:pPr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71799E">
        <w:rPr>
          <w:rFonts w:ascii="Verdana" w:hAnsi="Verdana" w:cs="Arial"/>
          <w:b/>
          <w:bCs/>
          <w:u w:val="single"/>
          <w:lang w:val="el-GR"/>
        </w:rPr>
        <w:t>ΙΑΝ-</w:t>
      </w:r>
      <w:r w:rsidR="000D5166">
        <w:rPr>
          <w:rFonts w:ascii="Verdana" w:hAnsi="Verdana" w:cs="Arial"/>
          <w:b/>
          <w:bCs/>
          <w:u w:val="single"/>
          <w:lang w:val="el-GR"/>
        </w:rPr>
        <w:t>ΜΑΡ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04D37">
        <w:rPr>
          <w:rFonts w:ascii="Verdana" w:hAnsi="Verdana" w:cs="Arial"/>
          <w:b/>
          <w:bCs/>
          <w:u w:val="single"/>
          <w:lang w:val="el-GR"/>
        </w:rPr>
        <w:t>6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69A97714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9976B8" w:rsidRPr="009976B8">
        <w:rPr>
          <w:rFonts w:ascii="Verdana" w:hAnsi="Verdana" w:cs="Arial"/>
          <w:b/>
          <w:bCs/>
          <w:lang w:val="el-GR"/>
        </w:rPr>
        <w:t>5</w:t>
      </w:r>
      <w:r w:rsidR="000D5166">
        <w:rPr>
          <w:rFonts w:ascii="Verdana" w:hAnsi="Verdana" w:cs="Arial"/>
          <w:b/>
          <w:bCs/>
          <w:lang w:val="el-GR"/>
        </w:rPr>
        <w:t>73</w:t>
      </w:r>
      <w:r w:rsidR="009976B8" w:rsidRPr="009976B8">
        <w:rPr>
          <w:rFonts w:ascii="Verdana" w:hAnsi="Verdana" w:cs="Arial"/>
          <w:b/>
          <w:bCs/>
          <w:lang w:val="el-GR"/>
        </w:rPr>
        <w:t xml:space="preserve">,3 </w:t>
      </w:r>
      <w:r w:rsidRPr="00C43DAE">
        <w:rPr>
          <w:rFonts w:ascii="Verdana" w:hAnsi="Verdana" w:cs="Arial"/>
          <w:b/>
          <w:bCs/>
          <w:lang w:val="el-GR"/>
        </w:rPr>
        <w:t>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6DDA8BEC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9976B8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0D5166">
        <w:rPr>
          <w:rFonts w:ascii="Verdana" w:hAnsi="Verdana" w:cs="Arial"/>
          <w:sz w:val="18"/>
          <w:szCs w:val="18"/>
          <w:lang w:val="el-GR"/>
        </w:rPr>
        <w:t>Μαρτίου</w:t>
      </w:r>
      <w:r w:rsidR="009976B8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</w:t>
      </w:r>
      <w:r w:rsidR="00F04D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="000D5166">
        <w:rPr>
          <w:rFonts w:ascii="Verdana" w:hAnsi="Verdana" w:cs="Arial"/>
          <w:sz w:val="18"/>
          <w:szCs w:val="18"/>
          <w:lang w:val="el-GR"/>
        </w:rPr>
        <w:t>73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9976B8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50274D" w:rsidRPr="0050274D">
        <w:rPr>
          <w:rFonts w:ascii="Verdana" w:hAnsi="Verdana" w:cs="Arial"/>
          <w:sz w:val="18"/>
          <w:szCs w:val="18"/>
          <w:lang w:val="el-GR"/>
        </w:rPr>
        <w:t>6</w:t>
      </w:r>
      <w:r w:rsidR="000D5166">
        <w:rPr>
          <w:rFonts w:ascii="Verdana" w:hAnsi="Verdana" w:cs="Arial"/>
          <w:sz w:val="18"/>
          <w:szCs w:val="18"/>
          <w:lang w:val="el-GR"/>
        </w:rPr>
        <w:t>00</w:t>
      </w:r>
      <w:r w:rsidR="0050274D" w:rsidRPr="0050274D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</w:t>
      </w:r>
      <w:r w:rsidR="0050274D" w:rsidRPr="00BA352F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0D5166" w:rsidRPr="007F2C06">
        <w:rPr>
          <w:lang w:val="el-GR"/>
        </w:rPr>
        <w:t xml:space="preserve"> </w:t>
      </w:r>
      <w:r w:rsidR="000D5166" w:rsidRPr="000D5166">
        <w:rPr>
          <w:rFonts w:ascii="Verdana" w:hAnsi="Verdana" w:cs="Arial"/>
          <w:sz w:val="18"/>
          <w:szCs w:val="18"/>
          <w:lang w:val="el-GR"/>
        </w:rPr>
        <w:t>Μαρτίου</w:t>
      </w:r>
      <w:r w:rsidR="0050274D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3A7A9B7E" w:rsidR="00882A5A" w:rsidRPr="00B03988" w:rsidRDefault="000D5166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477CAFC3" wp14:editId="77636084">
            <wp:extent cx="6059805" cy="4535805"/>
            <wp:effectExtent l="0" t="0" r="0" b="0"/>
            <wp:docPr id="5216173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0064AE79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0D5166" w:rsidRPr="000D5166">
        <w:rPr>
          <w:rFonts w:ascii="Verdana" w:hAnsi="Verdana" w:cs="Arial"/>
          <w:sz w:val="18"/>
          <w:szCs w:val="18"/>
          <w:lang w:val="el-GR"/>
        </w:rPr>
        <w:t>Μαρτίου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0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0"/>
      <w:r w:rsidR="000D5166">
        <w:rPr>
          <w:rFonts w:ascii="Verdana" w:hAnsi="Verdana" w:cs="Arial"/>
          <w:sz w:val="18"/>
          <w:szCs w:val="18"/>
          <w:lang w:val="el-GR"/>
        </w:rPr>
        <w:t>194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0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0D5166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0D5166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0D5166">
        <w:rPr>
          <w:rFonts w:ascii="Verdana" w:hAnsi="Verdana" w:cs="Arial"/>
          <w:sz w:val="18"/>
          <w:szCs w:val="18"/>
          <w:lang w:val="el-GR"/>
        </w:rPr>
        <w:t>805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D5166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50274D">
        <w:rPr>
          <w:rFonts w:ascii="Verdana" w:hAnsi="Verdana" w:cs="Arial"/>
          <w:sz w:val="18"/>
          <w:szCs w:val="18"/>
          <w:lang w:val="el-GR"/>
        </w:rPr>
        <w:t>6</w:t>
      </w:r>
      <w:r w:rsidR="000D5166">
        <w:rPr>
          <w:rFonts w:ascii="Verdana" w:hAnsi="Verdana" w:cs="Arial"/>
          <w:sz w:val="18"/>
          <w:szCs w:val="18"/>
          <w:lang w:val="el-GR"/>
        </w:rPr>
        <w:t>11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50274D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>ην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175D972" w14:textId="77777777" w:rsidR="000D5166" w:rsidRDefault="00DD16F7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0D5166">
        <w:rPr>
          <w:rFonts w:ascii="Verdana" w:hAnsi="Verdana" w:cs="Arial"/>
          <w:sz w:val="18"/>
          <w:szCs w:val="18"/>
          <w:lang w:val="el-GR"/>
        </w:rPr>
        <w:t>107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8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0D5166">
        <w:rPr>
          <w:rFonts w:ascii="Verdana" w:hAnsi="Verdana" w:cs="Arial"/>
          <w:sz w:val="18"/>
          <w:szCs w:val="18"/>
          <w:lang w:val="el-GR"/>
        </w:rPr>
        <w:t>10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9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0D5166">
        <w:rPr>
          <w:rFonts w:ascii="Verdana" w:hAnsi="Verdana" w:cs="Arial"/>
          <w:sz w:val="18"/>
          <w:szCs w:val="18"/>
          <w:lang w:val="el-GR"/>
        </w:rPr>
        <w:t>1.093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7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9</w:t>
      </w:r>
      <w:r w:rsidR="000D5166">
        <w:rPr>
          <w:rFonts w:ascii="Verdana" w:hAnsi="Verdana" w:cs="Arial"/>
          <w:sz w:val="18"/>
          <w:szCs w:val="18"/>
          <w:lang w:val="el-GR"/>
        </w:rPr>
        <w:t>85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1A6A86" w:rsidRPr="00687B22">
        <w:rPr>
          <w:rFonts w:ascii="Verdana" w:hAnsi="Verdana" w:cs="Arial"/>
          <w:sz w:val="18"/>
          <w:szCs w:val="18"/>
          <w:lang w:val="el-GR"/>
        </w:rPr>
        <w:t>9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687B22">
        <w:rPr>
          <w:rFonts w:ascii="Verdana" w:hAnsi="Verdana" w:cs="Arial"/>
          <w:sz w:val="18"/>
          <w:szCs w:val="18"/>
          <w:lang w:val="el-GR"/>
        </w:rPr>
        <w:t>Ο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ι κοινωνικές εισφορές </w:t>
      </w:r>
      <w:r w:rsidR="00687B22">
        <w:rPr>
          <w:rFonts w:ascii="Verdana" w:hAnsi="Verdana" w:cs="Arial"/>
          <w:sz w:val="18"/>
          <w:szCs w:val="18"/>
          <w:lang w:val="el-GR"/>
        </w:rPr>
        <w:t>αυξήθηκαν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0D5166">
        <w:rPr>
          <w:rFonts w:ascii="Verdana" w:hAnsi="Verdana" w:cs="Arial"/>
          <w:sz w:val="18"/>
          <w:szCs w:val="18"/>
          <w:lang w:val="el-GR"/>
        </w:rPr>
        <w:t>86</w:t>
      </w:r>
      <w:r w:rsidR="00687B22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0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87B22">
        <w:rPr>
          <w:rFonts w:ascii="Verdana" w:hAnsi="Verdana" w:cs="Arial"/>
          <w:sz w:val="18"/>
          <w:szCs w:val="18"/>
          <w:lang w:val="el-GR"/>
        </w:rPr>
        <w:t>+</w:t>
      </w:r>
      <w:r w:rsidR="000D5166">
        <w:rPr>
          <w:rFonts w:ascii="Verdana" w:hAnsi="Verdana" w:cs="Arial"/>
          <w:sz w:val="18"/>
          <w:szCs w:val="18"/>
          <w:lang w:val="el-GR"/>
        </w:rPr>
        <w:t>7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87B22">
        <w:rPr>
          <w:rFonts w:ascii="Verdana" w:hAnsi="Verdana" w:cs="Arial"/>
          <w:sz w:val="18"/>
          <w:szCs w:val="18"/>
          <w:lang w:val="el-GR"/>
        </w:rPr>
        <w:t>ανήλθαν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D5166">
        <w:rPr>
          <w:rFonts w:ascii="Verdana" w:hAnsi="Verdana" w:cs="Arial"/>
          <w:sz w:val="18"/>
          <w:szCs w:val="18"/>
          <w:lang w:val="el-GR"/>
        </w:rPr>
        <w:t>1.264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6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87B22">
        <w:rPr>
          <w:rFonts w:ascii="Verdana" w:hAnsi="Verdana" w:cs="Arial"/>
          <w:sz w:val="18"/>
          <w:szCs w:val="18"/>
          <w:lang w:val="el-GR"/>
        </w:rPr>
        <w:t>1</w:t>
      </w:r>
      <w:r w:rsidR="000D5166">
        <w:rPr>
          <w:rFonts w:ascii="Verdana" w:hAnsi="Verdana" w:cs="Arial"/>
          <w:sz w:val="18"/>
          <w:szCs w:val="18"/>
          <w:lang w:val="el-GR"/>
        </w:rPr>
        <w:t>.1</w:t>
      </w:r>
      <w:r w:rsidR="00687B22">
        <w:rPr>
          <w:rFonts w:ascii="Verdana" w:hAnsi="Verdana" w:cs="Arial"/>
          <w:sz w:val="18"/>
          <w:szCs w:val="18"/>
          <w:lang w:val="el-GR"/>
        </w:rPr>
        <w:t>7</w:t>
      </w:r>
      <w:r w:rsidR="000D5166">
        <w:rPr>
          <w:rFonts w:ascii="Verdana" w:hAnsi="Verdana" w:cs="Arial"/>
          <w:sz w:val="18"/>
          <w:szCs w:val="18"/>
          <w:lang w:val="el-GR"/>
        </w:rPr>
        <w:t>8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0D5166">
        <w:rPr>
          <w:rFonts w:ascii="Verdana" w:hAnsi="Verdana" w:cs="Arial"/>
          <w:sz w:val="18"/>
          <w:szCs w:val="18"/>
          <w:lang w:val="el-GR"/>
        </w:rPr>
        <w:t>6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5910598C" w14:textId="396CF75A" w:rsidR="000D5166" w:rsidRDefault="000D5166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E002DE">
        <w:rPr>
          <w:rFonts w:ascii="Verdana" w:hAnsi="Verdana" w:cs="Arial"/>
          <w:sz w:val="18"/>
          <w:szCs w:val="18"/>
          <w:lang w:val="el-GR"/>
        </w:rPr>
        <w:t xml:space="preserve">Οι συνολικοί φόροι επί της παραγωγής και των εισαγωγών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>
        <w:rPr>
          <w:rFonts w:ascii="Verdana" w:hAnsi="Verdana" w:cs="Arial"/>
          <w:sz w:val="18"/>
          <w:szCs w:val="18"/>
          <w:lang w:val="el-GR"/>
        </w:rPr>
        <w:t>31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 €</w:t>
      </w:r>
      <w:r>
        <w:rPr>
          <w:rFonts w:ascii="Verdana" w:hAnsi="Verdana" w:cs="Arial"/>
          <w:sz w:val="18"/>
          <w:szCs w:val="18"/>
          <w:lang w:val="el-GR"/>
        </w:rPr>
        <w:t>1.124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1.092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2025, εκ των οποίων τα καθαρά έσοδα του ΦΠΑ (μετά την αφαίρεση των επιστροφών)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>
        <w:rPr>
          <w:rFonts w:ascii="Verdana" w:hAnsi="Verdana" w:cs="Arial"/>
          <w:sz w:val="18"/>
          <w:szCs w:val="18"/>
          <w:lang w:val="el-GR"/>
        </w:rPr>
        <w:t>34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+4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8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E002DE">
        <w:rPr>
          <w:rFonts w:ascii="Verdana" w:hAnsi="Verdana" w:cs="Arial"/>
          <w:sz w:val="18"/>
          <w:szCs w:val="18"/>
          <w:lang w:val="el-GR"/>
        </w:rPr>
        <w:t>€</w:t>
      </w:r>
      <w:r>
        <w:rPr>
          <w:rFonts w:ascii="Verdana" w:hAnsi="Verdana" w:cs="Arial"/>
          <w:sz w:val="18"/>
          <w:szCs w:val="18"/>
          <w:lang w:val="el-GR"/>
        </w:rPr>
        <w:t>758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8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724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2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Pr="000D5166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Ο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>
        <w:rPr>
          <w:rFonts w:ascii="Verdana" w:hAnsi="Verdana" w:cs="Arial"/>
          <w:sz w:val="18"/>
          <w:szCs w:val="18"/>
          <w:lang w:val="el-GR"/>
        </w:rPr>
        <w:t>αυξήθηκαν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>
        <w:rPr>
          <w:rFonts w:ascii="Verdana" w:hAnsi="Verdana" w:cs="Arial"/>
          <w:sz w:val="18"/>
          <w:szCs w:val="18"/>
          <w:lang w:val="el-GR"/>
        </w:rPr>
        <w:t>0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+13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0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8654BF">
        <w:rPr>
          <w:rFonts w:ascii="Verdana" w:hAnsi="Verdana" w:cs="Arial"/>
          <w:sz w:val="18"/>
          <w:szCs w:val="18"/>
          <w:lang w:val="el-GR"/>
        </w:rPr>
        <w:t>.</w:t>
      </w:r>
    </w:p>
    <w:p w14:paraId="1D345D3E" w14:textId="77777777" w:rsidR="00F129C2" w:rsidRDefault="00F129C2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26C445" w14:textId="6DB20C7B" w:rsidR="000D5166" w:rsidRDefault="000D5166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, </w:t>
      </w:r>
      <w:r w:rsidR="00142738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ι εισπραχθέντες τόκοι και μερίσματα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>
        <w:rPr>
          <w:rFonts w:ascii="Verdana" w:hAnsi="Verdana" w:cs="Arial"/>
          <w:sz w:val="18"/>
          <w:szCs w:val="18"/>
          <w:lang w:val="el-GR"/>
        </w:rPr>
        <w:t>3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3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(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-</w:t>
      </w:r>
      <w:r w:rsidR="00142738">
        <w:rPr>
          <w:rFonts w:ascii="Verdana" w:hAnsi="Verdana" w:cs="Arial"/>
          <w:sz w:val="18"/>
          <w:szCs w:val="18"/>
          <w:lang w:val="el-GR"/>
        </w:rPr>
        <w:t>1</w:t>
      </w:r>
      <w:r>
        <w:rPr>
          <w:rFonts w:ascii="Verdana" w:hAnsi="Verdana" w:cs="Arial"/>
          <w:sz w:val="18"/>
          <w:szCs w:val="18"/>
          <w:lang w:val="el-GR"/>
        </w:rPr>
        <w:t>7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5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142738">
        <w:rPr>
          <w:rFonts w:ascii="Verdana" w:hAnsi="Verdana" w:cs="Arial"/>
          <w:sz w:val="18"/>
          <w:szCs w:val="18"/>
          <w:lang w:val="el-GR"/>
        </w:rPr>
        <w:t>1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6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142738">
        <w:rPr>
          <w:rFonts w:ascii="Verdana" w:hAnsi="Verdana" w:cs="Arial"/>
          <w:sz w:val="18"/>
          <w:szCs w:val="18"/>
          <w:lang w:val="el-GR"/>
        </w:rPr>
        <w:t>1</w:t>
      </w:r>
      <w:r>
        <w:rPr>
          <w:rFonts w:ascii="Verdana" w:hAnsi="Verdana" w:cs="Arial"/>
          <w:sz w:val="18"/>
          <w:szCs w:val="18"/>
          <w:lang w:val="el-GR"/>
        </w:rPr>
        <w:t>8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.</w:t>
      </w:r>
      <w:r w:rsidR="007A4737" w:rsidRPr="00F129C2">
        <w:rPr>
          <w:rFonts w:ascii="Verdana" w:hAnsi="Verdana" w:cs="Arial"/>
          <w:sz w:val="18"/>
          <w:szCs w:val="18"/>
          <w:lang w:val="el-GR"/>
        </w:rPr>
        <w:t xml:space="preserve"> 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Τα έσοδα από παροχή υπηρεσιών μειώθηκαν κατά €</w:t>
      </w:r>
      <w:r w:rsidR="00142738">
        <w:rPr>
          <w:rFonts w:ascii="Verdana" w:hAnsi="Verdana" w:cs="Arial"/>
          <w:sz w:val="18"/>
          <w:szCs w:val="18"/>
          <w:lang w:val="el-GR"/>
        </w:rPr>
        <w:t>1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0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(-</w:t>
      </w:r>
      <w:r>
        <w:rPr>
          <w:rFonts w:ascii="Verdana" w:hAnsi="Verdana" w:cs="Arial"/>
          <w:sz w:val="18"/>
          <w:szCs w:val="18"/>
          <w:lang w:val="el-GR"/>
        </w:rPr>
        <w:t>7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2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>
        <w:rPr>
          <w:rFonts w:ascii="Verdana" w:hAnsi="Verdana" w:cs="Arial"/>
          <w:sz w:val="18"/>
          <w:szCs w:val="18"/>
          <w:lang w:val="el-GR"/>
        </w:rPr>
        <w:t>24</w:t>
      </w:r>
      <w:r w:rsidR="00142738">
        <w:rPr>
          <w:rFonts w:ascii="Verdana" w:hAnsi="Verdana" w:cs="Arial"/>
          <w:sz w:val="18"/>
          <w:szCs w:val="18"/>
          <w:lang w:val="el-GR"/>
        </w:rPr>
        <w:t>3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8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262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>,</w:t>
      </w:r>
      <w:r w:rsidR="00142738">
        <w:rPr>
          <w:rFonts w:ascii="Verdana" w:hAnsi="Verdana" w:cs="Arial"/>
          <w:sz w:val="18"/>
          <w:szCs w:val="18"/>
          <w:lang w:val="el-GR"/>
        </w:rPr>
        <w:t>8</w:t>
      </w:r>
      <w:r w:rsidR="00142738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="00142738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Οι τρέχουσες μεταβιβάσεις </w:t>
      </w:r>
      <w:r w:rsidR="008A5AE8" w:rsidRPr="008A5AE8">
        <w:rPr>
          <w:rFonts w:ascii="Verdana" w:hAnsi="Verdana" w:cs="Arial"/>
          <w:sz w:val="18"/>
          <w:szCs w:val="18"/>
          <w:lang w:val="el-GR"/>
        </w:rPr>
        <w:t>μειώ</w:t>
      </w:r>
      <w:r w:rsidRPr="008A5AE8">
        <w:rPr>
          <w:rFonts w:ascii="Verdana" w:hAnsi="Verdana" w:cs="Arial"/>
          <w:sz w:val="18"/>
          <w:szCs w:val="18"/>
          <w:lang w:val="el-GR"/>
        </w:rPr>
        <w:t>θηκαν κατά €9,6 εκ. (-14,0%) και περιορίστηκαν στα €58,8 εκ. σε σύγκριση με €68,4 εκ. το 2025.</w:t>
      </w:r>
    </w:p>
    <w:p w14:paraId="7E0E7EBB" w14:textId="11379CAC" w:rsidR="00990968" w:rsidRDefault="00990968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31860A16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6A3D0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0D5166" w:rsidRPr="000D5166">
        <w:rPr>
          <w:rFonts w:ascii="Verdana" w:hAnsi="Verdana" w:cs="Arial"/>
          <w:sz w:val="18"/>
          <w:szCs w:val="18"/>
          <w:lang w:val="el-GR"/>
        </w:rPr>
        <w:t>Μαρτίου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6A3D07">
        <w:rPr>
          <w:rFonts w:ascii="Verdana" w:hAnsi="Verdana" w:cs="Arial"/>
          <w:sz w:val="18"/>
          <w:szCs w:val="18"/>
          <w:lang w:val="el-GR"/>
        </w:rPr>
        <w:t>2</w:t>
      </w:r>
      <w:r w:rsidR="00E14989">
        <w:rPr>
          <w:rFonts w:ascii="Verdana" w:hAnsi="Verdana" w:cs="Arial"/>
          <w:sz w:val="18"/>
          <w:szCs w:val="18"/>
          <w:lang w:val="el-GR"/>
        </w:rPr>
        <w:t>1,3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E14989">
        <w:rPr>
          <w:rFonts w:ascii="Verdana" w:hAnsi="Verdana" w:cs="Arial"/>
          <w:sz w:val="18"/>
          <w:szCs w:val="18"/>
          <w:lang w:val="el-GR"/>
        </w:rPr>
        <w:t>7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3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14989">
        <w:rPr>
          <w:rFonts w:ascii="Verdana" w:hAnsi="Verdana" w:cs="Arial"/>
          <w:sz w:val="18"/>
          <w:szCs w:val="18"/>
          <w:lang w:val="el-GR"/>
        </w:rPr>
        <w:t>3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E14989">
        <w:rPr>
          <w:rFonts w:ascii="Verdana" w:hAnsi="Verdana" w:cs="Arial"/>
          <w:sz w:val="18"/>
          <w:szCs w:val="18"/>
          <w:lang w:val="el-GR"/>
        </w:rPr>
        <w:t>232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6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14989">
        <w:rPr>
          <w:rFonts w:ascii="Verdana" w:hAnsi="Verdana" w:cs="Arial"/>
          <w:sz w:val="18"/>
          <w:szCs w:val="18"/>
          <w:lang w:val="el-GR"/>
        </w:rPr>
        <w:t>3</w:t>
      </w:r>
      <w:r w:rsidR="006A3D07">
        <w:rPr>
          <w:rFonts w:ascii="Verdana" w:hAnsi="Verdana" w:cs="Arial"/>
          <w:sz w:val="18"/>
          <w:szCs w:val="18"/>
          <w:lang w:val="el-GR"/>
        </w:rPr>
        <w:t>.0</w:t>
      </w:r>
      <w:r w:rsidR="00E14989">
        <w:rPr>
          <w:rFonts w:ascii="Verdana" w:hAnsi="Verdana" w:cs="Arial"/>
          <w:sz w:val="18"/>
          <w:szCs w:val="18"/>
          <w:lang w:val="el-GR"/>
        </w:rPr>
        <w:t>11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3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420B4BED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129C2">
        <w:rPr>
          <w:rFonts w:ascii="Verdana" w:hAnsi="Verdana" w:cs="Arial"/>
          <w:sz w:val="18"/>
          <w:szCs w:val="18"/>
          <w:lang w:val="el-GR"/>
        </w:rPr>
        <w:t>η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ενδιάμεση ανάλωση αυξήθηκε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25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6A3D07">
        <w:rPr>
          <w:rFonts w:ascii="Verdana" w:hAnsi="Verdana" w:cs="Arial"/>
          <w:sz w:val="18"/>
          <w:szCs w:val="18"/>
          <w:lang w:val="el-GR"/>
        </w:rPr>
        <w:t>6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14989">
        <w:rPr>
          <w:rFonts w:ascii="Verdana" w:hAnsi="Verdana" w:cs="Arial"/>
          <w:sz w:val="18"/>
          <w:szCs w:val="18"/>
          <w:lang w:val="el-GR"/>
        </w:rPr>
        <w:t>9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%) και ανήλθ</w:t>
      </w:r>
      <w:r w:rsidR="00F129C2">
        <w:rPr>
          <w:rFonts w:ascii="Verdana" w:hAnsi="Verdana" w:cs="Arial"/>
          <w:sz w:val="18"/>
          <w:szCs w:val="18"/>
          <w:lang w:val="el-GR"/>
        </w:rPr>
        <w:t>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303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7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278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>Ο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ι απολαβές προσωπικού (συμπεριλαμβανομένων των τεκμαρτών κοινωνικών εισφορών και συντάξεων των δημοσίων υπαλλήλων) </w:t>
      </w:r>
      <w:r w:rsidR="006A3D07">
        <w:rPr>
          <w:rFonts w:ascii="Verdana" w:hAnsi="Verdana" w:cs="Arial"/>
          <w:sz w:val="18"/>
          <w:szCs w:val="18"/>
          <w:lang w:val="el-GR"/>
        </w:rPr>
        <w:t>αυξήθηκαν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23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0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A3D07">
        <w:rPr>
          <w:rFonts w:ascii="Verdana" w:hAnsi="Verdana" w:cs="Arial"/>
          <w:sz w:val="18"/>
          <w:szCs w:val="18"/>
          <w:lang w:val="el-GR"/>
        </w:rPr>
        <w:t>+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4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A3D07">
        <w:rPr>
          <w:rFonts w:ascii="Verdana" w:hAnsi="Verdana" w:cs="Arial"/>
          <w:sz w:val="18"/>
          <w:szCs w:val="18"/>
          <w:lang w:val="el-GR"/>
        </w:rPr>
        <w:t>ανήλθαν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14989">
        <w:rPr>
          <w:rFonts w:ascii="Verdana" w:hAnsi="Verdana" w:cs="Arial"/>
          <w:sz w:val="18"/>
          <w:szCs w:val="18"/>
          <w:lang w:val="el-GR"/>
        </w:rPr>
        <w:t>974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8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14989">
        <w:rPr>
          <w:rFonts w:ascii="Verdana" w:hAnsi="Verdana" w:cs="Arial"/>
          <w:sz w:val="18"/>
          <w:szCs w:val="18"/>
          <w:lang w:val="el-GR"/>
        </w:rPr>
        <w:t>951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8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το 2025. </w:t>
      </w:r>
      <w:r w:rsidR="00B10421">
        <w:rPr>
          <w:rFonts w:ascii="Verdana" w:hAnsi="Verdana" w:cs="Arial"/>
          <w:sz w:val="18"/>
          <w:szCs w:val="18"/>
          <w:lang w:val="el-GR"/>
        </w:rPr>
        <w:t>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  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82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3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E14989">
        <w:rPr>
          <w:rFonts w:ascii="Verdana" w:hAnsi="Verdana" w:cs="Arial"/>
          <w:sz w:val="18"/>
          <w:szCs w:val="18"/>
          <w:lang w:val="el-GR"/>
        </w:rPr>
        <w:t>6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1.361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1.278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9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E14989">
        <w:rPr>
          <w:rFonts w:ascii="Verdana" w:hAnsi="Verdana" w:cs="Arial"/>
          <w:sz w:val="18"/>
          <w:szCs w:val="18"/>
          <w:lang w:val="el-GR"/>
        </w:rPr>
        <w:t>Ο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E14989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E14989">
        <w:rPr>
          <w:rFonts w:ascii="Verdana" w:hAnsi="Verdana" w:cs="Arial"/>
          <w:sz w:val="18"/>
          <w:szCs w:val="18"/>
          <w:lang w:val="el-GR"/>
        </w:rPr>
        <w:t>αυξήθηκαν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29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9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14989">
        <w:rPr>
          <w:rFonts w:ascii="Verdana" w:hAnsi="Verdana" w:cs="Arial"/>
          <w:sz w:val="18"/>
          <w:szCs w:val="18"/>
          <w:lang w:val="el-GR"/>
        </w:rPr>
        <w:t>+41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14989">
        <w:rPr>
          <w:rFonts w:ascii="Verdana" w:hAnsi="Verdana" w:cs="Arial"/>
          <w:sz w:val="18"/>
          <w:szCs w:val="18"/>
          <w:lang w:val="el-GR"/>
        </w:rPr>
        <w:t>ανήλθαν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14989">
        <w:rPr>
          <w:rFonts w:ascii="Verdana" w:hAnsi="Verdana" w:cs="Arial"/>
          <w:sz w:val="18"/>
          <w:szCs w:val="18"/>
          <w:lang w:val="el-GR"/>
        </w:rPr>
        <w:t>102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7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72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8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E14989">
        <w:rPr>
          <w:rFonts w:ascii="Verdana" w:hAnsi="Verdana" w:cs="Arial"/>
          <w:sz w:val="18"/>
          <w:szCs w:val="18"/>
          <w:lang w:val="el-GR"/>
        </w:rPr>
        <w:t>5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.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Οι τρέχουσες μεταβιβάσεις αυξήθηκαν κατά €58,8 εκ. (+31,6%) και ανήλθαν στα €245,0 εκ. σε σύγκριση με €186,2 εκ. το 2025.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37B4E457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E14989">
        <w:rPr>
          <w:rFonts w:ascii="Verdana" w:hAnsi="Verdana" w:cs="Arial"/>
          <w:sz w:val="18"/>
          <w:szCs w:val="18"/>
          <w:lang w:val="el-GR"/>
        </w:rPr>
        <w:t>αυξή</w:t>
      </w:r>
      <w:r w:rsidR="00421E0A">
        <w:rPr>
          <w:rFonts w:ascii="Verdana" w:hAnsi="Verdana" w:cs="Arial"/>
          <w:sz w:val="18"/>
          <w:szCs w:val="18"/>
          <w:lang w:val="el-GR"/>
        </w:rPr>
        <w:t>θηκε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5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6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14989">
        <w:rPr>
          <w:rFonts w:ascii="Verdana" w:hAnsi="Verdana" w:cs="Arial"/>
          <w:sz w:val="18"/>
          <w:szCs w:val="18"/>
          <w:lang w:val="el-GR"/>
        </w:rPr>
        <w:t>+2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5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14989">
        <w:rPr>
          <w:rFonts w:ascii="Verdana" w:hAnsi="Verdana" w:cs="Arial"/>
          <w:sz w:val="18"/>
          <w:szCs w:val="18"/>
          <w:lang w:val="el-GR"/>
        </w:rPr>
        <w:t>ανήλθε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22</w:t>
      </w:r>
      <w:r w:rsidR="00421E0A">
        <w:rPr>
          <w:rFonts w:ascii="Verdana" w:hAnsi="Verdana" w:cs="Arial"/>
          <w:sz w:val="18"/>
          <w:szCs w:val="18"/>
          <w:lang w:val="el-GR"/>
        </w:rPr>
        <w:t>9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14989">
        <w:rPr>
          <w:rFonts w:ascii="Verdana" w:hAnsi="Verdana" w:cs="Arial"/>
          <w:sz w:val="18"/>
          <w:szCs w:val="18"/>
          <w:lang w:val="el-GR"/>
        </w:rPr>
        <w:t>223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E14989">
        <w:rPr>
          <w:rFonts w:ascii="Verdana" w:hAnsi="Verdana" w:cs="Arial"/>
          <w:sz w:val="18"/>
          <w:szCs w:val="18"/>
          <w:lang w:val="el-GR"/>
        </w:rPr>
        <w:t>αυξή</w:t>
      </w:r>
      <w:r w:rsidR="00421E0A">
        <w:rPr>
          <w:rFonts w:ascii="Verdana" w:hAnsi="Verdana" w:cs="Arial"/>
          <w:sz w:val="18"/>
          <w:szCs w:val="18"/>
          <w:lang w:val="el-GR"/>
        </w:rPr>
        <w:t>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7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4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14989">
        <w:rPr>
          <w:rFonts w:ascii="Verdana" w:hAnsi="Verdana" w:cs="Arial"/>
          <w:sz w:val="18"/>
          <w:szCs w:val="18"/>
          <w:lang w:val="el-GR"/>
        </w:rPr>
        <w:t>+4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4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14989">
        <w:rPr>
          <w:rFonts w:ascii="Verdana" w:hAnsi="Verdana" w:cs="Arial"/>
          <w:sz w:val="18"/>
          <w:szCs w:val="18"/>
          <w:lang w:val="el-GR"/>
        </w:rPr>
        <w:t>ανήλθαν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176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6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14989">
        <w:rPr>
          <w:rFonts w:ascii="Verdana" w:hAnsi="Verdana" w:cs="Arial"/>
          <w:sz w:val="18"/>
          <w:szCs w:val="18"/>
          <w:lang w:val="el-GR"/>
        </w:rPr>
        <w:t>169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2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E14989">
        <w:rPr>
          <w:rFonts w:ascii="Verdana" w:hAnsi="Verdana" w:cs="Arial"/>
          <w:sz w:val="18"/>
          <w:szCs w:val="18"/>
          <w:lang w:val="el-GR"/>
        </w:rPr>
        <w:t>μειώθηκαν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8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 (</w:t>
      </w:r>
      <w:r w:rsidR="00E14989">
        <w:rPr>
          <w:rFonts w:ascii="Verdana" w:hAnsi="Verdana" w:cs="Arial"/>
          <w:sz w:val="18"/>
          <w:szCs w:val="18"/>
          <w:lang w:val="el-GR"/>
        </w:rPr>
        <w:t>-3</w:t>
      </w:r>
      <w:r w:rsidR="00F129C2">
        <w:rPr>
          <w:rFonts w:ascii="Verdana" w:hAnsi="Verdana" w:cs="Arial"/>
          <w:sz w:val="18"/>
          <w:szCs w:val="18"/>
          <w:lang w:val="el-GR"/>
        </w:rPr>
        <w:t>,</w:t>
      </w:r>
      <w:r w:rsidR="00421E0A">
        <w:rPr>
          <w:rFonts w:ascii="Verdana" w:hAnsi="Verdana" w:cs="Arial"/>
          <w:sz w:val="18"/>
          <w:szCs w:val="18"/>
          <w:lang w:val="el-GR"/>
        </w:rPr>
        <w:t>3</w:t>
      </w:r>
      <w:r w:rsidR="00F129C2">
        <w:rPr>
          <w:rFonts w:ascii="Verdana" w:hAnsi="Verdana" w:cs="Arial"/>
          <w:sz w:val="18"/>
          <w:szCs w:val="18"/>
          <w:lang w:val="el-GR"/>
        </w:rPr>
        <w:t>%)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E14989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E14989">
        <w:rPr>
          <w:rFonts w:ascii="Verdana" w:hAnsi="Verdana" w:cs="Arial"/>
          <w:sz w:val="18"/>
          <w:szCs w:val="18"/>
          <w:lang w:val="el-GR"/>
        </w:rPr>
        <w:t>52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E14989">
        <w:rPr>
          <w:rFonts w:ascii="Verdana" w:hAnsi="Verdana" w:cs="Arial"/>
          <w:sz w:val="18"/>
          <w:szCs w:val="18"/>
          <w:lang w:val="el-GR"/>
        </w:rPr>
        <w:t>54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3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3A741EB7" w:rsidR="00FA53BE" w:rsidRPr="005D1BBC" w:rsidRDefault="00217178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 w:rsidR="00421E0A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(-19,5%) 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και περιορίστηκαν στα €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="00421E0A">
        <w:rPr>
          <w:rFonts w:ascii="Verdana" w:hAnsi="Verdana" w:cs="Arial"/>
          <w:sz w:val="18"/>
          <w:szCs w:val="18"/>
          <w:lang w:val="el-GR"/>
        </w:rPr>
        <w:t>6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                 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€</w:t>
      </w:r>
      <w:r w:rsidR="00E14989">
        <w:rPr>
          <w:rFonts w:ascii="Verdana" w:hAnsi="Verdana" w:cs="Arial"/>
          <w:sz w:val="18"/>
          <w:szCs w:val="18"/>
          <w:lang w:val="el-GR"/>
        </w:rPr>
        <w:t>20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E14989">
        <w:rPr>
          <w:rFonts w:ascii="Verdana" w:hAnsi="Verdana" w:cs="Arial"/>
          <w:sz w:val="18"/>
          <w:szCs w:val="18"/>
          <w:lang w:val="el-GR"/>
        </w:rPr>
        <w:t>0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Pr="00F80373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B4358E2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D8A881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0D934F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8D5FA7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5A680F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354D59" w:rsidRPr="00354D59" w14:paraId="19239BEA" w14:textId="77777777" w:rsidTr="00DB0176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354D59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0F3D956D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489A3F81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0830796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1DC6E986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72F97FF6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68AEE8BD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354D59" w:rsidRPr="00354D59" w14:paraId="1DDA484B" w14:textId="77777777" w:rsidTr="00DB0176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532F4CC1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354D59" w:rsidRPr="00354D59" w14:paraId="1DE73571" w14:textId="77777777" w:rsidTr="00DB0176">
        <w:trPr>
          <w:trHeight w:val="510"/>
          <w:jc w:val="center"/>
        </w:trPr>
        <w:tc>
          <w:tcPr>
            <w:tcW w:w="4260" w:type="dxa"/>
            <w:vMerge/>
          </w:tcPr>
          <w:p w14:paraId="5A1439FD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5C38BEBC" w14:textId="77777777" w:rsidR="00DB0176" w:rsidRPr="00354D59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354D59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354D59" w:rsidRPr="00354D59" w14:paraId="12834134" w14:textId="77777777" w:rsidTr="00DB0176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354D59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2E8DCD15" w:rsidR="00DB0176" w:rsidRPr="00354D59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E72BC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E14989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</w:p>
          <w:p w14:paraId="4C3F6871" w14:textId="148E2F58" w:rsidR="00DB0176" w:rsidRPr="00354D59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6740422" w14:textId="0CC12026" w:rsidR="00DE72BC" w:rsidRPr="00354D59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E14989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</w:p>
          <w:p w14:paraId="279D1CDA" w14:textId="14697216" w:rsidR="00DB0176" w:rsidRPr="00354D59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354D59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AECE15F" w14:textId="7C45ACA4" w:rsidR="00DE72BC" w:rsidRPr="00354D59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E14989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</w:p>
          <w:p w14:paraId="384E1897" w14:textId="6C8EF1C5" w:rsidR="00DB0176" w:rsidRPr="00354D59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/2</w:t>
            </w:r>
            <w:r w:rsidR="00F04D37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354D59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4E05B15" w14:textId="41168038" w:rsidR="00DE72BC" w:rsidRPr="00354D59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E14989"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</w:p>
          <w:p w14:paraId="7D7527C2" w14:textId="1E12FAEA" w:rsidR="00DB0176" w:rsidRPr="00354D59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2026/25</w:t>
            </w:r>
          </w:p>
        </w:tc>
      </w:tr>
      <w:tr w:rsidR="00354D59" w:rsidRPr="00354D59" w14:paraId="67EBC091" w14:textId="77777777" w:rsidTr="00C61383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06927F4" w14:textId="77777777" w:rsidR="00C61383" w:rsidRPr="00354D59" w:rsidRDefault="00C61383" w:rsidP="00C61383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00DF7943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3.611,9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47BF506F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3.805,9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2EEF1CD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194,0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6809A533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3476282B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5,4</w:t>
            </w:r>
          </w:p>
        </w:tc>
      </w:tr>
      <w:tr w:rsidR="00354D59" w:rsidRPr="00354D59" w14:paraId="7CD258D1" w14:textId="77777777" w:rsidTr="00C61383">
        <w:trPr>
          <w:trHeight w:val="510"/>
          <w:jc w:val="center"/>
        </w:trPr>
        <w:tc>
          <w:tcPr>
            <w:tcW w:w="4260" w:type="dxa"/>
            <w:vAlign w:val="center"/>
          </w:tcPr>
          <w:p w14:paraId="5A475B7B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47672C27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1.092,9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34BD459" w14:textId="172F47A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1.124,4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F1E252F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796F57A4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31,5</w:t>
            </w:r>
          </w:p>
        </w:tc>
        <w:tc>
          <w:tcPr>
            <w:tcW w:w="243" w:type="dxa"/>
            <w:vAlign w:val="center"/>
          </w:tcPr>
          <w:p w14:paraId="72E14549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0E3D7955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2,9</w:t>
            </w:r>
          </w:p>
        </w:tc>
      </w:tr>
      <w:tr w:rsidR="00354D59" w:rsidRPr="00354D59" w14:paraId="2F88104A" w14:textId="77777777" w:rsidTr="00C61383">
        <w:trPr>
          <w:trHeight w:val="284"/>
          <w:jc w:val="center"/>
        </w:trPr>
        <w:tc>
          <w:tcPr>
            <w:tcW w:w="4260" w:type="dxa"/>
            <w:vAlign w:val="center"/>
          </w:tcPr>
          <w:p w14:paraId="2CA64C74" w14:textId="08265C9F" w:rsidR="00C61383" w:rsidRPr="00354D59" w:rsidRDefault="00C61383" w:rsidP="00C61383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354D59">
              <w:rPr>
                <w:color w:val="366092"/>
                <w:lang w:val="el-GR"/>
              </w:rPr>
              <w:t xml:space="preserve">                               </w:t>
            </w:r>
            <w:r w:rsidRPr="00354D59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4678BFAF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724,2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74AB022" w14:textId="49C4114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758,8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540051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7D4CE2C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34,6</w:t>
            </w:r>
          </w:p>
        </w:tc>
        <w:tc>
          <w:tcPr>
            <w:tcW w:w="243" w:type="dxa"/>
            <w:vAlign w:val="center"/>
          </w:tcPr>
          <w:p w14:paraId="6A4312B0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138DEED8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</w:tr>
      <w:tr w:rsidR="00354D59" w:rsidRPr="00354D59" w14:paraId="034EA9BC" w14:textId="77777777" w:rsidTr="00C61383">
        <w:trPr>
          <w:trHeight w:val="567"/>
          <w:jc w:val="center"/>
        </w:trPr>
        <w:tc>
          <w:tcPr>
            <w:tcW w:w="4260" w:type="dxa"/>
            <w:vAlign w:val="center"/>
          </w:tcPr>
          <w:p w14:paraId="11E5AF0B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3E7BE2F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985,9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9ED4EE" w14:textId="7287C48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1.093,7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85B975D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38177976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107,8</w:t>
            </w:r>
          </w:p>
        </w:tc>
        <w:tc>
          <w:tcPr>
            <w:tcW w:w="243" w:type="dxa"/>
            <w:vAlign w:val="center"/>
          </w:tcPr>
          <w:p w14:paraId="610F8E5A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6016C244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</w:tr>
      <w:tr w:rsidR="00354D59" w:rsidRPr="00354D59" w14:paraId="0366A372" w14:textId="77777777" w:rsidTr="00C61383">
        <w:trPr>
          <w:trHeight w:val="340"/>
          <w:jc w:val="center"/>
        </w:trPr>
        <w:tc>
          <w:tcPr>
            <w:tcW w:w="4260" w:type="dxa"/>
            <w:vAlign w:val="center"/>
          </w:tcPr>
          <w:p w14:paraId="7BD2387B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2E25A150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1.178,6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350FB58" w14:textId="6982B89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1.264,6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4C73A61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238B766B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86,0</w:t>
            </w:r>
          </w:p>
        </w:tc>
        <w:tc>
          <w:tcPr>
            <w:tcW w:w="243" w:type="dxa"/>
            <w:vAlign w:val="center"/>
          </w:tcPr>
          <w:p w14:paraId="0468AA1C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5D4AE0B0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354D59" w:rsidRPr="00354D59" w14:paraId="1C59A855" w14:textId="77777777" w:rsidTr="00C61383">
        <w:trPr>
          <w:trHeight w:val="340"/>
          <w:jc w:val="center"/>
        </w:trPr>
        <w:tc>
          <w:tcPr>
            <w:tcW w:w="4260" w:type="dxa"/>
            <w:vAlign w:val="center"/>
          </w:tcPr>
          <w:p w14:paraId="13990DAE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42E3734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350,1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0982A36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318,2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24DBAE4B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-31,9</w:t>
            </w:r>
          </w:p>
        </w:tc>
        <w:tc>
          <w:tcPr>
            <w:tcW w:w="243" w:type="dxa"/>
            <w:vAlign w:val="center"/>
          </w:tcPr>
          <w:p w14:paraId="26AACBC3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76CA2242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-9,1</w:t>
            </w:r>
          </w:p>
        </w:tc>
      </w:tr>
      <w:tr w:rsidR="00354D59" w:rsidRPr="00354D59" w14:paraId="76261BA6" w14:textId="77777777" w:rsidTr="00C61383">
        <w:trPr>
          <w:trHeight w:val="284"/>
          <w:jc w:val="center"/>
        </w:trPr>
        <w:tc>
          <w:tcPr>
            <w:tcW w:w="4260" w:type="dxa"/>
            <w:vAlign w:val="center"/>
          </w:tcPr>
          <w:p w14:paraId="369B8086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9E6A24" w14:textId="4E44CA1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18,9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48B0238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15,6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7654ABDF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243" w:type="dxa"/>
            <w:vAlign w:val="center"/>
          </w:tcPr>
          <w:p w14:paraId="0F28FD4C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33733A42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-17,5</w:t>
            </w:r>
          </w:p>
        </w:tc>
      </w:tr>
      <w:tr w:rsidR="00354D59" w:rsidRPr="00354D59" w14:paraId="19CE8074" w14:textId="77777777" w:rsidTr="00C61383">
        <w:trPr>
          <w:trHeight w:val="284"/>
          <w:jc w:val="center"/>
        </w:trPr>
        <w:tc>
          <w:tcPr>
            <w:tcW w:w="4260" w:type="dxa"/>
            <w:vAlign w:val="center"/>
          </w:tcPr>
          <w:p w14:paraId="2EFFA565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078D15C" w14:textId="59FD40A1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68,4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2234BCB6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58,8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5C488BD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-9,6</w:t>
            </w:r>
          </w:p>
        </w:tc>
        <w:tc>
          <w:tcPr>
            <w:tcW w:w="243" w:type="dxa"/>
            <w:vAlign w:val="center"/>
          </w:tcPr>
          <w:p w14:paraId="43639FFD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0EA503A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-14,0</w:t>
            </w:r>
          </w:p>
        </w:tc>
      </w:tr>
      <w:tr w:rsidR="00354D59" w:rsidRPr="00354D59" w14:paraId="68B93110" w14:textId="77777777" w:rsidTr="00C61383">
        <w:trPr>
          <w:trHeight w:val="284"/>
          <w:jc w:val="center"/>
        </w:trPr>
        <w:tc>
          <w:tcPr>
            <w:tcW w:w="4260" w:type="dxa"/>
            <w:vAlign w:val="center"/>
          </w:tcPr>
          <w:p w14:paraId="2222A67A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65962F9" w14:textId="56B5636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262,8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773719D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243,8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7429079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-19,0</w:t>
            </w:r>
          </w:p>
        </w:tc>
        <w:tc>
          <w:tcPr>
            <w:tcW w:w="243" w:type="dxa"/>
            <w:vAlign w:val="center"/>
          </w:tcPr>
          <w:p w14:paraId="4E854E3A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3179EE34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-7,2</w:t>
            </w:r>
          </w:p>
        </w:tc>
      </w:tr>
      <w:tr w:rsidR="00354D59" w:rsidRPr="00354D59" w14:paraId="30A0129F" w14:textId="77777777" w:rsidTr="00C61383">
        <w:trPr>
          <w:trHeight w:val="454"/>
          <w:jc w:val="center"/>
        </w:trPr>
        <w:tc>
          <w:tcPr>
            <w:tcW w:w="4260" w:type="dxa"/>
            <w:vAlign w:val="center"/>
          </w:tcPr>
          <w:p w14:paraId="239C2561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852C9AA" w14:textId="25AC22E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B0F46EA" w14:textId="2EE430C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0A985A58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243" w:type="dxa"/>
            <w:vAlign w:val="center"/>
          </w:tcPr>
          <w:p w14:paraId="42728ED0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70E84FCF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13,6</w:t>
            </w:r>
          </w:p>
        </w:tc>
      </w:tr>
      <w:tr w:rsidR="00354D59" w:rsidRPr="00354D59" w14:paraId="1193EED2" w14:textId="77777777" w:rsidTr="00C61383">
        <w:trPr>
          <w:trHeight w:val="397"/>
          <w:jc w:val="center"/>
        </w:trPr>
        <w:tc>
          <w:tcPr>
            <w:tcW w:w="4260" w:type="dxa"/>
            <w:vAlign w:val="center"/>
          </w:tcPr>
          <w:p w14:paraId="07F72AF1" w14:textId="77777777" w:rsidR="00C61383" w:rsidRPr="00354D59" w:rsidRDefault="00C61383" w:rsidP="00C61383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0371679" w14:textId="338EA44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3.011,3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C65FF44" w14:textId="75AED502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3.232,6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FFEAF56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3E1F9E63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221,3</w:t>
            </w:r>
          </w:p>
        </w:tc>
        <w:tc>
          <w:tcPr>
            <w:tcW w:w="243" w:type="dxa"/>
            <w:vAlign w:val="center"/>
          </w:tcPr>
          <w:p w14:paraId="63395B89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1D65CF9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7,3</w:t>
            </w:r>
          </w:p>
        </w:tc>
      </w:tr>
      <w:tr w:rsidR="00354D59" w:rsidRPr="00354D59" w14:paraId="7D06CF8A" w14:textId="77777777" w:rsidTr="00C61383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33D98D8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D1D9D44" w14:textId="3C44C4C3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2.787,8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270ADA" w14:textId="4E407BC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3.003,5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8D81C2C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1048B60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215,7</w:t>
            </w:r>
          </w:p>
        </w:tc>
        <w:tc>
          <w:tcPr>
            <w:tcW w:w="243" w:type="dxa"/>
            <w:vAlign w:val="center"/>
          </w:tcPr>
          <w:p w14:paraId="6331DDCB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71EDE681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7,7</w:t>
            </w:r>
          </w:p>
        </w:tc>
      </w:tr>
      <w:tr w:rsidR="00354D59" w:rsidRPr="00354D59" w14:paraId="1A77A868" w14:textId="77777777" w:rsidTr="00C61383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954CEE8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9251CE" w14:textId="0C265A5F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278,1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59162B" w14:textId="2CB5C153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303,7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2A4A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4ACDA187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25,6</w:t>
            </w:r>
          </w:p>
        </w:tc>
        <w:tc>
          <w:tcPr>
            <w:tcW w:w="243" w:type="dxa"/>
            <w:vAlign w:val="center"/>
          </w:tcPr>
          <w:p w14:paraId="493C4602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72267EF4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9,2</w:t>
            </w:r>
          </w:p>
        </w:tc>
      </w:tr>
      <w:tr w:rsidR="00354D59" w:rsidRPr="00354D59" w14:paraId="51F656C1" w14:textId="77777777" w:rsidTr="00C61383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B84500E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E0024B8" w14:textId="733821C3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951,8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68D7599" w14:textId="7D50111B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974,8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BE51E62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089846F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23,0</w:t>
            </w:r>
          </w:p>
        </w:tc>
        <w:tc>
          <w:tcPr>
            <w:tcW w:w="243" w:type="dxa"/>
            <w:vAlign w:val="center"/>
          </w:tcPr>
          <w:p w14:paraId="5F981915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62A2A740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2,4</w:t>
            </w:r>
          </w:p>
        </w:tc>
      </w:tr>
      <w:tr w:rsidR="00354D59" w:rsidRPr="00354D59" w14:paraId="1D515361" w14:textId="77777777" w:rsidTr="00C61383">
        <w:trPr>
          <w:trHeight w:val="284"/>
          <w:jc w:val="center"/>
        </w:trPr>
        <w:tc>
          <w:tcPr>
            <w:tcW w:w="4260" w:type="dxa"/>
            <w:vAlign w:val="center"/>
          </w:tcPr>
          <w:p w14:paraId="726B02AD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E529B84" w14:textId="4213CF4C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1.278,9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224C364" w14:textId="272EDCB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1.361,2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7687BCB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6D83E4F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82,3</w:t>
            </w:r>
          </w:p>
        </w:tc>
        <w:tc>
          <w:tcPr>
            <w:tcW w:w="243" w:type="dxa"/>
            <w:vAlign w:val="center"/>
          </w:tcPr>
          <w:p w14:paraId="39AFACB0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67790A77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6,4</w:t>
            </w:r>
          </w:p>
        </w:tc>
      </w:tr>
      <w:tr w:rsidR="00354D59" w:rsidRPr="00354D59" w14:paraId="7717B6DE" w14:textId="77777777" w:rsidTr="00C61383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53F87240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D43DC0F" w14:textId="7B8EFDA6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72,8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F5E3159" w14:textId="12B77C00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102,7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B97ED96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084455A0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29,9</w:t>
            </w:r>
          </w:p>
        </w:tc>
        <w:tc>
          <w:tcPr>
            <w:tcW w:w="243" w:type="dxa"/>
            <w:vAlign w:val="center"/>
          </w:tcPr>
          <w:p w14:paraId="0CB1C72B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15B938C5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41,1</w:t>
            </w:r>
          </w:p>
        </w:tc>
      </w:tr>
      <w:tr w:rsidR="00354D59" w:rsidRPr="00354D59" w14:paraId="5F78D3E5" w14:textId="77777777" w:rsidTr="00C61383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3CF4A33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25E6191" w14:textId="6CAC435B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20,0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9D1C5C1" w14:textId="7C71EDE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16,1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F9C3AEE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466F65E4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-3,9</w:t>
            </w:r>
          </w:p>
        </w:tc>
        <w:tc>
          <w:tcPr>
            <w:tcW w:w="243" w:type="dxa"/>
            <w:vAlign w:val="center"/>
          </w:tcPr>
          <w:p w14:paraId="1CF44359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56911746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-19,5</w:t>
            </w:r>
          </w:p>
        </w:tc>
      </w:tr>
      <w:tr w:rsidR="00354D59" w:rsidRPr="00354D59" w14:paraId="7A54E0AF" w14:textId="77777777" w:rsidTr="00C61383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3965E5E3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310C4F" w14:textId="62BF6FE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186,2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5B1FA2F" w14:textId="59D53E92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245,0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7D79B7D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5B83F6AC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58,8</w:t>
            </w:r>
          </w:p>
        </w:tc>
        <w:tc>
          <w:tcPr>
            <w:tcW w:w="243" w:type="dxa"/>
            <w:vAlign w:val="center"/>
          </w:tcPr>
          <w:p w14:paraId="0228889F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2A057FDC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31,6</w:t>
            </w:r>
          </w:p>
        </w:tc>
      </w:tr>
      <w:tr w:rsidR="00354D59" w:rsidRPr="00354D59" w14:paraId="5F4FCEF5" w14:textId="77777777" w:rsidTr="00C61383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253C92E3" w14:textId="77777777" w:rsidR="00C61383" w:rsidRPr="00354D59" w:rsidRDefault="00C61383" w:rsidP="00C61383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FDBC4F1" w14:textId="48CE85C5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223,5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1F070D" w14:textId="57BB67F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229,1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A5E4BB9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0651F9DC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243" w:type="dxa"/>
            <w:vAlign w:val="center"/>
          </w:tcPr>
          <w:p w14:paraId="65874236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11E95C8E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</w:tr>
      <w:tr w:rsidR="00354D59" w:rsidRPr="00354D59" w14:paraId="2470DE5D" w14:textId="77777777" w:rsidTr="00C61383">
        <w:trPr>
          <w:trHeight w:val="510"/>
          <w:jc w:val="center"/>
        </w:trPr>
        <w:tc>
          <w:tcPr>
            <w:tcW w:w="4260" w:type="dxa"/>
            <w:vAlign w:val="center"/>
          </w:tcPr>
          <w:p w14:paraId="13C37A1A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D2FFCE7" w14:textId="1EB65131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169,2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506125E" w14:textId="1A9EBA3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176,6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4FB81EF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0685A0D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  <w:tc>
          <w:tcPr>
            <w:tcW w:w="243" w:type="dxa"/>
            <w:vAlign w:val="center"/>
          </w:tcPr>
          <w:p w14:paraId="1641F5EE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0021D33A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4,4</w:t>
            </w:r>
          </w:p>
        </w:tc>
      </w:tr>
      <w:tr w:rsidR="00354D59" w:rsidRPr="00354D59" w14:paraId="03A50E38" w14:textId="77777777" w:rsidTr="00C61383">
        <w:trPr>
          <w:trHeight w:val="397"/>
          <w:jc w:val="center"/>
        </w:trPr>
        <w:tc>
          <w:tcPr>
            <w:tcW w:w="4260" w:type="dxa"/>
            <w:vAlign w:val="center"/>
          </w:tcPr>
          <w:p w14:paraId="190F6463" w14:textId="77777777" w:rsidR="00C61383" w:rsidRPr="00354D59" w:rsidRDefault="00C61383" w:rsidP="00C61383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354D59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354D59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E8AF231" w14:textId="130D954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164,6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37A45E7" w14:textId="7E462146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172,8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4D86B62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70C53625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8,2</w:t>
            </w:r>
          </w:p>
        </w:tc>
        <w:tc>
          <w:tcPr>
            <w:tcW w:w="243" w:type="dxa"/>
            <w:vAlign w:val="center"/>
          </w:tcPr>
          <w:p w14:paraId="67BB0234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20E0B6D8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5,0</w:t>
            </w:r>
          </w:p>
        </w:tc>
      </w:tr>
      <w:tr w:rsidR="00354D59" w:rsidRPr="00354D59" w14:paraId="1E76ED78" w14:textId="77777777" w:rsidTr="00C61383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C61383" w:rsidRPr="00354D59" w:rsidRDefault="00C61383" w:rsidP="00C61383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354D59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1C13A2E8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54,3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780D5D04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52,5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1B0C20C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-1,8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61D959CC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2CE5DCF3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-3,3</w:t>
            </w:r>
          </w:p>
        </w:tc>
      </w:tr>
      <w:tr w:rsidR="00354D59" w:rsidRPr="00354D59" w14:paraId="3F1E0831" w14:textId="77777777" w:rsidTr="00C61383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380C66C" w14:textId="77777777" w:rsidR="00C61383" w:rsidRPr="00354D59" w:rsidRDefault="00C61383" w:rsidP="00C61383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C61383" w:rsidRPr="00354D59" w:rsidRDefault="00C61383" w:rsidP="00C61383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71C5523D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600,6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733663EA" w:rsidR="00C61383" w:rsidRPr="00354D59" w:rsidRDefault="00C61383" w:rsidP="00C61383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573,3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7CBED248" w:rsidR="00C61383" w:rsidRPr="00354D59" w:rsidRDefault="00C61383" w:rsidP="00C61383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-27,3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2B86AE9B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354D59" w:rsidRPr="00354D59" w14:paraId="11E1000C" w14:textId="77777777" w:rsidTr="00C61383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E2D2301" w14:textId="77777777" w:rsidR="00C61383" w:rsidRPr="00354D59" w:rsidRDefault="00C61383" w:rsidP="00C61383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670444D9" w:rsidR="00C61383" w:rsidRPr="00354D59" w:rsidRDefault="00C61383" w:rsidP="00C61383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1,6%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1890E94B" w:rsidR="00C61383" w:rsidRPr="00354D59" w:rsidRDefault="00C61383" w:rsidP="00C61383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1,5%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A41D6B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C61383" w:rsidRPr="00354D59" w:rsidRDefault="00C61383" w:rsidP="00C61383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05F2F8B7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7C2D6B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8A5AE8">
        <w:rPr>
          <w:rFonts w:ascii="Verdana" w:hAnsi="Verdana" w:cs="Arial"/>
          <w:sz w:val="18"/>
          <w:szCs w:val="18"/>
          <w:lang w:val="el-GR"/>
        </w:rPr>
        <w:t>Μαρτίου</w:t>
      </w:r>
      <w:r w:rsidR="007C2D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>και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354D59" w:rsidRPr="00354D59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354D59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354D59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354D59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354D59" w:rsidRPr="00354D59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354D59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624348E4" w:rsidR="000D63A5" w:rsidRPr="00354D59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="007C2D6B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A5AE8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F04D37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09E6D485" w14:textId="71D409C0" w:rsidR="000D63A5" w:rsidRPr="00354D59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61C8EAEC" w:rsidR="000D63A5" w:rsidRPr="00354D59" w:rsidRDefault="007C2D6B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8A5AE8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F04D37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0D63A5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  <w:p w14:paraId="7747A603" w14:textId="77777777" w:rsidR="000D63A5" w:rsidRPr="00354D59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354D59" w:rsidRPr="00354D59" w14:paraId="45DEBB12" w14:textId="77777777" w:rsidTr="008A5AE8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8A5AE8" w:rsidRPr="00354D59" w:rsidRDefault="008A5AE8" w:rsidP="008A5AE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425BC90D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312,2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78BEED82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258,6</w:t>
            </w:r>
          </w:p>
        </w:tc>
      </w:tr>
      <w:tr w:rsidR="00354D59" w:rsidRPr="00354D59" w14:paraId="6485AD15" w14:textId="77777777" w:rsidTr="008A5AE8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8A5AE8" w:rsidRPr="00354D59" w:rsidRDefault="008A5AE8" w:rsidP="008A5AE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78C715E2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-16,4</w:t>
            </w:r>
          </w:p>
        </w:tc>
        <w:tc>
          <w:tcPr>
            <w:tcW w:w="1985" w:type="dxa"/>
            <w:vAlign w:val="center"/>
          </w:tcPr>
          <w:p w14:paraId="107E9E25" w14:textId="5BD6CB42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-12,2</w:t>
            </w:r>
          </w:p>
        </w:tc>
      </w:tr>
      <w:tr w:rsidR="00354D59" w:rsidRPr="00354D59" w14:paraId="0ED03272" w14:textId="77777777" w:rsidTr="008A5AE8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8A5AE8" w:rsidRPr="00354D59" w:rsidRDefault="008A5AE8" w:rsidP="008A5AE8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68D8512F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304,8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79F52D95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color w:val="366092"/>
                <w:sz w:val="18"/>
                <w:szCs w:val="18"/>
              </w:rPr>
              <w:t>326,9</w:t>
            </w:r>
          </w:p>
        </w:tc>
      </w:tr>
      <w:tr w:rsidR="00354D59" w:rsidRPr="00354D59" w14:paraId="7364846F" w14:textId="77777777" w:rsidTr="008A5AE8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8A5AE8" w:rsidRPr="00354D59" w:rsidRDefault="008A5AE8" w:rsidP="008A5AE8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5BDD590C" w:rsidR="008A5AE8" w:rsidRPr="00354D59" w:rsidRDefault="008A5AE8" w:rsidP="008A5AE8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600,6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0A9C5903" w:rsidR="008A5AE8" w:rsidRPr="00354D59" w:rsidRDefault="008A5AE8" w:rsidP="008A5AE8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4D5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573,3</w:t>
            </w:r>
          </w:p>
        </w:tc>
      </w:tr>
    </w:tbl>
    <w:p w14:paraId="648A1A95" w14:textId="77777777" w:rsidR="008A5AE8" w:rsidRDefault="008A5AE8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20055024" w14:textId="737EDA50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AB3CC9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72D7ABA7" w14:textId="36DE2DD3" w:rsidR="00E14989" w:rsidRPr="00E14989" w:rsidRDefault="00E14989" w:rsidP="00E14989">
      <w:pPr>
        <w:jc w:val="both"/>
        <w:rPr>
          <w:rFonts w:ascii="Verdana" w:eastAsia="Malgun Gothic" w:hAnsi="Verdana" w:cs="Arial"/>
          <w:color w:val="000000"/>
          <w:sz w:val="18"/>
          <w:szCs w:val="18"/>
          <w:lang w:val="el-GR"/>
        </w:rPr>
      </w:pPr>
      <w:r w:rsidRP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Μιχαήλ Παναγιώτα: Τηλ.:+35722602186, Ηλεκτρ. Ταχ.: </w:t>
      </w:r>
      <w:hyperlink r:id="rId11" w:history="1">
        <w:r w:rsidRPr="00D34CE3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pmichael@cystat.mof.gov.cy</w:t>
        </w:r>
      </w:hyperlink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BF4C" w14:textId="77777777" w:rsidR="00E7478B" w:rsidRDefault="00E7478B" w:rsidP="00FB398F">
      <w:r>
        <w:separator/>
      </w:r>
    </w:p>
  </w:endnote>
  <w:endnote w:type="continuationSeparator" w:id="0">
    <w:p w14:paraId="1AD49A41" w14:textId="77777777" w:rsidR="00E7478B" w:rsidRDefault="00E7478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Τηλ.: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r w:rsidR="00AB1C7E" w:rsidRPr="00AB1C7E">
      <w:rPr>
        <w:rFonts w:ascii="Verdana" w:hAnsi="Verdana" w:cs="Arial"/>
        <w:sz w:val="16"/>
        <w:szCs w:val="16"/>
        <w:lang w:val="de-DE"/>
      </w:rPr>
      <w:t>Ηλ.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84EC" w14:textId="77777777" w:rsidR="00E7478B" w:rsidRDefault="00E7478B" w:rsidP="00FB398F">
      <w:r>
        <w:separator/>
      </w:r>
    </w:p>
  </w:footnote>
  <w:footnote w:type="continuationSeparator" w:id="0">
    <w:p w14:paraId="171C56EA" w14:textId="77777777" w:rsidR="00E7478B" w:rsidRDefault="00E7478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3AA"/>
    <w:rsid w:val="0000542E"/>
    <w:rsid w:val="00006309"/>
    <w:rsid w:val="000069CD"/>
    <w:rsid w:val="00007A01"/>
    <w:rsid w:val="0001337C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6706"/>
    <w:rsid w:val="00047BB7"/>
    <w:rsid w:val="00050391"/>
    <w:rsid w:val="00055291"/>
    <w:rsid w:val="00056007"/>
    <w:rsid w:val="000563D3"/>
    <w:rsid w:val="00057E44"/>
    <w:rsid w:val="000600C4"/>
    <w:rsid w:val="00061299"/>
    <w:rsid w:val="00061C38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5166"/>
    <w:rsid w:val="000D51DD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16A69"/>
    <w:rsid w:val="001253B6"/>
    <w:rsid w:val="001262C3"/>
    <w:rsid w:val="00126788"/>
    <w:rsid w:val="00127320"/>
    <w:rsid w:val="00127456"/>
    <w:rsid w:val="001312D8"/>
    <w:rsid w:val="0013137B"/>
    <w:rsid w:val="0013499F"/>
    <w:rsid w:val="00137EE8"/>
    <w:rsid w:val="00142006"/>
    <w:rsid w:val="00142738"/>
    <w:rsid w:val="00143D23"/>
    <w:rsid w:val="0015118B"/>
    <w:rsid w:val="001519CE"/>
    <w:rsid w:val="00153C81"/>
    <w:rsid w:val="00157581"/>
    <w:rsid w:val="00161BB8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6A86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1445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1F3DD4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15F4"/>
    <w:rsid w:val="003522BB"/>
    <w:rsid w:val="00352B01"/>
    <w:rsid w:val="00352F6C"/>
    <w:rsid w:val="00354C7D"/>
    <w:rsid w:val="00354D59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53E9"/>
    <w:rsid w:val="003D6822"/>
    <w:rsid w:val="003D6DB2"/>
    <w:rsid w:val="003D724C"/>
    <w:rsid w:val="003E0CE2"/>
    <w:rsid w:val="003E2ABF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09A0"/>
    <w:rsid w:val="00411B2E"/>
    <w:rsid w:val="00414C60"/>
    <w:rsid w:val="00414CA0"/>
    <w:rsid w:val="00417060"/>
    <w:rsid w:val="00421E0A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74D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C35"/>
    <w:rsid w:val="00536DE9"/>
    <w:rsid w:val="00537051"/>
    <w:rsid w:val="0053745A"/>
    <w:rsid w:val="00541E08"/>
    <w:rsid w:val="005477BE"/>
    <w:rsid w:val="00552137"/>
    <w:rsid w:val="00554FE0"/>
    <w:rsid w:val="0055789A"/>
    <w:rsid w:val="00560952"/>
    <w:rsid w:val="0056500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87B22"/>
    <w:rsid w:val="0069008E"/>
    <w:rsid w:val="0069087E"/>
    <w:rsid w:val="00691A8B"/>
    <w:rsid w:val="006925C4"/>
    <w:rsid w:val="006934A4"/>
    <w:rsid w:val="00693BFA"/>
    <w:rsid w:val="006A02B7"/>
    <w:rsid w:val="006A3D0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312B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1799E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4BFD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97124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2D6B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2C06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3BB0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9DE"/>
    <w:rsid w:val="00870AF6"/>
    <w:rsid w:val="0087667D"/>
    <w:rsid w:val="00877452"/>
    <w:rsid w:val="00881268"/>
    <w:rsid w:val="00882A5A"/>
    <w:rsid w:val="00883611"/>
    <w:rsid w:val="0088394A"/>
    <w:rsid w:val="008852D9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5AE8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4FD4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976B8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36101"/>
    <w:rsid w:val="00A402B3"/>
    <w:rsid w:val="00A442EB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3A88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B7D33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383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AB7"/>
    <w:rsid w:val="00C92B16"/>
    <w:rsid w:val="00C94262"/>
    <w:rsid w:val="00C94B1C"/>
    <w:rsid w:val="00C976E1"/>
    <w:rsid w:val="00CA148E"/>
    <w:rsid w:val="00CA1528"/>
    <w:rsid w:val="00CA3A9A"/>
    <w:rsid w:val="00CB0EC1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36F9C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86FBC"/>
    <w:rsid w:val="00D91EB8"/>
    <w:rsid w:val="00D9262C"/>
    <w:rsid w:val="00D94D91"/>
    <w:rsid w:val="00DA36EA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2BC"/>
    <w:rsid w:val="00DE7963"/>
    <w:rsid w:val="00DE7C7D"/>
    <w:rsid w:val="00DF2992"/>
    <w:rsid w:val="00DF2D0C"/>
    <w:rsid w:val="00DF632F"/>
    <w:rsid w:val="00DF7D1F"/>
    <w:rsid w:val="00E00058"/>
    <w:rsid w:val="00E000AE"/>
    <w:rsid w:val="00E002D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4989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478B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C7672"/>
    <w:rsid w:val="00ED2650"/>
    <w:rsid w:val="00ED721A"/>
    <w:rsid w:val="00EE118F"/>
    <w:rsid w:val="00EE393D"/>
    <w:rsid w:val="00EE40F8"/>
    <w:rsid w:val="00EE4190"/>
    <w:rsid w:val="00EE5BD1"/>
    <w:rsid w:val="00EF01CF"/>
    <w:rsid w:val="00EF1ED2"/>
    <w:rsid w:val="00EF6A47"/>
    <w:rsid w:val="00EF7AF9"/>
    <w:rsid w:val="00F00767"/>
    <w:rsid w:val="00F00952"/>
    <w:rsid w:val="00F01495"/>
    <w:rsid w:val="00F03A7B"/>
    <w:rsid w:val="00F04D37"/>
    <w:rsid w:val="00F10138"/>
    <w:rsid w:val="00F129C2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64810"/>
    <w:rsid w:val="00F701E3"/>
    <w:rsid w:val="00F71008"/>
    <w:rsid w:val="00F7164D"/>
    <w:rsid w:val="00F71F8C"/>
    <w:rsid w:val="00F73660"/>
    <w:rsid w:val="00F75A35"/>
    <w:rsid w:val="00F77727"/>
    <w:rsid w:val="00F80373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  <w:style w:type="character" w:styleId="UnresolvedMention">
    <w:name w:val="Unresolved Mention"/>
    <w:basedOn w:val="DefaultParagraphFont"/>
    <w:uiPriority w:val="99"/>
    <w:semiHidden/>
    <w:unhideWhenUsed/>
    <w:rsid w:val="00E1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ichael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35</cp:revision>
  <cp:lastPrinted>2026-03-11T14:33:00Z</cp:lastPrinted>
  <dcterms:created xsi:type="dcterms:W3CDTF">2026-03-05T08:40:00Z</dcterms:created>
  <dcterms:modified xsi:type="dcterms:W3CDTF">2026-05-04T08:21:00Z</dcterms:modified>
</cp:coreProperties>
</file>