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236E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73A32F6A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565EEA78" w14:textId="396E8F37" w:rsidR="00DD16F7" w:rsidRPr="00DD16F7" w:rsidRDefault="00A1787E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FD3508">
        <w:rPr>
          <w:rFonts w:ascii="Verdana" w:hAnsi="Verdana" w:cs="Arial"/>
          <w:sz w:val="18"/>
          <w:szCs w:val="18"/>
          <w:lang w:val="el-GR"/>
        </w:rPr>
        <w:t>1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31166C">
        <w:rPr>
          <w:rFonts w:ascii="Verdana" w:hAnsi="Verdana" w:cs="Arial"/>
          <w:sz w:val="18"/>
          <w:szCs w:val="18"/>
          <w:lang w:val="el-GR"/>
        </w:rPr>
        <w:t>Ιουλίου</w:t>
      </w:r>
      <w:r w:rsidR="00DD16F7" w:rsidRPr="00DD16F7">
        <w:rPr>
          <w:rFonts w:ascii="Verdana" w:hAnsi="Verdana" w:cs="Arial"/>
          <w:sz w:val="18"/>
          <w:szCs w:val="18"/>
          <w:lang w:val="el-GR"/>
        </w:rPr>
        <w:t>, 202</w:t>
      </w:r>
      <w:r w:rsidR="00783535">
        <w:rPr>
          <w:rFonts w:ascii="Verdana" w:hAnsi="Verdana" w:cs="Arial"/>
          <w:sz w:val="18"/>
          <w:szCs w:val="18"/>
          <w:lang w:val="el-GR"/>
        </w:rPr>
        <w:t>4</w:t>
      </w:r>
    </w:p>
    <w:p w14:paraId="1255EC44" w14:textId="77777777" w:rsidR="00DD16F7" w:rsidRDefault="00DD16F7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0555AB0C" w14:textId="77777777" w:rsidR="00981CAA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428FA3A1" w14:textId="77777777" w:rsidR="00981CAA" w:rsidRPr="00DD16F7" w:rsidRDefault="00981CAA" w:rsidP="00882A5A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1B854124" w14:textId="77777777" w:rsidR="00DD16F7" w:rsidRPr="00953538" w:rsidRDefault="00DD16F7" w:rsidP="00953538">
      <w:pPr>
        <w:jc w:val="center"/>
        <w:rPr>
          <w:rFonts w:ascii="Verdana" w:hAnsi="Verdana" w:cs="Arial"/>
          <w:b/>
          <w:bCs/>
          <w:sz w:val="24"/>
          <w:szCs w:val="24"/>
          <w:lang w:val="el-GR"/>
        </w:rPr>
      </w:pPr>
      <w:r w:rsidRPr="00953538">
        <w:rPr>
          <w:rFonts w:ascii="Verdana" w:hAnsi="Verdana" w:cs="Arial"/>
          <w:b/>
          <w:bCs/>
          <w:sz w:val="24"/>
          <w:szCs w:val="24"/>
          <w:lang w:val="el-GR"/>
        </w:rPr>
        <w:t>ΔΕΛΤΙΟ ΤΥΠΟΥ</w:t>
      </w:r>
    </w:p>
    <w:p w14:paraId="6220B9E6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8892C2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72ED06" w14:textId="1F7A0AA8" w:rsidR="00DD16F7" w:rsidRPr="00C43DAE" w:rsidRDefault="00DD16F7" w:rsidP="00DD16F7">
      <w:pPr>
        <w:jc w:val="both"/>
        <w:rPr>
          <w:rFonts w:ascii="Verdana" w:hAnsi="Verdana" w:cs="Arial"/>
          <w:b/>
          <w:bCs/>
          <w:u w:val="single"/>
          <w:lang w:val="el-GR"/>
        </w:rPr>
      </w:pPr>
      <w:r w:rsidRPr="00C43DAE">
        <w:rPr>
          <w:rFonts w:ascii="Verdana" w:hAnsi="Verdana" w:cs="Arial"/>
          <w:u w:val="single"/>
          <w:lang w:val="el-GR"/>
        </w:rPr>
        <w:t>ΔΗΜΟΣΙΟΝΟΜΙΚΟΙ ΛΟΓΑΡΙΑΣΜΟΙ ΤΗΣ ΓΕΝΙΚΗΣ ΚΥΒΕΡΝΗΣΗΣ</w:t>
      </w:r>
      <w:r w:rsidR="00C43DAE" w:rsidRPr="00C43DAE">
        <w:rPr>
          <w:rFonts w:ascii="Verdana" w:hAnsi="Verdana" w:cs="Arial"/>
          <w:u w:val="single"/>
          <w:lang w:val="el-GR"/>
        </w:rPr>
        <w:t>:</w:t>
      </w:r>
      <w:r w:rsidR="00C43DAE">
        <w:rPr>
          <w:rFonts w:ascii="Verdana" w:hAnsi="Verdana" w:cs="Arial"/>
          <w:u w:val="single"/>
          <w:lang w:val="el-GR"/>
        </w:rPr>
        <w:t xml:space="preserve"> </w:t>
      </w:r>
      <w:r w:rsidR="0031166C" w:rsidRPr="0031166C">
        <w:rPr>
          <w:rFonts w:ascii="Verdana" w:hAnsi="Verdana" w:cs="Arial"/>
          <w:b/>
          <w:bCs/>
          <w:u w:val="single"/>
          <w:lang w:val="el-GR"/>
        </w:rPr>
        <w:t>ΙΑΝ-ΜΑΪΟΣ</w:t>
      </w:r>
      <w:r w:rsidRPr="00C43DAE">
        <w:rPr>
          <w:rFonts w:ascii="Verdana" w:hAnsi="Verdana" w:cs="Arial"/>
          <w:b/>
          <w:bCs/>
          <w:u w:val="single"/>
          <w:lang w:val="el-GR"/>
        </w:rPr>
        <w:t xml:space="preserve"> 202</w:t>
      </w:r>
      <w:r w:rsidR="000F7CB3">
        <w:rPr>
          <w:rFonts w:ascii="Verdana" w:hAnsi="Verdana" w:cs="Arial"/>
          <w:b/>
          <w:bCs/>
          <w:u w:val="single"/>
          <w:lang w:val="el-GR"/>
        </w:rPr>
        <w:t>4</w:t>
      </w:r>
    </w:p>
    <w:p w14:paraId="59FBE322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45750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6A77A0B" w14:textId="1C335490" w:rsidR="00C43DAE" w:rsidRPr="00C43DAE" w:rsidRDefault="00C43DAE" w:rsidP="00C43DAE">
      <w:pPr>
        <w:jc w:val="center"/>
        <w:rPr>
          <w:rFonts w:ascii="Verdana" w:hAnsi="Verdana" w:cs="Arial"/>
          <w:b/>
          <w:bCs/>
          <w:lang w:val="el-GR"/>
        </w:rPr>
      </w:pPr>
      <w:r w:rsidRPr="00C43DAE">
        <w:rPr>
          <w:rFonts w:ascii="Verdana" w:hAnsi="Verdana" w:cs="Arial"/>
          <w:b/>
          <w:bCs/>
          <w:lang w:val="el-GR"/>
        </w:rPr>
        <w:t>Πλεόνασμα €</w:t>
      </w:r>
      <w:r w:rsidR="0031166C" w:rsidRPr="005E7C64">
        <w:rPr>
          <w:rFonts w:ascii="Verdana" w:hAnsi="Verdana" w:cs="Arial"/>
          <w:b/>
          <w:bCs/>
          <w:lang w:val="el-GR"/>
        </w:rPr>
        <w:t>590</w:t>
      </w:r>
      <w:r w:rsidR="000F7CB3" w:rsidRPr="000F7CB3">
        <w:rPr>
          <w:rFonts w:ascii="Verdana" w:hAnsi="Verdana" w:cs="Arial"/>
          <w:b/>
          <w:bCs/>
          <w:lang w:val="el-GR"/>
        </w:rPr>
        <w:t>,</w:t>
      </w:r>
      <w:r w:rsidR="0031166C" w:rsidRPr="005E7C64">
        <w:rPr>
          <w:rFonts w:ascii="Verdana" w:hAnsi="Verdana" w:cs="Arial"/>
          <w:b/>
          <w:bCs/>
          <w:lang w:val="el-GR"/>
        </w:rPr>
        <w:t>6</w:t>
      </w:r>
      <w:r w:rsidRPr="00C43DAE">
        <w:rPr>
          <w:rFonts w:ascii="Verdana" w:hAnsi="Verdana" w:cs="Arial"/>
          <w:b/>
          <w:bCs/>
          <w:lang w:val="el-GR"/>
        </w:rPr>
        <w:t xml:space="preserve"> εκ.</w:t>
      </w:r>
    </w:p>
    <w:p w14:paraId="3201AC13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5331199" w14:textId="481C9CBA" w:rsidR="007437AB" w:rsidRPr="005747B4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προκαταρκτικά δημοσιονομικά αποτελέσματα που ετοιμάστηκαν από τη Στατιστική Υπηρεσία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5E7C64">
        <w:rPr>
          <w:rFonts w:ascii="Verdana" w:hAnsi="Verdana" w:cs="Arial"/>
          <w:sz w:val="18"/>
          <w:szCs w:val="18"/>
          <w:lang w:val="el-GR"/>
        </w:rPr>
        <w:t>Μαΐου</w:t>
      </w:r>
      <w:r w:rsidR="005931A3" w:rsidRPr="005931A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καταδεικνύουν πλεόνασμα της Γενικής Κυβέρνησης της τάξης των </w:t>
      </w:r>
      <w:r w:rsidR="005E7C64">
        <w:rPr>
          <w:rFonts w:ascii="Verdana" w:hAnsi="Verdana" w:cs="Arial"/>
          <w:sz w:val="18"/>
          <w:szCs w:val="18"/>
          <w:lang w:val="el-GR"/>
        </w:rPr>
        <w:t xml:space="preserve">     </w:t>
      </w:r>
      <w:r w:rsidRPr="00BA352F">
        <w:rPr>
          <w:rFonts w:ascii="Verdana" w:hAnsi="Verdana" w:cs="Arial"/>
          <w:sz w:val="18"/>
          <w:szCs w:val="18"/>
          <w:lang w:val="el-GR"/>
        </w:rPr>
        <w:t>€</w:t>
      </w:r>
      <w:r w:rsidR="005E7C64">
        <w:rPr>
          <w:rFonts w:ascii="Verdana" w:hAnsi="Verdana" w:cs="Arial"/>
          <w:sz w:val="18"/>
          <w:szCs w:val="18"/>
          <w:lang w:val="el-GR"/>
        </w:rPr>
        <w:t>590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5E7C64">
        <w:rPr>
          <w:rFonts w:ascii="Verdana" w:hAnsi="Verdana" w:cs="Arial"/>
          <w:sz w:val="18"/>
          <w:szCs w:val="18"/>
          <w:lang w:val="el-GR"/>
        </w:rPr>
        <w:t>6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5E7C64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5E7C64">
        <w:rPr>
          <w:rFonts w:ascii="Verdana" w:hAnsi="Verdana" w:cs="Arial"/>
          <w:sz w:val="18"/>
          <w:szCs w:val="18"/>
          <w:lang w:val="el-GR"/>
        </w:rPr>
        <w:t>9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ΑΕΠ) σε σύγκριση με </w:t>
      </w:r>
      <w:r w:rsidR="003C0B1E">
        <w:rPr>
          <w:rFonts w:ascii="Verdana" w:hAnsi="Verdana" w:cs="Arial"/>
          <w:sz w:val="18"/>
          <w:szCs w:val="18"/>
          <w:lang w:val="el-GR"/>
        </w:rPr>
        <w:t>πλεόνασμα</w:t>
      </w:r>
      <w:r w:rsidR="00BA352F" w:rsidRPr="00BA352F">
        <w:rPr>
          <w:rFonts w:ascii="Verdana" w:hAnsi="Verdana" w:cs="Arial"/>
          <w:sz w:val="18"/>
          <w:szCs w:val="18"/>
          <w:lang w:val="el-GR"/>
        </w:rPr>
        <w:t xml:space="preserve"> €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3</w:t>
      </w:r>
      <w:r w:rsidR="005E7C64">
        <w:rPr>
          <w:rFonts w:ascii="Verdana" w:hAnsi="Verdana" w:cs="Arial"/>
          <w:sz w:val="18"/>
          <w:szCs w:val="18"/>
          <w:lang w:val="el-GR"/>
        </w:rPr>
        <w:t>22</w:t>
      </w:r>
      <w:r w:rsidR="000F7CB3" w:rsidRPr="000F7CB3">
        <w:rPr>
          <w:rFonts w:ascii="Verdana" w:hAnsi="Verdana" w:cs="Arial"/>
          <w:sz w:val="18"/>
          <w:szCs w:val="18"/>
          <w:lang w:val="el-GR"/>
        </w:rPr>
        <w:t>,</w:t>
      </w:r>
      <w:r w:rsidR="005E7C64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0F7CB3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5E7C64">
        <w:rPr>
          <w:rFonts w:ascii="Verdana" w:hAnsi="Verdana" w:cs="Arial"/>
          <w:sz w:val="18"/>
          <w:szCs w:val="18"/>
          <w:lang w:val="el-GR"/>
        </w:rPr>
        <w:t>1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% στο ΑΕΠ) για </w:t>
      </w:r>
      <w:r w:rsidR="009923AE" w:rsidRPr="009923AE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5E7C64">
        <w:rPr>
          <w:rFonts w:ascii="Verdana" w:hAnsi="Verdana" w:cs="Arial"/>
          <w:sz w:val="18"/>
          <w:szCs w:val="18"/>
          <w:lang w:val="el-GR"/>
        </w:rPr>
        <w:t>Μαΐου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FE38D4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1336D302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954AA01" w14:textId="2280AE73" w:rsidR="00882A5A" w:rsidRDefault="0031166C" w:rsidP="002B07F2">
      <w:pPr>
        <w:jc w:val="center"/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noProof/>
          <w:sz w:val="18"/>
          <w:szCs w:val="18"/>
          <w:lang w:val="el-GR"/>
        </w:rPr>
        <w:drawing>
          <wp:inline distT="0" distB="0" distL="0" distR="0" wp14:anchorId="4C45165F" wp14:editId="1F83E8A4">
            <wp:extent cx="6102350" cy="4535805"/>
            <wp:effectExtent l="0" t="0" r="0" b="0"/>
            <wp:docPr id="5839552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53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499E96" w14:textId="6DA2D836" w:rsidR="00DD16F7" w:rsidRDefault="00DD16F7" w:rsidP="00882A5A">
      <w:pPr>
        <w:jc w:val="center"/>
        <w:rPr>
          <w:rFonts w:ascii="Verdana" w:hAnsi="Verdana" w:cs="Arial"/>
          <w:sz w:val="18"/>
          <w:szCs w:val="18"/>
          <w:lang w:val="el-GR"/>
        </w:rPr>
      </w:pPr>
    </w:p>
    <w:p w14:paraId="6B44A746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3D2184C" w14:textId="77777777" w:rsidR="00DD16F7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DFAFCC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0C0C1C6" w14:textId="13D01893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0DD6B475" w14:textId="77777777" w:rsidR="00DD16F7" w:rsidRPr="00C43DAE" w:rsidRDefault="00C43DAE" w:rsidP="00DD16F7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lastRenderedPageBreak/>
        <w:t>Έσοδα</w:t>
      </w:r>
    </w:p>
    <w:p w14:paraId="00D592B9" w14:textId="77777777" w:rsidR="00C43DAE" w:rsidRPr="00DD16F7" w:rsidRDefault="00C43DAE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C6A68C0" w14:textId="4B005CA4" w:rsidR="00DD16F7" w:rsidRPr="00BA352F" w:rsidRDefault="00DD16F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Τα συνολικά έσοδα, κατά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>την περίοδο Ιανουαρίου-</w:t>
      </w:r>
      <w:r w:rsidR="005E7C64" w:rsidRPr="005E7C64">
        <w:rPr>
          <w:lang w:val="el-GR"/>
        </w:rPr>
        <w:t xml:space="preserve"> </w:t>
      </w:r>
      <w:r w:rsidR="005E7C64" w:rsidRPr="005E7C64">
        <w:rPr>
          <w:rFonts w:ascii="Verdana" w:hAnsi="Verdana" w:cs="Arial"/>
          <w:sz w:val="18"/>
          <w:szCs w:val="18"/>
          <w:lang w:val="el-GR"/>
        </w:rPr>
        <w:t>Μαΐου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DD16F7">
        <w:rPr>
          <w:rFonts w:ascii="Verdana" w:hAnsi="Verdana" w:cs="Arial"/>
          <w:sz w:val="18"/>
          <w:szCs w:val="18"/>
          <w:lang w:val="el-GR"/>
        </w:rPr>
        <w:t>202</w:t>
      </w:r>
      <w:r w:rsidR="000F7CB3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bookmarkStart w:id="0" w:name="_Hlk159839825"/>
      <w:r w:rsidR="00E343FE" w:rsidRPr="00E343FE">
        <w:rPr>
          <w:rFonts w:ascii="Verdana" w:hAnsi="Verdana" w:cs="Arial"/>
          <w:sz w:val="18"/>
          <w:szCs w:val="18"/>
          <w:lang w:val="el-GR"/>
        </w:rPr>
        <w:t>€</w:t>
      </w:r>
      <w:bookmarkEnd w:id="0"/>
      <w:r w:rsidR="005E7C64">
        <w:rPr>
          <w:rFonts w:ascii="Verdana" w:hAnsi="Verdana" w:cs="Arial"/>
          <w:sz w:val="18"/>
          <w:szCs w:val="18"/>
          <w:lang w:val="el-GR"/>
        </w:rPr>
        <w:t>700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5E7C64">
        <w:rPr>
          <w:rFonts w:ascii="Verdana" w:hAnsi="Verdana" w:cs="Arial"/>
          <w:sz w:val="18"/>
          <w:szCs w:val="18"/>
          <w:lang w:val="el-GR"/>
        </w:rPr>
        <w:t>8</w:t>
      </w:r>
      <w:r w:rsidR="00E343FE" w:rsidRPr="00E343FE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A352F">
        <w:rPr>
          <w:rFonts w:ascii="Verdana" w:hAnsi="Verdana" w:cs="Arial"/>
          <w:sz w:val="18"/>
          <w:szCs w:val="18"/>
          <w:lang w:val="el-GR"/>
        </w:rPr>
        <w:t>εκ. (+</w:t>
      </w:r>
      <w:r w:rsidR="005E7C64">
        <w:rPr>
          <w:rFonts w:ascii="Verdana" w:hAnsi="Verdana" w:cs="Arial"/>
          <w:sz w:val="18"/>
          <w:szCs w:val="18"/>
          <w:lang w:val="el-GR"/>
        </w:rPr>
        <w:t>14</w:t>
      </w:r>
      <w:r w:rsidRPr="00BA352F">
        <w:rPr>
          <w:rFonts w:ascii="Verdana" w:hAnsi="Verdana" w:cs="Arial"/>
          <w:sz w:val="18"/>
          <w:szCs w:val="18"/>
          <w:lang w:val="el-GR"/>
        </w:rPr>
        <w:t>,</w:t>
      </w:r>
      <w:r w:rsidR="005E7C64">
        <w:rPr>
          <w:rFonts w:ascii="Verdana" w:hAnsi="Verdana" w:cs="Arial"/>
          <w:sz w:val="18"/>
          <w:szCs w:val="18"/>
          <w:lang w:val="el-GR"/>
        </w:rPr>
        <w:t>9</w:t>
      </w:r>
      <w:r w:rsidRPr="00BA352F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5E7C64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5E7C64">
        <w:rPr>
          <w:rFonts w:ascii="Verdana" w:hAnsi="Verdana" w:cs="Arial"/>
          <w:sz w:val="18"/>
          <w:szCs w:val="18"/>
          <w:lang w:val="el-GR"/>
        </w:rPr>
        <w:t>394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5E7C64">
        <w:rPr>
          <w:rFonts w:ascii="Verdana" w:hAnsi="Verdana" w:cs="Arial"/>
          <w:sz w:val="18"/>
          <w:szCs w:val="18"/>
          <w:lang w:val="el-GR"/>
        </w:rPr>
        <w:t>5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5E7C64">
        <w:rPr>
          <w:rFonts w:ascii="Verdana" w:hAnsi="Verdana" w:cs="Arial"/>
          <w:sz w:val="18"/>
          <w:szCs w:val="18"/>
          <w:lang w:val="el-GR"/>
        </w:rPr>
        <w:t>4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  <w:r w:rsidR="005E7C64">
        <w:rPr>
          <w:rFonts w:ascii="Verdana" w:hAnsi="Verdana" w:cs="Arial"/>
          <w:sz w:val="18"/>
          <w:szCs w:val="18"/>
          <w:lang w:val="el-GR"/>
        </w:rPr>
        <w:t>693</w:t>
      </w:r>
      <w:r w:rsidR="000F7CB3">
        <w:rPr>
          <w:rFonts w:ascii="Verdana" w:hAnsi="Verdana" w:cs="Arial"/>
          <w:sz w:val="18"/>
          <w:szCs w:val="18"/>
          <w:lang w:val="el-GR"/>
        </w:rPr>
        <w:t>,</w:t>
      </w:r>
      <w:r w:rsidR="005E7C64">
        <w:rPr>
          <w:rFonts w:ascii="Verdana" w:hAnsi="Verdana" w:cs="Arial"/>
          <w:sz w:val="18"/>
          <w:szCs w:val="18"/>
          <w:lang w:val="el-GR"/>
        </w:rPr>
        <w:t>7</w:t>
      </w:r>
      <w:r w:rsidRPr="00BA352F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την αντίστοιχη περίοδο </w:t>
      </w:r>
      <w:r w:rsidRPr="00BA352F">
        <w:rPr>
          <w:rFonts w:ascii="Verdana" w:hAnsi="Verdana" w:cs="Arial"/>
          <w:sz w:val="18"/>
          <w:szCs w:val="18"/>
          <w:lang w:val="el-GR"/>
        </w:rPr>
        <w:t>του 202</w:t>
      </w:r>
      <w:r w:rsidR="000F7CB3">
        <w:rPr>
          <w:rFonts w:ascii="Verdana" w:hAnsi="Verdana" w:cs="Arial"/>
          <w:sz w:val="18"/>
          <w:szCs w:val="18"/>
          <w:lang w:val="el-GR"/>
        </w:rPr>
        <w:t>3</w:t>
      </w:r>
      <w:r w:rsidRPr="00BA352F">
        <w:rPr>
          <w:rFonts w:ascii="Verdana" w:hAnsi="Verdana" w:cs="Arial"/>
          <w:sz w:val="18"/>
          <w:szCs w:val="18"/>
          <w:lang w:val="el-GR"/>
        </w:rPr>
        <w:t>.</w:t>
      </w:r>
    </w:p>
    <w:p w14:paraId="3941414D" w14:textId="77777777" w:rsidR="00DD16F7" w:rsidRPr="004D538A" w:rsidRDefault="00DD16F7" w:rsidP="00DD16F7">
      <w:pPr>
        <w:jc w:val="both"/>
        <w:rPr>
          <w:rFonts w:ascii="Verdana" w:hAnsi="Verdana" w:cs="Arial"/>
          <w:sz w:val="18"/>
          <w:szCs w:val="18"/>
          <w:highlight w:val="yellow"/>
          <w:lang w:val="el-GR"/>
        </w:rPr>
      </w:pPr>
    </w:p>
    <w:p w14:paraId="0CBD1017" w14:textId="56DB1565" w:rsidR="00D91EB8" w:rsidRDefault="00DD16F7" w:rsidP="00FE61AF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E0E52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οι συνολικοί φόροι επί της παραγωγής και των εισαγωγών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E7A6B">
        <w:rPr>
          <w:rFonts w:ascii="Verdana" w:hAnsi="Verdana" w:cs="Arial"/>
          <w:sz w:val="18"/>
          <w:szCs w:val="18"/>
          <w:lang w:val="el-GR"/>
        </w:rPr>
        <w:t>14</w:t>
      </w:r>
      <w:r w:rsidR="00E12419">
        <w:rPr>
          <w:rFonts w:ascii="Verdana" w:hAnsi="Verdana" w:cs="Arial"/>
          <w:sz w:val="18"/>
          <w:szCs w:val="18"/>
          <w:lang w:val="el-GR"/>
        </w:rPr>
        <w:t>7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5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7175F6" w:rsidRPr="00C37927">
        <w:rPr>
          <w:rFonts w:ascii="Verdana" w:hAnsi="Verdana" w:cs="Arial"/>
          <w:sz w:val="18"/>
          <w:szCs w:val="18"/>
          <w:lang w:val="el-GR"/>
        </w:rPr>
        <w:t>8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7175F6" w:rsidRPr="00C37927">
        <w:rPr>
          <w:rFonts w:ascii="Verdana" w:hAnsi="Verdana" w:cs="Arial"/>
          <w:sz w:val="18"/>
          <w:szCs w:val="18"/>
          <w:lang w:val="el-GR"/>
        </w:rPr>
        <w:t>4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</w:t>
      </w:r>
      <w:r w:rsidR="00A0303C">
        <w:rPr>
          <w:rFonts w:ascii="Verdana" w:hAnsi="Verdana" w:cs="Arial"/>
          <w:sz w:val="18"/>
          <w:szCs w:val="18"/>
          <w:lang w:val="el-GR"/>
        </w:rPr>
        <w:t>1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.</w:t>
      </w:r>
      <w:r w:rsidR="00E12419">
        <w:rPr>
          <w:rFonts w:ascii="Verdana" w:hAnsi="Verdana" w:cs="Arial"/>
          <w:sz w:val="18"/>
          <w:szCs w:val="18"/>
          <w:lang w:val="el-GR"/>
        </w:rPr>
        <w:t>899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1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€1.</w:t>
      </w:r>
      <w:r w:rsidR="00CE7A6B">
        <w:rPr>
          <w:rFonts w:ascii="Verdana" w:hAnsi="Verdana" w:cs="Arial"/>
          <w:sz w:val="18"/>
          <w:szCs w:val="18"/>
          <w:lang w:val="el-GR"/>
        </w:rPr>
        <w:t>7</w:t>
      </w:r>
      <w:r w:rsidR="00E12419">
        <w:rPr>
          <w:rFonts w:ascii="Verdana" w:hAnsi="Verdana" w:cs="Arial"/>
          <w:sz w:val="18"/>
          <w:szCs w:val="18"/>
          <w:lang w:val="el-GR"/>
        </w:rPr>
        <w:t>51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6</w:t>
      </w:r>
      <w:r w:rsidR="00A0303C" w:rsidRPr="00A0303C">
        <w:rPr>
          <w:rFonts w:ascii="Verdana" w:hAnsi="Verdana" w:cs="Arial"/>
          <w:sz w:val="18"/>
          <w:szCs w:val="18"/>
          <w:lang w:val="el-GR"/>
        </w:rPr>
        <w:t xml:space="preserve"> 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, εκ των οποίων τα καθαρά έσοδα του ΦΠΑ (μετά την αφαίρεση των επιστροφών)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αυξήθηκαν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CE7A6B">
        <w:rPr>
          <w:rFonts w:ascii="Verdana" w:hAnsi="Verdana" w:cs="Arial"/>
          <w:sz w:val="18"/>
          <w:szCs w:val="18"/>
          <w:lang w:val="el-GR"/>
        </w:rPr>
        <w:t>10</w:t>
      </w:r>
      <w:r w:rsidR="00E12419">
        <w:rPr>
          <w:rFonts w:ascii="Verdana" w:hAnsi="Verdana" w:cs="Arial"/>
          <w:sz w:val="18"/>
          <w:szCs w:val="18"/>
          <w:lang w:val="el-GR"/>
        </w:rPr>
        <w:t>6</w:t>
      </w:r>
      <w:r w:rsidR="00E23A0B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0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E23A0B">
        <w:rPr>
          <w:rFonts w:ascii="Verdana" w:hAnsi="Verdana" w:cs="Arial"/>
          <w:sz w:val="18"/>
          <w:szCs w:val="18"/>
          <w:lang w:val="el-GR"/>
        </w:rPr>
        <w:t>+</w:t>
      </w:r>
      <w:r w:rsidR="00E12419">
        <w:rPr>
          <w:rFonts w:ascii="Verdana" w:hAnsi="Verdana" w:cs="Arial"/>
          <w:sz w:val="18"/>
          <w:szCs w:val="18"/>
          <w:lang w:val="el-GR"/>
        </w:rPr>
        <w:t>8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9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E23A0B" w:rsidRPr="00BA352F">
        <w:rPr>
          <w:rFonts w:ascii="Verdana" w:hAnsi="Verdana" w:cs="Arial"/>
          <w:sz w:val="18"/>
          <w:szCs w:val="18"/>
          <w:lang w:val="el-GR"/>
        </w:rPr>
        <w:t>ανήλθαν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E12419">
        <w:rPr>
          <w:rFonts w:ascii="Verdana" w:hAnsi="Verdana" w:cs="Arial"/>
          <w:sz w:val="18"/>
          <w:szCs w:val="18"/>
          <w:lang w:val="el-GR"/>
        </w:rPr>
        <w:t>297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1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€1.</w:t>
      </w:r>
      <w:r w:rsidR="00E12419">
        <w:rPr>
          <w:rFonts w:ascii="Verdana" w:hAnsi="Verdana" w:cs="Arial"/>
          <w:sz w:val="18"/>
          <w:szCs w:val="18"/>
          <w:lang w:val="el-GR"/>
        </w:rPr>
        <w:t>191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,1</w:t>
      </w:r>
      <w:r w:rsidR="00E23A0B" w:rsidRPr="002E0E52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E23A0B">
        <w:rPr>
          <w:rFonts w:ascii="Verdana" w:hAnsi="Verdana" w:cs="Arial"/>
          <w:sz w:val="18"/>
          <w:szCs w:val="18"/>
          <w:lang w:val="el-GR"/>
        </w:rPr>
        <w:t>3</w:t>
      </w:r>
      <w:r w:rsidR="00E23A0B" w:rsidRPr="00E23A0B">
        <w:rPr>
          <w:rFonts w:ascii="Verdana" w:hAnsi="Verdana" w:cs="Arial"/>
          <w:sz w:val="18"/>
          <w:szCs w:val="18"/>
          <w:lang w:val="el-GR"/>
        </w:rPr>
        <w:t xml:space="preserve">. </w:t>
      </w:r>
      <w:r w:rsidR="00E23A0B">
        <w:rPr>
          <w:rFonts w:ascii="Verdana" w:hAnsi="Verdana" w:cs="Arial"/>
          <w:sz w:val="18"/>
          <w:szCs w:val="18"/>
          <w:lang w:val="el-GR"/>
        </w:rPr>
        <w:t>Τ</w:t>
      </w:r>
      <w:r w:rsidRPr="002E0E52">
        <w:rPr>
          <w:rFonts w:ascii="Verdana" w:hAnsi="Verdana" w:cs="Arial"/>
          <w:sz w:val="18"/>
          <w:szCs w:val="18"/>
          <w:lang w:val="el-GR"/>
        </w:rPr>
        <w:t>α έσοδα από τη φορολογία στο εισόδημα και τον πλούτο αυξήθηκαν κατά €</w:t>
      </w:r>
      <w:r w:rsidR="00E23A0B">
        <w:rPr>
          <w:rFonts w:ascii="Verdana" w:hAnsi="Verdana" w:cs="Arial"/>
          <w:sz w:val="18"/>
          <w:szCs w:val="18"/>
          <w:lang w:val="el-GR"/>
        </w:rPr>
        <w:t>1</w:t>
      </w:r>
      <w:r w:rsidR="00E12419">
        <w:rPr>
          <w:rFonts w:ascii="Verdana" w:hAnsi="Verdana" w:cs="Arial"/>
          <w:sz w:val="18"/>
          <w:szCs w:val="18"/>
          <w:lang w:val="el-GR"/>
        </w:rPr>
        <w:t>81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3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A0303C">
        <w:rPr>
          <w:rFonts w:ascii="Verdana" w:hAnsi="Verdana" w:cs="Arial"/>
          <w:sz w:val="18"/>
          <w:szCs w:val="18"/>
          <w:lang w:val="el-GR"/>
        </w:rPr>
        <w:t>17</w:t>
      </w:r>
      <w:r w:rsidRPr="002E0E52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2</w:t>
      </w:r>
      <w:r w:rsidRPr="002E0E52">
        <w:rPr>
          <w:rFonts w:ascii="Verdana" w:hAnsi="Verdana" w:cs="Arial"/>
          <w:sz w:val="18"/>
          <w:szCs w:val="18"/>
          <w:lang w:val="el-GR"/>
        </w:rPr>
        <w:t xml:space="preserve">%)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E12419">
        <w:rPr>
          <w:rFonts w:ascii="Verdana" w:hAnsi="Verdana" w:cs="Arial"/>
          <w:sz w:val="18"/>
          <w:szCs w:val="18"/>
          <w:lang w:val="el-GR"/>
        </w:rPr>
        <w:t>235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9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σε σύγκριση με</w:t>
      </w:r>
      <w:r w:rsidR="00F53671">
        <w:rPr>
          <w:rFonts w:ascii="Verdana" w:hAnsi="Verdana" w:cs="Arial"/>
          <w:sz w:val="18"/>
          <w:szCs w:val="18"/>
          <w:lang w:val="el-GR"/>
        </w:rPr>
        <w:t xml:space="preserve"> 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€1.</w:t>
      </w:r>
      <w:r w:rsidR="00E12419">
        <w:rPr>
          <w:rFonts w:ascii="Verdana" w:hAnsi="Verdana" w:cs="Arial"/>
          <w:sz w:val="18"/>
          <w:szCs w:val="18"/>
          <w:lang w:val="el-GR"/>
        </w:rPr>
        <w:t>054</w:t>
      </w:r>
      <w:r w:rsidR="00E12419" w:rsidRPr="00E12419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6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>. Οι κοινωνικές εισφορές αυξήθηκαν κατά €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E12419">
        <w:rPr>
          <w:rFonts w:ascii="Verdana" w:hAnsi="Verdana" w:cs="Arial"/>
          <w:sz w:val="18"/>
          <w:szCs w:val="18"/>
          <w:lang w:val="el-GR"/>
        </w:rPr>
        <w:t>39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4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E12419">
        <w:rPr>
          <w:rFonts w:ascii="Verdana" w:hAnsi="Verdana" w:cs="Arial"/>
          <w:sz w:val="18"/>
          <w:szCs w:val="18"/>
          <w:lang w:val="el-GR"/>
        </w:rPr>
        <w:t>6</w:t>
      </w:r>
      <w:r w:rsidRPr="00243109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6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E12419">
        <w:rPr>
          <w:rFonts w:ascii="Verdana" w:hAnsi="Verdana" w:cs="Arial"/>
          <w:sz w:val="18"/>
          <w:szCs w:val="18"/>
          <w:lang w:val="el-GR"/>
        </w:rPr>
        <w:t>685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4C64E3" w:rsidRPr="00243109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εκ. σε σύγκριση με 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€1.</w:t>
      </w:r>
      <w:r w:rsidR="00E12419">
        <w:rPr>
          <w:rFonts w:ascii="Verdana" w:hAnsi="Verdana" w:cs="Arial"/>
          <w:sz w:val="18"/>
          <w:szCs w:val="18"/>
          <w:lang w:val="el-GR"/>
        </w:rPr>
        <w:t>44</w:t>
      </w:r>
      <w:r w:rsidR="00CE7A6B">
        <w:rPr>
          <w:rFonts w:ascii="Verdana" w:hAnsi="Verdana" w:cs="Arial"/>
          <w:sz w:val="18"/>
          <w:szCs w:val="18"/>
          <w:lang w:val="el-GR"/>
        </w:rPr>
        <w:t>5</w:t>
      </w:r>
      <w:r w:rsidR="00CE7A6B" w:rsidRPr="00CE7A6B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8</w:t>
      </w:r>
      <w:r w:rsidR="00CE7A6B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43109">
        <w:rPr>
          <w:rFonts w:ascii="Verdana" w:hAnsi="Verdana" w:cs="Arial"/>
          <w:sz w:val="18"/>
          <w:szCs w:val="18"/>
          <w:lang w:val="el-GR"/>
        </w:rPr>
        <w:t>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Pr="00243109">
        <w:rPr>
          <w:rFonts w:ascii="Verdana" w:hAnsi="Verdana" w:cs="Arial"/>
          <w:sz w:val="18"/>
          <w:szCs w:val="18"/>
          <w:lang w:val="el-GR"/>
        </w:rPr>
        <w:t xml:space="preserve">. </w:t>
      </w:r>
      <w:r w:rsidR="00FE61AF">
        <w:rPr>
          <w:rFonts w:ascii="Verdana" w:hAnsi="Verdana" w:cs="Arial"/>
          <w:sz w:val="18"/>
          <w:szCs w:val="18"/>
          <w:lang w:val="el-GR"/>
        </w:rPr>
        <w:t>Ο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ι εισπραχθέντες τόκοι και μερίσματα </w:t>
      </w:r>
      <w:r w:rsidR="00FE61AF" w:rsidRPr="005477BE">
        <w:rPr>
          <w:rFonts w:ascii="Verdana" w:hAnsi="Verdana" w:cs="Arial"/>
          <w:sz w:val="18"/>
          <w:szCs w:val="18"/>
          <w:lang w:val="el-GR"/>
        </w:rPr>
        <w:t>αυξήθηκαν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E12419">
        <w:rPr>
          <w:rFonts w:ascii="Verdana" w:hAnsi="Verdana" w:cs="Arial"/>
          <w:sz w:val="18"/>
          <w:szCs w:val="18"/>
          <w:lang w:val="el-GR"/>
        </w:rPr>
        <w:t>6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4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FE61AF">
        <w:rPr>
          <w:rFonts w:ascii="Verdana" w:hAnsi="Verdana" w:cs="Arial"/>
          <w:sz w:val="18"/>
          <w:szCs w:val="18"/>
          <w:lang w:val="el-GR"/>
        </w:rPr>
        <w:t>+</w:t>
      </w:r>
      <w:r w:rsidR="00E12419">
        <w:rPr>
          <w:rFonts w:ascii="Verdana" w:hAnsi="Verdana" w:cs="Arial"/>
          <w:sz w:val="18"/>
          <w:szCs w:val="18"/>
          <w:lang w:val="el-GR"/>
        </w:rPr>
        <w:t>15</w:t>
      </w:r>
      <w:r w:rsidR="00FE61AF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0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FE61AF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E12419">
        <w:rPr>
          <w:rFonts w:ascii="Verdana" w:hAnsi="Verdana" w:cs="Arial"/>
          <w:sz w:val="18"/>
          <w:szCs w:val="18"/>
          <w:lang w:val="el-GR"/>
        </w:rPr>
        <w:t>49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0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12419">
        <w:rPr>
          <w:rFonts w:ascii="Verdana" w:hAnsi="Verdana" w:cs="Arial"/>
          <w:sz w:val="18"/>
          <w:szCs w:val="18"/>
          <w:lang w:val="el-GR"/>
        </w:rPr>
        <w:t>42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,</w:t>
      </w:r>
      <w:r w:rsidR="00CE7A6B">
        <w:rPr>
          <w:rFonts w:ascii="Verdana" w:hAnsi="Verdana" w:cs="Arial"/>
          <w:sz w:val="18"/>
          <w:szCs w:val="18"/>
          <w:lang w:val="el-GR"/>
        </w:rPr>
        <w:t>6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FE61AF">
        <w:rPr>
          <w:rFonts w:ascii="Verdana" w:hAnsi="Verdana" w:cs="Arial"/>
          <w:sz w:val="18"/>
          <w:szCs w:val="18"/>
          <w:lang w:val="el-GR"/>
        </w:rPr>
        <w:t>3</w:t>
      </w:r>
      <w:r w:rsidR="00FE61AF" w:rsidRPr="007E4426">
        <w:rPr>
          <w:rFonts w:ascii="Verdana" w:hAnsi="Verdana" w:cs="Arial"/>
          <w:sz w:val="18"/>
          <w:szCs w:val="18"/>
          <w:lang w:val="el-GR"/>
        </w:rPr>
        <w:t>.</w:t>
      </w:r>
      <w:r w:rsidR="00FE61AF">
        <w:rPr>
          <w:rFonts w:ascii="Verdana" w:hAnsi="Verdana" w:cs="Arial"/>
          <w:sz w:val="18"/>
          <w:szCs w:val="18"/>
          <w:lang w:val="el-GR"/>
        </w:rPr>
        <w:t xml:space="preserve"> 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Οι τρέχουσες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μεταβιβάσεις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αυξήθηκαν κατά €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E12419">
        <w:rPr>
          <w:rFonts w:ascii="Verdana" w:hAnsi="Verdana" w:cs="Arial"/>
          <w:sz w:val="18"/>
          <w:szCs w:val="18"/>
          <w:lang w:val="el-GR"/>
        </w:rPr>
        <w:t>2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4</w:t>
      </w:r>
      <w:r w:rsidR="004E0B0A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E12419">
        <w:rPr>
          <w:rFonts w:ascii="Verdana" w:hAnsi="Verdana" w:cs="Arial"/>
          <w:sz w:val="18"/>
          <w:szCs w:val="18"/>
          <w:lang w:val="el-GR"/>
        </w:rPr>
        <w:t>19</w:t>
      </w:r>
      <w:r w:rsidR="004E0B0A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9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CE7A6B">
        <w:rPr>
          <w:rFonts w:ascii="Verdana" w:hAnsi="Verdana" w:cs="Arial"/>
          <w:sz w:val="18"/>
          <w:szCs w:val="18"/>
          <w:lang w:val="el-GR"/>
        </w:rPr>
        <w:t>1</w:t>
      </w:r>
      <w:r w:rsidR="00E12419">
        <w:rPr>
          <w:rFonts w:ascii="Verdana" w:hAnsi="Verdana" w:cs="Arial"/>
          <w:sz w:val="18"/>
          <w:szCs w:val="18"/>
          <w:lang w:val="el-GR"/>
        </w:rPr>
        <w:t>34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9</w:t>
      </w:r>
      <w:r w:rsidR="00E672E9" w:rsidRPr="00E672E9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12419">
        <w:rPr>
          <w:rFonts w:ascii="Verdana" w:hAnsi="Verdana" w:cs="Arial"/>
          <w:sz w:val="18"/>
          <w:szCs w:val="18"/>
          <w:lang w:val="el-GR"/>
        </w:rPr>
        <w:t>112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5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4C64E3" w:rsidRPr="00E672E9">
        <w:rPr>
          <w:rFonts w:ascii="Verdana" w:hAnsi="Verdana" w:cs="Arial"/>
          <w:sz w:val="18"/>
          <w:szCs w:val="18"/>
          <w:lang w:val="el-GR"/>
        </w:rPr>
        <w:t>.</w:t>
      </w:r>
      <w:r w:rsidRPr="00E672E9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Τα έσοδα από παροχή υπηρεσιών </w:t>
      </w:r>
      <w:r w:rsidR="007A4737">
        <w:rPr>
          <w:rFonts w:ascii="Verdana" w:hAnsi="Verdana" w:cs="Arial"/>
          <w:sz w:val="18"/>
          <w:szCs w:val="18"/>
          <w:lang w:val="el-GR"/>
        </w:rPr>
        <w:t>αυξή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θηκαν κατά €</w:t>
      </w:r>
      <w:r w:rsidR="00CE7A6B">
        <w:rPr>
          <w:rFonts w:ascii="Verdana" w:hAnsi="Verdana" w:cs="Arial"/>
          <w:sz w:val="18"/>
          <w:szCs w:val="18"/>
          <w:lang w:val="el-GR"/>
        </w:rPr>
        <w:t>9</w:t>
      </w:r>
      <w:r w:rsidR="00E12419">
        <w:rPr>
          <w:rFonts w:ascii="Verdana" w:hAnsi="Verdana" w:cs="Arial"/>
          <w:sz w:val="18"/>
          <w:szCs w:val="18"/>
          <w:lang w:val="el-GR"/>
        </w:rPr>
        <w:t>5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9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7A4737">
        <w:rPr>
          <w:rFonts w:ascii="Verdana" w:hAnsi="Verdana" w:cs="Arial"/>
          <w:sz w:val="18"/>
          <w:szCs w:val="18"/>
          <w:lang w:val="el-GR"/>
        </w:rPr>
        <w:t xml:space="preserve"> </w:t>
      </w:r>
      <w:bookmarkStart w:id="1" w:name="_Hlk170457397"/>
      <w:r w:rsidR="00EE4190" w:rsidRPr="00EE4190">
        <w:rPr>
          <w:rFonts w:ascii="Verdana" w:hAnsi="Verdana" w:cs="Arial"/>
          <w:sz w:val="18"/>
          <w:szCs w:val="18"/>
          <w:lang w:val="el-GR"/>
        </w:rPr>
        <w:t>(+</w:t>
      </w:r>
      <w:r w:rsidR="00E12419">
        <w:rPr>
          <w:rFonts w:ascii="Verdana" w:hAnsi="Verdana" w:cs="Arial"/>
          <w:sz w:val="18"/>
          <w:szCs w:val="18"/>
          <w:lang w:val="el-GR"/>
        </w:rPr>
        <w:t>3</w:t>
      </w:r>
      <w:r w:rsidR="00CE7A6B">
        <w:rPr>
          <w:rFonts w:ascii="Verdana" w:hAnsi="Verdana" w:cs="Arial"/>
          <w:sz w:val="18"/>
          <w:szCs w:val="18"/>
          <w:lang w:val="el-GR"/>
        </w:rPr>
        <w:t>5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4</w:t>
      </w:r>
      <w:r w:rsidR="00EE4190" w:rsidRPr="00EE4190">
        <w:rPr>
          <w:rFonts w:ascii="Verdana" w:hAnsi="Verdana" w:cs="Arial"/>
          <w:sz w:val="18"/>
          <w:szCs w:val="18"/>
          <w:lang w:val="el-GR"/>
        </w:rPr>
        <w:t>%)</w:t>
      </w:r>
      <w:bookmarkEnd w:id="1"/>
      <w:r w:rsidR="00EE4190">
        <w:rPr>
          <w:rFonts w:ascii="Verdana" w:hAnsi="Verdana" w:cs="Arial"/>
          <w:sz w:val="18"/>
          <w:szCs w:val="18"/>
          <w:lang w:val="el-GR"/>
        </w:rPr>
        <w:t xml:space="preserve"> 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A4737">
        <w:rPr>
          <w:rFonts w:ascii="Verdana" w:hAnsi="Verdana" w:cs="Arial"/>
          <w:sz w:val="18"/>
          <w:szCs w:val="18"/>
          <w:lang w:val="el-GR"/>
        </w:rPr>
        <w:t>ανήλθαν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E12419">
        <w:rPr>
          <w:rFonts w:ascii="Verdana" w:hAnsi="Verdana" w:cs="Arial"/>
          <w:sz w:val="18"/>
          <w:szCs w:val="18"/>
          <w:lang w:val="el-GR"/>
        </w:rPr>
        <w:t>366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8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E12419">
        <w:rPr>
          <w:rFonts w:ascii="Verdana" w:hAnsi="Verdana" w:cs="Arial"/>
          <w:sz w:val="18"/>
          <w:szCs w:val="18"/>
          <w:lang w:val="el-GR"/>
        </w:rPr>
        <w:t>70</w:t>
      </w:r>
      <w:r w:rsidR="00BB6FE8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9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7A4737" w:rsidRPr="00973258">
        <w:rPr>
          <w:rFonts w:ascii="Verdana" w:hAnsi="Verdana" w:cs="Arial"/>
          <w:sz w:val="18"/>
          <w:szCs w:val="18"/>
          <w:lang w:val="el-GR"/>
        </w:rPr>
        <w:t>.</w:t>
      </w:r>
      <w:r w:rsidR="007A4737" w:rsidRPr="00D91EB8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Οι κεφαλαιουχικές μεταβιβάσεις 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αυξήθηκαν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E12419">
        <w:rPr>
          <w:rFonts w:ascii="Verdana" w:hAnsi="Verdana" w:cs="Arial"/>
          <w:sz w:val="18"/>
          <w:szCs w:val="18"/>
          <w:lang w:val="el-GR"/>
        </w:rPr>
        <w:t>7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9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E12419" w:rsidRPr="00EE4190">
        <w:rPr>
          <w:rFonts w:ascii="Verdana" w:hAnsi="Verdana" w:cs="Arial"/>
          <w:sz w:val="18"/>
          <w:szCs w:val="18"/>
          <w:lang w:val="el-GR"/>
        </w:rPr>
        <w:t>(+</w:t>
      </w:r>
      <w:r w:rsidR="00E12419">
        <w:rPr>
          <w:rFonts w:ascii="Verdana" w:hAnsi="Verdana" w:cs="Arial"/>
          <w:sz w:val="18"/>
          <w:szCs w:val="18"/>
          <w:lang w:val="el-GR"/>
        </w:rPr>
        <w:t>50</w:t>
      </w:r>
      <w:r w:rsidR="00E12419" w:rsidRPr="00EE4190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3</w:t>
      </w:r>
      <w:r w:rsidR="00E12419" w:rsidRPr="00EE4190">
        <w:rPr>
          <w:rFonts w:ascii="Verdana" w:hAnsi="Verdana" w:cs="Arial"/>
          <w:sz w:val="18"/>
          <w:szCs w:val="18"/>
          <w:lang w:val="el-GR"/>
        </w:rPr>
        <w:t>%)</w:t>
      </w:r>
      <w:r w:rsidR="00E12419">
        <w:rPr>
          <w:rFonts w:ascii="Verdana" w:hAnsi="Verdana" w:cs="Arial"/>
          <w:sz w:val="18"/>
          <w:szCs w:val="18"/>
          <w:lang w:val="el-GR"/>
        </w:rPr>
        <w:t xml:space="preserve"> 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ανήλθαν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CE7A6B">
        <w:rPr>
          <w:rFonts w:ascii="Verdana" w:hAnsi="Verdana" w:cs="Arial"/>
          <w:sz w:val="18"/>
          <w:szCs w:val="18"/>
          <w:lang w:val="el-GR"/>
        </w:rPr>
        <w:t>2</w:t>
      </w:r>
      <w:r w:rsidR="00E12419">
        <w:rPr>
          <w:rFonts w:ascii="Verdana" w:hAnsi="Verdana" w:cs="Arial"/>
          <w:sz w:val="18"/>
          <w:szCs w:val="18"/>
          <w:lang w:val="el-GR"/>
        </w:rPr>
        <w:t>3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6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E12419">
        <w:rPr>
          <w:rFonts w:ascii="Verdana" w:hAnsi="Verdana" w:cs="Arial"/>
          <w:sz w:val="18"/>
          <w:szCs w:val="18"/>
          <w:lang w:val="el-GR"/>
        </w:rPr>
        <w:t>15</w:t>
      </w:r>
      <w:r w:rsidR="00786D00" w:rsidRPr="00786D00">
        <w:rPr>
          <w:rFonts w:ascii="Verdana" w:hAnsi="Verdana" w:cs="Arial"/>
          <w:sz w:val="18"/>
          <w:szCs w:val="18"/>
          <w:lang w:val="el-GR"/>
        </w:rPr>
        <w:t>,</w:t>
      </w:r>
      <w:r w:rsidR="00E12419">
        <w:rPr>
          <w:rFonts w:ascii="Verdana" w:hAnsi="Verdana" w:cs="Arial"/>
          <w:sz w:val="18"/>
          <w:szCs w:val="18"/>
          <w:lang w:val="el-GR"/>
        </w:rPr>
        <w:t>7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B6FE8">
        <w:rPr>
          <w:rFonts w:ascii="Verdana" w:hAnsi="Verdana" w:cs="Arial"/>
          <w:sz w:val="18"/>
          <w:szCs w:val="18"/>
          <w:lang w:val="el-GR"/>
        </w:rPr>
        <w:t>3</w:t>
      </w:r>
      <w:r w:rsidR="005747B4" w:rsidRPr="005747B4">
        <w:rPr>
          <w:rFonts w:ascii="Verdana" w:hAnsi="Verdana" w:cs="Arial"/>
          <w:sz w:val="18"/>
          <w:szCs w:val="18"/>
          <w:lang w:val="el-GR"/>
        </w:rPr>
        <w:t>.</w:t>
      </w:r>
    </w:p>
    <w:p w14:paraId="0AB04635" w14:textId="77777777" w:rsidR="00E91AB9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6B0439A" w14:textId="3CA7A5F3" w:rsidR="00E91AB9" w:rsidRPr="00E12B1C" w:rsidRDefault="00E91AB9" w:rsidP="005477B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09D0E3" w14:textId="77777777" w:rsidR="00981CAA" w:rsidRPr="00C43DAE" w:rsidRDefault="00981CAA" w:rsidP="00981CAA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C43DA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Δαπάνες</w:t>
      </w:r>
    </w:p>
    <w:p w14:paraId="529F7340" w14:textId="77777777" w:rsidR="00981CAA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152F79" w14:textId="4371A530" w:rsid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D16F7">
        <w:rPr>
          <w:rFonts w:ascii="Verdana" w:hAnsi="Verdana" w:cs="Arial"/>
          <w:sz w:val="18"/>
          <w:szCs w:val="18"/>
          <w:lang w:val="el-GR"/>
        </w:rPr>
        <w:t xml:space="preserve">Οι συνολικές δαπάνες, κατά </w:t>
      </w:r>
      <w:r w:rsidR="00D42FC9" w:rsidRPr="00D42FC9">
        <w:rPr>
          <w:rFonts w:ascii="Verdana" w:hAnsi="Verdana" w:cs="Arial"/>
          <w:sz w:val="18"/>
          <w:szCs w:val="18"/>
          <w:lang w:val="el-GR"/>
        </w:rPr>
        <w:t xml:space="preserve">την περίοδο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Ιανουαρίου-</w:t>
      </w:r>
      <w:r w:rsidR="005E7C64" w:rsidRPr="005E7C64">
        <w:rPr>
          <w:lang w:val="el-GR"/>
        </w:rPr>
        <w:t xml:space="preserve"> </w:t>
      </w:r>
      <w:r w:rsidR="005E7C64" w:rsidRPr="005E7C64">
        <w:rPr>
          <w:rFonts w:ascii="Verdana" w:hAnsi="Verdana" w:cs="Arial"/>
          <w:sz w:val="18"/>
          <w:szCs w:val="18"/>
          <w:lang w:val="el-GR"/>
        </w:rPr>
        <w:t>Μαΐου</w:t>
      </w:r>
      <w:r w:rsidR="00EB61F5" w:rsidRPr="00DD16F7">
        <w:rPr>
          <w:rFonts w:ascii="Verdana" w:hAnsi="Verdana" w:cs="Arial"/>
          <w:sz w:val="18"/>
          <w:szCs w:val="18"/>
          <w:lang w:val="el-GR"/>
        </w:rPr>
        <w:t xml:space="preserve"> 202</w:t>
      </w:r>
      <w:r w:rsidR="00EB61F5">
        <w:rPr>
          <w:rFonts w:ascii="Verdana" w:hAnsi="Verdana" w:cs="Arial"/>
          <w:sz w:val="18"/>
          <w:szCs w:val="18"/>
          <w:lang w:val="el-GR"/>
        </w:rPr>
        <w:t>4</w:t>
      </w:r>
      <w:r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αυξήθηκαν κατά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€</w:t>
      </w:r>
      <w:r w:rsidR="002417A4">
        <w:rPr>
          <w:rFonts w:ascii="Verdana" w:hAnsi="Verdana" w:cs="Arial"/>
          <w:sz w:val="18"/>
          <w:szCs w:val="18"/>
          <w:lang w:val="el-GR"/>
        </w:rPr>
        <w:t>432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8</w:t>
      </w:r>
      <w:r w:rsidR="004551CD" w:rsidRPr="004551CD">
        <w:rPr>
          <w:lang w:val="el-GR"/>
        </w:rPr>
        <w:t xml:space="preserve"> </w:t>
      </w:r>
      <w:r w:rsidR="004551CD" w:rsidRPr="004551CD">
        <w:rPr>
          <w:rFonts w:ascii="Verdana" w:hAnsi="Verdana" w:cs="Arial"/>
          <w:sz w:val="18"/>
          <w:szCs w:val="18"/>
          <w:lang w:val="el-GR"/>
        </w:rPr>
        <w:t>εκ.</w:t>
      </w:r>
      <w:r w:rsidR="004551CD">
        <w:rPr>
          <w:rFonts w:ascii="Verdana" w:hAnsi="Verdana" w:cs="Arial"/>
          <w:sz w:val="18"/>
          <w:szCs w:val="18"/>
          <w:lang w:val="el-GR"/>
        </w:rPr>
        <w:t xml:space="preserve"> </w:t>
      </w:r>
      <w:r w:rsidR="00B64E43" w:rsidRPr="00B64E43">
        <w:rPr>
          <w:rFonts w:ascii="Verdana" w:hAnsi="Verdana" w:cs="Arial"/>
          <w:sz w:val="18"/>
          <w:szCs w:val="18"/>
          <w:lang w:val="el-GR"/>
        </w:rPr>
        <w:t>(+</w:t>
      </w:r>
      <w:r w:rsidR="002417A4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>%) και ανήλθαν στα €</w:t>
      </w:r>
      <w:r w:rsidR="002417A4">
        <w:rPr>
          <w:rFonts w:ascii="Verdana" w:hAnsi="Verdana" w:cs="Arial"/>
          <w:sz w:val="18"/>
          <w:szCs w:val="18"/>
          <w:lang w:val="el-GR"/>
        </w:rPr>
        <w:t>4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2417A4">
        <w:rPr>
          <w:rFonts w:ascii="Verdana" w:hAnsi="Verdana" w:cs="Arial"/>
          <w:sz w:val="18"/>
          <w:szCs w:val="18"/>
          <w:lang w:val="el-GR"/>
        </w:rPr>
        <w:t>803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9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417A4">
        <w:rPr>
          <w:rFonts w:ascii="Verdana" w:hAnsi="Verdana" w:cs="Arial"/>
          <w:sz w:val="18"/>
          <w:szCs w:val="18"/>
          <w:lang w:val="el-GR"/>
        </w:rPr>
        <w:t>4</w:t>
      </w:r>
      <w:r w:rsidR="00D42FC9">
        <w:rPr>
          <w:rFonts w:ascii="Verdana" w:hAnsi="Verdana" w:cs="Arial"/>
          <w:sz w:val="18"/>
          <w:szCs w:val="18"/>
          <w:lang w:val="el-GR"/>
        </w:rPr>
        <w:t>.</w:t>
      </w:r>
      <w:r w:rsidR="00E000AE">
        <w:rPr>
          <w:rFonts w:ascii="Verdana" w:hAnsi="Verdana" w:cs="Arial"/>
          <w:sz w:val="18"/>
          <w:szCs w:val="18"/>
          <w:lang w:val="el-GR"/>
        </w:rPr>
        <w:t>37</w:t>
      </w:r>
      <w:r w:rsidR="002417A4">
        <w:rPr>
          <w:rFonts w:ascii="Verdana" w:hAnsi="Verdana" w:cs="Arial"/>
          <w:sz w:val="18"/>
          <w:szCs w:val="18"/>
          <w:lang w:val="el-GR"/>
        </w:rPr>
        <w:t>1</w:t>
      </w:r>
      <w:r w:rsidR="00EB61F5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1</w:t>
      </w:r>
      <w:r w:rsidRPr="00B64E43">
        <w:rPr>
          <w:rFonts w:ascii="Verdana" w:hAnsi="Verdana" w:cs="Arial"/>
          <w:sz w:val="18"/>
          <w:szCs w:val="18"/>
          <w:lang w:val="el-GR"/>
        </w:rPr>
        <w:t xml:space="preserve"> εκ. </w:t>
      </w:r>
      <w:r w:rsidR="000D64D2">
        <w:rPr>
          <w:rFonts w:ascii="Verdana" w:hAnsi="Verdana" w:cs="Arial"/>
          <w:sz w:val="18"/>
          <w:szCs w:val="18"/>
          <w:lang w:val="el-GR"/>
        </w:rPr>
        <w:t xml:space="preserve">την 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αντίστοιχη περίοδο </w:t>
      </w:r>
      <w:r w:rsidRPr="00B64E43">
        <w:rPr>
          <w:rFonts w:ascii="Verdana" w:hAnsi="Verdana" w:cs="Arial"/>
          <w:sz w:val="18"/>
          <w:szCs w:val="18"/>
          <w:lang w:val="el-GR"/>
        </w:rPr>
        <w:t>του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B64E43">
        <w:rPr>
          <w:rFonts w:ascii="Verdana" w:hAnsi="Verdana" w:cs="Arial"/>
          <w:sz w:val="18"/>
          <w:szCs w:val="18"/>
          <w:lang w:val="el-GR"/>
        </w:rPr>
        <w:t>.</w:t>
      </w:r>
    </w:p>
    <w:p w14:paraId="29CB0AE7" w14:textId="77777777" w:rsidR="00981CAA" w:rsidRPr="00766958" w:rsidRDefault="00981CAA" w:rsidP="00981CAA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B64E43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0D09888C" w14:textId="6CF525E7" w:rsidR="001B2433" w:rsidRDefault="00981CAA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257D60">
        <w:rPr>
          <w:rFonts w:ascii="Verdana" w:hAnsi="Verdana" w:cs="Arial"/>
          <w:sz w:val="18"/>
          <w:szCs w:val="18"/>
          <w:lang w:val="el-GR"/>
        </w:rPr>
        <w:t xml:space="preserve">Συγκεκριμένα, </w:t>
      </w:r>
      <w:r w:rsidR="00B10421">
        <w:rPr>
          <w:rFonts w:ascii="Verdana" w:hAnsi="Verdana" w:cs="Arial"/>
          <w:sz w:val="18"/>
          <w:szCs w:val="18"/>
          <w:lang w:val="el-GR"/>
        </w:rPr>
        <w:t>η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ενδιάμεση ανάλωση </w:t>
      </w:r>
      <w:r w:rsidR="00B10421">
        <w:rPr>
          <w:rFonts w:ascii="Verdana" w:hAnsi="Verdana" w:cs="Arial"/>
          <w:sz w:val="18"/>
          <w:szCs w:val="18"/>
          <w:lang w:val="el-GR"/>
        </w:rPr>
        <w:t>αυξήθηκε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2417A4">
        <w:rPr>
          <w:rFonts w:ascii="Verdana" w:hAnsi="Verdana" w:cs="Arial"/>
          <w:sz w:val="18"/>
          <w:szCs w:val="18"/>
          <w:lang w:val="el-GR"/>
        </w:rPr>
        <w:t>42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0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10421">
        <w:rPr>
          <w:rFonts w:ascii="Verdana" w:hAnsi="Verdana" w:cs="Arial"/>
          <w:sz w:val="18"/>
          <w:szCs w:val="18"/>
          <w:lang w:val="el-GR"/>
        </w:rPr>
        <w:t>+</w:t>
      </w:r>
      <w:r w:rsidR="002417A4">
        <w:rPr>
          <w:rFonts w:ascii="Verdana" w:hAnsi="Verdana" w:cs="Arial"/>
          <w:sz w:val="18"/>
          <w:szCs w:val="18"/>
          <w:lang w:val="el-GR"/>
        </w:rPr>
        <w:t>9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7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ανήλθε 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στα €</w:t>
      </w:r>
      <w:r w:rsidR="002417A4">
        <w:rPr>
          <w:rFonts w:ascii="Verdana" w:hAnsi="Verdana" w:cs="Arial"/>
          <w:sz w:val="18"/>
          <w:szCs w:val="18"/>
          <w:lang w:val="el-GR"/>
        </w:rPr>
        <w:t>475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5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417A4">
        <w:rPr>
          <w:rFonts w:ascii="Verdana" w:hAnsi="Verdana" w:cs="Arial"/>
          <w:sz w:val="18"/>
          <w:szCs w:val="18"/>
          <w:lang w:val="el-GR"/>
        </w:rPr>
        <w:t>433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5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FF050F">
        <w:rPr>
          <w:rFonts w:ascii="Verdana" w:hAnsi="Verdana" w:cs="Arial"/>
          <w:sz w:val="18"/>
          <w:szCs w:val="18"/>
          <w:lang w:val="el-GR"/>
        </w:rPr>
        <w:t>.</w:t>
      </w:r>
      <w:r w:rsidR="00B10421" w:rsidRPr="00B10421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Οι απολαβές προσωπικού (συμπεριλαμβανομένων των τεκμαρτών κοινωνικών εισφορών και συντάξεων των δημοσίων υπαλλήλων) αυξήθηκαν κατά €</w:t>
      </w:r>
      <w:r w:rsidR="000A7E03">
        <w:rPr>
          <w:rFonts w:ascii="Verdana" w:hAnsi="Verdana" w:cs="Arial"/>
          <w:sz w:val="18"/>
          <w:szCs w:val="18"/>
          <w:lang w:val="el-GR"/>
        </w:rPr>
        <w:t>1</w:t>
      </w:r>
      <w:r w:rsidR="002417A4">
        <w:rPr>
          <w:rFonts w:ascii="Verdana" w:hAnsi="Verdana" w:cs="Arial"/>
          <w:sz w:val="18"/>
          <w:szCs w:val="18"/>
          <w:lang w:val="el-GR"/>
        </w:rPr>
        <w:t>85</w:t>
      </w:r>
      <w:r w:rsidR="00B10421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2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(+1</w:t>
      </w:r>
      <w:r w:rsidR="002417A4">
        <w:rPr>
          <w:rFonts w:ascii="Verdana" w:hAnsi="Verdana" w:cs="Arial"/>
          <w:sz w:val="18"/>
          <w:szCs w:val="18"/>
          <w:lang w:val="el-GR"/>
        </w:rPr>
        <w:t>3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8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2417A4">
        <w:rPr>
          <w:rFonts w:ascii="Verdana" w:hAnsi="Verdana" w:cs="Arial"/>
          <w:sz w:val="18"/>
          <w:szCs w:val="18"/>
          <w:lang w:val="el-GR"/>
        </w:rPr>
        <w:t>523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E000AE">
        <w:rPr>
          <w:rFonts w:ascii="Verdana" w:hAnsi="Verdana" w:cs="Arial"/>
          <w:sz w:val="18"/>
          <w:szCs w:val="18"/>
          <w:lang w:val="el-GR"/>
        </w:rPr>
        <w:t>5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.</w:t>
      </w:r>
      <w:r w:rsidR="002417A4">
        <w:rPr>
          <w:rFonts w:ascii="Verdana" w:hAnsi="Verdana" w:cs="Arial"/>
          <w:sz w:val="18"/>
          <w:szCs w:val="18"/>
          <w:lang w:val="el-GR"/>
        </w:rPr>
        <w:t>338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3</w:t>
      </w:r>
      <w:r w:rsidR="00E000AE" w:rsidRPr="00E000AE">
        <w:rPr>
          <w:rFonts w:ascii="Verdana" w:hAnsi="Verdana" w:cs="Arial"/>
          <w:sz w:val="18"/>
          <w:szCs w:val="18"/>
          <w:lang w:val="el-GR"/>
        </w:rPr>
        <w:t xml:space="preserve"> 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B10421">
        <w:rPr>
          <w:rFonts w:ascii="Verdana" w:hAnsi="Verdana" w:cs="Arial"/>
          <w:sz w:val="18"/>
          <w:szCs w:val="18"/>
          <w:lang w:val="el-GR"/>
        </w:rPr>
        <w:t>3</w:t>
      </w:r>
      <w:r w:rsidR="00B10421" w:rsidRPr="00257D60">
        <w:rPr>
          <w:rFonts w:ascii="Verdana" w:hAnsi="Verdana" w:cs="Arial"/>
          <w:sz w:val="18"/>
          <w:szCs w:val="18"/>
          <w:lang w:val="el-GR"/>
        </w:rPr>
        <w:t>.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Ο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ι κοινωνικές παροχές αυξήθηκαν κατά </w:t>
      </w:r>
      <w:r w:rsidR="00B10421">
        <w:rPr>
          <w:rFonts w:ascii="Verdana" w:hAnsi="Verdana" w:cs="Arial"/>
          <w:sz w:val="18"/>
          <w:szCs w:val="18"/>
          <w:lang w:val="el-GR"/>
        </w:rPr>
        <w:t xml:space="preserve">    </w:t>
      </w:r>
      <w:r w:rsidRPr="00257D60">
        <w:rPr>
          <w:rFonts w:ascii="Verdana" w:hAnsi="Verdana" w:cs="Arial"/>
          <w:sz w:val="18"/>
          <w:szCs w:val="18"/>
          <w:lang w:val="el-GR"/>
        </w:rPr>
        <w:t>€</w:t>
      </w:r>
      <w:r w:rsidR="00E000AE">
        <w:rPr>
          <w:rFonts w:ascii="Verdana" w:hAnsi="Verdana" w:cs="Arial"/>
          <w:sz w:val="18"/>
          <w:szCs w:val="18"/>
          <w:lang w:val="el-GR"/>
        </w:rPr>
        <w:t>1</w:t>
      </w:r>
      <w:r w:rsidR="002417A4">
        <w:rPr>
          <w:rFonts w:ascii="Verdana" w:hAnsi="Verdana" w:cs="Arial"/>
          <w:sz w:val="18"/>
          <w:szCs w:val="18"/>
          <w:lang w:val="el-GR"/>
        </w:rPr>
        <w:t>62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(+</w:t>
      </w:r>
      <w:r w:rsidR="002417A4">
        <w:rPr>
          <w:rFonts w:ascii="Verdana" w:hAnsi="Verdana" w:cs="Arial"/>
          <w:sz w:val="18"/>
          <w:szCs w:val="18"/>
          <w:lang w:val="el-GR"/>
        </w:rPr>
        <w:t>9</w:t>
      </w:r>
      <w:r w:rsidRPr="00257D60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%) και ανήλθαν στα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</w:t>
      </w:r>
      <w:r w:rsidR="000A7E03">
        <w:rPr>
          <w:rFonts w:ascii="Verdana" w:hAnsi="Verdana" w:cs="Arial"/>
          <w:sz w:val="18"/>
          <w:szCs w:val="18"/>
          <w:lang w:val="el-GR"/>
        </w:rPr>
        <w:t>1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.</w:t>
      </w:r>
      <w:r w:rsidR="002417A4">
        <w:rPr>
          <w:rFonts w:ascii="Verdana" w:hAnsi="Verdana" w:cs="Arial"/>
          <w:sz w:val="18"/>
          <w:szCs w:val="18"/>
          <w:lang w:val="el-GR"/>
        </w:rPr>
        <w:t>913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6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 εκ. σε σύγκριση με 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€1.</w:t>
      </w:r>
      <w:r w:rsidR="002417A4">
        <w:rPr>
          <w:rFonts w:ascii="Verdana" w:hAnsi="Verdana" w:cs="Arial"/>
          <w:sz w:val="18"/>
          <w:szCs w:val="18"/>
          <w:lang w:val="el-GR"/>
        </w:rPr>
        <w:t>751</w:t>
      </w:r>
      <w:r w:rsidR="000A7E03" w:rsidRPr="000A7E03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0</w:t>
      </w:r>
      <w:r w:rsidR="000A7E03">
        <w:rPr>
          <w:rFonts w:ascii="Verdana" w:hAnsi="Verdana" w:cs="Arial"/>
          <w:sz w:val="18"/>
          <w:szCs w:val="18"/>
          <w:lang w:val="el-GR"/>
        </w:rPr>
        <w:t xml:space="preserve"> </w:t>
      </w:r>
      <w:r w:rsidRPr="00257D60">
        <w:rPr>
          <w:rFonts w:ascii="Verdana" w:hAnsi="Verdana" w:cs="Arial"/>
          <w:sz w:val="18"/>
          <w:szCs w:val="18"/>
          <w:lang w:val="el-GR"/>
        </w:rPr>
        <w:t>εκ. το 202</w:t>
      </w:r>
      <w:r w:rsidR="00EB61F5">
        <w:rPr>
          <w:rFonts w:ascii="Verdana" w:hAnsi="Verdana" w:cs="Arial"/>
          <w:sz w:val="18"/>
          <w:szCs w:val="18"/>
          <w:lang w:val="el-GR"/>
        </w:rPr>
        <w:t>3</w:t>
      </w:r>
      <w:r w:rsidRPr="00257D60">
        <w:rPr>
          <w:rFonts w:ascii="Verdana" w:hAnsi="Verdana" w:cs="Arial"/>
          <w:sz w:val="18"/>
          <w:szCs w:val="18"/>
          <w:lang w:val="el-GR"/>
        </w:rPr>
        <w:t xml:space="preserve">. 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Οι τρέχουσες μεταβιβάσεις </w:t>
      </w:r>
      <w:r w:rsidR="006B7A9A">
        <w:rPr>
          <w:rFonts w:ascii="Verdana" w:hAnsi="Verdana" w:cs="Arial"/>
          <w:sz w:val="18"/>
          <w:szCs w:val="18"/>
          <w:lang w:val="el-GR"/>
        </w:rPr>
        <w:t>αυξήθηκαν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2417A4">
        <w:rPr>
          <w:rFonts w:ascii="Verdana" w:hAnsi="Verdana" w:cs="Arial"/>
          <w:sz w:val="18"/>
          <w:szCs w:val="18"/>
          <w:lang w:val="el-GR"/>
        </w:rPr>
        <w:t>56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0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6B7A9A">
        <w:rPr>
          <w:rFonts w:ascii="Verdana" w:hAnsi="Verdana" w:cs="Arial"/>
          <w:sz w:val="18"/>
          <w:szCs w:val="18"/>
          <w:lang w:val="el-GR"/>
        </w:rPr>
        <w:t>+</w:t>
      </w:r>
      <w:r w:rsidR="000A7E03">
        <w:rPr>
          <w:rFonts w:ascii="Verdana" w:hAnsi="Verdana" w:cs="Arial"/>
          <w:sz w:val="18"/>
          <w:szCs w:val="18"/>
          <w:lang w:val="el-GR"/>
        </w:rPr>
        <w:t>1</w:t>
      </w:r>
      <w:r w:rsidR="002417A4">
        <w:rPr>
          <w:rFonts w:ascii="Verdana" w:hAnsi="Verdana" w:cs="Arial"/>
          <w:sz w:val="18"/>
          <w:szCs w:val="18"/>
          <w:lang w:val="el-GR"/>
        </w:rPr>
        <w:t>8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1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6B7A9A">
        <w:rPr>
          <w:rFonts w:ascii="Verdana" w:hAnsi="Verdana" w:cs="Arial"/>
          <w:sz w:val="18"/>
          <w:szCs w:val="18"/>
          <w:lang w:val="el-GR"/>
        </w:rPr>
        <w:t>ανήλθαν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2417A4">
        <w:rPr>
          <w:rFonts w:ascii="Verdana" w:hAnsi="Verdana" w:cs="Arial"/>
          <w:sz w:val="18"/>
          <w:szCs w:val="18"/>
          <w:lang w:val="el-GR"/>
        </w:rPr>
        <w:t>365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2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2417A4">
        <w:rPr>
          <w:rFonts w:ascii="Verdana" w:hAnsi="Verdana" w:cs="Arial"/>
          <w:sz w:val="18"/>
          <w:szCs w:val="18"/>
          <w:lang w:val="el-GR"/>
        </w:rPr>
        <w:t>309</w:t>
      </w:r>
      <w:r w:rsidR="006B7A9A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2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6B7A9A">
        <w:rPr>
          <w:rFonts w:ascii="Verdana" w:hAnsi="Verdana" w:cs="Arial"/>
          <w:sz w:val="18"/>
          <w:szCs w:val="18"/>
          <w:lang w:val="el-GR"/>
        </w:rPr>
        <w:t>3</w:t>
      </w:r>
      <w:r w:rsidR="006B7A9A" w:rsidRPr="00FF050F">
        <w:rPr>
          <w:rFonts w:ascii="Verdana" w:hAnsi="Verdana" w:cs="Arial"/>
          <w:sz w:val="18"/>
          <w:szCs w:val="18"/>
          <w:lang w:val="el-GR"/>
        </w:rPr>
        <w:t>.</w:t>
      </w:r>
      <w:r w:rsidR="000A7E03" w:rsidRPr="000A7E03">
        <w:rPr>
          <w:lang w:val="el-GR"/>
        </w:rPr>
        <w:t xml:space="preserve"> </w:t>
      </w:r>
      <w:r w:rsidR="001B2433">
        <w:rPr>
          <w:rFonts w:ascii="Verdana" w:hAnsi="Verdana" w:cs="Arial"/>
          <w:sz w:val="18"/>
          <w:szCs w:val="18"/>
          <w:lang w:val="el-GR"/>
        </w:rPr>
        <w:t>Ο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ι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πληρωθέντες τόκοι </w:t>
      </w:r>
      <w:r w:rsidR="001B2433">
        <w:rPr>
          <w:rFonts w:ascii="Verdana" w:hAnsi="Verdana" w:cs="Arial"/>
          <w:sz w:val="18"/>
          <w:szCs w:val="18"/>
          <w:lang w:val="el-GR"/>
        </w:rPr>
        <w:t>αυξήθηκαν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κατά €</w:t>
      </w:r>
      <w:r w:rsidR="002417A4">
        <w:rPr>
          <w:rFonts w:ascii="Verdana" w:hAnsi="Verdana" w:cs="Arial"/>
          <w:sz w:val="18"/>
          <w:szCs w:val="18"/>
          <w:lang w:val="el-GR"/>
        </w:rPr>
        <w:t>43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4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1B2433">
        <w:rPr>
          <w:rFonts w:ascii="Verdana" w:hAnsi="Verdana" w:cs="Arial"/>
          <w:sz w:val="18"/>
          <w:szCs w:val="18"/>
          <w:lang w:val="el-GR"/>
        </w:rPr>
        <w:t>+</w:t>
      </w:r>
      <w:r w:rsidR="002417A4">
        <w:rPr>
          <w:rFonts w:ascii="Verdana" w:hAnsi="Verdana" w:cs="Arial"/>
          <w:sz w:val="18"/>
          <w:szCs w:val="18"/>
          <w:lang w:val="el-GR"/>
        </w:rPr>
        <w:t>29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1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1B2433">
        <w:rPr>
          <w:rFonts w:ascii="Verdana" w:hAnsi="Verdana" w:cs="Arial"/>
          <w:sz w:val="18"/>
          <w:szCs w:val="18"/>
          <w:lang w:val="el-GR"/>
        </w:rPr>
        <w:t>ανήλθαν</w:t>
      </w:r>
      <w:r w:rsidR="00FD3508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στα</w:t>
      </w:r>
      <w:r w:rsidR="00C37927" w:rsidRPr="002B07F2">
        <w:rPr>
          <w:rFonts w:ascii="Verdana" w:hAnsi="Verdana" w:cs="Arial"/>
          <w:sz w:val="18"/>
          <w:szCs w:val="18"/>
          <w:lang w:val="el-GR"/>
        </w:rPr>
        <w:t xml:space="preserve"> 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€</w:t>
      </w:r>
      <w:r w:rsidR="001B2433">
        <w:rPr>
          <w:rFonts w:ascii="Verdana" w:hAnsi="Verdana" w:cs="Arial"/>
          <w:sz w:val="18"/>
          <w:szCs w:val="18"/>
          <w:lang w:val="el-GR"/>
        </w:rPr>
        <w:t>1</w:t>
      </w:r>
      <w:r w:rsidR="002417A4">
        <w:rPr>
          <w:rFonts w:ascii="Verdana" w:hAnsi="Verdana" w:cs="Arial"/>
          <w:sz w:val="18"/>
          <w:szCs w:val="18"/>
          <w:lang w:val="el-GR"/>
        </w:rPr>
        <w:t>92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2417A4">
        <w:rPr>
          <w:rFonts w:ascii="Verdana" w:hAnsi="Verdana" w:cs="Arial"/>
          <w:sz w:val="18"/>
          <w:szCs w:val="18"/>
          <w:lang w:val="el-GR"/>
        </w:rPr>
        <w:t>4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2433">
        <w:rPr>
          <w:rFonts w:ascii="Verdana" w:hAnsi="Verdana" w:cs="Arial"/>
          <w:sz w:val="18"/>
          <w:szCs w:val="18"/>
          <w:lang w:val="el-GR"/>
        </w:rPr>
        <w:t>1</w:t>
      </w:r>
      <w:r w:rsidR="002417A4">
        <w:rPr>
          <w:rFonts w:ascii="Verdana" w:hAnsi="Verdana" w:cs="Arial"/>
          <w:sz w:val="18"/>
          <w:szCs w:val="18"/>
          <w:lang w:val="el-GR"/>
        </w:rPr>
        <w:t>49</w:t>
      </w:r>
      <w:r w:rsidR="001B2433">
        <w:rPr>
          <w:rFonts w:ascii="Verdana" w:hAnsi="Verdana" w:cs="Arial"/>
          <w:sz w:val="18"/>
          <w:szCs w:val="18"/>
          <w:lang w:val="el-GR"/>
        </w:rPr>
        <w:t>,0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1B2433" w:rsidRPr="00FF050F">
        <w:rPr>
          <w:rFonts w:ascii="Verdana" w:hAnsi="Verdana" w:cs="Arial"/>
          <w:sz w:val="18"/>
          <w:szCs w:val="18"/>
          <w:lang w:val="el-GR"/>
        </w:rPr>
        <w:t>.</w:t>
      </w:r>
      <w:r w:rsidR="001B2433" w:rsidRPr="00CA1528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41C82432" w14:textId="77777777" w:rsidR="001B2433" w:rsidRDefault="001B2433" w:rsidP="001B2433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62AA981" w14:textId="225C69C5" w:rsidR="00A92EEC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497113">
        <w:rPr>
          <w:rFonts w:ascii="Verdana" w:hAnsi="Verdana" w:cs="Arial"/>
          <w:sz w:val="18"/>
          <w:szCs w:val="18"/>
          <w:lang w:val="el-GR"/>
        </w:rPr>
        <w:t xml:space="preserve">Ο λογαριασμός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497113">
        <w:rPr>
          <w:rFonts w:ascii="Verdana" w:hAnsi="Verdana" w:cs="Arial"/>
          <w:sz w:val="18"/>
          <w:szCs w:val="18"/>
          <w:lang w:val="el-GR"/>
        </w:rPr>
        <w:t>θηκε κατά €</w:t>
      </w:r>
      <w:r w:rsidR="00DF632F">
        <w:rPr>
          <w:rFonts w:ascii="Verdana" w:hAnsi="Verdana" w:cs="Arial"/>
          <w:sz w:val="18"/>
          <w:szCs w:val="18"/>
          <w:lang w:val="el-GR"/>
        </w:rPr>
        <w:t>42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</w:t>
      </w:r>
      <w:r w:rsidR="001B2433">
        <w:rPr>
          <w:rFonts w:ascii="Verdana" w:hAnsi="Verdana" w:cs="Arial"/>
          <w:sz w:val="18"/>
          <w:szCs w:val="18"/>
          <w:lang w:val="el-GR"/>
        </w:rPr>
        <w:t>1</w:t>
      </w:r>
      <w:r w:rsidR="00DF632F">
        <w:rPr>
          <w:rFonts w:ascii="Verdana" w:hAnsi="Verdana" w:cs="Arial"/>
          <w:sz w:val="18"/>
          <w:szCs w:val="18"/>
          <w:lang w:val="el-GR"/>
        </w:rPr>
        <w:t>3</w:t>
      </w:r>
      <w:r w:rsidRPr="00497113"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2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περιορίστηκε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1B2433">
        <w:rPr>
          <w:rFonts w:ascii="Verdana" w:hAnsi="Verdana" w:cs="Arial"/>
          <w:sz w:val="18"/>
          <w:szCs w:val="18"/>
          <w:lang w:val="el-GR"/>
        </w:rPr>
        <w:t>2</w:t>
      </w:r>
      <w:r w:rsidR="00DF632F">
        <w:rPr>
          <w:rFonts w:ascii="Verdana" w:hAnsi="Verdana" w:cs="Arial"/>
          <w:sz w:val="18"/>
          <w:szCs w:val="18"/>
          <w:lang w:val="el-GR"/>
        </w:rPr>
        <w:t>76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4</w:t>
      </w:r>
      <w:r w:rsidRPr="00497113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F632F">
        <w:rPr>
          <w:rFonts w:ascii="Verdana" w:hAnsi="Verdana" w:cs="Arial"/>
          <w:sz w:val="18"/>
          <w:szCs w:val="18"/>
          <w:lang w:val="el-GR"/>
        </w:rPr>
        <w:t>318</w:t>
      </w:r>
      <w:r w:rsidR="001B2433"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6</w:t>
      </w:r>
      <w:r>
        <w:rPr>
          <w:rFonts w:ascii="Verdana" w:hAnsi="Verdana" w:cs="Arial"/>
          <w:sz w:val="18"/>
          <w:szCs w:val="18"/>
          <w:lang w:val="el-GR"/>
        </w:rPr>
        <w:t xml:space="preserve"> </w:t>
      </w:r>
      <w:r w:rsidRPr="00497113">
        <w:rPr>
          <w:rFonts w:ascii="Verdana" w:hAnsi="Verdana" w:cs="Arial"/>
          <w:sz w:val="18"/>
          <w:szCs w:val="18"/>
          <w:lang w:val="el-GR"/>
        </w:rPr>
        <w:t>εκ. το 202</w:t>
      </w:r>
      <w:r w:rsidRPr="00731131">
        <w:rPr>
          <w:rFonts w:ascii="Verdana" w:hAnsi="Verdana" w:cs="Arial"/>
          <w:sz w:val="18"/>
          <w:szCs w:val="18"/>
          <w:lang w:val="el-GR"/>
        </w:rPr>
        <w:t>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Pr="00731131">
        <w:rPr>
          <w:rFonts w:ascii="Verdana" w:hAnsi="Verdana" w:cs="Arial"/>
          <w:sz w:val="18"/>
          <w:szCs w:val="18"/>
          <w:lang w:val="el-GR"/>
        </w:rPr>
        <w:t xml:space="preserve"> </w:t>
      </w:r>
      <w:r>
        <w:rPr>
          <w:rFonts w:ascii="Verdana" w:hAnsi="Verdana" w:cs="Arial"/>
          <w:sz w:val="18"/>
          <w:szCs w:val="18"/>
          <w:lang w:val="el-GR"/>
        </w:rPr>
        <w:t>εκ των οποίων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, οι επενδύσεις πάγιου κεφαλαίου </w:t>
      </w:r>
      <w:r w:rsidR="00B06B22">
        <w:rPr>
          <w:rFonts w:ascii="Verdana" w:hAnsi="Verdana" w:cs="Arial"/>
          <w:sz w:val="18"/>
          <w:szCs w:val="18"/>
          <w:lang w:val="el-GR"/>
        </w:rPr>
        <w:t>μειώ</w:t>
      </w:r>
      <w:r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DF632F">
        <w:rPr>
          <w:rFonts w:ascii="Verdana" w:hAnsi="Verdana" w:cs="Arial"/>
          <w:sz w:val="18"/>
          <w:szCs w:val="18"/>
          <w:lang w:val="el-GR"/>
        </w:rPr>
        <w:t>45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(</w:t>
      </w:r>
      <w:r w:rsidR="00B06B22">
        <w:rPr>
          <w:rFonts w:ascii="Verdana" w:hAnsi="Verdana" w:cs="Arial"/>
          <w:sz w:val="18"/>
          <w:szCs w:val="18"/>
          <w:lang w:val="el-GR"/>
        </w:rPr>
        <w:t>-</w:t>
      </w:r>
      <w:r w:rsidR="00DF632F">
        <w:rPr>
          <w:rFonts w:ascii="Verdana" w:hAnsi="Verdana" w:cs="Arial"/>
          <w:sz w:val="18"/>
          <w:szCs w:val="18"/>
          <w:lang w:val="el-GR"/>
        </w:rPr>
        <w:t>16</w:t>
      </w:r>
      <w:r w:rsidRPr="00D25E9C"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3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%) και </w:t>
      </w:r>
      <w:r w:rsidR="00B06B22">
        <w:rPr>
          <w:rFonts w:ascii="Verdana" w:hAnsi="Verdana" w:cs="Arial"/>
          <w:sz w:val="18"/>
          <w:szCs w:val="18"/>
          <w:lang w:val="el-GR"/>
        </w:rPr>
        <w:t>περιορίστηκαν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στα </w:t>
      </w:r>
      <w:r w:rsidRPr="004551CD">
        <w:rPr>
          <w:rFonts w:ascii="Verdana" w:hAnsi="Verdana" w:cs="Arial"/>
          <w:sz w:val="18"/>
          <w:szCs w:val="18"/>
          <w:lang w:val="el-GR"/>
        </w:rPr>
        <w:t>€</w:t>
      </w:r>
      <w:r w:rsidR="00DF632F">
        <w:rPr>
          <w:rFonts w:ascii="Verdana" w:hAnsi="Verdana" w:cs="Arial"/>
          <w:sz w:val="18"/>
          <w:szCs w:val="18"/>
          <w:lang w:val="el-GR"/>
        </w:rPr>
        <w:t>233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1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1B2433">
        <w:rPr>
          <w:rFonts w:ascii="Verdana" w:hAnsi="Verdana" w:cs="Arial"/>
          <w:sz w:val="18"/>
          <w:szCs w:val="18"/>
          <w:lang w:val="el-GR"/>
        </w:rPr>
        <w:t>2</w:t>
      </w:r>
      <w:r w:rsidR="00DF632F">
        <w:rPr>
          <w:rFonts w:ascii="Verdana" w:hAnsi="Verdana" w:cs="Arial"/>
          <w:sz w:val="18"/>
          <w:szCs w:val="18"/>
          <w:lang w:val="el-GR"/>
        </w:rPr>
        <w:t>78</w:t>
      </w:r>
      <w:r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4</w:t>
      </w:r>
      <w:r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>
        <w:rPr>
          <w:rFonts w:ascii="Verdana" w:hAnsi="Verdana" w:cs="Arial"/>
          <w:sz w:val="18"/>
          <w:szCs w:val="18"/>
          <w:lang w:val="el-GR"/>
        </w:rPr>
        <w:t>3</w:t>
      </w:r>
      <w:r w:rsidR="00A92EEC" w:rsidRP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οι άλλες μεταβιβάσεις κεφαλαίου </w:t>
      </w:r>
      <w:r w:rsidR="00A92EEC">
        <w:rPr>
          <w:rFonts w:ascii="Verdana" w:hAnsi="Verdana" w:cs="Arial"/>
          <w:sz w:val="18"/>
          <w:szCs w:val="18"/>
          <w:lang w:val="el-GR"/>
        </w:rPr>
        <w:t>αυξή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θηκαν κατά €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1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</w:t>
      </w:r>
      <w:r w:rsidR="00A92EEC">
        <w:rPr>
          <w:rFonts w:ascii="Verdana" w:hAnsi="Verdana" w:cs="Arial"/>
          <w:sz w:val="18"/>
          <w:szCs w:val="18"/>
          <w:lang w:val="el-GR"/>
        </w:rPr>
        <w:t xml:space="preserve"> </w:t>
      </w:r>
      <w:r w:rsidR="00B06B22">
        <w:rPr>
          <w:rFonts w:ascii="Verdana" w:hAnsi="Verdana" w:cs="Arial"/>
          <w:sz w:val="18"/>
          <w:szCs w:val="18"/>
          <w:lang w:val="el-GR"/>
        </w:rPr>
        <w:t>(+</w:t>
      </w:r>
      <w:r w:rsidR="00DF632F">
        <w:rPr>
          <w:rFonts w:ascii="Verdana" w:hAnsi="Verdana" w:cs="Arial"/>
          <w:sz w:val="18"/>
          <w:szCs w:val="18"/>
          <w:lang w:val="el-GR"/>
        </w:rPr>
        <w:t>7</w:t>
      </w:r>
      <w:r w:rsidR="00B06B22"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7</w:t>
      </w:r>
      <w:r w:rsidR="00B06B22">
        <w:rPr>
          <w:rFonts w:ascii="Verdana" w:hAnsi="Verdana" w:cs="Arial"/>
          <w:sz w:val="18"/>
          <w:szCs w:val="18"/>
          <w:lang w:val="el-GR"/>
        </w:rPr>
        <w:t xml:space="preserve">%) 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και </w:t>
      </w:r>
      <w:r w:rsidR="00A92EEC">
        <w:rPr>
          <w:rFonts w:ascii="Verdana" w:hAnsi="Verdana" w:cs="Arial"/>
          <w:sz w:val="18"/>
          <w:szCs w:val="18"/>
          <w:lang w:val="el-GR"/>
        </w:rPr>
        <w:t>ανήλθαν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στα €</w:t>
      </w:r>
      <w:r w:rsidR="00DF632F">
        <w:rPr>
          <w:rFonts w:ascii="Verdana" w:hAnsi="Verdana" w:cs="Arial"/>
          <w:sz w:val="18"/>
          <w:szCs w:val="18"/>
          <w:lang w:val="el-GR"/>
        </w:rPr>
        <w:t>43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1B2433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σε σύγκριση με €</w:t>
      </w:r>
      <w:r w:rsidR="00DF632F">
        <w:rPr>
          <w:rFonts w:ascii="Verdana" w:hAnsi="Verdana" w:cs="Arial"/>
          <w:sz w:val="18"/>
          <w:szCs w:val="18"/>
          <w:lang w:val="el-GR"/>
        </w:rPr>
        <w:t>40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,</w:t>
      </w:r>
      <w:r w:rsidR="00DF632F">
        <w:rPr>
          <w:rFonts w:ascii="Verdana" w:hAnsi="Verdana" w:cs="Arial"/>
          <w:sz w:val="18"/>
          <w:szCs w:val="18"/>
          <w:lang w:val="el-GR"/>
        </w:rPr>
        <w:t>2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 xml:space="preserve"> εκ. το 202</w:t>
      </w:r>
      <w:r w:rsidR="00A92EEC">
        <w:rPr>
          <w:rFonts w:ascii="Verdana" w:hAnsi="Verdana" w:cs="Arial"/>
          <w:sz w:val="18"/>
          <w:szCs w:val="18"/>
          <w:lang w:val="el-GR"/>
        </w:rPr>
        <w:t>3</w:t>
      </w:r>
      <w:r w:rsidR="00A92EEC" w:rsidRPr="00D25E9C">
        <w:rPr>
          <w:rFonts w:ascii="Verdana" w:hAnsi="Verdana" w:cs="Arial"/>
          <w:sz w:val="18"/>
          <w:szCs w:val="18"/>
          <w:lang w:val="el-GR"/>
        </w:rPr>
        <w:t>.</w:t>
      </w:r>
      <w:r w:rsidR="00A92EEC" w:rsidRPr="00DD16F7">
        <w:rPr>
          <w:rFonts w:ascii="Verdana" w:hAnsi="Verdana" w:cs="Arial"/>
          <w:sz w:val="18"/>
          <w:szCs w:val="18"/>
          <w:lang w:val="el-GR"/>
        </w:rPr>
        <w:t xml:space="preserve"> </w:t>
      </w:r>
    </w:p>
    <w:p w14:paraId="1BB13056" w14:textId="0DB59DBF" w:rsidR="004C07A0" w:rsidRDefault="004C07A0" w:rsidP="00A92EEC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492F5AB" w14:textId="0FA4D681" w:rsidR="00981CAA" w:rsidRDefault="00DF632F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DF632F">
        <w:rPr>
          <w:rFonts w:ascii="Verdana" w:hAnsi="Verdana" w:cs="Arial"/>
          <w:sz w:val="18"/>
          <w:szCs w:val="18"/>
          <w:lang w:val="el-GR"/>
        </w:rPr>
        <w:t>Αντιθέτως, οι επιδοτήσεις μειώθηκαν κατά €14,2 εκ. (-19,9%) και περιορίστηκαν στα €57,3 εκ. σε σύγκριση με €71,5 εκ. το 2023.</w:t>
      </w:r>
    </w:p>
    <w:p w14:paraId="14E7444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7329F7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1BC1D7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FE81E63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E2882A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8EA90B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AF7F98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62C13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3FD60B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A745BBE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CF06D41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9C194C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5836BC5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DCA6BD0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96DF28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FBDE24" w14:textId="77777777" w:rsidR="00981CAA" w:rsidRDefault="00981CAA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85F865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6973B6A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2CF53F6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6D4C0FD" w14:textId="77777777" w:rsidR="000F2B47" w:rsidRDefault="000F2B47" w:rsidP="00DD16F7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FC5B5D" w14:textId="37BC4550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tbl>
      <w:tblPr>
        <w:tblStyle w:val="TableGrid"/>
        <w:tblW w:w="101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3"/>
        <w:gridCol w:w="1328"/>
        <w:gridCol w:w="1386"/>
        <w:gridCol w:w="240"/>
        <w:gridCol w:w="1329"/>
        <w:gridCol w:w="240"/>
        <w:gridCol w:w="1384"/>
      </w:tblGrid>
      <w:tr w:rsidR="00882A5A" w:rsidRPr="00376296" w14:paraId="2FA9F8F6" w14:textId="77777777" w:rsidTr="00B26CAE">
        <w:trPr>
          <w:trHeight w:val="28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199CF110" w14:textId="77777777" w:rsidR="00882A5A" w:rsidRPr="00376296" w:rsidRDefault="00882A5A" w:rsidP="00700B69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lastRenderedPageBreak/>
              <w:t>Πίνακας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</w:tcPr>
          <w:p w14:paraId="34D8AA8F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</w:tcPr>
          <w:p w14:paraId="77140F2E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3BB96266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bottom w:val="single" w:sz="4" w:space="0" w:color="2F5496" w:themeColor="accent1" w:themeShade="BF"/>
            </w:tcBorders>
          </w:tcPr>
          <w:p w14:paraId="579752BE" w14:textId="54898B7F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</w:tcPr>
          <w:p w14:paraId="634E26C0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</w:tcPr>
          <w:p w14:paraId="48318AE3" w14:textId="77777777" w:rsidR="00882A5A" w:rsidRPr="00376296" w:rsidRDefault="00882A5A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B26CAE" w:rsidRPr="00376296" w14:paraId="21D5E863" w14:textId="77777777" w:rsidTr="00B26CAE">
        <w:trPr>
          <w:trHeight w:val="340"/>
          <w:jc w:val="center"/>
        </w:trPr>
        <w:tc>
          <w:tcPr>
            <w:tcW w:w="4263" w:type="dxa"/>
            <w:vMerge w:val="restart"/>
            <w:tcBorders>
              <w:top w:val="single" w:sz="4" w:space="0" w:color="2F5496" w:themeColor="accent1" w:themeShade="BF"/>
            </w:tcBorders>
            <w:vAlign w:val="center"/>
          </w:tcPr>
          <w:p w14:paraId="26C0CEAF" w14:textId="77777777" w:rsidR="00B26CAE" w:rsidRPr="00376296" w:rsidRDefault="00B26CAE" w:rsidP="00B97206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Μακροοικονομικά Μεγέθη Γενικής Κυβέρνησης</w:t>
            </w:r>
          </w:p>
        </w:tc>
        <w:tc>
          <w:tcPr>
            <w:tcW w:w="4283" w:type="dxa"/>
            <w:gridSpan w:val="4"/>
            <w:tcBorders>
              <w:top w:val="single" w:sz="4" w:space="0" w:color="2F5496" w:themeColor="accent1" w:themeShade="BF"/>
            </w:tcBorders>
            <w:vAlign w:val="center"/>
          </w:tcPr>
          <w:p w14:paraId="4DC5D6D5" w14:textId="5200C609" w:rsidR="00B26CAE" w:rsidRPr="007A174A" w:rsidRDefault="00B26CAE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7A174A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Ευρώ (εκατομμύρια)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</w:tcPr>
          <w:p w14:paraId="39CF7941" w14:textId="77777777" w:rsidR="00B26CAE" w:rsidRPr="00376296" w:rsidRDefault="00B26CAE" w:rsidP="000E4CB0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</w:tcBorders>
            <w:vAlign w:val="center"/>
          </w:tcPr>
          <w:p w14:paraId="676B7E37" w14:textId="77777777" w:rsidR="00B26CAE" w:rsidRPr="00376296" w:rsidRDefault="00B26CAE" w:rsidP="007A174A">
            <w:pPr>
              <w:jc w:val="center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Μεταβολή</w:t>
            </w:r>
          </w:p>
        </w:tc>
      </w:tr>
      <w:tr w:rsidR="00882A5A" w:rsidRPr="00376296" w14:paraId="02916BCB" w14:textId="77777777" w:rsidTr="00B26CAE">
        <w:trPr>
          <w:trHeight w:val="510"/>
          <w:jc w:val="center"/>
        </w:trPr>
        <w:tc>
          <w:tcPr>
            <w:tcW w:w="4263" w:type="dxa"/>
            <w:vMerge/>
          </w:tcPr>
          <w:p w14:paraId="2640E0B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1FA1358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μικά</w:t>
            </w:r>
          </w:p>
          <w:p w14:paraId="11C4CD4B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Αποτελέσμ</w:t>
            </w: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ατα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</w:tcPr>
          <w:p w14:paraId="02E10CD1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4604842C" w14:textId="39476456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Διαφορά</w:t>
            </w:r>
          </w:p>
        </w:tc>
        <w:tc>
          <w:tcPr>
            <w:tcW w:w="240" w:type="dxa"/>
          </w:tcPr>
          <w:p w14:paraId="364F623A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bottom w:val="single" w:sz="4" w:space="0" w:color="2F5496" w:themeColor="accent1" w:themeShade="BF"/>
            </w:tcBorders>
            <w:vAlign w:val="center"/>
          </w:tcPr>
          <w:p w14:paraId="1E782789" w14:textId="77777777" w:rsidR="00882A5A" w:rsidRPr="00376296" w:rsidRDefault="00882A5A" w:rsidP="007A174A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(%)</w:t>
            </w:r>
          </w:p>
        </w:tc>
      </w:tr>
      <w:tr w:rsidR="00882A5A" w:rsidRPr="00376296" w14:paraId="4A582409" w14:textId="77777777" w:rsidTr="00B26CAE">
        <w:trPr>
          <w:trHeight w:val="624"/>
          <w:jc w:val="center"/>
        </w:trPr>
        <w:tc>
          <w:tcPr>
            <w:tcW w:w="4263" w:type="dxa"/>
            <w:vMerge/>
            <w:tcBorders>
              <w:bottom w:val="single" w:sz="4" w:space="0" w:color="2F5496" w:themeColor="accent1" w:themeShade="BF"/>
            </w:tcBorders>
          </w:tcPr>
          <w:p w14:paraId="1FE106FE" w14:textId="77777777" w:rsidR="00882A5A" w:rsidRPr="00376296" w:rsidRDefault="00882A5A" w:rsidP="00886F08">
            <w:pPr>
              <w:jc w:val="both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16D5F341" w14:textId="3DD69EDB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Ιαν-Μάιος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28E1B8D7" w14:textId="747FF4AE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Ιαν-Μάιος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</w:tcPr>
          <w:p w14:paraId="5F975BE4" w14:textId="77777777" w:rsidR="00882A5A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</w:tcBorders>
            <w:vAlign w:val="center"/>
          </w:tcPr>
          <w:p w14:paraId="767CDABB" w14:textId="3381C668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Ιαν-Μάιος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EE034D7" w14:textId="77777777" w:rsidR="00882A5A" w:rsidRPr="00376296" w:rsidRDefault="00882A5A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6A57EE26" w14:textId="1CCB93F7" w:rsidR="00882A5A" w:rsidRPr="00376296" w:rsidRDefault="0084639F" w:rsidP="00A56668">
            <w:pPr>
              <w:jc w:val="center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84639F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 xml:space="preserve">Ιαν-Μάιος 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202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</w:t>
            </w:r>
            <w:r w:rsidR="00882A5A"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/2</w:t>
            </w:r>
            <w:r w:rsidR="00B0177B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3</w:t>
            </w:r>
          </w:p>
        </w:tc>
      </w:tr>
      <w:tr w:rsidR="0084639F" w:rsidRPr="00376296" w14:paraId="704546A5" w14:textId="77777777" w:rsidTr="0084639F">
        <w:trPr>
          <w:trHeight w:val="397"/>
          <w:jc w:val="center"/>
        </w:trPr>
        <w:tc>
          <w:tcPr>
            <w:tcW w:w="4263" w:type="dxa"/>
            <w:tcBorders>
              <w:top w:val="single" w:sz="4" w:space="0" w:color="2F5496" w:themeColor="accent1" w:themeShade="BF"/>
            </w:tcBorders>
            <w:vAlign w:val="center"/>
          </w:tcPr>
          <w:p w14:paraId="326B4D41" w14:textId="77777777" w:rsidR="0084639F" w:rsidRPr="00376296" w:rsidRDefault="0084639F" w:rsidP="0084639F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Εσόδων</w:t>
            </w:r>
          </w:p>
        </w:tc>
        <w:tc>
          <w:tcPr>
            <w:tcW w:w="1328" w:type="dxa"/>
            <w:tcBorders>
              <w:top w:val="single" w:sz="4" w:space="0" w:color="2F5496" w:themeColor="accent1" w:themeShade="BF"/>
            </w:tcBorders>
            <w:shd w:val="clear" w:color="000000" w:fill="FFFFFF"/>
            <w:tcMar>
              <w:right w:w="284" w:type="dxa"/>
            </w:tcMar>
            <w:vAlign w:val="center"/>
          </w:tcPr>
          <w:p w14:paraId="597F843D" w14:textId="103112A6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4.693,7</w:t>
            </w:r>
          </w:p>
        </w:tc>
        <w:tc>
          <w:tcPr>
            <w:tcW w:w="1386" w:type="dxa"/>
            <w:tcBorders>
              <w:top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0C00F8E5" w14:textId="761629A4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5.394,5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  <w:right w:val="nil"/>
            </w:tcBorders>
            <w:vAlign w:val="center"/>
          </w:tcPr>
          <w:p w14:paraId="2B39665C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2F5496" w:themeColor="accent1" w:themeShade="BF"/>
              <w:left w:val="nil"/>
            </w:tcBorders>
            <w:tcMar>
              <w:right w:w="340" w:type="dxa"/>
            </w:tcMar>
            <w:vAlign w:val="center"/>
          </w:tcPr>
          <w:p w14:paraId="1C592FC7" w14:textId="0F23B009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700,8</w:t>
            </w:r>
          </w:p>
        </w:tc>
        <w:tc>
          <w:tcPr>
            <w:tcW w:w="240" w:type="dxa"/>
            <w:tcBorders>
              <w:top w:val="single" w:sz="4" w:space="0" w:color="2F5496" w:themeColor="accent1" w:themeShade="BF"/>
            </w:tcBorders>
            <w:vAlign w:val="center"/>
          </w:tcPr>
          <w:p w14:paraId="248A9CD1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top w:val="single" w:sz="4" w:space="0" w:color="2F5496" w:themeColor="accent1" w:themeShade="BF"/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4AEC840" w14:textId="5270B081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14,9%</w:t>
            </w:r>
          </w:p>
        </w:tc>
      </w:tr>
      <w:tr w:rsidR="0084639F" w:rsidRPr="00376296" w14:paraId="258F09AD" w14:textId="77777777" w:rsidTr="0084639F">
        <w:trPr>
          <w:trHeight w:val="510"/>
          <w:jc w:val="center"/>
        </w:trPr>
        <w:tc>
          <w:tcPr>
            <w:tcW w:w="4263" w:type="dxa"/>
            <w:vAlign w:val="center"/>
          </w:tcPr>
          <w:p w14:paraId="2CB40A79" w14:textId="77777777" w:rsidR="0084639F" w:rsidRPr="00376296" w:rsidRDefault="0084639F" w:rsidP="008463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Φόροι επί της Παραγωγής και των Εισαγωγών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2029868" w14:textId="6BADA53B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1.751,6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89D7619" w14:textId="378D7420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1.899,1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D1F6505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BC845EC" w14:textId="1359C208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147,5</w:t>
            </w:r>
          </w:p>
        </w:tc>
        <w:tc>
          <w:tcPr>
            <w:tcW w:w="240" w:type="dxa"/>
            <w:vAlign w:val="center"/>
          </w:tcPr>
          <w:p w14:paraId="6D2F21FC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437A3AD" w14:textId="790571D6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8,4%</w:t>
            </w:r>
          </w:p>
        </w:tc>
      </w:tr>
      <w:tr w:rsidR="0084639F" w:rsidRPr="00376296" w14:paraId="07613810" w14:textId="77777777" w:rsidTr="0084639F">
        <w:trPr>
          <w:trHeight w:val="284"/>
          <w:jc w:val="center"/>
        </w:trPr>
        <w:tc>
          <w:tcPr>
            <w:tcW w:w="4263" w:type="dxa"/>
            <w:vAlign w:val="center"/>
          </w:tcPr>
          <w:p w14:paraId="7B7305EA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εκ των οποίων Φ.Π.Α.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6B6DA92" w14:textId="050136C3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1.191,1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FEBD08E" w14:textId="246F71CC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1.297,1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0CABD4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04ACB64D" w14:textId="3615DDB6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106,0</w:t>
            </w:r>
          </w:p>
        </w:tc>
        <w:tc>
          <w:tcPr>
            <w:tcW w:w="240" w:type="dxa"/>
            <w:vAlign w:val="center"/>
          </w:tcPr>
          <w:p w14:paraId="70DA4BDC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19D375A" w14:textId="01AC93FA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8,9%</w:t>
            </w:r>
          </w:p>
        </w:tc>
      </w:tr>
      <w:tr w:rsidR="0084639F" w:rsidRPr="00376296" w14:paraId="6E6AC45A" w14:textId="77777777" w:rsidTr="0084639F">
        <w:trPr>
          <w:trHeight w:val="567"/>
          <w:jc w:val="center"/>
        </w:trPr>
        <w:tc>
          <w:tcPr>
            <w:tcW w:w="4263" w:type="dxa"/>
            <w:vAlign w:val="center"/>
          </w:tcPr>
          <w:p w14:paraId="37B0726A" w14:textId="77777777" w:rsidR="0084639F" w:rsidRPr="00376296" w:rsidRDefault="0084639F" w:rsidP="008463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Τρέχοντες Φόροι στο Εισόδημα και τον Πλούτο κλπ.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07221F1F" w14:textId="4F21979D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1.054,6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3109285" w14:textId="19AF5784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1.235,9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1F95FF72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DD1E33D" w14:textId="6887B525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181,3</w:t>
            </w:r>
          </w:p>
        </w:tc>
        <w:tc>
          <w:tcPr>
            <w:tcW w:w="240" w:type="dxa"/>
            <w:vAlign w:val="center"/>
          </w:tcPr>
          <w:p w14:paraId="28077CB8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2486580" w14:textId="56AD6A19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17,2%</w:t>
            </w:r>
          </w:p>
        </w:tc>
      </w:tr>
      <w:tr w:rsidR="0084639F" w:rsidRPr="00376296" w14:paraId="54CF88E3" w14:textId="77777777" w:rsidTr="0084639F">
        <w:trPr>
          <w:trHeight w:val="340"/>
          <w:jc w:val="center"/>
        </w:trPr>
        <w:tc>
          <w:tcPr>
            <w:tcW w:w="4263" w:type="dxa"/>
            <w:vAlign w:val="center"/>
          </w:tcPr>
          <w:p w14:paraId="10FB9D45" w14:textId="77777777" w:rsidR="0084639F" w:rsidRPr="00376296" w:rsidRDefault="0084639F" w:rsidP="008463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Κοινωνικές Εισφορές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1FCD1B30" w14:textId="76E6F65E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1.445,8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A98BFFB" w14:textId="521D4896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1.685,2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EC0F895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109B4DB" w14:textId="7B905734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239,4</w:t>
            </w:r>
          </w:p>
        </w:tc>
        <w:tc>
          <w:tcPr>
            <w:tcW w:w="240" w:type="dxa"/>
            <w:vAlign w:val="center"/>
          </w:tcPr>
          <w:p w14:paraId="1C6C2A00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C93FFF6" w14:textId="1511804D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16,6%</w:t>
            </w:r>
          </w:p>
        </w:tc>
      </w:tr>
      <w:tr w:rsidR="0084639F" w:rsidRPr="00376296" w14:paraId="04984229" w14:textId="77777777" w:rsidTr="0084639F">
        <w:trPr>
          <w:trHeight w:val="340"/>
          <w:jc w:val="center"/>
        </w:trPr>
        <w:tc>
          <w:tcPr>
            <w:tcW w:w="4263" w:type="dxa"/>
            <w:vAlign w:val="center"/>
          </w:tcPr>
          <w:p w14:paraId="38C34482" w14:textId="77777777" w:rsidR="0084639F" w:rsidRPr="00376296" w:rsidRDefault="0084639F" w:rsidP="008463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Λοιπά Τρέχοντα Έσοδα</w:t>
            </w:r>
          </w:p>
        </w:tc>
        <w:tc>
          <w:tcPr>
            <w:tcW w:w="1328" w:type="dxa"/>
            <w:shd w:val="clear" w:color="000000" w:fill="FFFFFF"/>
            <w:tcMar>
              <w:right w:w="284" w:type="dxa"/>
            </w:tcMar>
            <w:vAlign w:val="center"/>
          </w:tcPr>
          <w:p w14:paraId="3627F31D" w14:textId="622A7271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426,0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35A668BE" w14:textId="03DA6293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550,7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42B0DCC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C0D0642" w14:textId="028C5849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124,7</w:t>
            </w:r>
          </w:p>
        </w:tc>
        <w:tc>
          <w:tcPr>
            <w:tcW w:w="240" w:type="dxa"/>
            <w:vAlign w:val="center"/>
          </w:tcPr>
          <w:p w14:paraId="2AB5E586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F330D77" w14:textId="0506561F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29,3%</w:t>
            </w:r>
          </w:p>
        </w:tc>
      </w:tr>
      <w:tr w:rsidR="0084639F" w:rsidRPr="00376296" w14:paraId="572B1A32" w14:textId="77777777" w:rsidTr="0084639F">
        <w:trPr>
          <w:trHeight w:val="284"/>
          <w:jc w:val="center"/>
        </w:trPr>
        <w:tc>
          <w:tcPr>
            <w:tcW w:w="4263" w:type="dxa"/>
            <w:vAlign w:val="center"/>
          </w:tcPr>
          <w:p w14:paraId="602ECDA6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B26CAE">
              <w:rPr>
                <w:rFonts w:ascii="Verdana" w:hAnsi="Verdana" w:cs="Arial"/>
                <w:color w:val="2F5496"/>
                <w:sz w:val="18"/>
                <w:szCs w:val="18"/>
                <w:lang w:val="el-GR"/>
              </w:rPr>
              <w:t>Τόκοι εισπρακτέοι και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 xml:space="preserve"> μερίσματα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E944054" w14:textId="59283B3F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42,6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874CD5B" w14:textId="7B33A4AF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49,0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121ED7D3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3F6D2D5" w14:textId="37D431F4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6,4</w:t>
            </w:r>
          </w:p>
        </w:tc>
        <w:tc>
          <w:tcPr>
            <w:tcW w:w="240" w:type="dxa"/>
            <w:vAlign w:val="center"/>
          </w:tcPr>
          <w:p w14:paraId="3F0306C0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226D7A0" w14:textId="4DC1198A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15,0%</w:t>
            </w:r>
          </w:p>
        </w:tc>
      </w:tr>
      <w:tr w:rsidR="0084639F" w:rsidRPr="00376296" w14:paraId="7908C14C" w14:textId="77777777" w:rsidTr="0084639F">
        <w:trPr>
          <w:trHeight w:val="284"/>
          <w:jc w:val="center"/>
        </w:trPr>
        <w:tc>
          <w:tcPr>
            <w:tcW w:w="4263" w:type="dxa"/>
            <w:vAlign w:val="center"/>
          </w:tcPr>
          <w:p w14:paraId="2B98E0C8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Τρέχουσες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22F432B9" w14:textId="7E149BB1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112,5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0D4AA36D" w14:textId="04630751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134,9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7865C458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36C3344" w14:textId="5CF56E1B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22,4</w:t>
            </w:r>
          </w:p>
        </w:tc>
        <w:tc>
          <w:tcPr>
            <w:tcW w:w="240" w:type="dxa"/>
            <w:vAlign w:val="center"/>
          </w:tcPr>
          <w:p w14:paraId="68F760B0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7545277C" w14:textId="31AA2315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19,9%</w:t>
            </w:r>
          </w:p>
        </w:tc>
      </w:tr>
      <w:tr w:rsidR="0084639F" w:rsidRPr="00376296" w14:paraId="3957EA62" w14:textId="77777777" w:rsidTr="0084639F">
        <w:trPr>
          <w:trHeight w:val="284"/>
          <w:jc w:val="center"/>
        </w:trPr>
        <w:tc>
          <w:tcPr>
            <w:tcW w:w="4263" w:type="dxa"/>
            <w:vAlign w:val="center"/>
          </w:tcPr>
          <w:p w14:paraId="5FEC672F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Έσοδα από παροχή υπηρεσιών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B3F698B" w14:textId="2DF71EE4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270,9</w:t>
            </w:r>
          </w:p>
        </w:tc>
        <w:tc>
          <w:tcPr>
            <w:tcW w:w="1386" w:type="dxa"/>
            <w:shd w:val="clear" w:color="000000" w:fill="FFFFFF"/>
            <w:tcMar>
              <w:right w:w="284" w:type="dxa"/>
            </w:tcMar>
            <w:vAlign w:val="center"/>
          </w:tcPr>
          <w:p w14:paraId="1AC0A974" w14:textId="6A99C471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366,8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3B210B71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C318434" w14:textId="366EFB9A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95,9</w:t>
            </w:r>
          </w:p>
        </w:tc>
        <w:tc>
          <w:tcPr>
            <w:tcW w:w="240" w:type="dxa"/>
            <w:vAlign w:val="center"/>
          </w:tcPr>
          <w:p w14:paraId="42A9C084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054B6B16" w14:textId="03B4139F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35,4%</w:t>
            </w:r>
          </w:p>
        </w:tc>
      </w:tr>
      <w:tr w:rsidR="0084639F" w:rsidRPr="00376296" w14:paraId="3E88DC06" w14:textId="77777777" w:rsidTr="0084639F">
        <w:trPr>
          <w:trHeight w:val="454"/>
          <w:jc w:val="center"/>
        </w:trPr>
        <w:tc>
          <w:tcPr>
            <w:tcW w:w="4263" w:type="dxa"/>
            <w:vAlign w:val="center"/>
          </w:tcPr>
          <w:p w14:paraId="7CC77EB3" w14:textId="77777777" w:rsidR="0084639F" w:rsidRPr="00376296" w:rsidRDefault="0084639F" w:rsidP="008463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Κεφαλαιουχικές Μεταβιβάσεις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C5495B6" w14:textId="5D2B1462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15,7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4002430" w14:textId="566459E3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23,6</w:t>
            </w:r>
          </w:p>
        </w:tc>
        <w:tc>
          <w:tcPr>
            <w:tcW w:w="240" w:type="dxa"/>
            <w:tcBorders>
              <w:right w:val="nil"/>
            </w:tcBorders>
            <w:shd w:val="clear" w:color="000000" w:fill="FFFFFF"/>
            <w:vAlign w:val="center"/>
          </w:tcPr>
          <w:p w14:paraId="6537A4BA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478FA57" w14:textId="3D84C071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7,9</w:t>
            </w:r>
          </w:p>
        </w:tc>
        <w:tc>
          <w:tcPr>
            <w:tcW w:w="240" w:type="dxa"/>
            <w:vAlign w:val="center"/>
          </w:tcPr>
          <w:p w14:paraId="2028983A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0649A86" w14:textId="67F4CCAE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50,3%</w:t>
            </w:r>
          </w:p>
        </w:tc>
      </w:tr>
      <w:tr w:rsidR="0084639F" w:rsidRPr="00376296" w14:paraId="33BC7419" w14:textId="77777777" w:rsidTr="0084639F">
        <w:trPr>
          <w:trHeight w:val="397"/>
          <w:jc w:val="center"/>
        </w:trPr>
        <w:tc>
          <w:tcPr>
            <w:tcW w:w="4263" w:type="dxa"/>
            <w:vAlign w:val="center"/>
          </w:tcPr>
          <w:p w14:paraId="236DA7C0" w14:textId="77777777" w:rsidR="0084639F" w:rsidRPr="00376296" w:rsidRDefault="0084639F" w:rsidP="0084639F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Σύνολο Δαπανών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0C934DC" w14:textId="6B673595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4.371,1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1FDBA09" w14:textId="40B4B2F7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4.803,9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EA8753A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DD6A423" w14:textId="7043BDA5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432,8</w:t>
            </w:r>
          </w:p>
        </w:tc>
        <w:tc>
          <w:tcPr>
            <w:tcW w:w="240" w:type="dxa"/>
            <w:vAlign w:val="center"/>
          </w:tcPr>
          <w:p w14:paraId="2E63CDC0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5D9130B" w14:textId="4EC3774A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9,9%</w:t>
            </w:r>
          </w:p>
        </w:tc>
      </w:tr>
      <w:tr w:rsidR="0084639F" w:rsidRPr="00376296" w14:paraId="52F73659" w14:textId="77777777" w:rsidTr="0084639F">
        <w:trPr>
          <w:trHeight w:val="340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5FBEBA86" w14:textId="77777777" w:rsidR="0084639F" w:rsidRPr="00376296" w:rsidRDefault="0084639F" w:rsidP="008463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Σύνολο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Τ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ρεχουσών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απανών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33067F8C" w14:textId="43FB8D5F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4.052,5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B57E1AC" w14:textId="67D60C82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4.527,5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251624E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157945B9" w14:textId="380DA2F3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475,0</w:t>
            </w:r>
          </w:p>
        </w:tc>
        <w:tc>
          <w:tcPr>
            <w:tcW w:w="240" w:type="dxa"/>
            <w:vAlign w:val="center"/>
          </w:tcPr>
          <w:p w14:paraId="6874938F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B4DCE7B" w14:textId="6F836D3D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11,7%</w:t>
            </w:r>
          </w:p>
        </w:tc>
      </w:tr>
      <w:tr w:rsidR="0084639F" w:rsidRPr="00376296" w14:paraId="67BAAD50" w14:textId="77777777" w:rsidTr="008463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0ECE339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Ενδιάμεση ανάλωση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AD5FB51" w14:textId="431DC963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433,5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0E1724C6" w14:textId="48627C4A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475,5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8DFB061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28EA8B4F" w14:textId="3E20ADC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42,0</w:t>
            </w:r>
          </w:p>
        </w:tc>
        <w:tc>
          <w:tcPr>
            <w:tcW w:w="240" w:type="dxa"/>
            <w:vAlign w:val="center"/>
          </w:tcPr>
          <w:p w14:paraId="48EF2533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972E4A8" w14:textId="22E57905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9,7%</w:t>
            </w:r>
          </w:p>
        </w:tc>
      </w:tr>
      <w:tr w:rsidR="0084639F" w:rsidRPr="00376296" w14:paraId="71016919" w14:textId="77777777" w:rsidTr="008463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7F97BD4F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Απολαβές προσωπικού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B468B70" w14:textId="34F6ABCA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1.338,3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C603EBF" w14:textId="112BC1EE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1.523,5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05482CD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354175A" w14:textId="47AF4FB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185,2</w:t>
            </w:r>
          </w:p>
        </w:tc>
        <w:tc>
          <w:tcPr>
            <w:tcW w:w="240" w:type="dxa"/>
            <w:vAlign w:val="center"/>
          </w:tcPr>
          <w:p w14:paraId="7C10BC19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90CF435" w14:textId="06B5E99A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13,8%</w:t>
            </w:r>
          </w:p>
        </w:tc>
      </w:tr>
      <w:tr w:rsidR="0084639F" w:rsidRPr="00376296" w14:paraId="103D2E58" w14:textId="77777777" w:rsidTr="0084639F">
        <w:trPr>
          <w:trHeight w:val="28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5E29C7BC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Κοινωνικές παροχές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3E0679E" w14:textId="23624F21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1.751,0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2F3D697" w14:textId="74C6740F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1.913,6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45FE29F5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F7C2F8D" w14:textId="1B1944D3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162,6</w:t>
            </w:r>
          </w:p>
        </w:tc>
        <w:tc>
          <w:tcPr>
            <w:tcW w:w="240" w:type="dxa"/>
            <w:vAlign w:val="center"/>
          </w:tcPr>
          <w:p w14:paraId="0A39261E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4D7803F8" w14:textId="2F0F21F4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9,3%</w:t>
            </w:r>
          </w:p>
        </w:tc>
      </w:tr>
      <w:tr w:rsidR="0084639F" w:rsidRPr="00376296" w14:paraId="399F1719" w14:textId="77777777" w:rsidTr="008463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16279301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Τόκοι πληρωτέοι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73F4736" w14:textId="5D6E948E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149,0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19B9EC9" w14:textId="71201F31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192,4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095B9A62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A275963" w14:textId="3A395C74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43,4</w:t>
            </w:r>
          </w:p>
        </w:tc>
        <w:tc>
          <w:tcPr>
            <w:tcW w:w="240" w:type="dxa"/>
            <w:vAlign w:val="center"/>
          </w:tcPr>
          <w:p w14:paraId="029D190A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FD64197" w14:textId="0A5281CE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29,1%</w:t>
            </w:r>
          </w:p>
        </w:tc>
      </w:tr>
      <w:tr w:rsidR="0084639F" w:rsidRPr="00376296" w14:paraId="48B4F4E9" w14:textId="77777777" w:rsidTr="008463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2745F160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Επιδοτήσεις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149BACE" w14:textId="74C3FE25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71,5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4903CE3" w14:textId="1C74B6F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57,3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64CB6C81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C7CB850" w14:textId="22478380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-14,2</w:t>
            </w:r>
          </w:p>
        </w:tc>
        <w:tc>
          <w:tcPr>
            <w:tcW w:w="240" w:type="dxa"/>
            <w:vAlign w:val="center"/>
          </w:tcPr>
          <w:p w14:paraId="07B7CBD4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311333BF" w14:textId="35D95382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-19,9%</w:t>
            </w:r>
          </w:p>
        </w:tc>
      </w:tr>
      <w:tr w:rsidR="0084639F" w:rsidRPr="00376296" w14:paraId="4C9EF8A5" w14:textId="77777777" w:rsidTr="0084639F">
        <w:trPr>
          <w:trHeight w:val="28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61247645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Λοιπές τρέχουσες δαπάνες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4EDA16EC" w14:textId="0FD627C4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309,2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1FAE3E1E" w14:textId="28D6695C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365,2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25DDAD82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7A91CB54" w14:textId="275CBA3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56,0</w:t>
            </w:r>
          </w:p>
        </w:tc>
        <w:tc>
          <w:tcPr>
            <w:tcW w:w="240" w:type="dxa"/>
            <w:vAlign w:val="center"/>
          </w:tcPr>
          <w:p w14:paraId="46324BD4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1293D6AA" w14:textId="6A525E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18,1%</w:t>
            </w:r>
          </w:p>
        </w:tc>
      </w:tr>
      <w:tr w:rsidR="0084639F" w:rsidRPr="00376296" w14:paraId="4013BA58" w14:textId="77777777" w:rsidTr="0084639F">
        <w:trPr>
          <w:trHeight w:val="454"/>
          <w:jc w:val="center"/>
        </w:trPr>
        <w:tc>
          <w:tcPr>
            <w:tcW w:w="4263" w:type="dxa"/>
            <w:shd w:val="clear" w:color="000000" w:fill="FFFFFF"/>
            <w:vAlign w:val="center"/>
          </w:tcPr>
          <w:p w14:paraId="09B5B753" w14:textId="77777777" w:rsidR="0084639F" w:rsidRPr="00376296" w:rsidRDefault="0084639F" w:rsidP="0084639F">
            <w:pPr>
              <w:ind w:left="17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 xml:space="preserve">Κεφαλαιουχικές 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Δ</w:t>
            </w: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απάνες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B46956A" w14:textId="5C9A9BE8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318,6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7DDEC810" w14:textId="17F3A51F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276,4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37F02255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6AE15BB" w14:textId="31B9A481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-42,2</w:t>
            </w:r>
          </w:p>
        </w:tc>
        <w:tc>
          <w:tcPr>
            <w:tcW w:w="240" w:type="dxa"/>
            <w:vAlign w:val="center"/>
          </w:tcPr>
          <w:p w14:paraId="3F8493F4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5C2CDC7E" w14:textId="725A4184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-13,2%</w:t>
            </w:r>
          </w:p>
        </w:tc>
      </w:tr>
      <w:tr w:rsidR="0084639F" w:rsidRPr="00376296" w14:paraId="73ADDF77" w14:textId="77777777" w:rsidTr="0084639F">
        <w:trPr>
          <w:trHeight w:val="510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4FE0A360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77E878CE" w14:textId="0BF7EC30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278,4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2C6F7C5C" w14:textId="50724900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233,1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2795339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C02A346" w14:textId="2E68E8C2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-45,3</w:t>
            </w:r>
          </w:p>
        </w:tc>
        <w:tc>
          <w:tcPr>
            <w:tcW w:w="240" w:type="dxa"/>
            <w:vAlign w:val="center"/>
          </w:tcPr>
          <w:p w14:paraId="1C3E83B5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254F70FA" w14:textId="39BFACBB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-16,3%</w:t>
            </w:r>
          </w:p>
        </w:tc>
      </w:tr>
      <w:tr w:rsidR="0084639F" w:rsidRPr="00376296" w14:paraId="59D13F9C" w14:textId="77777777" w:rsidTr="0084639F">
        <w:trPr>
          <w:trHeight w:val="454"/>
          <w:jc w:val="center"/>
        </w:trPr>
        <w:tc>
          <w:tcPr>
            <w:tcW w:w="4263" w:type="dxa"/>
            <w:shd w:val="clear" w:color="auto" w:fill="auto"/>
            <w:vAlign w:val="center"/>
          </w:tcPr>
          <w:p w14:paraId="7062BE5B" w14:textId="77777777" w:rsidR="0084639F" w:rsidRPr="0047741C" w:rsidRDefault="0084639F" w:rsidP="0084639F">
            <w:pPr>
              <w:ind w:left="454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  <w:r w:rsidRPr="0047741C"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  <w:t>Ακαθάριστες επενδύσεις παγίου κεφαλαίου εξαιρ. απαλλοτριώσεων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172D9914" w14:textId="676B2B15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274,9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4B565D05" w14:textId="5871A6FB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223,8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EC9D138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4B3B70F7" w14:textId="2BEB312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-51,1</w:t>
            </w:r>
          </w:p>
        </w:tc>
        <w:tc>
          <w:tcPr>
            <w:tcW w:w="240" w:type="dxa"/>
            <w:vAlign w:val="center"/>
          </w:tcPr>
          <w:p w14:paraId="4269A001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tcMar>
              <w:right w:w="340" w:type="dxa"/>
            </w:tcMar>
            <w:vAlign w:val="center"/>
          </w:tcPr>
          <w:p w14:paraId="692C0BE5" w14:textId="391B9B25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-18,6%</w:t>
            </w:r>
          </w:p>
        </w:tc>
      </w:tr>
      <w:tr w:rsidR="0084639F" w:rsidRPr="00376296" w14:paraId="01B3A1EC" w14:textId="77777777" w:rsidTr="0084639F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4B822155" w14:textId="77777777" w:rsidR="0084639F" w:rsidRPr="00376296" w:rsidRDefault="0084639F" w:rsidP="0084639F">
            <w:pPr>
              <w:ind w:left="340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  <w:t>Λοιπές μεταβιβάσεις κεφαλαίου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5A4595AA" w14:textId="3C40D2FE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40,2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3A8B8827" w14:textId="30C45B9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43,3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7DD8C69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tcMar>
              <w:right w:w="340" w:type="dxa"/>
            </w:tcMar>
            <w:vAlign w:val="center"/>
          </w:tcPr>
          <w:p w14:paraId="15F32181" w14:textId="64EC43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3,1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2B590378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tcMar>
              <w:right w:w="340" w:type="dxa"/>
            </w:tcMar>
            <w:vAlign w:val="center"/>
          </w:tcPr>
          <w:p w14:paraId="10E6CF83" w14:textId="05EC01D8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7,7%</w:t>
            </w:r>
          </w:p>
        </w:tc>
      </w:tr>
      <w:tr w:rsidR="0084639F" w:rsidRPr="00376296" w14:paraId="7F7E9BA4" w14:textId="77777777" w:rsidTr="0084639F">
        <w:trPr>
          <w:trHeight w:val="624"/>
          <w:jc w:val="center"/>
        </w:trPr>
        <w:tc>
          <w:tcPr>
            <w:tcW w:w="4263" w:type="dxa"/>
            <w:vAlign w:val="center"/>
          </w:tcPr>
          <w:p w14:paraId="6357793A" w14:textId="77777777" w:rsidR="0084639F" w:rsidRPr="00376296" w:rsidRDefault="0084639F" w:rsidP="0084639F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Δημοσιονομικό Πλεόνασμα (+)</w:t>
            </w:r>
          </w:p>
          <w:p w14:paraId="2DD2A381" w14:textId="77777777" w:rsidR="0084639F" w:rsidRPr="00376296" w:rsidRDefault="0084639F" w:rsidP="0084639F">
            <w:pPr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/Έλλειμμα (-)</w:t>
            </w:r>
          </w:p>
        </w:tc>
        <w:tc>
          <w:tcPr>
            <w:tcW w:w="1328" w:type="dxa"/>
            <w:tcMar>
              <w:right w:w="284" w:type="dxa"/>
            </w:tcMar>
            <w:vAlign w:val="center"/>
          </w:tcPr>
          <w:p w14:paraId="04D758E5" w14:textId="60EDC8B8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322,7</w:t>
            </w:r>
          </w:p>
        </w:tc>
        <w:tc>
          <w:tcPr>
            <w:tcW w:w="1386" w:type="dxa"/>
            <w:tcMar>
              <w:right w:w="284" w:type="dxa"/>
            </w:tcMar>
            <w:vAlign w:val="center"/>
          </w:tcPr>
          <w:p w14:paraId="5479F22D" w14:textId="5E006BAF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590,6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 w14:paraId="57DE75CE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</w:tcBorders>
            <w:tcMar>
              <w:right w:w="340" w:type="dxa"/>
            </w:tcMar>
            <w:vAlign w:val="center"/>
          </w:tcPr>
          <w:p w14:paraId="654C8FE6" w14:textId="2F3D0323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b/>
                <w:bCs/>
                <w:color w:val="2F5496" w:themeColor="accent1" w:themeShade="BF"/>
                <w:sz w:val="18"/>
                <w:szCs w:val="18"/>
              </w:rPr>
              <w:t>268,0</w:t>
            </w:r>
          </w:p>
        </w:tc>
        <w:tc>
          <w:tcPr>
            <w:tcW w:w="240" w:type="dxa"/>
            <w:vAlign w:val="center"/>
          </w:tcPr>
          <w:p w14:paraId="45394571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</w:tcBorders>
            <w:shd w:val="clear" w:color="000000" w:fill="FFFFFF"/>
            <w:vAlign w:val="center"/>
          </w:tcPr>
          <w:p w14:paraId="4129E68E" w14:textId="696F12A3" w:rsidR="0084639F" w:rsidRPr="0084639F" w:rsidRDefault="0084639F" w:rsidP="0084639F">
            <w:pPr>
              <w:ind w:right="284"/>
              <w:jc w:val="right"/>
              <w:rPr>
                <w:rFonts w:ascii="Verdana" w:hAnsi="Verdana" w:cs="Arial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  <w:tr w:rsidR="0084639F" w:rsidRPr="00376296" w14:paraId="3B996676" w14:textId="77777777" w:rsidTr="0084639F">
        <w:trPr>
          <w:trHeight w:val="454"/>
          <w:jc w:val="center"/>
        </w:trPr>
        <w:tc>
          <w:tcPr>
            <w:tcW w:w="4263" w:type="dxa"/>
            <w:tcBorders>
              <w:bottom w:val="single" w:sz="4" w:space="0" w:color="2F5496" w:themeColor="accent1" w:themeShade="BF"/>
            </w:tcBorders>
            <w:vAlign w:val="center"/>
          </w:tcPr>
          <w:p w14:paraId="3725DC6A" w14:textId="77777777" w:rsidR="0084639F" w:rsidRPr="00376296" w:rsidRDefault="0084639F" w:rsidP="0084639F">
            <w:pPr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  <w:r w:rsidRPr="00376296"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  <w:t>% επί του ΑΕΠ</w:t>
            </w:r>
          </w:p>
        </w:tc>
        <w:tc>
          <w:tcPr>
            <w:tcW w:w="1328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42858F79" w14:textId="5846AE99" w:rsidR="0084639F" w:rsidRPr="0084639F" w:rsidRDefault="0084639F" w:rsidP="008463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1,1%</w:t>
            </w:r>
          </w:p>
        </w:tc>
        <w:tc>
          <w:tcPr>
            <w:tcW w:w="1386" w:type="dxa"/>
            <w:tcBorders>
              <w:bottom w:val="single" w:sz="4" w:space="0" w:color="2F5496" w:themeColor="accent1" w:themeShade="BF"/>
            </w:tcBorders>
            <w:tcMar>
              <w:right w:w="284" w:type="dxa"/>
            </w:tcMar>
            <w:vAlign w:val="center"/>
          </w:tcPr>
          <w:p w14:paraId="18DDDAF1" w14:textId="3A5EFC8E" w:rsidR="0084639F" w:rsidRPr="0084639F" w:rsidRDefault="0084639F" w:rsidP="008463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  <w:r w:rsidRPr="0084639F">
              <w:rPr>
                <w:rFonts w:ascii="Verdana" w:hAnsi="Verdana"/>
                <w:color w:val="2F5496" w:themeColor="accent1" w:themeShade="BF"/>
                <w:sz w:val="18"/>
                <w:szCs w:val="18"/>
              </w:rPr>
              <w:t>1,9%</w:t>
            </w:r>
          </w:p>
        </w:tc>
        <w:tc>
          <w:tcPr>
            <w:tcW w:w="240" w:type="dxa"/>
            <w:tcBorders>
              <w:bottom w:val="single" w:sz="4" w:space="0" w:color="2F5496" w:themeColor="accent1" w:themeShade="BF"/>
              <w:right w:val="nil"/>
            </w:tcBorders>
            <w:vAlign w:val="center"/>
          </w:tcPr>
          <w:p w14:paraId="7DA28529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1329" w:type="dxa"/>
            <w:tcBorders>
              <w:left w:val="nil"/>
              <w:bottom w:val="single" w:sz="4" w:space="0" w:color="2F5496" w:themeColor="accent1" w:themeShade="BF"/>
            </w:tcBorders>
            <w:vAlign w:val="center"/>
          </w:tcPr>
          <w:p w14:paraId="12251C0E" w14:textId="68826AAF" w:rsidR="0084639F" w:rsidRPr="0084639F" w:rsidRDefault="0084639F" w:rsidP="0084639F">
            <w:pPr>
              <w:jc w:val="right"/>
              <w:rPr>
                <w:rFonts w:ascii="Verdana" w:hAnsi="Verdana" w:cs="Arial"/>
                <w:i/>
                <w:iCs/>
                <w:color w:val="2F5496" w:themeColor="accent1" w:themeShade="BF"/>
                <w:sz w:val="18"/>
                <w:szCs w:val="18"/>
              </w:rPr>
            </w:pPr>
          </w:p>
        </w:tc>
        <w:tc>
          <w:tcPr>
            <w:tcW w:w="240" w:type="dxa"/>
            <w:tcBorders>
              <w:bottom w:val="single" w:sz="4" w:space="0" w:color="2F5496" w:themeColor="accent1" w:themeShade="BF"/>
            </w:tcBorders>
            <w:vAlign w:val="center"/>
          </w:tcPr>
          <w:p w14:paraId="34B20A05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  <w:tc>
          <w:tcPr>
            <w:tcW w:w="1384" w:type="dxa"/>
            <w:tcBorders>
              <w:left w:val="nil"/>
              <w:bottom w:val="single" w:sz="4" w:space="0" w:color="2F5496" w:themeColor="accent1" w:themeShade="BF"/>
            </w:tcBorders>
            <w:shd w:val="clear" w:color="000000" w:fill="FFFFFF"/>
            <w:vAlign w:val="center"/>
          </w:tcPr>
          <w:p w14:paraId="2D373FDA" w14:textId="77777777" w:rsidR="0084639F" w:rsidRPr="0084639F" w:rsidRDefault="0084639F" w:rsidP="0084639F">
            <w:pPr>
              <w:jc w:val="right"/>
              <w:rPr>
                <w:rFonts w:ascii="Verdana" w:hAnsi="Verdana" w:cs="Arial"/>
                <w:color w:val="2F5496" w:themeColor="accent1" w:themeShade="BF"/>
                <w:sz w:val="18"/>
                <w:szCs w:val="18"/>
                <w:lang w:val="el-GR"/>
              </w:rPr>
            </w:pPr>
          </w:p>
        </w:tc>
      </w:tr>
    </w:tbl>
    <w:p w14:paraId="06FC95A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306313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F9BB78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3DC324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182644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24EBDE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D74DC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BCEF055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E6B31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9713466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F40BF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B7CC812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D14283E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5893DC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62D47BF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22648A7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1BDCF1D" w14:textId="61576818" w:rsidR="00882A5A" w:rsidRDefault="00882A5A">
      <w:pPr>
        <w:rPr>
          <w:rFonts w:ascii="Verdana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br w:type="page"/>
      </w:r>
    </w:p>
    <w:p w14:paraId="7C9E73B2" w14:textId="77777777" w:rsidR="00761E3A" w:rsidRPr="00A12E81" w:rsidRDefault="00761E3A" w:rsidP="00761E3A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12E81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65C9731D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C521EAF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Κάλυψη και Μεθοδολογία</w:t>
      </w:r>
    </w:p>
    <w:p w14:paraId="75702924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AE736C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Παρέχεται πληροφόρηση για την ακολουθία λογαριασμών για τον τομέα της Γενικής Κυβέρνησης. Η ανάλυση αφορά τις κυριότερες κατηγορίες εσόδων και δαπανών και γίνεται διαχωρισμός των εσόδων και των εξόδων (δαπανών), σε τρέχοντα και κεφαλαιουχικά, αντίστοιχα.</w:t>
      </w:r>
    </w:p>
    <w:p w14:paraId="432E1F8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B7C5BC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Τα έσοδα και οι δαπάνες για την Γενική Κυβέρνηση καλύπτουν όλους τους υποτομείς της Γενικής Κυβέρνησης με βάση το Ευρωπαϊκό Σύστημα Λογαριασμών 2010 (ΕΣΛ 2010).</w:t>
      </w:r>
    </w:p>
    <w:p w14:paraId="4CD9C40C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942E9A2" w14:textId="77777777" w:rsidR="001D662E" w:rsidRPr="001D662E" w:rsidRDefault="001D662E" w:rsidP="001D662E">
      <w:pPr>
        <w:jc w:val="both"/>
        <w:rPr>
          <w:rFonts w:ascii="Verdana" w:hAnsi="Verdana" w:cs="Arial"/>
          <w:b/>
          <w:bCs/>
          <w:sz w:val="18"/>
          <w:szCs w:val="18"/>
          <w:u w:val="single"/>
          <w:lang w:val="el-GR"/>
        </w:rPr>
      </w:pPr>
      <w:r w:rsidRPr="001D662E">
        <w:rPr>
          <w:rFonts w:ascii="Verdana" w:hAnsi="Verdana" w:cs="Arial"/>
          <w:b/>
          <w:bCs/>
          <w:sz w:val="18"/>
          <w:szCs w:val="18"/>
          <w:u w:val="single"/>
          <w:lang w:val="el-GR"/>
        </w:rPr>
        <w:t>Πηγή Στοιχείων</w:t>
      </w:r>
    </w:p>
    <w:p w14:paraId="7709CD8E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E1FBB65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Η συλλογή των οικονομικών στοιχείων γίνεται από:</w:t>
      </w:r>
    </w:p>
    <w:p w14:paraId="3264E071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Το Ολοκληρωμένο Σύστημα Διοικητικής και Οικονομικής Πληροφόρησης του Γενικού Λογιστηρίου (FIMAS) για την Κεντρική Κυβέρνηση, τα Εκτός Προϋπολογισμού Ταμεία και για τους Οργανισμούς Κοινωνικής Ασφάλισης,</w:t>
      </w:r>
    </w:p>
    <w:p w14:paraId="6303253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Δήμων και Κοινοτήτων,</w:t>
      </w:r>
    </w:p>
    <w:p w14:paraId="0AB7AAD7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- Υλοποίηση προϋπολογισμού των Ημικρατικών Οργανισμών.</w:t>
      </w:r>
    </w:p>
    <w:p w14:paraId="4321B73F" w14:textId="77777777" w:rsidR="001D662E" w:rsidRPr="001D662E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7F7FCE1D" w14:textId="77777777" w:rsidR="00761E3A" w:rsidRDefault="001D662E" w:rsidP="001D662E">
      <w:pPr>
        <w:jc w:val="both"/>
        <w:rPr>
          <w:rFonts w:ascii="Verdana" w:hAnsi="Verdana" w:cs="Arial"/>
          <w:sz w:val="18"/>
          <w:szCs w:val="18"/>
          <w:lang w:val="el-GR"/>
        </w:rPr>
      </w:pPr>
      <w:r w:rsidRPr="001D662E">
        <w:rPr>
          <w:rFonts w:ascii="Verdana" w:hAnsi="Verdana" w:cs="Arial"/>
          <w:sz w:val="18"/>
          <w:szCs w:val="18"/>
          <w:lang w:val="el-GR"/>
        </w:rPr>
        <w:t>Για την ολοκλήρωση των εκτιμήσεων λαμβάνονται υπόψη οποιεσδήποτε μεθοδολογικές προσαρμογές ή διορθώσεις με βάση το  Ευρωπαϊκό Σύστημα Λογαριασμών 2010 (ΕΣΛ 2010).</w:t>
      </w:r>
    </w:p>
    <w:p w14:paraId="651333C1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CB571D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7DC3EAF" w14:textId="77777777" w:rsidR="00761E3A" w:rsidRDefault="00761E3A" w:rsidP="00761E3A">
      <w:pPr>
        <w:jc w:val="both"/>
        <w:rPr>
          <w:rFonts w:ascii="Verdana" w:hAnsi="Verdana"/>
          <w:b/>
          <w:bCs/>
          <w:i/>
          <w:iCs/>
          <w:sz w:val="18"/>
          <w:szCs w:val="18"/>
          <w:lang w:val="el-GR"/>
        </w:rPr>
      </w:pPr>
      <w:r>
        <w:rPr>
          <w:rFonts w:ascii="Verdana" w:hAnsi="Verdana"/>
          <w:b/>
          <w:bCs/>
          <w:i/>
          <w:iCs/>
          <w:sz w:val="18"/>
          <w:szCs w:val="18"/>
          <w:lang w:val="el-GR"/>
        </w:rPr>
        <w:t>Για περισσότερες πληροφορίες:</w:t>
      </w:r>
    </w:p>
    <w:p w14:paraId="675D9EA8" w14:textId="77777777" w:rsidR="00761E3A" w:rsidRDefault="00761E3A" w:rsidP="00761E3A">
      <w:pPr>
        <w:rPr>
          <w:color w:val="000000"/>
          <w:lang w:val="el-GR"/>
        </w:rPr>
      </w:pPr>
      <w:r>
        <w:rPr>
          <w:rFonts w:ascii="Verdana" w:hAnsi="Verdana"/>
          <w:color w:val="000000"/>
          <w:sz w:val="18"/>
          <w:szCs w:val="18"/>
          <w:lang w:val="el-GR"/>
        </w:rPr>
        <w:t>Πύλη Στατιστικής Υπηρεσίας, υπόθεμα </w:t>
      </w:r>
      <w:hyperlink r:id="rId9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Δημόσια Οικονομικά</w:t>
        </w:r>
      </w:hyperlink>
    </w:p>
    <w:p w14:paraId="0D9C8021" w14:textId="77777777" w:rsidR="001D662E" w:rsidRPr="001D662E" w:rsidRDefault="00000000" w:rsidP="001D662E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1D662E" w:rsidRPr="001D662E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1D662E" w:rsidRPr="001D662E">
        <w:rPr>
          <w:rFonts w:ascii="Verdana" w:hAnsi="Verdana"/>
          <w:sz w:val="18"/>
          <w:szCs w:val="18"/>
          <w:lang w:val="el-GR"/>
        </w:rPr>
        <w:t xml:space="preserve"> (</w:t>
      </w:r>
      <w:r w:rsidR="001D662E" w:rsidRPr="001D662E">
        <w:rPr>
          <w:rFonts w:ascii="Verdana" w:hAnsi="Verdana"/>
          <w:sz w:val="18"/>
          <w:szCs w:val="18"/>
        </w:rPr>
        <w:t>Excel</w:t>
      </w:r>
      <w:r w:rsidR="001D662E" w:rsidRPr="001D662E">
        <w:rPr>
          <w:rFonts w:ascii="Verdana" w:hAnsi="Verdana"/>
          <w:sz w:val="18"/>
          <w:szCs w:val="18"/>
          <w:lang w:val="el-GR"/>
        </w:rPr>
        <w:t>)</w:t>
      </w:r>
    </w:p>
    <w:p w14:paraId="47EC3772" w14:textId="77777777" w:rsidR="00761E3A" w:rsidRDefault="00761E3A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BD824D2" w14:textId="77777777" w:rsidR="000600C4" w:rsidRPr="00573F8E" w:rsidRDefault="000600C4" w:rsidP="000600C4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  <w:r w:rsidRPr="00573F8E">
        <w:rPr>
          <w:rFonts w:ascii="Verdana" w:hAnsi="Verdana"/>
          <w:i/>
          <w:sz w:val="18"/>
          <w:szCs w:val="18"/>
          <w:u w:val="single"/>
          <w:lang w:val="el-GR"/>
        </w:rPr>
        <w:t>Επικοινωνία</w:t>
      </w:r>
      <w:r w:rsidRPr="00573F8E">
        <w:rPr>
          <w:rFonts w:ascii="Verdana" w:hAnsi="Verdana"/>
          <w:sz w:val="18"/>
          <w:szCs w:val="18"/>
          <w:lang w:val="el-GR"/>
        </w:rPr>
        <w:t xml:space="preserve"> </w:t>
      </w:r>
    </w:p>
    <w:p w14:paraId="5E0975F0" w14:textId="77777777" w:rsidR="000600C4" w:rsidRPr="00573F8E" w:rsidRDefault="000600C4" w:rsidP="000600C4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Μιχαήλ Παναγιώτα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 Τηλ</w:t>
      </w:r>
      <w:r w:rsidRPr="0016040F">
        <w:rPr>
          <w:rFonts w:ascii="Verdana" w:eastAsia="Malgun Gothic" w:hAnsi="Verdana" w:cs="Arial"/>
          <w:color w:val="000000"/>
          <w:sz w:val="18"/>
          <w:szCs w:val="18"/>
          <w:lang w:val="el-GR"/>
        </w:rPr>
        <w:t>.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>:+357226</w:t>
      </w:r>
      <w:r>
        <w:rPr>
          <w:rFonts w:ascii="Verdana" w:eastAsia="Malgun Gothic" w:hAnsi="Verdana" w:cs="Arial"/>
          <w:color w:val="000000"/>
          <w:sz w:val="18"/>
          <w:szCs w:val="18"/>
          <w:lang w:val="el-GR"/>
        </w:rPr>
        <w:t>02186</w:t>
      </w:r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, </w:t>
      </w:r>
      <w:bookmarkStart w:id="2" w:name="_Hlk139008772"/>
      <w:r w:rsidRPr="00573F8E">
        <w:rPr>
          <w:rFonts w:ascii="Verdana" w:eastAsia="Malgun Gothic" w:hAnsi="Verdana" w:cs="Arial"/>
          <w:color w:val="000000"/>
          <w:sz w:val="18"/>
          <w:szCs w:val="18"/>
          <w:lang w:val="el-GR"/>
        </w:rPr>
        <w:t xml:space="preserve">Ηλεκτρ. Ταχ.: </w:t>
      </w:r>
      <w:hyperlink r:id="rId11" w:history="1">
        <w:r w:rsidRPr="008755AD">
          <w:rPr>
            <w:rStyle w:val="Hyperlink"/>
            <w:rFonts w:ascii="Verdana" w:hAnsi="Verdana"/>
            <w:sz w:val="18"/>
            <w:szCs w:val="18"/>
          </w:rPr>
          <w:t>pmichael</w:t>
        </w:r>
        <w:r w:rsidRPr="008755AD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@cystat.mof.gov.cy</w:t>
        </w:r>
      </w:hyperlink>
      <w:bookmarkEnd w:id="2"/>
    </w:p>
    <w:p w14:paraId="04C2AB2F" w14:textId="77777777" w:rsidR="00C61338" w:rsidRPr="00C61338" w:rsidRDefault="00C61338" w:rsidP="009102F6">
      <w:pPr>
        <w:tabs>
          <w:tab w:val="left" w:pos="1080"/>
          <w:tab w:val="left" w:pos="7088"/>
        </w:tabs>
        <w:jc w:val="both"/>
        <w:rPr>
          <w:rFonts w:ascii="Verdana" w:eastAsia="Malgun Gothic" w:hAnsi="Verdana" w:cs="Arial"/>
          <w:color w:val="0000FF"/>
          <w:sz w:val="18"/>
          <w:szCs w:val="18"/>
          <w:u w:val="single"/>
          <w:lang w:val="el-GR"/>
        </w:rPr>
      </w:pPr>
    </w:p>
    <w:p w14:paraId="245BAE6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C3EC1B7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3E9A85F0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91116C9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FA40B9D" w14:textId="7777777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7E1AE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906B7" w14:textId="77777777" w:rsidR="00EC208D" w:rsidRDefault="00EC208D" w:rsidP="00FB398F">
      <w:r>
        <w:separator/>
      </w:r>
    </w:p>
  </w:endnote>
  <w:endnote w:type="continuationSeparator" w:id="0">
    <w:p w14:paraId="742167CF" w14:textId="77777777" w:rsidR="00EC208D" w:rsidRDefault="00EC208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BEBF4" w14:textId="77777777" w:rsidR="004845C3" w:rsidRDefault="004845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572E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E56698">
      <w:fldChar w:fldCharType="begin"/>
    </w:r>
    <w:r w:rsidR="004D4950">
      <w:instrText xml:space="preserve"> PAGE   \* MERGEFORMAT </w:instrText>
    </w:r>
    <w:r w:rsidR="00E56698">
      <w:fldChar w:fldCharType="separate"/>
    </w:r>
    <w:r w:rsidR="00803320">
      <w:rPr>
        <w:noProof/>
      </w:rPr>
      <w:t>2</w:t>
    </w:r>
    <w:r w:rsidR="00E56698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E42B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5981A4A" w14:textId="77777777" w:rsidR="004E4F42" w:rsidRPr="0031166C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31166C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Pr="00233FBF">
      <w:rPr>
        <w:rFonts w:ascii="Arial" w:hAnsi="Arial" w:cs="Arial"/>
        <w:i/>
        <w:iCs/>
        <w:sz w:val="16"/>
        <w:szCs w:val="16"/>
        <w:lang w:val="el-GR"/>
      </w:rPr>
      <w:t>Φαξ</w:t>
    </w:r>
    <w:r w:rsidRPr="0031166C">
      <w:rPr>
        <w:rFonts w:ascii="Arial" w:hAnsi="Arial" w:cs="Arial"/>
        <w:i/>
        <w:iCs/>
        <w:sz w:val="16"/>
        <w:szCs w:val="16"/>
        <w:lang w:val="el-GR"/>
      </w:rPr>
      <w:t xml:space="preserve">:  22 661313, </w:t>
    </w:r>
    <w:r w:rsidRPr="00233FBF">
      <w:rPr>
        <w:rFonts w:ascii="Arial" w:hAnsi="Arial" w:cs="Arial"/>
        <w:i/>
        <w:iCs/>
        <w:sz w:val="16"/>
        <w:szCs w:val="16"/>
        <w:lang w:val="de-DE"/>
      </w:rPr>
      <w:t>E</w:t>
    </w:r>
    <w:r w:rsidRPr="0031166C">
      <w:rPr>
        <w:rFonts w:ascii="Arial" w:hAnsi="Arial" w:cs="Arial"/>
        <w:i/>
        <w:iCs/>
        <w:sz w:val="16"/>
        <w:szCs w:val="16"/>
        <w:lang w:val="el-GR"/>
      </w:rPr>
      <w:t>-</w:t>
    </w:r>
    <w:r w:rsidRPr="00233FBF">
      <w:rPr>
        <w:rFonts w:ascii="Arial" w:hAnsi="Arial" w:cs="Arial"/>
        <w:i/>
        <w:iCs/>
        <w:sz w:val="16"/>
        <w:szCs w:val="16"/>
        <w:lang w:val="de-DE"/>
      </w:rPr>
      <w:t>mail</w:t>
    </w:r>
    <w:r w:rsidRPr="0031166C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</w:t>
      </w:r>
      <w:r w:rsidRPr="0031166C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@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cystat</w:t>
      </w:r>
      <w:r w:rsidRPr="0031166C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mof</w:t>
      </w:r>
      <w:r w:rsidRPr="0031166C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gov</w:t>
      </w:r>
      <w:r w:rsidRPr="0031166C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cy</w:t>
      </w:r>
    </w:hyperlink>
    <w:r w:rsidRPr="0031166C">
      <w:rPr>
        <w:rFonts w:ascii="Arial" w:hAnsi="Arial" w:cs="Arial"/>
        <w:i/>
        <w:iCs/>
        <w:sz w:val="16"/>
        <w:szCs w:val="16"/>
        <w:lang w:val="el-GR"/>
      </w:rPr>
      <w:t xml:space="preserve">  </w:t>
    </w:r>
  </w:p>
  <w:p w14:paraId="67356C76" w14:textId="77777777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</w:rPr>
    </w:pPr>
    <w:r w:rsidRPr="00233FBF">
      <w:rPr>
        <w:rFonts w:ascii="Arial" w:hAnsi="Arial" w:cs="Arial"/>
        <w:i/>
        <w:iCs/>
        <w:sz w:val="16"/>
        <w:szCs w:val="16"/>
      </w:rPr>
      <w:t xml:space="preserve">Web site: </w:t>
    </w:r>
    <w:hyperlink r:id="rId2" w:history="1"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233FBF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233FBF">
      <w:rPr>
        <w:rFonts w:ascii="Arial" w:hAnsi="Arial" w:cs="Arial"/>
        <w:i/>
        <w:iCs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98557" w14:textId="77777777" w:rsidR="00EC208D" w:rsidRDefault="00EC208D" w:rsidP="00FB398F">
      <w:r>
        <w:separator/>
      </w:r>
    </w:p>
  </w:footnote>
  <w:footnote w:type="continuationSeparator" w:id="0">
    <w:p w14:paraId="18E8091C" w14:textId="77777777" w:rsidR="00EC208D" w:rsidRDefault="00EC208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85209" w14:textId="77777777" w:rsidR="004845C3" w:rsidRDefault="004845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71522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4BB60" w14:textId="29FFFFA2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4DAD577" wp14:editId="4A3C04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95077A" wp14:editId="75B48930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8415" cy="1047750"/>
              <wp:effectExtent l="0" t="0" r="7620" b="0"/>
              <wp:wrapNone/>
              <wp:docPr id="133217183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7516A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BE433C8" wp14:editId="4CA343C4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507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5.8pt;margin-top:-5.45pt;width:101.45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" strokecolor="white">
              <v:textbox>
                <w:txbxContent>
                  <w:p w14:paraId="4577516A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BE433C8" wp14:editId="4CA343C4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74DE8"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4CD34D" wp14:editId="08208AFB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9390" cy="1200150"/>
              <wp:effectExtent l="0" t="0" r="0" b="0"/>
              <wp:wrapNone/>
              <wp:docPr id="150986945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9390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0562FD" w14:textId="77777777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2E6B9451" wp14:editId="7025A04B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4CD34D" id="Text Box 2" o:spid="_x0000_s1027" type="#_x0000_t202" style="position:absolute;left:0;text-align:left;margin-left:270.8pt;margin-top:-17.45pt;width:115.7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" strokecolor="white">
              <v:textbox>
                <w:txbxContent>
                  <w:p w14:paraId="470562FD" w14:textId="77777777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2E6B9451" wp14:editId="7025A04B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74FB02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BCE7138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79DA34B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4324C28B" w14:textId="0BE3EE45" w:rsidR="004E4F42" w:rsidRDefault="00C74DE8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52EDBD" wp14:editId="16E5E08B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20340225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1904FDE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854DAA0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2EDBD" id="Text Box 1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61904FDE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854DAA0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44830B9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10822E6F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6D3C0A4D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2454327">
    <w:abstractNumId w:val="4"/>
  </w:num>
  <w:num w:numId="2" w16cid:durableId="1320503049">
    <w:abstractNumId w:val="1"/>
  </w:num>
  <w:num w:numId="3" w16cid:durableId="1810125999">
    <w:abstractNumId w:val="2"/>
  </w:num>
  <w:num w:numId="4" w16cid:durableId="530650003">
    <w:abstractNumId w:val="3"/>
  </w:num>
  <w:num w:numId="5" w16cid:durableId="545416022">
    <w:abstractNumId w:val="0"/>
  </w:num>
  <w:num w:numId="6" w16cid:durableId="8106376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542E"/>
    <w:rsid w:val="000069CD"/>
    <w:rsid w:val="00013600"/>
    <w:rsid w:val="00013E40"/>
    <w:rsid w:val="000158B7"/>
    <w:rsid w:val="00015E84"/>
    <w:rsid w:val="000161B1"/>
    <w:rsid w:val="00025A39"/>
    <w:rsid w:val="00027853"/>
    <w:rsid w:val="00030E18"/>
    <w:rsid w:val="00031D32"/>
    <w:rsid w:val="0003603D"/>
    <w:rsid w:val="00045088"/>
    <w:rsid w:val="00045A06"/>
    <w:rsid w:val="00050391"/>
    <w:rsid w:val="00055291"/>
    <w:rsid w:val="000563D3"/>
    <w:rsid w:val="00057E44"/>
    <w:rsid w:val="000600C4"/>
    <w:rsid w:val="00061299"/>
    <w:rsid w:val="00064E0F"/>
    <w:rsid w:val="00070576"/>
    <w:rsid w:val="000752BB"/>
    <w:rsid w:val="00081ADF"/>
    <w:rsid w:val="00084A02"/>
    <w:rsid w:val="00084BF7"/>
    <w:rsid w:val="00085C1A"/>
    <w:rsid w:val="000870E9"/>
    <w:rsid w:val="00090281"/>
    <w:rsid w:val="0009191C"/>
    <w:rsid w:val="000932CF"/>
    <w:rsid w:val="00096ED8"/>
    <w:rsid w:val="000A1A88"/>
    <w:rsid w:val="000A2B5C"/>
    <w:rsid w:val="000A3601"/>
    <w:rsid w:val="000A5FF0"/>
    <w:rsid w:val="000A6FA8"/>
    <w:rsid w:val="000A7E03"/>
    <w:rsid w:val="000C1070"/>
    <w:rsid w:val="000C4E72"/>
    <w:rsid w:val="000D145B"/>
    <w:rsid w:val="000D1E7A"/>
    <w:rsid w:val="000D64D2"/>
    <w:rsid w:val="000E24B1"/>
    <w:rsid w:val="000E2735"/>
    <w:rsid w:val="000E32D6"/>
    <w:rsid w:val="000E4CB0"/>
    <w:rsid w:val="000E57F2"/>
    <w:rsid w:val="000E72A7"/>
    <w:rsid w:val="000F014F"/>
    <w:rsid w:val="000F1162"/>
    <w:rsid w:val="000F2B47"/>
    <w:rsid w:val="000F3467"/>
    <w:rsid w:val="000F38DE"/>
    <w:rsid w:val="000F532A"/>
    <w:rsid w:val="000F5D6C"/>
    <w:rsid w:val="000F71E6"/>
    <w:rsid w:val="000F7CB3"/>
    <w:rsid w:val="00106852"/>
    <w:rsid w:val="00110F9D"/>
    <w:rsid w:val="0011181A"/>
    <w:rsid w:val="00114A67"/>
    <w:rsid w:val="001253B6"/>
    <w:rsid w:val="001262C3"/>
    <w:rsid w:val="00126788"/>
    <w:rsid w:val="00127320"/>
    <w:rsid w:val="00127456"/>
    <w:rsid w:val="001312D8"/>
    <w:rsid w:val="0013137B"/>
    <w:rsid w:val="0015118B"/>
    <w:rsid w:val="001519CE"/>
    <w:rsid w:val="00161CF3"/>
    <w:rsid w:val="00162C00"/>
    <w:rsid w:val="001639EF"/>
    <w:rsid w:val="0016589F"/>
    <w:rsid w:val="00166624"/>
    <w:rsid w:val="001712CF"/>
    <w:rsid w:val="0017769A"/>
    <w:rsid w:val="00183DFC"/>
    <w:rsid w:val="00184384"/>
    <w:rsid w:val="00186717"/>
    <w:rsid w:val="00187FFC"/>
    <w:rsid w:val="0019391C"/>
    <w:rsid w:val="00197986"/>
    <w:rsid w:val="001A2018"/>
    <w:rsid w:val="001B2433"/>
    <w:rsid w:val="001B2C39"/>
    <w:rsid w:val="001B3675"/>
    <w:rsid w:val="001B5E10"/>
    <w:rsid w:val="001B6AB3"/>
    <w:rsid w:val="001B73D5"/>
    <w:rsid w:val="001C0681"/>
    <w:rsid w:val="001C4DC0"/>
    <w:rsid w:val="001C62B3"/>
    <w:rsid w:val="001C7613"/>
    <w:rsid w:val="001C7C8C"/>
    <w:rsid w:val="001D0D6A"/>
    <w:rsid w:val="001D20A4"/>
    <w:rsid w:val="001D662E"/>
    <w:rsid w:val="001E00D1"/>
    <w:rsid w:val="001E00D9"/>
    <w:rsid w:val="001E0E58"/>
    <w:rsid w:val="001E14F3"/>
    <w:rsid w:val="001E15ED"/>
    <w:rsid w:val="001E18F4"/>
    <w:rsid w:val="001E61AA"/>
    <w:rsid w:val="002000F1"/>
    <w:rsid w:val="0020309E"/>
    <w:rsid w:val="00210B58"/>
    <w:rsid w:val="00222423"/>
    <w:rsid w:val="00224775"/>
    <w:rsid w:val="00225B28"/>
    <w:rsid w:val="00226891"/>
    <w:rsid w:val="00230D9B"/>
    <w:rsid w:val="002313AC"/>
    <w:rsid w:val="00235FB2"/>
    <w:rsid w:val="00237BC1"/>
    <w:rsid w:val="00241362"/>
    <w:rsid w:val="002417A4"/>
    <w:rsid w:val="002430B4"/>
    <w:rsid w:val="00243109"/>
    <w:rsid w:val="002447D0"/>
    <w:rsid w:val="002454C5"/>
    <w:rsid w:val="00245E19"/>
    <w:rsid w:val="00246AEB"/>
    <w:rsid w:val="00250005"/>
    <w:rsid w:val="0025254F"/>
    <w:rsid w:val="0025566D"/>
    <w:rsid w:val="00255693"/>
    <w:rsid w:val="0025595C"/>
    <w:rsid w:val="00257149"/>
    <w:rsid w:val="002576E7"/>
    <w:rsid w:val="00257D60"/>
    <w:rsid w:val="00260357"/>
    <w:rsid w:val="00264F04"/>
    <w:rsid w:val="00267554"/>
    <w:rsid w:val="00273C6B"/>
    <w:rsid w:val="0028338F"/>
    <w:rsid w:val="002847A0"/>
    <w:rsid w:val="002915C4"/>
    <w:rsid w:val="00297E6B"/>
    <w:rsid w:val="002A1D1C"/>
    <w:rsid w:val="002A3E32"/>
    <w:rsid w:val="002A4D64"/>
    <w:rsid w:val="002B07F2"/>
    <w:rsid w:val="002B4969"/>
    <w:rsid w:val="002B6554"/>
    <w:rsid w:val="002C071F"/>
    <w:rsid w:val="002D05F0"/>
    <w:rsid w:val="002D2829"/>
    <w:rsid w:val="002D4782"/>
    <w:rsid w:val="002D7D4A"/>
    <w:rsid w:val="002E0E52"/>
    <w:rsid w:val="002E3846"/>
    <w:rsid w:val="002E3F78"/>
    <w:rsid w:val="002E772F"/>
    <w:rsid w:val="002F1DAB"/>
    <w:rsid w:val="002F400C"/>
    <w:rsid w:val="002F4D76"/>
    <w:rsid w:val="002F6D26"/>
    <w:rsid w:val="0030231E"/>
    <w:rsid w:val="003042C4"/>
    <w:rsid w:val="00304CB4"/>
    <w:rsid w:val="0031166C"/>
    <w:rsid w:val="00313F37"/>
    <w:rsid w:val="003141D0"/>
    <w:rsid w:val="003168C1"/>
    <w:rsid w:val="00322FBE"/>
    <w:rsid w:val="00325632"/>
    <w:rsid w:val="00327549"/>
    <w:rsid w:val="003342A5"/>
    <w:rsid w:val="00334616"/>
    <w:rsid w:val="00336C36"/>
    <w:rsid w:val="00343815"/>
    <w:rsid w:val="00350FC8"/>
    <w:rsid w:val="003522BB"/>
    <w:rsid w:val="00352F6C"/>
    <w:rsid w:val="00354C7D"/>
    <w:rsid w:val="003556EA"/>
    <w:rsid w:val="00376296"/>
    <w:rsid w:val="003809E8"/>
    <w:rsid w:val="00386FC7"/>
    <w:rsid w:val="00390A32"/>
    <w:rsid w:val="003A172C"/>
    <w:rsid w:val="003A1E91"/>
    <w:rsid w:val="003A40F2"/>
    <w:rsid w:val="003A50D1"/>
    <w:rsid w:val="003B196D"/>
    <w:rsid w:val="003B2710"/>
    <w:rsid w:val="003B4608"/>
    <w:rsid w:val="003B4753"/>
    <w:rsid w:val="003C01D4"/>
    <w:rsid w:val="003C0B1E"/>
    <w:rsid w:val="003C2392"/>
    <w:rsid w:val="003C5174"/>
    <w:rsid w:val="003C5240"/>
    <w:rsid w:val="003C76E6"/>
    <w:rsid w:val="003D14E0"/>
    <w:rsid w:val="003D1EA5"/>
    <w:rsid w:val="003D2442"/>
    <w:rsid w:val="003D3348"/>
    <w:rsid w:val="003D4875"/>
    <w:rsid w:val="003D4E63"/>
    <w:rsid w:val="003D6822"/>
    <w:rsid w:val="003D724C"/>
    <w:rsid w:val="003E0CE2"/>
    <w:rsid w:val="003F374F"/>
    <w:rsid w:val="003F49E4"/>
    <w:rsid w:val="003F4D2F"/>
    <w:rsid w:val="003F5E32"/>
    <w:rsid w:val="003F75F6"/>
    <w:rsid w:val="004044B8"/>
    <w:rsid w:val="00404670"/>
    <w:rsid w:val="00414CA0"/>
    <w:rsid w:val="00417060"/>
    <w:rsid w:val="00422F54"/>
    <w:rsid w:val="0042601B"/>
    <w:rsid w:val="00431516"/>
    <w:rsid w:val="004361B3"/>
    <w:rsid w:val="0044249D"/>
    <w:rsid w:val="0044379F"/>
    <w:rsid w:val="00444FCC"/>
    <w:rsid w:val="00446FB1"/>
    <w:rsid w:val="00452753"/>
    <w:rsid w:val="004551CD"/>
    <w:rsid w:val="004563F9"/>
    <w:rsid w:val="0046078F"/>
    <w:rsid w:val="00463214"/>
    <w:rsid w:val="00463BCB"/>
    <w:rsid w:val="0046434D"/>
    <w:rsid w:val="004656FA"/>
    <w:rsid w:val="00471D77"/>
    <w:rsid w:val="00475587"/>
    <w:rsid w:val="0047741C"/>
    <w:rsid w:val="00480BC2"/>
    <w:rsid w:val="004845C3"/>
    <w:rsid w:val="0048678A"/>
    <w:rsid w:val="004929C2"/>
    <w:rsid w:val="00493FDD"/>
    <w:rsid w:val="0049586B"/>
    <w:rsid w:val="00497113"/>
    <w:rsid w:val="004A0AE6"/>
    <w:rsid w:val="004A38A7"/>
    <w:rsid w:val="004A3E44"/>
    <w:rsid w:val="004B2018"/>
    <w:rsid w:val="004B2896"/>
    <w:rsid w:val="004B38E9"/>
    <w:rsid w:val="004B3FBA"/>
    <w:rsid w:val="004B4EF6"/>
    <w:rsid w:val="004B6599"/>
    <w:rsid w:val="004C07A0"/>
    <w:rsid w:val="004C64E3"/>
    <w:rsid w:val="004C6CA7"/>
    <w:rsid w:val="004C7638"/>
    <w:rsid w:val="004D4357"/>
    <w:rsid w:val="004D4950"/>
    <w:rsid w:val="004D538A"/>
    <w:rsid w:val="004E0B0A"/>
    <w:rsid w:val="004E2393"/>
    <w:rsid w:val="004E3745"/>
    <w:rsid w:val="004E42BE"/>
    <w:rsid w:val="004E4F42"/>
    <w:rsid w:val="004E63D5"/>
    <w:rsid w:val="004F03FD"/>
    <w:rsid w:val="004F52F0"/>
    <w:rsid w:val="004F6250"/>
    <w:rsid w:val="004F677C"/>
    <w:rsid w:val="004F6D8F"/>
    <w:rsid w:val="00502D50"/>
    <w:rsid w:val="00505503"/>
    <w:rsid w:val="0051107B"/>
    <w:rsid w:val="00512F9C"/>
    <w:rsid w:val="00513B93"/>
    <w:rsid w:val="00523FCF"/>
    <w:rsid w:val="00527CDB"/>
    <w:rsid w:val="005341C9"/>
    <w:rsid w:val="005369CA"/>
    <w:rsid w:val="00536DE9"/>
    <w:rsid w:val="00541E08"/>
    <w:rsid w:val="005477BE"/>
    <w:rsid w:val="00554FE0"/>
    <w:rsid w:val="0055789A"/>
    <w:rsid w:val="00560952"/>
    <w:rsid w:val="005652D1"/>
    <w:rsid w:val="005660A0"/>
    <w:rsid w:val="00566A4F"/>
    <w:rsid w:val="00567D64"/>
    <w:rsid w:val="005747B4"/>
    <w:rsid w:val="005931A3"/>
    <w:rsid w:val="005978D4"/>
    <w:rsid w:val="00597B3C"/>
    <w:rsid w:val="005A23FA"/>
    <w:rsid w:val="005A7791"/>
    <w:rsid w:val="005B2A67"/>
    <w:rsid w:val="005B3DCD"/>
    <w:rsid w:val="005B4240"/>
    <w:rsid w:val="005B4AD4"/>
    <w:rsid w:val="005C2798"/>
    <w:rsid w:val="005C2B85"/>
    <w:rsid w:val="005C36C3"/>
    <w:rsid w:val="005C40D3"/>
    <w:rsid w:val="005C56EE"/>
    <w:rsid w:val="005D1714"/>
    <w:rsid w:val="005D7638"/>
    <w:rsid w:val="005E1D85"/>
    <w:rsid w:val="005E7C64"/>
    <w:rsid w:val="005F12F5"/>
    <w:rsid w:val="005F7C7D"/>
    <w:rsid w:val="006044B7"/>
    <w:rsid w:val="006071CE"/>
    <w:rsid w:val="006075B5"/>
    <w:rsid w:val="0061018C"/>
    <w:rsid w:val="0061094E"/>
    <w:rsid w:val="0061179A"/>
    <w:rsid w:val="00613440"/>
    <w:rsid w:val="00613BE3"/>
    <w:rsid w:val="0062327B"/>
    <w:rsid w:val="00632777"/>
    <w:rsid w:val="00633750"/>
    <w:rsid w:val="00634491"/>
    <w:rsid w:val="0063636A"/>
    <w:rsid w:val="0063679C"/>
    <w:rsid w:val="00637055"/>
    <w:rsid w:val="00641D59"/>
    <w:rsid w:val="00644507"/>
    <w:rsid w:val="00646880"/>
    <w:rsid w:val="00647D2A"/>
    <w:rsid w:val="006537BB"/>
    <w:rsid w:val="0065643E"/>
    <w:rsid w:val="0066089C"/>
    <w:rsid w:val="00667E07"/>
    <w:rsid w:val="00671785"/>
    <w:rsid w:val="00672BA9"/>
    <w:rsid w:val="00673005"/>
    <w:rsid w:val="006804BE"/>
    <w:rsid w:val="00680AB5"/>
    <w:rsid w:val="0068434A"/>
    <w:rsid w:val="0069008E"/>
    <w:rsid w:val="0069087E"/>
    <w:rsid w:val="00691A8B"/>
    <w:rsid w:val="006925C4"/>
    <w:rsid w:val="006A02B7"/>
    <w:rsid w:val="006A6B42"/>
    <w:rsid w:val="006A7019"/>
    <w:rsid w:val="006B379D"/>
    <w:rsid w:val="006B46D5"/>
    <w:rsid w:val="006B46F4"/>
    <w:rsid w:val="006B78F8"/>
    <w:rsid w:val="006B7A9A"/>
    <w:rsid w:val="006C332B"/>
    <w:rsid w:val="006C5026"/>
    <w:rsid w:val="006C575F"/>
    <w:rsid w:val="006C7AF3"/>
    <w:rsid w:val="006C7E4C"/>
    <w:rsid w:val="006D0B9D"/>
    <w:rsid w:val="006D6548"/>
    <w:rsid w:val="006E0E20"/>
    <w:rsid w:val="006E4256"/>
    <w:rsid w:val="006E479D"/>
    <w:rsid w:val="006E4BBA"/>
    <w:rsid w:val="006E5F43"/>
    <w:rsid w:val="006E60A6"/>
    <w:rsid w:val="006F0F69"/>
    <w:rsid w:val="006F116B"/>
    <w:rsid w:val="006F117F"/>
    <w:rsid w:val="006F13DF"/>
    <w:rsid w:val="006F2780"/>
    <w:rsid w:val="00700B69"/>
    <w:rsid w:val="00702F26"/>
    <w:rsid w:val="0070313E"/>
    <w:rsid w:val="00703799"/>
    <w:rsid w:val="007038CC"/>
    <w:rsid w:val="00705C5C"/>
    <w:rsid w:val="00711475"/>
    <w:rsid w:val="007175F6"/>
    <w:rsid w:val="0072548A"/>
    <w:rsid w:val="007277A6"/>
    <w:rsid w:val="00731131"/>
    <w:rsid w:val="0074115C"/>
    <w:rsid w:val="007437AB"/>
    <w:rsid w:val="00745425"/>
    <w:rsid w:val="007503F5"/>
    <w:rsid w:val="007534F8"/>
    <w:rsid w:val="007545AD"/>
    <w:rsid w:val="00761A64"/>
    <w:rsid w:val="00761B83"/>
    <w:rsid w:val="00761E3A"/>
    <w:rsid w:val="00763722"/>
    <w:rsid w:val="00764BC1"/>
    <w:rsid w:val="00766958"/>
    <w:rsid w:val="00770869"/>
    <w:rsid w:val="007738AA"/>
    <w:rsid w:val="00780A62"/>
    <w:rsid w:val="00783241"/>
    <w:rsid w:val="00783535"/>
    <w:rsid w:val="00784BDC"/>
    <w:rsid w:val="00786D00"/>
    <w:rsid w:val="00792F28"/>
    <w:rsid w:val="007935CA"/>
    <w:rsid w:val="0079543F"/>
    <w:rsid w:val="00795880"/>
    <w:rsid w:val="007A174A"/>
    <w:rsid w:val="007A4367"/>
    <w:rsid w:val="007A4737"/>
    <w:rsid w:val="007A6DCC"/>
    <w:rsid w:val="007B0867"/>
    <w:rsid w:val="007B1AC1"/>
    <w:rsid w:val="007B5A08"/>
    <w:rsid w:val="007B693D"/>
    <w:rsid w:val="007C4CDC"/>
    <w:rsid w:val="007E041B"/>
    <w:rsid w:val="007E199A"/>
    <w:rsid w:val="007E1AED"/>
    <w:rsid w:val="007E2415"/>
    <w:rsid w:val="007E39F3"/>
    <w:rsid w:val="007E4001"/>
    <w:rsid w:val="007E405E"/>
    <w:rsid w:val="007E4426"/>
    <w:rsid w:val="007E68F4"/>
    <w:rsid w:val="007E6DE2"/>
    <w:rsid w:val="007F07E5"/>
    <w:rsid w:val="007F31BA"/>
    <w:rsid w:val="007F4078"/>
    <w:rsid w:val="0080014B"/>
    <w:rsid w:val="00801793"/>
    <w:rsid w:val="00803320"/>
    <w:rsid w:val="00803642"/>
    <w:rsid w:val="00806EA2"/>
    <w:rsid w:val="00812A2B"/>
    <w:rsid w:val="00814A4C"/>
    <w:rsid w:val="00814D7D"/>
    <w:rsid w:val="00831994"/>
    <w:rsid w:val="00831AAB"/>
    <w:rsid w:val="00833BCD"/>
    <w:rsid w:val="00834B82"/>
    <w:rsid w:val="0083574E"/>
    <w:rsid w:val="0083640C"/>
    <w:rsid w:val="008374E3"/>
    <w:rsid w:val="0084157B"/>
    <w:rsid w:val="00842BFB"/>
    <w:rsid w:val="0084639F"/>
    <w:rsid w:val="00846B85"/>
    <w:rsid w:val="00847DC3"/>
    <w:rsid w:val="00847F49"/>
    <w:rsid w:val="008535C5"/>
    <w:rsid w:val="00853765"/>
    <w:rsid w:val="0085516F"/>
    <w:rsid w:val="00867186"/>
    <w:rsid w:val="00870AF6"/>
    <w:rsid w:val="0087667D"/>
    <w:rsid w:val="00877452"/>
    <w:rsid w:val="00881268"/>
    <w:rsid w:val="00882A5A"/>
    <w:rsid w:val="0088394A"/>
    <w:rsid w:val="008860BD"/>
    <w:rsid w:val="00886F08"/>
    <w:rsid w:val="00887399"/>
    <w:rsid w:val="0088779E"/>
    <w:rsid w:val="008912AF"/>
    <w:rsid w:val="00892114"/>
    <w:rsid w:val="00892CB9"/>
    <w:rsid w:val="008935CB"/>
    <w:rsid w:val="008958C5"/>
    <w:rsid w:val="008A73F0"/>
    <w:rsid w:val="008A7879"/>
    <w:rsid w:val="008B0E7E"/>
    <w:rsid w:val="008B44B3"/>
    <w:rsid w:val="008B65BD"/>
    <w:rsid w:val="008B7900"/>
    <w:rsid w:val="008C71BF"/>
    <w:rsid w:val="008C7FE0"/>
    <w:rsid w:val="008D2807"/>
    <w:rsid w:val="008D5717"/>
    <w:rsid w:val="008E1CF9"/>
    <w:rsid w:val="008E223D"/>
    <w:rsid w:val="008E44A9"/>
    <w:rsid w:val="008E6B4D"/>
    <w:rsid w:val="008E6BFF"/>
    <w:rsid w:val="008F21AF"/>
    <w:rsid w:val="008F2400"/>
    <w:rsid w:val="008F61BA"/>
    <w:rsid w:val="008F6E3C"/>
    <w:rsid w:val="008F7C55"/>
    <w:rsid w:val="009102F6"/>
    <w:rsid w:val="00914A23"/>
    <w:rsid w:val="00917CE0"/>
    <w:rsid w:val="00922F02"/>
    <w:rsid w:val="00930754"/>
    <w:rsid w:val="00934F68"/>
    <w:rsid w:val="009355AC"/>
    <w:rsid w:val="00935F38"/>
    <w:rsid w:val="00937586"/>
    <w:rsid w:val="00947889"/>
    <w:rsid w:val="009478BD"/>
    <w:rsid w:val="00953538"/>
    <w:rsid w:val="009543D6"/>
    <w:rsid w:val="00960365"/>
    <w:rsid w:val="00960E98"/>
    <w:rsid w:val="00963A82"/>
    <w:rsid w:val="00972912"/>
    <w:rsid w:val="00973258"/>
    <w:rsid w:val="00973BFC"/>
    <w:rsid w:val="00976D1F"/>
    <w:rsid w:val="00981C81"/>
    <w:rsid w:val="00981CAA"/>
    <w:rsid w:val="009923AE"/>
    <w:rsid w:val="00996E04"/>
    <w:rsid w:val="009A2D24"/>
    <w:rsid w:val="009A456C"/>
    <w:rsid w:val="009A630D"/>
    <w:rsid w:val="009B00E0"/>
    <w:rsid w:val="009B292A"/>
    <w:rsid w:val="009B3A57"/>
    <w:rsid w:val="009B76D5"/>
    <w:rsid w:val="009C165D"/>
    <w:rsid w:val="009C3CEA"/>
    <w:rsid w:val="009C583D"/>
    <w:rsid w:val="009C68B5"/>
    <w:rsid w:val="009D2611"/>
    <w:rsid w:val="009D3504"/>
    <w:rsid w:val="009D79D2"/>
    <w:rsid w:val="009E247C"/>
    <w:rsid w:val="009E31BA"/>
    <w:rsid w:val="009F0528"/>
    <w:rsid w:val="009F0806"/>
    <w:rsid w:val="009F233B"/>
    <w:rsid w:val="00A0303C"/>
    <w:rsid w:val="00A05D16"/>
    <w:rsid w:val="00A06045"/>
    <w:rsid w:val="00A0659F"/>
    <w:rsid w:val="00A079BA"/>
    <w:rsid w:val="00A14E8C"/>
    <w:rsid w:val="00A15AA3"/>
    <w:rsid w:val="00A16CF2"/>
    <w:rsid w:val="00A1787E"/>
    <w:rsid w:val="00A20C70"/>
    <w:rsid w:val="00A2564F"/>
    <w:rsid w:val="00A33875"/>
    <w:rsid w:val="00A360A1"/>
    <w:rsid w:val="00A402B3"/>
    <w:rsid w:val="00A521B4"/>
    <w:rsid w:val="00A544B7"/>
    <w:rsid w:val="00A56668"/>
    <w:rsid w:val="00A618CF"/>
    <w:rsid w:val="00A62770"/>
    <w:rsid w:val="00A62EEB"/>
    <w:rsid w:val="00A660FF"/>
    <w:rsid w:val="00A7117D"/>
    <w:rsid w:val="00A73395"/>
    <w:rsid w:val="00A771E3"/>
    <w:rsid w:val="00A81AE0"/>
    <w:rsid w:val="00A82B4C"/>
    <w:rsid w:val="00A856DD"/>
    <w:rsid w:val="00A87ED2"/>
    <w:rsid w:val="00A92EEC"/>
    <w:rsid w:val="00A93A4C"/>
    <w:rsid w:val="00A94D5D"/>
    <w:rsid w:val="00AA1CF3"/>
    <w:rsid w:val="00AA1D9B"/>
    <w:rsid w:val="00AA2543"/>
    <w:rsid w:val="00AA3804"/>
    <w:rsid w:val="00AA55C2"/>
    <w:rsid w:val="00AA6E3B"/>
    <w:rsid w:val="00AB0ACA"/>
    <w:rsid w:val="00AB1D41"/>
    <w:rsid w:val="00AB2364"/>
    <w:rsid w:val="00AB31F3"/>
    <w:rsid w:val="00AC10FE"/>
    <w:rsid w:val="00AC5E9A"/>
    <w:rsid w:val="00AC704B"/>
    <w:rsid w:val="00AD2457"/>
    <w:rsid w:val="00AD553E"/>
    <w:rsid w:val="00AD5848"/>
    <w:rsid w:val="00AE5ADA"/>
    <w:rsid w:val="00AE7AB6"/>
    <w:rsid w:val="00AF6145"/>
    <w:rsid w:val="00B010B3"/>
    <w:rsid w:val="00B01386"/>
    <w:rsid w:val="00B0177B"/>
    <w:rsid w:val="00B01915"/>
    <w:rsid w:val="00B01BB5"/>
    <w:rsid w:val="00B01EB7"/>
    <w:rsid w:val="00B026CC"/>
    <w:rsid w:val="00B04AF4"/>
    <w:rsid w:val="00B05214"/>
    <w:rsid w:val="00B06B22"/>
    <w:rsid w:val="00B10421"/>
    <w:rsid w:val="00B26CAE"/>
    <w:rsid w:val="00B27901"/>
    <w:rsid w:val="00B27DD9"/>
    <w:rsid w:val="00B30D97"/>
    <w:rsid w:val="00B31074"/>
    <w:rsid w:val="00B3181A"/>
    <w:rsid w:val="00B35A7C"/>
    <w:rsid w:val="00B40912"/>
    <w:rsid w:val="00B44ECD"/>
    <w:rsid w:val="00B450D1"/>
    <w:rsid w:val="00B47E59"/>
    <w:rsid w:val="00B50F17"/>
    <w:rsid w:val="00B53D47"/>
    <w:rsid w:val="00B54A25"/>
    <w:rsid w:val="00B618C3"/>
    <w:rsid w:val="00B63652"/>
    <w:rsid w:val="00B64E43"/>
    <w:rsid w:val="00B668B0"/>
    <w:rsid w:val="00B70F5C"/>
    <w:rsid w:val="00B71873"/>
    <w:rsid w:val="00B754E6"/>
    <w:rsid w:val="00B75AE5"/>
    <w:rsid w:val="00B800C0"/>
    <w:rsid w:val="00B808B8"/>
    <w:rsid w:val="00B80C99"/>
    <w:rsid w:val="00B8132B"/>
    <w:rsid w:val="00B84C5A"/>
    <w:rsid w:val="00B858F5"/>
    <w:rsid w:val="00B93668"/>
    <w:rsid w:val="00B97206"/>
    <w:rsid w:val="00BA0896"/>
    <w:rsid w:val="00BA352F"/>
    <w:rsid w:val="00BA68C6"/>
    <w:rsid w:val="00BB12F1"/>
    <w:rsid w:val="00BB1A33"/>
    <w:rsid w:val="00BB276E"/>
    <w:rsid w:val="00BB3FEE"/>
    <w:rsid w:val="00BB4785"/>
    <w:rsid w:val="00BB5EB0"/>
    <w:rsid w:val="00BB6FE8"/>
    <w:rsid w:val="00BB723E"/>
    <w:rsid w:val="00BC245A"/>
    <w:rsid w:val="00BD16FA"/>
    <w:rsid w:val="00BD41C3"/>
    <w:rsid w:val="00BD488B"/>
    <w:rsid w:val="00BD7CCC"/>
    <w:rsid w:val="00BE002A"/>
    <w:rsid w:val="00BE0283"/>
    <w:rsid w:val="00BE1BC9"/>
    <w:rsid w:val="00BE5CDA"/>
    <w:rsid w:val="00BE608F"/>
    <w:rsid w:val="00BF1818"/>
    <w:rsid w:val="00BF23BB"/>
    <w:rsid w:val="00BF33DD"/>
    <w:rsid w:val="00BF5755"/>
    <w:rsid w:val="00BF684B"/>
    <w:rsid w:val="00C016F3"/>
    <w:rsid w:val="00C15193"/>
    <w:rsid w:val="00C15609"/>
    <w:rsid w:val="00C157CD"/>
    <w:rsid w:val="00C15F6A"/>
    <w:rsid w:val="00C23EA7"/>
    <w:rsid w:val="00C256F3"/>
    <w:rsid w:val="00C270A2"/>
    <w:rsid w:val="00C30971"/>
    <w:rsid w:val="00C315B5"/>
    <w:rsid w:val="00C35E28"/>
    <w:rsid w:val="00C37927"/>
    <w:rsid w:val="00C426AF"/>
    <w:rsid w:val="00C43DAE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1338"/>
    <w:rsid w:val="00C623EB"/>
    <w:rsid w:val="00C64C6B"/>
    <w:rsid w:val="00C66F2E"/>
    <w:rsid w:val="00C6785C"/>
    <w:rsid w:val="00C67FDB"/>
    <w:rsid w:val="00C70FD1"/>
    <w:rsid w:val="00C72B76"/>
    <w:rsid w:val="00C733AA"/>
    <w:rsid w:val="00C74DE8"/>
    <w:rsid w:val="00C83027"/>
    <w:rsid w:val="00C83F8A"/>
    <w:rsid w:val="00C84B8A"/>
    <w:rsid w:val="00C85E65"/>
    <w:rsid w:val="00C87CA1"/>
    <w:rsid w:val="00C911B4"/>
    <w:rsid w:val="00C91B3B"/>
    <w:rsid w:val="00C94262"/>
    <w:rsid w:val="00C976E1"/>
    <w:rsid w:val="00CA148E"/>
    <w:rsid w:val="00CA1528"/>
    <w:rsid w:val="00CA3A9A"/>
    <w:rsid w:val="00CB6BC1"/>
    <w:rsid w:val="00CB7021"/>
    <w:rsid w:val="00CC0B9F"/>
    <w:rsid w:val="00CC4941"/>
    <w:rsid w:val="00CD3294"/>
    <w:rsid w:val="00CD4524"/>
    <w:rsid w:val="00CD784D"/>
    <w:rsid w:val="00CE0CBF"/>
    <w:rsid w:val="00CE7A6B"/>
    <w:rsid w:val="00CF3A1C"/>
    <w:rsid w:val="00CF40F8"/>
    <w:rsid w:val="00D008DA"/>
    <w:rsid w:val="00D0416F"/>
    <w:rsid w:val="00D05851"/>
    <w:rsid w:val="00D10FED"/>
    <w:rsid w:val="00D11736"/>
    <w:rsid w:val="00D12EE8"/>
    <w:rsid w:val="00D14CDF"/>
    <w:rsid w:val="00D15FF1"/>
    <w:rsid w:val="00D167F4"/>
    <w:rsid w:val="00D2092A"/>
    <w:rsid w:val="00D2216D"/>
    <w:rsid w:val="00D25E9C"/>
    <w:rsid w:val="00D31A6F"/>
    <w:rsid w:val="00D353D1"/>
    <w:rsid w:val="00D363D3"/>
    <w:rsid w:val="00D367DB"/>
    <w:rsid w:val="00D36E05"/>
    <w:rsid w:val="00D42FC9"/>
    <w:rsid w:val="00D43BEA"/>
    <w:rsid w:val="00D44F27"/>
    <w:rsid w:val="00D45304"/>
    <w:rsid w:val="00D46165"/>
    <w:rsid w:val="00D461C7"/>
    <w:rsid w:val="00D50424"/>
    <w:rsid w:val="00D525C9"/>
    <w:rsid w:val="00D57D3E"/>
    <w:rsid w:val="00D57DCC"/>
    <w:rsid w:val="00D76249"/>
    <w:rsid w:val="00D82619"/>
    <w:rsid w:val="00D91EB8"/>
    <w:rsid w:val="00D9262C"/>
    <w:rsid w:val="00DA7D12"/>
    <w:rsid w:val="00DB3DA3"/>
    <w:rsid w:val="00DC23CF"/>
    <w:rsid w:val="00DC6562"/>
    <w:rsid w:val="00DD16F7"/>
    <w:rsid w:val="00DD5CB9"/>
    <w:rsid w:val="00DE130D"/>
    <w:rsid w:val="00DE24CF"/>
    <w:rsid w:val="00DE407C"/>
    <w:rsid w:val="00DE7963"/>
    <w:rsid w:val="00DE7C7D"/>
    <w:rsid w:val="00DF2992"/>
    <w:rsid w:val="00DF2D0C"/>
    <w:rsid w:val="00DF632F"/>
    <w:rsid w:val="00DF7D1F"/>
    <w:rsid w:val="00E00058"/>
    <w:rsid w:val="00E000AE"/>
    <w:rsid w:val="00E01B9D"/>
    <w:rsid w:val="00E02C2B"/>
    <w:rsid w:val="00E0468F"/>
    <w:rsid w:val="00E04F5E"/>
    <w:rsid w:val="00E0522E"/>
    <w:rsid w:val="00E120F4"/>
    <w:rsid w:val="00E12419"/>
    <w:rsid w:val="00E12B1C"/>
    <w:rsid w:val="00E17172"/>
    <w:rsid w:val="00E23A0B"/>
    <w:rsid w:val="00E3181C"/>
    <w:rsid w:val="00E3280A"/>
    <w:rsid w:val="00E343FE"/>
    <w:rsid w:val="00E372AF"/>
    <w:rsid w:val="00E37D68"/>
    <w:rsid w:val="00E40EAE"/>
    <w:rsid w:val="00E436AC"/>
    <w:rsid w:val="00E44F7A"/>
    <w:rsid w:val="00E44FF8"/>
    <w:rsid w:val="00E5066A"/>
    <w:rsid w:val="00E524C2"/>
    <w:rsid w:val="00E52CF9"/>
    <w:rsid w:val="00E556E6"/>
    <w:rsid w:val="00E56698"/>
    <w:rsid w:val="00E63F34"/>
    <w:rsid w:val="00E63FEA"/>
    <w:rsid w:val="00E64842"/>
    <w:rsid w:val="00E6715A"/>
    <w:rsid w:val="00E672E9"/>
    <w:rsid w:val="00E7263D"/>
    <w:rsid w:val="00E75DC9"/>
    <w:rsid w:val="00E81610"/>
    <w:rsid w:val="00E84910"/>
    <w:rsid w:val="00E85B28"/>
    <w:rsid w:val="00E91976"/>
    <w:rsid w:val="00E91AB9"/>
    <w:rsid w:val="00E947A6"/>
    <w:rsid w:val="00E97FC7"/>
    <w:rsid w:val="00EA0690"/>
    <w:rsid w:val="00EA1CB7"/>
    <w:rsid w:val="00EA1E17"/>
    <w:rsid w:val="00EA3956"/>
    <w:rsid w:val="00EA7136"/>
    <w:rsid w:val="00EB325A"/>
    <w:rsid w:val="00EB61F5"/>
    <w:rsid w:val="00EC02A5"/>
    <w:rsid w:val="00EC176B"/>
    <w:rsid w:val="00EC208D"/>
    <w:rsid w:val="00EC2B8A"/>
    <w:rsid w:val="00EC30C9"/>
    <w:rsid w:val="00EC33CD"/>
    <w:rsid w:val="00EC5BE5"/>
    <w:rsid w:val="00ED2650"/>
    <w:rsid w:val="00ED721A"/>
    <w:rsid w:val="00EE393D"/>
    <w:rsid w:val="00EE4190"/>
    <w:rsid w:val="00EE5BD1"/>
    <w:rsid w:val="00EF01CF"/>
    <w:rsid w:val="00EF6A47"/>
    <w:rsid w:val="00EF7AF9"/>
    <w:rsid w:val="00F00952"/>
    <w:rsid w:val="00F01495"/>
    <w:rsid w:val="00F10138"/>
    <w:rsid w:val="00F13F92"/>
    <w:rsid w:val="00F22ECA"/>
    <w:rsid w:val="00F240E8"/>
    <w:rsid w:val="00F244FA"/>
    <w:rsid w:val="00F366A2"/>
    <w:rsid w:val="00F44F43"/>
    <w:rsid w:val="00F450E1"/>
    <w:rsid w:val="00F50DF4"/>
    <w:rsid w:val="00F517E6"/>
    <w:rsid w:val="00F53671"/>
    <w:rsid w:val="00F55474"/>
    <w:rsid w:val="00F57834"/>
    <w:rsid w:val="00F57AFE"/>
    <w:rsid w:val="00F6278E"/>
    <w:rsid w:val="00F63C41"/>
    <w:rsid w:val="00F63E96"/>
    <w:rsid w:val="00F701E3"/>
    <w:rsid w:val="00F71008"/>
    <w:rsid w:val="00F71F8C"/>
    <w:rsid w:val="00F75A35"/>
    <w:rsid w:val="00F86AD4"/>
    <w:rsid w:val="00FA0113"/>
    <w:rsid w:val="00FA12B2"/>
    <w:rsid w:val="00FA7610"/>
    <w:rsid w:val="00FB02BD"/>
    <w:rsid w:val="00FB398F"/>
    <w:rsid w:val="00FB4EF8"/>
    <w:rsid w:val="00FB54AE"/>
    <w:rsid w:val="00FB709A"/>
    <w:rsid w:val="00FB78DD"/>
    <w:rsid w:val="00FC3EF3"/>
    <w:rsid w:val="00FC5D35"/>
    <w:rsid w:val="00FD2049"/>
    <w:rsid w:val="00FD2140"/>
    <w:rsid w:val="00FD3508"/>
    <w:rsid w:val="00FD5B5F"/>
    <w:rsid w:val="00FD5BDE"/>
    <w:rsid w:val="00FD68EC"/>
    <w:rsid w:val="00FE24A5"/>
    <w:rsid w:val="00FE31E5"/>
    <w:rsid w:val="00FE38D4"/>
    <w:rsid w:val="00FE61AF"/>
    <w:rsid w:val="00FF050F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C1E2DE"/>
  <w15:docId w15:val="{10E96A11-812F-46C6-89FD-59B90635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66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662E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02D5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02D50"/>
    <w:rPr>
      <w:rFonts w:ascii="Consolas" w:hAnsi="Consolas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613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michael@cystat.mof.gov.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ystat.gov.cy/el/KeyFiguresList?s=4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id=48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7E6B0-92F9-408B-BC66-8F9DA33F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35</cp:revision>
  <cp:lastPrinted>2024-05-30T06:27:00Z</cp:lastPrinted>
  <dcterms:created xsi:type="dcterms:W3CDTF">2024-03-07T09:54:00Z</dcterms:created>
  <dcterms:modified xsi:type="dcterms:W3CDTF">2024-07-01T07:22:00Z</dcterms:modified>
</cp:coreProperties>
</file>