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F8BD0" w14:textId="77777777" w:rsidR="00981CAA" w:rsidRPr="00AF561C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9DCEC70" w14:textId="77777777" w:rsidR="00981CAA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9F52579" w14:textId="687D8CF0" w:rsidR="00DD16F7" w:rsidRPr="00DD16F7" w:rsidRDefault="009D4D7F" w:rsidP="00953538">
      <w:pPr>
        <w:jc w:val="right"/>
        <w:rPr>
          <w:rFonts w:ascii="Verdana" w:hAnsi="Verdana" w:cs="Arial"/>
          <w:sz w:val="18"/>
          <w:szCs w:val="18"/>
          <w:lang w:val="el-GR"/>
        </w:rPr>
      </w:pPr>
      <w:r w:rsidRPr="00921DB1">
        <w:rPr>
          <w:rFonts w:ascii="Verdana" w:hAnsi="Verdana" w:cs="Arial"/>
          <w:sz w:val="18"/>
          <w:szCs w:val="18"/>
          <w:lang w:val="el-GR"/>
        </w:rPr>
        <w:t>2</w:t>
      </w:r>
      <w:r w:rsidR="00FB16A7" w:rsidRPr="00AC6834">
        <w:rPr>
          <w:rFonts w:ascii="Verdana" w:hAnsi="Verdana" w:cs="Arial"/>
          <w:sz w:val="18"/>
          <w:szCs w:val="18"/>
          <w:lang w:val="el-GR"/>
        </w:rPr>
        <w:t>1</w:t>
      </w:r>
      <w:r w:rsidR="00F246E3" w:rsidRPr="00DA7033">
        <w:rPr>
          <w:rFonts w:ascii="Verdana" w:hAnsi="Verdana" w:cs="Arial"/>
          <w:sz w:val="18"/>
          <w:szCs w:val="18"/>
          <w:lang w:val="el-GR"/>
        </w:rPr>
        <w:t xml:space="preserve"> </w:t>
      </w:r>
      <w:r w:rsidR="00FB16A7">
        <w:rPr>
          <w:rFonts w:ascii="Verdana" w:hAnsi="Verdana" w:cs="Arial"/>
          <w:sz w:val="18"/>
          <w:szCs w:val="18"/>
          <w:lang w:val="el-GR"/>
        </w:rPr>
        <w:t>Ιουλίου</w:t>
      </w:r>
      <w:r w:rsidR="00DD16F7" w:rsidRPr="00DD16F7">
        <w:rPr>
          <w:rFonts w:ascii="Verdana" w:hAnsi="Verdana" w:cs="Arial"/>
          <w:sz w:val="18"/>
          <w:szCs w:val="18"/>
          <w:lang w:val="el-GR"/>
        </w:rPr>
        <w:t>, 202</w:t>
      </w:r>
      <w:r w:rsidR="00B73189">
        <w:rPr>
          <w:rFonts w:ascii="Verdana" w:hAnsi="Verdana" w:cs="Arial"/>
          <w:sz w:val="18"/>
          <w:szCs w:val="18"/>
          <w:lang w:val="el-GR"/>
        </w:rPr>
        <w:t>5</w:t>
      </w:r>
    </w:p>
    <w:p w14:paraId="0CAB642F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0A9607A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D2E32D4" w14:textId="77777777" w:rsidR="00981CAA" w:rsidRPr="00DD16F7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62F0EA8" w14:textId="77777777" w:rsidR="00DD16F7" w:rsidRPr="00953538" w:rsidRDefault="00DD16F7" w:rsidP="00953538">
      <w:pPr>
        <w:jc w:val="center"/>
        <w:rPr>
          <w:rFonts w:ascii="Verdana" w:hAnsi="Verdana" w:cs="Arial"/>
          <w:b/>
          <w:bCs/>
          <w:sz w:val="24"/>
          <w:szCs w:val="24"/>
          <w:lang w:val="el-GR"/>
        </w:rPr>
      </w:pPr>
      <w:r w:rsidRPr="00953538">
        <w:rPr>
          <w:rFonts w:ascii="Verdana" w:hAnsi="Verdana" w:cs="Arial"/>
          <w:b/>
          <w:bCs/>
          <w:sz w:val="24"/>
          <w:szCs w:val="24"/>
          <w:lang w:val="el-GR"/>
        </w:rPr>
        <w:t>ΔΕΛΤΙΟ ΤΥΠΟΥ</w:t>
      </w:r>
    </w:p>
    <w:p w14:paraId="7652039E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8E33B78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64D75E3" w14:textId="3FB2C4AA" w:rsidR="00DD16F7" w:rsidRPr="00FB16A7" w:rsidRDefault="00F56907" w:rsidP="00ED7EA0">
      <w:pPr>
        <w:rPr>
          <w:rFonts w:ascii="Verdana" w:hAnsi="Verdana" w:cs="Arial"/>
          <w:b/>
          <w:bCs/>
          <w:u w:val="single"/>
          <w:lang w:val="el-GR"/>
        </w:rPr>
      </w:pPr>
      <w:r>
        <w:rPr>
          <w:rFonts w:ascii="Verdana" w:hAnsi="Verdana" w:cs="Arial"/>
          <w:u w:val="single"/>
          <w:lang w:val="el-GR"/>
        </w:rPr>
        <w:t xml:space="preserve">ΤΡΙΜΗΝΙΑΙΟΙ </w:t>
      </w:r>
      <w:r w:rsidR="00DD16F7" w:rsidRPr="00C43DAE">
        <w:rPr>
          <w:rFonts w:ascii="Verdana" w:hAnsi="Verdana" w:cs="Arial"/>
          <w:u w:val="single"/>
          <w:lang w:val="el-GR"/>
        </w:rPr>
        <w:t>ΛΟΓΑΡΙΑΣΜΟΙ ΤΗΣ ΓΕΝΙΚΗΣ ΚΥΒΕΡΝΗΣΗΣ</w:t>
      </w:r>
      <w:r w:rsidR="00C43DAE" w:rsidRPr="00C43DAE">
        <w:rPr>
          <w:rFonts w:ascii="Verdana" w:hAnsi="Verdana" w:cs="Arial"/>
          <w:u w:val="single"/>
          <w:lang w:val="el-GR"/>
        </w:rPr>
        <w:t>:</w:t>
      </w:r>
      <w:r w:rsidR="00DC1FCB" w:rsidRPr="00653109">
        <w:rPr>
          <w:rFonts w:ascii="Verdana" w:hAnsi="Verdana" w:cs="Arial"/>
          <w:u w:val="single"/>
          <w:lang w:val="el-GR"/>
        </w:rPr>
        <w:t xml:space="preserve"> </w:t>
      </w:r>
      <w:r w:rsidR="00FB16A7" w:rsidRPr="00FB16A7">
        <w:rPr>
          <w:rFonts w:ascii="Verdana" w:hAnsi="Verdana" w:cs="Arial"/>
          <w:b/>
          <w:bCs/>
          <w:u w:val="single"/>
          <w:lang w:val="el-GR"/>
        </w:rPr>
        <w:t>1</w:t>
      </w:r>
      <w:r w:rsidRPr="00F56907">
        <w:rPr>
          <w:rFonts w:ascii="Verdana" w:hAnsi="Verdana" w:cs="Arial"/>
          <w:b/>
          <w:bCs/>
          <w:u w:val="single"/>
          <w:lang w:val="el-GR"/>
        </w:rPr>
        <w:t xml:space="preserve">ο </w:t>
      </w:r>
      <w:r>
        <w:rPr>
          <w:rFonts w:ascii="Verdana" w:hAnsi="Verdana" w:cs="Arial"/>
          <w:b/>
          <w:bCs/>
          <w:u w:val="single"/>
          <w:lang w:val="el-GR"/>
        </w:rPr>
        <w:t>ΤΡΙΜΗΝΟ</w:t>
      </w:r>
      <w:r w:rsidR="00DD16F7" w:rsidRPr="00C43DAE">
        <w:rPr>
          <w:rFonts w:ascii="Verdana" w:hAnsi="Verdana" w:cs="Arial"/>
          <w:b/>
          <w:bCs/>
          <w:u w:val="single"/>
          <w:lang w:val="el-GR"/>
        </w:rPr>
        <w:t xml:space="preserve"> 202</w:t>
      </w:r>
      <w:r w:rsidR="00FB16A7" w:rsidRPr="00FB16A7">
        <w:rPr>
          <w:rFonts w:ascii="Verdana" w:hAnsi="Verdana" w:cs="Arial"/>
          <w:b/>
          <w:bCs/>
          <w:u w:val="single"/>
          <w:lang w:val="el-GR"/>
        </w:rPr>
        <w:t>5</w:t>
      </w:r>
    </w:p>
    <w:p w14:paraId="34B04F7F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B935066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73081ED" w14:textId="2A0F7078" w:rsidR="00C43DAE" w:rsidRPr="00C43DAE" w:rsidRDefault="00FB16A7" w:rsidP="00C43DAE">
      <w:pPr>
        <w:jc w:val="center"/>
        <w:rPr>
          <w:rFonts w:ascii="Verdana" w:hAnsi="Verdana" w:cs="Arial"/>
          <w:b/>
          <w:bCs/>
          <w:lang w:val="el-GR"/>
        </w:rPr>
      </w:pPr>
      <w:r>
        <w:rPr>
          <w:rFonts w:ascii="Verdana" w:hAnsi="Verdana" w:cs="Arial"/>
          <w:b/>
          <w:bCs/>
          <w:lang w:val="el-GR"/>
        </w:rPr>
        <w:t>Πλεόνασμα</w:t>
      </w:r>
      <w:r w:rsidR="00C43DAE" w:rsidRPr="00DA7033">
        <w:rPr>
          <w:rFonts w:ascii="Verdana" w:hAnsi="Verdana" w:cs="Arial"/>
          <w:b/>
          <w:bCs/>
          <w:lang w:val="el-GR"/>
        </w:rPr>
        <w:t xml:space="preserve"> </w:t>
      </w:r>
      <w:r w:rsidR="00C43DAE" w:rsidRPr="009F32BC">
        <w:rPr>
          <w:rFonts w:ascii="Verdana" w:hAnsi="Verdana" w:cs="Arial"/>
          <w:b/>
          <w:bCs/>
          <w:lang w:val="el-GR"/>
        </w:rPr>
        <w:t>€</w:t>
      </w:r>
      <w:r w:rsidR="007B58CA">
        <w:rPr>
          <w:rFonts w:ascii="Verdana" w:hAnsi="Verdana" w:cs="Arial"/>
          <w:b/>
          <w:bCs/>
          <w:lang w:val="el-GR"/>
        </w:rPr>
        <w:t>6</w:t>
      </w:r>
      <w:r>
        <w:rPr>
          <w:rFonts w:ascii="Verdana" w:hAnsi="Verdana" w:cs="Arial"/>
          <w:b/>
          <w:bCs/>
          <w:lang w:val="el-GR"/>
        </w:rPr>
        <w:t>19</w:t>
      </w:r>
      <w:r w:rsidR="000D0B9D" w:rsidRPr="009F32BC">
        <w:rPr>
          <w:rFonts w:ascii="Verdana" w:hAnsi="Verdana" w:cs="Arial"/>
          <w:b/>
          <w:bCs/>
          <w:lang w:val="el-GR"/>
        </w:rPr>
        <w:t>,</w:t>
      </w:r>
      <w:r>
        <w:rPr>
          <w:rFonts w:ascii="Verdana" w:hAnsi="Verdana" w:cs="Arial"/>
          <w:b/>
          <w:bCs/>
          <w:lang w:val="el-GR"/>
        </w:rPr>
        <w:t>1</w:t>
      </w:r>
      <w:r w:rsidR="000D0B9D" w:rsidRPr="009F32BC">
        <w:rPr>
          <w:rFonts w:ascii="Verdana" w:hAnsi="Verdana" w:cs="Arial"/>
          <w:b/>
          <w:bCs/>
          <w:lang w:val="el-GR"/>
        </w:rPr>
        <w:t xml:space="preserve"> </w:t>
      </w:r>
      <w:r w:rsidR="00C43DAE" w:rsidRPr="009F32BC">
        <w:rPr>
          <w:rFonts w:ascii="Verdana" w:hAnsi="Verdana" w:cs="Arial"/>
          <w:b/>
          <w:bCs/>
          <w:lang w:val="el-GR"/>
        </w:rPr>
        <w:t>εκ.</w:t>
      </w:r>
    </w:p>
    <w:p w14:paraId="300D7664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FA6EDB6" w14:textId="492F0EDB" w:rsidR="00F56907" w:rsidRDefault="00F5690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A7033">
        <w:rPr>
          <w:rFonts w:ascii="Verdana" w:hAnsi="Verdana" w:cs="Arial"/>
          <w:sz w:val="18"/>
          <w:szCs w:val="18"/>
          <w:lang w:val="el-GR"/>
        </w:rPr>
        <w:t xml:space="preserve">Τα προκαταρκτικά δημοσιονομικά αποτελέσματα που ετοιμάστηκαν από τη Στατιστική Υπηρεσία για την περίοδο </w:t>
      </w:r>
      <w:r w:rsidR="00FB16A7">
        <w:rPr>
          <w:rFonts w:ascii="Verdana" w:hAnsi="Verdana" w:cs="Arial"/>
          <w:sz w:val="18"/>
          <w:szCs w:val="18"/>
          <w:lang w:val="el-GR"/>
        </w:rPr>
        <w:t>Ιανουαρίου</w:t>
      </w:r>
      <w:r w:rsidR="00F246E3" w:rsidRPr="00DA7033">
        <w:rPr>
          <w:rFonts w:ascii="Verdana" w:hAnsi="Verdana" w:cs="Arial"/>
          <w:sz w:val="18"/>
          <w:szCs w:val="18"/>
          <w:lang w:val="el-GR"/>
        </w:rPr>
        <w:t>-</w:t>
      </w:r>
      <w:r w:rsidR="00FB16A7">
        <w:rPr>
          <w:rFonts w:ascii="Verdana" w:hAnsi="Verdana" w:cs="Arial"/>
          <w:sz w:val="18"/>
          <w:szCs w:val="18"/>
          <w:lang w:val="el-GR"/>
        </w:rPr>
        <w:t>Μαρτίου</w:t>
      </w:r>
      <w:r w:rsidRPr="00DA7033">
        <w:rPr>
          <w:rFonts w:ascii="Verdana" w:hAnsi="Verdana" w:cs="Arial"/>
          <w:sz w:val="18"/>
          <w:szCs w:val="18"/>
          <w:lang w:val="el-GR"/>
        </w:rPr>
        <w:t xml:space="preserve"> 202</w:t>
      </w:r>
      <w:r w:rsidR="00FB16A7">
        <w:rPr>
          <w:rFonts w:ascii="Verdana" w:hAnsi="Verdana" w:cs="Arial"/>
          <w:sz w:val="18"/>
          <w:szCs w:val="18"/>
          <w:lang w:val="el-GR"/>
        </w:rPr>
        <w:t>5</w:t>
      </w:r>
      <w:r w:rsidRPr="00DA7033">
        <w:rPr>
          <w:rFonts w:ascii="Verdana" w:hAnsi="Verdana" w:cs="Arial"/>
          <w:sz w:val="18"/>
          <w:szCs w:val="18"/>
          <w:lang w:val="el-GR"/>
        </w:rPr>
        <w:t xml:space="preserve"> καταδεικνύουν </w:t>
      </w:r>
      <w:r w:rsidR="00FB16A7" w:rsidRPr="00FB16A7">
        <w:rPr>
          <w:rFonts w:ascii="Verdana" w:hAnsi="Verdana" w:cs="Arial"/>
          <w:sz w:val="18"/>
          <w:szCs w:val="18"/>
          <w:lang w:val="el-GR"/>
        </w:rPr>
        <w:t>πλεόνασμα</w:t>
      </w:r>
      <w:r w:rsidRPr="00DA7033">
        <w:rPr>
          <w:rFonts w:ascii="Verdana" w:hAnsi="Verdana" w:cs="Arial"/>
          <w:sz w:val="18"/>
          <w:szCs w:val="18"/>
          <w:lang w:val="el-GR"/>
        </w:rPr>
        <w:t xml:space="preserve"> της Γενικής Κυβέρνησης της τάξης των </w:t>
      </w:r>
      <w:r w:rsidR="00FB16A7">
        <w:rPr>
          <w:rFonts w:ascii="Verdana" w:hAnsi="Verdana" w:cs="Arial"/>
          <w:sz w:val="18"/>
          <w:szCs w:val="18"/>
          <w:lang w:val="el-GR"/>
        </w:rPr>
        <w:t xml:space="preserve">    </w:t>
      </w:r>
      <w:r w:rsidRPr="009F32BC">
        <w:rPr>
          <w:rFonts w:ascii="Verdana" w:hAnsi="Verdana" w:cs="Arial"/>
          <w:sz w:val="18"/>
          <w:szCs w:val="18"/>
          <w:lang w:val="el-GR"/>
        </w:rPr>
        <w:t>€</w:t>
      </w:r>
      <w:r w:rsidR="007B58CA">
        <w:rPr>
          <w:rFonts w:ascii="Verdana" w:hAnsi="Verdana" w:cs="Arial"/>
          <w:sz w:val="18"/>
          <w:szCs w:val="18"/>
          <w:lang w:val="el-GR"/>
        </w:rPr>
        <w:t>6</w:t>
      </w:r>
      <w:r w:rsidR="00FB16A7">
        <w:rPr>
          <w:rFonts w:ascii="Verdana" w:hAnsi="Verdana" w:cs="Arial"/>
          <w:sz w:val="18"/>
          <w:szCs w:val="18"/>
          <w:lang w:val="el-GR"/>
        </w:rPr>
        <w:t>19</w:t>
      </w:r>
      <w:r w:rsidRPr="009F32BC">
        <w:rPr>
          <w:rFonts w:ascii="Verdana" w:hAnsi="Verdana" w:cs="Arial"/>
          <w:sz w:val="18"/>
          <w:szCs w:val="18"/>
          <w:lang w:val="el-GR"/>
        </w:rPr>
        <w:t>,</w:t>
      </w:r>
      <w:r w:rsidR="00FB16A7">
        <w:rPr>
          <w:rFonts w:ascii="Verdana" w:hAnsi="Verdana" w:cs="Arial"/>
          <w:sz w:val="18"/>
          <w:szCs w:val="18"/>
          <w:lang w:val="el-GR"/>
        </w:rPr>
        <w:t>1</w:t>
      </w:r>
      <w:r w:rsidRPr="009F32BC">
        <w:rPr>
          <w:rFonts w:ascii="Verdana" w:hAnsi="Verdana" w:cs="Arial"/>
          <w:sz w:val="18"/>
          <w:szCs w:val="18"/>
          <w:lang w:val="el-GR"/>
        </w:rPr>
        <w:t xml:space="preserve"> εκ. σε σύγκριση με</w:t>
      </w:r>
      <w:r w:rsidR="007B58CA">
        <w:rPr>
          <w:rFonts w:ascii="Verdana" w:hAnsi="Verdana" w:cs="Arial"/>
          <w:sz w:val="18"/>
          <w:szCs w:val="18"/>
          <w:lang w:val="el-GR"/>
        </w:rPr>
        <w:t xml:space="preserve"> </w:t>
      </w:r>
      <w:r w:rsidR="00FB16A7">
        <w:rPr>
          <w:rFonts w:ascii="Verdana" w:hAnsi="Verdana" w:cs="Arial"/>
          <w:sz w:val="18"/>
          <w:szCs w:val="18"/>
          <w:lang w:val="el-GR"/>
        </w:rPr>
        <w:t>πλεόνασμα</w:t>
      </w:r>
      <w:r w:rsidRPr="009F32BC">
        <w:rPr>
          <w:rFonts w:ascii="Verdana" w:hAnsi="Verdana" w:cs="Arial"/>
          <w:sz w:val="18"/>
          <w:szCs w:val="18"/>
          <w:lang w:val="el-GR"/>
        </w:rPr>
        <w:t xml:space="preserve"> €</w:t>
      </w:r>
      <w:r w:rsidR="00FB16A7">
        <w:rPr>
          <w:rFonts w:ascii="Verdana" w:hAnsi="Verdana" w:cs="Arial"/>
          <w:sz w:val="18"/>
          <w:szCs w:val="18"/>
          <w:lang w:val="el-GR"/>
        </w:rPr>
        <w:t>575</w:t>
      </w:r>
      <w:r w:rsidRPr="009F32BC">
        <w:rPr>
          <w:rFonts w:ascii="Verdana" w:hAnsi="Verdana" w:cs="Arial"/>
          <w:sz w:val="18"/>
          <w:szCs w:val="18"/>
          <w:lang w:val="el-GR"/>
        </w:rPr>
        <w:t>,</w:t>
      </w:r>
      <w:r w:rsidR="00FB16A7">
        <w:rPr>
          <w:rFonts w:ascii="Verdana" w:hAnsi="Verdana" w:cs="Arial"/>
          <w:sz w:val="18"/>
          <w:szCs w:val="18"/>
          <w:lang w:val="el-GR"/>
        </w:rPr>
        <w:t>7</w:t>
      </w:r>
      <w:r w:rsidRPr="009F32BC">
        <w:rPr>
          <w:rFonts w:ascii="Verdana" w:hAnsi="Verdana" w:cs="Arial"/>
          <w:sz w:val="18"/>
          <w:szCs w:val="18"/>
          <w:lang w:val="el-GR"/>
        </w:rPr>
        <w:t xml:space="preserve"> εκ. για την περίοδο </w:t>
      </w:r>
      <w:r w:rsidR="00FB16A7" w:rsidRPr="00FB16A7">
        <w:rPr>
          <w:rFonts w:ascii="Verdana" w:hAnsi="Verdana" w:cs="Arial"/>
          <w:sz w:val="18"/>
          <w:szCs w:val="18"/>
          <w:lang w:val="el-GR"/>
        </w:rPr>
        <w:t xml:space="preserve">Ιανουαρίου-Μαρτίου </w:t>
      </w:r>
      <w:r w:rsidR="00F246E3" w:rsidRPr="009F32BC">
        <w:rPr>
          <w:rFonts w:ascii="Verdana" w:hAnsi="Verdana" w:cs="Arial"/>
          <w:sz w:val="18"/>
          <w:szCs w:val="18"/>
          <w:lang w:val="el-GR"/>
        </w:rPr>
        <w:t>202</w:t>
      </w:r>
      <w:r w:rsidR="00FB16A7">
        <w:rPr>
          <w:rFonts w:ascii="Verdana" w:hAnsi="Verdana" w:cs="Arial"/>
          <w:sz w:val="18"/>
          <w:szCs w:val="18"/>
          <w:lang w:val="el-GR"/>
        </w:rPr>
        <w:t>4</w:t>
      </w:r>
      <w:r w:rsidRPr="009F32BC">
        <w:rPr>
          <w:rFonts w:ascii="Verdana" w:hAnsi="Verdana" w:cs="Arial"/>
          <w:sz w:val="18"/>
          <w:szCs w:val="18"/>
          <w:lang w:val="el-GR"/>
        </w:rPr>
        <w:t>.</w:t>
      </w:r>
    </w:p>
    <w:p w14:paraId="2190B7D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2738C4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FF633E3" w14:textId="596B8C09" w:rsidR="00981CAA" w:rsidRDefault="00627043" w:rsidP="00981CAA">
      <w:pPr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noProof/>
          <w:sz w:val="18"/>
          <w:szCs w:val="18"/>
          <w:lang w:val="el-GR"/>
        </w:rPr>
        <w:drawing>
          <wp:inline distT="0" distB="0" distL="0" distR="0" wp14:anchorId="22CE50A8" wp14:editId="688F3831">
            <wp:extent cx="6084570" cy="4871085"/>
            <wp:effectExtent l="0" t="0" r="0" b="5715"/>
            <wp:docPr id="155909987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487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158D74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5A78A08" w14:textId="7B3D8983" w:rsidR="00860C7C" w:rsidRDefault="00860C7C">
      <w:pPr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br w:type="page"/>
      </w:r>
    </w:p>
    <w:p w14:paraId="57670F59" w14:textId="1F3FB626" w:rsidR="00DD16F7" w:rsidRPr="00C43DAE" w:rsidRDefault="00C43DAE" w:rsidP="00DD16F7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lastRenderedPageBreak/>
        <w:t>Έσοδα</w:t>
      </w:r>
    </w:p>
    <w:p w14:paraId="0C586298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AA3B5E2" w14:textId="1672D866" w:rsidR="00F56907" w:rsidRPr="005168DF" w:rsidRDefault="00F56907" w:rsidP="00346E32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4950E8">
        <w:rPr>
          <w:rFonts w:ascii="Verdana" w:hAnsi="Verdana" w:cs="Arial"/>
          <w:sz w:val="18"/>
          <w:szCs w:val="18"/>
          <w:lang w:val="el-GR"/>
        </w:rPr>
        <w:t xml:space="preserve">Τα συνολικά έσοδα, κατά την περίοδο </w:t>
      </w:r>
      <w:r w:rsidR="00C50FA7" w:rsidRPr="00C50FA7">
        <w:rPr>
          <w:rFonts w:ascii="Verdana" w:hAnsi="Verdana" w:cs="Arial"/>
          <w:sz w:val="18"/>
          <w:szCs w:val="18"/>
          <w:lang w:val="el-GR"/>
        </w:rPr>
        <w:t>Ιανουαρίου-Μαρτίου</w:t>
      </w:r>
      <w:r w:rsidR="009D4D7F" w:rsidRPr="009D4D7F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4950E8">
        <w:rPr>
          <w:rFonts w:ascii="Verdana" w:hAnsi="Verdana" w:cs="Arial"/>
          <w:sz w:val="18"/>
          <w:szCs w:val="18"/>
          <w:lang w:val="el-GR"/>
        </w:rPr>
        <w:t>202</w:t>
      </w:r>
      <w:r w:rsidR="00C50FA7">
        <w:rPr>
          <w:rFonts w:ascii="Verdana" w:hAnsi="Verdana" w:cs="Arial"/>
          <w:sz w:val="18"/>
          <w:szCs w:val="18"/>
          <w:lang w:val="el-GR"/>
        </w:rPr>
        <w:t>5</w:t>
      </w:r>
      <w:r w:rsidRPr="004950E8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5168DF">
        <w:rPr>
          <w:rFonts w:ascii="Verdana" w:hAnsi="Verdana" w:cs="Arial"/>
          <w:sz w:val="18"/>
          <w:szCs w:val="18"/>
          <w:lang w:val="el-GR"/>
        </w:rPr>
        <w:t>αυξήθηκαν κατά €</w:t>
      </w:r>
      <w:r w:rsidR="007B58CA">
        <w:rPr>
          <w:rFonts w:ascii="Verdana" w:hAnsi="Verdana" w:cs="Arial"/>
          <w:sz w:val="18"/>
          <w:szCs w:val="18"/>
          <w:lang w:val="el-GR"/>
        </w:rPr>
        <w:t>2</w:t>
      </w:r>
      <w:r w:rsidR="00AC6834" w:rsidRPr="00AC6834">
        <w:rPr>
          <w:rFonts w:ascii="Verdana" w:hAnsi="Verdana" w:cs="Arial"/>
          <w:sz w:val="18"/>
          <w:szCs w:val="18"/>
          <w:lang w:val="el-GR"/>
        </w:rPr>
        <w:t>31</w:t>
      </w:r>
      <w:r w:rsidR="007B58CA">
        <w:rPr>
          <w:rFonts w:ascii="Verdana" w:hAnsi="Verdana" w:cs="Arial"/>
          <w:sz w:val="18"/>
          <w:szCs w:val="18"/>
          <w:lang w:val="el-GR"/>
        </w:rPr>
        <w:t>,</w:t>
      </w:r>
      <w:r w:rsidR="00AC6834" w:rsidRPr="00AC6834">
        <w:rPr>
          <w:rFonts w:ascii="Verdana" w:hAnsi="Verdana" w:cs="Arial"/>
          <w:sz w:val="18"/>
          <w:szCs w:val="18"/>
          <w:lang w:val="el-GR"/>
        </w:rPr>
        <w:t>2</w:t>
      </w:r>
      <w:r w:rsidRPr="005168DF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5C4361">
        <w:rPr>
          <w:rFonts w:ascii="Verdana" w:hAnsi="Verdana" w:cs="Arial"/>
          <w:sz w:val="18"/>
          <w:szCs w:val="18"/>
          <w:lang w:val="el-GR"/>
        </w:rPr>
        <w:t>6</w:t>
      </w:r>
      <w:r w:rsidRPr="005168DF">
        <w:rPr>
          <w:rFonts w:ascii="Verdana" w:hAnsi="Verdana" w:cs="Arial"/>
          <w:sz w:val="18"/>
          <w:szCs w:val="18"/>
          <w:lang w:val="el-GR"/>
        </w:rPr>
        <w:t>,</w:t>
      </w:r>
      <w:r w:rsidR="0036342D" w:rsidRPr="0036342D">
        <w:rPr>
          <w:rFonts w:ascii="Verdana" w:hAnsi="Verdana" w:cs="Arial"/>
          <w:sz w:val="18"/>
          <w:szCs w:val="18"/>
          <w:lang w:val="el-GR"/>
        </w:rPr>
        <w:t>8</w:t>
      </w:r>
      <w:r w:rsidRPr="005168DF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C50FA7">
        <w:rPr>
          <w:rFonts w:ascii="Verdana" w:hAnsi="Verdana" w:cs="Arial"/>
          <w:sz w:val="18"/>
          <w:szCs w:val="18"/>
          <w:lang w:val="el-GR"/>
        </w:rPr>
        <w:t>3</w:t>
      </w:r>
      <w:r w:rsidRPr="005168DF">
        <w:rPr>
          <w:rFonts w:ascii="Verdana" w:hAnsi="Verdana" w:cs="Arial"/>
          <w:sz w:val="18"/>
          <w:szCs w:val="18"/>
          <w:lang w:val="el-GR"/>
        </w:rPr>
        <w:t>.</w:t>
      </w:r>
      <w:r w:rsidR="00C50FA7">
        <w:rPr>
          <w:rFonts w:ascii="Verdana" w:hAnsi="Verdana" w:cs="Arial"/>
          <w:sz w:val="18"/>
          <w:szCs w:val="18"/>
          <w:lang w:val="el-GR"/>
        </w:rPr>
        <w:t>639</w:t>
      </w:r>
      <w:r w:rsidR="004950D5" w:rsidRPr="005168DF">
        <w:rPr>
          <w:rFonts w:ascii="Verdana" w:hAnsi="Verdana" w:cs="Arial"/>
          <w:sz w:val="18"/>
          <w:szCs w:val="18"/>
          <w:lang w:val="el-GR"/>
        </w:rPr>
        <w:t>,</w:t>
      </w:r>
      <w:r w:rsidR="00C50FA7">
        <w:rPr>
          <w:rFonts w:ascii="Verdana" w:hAnsi="Verdana" w:cs="Arial"/>
          <w:sz w:val="18"/>
          <w:szCs w:val="18"/>
          <w:lang w:val="el-GR"/>
        </w:rPr>
        <w:t>7</w:t>
      </w:r>
      <w:r w:rsidRPr="005168D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9D4D7F">
        <w:rPr>
          <w:rFonts w:ascii="Verdana" w:hAnsi="Verdana" w:cs="Arial"/>
          <w:sz w:val="18"/>
          <w:szCs w:val="18"/>
          <w:lang w:val="el-GR"/>
        </w:rPr>
        <w:t>3</w:t>
      </w:r>
      <w:r w:rsidRPr="005168DF">
        <w:rPr>
          <w:rFonts w:ascii="Verdana" w:hAnsi="Verdana" w:cs="Arial"/>
          <w:sz w:val="18"/>
          <w:szCs w:val="18"/>
          <w:lang w:val="el-GR"/>
        </w:rPr>
        <w:t>.</w:t>
      </w:r>
      <w:r w:rsidR="00C50FA7">
        <w:rPr>
          <w:rFonts w:ascii="Verdana" w:hAnsi="Verdana" w:cs="Arial"/>
          <w:sz w:val="18"/>
          <w:szCs w:val="18"/>
          <w:lang w:val="el-GR"/>
        </w:rPr>
        <w:t>408</w:t>
      </w:r>
      <w:r w:rsidRPr="005168DF">
        <w:rPr>
          <w:rFonts w:ascii="Verdana" w:hAnsi="Verdana" w:cs="Arial"/>
          <w:sz w:val="18"/>
          <w:szCs w:val="18"/>
          <w:lang w:val="el-GR"/>
        </w:rPr>
        <w:t>,</w:t>
      </w:r>
      <w:r w:rsidR="00C50FA7">
        <w:rPr>
          <w:rFonts w:ascii="Verdana" w:hAnsi="Verdana" w:cs="Arial"/>
          <w:sz w:val="18"/>
          <w:szCs w:val="18"/>
          <w:lang w:val="el-GR"/>
        </w:rPr>
        <w:t>5</w:t>
      </w:r>
      <w:r w:rsidRPr="005168DF">
        <w:rPr>
          <w:rFonts w:ascii="Verdana" w:hAnsi="Verdana" w:cs="Arial"/>
          <w:sz w:val="18"/>
          <w:szCs w:val="18"/>
          <w:lang w:val="el-GR"/>
        </w:rPr>
        <w:t xml:space="preserve"> εκ. την αντίστοιχη περίοδο του 202</w:t>
      </w:r>
      <w:r w:rsidR="000074B9">
        <w:rPr>
          <w:rFonts w:ascii="Verdana" w:hAnsi="Verdana" w:cs="Arial"/>
          <w:sz w:val="18"/>
          <w:szCs w:val="18"/>
          <w:lang w:val="el-GR"/>
        </w:rPr>
        <w:t>4</w:t>
      </w:r>
      <w:r w:rsidRPr="005168DF">
        <w:rPr>
          <w:rFonts w:ascii="Verdana" w:hAnsi="Verdana" w:cs="Arial"/>
          <w:sz w:val="18"/>
          <w:szCs w:val="18"/>
          <w:lang w:val="el-GR"/>
        </w:rPr>
        <w:t>.</w:t>
      </w:r>
    </w:p>
    <w:p w14:paraId="15856FE1" w14:textId="77777777" w:rsidR="00F56907" w:rsidRPr="005168DF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543F2B0" w14:textId="6067C782" w:rsidR="005C0F09" w:rsidRDefault="00F56907" w:rsidP="000074B9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AE1352">
        <w:rPr>
          <w:rFonts w:ascii="Verdana" w:hAnsi="Verdana" w:cs="Arial"/>
          <w:sz w:val="18"/>
          <w:szCs w:val="18"/>
          <w:lang w:val="el-GR"/>
        </w:rPr>
        <w:t xml:space="preserve">Συγκεκριμένα, </w:t>
      </w:r>
      <w:r w:rsidR="009D4D7F">
        <w:rPr>
          <w:rFonts w:ascii="Verdana" w:hAnsi="Verdana" w:cs="Arial"/>
          <w:sz w:val="18"/>
          <w:szCs w:val="18"/>
          <w:lang w:val="el-GR"/>
        </w:rPr>
        <w:t>ο</w:t>
      </w:r>
      <w:r w:rsidRPr="00AE1352">
        <w:rPr>
          <w:rFonts w:ascii="Verdana" w:hAnsi="Verdana" w:cs="Arial"/>
          <w:sz w:val="18"/>
          <w:szCs w:val="18"/>
          <w:lang w:val="el-GR"/>
        </w:rPr>
        <w:t>ι κοινωνικές εισφορές αυξήθηκαν κατά €</w:t>
      </w:r>
      <w:r w:rsidR="004950E8" w:rsidRPr="00AE1352">
        <w:rPr>
          <w:rFonts w:ascii="Verdana" w:hAnsi="Verdana" w:cs="Arial"/>
          <w:sz w:val="18"/>
          <w:szCs w:val="18"/>
          <w:lang w:val="el-GR"/>
        </w:rPr>
        <w:t>1</w:t>
      </w:r>
      <w:r w:rsidR="000074B9">
        <w:rPr>
          <w:rFonts w:ascii="Verdana" w:hAnsi="Verdana" w:cs="Arial"/>
          <w:sz w:val="18"/>
          <w:szCs w:val="18"/>
          <w:lang w:val="el-GR"/>
        </w:rPr>
        <w:t>39</w:t>
      </w:r>
      <w:r w:rsidRPr="00AE1352">
        <w:rPr>
          <w:rFonts w:ascii="Verdana" w:hAnsi="Verdana" w:cs="Arial"/>
          <w:sz w:val="18"/>
          <w:szCs w:val="18"/>
          <w:lang w:val="el-GR"/>
        </w:rPr>
        <w:t>,</w:t>
      </w:r>
      <w:r w:rsidR="000074B9">
        <w:rPr>
          <w:rFonts w:ascii="Verdana" w:hAnsi="Verdana" w:cs="Arial"/>
          <w:sz w:val="18"/>
          <w:szCs w:val="18"/>
          <w:lang w:val="el-GR"/>
        </w:rPr>
        <w:t>3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373AC7" w:rsidRPr="00AE1352">
        <w:rPr>
          <w:rFonts w:ascii="Verdana" w:hAnsi="Verdana" w:cs="Arial"/>
          <w:sz w:val="18"/>
          <w:szCs w:val="18"/>
          <w:lang w:val="el-GR"/>
        </w:rPr>
        <w:t>1</w:t>
      </w:r>
      <w:r w:rsidR="000074B9">
        <w:rPr>
          <w:rFonts w:ascii="Verdana" w:hAnsi="Verdana" w:cs="Arial"/>
          <w:sz w:val="18"/>
          <w:szCs w:val="18"/>
          <w:lang w:val="el-GR"/>
        </w:rPr>
        <w:t>3</w:t>
      </w:r>
      <w:r w:rsidRPr="00AE1352">
        <w:rPr>
          <w:rFonts w:ascii="Verdana" w:hAnsi="Verdana" w:cs="Arial"/>
          <w:sz w:val="18"/>
          <w:szCs w:val="18"/>
          <w:lang w:val="el-GR"/>
        </w:rPr>
        <w:t>,</w:t>
      </w:r>
      <w:r w:rsidR="000074B9">
        <w:rPr>
          <w:rFonts w:ascii="Verdana" w:hAnsi="Verdana" w:cs="Arial"/>
          <w:sz w:val="18"/>
          <w:szCs w:val="18"/>
          <w:lang w:val="el-GR"/>
        </w:rPr>
        <w:t>2</w:t>
      </w:r>
      <w:r w:rsidRPr="00AE1352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5168DF" w:rsidRPr="00AE1352">
        <w:rPr>
          <w:rFonts w:ascii="Verdana" w:hAnsi="Verdana" w:cs="Arial"/>
          <w:sz w:val="18"/>
          <w:szCs w:val="18"/>
          <w:lang w:val="el-GR"/>
        </w:rPr>
        <w:t>1.</w:t>
      </w:r>
      <w:r w:rsidR="000074B9">
        <w:rPr>
          <w:rFonts w:ascii="Verdana" w:hAnsi="Verdana" w:cs="Arial"/>
          <w:sz w:val="18"/>
          <w:szCs w:val="18"/>
          <w:lang w:val="el-GR"/>
        </w:rPr>
        <w:t>191</w:t>
      </w:r>
      <w:r w:rsidRPr="00AE1352">
        <w:rPr>
          <w:rFonts w:ascii="Verdana" w:hAnsi="Verdana" w:cs="Arial"/>
          <w:sz w:val="18"/>
          <w:szCs w:val="18"/>
          <w:lang w:val="el-GR"/>
        </w:rPr>
        <w:t>,</w:t>
      </w:r>
      <w:r w:rsidR="000074B9">
        <w:rPr>
          <w:rFonts w:ascii="Verdana" w:hAnsi="Verdana" w:cs="Arial"/>
          <w:sz w:val="18"/>
          <w:szCs w:val="18"/>
          <w:lang w:val="el-GR"/>
        </w:rPr>
        <w:t>4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7B58CA">
        <w:rPr>
          <w:rFonts w:ascii="Verdana" w:hAnsi="Verdana" w:cs="Arial"/>
          <w:sz w:val="18"/>
          <w:szCs w:val="18"/>
          <w:lang w:val="el-GR"/>
        </w:rPr>
        <w:t>1.</w:t>
      </w:r>
      <w:r w:rsidR="000074B9">
        <w:rPr>
          <w:rFonts w:ascii="Verdana" w:hAnsi="Verdana" w:cs="Arial"/>
          <w:sz w:val="18"/>
          <w:szCs w:val="18"/>
          <w:lang w:val="el-GR"/>
        </w:rPr>
        <w:t>052</w:t>
      </w:r>
      <w:r w:rsidRPr="00AE1352">
        <w:rPr>
          <w:rFonts w:ascii="Verdana" w:hAnsi="Verdana" w:cs="Arial"/>
          <w:sz w:val="18"/>
          <w:szCs w:val="18"/>
          <w:lang w:val="el-GR"/>
        </w:rPr>
        <w:t>,</w:t>
      </w:r>
      <w:r w:rsidR="000074B9">
        <w:rPr>
          <w:rFonts w:ascii="Verdana" w:hAnsi="Verdana" w:cs="Arial"/>
          <w:sz w:val="18"/>
          <w:szCs w:val="18"/>
          <w:lang w:val="el-GR"/>
        </w:rPr>
        <w:t>1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="000074B9">
        <w:rPr>
          <w:rFonts w:ascii="Verdana" w:hAnsi="Verdana" w:cs="Arial"/>
          <w:sz w:val="18"/>
          <w:szCs w:val="18"/>
          <w:lang w:val="el-GR"/>
        </w:rPr>
        <w:t>πρώτο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0074B9">
        <w:rPr>
          <w:rFonts w:ascii="Verdana" w:hAnsi="Verdana" w:cs="Arial"/>
          <w:sz w:val="18"/>
          <w:szCs w:val="18"/>
          <w:lang w:val="el-GR"/>
        </w:rPr>
        <w:t>4</w:t>
      </w:r>
      <w:r w:rsidRPr="00AE1352">
        <w:rPr>
          <w:rFonts w:ascii="Verdana" w:hAnsi="Verdana" w:cs="Arial"/>
          <w:sz w:val="18"/>
          <w:szCs w:val="18"/>
          <w:lang w:val="el-GR"/>
        </w:rPr>
        <w:t>. Τα έσοδα από τη φορολογία στο εισόδημα και τον πλούτο αυξήθηκαν κατά</w:t>
      </w:r>
      <w:r w:rsidR="0055706D" w:rsidRPr="00AE1352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AE1352">
        <w:rPr>
          <w:rFonts w:ascii="Verdana" w:hAnsi="Verdana" w:cs="Arial"/>
          <w:sz w:val="18"/>
          <w:szCs w:val="18"/>
          <w:lang w:val="el-GR"/>
        </w:rPr>
        <w:t>€</w:t>
      </w:r>
      <w:r w:rsidR="000074B9">
        <w:rPr>
          <w:rFonts w:ascii="Verdana" w:hAnsi="Verdana" w:cs="Arial"/>
          <w:sz w:val="18"/>
          <w:szCs w:val="18"/>
          <w:lang w:val="el-GR"/>
        </w:rPr>
        <w:t>70</w:t>
      </w:r>
      <w:r w:rsidRPr="00AE1352">
        <w:rPr>
          <w:rFonts w:ascii="Verdana" w:hAnsi="Verdana" w:cs="Arial"/>
          <w:sz w:val="18"/>
          <w:szCs w:val="18"/>
          <w:lang w:val="el-GR"/>
        </w:rPr>
        <w:t>,</w:t>
      </w:r>
      <w:r w:rsidR="007B58CA">
        <w:rPr>
          <w:rFonts w:ascii="Verdana" w:hAnsi="Verdana" w:cs="Arial"/>
          <w:sz w:val="18"/>
          <w:szCs w:val="18"/>
          <w:lang w:val="el-GR"/>
        </w:rPr>
        <w:t>7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0074B9">
        <w:rPr>
          <w:rFonts w:ascii="Verdana" w:hAnsi="Verdana" w:cs="Arial"/>
          <w:sz w:val="18"/>
          <w:szCs w:val="18"/>
          <w:lang w:val="el-GR"/>
        </w:rPr>
        <w:t>7</w:t>
      </w:r>
      <w:r w:rsidRPr="00AE1352">
        <w:rPr>
          <w:rFonts w:ascii="Verdana" w:hAnsi="Verdana" w:cs="Arial"/>
          <w:sz w:val="18"/>
          <w:szCs w:val="18"/>
          <w:lang w:val="el-GR"/>
        </w:rPr>
        <w:t>,</w:t>
      </w:r>
      <w:r w:rsidR="000074B9">
        <w:rPr>
          <w:rFonts w:ascii="Verdana" w:hAnsi="Verdana" w:cs="Arial"/>
          <w:sz w:val="18"/>
          <w:szCs w:val="18"/>
          <w:lang w:val="el-GR"/>
        </w:rPr>
        <w:t>7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2C2490" w:rsidRPr="00AE1352">
        <w:rPr>
          <w:rFonts w:ascii="Verdana" w:hAnsi="Verdana" w:cs="Arial"/>
          <w:sz w:val="18"/>
          <w:szCs w:val="18"/>
          <w:lang w:val="el-GR"/>
        </w:rPr>
        <w:t>€</w:t>
      </w:r>
      <w:r w:rsidR="000074B9">
        <w:rPr>
          <w:rFonts w:ascii="Verdana" w:hAnsi="Verdana" w:cs="Arial"/>
          <w:sz w:val="18"/>
          <w:szCs w:val="18"/>
          <w:lang w:val="el-GR"/>
        </w:rPr>
        <w:t>985,9</w:t>
      </w:r>
      <w:r w:rsidR="002C2490" w:rsidRPr="00AE1352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AE1352">
        <w:rPr>
          <w:rFonts w:ascii="Verdana" w:hAnsi="Verdana" w:cs="Arial"/>
          <w:sz w:val="18"/>
          <w:szCs w:val="18"/>
          <w:lang w:val="el-GR"/>
        </w:rPr>
        <w:t>εκ. σε σύγκριση με €</w:t>
      </w:r>
      <w:r w:rsidR="007B58CA">
        <w:rPr>
          <w:rFonts w:ascii="Verdana" w:hAnsi="Verdana" w:cs="Arial"/>
          <w:sz w:val="18"/>
          <w:szCs w:val="18"/>
          <w:lang w:val="el-GR"/>
        </w:rPr>
        <w:t>9</w:t>
      </w:r>
      <w:r w:rsidR="000074B9">
        <w:rPr>
          <w:rFonts w:ascii="Verdana" w:hAnsi="Verdana" w:cs="Arial"/>
          <w:sz w:val="18"/>
          <w:szCs w:val="18"/>
          <w:lang w:val="el-GR"/>
        </w:rPr>
        <w:t>15</w:t>
      </w:r>
      <w:r w:rsidRPr="00AE1352">
        <w:rPr>
          <w:rFonts w:ascii="Verdana" w:hAnsi="Verdana" w:cs="Arial"/>
          <w:sz w:val="18"/>
          <w:szCs w:val="18"/>
          <w:lang w:val="el-GR"/>
        </w:rPr>
        <w:t>,</w:t>
      </w:r>
      <w:r w:rsidR="000074B9">
        <w:rPr>
          <w:rFonts w:ascii="Verdana" w:hAnsi="Verdana" w:cs="Arial"/>
          <w:sz w:val="18"/>
          <w:szCs w:val="18"/>
          <w:lang w:val="el-GR"/>
        </w:rPr>
        <w:t>2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 εκ. το αντίστοιχο τρίμηνο του 202</w:t>
      </w:r>
      <w:r w:rsidR="000074B9">
        <w:rPr>
          <w:rFonts w:ascii="Verdana" w:hAnsi="Verdana" w:cs="Arial"/>
          <w:sz w:val="18"/>
          <w:szCs w:val="18"/>
          <w:lang w:val="el-GR"/>
        </w:rPr>
        <w:t>4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. </w:t>
      </w:r>
      <w:r w:rsidR="002C2490" w:rsidRPr="00AE1352">
        <w:rPr>
          <w:rFonts w:ascii="Verdana" w:hAnsi="Verdana" w:cs="Arial"/>
          <w:sz w:val="18"/>
          <w:szCs w:val="18"/>
          <w:lang w:val="el-GR"/>
        </w:rPr>
        <w:t xml:space="preserve">Τα έσοδα από παροχή  αγαθών και υπηρεσιών </w:t>
      </w:r>
      <w:r w:rsidR="004950D5" w:rsidRPr="00AE1352">
        <w:rPr>
          <w:rFonts w:ascii="Verdana" w:hAnsi="Verdana" w:cs="Arial"/>
          <w:sz w:val="18"/>
          <w:szCs w:val="18"/>
          <w:lang w:val="el-GR"/>
        </w:rPr>
        <w:t>αυξήθηκαν κατά €</w:t>
      </w:r>
      <w:r w:rsidR="000074B9">
        <w:rPr>
          <w:rFonts w:ascii="Verdana" w:hAnsi="Verdana" w:cs="Arial"/>
          <w:sz w:val="18"/>
          <w:szCs w:val="18"/>
          <w:lang w:val="el-GR"/>
        </w:rPr>
        <w:t>57</w:t>
      </w:r>
      <w:r w:rsidR="004950D5" w:rsidRPr="00AE1352">
        <w:rPr>
          <w:rFonts w:ascii="Verdana" w:hAnsi="Verdana" w:cs="Arial"/>
          <w:sz w:val="18"/>
          <w:szCs w:val="18"/>
          <w:lang w:val="el-GR"/>
        </w:rPr>
        <w:t>,</w:t>
      </w:r>
      <w:r w:rsidR="000074B9">
        <w:rPr>
          <w:rFonts w:ascii="Verdana" w:hAnsi="Verdana" w:cs="Arial"/>
          <w:sz w:val="18"/>
          <w:szCs w:val="18"/>
          <w:lang w:val="el-GR"/>
        </w:rPr>
        <w:t>3</w:t>
      </w:r>
      <w:r w:rsidR="004950D5" w:rsidRPr="00AE1352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2C2490" w:rsidRPr="00AE1352">
        <w:rPr>
          <w:rFonts w:ascii="Verdana" w:hAnsi="Verdana" w:cs="Arial"/>
          <w:sz w:val="18"/>
          <w:szCs w:val="18"/>
          <w:lang w:val="el-GR"/>
        </w:rPr>
        <w:t>(+</w:t>
      </w:r>
      <w:r w:rsidR="000074B9">
        <w:rPr>
          <w:rFonts w:ascii="Verdana" w:hAnsi="Verdana" w:cs="Arial"/>
          <w:sz w:val="18"/>
          <w:szCs w:val="18"/>
          <w:lang w:val="el-GR"/>
        </w:rPr>
        <w:t>26</w:t>
      </w:r>
      <w:r w:rsidR="002C2490" w:rsidRPr="00AE1352">
        <w:rPr>
          <w:rFonts w:ascii="Verdana" w:hAnsi="Verdana" w:cs="Arial"/>
          <w:sz w:val="18"/>
          <w:szCs w:val="18"/>
          <w:lang w:val="el-GR"/>
        </w:rPr>
        <w:t>,</w:t>
      </w:r>
      <w:r w:rsidR="000074B9">
        <w:rPr>
          <w:rFonts w:ascii="Verdana" w:hAnsi="Verdana" w:cs="Arial"/>
          <w:sz w:val="18"/>
          <w:szCs w:val="18"/>
          <w:lang w:val="el-GR"/>
        </w:rPr>
        <w:t>4</w:t>
      </w:r>
      <w:r w:rsidR="002C2490" w:rsidRPr="00AE1352">
        <w:rPr>
          <w:rFonts w:ascii="Verdana" w:hAnsi="Verdana" w:cs="Arial"/>
          <w:sz w:val="18"/>
          <w:szCs w:val="18"/>
          <w:lang w:val="el-GR"/>
        </w:rPr>
        <w:t xml:space="preserve">%) </w:t>
      </w:r>
      <w:r w:rsidR="004950D5" w:rsidRPr="00AE1352">
        <w:rPr>
          <w:rFonts w:ascii="Verdana" w:hAnsi="Verdana" w:cs="Arial"/>
          <w:sz w:val="18"/>
          <w:szCs w:val="18"/>
          <w:lang w:val="el-GR"/>
        </w:rPr>
        <w:t>και ανήλθαν στα €</w:t>
      </w:r>
      <w:r w:rsidR="000074B9">
        <w:rPr>
          <w:rFonts w:ascii="Verdana" w:hAnsi="Verdana" w:cs="Arial"/>
          <w:sz w:val="18"/>
          <w:szCs w:val="18"/>
          <w:lang w:val="el-GR"/>
        </w:rPr>
        <w:t>274</w:t>
      </w:r>
      <w:r w:rsidR="004950D5" w:rsidRPr="00AE1352">
        <w:rPr>
          <w:rFonts w:ascii="Verdana" w:hAnsi="Verdana" w:cs="Arial"/>
          <w:sz w:val="18"/>
          <w:szCs w:val="18"/>
          <w:lang w:val="el-GR"/>
        </w:rPr>
        <w:t>,</w:t>
      </w:r>
      <w:r w:rsidR="000074B9">
        <w:rPr>
          <w:rFonts w:ascii="Verdana" w:hAnsi="Verdana" w:cs="Arial"/>
          <w:sz w:val="18"/>
          <w:szCs w:val="18"/>
          <w:lang w:val="el-GR"/>
        </w:rPr>
        <w:t>6</w:t>
      </w:r>
      <w:r w:rsidR="004950D5" w:rsidRPr="00AE1352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9D4D7F">
        <w:rPr>
          <w:rFonts w:ascii="Verdana" w:hAnsi="Verdana" w:cs="Arial"/>
          <w:sz w:val="18"/>
          <w:szCs w:val="18"/>
          <w:lang w:val="el-GR"/>
        </w:rPr>
        <w:t>2</w:t>
      </w:r>
      <w:r w:rsidR="000074B9">
        <w:rPr>
          <w:rFonts w:ascii="Verdana" w:hAnsi="Verdana" w:cs="Arial"/>
          <w:sz w:val="18"/>
          <w:szCs w:val="18"/>
          <w:lang w:val="el-GR"/>
        </w:rPr>
        <w:t>17</w:t>
      </w:r>
      <w:r w:rsidR="004950D5" w:rsidRPr="00AE1352">
        <w:rPr>
          <w:rFonts w:ascii="Verdana" w:hAnsi="Verdana" w:cs="Arial"/>
          <w:sz w:val="18"/>
          <w:szCs w:val="18"/>
          <w:lang w:val="el-GR"/>
        </w:rPr>
        <w:t>,</w:t>
      </w:r>
      <w:r w:rsidR="000074B9">
        <w:rPr>
          <w:rFonts w:ascii="Verdana" w:hAnsi="Verdana" w:cs="Arial"/>
          <w:sz w:val="18"/>
          <w:szCs w:val="18"/>
          <w:lang w:val="el-GR"/>
        </w:rPr>
        <w:t>3</w:t>
      </w:r>
      <w:r w:rsidR="004950D5" w:rsidRPr="00AE1352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="000074B9">
        <w:rPr>
          <w:rFonts w:ascii="Verdana" w:hAnsi="Verdana" w:cs="Arial"/>
          <w:sz w:val="18"/>
          <w:szCs w:val="18"/>
          <w:lang w:val="el-GR"/>
        </w:rPr>
        <w:t>πρώτο</w:t>
      </w:r>
      <w:r w:rsidR="004950D5" w:rsidRPr="00AE1352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0074B9">
        <w:rPr>
          <w:rFonts w:ascii="Verdana" w:hAnsi="Verdana" w:cs="Arial"/>
          <w:sz w:val="18"/>
          <w:szCs w:val="18"/>
          <w:lang w:val="el-GR"/>
        </w:rPr>
        <w:t>4</w:t>
      </w:r>
      <w:r w:rsidR="004950D5" w:rsidRPr="00AE1352">
        <w:rPr>
          <w:rFonts w:ascii="Verdana" w:hAnsi="Verdana" w:cs="Arial"/>
          <w:sz w:val="18"/>
          <w:szCs w:val="18"/>
          <w:lang w:val="el-GR"/>
        </w:rPr>
        <w:t xml:space="preserve">. </w:t>
      </w:r>
      <w:r w:rsidR="000074B9">
        <w:rPr>
          <w:rFonts w:ascii="Verdana" w:hAnsi="Verdana" w:cs="Arial"/>
          <w:sz w:val="18"/>
          <w:szCs w:val="18"/>
          <w:lang w:val="el-GR"/>
        </w:rPr>
        <w:t>Ο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 xml:space="preserve">ι φόροι επί της παραγωγής και των εισαγωγών </w:t>
      </w:r>
      <w:r w:rsidR="000074B9">
        <w:rPr>
          <w:rFonts w:ascii="Verdana" w:hAnsi="Verdana" w:cs="Arial"/>
          <w:sz w:val="18"/>
          <w:szCs w:val="18"/>
          <w:lang w:val="el-GR"/>
        </w:rPr>
        <w:t>αυξή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>θηκαν κατά €</w:t>
      </w:r>
      <w:r w:rsidR="000074B9">
        <w:rPr>
          <w:rFonts w:ascii="Verdana" w:hAnsi="Verdana" w:cs="Arial"/>
          <w:sz w:val="18"/>
          <w:szCs w:val="18"/>
          <w:lang w:val="el-GR"/>
        </w:rPr>
        <w:t>28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>,</w:t>
      </w:r>
      <w:r w:rsidR="000074B9">
        <w:rPr>
          <w:rFonts w:ascii="Verdana" w:hAnsi="Verdana" w:cs="Arial"/>
          <w:sz w:val="18"/>
          <w:szCs w:val="18"/>
          <w:lang w:val="el-GR"/>
        </w:rPr>
        <w:t>0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0074B9">
        <w:rPr>
          <w:rFonts w:ascii="Verdana" w:hAnsi="Verdana" w:cs="Arial"/>
          <w:sz w:val="18"/>
          <w:szCs w:val="18"/>
          <w:lang w:val="el-GR"/>
        </w:rPr>
        <w:t>+2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>,</w:t>
      </w:r>
      <w:r w:rsidR="000074B9">
        <w:rPr>
          <w:rFonts w:ascii="Verdana" w:hAnsi="Verdana" w:cs="Arial"/>
          <w:sz w:val="18"/>
          <w:szCs w:val="18"/>
          <w:lang w:val="el-GR"/>
        </w:rPr>
        <w:t>6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0074B9">
        <w:rPr>
          <w:rFonts w:ascii="Verdana" w:hAnsi="Verdana" w:cs="Arial"/>
          <w:sz w:val="18"/>
          <w:szCs w:val="18"/>
          <w:lang w:val="el-GR"/>
        </w:rPr>
        <w:t>ανήλθαν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 xml:space="preserve"> στα €1.</w:t>
      </w:r>
      <w:r w:rsidR="000074B9">
        <w:rPr>
          <w:rFonts w:ascii="Verdana" w:hAnsi="Verdana" w:cs="Arial"/>
          <w:sz w:val="18"/>
          <w:szCs w:val="18"/>
          <w:lang w:val="el-GR"/>
        </w:rPr>
        <w:t>100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>,</w:t>
      </w:r>
      <w:r w:rsidR="000074B9">
        <w:rPr>
          <w:rFonts w:ascii="Verdana" w:hAnsi="Verdana" w:cs="Arial"/>
          <w:sz w:val="18"/>
          <w:szCs w:val="18"/>
          <w:lang w:val="el-GR"/>
        </w:rPr>
        <w:t>7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 xml:space="preserve"> εκ. σε σύγκριση με €1.</w:t>
      </w:r>
      <w:r w:rsidR="000074B9">
        <w:rPr>
          <w:rFonts w:ascii="Verdana" w:hAnsi="Verdana" w:cs="Arial"/>
          <w:sz w:val="18"/>
          <w:szCs w:val="18"/>
          <w:lang w:val="el-GR"/>
        </w:rPr>
        <w:t>072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>,</w:t>
      </w:r>
      <w:r w:rsidR="000074B9">
        <w:rPr>
          <w:rFonts w:ascii="Verdana" w:hAnsi="Verdana" w:cs="Arial"/>
          <w:sz w:val="18"/>
          <w:szCs w:val="18"/>
          <w:lang w:val="el-GR"/>
        </w:rPr>
        <w:t>7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="00CA3823" w:rsidRPr="00CA3823">
        <w:rPr>
          <w:rFonts w:ascii="Verdana" w:hAnsi="Verdana" w:cs="Arial"/>
          <w:sz w:val="18"/>
          <w:szCs w:val="18"/>
          <w:lang w:val="el-GR"/>
        </w:rPr>
        <w:t>αντίστοιχο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0074B9">
        <w:rPr>
          <w:rFonts w:ascii="Verdana" w:hAnsi="Verdana" w:cs="Arial"/>
          <w:sz w:val="18"/>
          <w:szCs w:val="18"/>
          <w:lang w:val="el-GR"/>
        </w:rPr>
        <w:t>4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 xml:space="preserve">, εκ των οποίων τα καθαρά έσοδα του ΦΠΑ (μετά την αφαίρεση των επιστροφών) </w:t>
      </w:r>
      <w:r w:rsidR="000074B9">
        <w:rPr>
          <w:rFonts w:ascii="Verdana" w:hAnsi="Verdana" w:cs="Arial"/>
          <w:sz w:val="18"/>
          <w:szCs w:val="18"/>
          <w:lang w:val="el-GR"/>
        </w:rPr>
        <w:t>αυξή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>θηκαν κατά €</w:t>
      </w:r>
      <w:r w:rsidR="000074B9">
        <w:rPr>
          <w:rFonts w:ascii="Verdana" w:hAnsi="Verdana" w:cs="Arial"/>
          <w:sz w:val="18"/>
          <w:szCs w:val="18"/>
          <w:lang w:val="el-GR"/>
        </w:rPr>
        <w:t>4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>,</w:t>
      </w:r>
      <w:r w:rsidR="000074B9">
        <w:rPr>
          <w:rFonts w:ascii="Verdana" w:hAnsi="Verdana" w:cs="Arial"/>
          <w:sz w:val="18"/>
          <w:szCs w:val="18"/>
          <w:lang w:val="el-GR"/>
        </w:rPr>
        <w:t>8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0074B9">
        <w:rPr>
          <w:rFonts w:ascii="Verdana" w:hAnsi="Verdana" w:cs="Arial"/>
          <w:sz w:val="18"/>
          <w:szCs w:val="18"/>
          <w:lang w:val="el-GR"/>
        </w:rPr>
        <w:t>+0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>,</w:t>
      </w:r>
      <w:r w:rsidR="000074B9">
        <w:rPr>
          <w:rFonts w:ascii="Verdana" w:hAnsi="Verdana" w:cs="Arial"/>
          <w:sz w:val="18"/>
          <w:szCs w:val="18"/>
          <w:lang w:val="el-GR"/>
        </w:rPr>
        <w:t>7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0074B9">
        <w:rPr>
          <w:rFonts w:ascii="Verdana" w:hAnsi="Verdana" w:cs="Arial"/>
          <w:sz w:val="18"/>
          <w:szCs w:val="18"/>
          <w:lang w:val="el-GR"/>
        </w:rPr>
        <w:t>ανήλθαν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0074B9">
        <w:rPr>
          <w:rFonts w:ascii="Verdana" w:hAnsi="Verdana" w:cs="Arial"/>
          <w:sz w:val="18"/>
          <w:szCs w:val="18"/>
          <w:lang w:val="el-GR"/>
        </w:rPr>
        <w:t>733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>,</w:t>
      </w:r>
      <w:r w:rsidR="000074B9">
        <w:rPr>
          <w:rFonts w:ascii="Verdana" w:hAnsi="Verdana" w:cs="Arial"/>
          <w:sz w:val="18"/>
          <w:szCs w:val="18"/>
          <w:lang w:val="el-GR"/>
        </w:rPr>
        <w:t>2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0074B9">
        <w:rPr>
          <w:rFonts w:ascii="Verdana" w:hAnsi="Verdana" w:cs="Arial"/>
          <w:sz w:val="18"/>
          <w:szCs w:val="18"/>
          <w:lang w:val="el-GR"/>
        </w:rPr>
        <w:t>728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>,</w:t>
      </w:r>
      <w:r w:rsidR="000074B9">
        <w:rPr>
          <w:rFonts w:ascii="Verdana" w:hAnsi="Verdana" w:cs="Arial"/>
          <w:sz w:val="18"/>
          <w:szCs w:val="18"/>
          <w:lang w:val="el-GR"/>
        </w:rPr>
        <w:t>4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="00CA3823" w:rsidRPr="00CA3823">
        <w:rPr>
          <w:rFonts w:ascii="Verdana" w:hAnsi="Verdana" w:cs="Arial"/>
          <w:sz w:val="18"/>
          <w:szCs w:val="18"/>
          <w:lang w:val="el-GR"/>
        </w:rPr>
        <w:t>πρώτο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0074B9">
        <w:rPr>
          <w:rFonts w:ascii="Verdana" w:hAnsi="Verdana" w:cs="Arial"/>
          <w:sz w:val="18"/>
          <w:szCs w:val="18"/>
          <w:lang w:val="el-GR"/>
        </w:rPr>
        <w:t>4</w:t>
      </w:r>
      <w:r w:rsidR="000074B9" w:rsidRPr="005C0F09">
        <w:rPr>
          <w:rFonts w:ascii="Verdana" w:hAnsi="Verdana" w:cs="Arial"/>
          <w:sz w:val="18"/>
          <w:szCs w:val="18"/>
          <w:lang w:val="el-GR"/>
        </w:rPr>
        <w:t xml:space="preserve">. </w:t>
      </w:r>
    </w:p>
    <w:p w14:paraId="16A7BB6B" w14:textId="77777777" w:rsidR="000074B9" w:rsidRDefault="000074B9" w:rsidP="000074B9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29BBB4" w14:textId="7C22D321" w:rsidR="000074B9" w:rsidRPr="000074B9" w:rsidRDefault="009D4D7F" w:rsidP="000074B9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5C0F09">
        <w:rPr>
          <w:rFonts w:ascii="Verdana" w:hAnsi="Verdana" w:cs="Arial"/>
          <w:sz w:val="18"/>
          <w:szCs w:val="18"/>
          <w:lang w:val="el-GR"/>
        </w:rPr>
        <w:t xml:space="preserve">Αντιθέτως, </w:t>
      </w:r>
      <w:r w:rsidR="000074B9">
        <w:rPr>
          <w:rFonts w:ascii="Verdana" w:hAnsi="Verdana" w:cs="Arial"/>
          <w:sz w:val="18"/>
          <w:szCs w:val="18"/>
          <w:lang w:val="el-GR"/>
        </w:rPr>
        <w:t>ο</w:t>
      </w:r>
      <w:r w:rsidRPr="005C0F09">
        <w:rPr>
          <w:rFonts w:ascii="Verdana" w:hAnsi="Verdana" w:cs="Arial"/>
          <w:sz w:val="18"/>
          <w:szCs w:val="18"/>
          <w:lang w:val="el-GR"/>
        </w:rPr>
        <w:t>ι τρέχουσες μεταβιβάσεις μειώθηκαν κατά €</w:t>
      </w:r>
      <w:r w:rsidR="007B58CA">
        <w:rPr>
          <w:rFonts w:ascii="Verdana" w:hAnsi="Verdana" w:cs="Arial"/>
          <w:sz w:val="18"/>
          <w:szCs w:val="18"/>
          <w:lang w:val="el-GR"/>
        </w:rPr>
        <w:t>5</w:t>
      </w:r>
      <w:r w:rsidR="000074B9">
        <w:rPr>
          <w:rFonts w:ascii="Verdana" w:hAnsi="Verdana" w:cs="Arial"/>
          <w:sz w:val="18"/>
          <w:szCs w:val="18"/>
          <w:lang w:val="el-GR"/>
        </w:rPr>
        <w:t>2</w:t>
      </w:r>
      <w:r w:rsidRPr="005C0F09">
        <w:rPr>
          <w:rFonts w:ascii="Verdana" w:hAnsi="Verdana" w:cs="Arial"/>
          <w:sz w:val="18"/>
          <w:szCs w:val="18"/>
          <w:lang w:val="el-GR"/>
        </w:rPr>
        <w:t>,</w:t>
      </w:r>
      <w:r w:rsidR="000074B9">
        <w:rPr>
          <w:rFonts w:ascii="Verdana" w:hAnsi="Verdana" w:cs="Arial"/>
          <w:sz w:val="18"/>
          <w:szCs w:val="18"/>
          <w:lang w:val="el-GR"/>
        </w:rPr>
        <w:t>3</w:t>
      </w:r>
      <w:r w:rsidRPr="005C0F09">
        <w:rPr>
          <w:rFonts w:ascii="Verdana" w:hAnsi="Verdana" w:cs="Arial"/>
          <w:sz w:val="18"/>
          <w:szCs w:val="18"/>
          <w:lang w:val="el-GR"/>
        </w:rPr>
        <w:t xml:space="preserve"> εκ. (-</w:t>
      </w:r>
      <w:r w:rsidR="000074B9">
        <w:rPr>
          <w:rFonts w:ascii="Verdana" w:hAnsi="Verdana" w:cs="Arial"/>
          <w:sz w:val="18"/>
          <w:szCs w:val="18"/>
          <w:lang w:val="el-GR"/>
        </w:rPr>
        <w:t>44</w:t>
      </w:r>
      <w:r w:rsidRPr="005C0F09">
        <w:rPr>
          <w:rFonts w:ascii="Verdana" w:hAnsi="Verdana" w:cs="Arial"/>
          <w:sz w:val="18"/>
          <w:szCs w:val="18"/>
          <w:lang w:val="el-GR"/>
        </w:rPr>
        <w:t>,</w:t>
      </w:r>
      <w:r w:rsidR="000074B9">
        <w:rPr>
          <w:rFonts w:ascii="Verdana" w:hAnsi="Verdana" w:cs="Arial"/>
          <w:sz w:val="18"/>
          <w:szCs w:val="18"/>
          <w:lang w:val="el-GR"/>
        </w:rPr>
        <w:t>2</w:t>
      </w:r>
      <w:r w:rsidRPr="005C0F09">
        <w:rPr>
          <w:rFonts w:ascii="Verdana" w:hAnsi="Verdana" w:cs="Arial"/>
          <w:sz w:val="18"/>
          <w:szCs w:val="18"/>
          <w:lang w:val="el-GR"/>
        </w:rPr>
        <w:t>%) και περιορίστηκαν στα €</w:t>
      </w:r>
      <w:r w:rsidR="000074B9">
        <w:rPr>
          <w:rFonts w:ascii="Verdana" w:hAnsi="Verdana" w:cs="Arial"/>
          <w:sz w:val="18"/>
          <w:szCs w:val="18"/>
          <w:lang w:val="el-GR"/>
        </w:rPr>
        <w:t>66</w:t>
      </w:r>
      <w:r w:rsidRPr="005C0F09">
        <w:rPr>
          <w:rFonts w:ascii="Verdana" w:hAnsi="Verdana" w:cs="Arial"/>
          <w:sz w:val="18"/>
          <w:szCs w:val="18"/>
          <w:lang w:val="el-GR"/>
        </w:rPr>
        <w:t>,</w:t>
      </w:r>
      <w:r w:rsidR="000074B9">
        <w:rPr>
          <w:rFonts w:ascii="Verdana" w:hAnsi="Verdana" w:cs="Arial"/>
          <w:sz w:val="18"/>
          <w:szCs w:val="18"/>
          <w:lang w:val="el-GR"/>
        </w:rPr>
        <w:t>0</w:t>
      </w:r>
      <w:r w:rsidRPr="005C0F09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0074B9">
        <w:rPr>
          <w:rFonts w:ascii="Verdana" w:hAnsi="Verdana" w:cs="Arial"/>
          <w:sz w:val="18"/>
          <w:szCs w:val="18"/>
          <w:lang w:val="el-GR"/>
        </w:rPr>
        <w:t>118</w:t>
      </w:r>
      <w:r w:rsidRPr="005C0F09">
        <w:rPr>
          <w:rFonts w:ascii="Verdana" w:hAnsi="Verdana" w:cs="Arial"/>
          <w:sz w:val="18"/>
          <w:szCs w:val="18"/>
          <w:lang w:val="el-GR"/>
        </w:rPr>
        <w:t>,</w:t>
      </w:r>
      <w:r w:rsidR="007B58CA">
        <w:rPr>
          <w:rFonts w:ascii="Verdana" w:hAnsi="Verdana" w:cs="Arial"/>
          <w:sz w:val="18"/>
          <w:szCs w:val="18"/>
          <w:lang w:val="el-GR"/>
        </w:rPr>
        <w:t>3</w:t>
      </w:r>
      <w:r w:rsidRPr="005C0F09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="00CA3823" w:rsidRPr="00CA3823">
        <w:rPr>
          <w:rFonts w:ascii="Verdana" w:hAnsi="Verdana" w:cs="Arial"/>
          <w:sz w:val="18"/>
          <w:szCs w:val="18"/>
          <w:lang w:val="el-GR"/>
        </w:rPr>
        <w:t>αντίστοιχο</w:t>
      </w:r>
      <w:r w:rsidRPr="005C0F09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0074B9">
        <w:rPr>
          <w:rFonts w:ascii="Verdana" w:hAnsi="Verdana" w:cs="Arial"/>
          <w:sz w:val="18"/>
          <w:szCs w:val="18"/>
          <w:lang w:val="el-GR"/>
        </w:rPr>
        <w:t>4</w:t>
      </w:r>
      <w:r w:rsidRPr="005C0F09">
        <w:rPr>
          <w:rFonts w:ascii="Verdana" w:hAnsi="Verdana" w:cs="Arial"/>
          <w:sz w:val="18"/>
          <w:szCs w:val="18"/>
          <w:lang w:val="el-GR"/>
        </w:rPr>
        <w:t xml:space="preserve">. </w:t>
      </w:r>
      <w:r w:rsidR="007B58CA" w:rsidRPr="00A37F11">
        <w:rPr>
          <w:rFonts w:ascii="Verdana" w:hAnsi="Verdana" w:cs="Arial"/>
          <w:sz w:val="18"/>
          <w:szCs w:val="18"/>
          <w:lang w:val="el-GR"/>
        </w:rPr>
        <w:t>Το εισόδημα περιουσίας εισπρακτέο μειώθηκε κατά €</w:t>
      </w:r>
      <w:r w:rsidR="000074B9">
        <w:rPr>
          <w:rFonts w:ascii="Verdana" w:hAnsi="Verdana" w:cs="Arial"/>
          <w:sz w:val="18"/>
          <w:szCs w:val="18"/>
          <w:lang w:val="el-GR"/>
        </w:rPr>
        <w:t>2</w:t>
      </w:r>
      <w:r w:rsidR="007B58CA" w:rsidRPr="00A37F11">
        <w:rPr>
          <w:rFonts w:ascii="Verdana" w:hAnsi="Verdana" w:cs="Arial"/>
          <w:sz w:val="18"/>
          <w:szCs w:val="18"/>
          <w:lang w:val="el-GR"/>
        </w:rPr>
        <w:t>,</w:t>
      </w:r>
      <w:r w:rsidR="000074B9">
        <w:rPr>
          <w:rFonts w:ascii="Verdana" w:hAnsi="Verdana" w:cs="Arial"/>
          <w:sz w:val="18"/>
          <w:szCs w:val="18"/>
          <w:lang w:val="el-GR"/>
        </w:rPr>
        <w:t>4</w:t>
      </w:r>
      <w:r w:rsidR="007B58CA" w:rsidRPr="00A37F11">
        <w:rPr>
          <w:rFonts w:ascii="Verdana" w:hAnsi="Verdana" w:cs="Arial"/>
          <w:sz w:val="18"/>
          <w:szCs w:val="18"/>
          <w:lang w:val="el-GR"/>
        </w:rPr>
        <w:t xml:space="preserve"> εκ.</w:t>
      </w:r>
      <w:r w:rsidR="000074B9">
        <w:rPr>
          <w:rFonts w:ascii="Verdana" w:hAnsi="Verdana" w:cs="Arial"/>
          <w:sz w:val="18"/>
          <w:szCs w:val="18"/>
          <w:lang w:val="el-GR"/>
        </w:rPr>
        <w:t xml:space="preserve"> </w:t>
      </w:r>
      <w:r w:rsidR="007B58CA" w:rsidRPr="00A37F11">
        <w:rPr>
          <w:rFonts w:ascii="Verdana" w:hAnsi="Verdana" w:cs="Arial"/>
          <w:sz w:val="18"/>
          <w:szCs w:val="18"/>
          <w:lang w:val="el-GR"/>
        </w:rPr>
        <w:t>(-1</w:t>
      </w:r>
      <w:r w:rsidR="000074B9">
        <w:rPr>
          <w:rFonts w:ascii="Verdana" w:hAnsi="Verdana" w:cs="Arial"/>
          <w:sz w:val="18"/>
          <w:szCs w:val="18"/>
          <w:lang w:val="el-GR"/>
        </w:rPr>
        <w:t>1</w:t>
      </w:r>
      <w:r w:rsidR="007B58CA" w:rsidRPr="00A37F11">
        <w:rPr>
          <w:rFonts w:ascii="Verdana" w:hAnsi="Verdana" w:cs="Arial"/>
          <w:sz w:val="18"/>
          <w:szCs w:val="18"/>
          <w:lang w:val="el-GR"/>
        </w:rPr>
        <w:t>,</w:t>
      </w:r>
      <w:r w:rsidR="000074B9">
        <w:rPr>
          <w:rFonts w:ascii="Verdana" w:hAnsi="Verdana" w:cs="Arial"/>
          <w:sz w:val="18"/>
          <w:szCs w:val="18"/>
          <w:lang w:val="el-GR"/>
        </w:rPr>
        <w:t>5</w:t>
      </w:r>
      <w:r w:rsidR="007B58CA" w:rsidRPr="00A37F11">
        <w:rPr>
          <w:rFonts w:ascii="Verdana" w:hAnsi="Verdana" w:cs="Arial"/>
          <w:sz w:val="18"/>
          <w:szCs w:val="18"/>
          <w:lang w:val="el-GR"/>
        </w:rPr>
        <w:t>%) και περιορίστηκε στα €</w:t>
      </w:r>
      <w:r w:rsidR="000074B9">
        <w:rPr>
          <w:rFonts w:ascii="Verdana" w:hAnsi="Verdana" w:cs="Arial"/>
          <w:sz w:val="18"/>
          <w:szCs w:val="18"/>
          <w:lang w:val="el-GR"/>
        </w:rPr>
        <w:t>1</w:t>
      </w:r>
      <w:r w:rsidR="00A37F11" w:rsidRPr="00A37F11">
        <w:rPr>
          <w:rFonts w:ascii="Verdana" w:hAnsi="Verdana" w:cs="Arial"/>
          <w:sz w:val="18"/>
          <w:szCs w:val="18"/>
          <w:lang w:val="el-GR"/>
        </w:rPr>
        <w:t>8</w:t>
      </w:r>
      <w:r w:rsidR="007B58CA" w:rsidRPr="00A37F11">
        <w:rPr>
          <w:rFonts w:ascii="Verdana" w:hAnsi="Verdana" w:cs="Arial"/>
          <w:sz w:val="18"/>
          <w:szCs w:val="18"/>
          <w:lang w:val="el-GR"/>
        </w:rPr>
        <w:t>,</w:t>
      </w:r>
      <w:r w:rsidR="000074B9">
        <w:rPr>
          <w:rFonts w:ascii="Verdana" w:hAnsi="Verdana" w:cs="Arial"/>
          <w:sz w:val="18"/>
          <w:szCs w:val="18"/>
          <w:lang w:val="el-GR"/>
        </w:rPr>
        <w:t>7</w:t>
      </w:r>
      <w:r w:rsidR="007B58CA" w:rsidRPr="00A37F11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0074B9">
        <w:rPr>
          <w:rFonts w:ascii="Verdana" w:hAnsi="Verdana" w:cs="Arial"/>
          <w:sz w:val="18"/>
          <w:szCs w:val="18"/>
          <w:lang w:val="el-GR"/>
        </w:rPr>
        <w:t>21</w:t>
      </w:r>
      <w:r w:rsidR="007B58CA" w:rsidRPr="00A37F11">
        <w:rPr>
          <w:rFonts w:ascii="Verdana" w:hAnsi="Verdana" w:cs="Arial"/>
          <w:sz w:val="18"/>
          <w:szCs w:val="18"/>
          <w:lang w:val="el-GR"/>
        </w:rPr>
        <w:t>,</w:t>
      </w:r>
      <w:r w:rsidR="000074B9">
        <w:rPr>
          <w:rFonts w:ascii="Verdana" w:hAnsi="Verdana" w:cs="Arial"/>
          <w:sz w:val="18"/>
          <w:szCs w:val="18"/>
          <w:lang w:val="el-GR"/>
        </w:rPr>
        <w:t>1</w:t>
      </w:r>
      <w:r w:rsidR="007B58CA" w:rsidRPr="00A37F11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="00CA3823" w:rsidRPr="00CA3823">
        <w:rPr>
          <w:rFonts w:ascii="Verdana" w:hAnsi="Verdana" w:cs="Arial"/>
          <w:sz w:val="18"/>
          <w:szCs w:val="18"/>
          <w:lang w:val="el-GR"/>
        </w:rPr>
        <w:t>πρώτο</w:t>
      </w:r>
      <w:r w:rsidR="007B58CA" w:rsidRPr="00A37F11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0074B9">
        <w:rPr>
          <w:rFonts w:ascii="Verdana" w:hAnsi="Verdana" w:cs="Arial"/>
          <w:sz w:val="18"/>
          <w:szCs w:val="18"/>
          <w:lang w:val="el-GR"/>
        </w:rPr>
        <w:t>4</w:t>
      </w:r>
      <w:r w:rsidR="007B58CA" w:rsidRPr="00A37F11">
        <w:rPr>
          <w:rFonts w:ascii="Verdana" w:hAnsi="Verdana" w:cs="Arial"/>
          <w:sz w:val="18"/>
          <w:szCs w:val="18"/>
          <w:lang w:val="el-GR"/>
        </w:rPr>
        <w:t>.</w:t>
      </w:r>
      <w:r w:rsidR="000074B9">
        <w:rPr>
          <w:rFonts w:ascii="Verdana" w:hAnsi="Verdana" w:cs="Arial"/>
          <w:sz w:val="18"/>
          <w:szCs w:val="18"/>
          <w:lang w:val="el-GR"/>
        </w:rPr>
        <w:t xml:space="preserve"> </w:t>
      </w:r>
      <w:r w:rsidR="000074B9" w:rsidRPr="000074B9">
        <w:rPr>
          <w:rFonts w:ascii="Verdana" w:hAnsi="Verdana" w:cs="Arial"/>
          <w:sz w:val="18"/>
          <w:szCs w:val="18"/>
          <w:lang w:val="el-GR"/>
        </w:rPr>
        <w:t xml:space="preserve">Οι κεφαλαιουχικές μεταβιβάσεις </w:t>
      </w:r>
      <w:r w:rsidR="000074B9">
        <w:rPr>
          <w:rFonts w:ascii="Verdana" w:hAnsi="Verdana" w:cs="Arial"/>
          <w:sz w:val="18"/>
          <w:szCs w:val="18"/>
          <w:lang w:val="el-GR"/>
        </w:rPr>
        <w:t>μειώ</w:t>
      </w:r>
      <w:r w:rsidR="000074B9" w:rsidRPr="000074B9">
        <w:rPr>
          <w:rFonts w:ascii="Verdana" w:hAnsi="Verdana" w:cs="Arial"/>
          <w:sz w:val="18"/>
          <w:szCs w:val="18"/>
          <w:lang w:val="el-GR"/>
        </w:rPr>
        <w:t>θηκαν κατά €</w:t>
      </w:r>
      <w:r w:rsidR="000074B9">
        <w:rPr>
          <w:rFonts w:ascii="Verdana" w:hAnsi="Verdana" w:cs="Arial"/>
          <w:sz w:val="18"/>
          <w:szCs w:val="18"/>
          <w:lang w:val="el-GR"/>
        </w:rPr>
        <w:t>9</w:t>
      </w:r>
      <w:r w:rsidR="000074B9" w:rsidRPr="000074B9">
        <w:rPr>
          <w:rFonts w:ascii="Verdana" w:hAnsi="Verdana" w:cs="Arial"/>
          <w:sz w:val="18"/>
          <w:szCs w:val="18"/>
          <w:lang w:val="el-GR"/>
        </w:rPr>
        <w:t>,</w:t>
      </w:r>
      <w:r w:rsidR="000074B9">
        <w:rPr>
          <w:rFonts w:ascii="Verdana" w:hAnsi="Verdana" w:cs="Arial"/>
          <w:sz w:val="18"/>
          <w:szCs w:val="18"/>
          <w:lang w:val="el-GR"/>
        </w:rPr>
        <w:t>4</w:t>
      </w:r>
      <w:r w:rsidR="000074B9" w:rsidRPr="000074B9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0074B9">
        <w:rPr>
          <w:rFonts w:ascii="Verdana" w:hAnsi="Verdana" w:cs="Arial"/>
          <w:sz w:val="18"/>
          <w:szCs w:val="18"/>
          <w:lang w:val="el-GR"/>
        </w:rPr>
        <w:t>-79</w:t>
      </w:r>
      <w:r w:rsidR="000074B9" w:rsidRPr="000074B9">
        <w:rPr>
          <w:rFonts w:ascii="Verdana" w:hAnsi="Verdana" w:cs="Arial"/>
          <w:sz w:val="18"/>
          <w:szCs w:val="18"/>
          <w:lang w:val="el-GR"/>
        </w:rPr>
        <w:t>,</w:t>
      </w:r>
      <w:r w:rsidR="000074B9">
        <w:rPr>
          <w:rFonts w:ascii="Verdana" w:hAnsi="Verdana" w:cs="Arial"/>
          <w:sz w:val="18"/>
          <w:szCs w:val="18"/>
          <w:lang w:val="el-GR"/>
        </w:rPr>
        <w:t>7</w:t>
      </w:r>
      <w:r w:rsidR="000074B9" w:rsidRPr="000074B9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0074B9">
        <w:rPr>
          <w:rFonts w:ascii="Verdana" w:hAnsi="Verdana" w:cs="Arial"/>
          <w:sz w:val="18"/>
          <w:szCs w:val="18"/>
          <w:lang w:val="el-GR"/>
        </w:rPr>
        <w:t>περιορίστηκαν</w:t>
      </w:r>
      <w:r w:rsidR="000074B9" w:rsidRPr="000074B9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0074B9">
        <w:rPr>
          <w:rFonts w:ascii="Verdana" w:hAnsi="Verdana" w:cs="Arial"/>
          <w:sz w:val="18"/>
          <w:szCs w:val="18"/>
          <w:lang w:val="el-GR"/>
        </w:rPr>
        <w:t>2</w:t>
      </w:r>
      <w:r w:rsidR="000074B9" w:rsidRPr="000074B9">
        <w:rPr>
          <w:rFonts w:ascii="Verdana" w:hAnsi="Verdana" w:cs="Arial"/>
          <w:sz w:val="18"/>
          <w:szCs w:val="18"/>
          <w:lang w:val="el-GR"/>
        </w:rPr>
        <w:t>,</w:t>
      </w:r>
      <w:r w:rsidR="000074B9">
        <w:rPr>
          <w:rFonts w:ascii="Verdana" w:hAnsi="Verdana" w:cs="Arial"/>
          <w:sz w:val="18"/>
          <w:szCs w:val="18"/>
          <w:lang w:val="el-GR"/>
        </w:rPr>
        <w:t>4</w:t>
      </w:r>
      <w:r w:rsidR="000074B9" w:rsidRPr="000074B9">
        <w:rPr>
          <w:rFonts w:ascii="Verdana" w:hAnsi="Verdana" w:cs="Arial"/>
          <w:sz w:val="18"/>
          <w:szCs w:val="18"/>
          <w:lang w:val="el-GR"/>
        </w:rPr>
        <w:t xml:space="preserve"> εκ. σε σύγκριση με €1</w:t>
      </w:r>
      <w:r w:rsidR="001131F6">
        <w:rPr>
          <w:rFonts w:ascii="Verdana" w:hAnsi="Verdana" w:cs="Arial"/>
          <w:sz w:val="18"/>
          <w:szCs w:val="18"/>
          <w:lang w:val="el-GR"/>
        </w:rPr>
        <w:t>1</w:t>
      </w:r>
      <w:r w:rsidR="000074B9" w:rsidRPr="000074B9">
        <w:rPr>
          <w:rFonts w:ascii="Verdana" w:hAnsi="Verdana" w:cs="Arial"/>
          <w:sz w:val="18"/>
          <w:szCs w:val="18"/>
          <w:lang w:val="el-GR"/>
        </w:rPr>
        <w:t>,</w:t>
      </w:r>
      <w:r w:rsidR="001131F6">
        <w:rPr>
          <w:rFonts w:ascii="Verdana" w:hAnsi="Verdana" w:cs="Arial"/>
          <w:sz w:val="18"/>
          <w:szCs w:val="18"/>
          <w:lang w:val="el-GR"/>
        </w:rPr>
        <w:t>8</w:t>
      </w:r>
      <w:r w:rsidR="000074B9" w:rsidRPr="000074B9">
        <w:rPr>
          <w:rFonts w:ascii="Verdana" w:hAnsi="Verdana" w:cs="Arial"/>
          <w:sz w:val="18"/>
          <w:szCs w:val="18"/>
          <w:lang w:val="el-GR"/>
        </w:rPr>
        <w:t xml:space="preserve"> εκ. το αντίστοιχο τρίμηνο του 202</w:t>
      </w:r>
      <w:r w:rsidR="001131F6">
        <w:rPr>
          <w:rFonts w:ascii="Verdana" w:hAnsi="Verdana" w:cs="Arial"/>
          <w:sz w:val="18"/>
          <w:szCs w:val="18"/>
          <w:lang w:val="el-GR"/>
        </w:rPr>
        <w:t>4</w:t>
      </w:r>
      <w:r w:rsidR="000074B9" w:rsidRPr="000074B9">
        <w:rPr>
          <w:rFonts w:ascii="Verdana" w:hAnsi="Verdana" w:cs="Arial"/>
          <w:sz w:val="18"/>
          <w:szCs w:val="18"/>
          <w:lang w:val="el-GR"/>
        </w:rPr>
        <w:t>.</w:t>
      </w:r>
    </w:p>
    <w:p w14:paraId="3B954B6D" w14:textId="77777777" w:rsidR="009D4D7F" w:rsidRPr="009D4D7F" w:rsidRDefault="009D4D7F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6E812E" w14:textId="77777777" w:rsidR="00981CAA" w:rsidRPr="00C43DAE" w:rsidRDefault="00981CAA" w:rsidP="00981CAA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Δαπάνες</w:t>
      </w:r>
    </w:p>
    <w:p w14:paraId="7D5EB5C5" w14:textId="77777777" w:rsidR="00981CAA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7562C90" w14:textId="4CA1E1FA" w:rsidR="00F56907" w:rsidRPr="00AE1352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AE1352">
        <w:rPr>
          <w:rFonts w:ascii="Verdana" w:hAnsi="Verdana" w:cs="Arial"/>
          <w:sz w:val="18"/>
          <w:szCs w:val="18"/>
          <w:lang w:val="el-GR"/>
        </w:rPr>
        <w:t xml:space="preserve">Οι συνολικές δαπάνες, κατά την περίοδο </w:t>
      </w:r>
      <w:r w:rsidR="001131F6" w:rsidRPr="001131F6">
        <w:rPr>
          <w:rFonts w:ascii="Verdana" w:hAnsi="Verdana" w:cs="Arial"/>
          <w:sz w:val="18"/>
          <w:szCs w:val="18"/>
          <w:lang w:val="el-GR"/>
        </w:rPr>
        <w:t>Ιανουαρίου-Μαρτίου 2025</w:t>
      </w:r>
      <w:r w:rsidR="001131F6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AE1352">
        <w:rPr>
          <w:rFonts w:ascii="Verdana" w:hAnsi="Verdana" w:cs="Arial"/>
          <w:sz w:val="18"/>
          <w:szCs w:val="18"/>
          <w:lang w:val="el-GR"/>
        </w:rPr>
        <w:t>αυξήθηκαν κατά €</w:t>
      </w:r>
      <w:r w:rsidR="00EA120D">
        <w:rPr>
          <w:rFonts w:ascii="Verdana" w:hAnsi="Verdana" w:cs="Arial"/>
          <w:sz w:val="18"/>
          <w:szCs w:val="18"/>
          <w:lang w:val="el-GR"/>
        </w:rPr>
        <w:t>1</w:t>
      </w:r>
      <w:r w:rsidR="001131F6">
        <w:rPr>
          <w:rFonts w:ascii="Verdana" w:hAnsi="Verdana" w:cs="Arial"/>
          <w:sz w:val="18"/>
          <w:szCs w:val="18"/>
          <w:lang w:val="el-GR"/>
        </w:rPr>
        <w:t>87</w:t>
      </w:r>
      <w:r w:rsidRPr="00AE1352">
        <w:rPr>
          <w:rFonts w:ascii="Verdana" w:hAnsi="Verdana" w:cs="Arial"/>
          <w:sz w:val="18"/>
          <w:szCs w:val="18"/>
          <w:lang w:val="el-GR"/>
        </w:rPr>
        <w:t>,</w:t>
      </w:r>
      <w:r w:rsidR="001131F6">
        <w:rPr>
          <w:rFonts w:ascii="Verdana" w:hAnsi="Verdana" w:cs="Arial"/>
          <w:sz w:val="18"/>
          <w:szCs w:val="18"/>
          <w:lang w:val="el-GR"/>
        </w:rPr>
        <w:t>7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1131F6">
        <w:rPr>
          <w:rFonts w:ascii="Verdana" w:hAnsi="Verdana" w:cs="Arial"/>
          <w:sz w:val="18"/>
          <w:szCs w:val="18"/>
          <w:lang w:val="el-GR"/>
        </w:rPr>
        <w:t>6</w:t>
      </w:r>
      <w:r w:rsidRPr="00AE1352">
        <w:rPr>
          <w:rFonts w:ascii="Verdana" w:hAnsi="Verdana" w:cs="Arial"/>
          <w:sz w:val="18"/>
          <w:szCs w:val="18"/>
          <w:lang w:val="el-GR"/>
        </w:rPr>
        <w:t>,</w:t>
      </w:r>
      <w:r w:rsidR="00EA120D">
        <w:rPr>
          <w:rFonts w:ascii="Verdana" w:hAnsi="Verdana" w:cs="Arial"/>
          <w:sz w:val="18"/>
          <w:szCs w:val="18"/>
          <w:lang w:val="el-GR"/>
        </w:rPr>
        <w:t>6</w:t>
      </w:r>
      <w:r w:rsidRPr="00AE1352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1131F6">
        <w:rPr>
          <w:rFonts w:ascii="Verdana" w:hAnsi="Verdana" w:cs="Arial"/>
          <w:sz w:val="18"/>
          <w:szCs w:val="18"/>
          <w:lang w:val="el-GR"/>
        </w:rPr>
        <w:t>3</w:t>
      </w:r>
      <w:r w:rsidR="00AE1352" w:rsidRPr="00AE1352">
        <w:rPr>
          <w:rFonts w:ascii="Verdana" w:hAnsi="Verdana" w:cs="Arial"/>
          <w:sz w:val="18"/>
          <w:szCs w:val="18"/>
          <w:lang w:val="el-GR"/>
        </w:rPr>
        <w:t>.</w:t>
      </w:r>
      <w:r w:rsidR="005C0F09">
        <w:rPr>
          <w:rFonts w:ascii="Verdana" w:hAnsi="Verdana" w:cs="Arial"/>
          <w:sz w:val="18"/>
          <w:szCs w:val="18"/>
          <w:lang w:val="el-GR"/>
        </w:rPr>
        <w:t>0</w:t>
      </w:r>
      <w:r w:rsidR="001131F6">
        <w:rPr>
          <w:rFonts w:ascii="Verdana" w:hAnsi="Verdana" w:cs="Arial"/>
          <w:sz w:val="18"/>
          <w:szCs w:val="18"/>
          <w:lang w:val="el-GR"/>
        </w:rPr>
        <w:t>20</w:t>
      </w:r>
      <w:r w:rsidRPr="00AE1352">
        <w:rPr>
          <w:rFonts w:ascii="Verdana" w:hAnsi="Verdana" w:cs="Arial"/>
          <w:sz w:val="18"/>
          <w:szCs w:val="18"/>
          <w:lang w:val="el-GR"/>
        </w:rPr>
        <w:t>,</w:t>
      </w:r>
      <w:r w:rsidR="001131F6">
        <w:rPr>
          <w:rFonts w:ascii="Verdana" w:hAnsi="Verdana" w:cs="Arial"/>
          <w:sz w:val="18"/>
          <w:szCs w:val="18"/>
          <w:lang w:val="el-GR"/>
        </w:rPr>
        <w:t>6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1131F6">
        <w:rPr>
          <w:rFonts w:ascii="Verdana" w:hAnsi="Verdana" w:cs="Arial"/>
          <w:sz w:val="18"/>
          <w:szCs w:val="18"/>
          <w:lang w:val="el-GR"/>
        </w:rPr>
        <w:t>2</w:t>
      </w:r>
      <w:r w:rsidRPr="00AE1352">
        <w:rPr>
          <w:rFonts w:ascii="Verdana" w:hAnsi="Verdana" w:cs="Arial"/>
          <w:sz w:val="18"/>
          <w:szCs w:val="18"/>
          <w:lang w:val="el-GR"/>
        </w:rPr>
        <w:t>.</w:t>
      </w:r>
      <w:r w:rsidR="001131F6">
        <w:rPr>
          <w:rFonts w:ascii="Verdana" w:hAnsi="Verdana" w:cs="Arial"/>
          <w:sz w:val="18"/>
          <w:szCs w:val="18"/>
          <w:lang w:val="el-GR"/>
        </w:rPr>
        <w:t>832</w:t>
      </w:r>
      <w:r w:rsidRPr="00AE1352">
        <w:rPr>
          <w:rFonts w:ascii="Verdana" w:hAnsi="Verdana" w:cs="Arial"/>
          <w:sz w:val="18"/>
          <w:szCs w:val="18"/>
          <w:lang w:val="el-GR"/>
        </w:rPr>
        <w:t>,</w:t>
      </w:r>
      <w:r w:rsidR="001131F6">
        <w:rPr>
          <w:rFonts w:ascii="Verdana" w:hAnsi="Verdana" w:cs="Arial"/>
          <w:sz w:val="18"/>
          <w:szCs w:val="18"/>
          <w:lang w:val="el-GR"/>
        </w:rPr>
        <w:t>9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 εκ. την αντίστοιχη περίοδο του 202</w:t>
      </w:r>
      <w:r w:rsidR="001131F6">
        <w:rPr>
          <w:rFonts w:ascii="Verdana" w:hAnsi="Verdana" w:cs="Arial"/>
          <w:sz w:val="18"/>
          <w:szCs w:val="18"/>
          <w:lang w:val="el-GR"/>
        </w:rPr>
        <w:t>4</w:t>
      </w:r>
      <w:r w:rsidRPr="00AE1352">
        <w:rPr>
          <w:rFonts w:ascii="Verdana" w:hAnsi="Verdana" w:cs="Arial"/>
          <w:sz w:val="18"/>
          <w:szCs w:val="18"/>
          <w:lang w:val="el-GR"/>
        </w:rPr>
        <w:t xml:space="preserve">. </w:t>
      </w:r>
    </w:p>
    <w:p w14:paraId="7FF87011" w14:textId="77777777" w:rsidR="00F56907" w:rsidRPr="00C77ACF" w:rsidRDefault="00F56907" w:rsidP="00F56907">
      <w:pPr>
        <w:jc w:val="both"/>
        <w:rPr>
          <w:rFonts w:ascii="Verdana" w:hAnsi="Verdana" w:cs="Arial"/>
          <w:sz w:val="18"/>
          <w:szCs w:val="18"/>
          <w:highlight w:val="yellow"/>
          <w:lang w:val="el-GR"/>
        </w:rPr>
      </w:pPr>
    </w:p>
    <w:p w14:paraId="08ADEDFB" w14:textId="446A7661" w:rsidR="005C0F09" w:rsidRPr="007F73FF" w:rsidRDefault="00F56907" w:rsidP="005C0F09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7F73FF">
        <w:rPr>
          <w:rFonts w:ascii="Verdana" w:hAnsi="Verdana" w:cs="Arial"/>
          <w:sz w:val="18"/>
          <w:szCs w:val="18"/>
          <w:lang w:val="el-GR"/>
        </w:rPr>
        <w:t>Συγκεκριμένα, οι κοινωνικές παροχές αυξήθηκαν κατά €</w:t>
      </w:r>
      <w:r w:rsidR="001131F6">
        <w:rPr>
          <w:rFonts w:ascii="Verdana" w:hAnsi="Verdana" w:cs="Arial"/>
          <w:sz w:val="18"/>
          <w:szCs w:val="18"/>
          <w:lang w:val="el-GR"/>
        </w:rPr>
        <w:t>103</w:t>
      </w:r>
      <w:r w:rsidRPr="007F73FF">
        <w:rPr>
          <w:rFonts w:ascii="Verdana" w:hAnsi="Verdana" w:cs="Arial"/>
          <w:sz w:val="18"/>
          <w:szCs w:val="18"/>
          <w:lang w:val="el-GR"/>
        </w:rPr>
        <w:t>,</w:t>
      </w:r>
      <w:r w:rsidR="001131F6">
        <w:rPr>
          <w:rFonts w:ascii="Verdana" w:hAnsi="Verdana" w:cs="Arial"/>
          <w:sz w:val="18"/>
          <w:szCs w:val="18"/>
          <w:lang w:val="el-GR"/>
        </w:rPr>
        <w:t>0</w:t>
      </w:r>
      <w:r w:rsidRPr="007F73FF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1131F6">
        <w:rPr>
          <w:rFonts w:ascii="Verdana" w:hAnsi="Verdana" w:cs="Arial"/>
          <w:sz w:val="18"/>
          <w:szCs w:val="18"/>
          <w:lang w:val="el-GR"/>
        </w:rPr>
        <w:t>8</w:t>
      </w:r>
      <w:r w:rsidRPr="007F73FF">
        <w:rPr>
          <w:rFonts w:ascii="Verdana" w:hAnsi="Verdana" w:cs="Arial"/>
          <w:sz w:val="18"/>
          <w:szCs w:val="18"/>
          <w:lang w:val="el-GR"/>
        </w:rPr>
        <w:t>,</w:t>
      </w:r>
      <w:r w:rsidR="001131F6">
        <w:rPr>
          <w:rFonts w:ascii="Verdana" w:hAnsi="Verdana" w:cs="Arial"/>
          <w:sz w:val="18"/>
          <w:szCs w:val="18"/>
          <w:lang w:val="el-GR"/>
        </w:rPr>
        <w:t>7</w:t>
      </w:r>
      <w:r w:rsidRPr="007F73FF">
        <w:rPr>
          <w:rFonts w:ascii="Verdana" w:hAnsi="Verdana" w:cs="Arial"/>
          <w:sz w:val="18"/>
          <w:szCs w:val="18"/>
          <w:lang w:val="el-GR"/>
        </w:rPr>
        <w:t>%) και ανήλθαν στα €1.</w:t>
      </w:r>
      <w:r w:rsidR="001131F6">
        <w:rPr>
          <w:rFonts w:ascii="Verdana" w:hAnsi="Verdana" w:cs="Arial"/>
          <w:sz w:val="18"/>
          <w:szCs w:val="18"/>
          <w:lang w:val="el-GR"/>
        </w:rPr>
        <w:t>280</w:t>
      </w:r>
      <w:r w:rsidRPr="007F73FF">
        <w:rPr>
          <w:rFonts w:ascii="Verdana" w:hAnsi="Verdana" w:cs="Arial"/>
          <w:sz w:val="18"/>
          <w:szCs w:val="18"/>
          <w:lang w:val="el-GR"/>
        </w:rPr>
        <w:t>,</w:t>
      </w:r>
      <w:r w:rsidR="001131F6">
        <w:rPr>
          <w:rFonts w:ascii="Verdana" w:hAnsi="Verdana" w:cs="Arial"/>
          <w:sz w:val="18"/>
          <w:szCs w:val="18"/>
          <w:lang w:val="el-GR"/>
        </w:rPr>
        <w:t>9</w:t>
      </w:r>
      <w:r w:rsidRPr="007F73FF">
        <w:rPr>
          <w:rFonts w:ascii="Verdana" w:hAnsi="Verdana" w:cs="Arial"/>
          <w:sz w:val="18"/>
          <w:szCs w:val="18"/>
          <w:lang w:val="el-GR"/>
        </w:rPr>
        <w:t xml:space="preserve"> εκ. σε σύγκριση με </w:t>
      </w:r>
      <w:r w:rsidR="00A752D2" w:rsidRPr="007F73FF">
        <w:rPr>
          <w:rFonts w:ascii="Verdana" w:hAnsi="Verdana" w:cs="Arial"/>
          <w:sz w:val="18"/>
          <w:szCs w:val="18"/>
          <w:lang w:val="el-GR"/>
        </w:rPr>
        <w:t>€1.</w:t>
      </w:r>
      <w:r w:rsidR="00EA120D">
        <w:rPr>
          <w:rFonts w:ascii="Verdana" w:hAnsi="Verdana" w:cs="Arial"/>
          <w:sz w:val="18"/>
          <w:szCs w:val="18"/>
          <w:lang w:val="el-GR"/>
        </w:rPr>
        <w:t>1</w:t>
      </w:r>
      <w:r w:rsidR="001131F6">
        <w:rPr>
          <w:rFonts w:ascii="Verdana" w:hAnsi="Verdana" w:cs="Arial"/>
          <w:sz w:val="18"/>
          <w:szCs w:val="18"/>
          <w:lang w:val="el-GR"/>
        </w:rPr>
        <w:t>77</w:t>
      </w:r>
      <w:r w:rsidR="00A752D2" w:rsidRPr="007F73FF">
        <w:rPr>
          <w:rFonts w:ascii="Verdana" w:hAnsi="Verdana" w:cs="Arial"/>
          <w:sz w:val="18"/>
          <w:szCs w:val="18"/>
          <w:lang w:val="el-GR"/>
        </w:rPr>
        <w:t>,</w:t>
      </w:r>
      <w:r w:rsidR="001131F6">
        <w:rPr>
          <w:rFonts w:ascii="Verdana" w:hAnsi="Verdana" w:cs="Arial"/>
          <w:sz w:val="18"/>
          <w:szCs w:val="18"/>
          <w:lang w:val="el-GR"/>
        </w:rPr>
        <w:t>9</w:t>
      </w:r>
      <w:r w:rsidR="00A752D2" w:rsidRPr="007F73FF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7F73FF">
        <w:rPr>
          <w:rFonts w:ascii="Verdana" w:hAnsi="Verdana" w:cs="Arial"/>
          <w:sz w:val="18"/>
          <w:szCs w:val="18"/>
          <w:lang w:val="el-GR"/>
        </w:rPr>
        <w:t xml:space="preserve">εκ. το </w:t>
      </w:r>
      <w:r w:rsidR="001131F6">
        <w:rPr>
          <w:rFonts w:ascii="Verdana" w:hAnsi="Verdana" w:cs="Arial"/>
          <w:sz w:val="18"/>
          <w:szCs w:val="18"/>
          <w:lang w:val="el-GR"/>
        </w:rPr>
        <w:t>πρώτο</w:t>
      </w:r>
      <w:r w:rsidRPr="007F73FF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1131F6">
        <w:rPr>
          <w:rFonts w:ascii="Verdana" w:hAnsi="Verdana" w:cs="Arial"/>
          <w:sz w:val="18"/>
          <w:szCs w:val="18"/>
          <w:lang w:val="el-GR"/>
        </w:rPr>
        <w:t>4</w:t>
      </w:r>
      <w:r w:rsidRPr="007F73FF">
        <w:rPr>
          <w:rFonts w:ascii="Verdana" w:hAnsi="Verdana" w:cs="Arial"/>
          <w:sz w:val="18"/>
          <w:szCs w:val="18"/>
          <w:lang w:val="el-GR"/>
        </w:rPr>
        <w:t>. Οι απολαβές προσωπικού (συμπεριλαμβανομένων τεκμαρτών κοινωνικών εισφορών και συντάξεων δημοσίων υπαλλήλων) αυξήθηκαν κατά €</w:t>
      </w:r>
      <w:r w:rsidR="00AE1352" w:rsidRPr="007F73FF">
        <w:rPr>
          <w:rFonts w:ascii="Verdana" w:hAnsi="Verdana" w:cs="Arial"/>
          <w:sz w:val="18"/>
          <w:szCs w:val="18"/>
          <w:lang w:val="el-GR"/>
        </w:rPr>
        <w:t>5</w:t>
      </w:r>
      <w:r w:rsidR="001131F6">
        <w:rPr>
          <w:rFonts w:ascii="Verdana" w:hAnsi="Verdana" w:cs="Arial"/>
          <w:sz w:val="18"/>
          <w:szCs w:val="18"/>
          <w:lang w:val="el-GR"/>
        </w:rPr>
        <w:t>8</w:t>
      </w:r>
      <w:r w:rsidRPr="007F73FF">
        <w:rPr>
          <w:rFonts w:ascii="Verdana" w:hAnsi="Verdana" w:cs="Arial"/>
          <w:sz w:val="18"/>
          <w:szCs w:val="18"/>
          <w:lang w:val="el-GR"/>
        </w:rPr>
        <w:t>,</w:t>
      </w:r>
      <w:r w:rsidR="001131F6">
        <w:rPr>
          <w:rFonts w:ascii="Verdana" w:hAnsi="Verdana" w:cs="Arial"/>
          <w:sz w:val="18"/>
          <w:szCs w:val="18"/>
          <w:lang w:val="el-GR"/>
        </w:rPr>
        <w:t>0</w:t>
      </w:r>
      <w:r w:rsidRPr="007F73FF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1131F6">
        <w:rPr>
          <w:rFonts w:ascii="Verdana" w:hAnsi="Verdana" w:cs="Arial"/>
          <w:sz w:val="18"/>
          <w:szCs w:val="18"/>
          <w:lang w:val="el-GR"/>
        </w:rPr>
        <w:t>6</w:t>
      </w:r>
      <w:r w:rsidRPr="007F73FF">
        <w:rPr>
          <w:rFonts w:ascii="Verdana" w:hAnsi="Verdana" w:cs="Arial"/>
          <w:sz w:val="18"/>
          <w:szCs w:val="18"/>
          <w:lang w:val="el-GR"/>
        </w:rPr>
        <w:t>,</w:t>
      </w:r>
      <w:r w:rsidR="001131F6">
        <w:rPr>
          <w:rFonts w:ascii="Verdana" w:hAnsi="Verdana" w:cs="Arial"/>
          <w:sz w:val="18"/>
          <w:szCs w:val="18"/>
          <w:lang w:val="el-GR"/>
        </w:rPr>
        <w:t>5</w:t>
      </w:r>
      <w:r w:rsidRPr="007F73FF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A752D2" w:rsidRPr="007F73FF">
        <w:rPr>
          <w:rFonts w:ascii="Verdana" w:hAnsi="Verdana" w:cs="Arial"/>
          <w:sz w:val="18"/>
          <w:szCs w:val="18"/>
          <w:lang w:val="el-GR"/>
        </w:rPr>
        <w:t>€</w:t>
      </w:r>
      <w:r w:rsidR="001131F6">
        <w:rPr>
          <w:rFonts w:ascii="Verdana" w:hAnsi="Verdana" w:cs="Arial"/>
          <w:sz w:val="18"/>
          <w:szCs w:val="18"/>
          <w:lang w:val="el-GR"/>
        </w:rPr>
        <w:t>955</w:t>
      </w:r>
      <w:r w:rsidR="00A752D2" w:rsidRPr="007F73FF">
        <w:rPr>
          <w:rFonts w:ascii="Verdana" w:hAnsi="Verdana" w:cs="Arial"/>
          <w:sz w:val="18"/>
          <w:szCs w:val="18"/>
          <w:lang w:val="el-GR"/>
        </w:rPr>
        <w:t>,</w:t>
      </w:r>
      <w:r w:rsidR="001131F6">
        <w:rPr>
          <w:rFonts w:ascii="Verdana" w:hAnsi="Verdana" w:cs="Arial"/>
          <w:sz w:val="18"/>
          <w:szCs w:val="18"/>
          <w:lang w:val="el-GR"/>
        </w:rPr>
        <w:t>5</w:t>
      </w:r>
      <w:r w:rsidR="00A80828" w:rsidRPr="007F73FF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7F73FF">
        <w:rPr>
          <w:rFonts w:ascii="Verdana" w:hAnsi="Verdana" w:cs="Arial"/>
          <w:sz w:val="18"/>
          <w:szCs w:val="18"/>
          <w:lang w:val="el-GR"/>
        </w:rPr>
        <w:t>εκ. σε σύγκριση με €</w:t>
      </w:r>
      <w:r w:rsidR="001131F6">
        <w:rPr>
          <w:rFonts w:ascii="Verdana" w:hAnsi="Verdana" w:cs="Arial"/>
          <w:sz w:val="18"/>
          <w:szCs w:val="18"/>
          <w:lang w:val="el-GR"/>
        </w:rPr>
        <w:t>897</w:t>
      </w:r>
      <w:r w:rsidRPr="007F73FF">
        <w:rPr>
          <w:rFonts w:ascii="Verdana" w:hAnsi="Verdana" w:cs="Arial"/>
          <w:sz w:val="18"/>
          <w:szCs w:val="18"/>
          <w:lang w:val="el-GR"/>
        </w:rPr>
        <w:t>,</w:t>
      </w:r>
      <w:r w:rsidR="001131F6">
        <w:rPr>
          <w:rFonts w:ascii="Verdana" w:hAnsi="Verdana" w:cs="Arial"/>
          <w:sz w:val="18"/>
          <w:szCs w:val="18"/>
          <w:lang w:val="el-GR"/>
        </w:rPr>
        <w:t>5</w:t>
      </w:r>
      <w:r w:rsidRPr="007F73FF">
        <w:rPr>
          <w:rFonts w:ascii="Verdana" w:hAnsi="Verdana" w:cs="Arial"/>
          <w:sz w:val="18"/>
          <w:szCs w:val="18"/>
          <w:lang w:val="el-GR"/>
        </w:rPr>
        <w:t xml:space="preserve"> εκ. το αντίστοιχο τρίμηνο του 202</w:t>
      </w:r>
      <w:r w:rsidR="001131F6">
        <w:rPr>
          <w:rFonts w:ascii="Verdana" w:hAnsi="Verdana" w:cs="Arial"/>
          <w:sz w:val="18"/>
          <w:szCs w:val="18"/>
          <w:lang w:val="el-GR"/>
        </w:rPr>
        <w:t>4</w:t>
      </w:r>
      <w:r w:rsidRPr="007F73FF">
        <w:rPr>
          <w:rFonts w:ascii="Verdana" w:hAnsi="Verdana" w:cs="Arial"/>
          <w:sz w:val="18"/>
          <w:szCs w:val="18"/>
          <w:lang w:val="el-GR"/>
        </w:rPr>
        <w:t xml:space="preserve">. </w:t>
      </w:r>
      <w:r w:rsidR="005C0F09">
        <w:rPr>
          <w:rFonts w:ascii="Verdana" w:hAnsi="Verdana" w:cs="Arial"/>
          <w:sz w:val="18"/>
          <w:szCs w:val="18"/>
          <w:lang w:val="el-GR"/>
        </w:rPr>
        <w:t>Ο</w:t>
      </w:r>
      <w:r w:rsidR="005C0F09" w:rsidRPr="007F73FF">
        <w:rPr>
          <w:rFonts w:ascii="Verdana" w:hAnsi="Verdana" w:cs="Arial"/>
          <w:sz w:val="18"/>
          <w:szCs w:val="18"/>
          <w:lang w:val="el-GR"/>
        </w:rPr>
        <w:t xml:space="preserve">ι επιδοτήσεις </w:t>
      </w:r>
      <w:r w:rsidR="005C0F09">
        <w:rPr>
          <w:rFonts w:ascii="Verdana" w:hAnsi="Verdana" w:cs="Arial"/>
          <w:sz w:val="18"/>
          <w:szCs w:val="18"/>
          <w:lang w:val="el-GR"/>
        </w:rPr>
        <w:t>αυξή</w:t>
      </w:r>
      <w:r w:rsidR="005C0F09" w:rsidRPr="007F73FF">
        <w:rPr>
          <w:rFonts w:ascii="Verdana" w:hAnsi="Verdana" w:cs="Arial"/>
          <w:sz w:val="18"/>
          <w:szCs w:val="18"/>
          <w:lang w:val="el-GR"/>
        </w:rPr>
        <w:t>θηκαν κατά €</w:t>
      </w:r>
      <w:r w:rsidR="001131F6">
        <w:rPr>
          <w:rFonts w:ascii="Verdana" w:hAnsi="Verdana" w:cs="Arial"/>
          <w:sz w:val="18"/>
          <w:szCs w:val="18"/>
          <w:lang w:val="el-GR"/>
        </w:rPr>
        <w:t>1</w:t>
      </w:r>
      <w:r w:rsidR="005C0F09" w:rsidRPr="007F73FF">
        <w:rPr>
          <w:rFonts w:ascii="Verdana" w:hAnsi="Verdana" w:cs="Arial"/>
          <w:sz w:val="18"/>
          <w:szCs w:val="18"/>
          <w:lang w:val="el-GR"/>
        </w:rPr>
        <w:t>,</w:t>
      </w:r>
      <w:r w:rsidR="001131F6">
        <w:rPr>
          <w:rFonts w:ascii="Verdana" w:hAnsi="Verdana" w:cs="Arial"/>
          <w:sz w:val="18"/>
          <w:szCs w:val="18"/>
          <w:lang w:val="el-GR"/>
        </w:rPr>
        <w:t>1</w:t>
      </w:r>
      <w:r w:rsidR="005C0F09" w:rsidRPr="007F73F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5C0F09">
        <w:rPr>
          <w:rFonts w:ascii="Verdana" w:hAnsi="Verdana" w:cs="Arial"/>
          <w:sz w:val="18"/>
          <w:szCs w:val="18"/>
          <w:lang w:val="el-GR"/>
        </w:rPr>
        <w:t>+</w:t>
      </w:r>
      <w:r w:rsidR="001131F6">
        <w:rPr>
          <w:rFonts w:ascii="Verdana" w:hAnsi="Verdana" w:cs="Arial"/>
          <w:sz w:val="18"/>
          <w:szCs w:val="18"/>
          <w:lang w:val="el-GR"/>
        </w:rPr>
        <w:t>3</w:t>
      </w:r>
      <w:r w:rsidR="005C0F09" w:rsidRPr="007F73FF">
        <w:rPr>
          <w:rFonts w:ascii="Verdana" w:hAnsi="Verdana" w:cs="Arial"/>
          <w:sz w:val="18"/>
          <w:szCs w:val="18"/>
          <w:lang w:val="el-GR"/>
        </w:rPr>
        <w:t>,</w:t>
      </w:r>
      <w:r w:rsidR="001131F6">
        <w:rPr>
          <w:rFonts w:ascii="Verdana" w:hAnsi="Verdana" w:cs="Arial"/>
          <w:sz w:val="18"/>
          <w:szCs w:val="18"/>
          <w:lang w:val="el-GR"/>
        </w:rPr>
        <w:t>1</w:t>
      </w:r>
      <w:r w:rsidR="005C0F09" w:rsidRPr="007F73FF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5C0F09">
        <w:rPr>
          <w:rFonts w:ascii="Verdana" w:hAnsi="Verdana" w:cs="Arial"/>
          <w:sz w:val="18"/>
          <w:szCs w:val="18"/>
          <w:lang w:val="el-GR"/>
        </w:rPr>
        <w:t>ανήλθαν</w:t>
      </w:r>
      <w:r w:rsidR="005C0F09" w:rsidRPr="007F73FF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1131F6">
        <w:rPr>
          <w:rFonts w:ascii="Verdana" w:hAnsi="Verdana" w:cs="Arial"/>
          <w:sz w:val="18"/>
          <w:szCs w:val="18"/>
          <w:lang w:val="el-GR"/>
        </w:rPr>
        <w:t>36</w:t>
      </w:r>
      <w:r w:rsidR="005C0F09" w:rsidRPr="007F73FF">
        <w:rPr>
          <w:rFonts w:ascii="Verdana" w:hAnsi="Verdana" w:cs="Arial"/>
          <w:sz w:val="18"/>
          <w:szCs w:val="18"/>
          <w:lang w:val="el-GR"/>
        </w:rPr>
        <w:t>,</w:t>
      </w:r>
      <w:r w:rsidR="001131F6">
        <w:rPr>
          <w:rFonts w:ascii="Verdana" w:hAnsi="Verdana" w:cs="Arial"/>
          <w:sz w:val="18"/>
          <w:szCs w:val="18"/>
          <w:lang w:val="el-GR"/>
        </w:rPr>
        <w:t>2</w:t>
      </w:r>
      <w:r w:rsidR="005C0F09" w:rsidRPr="007F73F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1131F6">
        <w:rPr>
          <w:rFonts w:ascii="Verdana" w:hAnsi="Verdana" w:cs="Arial"/>
          <w:sz w:val="18"/>
          <w:szCs w:val="18"/>
          <w:lang w:val="el-GR"/>
        </w:rPr>
        <w:t>35</w:t>
      </w:r>
      <w:r w:rsidR="005C0F09" w:rsidRPr="007F73FF">
        <w:rPr>
          <w:rFonts w:ascii="Verdana" w:hAnsi="Verdana" w:cs="Arial"/>
          <w:sz w:val="18"/>
          <w:szCs w:val="18"/>
          <w:lang w:val="el-GR"/>
        </w:rPr>
        <w:t>,</w:t>
      </w:r>
      <w:r w:rsidR="00EA120D">
        <w:rPr>
          <w:rFonts w:ascii="Verdana" w:hAnsi="Verdana" w:cs="Arial"/>
          <w:sz w:val="18"/>
          <w:szCs w:val="18"/>
          <w:lang w:val="el-GR"/>
        </w:rPr>
        <w:t>1</w:t>
      </w:r>
      <w:r w:rsidR="005C0F09" w:rsidRPr="007F73FF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="001131F6" w:rsidRPr="001131F6">
        <w:rPr>
          <w:rFonts w:ascii="Verdana" w:hAnsi="Verdana" w:cs="Arial"/>
          <w:sz w:val="18"/>
          <w:szCs w:val="18"/>
          <w:lang w:val="el-GR"/>
        </w:rPr>
        <w:t>πρώτο</w:t>
      </w:r>
      <w:r w:rsidR="005C0F09" w:rsidRPr="007F73FF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1131F6">
        <w:rPr>
          <w:rFonts w:ascii="Verdana" w:hAnsi="Verdana" w:cs="Arial"/>
          <w:sz w:val="18"/>
          <w:szCs w:val="18"/>
          <w:lang w:val="el-GR"/>
        </w:rPr>
        <w:t>4</w:t>
      </w:r>
      <w:r w:rsidR="005C0F09" w:rsidRPr="007F73FF">
        <w:rPr>
          <w:rFonts w:ascii="Verdana" w:hAnsi="Verdana" w:cs="Arial"/>
          <w:sz w:val="18"/>
          <w:szCs w:val="18"/>
          <w:lang w:val="el-GR"/>
        </w:rPr>
        <w:t>.</w:t>
      </w:r>
      <w:r w:rsidR="00EA120D" w:rsidRPr="00EA120D">
        <w:rPr>
          <w:rFonts w:ascii="Verdana" w:hAnsi="Verdana" w:cs="Arial"/>
          <w:sz w:val="18"/>
          <w:szCs w:val="18"/>
          <w:lang w:val="el-GR"/>
        </w:rPr>
        <w:t xml:space="preserve"> </w:t>
      </w:r>
      <w:r w:rsidR="00EA120D" w:rsidRPr="005C0F09">
        <w:rPr>
          <w:rFonts w:ascii="Verdana" w:hAnsi="Verdana" w:cs="Arial"/>
          <w:sz w:val="18"/>
          <w:szCs w:val="18"/>
          <w:lang w:val="el-GR"/>
        </w:rPr>
        <w:t xml:space="preserve">Το εισόδημα περιουσίας πληρωτέο </w:t>
      </w:r>
      <w:r w:rsidR="00EA120D">
        <w:rPr>
          <w:rFonts w:ascii="Verdana" w:hAnsi="Verdana" w:cs="Arial"/>
          <w:sz w:val="18"/>
          <w:szCs w:val="18"/>
          <w:lang w:val="el-GR"/>
        </w:rPr>
        <w:t>αυξή</w:t>
      </w:r>
      <w:r w:rsidR="00EA120D" w:rsidRPr="005C0F09">
        <w:rPr>
          <w:rFonts w:ascii="Verdana" w:hAnsi="Verdana" w:cs="Arial"/>
          <w:sz w:val="18"/>
          <w:szCs w:val="18"/>
          <w:lang w:val="el-GR"/>
        </w:rPr>
        <w:t>θηκε κατά €</w:t>
      </w:r>
      <w:r w:rsidR="001131F6">
        <w:rPr>
          <w:rFonts w:ascii="Verdana" w:hAnsi="Verdana" w:cs="Arial"/>
          <w:sz w:val="18"/>
          <w:szCs w:val="18"/>
          <w:lang w:val="el-GR"/>
        </w:rPr>
        <w:t>0</w:t>
      </w:r>
      <w:r w:rsidR="00EA120D" w:rsidRPr="005C0F09">
        <w:rPr>
          <w:rFonts w:ascii="Verdana" w:hAnsi="Verdana" w:cs="Arial"/>
          <w:sz w:val="18"/>
          <w:szCs w:val="18"/>
          <w:lang w:val="el-GR"/>
        </w:rPr>
        <w:t>,</w:t>
      </w:r>
      <w:r w:rsidR="001131F6">
        <w:rPr>
          <w:rFonts w:ascii="Verdana" w:hAnsi="Verdana" w:cs="Arial"/>
          <w:sz w:val="18"/>
          <w:szCs w:val="18"/>
          <w:lang w:val="el-GR"/>
        </w:rPr>
        <w:t>4</w:t>
      </w:r>
      <w:r w:rsidR="00EA120D" w:rsidRPr="005C0F09">
        <w:rPr>
          <w:rFonts w:ascii="Verdana" w:hAnsi="Verdana" w:cs="Arial"/>
          <w:sz w:val="18"/>
          <w:szCs w:val="18"/>
          <w:lang w:val="el-GR"/>
        </w:rPr>
        <w:t xml:space="preserve"> εκ.</w:t>
      </w:r>
      <w:r w:rsidR="00EA120D" w:rsidRPr="005C0F09">
        <w:rPr>
          <w:lang w:val="el-GR"/>
        </w:rPr>
        <w:t xml:space="preserve"> </w:t>
      </w:r>
      <w:r w:rsidR="00EA120D" w:rsidRPr="005C0F09">
        <w:rPr>
          <w:rFonts w:ascii="Verdana" w:hAnsi="Verdana" w:cs="Arial"/>
          <w:sz w:val="18"/>
          <w:szCs w:val="18"/>
          <w:lang w:val="el-GR"/>
        </w:rPr>
        <w:t>(</w:t>
      </w:r>
      <w:r w:rsidR="00EA120D">
        <w:rPr>
          <w:rFonts w:ascii="Verdana" w:hAnsi="Verdana" w:cs="Arial"/>
          <w:sz w:val="18"/>
          <w:szCs w:val="18"/>
          <w:lang w:val="el-GR"/>
        </w:rPr>
        <w:t>+</w:t>
      </w:r>
      <w:r w:rsidR="001131F6">
        <w:rPr>
          <w:rFonts w:ascii="Verdana" w:hAnsi="Verdana" w:cs="Arial"/>
          <w:sz w:val="18"/>
          <w:szCs w:val="18"/>
          <w:lang w:val="el-GR"/>
        </w:rPr>
        <w:t>0</w:t>
      </w:r>
      <w:r w:rsidR="00EA120D" w:rsidRPr="005C0F09">
        <w:rPr>
          <w:rFonts w:ascii="Verdana" w:hAnsi="Verdana" w:cs="Arial"/>
          <w:sz w:val="18"/>
          <w:szCs w:val="18"/>
          <w:lang w:val="el-GR"/>
        </w:rPr>
        <w:t xml:space="preserve">,6%) και </w:t>
      </w:r>
      <w:r w:rsidR="00EA120D">
        <w:rPr>
          <w:rFonts w:ascii="Verdana" w:hAnsi="Verdana" w:cs="Arial"/>
          <w:sz w:val="18"/>
          <w:szCs w:val="18"/>
          <w:lang w:val="el-GR"/>
        </w:rPr>
        <w:t>ανήλθε</w:t>
      </w:r>
      <w:r w:rsidR="00EA120D" w:rsidRPr="005C0F09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1131F6">
        <w:rPr>
          <w:rFonts w:ascii="Verdana" w:hAnsi="Verdana" w:cs="Arial"/>
          <w:sz w:val="18"/>
          <w:szCs w:val="18"/>
          <w:lang w:val="el-GR"/>
        </w:rPr>
        <w:t>72</w:t>
      </w:r>
      <w:r w:rsidR="00EA120D" w:rsidRPr="005C0F09">
        <w:rPr>
          <w:rFonts w:ascii="Verdana" w:hAnsi="Verdana" w:cs="Arial"/>
          <w:sz w:val="18"/>
          <w:szCs w:val="18"/>
          <w:lang w:val="el-GR"/>
        </w:rPr>
        <w:t>,</w:t>
      </w:r>
      <w:r w:rsidR="001131F6">
        <w:rPr>
          <w:rFonts w:ascii="Verdana" w:hAnsi="Verdana" w:cs="Arial"/>
          <w:sz w:val="18"/>
          <w:szCs w:val="18"/>
          <w:lang w:val="el-GR"/>
        </w:rPr>
        <w:t>1</w:t>
      </w:r>
      <w:r w:rsidR="00EA120D" w:rsidRPr="005C0F09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1131F6">
        <w:rPr>
          <w:rFonts w:ascii="Verdana" w:hAnsi="Verdana" w:cs="Arial"/>
          <w:sz w:val="18"/>
          <w:szCs w:val="18"/>
          <w:lang w:val="el-GR"/>
        </w:rPr>
        <w:t>71</w:t>
      </w:r>
      <w:r w:rsidR="00EA120D" w:rsidRPr="005C0F09">
        <w:rPr>
          <w:rFonts w:ascii="Verdana" w:hAnsi="Verdana" w:cs="Arial"/>
          <w:sz w:val="18"/>
          <w:szCs w:val="18"/>
          <w:lang w:val="el-GR"/>
        </w:rPr>
        <w:t>,</w:t>
      </w:r>
      <w:r w:rsidR="001131F6">
        <w:rPr>
          <w:rFonts w:ascii="Verdana" w:hAnsi="Verdana" w:cs="Arial"/>
          <w:sz w:val="18"/>
          <w:szCs w:val="18"/>
          <w:lang w:val="el-GR"/>
        </w:rPr>
        <w:t>7</w:t>
      </w:r>
      <w:r w:rsidR="00EA120D" w:rsidRPr="005C0F09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="001131F6" w:rsidRPr="001131F6">
        <w:rPr>
          <w:rFonts w:ascii="Verdana" w:hAnsi="Verdana" w:cs="Arial"/>
          <w:sz w:val="18"/>
          <w:szCs w:val="18"/>
          <w:lang w:val="el-GR"/>
        </w:rPr>
        <w:t>αντίστοιχο</w:t>
      </w:r>
      <w:r w:rsidR="00EA120D" w:rsidRPr="005C0F09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1131F6">
        <w:rPr>
          <w:rFonts w:ascii="Verdana" w:hAnsi="Verdana" w:cs="Arial"/>
          <w:sz w:val="18"/>
          <w:szCs w:val="18"/>
          <w:lang w:val="el-GR"/>
        </w:rPr>
        <w:t>4</w:t>
      </w:r>
      <w:r w:rsidR="00EA120D" w:rsidRPr="005C0F09">
        <w:rPr>
          <w:rFonts w:ascii="Verdana" w:hAnsi="Verdana" w:cs="Arial"/>
          <w:sz w:val="18"/>
          <w:szCs w:val="18"/>
          <w:lang w:val="el-GR"/>
        </w:rPr>
        <w:t>.</w:t>
      </w:r>
    </w:p>
    <w:p w14:paraId="138F64DE" w14:textId="77777777" w:rsidR="005C0F09" w:rsidRPr="007F73FF" w:rsidRDefault="005C0F09" w:rsidP="005C0F09">
      <w:pPr>
        <w:jc w:val="both"/>
        <w:rPr>
          <w:rFonts w:ascii="Verdana" w:hAnsi="Verdana" w:cs="Arial"/>
          <w:sz w:val="18"/>
          <w:szCs w:val="18"/>
          <w:highlight w:val="yellow"/>
          <w:lang w:val="el-GR"/>
        </w:rPr>
      </w:pPr>
    </w:p>
    <w:p w14:paraId="050A5979" w14:textId="39606D64" w:rsidR="007E0F0C" w:rsidRDefault="007F73FF" w:rsidP="007E0F0C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FA2C7E">
        <w:rPr>
          <w:rFonts w:ascii="Verdana" w:hAnsi="Verdana" w:cs="Arial"/>
          <w:sz w:val="18"/>
          <w:szCs w:val="18"/>
          <w:lang w:val="el-GR"/>
        </w:rPr>
        <w:t>Ο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 xml:space="preserve"> λογαριασμός κεφαλαίου </w:t>
      </w:r>
      <w:r w:rsidR="00412864">
        <w:rPr>
          <w:rFonts w:ascii="Verdana" w:hAnsi="Verdana" w:cs="Arial"/>
          <w:sz w:val="18"/>
          <w:szCs w:val="18"/>
          <w:lang w:val="el-GR"/>
        </w:rPr>
        <w:t>αυξή</w:t>
      </w:r>
      <w:r w:rsidR="006A79A2" w:rsidRPr="00FA2C7E">
        <w:rPr>
          <w:rFonts w:ascii="Verdana" w:hAnsi="Verdana" w:cs="Arial"/>
          <w:sz w:val="18"/>
          <w:szCs w:val="18"/>
          <w:lang w:val="el-GR"/>
        </w:rPr>
        <w:t>θηκε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412864" w:rsidRPr="00412864">
        <w:rPr>
          <w:rFonts w:ascii="Verdana" w:hAnsi="Verdana" w:cs="Arial"/>
          <w:sz w:val="18"/>
          <w:szCs w:val="18"/>
          <w:lang w:val="el-GR"/>
        </w:rPr>
        <w:t>53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>,</w:t>
      </w:r>
      <w:r w:rsidR="00412864" w:rsidRPr="00412864">
        <w:rPr>
          <w:rFonts w:ascii="Verdana" w:hAnsi="Verdana" w:cs="Arial"/>
          <w:sz w:val="18"/>
          <w:szCs w:val="18"/>
          <w:lang w:val="el-GR"/>
        </w:rPr>
        <w:t>0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412864">
        <w:rPr>
          <w:rFonts w:ascii="Verdana" w:hAnsi="Verdana" w:cs="Arial"/>
          <w:sz w:val="18"/>
          <w:szCs w:val="18"/>
          <w:lang w:val="el-GR"/>
        </w:rPr>
        <w:t>+33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>,</w:t>
      </w:r>
      <w:r w:rsidR="00412864">
        <w:rPr>
          <w:rFonts w:ascii="Verdana" w:hAnsi="Verdana" w:cs="Arial"/>
          <w:sz w:val="18"/>
          <w:szCs w:val="18"/>
          <w:lang w:val="el-GR"/>
        </w:rPr>
        <w:t>3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412864">
        <w:rPr>
          <w:rFonts w:ascii="Verdana" w:hAnsi="Verdana" w:cs="Arial"/>
          <w:sz w:val="18"/>
          <w:szCs w:val="18"/>
          <w:lang w:val="el-GR"/>
        </w:rPr>
        <w:t>ανήλθε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412864">
        <w:rPr>
          <w:rFonts w:ascii="Verdana" w:hAnsi="Verdana" w:cs="Arial"/>
          <w:sz w:val="18"/>
          <w:szCs w:val="18"/>
          <w:lang w:val="el-GR"/>
        </w:rPr>
        <w:t>212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>,</w:t>
      </w:r>
      <w:r w:rsidR="00412864">
        <w:rPr>
          <w:rFonts w:ascii="Verdana" w:hAnsi="Verdana" w:cs="Arial"/>
          <w:sz w:val="18"/>
          <w:szCs w:val="18"/>
          <w:lang w:val="el-GR"/>
        </w:rPr>
        <w:t>0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 xml:space="preserve"> εκ. (€</w:t>
      </w:r>
      <w:r w:rsidR="00412864">
        <w:rPr>
          <w:rFonts w:ascii="Verdana" w:hAnsi="Verdana" w:cs="Arial"/>
          <w:sz w:val="18"/>
          <w:szCs w:val="18"/>
          <w:lang w:val="el-GR"/>
        </w:rPr>
        <w:t>176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>,</w:t>
      </w:r>
      <w:r w:rsidR="00412864">
        <w:rPr>
          <w:rFonts w:ascii="Verdana" w:hAnsi="Verdana" w:cs="Arial"/>
          <w:sz w:val="18"/>
          <w:szCs w:val="18"/>
          <w:lang w:val="el-GR"/>
        </w:rPr>
        <w:t>8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 xml:space="preserve"> εκ. κεφαλαιουχικές επενδύσεις και €</w:t>
      </w:r>
      <w:r w:rsidR="00412864">
        <w:rPr>
          <w:rFonts w:ascii="Verdana" w:hAnsi="Verdana" w:cs="Arial"/>
          <w:sz w:val="18"/>
          <w:szCs w:val="18"/>
          <w:lang w:val="el-GR"/>
        </w:rPr>
        <w:t>35</w:t>
      </w:r>
      <w:r w:rsidR="00A80EEC" w:rsidRPr="00FA2C7E">
        <w:rPr>
          <w:rFonts w:ascii="Verdana" w:hAnsi="Verdana" w:cs="Arial"/>
          <w:sz w:val="18"/>
          <w:szCs w:val="18"/>
          <w:lang w:val="el-GR"/>
        </w:rPr>
        <w:t>,</w:t>
      </w:r>
      <w:r w:rsidR="00FA2C7E" w:rsidRPr="00FA2C7E">
        <w:rPr>
          <w:rFonts w:ascii="Verdana" w:hAnsi="Verdana" w:cs="Arial"/>
          <w:sz w:val="18"/>
          <w:szCs w:val="18"/>
          <w:lang w:val="el-GR"/>
        </w:rPr>
        <w:t>2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 xml:space="preserve"> εκ. κεφαλαιουχικές μεταβιβάσεις) σε σύγκριση με €</w:t>
      </w:r>
      <w:r w:rsidR="00412864">
        <w:rPr>
          <w:rFonts w:ascii="Verdana" w:hAnsi="Verdana" w:cs="Arial"/>
          <w:sz w:val="18"/>
          <w:szCs w:val="18"/>
          <w:lang w:val="el-GR"/>
        </w:rPr>
        <w:t>159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>,</w:t>
      </w:r>
      <w:r w:rsidR="00412864">
        <w:rPr>
          <w:rFonts w:ascii="Verdana" w:hAnsi="Verdana" w:cs="Arial"/>
          <w:sz w:val="18"/>
          <w:szCs w:val="18"/>
          <w:lang w:val="el-GR"/>
        </w:rPr>
        <w:t>0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 xml:space="preserve"> εκ.</w:t>
      </w:r>
      <w:r w:rsidR="00107EB8" w:rsidRPr="00FA2C7E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FA2C7E">
        <w:rPr>
          <w:rFonts w:ascii="Verdana" w:hAnsi="Verdana" w:cs="Arial"/>
          <w:sz w:val="18"/>
          <w:szCs w:val="18"/>
          <w:lang w:val="el-GR"/>
        </w:rPr>
        <w:t xml:space="preserve">    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>(€</w:t>
      </w:r>
      <w:r w:rsidR="00412864">
        <w:rPr>
          <w:rFonts w:ascii="Verdana" w:hAnsi="Verdana" w:cs="Arial"/>
          <w:sz w:val="18"/>
          <w:szCs w:val="18"/>
          <w:lang w:val="el-GR"/>
        </w:rPr>
        <w:t>131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>,</w:t>
      </w:r>
      <w:r w:rsidR="00412864">
        <w:rPr>
          <w:rFonts w:ascii="Verdana" w:hAnsi="Verdana" w:cs="Arial"/>
          <w:sz w:val="18"/>
          <w:szCs w:val="18"/>
          <w:lang w:val="el-GR"/>
        </w:rPr>
        <w:t>4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 xml:space="preserve"> εκ. κεφαλαιουχικές επενδύσεις και €</w:t>
      </w:r>
      <w:r w:rsidR="00412864">
        <w:rPr>
          <w:rFonts w:ascii="Verdana" w:hAnsi="Verdana" w:cs="Arial"/>
          <w:sz w:val="18"/>
          <w:szCs w:val="18"/>
          <w:lang w:val="el-GR"/>
        </w:rPr>
        <w:t>27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>,</w:t>
      </w:r>
      <w:r w:rsidR="00412864">
        <w:rPr>
          <w:rFonts w:ascii="Verdana" w:hAnsi="Verdana" w:cs="Arial"/>
          <w:sz w:val="18"/>
          <w:szCs w:val="18"/>
          <w:lang w:val="el-GR"/>
        </w:rPr>
        <w:t>6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 xml:space="preserve"> εκ. κεφαλαιουχικές μεταβιβάσεις) το </w:t>
      </w:r>
      <w:r w:rsidR="00412864" w:rsidRPr="00412864">
        <w:rPr>
          <w:rFonts w:ascii="Verdana" w:hAnsi="Verdana" w:cs="Arial"/>
          <w:sz w:val="18"/>
          <w:szCs w:val="18"/>
          <w:lang w:val="el-GR"/>
        </w:rPr>
        <w:t>πρώτο</w:t>
      </w:r>
      <w:r w:rsidR="0075454E" w:rsidRPr="00FA2C7E">
        <w:rPr>
          <w:rFonts w:ascii="Verdana" w:hAnsi="Verdana" w:cs="Arial"/>
          <w:sz w:val="18"/>
          <w:szCs w:val="18"/>
          <w:lang w:val="el-GR"/>
        </w:rPr>
        <w:t xml:space="preserve"> 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>τρίμηνο του 202</w:t>
      </w:r>
      <w:r w:rsidR="00412864">
        <w:rPr>
          <w:rFonts w:ascii="Verdana" w:hAnsi="Verdana" w:cs="Arial"/>
          <w:sz w:val="18"/>
          <w:szCs w:val="18"/>
          <w:lang w:val="el-GR"/>
        </w:rPr>
        <w:t>4</w:t>
      </w:r>
      <w:r w:rsidR="00F56907" w:rsidRPr="00FA2C7E">
        <w:rPr>
          <w:rFonts w:ascii="Verdana" w:hAnsi="Verdana" w:cs="Arial"/>
          <w:sz w:val="18"/>
          <w:szCs w:val="18"/>
          <w:lang w:val="el-GR"/>
        </w:rPr>
        <w:t>.</w:t>
      </w:r>
      <w:r w:rsidR="00F56907" w:rsidRPr="007F73FF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1AFE0D92" w14:textId="77777777" w:rsidR="007F73FF" w:rsidRDefault="007F73FF" w:rsidP="007E0F0C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E0CC35E" w14:textId="28324FE0" w:rsidR="007F73FF" w:rsidRPr="007F73FF" w:rsidRDefault="00412864" w:rsidP="00412864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Αντιθέτως, </w:t>
      </w:r>
      <w:r w:rsidRPr="00412864">
        <w:rPr>
          <w:rFonts w:ascii="Verdana" w:hAnsi="Verdana" w:cs="Arial"/>
          <w:sz w:val="18"/>
          <w:szCs w:val="18"/>
          <w:lang w:val="el-GR"/>
        </w:rPr>
        <w:t xml:space="preserve">η ενδιάμεση ανάλωση μειώθηκε κατά €24,0 εκ. (-8,1%) και περιορίστηκε στα €271,1 εκ. σε σύγκριση με €295,1 εκ. το </w:t>
      </w:r>
      <w:r w:rsidR="00AF561C" w:rsidRPr="00AF561C">
        <w:rPr>
          <w:rFonts w:ascii="Verdana" w:hAnsi="Verdana" w:cs="Arial"/>
          <w:sz w:val="18"/>
          <w:szCs w:val="18"/>
          <w:lang w:val="el-GR"/>
        </w:rPr>
        <w:t>αντίστοιχο</w:t>
      </w:r>
      <w:r w:rsidRPr="00412864">
        <w:rPr>
          <w:rFonts w:ascii="Verdana" w:hAnsi="Verdana" w:cs="Arial"/>
          <w:sz w:val="18"/>
          <w:szCs w:val="18"/>
          <w:lang w:val="el-GR"/>
        </w:rPr>
        <w:t xml:space="preserve"> τρίμηνο του 2024.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="006E58E9" w:rsidRPr="00873BDD">
        <w:rPr>
          <w:rFonts w:ascii="Verdana" w:hAnsi="Verdana" w:cs="Arial"/>
          <w:sz w:val="18"/>
          <w:szCs w:val="18"/>
          <w:lang w:val="el-GR"/>
        </w:rPr>
        <w:t xml:space="preserve">Οι λοιπές τρέχουσες δαπάνες μειώθηκαν κατά </w:t>
      </w:r>
      <w:r>
        <w:rPr>
          <w:rFonts w:ascii="Verdana" w:hAnsi="Verdana" w:cs="Arial"/>
          <w:sz w:val="18"/>
          <w:szCs w:val="18"/>
          <w:lang w:val="el-GR"/>
        </w:rPr>
        <w:t xml:space="preserve">          </w:t>
      </w:r>
      <w:r w:rsidR="006E58E9" w:rsidRPr="00873BDD">
        <w:rPr>
          <w:rFonts w:ascii="Verdana" w:hAnsi="Verdana" w:cs="Arial"/>
          <w:sz w:val="18"/>
          <w:szCs w:val="18"/>
          <w:lang w:val="el-GR"/>
        </w:rPr>
        <w:t>€</w:t>
      </w:r>
      <w:r>
        <w:rPr>
          <w:rFonts w:ascii="Verdana" w:hAnsi="Verdana" w:cs="Arial"/>
          <w:sz w:val="18"/>
          <w:szCs w:val="18"/>
          <w:lang w:val="el-GR"/>
        </w:rPr>
        <w:t>3</w:t>
      </w:r>
      <w:r w:rsidR="006E58E9" w:rsidRPr="00873BDD">
        <w:rPr>
          <w:rFonts w:ascii="Verdana" w:hAnsi="Verdana" w:cs="Arial"/>
          <w:sz w:val="18"/>
          <w:szCs w:val="18"/>
          <w:lang w:val="el-GR"/>
        </w:rPr>
        <w:t>,</w:t>
      </w:r>
      <w:r>
        <w:rPr>
          <w:rFonts w:ascii="Verdana" w:hAnsi="Verdana" w:cs="Arial"/>
          <w:sz w:val="18"/>
          <w:szCs w:val="18"/>
          <w:lang w:val="el-GR"/>
        </w:rPr>
        <w:t>8</w:t>
      </w:r>
      <w:r w:rsidR="006E58E9" w:rsidRPr="00873BDD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873BDD" w:rsidRPr="00873BDD">
        <w:rPr>
          <w:rFonts w:ascii="Verdana" w:hAnsi="Verdana" w:cs="Arial"/>
          <w:sz w:val="18"/>
          <w:szCs w:val="18"/>
          <w:lang w:val="el-GR"/>
        </w:rPr>
        <w:t>-</w:t>
      </w:r>
      <w:r>
        <w:rPr>
          <w:rFonts w:ascii="Verdana" w:hAnsi="Verdana" w:cs="Arial"/>
          <w:sz w:val="18"/>
          <w:szCs w:val="18"/>
          <w:lang w:val="el-GR"/>
        </w:rPr>
        <w:t>1</w:t>
      </w:r>
      <w:r w:rsidR="006E58E9" w:rsidRPr="00873BDD">
        <w:rPr>
          <w:rFonts w:ascii="Verdana" w:hAnsi="Verdana" w:cs="Arial"/>
          <w:sz w:val="18"/>
          <w:szCs w:val="18"/>
          <w:lang w:val="el-GR"/>
        </w:rPr>
        <w:t>,</w:t>
      </w:r>
      <w:r w:rsidR="00873BDD" w:rsidRPr="00873BDD">
        <w:rPr>
          <w:rFonts w:ascii="Verdana" w:hAnsi="Verdana" w:cs="Arial"/>
          <w:sz w:val="18"/>
          <w:szCs w:val="18"/>
          <w:lang w:val="el-GR"/>
        </w:rPr>
        <w:t>9</w:t>
      </w:r>
      <w:r w:rsidR="006E58E9" w:rsidRPr="00873BDD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873BDD" w:rsidRPr="00873BDD">
        <w:rPr>
          <w:rFonts w:ascii="Verdana" w:hAnsi="Verdana" w:cs="Arial"/>
          <w:sz w:val="18"/>
          <w:szCs w:val="18"/>
          <w:lang w:val="el-GR"/>
        </w:rPr>
        <w:t>περιορίστηκαν</w:t>
      </w:r>
      <w:r w:rsidR="006E58E9" w:rsidRPr="00873BDD">
        <w:rPr>
          <w:rFonts w:ascii="Verdana" w:hAnsi="Verdana" w:cs="Arial"/>
          <w:sz w:val="18"/>
          <w:szCs w:val="18"/>
          <w:lang w:val="el-GR"/>
        </w:rPr>
        <w:t xml:space="preserve"> στα €</w:t>
      </w:r>
      <w:r>
        <w:rPr>
          <w:rFonts w:ascii="Verdana" w:hAnsi="Verdana" w:cs="Arial"/>
          <w:sz w:val="18"/>
          <w:szCs w:val="18"/>
          <w:lang w:val="el-GR"/>
        </w:rPr>
        <w:t>192</w:t>
      </w:r>
      <w:r w:rsidR="006E58E9" w:rsidRPr="00873BDD">
        <w:rPr>
          <w:rFonts w:ascii="Verdana" w:hAnsi="Verdana" w:cs="Arial"/>
          <w:sz w:val="18"/>
          <w:szCs w:val="18"/>
          <w:lang w:val="el-GR"/>
        </w:rPr>
        <w:t>,</w:t>
      </w:r>
      <w:r>
        <w:rPr>
          <w:rFonts w:ascii="Verdana" w:hAnsi="Verdana" w:cs="Arial"/>
          <w:sz w:val="18"/>
          <w:szCs w:val="18"/>
          <w:lang w:val="el-GR"/>
        </w:rPr>
        <w:t>8</w:t>
      </w:r>
      <w:r w:rsidR="006E58E9" w:rsidRPr="00873BDD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>
        <w:rPr>
          <w:rFonts w:ascii="Verdana" w:hAnsi="Verdana" w:cs="Arial"/>
          <w:sz w:val="18"/>
          <w:szCs w:val="18"/>
          <w:lang w:val="el-GR"/>
        </w:rPr>
        <w:t>196</w:t>
      </w:r>
      <w:r w:rsidR="006E58E9" w:rsidRPr="00873BDD">
        <w:rPr>
          <w:rFonts w:ascii="Verdana" w:hAnsi="Verdana" w:cs="Arial"/>
          <w:sz w:val="18"/>
          <w:szCs w:val="18"/>
          <w:lang w:val="el-GR"/>
        </w:rPr>
        <w:t>,</w:t>
      </w:r>
      <w:r>
        <w:rPr>
          <w:rFonts w:ascii="Verdana" w:hAnsi="Verdana" w:cs="Arial"/>
          <w:sz w:val="18"/>
          <w:szCs w:val="18"/>
          <w:lang w:val="el-GR"/>
        </w:rPr>
        <w:t>6</w:t>
      </w:r>
      <w:r w:rsidR="006E58E9" w:rsidRPr="00873BDD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Pr="00412864">
        <w:rPr>
          <w:rFonts w:ascii="Verdana" w:hAnsi="Verdana" w:cs="Arial"/>
          <w:sz w:val="18"/>
          <w:szCs w:val="18"/>
          <w:lang w:val="el-GR"/>
        </w:rPr>
        <w:t>πρώτο τρίμηνο του 2024.</w:t>
      </w:r>
    </w:p>
    <w:p w14:paraId="1DD36EE7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60B450E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1B0BFA7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C867B14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FF0413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5A59FC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C8D4B5B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6BB27E0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2B4E70F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845555F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F2D0E7C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E98762A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736092E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FCE60DC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B04F2E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63AB74D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A69E6A7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E86325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7E3E11D" w14:textId="77777777" w:rsidR="00627043" w:rsidRDefault="00627043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828D193" w14:textId="77777777" w:rsidR="00627043" w:rsidRDefault="00627043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2AE1694" w14:textId="77777777" w:rsidR="00627043" w:rsidRDefault="00627043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1C42049" w14:textId="77777777" w:rsidR="00627043" w:rsidRDefault="00627043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9D0E1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0B6B8A5" w14:textId="77777777" w:rsidR="00DD4950" w:rsidRDefault="00DD4950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2D993C8" w14:textId="77777777" w:rsidR="00412864" w:rsidRDefault="00412864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A6A518A" w14:textId="77777777" w:rsidR="00412864" w:rsidRDefault="00412864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Style w:val="TableGrid"/>
        <w:tblW w:w="97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6"/>
        <w:gridCol w:w="1304"/>
        <w:gridCol w:w="1304"/>
        <w:gridCol w:w="1304"/>
        <w:gridCol w:w="236"/>
        <w:gridCol w:w="1361"/>
      </w:tblGrid>
      <w:tr w:rsidR="00627043" w:rsidRPr="003360E9" w14:paraId="69FC4746" w14:textId="77777777" w:rsidTr="007B26A4">
        <w:trPr>
          <w:trHeight w:val="284"/>
          <w:jc w:val="center"/>
        </w:trPr>
        <w:tc>
          <w:tcPr>
            <w:tcW w:w="4196" w:type="dxa"/>
            <w:tcBorders>
              <w:bottom w:val="single" w:sz="4" w:space="0" w:color="366092"/>
            </w:tcBorders>
            <w:vAlign w:val="center"/>
          </w:tcPr>
          <w:p w14:paraId="119A2064" w14:textId="77777777" w:rsidR="00627043" w:rsidRPr="003360E9" w:rsidRDefault="00627043" w:rsidP="007B26A4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lastRenderedPageBreak/>
              <w:t>Πίνακας</w:t>
            </w:r>
            <w:r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1</w:t>
            </w:r>
          </w:p>
        </w:tc>
        <w:tc>
          <w:tcPr>
            <w:tcW w:w="1304" w:type="dxa"/>
            <w:tcBorders>
              <w:bottom w:val="single" w:sz="4" w:space="0" w:color="366092"/>
            </w:tcBorders>
          </w:tcPr>
          <w:p w14:paraId="60D94CF4" w14:textId="77777777" w:rsidR="00627043" w:rsidRPr="003360E9" w:rsidRDefault="00627043" w:rsidP="007B26A4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04" w:type="dxa"/>
            <w:tcBorders>
              <w:bottom w:val="single" w:sz="4" w:space="0" w:color="366092"/>
            </w:tcBorders>
          </w:tcPr>
          <w:p w14:paraId="0B6A286D" w14:textId="77777777" w:rsidR="00627043" w:rsidRPr="003360E9" w:rsidRDefault="00627043" w:rsidP="007B26A4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04" w:type="dxa"/>
            <w:tcBorders>
              <w:bottom w:val="single" w:sz="4" w:space="0" w:color="366092"/>
            </w:tcBorders>
          </w:tcPr>
          <w:p w14:paraId="029D93C6" w14:textId="77777777" w:rsidR="00627043" w:rsidRPr="003360E9" w:rsidRDefault="00627043" w:rsidP="007B26A4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36" w:type="dxa"/>
            <w:tcBorders>
              <w:bottom w:val="single" w:sz="4" w:space="0" w:color="366092"/>
            </w:tcBorders>
          </w:tcPr>
          <w:p w14:paraId="723AD2EA" w14:textId="77777777" w:rsidR="00627043" w:rsidRPr="003360E9" w:rsidRDefault="00627043" w:rsidP="007B26A4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bottom w:val="single" w:sz="4" w:space="0" w:color="366092"/>
            </w:tcBorders>
          </w:tcPr>
          <w:p w14:paraId="55BA5FDB" w14:textId="77777777" w:rsidR="00627043" w:rsidRPr="003360E9" w:rsidRDefault="00627043" w:rsidP="007B26A4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</w:tr>
      <w:tr w:rsidR="00627043" w:rsidRPr="003360E9" w14:paraId="01D89660" w14:textId="77777777" w:rsidTr="007B26A4">
        <w:trPr>
          <w:trHeight w:val="340"/>
          <w:jc w:val="center"/>
        </w:trPr>
        <w:tc>
          <w:tcPr>
            <w:tcW w:w="4196" w:type="dxa"/>
            <w:vMerge w:val="restart"/>
            <w:tcBorders>
              <w:top w:val="single" w:sz="4" w:space="0" w:color="366092"/>
            </w:tcBorders>
            <w:vAlign w:val="center"/>
          </w:tcPr>
          <w:p w14:paraId="0E4725CB" w14:textId="77777777" w:rsidR="00627043" w:rsidRPr="003360E9" w:rsidRDefault="00627043" w:rsidP="007B26A4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Μακροοικονομικά Μεγέθη Γενικής Κυβέρνησης</w:t>
            </w:r>
          </w:p>
        </w:tc>
        <w:tc>
          <w:tcPr>
            <w:tcW w:w="3912" w:type="dxa"/>
            <w:gridSpan w:val="3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5A819CA9" w14:textId="77777777" w:rsidR="00627043" w:rsidRPr="003360E9" w:rsidRDefault="00627043" w:rsidP="007B26A4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Ευρώ (εκατομμύρια)</w:t>
            </w:r>
          </w:p>
        </w:tc>
        <w:tc>
          <w:tcPr>
            <w:tcW w:w="236" w:type="dxa"/>
            <w:tcBorders>
              <w:top w:val="single" w:sz="4" w:space="0" w:color="366092"/>
            </w:tcBorders>
          </w:tcPr>
          <w:p w14:paraId="3963D6E9" w14:textId="77777777" w:rsidR="00627043" w:rsidRPr="003360E9" w:rsidRDefault="00627043" w:rsidP="007B26A4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top w:val="single" w:sz="4" w:space="0" w:color="366092"/>
            </w:tcBorders>
            <w:vAlign w:val="center"/>
          </w:tcPr>
          <w:p w14:paraId="4638887A" w14:textId="77777777" w:rsidR="00627043" w:rsidRPr="003360E9" w:rsidRDefault="00627043" w:rsidP="007B26A4">
            <w:pPr>
              <w:jc w:val="center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Μεταβολή</w:t>
            </w:r>
          </w:p>
        </w:tc>
      </w:tr>
      <w:tr w:rsidR="00627043" w:rsidRPr="003360E9" w14:paraId="19E135AB" w14:textId="77777777" w:rsidTr="007B26A4">
        <w:trPr>
          <w:trHeight w:val="510"/>
          <w:jc w:val="center"/>
        </w:trPr>
        <w:tc>
          <w:tcPr>
            <w:tcW w:w="4196" w:type="dxa"/>
            <w:vMerge/>
          </w:tcPr>
          <w:p w14:paraId="6D0DA37C" w14:textId="77777777" w:rsidR="00627043" w:rsidRPr="003360E9" w:rsidRDefault="00627043" w:rsidP="007B26A4">
            <w:pPr>
              <w:jc w:val="both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366092"/>
              <w:bottom w:val="single" w:sz="4" w:space="0" w:color="366092"/>
              <w:right w:val="double" w:sz="4" w:space="0" w:color="366092"/>
            </w:tcBorders>
            <w:vAlign w:val="center"/>
          </w:tcPr>
          <w:p w14:paraId="3F45B83F" w14:textId="77777777" w:rsidR="00627043" w:rsidRPr="003360E9" w:rsidRDefault="00627043" w:rsidP="007B26A4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Δημοσιονομικά</w:t>
            </w:r>
          </w:p>
          <w:p w14:paraId="70BA1E87" w14:textId="77777777" w:rsidR="00627043" w:rsidRPr="003360E9" w:rsidRDefault="00627043" w:rsidP="007B26A4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Αποτελέσματα</w:t>
            </w:r>
          </w:p>
        </w:tc>
        <w:tc>
          <w:tcPr>
            <w:tcW w:w="1304" w:type="dxa"/>
            <w:tcBorders>
              <w:top w:val="single" w:sz="4" w:space="0" w:color="366092"/>
              <w:left w:val="double" w:sz="4" w:space="0" w:color="366092"/>
              <w:bottom w:val="single" w:sz="4" w:space="0" w:color="366092"/>
            </w:tcBorders>
            <w:vAlign w:val="center"/>
          </w:tcPr>
          <w:p w14:paraId="2F32127C" w14:textId="77777777" w:rsidR="00627043" w:rsidRPr="003360E9" w:rsidRDefault="00627043" w:rsidP="007B26A4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Διαφορά</w:t>
            </w:r>
          </w:p>
        </w:tc>
        <w:tc>
          <w:tcPr>
            <w:tcW w:w="236" w:type="dxa"/>
          </w:tcPr>
          <w:p w14:paraId="2EFBF930" w14:textId="77777777" w:rsidR="00627043" w:rsidRPr="003360E9" w:rsidRDefault="00627043" w:rsidP="007B26A4">
            <w:pPr>
              <w:jc w:val="both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bottom w:val="single" w:sz="4" w:space="0" w:color="366092"/>
            </w:tcBorders>
            <w:vAlign w:val="center"/>
          </w:tcPr>
          <w:p w14:paraId="13936D9F" w14:textId="77777777" w:rsidR="00627043" w:rsidRPr="003360E9" w:rsidRDefault="00627043" w:rsidP="007B26A4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(%)</w:t>
            </w:r>
          </w:p>
        </w:tc>
      </w:tr>
      <w:tr w:rsidR="00627043" w:rsidRPr="003360E9" w14:paraId="37FEACCA" w14:textId="77777777" w:rsidTr="007B26A4">
        <w:trPr>
          <w:trHeight w:val="624"/>
          <w:jc w:val="center"/>
        </w:trPr>
        <w:tc>
          <w:tcPr>
            <w:tcW w:w="4196" w:type="dxa"/>
            <w:vMerge/>
            <w:tcBorders>
              <w:bottom w:val="single" w:sz="4" w:space="0" w:color="366092"/>
            </w:tcBorders>
          </w:tcPr>
          <w:p w14:paraId="6FD4B0D8" w14:textId="77777777" w:rsidR="00627043" w:rsidRPr="003360E9" w:rsidRDefault="00627043" w:rsidP="007B26A4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04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4D91327F" w14:textId="77777777" w:rsidR="00627043" w:rsidRPr="00AA5C56" w:rsidRDefault="00627043" w:rsidP="007B26A4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A5C56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Τ1      2024</w:t>
            </w:r>
          </w:p>
        </w:tc>
        <w:tc>
          <w:tcPr>
            <w:tcW w:w="1304" w:type="dxa"/>
            <w:tcBorders>
              <w:top w:val="single" w:sz="4" w:space="0" w:color="366092"/>
              <w:bottom w:val="single" w:sz="4" w:space="0" w:color="366092"/>
              <w:right w:val="double" w:sz="4" w:space="0" w:color="366092"/>
            </w:tcBorders>
            <w:vAlign w:val="center"/>
          </w:tcPr>
          <w:p w14:paraId="564B1EDB" w14:textId="77777777" w:rsidR="00627043" w:rsidRPr="00AA5C56" w:rsidRDefault="00627043" w:rsidP="007B26A4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A5C56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Τ1      2025</w:t>
            </w:r>
          </w:p>
        </w:tc>
        <w:tc>
          <w:tcPr>
            <w:tcW w:w="1304" w:type="dxa"/>
            <w:tcBorders>
              <w:top w:val="single" w:sz="4" w:space="0" w:color="366092"/>
              <w:left w:val="double" w:sz="4" w:space="0" w:color="366092"/>
              <w:bottom w:val="single" w:sz="4" w:space="0" w:color="366092"/>
            </w:tcBorders>
          </w:tcPr>
          <w:p w14:paraId="1AEBA6E8" w14:textId="77777777" w:rsidR="00627043" w:rsidRPr="00555007" w:rsidRDefault="00627043" w:rsidP="007B26A4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555007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Τ1 2025/24</w:t>
            </w:r>
          </w:p>
        </w:tc>
        <w:tc>
          <w:tcPr>
            <w:tcW w:w="236" w:type="dxa"/>
            <w:tcBorders>
              <w:top w:val="single" w:sz="4" w:space="0" w:color="366092"/>
              <w:bottom w:val="single" w:sz="4" w:space="0" w:color="366092"/>
            </w:tcBorders>
          </w:tcPr>
          <w:p w14:paraId="5D6EC29C" w14:textId="77777777" w:rsidR="00627043" w:rsidRPr="00555007" w:rsidRDefault="00627043" w:rsidP="007B26A4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top w:val="single" w:sz="4" w:space="0" w:color="366092"/>
              <w:bottom w:val="single" w:sz="4" w:space="0" w:color="366092"/>
            </w:tcBorders>
          </w:tcPr>
          <w:p w14:paraId="7D2CBA94" w14:textId="77777777" w:rsidR="00627043" w:rsidRPr="00555007" w:rsidRDefault="00627043" w:rsidP="007B26A4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555007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Τ1 2025/24</w:t>
            </w:r>
          </w:p>
        </w:tc>
      </w:tr>
      <w:tr w:rsidR="00627043" w:rsidRPr="003360E9" w14:paraId="2E7E2876" w14:textId="77777777" w:rsidTr="007B26A4">
        <w:trPr>
          <w:trHeight w:val="397"/>
          <w:jc w:val="center"/>
        </w:trPr>
        <w:tc>
          <w:tcPr>
            <w:tcW w:w="4196" w:type="dxa"/>
            <w:tcBorders>
              <w:top w:val="single" w:sz="4" w:space="0" w:color="366092"/>
            </w:tcBorders>
            <w:vAlign w:val="center"/>
          </w:tcPr>
          <w:p w14:paraId="40377FF3" w14:textId="77777777" w:rsidR="00627043" w:rsidRPr="003360E9" w:rsidRDefault="00627043" w:rsidP="007B26A4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Σύνολο Εσόδων</w:t>
            </w:r>
          </w:p>
        </w:tc>
        <w:tc>
          <w:tcPr>
            <w:tcW w:w="1304" w:type="dxa"/>
            <w:tcBorders>
              <w:top w:val="single" w:sz="4" w:space="0" w:color="366092"/>
            </w:tcBorders>
            <w:shd w:val="clear" w:color="000000" w:fill="FFFFFF"/>
            <w:vAlign w:val="center"/>
          </w:tcPr>
          <w:p w14:paraId="2C345A74" w14:textId="77777777" w:rsidR="00627043" w:rsidRPr="00AA5C56" w:rsidRDefault="00627043" w:rsidP="007B26A4">
            <w:pPr>
              <w:ind w:right="17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highlight w:val="yellow"/>
                <w:lang w:val="el-GR"/>
              </w:rPr>
            </w:pPr>
            <w:r w:rsidRPr="00AA5C56">
              <w:rPr>
                <w:rFonts w:ascii="Verdana" w:hAnsi="Verdana"/>
                <w:color w:val="366092"/>
                <w:sz w:val="18"/>
                <w:szCs w:val="18"/>
              </w:rPr>
              <w:t>3.408,5</w:t>
            </w:r>
          </w:p>
        </w:tc>
        <w:tc>
          <w:tcPr>
            <w:tcW w:w="1304" w:type="dxa"/>
            <w:tcBorders>
              <w:top w:val="single" w:sz="4" w:space="0" w:color="366092"/>
              <w:right w:val="double" w:sz="4" w:space="0" w:color="2F5496" w:themeColor="accent1" w:themeShade="BF"/>
            </w:tcBorders>
            <w:vAlign w:val="center"/>
          </w:tcPr>
          <w:p w14:paraId="6F7EF16C" w14:textId="77777777" w:rsidR="00627043" w:rsidRPr="00AA5C56" w:rsidRDefault="00627043" w:rsidP="007B26A4">
            <w:pPr>
              <w:ind w:right="17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highlight w:val="yellow"/>
                <w:lang w:val="el-GR"/>
              </w:rPr>
            </w:pPr>
            <w:r w:rsidRPr="00AA5C56">
              <w:rPr>
                <w:rFonts w:ascii="Verdana" w:hAnsi="Verdana"/>
                <w:color w:val="366092"/>
                <w:sz w:val="18"/>
                <w:szCs w:val="18"/>
              </w:rPr>
              <w:t>3.639,7</w:t>
            </w:r>
          </w:p>
        </w:tc>
        <w:tc>
          <w:tcPr>
            <w:tcW w:w="1304" w:type="dxa"/>
            <w:tcBorders>
              <w:top w:val="single" w:sz="4" w:space="0" w:color="366092"/>
              <w:left w:val="double" w:sz="4" w:space="0" w:color="2F5496" w:themeColor="accent1" w:themeShade="BF"/>
            </w:tcBorders>
            <w:vAlign w:val="center"/>
          </w:tcPr>
          <w:p w14:paraId="7400C1E7" w14:textId="77777777" w:rsidR="00627043" w:rsidRPr="00555007" w:rsidRDefault="00627043" w:rsidP="007B26A4">
            <w:pPr>
              <w:ind w:right="17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highlight w:val="yellow"/>
                <w:lang w:val="el-GR"/>
              </w:rPr>
            </w:pPr>
            <w:r w:rsidRPr="00555007">
              <w:rPr>
                <w:rFonts w:ascii="Verdana" w:hAnsi="Verdana"/>
                <w:color w:val="366092"/>
                <w:sz w:val="18"/>
                <w:szCs w:val="18"/>
              </w:rPr>
              <w:t>231,2</w:t>
            </w:r>
          </w:p>
        </w:tc>
        <w:tc>
          <w:tcPr>
            <w:tcW w:w="236" w:type="dxa"/>
            <w:tcBorders>
              <w:top w:val="single" w:sz="4" w:space="0" w:color="366092"/>
            </w:tcBorders>
            <w:vAlign w:val="center"/>
          </w:tcPr>
          <w:p w14:paraId="5C1BBCEB" w14:textId="77777777" w:rsidR="00627043" w:rsidRPr="00555007" w:rsidRDefault="00627043" w:rsidP="007B26A4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top w:val="single" w:sz="4" w:space="0" w:color="366092"/>
              <w:left w:val="nil"/>
            </w:tcBorders>
            <w:shd w:val="clear" w:color="000000" w:fill="FFFFFF"/>
            <w:vAlign w:val="center"/>
          </w:tcPr>
          <w:p w14:paraId="2F2B62E8" w14:textId="77777777" w:rsidR="00627043" w:rsidRPr="00555007" w:rsidRDefault="00627043" w:rsidP="007B26A4">
            <w:pPr>
              <w:ind w:right="284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highlight w:val="yellow"/>
                <w:lang w:val="el-GR"/>
              </w:rPr>
            </w:pPr>
            <w:r w:rsidRPr="00555007">
              <w:rPr>
                <w:rFonts w:ascii="Verdana" w:hAnsi="Verdana"/>
                <w:color w:val="366092"/>
                <w:sz w:val="18"/>
                <w:szCs w:val="18"/>
              </w:rPr>
              <w:t>6,8</w:t>
            </w:r>
          </w:p>
        </w:tc>
      </w:tr>
      <w:tr w:rsidR="00627043" w:rsidRPr="003360E9" w14:paraId="5FA23BF7" w14:textId="77777777" w:rsidTr="007B26A4">
        <w:trPr>
          <w:trHeight w:val="510"/>
          <w:jc w:val="center"/>
        </w:trPr>
        <w:tc>
          <w:tcPr>
            <w:tcW w:w="4196" w:type="dxa"/>
            <w:vAlign w:val="center"/>
          </w:tcPr>
          <w:p w14:paraId="38E309F7" w14:textId="77777777" w:rsidR="00627043" w:rsidRPr="003360E9" w:rsidRDefault="00627043" w:rsidP="007B26A4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Φόροι επί της Παραγωγής και των Εισαγωγών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79020D10" w14:textId="77777777" w:rsidR="00627043" w:rsidRPr="00AA5C56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AA5C56">
              <w:rPr>
                <w:rFonts w:ascii="Verdana" w:hAnsi="Verdana"/>
                <w:color w:val="366092"/>
                <w:sz w:val="18"/>
                <w:szCs w:val="18"/>
              </w:rPr>
              <w:t>1.072,7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5EBC11D3" w14:textId="77777777" w:rsidR="00627043" w:rsidRPr="00AA5C56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AA5C56">
              <w:rPr>
                <w:rFonts w:ascii="Verdana" w:hAnsi="Verdana"/>
                <w:color w:val="366092"/>
                <w:sz w:val="18"/>
                <w:szCs w:val="18"/>
              </w:rPr>
              <w:t>1.100,7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7004C4F5" w14:textId="77777777" w:rsidR="00627043" w:rsidRPr="00555007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555007">
              <w:rPr>
                <w:rFonts w:ascii="Verdana" w:hAnsi="Verdana"/>
                <w:color w:val="366092"/>
                <w:sz w:val="18"/>
                <w:szCs w:val="18"/>
              </w:rPr>
              <w:t>28,0</w:t>
            </w:r>
          </w:p>
        </w:tc>
        <w:tc>
          <w:tcPr>
            <w:tcW w:w="236" w:type="dxa"/>
            <w:vAlign w:val="center"/>
          </w:tcPr>
          <w:p w14:paraId="0204EE22" w14:textId="77777777" w:rsidR="00627043" w:rsidRPr="00555007" w:rsidRDefault="00627043" w:rsidP="007B26A4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12303D09" w14:textId="77777777" w:rsidR="00627043" w:rsidRPr="00555007" w:rsidRDefault="00627043" w:rsidP="007B26A4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555007">
              <w:rPr>
                <w:rFonts w:ascii="Verdana" w:hAnsi="Verdana"/>
                <w:color w:val="366092"/>
                <w:sz w:val="18"/>
                <w:szCs w:val="18"/>
              </w:rPr>
              <w:t>2,6</w:t>
            </w:r>
          </w:p>
        </w:tc>
      </w:tr>
      <w:tr w:rsidR="00627043" w:rsidRPr="003360E9" w14:paraId="0A79B243" w14:textId="77777777" w:rsidTr="007B26A4">
        <w:trPr>
          <w:trHeight w:val="284"/>
          <w:jc w:val="center"/>
        </w:trPr>
        <w:tc>
          <w:tcPr>
            <w:tcW w:w="4196" w:type="dxa"/>
            <w:vAlign w:val="center"/>
          </w:tcPr>
          <w:p w14:paraId="6DE35E53" w14:textId="77777777" w:rsidR="00627043" w:rsidRPr="003360E9" w:rsidRDefault="00627043" w:rsidP="007B26A4">
            <w:pPr>
              <w:ind w:left="340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  <w:t>εκ των οποίων Φ.Π.Α.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46A69010" w14:textId="77777777" w:rsidR="00627043" w:rsidRPr="00AA5C56" w:rsidRDefault="00627043" w:rsidP="007B26A4">
            <w:pPr>
              <w:ind w:right="170"/>
              <w:jc w:val="right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highlight w:val="yellow"/>
                <w:lang w:val="el-GR"/>
              </w:rPr>
            </w:pPr>
            <w:r w:rsidRPr="00AA5C56">
              <w:rPr>
                <w:rFonts w:ascii="Verdana" w:hAnsi="Verdana"/>
                <w:color w:val="366092"/>
                <w:sz w:val="18"/>
                <w:szCs w:val="18"/>
              </w:rPr>
              <w:t>728,4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7EF17DAA" w14:textId="77777777" w:rsidR="00627043" w:rsidRPr="00AA5C56" w:rsidRDefault="00627043" w:rsidP="007B26A4">
            <w:pPr>
              <w:ind w:right="170"/>
              <w:jc w:val="right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highlight w:val="yellow"/>
                <w:lang w:val="el-GR"/>
              </w:rPr>
            </w:pPr>
            <w:r w:rsidRPr="00AA5C56">
              <w:rPr>
                <w:rFonts w:ascii="Verdana" w:hAnsi="Verdana"/>
                <w:color w:val="366092"/>
                <w:sz w:val="18"/>
                <w:szCs w:val="18"/>
              </w:rPr>
              <w:t>733,2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116EEA62" w14:textId="77777777" w:rsidR="00627043" w:rsidRPr="00555007" w:rsidRDefault="00627043" w:rsidP="007B26A4">
            <w:pPr>
              <w:ind w:right="170"/>
              <w:jc w:val="right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highlight w:val="yellow"/>
                <w:lang w:val="el-GR"/>
              </w:rPr>
            </w:pPr>
            <w:r w:rsidRPr="00555007">
              <w:rPr>
                <w:rFonts w:ascii="Verdana" w:hAnsi="Verdana"/>
                <w:color w:val="366092"/>
                <w:sz w:val="18"/>
                <w:szCs w:val="18"/>
              </w:rPr>
              <w:t>4,8</w:t>
            </w:r>
          </w:p>
        </w:tc>
        <w:tc>
          <w:tcPr>
            <w:tcW w:w="236" w:type="dxa"/>
            <w:vAlign w:val="center"/>
          </w:tcPr>
          <w:p w14:paraId="67225C62" w14:textId="77777777" w:rsidR="00627043" w:rsidRPr="00555007" w:rsidRDefault="00627043" w:rsidP="007B26A4">
            <w:pPr>
              <w:jc w:val="right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2C3F10F1" w14:textId="77777777" w:rsidR="00627043" w:rsidRPr="00555007" w:rsidRDefault="00627043" w:rsidP="007B26A4">
            <w:pPr>
              <w:ind w:right="284"/>
              <w:jc w:val="right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highlight w:val="yellow"/>
                <w:lang w:val="el-GR"/>
              </w:rPr>
            </w:pPr>
            <w:r w:rsidRPr="00555007">
              <w:rPr>
                <w:rFonts w:ascii="Verdana" w:hAnsi="Verdana"/>
                <w:color w:val="366092"/>
                <w:sz w:val="18"/>
                <w:szCs w:val="18"/>
              </w:rPr>
              <w:t>0,7</w:t>
            </w:r>
          </w:p>
        </w:tc>
      </w:tr>
      <w:tr w:rsidR="00627043" w:rsidRPr="003360E9" w14:paraId="57D1BFA9" w14:textId="77777777" w:rsidTr="007B26A4">
        <w:trPr>
          <w:trHeight w:val="567"/>
          <w:jc w:val="center"/>
        </w:trPr>
        <w:tc>
          <w:tcPr>
            <w:tcW w:w="4196" w:type="dxa"/>
            <w:vAlign w:val="center"/>
          </w:tcPr>
          <w:p w14:paraId="79B87D77" w14:textId="77777777" w:rsidR="00627043" w:rsidRPr="003360E9" w:rsidRDefault="00627043" w:rsidP="007B26A4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Τρέχοντες Φόροι στο Εισόδημα και τον Πλούτο κλπ.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35B24939" w14:textId="77777777" w:rsidR="00627043" w:rsidRPr="00AA5C56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AA5C56">
              <w:rPr>
                <w:rFonts w:ascii="Verdana" w:hAnsi="Verdana"/>
                <w:color w:val="366092"/>
                <w:sz w:val="18"/>
                <w:szCs w:val="18"/>
              </w:rPr>
              <w:t>915,2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13AFE773" w14:textId="77777777" w:rsidR="00627043" w:rsidRPr="00AA5C56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AA5C56">
              <w:rPr>
                <w:rFonts w:ascii="Verdana" w:hAnsi="Verdana"/>
                <w:color w:val="366092"/>
                <w:sz w:val="18"/>
                <w:szCs w:val="18"/>
              </w:rPr>
              <w:t>985,9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5E4EF527" w14:textId="77777777" w:rsidR="00627043" w:rsidRPr="00555007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555007">
              <w:rPr>
                <w:rFonts w:ascii="Verdana" w:hAnsi="Verdana"/>
                <w:color w:val="366092"/>
                <w:sz w:val="18"/>
                <w:szCs w:val="18"/>
              </w:rPr>
              <w:t>70,7</w:t>
            </w:r>
          </w:p>
        </w:tc>
        <w:tc>
          <w:tcPr>
            <w:tcW w:w="236" w:type="dxa"/>
            <w:vAlign w:val="center"/>
          </w:tcPr>
          <w:p w14:paraId="161FB2DC" w14:textId="77777777" w:rsidR="00627043" w:rsidRPr="00555007" w:rsidRDefault="00627043" w:rsidP="007B26A4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591D65A8" w14:textId="77777777" w:rsidR="00627043" w:rsidRPr="00555007" w:rsidRDefault="00627043" w:rsidP="007B26A4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555007">
              <w:rPr>
                <w:rFonts w:ascii="Verdana" w:hAnsi="Verdana"/>
                <w:color w:val="366092"/>
                <w:sz w:val="18"/>
                <w:szCs w:val="18"/>
              </w:rPr>
              <w:t>7,7</w:t>
            </w:r>
          </w:p>
        </w:tc>
      </w:tr>
      <w:tr w:rsidR="00627043" w:rsidRPr="003360E9" w14:paraId="6AC053B3" w14:textId="77777777" w:rsidTr="007B26A4">
        <w:trPr>
          <w:trHeight w:val="340"/>
          <w:jc w:val="center"/>
        </w:trPr>
        <w:tc>
          <w:tcPr>
            <w:tcW w:w="4196" w:type="dxa"/>
            <w:vAlign w:val="center"/>
          </w:tcPr>
          <w:p w14:paraId="24B2AA3C" w14:textId="77777777" w:rsidR="00627043" w:rsidRPr="003360E9" w:rsidRDefault="00627043" w:rsidP="007B26A4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Κοινωνικές Εισφορές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75399297" w14:textId="77777777" w:rsidR="00627043" w:rsidRPr="00AA5C56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AA5C56">
              <w:rPr>
                <w:rFonts w:ascii="Verdana" w:hAnsi="Verdana"/>
                <w:color w:val="366092"/>
                <w:sz w:val="18"/>
                <w:szCs w:val="18"/>
              </w:rPr>
              <w:t>1.052,1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3CB9A00B" w14:textId="77777777" w:rsidR="00627043" w:rsidRPr="00AA5C56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AA5C56">
              <w:rPr>
                <w:rFonts w:ascii="Verdana" w:hAnsi="Verdana"/>
                <w:color w:val="366092"/>
                <w:sz w:val="18"/>
                <w:szCs w:val="18"/>
              </w:rPr>
              <w:t>1.191,4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383DA322" w14:textId="77777777" w:rsidR="00627043" w:rsidRPr="00555007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555007">
              <w:rPr>
                <w:rFonts w:ascii="Verdana" w:hAnsi="Verdana"/>
                <w:color w:val="366092"/>
                <w:sz w:val="18"/>
                <w:szCs w:val="18"/>
              </w:rPr>
              <w:t>139,3</w:t>
            </w:r>
          </w:p>
        </w:tc>
        <w:tc>
          <w:tcPr>
            <w:tcW w:w="236" w:type="dxa"/>
            <w:vAlign w:val="center"/>
          </w:tcPr>
          <w:p w14:paraId="2FA820BA" w14:textId="77777777" w:rsidR="00627043" w:rsidRPr="00555007" w:rsidRDefault="00627043" w:rsidP="007B26A4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5FFC3D16" w14:textId="77777777" w:rsidR="00627043" w:rsidRPr="00555007" w:rsidRDefault="00627043" w:rsidP="007B26A4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555007">
              <w:rPr>
                <w:rFonts w:ascii="Verdana" w:hAnsi="Verdana"/>
                <w:color w:val="366092"/>
                <w:sz w:val="18"/>
                <w:szCs w:val="18"/>
              </w:rPr>
              <w:t>13,2</w:t>
            </w:r>
          </w:p>
        </w:tc>
      </w:tr>
      <w:tr w:rsidR="00627043" w:rsidRPr="003360E9" w14:paraId="7453CA66" w14:textId="77777777" w:rsidTr="007B26A4">
        <w:trPr>
          <w:trHeight w:val="340"/>
          <w:jc w:val="center"/>
        </w:trPr>
        <w:tc>
          <w:tcPr>
            <w:tcW w:w="4196" w:type="dxa"/>
            <w:vAlign w:val="center"/>
          </w:tcPr>
          <w:p w14:paraId="6F57EAA4" w14:textId="77777777" w:rsidR="00627043" w:rsidRPr="003360E9" w:rsidRDefault="00627043" w:rsidP="007B26A4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Λοιπά Τρέχοντα Έσοδα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1AD19602" w14:textId="77777777" w:rsidR="00627043" w:rsidRPr="00AA5C56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AA5C56">
              <w:rPr>
                <w:rFonts w:ascii="Verdana" w:hAnsi="Verdana"/>
                <w:color w:val="366092"/>
                <w:sz w:val="18"/>
                <w:szCs w:val="18"/>
              </w:rPr>
              <w:t>356,7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shd w:val="clear" w:color="000000" w:fill="FFFFFF"/>
            <w:vAlign w:val="center"/>
          </w:tcPr>
          <w:p w14:paraId="75748B16" w14:textId="77777777" w:rsidR="00627043" w:rsidRPr="00AA5C56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AA5C56">
              <w:rPr>
                <w:rFonts w:ascii="Verdana" w:hAnsi="Verdana"/>
                <w:color w:val="366092"/>
                <w:sz w:val="18"/>
                <w:szCs w:val="18"/>
              </w:rPr>
              <w:t>359,3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shd w:val="clear" w:color="000000" w:fill="FFFFFF"/>
            <w:vAlign w:val="center"/>
          </w:tcPr>
          <w:p w14:paraId="1308CC52" w14:textId="77777777" w:rsidR="00627043" w:rsidRPr="00555007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555007">
              <w:rPr>
                <w:rFonts w:ascii="Verdana" w:hAnsi="Verdana"/>
                <w:color w:val="366092"/>
                <w:sz w:val="18"/>
                <w:szCs w:val="18"/>
              </w:rPr>
              <w:t>2,6</w:t>
            </w:r>
          </w:p>
        </w:tc>
        <w:tc>
          <w:tcPr>
            <w:tcW w:w="236" w:type="dxa"/>
            <w:vAlign w:val="center"/>
          </w:tcPr>
          <w:p w14:paraId="53932D0C" w14:textId="77777777" w:rsidR="00627043" w:rsidRPr="00555007" w:rsidRDefault="00627043" w:rsidP="007B26A4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5033F53B" w14:textId="77777777" w:rsidR="00627043" w:rsidRPr="00555007" w:rsidRDefault="00627043" w:rsidP="007B26A4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555007">
              <w:rPr>
                <w:rFonts w:ascii="Verdana" w:hAnsi="Verdana"/>
                <w:color w:val="366092"/>
                <w:sz w:val="18"/>
                <w:szCs w:val="18"/>
              </w:rPr>
              <w:t>0,7</w:t>
            </w:r>
          </w:p>
        </w:tc>
      </w:tr>
      <w:tr w:rsidR="00627043" w:rsidRPr="003360E9" w14:paraId="7B88E862" w14:textId="77777777" w:rsidTr="007B26A4">
        <w:trPr>
          <w:trHeight w:val="284"/>
          <w:jc w:val="center"/>
        </w:trPr>
        <w:tc>
          <w:tcPr>
            <w:tcW w:w="4196" w:type="dxa"/>
            <w:vAlign w:val="center"/>
          </w:tcPr>
          <w:p w14:paraId="4D888F75" w14:textId="77777777" w:rsidR="00627043" w:rsidRPr="003360E9" w:rsidRDefault="00627043" w:rsidP="007B26A4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Εισόδημα περιουσίας εισπρακτέο</w:t>
            </w:r>
          </w:p>
        </w:tc>
        <w:tc>
          <w:tcPr>
            <w:tcW w:w="1304" w:type="dxa"/>
            <w:vAlign w:val="center"/>
          </w:tcPr>
          <w:p w14:paraId="0AF464A2" w14:textId="77777777" w:rsidR="00627043" w:rsidRPr="00AA5C56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AA5C56">
              <w:rPr>
                <w:rFonts w:ascii="Verdana" w:hAnsi="Verdana"/>
                <w:color w:val="366092"/>
                <w:sz w:val="18"/>
                <w:szCs w:val="18"/>
              </w:rPr>
              <w:t>21,1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shd w:val="clear" w:color="000000" w:fill="FFFFFF"/>
            <w:vAlign w:val="center"/>
          </w:tcPr>
          <w:p w14:paraId="5CC54842" w14:textId="77777777" w:rsidR="00627043" w:rsidRPr="00AA5C56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AA5C56">
              <w:rPr>
                <w:rFonts w:ascii="Verdana" w:hAnsi="Verdana"/>
                <w:color w:val="366092"/>
                <w:sz w:val="18"/>
                <w:szCs w:val="18"/>
              </w:rPr>
              <w:t>18,7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shd w:val="clear" w:color="000000" w:fill="FFFFFF"/>
            <w:vAlign w:val="center"/>
          </w:tcPr>
          <w:p w14:paraId="1771E8AA" w14:textId="77777777" w:rsidR="00627043" w:rsidRPr="00555007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555007">
              <w:rPr>
                <w:rFonts w:ascii="Verdana" w:hAnsi="Verdana"/>
                <w:color w:val="366092"/>
                <w:sz w:val="18"/>
                <w:szCs w:val="18"/>
              </w:rPr>
              <w:t>-2,4</w:t>
            </w:r>
          </w:p>
        </w:tc>
        <w:tc>
          <w:tcPr>
            <w:tcW w:w="236" w:type="dxa"/>
            <w:vAlign w:val="center"/>
          </w:tcPr>
          <w:p w14:paraId="07F78FB0" w14:textId="77777777" w:rsidR="00627043" w:rsidRPr="00555007" w:rsidRDefault="00627043" w:rsidP="007B26A4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3F5002D1" w14:textId="77777777" w:rsidR="00627043" w:rsidRPr="00555007" w:rsidRDefault="00627043" w:rsidP="007B26A4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555007">
              <w:rPr>
                <w:rFonts w:ascii="Verdana" w:hAnsi="Verdana"/>
                <w:color w:val="366092"/>
                <w:sz w:val="18"/>
                <w:szCs w:val="18"/>
              </w:rPr>
              <w:t>-11,5</w:t>
            </w:r>
          </w:p>
        </w:tc>
      </w:tr>
      <w:tr w:rsidR="00627043" w:rsidRPr="003360E9" w14:paraId="0C9D69B4" w14:textId="77777777" w:rsidTr="007B26A4">
        <w:trPr>
          <w:trHeight w:val="340"/>
          <w:jc w:val="center"/>
        </w:trPr>
        <w:tc>
          <w:tcPr>
            <w:tcW w:w="4196" w:type="dxa"/>
            <w:vAlign w:val="center"/>
          </w:tcPr>
          <w:p w14:paraId="4E47FD59" w14:textId="77777777" w:rsidR="00627043" w:rsidRPr="003360E9" w:rsidRDefault="00627043" w:rsidP="007B26A4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Τρέχουσες μεταβιβάσεις</w:t>
            </w:r>
          </w:p>
        </w:tc>
        <w:tc>
          <w:tcPr>
            <w:tcW w:w="1304" w:type="dxa"/>
            <w:vAlign w:val="center"/>
          </w:tcPr>
          <w:p w14:paraId="3ACF2203" w14:textId="77777777" w:rsidR="00627043" w:rsidRPr="00AA5C56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AA5C56">
              <w:rPr>
                <w:rFonts w:ascii="Verdana" w:hAnsi="Verdana"/>
                <w:color w:val="366092"/>
                <w:sz w:val="18"/>
                <w:szCs w:val="18"/>
              </w:rPr>
              <w:t>118,3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shd w:val="clear" w:color="000000" w:fill="FFFFFF"/>
            <w:vAlign w:val="center"/>
          </w:tcPr>
          <w:p w14:paraId="3758AF66" w14:textId="77777777" w:rsidR="00627043" w:rsidRPr="00AA5C56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AA5C56">
              <w:rPr>
                <w:rFonts w:ascii="Verdana" w:hAnsi="Verdana"/>
                <w:color w:val="366092"/>
                <w:sz w:val="18"/>
                <w:szCs w:val="18"/>
              </w:rPr>
              <w:t>66,0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shd w:val="clear" w:color="000000" w:fill="FFFFFF"/>
            <w:vAlign w:val="center"/>
          </w:tcPr>
          <w:p w14:paraId="604D9B84" w14:textId="77777777" w:rsidR="00627043" w:rsidRPr="00555007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555007">
              <w:rPr>
                <w:rFonts w:ascii="Verdana" w:hAnsi="Verdana"/>
                <w:color w:val="366092"/>
                <w:sz w:val="18"/>
                <w:szCs w:val="18"/>
              </w:rPr>
              <w:t>-52,3</w:t>
            </w:r>
          </w:p>
        </w:tc>
        <w:tc>
          <w:tcPr>
            <w:tcW w:w="236" w:type="dxa"/>
            <w:vAlign w:val="center"/>
          </w:tcPr>
          <w:p w14:paraId="1C541163" w14:textId="77777777" w:rsidR="00627043" w:rsidRPr="00555007" w:rsidRDefault="00627043" w:rsidP="007B26A4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602BD529" w14:textId="77777777" w:rsidR="00627043" w:rsidRPr="00555007" w:rsidRDefault="00627043" w:rsidP="007B26A4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555007">
              <w:rPr>
                <w:rFonts w:ascii="Verdana" w:hAnsi="Verdana"/>
                <w:color w:val="366092"/>
                <w:sz w:val="18"/>
                <w:szCs w:val="18"/>
              </w:rPr>
              <w:t>-44,2</w:t>
            </w:r>
          </w:p>
        </w:tc>
      </w:tr>
      <w:tr w:rsidR="00627043" w:rsidRPr="003360E9" w14:paraId="6C88E299" w14:textId="77777777" w:rsidTr="007B26A4">
        <w:trPr>
          <w:trHeight w:val="284"/>
          <w:jc w:val="center"/>
        </w:trPr>
        <w:tc>
          <w:tcPr>
            <w:tcW w:w="4196" w:type="dxa"/>
            <w:vAlign w:val="center"/>
          </w:tcPr>
          <w:p w14:paraId="0DECCFC6" w14:textId="77777777" w:rsidR="00627043" w:rsidRPr="003360E9" w:rsidRDefault="00627043" w:rsidP="007B26A4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Έσοδα από παροχή υπηρεσιών</w:t>
            </w:r>
          </w:p>
        </w:tc>
        <w:tc>
          <w:tcPr>
            <w:tcW w:w="1304" w:type="dxa"/>
            <w:vAlign w:val="center"/>
          </w:tcPr>
          <w:p w14:paraId="50EB86F1" w14:textId="77777777" w:rsidR="00627043" w:rsidRPr="00AA5C56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AA5C56">
              <w:rPr>
                <w:rFonts w:ascii="Verdana" w:hAnsi="Verdana"/>
                <w:color w:val="366092"/>
                <w:sz w:val="18"/>
                <w:szCs w:val="18"/>
              </w:rPr>
              <w:t>217,3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shd w:val="clear" w:color="000000" w:fill="FFFFFF"/>
            <w:vAlign w:val="center"/>
          </w:tcPr>
          <w:p w14:paraId="76A4A53D" w14:textId="77777777" w:rsidR="00627043" w:rsidRPr="00AA5C56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AA5C56">
              <w:rPr>
                <w:rFonts w:ascii="Verdana" w:hAnsi="Verdana"/>
                <w:color w:val="366092"/>
                <w:sz w:val="18"/>
                <w:szCs w:val="18"/>
              </w:rPr>
              <w:t>274,6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shd w:val="clear" w:color="000000" w:fill="FFFFFF"/>
            <w:vAlign w:val="center"/>
          </w:tcPr>
          <w:p w14:paraId="2563FF43" w14:textId="77777777" w:rsidR="00627043" w:rsidRPr="00555007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555007">
              <w:rPr>
                <w:rFonts w:ascii="Verdana" w:hAnsi="Verdana"/>
                <w:color w:val="366092"/>
                <w:sz w:val="18"/>
                <w:szCs w:val="18"/>
              </w:rPr>
              <w:t>57,3</w:t>
            </w:r>
          </w:p>
        </w:tc>
        <w:tc>
          <w:tcPr>
            <w:tcW w:w="236" w:type="dxa"/>
            <w:vAlign w:val="center"/>
          </w:tcPr>
          <w:p w14:paraId="0844689D" w14:textId="77777777" w:rsidR="00627043" w:rsidRPr="00555007" w:rsidRDefault="00627043" w:rsidP="007B26A4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436DF626" w14:textId="77777777" w:rsidR="00627043" w:rsidRPr="00555007" w:rsidRDefault="00627043" w:rsidP="007B26A4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555007">
              <w:rPr>
                <w:rFonts w:ascii="Verdana" w:hAnsi="Verdana"/>
                <w:color w:val="366092"/>
                <w:sz w:val="18"/>
                <w:szCs w:val="18"/>
              </w:rPr>
              <w:t>26,4</w:t>
            </w:r>
          </w:p>
        </w:tc>
      </w:tr>
      <w:tr w:rsidR="00627043" w:rsidRPr="003360E9" w14:paraId="3103C42C" w14:textId="77777777" w:rsidTr="007B26A4">
        <w:trPr>
          <w:trHeight w:val="454"/>
          <w:jc w:val="center"/>
        </w:trPr>
        <w:tc>
          <w:tcPr>
            <w:tcW w:w="4196" w:type="dxa"/>
            <w:vAlign w:val="center"/>
          </w:tcPr>
          <w:p w14:paraId="5A69FCC5" w14:textId="77777777" w:rsidR="00627043" w:rsidRPr="003360E9" w:rsidRDefault="00627043" w:rsidP="007B26A4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Κεφαλαιουχικές Μεταβιβάσεις</w:t>
            </w:r>
          </w:p>
        </w:tc>
        <w:tc>
          <w:tcPr>
            <w:tcW w:w="1304" w:type="dxa"/>
            <w:vAlign w:val="center"/>
          </w:tcPr>
          <w:p w14:paraId="2F12EEB4" w14:textId="77777777" w:rsidR="00627043" w:rsidRPr="00AA5C56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AA5C56">
              <w:rPr>
                <w:rFonts w:ascii="Verdana" w:hAnsi="Verdana"/>
                <w:color w:val="366092"/>
                <w:sz w:val="18"/>
                <w:szCs w:val="18"/>
              </w:rPr>
              <w:t>11,8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045C40C4" w14:textId="77777777" w:rsidR="00627043" w:rsidRPr="00AA5C56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AA5C56">
              <w:rPr>
                <w:rFonts w:ascii="Verdana" w:hAnsi="Verdana"/>
                <w:color w:val="366092"/>
                <w:sz w:val="18"/>
                <w:szCs w:val="18"/>
              </w:rPr>
              <w:t>2,4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shd w:val="clear" w:color="000000" w:fill="FFFFFF"/>
            <w:vAlign w:val="center"/>
          </w:tcPr>
          <w:p w14:paraId="622D5CB8" w14:textId="77777777" w:rsidR="00627043" w:rsidRPr="00555007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555007">
              <w:rPr>
                <w:rFonts w:ascii="Verdana" w:hAnsi="Verdana"/>
                <w:color w:val="366092"/>
                <w:sz w:val="18"/>
                <w:szCs w:val="18"/>
              </w:rPr>
              <w:t>-9,4</w:t>
            </w:r>
          </w:p>
        </w:tc>
        <w:tc>
          <w:tcPr>
            <w:tcW w:w="236" w:type="dxa"/>
            <w:vAlign w:val="center"/>
          </w:tcPr>
          <w:p w14:paraId="014ADD8F" w14:textId="77777777" w:rsidR="00627043" w:rsidRPr="00555007" w:rsidRDefault="00627043" w:rsidP="007B26A4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30225AD7" w14:textId="77777777" w:rsidR="00627043" w:rsidRPr="00555007" w:rsidRDefault="00627043" w:rsidP="007B26A4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555007">
              <w:rPr>
                <w:rFonts w:ascii="Verdana" w:hAnsi="Verdana"/>
                <w:color w:val="366092"/>
                <w:sz w:val="18"/>
                <w:szCs w:val="18"/>
              </w:rPr>
              <w:t>-79,7</w:t>
            </w:r>
          </w:p>
        </w:tc>
      </w:tr>
      <w:tr w:rsidR="00627043" w:rsidRPr="003360E9" w14:paraId="7527986B" w14:textId="77777777" w:rsidTr="007B26A4">
        <w:trPr>
          <w:trHeight w:val="397"/>
          <w:jc w:val="center"/>
        </w:trPr>
        <w:tc>
          <w:tcPr>
            <w:tcW w:w="4196" w:type="dxa"/>
            <w:vAlign w:val="center"/>
          </w:tcPr>
          <w:p w14:paraId="788997B2" w14:textId="77777777" w:rsidR="00627043" w:rsidRPr="003360E9" w:rsidRDefault="00627043" w:rsidP="007B26A4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Σύνολο Δαπανών</w:t>
            </w:r>
          </w:p>
        </w:tc>
        <w:tc>
          <w:tcPr>
            <w:tcW w:w="1304" w:type="dxa"/>
            <w:vAlign w:val="center"/>
          </w:tcPr>
          <w:p w14:paraId="518D89B4" w14:textId="77777777" w:rsidR="00627043" w:rsidRPr="00AA5C56" w:rsidRDefault="00627043" w:rsidP="007B26A4">
            <w:pPr>
              <w:ind w:right="17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highlight w:val="yellow"/>
                <w:lang w:val="el-GR"/>
              </w:rPr>
            </w:pPr>
            <w:r w:rsidRPr="00AA5C56">
              <w:rPr>
                <w:rFonts w:ascii="Verdana" w:hAnsi="Verdana"/>
                <w:color w:val="366092"/>
                <w:sz w:val="18"/>
                <w:szCs w:val="18"/>
              </w:rPr>
              <w:t>2.832,9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3DE88E31" w14:textId="77777777" w:rsidR="00627043" w:rsidRPr="00AA5C56" w:rsidRDefault="00627043" w:rsidP="007B26A4">
            <w:pPr>
              <w:ind w:right="17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highlight w:val="yellow"/>
                <w:lang w:val="el-GR"/>
              </w:rPr>
            </w:pPr>
            <w:r w:rsidRPr="00AA5C56">
              <w:rPr>
                <w:rFonts w:ascii="Verdana" w:hAnsi="Verdana"/>
                <w:color w:val="366092"/>
                <w:sz w:val="18"/>
                <w:szCs w:val="18"/>
              </w:rPr>
              <w:t>3.020,6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1DA3B270" w14:textId="77777777" w:rsidR="00627043" w:rsidRPr="00555007" w:rsidRDefault="00627043" w:rsidP="007B26A4">
            <w:pPr>
              <w:ind w:right="17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highlight w:val="yellow"/>
                <w:lang w:val="el-GR"/>
              </w:rPr>
            </w:pPr>
            <w:r w:rsidRPr="00555007">
              <w:rPr>
                <w:rFonts w:ascii="Verdana" w:hAnsi="Verdana"/>
                <w:color w:val="366092"/>
                <w:sz w:val="18"/>
                <w:szCs w:val="18"/>
              </w:rPr>
              <w:t>187,7</w:t>
            </w:r>
          </w:p>
        </w:tc>
        <w:tc>
          <w:tcPr>
            <w:tcW w:w="236" w:type="dxa"/>
            <w:vAlign w:val="center"/>
          </w:tcPr>
          <w:p w14:paraId="2C0134DA" w14:textId="77777777" w:rsidR="00627043" w:rsidRPr="00555007" w:rsidRDefault="00627043" w:rsidP="007B26A4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45555195" w14:textId="77777777" w:rsidR="00627043" w:rsidRPr="00555007" w:rsidRDefault="00627043" w:rsidP="007B26A4">
            <w:pPr>
              <w:ind w:right="284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highlight w:val="yellow"/>
                <w:lang w:val="el-GR"/>
              </w:rPr>
            </w:pPr>
            <w:r w:rsidRPr="00555007">
              <w:rPr>
                <w:rFonts w:ascii="Verdana" w:hAnsi="Verdana"/>
                <w:color w:val="366092"/>
                <w:sz w:val="18"/>
                <w:szCs w:val="18"/>
              </w:rPr>
              <w:t>6,6</w:t>
            </w:r>
          </w:p>
        </w:tc>
      </w:tr>
      <w:tr w:rsidR="00627043" w:rsidRPr="003360E9" w14:paraId="5936BE20" w14:textId="77777777" w:rsidTr="007B26A4">
        <w:trPr>
          <w:trHeight w:val="340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0B0F322B" w14:textId="77777777" w:rsidR="00627043" w:rsidRPr="003360E9" w:rsidRDefault="00627043" w:rsidP="007B26A4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 xml:space="preserve">Σύνολο </w:t>
            </w:r>
            <w:r w:rsidRPr="003360E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Τ</w:t>
            </w:r>
            <w:proofErr w:type="spellStart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ρεχουσών</w:t>
            </w:r>
            <w:proofErr w:type="spellEnd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</w:t>
            </w:r>
            <w:r w:rsidRPr="003360E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Δ</w:t>
            </w:r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απα</w:t>
            </w:r>
            <w:proofErr w:type="spellStart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νών</w:t>
            </w:r>
            <w:proofErr w:type="spellEnd"/>
          </w:p>
        </w:tc>
        <w:tc>
          <w:tcPr>
            <w:tcW w:w="1304" w:type="dxa"/>
            <w:vAlign w:val="center"/>
          </w:tcPr>
          <w:p w14:paraId="6104414F" w14:textId="77777777" w:rsidR="00627043" w:rsidRPr="00AA5C56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AA5C56">
              <w:rPr>
                <w:rFonts w:ascii="Verdana" w:hAnsi="Verdana"/>
                <w:color w:val="366092"/>
                <w:sz w:val="18"/>
                <w:szCs w:val="18"/>
              </w:rPr>
              <w:t>2.673,9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7B4A5B8C" w14:textId="77777777" w:rsidR="00627043" w:rsidRPr="00AA5C56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AA5C56">
              <w:rPr>
                <w:rFonts w:ascii="Verdana" w:hAnsi="Verdana"/>
                <w:color w:val="366092"/>
                <w:sz w:val="18"/>
                <w:szCs w:val="18"/>
              </w:rPr>
              <w:t>2.808,6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6EA7009E" w14:textId="77777777" w:rsidR="00627043" w:rsidRPr="00555007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555007">
              <w:rPr>
                <w:rFonts w:ascii="Verdana" w:hAnsi="Verdana"/>
                <w:color w:val="366092"/>
                <w:sz w:val="18"/>
                <w:szCs w:val="18"/>
              </w:rPr>
              <w:t>134,7</w:t>
            </w:r>
          </w:p>
        </w:tc>
        <w:tc>
          <w:tcPr>
            <w:tcW w:w="236" w:type="dxa"/>
            <w:vAlign w:val="center"/>
          </w:tcPr>
          <w:p w14:paraId="17CFA9DB" w14:textId="77777777" w:rsidR="00627043" w:rsidRPr="00555007" w:rsidRDefault="00627043" w:rsidP="007B26A4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14B40529" w14:textId="77777777" w:rsidR="00627043" w:rsidRPr="00555007" w:rsidRDefault="00627043" w:rsidP="007B26A4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555007">
              <w:rPr>
                <w:rFonts w:ascii="Verdana" w:hAnsi="Verdana"/>
                <w:color w:val="366092"/>
                <w:sz w:val="18"/>
                <w:szCs w:val="18"/>
              </w:rPr>
              <w:t>5,0</w:t>
            </w:r>
          </w:p>
        </w:tc>
      </w:tr>
      <w:tr w:rsidR="00627043" w:rsidRPr="003360E9" w14:paraId="28267EE6" w14:textId="77777777" w:rsidTr="007B26A4">
        <w:trPr>
          <w:trHeight w:val="284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2428AF5D" w14:textId="77777777" w:rsidR="00627043" w:rsidRPr="003360E9" w:rsidRDefault="00627043" w:rsidP="007B26A4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Ενδιάμεση</w:t>
            </w:r>
            <w:proofErr w:type="spellEnd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α</w:t>
            </w:r>
            <w:proofErr w:type="spellStart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νάλωση</w:t>
            </w:r>
            <w:proofErr w:type="spellEnd"/>
          </w:p>
        </w:tc>
        <w:tc>
          <w:tcPr>
            <w:tcW w:w="1304" w:type="dxa"/>
            <w:vAlign w:val="center"/>
          </w:tcPr>
          <w:p w14:paraId="47DC3F2D" w14:textId="77777777" w:rsidR="00627043" w:rsidRPr="00AA5C56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AA5C56">
              <w:rPr>
                <w:rFonts w:ascii="Verdana" w:hAnsi="Verdana"/>
                <w:color w:val="366092"/>
                <w:sz w:val="18"/>
                <w:szCs w:val="18"/>
              </w:rPr>
              <w:t>295,1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67708A9F" w14:textId="77777777" w:rsidR="00627043" w:rsidRPr="00AA5C56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AA5C56">
              <w:rPr>
                <w:rFonts w:ascii="Verdana" w:hAnsi="Verdana"/>
                <w:color w:val="366092"/>
                <w:sz w:val="18"/>
                <w:szCs w:val="18"/>
              </w:rPr>
              <w:t>271,1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6382D777" w14:textId="77777777" w:rsidR="00627043" w:rsidRPr="00555007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555007">
              <w:rPr>
                <w:rFonts w:ascii="Verdana" w:hAnsi="Verdana"/>
                <w:color w:val="366092"/>
                <w:sz w:val="18"/>
                <w:szCs w:val="18"/>
              </w:rPr>
              <w:t>-24,0</w:t>
            </w:r>
          </w:p>
        </w:tc>
        <w:tc>
          <w:tcPr>
            <w:tcW w:w="236" w:type="dxa"/>
            <w:vAlign w:val="center"/>
          </w:tcPr>
          <w:p w14:paraId="2D90EB0A" w14:textId="77777777" w:rsidR="00627043" w:rsidRPr="00555007" w:rsidRDefault="00627043" w:rsidP="007B26A4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2B95AD4F" w14:textId="77777777" w:rsidR="00627043" w:rsidRPr="00555007" w:rsidRDefault="00627043" w:rsidP="007B26A4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555007">
              <w:rPr>
                <w:rFonts w:ascii="Verdana" w:hAnsi="Verdana"/>
                <w:color w:val="366092"/>
                <w:sz w:val="18"/>
                <w:szCs w:val="18"/>
              </w:rPr>
              <w:t>-8,1</w:t>
            </w:r>
          </w:p>
        </w:tc>
      </w:tr>
      <w:tr w:rsidR="00627043" w:rsidRPr="003360E9" w14:paraId="4C71C10D" w14:textId="77777777" w:rsidTr="007B26A4">
        <w:trPr>
          <w:trHeight w:val="340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67DF172B" w14:textId="77777777" w:rsidR="00627043" w:rsidRPr="003360E9" w:rsidRDefault="00627043" w:rsidP="007B26A4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Απ</w:t>
            </w:r>
            <w:proofErr w:type="spellStart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ολ</w:t>
            </w:r>
            <w:proofErr w:type="spellEnd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αβές π</w:t>
            </w:r>
            <w:proofErr w:type="spellStart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ροσω</w:t>
            </w:r>
            <w:proofErr w:type="spellEnd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πικού</w:t>
            </w:r>
          </w:p>
        </w:tc>
        <w:tc>
          <w:tcPr>
            <w:tcW w:w="1304" w:type="dxa"/>
            <w:vAlign w:val="center"/>
          </w:tcPr>
          <w:p w14:paraId="7488AFC0" w14:textId="77777777" w:rsidR="00627043" w:rsidRPr="00AA5C56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AA5C56">
              <w:rPr>
                <w:rFonts w:ascii="Verdana" w:hAnsi="Verdana"/>
                <w:color w:val="366092"/>
                <w:sz w:val="18"/>
                <w:szCs w:val="18"/>
              </w:rPr>
              <w:t>897,5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3ACB3E81" w14:textId="77777777" w:rsidR="00627043" w:rsidRPr="00AA5C56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AA5C56">
              <w:rPr>
                <w:rFonts w:ascii="Verdana" w:hAnsi="Verdana"/>
                <w:color w:val="366092"/>
                <w:sz w:val="18"/>
                <w:szCs w:val="18"/>
              </w:rPr>
              <w:t>955,5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2229A81E" w14:textId="77777777" w:rsidR="00627043" w:rsidRPr="00555007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555007">
              <w:rPr>
                <w:rFonts w:ascii="Verdana" w:hAnsi="Verdana"/>
                <w:color w:val="366092"/>
                <w:sz w:val="18"/>
                <w:szCs w:val="18"/>
              </w:rPr>
              <w:t>58,0</w:t>
            </w:r>
          </w:p>
        </w:tc>
        <w:tc>
          <w:tcPr>
            <w:tcW w:w="236" w:type="dxa"/>
            <w:vAlign w:val="center"/>
          </w:tcPr>
          <w:p w14:paraId="332344CA" w14:textId="77777777" w:rsidR="00627043" w:rsidRPr="00555007" w:rsidRDefault="00627043" w:rsidP="007B26A4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6B12D491" w14:textId="77777777" w:rsidR="00627043" w:rsidRPr="00555007" w:rsidRDefault="00627043" w:rsidP="007B26A4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555007">
              <w:rPr>
                <w:rFonts w:ascii="Verdana" w:hAnsi="Verdana"/>
                <w:color w:val="366092"/>
                <w:sz w:val="18"/>
                <w:szCs w:val="18"/>
              </w:rPr>
              <w:t>6,5</w:t>
            </w:r>
          </w:p>
        </w:tc>
      </w:tr>
      <w:tr w:rsidR="00627043" w:rsidRPr="003360E9" w14:paraId="3375BB81" w14:textId="77777777" w:rsidTr="007B26A4">
        <w:trPr>
          <w:trHeight w:val="340"/>
          <w:jc w:val="center"/>
        </w:trPr>
        <w:tc>
          <w:tcPr>
            <w:tcW w:w="4196" w:type="dxa"/>
            <w:shd w:val="clear" w:color="auto" w:fill="auto"/>
            <w:vAlign w:val="center"/>
          </w:tcPr>
          <w:p w14:paraId="4307EBA9" w14:textId="77777777" w:rsidR="00627043" w:rsidRPr="003360E9" w:rsidRDefault="00627043" w:rsidP="007B26A4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Κοινωνικές</w:t>
            </w:r>
            <w:proofErr w:type="spellEnd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πα</w:t>
            </w:r>
            <w:proofErr w:type="spellStart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ροχές</w:t>
            </w:r>
            <w:proofErr w:type="spellEnd"/>
          </w:p>
        </w:tc>
        <w:tc>
          <w:tcPr>
            <w:tcW w:w="1304" w:type="dxa"/>
            <w:vAlign w:val="center"/>
          </w:tcPr>
          <w:p w14:paraId="21E8875E" w14:textId="77777777" w:rsidR="00627043" w:rsidRPr="00AA5C56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AA5C56">
              <w:rPr>
                <w:rFonts w:ascii="Verdana" w:hAnsi="Verdana"/>
                <w:color w:val="366092"/>
                <w:sz w:val="18"/>
                <w:szCs w:val="18"/>
              </w:rPr>
              <w:t>1.177,9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709DD3DF" w14:textId="77777777" w:rsidR="00627043" w:rsidRPr="00AA5C56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AA5C56">
              <w:rPr>
                <w:rFonts w:ascii="Verdana" w:hAnsi="Verdana"/>
                <w:color w:val="366092"/>
                <w:sz w:val="18"/>
                <w:szCs w:val="18"/>
              </w:rPr>
              <w:t>1.280,9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71D61116" w14:textId="77777777" w:rsidR="00627043" w:rsidRPr="00555007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555007">
              <w:rPr>
                <w:rFonts w:ascii="Verdana" w:hAnsi="Verdana"/>
                <w:color w:val="366092"/>
                <w:sz w:val="18"/>
                <w:szCs w:val="18"/>
              </w:rPr>
              <w:t>103,0</w:t>
            </w:r>
          </w:p>
        </w:tc>
        <w:tc>
          <w:tcPr>
            <w:tcW w:w="236" w:type="dxa"/>
            <w:vAlign w:val="center"/>
          </w:tcPr>
          <w:p w14:paraId="3C5A7B98" w14:textId="77777777" w:rsidR="00627043" w:rsidRPr="00555007" w:rsidRDefault="00627043" w:rsidP="007B26A4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764440C5" w14:textId="77777777" w:rsidR="00627043" w:rsidRPr="00555007" w:rsidRDefault="00627043" w:rsidP="007B26A4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555007">
              <w:rPr>
                <w:rFonts w:ascii="Verdana" w:hAnsi="Verdana"/>
                <w:color w:val="366092"/>
                <w:sz w:val="18"/>
                <w:szCs w:val="18"/>
              </w:rPr>
              <w:t>8,7</w:t>
            </w:r>
          </w:p>
        </w:tc>
      </w:tr>
      <w:tr w:rsidR="00627043" w:rsidRPr="003360E9" w14:paraId="24E72769" w14:textId="77777777" w:rsidTr="007B26A4">
        <w:trPr>
          <w:trHeight w:val="340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46A71A1B" w14:textId="77777777" w:rsidR="00627043" w:rsidRPr="003360E9" w:rsidRDefault="00627043" w:rsidP="007B26A4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Εισόδημα περιουσίας πληρωτέο</w:t>
            </w:r>
          </w:p>
        </w:tc>
        <w:tc>
          <w:tcPr>
            <w:tcW w:w="1304" w:type="dxa"/>
            <w:vAlign w:val="center"/>
          </w:tcPr>
          <w:p w14:paraId="13A15A46" w14:textId="77777777" w:rsidR="00627043" w:rsidRPr="00AA5C56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AA5C56">
              <w:rPr>
                <w:rFonts w:ascii="Verdana" w:hAnsi="Verdana"/>
                <w:color w:val="366092"/>
                <w:sz w:val="18"/>
                <w:szCs w:val="18"/>
              </w:rPr>
              <w:t>71,7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3010E874" w14:textId="77777777" w:rsidR="00627043" w:rsidRPr="00AA5C56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AA5C56">
              <w:rPr>
                <w:rFonts w:ascii="Verdana" w:hAnsi="Verdana"/>
                <w:color w:val="366092"/>
                <w:sz w:val="18"/>
                <w:szCs w:val="18"/>
              </w:rPr>
              <w:t>72,1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13B26663" w14:textId="77777777" w:rsidR="00627043" w:rsidRPr="00555007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555007">
              <w:rPr>
                <w:rFonts w:ascii="Verdana" w:hAnsi="Verdana"/>
                <w:color w:val="366092"/>
                <w:sz w:val="18"/>
                <w:szCs w:val="18"/>
              </w:rPr>
              <w:t>0,4</w:t>
            </w:r>
          </w:p>
        </w:tc>
        <w:tc>
          <w:tcPr>
            <w:tcW w:w="236" w:type="dxa"/>
            <w:vAlign w:val="center"/>
          </w:tcPr>
          <w:p w14:paraId="3E0E98F1" w14:textId="77777777" w:rsidR="00627043" w:rsidRPr="00555007" w:rsidRDefault="00627043" w:rsidP="007B26A4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510E1923" w14:textId="77777777" w:rsidR="00627043" w:rsidRPr="00555007" w:rsidRDefault="00627043" w:rsidP="007B26A4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555007">
              <w:rPr>
                <w:rFonts w:ascii="Verdana" w:hAnsi="Verdana"/>
                <w:color w:val="366092"/>
                <w:sz w:val="18"/>
                <w:szCs w:val="18"/>
              </w:rPr>
              <w:t>0,6</w:t>
            </w:r>
          </w:p>
        </w:tc>
      </w:tr>
      <w:tr w:rsidR="00627043" w:rsidRPr="003360E9" w14:paraId="388EB882" w14:textId="77777777" w:rsidTr="007B26A4">
        <w:trPr>
          <w:trHeight w:val="340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52DFBCDD" w14:textId="77777777" w:rsidR="00627043" w:rsidRPr="003360E9" w:rsidRDefault="00627043" w:rsidP="007B26A4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Επ</w:t>
            </w:r>
            <w:proofErr w:type="spellStart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ιδοτήσεις</w:t>
            </w:r>
            <w:proofErr w:type="spellEnd"/>
          </w:p>
        </w:tc>
        <w:tc>
          <w:tcPr>
            <w:tcW w:w="1304" w:type="dxa"/>
            <w:vAlign w:val="center"/>
          </w:tcPr>
          <w:p w14:paraId="6C5D3C54" w14:textId="77777777" w:rsidR="00627043" w:rsidRPr="00AA5C56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AA5C56">
              <w:rPr>
                <w:rFonts w:ascii="Verdana" w:hAnsi="Verdana"/>
                <w:color w:val="366092"/>
                <w:sz w:val="18"/>
                <w:szCs w:val="18"/>
              </w:rPr>
              <w:t>35,1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4FE05EBF" w14:textId="77777777" w:rsidR="00627043" w:rsidRPr="00AA5C56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AA5C56">
              <w:rPr>
                <w:rFonts w:ascii="Verdana" w:hAnsi="Verdana"/>
                <w:color w:val="366092"/>
                <w:sz w:val="18"/>
                <w:szCs w:val="18"/>
              </w:rPr>
              <w:t>36,2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6D9FA584" w14:textId="77777777" w:rsidR="00627043" w:rsidRPr="00555007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555007">
              <w:rPr>
                <w:rFonts w:ascii="Verdana" w:hAnsi="Verdana"/>
                <w:color w:val="366092"/>
                <w:sz w:val="18"/>
                <w:szCs w:val="18"/>
              </w:rPr>
              <w:t>1,1</w:t>
            </w:r>
          </w:p>
        </w:tc>
        <w:tc>
          <w:tcPr>
            <w:tcW w:w="236" w:type="dxa"/>
            <w:vAlign w:val="center"/>
          </w:tcPr>
          <w:p w14:paraId="209DBAE2" w14:textId="77777777" w:rsidR="00627043" w:rsidRPr="00555007" w:rsidRDefault="00627043" w:rsidP="007B26A4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5E172260" w14:textId="77777777" w:rsidR="00627043" w:rsidRPr="00555007" w:rsidRDefault="00627043" w:rsidP="007B26A4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555007">
              <w:rPr>
                <w:rFonts w:ascii="Verdana" w:hAnsi="Verdana"/>
                <w:color w:val="366092"/>
                <w:sz w:val="18"/>
                <w:szCs w:val="18"/>
              </w:rPr>
              <w:t>3,1</w:t>
            </w:r>
          </w:p>
        </w:tc>
      </w:tr>
      <w:tr w:rsidR="00627043" w:rsidRPr="003360E9" w14:paraId="41CF7B85" w14:textId="77777777" w:rsidTr="007B26A4">
        <w:trPr>
          <w:trHeight w:val="284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564921D3" w14:textId="77777777" w:rsidR="00627043" w:rsidRPr="003360E9" w:rsidRDefault="00627043" w:rsidP="007B26A4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Λοι</w:t>
            </w:r>
            <w:proofErr w:type="spellEnd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 xml:space="preserve">πές </w:t>
            </w:r>
            <w:proofErr w:type="spellStart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τρέχουσες</w:t>
            </w:r>
            <w:proofErr w:type="spellEnd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δαπ</w:t>
            </w:r>
            <w:proofErr w:type="spellStart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άνες</w:t>
            </w:r>
            <w:proofErr w:type="spellEnd"/>
          </w:p>
        </w:tc>
        <w:tc>
          <w:tcPr>
            <w:tcW w:w="1304" w:type="dxa"/>
            <w:vAlign w:val="center"/>
          </w:tcPr>
          <w:p w14:paraId="4EA38A3F" w14:textId="77777777" w:rsidR="00627043" w:rsidRPr="00AA5C56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AA5C56">
              <w:rPr>
                <w:rFonts w:ascii="Verdana" w:hAnsi="Verdana"/>
                <w:color w:val="366092"/>
                <w:sz w:val="18"/>
                <w:szCs w:val="18"/>
              </w:rPr>
              <w:t>196,6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72FB709F" w14:textId="77777777" w:rsidR="00627043" w:rsidRPr="00AA5C56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AA5C56">
              <w:rPr>
                <w:rFonts w:ascii="Verdana" w:hAnsi="Verdana"/>
                <w:color w:val="366092"/>
                <w:sz w:val="18"/>
                <w:szCs w:val="18"/>
              </w:rPr>
              <w:t>192,8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331C6685" w14:textId="77777777" w:rsidR="00627043" w:rsidRPr="00555007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555007">
              <w:rPr>
                <w:rFonts w:ascii="Verdana" w:hAnsi="Verdana"/>
                <w:color w:val="366092"/>
                <w:sz w:val="18"/>
                <w:szCs w:val="18"/>
              </w:rPr>
              <w:t>-3,8</w:t>
            </w:r>
          </w:p>
        </w:tc>
        <w:tc>
          <w:tcPr>
            <w:tcW w:w="236" w:type="dxa"/>
            <w:vAlign w:val="center"/>
          </w:tcPr>
          <w:p w14:paraId="6395BF60" w14:textId="77777777" w:rsidR="00627043" w:rsidRPr="00555007" w:rsidRDefault="00627043" w:rsidP="007B26A4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02DBB586" w14:textId="77777777" w:rsidR="00627043" w:rsidRPr="00555007" w:rsidRDefault="00627043" w:rsidP="007B26A4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555007">
              <w:rPr>
                <w:rFonts w:ascii="Verdana" w:hAnsi="Verdana"/>
                <w:color w:val="366092"/>
                <w:sz w:val="18"/>
                <w:szCs w:val="18"/>
              </w:rPr>
              <w:t>-1,9</w:t>
            </w:r>
          </w:p>
        </w:tc>
      </w:tr>
      <w:tr w:rsidR="00627043" w:rsidRPr="003360E9" w14:paraId="4013622A" w14:textId="77777777" w:rsidTr="007B26A4">
        <w:trPr>
          <w:trHeight w:val="454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4FC26CBE" w14:textId="77777777" w:rsidR="00627043" w:rsidRPr="003360E9" w:rsidRDefault="00627043" w:rsidP="007B26A4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Κεφ</w:t>
            </w:r>
            <w:proofErr w:type="spellEnd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 xml:space="preserve">αλαιουχικές </w:t>
            </w:r>
            <w:r w:rsidRPr="003360E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Δ</w:t>
            </w:r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απ</w:t>
            </w:r>
            <w:proofErr w:type="spellStart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άνες</w:t>
            </w:r>
            <w:proofErr w:type="spellEnd"/>
          </w:p>
        </w:tc>
        <w:tc>
          <w:tcPr>
            <w:tcW w:w="1304" w:type="dxa"/>
            <w:vAlign w:val="center"/>
          </w:tcPr>
          <w:p w14:paraId="70D2942E" w14:textId="77777777" w:rsidR="00627043" w:rsidRPr="00AA5C56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AA5C56">
              <w:rPr>
                <w:rFonts w:ascii="Verdana" w:hAnsi="Verdana"/>
                <w:color w:val="366092"/>
                <w:sz w:val="18"/>
                <w:szCs w:val="18"/>
              </w:rPr>
              <w:t>159,0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598B9CC6" w14:textId="77777777" w:rsidR="00627043" w:rsidRPr="00AA5C56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AA5C56">
              <w:rPr>
                <w:rFonts w:ascii="Verdana" w:hAnsi="Verdana"/>
                <w:color w:val="366092"/>
                <w:sz w:val="18"/>
                <w:szCs w:val="18"/>
              </w:rPr>
              <w:t>212,0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5C0A3FB4" w14:textId="77777777" w:rsidR="00627043" w:rsidRPr="00555007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555007">
              <w:rPr>
                <w:rFonts w:ascii="Verdana" w:hAnsi="Verdana"/>
                <w:color w:val="366092"/>
                <w:sz w:val="18"/>
                <w:szCs w:val="18"/>
              </w:rPr>
              <w:t>53,0</w:t>
            </w:r>
          </w:p>
        </w:tc>
        <w:tc>
          <w:tcPr>
            <w:tcW w:w="236" w:type="dxa"/>
            <w:vAlign w:val="center"/>
          </w:tcPr>
          <w:p w14:paraId="103ACC30" w14:textId="77777777" w:rsidR="00627043" w:rsidRPr="00555007" w:rsidRDefault="00627043" w:rsidP="007B26A4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3AB80137" w14:textId="77777777" w:rsidR="00627043" w:rsidRPr="00555007" w:rsidRDefault="00627043" w:rsidP="007B26A4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555007">
              <w:rPr>
                <w:rFonts w:ascii="Verdana" w:hAnsi="Verdana"/>
                <w:color w:val="366092"/>
                <w:sz w:val="18"/>
                <w:szCs w:val="18"/>
              </w:rPr>
              <w:t>33,3</w:t>
            </w:r>
          </w:p>
        </w:tc>
      </w:tr>
      <w:tr w:rsidR="00627043" w:rsidRPr="003360E9" w14:paraId="63C75B36" w14:textId="77777777" w:rsidTr="007B26A4">
        <w:trPr>
          <w:trHeight w:val="454"/>
          <w:jc w:val="center"/>
        </w:trPr>
        <w:tc>
          <w:tcPr>
            <w:tcW w:w="4196" w:type="dxa"/>
            <w:shd w:val="clear" w:color="auto" w:fill="auto"/>
            <w:vAlign w:val="center"/>
          </w:tcPr>
          <w:p w14:paraId="42A9AE2A" w14:textId="77777777" w:rsidR="00627043" w:rsidRPr="003360E9" w:rsidRDefault="00627043" w:rsidP="007B26A4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Ακαθάριστες επενδύσεις παγίου κεφαλαίου</w:t>
            </w:r>
          </w:p>
        </w:tc>
        <w:tc>
          <w:tcPr>
            <w:tcW w:w="1304" w:type="dxa"/>
            <w:vAlign w:val="center"/>
          </w:tcPr>
          <w:p w14:paraId="028B50FC" w14:textId="77777777" w:rsidR="00627043" w:rsidRPr="00AA5C56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AA5C56">
              <w:rPr>
                <w:rFonts w:ascii="Verdana" w:hAnsi="Verdana"/>
                <w:color w:val="366092"/>
                <w:sz w:val="18"/>
                <w:szCs w:val="18"/>
              </w:rPr>
              <w:t>131,4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35AE9137" w14:textId="77777777" w:rsidR="00627043" w:rsidRPr="00AA5C56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AA5C56">
              <w:rPr>
                <w:rFonts w:ascii="Verdana" w:hAnsi="Verdana"/>
                <w:color w:val="366092"/>
                <w:sz w:val="18"/>
                <w:szCs w:val="18"/>
              </w:rPr>
              <w:t>176,8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0505B145" w14:textId="77777777" w:rsidR="00627043" w:rsidRPr="00555007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555007">
              <w:rPr>
                <w:rFonts w:ascii="Verdana" w:hAnsi="Verdana"/>
                <w:color w:val="366092"/>
                <w:sz w:val="18"/>
                <w:szCs w:val="18"/>
              </w:rPr>
              <w:t>45,4</w:t>
            </w:r>
          </w:p>
        </w:tc>
        <w:tc>
          <w:tcPr>
            <w:tcW w:w="236" w:type="dxa"/>
            <w:vAlign w:val="center"/>
          </w:tcPr>
          <w:p w14:paraId="466E56B8" w14:textId="77777777" w:rsidR="00627043" w:rsidRPr="00555007" w:rsidRDefault="00627043" w:rsidP="007B26A4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1201A298" w14:textId="77777777" w:rsidR="00627043" w:rsidRPr="00555007" w:rsidRDefault="00627043" w:rsidP="007B26A4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555007">
              <w:rPr>
                <w:rFonts w:ascii="Verdana" w:hAnsi="Verdana"/>
                <w:color w:val="366092"/>
                <w:sz w:val="18"/>
                <w:szCs w:val="18"/>
              </w:rPr>
              <w:t>34,6</w:t>
            </w:r>
          </w:p>
        </w:tc>
      </w:tr>
      <w:tr w:rsidR="00627043" w:rsidRPr="003360E9" w14:paraId="6D0D2298" w14:textId="77777777" w:rsidTr="007B26A4">
        <w:trPr>
          <w:trHeight w:val="454"/>
          <w:jc w:val="center"/>
        </w:trPr>
        <w:tc>
          <w:tcPr>
            <w:tcW w:w="4196" w:type="dxa"/>
            <w:tcBorders>
              <w:bottom w:val="single" w:sz="4" w:space="0" w:color="366092"/>
            </w:tcBorders>
            <w:shd w:val="clear" w:color="000000" w:fill="FFFFFF"/>
            <w:vAlign w:val="center"/>
          </w:tcPr>
          <w:p w14:paraId="72031715" w14:textId="77777777" w:rsidR="00627043" w:rsidRPr="003360E9" w:rsidRDefault="00627043" w:rsidP="007B26A4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Λοι</w:t>
            </w:r>
            <w:proofErr w:type="spellEnd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 xml:space="preserve">πές </w:t>
            </w:r>
            <w:proofErr w:type="spellStart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μετ</w:t>
            </w:r>
            <w:proofErr w:type="spellEnd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 xml:space="preserve">αβιβάσεις </w:t>
            </w:r>
            <w:proofErr w:type="spellStart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κεφ</w:t>
            </w:r>
            <w:proofErr w:type="spellEnd"/>
            <w:r w:rsidRPr="003360E9">
              <w:rPr>
                <w:rFonts w:ascii="Verdana" w:hAnsi="Verdana" w:cs="Arial"/>
                <w:color w:val="366092"/>
                <w:sz w:val="18"/>
                <w:szCs w:val="18"/>
              </w:rPr>
              <w:t>αλαίου</w:t>
            </w:r>
          </w:p>
        </w:tc>
        <w:tc>
          <w:tcPr>
            <w:tcW w:w="1304" w:type="dxa"/>
            <w:tcBorders>
              <w:bottom w:val="single" w:sz="4" w:space="0" w:color="366092"/>
            </w:tcBorders>
            <w:vAlign w:val="center"/>
          </w:tcPr>
          <w:p w14:paraId="7B99731E" w14:textId="77777777" w:rsidR="00627043" w:rsidRPr="00AA5C56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AA5C56">
              <w:rPr>
                <w:rFonts w:ascii="Verdana" w:hAnsi="Verdana"/>
                <w:color w:val="366092"/>
                <w:sz w:val="18"/>
                <w:szCs w:val="18"/>
              </w:rPr>
              <w:t>27,6</w:t>
            </w:r>
          </w:p>
        </w:tc>
        <w:tc>
          <w:tcPr>
            <w:tcW w:w="1304" w:type="dxa"/>
            <w:tcBorders>
              <w:bottom w:val="single" w:sz="4" w:space="0" w:color="366092"/>
              <w:right w:val="double" w:sz="4" w:space="0" w:color="2F5496" w:themeColor="accent1" w:themeShade="BF"/>
            </w:tcBorders>
            <w:vAlign w:val="center"/>
          </w:tcPr>
          <w:p w14:paraId="48E234B8" w14:textId="77777777" w:rsidR="00627043" w:rsidRPr="00AA5C56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AA5C56">
              <w:rPr>
                <w:rFonts w:ascii="Verdana" w:hAnsi="Verdana"/>
                <w:color w:val="366092"/>
                <w:sz w:val="18"/>
                <w:szCs w:val="18"/>
              </w:rPr>
              <w:t>35,2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bottom w:val="single" w:sz="4" w:space="0" w:color="366092"/>
            </w:tcBorders>
            <w:vAlign w:val="center"/>
          </w:tcPr>
          <w:p w14:paraId="290D4333" w14:textId="77777777" w:rsidR="00627043" w:rsidRPr="00555007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555007">
              <w:rPr>
                <w:rFonts w:ascii="Verdana" w:hAnsi="Verdana"/>
                <w:color w:val="366092"/>
                <w:sz w:val="18"/>
                <w:szCs w:val="18"/>
              </w:rPr>
              <w:t>7,6</w:t>
            </w:r>
          </w:p>
        </w:tc>
        <w:tc>
          <w:tcPr>
            <w:tcW w:w="236" w:type="dxa"/>
            <w:tcBorders>
              <w:bottom w:val="single" w:sz="4" w:space="0" w:color="366092"/>
            </w:tcBorders>
            <w:vAlign w:val="center"/>
          </w:tcPr>
          <w:p w14:paraId="7CD7B285" w14:textId="77777777" w:rsidR="00627043" w:rsidRPr="00555007" w:rsidRDefault="00627043" w:rsidP="007B26A4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  <w:bottom w:val="single" w:sz="4" w:space="0" w:color="366092"/>
            </w:tcBorders>
            <w:shd w:val="clear" w:color="000000" w:fill="FFFFFF"/>
            <w:vAlign w:val="center"/>
          </w:tcPr>
          <w:p w14:paraId="79E8A4F4" w14:textId="77777777" w:rsidR="00627043" w:rsidRPr="00555007" w:rsidRDefault="00627043" w:rsidP="007B26A4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555007">
              <w:rPr>
                <w:rFonts w:ascii="Verdana" w:hAnsi="Verdana"/>
                <w:color w:val="366092"/>
                <w:sz w:val="18"/>
                <w:szCs w:val="18"/>
              </w:rPr>
              <w:t>27,5</w:t>
            </w:r>
          </w:p>
        </w:tc>
      </w:tr>
      <w:tr w:rsidR="00627043" w:rsidRPr="003360E9" w14:paraId="7CBEAF68" w14:textId="77777777" w:rsidTr="007B26A4">
        <w:trPr>
          <w:trHeight w:val="624"/>
          <w:jc w:val="center"/>
        </w:trPr>
        <w:tc>
          <w:tcPr>
            <w:tcW w:w="4196" w:type="dxa"/>
            <w:tcBorders>
              <w:top w:val="single" w:sz="4" w:space="0" w:color="366092"/>
            </w:tcBorders>
            <w:vAlign w:val="center"/>
          </w:tcPr>
          <w:p w14:paraId="2BF50819" w14:textId="77777777" w:rsidR="00627043" w:rsidRPr="003360E9" w:rsidRDefault="00627043" w:rsidP="007B26A4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Δημοσιονομικό Πλεόνασμα (+)</w:t>
            </w:r>
          </w:p>
          <w:p w14:paraId="724469B1" w14:textId="77777777" w:rsidR="00627043" w:rsidRPr="003360E9" w:rsidRDefault="00627043" w:rsidP="007B26A4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/Έλλειμμα (-)</w:t>
            </w:r>
          </w:p>
        </w:tc>
        <w:tc>
          <w:tcPr>
            <w:tcW w:w="1304" w:type="dxa"/>
            <w:tcBorders>
              <w:top w:val="single" w:sz="4" w:space="0" w:color="366092"/>
            </w:tcBorders>
            <w:vAlign w:val="center"/>
          </w:tcPr>
          <w:p w14:paraId="4597977F" w14:textId="77777777" w:rsidR="00627043" w:rsidRPr="00555007" w:rsidRDefault="00627043" w:rsidP="007B26A4">
            <w:pPr>
              <w:ind w:right="17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highlight w:val="yellow"/>
                <w:lang w:val="el-GR"/>
              </w:rPr>
            </w:pPr>
            <w:r w:rsidRPr="00555007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575,7</w:t>
            </w:r>
          </w:p>
        </w:tc>
        <w:tc>
          <w:tcPr>
            <w:tcW w:w="1304" w:type="dxa"/>
            <w:tcBorders>
              <w:top w:val="single" w:sz="4" w:space="0" w:color="366092"/>
              <w:right w:val="double" w:sz="4" w:space="0" w:color="366092"/>
            </w:tcBorders>
            <w:vAlign w:val="center"/>
          </w:tcPr>
          <w:p w14:paraId="639BC810" w14:textId="77777777" w:rsidR="00627043" w:rsidRPr="00555007" w:rsidRDefault="00627043" w:rsidP="007B26A4">
            <w:pPr>
              <w:ind w:right="17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highlight w:val="yellow"/>
                <w:lang w:val="el-GR"/>
              </w:rPr>
            </w:pPr>
            <w:r w:rsidRPr="00555007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619,1</w:t>
            </w:r>
          </w:p>
        </w:tc>
        <w:tc>
          <w:tcPr>
            <w:tcW w:w="1304" w:type="dxa"/>
            <w:tcBorders>
              <w:top w:val="single" w:sz="4" w:space="0" w:color="366092"/>
              <w:left w:val="double" w:sz="4" w:space="0" w:color="366092"/>
            </w:tcBorders>
            <w:vAlign w:val="center"/>
          </w:tcPr>
          <w:p w14:paraId="6A57015A" w14:textId="77777777" w:rsidR="00627043" w:rsidRPr="00555007" w:rsidRDefault="00627043" w:rsidP="007B26A4">
            <w:pPr>
              <w:ind w:right="17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highlight w:val="yellow"/>
                <w:lang w:val="el-GR"/>
              </w:rPr>
            </w:pPr>
            <w:r w:rsidRPr="00555007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43,4</w:t>
            </w:r>
          </w:p>
        </w:tc>
        <w:tc>
          <w:tcPr>
            <w:tcW w:w="236" w:type="dxa"/>
            <w:tcBorders>
              <w:top w:val="single" w:sz="4" w:space="0" w:color="366092"/>
            </w:tcBorders>
            <w:vAlign w:val="center"/>
          </w:tcPr>
          <w:p w14:paraId="26DBB6FC" w14:textId="77777777" w:rsidR="00627043" w:rsidRPr="00555007" w:rsidRDefault="00627043" w:rsidP="007B26A4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top w:val="single" w:sz="4" w:space="0" w:color="366092"/>
              <w:left w:val="nil"/>
            </w:tcBorders>
            <w:shd w:val="clear" w:color="000000" w:fill="FFFFFF"/>
            <w:vAlign w:val="center"/>
          </w:tcPr>
          <w:p w14:paraId="56079A7E" w14:textId="77777777" w:rsidR="00627043" w:rsidRPr="00555007" w:rsidRDefault="00627043" w:rsidP="007B26A4">
            <w:pPr>
              <w:ind w:right="284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</w:tr>
      <w:tr w:rsidR="00627043" w:rsidRPr="003360E9" w14:paraId="033D06E0" w14:textId="77777777" w:rsidTr="007B26A4">
        <w:trPr>
          <w:trHeight w:val="454"/>
          <w:jc w:val="center"/>
        </w:trPr>
        <w:tc>
          <w:tcPr>
            <w:tcW w:w="4196" w:type="dxa"/>
            <w:tcBorders>
              <w:bottom w:val="single" w:sz="4" w:space="0" w:color="366092"/>
            </w:tcBorders>
            <w:vAlign w:val="center"/>
          </w:tcPr>
          <w:p w14:paraId="3A5C2E9B" w14:textId="77777777" w:rsidR="00627043" w:rsidRPr="003360E9" w:rsidRDefault="00627043" w:rsidP="007B26A4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3360E9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% επί του ΑΕΠ</w:t>
            </w:r>
          </w:p>
        </w:tc>
        <w:tc>
          <w:tcPr>
            <w:tcW w:w="1304" w:type="dxa"/>
            <w:tcBorders>
              <w:bottom w:val="single" w:sz="4" w:space="0" w:color="366092"/>
            </w:tcBorders>
            <w:vAlign w:val="center"/>
          </w:tcPr>
          <w:p w14:paraId="7D74B3AA" w14:textId="77777777" w:rsidR="00627043" w:rsidRPr="00AA5C56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AA5C56">
              <w:rPr>
                <w:rFonts w:ascii="Verdana" w:hAnsi="Verdana"/>
                <w:color w:val="366092"/>
                <w:sz w:val="18"/>
                <w:szCs w:val="18"/>
              </w:rPr>
              <w:t>1,7%</w:t>
            </w:r>
          </w:p>
        </w:tc>
        <w:tc>
          <w:tcPr>
            <w:tcW w:w="1304" w:type="dxa"/>
            <w:tcBorders>
              <w:bottom w:val="single" w:sz="4" w:space="0" w:color="366092"/>
              <w:right w:val="double" w:sz="4" w:space="0" w:color="366092"/>
            </w:tcBorders>
            <w:vAlign w:val="center"/>
          </w:tcPr>
          <w:p w14:paraId="011D8C47" w14:textId="77777777" w:rsidR="00627043" w:rsidRPr="00AA5C56" w:rsidRDefault="00627043" w:rsidP="007B26A4">
            <w:pPr>
              <w:ind w:right="170"/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  <w:r w:rsidRPr="00AA5C56">
              <w:rPr>
                <w:rFonts w:ascii="Verdana" w:hAnsi="Verdana"/>
                <w:color w:val="366092"/>
                <w:sz w:val="18"/>
                <w:szCs w:val="18"/>
              </w:rPr>
              <w:t>1,8%</w:t>
            </w:r>
          </w:p>
        </w:tc>
        <w:tc>
          <w:tcPr>
            <w:tcW w:w="1304" w:type="dxa"/>
            <w:tcBorders>
              <w:left w:val="double" w:sz="4" w:space="0" w:color="366092"/>
              <w:bottom w:val="single" w:sz="4" w:space="0" w:color="366092"/>
            </w:tcBorders>
            <w:vAlign w:val="center"/>
          </w:tcPr>
          <w:p w14:paraId="659B3BA9" w14:textId="77777777" w:rsidR="00627043" w:rsidRPr="003360E9" w:rsidRDefault="00627043" w:rsidP="007B26A4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236" w:type="dxa"/>
            <w:tcBorders>
              <w:bottom w:val="single" w:sz="4" w:space="0" w:color="366092"/>
            </w:tcBorders>
            <w:vAlign w:val="center"/>
          </w:tcPr>
          <w:p w14:paraId="0F4CA142" w14:textId="77777777" w:rsidR="00627043" w:rsidRPr="003360E9" w:rsidRDefault="00627043" w:rsidP="007B26A4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  <w:bottom w:val="single" w:sz="4" w:space="0" w:color="366092"/>
            </w:tcBorders>
            <w:shd w:val="clear" w:color="000000" w:fill="FFFFFF"/>
            <w:vAlign w:val="center"/>
          </w:tcPr>
          <w:p w14:paraId="09D31E46" w14:textId="77777777" w:rsidR="00627043" w:rsidRPr="003360E9" w:rsidRDefault="00627043" w:rsidP="007B26A4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highlight w:val="yellow"/>
                <w:lang w:val="el-GR"/>
              </w:rPr>
            </w:pPr>
          </w:p>
        </w:tc>
      </w:tr>
    </w:tbl>
    <w:p w14:paraId="61AE0C0D" w14:textId="6D1142D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3EE097" w14:textId="693AE5A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2430748" w14:textId="77777777" w:rsidR="00627043" w:rsidRDefault="0062704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C02B0E9" w14:textId="0AA1E290" w:rsidR="00246AAA" w:rsidRDefault="00246AAA" w:rsidP="00246AA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246AAA">
        <w:rPr>
          <w:rFonts w:ascii="Verdana" w:hAnsi="Verdana" w:cs="Arial"/>
          <w:sz w:val="18"/>
          <w:szCs w:val="18"/>
          <w:lang w:val="el-GR"/>
        </w:rPr>
        <w:t>Το Δημοσιονομικό πλεόνασμα/έλλειμμα της Γενικής Κυβέρνησης για τ</w:t>
      </w:r>
      <w:r>
        <w:rPr>
          <w:rFonts w:ascii="Verdana" w:hAnsi="Verdana" w:cs="Arial"/>
          <w:sz w:val="18"/>
          <w:szCs w:val="18"/>
          <w:lang w:val="el-GR"/>
        </w:rPr>
        <w:t xml:space="preserve">ο </w:t>
      </w:r>
      <w:r w:rsidR="00412864">
        <w:rPr>
          <w:rFonts w:ascii="Verdana" w:hAnsi="Verdana" w:cs="Arial"/>
          <w:sz w:val="18"/>
          <w:szCs w:val="18"/>
          <w:lang w:val="el-GR"/>
        </w:rPr>
        <w:t>πρώτο</w:t>
      </w:r>
      <w:r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412864">
        <w:rPr>
          <w:rFonts w:ascii="Verdana" w:hAnsi="Verdana" w:cs="Arial"/>
          <w:sz w:val="18"/>
          <w:szCs w:val="18"/>
          <w:lang w:val="el-GR"/>
        </w:rPr>
        <w:t>5</w:t>
      </w:r>
      <w:r w:rsidRPr="00246AAA">
        <w:rPr>
          <w:rFonts w:ascii="Verdana" w:hAnsi="Verdana" w:cs="Arial"/>
          <w:sz w:val="18"/>
          <w:szCs w:val="18"/>
          <w:lang w:val="el-GR"/>
        </w:rPr>
        <w:t xml:space="preserve"> που παρουσιάζεται πιο πάνω αναλύεται ως εξής:</w:t>
      </w:r>
    </w:p>
    <w:p w14:paraId="754BB2DC" w14:textId="77777777" w:rsidR="00627043" w:rsidRPr="00246AAA" w:rsidRDefault="00627043" w:rsidP="00246AAA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985"/>
      </w:tblGrid>
      <w:tr w:rsidR="00627043" w:rsidRPr="009E1C34" w14:paraId="1C1710A3" w14:textId="77777777" w:rsidTr="007B26A4">
        <w:trPr>
          <w:trHeight w:val="284"/>
          <w:jc w:val="center"/>
        </w:trPr>
        <w:tc>
          <w:tcPr>
            <w:tcW w:w="5670" w:type="dxa"/>
            <w:tcBorders>
              <w:bottom w:val="single" w:sz="4" w:space="0" w:color="366092"/>
            </w:tcBorders>
            <w:vAlign w:val="center"/>
          </w:tcPr>
          <w:p w14:paraId="3D7E60E2" w14:textId="77777777" w:rsidR="00627043" w:rsidRPr="009E1C34" w:rsidRDefault="00627043" w:rsidP="007B26A4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E1C34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Πίνακας 2</w:t>
            </w:r>
          </w:p>
        </w:tc>
        <w:tc>
          <w:tcPr>
            <w:tcW w:w="1985" w:type="dxa"/>
            <w:tcBorders>
              <w:bottom w:val="single" w:sz="4" w:space="0" w:color="366092"/>
            </w:tcBorders>
          </w:tcPr>
          <w:p w14:paraId="345781B0" w14:textId="77777777" w:rsidR="00627043" w:rsidRPr="009E1C34" w:rsidRDefault="00627043" w:rsidP="007B26A4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</w:tr>
      <w:tr w:rsidR="00627043" w:rsidRPr="009E1C34" w14:paraId="1E32FC0F" w14:textId="77777777" w:rsidTr="007B26A4">
        <w:trPr>
          <w:trHeight w:val="567"/>
          <w:jc w:val="center"/>
        </w:trPr>
        <w:tc>
          <w:tcPr>
            <w:tcW w:w="5670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3BE5EC92" w14:textId="77777777" w:rsidR="00627043" w:rsidRPr="009E1C34" w:rsidRDefault="00627043" w:rsidP="007B26A4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E1C34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Δημοσιονομικό Πλεόνασμα (+)/ Έλλειμμα (-) κατά Υποτομέα Γενικής Κυβερνήσης</w:t>
            </w:r>
          </w:p>
        </w:tc>
        <w:tc>
          <w:tcPr>
            <w:tcW w:w="1985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7EB16F15" w14:textId="77777777" w:rsidR="00627043" w:rsidRPr="009E1C34" w:rsidRDefault="00627043" w:rsidP="007B26A4">
            <w:pPr>
              <w:jc w:val="center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E1C34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Τ1 2025</w:t>
            </w:r>
          </w:p>
          <w:p w14:paraId="77FF74DB" w14:textId="77777777" w:rsidR="00627043" w:rsidRPr="009E1C34" w:rsidRDefault="00627043" w:rsidP="007B26A4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E1C34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(€ εκ.)</w:t>
            </w:r>
          </w:p>
        </w:tc>
      </w:tr>
      <w:tr w:rsidR="00627043" w:rsidRPr="009E1C34" w14:paraId="74361B54" w14:textId="77777777" w:rsidTr="007B26A4">
        <w:trPr>
          <w:trHeight w:val="397"/>
          <w:jc w:val="center"/>
        </w:trPr>
        <w:tc>
          <w:tcPr>
            <w:tcW w:w="5670" w:type="dxa"/>
            <w:tcBorders>
              <w:top w:val="single" w:sz="4" w:space="0" w:color="366092"/>
            </w:tcBorders>
            <w:vAlign w:val="center"/>
          </w:tcPr>
          <w:p w14:paraId="24FC80BA" w14:textId="77777777" w:rsidR="00627043" w:rsidRPr="009E1C34" w:rsidRDefault="00627043" w:rsidP="007B26A4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9E1C34">
              <w:rPr>
                <w:rFonts w:ascii="Verdana" w:hAnsi="Verdana"/>
                <w:color w:val="366092"/>
                <w:sz w:val="18"/>
                <w:szCs w:val="18"/>
              </w:rPr>
              <w:t xml:space="preserve">Κεντρική </w:t>
            </w:r>
            <w:proofErr w:type="spellStart"/>
            <w:r w:rsidRPr="009E1C34">
              <w:rPr>
                <w:rFonts w:ascii="Verdana" w:hAnsi="Verdana"/>
                <w:color w:val="366092"/>
                <w:sz w:val="18"/>
                <w:szCs w:val="18"/>
              </w:rPr>
              <w:t>Κυ</w:t>
            </w:r>
            <w:proofErr w:type="spellEnd"/>
            <w:r w:rsidRPr="009E1C34">
              <w:rPr>
                <w:rFonts w:ascii="Verdana" w:hAnsi="Verdana"/>
                <w:color w:val="366092"/>
                <w:sz w:val="18"/>
                <w:szCs w:val="18"/>
              </w:rPr>
              <w:t>βέρνηση</w:t>
            </w:r>
          </w:p>
        </w:tc>
        <w:tc>
          <w:tcPr>
            <w:tcW w:w="1985" w:type="dxa"/>
            <w:tcBorders>
              <w:top w:val="single" w:sz="4" w:space="0" w:color="366092"/>
            </w:tcBorders>
            <w:vAlign w:val="center"/>
          </w:tcPr>
          <w:p w14:paraId="05E318AB" w14:textId="77777777" w:rsidR="00627043" w:rsidRPr="009E1C34" w:rsidRDefault="00627043" w:rsidP="007B26A4">
            <w:pPr>
              <w:ind w:right="51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9E1C3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307</w:t>
            </w:r>
            <w:r w:rsidRPr="009E1C34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9E1C3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4</w:t>
            </w:r>
          </w:p>
        </w:tc>
      </w:tr>
      <w:tr w:rsidR="00627043" w:rsidRPr="009E1C34" w14:paraId="43FFC82B" w14:textId="77777777" w:rsidTr="007B26A4">
        <w:trPr>
          <w:trHeight w:val="397"/>
          <w:jc w:val="center"/>
        </w:trPr>
        <w:tc>
          <w:tcPr>
            <w:tcW w:w="5670" w:type="dxa"/>
            <w:vAlign w:val="center"/>
          </w:tcPr>
          <w:p w14:paraId="5AC36318" w14:textId="77777777" w:rsidR="00627043" w:rsidRPr="009E1C34" w:rsidRDefault="00627043" w:rsidP="007B26A4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9E1C34">
              <w:rPr>
                <w:rFonts w:ascii="Verdana" w:hAnsi="Verdana"/>
                <w:color w:val="366092"/>
                <w:sz w:val="18"/>
                <w:szCs w:val="18"/>
              </w:rPr>
              <w:t>Τοπ</w:t>
            </w:r>
            <w:proofErr w:type="spellStart"/>
            <w:r w:rsidRPr="009E1C34">
              <w:rPr>
                <w:rFonts w:ascii="Verdana" w:hAnsi="Verdana"/>
                <w:color w:val="366092"/>
                <w:sz w:val="18"/>
                <w:szCs w:val="18"/>
              </w:rPr>
              <w:t>ική</w:t>
            </w:r>
            <w:proofErr w:type="spellEnd"/>
            <w:r w:rsidRPr="009E1C34">
              <w:rPr>
                <w:rFonts w:ascii="Verdana" w:hAnsi="Verdana"/>
                <w:color w:val="366092"/>
                <w:sz w:val="18"/>
                <w:szCs w:val="18"/>
              </w:rPr>
              <w:t xml:space="preserve"> Αυτοδιοίκηση</w:t>
            </w:r>
          </w:p>
        </w:tc>
        <w:tc>
          <w:tcPr>
            <w:tcW w:w="1985" w:type="dxa"/>
            <w:vAlign w:val="center"/>
          </w:tcPr>
          <w:p w14:paraId="14BD7A0C" w14:textId="77777777" w:rsidR="00627043" w:rsidRPr="009E1C34" w:rsidRDefault="00627043" w:rsidP="007B26A4">
            <w:pPr>
              <w:ind w:right="51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9E1C3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-9</w:t>
            </w:r>
            <w:r w:rsidRPr="009E1C34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9E1C3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0</w:t>
            </w:r>
          </w:p>
        </w:tc>
      </w:tr>
      <w:tr w:rsidR="00627043" w:rsidRPr="009E1C34" w14:paraId="58091A9F" w14:textId="77777777" w:rsidTr="007B26A4">
        <w:trPr>
          <w:trHeight w:val="397"/>
          <w:jc w:val="center"/>
        </w:trPr>
        <w:tc>
          <w:tcPr>
            <w:tcW w:w="5670" w:type="dxa"/>
            <w:tcBorders>
              <w:bottom w:val="single" w:sz="4" w:space="0" w:color="366092"/>
            </w:tcBorders>
            <w:vAlign w:val="center"/>
          </w:tcPr>
          <w:p w14:paraId="46AF0119" w14:textId="77777777" w:rsidR="00627043" w:rsidRPr="009E1C34" w:rsidRDefault="00627043" w:rsidP="007B26A4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9E1C34">
              <w:rPr>
                <w:rFonts w:ascii="Verdana" w:hAnsi="Verdana"/>
                <w:color w:val="366092"/>
                <w:sz w:val="18"/>
                <w:szCs w:val="18"/>
              </w:rPr>
              <w:t>Οργ</w:t>
            </w:r>
            <w:proofErr w:type="spellEnd"/>
            <w:r w:rsidRPr="009E1C34">
              <w:rPr>
                <w:rFonts w:ascii="Verdana" w:hAnsi="Verdana"/>
                <w:color w:val="366092"/>
                <w:sz w:val="18"/>
                <w:szCs w:val="18"/>
              </w:rPr>
              <w:t>ανισμοί Κοινωνικής Ασφάλισης</w:t>
            </w:r>
          </w:p>
        </w:tc>
        <w:tc>
          <w:tcPr>
            <w:tcW w:w="1985" w:type="dxa"/>
            <w:tcBorders>
              <w:bottom w:val="single" w:sz="4" w:space="0" w:color="366092"/>
            </w:tcBorders>
            <w:vAlign w:val="center"/>
          </w:tcPr>
          <w:p w14:paraId="42C9F000" w14:textId="77777777" w:rsidR="00627043" w:rsidRPr="009E1C34" w:rsidRDefault="00627043" w:rsidP="007B26A4">
            <w:pPr>
              <w:ind w:right="51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9E1C3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320</w:t>
            </w:r>
            <w:r w:rsidRPr="009E1C34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9E1C34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7</w:t>
            </w:r>
          </w:p>
        </w:tc>
      </w:tr>
      <w:tr w:rsidR="00627043" w:rsidRPr="009E1C34" w14:paraId="3105924C" w14:textId="77777777" w:rsidTr="007B26A4">
        <w:trPr>
          <w:trHeight w:val="397"/>
          <w:jc w:val="center"/>
        </w:trPr>
        <w:tc>
          <w:tcPr>
            <w:tcW w:w="5670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704F31CE" w14:textId="77777777" w:rsidR="00627043" w:rsidRPr="009E1C34" w:rsidRDefault="00627043" w:rsidP="007B26A4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E1C34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 xml:space="preserve">Γενική </w:t>
            </w:r>
            <w:proofErr w:type="spellStart"/>
            <w:r w:rsidRPr="009E1C34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Κυ</w:t>
            </w:r>
            <w:proofErr w:type="spellEnd"/>
            <w:r w:rsidRPr="009E1C34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βέρνηση</w:t>
            </w:r>
          </w:p>
        </w:tc>
        <w:tc>
          <w:tcPr>
            <w:tcW w:w="1985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2936A931" w14:textId="77777777" w:rsidR="00627043" w:rsidRPr="009E1C34" w:rsidRDefault="00627043" w:rsidP="007B26A4">
            <w:pPr>
              <w:ind w:right="51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E1C34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619</w:t>
            </w:r>
            <w:r w:rsidRPr="009E1C34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,</w:t>
            </w:r>
            <w:r w:rsidRPr="009E1C34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1</w:t>
            </w:r>
          </w:p>
        </w:tc>
      </w:tr>
    </w:tbl>
    <w:p w14:paraId="13885D75" w14:textId="717610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6A4EAE" w14:textId="5E594C0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B09FF9" w14:textId="1D27B774" w:rsidR="00761E3A" w:rsidRPr="005C4361" w:rsidRDefault="00761E3A" w:rsidP="00346E32">
      <w:pPr>
        <w:jc w:val="center"/>
        <w:rPr>
          <w:rFonts w:ascii="Verdana" w:hAnsi="Verdana" w:cs="Arial"/>
          <w:sz w:val="18"/>
          <w:szCs w:val="18"/>
          <w:lang w:val="el-GR"/>
        </w:rPr>
      </w:pPr>
      <w:r w:rsidRPr="00A12E81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6E5ACC2E" w14:textId="2C57F23B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1F1AB18" w14:textId="10C18A7C"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Κάλυψη και Μεθοδολογία</w:t>
      </w:r>
    </w:p>
    <w:p w14:paraId="1F3D7DA1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440BE0E" w14:textId="77777777" w:rsidR="00F56907" w:rsidRPr="00F56907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F56907">
        <w:rPr>
          <w:rFonts w:ascii="Verdana" w:hAnsi="Verdana" w:cs="Arial"/>
          <w:sz w:val="18"/>
          <w:szCs w:val="18"/>
          <w:lang w:val="el-GR"/>
        </w:rPr>
        <w:t>Παρέχεται πληροφόρηση για την ακολουθία λογαριασμών για τον τομέα της Γενικής Κυβέρνησης. Η ανάλυση αφορά τις κυριότερες κατηγορίες εσόδων και δαπανών και γίνεται διαχωρισμός των εσόδων και των εξόδων (δαπανών), σε τρέχοντα και κεφαλαιουχικά, αντίστοιχα.</w:t>
      </w:r>
    </w:p>
    <w:p w14:paraId="12C7CDEB" w14:textId="77777777" w:rsidR="00F56907" w:rsidRPr="00F56907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4313548" w14:textId="16337801" w:rsidR="001D662E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F56907">
        <w:rPr>
          <w:rFonts w:ascii="Verdana" w:hAnsi="Verdana" w:cs="Arial"/>
          <w:sz w:val="18"/>
          <w:szCs w:val="18"/>
          <w:lang w:val="el-GR"/>
        </w:rPr>
        <w:t>Τα έσοδα και οι δαπάνες για την Γενική Κυβέρνηση καλύπτουν όλους τους υποτομείς της Γενικής Κυβέρνησης με βάση το Ευρωπαϊκό Σύστημα Λογαριασμών 2010 (ΕΣΛ 2010).</w:t>
      </w:r>
    </w:p>
    <w:p w14:paraId="0EB4FC8C" w14:textId="77777777" w:rsidR="004006C1" w:rsidRPr="001D662E" w:rsidRDefault="004006C1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D5C61F" w14:textId="192B1DB1"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Πηγή Στοιχείων</w:t>
      </w:r>
    </w:p>
    <w:p w14:paraId="1A1E9198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7B3623" w14:textId="77777777" w:rsidR="004006C1" w:rsidRPr="004006C1" w:rsidRDefault="004006C1" w:rsidP="004006C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4006C1">
        <w:rPr>
          <w:rFonts w:ascii="Verdana" w:hAnsi="Verdana"/>
          <w:sz w:val="18"/>
          <w:szCs w:val="18"/>
          <w:shd w:val="clear" w:color="auto" w:fill="FFFFFF"/>
          <w:lang w:val="el-GR"/>
        </w:rPr>
        <w:t>Η συλλογή των οικονομικών στοιχείων γίνεται από:</w:t>
      </w:r>
    </w:p>
    <w:p w14:paraId="2AD8BCC6" w14:textId="77777777" w:rsidR="004006C1" w:rsidRPr="004006C1" w:rsidRDefault="004006C1" w:rsidP="004006C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4006C1">
        <w:rPr>
          <w:rFonts w:ascii="Verdana" w:hAnsi="Verdana"/>
          <w:sz w:val="18"/>
          <w:szCs w:val="18"/>
          <w:shd w:val="clear" w:color="auto" w:fill="FFFFFF"/>
          <w:lang w:val="el-GR"/>
        </w:rPr>
        <w:t>- Το Ολοκληρωμένο Σύστημα Διοικητικής και Οικονομικής Πληροφόρησης του Γενικού Λογιστηρίου (FIMAS) για την Κεντρική Κυβέρνηση, τα Εκτός Προϋπολογισμού Ταμεία και για τους Οργανισμούς Κοινωνικής Ασφάλισης,</w:t>
      </w:r>
    </w:p>
    <w:p w14:paraId="57CECCAC" w14:textId="77777777" w:rsidR="004006C1" w:rsidRPr="004006C1" w:rsidRDefault="004006C1" w:rsidP="004006C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4006C1">
        <w:rPr>
          <w:rFonts w:ascii="Verdana" w:hAnsi="Verdana"/>
          <w:sz w:val="18"/>
          <w:szCs w:val="18"/>
          <w:shd w:val="clear" w:color="auto" w:fill="FFFFFF"/>
          <w:lang w:val="el-GR"/>
        </w:rPr>
        <w:t>- Υλοποίηση προϋπολογισμού των Δήμων και Κοινοτήτων,</w:t>
      </w:r>
    </w:p>
    <w:p w14:paraId="338ECD09" w14:textId="77777777" w:rsidR="004006C1" w:rsidRPr="004006C1" w:rsidRDefault="004006C1" w:rsidP="004006C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4006C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- Υλοποίηση προϋπολογισμού των </w:t>
      </w:r>
      <w:proofErr w:type="spellStart"/>
      <w:r w:rsidRPr="004006C1">
        <w:rPr>
          <w:rFonts w:ascii="Verdana" w:hAnsi="Verdana"/>
          <w:sz w:val="18"/>
          <w:szCs w:val="18"/>
          <w:shd w:val="clear" w:color="auto" w:fill="FFFFFF"/>
          <w:lang w:val="el-GR"/>
        </w:rPr>
        <w:t>Ημικρατικών</w:t>
      </w:r>
      <w:proofErr w:type="spellEnd"/>
      <w:r w:rsidRPr="004006C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Οργανισμών.</w:t>
      </w:r>
    </w:p>
    <w:p w14:paraId="085C90FD" w14:textId="77777777" w:rsidR="004006C1" w:rsidRPr="004006C1" w:rsidRDefault="004006C1" w:rsidP="004006C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232EEA8" w14:textId="77777777" w:rsidR="004006C1" w:rsidRPr="004006C1" w:rsidRDefault="004006C1" w:rsidP="004006C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4006C1">
        <w:rPr>
          <w:rFonts w:ascii="Verdana" w:hAnsi="Verdana"/>
          <w:sz w:val="18"/>
          <w:szCs w:val="18"/>
          <w:shd w:val="clear" w:color="auto" w:fill="FFFFFF"/>
          <w:lang w:val="el-GR"/>
        </w:rPr>
        <w:t>Για την ολοκλήρωση των εκτιμήσεων λαμβάνονται υπόψη οποιεσδήποτε μεθοδολογικές προσαρμογές ή διορθώσεις με βάση το  Ευρωπαϊκό Σύστημα Λογαριασμών 2010 (ΕΣΛ 2010).</w:t>
      </w:r>
    </w:p>
    <w:p w14:paraId="5C9451FB" w14:textId="4119F601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FF6CD1" w14:textId="30FE4958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F7B5FEA" w14:textId="77777777" w:rsidR="00761E3A" w:rsidRDefault="00761E3A" w:rsidP="00761E3A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</w:p>
    <w:p w14:paraId="5B1B4DA0" w14:textId="2DEBFF43" w:rsidR="00761E3A" w:rsidRDefault="00761E3A" w:rsidP="00761E3A">
      <w:pPr>
        <w:rPr>
          <w:color w:val="000000"/>
          <w:lang w:val="el-GR"/>
        </w:rPr>
      </w:pPr>
      <w:r>
        <w:rPr>
          <w:rFonts w:ascii="Verdana" w:hAnsi="Verdana"/>
          <w:color w:val="000000"/>
          <w:sz w:val="18"/>
          <w:szCs w:val="18"/>
          <w:lang w:val="el-GR"/>
        </w:rPr>
        <w:t>Πύλη Στατιστικής Υπηρεσίας, υπόθεμα </w:t>
      </w:r>
      <w:hyperlink r:id="rId9" w:history="1">
        <w:r w:rsidR="001D662E" w:rsidRPr="001D662E">
          <w:rPr>
            <w:rStyle w:val="Hyperlink"/>
            <w:rFonts w:ascii="Verdana" w:hAnsi="Verdana"/>
            <w:sz w:val="18"/>
            <w:szCs w:val="18"/>
            <w:lang w:val="el-GR"/>
          </w:rPr>
          <w:t>Δημόσια Οικονομικά</w:t>
        </w:r>
      </w:hyperlink>
    </w:p>
    <w:p w14:paraId="0917AFF1" w14:textId="77777777" w:rsidR="004006C1" w:rsidRDefault="004006C1" w:rsidP="004006C1">
      <w:pPr>
        <w:rPr>
          <w:color w:val="000000"/>
          <w:lang w:val="el-GR"/>
        </w:rPr>
      </w:pPr>
      <w:hyperlink r:id="rId10" w:history="1">
        <w:r w:rsidRPr="001D662E">
          <w:rPr>
            <w:rStyle w:val="Hyperlink"/>
            <w:rFonts w:ascii="Verdana" w:hAnsi="Verdana"/>
            <w:sz w:val="18"/>
            <w:szCs w:val="18"/>
          </w:rPr>
          <w:t>CYSTAT</w:t>
        </w:r>
        <w:r w:rsidRPr="001D662E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Pr="001D662E">
          <w:rPr>
            <w:rStyle w:val="Hyperlink"/>
            <w:rFonts w:ascii="Verdana" w:hAnsi="Verdana"/>
            <w:sz w:val="18"/>
            <w:szCs w:val="18"/>
          </w:rPr>
          <w:t>DB</w:t>
        </w:r>
        <w:r w:rsidRPr="001D662E">
          <w:rPr>
            <w:rStyle w:val="Hyperlink"/>
            <w:rFonts w:ascii="Verdana" w:hAnsi="Verdana"/>
            <w:sz w:val="18"/>
            <w:szCs w:val="18"/>
            <w:lang w:val="el-GR"/>
          </w:rPr>
          <w:t> </w:t>
        </w:r>
      </w:hyperlink>
      <w:r>
        <w:rPr>
          <w:rFonts w:ascii="Verdana" w:hAnsi="Verdana"/>
          <w:color w:val="000000"/>
          <w:sz w:val="18"/>
          <w:szCs w:val="18"/>
          <w:lang w:val="el-GR"/>
        </w:rPr>
        <w:t>(Βάση Δεδομένων)</w:t>
      </w:r>
    </w:p>
    <w:p w14:paraId="66035B0E" w14:textId="7C2ECC6C" w:rsidR="001D662E" w:rsidRPr="001D662E" w:rsidRDefault="001D662E" w:rsidP="001D662E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Pr="001D662E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Pr="001D662E">
        <w:rPr>
          <w:rFonts w:ascii="Verdana" w:hAnsi="Verdana"/>
          <w:sz w:val="18"/>
          <w:szCs w:val="18"/>
          <w:lang w:val="el-GR"/>
        </w:rPr>
        <w:t xml:space="preserve"> (</w:t>
      </w:r>
      <w:r w:rsidRPr="001D662E">
        <w:rPr>
          <w:rFonts w:ascii="Verdana" w:hAnsi="Verdana"/>
          <w:sz w:val="18"/>
          <w:szCs w:val="18"/>
        </w:rPr>
        <w:t>Excel</w:t>
      </w:r>
      <w:r w:rsidRPr="001D662E">
        <w:rPr>
          <w:rFonts w:ascii="Verdana" w:hAnsi="Verdana"/>
          <w:sz w:val="18"/>
          <w:szCs w:val="18"/>
          <w:lang w:val="el-GR"/>
        </w:rPr>
        <w:t>)</w:t>
      </w:r>
    </w:p>
    <w:p w14:paraId="29C922D2" w14:textId="5AC483B7" w:rsidR="001D662E" w:rsidRPr="001D662E" w:rsidRDefault="001D662E" w:rsidP="001D662E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Pr="00145B50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4A28243F" w14:textId="77777777" w:rsidR="009A3955" w:rsidRDefault="009A3955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B2433FB" w14:textId="77777777" w:rsidR="000D145B" w:rsidRPr="00573F8E" w:rsidRDefault="000D145B" w:rsidP="000D145B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573F8E">
        <w:rPr>
          <w:rFonts w:ascii="Verdana" w:hAnsi="Verdana"/>
          <w:sz w:val="18"/>
          <w:szCs w:val="18"/>
          <w:lang w:val="el-GR"/>
        </w:rPr>
        <w:t xml:space="preserve"> </w:t>
      </w:r>
    </w:p>
    <w:p w14:paraId="36EB17F3" w14:textId="77777777" w:rsidR="000D145B" w:rsidRPr="00573F8E" w:rsidRDefault="000D145B" w:rsidP="000D145B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Μιχαήλ Παναγιώτα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: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Τηλ</w:t>
      </w:r>
      <w:proofErr w:type="spellEnd"/>
      <w:r w:rsidRPr="0016040F">
        <w:rPr>
          <w:rFonts w:ascii="Verdana" w:eastAsia="Malgun Gothic" w:hAnsi="Verdana" w:cs="Arial"/>
          <w:color w:val="000000"/>
          <w:sz w:val="18"/>
          <w:szCs w:val="18"/>
          <w:lang w:val="el-GR"/>
        </w:rPr>
        <w:t>.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:+357226</w:t>
      </w: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02186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, Ηλεκτρ.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Ταχ</w:t>
      </w:r>
      <w:proofErr w:type="spellEnd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.: </w:t>
      </w:r>
      <w:hyperlink r:id="rId13" w:history="1">
        <w:r w:rsidRPr="008755AD">
          <w:rPr>
            <w:rStyle w:val="Hyperlink"/>
            <w:rFonts w:ascii="Verdana" w:hAnsi="Verdana"/>
            <w:sz w:val="18"/>
            <w:szCs w:val="18"/>
          </w:rPr>
          <w:t>pmichael</w:t>
        </w:r>
        <w:r w:rsidRPr="008755AD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</w:p>
    <w:p w14:paraId="590DA29D" w14:textId="77777777" w:rsidR="000D145B" w:rsidRDefault="000D145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D817A37" w14:textId="0B3A5C30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EF467F" w14:textId="6E7064A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D257CC" w14:textId="687F14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34532F" w14:textId="6868356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D65A1D" w14:textId="3A4BB0E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6A1B1C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A1381" w14:textId="77777777" w:rsidR="0001497B" w:rsidRDefault="0001497B" w:rsidP="00FB398F">
      <w:r>
        <w:separator/>
      </w:r>
    </w:p>
  </w:endnote>
  <w:endnote w:type="continuationSeparator" w:id="0">
    <w:p w14:paraId="47ADE133" w14:textId="77777777" w:rsidR="0001497B" w:rsidRDefault="0001497B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4CD8F" w14:textId="77777777" w:rsidR="004E4F42" w:rsidRPr="00627043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627043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627043">
      <w:rPr>
        <w:rFonts w:ascii="Verdana" w:hAnsi="Verdana" w:cs="Arial"/>
        <w:sz w:val="16"/>
        <w:szCs w:val="16"/>
        <w:lang w:val="el-GR"/>
      </w:rPr>
      <w:t>ήλ</w:t>
    </w:r>
    <w:r w:rsidRPr="00627043">
      <w:rPr>
        <w:rFonts w:ascii="Verdana" w:hAnsi="Verdana" w:cs="Arial"/>
        <w:sz w:val="16"/>
        <w:szCs w:val="16"/>
        <w:lang w:val="el-GR"/>
      </w:rPr>
      <w:t xml:space="preserve"> </w:t>
    </w:r>
    <w:proofErr w:type="spellStart"/>
    <w:r w:rsidRPr="00627043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627043">
      <w:rPr>
        <w:rFonts w:ascii="Verdana" w:hAnsi="Verdana" w:cs="Arial"/>
        <w:sz w:val="16"/>
        <w:szCs w:val="16"/>
        <w:lang w:val="el-GR"/>
      </w:rPr>
      <w:t>, 1444 Λευκωσία, Κύπρος</w:t>
    </w:r>
  </w:p>
  <w:p w14:paraId="701EBEC3" w14:textId="245A76CB" w:rsidR="004E4F42" w:rsidRPr="00627043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proofErr w:type="spellStart"/>
    <w:r w:rsidRPr="00627043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627043">
      <w:rPr>
        <w:rFonts w:ascii="Verdana" w:hAnsi="Verdana" w:cs="Arial"/>
        <w:sz w:val="16"/>
        <w:szCs w:val="16"/>
        <w:lang w:val="pt-PT"/>
      </w:rPr>
      <w:t xml:space="preserve">.: 22602129, </w:t>
    </w:r>
    <w:proofErr w:type="spellStart"/>
    <w:r w:rsidR="00627043">
      <w:rPr>
        <w:rFonts w:ascii="Verdana" w:hAnsi="Verdana" w:cs="Arial"/>
        <w:sz w:val="16"/>
        <w:szCs w:val="16"/>
        <w:lang w:val="el-GR"/>
      </w:rPr>
      <w:t>Ηλ</w:t>
    </w:r>
    <w:proofErr w:type="spellEnd"/>
    <w:r w:rsidR="00627043">
      <w:rPr>
        <w:rFonts w:ascii="Verdana" w:hAnsi="Verdana" w:cs="Arial"/>
        <w:sz w:val="16"/>
        <w:szCs w:val="16"/>
        <w:lang w:val="el-GR"/>
      </w:rPr>
      <w:t xml:space="preserve">. </w:t>
    </w:r>
    <w:proofErr w:type="spellStart"/>
    <w:r w:rsidR="00627043">
      <w:rPr>
        <w:rFonts w:ascii="Verdana" w:hAnsi="Verdana" w:cs="Arial"/>
        <w:sz w:val="16"/>
        <w:szCs w:val="16"/>
        <w:lang w:val="el-GR"/>
      </w:rPr>
      <w:t>Ταχ</w:t>
    </w:r>
    <w:proofErr w:type="spellEnd"/>
    <w:r w:rsidR="00627043">
      <w:rPr>
        <w:rFonts w:ascii="Verdana" w:hAnsi="Verdana" w:cs="Arial"/>
        <w:sz w:val="16"/>
        <w:szCs w:val="16"/>
        <w:lang w:val="el-GR"/>
      </w:rPr>
      <w:t>.</w:t>
    </w:r>
    <w:r w:rsidRPr="00627043">
      <w:rPr>
        <w:rFonts w:ascii="Verdana" w:hAnsi="Verdana" w:cs="Arial"/>
        <w:sz w:val="16"/>
        <w:szCs w:val="16"/>
        <w:lang w:val="de-DE"/>
      </w:rPr>
      <w:t xml:space="preserve">: </w:t>
    </w:r>
    <w:hyperlink r:id="rId1" w:history="1">
      <w:r w:rsidRPr="00627043">
        <w:rPr>
          <w:rStyle w:val="Hyperlink"/>
          <w:rFonts w:ascii="Verdana" w:hAnsi="Verdana" w:cs="Arial"/>
          <w:sz w:val="16"/>
          <w:szCs w:val="16"/>
          <w:lang w:val="de-DE"/>
        </w:rPr>
        <w:t>enquiries@cystat.mof.gov.cy</w:t>
      </w:r>
    </w:hyperlink>
    <w:r w:rsidRPr="00627043">
      <w:rPr>
        <w:rFonts w:ascii="Verdana" w:hAnsi="Verdana" w:cs="Arial"/>
        <w:sz w:val="16"/>
        <w:szCs w:val="16"/>
        <w:lang w:val="de-DE"/>
      </w:rPr>
      <w:t xml:space="preserve">  </w:t>
    </w:r>
  </w:p>
  <w:p w14:paraId="66893A8B" w14:textId="0F146421" w:rsidR="004E4F42" w:rsidRPr="00627043" w:rsidRDefault="00627043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r>
      <w:rPr>
        <w:rFonts w:ascii="Verdana" w:hAnsi="Verdana" w:cs="Arial"/>
        <w:sz w:val="16"/>
        <w:szCs w:val="16"/>
        <w:lang w:val="el-GR"/>
      </w:rPr>
      <w:t>Διαδικτυακή</w:t>
    </w:r>
    <w:r w:rsidRPr="00627043">
      <w:rPr>
        <w:rFonts w:ascii="Verdana" w:hAnsi="Verdana" w:cs="Arial"/>
        <w:sz w:val="16"/>
        <w:szCs w:val="16"/>
        <w:lang w:val="de-DE"/>
      </w:rPr>
      <w:t xml:space="preserve"> </w:t>
    </w:r>
    <w:r>
      <w:rPr>
        <w:rFonts w:ascii="Verdana" w:hAnsi="Verdana" w:cs="Arial"/>
        <w:sz w:val="16"/>
        <w:szCs w:val="16"/>
        <w:lang w:val="el-GR"/>
      </w:rPr>
      <w:t>Πύλη</w:t>
    </w:r>
    <w:r w:rsidR="004E4F42" w:rsidRPr="00627043">
      <w:rPr>
        <w:rFonts w:ascii="Verdana" w:hAnsi="Verdana" w:cs="Arial"/>
        <w:sz w:val="16"/>
        <w:szCs w:val="16"/>
        <w:lang w:val="de-DE"/>
      </w:rPr>
      <w:t xml:space="preserve">: </w:t>
    </w:r>
    <w:hyperlink r:id="rId2" w:history="1">
      <w:r w:rsidR="004E4F42" w:rsidRPr="00627043">
        <w:rPr>
          <w:rStyle w:val="Hyperlink"/>
          <w:rFonts w:ascii="Verdana" w:hAnsi="Verdana" w:cs="Arial"/>
          <w:sz w:val="16"/>
          <w:szCs w:val="16"/>
          <w:lang w:val="de-DE"/>
        </w:rPr>
        <w:t>http://www.cystat.gov.cy</w:t>
      </w:r>
    </w:hyperlink>
    <w:r w:rsidR="004E4F42" w:rsidRPr="00627043">
      <w:rPr>
        <w:rFonts w:ascii="Verdana" w:hAnsi="Verdana" w:cs="Arial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21797" w14:textId="77777777" w:rsidR="0001497B" w:rsidRDefault="0001497B" w:rsidP="00FB398F">
      <w:r>
        <w:separator/>
      </w:r>
    </w:p>
  </w:footnote>
  <w:footnote w:type="continuationSeparator" w:id="0">
    <w:p w14:paraId="5ED41F7B" w14:textId="77777777" w:rsidR="0001497B" w:rsidRDefault="0001497B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3D8CF85A">
              <wp:simplePos x="0" y="0"/>
              <wp:positionH relativeFrom="column">
                <wp:posOffset>4023360</wp:posOffset>
              </wp:positionH>
              <wp:positionV relativeFrom="paragraph">
                <wp:posOffset>102870</wp:posOffset>
              </wp:positionV>
              <wp:extent cx="196215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Pr="00627043" w:rsidRDefault="004E4F42" w:rsidP="00627043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627043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627043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7F363AC1" w14:textId="77777777" w:rsidR="004E4F42" w:rsidRPr="00627043" w:rsidRDefault="004E4F42" w:rsidP="00627043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627043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16.8pt;margin-top:8.1pt;width:154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" stroked="f">
              <v:textbox>
                <w:txbxContent>
                  <w:p w14:paraId="505F9DD1" w14:textId="77777777" w:rsidR="004E4F42" w:rsidRPr="00627043" w:rsidRDefault="004E4F42" w:rsidP="00627043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627043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627043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7F363AC1" w14:textId="77777777" w:rsidR="004E4F42" w:rsidRPr="00627043" w:rsidRDefault="004E4F42" w:rsidP="00627043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627043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24767186" w:rsidR="004E4F42" w:rsidRPr="00627043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627043">
      <w:rPr>
        <w:rFonts w:ascii="Verdana" w:hAnsi="Verdana" w:cs="Arial"/>
        <w:bCs/>
        <w:sz w:val="20"/>
        <w:szCs w:val="20"/>
        <w:lang w:val="en-US"/>
      </w:rPr>
      <w:t xml:space="preserve">  </w:t>
    </w:r>
    <w:r w:rsidRPr="00627043">
      <w:rPr>
        <w:rFonts w:ascii="Verdana" w:hAnsi="Verdana" w:cs="Arial"/>
        <w:bCs/>
        <w:sz w:val="20"/>
        <w:szCs w:val="20"/>
      </w:rPr>
      <w:t>ΚΥΠΡΙΑΚΗ ΔΗΜΟΚΡΑΤΙΑ</w:t>
    </w:r>
    <w:r w:rsidRPr="00627043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627043">
      <w:rPr>
        <w:rFonts w:ascii="Verdana" w:hAnsi="Verdana"/>
        <w:b/>
        <w:bCs/>
        <w:sz w:val="20"/>
        <w:szCs w:val="20"/>
        <w:lang w:val="en-US"/>
      </w:rPr>
      <w:tab/>
    </w:r>
  </w:p>
  <w:p w14:paraId="2F272394" w14:textId="483BC0B8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9554438">
    <w:abstractNumId w:val="4"/>
  </w:num>
  <w:num w:numId="2" w16cid:durableId="894270092">
    <w:abstractNumId w:val="1"/>
  </w:num>
  <w:num w:numId="3" w16cid:durableId="593363562">
    <w:abstractNumId w:val="2"/>
  </w:num>
  <w:num w:numId="4" w16cid:durableId="1130973206">
    <w:abstractNumId w:val="3"/>
  </w:num>
  <w:num w:numId="5" w16cid:durableId="994458099">
    <w:abstractNumId w:val="0"/>
  </w:num>
  <w:num w:numId="6" w16cid:durableId="13950814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063B"/>
    <w:rsid w:val="00002458"/>
    <w:rsid w:val="0000542E"/>
    <w:rsid w:val="000074B9"/>
    <w:rsid w:val="00013600"/>
    <w:rsid w:val="00013E40"/>
    <w:rsid w:val="0001497B"/>
    <w:rsid w:val="000158B7"/>
    <w:rsid w:val="000161B1"/>
    <w:rsid w:val="00025A39"/>
    <w:rsid w:val="000275F8"/>
    <w:rsid w:val="00027853"/>
    <w:rsid w:val="00030E18"/>
    <w:rsid w:val="00031D32"/>
    <w:rsid w:val="0003603D"/>
    <w:rsid w:val="00045088"/>
    <w:rsid w:val="00045A06"/>
    <w:rsid w:val="00050391"/>
    <w:rsid w:val="00052F46"/>
    <w:rsid w:val="00055291"/>
    <w:rsid w:val="000563D3"/>
    <w:rsid w:val="00057E44"/>
    <w:rsid w:val="00061299"/>
    <w:rsid w:val="000618AC"/>
    <w:rsid w:val="00070576"/>
    <w:rsid w:val="000747FE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C1070"/>
    <w:rsid w:val="000C4D39"/>
    <w:rsid w:val="000C4E72"/>
    <w:rsid w:val="000D0B9D"/>
    <w:rsid w:val="000D145B"/>
    <w:rsid w:val="000D1E7A"/>
    <w:rsid w:val="000D5C3F"/>
    <w:rsid w:val="000D6DA1"/>
    <w:rsid w:val="000E24B1"/>
    <w:rsid w:val="000E2735"/>
    <w:rsid w:val="000E32D6"/>
    <w:rsid w:val="000E4CB0"/>
    <w:rsid w:val="000E57F2"/>
    <w:rsid w:val="000E72A7"/>
    <w:rsid w:val="000F1162"/>
    <w:rsid w:val="000F3467"/>
    <w:rsid w:val="000F38DE"/>
    <w:rsid w:val="000F532A"/>
    <w:rsid w:val="000F5D6C"/>
    <w:rsid w:val="00103ADB"/>
    <w:rsid w:val="00106852"/>
    <w:rsid w:val="00107EB8"/>
    <w:rsid w:val="00110F9D"/>
    <w:rsid w:val="0011181A"/>
    <w:rsid w:val="001131F6"/>
    <w:rsid w:val="00114A67"/>
    <w:rsid w:val="00117D1A"/>
    <w:rsid w:val="001253B6"/>
    <w:rsid w:val="001262C3"/>
    <w:rsid w:val="00127320"/>
    <w:rsid w:val="00127456"/>
    <w:rsid w:val="001312D8"/>
    <w:rsid w:val="0013137B"/>
    <w:rsid w:val="00145B50"/>
    <w:rsid w:val="0015118B"/>
    <w:rsid w:val="001519CE"/>
    <w:rsid w:val="00161CF3"/>
    <w:rsid w:val="00162C00"/>
    <w:rsid w:val="001639EF"/>
    <w:rsid w:val="00163BB3"/>
    <w:rsid w:val="0016589F"/>
    <w:rsid w:val="00166624"/>
    <w:rsid w:val="001712CF"/>
    <w:rsid w:val="00171F06"/>
    <w:rsid w:val="0017769A"/>
    <w:rsid w:val="00183DFC"/>
    <w:rsid w:val="00184384"/>
    <w:rsid w:val="00186717"/>
    <w:rsid w:val="00187FFC"/>
    <w:rsid w:val="0019391C"/>
    <w:rsid w:val="001A2018"/>
    <w:rsid w:val="001B0CF5"/>
    <w:rsid w:val="001B2C39"/>
    <w:rsid w:val="001B3675"/>
    <w:rsid w:val="001B5E10"/>
    <w:rsid w:val="001B6AB3"/>
    <w:rsid w:val="001B6C3B"/>
    <w:rsid w:val="001B73D5"/>
    <w:rsid w:val="001C0681"/>
    <w:rsid w:val="001C62B3"/>
    <w:rsid w:val="001C720A"/>
    <w:rsid w:val="001C7613"/>
    <w:rsid w:val="001C7C8C"/>
    <w:rsid w:val="001D0D6A"/>
    <w:rsid w:val="001D20A4"/>
    <w:rsid w:val="001D662E"/>
    <w:rsid w:val="001E00D1"/>
    <w:rsid w:val="001E0E58"/>
    <w:rsid w:val="001E14F3"/>
    <w:rsid w:val="001E15ED"/>
    <w:rsid w:val="001E2388"/>
    <w:rsid w:val="001E61AA"/>
    <w:rsid w:val="001E65E4"/>
    <w:rsid w:val="00200671"/>
    <w:rsid w:val="0020309E"/>
    <w:rsid w:val="002039B3"/>
    <w:rsid w:val="00210B58"/>
    <w:rsid w:val="00222423"/>
    <w:rsid w:val="00225B28"/>
    <w:rsid w:val="00226891"/>
    <w:rsid w:val="00227376"/>
    <w:rsid w:val="00230D9B"/>
    <w:rsid w:val="002313AC"/>
    <w:rsid w:val="00235FB2"/>
    <w:rsid w:val="00237BC1"/>
    <w:rsid w:val="002430B4"/>
    <w:rsid w:val="002447D0"/>
    <w:rsid w:val="002454C5"/>
    <w:rsid w:val="00245E19"/>
    <w:rsid w:val="00246AAA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71EBD"/>
    <w:rsid w:val="0028338F"/>
    <w:rsid w:val="002847A0"/>
    <w:rsid w:val="002915C4"/>
    <w:rsid w:val="00297E6B"/>
    <w:rsid w:val="002A0C7E"/>
    <w:rsid w:val="002A1D1C"/>
    <w:rsid w:val="002A295E"/>
    <w:rsid w:val="002A4D64"/>
    <w:rsid w:val="002B4969"/>
    <w:rsid w:val="002B6554"/>
    <w:rsid w:val="002B658F"/>
    <w:rsid w:val="002B6A74"/>
    <w:rsid w:val="002C2490"/>
    <w:rsid w:val="002C2A53"/>
    <w:rsid w:val="002D05F0"/>
    <w:rsid w:val="002D2829"/>
    <w:rsid w:val="002D7D4A"/>
    <w:rsid w:val="002E3846"/>
    <w:rsid w:val="002E3F78"/>
    <w:rsid w:val="002E686C"/>
    <w:rsid w:val="002F1DAB"/>
    <w:rsid w:val="002F400C"/>
    <w:rsid w:val="002F4D76"/>
    <w:rsid w:val="002F6D26"/>
    <w:rsid w:val="0030231E"/>
    <w:rsid w:val="003042C4"/>
    <w:rsid w:val="0030443F"/>
    <w:rsid w:val="0030478B"/>
    <w:rsid w:val="00304CB4"/>
    <w:rsid w:val="00313F37"/>
    <w:rsid w:val="003141D0"/>
    <w:rsid w:val="003168C1"/>
    <w:rsid w:val="00322FBE"/>
    <w:rsid w:val="00325632"/>
    <w:rsid w:val="00327549"/>
    <w:rsid w:val="00333C79"/>
    <w:rsid w:val="003342A5"/>
    <w:rsid w:val="00334616"/>
    <w:rsid w:val="00336C36"/>
    <w:rsid w:val="00343815"/>
    <w:rsid w:val="00346E32"/>
    <w:rsid w:val="00350FC8"/>
    <w:rsid w:val="003522BB"/>
    <w:rsid w:val="00352F6C"/>
    <w:rsid w:val="003556EA"/>
    <w:rsid w:val="00361358"/>
    <w:rsid w:val="003627BF"/>
    <w:rsid w:val="0036342D"/>
    <w:rsid w:val="00373AC7"/>
    <w:rsid w:val="00376296"/>
    <w:rsid w:val="00386FC7"/>
    <w:rsid w:val="003908DF"/>
    <w:rsid w:val="00390A32"/>
    <w:rsid w:val="003A1E91"/>
    <w:rsid w:val="003A40F2"/>
    <w:rsid w:val="003A50D1"/>
    <w:rsid w:val="003B196D"/>
    <w:rsid w:val="003B2710"/>
    <w:rsid w:val="003B4608"/>
    <w:rsid w:val="003B5002"/>
    <w:rsid w:val="003C2392"/>
    <w:rsid w:val="003C5174"/>
    <w:rsid w:val="003C5240"/>
    <w:rsid w:val="003C76E6"/>
    <w:rsid w:val="003D09F1"/>
    <w:rsid w:val="003D14E0"/>
    <w:rsid w:val="003D1EA5"/>
    <w:rsid w:val="003D3348"/>
    <w:rsid w:val="003D4875"/>
    <w:rsid w:val="003D4E63"/>
    <w:rsid w:val="003D6822"/>
    <w:rsid w:val="003D724C"/>
    <w:rsid w:val="003E0CE2"/>
    <w:rsid w:val="003E1622"/>
    <w:rsid w:val="003F49E4"/>
    <w:rsid w:val="003F4D2F"/>
    <w:rsid w:val="003F5E32"/>
    <w:rsid w:val="003F75F6"/>
    <w:rsid w:val="004006C1"/>
    <w:rsid w:val="00404670"/>
    <w:rsid w:val="00412864"/>
    <w:rsid w:val="00414CA0"/>
    <w:rsid w:val="00422F54"/>
    <w:rsid w:val="004244CE"/>
    <w:rsid w:val="00426D73"/>
    <w:rsid w:val="00431516"/>
    <w:rsid w:val="004361B3"/>
    <w:rsid w:val="0044249D"/>
    <w:rsid w:val="0044379F"/>
    <w:rsid w:val="00444FCC"/>
    <w:rsid w:val="00446FB1"/>
    <w:rsid w:val="00452753"/>
    <w:rsid w:val="0046078F"/>
    <w:rsid w:val="00460B27"/>
    <w:rsid w:val="00463214"/>
    <w:rsid w:val="0046434D"/>
    <w:rsid w:val="004656FA"/>
    <w:rsid w:val="00471D77"/>
    <w:rsid w:val="00475587"/>
    <w:rsid w:val="00480BC2"/>
    <w:rsid w:val="004845C3"/>
    <w:rsid w:val="004929C2"/>
    <w:rsid w:val="00493FDD"/>
    <w:rsid w:val="004950D5"/>
    <w:rsid w:val="004950E8"/>
    <w:rsid w:val="0049586B"/>
    <w:rsid w:val="004A3E44"/>
    <w:rsid w:val="004B2018"/>
    <w:rsid w:val="004B2896"/>
    <w:rsid w:val="004B38E9"/>
    <w:rsid w:val="004B3FBA"/>
    <w:rsid w:val="004B4EF6"/>
    <w:rsid w:val="004B6599"/>
    <w:rsid w:val="004C4CE2"/>
    <w:rsid w:val="004C6CA7"/>
    <w:rsid w:val="004C7638"/>
    <w:rsid w:val="004D112F"/>
    <w:rsid w:val="004D4357"/>
    <w:rsid w:val="004D4950"/>
    <w:rsid w:val="004E2393"/>
    <w:rsid w:val="004E23BA"/>
    <w:rsid w:val="004E3745"/>
    <w:rsid w:val="004E42BE"/>
    <w:rsid w:val="004E4F42"/>
    <w:rsid w:val="004E63D5"/>
    <w:rsid w:val="004F03FD"/>
    <w:rsid w:val="004F52F0"/>
    <w:rsid w:val="004F6250"/>
    <w:rsid w:val="004F677C"/>
    <w:rsid w:val="004F6D8F"/>
    <w:rsid w:val="00505503"/>
    <w:rsid w:val="00505B82"/>
    <w:rsid w:val="0051107B"/>
    <w:rsid w:val="00512F9C"/>
    <w:rsid w:val="005168DF"/>
    <w:rsid w:val="00516ACB"/>
    <w:rsid w:val="00525607"/>
    <w:rsid w:val="005259E9"/>
    <w:rsid w:val="00527CDB"/>
    <w:rsid w:val="005341C9"/>
    <w:rsid w:val="005369CA"/>
    <w:rsid w:val="00536DE9"/>
    <w:rsid w:val="00541E08"/>
    <w:rsid w:val="00554FE0"/>
    <w:rsid w:val="0055706D"/>
    <w:rsid w:val="0055789A"/>
    <w:rsid w:val="00560952"/>
    <w:rsid w:val="00560C28"/>
    <w:rsid w:val="005652D1"/>
    <w:rsid w:val="00566062"/>
    <w:rsid w:val="005660A0"/>
    <w:rsid w:val="00566A4F"/>
    <w:rsid w:val="00567D64"/>
    <w:rsid w:val="005978D4"/>
    <w:rsid w:val="005A23FA"/>
    <w:rsid w:val="005A68B9"/>
    <w:rsid w:val="005B2A67"/>
    <w:rsid w:val="005B3DCD"/>
    <w:rsid w:val="005B4240"/>
    <w:rsid w:val="005B4AD4"/>
    <w:rsid w:val="005C0F09"/>
    <w:rsid w:val="005C2798"/>
    <w:rsid w:val="005C36C3"/>
    <w:rsid w:val="005C4361"/>
    <w:rsid w:val="005C56EE"/>
    <w:rsid w:val="005C6D84"/>
    <w:rsid w:val="005D1714"/>
    <w:rsid w:val="005D7638"/>
    <w:rsid w:val="005E28ED"/>
    <w:rsid w:val="005E7E54"/>
    <w:rsid w:val="005F12F5"/>
    <w:rsid w:val="005F7C7D"/>
    <w:rsid w:val="006044B7"/>
    <w:rsid w:val="006071CE"/>
    <w:rsid w:val="006075B5"/>
    <w:rsid w:val="0061018C"/>
    <w:rsid w:val="0061094E"/>
    <w:rsid w:val="00613440"/>
    <w:rsid w:val="00613BE3"/>
    <w:rsid w:val="0062327B"/>
    <w:rsid w:val="0062331A"/>
    <w:rsid w:val="00627043"/>
    <w:rsid w:val="00630DC9"/>
    <w:rsid w:val="00632777"/>
    <w:rsid w:val="00633750"/>
    <w:rsid w:val="00634491"/>
    <w:rsid w:val="0063679C"/>
    <w:rsid w:val="00637055"/>
    <w:rsid w:val="00641D59"/>
    <w:rsid w:val="00644507"/>
    <w:rsid w:val="00644BD9"/>
    <w:rsid w:val="006462EF"/>
    <w:rsid w:val="00646880"/>
    <w:rsid w:val="00646C01"/>
    <w:rsid w:val="00647367"/>
    <w:rsid w:val="006479C7"/>
    <w:rsid w:val="00647D2A"/>
    <w:rsid w:val="00653109"/>
    <w:rsid w:val="006537BB"/>
    <w:rsid w:val="00654977"/>
    <w:rsid w:val="0065643E"/>
    <w:rsid w:val="00656ADF"/>
    <w:rsid w:val="00660660"/>
    <w:rsid w:val="0066089C"/>
    <w:rsid w:val="00667E07"/>
    <w:rsid w:val="00671785"/>
    <w:rsid w:val="00672BA9"/>
    <w:rsid w:val="00673005"/>
    <w:rsid w:val="0067347B"/>
    <w:rsid w:val="006804BE"/>
    <w:rsid w:val="0068434A"/>
    <w:rsid w:val="0069008E"/>
    <w:rsid w:val="0069087E"/>
    <w:rsid w:val="006925C4"/>
    <w:rsid w:val="00697877"/>
    <w:rsid w:val="006A02B7"/>
    <w:rsid w:val="006A05D1"/>
    <w:rsid w:val="006A1B1C"/>
    <w:rsid w:val="006A7019"/>
    <w:rsid w:val="006A79A2"/>
    <w:rsid w:val="006B46D5"/>
    <w:rsid w:val="006B46F4"/>
    <w:rsid w:val="006C332B"/>
    <w:rsid w:val="006C3BA8"/>
    <w:rsid w:val="006C575F"/>
    <w:rsid w:val="006C6C30"/>
    <w:rsid w:val="006C7AF3"/>
    <w:rsid w:val="006D0B9D"/>
    <w:rsid w:val="006D3D03"/>
    <w:rsid w:val="006D4648"/>
    <w:rsid w:val="006D5A41"/>
    <w:rsid w:val="006D6548"/>
    <w:rsid w:val="006E0E20"/>
    <w:rsid w:val="006E4256"/>
    <w:rsid w:val="006E4BBA"/>
    <w:rsid w:val="006E58E9"/>
    <w:rsid w:val="006E5F43"/>
    <w:rsid w:val="006E60A6"/>
    <w:rsid w:val="006F0F69"/>
    <w:rsid w:val="006F116B"/>
    <w:rsid w:val="006F117F"/>
    <w:rsid w:val="006F13DF"/>
    <w:rsid w:val="006F2780"/>
    <w:rsid w:val="00700089"/>
    <w:rsid w:val="00700B69"/>
    <w:rsid w:val="00702F26"/>
    <w:rsid w:val="0070313E"/>
    <w:rsid w:val="00703799"/>
    <w:rsid w:val="00705C5C"/>
    <w:rsid w:val="00711475"/>
    <w:rsid w:val="007219FD"/>
    <w:rsid w:val="0072548A"/>
    <w:rsid w:val="007277A6"/>
    <w:rsid w:val="007437AB"/>
    <w:rsid w:val="00745425"/>
    <w:rsid w:val="00752590"/>
    <w:rsid w:val="00753140"/>
    <w:rsid w:val="007534F8"/>
    <w:rsid w:val="0075454E"/>
    <w:rsid w:val="007545AD"/>
    <w:rsid w:val="00755440"/>
    <w:rsid w:val="00761E3A"/>
    <w:rsid w:val="00763722"/>
    <w:rsid w:val="00764BC1"/>
    <w:rsid w:val="00765424"/>
    <w:rsid w:val="0076547A"/>
    <w:rsid w:val="007672A5"/>
    <w:rsid w:val="00770869"/>
    <w:rsid w:val="00772100"/>
    <w:rsid w:val="007738AA"/>
    <w:rsid w:val="00780A62"/>
    <w:rsid w:val="00783241"/>
    <w:rsid w:val="00784BDC"/>
    <w:rsid w:val="00791ADA"/>
    <w:rsid w:val="00792F28"/>
    <w:rsid w:val="007935CA"/>
    <w:rsid w:val="0079543F"/>
    <w:rsid w:val="00795880"/>
    <w:rsid w:val="007A174A"/>
    <w:rsid w:val="007A4367"/>
    <w:rsid w:val="007B0867"/>
    <w:rsid w:val="007B1AC1"/>
    <w:rsid w:val="007B58CA"/>
    <w:rsid w:val="007B5A08"/>
    <w:rsid w:val="007B693D"/>
    <w:rsid w:val="007B6A76"/>
    <w:rsid w:val="007C4CDC"/>
    <w:rsid w:val="007E041B"/>
    <w:rsid w:val="007E0F0C"/>
    <w:rsid w:val="007E199A"/>
    <w:rsid w:val="007E1AED"/>
    <w:rsid w:val="007E2415"/>
    <w:rsid w:val="007E39F3"/>
    <w:rsid w:val="007E405E"/>
    <w:rsid w:val="007E68F4"/>
    <w:rsid w:val="007E6DE2"/>
    <w:rsid w:val="007F07E5"/>
    <w:rsid w:val="007F31BA"/>
    <w:rsid w:val="007F4078"/>
    <w:rsid w:val="007F6815"/>
    <w:rsid w:val="007F73FF"/>
    <w:rsid w:val="0080014B"/>
    <w:rsid w:val="00801793"/>
    <w:rsid w:val="00803642"/>
    <w:rsid w:val="00806EA2"/>
    <w:rsid w:val="00812A2B"/>
    <w:rsid w:val="00814A4C"/>
    <w:rsid w:val="00831AAB"/>
    <w:rsid w:val="00833BCD"/>
    <w:rsid w:val="00834B82"/>
    <w:rsid w:val="0083574E"/>
    <w:rsid w:val="0083640C"/>
    <w:rsid w:val="008374E3"/>
    <w:rsid w:val="0084157B"/>
    <w:rsid w:val="00842BFB"/>
    <w:rsid w:val="00846B85"/>
    <w:rsid w:val="00847DC3"/>
    <w:rsid w:val="00847F49"/>
    <w:rsid w:val="00851806"/>
    <w:rsid w:val="008535C5"/>
    <w:rsid w:val="00853765"/>
    <w:rsid w:val="0085516F"/>
    <w:rsid w:val="00860C7C"/>
    <w:rsid w:val="00867186"/>
    <w:rsid w:val="00867824"/>
    <w:rsid w:val="0086790E"/>
    <w:rsid w:val="00870AF6"/>
    <w:rsid w:val="00873BDD"/>
    <w:rsid w:val="00877452"/>
    <w:rsid w:val="00881268"/>
    <w:rsid w:val="0088394A"/>
    <w:rsid w:val="008860BD"/>
    <w:rsid w:val="00886F08"/>
    <w:rsid w:val="00887399"/>
    <w:rsid w:val="0088779E"/>
    <w:rsid w:val="008912AF"/>
    <w:rsid w:val="00892114"/>
    <w:rsid w:val="00892CB9"/>
    <w:rsid w:val="008935CB"/>
    <w:rsid w:val="008958C5"/>
    <w:rsid w:val="008A73F0"/>
    <w:rsid w:val="008B0E7E"/>
    <w:rsid w:val="008B61B1"/>
    <w:rsid w:val="008B65BD"/>
    <w:rsid w:val="008B7900"/>
    <w:rsid w:val="008C71BF"/>
    <w:rsid w:val="008C7FE0"/>
    <w:rsid w:val="008D2455"/>
    <w:rsid w:val="008D2807"/>
    <w:rsid w:val="008D5717"/>
    <w:rsid w:val="008D69A9"/>
    <w:rsid w:val="008E223D"/>
    <w:rsid w:val="008E44A9"/>
    <w:rsid w:val="008E6477"/>
    <w:rsid w:val="008E6B4D"/>
    <w:rsid w:val="008E6BFF"/>
    <w:rsid w:val="008F0E8D"/>
    <w:rsid w:val="008F21AF"/>
    <w:rsid w:val="008F2400"/>
    <w:rsid w:val="008F61BA"/>
    <w:rsid w:val="008F6E3C"/>
    <w:rsid w:val="008F7C55"/>
    <w:rsid w:val="00914A23"/>
    <w:rsid w:val="00921DB1"/>
    <w:rsid w:val="009252A1"/>
    <w:rsid w:val="0092790B"/>
    <w:rsid w:val="00930754"/>
    <w:rsid w:val="00934F68"/>
    <w:rsid w:val="009350CC"/>
    <w:rsid w:val="009355AC"/>
    <w:rsid w:val="00935F38"/>
    <w:rsid w:val="00937586"/>
    <w:rsid w:val="00947889"/>
    <w:rsid w:val="009478BD"/>
    <w:rsid w:val="00953538"/>
    <w:rsid w:val="00957CA9"/>
    <w:rsid w:val="00960E98"/>
    <w:rsid w:val="00963A82"/>
    <w:rsid w:val="00965F8D"/>
    <w:rsid w:val="00972912"/>
    <w:rsid w:val="00973BFC"/>
    <w:rsid w:val="00974556"/>
    <w:rsid w:val="00976D1F"/>
    <w:rsid w:val="00981C81"/>
    <w:rsid w:val="00981CAA"/>
    <w:rsid w:val="00982B93"/>
    <w:rsid w:val="009859C0"/>
    <w:rsid w:val="009A2D24"/>
    <w:rsid w:val="009A3955"/>
    <w:rsid w:val="009A456C"/>
    <w:rsid w:val="009B00E0"/>
    <w:rsid w:val="009B292A"/>
    <w:rsid w:val="009B76D5"/>
    <w:rsid w:val="009C165D"/>
    <w:rsid w:val="009C3CEA"/>
    <w:rsid w:val="009C583D"/>
    <w:rsid w:val="009D2611"/>
    <w:rsid w:val="009D4D7F"/>
    <w:rsid w:val="009D79D2"/>
    <w:rsid w:val="009E247C"/>
    <w:rsid w:val="009E31BA"/>
    <w:rsid w:val="009F0528"/>
    <w:rsid w:val="009F0806"/>
    <w:rsid w:val="009F233B"/>
    <w:rsid w:val="009F32BC"/>
    <w:rsid w:val="009F4017"/>
    <w:rsid w:val="00A05D16"/>
    <w:rsid w:val="00A0659F"/>
    <w:rsid w:val="00A079BA"/>
    <w:rsid w:val="00A14E8C"/>
    <w:rsid w:val="00A20C70"/>
    <w:rsid w:val="00A33875"/>
    <w:rsid w:val="00A360A1"/>
    <w:rsid w:val="00A37F11"/>
    <w:rsid w:val="00A402B3"/>
    <w:rsid w:val="00A42788"/>
    <w:rsid w:val="00A544B7"/>
    <w:rsid w:val="00A56668"/>
    <w:rsid w:val="00A618CF"/>
    <w:rsid w:val="00A62770"/>
    <w:rsid w:val="00A62EEB"/>
    <w:rsid w:val="00A660FF"/>
    <w:rsid w:val="00A73395"/>
    <w:rsid w:val="00A752D2"/>
    <w:rsid w:val="00A771E3"/>
    <w:rsid w:val="00A80828"/>
    <w:rsid w:val="00A80EEC"/>
    <w:rsid w:val="00A82B4C"/>
    <w:rsid w:val="00A93A4C"/>
    <w:rsid w:val="00A94D5D"/>
    <w:rsid w:val="00A94F9E"/>
    <w:rsid w:val="00AA16FF"/>
    <w:rsid w:val="00AA1D9B"/>
    <w:rsid w:val="00AA2543"/>
    <w:rsid w:val="00AA31BC"/>
    <w:rsid w:val="00AA3804"/>
    <w:rsid w:val="00AA55C2"/>
    <w:rsid w:val="00AA6E3B"/>
    <w:rsid w:val="00AB0ACA"/>
    <w:rsid w:val="00AB1D41"/>
    <w:rsid w:val="00AC5E9A"/>
    <w:rsid w:val="00AC6834"/>
    <w:rsid w:val="00AC704B"/>
    <w:rsid w:val="00AD553E"/>
    <w:rsid w:val="00AD5848"/>
    <w:rsid w:val="00AE1352"/>
    <w:rsid w:val="00AE42BA"/>
    <w:rsid w:val="00AE5ADA"/>
    <w:rsid w:val="00AF561C"/>
    <w:rsid w:val="00AF6145"/>
    <w:rsid w:val="00B01386"/>
    <w:rsid w:val="00B01915"/>
    <w:rsid w:val="00B01BB5"/>
    <w:rsid w:val="00B01EB7"/>
    <w:rsid w:val="00B026CC"/>
    <w:rsid w:val="00B04AF4"/>
    <w:rsid w:val="00B05214"/>
    <w:rsid w:val="00B17F9A"/>
    <w:rsid w:val="00B30D97"/>
    <w:rsid w:val="00B30E28"/>
    <w:rsid w:val="00B31074"/>
    <w:rsid w:val="00B3181A"/>
    <w:rsid w:val="00B35A7C"/>
    <w:rsid w:val="00B44BC8"/>
    <w:rsid w:val="00B44ECD"/>
    <w:rsid w:val="00B450D1"/>
    <w:rsid w:val="00B534AF"/>
    <w:rsid w:val="00B53D47"/>
    <w:rsid w:val="00B54A25"/>
    <w:rsid w:val="00B55CDE"/>
    <w:rsid w:val="00B618C3"/>
    <w:rsid w:val="00B63652"/>
    <w:rsid w:val="00B668B0"/>
    <w:rsid w:val="00B70F5C"/>
    <w:rsid w:val="00B71873"/>
    <w:rsid w:val="00B73189"/>
    <w:rsid w:val="00B754E6"/>
    <w:rsid w:val="00B75AE5"/>
    <w:rsid w:val="00B76457"/>
    <w:rsid w:val="00B800C0"/>
    <w:rsid w:val="00B80C99"/>
    <w:rsid w:val="00B8132B"/>
    <w:rsid w:val="00B84C5A"/>
    <w:rsid w:val="00B85875"/>
    <w:rsid w:val="00B858F5"/>
    <w:rsid w:val="00B920D5"/>
    <w:rsid w:val="00B93668"/>
    <w:rsid w:val="00B97206"/>
    <w:rsid w:val="00BA68C6"/>
    <w:rsid w:val="00BB0FA6"/>
    <w:rsid w:val="00BB12F1"/>
    <w:rsid w:val="00BB276E"/>
    <w:rsid w:val="00BB3FEE"/>
    <w:rsid w:val="00BB5EB0"/>
    <w:rsid w:val="00BC1B16"/>
    <w:rsid w:val="00BC245A"/>
    <w:rsid w:val="00BC5C5F"/>
    <w:rsid w:val="00BD16FA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5755"/>
    <w:rsid w:val="00BF684B"/>
    <w:rsid w:val="00C016F3"/>
    <w:rsid w:val="00C15193"/>
    <w:rsid w:val="00C15609"/>
    <w:rsid w:val="00C15F6A"/>
    <w:rsid w:val="00C23EA7"/>
    <w:rsid w:val="00C243CF"/>
    <w:rsid w:val="00C250F7"/>
    <w:rsid w:val="00C256F3"/>
    <w:rsid w:val="00C270A2"/>
    <w:rsid w:val="00C315B5"/>
    <w:rsid w:val="00C35E28"/>
    <w:rsid w:val="00C426AF"/>
    <w:rsid w:val="00C43DAE"/>
    <w:rsid w:val="00C469C1"/>
    <w:rsid w:val="00C50659"/>
    <w:rsid w:val="00C50FA7"/>
    <w:rsid w:val="00C51B39"/>
    <w:rsid w:val="00C5338A"/>
    <w:rsid w:val="00C54EF9"/>
    <w:rsid w:val="00C56BBF"/>
    <w:rsid w:val="00C572AA"/>
    <w:rsid w:val="00C57496"/>
    <w:rsid w:val="00C57A9A"/>
    <w:rsid w:val="00C6016A"/>
    <w:rsid w:val="00C60B3F"/>
    <w:rsid w:val="00C623EB"/>
    <w:rsid w:val="00C62B57"/>
    <w:rsid w:val="00C62FBA"/>
    <w:rsid w:val="00C64C6B"/>
    <w:rsid w:val="00C66F2E"/>
    <w:rsid w:val="00C6785C"/>
    <w:rsid w:val="00C70FD1"/>
    <w:rsid w:val="00C72B76"/>
    <w:rsid w:val="00C733AA"/>
    <w:rsid w:val="00C735B7"/>
    <w:rsid w:val="00C75722"/>
    <w:rsid w:val="00C77ACF"/>
    <w:rsid w:val="00C83027"/>
    <w:rsid w:val="00C8321D"/>
    <w:rsid w:val="00C84B8A"/>
    <w:rsid w:val="00C85E65"/>
    <w:rsid w:val="00C87CA1"/>
    <w:rsid w:val="00C911B4"/>
    <w:rsid w:val="00C91B3B"/>
    <w:rsid w:val="00C93A0B"/>
    <w:rsid w:val="00C94262"/>
    <w:rsid w:val="00C976E1"/>
    <w:rsid w:val="00CA148E"/>
    <w:rsid w:val="00CA3823"/>
    <w:rsid w:val="00CA3A9A"/>
    <w:rsid w:val="00CB6BC1"/>
    <w:rsid w:val="00CB7021"/>
    <w:rsid w:val="00CC78BD"/>
    <w:rsid w:val="00CD3294"/>
    <w:rsid w:val="00CD4524"/>
    <w:rsid w:val="00CD784D"/>
    <w:rsid w:val="00CF3A1C"/>
    <w:rsid w:val="00CF40F8"/>
    <w:rsid w:val="00D00853"/>
    <w:rsid w:val="00D008DA"/>
    <w:rsid w:val="00D00F0A"/>
    <w:rsid w:val="00D01C96"/>
    <w:rsid w:val="00D0416F"/>
    <w:rsid w:val="00D05851"/>
    <w:rsid w:val="00D10FED"/>
    <w:rsid w:val="00D11736"/>
    <w:rsid w:val="00D1207F"/>
    <w:rsid w:val="00D12EE8"/>
    <w:rsid w:val="00D14CDF"/>
    <w:rsid w:val="00D15FF1"/>
    <w:rsid w:val="00D167F4"/>
    <w:rsid w:val="00D2092A"/>
    <w:rsid w:val="00D2216D"/>
    <w:rsid w:val="00D31A6F"/>
    <w:rsid w:val="00D353D1"/>
    <w:rsid w:val="00D363D3"/>
    <w:rsid w:val="00D367DB"/>
    <w:rsid w:val="00D36E05"/>
    <w:rsid w:val="00D44F27"/>
    <w:rsid w:val="00D45304"/>
    <w:rsid w:val="00D4532B"/>
    <w:rsid w:val="00D46165"/>
    <w:rsid w:val="00D461C7"/>
    <w:rsid w:val="00D50424"/>
    <w:rsid w:val="00D525C9"/>
    <w:rsid w:val="00D57D3E"/>
    <w:rsid w:val="00D76249"/>
    <w:rsid w:val="00DA7033"/>
    <w:rsid w:val="00DA7D12"/>
    <w:rsid w:val="00DB09CB"/>
    <w:rsid w:val="00DB3DA3"/>
    <w:rsid w:val="00DC1FCB"/>
    <w:rsid w:val="00DC23CF"/>
    <w:rsid w:val="00DC523D"/>
    <w:rsid w:val="00DC6562"/>
    <w:rsid w:val="00DD16F7"/>
    <w:rsid w:val="00DD4950"/>
    <w:rsid w:val="00DE130D"/>
    <w:rsid w:val="00DE24CF"/>
    <w:rsid w:val="00DE407C"/>
    <w:rsid w:val="00DE7C7D"/>
    <w:rsid w:val="00DF2992"/>
    <w:rsid w:val="00DF2D0C"/>
    <w:rsid w:val="00E00058"/>
    <w:rsid w:val="00E01B9D"/>
    <w:rsid w:val="00E02C2B"/>
    <w:rsid w:val="00E0468F"/>
    <w:rsid w:val="00E04F5E"/>
    <w:rsid w:val="00E0522E"/>
    <w:rsid w:val="00E120F4"/>
    <w:rsid w:val="00E17172"/>
    <w:rsid w:val="00E22FCA"/>
    <w:rsid w:val="00E24E2D"/>
    <w:rsid w:val="00E3181C"/>
    <w:rsid w:val="00E3280A"/>
    <w:rsid w:val="00E35C8E"/>
    <w:rsid w:val="00E366E0"/>
    <w:rsid w:val="00E372AF"/>
    <w:rsid w:val="00E37D68"/>
    <w:rsid w:val="00E40EAE"/>
    <w:rsid w:val="00E436AC"/>
    <w:rsid w:val="00E44F7A"/>
    <w:rsid w:val="00E44FF8"/>
    <w:rsid w:val="00E5066A"/>
    <w:rsid w:val="00E52CF9"/>
    <w:rsid w:val="00E61DE6"/>
    <w:rsid w:val="00E63F34"/>
    <w:rsid w:val="00E63FEA"/>
    <w:rsid w:val="00E64842"/>
    <w:rsid w:val="00E6715A"/>
    <w:rsid w:val="00E7006A"/>
    <w:rsid w:val="00E72C46"/>
    <w:rsid w:val="00E75DC9"/>
    <w:rsid w:val="00E81610"/>
    <w:rsid w:val="00E82CDF"/>
    <w:rsid w:val="00E84910"/>
    <w:rsid w:val="00E85B28"/>
    <w:rsid w:val="00E903EB"/>
    <w:rsid w:val="00E91976"/>
    <w:rsid w:val="00E947A6"/>
    <w:rsid w:val="00E97FC7"/>
    <w:rsid w:val="00EA0690"/>
    <w:rsid w:val="00EA120D"/>
    <w:rsid w:val="00EA3956"/>
    <w:rsid w:val="00EA7136"/>
    <w:rsid w:val="00EB0155"/>
    <w:rsid w:val="00EB325A"/>
    <w:rsid w:val="00EC02A5"/>
    <w:rsid w:val="00EC176B"/>
    <w:rsid w:val="00EC2B8A"/>
    <w:rsid w:val="00EC33CD"/>
    <w:rsid w:val="00EC5BE5"/>
    <w:rsid w:val="00ED2650"/>
    <w:rsid w:val="00ED721A"/>
    <w:rsid w:val="00ED7EA0"/>
    <w:rsid w:val="00EE393D"/>
    <w:rsid w:val="00EF01CF"/>
    <w:rsid w:val="00EF6A47"/>
    <w:rsid w:val="00EF7AF9"/>
    <w:rsid w:val="00F00952"/>
    <w:rsid w:val="00F01495"/>
    <w:rsid w:val="00F10138"/>
    <w:rsid w:val="00F13F92"/>
    <w:rsid w:val="00F1671D"/>
    <w:rsid w:val="00F203A7"/>
    <w:rsid w:val="00F22ECA"/>
    <w:rsid w:val="00F240E8"/>
    <w:rsid w:val="00F244FA"/>
    <w:rsid w:val="00F246E3"/>
    <w:rsid w:val="00F24B55"/>
    <w:rsid w:val="00F253C6"/>
    <w:rsid w:val="00F310FC"/>
    <w:rsid w:val="00F366A2"/>
    <w:rsid w:val="00F43E5C"/>
    <w:rsid w:val="00F44F43"/>
    <w:rsid w:val="00F450E1"/>
    <w:rsid w:val="00F50CD4"/>
    <w:rsid w:val="00F50DF4"/>
    <w:rsid w:val="00F51CA9"/>
    <w:rsid w:val="00F56907"/>
    <w:rsid w:val="00F57AFE"/>
    <w:rsid w:val="00F6278E"/>
    <w:rsid w:val="00F63C41"/>
    <w:rsid w:val="00F63E96"/>
    <w:rsid w:val="00F666FF"/>
    <w:rsid w:val="00F701E3"/>
    <w:rsid w:val="00F71008"/>
    <w:rsid w:val="00F71F8C"/>
    <w:rsid w:val="00F85F6B"/>
    <w:rsid w:val="00F86AD4"/>
    <w:rsid w:val="00FA0113"/>
    <w:rsid w:val="00FA12B2"/>
    <w:rsid w:val="00FA2C7E"/>
    <w:rsid w:val="00FA4D07"/>
    <w:rsid w:val="00FA7610"/>
    <w:rsid w:val="00FB02BD"/>
    <w:rsid w:val="00FB16A7"/>
    <w:rsid w:val="00FB398F"/>
    <w:rsid w:val="00FB41D0"/>
    <w:rsid w:val="00FB4EF8"/>
    <w:rsid w:val="00FB54AE"/>
    <w:rsid w:val="00FB709A"/>
    <w:rsid w:val="00FB78DD"/>
    <w:rsid w:val="00FC3EF3"/>
    <w:rsid w:val="00FC5D35"/>
    <w:rsid w:val="00FD2049"/>
    <w:rsid w:val="00FD2140"/>
    <w:rsid w:val="00FD5B5F"/>
    <w:rsid w:val="00FD5BDE"/>
    <w:rsid w:val="00FD68EC"/>
    <w:rsid w:val="00FE24A5"/>
    <w:rsid w:val="00FE31E5"/>
    <w:rsid w:val="00FF19AD"/>
    <w:rsid w:val="00FF1EB5"/>
    <w:rsid w:val="00FF292D"/>
    <w:rsid w:val="00FF298D"/>
    <w:rsid w:val="00FF4B55"/>
    <w:rsid w:val="00FF618B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UnresolvedMention">
    <w:name w:val="Unresolved Mention"/>
    <w:basedOn w:val="DefaultParagraphFont"/>
    <w:uiPriority w:val="99"/>
    <w:semiHidden/>
    <w:unhideWhenUsed/>
    <w:rsid w:val="001D66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66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michael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21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4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Public%20Finance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id=48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6689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23</cp:revision>
  <cp:lastPrinted>2025-07-17T06:43:00Z</cp:lastPrinted>
  <dcterms:created xsi:type="dcterms:W3CDTF">2024-12-23T07:55:00Z</dcterms:created>
  <dcterms:modified xsi:type="dcterms:W3CDTF">2025-07-21T08:57:00Z</dcterms:modified>
</cp:coreProperties>
</file>