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8BD0" w14:textId="77777777" w:rsidR="00981CAA" w:rsidRPr="00BB0FA6" w:rsidRDefault="00981CAA" w:rsidP="00981CAA">
      <w:pPr>
        <w:jc w:val="both"/>
        <w:rPr>
          <w:rFonts w:ascii="Verdana" w:hAnsi="Verdana" w:cs="Arial"/>
          <w:sz w:val="18"/>
          <w:szCs w:val="18"/>
        </w:rPr>
      </w:pPr>
    </w:p>
    <w:p w14:paraId="69DCEC7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F52579" w14:textId="1168CEB0" w:rsidR="00DD16F7" w:rsidRPr="00DD16F7" w:rsidRDefault="009D4D7F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921DB1">
        <w:rPr>
          <w:rFonts w:ascii="Verdana" w:hAnsi="Verdana" w:cs="Arial"/>
          <w:sz w:val="18"/>
          <w:szCs w:val="18"/>
          <w:lang w:val="el-GR"/>
        </w:rPr>
        <w:t>2</w:t>
      </w:r>
      <w:r w:rsidR="00B73189" w:rsidRPr="007B58CA">
        <w:rPr>
          <w:rFonts w:ascii="Verdana" w:hAnsi="Verdana" w:cs="Arial"/>
          <w:sz w:val="18"/>
          <w:szCs w:val="18"/>
          <w:lang w:val="el-GR"/>
        </w:rPr>
        <w:t>5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 xml:space="preserve"> </w:t>
      </w:r>
      <w:r w:rsidR="00B73189">
        <w:rPr>
          <w:rFonts w:ascii="Verdana" w:hAnsi="Verdana" w:cs="Arial"/>
          <w:sz w:val="18"/>
          <w:szCs w:val="18"/>
          <w:lang w:val="el-GR"/>
        </w:rPr>
        <w:t>Απριλίου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B73189">
        <w:rPr>
          <w:rFonts w:ascii="Verdana" w:hAnsi="Verdana" w:cs="Arial"/>
          <w:sz w:val="18"/>
          <w:szCs w:val="18"/>
          <w:lang w:val="el-GR"/>
        </w:rPr>
        <w:t>5</w:t>
      </w:r>
    </w:p>
    <w:p w14:paraId="0CAB642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A9607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D2E32D4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2F0EA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65203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E33B7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4D75E3" w14:textId="047482AE" w:rsidR="00DD16F7" w:rsidRPr="00C43DAE" w:rsidRDefault="00F56907" w:rsidP="00ED7EA0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 xml:space="preserve">ΤΡΙΜΗΝΙΑΙΟΙ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DC1FCB" w:rsidRPr="00653109">
        <w:rPr>
          <w:rFonts w:ascii="Verdana" w:hAnsi="Verdana" w:cs="Arial"/>
          <w:u w:val="single"/>
          <w:lang w:val="el-GR"/>
        </w:rPr>
        <w:t xml:space="preserve"> </w:t>
      </w:r>
      <w:r w:rsidR="00B73189">
        <w:rPr>
          <w:rFonts w:ascii="Verdana" w:hAnsi="Verdana" w:cs="Arial"/>
          <w:b/>
          <w:bCs/>
          <w:u w:val="single"/>
          <w:lang w:val="el-GR"/>
        </w:rPr>
        <w:t>4</w:t>
      </w:r>
      <w:r w:rsidRPr="00F56907">
        <w:rPr>
          <w:rFonts w:ascii="Verdana" w:hAnsi="Verdana" w:cs="Arial"/>
          <w:b/>
          <w:bCs/>
          <w:u w:val="single"/>
          <w:lang w:val="el-GR"/>
        </w:rPr>
        <w:t xml:space="preserve">ο </w:t>
      </w:r>
      <w:r>
        <w:rPr>
          <w:rFonts w:ascii="Verdana" w:hAnsi="Verdana" w:cs="Arial"/>
          <w:b/>
          <w:bCs/>
          <w:u w:val="single"/>
          <w:lang w:val="el-GR"/>
        </w:rPr>
        <w:t>ΤΡΙΜΗΝΟ</w:t>
      </w:r>
      <w:r w:rsidR="00DD16F7"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F246E3">
        <w:rPr>
          <w:rFonts w:ascii="Verdana" w:hAnsi="Verdana" w:cs="Arial"/>
          <w:b/>
          <w:bCs/>
          <w:u w:val="single"/>
          <w:lang w:val="el-GR"/>
        </w:rPr>
        <w:t>4</w:t>
      </w:r>
    </w:p>
    <w:p w14:paraId="34B04F7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93506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3081ED" w14:textId="0FCC5840" w:rsidR="00C43DAE" w:rsidRPr="00C43DAE" w:rsidRDefault="007B58CA" w:rsidP="00C43DAE">
      <w:pPr>
        <w:jc w:val="center"/>
        <w:rPr>
          <w:rFonts w:ascii="Verdana" w:hAnsi="Verdana" w:cs="Arial"/>
          <w:b/>
          <w:bCs/>
          <w:lang w:val="el-GR"/>
        </w:rPr>
      </w:pPr>
      <w:r>
        <w:rPr>
          <w:rFonts w:ascii="Verdana" w:hAnsi="Verdana" w:cs="Arial"/>
          <w:b/>
          <w:bCs/>
          <w:lang w:val="el-GR"/>
        </w:rPr>
        <w:t>Έλλειμμα</w:t>
      </w:r>
      <w:r w:rsidR="00C43DAE" w:rsidRPr="00DA7033">
        <w:rPr>
          <w:rFonts w:ascii="Verdana" w:hAnsi="Verdana" w:cs="Arial"/>
          <w:b/>
          <w:bCs/>
          <w:lang w:val="el-GR"/>
        </w:rPr>
        <w:t xml:space="preserve"> </w:t>
      </w:r>
      <w:r w:rsidR="00C43DAE" w:rsidRPr="009F32BC">
        <w:rPr>
          <w:rFonts w:ascii="Verdana" w:hAnsi="Verdana" w:cs="Arial"/>
          <w:b/>
          <w:bCs/>
          <w:lang w:val="el-GR"/>
        </w:rPr>
        <w:t>€</w:t>
      </w:r>
      <w:r>
        <w:rPr>
          <w:rFonts w:ascii="Verdana" w:hAnsi="Verdana" w:cs="Arial"/>
          <w:b/>
          <w:bCs/>
          <w:lang w:val="el-GR"/>
        </w:rPr>
        <w:t>6</w:t>
      </w:r>
      <w:r w:rsidR="000D0B9D" w:rsidRPr="009F32BC">
        <w:rPr>
          <w:rFonts w:ascii="Verdana" w:hAnsi="Verdana" w:cs="Arial"/>
          <w:b/>
          <w:bCs/>
          <w:lang w:val="el-GR"/>
        </w:rPr>
        <w:t>,</w:t>
      </w:r>
      <w:r>
        <w:rPr>
          <w:rFonts w:ascii="Verdana" w:hAnsi="Verdana" w:cs="Arial"/>
          <w:b/>
          <w:bCs/>
          <w:lang w:val="el-GR"/>
        </w:rPr>
        <w:t>0</w:t>
      </w:r>
      <w:r w:rsidR="000D0B9D" w:rsidRPr="009F32BC">
        <w:rPr>
          <w:rFonts w:ascii="Verdana" w:hAnsi="Verdana" w:cs="Arial"/>
          <w:b/>
          <w:bCs/>
          <w:lang w:val="el-GR"/>
        </w:rPr>
        <w:t xml:space="preserve"> </w:t>
      </w:r>
      <w:r w:rsidR="00C43DAE" w:rsidRPr="009F32BC">
        <w:rPr>
          <w:rFonts w:ascii="Verdana" w:hAnsi="Verdana" w:cs="Arial"/>
          <w:b/>
          <w:bCs/>
          <w:lang w:val="el-GR"/>
        </w:rPr>
        <w:t>εκ.</w:t>
      </w:r>
    </w:p>
    <w:p w14:paraId="300D7664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6EDB6" w14:textId="551F0A48" w:rsidR="00F56907" w:rsidRDefault="00F569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A7033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την περίοδο </w:t>
      </w:r>
      <w:r w:rsidR="00346E32">
        <w:rPr>
          <w:rFonts w:ascii="Verdana" w:hAnsi="Verdana" w:cs="Arial"/>
          <w:sz w:val="18"/>
          <w:szCs w:val="18"/>
          <w:lang w:val="el-GR"/>
        </w:rPr>
        <w:t>Οκτωβρίου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-</w:t>
      </w:r>
      <w:r w:rsidR="00346E32">
        <w:rPr>
          <w:rFonts w:ascii="Verdana" w:hAnsi="Verdana" w:cs="Arial"/>
          <w:sz w:val="18"/>
          <w:szCs w:val="18"/>
          <w:lang w:val="el-GR"/>
        </w:rPr>
        <w:t>Δεκε</w:t>
      </w:r>
      <w:r w:rsidR="009D4D7F">
        <w:rPr>
          <w:rFonts w:ascii="Verdana" w:hAnsi="Verdana" w:cs="Arial"/>
          <w:sz w:val="18"/>
          <w:szCs w:val="18"/>
          <w:lang w:val="el-GR"/>
        </w:rPr>
        <w:t>μβρίου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4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καταδεικνύουν </w:t>
      </w:r>
      <w:r w:rsidR="007B58CA">
        <w:rPr>
          <w:rFonts w:ascii="Verdana" w:hAnsi="Verdana" w:cs="Arial"/>
          <w:sz w:val="18"/>
          <w:szCs w:val="18"/>
          <w:lang w:val="el-GR"/>
        </w:rPr>
        <w:t>έλλειμμα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της Γενικής Κυβέρνησης της τάξης των </w:t>
      </w:r>
      <w:r w:rsidR="007B58CA">
        <w:rPr>
          <w:rFonts w:ascii="Verdana" w:hAnsi="Verdana" w:cs="Arial"/>
          <w:sz w:val="18"/>
          <w:szCs w:val="18"/>
          <w:lang w:val="el-GR"/>
        </w:rPr>
        <w:t xml:space="preserve">   </w:t>
      </w:r>
      <w:r w:rsidRPr="009F32BC">
        <w:rPr>
          <w:rFonts w:ascii="Verdana" w:hAnsi="Verdana" w:cs="Arial"/>
          <w:sz w:val="18"/>
          <w:szCs w:val="18"/>
          <w:lang w:val="el-GR"/>
        </w:rPr>
        <w:t>€</w:t>
      </w:r>
      <w:r w:rsidR="007B58CA">
        <w:rPr>
          <w:rFonts w:ascii="Verdana" w:hAnsi="Verdana" w:cs="Arial"/>
          <w:sz w:val="18"/>
          <w:szCs w:val="18"/>
          <w:lang w:val="el-GR"/>
        </w:rPr>
        <w:t>6</w:t>
      </w:r>
      <w:r w:rsidRPr="009F32BC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0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εκ. σε σύγκριση με</w:t>
      </w:r>
      <w:r w:rsidR="007B58CA">
        <w:rPr>
          <w:rFonts w:ascii="Verdana" w:hAnsi="Verdana" w:cs="Arial"/>
          <w:sz w:val="18"/>
          <w:szCs w:val="18"/>
          <w:lang w:val="el-GR"/>
        </w:rPr>
        <w:t xml:space="preserve"> έλλειμμα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7B58CA">
        <w:rPr>
          <w:rFonts w:ascii="Verdana" w:hAnsi="Verdana" w:cs="Arial"/>
          <w:sz w:val="18"/>
          <w:szCs w:val="18"/>
          <w:lang w:val="el-GR"/>
        </w:rPr>
        <w:t>117</w:t>
      </w:r>
      <w:r w:rsidRPr="009F32BC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9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εκ. για την περίοδο </w:t>
      </w:r>
      <w:r w:rsidR="00346E32">
        <w:rPr>
          <w:rFonts w:ascii="Verdana" w:hAnsi="Verdana" w:cs="Arial"/>
          <w:sz w:val="18"/>
          <w:szCs w:val="18"/>
          <w:lang w:val="el-GR"/>
        </w:rPr>
        <w:t>Οκτωβρίου</w:t>
      </w:r>
      <w:r w:rsidR="009D4D7F" w:rsidRPr="009D4D7F">
        <w:rPr>
          <w:rFonts w:ascii="Verdana" w:hAnsi="Verdana" w:cs="Arial"/>
          <w:sz w:val="18"/>
          <w:szCs w:val="18"/>
          <w:lang w:val="el-GR"/>
        </w:rPr>
        <w:t>-</w:t>
      </w:r>
      <w:r w:rsidR="00346E32">
        <w:rPr>
          <w:rFonts w:ascii="Verdana" w:hAnsi="Verdana" w:cs="Arial"/>
          <w:sz w:val="18"/>
          <w:szCs w:val="18"/>
          <w:lang w:val="el-GR"/>
        </w:rPr>
        <w:t>Δεκε</w:t>
      </w:r>
      <w:r w:rsidR="009D4D7F" w:rsidRPr="009D4D7F">
        <w:rPr>
          <w:rFonts w:ascii="Verdana" w:hAnsi="Verdana" w:cs="Arial"/>
          <w:sz w:val="18"/>
          <w:szCs w:val="18"/>
          <w:lang w:val="el-GR"/>
        </w:rPr>
        <w:t xml:space="preserve">μβρίου </w:t>
      </w:r>
      <w:r w:rsidR="00F246E3" w:rsidRPr="009F32BC">
        <w:rPr>
          <w:rFonts w:ascii="Verdana" w:hAnsi="Verdana" w:cs="Arial"/>
          <w:sz w:val="18"/>
          <w:szCs w:val="18"/>
          <w:lang w:val="el-GR"/>
        </w:rPr>
        <w:t>2023</w:t>
      </w:r>
      <w:r w:rsidRPr="009F32BC">
        <w:rPr>
          <w:rFonts w:ascii="Verdana" w:hAnsi="Verdana" w:cs="Arial"/>
          <w:sz w:val="18"/>
          <w:szCs w:val="18"/>
          <w:lang w:val="el-GR"/>
        </w:rPr>
        <w:t>.</w:t>
      </w:r>
    </w:p>
    <w:p w14:paraId="2190B7D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2738C4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F633E3" w14:textId="6AD01300" w:rsidR="00981CAA" w:rsidRDefault="007B58CA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232B3805" wp14:editId="006CD911">
            <wp:extent cx="6096635" cy="4871085"/>
            <wp:effectExtent l="0" t="0" r="0" b="5715"/>
            <wp:docPr id="14061110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87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8D7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A78A08" w14:textId="7B3D8983" w:rsidR="00860C7C" w:rsidRDefault="00860C7C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57670F59" w14:textId="1F3FB626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C58629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A3B5E2" w14:textId="5F441C86" w:rsidR="00F56907" w:rsidRPr="005168DF" w:rsidRDefault="00F56907" w:rsidP="00346E3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50E8">
        <w:rPr>
          <w:rFonts w:ascii="Verdana" w:hAnsi="Verdana" w:cs="Arial"/>
          <w:sz w:val="18"/>
          <w:szCs w:val="18"/>
          <w:lang w:val="el-GR"/>
        </w:rPr>
        <w:t xml:space="preserve">Τα συνολικά έσοδα, κατά την περίοδο </w:t>
      </w:r>
      <w:r w:rsidR="00346E32" w:rsidRPr="00346E32">
        <w:rPr>
          <w:rFonts w:ascii="Verdana" w:hAnsi="Verdana" w:cs="Arial"/>
          <w:sz w:val="18"/>
          <w:szCs w:val="18"/>
          <w:lang w:val="el-GR"/>
        </w:rPr>
        <w:t>Οκτωβρίου-Δεκεμβρίου</w:t>
      </w:r>
      <w:r w:rsidR="009D4D7F" w:rsidRPr="009D4D7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50E8">
        <w:rPr>
          <w:rFonts w:ascii="Verdana" w:hAnsi="Verdana" w:cs="Arial"/>
          <w:sz w:val="18"/>
          <w:szCs w:val="18"/>
          <w:lang w:val="el-GR"/>
        </w:rPr>
        <w:t>202</w:t>
      </w:r>
      <w:r w:rsidR="003B5002" w:rsidRPr="004950E8">
        <w:rPr>
          <w:rFonts w:ascii="Verdana" w:hAnsi="Verdana" w:cs="Arial"/>
          <w:sz w:val="18"/>
          <w:szCs w:val="18"/>
          <w:lang w:val="el-GR"/>
        </w:rPr>
        <w:t>4</w:t>
      </w:r>
      <w:r w:rsidRPr="004950E8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5168DF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7B58CA">
        <w:rPr>
          <w:rFonts w:ascii="Verdana" w:hAnsi="Verdana" w:cs="Arial"/>
          <w:sz w:val="18"/>
          <w:szCs w:val="18"/>
          <w:lang w:val="el-GR"/>
        </w:rPr>
        <w:t>255,0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C4361">
        <w:rPr>
          <w:rFonts w:ascii="Verdana" w:hAnsi="Verdana" w:cs="Arial"/>
          <w:sz w:val="18"/>
          <w:szCs w:val="18"/>
          <w:lang w:val="el-GR"/>
        </w:rPr>
        <w:t>6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6</w:t>
      </w:r>
      <w:r w:rsidRPr="005168D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7B58CA">
        <w:rPr>
          <w:rFonts w:ascii="Verdana" w:hAnsi="Verdana" w:cs="Arial"/>
          <w:sz w:val="18"/>
          <w:szCs w:val="18"/>
          <w:lang w:val="el-GR"/>
        </w:rPr>
        <w:t>4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  <w:r w:rsidR="007B58CA">
        <w:rPr>
          <w:rFonts w:ascii="Verdana" w:hAnsi="Verdana" w:cs="Arial"/>
          <w:sz w:val="18"/>
          <w:szCs w:val="18"/>
          <w:lang w:val="el-GR"/>
        </w:rPr>
        <w:t>090</w:t>
      </w:r>
      <w:r w:rsidR="004950D5" w:rsidRPr="005168DF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4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D4D7F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  <w:r w:rsidR="007B58CA">
        <w:rPr>
          <w:rFonts w:ascii="Verdana" w:hAnsi="Verdana" w:cs="Arial"/>
          <w:sz w:val="18"/>
          <w:szCs w:val="18"/>
          <w:lang w:val="el-GR"/>
        </w:rPr>
        <w:t>835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5168DF" w:rsidRPr="005168DF">
        <w:rPr>
          <w:rFonts w:ascii="Verdana" w:hAnsi="Verdana" w:cs="Arial"/>
          <w:sz w:val="18"/>
          <w:szCs w:val="18"/>
          <w:lang w:val="el-GR"/>
        </w:rPr>
        <w:t>4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4950E8" w:rsidRPr="005168DF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</w:p>
    <w:p w14:paraId="15856FE1" w14:textId="77777777" w:rsidR="00F56907" w:rsidRPr="005168DF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2397B9" w14:textId="4783F457" w:rsidR="007B58CA" w:rsidRDefault="00F56907" w:rsidP="007B58C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E13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9D4D7F">
        <w:rPr>
          <w:rFonts w:ascii="Verdana" w:hAnsi="Verdana" w:cs="Arial"/>
          <w:sz w:val="18"/>
          <w:szCs w:val="18"/>
          <w:lang w:val="el-GR"/>
        </w:rPr>
        <w:t>ο</w:t>
      </w:r>
      <w:r w:rsidRPr="00AE1352">
        <w:rPr>
          <w:rFonts w:ascii="Verdana" w:hAnsi="Verdana" w:cs="Arial"/>
          <w:sz w:val="18"/>
          <w:szCs w:val="18"/>
          <w:lang w:val="el-GR"/>
        </w:rPr>
        <w:t>ι κοινωνικές εισφορές αυξήθηκαν κατά €</w:t>
      </w:r>
      <w:r w:rsidR="004950E8" w:rsidRPr="00AE1352">
        <w:rPr>
          <w:rFonts w:ascii="Verdana" w:hAnsi="Verdana" w:cs="Arial"/>
          <w:sz w:val="18"/>
          <w:szCs w:val="18"/>
          <w:lang w:val="el-GR"/>
        </w:rPr>
        <w:t>1</w:t>
      </w:r>
      <w:r w:rsidR="007B58CA">
        <w:rPr>
          <w:rFonts w:ascii="Verdana" w:hAnsi="Verdana" w:cs="Arial"/>
          <w:sz w:val="18"/>
          <w:szCs w:val="18"/>
          <w:lang w:val="el-GR"/>
        </w:rPr>
        <w:t>64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73AC7" w:rsidRPr="00AE1352">
        <w:rPr>
          <w:rFonts w:ascii="Verdana" w:hAnsi="Verdana" w:cs="Arial"/>
          <w:sz w:val="18"/>
          <w:szCs w:val="18"/>
          <w:lang w:val="el-GR"/>
        </w:rPr>
        <w:t>1</w:t>
      </w:r>
      <w:r w:rsidR="007B58CA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168DF" w:rsidRPr="00AE1352">
        <w:rPr>
          <w:rFonts w:ascii="Verdana" w:hAnsi="Verdana" w:cs="Arial"/>
          <w:sz w:val="18"/>
          <w:szCs w:val="18"/>
          <w:lang w:val="el-GR"/>
        </w:rPr>
        <w:t>1.</w:t>
      </w:r>
      <w:r w:rsidR="007B58CA">
        <w:rPr>
          <w:rFonts w:ascii="Verdana" w:hAnsi="Verdana" w:cs="Arial"/>
          <w:sz w:val="18"/>
          <w:szCs w:val="18"/>
          <w:lang w:val="el-GR"/>
        </w:rPr>
        <w:t>287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1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B58CA">
        <w:rPr>
          <w:rFonts w:ascii="Verdana" w:hAnsi="Verdana" w:cs="Arial"/>
          <w:sz w:val="18"/>
          <w:szCs w:val="18"/>
          <w:lang w:val="el-GR"/>
        </w:rPr>
        <w:t>1.122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9D4D7F">
        <w:rPr>
          <w:rFonts w:ascii="Verdana" w:hAnsi="Verdana" w:cs="Arial"/>
          <w:sz w:val="18"/>
          <w:szCs w:val="18"/>
          <w:lang w:val="el-GR"/>
        </w:rPr>
        <w:t>τ</w:t>
      </w:r>
      <w:r w:rsidR="00346E32">
        <w:rPr>
          <w:rFonts w:ascii="Verdana" w:hAnsi="Verdana" w:cs="Arial"/>
          <w:sz w:val="18"/>
          <w:szCs w:val="18"/>
          <w:lang w:val="el-GR"/>
        </w:rPr>
        <w:t>έταρτο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</w:t>
      </w:r>
      <w:r w:rsidR="0055706D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€</w:t>
      </w:r>
      <w:r w:rsidR="009D4D7F">
        <w:rPr>
          <w:rFonts w:ascii="Verdana" w:hAnsi="Verdana" w:cs="Arial"/>
          <w:sz w:val="18"/>
          <w:szCs w:val="18"/>
          <w:lang w:val="el-GR"/>
        </w:rPr>
        <w:t>157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9D4D7F">
        <w:rPr>
          <w:rFonts w:ascii="Verdana" w:hAnsi="Verdana" w:cs="Arial"/>
          <w:sz w:val="18"/>
          <w:szCs w:val="18"/>
          <w:lang w:val="el-GR"/>
        </w:rPr>
        <w:t>1</w:t>
      </w:r>
      <w:r w:rsidR="007B58CA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8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€</w:t>
      </w:r>
      <w:r w:rsidR="009D4D7F">
        <w:rPr>
          <w:rFonts w:ascii="Verdana" w:hAnsi="Verdana" w:cs="Arial"/>
          <w:sz w:val="18"/>
          <w:szCs w:val="18"/>
          <w:lang w:val="el-GR"/>
        </w:rPr>
        <w:t>1.</w:t>
      </w:r>
      <w:r w:rsidR="007B58CA">
        <w:rPr>
          <w:rFonts w:ascii="Verdana" w:hAnsi="Verdana" w:cs="Arial"/>
          <w:sz w:val="18"/>
          <w:szCs w:val="18"/>
          <w:lang w:val="el-GR"/>
        </w:rPr>
        <w:t>094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0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7B58CA">
        <w:rPr>
          <w:rFonts w:ascii="Verdana" w:hAnsi="Verdana" w:cs="Arial"/>
          <w:sz w:val="18"/>
          <w:szCs w:val="18"/>
          <w:lang w:val="el-GR"/>
        </w:rPr>
        <w:t xml:space="preserve">         </w:t>
      </w:r>
      <w:r w:rsidRPr="00AE1352">
        <w:rPr>
          <w:rFonts w:ascii="Verdana" w:hAnsi="Verdana" w:cs="Arial"/>
          <w:sz w:val="18"/>
          <w:szCs w:val="18"/>
          <w:lang w:val="el-GR"/>
        </w:rPr>
        <w:t>€</w:t>
      </w:r>
      <w:r w:rsidR="007B58CA">
        <w:rPr>
          <w:rFonts w:ascii="Verdana" w:hAnsi="Verdana" w:cs="Arial"/>
          <w:sz w:val="18"/>
          <w:szCs w:val="18"/>
          <w:lang w:val="el-GR"/>
        </w:rPr>
        <w:t>936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Τα έσοδα από παροχή  αγαθών και υπηρεσιών 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7B58CA">
        <w:rPr>
          <w:rFonts w:ascii="Verdana" w:hAnsi="Verdana" w:cs="Arial"/>
          <w:sz w:val="18"/>
          <w:szCs w:val="18"/>
          <w:lang w:val="el-GR"/>
        </w:rPr>
        <w:t>21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7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(+</w:t>
      </w:r>
      <w:r w:rsidR="007B58CA">
        <w:rPr>
          <w:rFonts w:ascii="Verdana" w:hAnsi="Verdana" w:cs="Arial"/>
          <w:sz w:val="18"/>
          <w:szCs w:val="18"/>
          <w:lang w:val="el-GR"/>
        </w:rPr>
        <w:t>7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6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και ανήλθαν στα €</w:t>
      </w:r>
      <w:r w:rsidR="007B58CA">
        <w:rPr>
          <w:rFonts w:ascii="Verdana" w:hAnsi="Verdana" w:cs="Arial"/>
          <w:sz w:val="18"/>
          <w:szCs w:val="18"/>
          <w:lang w:val="el-GR"/>
        </w:rPr>
        <w:t>308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2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D4D7F">
        <w:rPr>
          <w:rFonts w:ascii="Verdana" w:hAnsi="Verdana" w:cs="Arial"/>
          <w:sz w:val="18"/>
          <w:szCs w:val="18"/>
          <w:lang w:val="el-GR"/>
        </w:rPr>
        <w:t>2</w:t>
      </w:r>
      <w:r w:rsidR="007B58CA">
        <w:rPr>
          <w:rFonts w:ascii="Verdana" w:hAnsi="Verdana" w:cs="Arial"/>
          <w:sz w:val="18"/>
          <w:szCs w:val="18"/>
          <w:lang w:val="el-GR"/>
        </w:rPr>
        <w:t>86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6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346E32" w:rsidRPr="00346E32">
        <w:rPr>
          <w:rFonts w:ascii="Verdana" w:hAnsi="Verdana" w:cs="Arial"/>
          <w:sz w:val="18"/>
          <w:szCs w:val="18"/>
          <w:lang w:val="el-GR"/>
        </w:rPr>
        <w:t>τέταρτο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 xml:space="preserve">Οι κεφαλαιουχικές μεταβιβάσεις </w:t>
      </w:r>
      <w:r w:rsidR="00A37F11">
        <w:rPr>
          <w:rFonts w:ascii="Verdana" w:hAnsi="Verdana" w:cs="Arial"/>
          <w:sz w:val="18"/>
          <w:szCs w:val="18"/>
          <w:lang w:val="el-GR"/>
        </w:rPr>
        <w:t>αυξή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>θηκαν κατά €</w:t>
      </w:r>
      <w:r w:rsidR="00A37F11">
        <w:rPr>
          <w:rFonts w:ascii="Verdana" w:hAnsi="Verdana" w:cs="Arial"/>
          <w:sz w:val="18"/>
          <w:szCs w:val="18"/>
          <w:lang w:val="el-GR"/>
        </w:rPr>
        <w:t>2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>,</w:t>
      </w:r>
      <w:r w:rsidR="00A37F11">
        <w:rPr>
          <w:rFonts w:ascii="Verdana" w:hAnsi="Verdana" w:cs="Arial"/>
          <w:sz w:val="18"/>
          <w:szCs w:val="18"/>
          <w:lang w:val="el-GR"/>
        </w:rPr>
        <w:t>8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A37F11">
        <w:rPr>
          <w:rFonts w:ascii="Verdana" w:hAnsi="Verdana" w:cs="Arial"/>
          <w:sz w:val="18"/>
          <w:szCs w:val="18"/>
          <w:lang w:val="el-GR"/>
        </w:rPr>
        <w:t>+1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>,</w:t>
      </w:r>
      <w:r w:rsidR="00A37F11">
        <w:rPr>
          <w:rFonts w:ascii="Verdana" w:hAnsi="Verdana" w:cs="Arial"/>
          <w:sz w:val="18"/>
          <w:szCs w:val="18"/>
          <w:lang w:val="el-GR"/>
        </w:rPr>
        <w:t>6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A37F11">
        <w:rPr>
          <w:rFonts w:ascii="Verdana" w:hAnsi="Verdana" w:cs="Arial"/>
          <w:sz w:val="18"/>
          <w:szCs w:val="18"/>
          <w:lang w:val="el-GR"/>
        </w:rPr>
        <w:t>ανήλθαν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 xml:space="preserve"> στα €1</w:t>
      </w:r>
      <w:r w:rsidR="00A37F11">
        <w:rPr>
          <w:rFonts w:ascii="Verdana" w:hAnsi="Verdana" w:cs="Arial"/>
          <w:sz w:val="18"/>
          <w:szCs w:val="18"/>
          <w:lang w:val="el-GR"/>
        </w:rPr>
        <w:t>76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>,</w:t>
      </w:r>
      <w:r w:rsidR="00A37F11">
        <w:rPr>
          <w:rFonts w:ascii="Verdana" w:hAnsi="Verdana" w:cs="Arial"/>
          <w:sz w:val="18"/>
          <w:szCs w:val="18"/>
          <w:lang w:val="el-GR"/>
        </w:rPr>
        <w:t>2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A37F11">
        <w:rPr>
          <w:rFonts w:ascii="Verdana" w:hAnsi="Verdana" w:cs="Arial"/>
          <w:sz w:val="18"/>
          <w:szCs w:val="18"/>
          <w:lang w:val="el-GR"/>
        </w:rPr>
        <w:t>173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>,</w:t>
      </w:r>
      <w:r w:rsidR="00A37F11">
        <w:rPr>
          <w:rFonts w:ascii="Verdana" w:hAnsi="Verdana" w:cs="Arial"/>
          <w:sz w:val="18"/>
          <w:szCs w:val="18"/>
          <w:lang w:val="el-GR"/>
        </w:rPr>
        <w:t>4</w:t>
      </w:r>
      <w:r w:rsidR="007B58CA" w:rsidRPr="005C0F09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2023.</w:t>
      </w:r>
    </w:p>
    <w:p w14:paraId="1543F2B0" w14:textId="77777777" w:rsidR="005C0F09" w:rsidRDefault="005C0F09" w:rsidP="009D4D7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CEED" w14:textId="4850F2E0" w:rsidR="00200671" w:rsidRDefault="009D4D7F" w:rsidP="007B58C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C0F09">
        <w:rPr>
          <w:rFonts w:ascii="Verdana" w:hAnsi="Verdana" w:cs="Arial"/>
          <w:sz w:val="18"/>
          <w:szCs w:val="18"/>
          <w:lang w:val="el-GR"/>
        </w:rPr>
        <w:t>Αντιθέτως, οι φόροι επί της παραγωγής και των εισαγωγών μειώθηκαν κατά €</w:t>
      </w:r>
      <w:r w:rsidR="005C4361">
        <w:rPr>
          <w:rFonts w:ascii="Verdana" w:hAnsi="Verdana" w:cs="Arial"/>
          <w:sz w:val="18"/>
          <w:szCs w:val="18"/>
          <w:lang w:val="el-GR"/>
        </w:rPr>
        <w:t>2</w:t>
      </w:r>
      <w:r w:rsidR="007B58CA">
        <w:rPr>
          <w:rFonts w:ascii="Verdana" w:hAnsi="Verdana" w:cs="Arial"/>
          <w:sz w:val="18"/>
          <w:szCs w:val="18"/>
          <w:lang w:val="el-GR"/>
        </w:rPr>
        <w:t>3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7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5C4361">
        <w:rPr>
          <w:rFonts w:ascii="Verdana" w:hAnsi="Verdana" w:cs="Arial"/>
          <w:sz w:val="18"/>
          <w:szCs w:val="18"/>
          <w:lang w:val="el-GR"/>
        </w:rPr>
        <w:t>2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0</w:t>
      </w:r>
      <w:r w:rsidRPr="005C0F09">
        <w:rPr>
          <w:rFonts w:ascii="Verdana" w:hAnsi="Verdana" w:cs="Arial"/>
          <w:sz w:val="18"/>
          <w:szCs w:val="18"/>
          <w:lang w:val="el-GR"/>
        </w:rPr>
        <w:t>%) και περιορίστηκαν στα €1.</w:t>
      </w:r>
      <w:r w:rsidR="005C4361">
        <w:rPr>
          <w:rFonts w:ascii="Verdana" w:hAnsi="Verdana" w:cs="Arial"/>
          <w:sz w:val="18"/>
          <w:szCs w:val="18"/>
          <w:lang w:val="el-GR"/>
        </w:rPr>
        <w:t>15</w:t>
      </w:r>
      <w:r w:rsidR="007B58CA">
        <w:rPr>
          <w:rFonts w:ascii="Verdana" w:hAnsi="Verdana" w:cs="Arial"/>
          <w:sz w:val="18"/>
          <w:szCs w:val="18"/>
          <w:lang w:val="el-GR"/>
        </w:rPr>
        <w:t>8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6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€1.1</w:t>
      </w:r>
      <w:r w:rsidR="007B58CA">
        <w:rPr>
          <w:rFonts w:ascii="Verdana" w:hAnsi="Verdana" w:cs="Arial"/>
          <w:sz w:val="18"/>
          <w:szCs w:val="18"/>
          <w:lang w:val="el-GR"/>
        </w:rPr>
        <w:t>82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3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346E32" w:rsidRPr="00346E32">
        <w:rPr>
          <w:rFonts w:ascii="Verdana" w:hAnsi="Verdana" w:cs="Arial"/>
          <w:sz w:val="18"/>
          <w:szCs w:val="18"/>
          <w:lang w:val="el-GR"/>
        </w:rPr>
        <w:t>τέταρτο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2023, εκ των οποίων τα καθαρά έσοδα του ΦΠΑ (μετά την αφαίρεση των επιστροφών) </w:t>
      </w:r>
      <w:r w:rsidR="007B58CA">
        <w:rPr>
          <w:rFonts w:ascii="Verdana" w:hAnsi="Verdana" w:cs="Arial"/>
          <w:sz w:val="18"/>
          <w:szCs w:val="18"/>
          <w:lang w:val="el-GR"/>
        </w:rPr>
        <w:t>αυξή</w:t>
      </w:r>
      <w:r w:rsidRPr="005C0F09">
        <w:rPr>
          <w:rFonts w:ascii="Verdana" w:hAnsi="Verdana" w:cs="Arial"/>
          <w:sz w:val="18"/>
          <w:szCs w:val="18"/>
          <w:lang w:val="el-GR"/>
        </w:rPr>
        <w:t>θηκαν κατά €1</w:t>
      </w:r>
      <w:r w:rsidR="007B58CA">
        <w:rPr>
          <w:rFonts w:ascii="Verdana" w:hAnsi="Verdana" w:cs="Arial"/>
          <w:sz w:val="18"/>
          <w:szCs w:val="18"/>
          <w:lang w:val="el-GR"/>
        </w:rPr>
        <w:t>4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7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7B58CA">
        <w:rPr>
          <w:rFonts w:ascii="Verdana" w:hAnsi="Verdana" w:cs="Arial"/>
          <w:sz w:val="18"/>
          <w:szCs w:val="18"/>
          <w:lang w:val="el-GR"/>
        </w:rPr>
        <w:t>+</w:t>
      </w:r>
      <w:r w:rsidRPr="005C0F09">
        <w:rPr>
          <w:rFonts w:ascii="Verdana" w:hAnsi="Verdana" w:cs="Arial"/>
          <w:sz w:val="18"/>
          <w:szCs w:val="18"/>
          <w:lang w:val="el-GR"/>
        </w:rPr>
        <w:t>1,</w:t>
      </w:r>
      <w:r w:rsidR="007B58CA">
        <w:rPr>
          <w:rFonts w:ascii="Verdana" w:hAnsi="Verdana" w:cs="Arial"/>
          <w:sz w:val="18"/>
          <w:szCs w:val="18"/>
          <w:lang w:val="el-GR"/>
        </w:rPr>
        <w:t>9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B58CA">
        <w:rPr>
          <w:rFonts w:ascii="Verdana" w:hAnsi="Verdana" w:cs="Arial"/>
          <w:sz w:val="18"/>
          <w:szCs w:val="18"/>
          <w:lang w:val="el-GR"/>
        </w:rPr>
        <w:t>ανήλθαν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στα €8</w:t>
      </w:r>
      <w:r w:rsidR="007B58CA">
        <w:rPr>
          <w:rFonts w:ascii="Verdana" w:hAnsi="Verdana" w:cs="Arial"/>
          <w:sz w:val="18"/>
          <w:szCs w:val="18"/>
          <w:lang w:val="el-GR"/>
        </w:rPr>
        <w:t>06</w:t>
      </w:r>
      <w:r w:rsidRPr="005C0F09">
        <w:rPr>
          <w:rFonts w:ascii="Verdana" w:hAnsi="Verdana" w:cs="Arial"/>
          <w:sz w:val="18"/>
          <w:szCs w:val="18"/>
          <w:lang w:val="el-GR"/>
        </w:rPr>
        <w:t>,0 εκ. σε σύγκριση με €</w:t>
      </w:r>
      <w:r w:rsidR="007B58CA">
        <w:rPr>
          <w:rFonts w:ascii="Verdana" w:hAnsi="Verdana" w:cs="Arial"/>
          <w:sz w:val="18"/>
          <w:szCs w:val="18"/>
          <w:lang w:val="el-GR"/>
        </w:rPr>
        <w:t>791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3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2023. </w:t>
      </w:r>
      <w:r w:rsidRPr="005C0F09">
        <w:rPr>
          <w:rFonts w:ascii="Verdana" w:hAnsi="Verdana" w:cs="Arial"/>
          <w:sz w:val="18"/>
          <w:szCs w:val="18"/>
        </w:rPr>
        <w:t>O</w:t>
      </w:r>
      <w:r w:rsidRPr="005C0F09">
        <w:rPr>
          <w:rFonts w:ascii="Verdana" w:hAnsi="Verdana" w:cs="Arial"/>
          <w:sz w:val="18"/>
          <w:szCs w:val="18"/>
          <w:lang w:val="el-GR"/>
        </w:rPr>
        <w:t>ι τρέχουσες μεταβιβάσεις μειώθηκαν κατά €</w:t>
      </w:r>
      <w:r w:rsidR="007B58CA">
        <w:rPr>
          <w:rFonts w:ascii="Verdana" w:hAnsi="Verdana" w:cs="Arial"/>
          <w:sz w:val="18"/>
          <w:szCs w:val="18"/>
          <w:lang w:val="el-GR"/>
        </w:rPr>
        <w:t>57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9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7B58CA">
        <w:rPr>
          <w:rFonts w:ascii="Verdana" w:hAnsi="Verdana" w:cs="Arial"/>
          <w:sz w:val="18"/>
          <w:szCs w:val="18"/>
          <w:lang w:val="el-GR"/>
        </w:rPr>
        <w:t>76</w:t>
      </w:r>
      <w:r w:rsidRPr="005C0F09">
        <w:rPr>
          <w:rFonts w:ascii="Verdana" w:hAnsi="Verdana" w:cs="Arial"/>
          <w:sz w:val="18"/>
          <w:szCs w:val="18"/>
          <w:lang w:val="el-GR"/>
        </w:rPr>
        <w:t>,9%) και περιορίστηκαν στα €</w:t>
      </w:r>
      <w:r w:rsidR="007B58CA">
        <w:rPr>
          <w:rFonts w:ascii="Verdana" w:hAnsi="Verdana" w:cs="Arial"/>
          <w:sz w:val="18"/>
          <w:szCs w:val="18"/>
          <w:lang w:val="el-GR"/>
        </w:rPr>
        <w:t>17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4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        €</w:t>
      </w:r>
      <w:r w:rsidR="007B58CA">
        <w:rPr>
          <w:rFonts w:ascii="Verdana" w:hAnsi="Verdana" w:cs="Arial"/>
          <w:sz w:val="18"/>
          <w:szCs w:val="18"/>
          <w:lang w:val="el-GR"/>
        </w:rPr>
        <w:t>75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3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346E32" w:rsidRPr="00346E32">
        <w:rPr>
          <w:rFonts w:ascii="Verdana" w:hAnsi="Verdana" w:cs="Arial"/>
          <w:sz w:val="18"/>
          <w:szCs w:val="18"/>
          <w:lang w:val="el-GR"/>
        </w:rPr>
        <w:t>τέταρτο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2023. 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 xml:space="preserve">Το εισόδημα περιουσίας εισπρακτέο μειώθηκε κατά €9,9 εκ. </w:t>
      </w:r>
      <w:r w:rsidR="00A37F11" w:rsidRPr="00A37F11">
        <w:rPr>
          <w:rFonts w:ascii="Verdana" w:hAnsi="Verdana" w:cs="Arial"/>
          <w:sz w:val="18"/>
          <w:szCs w:val="18"/>
          <w:lang w:val="el-GR"/>
        </w:rPr>
        <w:t xml:space="preserve">                      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(-16,8%) και περιορίστηκε στα €</w:t>
      </w:r>
      <w:r w:rsidR="00A37F11" w:rsidRPr="00A37F11">
        <w:rPr>
          <w:rFonts w:ascii="Verdana" w:hAnsi="Verdana" w:cs="Arial"/>
          <w:sz w:val="18"/>
          <w:szCs w:val="18"/>
          <w:lang w:val="el-GR"/>
        </w:rPr>
        <w:t>48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,</w:t>
      </w:r>
      <w:r w:rsidR="00A37F11" w:rsidRPr="00A37F11">
        <w:rPr>
          <w:rFonts w:ascii="Verdana" w:hAnsi="Verdana" w:cs="Arial"/>
          <w:sz w:val="18"/>
          <w:szCs w:val="18"/>
          <w:lang w:val="el-GR"/>
        </w:rPr>
        <w:t>9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A37F11" w:rsidRPr="00A37F11">
        <w:rPr>
          <w:rFonts w:ascii="Verdana" w:hAnsi="Verdana" w:cs="Arial"/>
          <w:sz w:val="18"/>
          <w:szCs w:val="18"/>
          <w:lang w:val="el-GR"/>
        </w:rPr>
        <w:t>58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,</w:t>
      </w:r>
      <w:r w:rsidR="00A37F11" w:rsidRPr="00A37F11">
        <w:rPr>
          <w:rFonts w:ascii="Verdana" w:hAnsi="Verdana" w:cs="Arial"/>
          <w:sz w:val="18"/>
          <w:szCs w:val="18"/>
          <w:lang w:val="el-GR"/>
        </w:rPr>
        <w:t>8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2023.</w:t>
      </w:r>
    </w:p>
    <w:p w14:paraId="3B954B6D" w14:textId="77777777" w:rsidR="009D4D7F" w:rsidRPr="009D4D7F" w:rsidRDefault="009D4D7F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6E812E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D5EB5C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62C90" w14:textId="3A59D9D0" w:rsidR="00F56907" w:rsidRPr="00AE1352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E1352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την περίοδο </w:t>
      </w:r>
      <w:r w:rsidR="00346E32" w:rsidRPr="00346E32">
        <w:rPr>
          <w:rFonts w:ascii="Verdana" w:hAnsi="Verdana" w:cs="Arial"/>
          <w:sz w:val="18"/>
          <w:szCs w:val="18"/>
          <w:lang w:val="el-GR"/>
        </w:rPr>
        <w:t>Οκτωβρίου-Δεκεμβρίου</w:t>
      </w:r>
      <w:r w:rsidR="005C0F09" w:rsidRPr="005C0F09">
        <w:rPr>
          <w:rFonts w:ascii="Verdana" w:hAnsi="Verdana" w:cs="Arial"/>
          <w:sz w:val="18"/>
          <w:szCs w:val="18"/>
          <w:lang w:val="el-GR"/>
        </w:rPr>
        <w:t xml:space="preserve"> 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2024</w:t>
      </w:r>
      <w:r w:rsidR="00772100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EA120D">
        <w:rPr>
          <w:rFonts w:ascii="Verdana" w:hAnsi="Verdana" w:cs="Arial"/>
          <w:sz w:val="18"/>
          <w:szCs w:val="18"/>
          <w:lang w:val="el-GR"/>
        </w:rPr>
        <w:t>143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1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A120D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EA120D">
        <w:rPr>
          <w:rFonts w:ascii="Verdana" w:hAnsi="Verdana" w:cs="Arial"/>
          <w:sz w:val="18"/>
          <w:szCs w:val="18"/>
          <w:lang w:val="el-GR"/>
        </w:rPr>
        <w:t>4</w:t>
      </w:r>
      <w:r w:rsidR="00AE1352" w:rsidRPr="00AE1352">
        <w:rPr>
          <w:rFonts w:ascii="Verdana" w:hAnsi="Verdana" w:cs="Arial"/>
          <w:sz w:val="18"/>
          <w:szCs w:val="18"/>
          <w:lang w:val="el-GR"/>
        </w:rPr>
        <w:t>.</w:t>
      </w:r>
      <w:r w:rsidR="005C0F09">
        <w:rPr>
          <w:rFonts w:ascii="Verdana" w:hAnsi="Verdana" w:cs="Arial"/>
          <w:sz w:val="18"/>
          <w:szCs w:val="18"/>
          <w:lang w:val="el-GR"/>
        </w:rPr>
        <w:t>09</w:t>
      </w:r>
      <w:r w:rsidR="00EA120D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A120D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>.</w:t>
      </w:r>
      <w:r w:rsidR="00EA120D">
        <w:rPr>
          <w:rFonts w:ascii="Verdana" w:hAnsi="Verdana" w:cs="Arial"/>
          <w:sz w:val="18"/>
          <w:szCs w:val="18"/>
          <w:lang w:val="el-GR"/>
        </w:rPr>
        <w:t>953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FF87011" w14:textId="77777777" w:rsidR="00F56907" w:rsidRPr="00C77ACF" w:rsidRDefault="00F56907" w:rsidP="00F5690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8ADEDFB" w14:textId="3056E9C3" w:rsidR="005C0F09" w:rsidRPr="007F73FF" w:rsidRDefault="00F56907" w:rsidP="005C0F09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F73FF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EA120D">
        <w:rPr>
          <w:rFonts w:ascii="Verdana" w:hAnsi="Verdana" w:cs="Arial"/>
          <w:sz w:val="18"/>
          <w:szCs w:val="18"/>
          <w:lang w:val="el-GR"/>
        </w:rPr>
        <w:t>88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9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A120D">
        <w:rPr>
          <w:rFonts w:ascii="Verdana" w:hAnsi="Verdana" w:cs="Arial"/>
          <w:sz w:val="18"/>
          <w:szCs w:val="18"/>
          <w:lang w:val="el-GR"/>
        </w:rPr>
        <w:t>6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3</w:t>
      </w:r>
      <w:r w:rsidRPr="007F73FF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5C0F09">
        <w:rPr>
          <w:rFonts w:ascii="Verdana" w:hAnsi="Verdana" w:cs="Arial"/>
          <w:sz w:val="18"/>
          <w:szCs w:val="18"/>
          <w:lang w:val="el-GR"/>
        </w:rPr>
        <w:t>5</w:t>
      </w:r>
      <w:r w:rsidR="00EA120D">
        <w:rPr>
          <w:rFonts w:ascii="Verdana" w:hAnsi="Verdana" w:cs="Arial"/>
          <w:sz w:val="18"/>
          <w:szCs w:val="18"/>
          <w:lang w:val="el-GR"/>
        </w:rPr>
        <w:t>00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4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€1.</w:t>
      </w:r>
      <w:r w:rsidR="00EA120D">
        <w:rPr>
          <w:rFonts w:ascii="Verdana" w:hAnsi="Verdana" w:cs="Arial"/>
          <w:sz w:val="18"/>
          <w:szCs w:val="18"/>
          <w:lang w:val="el-GR"/>
        </w:rPr>
        <w:t>411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5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εκ. το </w:t>
      </w:r>
      <w:r w:rsidR="00346E32" w:rsidRPr="00346E32">
        <w:rPr>
          <w:rFonts w:ascii="Verdana" w:hAnsi="Verdana" w:cs="Arial"/>
          <w:sz w:val="18"/>
          <w:szCs w:val="18"/>
          <w:lang w:val="el-GR"/>
        </w:rPr>
        <w:t>τέταρτο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7F73FF">
        <w:rPr>
          <w:rFonts w:ascii="Verdana" w:hAnsi="Verdana" w:cs="Arial"/>
          <w:sz w:val="18"/>
          <w:szCs w:val="18"/>
          <w:lang w:val="el-GR"/>
        </w:rPr>
        <w:t>3</w:t>
      </w:r>
      <w:r w:rsidRPr="007F73FF">
        <w:rPr>
          <w:rFonts w:ascii="Verdana" w:hAnsi="Verdana" w:cs="Arial"/>
          <w:sz w:val="18"/>
          <w:szCs w:val="18"/>
          <w:lang w:val="el-GR"/>
        </w:rPr>
        <w:t>. Οι απολαβές προσωπικού (συμπεριλαμβανομένων τεκμαρτών κοινωνικών εισφορών και συντάξεων δημοσίων υπαλλήλων) αυξήθηκαν κατά €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5</w:t>
      </w:r>
      <w:r w:rsidR="005C0F09">
        <w:rPr>
          <w:rFonts w:ascii="Verdana" w:hAnsi="Verdana" w:cs="Arial"/>
          <w:sz w:val="18"/>
          <w:szCs w:val="18"/>
          <w:lang w:val="el-GR"/>
        </w:rPr>
        <w:t>4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2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A120D">
        <w:rPr>
          <w:rFonts w:ascii="Verdana" w:hAnsi="Verdana" w:cs="Arial"/>
          <w:sz w:val="18"/>
          <w:szCs w:val="18"/>
          <w:lang w:val="el-GR"/>
        </w:rPr>
        <w:t>4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8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€</w:t>
      </w:r>
      <w:r w:rsidR="00EA120D">
        <w:rPr>
          <w:rFonts w:ascii="Verdana" w:hAnsi="Verdana" w:cs="Arial"/>
          <w:sz w:val="18"/>
          <w:szCs w:val="18"/>
          <w:lang w:val="el-GR"/>
        </w:rPr>
        <w:t>1.173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9</w:t>
      </w:r>
      <w:r w:rsidR="00A80828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EA120D">
        <w:rPr>
          <w:rFonts w:ascii="Verdana" w:hAnsi="Verdana" w:cs="Arial"/>
          <w:sz w:val="18"/>
          <w:szCs w:val="18"/>
          <w:lang w:val="el-GR"/>
        </w:rPr>
        <w:t>1.119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7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C8321D" w:rsidRPr="007F73FF">
        <w:rPr>
          <w:rFonts w:ascii="Verdana" w:hAnsi="Verdana" w:cs="Arial"/>
          <w:sz w:val="18"/>
          <w:szCs w:val="18"/>
          <w:lang w:val="el-GR"/>
        </w:rPr>
        <w:t>3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Η ενδιάμεση ανάλωση αυξήθηκε κατά €</w:t>
      </w:r>
      <w:r w:rsidR="00EA120D">
        <w:rPr>
          <w:rFonts w:ascii="Verdana" w:hAnsi="Verdana" w:cs="Arial"/>
          <w:sz w:val="18"/>
          <w:szCs w:val="18"/>
          <w:lang w:val="el-GR"/>
        </w:rPr>
        <w:t>98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2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C0F09">
        <w:rPr>
          <w:rFonts w:ascii="Verdana" w:hAnsi="Verdana" w:cs="Arial"/>
          <w:sz w:val="18"/>
          <w:szCs w:val="18"/>
          <w:lang w:val="el-GR"/>
        </w:rPr>
        <w:t>2</w:t>
      </w:r>
      <w:r w:rsidR="00EA120D">
        <w:rPr>
          <w:rFonts w:ascii="Verdana" w:hAnsi="Verdana" w:cs="Arial"/>
          <w:sz w:val="18"/>
          <w:szCs w:val="18"/>
          <w:lang w:val="el-GR"/>
        </w:rPr>
        <w:t>3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0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%) και ανήλθε στα €</w:t>
      </w:r>
      <w:r w:rsidR="00EA120D">
        <w:rPr>
          <w:rFonts w:ascii="Verdana" w:hAnsi="Verdana" w:cs="Arial"/>
          <w:sz w:val="18"/>
          <w:szCs w:val="18"/>
          <w:lang w:val="el-GR"/>
        </w:rPr>
        <w:t>524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6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5C6D84" w:rsidRPr="005C6D84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€</w:t>
      </w:r>
      <w:r w:rsidR="00EA120D">
        <w:rPr>
          <w:rFonts w:ascii="Verdana" w:hAnsi="Verdana" w:cs="Arial"/>
          <w:sz w:val="18"/>
          <w:szCs w:val="18"/>
          <w:lang w:val="el-GR"/>
        </w:rPr>
        <w:t>426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4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6D5A41" w:rsidRPr="006D5A41">
        <w:rPr>
          <w:rFonts w:ascii="Verdana" w:hAnsi="Verdana" w:cs="Arial"/>
          <w:sz w:val="18"/>
          <w:szCs w:val="18"/>
          <w:lang w:val="el-GR"/>
        </w:rPr>
        <w:t>τέταρτο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2023.</w:t>
      </w:r>
      <w:r w:rsidR="007F73FF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="005C0F09">
        <w:rPr>
          <w:rFonts w:ascii="Verdana" w:hAnsi="Verdana" w:cs="Arial"/>
          <w:sz w:val="18"/>
          <w:szCs w:val="18"/>
          <w:lang w:val="el-GR"/>
        </w:rPr>
        <w:t>Ο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ι επιδοτήσεις </w:t>
      </w:r>
      <w:r w:rsidR="005C0F09">
        <w:rPr>
          <w:rFonts w:ascii="Verdana" w:hAnsi="Verdana" w:cs="Arial"/>
          <w:sz w:val="18"/>
          <w:szCs w:val="18"/>
          <w:lang w:val="el-GR"/>
        </w:rPr>
        <w:t>αυξή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θηκαν κατά €</w:t>
      </w:r>
      <w:r w:rsidR="00EA120D">
        <w:rPr>
          <w:rFonts w:ascii="Verdana" w:hAnsi="Verdana" w:cs="Arial"/>
          <w:sz w:val="18"/>
          <w:szCs w:val="18"/>
          <w:lang w:val="el-GR"/>
        </w:rPr>
        <w:t>7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6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C0F09">
        <w:rPr>
          <w:rFonts w:ascii="Verdana" w:hAnsi="Verdana" w:cs="Arial"/>
          <w:sz w:val="18"/>
          <w:szCs w:val="18"/>
          <w:lang w:val="el-GR"/>
        </w:rPr>
        <w:t>+</w:t>
      </w:r>
      <w:r w:rsidR="00EA120D">
        <w:rPr>
          <w:rFonts w:ascii="Verdana" w:hAnsi="Verdana" w:cs="Arial"/>
          <w:sz w:val="18"/>
          <w:szCs w:val="18"/>
          <w:lang w:val="el-GR"/>
        </w:rPr>
        <w:t>15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2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5C0F09">
        <w:rPr>
          <w:rFonts w:ascii="Verdana" w:hAnsi="Verdana" w:cs="Arial"/>
          <w:sz w:val="18"/>
          <w:szCs w:val="18"/>
          <w:lang w:val="el-GR"/>
        </w:rPr>
        <w:t>ανήλθαν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EA120D">
        <w:rPr>
          <w:rFonts w:ascii="Verdana" w:hAnsi="Verdana" w:cs="Arial"/>
          <w:sz w:val="18"/>
          <w:szCs w:val="18"/>
          <w:lang w:val="el-GR"/>
        </w:rPr>
        <w:t>57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7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A120D">
        <w:rPr>
          <w:rFonts w:ascii="Verdana" w:hAnsi="Verdana" w:cs="Arial"/>
          <w:sz w:val="18"/>
          <w:szCs w:val="18"/>
          <w:lang w:val="el-GR"/>
        </w:rPr>
        <w:t>50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1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6D5A41" w:rsidRPr="006D5A41">
        <w:rPr>
          <w:rFonts w:ascii="Verdana" w:hAnsi="Verdana" w:cs="Arial"/>
          <w:sz w:val="18"/>
          <w:szCs w:val="18"/>
          <w:lang w:val="el-GR"/>
        </w:rPr>
        <w:t>αντίστοιχο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2023.</w:t>
      </w:r>
      <w:r w:rsidR="00EA120D" w:rsidRPr="00EA120D">
        <w:rPr>
          <w:rFonts w:ascii="Verdana" w:hAnsi="Verdana" w:cs="Arial"/>
          <w:sz w:val="18"/>
          <w:szCs w:val="18"/>
          <w:lang w:val="el-GR"/>
        </w:rPr>
        <w:t xml:space="preserve"> 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Το εισόδημα περιουσίας πληρωτέο </w:t>
      </w:r>
      <w:r w:rsidR="00EA120D">
        <w:rPr>
          <w:rFonts w:ascii="Verdana" w:hAnsi="Verdana" w:cs="Arial"/>
          <w:sz w:val="18"/>
          <w:szCs w:val="18"/>
          <w:lang w:val="el-GR"/>
        </w:rPr>
        <w:t>αυξή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θηκε κατά €</w:t>
      </w:r>
      <w:r w:rsidR="00EA120D">
        <w:rPr>
          <w:rFonts w:ascii="Verdana" w:hAnsi="Verdana" w:cs="Arial"/>
          <w:sz w:val="18"/>
          <w:szCs w:val="18"/>
          <w:lang w:val="el-GR"/>
        </w:rPr>
        <w:t>6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3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EA120D" w:rsidRPr="005C0F09">
        <w:rPr>
          <w:lang w:val="el-GR"/>
        </w:rPr>
        <w:t xml:space="preserve"> 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(</w:t>
      </w:r>
      <w:r w:rsidR="00EA120D">
        <w:rPr>
          <w:rFonts w:ascii="Verdana" w:hAnsi="Verdana" w:cs="Arial"/>
          <w:sz w:val="18"/>
          <w:szCs w:val="18"/>
          <w:lang w:val="el-GR"/>
        </w:rPr>
        <w:t>+6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,6%) και </w:t>
      </w:r>
      <w:r w:rsidR="00EA120D">
        <w:rPr>
          <w:rFonts w:ascii="Verdana" w:hAnsi="Verdana" w:cs="Arial"/>
          <w:sz w:val="18"/>
          <w:szCs w:val="18"/>
          <w:lang w:val="el-GR"/>
        </w:rPr>
        <w:t>ανήλθε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6E58E9">
        <w:rPr>
          <w:rFonts w:ascii="Verdana" w:hAnsi="Verdana" w:cs="Arial"/>
          <w:sz w:val="18"/>
          <w:szCs w:val="18"/>
          <w:lang w:val="el-GR"/>
        </w:rPr>
        <w:t>100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6E58E9">
        <w:rPr>
          <w:rFonts w:ascii="Verdana" w:hAnsi="Verdana" w:cs="Arial"/>
          <w:sz w:val="18"/>
          <w:szCs w:val="18"/>
          <w:lang w:val="el-GR"/>
        </w:rPr>
        <w:t>7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6E58E9">
        <w:rPr>
          <w:rFonts w:ascii="Verdana" w:hAnsi="Verdana" w:cs="Arial"/>
          <w:sz w:val="18"/>
          <w:szCs w:val="18"/>
          <w:lang w:val="el-GR"/>
        </w:rPr>
        <w:t>94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6E58E9">
        <w:rPr>
          <w:rFonts w:ascii="Verdana" w:hAnsi="Verdana" w:cs="Arial"/>
          <w:sz w:val="18"/>
          <w:szCs w:val="18"/>
          <w:lang w:val="el-GR"/>
        </w:rPr>
        <w:t>4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EA120D" w:rsidRPr="00346E32">
        <w:rPr>
          <w:rFonts w:ascii="Verdana" w:hAnsi="Verdana" w:cs="Arial"/>
          <w:sz w:val="18"/>
          <w:szCs w:val="18"/>
          <w:lang w:val="el-GR"/>
        </w:rPr>
        <w:t>τέταρτο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2023.</w:t>
      </w:r>
    </w:p>
    <w:p w14:paraId="138F64DE" w14:textId="77777777" w:rsidR="005C0F09" w:rsidRPr="007F73FF" w:rsidRDefault="005C0F09" w:rsidP="005C0F09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50A5979" w14:textId="48E0F275" w:rsidR="007E0F0C" w:rsidRDefault="007F73FF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A2C7E">
        <w:rPr>
          <w:rFonts w:ascii="Verdana" w:hAnsi="Verdana" w:cs="Arial"/>
          <w:sz w:val="18"/>
          <w:szCs w:val="18"/>
          <w:lang w:val="el-GR"/>
        </w:rPr>
        <w:t>Ο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λογαριασμός κεφαλαίου </w:t>
      </w:r>
      <w:r w:rsidR="005C0F09" w:rsidRPr="00FA2C7E">
        <w:rPr>
          <w:rFonts w:ascii="Verdana" w:hAnsi="Verdana" w:cs="Arial"/>
          <w:sz w:val="18"/>
          <w:szCs w:val="18"/>
          <w:lang w:val="el-GR"/>
        </w:rPr>
        <w:t>μειώ</w:t>
      </w:r>
      <w:r w:rsidR="006A79A2" w:rsidRPr="00FA2C7E">
        <w:rPr>
          <w:rFonts w:ascii="Verdana" w:hAnsi="Verdana" w:cs="Arial"/>
          <w:sz w:val="18"/>
          <w:szCs w:val="18"/>
          <w:lang w:val="el-GR"/>
        </w:rPr>
        <w:t>θηκε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873BDD" w:rsidRPr="00FA2C7E">
        <w:rPr>
          <w:rFonts w:ascii="Verdana" w:hAnsi="Verdana" w:cs="Arial"/>
          <w:sz w:val="18"/>
          <w:szCs w:val="18"/>
          <w:lang w:val="el-GR"/>
        </w:rPr>
        <w:t>9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873BDD" w:rsidRPr="00FA2C7E">
        <w:rPr>
          <w:rFonts w:ascii="Verdana" w:hAnsi="Verdana" w:cs="Arial"/>
          <w:sz w:val="18"/>
          <w:szCs w:val="18"/>
          <w:lang w:val="el-GR"/>
        </w:rPr>
        <w:t>3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C0F09" w:rsidRPr="00FA2C7E">
        <w:rPr>
          <w:rFonts w:ascii="Verdana" w:hAnsi="Verdana" w:cs="Arial"/>
          <w:sz w:val="18"/>
          <w:szCs w:val="18"/>
          <w:lang w:val="el-GR"/>
        </w:rPr>
        <w:t>-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1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9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5C0F09" w:rsidRPr="00FA2C7E">
        <w:rPr>
          <w:rFonts w:ascii="Verdana" w:hAnsi="Verdana" w:cs="Arial"/>
          <w:sz w:val="18"/>
          <w:szCs w:val="18"/>
          <w:lang w:val="el-GR"/>
        </w:rPr>
        <w:t>περιορίστηκε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486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6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(€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425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4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61</w:t>
      </w:r>
      <w:r w:rsidR="00A80EEC" w:rsidRPr="00FA2C7E">
        <w:rPr>
          <w:rFonts w:ascii="Verdana" w:hAnsi="Verdana" w:cs="Arial"/>
          <w:sz w:val="18"/>
          <w:szCs w:val="18"/>
          <w:lang w:val="el-GR"/>
        </w:rPr>
        <w:t>,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2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σε σύγκριση με €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495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9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107EB8" w:rsidRPr="00FA2C7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FA2C7E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(€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444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2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51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7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το </w:t>
      </w:r>
      <w:r w:rsidR="006A79A2" w:rsidRPr="00FA2C7E">
        <w:rPr>
          <w:rFonts w:ascii="Verdana" w:hAnsi="Verdana" w:cs="Arial"/>
          <w:sz w:val="18"/>
          <w:szCs w:val="18"/>
          <w:lang w:val="el-GR"/>
        </w:rPr>
        <w:t>αντίστοιχο</w:t>
      </w:r>
      <w:r w:rsidR="0075454E" w:rsidRPr="00FA2C7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C8321D" w:rsidRPr="00FA2C7E">
        <w:rPr>
          <w:rFonts w:ascii="Verdana" w:hAnsi="Verdana" w:cs="Arial"/>
          <w:sz w:val="18"/>
          <w:szCs w:val="18"/>
          <w:lang w:val="el-GR"/>
        </w:rPr>
        <w:t>3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.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AFE0D92" w14:textId="77777777" w:rsidR="007F73FF" w:rsidRDefault="007F73FF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0CC35E" w14:textId="0555967A" w:rsidR="007F73FF" w:rsidRPr="007F73FF" w:rsidRDefault="006E58E9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3BDD">
        <w:rPr>
          <w:rFonts w:ascii="Verdana" w:hAnsi="Verdana" w:cs="Arial"/>
          <w:sz w:val="18"/>
          <w:szCs w:val="18"/>
          <w:lang w:val="el-GR"/>
        </w:rPr>
        <w:t>Οι λοιπές τρέχουσες δαπάνες μειώθηκαν κατά €102,7 εκ. (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-28</w:t>
      </w:r>
      <w:r w:rsidRPr="00873BDD">
        <w:rPr>
          <w:rFonts w:ascii="Verdana" w:hAnsi="Verdana" w:cs="Arial"/>
          <w:sz w:val="18"/>
          <w:szCs w:val="18"/>
          <w:lang w:val="el-GR"/>
        </w:rPr>
        <w:t>,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9</w:t>
      </w:r>
      <w:r w:rsidRPr="00873BD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873BDD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252</w:t>
      </w:r>
      <w:r w:rsidRPr="00873BDD">
        <w:rPr>
          <w:rFonts w:ascii="Verdana" w:hAnsi="Verdana" w:cs="Arial"/>
          <w:sz w:val="18"/>
          <w:szCs w:val="18"/>
          <w:lang w:val="el-GR"/>
        </w:rPr>
        <w:t>,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5</w:t>
      </w:r>
      <w:r w:rsidRPr="00873BD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355</w:t>
      </w:r>
      <w:r w:rsidRPr="00873BDD">
        <w:rPr>
          <w:rFonts w:ascii="Verdana" w:hAnsi="Verdana" w:cs="Arial"/>
          <w:sz w:val="18"/>
          <w:szCs w:val="18"/>
          <w:lang w:val="el-GR"/>
        </w:rPr>
        <w:t>,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2</w:t>
      </w:r>
      <w:r w:rsidRPr="00873BDD">
        <w:rPr>
          <w:rFonts w:ascii="Verdana" w:hAnsi="Verdana" w:cs="Arial"/>
          <w:sz w:val="18"/>
          <w:szCs w:val="18"/>
          <w:lang w:val="el-GR"/>
        </w:rPr>
        <w:t xml:space="preserve"> εκ. το τέταρτο τρίμηνο του 2023.</w:t>
      </w:r>
    </w:p>
    <w:p w14:paraId="074E419B" w14:textId="77777777" w:rsidR="00921DB1" w:rsidRPr="005F7000" w:rsidRDefault="00921DB1" w:rsidP="00921DB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379EDD" w14:textId="77777777" w:rsidR="00921DB1" w:rsidRPr="005F7000" w:rsidRDefault="00921DB1" w:rsidP="00921DB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D36EE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0B450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B0BF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867B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F041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5A59F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8D4B5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BB27E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4E70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845555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2D0E7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9876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3609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CE60D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B04F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AB74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69E6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86325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0E1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B6B8A5" w14:textId="77777777" w:rsidR="00DD4950" w:rsidRDefault="00DD4950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B62598" w14:textId="77777777" w:rsidR="00DD4950" w:rsidRDefault="00DD4950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012F6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D3D23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36"/>
        <w:gridCol w:w="1361"/>
      </w:tblGrid>
      <w:tr w:rsidR="003360E9" w:rsidRPr="003360E9" w14:paraId="40AA2DFC" w14:textId="77777777" w:rsidTr="00210922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4DFF968B" w14:textId="11C1A613" w:rsidR="008958C5" w:rsidRPr="003360E9" w:rsidRDefault="00700B69" w:rsidP="00700B69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  <w:r w:rsidR="00246AAA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613F1F86" w14:textId="77777777" w:rsidR="008958C5" w:rsidRPr="003360E9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4DA9327E" w14:textId="77777777" w:rsidR="008958C5" w:rsidRPr="003360E9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6F02EB4E" w14:textId="77777777" w:rsidR="008958C5" w:rsidRPr="003360E9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366092"/>
            </w:tcBorders>
          </w:tcPr>
          <w:p w14:paraId="6475FB8E" w14:textId="77777777" w:rsidR="008958C5" w:rsidRPr="003360E9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366092"/>
            </w:tcBorders>
          </w:tcPr>
          <w:p w14:paraId="5E09FFE0" w14:textId="681E10C3" w:rsidR="008958C5" w:rsidRPr="003360E9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3360E9" w:rsidRPr="003360E9" w14:paraId="38EC5D1B" w14:textId="77777777" w:rsidTr="00210922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366092"/>
            </w:tcBorders>
            <w:vAlign w:val="center"/>
          </w:tcPr>
          <w:p w14:paraId="5BB2EED1" w14:textId="3C6E210E" w:rsidR="00B97206" w:rsidRPr="003360E9" w:rsidRDefault="00B97206" w:rsidP="00B9720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BA6BF0E" w14:textId="20CD2D06" w:rsidR="00B97206" w:rsidRPr="003360E9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36" w:type="dxa"/>
            <w:tcBorders>
              <w:top w:val="single" w:sz="4" w:space="0" w:color="366092"/>
            </w:tcBorders>
          </w:tcPr>
          <w:p w14:paraId="47E15131" w14:textId="77777777" w:rsidR="00B97206" w:rsidRPr="003360E9" w:rsidRDefault="00B97206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</w:tcBorders>
            <w:vAlign w:val="center"/>
          </w:tcPr>
          <w:p w14:paraId="26FC5241" w14:textId="028E4084" w:rsidR="00B97206" w:rsidRPr="003360E9" w:rsidRDefault="00B97206" w:rsidP="007A174A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3360E9" w:rsidRPr="003360E9" w14:paraId="78A7439D" w14:textId="77777777" w:rsidTr="00210922">
        <w:trPr>
          <w:trHeight w:val="510"/>
          <w:jc w:val="center"/>
        </w:trPr>
        <w:tc>
          <w:tcPr>
            <w:tcW w:w="4196" w:type="dxa"/>
            <w:vMerge/>
          </w:tcPr>
          <w:p w14:paraId="5EBCB850" w14:textId="32570ABE" w:rsidR="00B97206" w:rsidRPr="003360E9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4C23182F" w14:textId="4F41AB65" w:rsidR="00B97206" w:rsidRPr="003360E9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223F971C" w14:textId="0E5485C8" w:rsidR="00B97206" w:rsidRPr="003360E9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  <w:vAlign w:val="center"/>
          </w:tcPr>
          <w:p w14:paraId="7C94BEFF" w14:textId="6D2F4156" w:rsidR="00B97206" w:rsidRPr="003360E9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36" w:type="dxa"/>
          </w:tcPr>
          <w:p w14:paraId="281DAF43" w14:textId="77777777" w:rsidR="00B97206" w:rsidRPr="003360E9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366092"/>
            </w:tcBorders>
            <w:vAlign w:val="center"/>
          </w:tcPr>
          <w:p w14:paraId="717034D2" w14:textId="5C8A74F4" w:rsidR="00B97206" w:rsidRPr="003360E9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3360E9" w:rsidRPr="003360E9" w14:paraId="14E5578D" w14:textId="77777777" w:rsidTr="00210922">
        <w:trPr>
          <w:trHeight w:val="624"/>
          <w:jc w:val="center"/>
        </w:trPr>
        <w:tc>
          <w:tcPr>
            <w:tcW w:w="4196" w:type="dxa"/>
            <w:vMerge/>
            <w:tcBorders>
              <w:bottom w:val="single" w:sz="4" w:space="0" w:color="366092"/>
            </w:tcBorders>
          </w:tcPr>
          <w:p w14:paraId="43D9CA75" w14:textId="77777777" w:rsidR="00B97206" w:rsidRPr="003360E9" w:rsidRDefault="00B97206" w:rsidP="00886F08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538BE0D" w14:textId="3CCA1DF4" w:rsidR="00B97206" w:rsidRPr="003360E9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Τ</w:t>
            </w:r>
            <w:r w:rsidR="00B73189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="00B97206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    </w:t>
            </w:r>
            <w:r w:rsidR="00B97206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C8321D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3CDFC081" w14:textId="64F45DDB" w:rsidR="0062331A" w:rsidRPr="003360E9" w:rsidRDefault="007B6A76" w:rsidP="0062331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Τ</w:t>
            </w:r>
            <w:r w:rsidR="00B73189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="00D363D3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    </w:t>
            </w:r>
            <w:r w:rsidR="00B97206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C8321D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  <w:vAlign w:val="center"/>
          </w:tcPr>
          <w:p w14:paraId="6EE8EF26" w14:textId="558391B8" w:rsidR="00B97206" w:rsidRPr="003360E9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Τ</w:t>
            </w:r>
            <w:r w:rsidR="00B73189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="00B97206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</w:t>
            </w:r>
            <w:r w:rsidR="00C8321D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="00B97206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/2</w:t>
            </w:r>
            <w:r w:rsidR="00C8321D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23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ED2BE84" w14:textId="77777777" w:rsidR="00B97206" w:rsidRPr="003360E9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92B8049" w14:textId="71B33827" w:rsidR="00B97206" w:rsidRPr="003360E9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Τ</w:t>
            </w:r>
            <w:r w:rsidR="00B73189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="00B97206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</w:t>
            </w:r>
            <w:r w:rsidR="00C8321D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="00B97206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/2</w:t>
            </w:r>
            <w:r w:rsidR="00C8321D"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3360E9" w:rsidRPr="003360E9" w14:paraId="5B186952" w14:textId="77777777" w:rsidTr="00210922">
        <w:trPr>
          <w:trHeight w:val="397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3D5C6668" w14:textId="64C41064" w:rsidR="008F0E8D" w:rsidRPr="003360E9" w:rsidRDefault="008F0E8D" w:rsidP="008F0E8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shd w:val="clear" w:color="000000" w:fill="FFFFFF"/>
            <w:vAlign w:val="center"/>
          </w:tcPr>
          <w:p w14:paraId="1CD187BD" w14:textId="43E3F085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3.835,4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2F5496" w:themeColor="accent1" w:themeShade="BF"/>
            </w:tcBorders>
            <w:vAlign w:val="center"/>
          </w:tcPr>
          <w:p w14:paraId="2D511CFA" w14:textId="7A4F3D9F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4.090,4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2F5496" w:themeColor="accent1" w:themeShade="BF"/>
            </w:tcBorders>
            <w:vAlign w:val="center"/>
          </w:tcPr>
          <w:p w14:paraId="1BD168F5" w14:textId="49D5E107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255,0</w:t>
            </w:r>
          </w:p>
        </w:tc>
        <w:tc>
          <w:tcPr>
            <w:tcW w:w="236" w:type="dxa"/>
            <w:tcBorders>
              <w:top w:val="single" w:sz="4" w:space="0" w:color="366092"/>
            </w:tcBorders>
            <w:vAlign w:val="center"/>
          </w:tcPr>
          <w:p w14:paraId="0C6928BD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4BB43314" w14:textId="577E2120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6,6</w:t>
            </w:r>
          </w:p>
        </w:tc>
      </w:tr>
      <w:tr w:rsidR="003360E9" w:rsidRPr="003360E9" w14:paraId="7449ADE1" w14:textId="77777777" w:rsidTr="008F0E8D">
        <w:trPr>
          <w:trHeight w:val="510"/>
          <w:jc w:val="center"/>
        </w:trPr>
        <w:tc>
          <w:tcPr>
            <w:tcW w:w="4196" w:type="dxa"/>
            <w:vAlign w:val="center"/>
          </w:tcPr>
          <w:p w14:paraId="528D4D93" w14:textId="2D0AD3A3" w:rsidR="008F0E8D" w:rsidRPr="003360E9" w:rsidRDefault="008F0E8D" w:rsidP="008F0E8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1E5D1A1" w14:textId="79BEC91B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1.182,3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8A7BD12" w14:textId="7A246179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1.158,6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60D1C21" w14:textId="3E93158F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-23,7</w:t>
            </w:r>
          </w:p>
        </w:tc>
        <w:tc>
          <w:tcPr>
            <w:tcW w:w="236" w:type="dxa"/>
            <w:vAlign w:val="center"/>
          </w:tcPr>
          <w:p w14:paraId="470FDC3E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FFCE77F" w14:textId="7E0025AF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-2,0</w:t>
            </w:r>
          </w:p>
        </w:tc>
      </w:tr>
      <w:tr w:rsidR="003360E9" w:rsidRPr="003360E9" w14:paraId="337283EE" w14:textId="77777777" w:rsidTr="008F0E8D">
        <w:trPr>
          <w:trHeight w:val="284"/>
          <w:jc w:val="center"/>
        </w:trPr>
        <w:tc>
          <w:tcPr>
            <w:tcW w:w="4196" w:type="dxa"/>
            <w:vAlign w:val="center"/>
          </w:tcPr>
          <w:p w14:paraId="49A07A2A" w14:textId="7CDC143D" w:rsidR="008F0E8D" w:rsidRPr="003360E9" w:rsidRDefault="008F0E8D" w:rsidP="008F0E8D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C7B669D" w14:textId="5EB9231C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791,3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51C6835" w14:textId="36958E77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806,0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DD6848E" w14:textId="6E9B90C5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14,7</w:t>
            </w:r>
          </w:p>
        </w:tc>
        <w:tc>
          <w:tcPr>
            <w:tcW w:w="236" w:type="dxa"/>
            <w:vAlign w:val="center"/>
          </w:tcPr>
          <w:p w14:paraId="612F6804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29A82A7B" w14:textId="6F17C86B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1,9</w:t>
            </w:r>
          </w:p>
        </w:tc>
      </w:tr>
      <w:tr w:rsidR="003360E9" w:rsidRPr="003360E9" w14:paraId="330B61BE" w14:textId="77777777" w:rsidTr="008F0E8D">
        <w:trPr>
          <w:trHeight w:val="567"/>
          <w:jc w:val="center"/>
        </w:trPr>
        <w:tc>
          <w:tcPr>
            <w:tcW w:w="4196" w:type="dxa"/>
            <w:vAlign w:val="center"/>
          </w:tcPr>
          <w:p w14:paraId="4B3C13BB" w14:textId="7EA748A7" w:rsidR="008F0E8D" w:rsidRPr="003360E9" w:rsidRDefault="008F0E8D" w:rsidP="008F0E8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ACDD7B5" w14:textId="26E61179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936,3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5D90E60" w14:textId="3A7A34D3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1.094,0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30947A1" w14:textId="691CABC4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157,7</w:t>
            </w:r>
          </w:p>
        </w:tc>
        <w:tc>
          <w:tcPr>
            <w:tcW w:w="236" w:type="dxa"/>
            <w:vAlign w:val="center"/>
          </w:tcPr>
          <w:p w14:paraId="54E51438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660D9B4A" w14:textId="447115C9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16,8</w:t>
            </w:r>
          </w:p>
        </w:tc>
      </w:tr>
      <w:tr w:rsidR="003360E9" w:rsidRPr="003360E9" w14:paraId="76292B37" w14:textId="77777777" w:rsidTr="008F0E8D">
        <w:trPr>
          <w:trHeight w:val="340"/>
          <w:jc w:val="center"/>
        </w:trPr>
        <w:tc>
          <w:tcPr>
            <w:tcW w:w="4196" w:type="dxa"/>
            <w:vAlign w:val="center"/>
          </w:tcPr>
          <w:p w14:paraId="56B1732A" w14:textId="459E7B8D" w:rsidR="008F0E8D" w:rsidRPr="003360E9" w:rsidRDefault="008F0E8D" w:rsidP="008F0E8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09BF47C" w14:textId="2215B4D6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1.122,7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9FF3E45" w14:textId="00829590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1.287,1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004B568" w14:textId="05D001D5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164,4</w:t>
            </w:r>
          </w:p>
        </w:tc>
        <w:tc>
          <w:tcPr>
            <w:tcW w:w="236" w:type="dxa"/>
            <w:vAlign w:val="center"/>
          </w:tcPr>
          <w:p w14:paraId="4C3E5B25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FB0368B" w14:textId="3D68EFAA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14,6</w:t>
            </w:r>
          </w:p>
        </w:tc>
      </w:tr>
      <w:tr w:rsidR="003360E9" w:rsidRPr="003360E9" w14:paraId="72BB985F" w14:textId="77777777" w:rsidTr="008F0E8D">
        <w:trPr>
          <w:trHeight w:val="340"/>
          <w:jc w:val="center"/>
        </w:trPr>
        <w:tc>
          <w:tcPr>
            <w:tcW w:w="4196" w:type="dxa"/>
            <w:vAlign w:val="center"/>
          </w:tcPr>
          <w:p w14:paraId="246BCA14" w14:textId="7772CD52" w:rsidR="008F0E8D" w:rsidRPr="003360E9" w:rsidRDefault="008F0E8D" w:rsidP="008F0E8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63426B9" w14:textId="37707964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420,7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9BE6FA9" w14:textId="08C1C743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374,5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9CE61D1" w14:textId="7CBC1182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-46,2</w:t>
            </w:r>
          </w:p>
        </w:tc>
        <w:tc>
          <w:tcPr>
            <w:tcW w:w="236" w:type="dxa"/>
            <w:vAlign w:val="center"/>
          </w:tcPr>
          <w:p w14:paraId="74D7D79F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D8B43F9" w14:textId="2A2FC222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-11,0</w:t>
            </w:r>
          </w:p>
        </w:tc>
      </w:tr>
      <w:tr w:rsidR="003360E9" w:rsidRPr="003360E9" w14:paraId="74721AC2" w14:textId="77777777" w:rsidTr="008F0E8D">
        <w:trPr>
          <w:trHeight w:val="284"/>
          <w:jc w:val="center"/>
        </w:trPr>
        <w:tc>
          <w:tcPr>
            <w:tcW w:w="4196" w:type="dxa"/>
            <w:vAlign w:val="center"/>
          </w:tcPr>
          <w:p w14:paraId="21D16A73" w14:textId="057659A8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79ED9404" w14:textId="6DEE3E69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58,8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A546048" w14:textId="3E8DF901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48,9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1FE6355" w14:textId="3E4B8254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-9,9</w:t>
            </w:r>
          </w:p>
        </w:tc>
        <w:tc>
          <w:tcPr>
            <w:tcW w:w="236" w:type="dxa"/>
            <w:vAlign w:val="center"/>
          </w:tcPr>
          <w:p w14:paraId="6DAD1BC5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73557B3" w14:textId="38CE7607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-16,8</w:t>
            </w:r>
          </w:p>
        </w:tc>
      </w:tr>
      <w:tr w:rsidR="003360E9" w:rsidRPr="003360E9" w14:paraId="0E2DA397" w14:textId="77777777" w:rsidTr="008F0E8D">
        <w:trPr>
          <w:trHeight w:val="340"/>
          <w:jc w:val="center"/>
        </w:trPr>
        <w:tc>
          <w:tcPr>
            <w:tcW w:w="4196" w:type="dxa"/>
            <w:vAlign w:val="center"/>
          </w:tcPr>
          <w:p w14:paraId="5879862D" w14:textId="421CEB21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491D565F" w14:textId="2CEE3199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75,3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587552E" w14:textId="10AF7DF6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17,4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33DB70F2" w14:textId="5EEAE5DC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-57,9</w:t>
            </w:r>
          </w:p>
        </w:tc>
        <w:tc>
          <w:tcPr>
            <w:tcW w:w="236" w:type="dxa"/>
            <w:vAlign w:val="center"/>
          </w:tcPr>
          <w:p w14:paraId="5681CEC4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488C657" w14:textId="0F03869B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-76,9</w:t>
            </w:r>
          </w:p>
        </w:tc>
      </w:tr>
      <w:tr w:rsidR="003360E9" w:rsidRPr="003360E9" w14:paraId="331A9DB9" w14:textId="77777777" w:rsidTr="008F0E8D">
        <w:trPr>
          <w:trHeight w:val="284"/>
          <w:jc w:val="center"/>
        </w:trPr>
        <w:tc>
          <w:tcPr>
            <w:tcW w:w="4196" w:type="dxa"/>
            <w:vAlign w:val="center"/>
          </w:tcPr>
          <w:p w14:paraId="07E9A33D" w14:textId="08E80EEF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2928044C" w14:textId="7730E0E5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286,6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7F39A6BB" w14:textId="4777B8E9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308,2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61BE4CF1" w14:textId="1789DF87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21,7</w:t>
            </w:r>
          </w:p>
        </w:tc>
        <w:tc>
          <w:tcPr>
            <w:tcW w:w="236" w:type="dxa"/>
            <w:vAlign w:val="center"/>
          </w:tcPr>
          <w:p w14:paraId="320F7CD5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C9AA0E0" w14:textId="2C4BA658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7,6</w:t>
            </w:r>
          </w:p>
        </w:tc>
      </w:tr>
      <w:tr w:rsidR="003360E9" w:rsidRPr="003360E9" w14:paraId="231FB6C5" w14:textId="77777777" w:rsidTr="008F0E8D">
        <w:trPr>
          <w:trHeight w:val="454"/>
          <w:jc w:val="center"/>
        </w:trPr>
        <w:tc>
          <w:tcPr>
            <w:tcW w:w="4196" w:type="dxa"/>
            <w:vAlign w:val="center"/>
          </w:tcPr>
          <w:p w14:paraId="1F218EB6" w14:textId="39086C7D" w:rsidR="008F0E8D" w:rsidRPr="003360E9" w:rsidRDefault="008F0E8D" w:rsidP="008F0E8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656CA10D" w14:textId="4A1B37FF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173,4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36B4DC3" w14:textId="5BD9022A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176,2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692E3BF" w14:textId="00D53B67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236" w:type="dxa"/>
            <w:vAlign w:val="center"/>
          </w:tcPr>
          <w:p w14:paraId="5D62A482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C37C8D1" w14:textId="4B88B645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1,6</w:t>
            </w:r>
          </w:p>
        </w:tc>
      </w:tr>
      <w:tr w:rsidR="003360E9" w:rsidRPr="003360E9" w14:paraId="1A737A9D" w14:textId="77777777" w:rsidTr="008F0E8D">
        <w:trPr>
          <w:trHeight w:val="397"/>
          <w:jc w:val="center"/>
        </w:trPr>
        <w:tc>
          <w:tcPr>
            <w:tcW w:w="4196" w:type="dxa"/>
            <w:vAlign w:val="center"/>
          </w:tcPr>
          <w:p w14:paraId="12B369ED" w14:textId="7460687D" w:rsidR="008F0E8D" w:rsidRPr="003360E9" w:rsidRDefault="008F0E8D" w:rsidP="008F0E8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07F37215" w14:textId="5FCBC716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3.953,2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16C3FF6" w14:textId="1BBE43FB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4.096,4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0DE79E9" w14:textId="3C9B76C7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143,1</w:t>
            </w:r>
          </w:p>
        </w:tc>
        <w:tc>
          <w:tcPr>
            <w:tcW w:w="236" w:type="dxa"/>
            <w:vAlign w:val="center"/>
          </w:tcPr>
          <w:p w14:paraId="489BED2D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1F7CCAB" w14:textId="686003BF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3,6</w:t>
            </w:r>
          </w:p>
        </w:tc>
      </w:tr>
      <w:tr w:rsidR="003360E9" w:rsidRPr="003360E9" w14:paraId="120EDB2D" w14:textId="77777777" w:rsidTr="008F0E8D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5B339F3E" w14:textId="5D31DF9E" w:rsidR="008F0E8D" w:rsidRPr="003360E9" w:rsidRDefault="008F0E8D" w:rsidP="008F0E8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667105EE" w14:textId="7B749EE1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3.457,3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8FD77B2" w14:textId="307A57D4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3.609,8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EE5A149" w14:textId="321C0099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152,4</w:t>
            </w:r>
          </w:p>
        </w:tc>
        <w:tc>
          <w:tcPr>
            <w:tcW w:w="236" w:type="dxa"/>
            <w:vAlign w:val="center"/>
          </w:tcPr>
          <w:p w14:paraId="4F811514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A693B25" w14:textId="380B60D3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4,4</w:t>
            </w:r>
          </w:p>
        </w:tc>
      </w:tr>
      <w:tr w:rsidR="003360E9" w:rsidRPr="003360E9" w14:paraId="502E2AC0" w14:textId="77777777" w:rsidTr="008F0E8D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E4BF43E" w14:textId="2B3969D0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12E59B1C" w14:textId="5175B04C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426,4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D7C3793" w14:textId="61E47D79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524,6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16CB0EE" w14:textId="475531EE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98,2</w:t>
            </w:r>
          </w:p>
        </w:tc>
        <w:tc>
          <w:tcPr>
            <w:tcW w:w="236" w:type="dxa"/>
            <w:vAlign w:val="center"/>
          </w:tcPr>
          <w:p w14:paraId="7729DDE3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71CC92F1" w14:textId="18284B01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23,0</w:t>
            </w:r>
          </w:p>
        </w:tc>
      </w:tr>
      <w:tr w:rsidR="003360E9" w:rsidRPr="003360E9" w14:paraId="778B032D" w14:textId="77777777" w:rsidTr="008F0E8D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162AE3B1" w14:textId="23758A6B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066DABE9" w14:textId="359BF794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1.119,7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868BC5F" w14:textId="63B03A7B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1.173,9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250F613B" w14:textId="22E86519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54,2</w:t>
            </w:r>
          </w:p>
        </w:tc>
        <w:tc>
          <w:tcPr>
            <w:tcW w:w="236" w:type="dxa"/>
            <w:vAlign w:val="center"/>
          </w:tcPr>
          <w:p w14:paraId="4D599338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A11CA4E" w14:textId="0434F497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4,8</w:t>
            </w:r>
          </w:p>
        </w:tc>
      </w:tr>
      <w:tr w:rsidR="003360E9" w:rsidRPr="003360E9" w14:paraId="682FCF4C" w14:textId="77777777" w:rsidTr="008F0E8D">
        <w:trPr>
          <w:trHeight w:val="340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2B05C451" w14:textId="48D7E73A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174931B8" w14:textId="2D9DFE2A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1.411,5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E050E99" w14:textId="40C513B2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1.500,4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30DEA9C" w14:textId="3AA20D7F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88,9</w:t>
            </w:r>
          </w:p>
        </w:tc>
        <w:tc>
          <w:tcPr>
            <w:tcW w:w="236" w:type="dxa"/>
            <w:vAlign w:val="center"/>
          </w:tcPr>
          <w:p w14:paraId="210C0292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7EE3338" w14:textId="274CA47C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</w:tr>
      <w:tr w:rsidR="003360E9" w:rsidRPr="003360E9" w14:paraId="60A7BF4D" w14:textId="77777777" w:rsidTr="008F0E8D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7A28271" w14:textId="63B8B718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6073285A" w14:textId="40858AB6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94,4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CDFF5D6" w14:textId="5DDAB742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100,7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6E6F738" w14:textId="100545E0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  <w:tc>
          <w:tcPr>
            <w:tcW w:w="236" w:type="dxa"/>
            <w:vAlign w:val="center"/>
          </w:tcPr>
          <w:p w14:paraId="15A70F70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5080B56" w14:textId="6801403E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6,6</w:t>
            </w:r>
          </w:p>
        </w:tc>
      </w:tr>
      <w:tr w:rsidR="003360E9" w:rsidRPr="003360E9" w14:paraId="760FCEAF" w14:textId="77777777" w:rsidTr="008F0E8D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D307C4A" w14:textId="690B4AEE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181CE905" w14:textId="21F21300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50,1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82418E5" w14:textId="05F8341A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57,7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BDBC5E3" w14:textId="4EB7C061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236" w:type="dxa"/>
            <w:vAlign w:val="center"/>
          </w:tcPr>
          <w:p w14:paraId="6830C85F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9434DE4" w14:textId="162E169C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15,2</w:t>
            </w:r>
          </w:p>
        </w:tc>
      </w:tr>
      <w:tr w:rsidR="003360E9" w:rsidRPr="003360E9" w14:paraId="16A6A5C9" w14:textId="77777777" w:rsidTr="008F0E8D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C4334AA" w14:textId="52285D71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6948556B" w14:textId="5DB3A880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355,2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701C6DC" w14:textId="1FA7CB72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252,5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A36A95C" w14:textId="3E94A717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-102,7</w:t>
            </w:r>
          </w:p>
        </w:tc>
        <w:tc>
          <w:tcPr>
            <w:tcW w:w="236" w:type="dxa"/>
            <w:vAlign w:val="center"/>
          </w:tcPr>
          <w:p w14:paraId="5E0BF42E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BA366AD" w14:textId="2B511BF6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-28,9</w:t>
            </w:r>
          </w:p>
        </w:tc>
      </w:tr>
      <w:tr w:rsidR="003360E9" w:rsidRPr="003360E9" w14:paraId="2042A012" w14:textId="77777777" w:rsidTr="008F0E8D">
        <w:trPr>
          <w:trHeight w:val="45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D753580" w14:textId="45E1CD49" w:rsidR="008F0E8D" w:rsidRPr="003360E9" w:rsidRDefault="008F0E8D" w:rsidP="008F0E8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αλαιουχικές 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64922299" w14:textId="44850575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495,9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5464323" w14:textId="13143312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486,6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38A83B7" w14:textId="54951E7E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-9,3</w:t>
            </w:r>
          </w:p>
        </w:tc>
        <w:tc>
          <w:tcPr>
            <w:tcW w:w="236" w:type="dxa"/>
            <w:vAlign w:val="center"/>
          </w:tcPr>
          <w:p w14:paraId="73EBA977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32D13DF5" w14:textId="66083B22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-1,9</w:t>
            </w:r>
          </w:p>
        </w:tc>
      </w:tr>
      <w:tr w:rsidR="003360E9" w:rsidRPr="003360E9" w14:paraId="768B50DD" w14:textId="77777777" w:rsidTr="008F0E8D">
        <w:trPr>
          <w:trHeight w:val="45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7719360C" w14:textId="65EECE72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04" w:type="dxa"/>
            <w:vAlign w:val="center"/>
          </w:tcPr>
          <w:p w14:paraId="1D3B6804" w14:textId="34B49E6D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444,2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B122C76" w14:textId="2A639A18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425,4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3405786" w14:textId="0F7980C2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-18,8</w:t>
            </w:r>
          </w:p>
        </w:tc>
        <w:tc>
          <w:tcPr>
            <w:tcW w:w="236" w:type="dxa"/>
            <w:vAlign w:val="center"/>
          </w:tcPr>
          <w:p w14:paraId="666A9368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21A5F3EB" w14:textId="513C72F2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-4,2</w:t>
            </w:r>
          </w:p>
        </w:tc>
      </w:tr>
      <w:tr w:rsidR="003360E9" w:rsidRPr="003360E9" w14:paraId="58BA1542" w14:textId="77777777" w:rsidTr="00210922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1CA144C2" w14:textId="38D07449" w:rsidR="008F0E8D" w:rsidRPr="003360E9" w:rsidRDefault="008F0E8D" w:rsidP="008F0E8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71D79453" w14:textId="634ABC56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51,7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2F5496" w:themeColor="accent1" w:themeShade="BF"/>
            </w:tcBorders>
            <w:vAlign w:val="center"/>
          </w:tcPr>
          <w:p w14:paraId="766229C9" w14:textId="174F7ABD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61,2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366092"/>
            </w:tcBorders>
            <w:vAlign w:val="center"/>
          </w:tcPr>
          <w:p w14:paraId="2EEA0B1E" w14:textId="09DFCC85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236" w:type="dxa"/>
            <w:tcBorders>
              <w:bottom w:val="single" w:sz="4" w:space="0" w:color="366092"/>
            </w:tcBorders>
            <w:vAlign w:val="center"/>
          </w:tcPr>
          <w:p w14:paraId="63B9448E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5587E070" w14:textId="3B98B82D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18,4</w:t>
            </w:r>
          </w:p>
        </w:tc>
      </w:tr>
      <w:tr w:rsidR="003360E9" w:rsidRPr="003360E9" w14:paraId="63E4DCC5" w14:textId="77777777" w:rsidTr="00210922">
        <w:trPr>
          <w:trHeight w:val="624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5A190E4C" w14:textId="77777777" w:rsidR="008F0E8D" w:rsidRPr="003360E9" w:rsidRDefault="008F0E8D" w:rsidP="008F0E8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2BF92078" w14:textId="0E465A6C" w:rsidR="008F0E8D" w:rsidRPr="003360E9" w:rsidRDefault="008F0E8D" w:rsidP="008F0E8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vAlign w:val="center"/>
          </w:tcPr>
          <w:p w14:paraId="0F5F6B05" w14:textId="2E21C315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-117,9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366092"/>
            </w:tcBorders>
            <w:vAlign w:val="center"/>
          </w:tcPr>
          <w:p w14:paraId="5A9966F9" w14:textId="0FBDAF3F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-6,0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</w:tcBorders>
            <w:vAlign w:val="center"/>
          </w:tcPr>
          <w:p w14:paraId="4A103539" w14:textId="7AE03631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111,9</w:t>
            </w:r>
          </w:p>
        </w:tc>
        <w:tc>
          <w:tcPr>
            <w:tcW w:w="236" w:type="dxa"/>
            <w:tcBorders>
              <w:top w:val="single" w:sz="4" w:space="0" w:color="366092"/>
            </w:tcBorders>
            <w:vAlign w:val="center"/>
          </w:tcPr>
          <w:p w14:paraId="6AD6B295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498DE707" w14:textId="4981E522" w:rsidR="008F0E8D" w:rsidRPr="003360E9" w:rsidRDefault="008F0E8D" w:rsidP="008F0E8D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</w:tr>
      <w:tr w:rsidR="003360E9" w:rsidRPr="003360E9" w14:paraId="1AD7C465" w14:textId="77777777" w:rsidTr="00210922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2CED15FB" w14:textId="0B16A4C6" w:rsidR="008F0E8D" w:rsidRPr="003360E9" w:rsidRDefault="008F0E8D" w:rsidP="008F0E8D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1E7119AC" w14:textId="727DE88C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-0,4%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366092"/>
            </w:tcBorders>
            <w:vAlign w:val="center"/>
          </w:tcPr>
          <w:p w14:paraId="73F2AD01" w14:textId="30CAB18A" w:rsidR="008F0E8D" w:rsidRPr="003360E9" w:rsidRDefault="008F0E8D" w:rsidP="00210922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0,0%</w:t>
            </w:r>
          </w:p>
        </w:tc>
        <w:tc>
          <w:tcPr>
            <w:tcW w:w="1304" w:type="dxa"/>
            <w:tcBorders>
              <w:left w:val="double" w:sz="4" w:space="0" w:color="366092"/>
              <w:bottom w:val="single" w:sz="4" w:space="0" w:color="366092"/>
            </w:tcBorders>
            <w:vAlign w:val="center"/>
          </w:tcPr>
          <w:p w14:paraId="3FE3F12E" w14:textId="0B4D2B49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366092"/>
            </w:tcBorders>
            <w:vAlign w:val="center"/>
          </w:tcPr>
          <w:p w14:paraId="26A84841" w14:textId="77777777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20E8B796" w14:textId="2010687F" w:rsidR="008F0E8D" w:rsidRPr="003360E9" w:rsidRDefault="008F0E8D" w:rsidP="008F0E8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</w:tr>
    </w:tbl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02B0E9" w14:textId="2DDDD903" w:rsidR="00246AAA" w:rsidRPr="00246AAA" w:rsidRDefault="00246AAA" w:rsidP="00246A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46AAA">
        <w:rPr>
          <w:rFonts w:ascii="Verdana" w:hAnsi="Verdana" w:cs="Arial"/>
          <w:sz w:val="18"/>
          <w:szCs w:val="18"/>
          <w:lang w:val="el-GR"/>
        </w:rPr>
        <w:t>Το Δημοσιονομικό πλεόνασμα/έλλειμμα της Γενικής Κυβέρνησης για τ</w:t>
      </w:r>
      <w:r>
        <w:rPr>
          <w:rFonts w:ascii="Verdana" w:hAnsi="Verdana" w:cs="Arial"/>
          <w:sz w:val="18"/>
          <w:szCs w:val="18"/>
          <w:lang w:val="el-GR"/>
        </w:rPr>
        <w:t>ο τέταρτο τρίμηνο του 2024</w:t>
      </w:r>
      <w:r w:rsidRPr="00246AAA">
        <w:rPr>
          <w:rFonts w:ascii="Verdana" w:hAnsi="Verdana" w:cs="Arial"/>
          <w:sz w:val="18"/>
          <w:szCs w:val="18"/>
          <w:lang w:val="el-GR"/>
        </w:rPr>
        <w:t xml:space="preserve"> που παρουσιάζεται πιο πάνω αναλύεται ως εξής:</w:t>
      </w: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3360E9" w:rsidRPr="003360E9" w14:paraId="549C9B0F" w14:textId="77777777" w:rsidTr="008C7801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51584C4D" w14:textId="77777777" w:rsidR="00246AAA" w:rsidRPr="003360E9" w:rsidRDefault="00246AAA" w:rsidP="003A29A3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</w:tcPr>
          <w:p w14:paraId="437402CF" w14:textId="77777777" w:rsidR="00246AAA" w:rsidRPr="003360E9" w:rsidRDefault="00246AAA" w:rsidP="003A29A3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3360E9" w:rsidRPr="003360E9" w14:paraId="7EF6FCD2" w14:textId="77777777" w:rsidTr="008C7801">
        <w:trPr>
          <w:trHeight w:val="56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6F582D1" w14:textId="77777777" w:rsidR="00246AAA" w:rsidRPr="003360E9" w:rsidRDefault="00246AAA" w:rsidP="003A29A3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 κατά Υποτομέα Γενικής Κυβερνήσης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3A842C5" w14:textId="75AE7EEF" w:rsidR="00246AAA" w:rsidRPr="003360E9" w:rsidRDefault="00246AAA" w:rsidP="003A29A3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Τ4 2024</w:t>
            </w:r>
          </w:p>
          <w:p w14:paraId="49167E45" w14:textId="77777777" w:rsidR="00246AAA" w:rsidRPr="003360E9" w:rsidRDefault="00246AAA" w:rsidP="003A29A3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3360E9" w:rsidRPr="003360E9" w14:paraId="27ACEE06" w14:textId="77777777" w:rsidTr="008C7801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</w:tcBorders>
            <w:vAlign w:val="center"/>
          </w:tcPr>
          <w:p w14:paraId="644E09BC" w14:textId="77777777" w:rsidR="00246AAA" w:rsidRPr="003360E9" w:rsidRDefault="00246AAA" w:rsidP="003A29A3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 xml:space="preserve">Κεντρική </w:t>
            </w:r>
            <w:proofErr w:type="spellStart"/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</w:tcBorders>
            <w:vAlign w:val="center"/>
          </w:tcPr>
          <w:p w14:paraId="20D85E78" w14:textId="13C5A34D" w:rsidR="00246AAA" w:rsidRPr="003360E9" w:rsidRDefault="00246AAA" w:rsidP="003A29A3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4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44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3360E9" w:rsidRPr="003360E9" w14:paraId="631DC879" w14:textId="77777777" w:rsidTr="003A29A3">
        <w:trPr>
          <w:trHeight w:val="397"/>
          <w:jc w:val="center"/>
        </w:trPr>
        <w:tc>
          <w:tcPr>
            <w:tcW w:w="5670" w:type="dxa"/>
            <w:vAlign w:val="center"/>
          </w:tcPr>
          <w:p w14:paraId="30341A26" w14:textId="77777777" w:rsidR="00246AAA" w:rsidRPr="003360E9" w:rsidRDefault="00246AAA" w:rsidP="003A29A3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Τοπ</w:t>
            </w:r>
            <w:proofErr w:type="spellStart"/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ική</w:t>
            </w:r>
            <w:proofErr w:type="spellEnd"/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59DBDF99" w14:textId="03FAF418" w:rsidR="00246AAA" w:rsidRPr="003360E9" w:rsidRDefault="00246AAA" w:rsidP="003A29A3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-36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,1</w:t>
            </w:r>
          </w:p>
        </w:tc>
      </w:tr>
      <w:tr w:rsidR="003360E9" w:rsidRPr="003360E9" w14:paraId="1D2A6A71" w14:textId="77777777" w:rsidTr="008C7801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08A0A646" w14:textId="77777777" w:rsidR="00246AAA" w:rsidRPr="003360E9" w:rsidRDefault="00246AAA" w:rsidP="003A29A3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3360E9">
              <w:rPr>
                <w:rFonts w:ascii="Verdana" w:hAnsi="Verdana"/>
                <w:color w:val="366092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  <w:vAlign w:val="center"/>
          </w:tcPr>
          <w:p w14:paraId="16177684" w14:textId="0641A50C" w:rsidR="00246AAA" w:rsidRPr="003360E9" w:rsidRDefault="00246AAA" w:rsidP="003A29A3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474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3360E9" w:rsidRPr="003360E9" w14:paraId="483408C7" w14:textId="77777777" w:rsidTr="008C7801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F422546" w14:textId="77777777" w:rsidR="00246AAA" w:rsidRPr="003360E9" w:rsidRDefault="00246AAA" w:rsidP="003A29A3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Γενική </w:t>
            </w:r>
            <w:proofErr w:type="spellStart"/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3360E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279CDF6C" w14:textId="0C28F159" w:rsidR="00246AAA" w:rsidRPr="003360E9" w:rsidRDefault="00246AAA" w:rsidP="003A29A3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6,</w:t>
            </w: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</w:t>
            </w:r>
          </w:p>
        </w:tc>
      </w:tr>
    </w:tbl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F15939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B09FF9" w14:textId="1D27B774" w:rsidR="00761E3A" w:rsidRPr="005C4361" w:rsidRDefault="00761E3A" w:rsidP="00346E32">
      <w:pPr>
        <w:jc w:val="center"/>
        <w:rPr>
          <w:rFonts w:ascii="Verdana" w:hAnsi="Verdana" w:cs="Arial"/>
          <w:sz w:val="18"/>
          <w:szCs w:val="18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E5ACC2E" w14:textId="2C57F23B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F1AB18" w14:textId="10C18A7C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F3D7DA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40BE0E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12C7CDEB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313548" w14:textId="16337801" w:rsidR="001D662E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F56907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F56907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0EB4FC8C" w14:textId="77777777" w:rsidR="004006C1" w:rsidRPr="001D662E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D5C61F" w14:textId="192B1DB1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A1E919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7B3623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2AD8BCC6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57CECCAC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Υλοποίηση προϋπολογισμού των Δήμων και Κοινοτήτων,</w:t>
      </w:r>
    </w:p>
    <w:p w14:paraId="338ECD09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Υλοποίηση προϋπολογισμού των </w:t>
      </w:r>
      <w:proofErr w:type="spellStart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Οργανισμών.</w:t>
      </w:r>
    </w:p>
    <w:p w14:paraId="085C90FD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32EEA8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5C9451FB" w14:textId="4119F601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5B1B4DA0" w14:textId="2DEBFF43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917AFF1" w14:textId="77777777" w:rsidR="004006C1" w:rsidRDefault="004006C1" w:rsidP="004006C1">
      <w:pPr>
        <w:rPr>
          <w:color w:val="000000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66035B0E" w14:textId="7C2ECC6C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29C922D2" w14:textId="5AC483B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88FC56" w14:textId="08456AF9" w:rsidR="009A3955" w:rsidRPr="009A3955" w:rsidRDefault="009A3955" w:rsidP="00200671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9A3955">
        <w:rPr>
          <w:rFonts w:ascii="Verdana" w:hAnsi="Verdana" w:cs="Arial"/>
          <w:b/>
          <w:bCs/>
          <w:sz w:val="18"/>
          <w:szCs w:val="18"/>
        </w:rPr>
        <w:t>Excel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περιλαμβάνουν στοιχεία μέχρι και το </w:t>
      </w:r>
      <w:r>
        <w:rPr>
          <w:rFonts w:ascii="Verdana" w:hAnsi="Verdana" w:cs="Arial"/>
          <w:b/>
          <w:bCs/>
          <w:sz w:val="18"/>
          <w:szCs w:val="18"/>
          <w:lang w:val="el-GR"/>
        </w:rPr>
        <w:t>πρώτο</w:t>
      </w:r>
      <w:r w:rsidR="00200671" w:rsidRPr="00200671"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τρίμηνο του 202</w:t>
      </w:r>
      <w:r>
        <w:rPr>
          <w:rFonts w:ascii="Verdana" w:hAnsi="Verdana" w:cs="Arial"/>
          <w:b/>
          <w:bCs/>
          <w:sz w:val="18"/>
          <w:szCs w:val="18"/>
          <w:lang w:val="el-GR"/>
        </w:rPr>
        <w:t>3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. Για το </w:t>
      </w:r>
      <w:r>
        <w:rPr>
          <w:rFonts w:ascii="Verdana" w:hAnsi="Verdana" w:cs="Arial"/>
          <w:b/>
          <w:bCs/>
          <w:sz w:val="18"/>
          <w:szCs w:val="18"/>
          <w:lang w:val="el-GR"/>
        </w:rPr>
        <w:t>δεύτερο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τρίμηνο του 2023 και μετέπειτα, η ενημέρωση θα γίνεται μόνο</w:t>
      </w: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9A3955">
        <w:rPr>
          <w:rFonts w:ascii="Verdana" w:hAnsi="Verdana" w:cs="Arial"/>
          <w:b/>
          <w:bCs/>
          <w:sz w:val="18"/>
          <w:szCs w:val="18"/>
        </w:rPr>
        <w:t>CYSTAT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-</w:t>
      </w:r>
      <w:r w:rsidRPr="009A3955">
        <w:rPr>
          <w:rFonts w:ascii="Verdana" w:hAnsi="Verdana" w:cs="Arial"/>
          <w:b/>
          <w:bCs/>
          <w:sz w:val="18"/>
          <w:szCs w:val="18"/>
        </w:rPr>
        <w:t>DB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.</w:t>
      </w:r>
    </w:p>
    <w:p w14:paraId="4A28243F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2433FB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36EB17F3" w14:textId="77777777" w:rsidR="000D145B" w:rsidRPr="00573F8E" w:rsidRDefault="000D145B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90DA29D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6A1B1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4A0E" w14:textId="77777777" w:rsidR="00041D43" w:rsidRDefault="00041D43" w:rsidP="00FB398F">
      <w:r>
        <w:separator/>
      </w:r>
    </w:p>
  </w:endnote>
  <w:endnote w:type="continuationSeparator" w:id="0">
    <w:p w14:paraId="5B5CC8C1" w14:textId="77777777" w:rsidR="00041D43" w:rsidRDefault="00041D4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10922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210922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210922">
      <w:rPr>
        <w:rFonts w:ascii="Verdana" w:hAnsi="Verdana" w:cs="Arial"/>
        <w:sz w:val="16"/>
        <w:szCs w:val="16"/>
        <w:lang w:val="el-GR"/>
      </w:rPr>
      <w:t>ήλ</w:t>
    </w:r>
    <w:r w:rsidRPr="00210922">
      <w:rPr>
        <w:rFonts w:ascii="Verdana" w:hAnsi="Verdana" w:cs="Arial"/>
        <w:sz w:val="16"/>
        <w:szCs w:val="16"/>
        <w:lang w:val="el-GR"/>
      </w:rPr>
      <w:t xml:space="preserve"> Καραολή, 1444 Λευκωσία, Κύπρος</w:t>
    </w:r>
  </w:p>
  <w:p w14:paraId="701EBEC3" w14:textId="45C5FE34" w:rsidR="004E4F42" w:rsidRPr="00210922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210922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210922">
      <w:rPr>
        <w:rFonts w:ascii="Verdana" w:hAnsi="Verdana" w:cs="Arial"/>
        <w:sz w:val="16"/>
        <w:szCs w:val="16"/>
        <w:lang w:val="el-GR"/>
      </w:rPr>
      <w:t>.: 22 602129,</w:t>
    </w:r>
    <w:r w:rsidRPr="00210922">
      <w:rPr>
        <w:rFonts w:ascii="Verdana" w:hAnsi="Verdana" w:cs="Arial"/>
        <w:sz w:val="16"/>
        <w:szCs w:val="16"/>
        <w:lang w:val="de-DE"/>
      </w:rPr>
      <w:t xml:space="preserve"> </w:t>
    </w:r>
    <w:proofErr w:type="spellStart"/>
    <w:r w:rsidR="00210922">
      <w:rPr>
        <w:rFonts w:ascii="Verdana" w:hAnsi="Verdana" w:cs="Arial"/>
        <w:sz w:val="16"/>
        <w:szCs w:val="16"/>
        <w:lang w:val="el-GR"/>
      </w:rPr>
      <w:t>Ηλ</w:t>
    </w:r>
    <w:proofErr w:type="spellEnd"/>
    <w:r w:rsidR="00210922" w:rsidRPr="00210922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210922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210922">
      <w:rPr>
        <w:rFonts w:ascii="Verdana" w:hAnsi="Verdana" w:cs="Arial"/>
        <w:sz w:val="16"/>
        <w:szCs w:val="16"/>
        <w:lang w:val="el-GR"/>
      </w:rPr>
      <w:t>.</w:t>
    </w:r>
    <w:r w:rsidRPr="00210922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210922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210922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3F3B83BB" w:rsidR="004E4F42" w:rsidRPr="00210922" w:rsidRDefault="0021092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210922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210922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="004E4F42" w:rsidRPr="00210922">
        <w:rPr>
          <w:rStyle w:val="Hyperlink"/>
          <w:rFonts w:ascii="Verdana" w:hAnsi="Verdana" w:cs="Arial"/>
          <w:sz w:val="16"/>
          <w:szCs w:val="16"/>
          <w:lang w:val="de-DE"/>
        </w:rPr>
        <w:t>http://www.cystat.gov.cy</w:t>
      </w:r>
    </w:hyperlink>
    <w:r w:rsidR="004E4F42" w:rsidRPr="00210922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8EDB" w14:textId="77777777" w:rsidR="00041D43" w:rsidRDefault="00041D43" w:rsidP="00FB398F">
      <w:r>
        <w:separator/>
      </w:r>
    </w:p>
  </w:footnote>
  <w:footnote w:type="continuationSeparator" w:id="0">
    <w:p w14:paraId="230CE761" w14:textId="77777777" w:rsidR="00041D43" w:rsidRDefault="00041D4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44F3CAEC">
              <wp:simplePos x="0" y="0"/>
              <wp:positionH relativeFrom="column">
                <wp:posOffset>4004310</wp:posOffset>
              </wp:positionH>
              <wp:positionV relativeFrom="paragraph">
                <wp:posOffset>102870</wp:posOffset>
              </wp:positionV>
              <wp:extent cx="19812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210922" w:rsidRDefault="004E4F42" w:rsidP="00210922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210922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210922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210922" w:rsidRDefault="004E4F42" w:rsidP="00210922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210922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5.3pt;margin-top:8.1pt;width:15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" stroked="f">
              <v:textbox>
                <w:txbxContent>
                  <w:p w14:paraId="505F9DD1" w14:textId="77777777" w:rsidR="004E4F42" w:rsidRPr="00210922" w:rsidRDefault="004E4F42" w:rsidP="00210922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210922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210922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210922" w:rsidRDefault="004E4F42" w:rsidP="00210922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210922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08137B2E" w:rsidR="004E4F42" w:rsidRPr="0021092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</w:t>
    </w:r>
    <w:r w:rsidR="00210922">
      <w:rPr>
        <w:rFonts w:ascii="Arial" w:hAnsi="Arial" w:cs="Arial"/>
        <w:bCs/>
        <w:sz w:val="18"/>
        <w:szCs w:val="18"/>
        <w:lang w:val="en-US"/>
      </w:rPr>
      <w:t xml:space="preserve"> </w:t>
    </w:r>
    <w:r w:rsidRPr="00210922">
      <w:rPr>
        <w:rFonts w:ascii="Verdana" w:hAnsi="Verdana" w:cs="Arial"/>
        <w:bCs/>
        <w:sz w:val="20"/>
        <w:szCs w:val="20"/>
      </w:rPr>
      <w:t>ΚΥΠΡΙΑΚΗ ΔΗΜΟΚΡΑΤΙΑ</w:t>
    </w:r>
    <w:r w:rsidRPr="00210922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210922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483BC0B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13600"/>
    <w:rsid w:val="00013E40"/>
    <w:rsid w:val="000158B7"/>
    <w:rsid w:val="000161B1"/>
    <w:rsid w:val="00025A39"/>
    <w:rsid w:val="000275F8"/>
    <w:rsid w:val="00027853"/>
    <w:rsid w:val="00030E18"/>
    <w:rsid w:val="00031D32"/>
    <w:rsid w:val="0003603D"/>
    <w:rsid w:val="00041D43"/>
    <w:rsid w:val="00045088"/>
    <w:rsid w:val="00045A06"/>
    <w:rsid w:val="00050391"/>
    <w:rsid w:val="00052F46"/>
    <w:rsid w:val="00055291"/>
    <w:rsid w:val="000563D3"/>
    <w:rsid w:val="00057E44"/>
    <w:rsid w:val="00061299"/>
    <w:rsid w:val="000618AC"/>
    <w:rsid w:val="00070576"/>
    <w:rsid w:val="000747FE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D39"/>
    <w:rsid w:val="000C4E72"/>
    <w:rsid w:val="000D0B9D"/>
    <w:rsid w:val="000D0DB1"/>
    <w:rsid w:val="000D145B"/>
    <w:rsid w:val="000D1E7A"/>
    <w:rsid w:val="000D5C3F"/>
    <w:rsid w:val="000D6D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3ADB"/>
    <w:rsid w:val="00106852"/>
    <w:rsid w:val="00107EB8"/>
    <w:rsid w:val="00110F9D"/>
    <w:rsid w:val="0011181A"/>
    <w:rsid w:val="00114A67"/>
    <w:rsid w:val="00117D1A"/>
    <w:rsid w:val="001253B6"/>
    <w:rsid w:val="001262C3"/>
    <w:rsid w:val="00127320"/>
    <w:rsid w:val="00127456"/>
    <w:rsid w:val="001312D8"/>
    <w:rsid w:val="0013137B"/>
    <w:rsid w:val="00145B50"/>
    <w:rsid w:val="0015118B"/>
    <w:rsid w:val="001519CE"/>
    <w:rsid w:val="00161CF3"/>
    <w:rsid w:val="00162C00"/>
    <w:rsid w:val="001639EF"/>
    <w:rsid w:val="00163BB3"/>
    <w:rsid w:val="0016589F"/>
    <w:rsid w:val="00166624"/>
    <w:rsid w:val="001712CF"/>
    <w:rsid w:val="00171F06"/>
    <w:rsid w:val="0017769A"/>
    <w:rsid w:val="00183DFC"/>
    <w:rsid w:val="00184384"/>
    <w:rsid w:val="00186717"/>
    <w:rsid w:val="00187FFC"/>
    <w:rsid w:val="0019391C"/>
    <w:rsid w:val="001A2018"/>
    <w:rsid w:val="001B0CF5"/>
    <w:rsid w:val="001B2C39"/>
    <w:rsid w:val="001B3675"/>
    <w:rsid w:val="001B5E10"/>
    <w:rsid w:val="001B6AB3"/>
    <w:rsid w:val="001B6C3B"/>
    <w:rsid w:val="001B73D5"/>
    <w:rsid w:val="001C0681"/>
    <w:rsid w:val="001C62B3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2388"/>
    <w:rsid w:val="001E61AA"/>
    <w:rsid w:val="001E65E4"/>
    <w:rsid w:val="00200671"/>
    <w:rsid w:val="0020309E"/>
    <w:rsid w:val="00210922"/>
    <w:rsid w:val="00210B58"/>
    <w:rsid w:val="00222423"/>
    <w:rsid w:val="00225B28"/>
    <w:rsid w:val="00226891"/>
    <w:rsid w:val="00227376"/>
    <w:rsid w:val="00230D9B"/>
    <w:rsid w:val="002313AC"/>
    <w:rsid w:val="00235FB2"/>
    <w:rsid w:val="00237BC1"/>
    <w:rsid w:val="002430B4"/>
    <w:rsid w:val="002447D0"/>
    <w:rsid w:val="002454C5"/>
    <w:rsid w:val="00245E19"/>
    <w:rsid w:val="00246AAA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EBD"/>
    <w:rsid w:val="0028338F"/>
    <w:rsid w:val="002847A0"/>
    <w:rsid w:val="002915C4"/>
    <w:rsid w:val="00297E6B"/>
    <w:rsid w:val="002A0C7E"/>
    <w:rsid w:val="002A1D1C"/>
    <w:rsid w:val="002A295E"/>
    <w:rsid w:val="002A4D64"/>
    <w:rsid w:val="002B4969"/>
    <w:rsid w:val="002B6554"/>
    <w:rsid w:val="002B658F"/>
    <w:rsid w:val="002B6A74"/>
    <w:rsid w:val="002C2490"/>
    <w:rsid w:val="002C2A53"/>
    <w:rsid w:val="002D05F0"/>
    <w:rsid w:val="002D2829"/>
    <w:rsid w:val="002D7D4A"/>
    <w:rsid w:val="002E3846"/>
    <w:rsid w:val="002E3F78"/>
    <w:rsid w:val="002E686C"/>
    <w:rsid w:val="002F1DAB"/>
    <w:rsid w:val="002F400C"/>
    <w:rsid w:val="002F4D76"/>
    <w:rsid w:val="002F6D26"/>
    <w:rsid w:val="0030231E"/>
    <w:rsid w:val="003042C4"/>
    <w:rsid w:val="0030443F"/>
    <w:rsid w:val="0030478B"/>
    <w:rsid w:val="00304CB4"/>
    <w:rsid w:val="00313F37"/>
    <w:rsid w:val="003141D0"/>
    <w:rsid w:val="003168C1"/>
    <w:rsid w:val="00322FBE"/>
    <w:rsid w:val="00325632"/>
    <w:rsid w:val="00327549"/>
    <w:rsid w:val="00333C79"/>
    <w:rsid w:val="003342A5"/>
    <w:rsid w:val="00334616"/>
    <w:rsid w:val="003360E9"/>
    <w:rsid w:val="00336C36"/>
    <w:rsid w:val="00343815"/>
    <w:rsid w:val="00346E32"/>
    <w:rsid w:val="00350FC8"/>
    <w:rsid w:val="003522BB"/>
    <w:rsid w:val="00352F6C"/>
    <w:rsid w:val="003556EA"/>
    <w:rsid w:val="00361358"/>
    <w:rsid w:val="003627BF"/>
    <w:rsid w:val="00373AC7"/>
    <w:rsid w:val="00376296"/>
    <w:rsid w:val="00386FC7"/>
    <w:rsid w:val="003908DF"/>
    <w:rsid w:val="00390A32"/>
    <w:rsid w:val="003A1E91"/>
    <w:rsid w:val="003A40F2"/>
    <w:rsid w:val="003A50D1"/>
    <w:rsid w:val="003B196D"/>
    <w:rsid w:val="003B2710"/>
    <w:rsid w:val="003B4608"/>
    <w:rsid w:val="003B5002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E1147"/>
    <w:rsid w:val="003E1622"/>
    <w:rsid w:val="003F49E4"/>
    <w:rsid w:val="003F4D2F"/>
    <w:rsid w:val="003F5E32"/>
    <w:rsid w:val="003F75F6"/>
    <w:rsid w:val="004006C1"/>
    <w:rsid w:val="00404670"/>
    <w:rsid w:val="00414CA0"/>
    <w:rsid w:val="00422F54"/>
    <w:rsid w:val="004244CE"/>
    <w:rsid w:val="00426D73"/>
    <w:rsid w:val="00431516"/>
    <w:rsid w:val="004361B3"/>
    <w:rsid w:val="0044249D"/>
    <w:rsid w:val="0044379F"/>
    <w:rsid w:val="00444FCC"/>
    <w:rsid w:val="00446FB1"/>
    <w:rsid w:val="00452753"/>
    <w:rsid w:val="0046078F"/>
    <w:rsid w:val="00460B27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0D5"/>
    <w:rsid w:val="004950E8"/>
    <w:rsid w:val="0049586B"/>
    <w:rsid w:val="004A3E44"/>
    <w:rsid w:val="004B2018"/>
    <w:rsid w:val="004B2896"/>
    <w:rsid w:val="004B38E9"/>
    <w:rsid w:val="004B3FBA"/>
    <w:rsid w:val="004B4EF6"/>
    <w:rsid w:val="004B6599"/>
    <w:rsid w:val="004C4CE2"/>
    <w:rsid w:val="004C6CA7"/>
    <w:rsid w:val="004C7638"/>
    <w:rsid w:val="004D112F"/>
    <w:rsid w:val="004D4357"/>
    <w:rsid w:val="004D4950"/>
    <w:rsid w:val="004E2393"/>
    <w:rsid w:val="004E23BA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05B82"/>
    <w:rsid w:val="0051107B"/>
    <w:rsid w:val="00512F9C"/>
    <w:rsid w:val="005168DF"/>
    <w:rsid w:val="00516ACB"/>
    <w:rsid w:val="00527CDB"/>
    <w:rsid w:val="005341C9"/>
    <w:rsid w:val="005369CA"/>
    <w:rsid w:val="00536DE9"/>
    <w:rsid w:val="00541E08"/>
    <w:rsid w:val="00554FE0"/>
    <w:rsid w:val="0055706D"/>
    <w:rsid w:val="0055789A"/>
    <w:rsid w:val="00560952"/>
    <w:rsid w:val="00560C28"/>
    <w:rsid w:val="005652D1"/>
    <w:rsid w:val="00566062"/>
    <w:rsid w:val="005660A0"/>
    <w:rsid w:val="00566A4F"/>
    <w:rsid w:val="00567D64"/>
    <w:rsid w:val="005978D4"/>
    <w:rsid w:val="005A23FA"/>
    <w:rsid w:val="005A68B9"/>
    <w:rsid w:val="005B2A67"/>
    <w:rsid w:val="005B3DCD"/>
    <w:rsid w:val="005B4240"/>
    <w:rsid w:val="005B4AD4"/>
    <w:rsid w:val="005C0F09"/>
    <w:rsid w:val="005C2798"/>
    <w:rsid w:val="005C36C3"/>
    <w:rsid w:val="005C4361"/>
    <w:rsid w:val="005C56EE"/>
    <w:rsid w:val="005C6D84"/>
    <w:rsid w:val="005D1714"/>
    <w:rsid w:val="005D7638"/>
    <w:rsid w:val="005E28ED"/>
    <w:rsid w:val="005E7E54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331A"/>
    <w:rsid w:val="00630DC9"/>
    <w:rsid w:val="00632777"/>
    <w:rsid w:val="00633750"/>
    <w:rsid w:val="00634491"/>
    <w:rsid w:val="0063679C"/>
    <w:rsid w:val="00637055"/>
    <w:rsid w:val="00641D59"/>
    <w:rsid w:val="00644507"/>
    <w:rsid w:val="00644BD9"/>
    <w:rsid w:val="006462EF"/>
    <w:rsid w:val="00646880"/>
    <w:rsid w:val="00646C01"/>
    <w:rsid w:val="00647367"/>
    <w:rsid w:val="006479C7"/>
    <w:rsid w:val="00647D2A"/>
    <w:rsid w:val="00653109"/>
    <w:rsid w:val="006537BB"/>
    <w:rsid w:val="00654977"/>
    <w:rsid w:val="0065643E"/>
    <w:rsid w:val="00656ADF"/>
    <w:rsid w:val="00660660"/>
    <w:rsid w:val="0066089C"/>
    <w:rsid w:val="00667E07"/>
    <w:rsid w:val="00671785"/>
    <w:rsid w:val="00672BA9"/>
    <w:rsid w:val="00673005"/>
    <w:rsid w:val="0067347B"/>
    <w:rsid w:val="006804BE"/>
    <w:rsid w:val="0068434A"/>
    <w:rsid w:val="0069008E"/>
    <w:rsid w:val="0069087E"/>
    <w:rsid w:val="006925C4"/>
    <w:rsid w:val="00697877"/>
    <w:rsid w:val="006A02B7"/>
    <w:rsid w:val="006A05D1"/>
    <w:rsid w:val="006A1B1C"/>
    <w:rsid w:val="006A7019"/>
    <w:rsid w:val="006A79A2"/>
    <w:rsid w:val="006B46D5"/>
    <w:rsid w:val="006B46F4"/>
    <w:rsid w:val="006C332B"/>
    <w:rsid w:val="006C3BA8"/>
    <w:rsid w:val="006C575F"/>
    <w:rsid w:val="006C6C30"/>
    <w:rsid w:val="006C7AF3"/>
    <w:rsid w:val="006D0B9D"/>
    <w:rsid w:val="006D4648"/>
    <w:rsid w:val="006D5A41"/>
    <w:rsid w:val="006D6548"/>
    <w:rsid w:val="006E0E20"/>
    <w:rsid w:val="006E4256"/>
    <w:rsid w:val="006E4BBA"/>
    <w:rsid w:val="006E58E9"/>
    <w:rsid w:val="006E5F43"/>
    <w:rsid w:val="006E60A6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219FD"/>
    <w:rsid w:val="0072548A"/>
    <w:rsid w:val="007277A6"/>
    <w:rsid w:val="007437AB"/>
    <w:rsid w:val="00745425"/>
    <w:rsid w:val="00752590"/>
    <w:rsid w:val="00753140"/>
    <w:rsid w:val="007534F8"/>
    <w:rsid w:val="0075454E"/>
    <w:rsid w:val="007545AD"/>
    <w:rsid w:val="00755440"/>
    <w:rsid w:val="00761E3A"/>
    <w:rsid w:val="00763722"/>
    <w:rsid w:val="00764BC1"/>
    <w:rsid w:val="00765424"/>
    <w:rsid w:val="0076547A"/>
    <w:rsid w:val="007672A5"/>
    <w:rsid w:val="00770869"/>
    <w:rsid w:val="00772100"/>
    <w:rsid w:val="007738AA"/>
    <w:rsid w:val="00780A62"/>
    <w:rsid w:val="00783241"/>
    <w:rsid w:val="00784BDC"/>
    <w:rsid w:val="00791ADA"/>
    <w:rsid w:val="00792F28"/>
    <w:rsid w:val="007935CA"/>
    <w:rsid w:val="0079543F"/>
    <w:rsid w:val="00795880"/>
    <w:rsid w:val="007A174A"/>
    <w:rsid w:val="007A4367"/>
    <w:rsid w:val="007B0867"/>
    <w:rsid w:val="007B1AC1"/>
    <w:rsid w:val="007B58CA"/>
    <w:rsid w:val="007B5A08"/>
    <w:rsid w:val="007B693D"/>
    <w:rsid w:val="007B6A76"/>
    <w:rsid w:val="007C4CDC"/>
    <w:rsid w:val="007E041B"/>
    <w:rsid w:val="007E0F0C"/>
    <w:rsid w:val="007E199A"/>
    <w:rsid w:val="007E1AED"/>
    <w:rsid w:val="007E2178"/>
    <w:rsid w:val="007E2415"/>
    <w:rsid w:val="007E39F3"/>
    <w:rsid w:val="007E405E"/>
    <w:rsid w:val="007E68F4"/>
    <w:rsid w:val="007E6DE2"/>
    <w:rsid w:val="007F07E5"/>
    <w:rsid w:val="007F31BA"/>
    <w:rsid w:val="007F4078"/>
    <w:rsid w:val="007F6815"/>
    <w:rsid w:val="007F73FF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1806"/>
    <w:rsid w:val="008535C5"/>
    <w:rsid w:val="00853765"/>
    <w:rsid w:val="0085516F"/>
    <w:rsid w:val="00860C7C"/>
    <w:rsid w:val="00867186"/>
    <w:rsid w:val="00867824"/>
    <w:rsid w:val="0086790E"/>
    <w:rsid w:val="00870AF6"/>
    <w:rsid w:val="00873BDD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1B1"/>
    <w:rsid w:val="008B65BD"/>
    <w:rsid w:val="008B7900"/>
    <w:rsid w:val="008C71BF"/>
    <w:rsid w:val="008C7801"/>
    <w:rsid w:val="008C7FE0"/>
    <w:rsid w:val="008D2455"/>
    <w:rsid w:val="008D2807"/>
    <w:rsid w:val="008D5717"/>
    <w:rsid w:val="008D69A9"/>
    <w:rsid w:val="008E223D"/>
    <w:rsid w:val="008E44A9"/>
    <w:rsid w:val="008E6477"/>
    <w:rsid w:val="008E6B4D"/>
    <w:rsid w:val="008E6BFF"/>
    <w:rsid w:val="008F0E8D"/>
    <w:rsid w:val="008F21AF"/>
    <w:rsid w:val="008F2400"/>
    <w:rsid w:val="008F61BA"/>
    <w:rsid w:val="008F6E3C"/>
    <w:rsid w:val="008F7C55"/>
    <w:rsid w:val="00914A23"/>
    <w:rsid w:val="00921DB1"/>
    <w:rsid w:val="0092790B"/>
    <w:rsid w:val="00930754"/>
    <w:rsid w:val="00934F68"/>
    <w:rsid w:val="009350CC"/>
    <w:rsid w:val="009355AC"/>
    <w:rsid w:val="00935F38"/>
    <w:rsid w:val="00937586"/>
    <w:rsid w:val="00947889"/>
    <w:rsid w:val="009478BD"/>
    <w:rsid w:val="00953538"/>
    <w:rsid w:val="00957CA9"/>
    <w:rsid w:val="00960E98"/>
    <w:rsid w:val="00960ECB"/>
    <w:rsid w:val="00963A82"/>
    <w:rsid w:val="00965F8D"/>
    <w:rsid w:val="00972912"/>
    <w:rsid w:val="0097355A"/>
    <w:rsid w:val="00973BFC"/>
    <w:rsid w:val="00974556"/>
    <w:rsid w:val="00976D1F"/>
    <w:rsid w:val="00981C81"/>
    <w:rsid w:val="00981CAA"/>
    <w:rsid w:val="00982B93"/>
    <w:rsid w:val="009859C0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2611"/>
    <w:rsid w:val="009D4D7F"/>
    <w:rsid w:val="009D79D2"/>
    <w:rsid w:val="009E247C"/>
    <w:rsid w:val="009E31BA"/>
    <w:rsid w:val="009F0528"/>
    <w:rsid w:val="009F0806"/>
    <w:rsid w:val="009F233B"/>
    <w:rsid w:val="009F32BC"/>
    <w:rsid w:val="009F4017"/>
    <w:rsid w:val="00A05D16"/>
    <w:rsid w:val="00A0659F"/>
    <w:rsid w:val="00A079BA"/>
    <w:rsid w:val="00A14E8C"/>
    <w:rsid w:val="00A20C70"/>
    <w:rsid w:val="00A33875"/>
    <w:rsid w:val="00A360A1"/>
    <w:rsid w:val="00A37F11"/>
    <w:rsid w:val="00A402B3"/>
    <w:rsid w:val="00A42788"/>
    <w:rsid w:val="00A544B7"/>
    <w:rsid w:val="00A56668"/>
    <w:rsid w:val="00A618CF"/>
    <w:rsid w:val="00A62770"/>
    <w:rsid w:val="00A62EEB"/>
    <w:rsid w:val="00A660FF"/>
    <w:rsid w:val="00A73395"/>
    <w:rsid w:val="00A752D2"/>
    <w:rsid w:val="00A771E3"/>
    <w:rsid w:val="00A80828"/>
    <w:rsid w:val="00A80EEC"/>
    <w:rsid w:val="00A82B4C"/>
    <w:rsid w:val="00A93A4C"/>
    <w:rsid w:val="00A94D5D"/>
    <w:rsid w:val="00AA16FF"/>
    <w:rsid w:val="00AA1D9B"/>
    <w:rsid w:val="00AA2543"/>
    <w:rsid w:val="00AA31BC"/>
    <w:rsid w:val="00AA3804"/>
    <w:rsid w:val="00AA55C2"/>
    <w:rsid w:val="00AA6E3B"/>
    <w:rsid w:val="00AB0ACA"/>
    <w:rsid w:val="00AB1D41"/>
    <w:rsid w:val="00AC5E9A"/>
    <w:rsid w:val="00AC704B"/>
    <w:rsid w:val="00AD553E"/>
    <w:rsid w:val="00AD5848"/>
    <w:rsid w:val="00AE1352"/>
    <w:rsid w:val="00AE42BA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30D97"/>
    <w:rsid w:val="00B30E28"/>
    <w:rsid w:val="00B31074"/>
    <w:rsid w:val="00B3181A"/>
    <w:rsid w:val="00B35A7C"/>
    <w:rsid w:val="00B44BC8"/>
    <w:rsid w:val="00B44ECD"/>
    <w:rsid w:val="00B450D1"/>
    <w:rsid w:val="00B534AF"/>
    <w:rsid w:val="00B53D47"/>
    <w:rsid w:val="00B54A25"/>
    <w:rsid w:val="00B55CDE"/>
    <w:rsid w:val="00B618C3"/>
    <w:rsid w:val="00B63652"/>
    <w:rsid w:val="00B668B0"/>
    <w:rsid w:val="00B70F5C"/>
    <w:rsid w:val="00B71873"/>
    <w:rsid w:val="00B73189"/>
    <w:rsid w:val="00B754E6"/>
    <w:rsid w:val="00B75AE5"/>
    <w:rsid w:val="00B76457"/>
    <w:rsid w:val="00B800C0"/>
    <w:rsid w:val="00B80C99"/>
    <w:rsid w:val="00B8132B"/>
    <w:rsid w:val="00B84C5A"/>
    <w:rsid w:val="00B85875"/>
    <w:rsid w:val="00B858F5"/>
    <w:rsid w:val="00B93668"/>
    <w:rsid w:val="00B97206"/>
    <w:rsid w:val="00BA68C6"/>
    <w:rsid w:val="00BB0FA6"/>
    <w:rsid w:val="00BB12F1"/>
    <w:rsid w:val="00BB276E"/>
    <w:rsid w:val="00BB3FEE"/>
    <w:rsid w:val="00BB5EB0"/>
    <w:rsid w:val="00BC1B16"/>
    <w:rsid w:val="00BC245A"/>
    <w:rsid w:val="00BC5C5F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43CF"/>
    <w:rsid w:val="00C250F7"/>
    <w:rsid w:val="00C256F3"/>
    <w:rsid w:val="00C270A2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496"/>
    <w:rsid w:val="00C57A9A"/>
    <w:rsid w:val="00C6016A"/>
    <w:rsid w:val="00C60B3F"/>
    <w:rsid w:val="00C623EB"/>
    <w:rsid w:val="00C62B57"/>
    <w:rsid w:val="00C62FBA"/>
    <w:rsid w:val="00C64C6B"/>
    <w:rsid w:val="00C66F2E"/>
    <w:rsid w:val="00C6785C"/>
    <w:rsid w:val="00C70FD1"/>
    <w:rsid w:val="00C72B76"/>
    <w:rsid w:val="00C733AA"/>
    <w:rsid w:val="00C735B7"/>
    <w:rsid w:val="00C75722"/>
    <w:rsid w:val="00C77ACF"/>
    <w:rsid w:val="00C83027"/>
    <w:rsid w:val="00C8321D"/>
    <w:rsid w:val="00C84B8A"/>
    <w:rsid w:val="00C85E65"/>
    <w:rsid w:val="00C87CA1"/>
    <w:rsid w:val="00C911B4"/>
    <w:rsid w:val="00C91B3B"/>
    <w:rsid w:val="00C93A0B"/>
    <w:rsid w:val="00C94262"/>
    <w:rsid w:val="00C976E1"/>
    <w:rsid w:val="00CA148E"/>
    <w:rsid w:val="00CA3A9A"/>
    <w:rsid w:val="00CB2C8D"/>
    <w:rsid w:val="00CB6BC1"/>
    <w:rsid w:val="00CB7021"/>
    <w:rsid w:val="00CD3294"/>
    <w:rsid w:val="00CD4524"/>
    <w:rsid w:val="00CD784D"/>
    <w:rsid w:val="00CF3A1C"/>
    <w:rsid w:val="00CF40F8"/>
    <w:rsid w:val="00D00853"/>
    <w:rsid w:val="00D008DA"/>
    <w:rsid w:val="00D00F0A"/>
    <w:rsid w:val="00D01C96"/>
    <w:rsid w:val="00D0416F"/>
    <w:rsid w:val="00D05851"/>
    <w:rsid w:val="00D10FED"/>
    <w:rsid w:val="00D11736"/>
    <w:rsid w:val="00D1207F"/>
    <w:rsid w:val="00D12EE8"/>
    <w:rsid w:val="00D14CDF"/>
    <w:rsid w:val="00D15FF1"/>
    <w:rsid w:val="00D167F4"/>
    <w:rsid w:val="00D2092A"/>
    <w:rsid w:val="00D2216D"/>
    <w:rsid w:val="00D31A6F"/>
    <w:rsid w:val="00D353D1"/>
    <w:rsid w:val="00D363D3"/>
    <w:rsid w:val="00D367DB"/>
    <w:rsid w:val="00D36E05"/>
    <w:rsid w:val="00D44F27"/>
    <w:rsid w:val="00D45304"/>
    <w:rsid w:val="00D4532B"/>
    <w:rsid w:val="00D46165"/>
    <w:rsid w:val="00D461C7"/>
    <w:rsid w:val="00D50424"/>
    <w:rsid w:val="00D525C9"/>
    <w:rsid w:val="00D57D3E"/>
    <w:rsid w:val="00D76249"/>
    <w:rsid w:val="00DA7033"/>
    <w:rsid w:val="00DA7D12"/>
    <w:rsid w:val="00DB09CB"/>
    <w:rsid w:val="00DB3DA3"/>
    <w:rsid w:val="00DC1FCB"/>
    <w:rsid w:val="00DC23CF"/>
    <w:rsid w:val="00DC523D"/>
    <w:rsid w:val="00DC6562"/>
    <w:rsid w:val="00DD16F7"/>
    <w:rsid w:val="00DD4950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7172"/>
    <w:rsid w:val="00E22FCA"/>
    <w:rsid w:val="00E24E2D"/>
    <w:rsid w:val="00E3181C"/>
    <w:rsid w:val="00E3280A"/>
    <w:rsid w:val="00E35C8E"/>
    <w:rsid w:val="00E366E0"/>
    <w:rsid w:val="00E372AF"/>
    <w:rsid w:val="00E37D68"/>
    <w:rsid w:val="00E40EAE"/>
    <w:rsid w:val="00E436AC"/>
    <w:rsid w:val="00E44F7A"/>
    <w:rsid w:val="00E44FF8"/>
    <w:rsid w:val="00E5066A"/>
    <w:rsid w:val="00E52CF9"/>
    <w:rsid w:val="00E61DE6"/>
    <w:rsid w:val="00E63F34"/>
    <w:rsid w:val="00E63FEA"/>
    <w:rsid w:val="00E64842"/>
    <w:rsid w:val="00E6715A"/>
    <w:rsid w:val="00E7006A"/>
    <w:rsid w:val="00E72C46"/>
    <w:rsid w:val="00E75DC9"/>
    <w:rsid w:val="00E81610"/>
    <w:rsid w:val="00E82CDF"/>
    <w:rsid w:val="00E84910"/>
    <w:rsid w:val="00E85B28"/>
    <w:rsid w:val="00E903EB"/>
    <w:rsid w:val="00E91976"/>
    <w:rsid w:val="00E947A6"/>
    <w:rsid w:val="00E97FC7"/>
    <w:rsid w:val="00EA0690"/>
    <w:rsid w:val="00EA120D"/>
    <w:rsid w:val="00EA3956"/>
    <w:rsid w:val="00EA7136"/>
    <w:rsid w:val="00EB0155"/>
    <w:rsid w:val="00EB325A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6A47"/>
    <w:rsid w:val="00EF7AF9"/>
    <w:rsid w:val="00F00952"/>
    <w:rsid w:val="00F01495"/>
    <w:rsid w:val="00F10138"/>
    <w:rsid w:val="00F13F92"/>
    <w:rsid w:val="00F1671D"/>
    <w:rsid w:val="00F203A7"/>
    <w:rsid w:val="00F22ECA"/>
    <w:rsid w:val="00F240E8"/>
    <w:rsid w:val="00F244FA"/>
    <w:rsid w:val="00F246E3"/>
    <w:rsid w:val="00F24B55"/>
    <w:rsid w:val="00F253C6"/>
    <w:rsid w:val="00F310FC"/>
    <w:rsid w:val="00F366A2"/>
    <w:rsid w:val="00F43E5C"/>
    <w:rsid w:val="00F44F43"/>
    <w:rsid w:val="00F450E1"/>
    <w:rsid w:val="00F50CD4"/>
    <w:rsid w:val="00F50DF4"/>
    <w:rsid w:val="00F51CA9"/>
    <w:rsid w:val="00F56907"/>
    <w:rsid w:val="00F57AFE"/>
    <w:rsid w:val="00F6278E"/>
    <w:rsid w:val="00F63C41"/>
    <w:rsid w:val="00F63E96"/>
    <w:rsid w:val="00F666FF"/>
    <w:rsid w:val="00F701E3"/>
    <w:rsid w:val="00F71008"/>
    <w:rsid w:val="00F71F8C"/>
    <w:rsid w:val="00F85F6B"/>
    <w:rsid w:val="00F86AD4"/>
    <w:rsid w:val="00FA0113"/>
    <w:rsid w:val="00FA12B2"/>
    <w:rsid w:val="00FA2C7E"/>
    <w:rsid w:val="00FA7610"/>
    <w:rsid w:val="00FB02BD"/>
    <w:rsid w:val="00FB398F"/>
    <w:rsid w:val="00FB41D0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18B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michael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Public%20Finance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18</cp:revision>
  <cp:lastPrinted>2025-04-25T08:54:00Z</cp:lastPrinted>
  <dcterms:created xsi:type="dcterms:W3CDTF">2024-12-23T07:55:00Z</dcterms:created>
  <dcterms:modified xsi:type="dcterms:W3CDTF">2025-04-25T09:16:00Z</dcterms:modified>
</cp:coreProperties>
</file>