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068F" w14:textId="77777777" w:rsidR="002F43AC" w:rsidRDefault="002F43AC" w:rsidP="00BF6947">
      <w:pPr>
        <w:jc w:val="right"/>
        <w:rPr>
          <w:rFonts w:ascii="Verdana" w:hAnsi="Verdana" w:cs="Arial"/>
          <w:sz w:val="18"/>
          <w:szCs w:val="18"/>
          <w:lang w:val="el-GR"/>
        </w:rPr>
      </w:pPr>
    </w:p>
    <w:p w14:paraId="5933C17F" w14:textId="77777777" w:rsidR="002F43AC" w:rsidRDefault="002F43AC" w:rsidP="00BF6947">
      <w:pPr>
        <w:jc w:val="right"/>
        <w:rPr>
          <w:rFonts w:ascii="Verdana" w:hAnsi="Verdana" w:cs="Arial"/>
          <w:sz w:val="18"/>
          <w:szCs w:val="18"/>
          <w:lang w:val="el-GR"/>
        </w:rPr>
      </w:pPr>
    </w:p>
    <w:p w14:paraId="43EDD342" w14:textId="297A7052" w:rsidR="00BF6947" w:rsidRPr="00F91EC4" w:rsidRDefault="008F3FE6" w:rsidP="00BF6947">
      <w:pPr>
        <w:jc w:val="right"/>
        <w:rPr>
          <w:rFonts w:ascii="Verdana" w:eastAsia="Malgun Gothic" w:hAnsi="Verdana" w:cs="Arial"/>
          <w:sz w:val="18"/>
          <w:szCs w:val="18"/>
          <w:lang w:val="el-GR"/>
        </w:rPr>
      </w:pPr>
      <w:r w:rsidRPr="00EB145F">
        <w:rPr>
          <w:rFonts w:ascii="Verdana" w:hAnsi="Verdana" w:cs="Arial"/>
          <w:sz w:val="18"/>
          <w:szCs w:val="18"/>
          <w:lang w:val="el-GR"/>
        </w:rPr>
        <w:t>1</w:t>
      </w:r>
      <w:r w:rsidR="00BF6947" w:rsidRPr="00F91EC4">
        <w:rPr>
          <w:rFonts w:ascii="Verdana" w:hAnsi="Verdana" w:cs="Arial"/>
          <w:sz w:val="18"/>
          <w:szCs w:val="18"/>
          <w:lang w:val="el-GR"/>
        </w:rPr>
        <w:t xml:space="preserve"> </w:t>
      </w:r>
      <w:r>
        <w:rPr>
          <w:rFonts w:ascii="Verdana" w:hAnsi="Verdana" w:cs="Arial"/>
          <w:sz w:val="18"/>
          <w:szCs w:val="18"/>
          <w:lang w:val="el-GR"/>
        </w:rPr>
        <w:t>Ιουνίου</w:t>
      </w:r>
      <w:r w:rsidR="00BF6947" w:rsidRPr="00F91EC4">
        <w:rPr>
          <w:rFonts w:ascii="Verdana" w:eastAsia="Malgun Gothic" w:hAnsi="Verdana" w:cs="Arial"/>
          <w:sz w:val="18"/>
          <w:szCs w:val="18"/>
          <w:lang w:val="el-GR"/>
        </w:rPr>
        <w:t>, 202</w:t>
      </w:r>
      <w:r w:rsidR="006D1C53" w:rsidRPr="00F91EC4">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6E5279BE" w14:textId="77777777" w:rsidR="002F43AC" w:rsidRPr="00F91EC4" w:rsidRDefault="002F43AC" w:rsidP="00BF6947">
      <w:pPr>
        <w:jc w:val="center"/>
        <w:rPr>
          <w:rFonts w:ascii="Verdana" w:eastAsia="Malgun Gothic" w:hAnsi="Verdana" w:cs="Arial"/>
          <w:b/>
          <w:sz w:val="24"/>
          <w:szCs w:val="24"/>
          <w:lang w:val="el-GR"/>
        </w:rPr>
      </w:pPr>
    </w:p>
    <w:p w14:paraId="2A26B5CA" w14:textId="0A11D4F6" w:rsidR="00BF6947" w:rsidRPr="00F91EC4" w:rsidRDefault="00BF6947" w:rsidP="00BF6947">
      <w:pPr>
        <w:jc w:val="center"/>
        <w:rPr>
          <w:rFonts w:ascii="Verdana" w:eastAsia="Malgun Gothic" w:hAnsi="Verdana" w:cs="Arial"/>
          <w:b/>
          <w:sz w:val="24"/>
          <w:szCs w:val="24"/>
          <w:lang w:val="el-GR"/>
        </w:rPr>
      </w:pPr>
      <w:r w:rsidRPr="00F91EC4">
        <w:rPr>
          <w:rFonts w:ascii="Verdana" w:eastAsia="Malgun Gothic" w:hAnsi="Verdana" w:cs="Arial"/>
          <w:b/>
          <w:sz w:val="24"/>
          <w:szCs w:val="24"/>
          <w:lang w:val="el-GR"/>
        </w:rPr>
        <w:t>ΔΕΛΤΙΟ ΤΥΠΟΥ</w:t>
      </w:r>
    </w:p>
    <w:p w14:paraId="2A18CC71" w14:textId="77777777" w:rsidR="00BF6947" w:rsidRDefault="00BF6947" w:rsidP="00BF6947">
      <w:pPr>
        <w:rPr>
          <w:rFonts w:ascii="Verdana" w:eastAsia="Malgun Gothic" w:hAnsi="Verdana" w:cs="Arial"/>
          <w:bCs/>
          <w:sz w:val="18"/>
          <w:szCs w:val="18"/>
          <w:lang w:val="el-GR"/>
        </w:rPr>
      </w:pPr>
    </w:p>
    <w:p w14:paraId="665E44FD" w14:textId="77777777" w:rsidR="002F43AC" w:rsidRPr="00F91EC4" w:rsidRDefault="002F43AC" w:rsidP="00BF6947">
      <w:pPr>
        <w:rPr>
          <w:rFonts w:ascii="Verdana" w:eastAsia="Malgun Gothic" w:hAnsi="Verdana" w:cs="Arial"/>
          <w:bCs/>
          <w:sz w:val="18"/>
          <w:szCs w:val="18"/>
          <w:lang w:val="el-GR"/>
        </w:rPr>
      </w:pPr>
    </w:p>
    <w:p w14:paraId="1467DE86" w14:textId="22B721E4" w:rsidR="00BF6947" w:rsidRPr="00F91EC4" w:rsidRDefault="007D0182" w:rsidP="007D0182">
      <w:pPr>
        <w:keepNext/>
        <w:spacing w:line="276" w:lineRule="auto"/>
        <w:jc w:val="center"/>
        <w:outlineLvl w:val="5"/>
        <w:rPr>
          <w:rFonts w:ascii="Verdana" w:eastAsia="Times New Roman" w:hAnsi="Verdana"/>
          <w:bCs/>
          <w:u w:val="single"/>
          <w:shd w:val="clear" w:color="auto" w:fill="FFFFFF"/>
          <w:lang w:val="el-GR"/>
        </w:rPr>
      </w:pPr>
      <w:r w:rsidRPr="00F91EC4">
        <w:rPr>
          <w:rFonts w:ascii="Verdana" w:eastAsia="Times New Roman" w:hAnsi="Verdana"/>
          <w:bCs/>
          <w:u w:val="single"/>
          <w:shd w:val="clear" w:color="auto" w:fill="FFFFFF"/>
          <w:lang w:val="el-GR"/>
        </w:rPr>
        <w:t>ΣΤΑΤΙΣΤΙΚΕΣ ΕΞΩΤΕΡΙΚΟΥ ΕΜΠΟΡΙΟΥ ΤΗΣ ΚΥΠΡΟΥ 2021</w:t>
      </w:r>
    </w:p>
    <w:p w14:paraId="1ECEBE71" w14:textId="1C248E4A" w:rsidR="0045602C" w:rsidRPr="00F91EC4" w:rsidRDefault="0045602C" w:rsidP="00BF6947">
      <w:pPr>
        <w:rPr>
          <w:rFonts w:ascii="Verdana" w:eastAsia="Malgun Gothic" w:hAnsi="Verdana" w:cs="Arial"/>
          <w:b/>
          <w:sz w:val="18"/>
          <w:szCs w:val="18"/>
          <w:u w:val="single"/>
          <w:lang w:val="el-GR"/>
        </w:rPr>
      </w:pPr>
    </w:p>
    <w:p w14:paraId="5B548692" w14:textId="77777777" w:rsidR="00522D4E" w:rsidRPr="00F91EC4" w:rsidRDefault="00522D4E" w:rsidP="00BF6947">
      <w:pPr>
        <w:rPr>
          <w:rFonts w:ascii="Verdana" w:eastAsia="Malgun Gothic" w:hAnsi="Verdana" w:cs="Arial"/>
          <w:b/>
          <w:sz w:val="18"/>
          <w:szCs w:val="18"/>
          <w:u w:val="single"/>
          <w:lang w:val="el-GR"/>
        </w:rPr>
      </w:pPr>
    </w:p>
    <w:p w14:paraId="190FE4F4" w14:textId="7D255B2B" w:rsidR="005B61B2" w:rsidRPr="00F91EC4" w:rsidRDefault="005B61B2" w:rsidP="005B61B2">
      <w:pPr>
        <w:jc w:val="center"/>
        <w:rPr>
          <w:rFonts w:ascii="Verdana" w:eastAsia="Malgun Gothic" w:hAnsi="Verdana" w:cs="Arial"/>
          <w:b/>
          <w:lang w:val="el-GR"/>
        </w:rPr>
      </w:pPr>
      <w:r w:rsidRPr="00F91EC4">
        <w:rPr>
          <w:rFonts w:ascii="Verdana" w:eastAsia="Malgun Gothic" w:hAnsi="Verdana" w:cs="Arial"/>
          <w:b/>
          <w:lang w:val="el-GR"/>
        </w:rPr>
        <w:t>Ετήσια Μεταβολή +</w:t>
      </w:r>
      <w:r w:rsidR="007C113F" w:rsidRPr="00F91EC4">
        <w:rPr>
          <w:rFonts w:ascii="Verdana" w:eastAsia="Malgun Gothic" w:hAnsi="Verdana" w:cs="Arial"/>
          <w:b/>
          <w:lang w:val="el-GR"/>
        </w:rPr>
        <w:t>14,2</w:t>
      </w:r>
      <w:r w:rsidRPr="00F91EC4">
        <w:rPr>
          <w:rFonts w:ascii="Verdana" w:eastAsia="Malgun Gothic" w:hAnsi="Verdana" w:cs="Arial"/>
          <w:b/>
          <w:lang w:val="el-GR"/>
        </w:rPr>
        <w:t>% στις Εισαγωγές και +</w:t>
      </w:r>
      <w:r w:rsidR="000E20BA" w:rsidRPr="00F91EC4">
        <w:rPr>
          <w:rFonts w:ascii="Verdana" w:eastAsia="Malgun Gothic" w:hAnsi="Verdana" w:cs="Arial"/>
          <w:b/>
          <w:lang w:val="el-GR"/>
        </w:rPr>
        <w:t>23,3</w:t>
      </w:r>
      <w:r w:rsidRPr="00F91EC4">
        <w:rPr>
          <w:rFonts w:ascii="Verdana" w:eastAsia="Malgun Gothic" w:hAnsi="Verdana" w:cs="Arial"/>
          <w:b/>
          <w:lang w:val="el-GR"/>
        </w:rPr>
        <w:t xml:space="preserve">% στις Εξαγωγές </w:t>
      </w:r>
    </w:p>
    <w:p w14:paraId="11CF33B1" w14:textId="77777777" w:rsidR="005B61B2" w:rsidRPr="00F91EC4" w:rsidRDefault="005B61B2" w:rsidP="005B61B2">
      <w:pPr>
        <w:tabs>
          <w:tab w:val="left" w:pos="709"/>
        </w:tabs>
        <w:jc w:val="both"/>
        <w:rPr>
          <w:rFonts w:ascii="Verdana" w:eastAsia="Times New Roman" w:hAnsi="Verdana"/>
          <w:bCs/>
          <w:w w:val="110"/>
          <w:sz w:val="18"/>
          <w:szCs w:val="18"/>
          <w:lang w:val="el-GR"/>
        </w:rPr>
      </w:pPr>
    </w:p>
    <w:p w14:paraId="16684AE1" w14:textId="77777777" w:rsidR="00650324" w:rsidRDefault="005B61B2" w:rsidP="00650324">
      <w:pPr>
        <w:pStyle w:val="ListParagraph"/>
        <w:ind w:left="0"/>
        <w:jc w:val="both"/>
        <w:rPr>
          <w:rFonts w:ascii="Verdana" w:hAnsi="Verdana"/>
          <w:sz w:val="18"/>
          <w:szCs w:val="18"/>
          <w:shd w:val="clear" w:color="auto" w:fill="FFFFFF"/>
          <w:lang w:val="el-GR"/>
        </w:rPr>
      </w:pPr>
      <w:r w:rsidRPr="00AB0664">
        <w:rPr>
          <w:rFonts w:ascii="Verdana" w:hAnsi="Verdana"/>
          <w:sz w:val="18"/>
          <w:szCs w:val="18"/>
          <w:shd w:val="clear" w:color="auto" w:fill="FFFFFF"/>
          <w:lang w:val="el-GR"/>
        </w:rPr>
        <w:t xml:space="preserve">       </w:t>
      </w:r>
    </w:p>
    <w:p w14:paraId="669DCB7E" w14:textId="552C0FD5" w:rsidR="00CD3B6B" w:rsidRPr="00AB0664" w:rsidRDefault="00CD3B6B" w:rsidP="00650324">
      <w:pPr>
        <w:pStyle w:val="ListParagraph"/>
        <w:ind w:left="0"/>
        <w:jc w:val="both"/>
        <w:rPr>
          <w:rFonts w:ascii="Verdana" w:hAnsi="Verdana"/>
          <w:sz w:val="18"/>
          <w:szCs w:val="18"/>
          <w:shd w:val="clear" w:color="auto" w:fill="FFFFFF"/>
          <w:lang w:val="el-GR"/>
        </w:rPr>
      </w:pPr>
      <w:r w:rsidRPr="00AB0664">
        <w:rPr>
          <w:rFonts w:ascii="Verdana" w:hAnsi="Verdana"/>
          <w:sz w:val="18"/>
          <w:szCs w:val="18"/>
          <w:shd w:val="clear" w:color="auto" w:fill="FFFFFF"/>
          <w:lang w:val="el-GR"/>
        </w:rPr>
        <w:t xml:space="preserve">Η Στατιστική Υπηρεσία ανακοινώνει την έκδοση της ετήσιας </w:t>
      </w:r>
      <w:r w:rsidRPr="00F91EC4">
        <w:rPr>
          <w:rFonts w:ascii="Verdana" w:hAnsi="Verdana"/>
          <w:sz w:val="18"/>
          <w:szCs w:val="18"/>
          <w:shd w:val="clear" w:color="auto" w:fill="FFFFFF"/>
          <w:lang w:val="el-GR"/>
        </w:rPr>
        <w:t>έκθεση</w:t>
      </w:r>
      <w:r>
        <w:rPr>
          <w:rFonts w:ascii="Verdana" w:hAnsi="Verdana"/>
          <w:sz w:val="18"/>
          <w:szCs w:val="18"/>
          <w:shd w:val="clear" w:color="auto" w:fill="FFFFFF"/>
          <w:lang w:val="el-GR"/>
        </w:rPr>
        <w:t>ς</w:t>
      </w:r>
      <w:r w:rsidRPr="00F91EC4">
        <w:rPr>
          <w:rFonts w:ascii="Verdana" w:hAnsi="Verdana"/>
          <w:sz w:val="18"/>
          <w:szCs w:val="18"/>
          <w:shd w:val="clear" w:color="auto" w:fill="FFFFFF"/>
          <w:lang w:val="el-GR"/>
        </w:rPr>
        <w:t xml:space="preserve"> ‘Στατιστικές Εξωτερικού Εμπορίου της Κύπρου (Τόμοι Ι-IV)’ για το 2021</w:t>
      </w:r>
      <w:r>
        <w:rPr>
          <w:rFonts w:ascii="Verdana" w:hAnsi="Verdana"/>
          <w:sz w:val="18"/>
          <w:szCs w:val="18"/>
          <w:shd w:val="clear" w:color="auto" w:fill="FFFFFF"/>
          <w:lang w:val="el-GR"/>
        </w:rPr>
        <w:t xml:space="preserve">, η οποία περιέχει αναλυτικά στοιχεία κατά προϊόν σε οκτώ ψηφία ανάλυσης της </w:t>
      </w:r>
      <w:r w:rsidR="00EB145F">
        <w:rPr>
          <w:rFonts w:ascii="Verdana" w:hAnsi="Verdana"/>
          <w:sz w:val="18"/>
          <w:szCs w:val="18"/>
          <w:shd w:val="clear" w:color="auto" w:fill="FFFFFF"/>
          <w:lang w:val="el-GR"/>
        </w:rPr>
        <w:t>Συνδυασμένης</w:t>
      </w:r>
      <w:r w:rsidR="00D06D9D">
        <w:rPr>
          <w:rFonts w:ascii="Verdana" w:hAnsi="Verdana"/>
          <w:sz w:val="18"/>
          <w:szCs w:val="18"/>
          <w:shd w:val="clear" w:color="auto" w:fill="FFFFFF"/>
          <w:lang w:val="el-GR"/>
        </w:rPr>
        <w:t xml:space="preserve"> Ονοματολογίας</w:t>
      </w:r>
      <w:r>
        <w:rPr>
          <w:rFonts w:ascii="Verdana" w:hAnsi="Verdana"/>
          <w:sz w:val="18"/>
          <w:szCs w:val="18"/>
          <w:shd w:val="clear" w:color="auto" w:fill="FFFFFF"/>
          <w:lang w:val="el-GR"/>
        </w:rPr>
        <w:t xml:space="preserve"> και κατά κύριους εμπορικούς εταίρους.</w:t>
      </w:r>
    </w:p>
    <w:p w14:paraId="1DCE54E4" w14:textId="77777777" w:rsidR="00CD3B6B" w:rsidRPr="00AB0664" w:rsidRDefault="00CD3B6B" w:rsidP="00650324">
      <w:pPr>
        <w:pStyle w:val="ListParagraph"/>
        <w:ind w:left="0"/>
        <w:jc w:val="both"/>
        <w:rPr>
          <w:rFonts w:ascii="Verdana" w:hAnsi="Verdana"/>
          <w:sz w:val="18"/>
          <w:szCs w:val="18"/>
          <w:shd w:val="clear" w:color="auto" w:fill="FFFFFF"/>
          <w:lang w:val="el-GR"/>
        </w:rPr>
      </w:pPr>
    </w:p>
    <w:p w14:paraId="54FED8FA" w14:textId="22C294AC" w:rsidR="005B61B2" w:rsidRPr="00F91EC4" w:rsidRDefault="005B61B2" w:rsidP="00650324">
      <w:pPr>
        <w:pStyle w:val="ListParagraph"/>
        <w:ind w:left="0"/>
        <w:jc w:val="both"/>
        <w:rPr>
          <w:rFonts w:ascii="Verdana" w:hAnsi="Verdana"/>
          <w:sz w:val="18"/>
          <w:szCs w:val="18"/>
          <w:shd w:val="clear" w:color="auto" w:fill="FFFFFF"/>
          <w:lang w:val="el-GR"/>
        </w:rPr>
      </w:pPr>
      <w:r w:rsidRPr="00F91EC4">
        <w:rPr>
          <w:rFonts w:ascii="Verdana" w:hAnsi="Verdana"/>
          <w:sz w:val="18"/>
          <w:szCs w:val="18"/>
          <w:shd w:val="clear" w:color="auto" w:fill="FFFFFF"/>
          <w:lang w:val="el-GR"/>
        </w:rPr>
        <w:t xml:space="preserve">Οι συνολικές εισαγωγές αγαθών </w:t>
      </w:r>
      <w:r w:rsidR="00AB53FA" w:rsidRPr="00F91EC4">
        <w:rPr>
          <w:rFonts w:ascii="Verdana" w:hAnsi="Verdana"/>
          <w:sz w:val="18"/>
          <w:szCs w:val="18"/>
          <w:shd w:val="clear" w:color="auto" w:fill="FFFFFF"/>
          <w:lang w:val="el-GR"/>
        </w:rPr>
        <w:t>το 2021</w:t>
      </w:r>
      <w:r w:rsidRPr="00F91EC4">
        <w:rPr>
          <w:rFonts w:ascii="Verdana" w:hAnsi="Verdana"/>
          <w:sz w:val="18"/>
          <w:szCs w:val="18"/>
          <w:shd w:val="clear" w:color="auto" w:fill="FFFFFF"/>
          <w:lang w:val="el-GR"/>
        </w:rPr>
        <w:t xml:space="preserve"> ήταν €</w:t>
      </w:r>
      <w:r w:rsidR="007C113F" w:rsidRPr="00F91EC4">
        <w:rPr>
          <w:rFonts w:ascii="Verdana" w:hAnsi="Verdana"/>
          <w:sz w:val="18"/>
          <w:szCs w:val="18"/>
          <w:shd w:val="clear" w:color="auto" w:fill="FFFFFF"/>
          <w:lang w:val="el-GR"/>
        </w:rPr>
        <w:t xml:space="preserve">8.726,3 </w:t>
      </w:r>
      <w:r w:rsidRPr="00F91EC4">
        <w:rPr>
          <w:rFonts w:ascii="Verdana" w:hAnsi="Verdana"/>
          <w:sz w:val="18"/>
          <w:szCs w:val="18"/>
          <w:shd w:val="clear" w:color="auto" w:fill="FFFFFF"/>
          <w:lang w:val="el-GR"/>
        </w:rPr>
        <w:t>εκ. σε σύγκριση με €</w:t>
      </w:r>
      <w:r w:rsidR="007C113F" w:rsidRPr="00F91EC4">
        <w:rPr>
          <w:rFonts w:ascii="Verdana" w:hAnsi="Verdana"/>
          <w:sz w:val="18"/>
          <w:szCs w:val="18"/>
          <w:shd w:val="clear" w:color="auto" w:fill="FFFFFF"/>
          <w:lang w:val="el-GR"/>
        </w:rPr>
        <w:t>7.642,1</w:t>
      </w:r>
      <w:r w:rsidRPr="00F91EC4">
        <w:rPr>
          <w:rFonts w:ascii="Verdana" w:hAnsi="Verdana"/>
          <w:sz w:val="18"/>
          <w:szCs w:val="18"/>
          <w:shd w:val="clear" w:color="auto" w:fill="FFFFFF"/>
          <w:lang w:val="el-GR"/>
        </w:rPr>
        <w:t xml:space="preserve"> εκ. </w:t>
      </w:r>
      <w:r w:rsidR="00AB53FA" w:rsidRPr="00F91EC4">
        <w:rPr>
          <w:rFonts w:ascii="Verdana" w:hAnsi="Verdana"/>
          <w:sz w:val="18"/>
          <w:szCs w:val="18"/>
          <w:shd w:val="clear" w:color="auto" w:fill="FFFFFF"/>
          <w:lang w:val="el-GR"/>
        </w:rPr>
        <w:t>το</w:t>
      </w:r>
      <w:r w:rsidRPr="00F91EC4">
        <w:rPr>
          <w:rFonts w:ascii="Verdana" w:hAnsi="Verdana"/>
          <w:sz w:val="18"/>
          <w:szCs w:val="18"/>
          <w:shd w:val="clear" w:color="auto" w:fill="FFFFFF"/>
          <w:lang w:val="el-GR"/>
        </w:rPr>
        <w:t xml:space="preserve"> 202</w:t>
      </w:r>
      <w:r w:rsidR="00AB53FA" w:rsidRPr="00F91EC4">
        <w:rPr>
          <w:rFonts w:ascii="Verdana" w:hAnsi="Verdana"/>
          <w:sz w:val="18"/>
          <w:szCs w:val="18"/>
          <w:shd w:val="clear" w:color="auto" w:fill="FFFFFF"/>
          <w:lang w:val="el-GR"/>
        </w:rPr>
        <w:t>0</w:t>
      </w:r>
      <w:r w:rsidRPr="00F91EC4">
        <w:rPr>
          <w:rFonts w:ascii="Verdana" w:hAnsi="Verdana"/>
          <w:sz w:val="18"/>
          <w:szCs w:val="18"/>
          <w:shd w:val="clear" w:color="auto" w:fill="FFFFFF"/>
          <w:lang w:val="el-GR"/>
        </w:rPr>
        <w:t xml:space="preserve">, σημειώνοντας αύξηση </w:t>
      </w:r>
      <w:r w:rsidR="007C113F" w:rsidRPr="00F91EC4">
        <w:rPr>
          <w:rFonts w:ascii="Verdana" w:hAnsi="Verdana"/>
          <w:sz w:val="18"/>
          <w:szCs w:val="18"/>
          <w:shd w:val="clear" w:color="auto" w:fill="FFFFFF"/>
          <w:lang w:val="el-GR"/>
        </w:rPr>
        <w:t>14,2</w:t>
      </w:r>
      <w:r w:rsidRPr="00F91EC4">
        <w:rPr>
          <w:rFonts w:ascii="Verdana" w:hAnsi="Verdana"/>
          <w:sz w:val="18"/>
          <w:szCs w:val="18"/>
          <w:shd w:val="clear" w:color="auto" w:fill="FFFFFF"/>
          <w:lang w:val="el-GR"/>
        </w:rPr>
        <w:t xml:space="preserve">%. Οι συνολικές εξαγωγές αγαθών </w:t>
      </w:r>
      <w:r w:rsidR="00AB53FA" w:rsidRPr="00F91EC4">
        <w:rPr>
          <w:rFonts w:ascii="Verdana" w:hAnsi="Verdana"/>
          <w:sz w:val="18"/>
          <w:szCs w:val="18"/>
          <w:shd w:val="clear" w:color="auto" w:fill="FFFFFF"/>
          <w:lang w:val="el-GR"/>
        </w:rPr>
        <w:t>το</w:t>
      </w:r>
      <w:r w:rsidRPr="00F91EC4">
        <w:rPr>
          <w:rFonts w:ascii="Verdana" w:hAnsi="Verdana"/>
          <w:sz w:val="18"/>
          <w:szCs w:val="18"/>
          <w:shd w:val="clear" w:color="auto" w:fill="FFFFFF"/>
          <w:lang w:val="el-GR"/>
        </w:rPr>
        <w:t xml:space="preserve"> </w:t>
      </w:r>
      <w:r w:rsidR="00AB53FA" w:rsidRPr="00F91EC4">
        <w:rPr>
          <w:rFonts w:ascii="Verdana" w:hAnsi="Verdana"/>
          <w:sz w:val="18"/>
          <w:szCs w:val="18"/>
          <w:shd w:val="clear" w:color="auto" w:fill="FFFFFF"/>
          <w:lang w:val="el-GR"/>
        </w:rPr>
        <w:t>2021</w:t>
      </w:r>
      <w:r w:rsidRPr="00F91EC4">
        <w:rPr>
          <w:rFonts w:ascii="Verdana" w:hAnsi="Verdana"/>
          <w:sz w:val="18"/>
          <w:szCs w:val="18"/>
          <w:shd w:val="clear" w:color="auto" w:fill="FFFFFF"/>
          <w:lang w:val="el-GR"/>
        </w:rPr>
        <w:t xml:space="preserve"> ήταν €</w:t>
      </w:r>
      <w:r w:rsidR="007C113F" w:rsidRPr="00F91EC4">
        <w:rPr>
          <w:rFonts w:ascii="Verdana" w:hAnsi="Verdana"/>
          <w:sz w:val="18"/>
          <w:szCs w:val="18"/>
          <w:shd w:val="clear" w:color="auto" w:fill="FFFFFF"/>
          <w:lang w:val="el-GR"/>
        </w:rPr>
        <w:t>3.387,7</w:t>
      </w:r>
      <w:r w:rsidRPr="00F91EC4">
        <w:rPr>
          <w:rFonts w:ascii="Verdana" w:hAnsi="Verdana"/>
          <w:sz w:val="18"/>
          <w:szCs w:val="18"/>
          <w:shd w:val="clear" w:color="auto" w:fill="FFFFFF"/>
          <w:lang w:val="el-GR"/>
        </w:rPr>
        <w:t xml:space="preserve"> εκ. σε σύγκριση με €</w:t>
      </w:r>
      <w:r w:rsidR="007C113F" w:rsidRPr="00F91EC4">
        <w:rPr>
          <w:rFonts w:ascii="Verdana" w:hAnsi="Verdana"/>
          <w:sz w:val="18"/>
          <w:szCs w:val="18"/>
          <w:shd w:val="clear" w:color="auto" w:fill="FFFFFF"/>
          <w:lang w:val="el-GR"/>
        </w:rPr>
        <w:t>2.746,6</w:t>
      </w:r>
      <w:r w:rsidRPr="00F91EC4">
        <w:rPr>
          <w:rFonts w:ascii="Verdana" w:hAnsi="Verdana"/>
          <w:sz w:val="18"/>
          <w:szCs w:val="18"/>
          <w:shd w:val="clear" w:color="auto" w:fill="FFFFFF"/>
          <w:lang w:val="el-GR"/>
        </w:rPr>
        <w:t xml:space="preserve"> εκ. </w:t>
      </w:r>
      <w:r w:rsidR="00AB53FA" w:rsidRPr="00F91EC4">
        <w:rPr>
          <w:rFonts w:ascii="Verdana" w:hAnsi="Verdana"/>
          <w:sz w:val="18"/>
          <w:szCs w:val="18"/>
          <w:shd w:val="clear" w:color="auto" w:fill="FFFFFF"/>
          <w:lang w:val="el-GR"/>
        </w:rPr>
        <w:t>το 2020</w:t>
      </w:r>
      <w:r w:rsidRPr="00F91EC4">
        <w:rPr>
          <w:rFonts w:ascii="Verdana" w:hAnsi="Verdana"/>
          <w:sz w:val="18"/>
          <w:szCs w:val="18"/>
          <w:shd w:val="clear" w:color="auto" w:fill="FFFFFF"/>
          <w:lang w:val="el-GR"/>
        </w:rPr>
        <w:t xml:space="preserve">, σημειώνοντας αύξηση </w:t>
      </w:r>
      <w:r w:rsidR="007C113F" w:rsidRPr="00F91EC4">
        <w:rPr>
          <w:rFonts w:ascii="Verdana" w:hAnsi="Verdana"/>
          <w:sz w:val="18"/>
          <w:szCs w:val="18"/>
          <w:shd w:val="clear" w:color="auto" w:fill="FFFFFF"/>
          <w:lang w:val="el-GR"/>
        </w:rPr>
        <w:t>23,3</w:t>
      </w:r>
      <w:r w:rsidRPr="00F91EC4">
        <w:rPr>
          <w:rFonts w:ascii="Verdana" w:hAnsi="Verdana"/>
          <w:sz w:val="18"/>
          <w:szCs w:val="18"/>
          <w:shd w:val="clear" w:color="auto" w:fill="FFFFFF"/>
          <w:lang w:val="el-GR"/>
        </w:rPr>
        <w:t>%. Το έλλειμμα του εμπορικού ισοζυγίου ήταν €</w:t>
      </w:r>
      <w:r w:rsidR="000E20BA" w:rsidRPr="00F91EC4">
        <w:rPr>
          <w:rFonts w:ascii="Verdana" w:hAnsi="Verdana"/>
          <w:sz w:val="18"/>
          <w:szCs w:val="18"/>
          <w:shd w:val="clear" w:color="auto" w:fill="FFFFFF"/>
          <w:lang w:val="el-GR"/>
        </w:rPr>
        <w:t>5.338,6</w:t>
      </w:r>
      <w:r w:rsidRPr="00F91EC4">
        <w:rPr>
          <w:rFonts w:ascii="Verdana" w:hAnsi="Verdana"/>
          <w:sz w:val="18"/>
          <w:szCs w:val="18"/>
          <w:shd w:val="clear" w:color="auto" w:fill="FFFFFF"/>
          <w:lang w:val="el-GR"/>
        </w:rPr>
        <w:t xml:space="preserve"> εκ. </w:t>
      </w:r>
      <w:r w:rsidR="00AB53FA" w:rsidRPr="00F91EC4">
        <w:rPr>
          <w:rFonts w:ascii="Verdana" w:hAnsi="Verdana"/>
          <w:sz w:val="18"/>
          <w:szCs w:val="18"/>
          <w:shd w:val="clear" w:color="auto" w:fill="FFFFFF"/>
          <w:lang w:val="el-GR"/>
        </w:rPr>
        <w:t xml:space="preserve">το </w:t>
      </w:r>
      <w:r w:rsidRPr="00F91EC4">
        <w:rPr>
          <w:rFonts w:ascii="Verdana" w:hAnsi="Verdana"/>
          <w:sz w:val="18"/>
          <w:szCs w:val="18"/>
          <w:shd w:val="clear" w:color="auto" w:fill="FFFFFF"/>
          <w:lang w:val="el-GR"/>
        </w:rPr>
        <w:t>202</w:t>
      </w:r>
      <w:r w:rsidR="00AB53FA" w:rsidRPr="00F91EC4">
        <w:rPr>
          <w:rFonts w:ascii="Verdana" w:hAnsi="Verdana"/>
          <w:sz w:val="18"/>
          <w:szCs w:val="18"/>
          <w:shd w:val="clear" w:color="auto" w:fill="FFFFFF"/>
          <w:lang w:val="el-GR"/>
        </w:rPr>
        <w:t>1</w:t>
      </w:r>
      <w:r w:rsidRPr="00F91EC4">
        <w:rPr>
          <w:rFonts w:ascii="Verdana" w:hAnsi="Verdana"/>
          <w:sz w:val="18"/>
          <w:szCs w:val="18"/>
          <w:shd w:val="clear" w:color="auto" w:fill="FFFFFF"/>
          <w:lang w:val="el-GR"/>
        </w:rPr>
        <w:t xml:space="preserve"> σε σύγκριση με €</w:t>
      </w:r>
      <w:r w:rsidR="000E20BA" w:rsidRPr="00F91EC4">
        <w:rPr>
          <w:rFonts w:ascii="Verdana" w:hAnsi="Verdana"/>
          <w:sz w:val="18"/>
          <w:szCs w:val="18"/>
          <w:shd w:val="clear" w:color="auto" w:fill="FFFFFF"/>
          <w:lang w:val="el-GR"/>
        </w:rPr>
        <w:t>4.895,5</w:t>
      </w:r>
      <w:r w:rsidRPr="00F91EC4">
        <w:rPr>
          <w:rFonts w:ascii="Verdana" w:hAnsi="Verdana"/>
          <w:sz w:val="18"/>
          <w:szCs w:val="18"/>
          <w:shd w:val="clear" w:color="auto" w:fill="FFFFFF"/>
          <w:lang w:val="el-GR"/>
        </w:rPr>
        <w:t xml:space="preserve"> εκ. τ</w:t>
      </w:r>
      <w:r w:rsidR="00AB53FA" w:rsidRPr="00F91EC4">
        <w:rPr>
          <w:rFonts w:ascii="Verdana" w:hAnsi="Verdana"/>
          <w:sz w:val="18"/>
          <w:szCs w:val="18"/>
          <w:shd w:val="clear" w:color="auto" w:fill="FFFFFF"/>
          <w:lang w:val="el-GR"/>
        </w:rPr>
        <w:t>ο 2020</w:t>
      </w:r>
      <w:r w:rsidRPr="00F91EC4">
        <w:rPr>
          <w:rFonts w:ascii="Verdana" w:hAnsi="Verdana"/>
          <w:sz w:val="18"/>
          <w:szCs w:val="18"/>
          <w:shd w:val="clear" w:color="auto" w:fill="FFFFFF"/>
          <w:lang w:val="el-GR"/>
        </w:rPr>
        <w:t xml:space="preserve">.  </w:t>
      </w:r>
    </w:p>
    <w:p w14:paraId="4FD6DA31" w14:textId="77777777" w:rsidR="005B61B2" w:rsidRPr="00F91EC4" w:rsidRDefault="005B61B2" w:rsidP="00650324">
      <w:pPr>
        <w:pStyle w:val="ListParagraph"/>
        <w:ind w:left="0"/>
        <w:jc w:val="both"/>
        <w:rPr>
          <w:rFonts w:ascii="Verdana" w:hAnsi="Verdana"/>
          <w:sz w:val="18"/>
          <w:szCs w:val="18"/>
          <w:shd w:val="clear" w:color="auto" w:fill="FFFFFF"/>
          <w:lang w:val="el-GR"/>
        </w:rPr>
      </w:pPr>
    </w:p>
    <w:p w14:paraId="007D6ECF" w14:textId="7A07CD25" w:rsidR="005B61B2" w:rsidRPr="00F91EC4" w:rsidRDefault="005B61B2" w:rsidP="00650324">
      <w:pPr>
        <w:pStyle w:val="BodyTextIndent"/>
        <w:tabs>
          <w:tab w:val="left" w:pos="142"/>
        </w:tabs>
        <w:spacing w:after="0" w:line="240" w:lineRule="auto"/>
        <w:ind w:left="0"/>
        <w:jc w:val="both"/>
        <w:rPr>
          <w:rFonts w:ascii="Verdana" w:hAnsi="Verdana"/>
          <w:sz w:val="18"/>
          <w:szCs w:val="18"/>
          <w:shd w:val="clear" w:color="auto" w:fill="FFFFFF"/>
          <w:lang w:val="el-GR"/>
        </w:rPr>
      </w:pPr>
      <w:r w:rsidRPr="00F91EC4">
        <w:rPr>
          <w:rFonts w:ascii="Verdana" w:hAnsi="Verdana"/>
          <w:sz w:val="18"/>
          <w:szCs w:val="18"/>
          <w:shd w:val="clear" w:color="auto" w:fill="FFFFFF"/>
          <w:lang w:val="el-GR"/>
        </w:rPr>
        <w:t>Η Ευρωπαϊκή Ένωση ήταν η κύρια πηγή προμήθειας αγαθών προς την Κύπρο με μερίδιο €</w:t>
      </w:r>
      <w:r w:rsidR="000E20BA" w:rsidRPr="00F91EC4">
        <w:rPr>
          <w:rFonts w:ascii="Verdana" w:hAnsi="Verdana"/>
          <w:sz w:val="18"/>
          <w:szCs w:val="18"/>
          <w:shd w:val="clear" w:color="auto" w:fill="FFFFFF"/>
          <w:lang w:val="el-GR"/>
        </w:rPr>
        <w:t>5.704,9</w:t>
      </w:r>
      <w:r w:rsidRPr="00F91EC4">
        <w:rPr>
          <w:rFonts w:ascii="Verdana" w:hAnsi="Verdana"/>
          <w:sz w:val="18"/>
          <w:szCs w:val="18"/>
          <w:shd w:val="clear" w:color="auto" w:fill="FFFFFF"/>
          <w:lang w:val="el-GR"/>
        </w:rPr>
        <w:t xml:space="preserve"> εκ. επί των συνολικών εισαγωγών, ενώ οι εισαγωγές από τις υπόλοιπες ευρωπαϊκές χώρες ήταν €</w:t>
      </w:r>
      <w:r w:rsidR="000E20BA" w:rsidRPr="00F91EC4">
        <w:rPr>
          <w:rFonts w:ascii="Verdana" w:hAnsi="Verdana"/>
          <w:sz w:val="18"/>
          <w:szCs w:val="18"/>
          <w:shd w:val="clear" w:color="auto" w:fill="FFFFFF"/>
          <w:lang w:val="el-GR"/>
        </w:rPr>
        <w:t>652,5</w:t>
      </w:r>
      <w:r w:rsidRPr="00F91EC4">
        <w:rPr>
          <w:rFonts w:ascii="Verdana" w:hAnsi="Verdana"/>
          <w:sz w:val="18"/>
          <w:szCs w:val="18"/>
          <w:shd w:val="clear" w:color="auto" w:fill="FFFFFF"/>
          <w:lang w:val="el-GR"/>
        </w:rPr>
        <w:t xml:space="preserve"> εκ. </w:t>
      </w:r>
      <w:r w:rsidR="00AB53FA" w:rsidRPr="00F91EC4">
        <w:rPr>
          <w:rFonts w:ascii="Verdana" w:hAnsi="Verdana"/>
          <w:sz w:val="18"/>
          <w:szCs w:val="18"/>
          <w:shd w:val="clear" w:color="auto" w:fill="FFFFFF"/>
          <w:lang w:val="el-GR"/>
        </w:rPr>
        <w:t>κατά το 2021</w:t>
      </w:r>
      <w:r w:rsidRPr="00F91EC4">
        <w:rPr>
          <w:rFonts w:ascii="Verdana" w:hAnsi="Verdana"/>
          <w:sz w:val="18"/>
          <w:szCs w:val="18"/>
          <w:shd w:val="clear" w:color="auto" w:fill="FFFFFF"/>
          <w:lang w:val="el-GR"/>
        </w:rPr>
        <w:t>. Οι εισαγωγές από τις υπόλοιπες χώρες του κόσμου ήταν €</w:t>
      </w:r>
      <w:r w:rsidR="000E20BA" w:rsidRPr="00F91EC4">
        <w:rPr>
          <w:rFonts w:ascii="Verdana" w:hAnsi="Verdana"/>
          <w:sz w:val="18"/>
          <w:szCs w:val="18"/>
          <w:shd w:val="clear" w:color="auto" w:fill="FFFFFF"/>
          <w:lang w:val="el-GR"/>
        </w:rPr>
        <w:t>2.368,9</w:t>
      </w:r>
      <w:r w:rsidRPr="00F91EC4">
        <w:rPr>
          <w:rFonts w:ascii="Verdana" w:hAnsi="Verdana"/>
          <w:sz w:val="18"/>
          <w:szCs w:val="18"/>
          <w:shd w:val="clear" w:color="auto" w:fill="FFFFFF"/>
          <w:lang w:val="el-GR"/>
        </w:rPr>
        <w:t xml:space="preserve"> εκ.       </w:t>
      </w:r>
    </w:p>
    <w:p w14:paraId="133860EC" w14:textId="77777777" w:rsidR="00650324" w:rsidRDefault="00650324" w:rsidP="00650324">
      <w:pPr>
        <w:pStyle w:val="BodyTextIndent"/>
        <w:spacing w:after="0" w:line="240" w:lineRule="auto"/>
        <w:ind w:left="0"/>
        <w:jc w:val="both"/>
        <w:rPr>
          <w:rFonts w:ascii="Verdana" w:hAnsi="Verdana"/>
          <w:sz w:val="18"/>
          <w:szCs w:val="18"/>
          <w:shd w:val="clear" w:color="auto" w:fill="FFFFFF"/>
          <w:lang w:val="el-GR"/>
        </w:rPr>
      </w:pPr>
    </w:p>
    <w:p w14:paraId="6710A8FA" w14:textId="08C1F09D" w:rsidR="005B61B2" w:rsidRPr="00F91EC4" w:rsidRDefault="005B61B2" w:rsidP="00650324">
      <w:pPr>
        <w:pStyle w:val="BodyTextIndent"/>
        <w:spacing w:after="0" w:line="240" w:lineRule="auto"/>
        <w:ind w:left="0"/>
        <w:jc w:val="both"/>
        <w:rPr>
          <w:rFonts w:ascii="Verdana" w:hAnsi="Verdana"/>
          <w:sz w:val="18"/>
          <w:szCs w:val="18"/>
          <w:shd w:val="clear" w:color="auto" w:fill="FFFFFF"/>
          <w:lang w:val="el-GR"/>
        </w:rPr>
      </w:pPr>
      <w:r w:rsidRPr="00F91EC4">
        <w:rPr>
          <w:rFonts w:ascii="Verdana" w:hAnsi="Verdana"/>
          <w:sz w:val="18"/>
          <w:szCs w:val="18"/>
          <w:shd w:val="clear" w:color="auto" w:fill="FFFFFF"/>
          <w:lang w:val="el-GR"/>
        </w:rPr>
        <w:t>Οι εξαγωγές προς την Ευρωπαϊκή Ένωση ανήλθαν σε €</w:t>
      </w:r>
      <w:r w:rsidR="000E20BA" w:rsidRPr="00F91EC4">
        <w:rPr>
          <w:rFonts w:ascii="Verdana" w:hAnsi="Verdana"/>
          <w:sz w:val="18"/>
          <w:szCs w:val="18"/>
          <w:shd w:val="clear" w:color="auto" w:fill="FFFFFF"/>
          <w:lang w:val="el-GR"/>
        </w:rPr>
        <w:t>939,4</w:t>
      </w:r>
      <w:r w:rsidRPr="00F91EC4">
        <w:rPr>
          <w:rFonts w:ascii="Verdana" w:hAnsi="Verdana"/>
          <w:sz w:val="18"/>
          <w:szCs w:val="18"/>
          <w:shd w:val="clear" w:color="auto" w:fill="FFFFFF"/>
          <w:lang w:val="el-GR"/>
        </w:rPr>
        <w:t xml:space="preserve"> εκ., ενώ οι εξαγωγές προς τις υπόλοιπες ευρωπαϊκές χώρες ήταν €</w:t>
      </w:r>
      <w:r w:rsidR="000E20BA" w:rsidRPr="00F91EC4">
        <w:rPr>
          <w:rFonts w:ascii="Verdana" w:hAnsi="Verdana"/>
          <w:sz w:val="18"/>
          <w:szCs w:val="18"/>
          <w:shd w:val="clear" w:color="auto" w:fill="FFFFFF"/>
          <w:lang w:val="el-GR"/>
        </w:rPr>
        <w:t>425,7</w:t>
      </w:r>
      <w:r w:rsidRPr="00F91EC4">
        <w:rPr>
          <w:rFonts w:ascii="Verdana" w:hAnsi="Verdana"/>
          <w:sz w:val="18"/>
          <w:szCs w:val="18"/>
          <w:shd w:val="clear" w:color="auto" w:fill="FFFFFF"/>
          <w:lang w:val="el-GR"/>
        </w:rPr>
        <w:t xml:space="preserve"> εκ. κατά </w:t>
      </w:r>
      <w:r w:rsidR="00AB53FA" w:rsidRPr="00F91EC4">
        <w:rPr>
          <w:rFonts w:ascii="Verdana" w:hAnsi="Verdana"/>
          <w:sz w:val="18"/>
          <w:szCs w:val="18"/>
          <w:shd w:val="clear" w:color="auto" w:fill="FFFFFF"/>
          <w:lang w:val="el-GR"/>
        </w:rPr>
        <w:t>το 2021</w:t>
      </w:r>
      <w:r w:rsidRPr="00F91EC4">
        <w:rPr>
          <w:rFonts w:ascii="Verdana" w:hAnsi="Verdana"/>
          <w:sz w:val="18"/>
          <w:szCs w:val="18"/>
          <w:shd w:val="clear" w:color="auto" w:fill="FFFFFF"/>
          <w:lang w:val="el-GR"/>
        </w:rPr>
        <w:t>. Οι εξαγωγές προς τις υπόλοιπες χώρες του κόσμου ήταν €</w:t>
      </w:r>
      <w:r w:rsidR="000E20BA" w:rsidRPr="00F91EC4">
        <w:rPr>
          <w:rFonts w:ascii="Verdana" w:hAnsi="Verdana"/>
          <w:sz w:val="18"/>
          <w:szCs w:val="18"/>
          <w:shd w:val="clear" w:color="auto" w:fill="FFFFFF"/>
          <w:lang w:val="el-GR"/>
        </w:rPr>
        <w:t>2.022,6</w:t>
      </w:r>
      <w:r w:rsidRPr="00F91EC4">
        <w:rPr>
          <w:rFonts w:ascii="Verdana" w:hAnsi="Verdana"/>
          <w:sz w:val="18"/>
          <w:szCs w:val="18"/>
          <w:shd w:val="clear" w:color="auto" w:fill="FFFFFF"/>
          <w:lang w:val="el-GR"/>
        </w:rPr>
        <w:t xml:space="preserve"> εκ.       </w:t>
      </w:r>
    </w:p>
    <w:p w14:paraId="774AF2B9" w14:textId="77777777" w:rsidR="00650324" w:rsidRDefault="00650324" w:rsidP="00650324">
      <w:pPr>
        <w:jc w:val="both"/>
        <w:rPr>
          <w:rFonts w:ascii="Verdana" w:hAnsi="Verdana"/>
          <w:sz w:val="18"/>
          <w:szCs w:val="18"/>
          <w:shd w:val="clear" w:color="auto" w:fill="FFFFFF"/>
          <w:lang w:val="el-GR"/>
        </w:rPr>
      </w:pPr>
    </w:p>
    <w:p w14:paraId="0B2F41AF" w14:textId="74EB05D0" w:rsidR="005B61B2" w:rsidRPr="00AB53FA" w:rsidRDefault="004D1F23" w:rsidP="00650324">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Η </w:t>
      </w:r>
      <w:r w:rsidR="002A0F52">
        <w:rPr>
          <w:rFonts w:ascii="Verdana" w:hAnsi="Verdana"/>
          <w:sz w:val="18"/>
          <w:szCs w:val="18"/>
          <w:shd w:val="clear" w:color="auto" w:fill="FFFFFF"/>
          <w:lang w:val="el-GR"/>
        </w:rPr>
        <w:t xml:space="preserve">ετήσια </w:t>
      </w:r>
      <w:r>
        <w:rPr>
          <w:rFonts w:ascii="Verdana" w:hAnsi="Verdana"/>
          <w:sz w:val="18"/>
          <w:szCs w:val="18"/>
          <w:shd w:val="clear" w:color="auto" w:fill="FFFFFF"/>
          <w:lang w:val="el-GR"/>
        </w:rPr>
        <w:t xml:space="preserve">έκθεση </w:t>
      </w:r>
      <w:r w:rsidR="005B61B2" w:rsidRPr="00F91EC4">
        <w:rPr>
          <w:rFonts w:ascii="Verdana" w:hAnsi="Verdana"/>
          <w:sz w:val="18"/>
          <w:szCs w:val="18"/>
          <w:shd w:val="clear" w:color="auto" w:fill="FFFFFF"/>
          <w:lang w:val="el-GR"/>
        </w:rPr>
        <w:t xml:space="preserve">είναι διαθέσιμη δωρεάν στην πύλη της Στατιστικής Υπηρεσίας, </w:t>
      </w:r>
      <w:r w:rsidR="004F55B1" w:rsidRPr="00F91EC4">
        <w:rPr>
          <w:rFonts w:ascii="Verdana" w:hAnsi="Verdana"/>
          <w:sz w:val="18"/>
          <w:szCs w:val="18"/>
          <w:shd w:val="clear" w:color="auto" w:fill="FFFFFF"/>
          <w:lang w:val="el-GR"/>
        </w:rPr>
        <w:t xml:space="preserve">κάτω από το υπόθεμα Εξωτερικό Εμπόριο, </w:t>
      </w:r>
      <w:r w:rsidR="005B61B2" w:rsidRPr="00F91EC4">
        <w:rPr>
          <w:rFonts w:ascii="Verdana" w:hAnsi="Verdana"/>
          <w:sz w:val="18"/>
          <w:szCs w:val="18"/>
          <w:shd w:val="clear" w:color="auto" w:fill="FFFFFF"/>
          <w:lang w:val="el-GR"/>
        </w:rPr>
        <w:t>στο μέρος Εκδόσεις.</w:t>
      </w:r>
    </w:p>
    <w:p w14:paraId="0A0F077C" w14:textId="77777777" w:rsidR="005B61B2" w:rsidRDefault="005B61B2" w:rsidP="005B61B2">
      <w:pPr>
        <w:pStyle w:val="ListParagraph"/>
        <w:ind w:left="57" w:right="57"/>
        <w:jc w:val="both"/>
        <w:rPr>
          <w:rFonts w:ascii="Arial" w:eastAsia="Times New Roman" w:hAnsi="Arial" w:cs="Arial"/>
          <w:color w:val="333333"/>
          <w:sz w:val="20"/>
          <w:szCs w:val="20"/>
          <w:lang w:val="el-GR" w:eastAsia="en-GB"/>
        </w:rPr>
      </w:pPr>
    </w:p>
    <w:p w14:paraId="7D9EC9C7" w14:textId="77777777" w:rsidR="005B61B2" w:rsidRPr="00072E28" w:rsidRDefault="005B61B2" w:rsidP="005B61B2">
      <w:pPr>
        <w:ind w:right="57"/>
        <w:jc w:val="both"/>
        <w:rPr>
          <w:rFonts w:ascii="Arial" w:eastAsia="Times New Roman" w:hAnsi="Arial" w:cs="Arial"/>
          <w:color w:val="333333"/>
          <w:sz w:val="20"/>
          <w:szCs w:val="20"/>
          <w:lang w:val="el-GR" w:eastAsia="en-GB"/>
        </w:rPr>
      </w:pPr>
      <w:r w:rsidRPr="00072E28">
        <w:rPr>
          <w:rFonts w:ascii="Arial" w:eastAsia="Times New Roman" w:hAnsi="Arial" w:cs="Arial"/>
          <w:color w:val="333333"/>
          <w:sz w:val="20"/>
          <w:szCs w:val="20"/>
          <w:lang w:val="el-GR" w:eastAsia="en-GB"/>
        </w:rPr>
        <w:t xml:space="preserve"> </w:t>
      </w:r>
    </w:p>
    <w:p w14:paraId="4FAFDE2A" w14:textId="77777777" w:rsidR="005B61B2" w:rsidRDefault="005B61B2" w:rsidP="005B61B2">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28EAC94D" w14:textId="77777777" w:rsidR="005B61B2" w:rsidRDefault="005B61B2" w:rsidP="005B61B2">
      <w:pPr>
        <w:pStyle w:val="BodyTextIndent"/>
        <w:spacing w:after="160"/>
        <w:ind w:left="0" w:hanging="284"/>
        <w:jc w:val="both"/>
        <w:rPr>
          <w:rFonts w:ascii="Verdana" w:hAnsi="Verdana"/>
          <w:sz w:val="18"/>
          <w:szCs w:val="18"/>
          <w:shd w:val="clear" w:color="auto" w:fill="FFFFFF"/>
          <w:lang w:val="el-GR"/>
        </w:rPr>
      </w:pPr>
    </w:p>
    <w:p w14:paraId="555B3283" w14:textId="708A0CB2" w:rsidR="007437AB" w:rsidRDefault="007437AB" w:rsidP="000E4CB0">
      <w:pPr>
        <w:jc w:val="both"/>
        <w:rPr>
          <w:rFonts w:ascii="Verdana" w:hAnsi="Verdana" w:cs="Arial"/>
          <w:sz w:val="18"/>
          <w:szCs w:val="18"/>
          <w:lang w:val="el-GR"/>
        </w:rPr>
      </w:pP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043B8477" w:rsidR="00EC2E65" w:rsidRPr="00C13CAD" w:rsidRDefault="00EC2E65" w:rsidP="00176F99">
      <w:pPr>
        <w:jc w:val="center"/>
        <w:rPr>
          <w:rFonts w:ascii="Verdana" w:hAnsi="Verdana" w:cs="Arial"/>
          <w:sz w:val="18"/>
          <w:szCs w:val="18"/>
          <w:lang w:val="el-GR"/>
        </w:rPr>
      </w:pPr>
    </w:p>
    <w:p w14:paraId="7F36B08F" w14:textId="7020505D" w:rsidR="00EC2E65" w:rsidRDefault="00EC2E65" w:rsidP="000E4CB0">
      <w:pPr>
        <w:jc w:val="both"/>
        <w:rPr>
          <w:rFonts w:ascii="Verdana" w:hAnsi="Verdana" w:cs="Arial"/>
          <w:sz w:val="18"/>
          <w:szCs w:val="18"/>
          <w:lang w:val="el-GR"/>
        </w:rPr>
      </w:pP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54726457" w14:textId="77777777" w:rsidR="004F55B1" w:rsidRDefault="004F55B1" w:rsidP="00176F99">
      <w:pPr>
        <w:jc w:val="both"/>
        <w:rPr>
          <w:rFonts w:ascii="Verdana" w:hAnsi="Verdana" w:cs="Arial"/>
          <w:sz w:val="18"/>
          <w:szCs w:val="18"/>
          <w:lang w:val="el-GR"/>
        </w:rPr>
      </w:pPr>
    </w:p>
    <w:p w14:paraId="2B1AC839" w14:textId="77777777" w:rsidR="004F55B1" w:rsidRDefault="004F55B1" w:rsidP="00176F99">
      <w:pPr>
        <w:jc w:val="both"/>
        <w:rPr>
          <w:rFonts w:ascii="Verdana" w:hAnsi="Verdana" w:cs="Arial"/>
          <w:sz w:val="18"/>
          <w:szCs w:val="18"/>
          <w:lang w:val="el-GR"/>
        </w:rPr>
      </w:pPr>
    </w:p>
    <w:p w14:paraId="71940961" w14:textId="77777777" w:rsidR="004F55B1" w:rsidRDefault="004F55B1"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4D846EF4" w14:textId="77777777" w:rsidR="00A6604D" w:rsidRDefault="00A6604D" w:rsidP="000E4CB0">
      <w:pPr>
        <w:jc w:val="both"/>
        <w:rPr>
          <w:rFonts w:ascii="Verdana" w:hAnsi="Verdana" w:cs="Arial"/>
          <w:sz w:val="18"/>
          <w:szCs w:val="18"/>
          <w:lang w:val="el-GR"/>
        </w:rPr>
      </w:pPr>
    </w:p>
    <w:p w14:paraId="049210C9" w14:textId="77777777" w:rsidR="00A6604D" w:rsidRDefault="00A6604D" w:rsidP="000E4CB0">
      <w:pPr>
        <w:jc w:val="both"/>
        <w:rPr>
          <w:rFonts w:ascii="Verdana" w:hAnsi="Verdana" w:cs="Arial"/>
          <w:sz w:val="18"/>
          <w:szCs w:val="18"/>
          <w:lang w:val="el-GR"/>
        </w:rPr>
      </w:pPr>
    </w:p>
    <w:p w14:paraId="2F3C4C20" w14:textId="77777777" w:rsidR="00A6604D" w:rsidRDefault="00A6604D"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8" w:history="1">
        <w:r w:rsidRPr="00D80DE5">
          <w:rPr>
            <w:rStyle w:val="Hyperlink"/>
            <w:rFonts w:ascii="Verdana" w:hAnsi="Verdana"/>
            <w:sz w:val="18"/>
            <w:szCs w:val="18"/>
            <w:lang w:val="el-GR"/>
          </w:rPr>
          <w:t>Εξωτερικό Εμπόριο</w:t>
        </w:r>
      </w:hyperlink>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16EC132A" w14:textId="099ED770" w:rsidR="006F22DE" w:rsidRPr="00F537B5" w:rsidRDefault="006F22DE" w:rsidP="007B08E7">
      <w:pPr>
        <w:jc w:val="both"/>
        <w:rPr>
          <w:rFonts w:ascii="Verdana" w:hAnsi="Verdana"/>
          <w:b/>
          <w:bCs/>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w:t>
      </w:r>
      <w:r w:rsidR="00703C4F" w:rsidRPr="00F537B5">
        <w:rPr>
          <w:rFonts w:ascii="Verdana" w:hAnsi="Verdana"/>
          <w:b/>
          <w:bCs/>
          <w:sz w:val="18"/>
          <w:szCs w:val="18"/>
          <w:lang w:val="el-GR"/>
        </w:rPr>
        <w:t>Δεκέμβριο</w:t>
      </w:r>
      <w:r w:rsidRPr="00F537B5">
        <w:rPr>
          <w:rFonts w:ascii="Verdana" w:hAnsi="Verdana"/>
          <w:b/>
          <w:bCs/>
          <w:sz w:val="18"/>
          <w:szCs w:val="18"/>
          <w:lang w:val="el-GR"/>
        </w:rPr>
        <w:t xml:space="preserve"> 202</w:t>
      </w:r>
      <w:r w:rsidR="00703C4F" w:rsidRPr="00F537B5">
        <w:rPr>
          <w:rFonts w:ascii="Verdana" w:hAnsi="Verdana"/>
          <w:b/>
          <w:bCs/>
          <w:sz w:val="18"/>
          <w:szCs w:val="18"/>
          <w:lang w:val="el-GR"/>
        </w:rPr>
        <w:t>2</w:t>
      </w:r>
      <w:r w:rsidRPr="00F537B5">
        <w:rPr>
          <w:rFonts w:ascii="Verdana" w:hAnsi="Verdana"/>
          <w:b/>
          <w:bCs/>
          <w:sz w:val="18"/>
          <w:szCs w:val="18"/>
          <w:lang w:val="el-GR"/>
        </w:rPr>
        <w:t xml:space="preserve">. Για τον </w:t>
      </w:r>
      <w:r w:rsidR="00703C4F" w:rsidRPr="00F537B5">
        <w:rPr>
          <w:rFonts w:ascii="Verdana" w:hAnsi="Verdana"/>
          <w:b/>
          <w:bCs/>
          <w:sz w:val="18"/>
          <w:szCs w:val="18"/>
          <w:lang w:val="el-GR"/>
        </w:rPr>
        <w:t>Ιανουάριο</w:t>
      </w:r>
      <w:r w:rsidRPr="00F537B5">
        <w:rPr>
          <w:rFonts w:ascii="Verdana" w:hAnsi="Verdana"/>
          <w:b/>
          <w:bCs/>
          <w:sz w:val="18"/>
          <w:szCs w:val="18"/>
          <w:lang w:val="el-GR"/>
        </w:rPr>
        <w:t xml:space="preserve"> 2023 και μετέπειτα, η ενημέρωση γίνεται μόνο στη Βάση Δεδομένων CYSTAT-DB.</w:t>
      </w:r>
    </w:p>
    <w:p w14:paraId="573C913C" w14:textId="77777777" w:rsidR="006F22DE" w:rsidRPr="00AE0687" w:rsidRDefault="006F22DE"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0"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1" w:name="_Hlk71022000"/>
      <w:r w:rsidRPr="00313402">
        <w:rPr>
          <w:rFonts w:ascii="Verdana" w:hAnsi="Verdana"/>
          <w:sz w:val="18"/>
          <w:szCs w:val="18"/>
          <w:lang w:val="el-GR"/>
        </w:rPr>
        <w:t>+357 22 605122</w:t>
      </w:r>
      <w:bookmarkEnd w:id="1"/>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2"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2"/>
    </w:p>
    <w:bookmarkEnd w:id="0"/>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0CB7A4AB" w:rsidR="001712CF" w:rsidRDefault="001712CF" w:rsidP="000E4CB0">
      <w:pPr>
        <w:jc w:val="both"/>
        <w:rPr>
          <w:rFonts w:ascii="Verdana" w:hAnsi="Verdana" w:cs="Arial"/>
          <w:sz w:val="18"/>
          <w:szCs w:val="18"/>
          <w:lang w:val="el-GR"/>
        </w:rPr>
      </w:pPr>
    </w:p>
    <w:p w14:paraId="16F5CF9E" w14:textId="77777777" w:rsidR="00D4202A" w:rsidRDefault="00D4202A" w:rsidP="000E4CB0">
      <w:pPr>
        <w:jc w:val="both"/>
        <w:rPr>
          <w:rFonts w:ascii="Verdana" w:hAnsi="Verdana" w:cs="Arial"/>
          <w:sz w:val="18"/>
          <w:szCs w:val="18"/>
          <w:lang w:val="el-GR"/>
        </w:rPr>
      </w:pPr>
    </w:p>
    <w:sectPr w:rsidR="00D4202A" w:rsidSect="00EC2E65">
      <w:headerReference w:type="default" r:id="rId9"/>
      <w:footerReference w:type="default" r:id="rId10"/>
      <w:headerReference w:type="first" r:id="rId11"/>
      <w:footerReference w:type="first" r:id="rId12"/>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6FF3" w14:textId="77777777" w:rsidR="0003573C" w:rsidRDefault="0003573C" w:rsidP="00FB398F">
      <w:r>
        <w:separator/>
      </w:r>
    </w:p>
  </w:endnote>
  <w:endnote w:type="continuationSeparator" w:id="0">
    <w:p w14:paraId="19ED5732" w14:textId="77777777" w:rsidR="0003573C" w:rsidRDefault="0003573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F43AC">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6FCF" w14:textId="77777777" w:rsidR="0003573C" w:rsidRDefault="0003573C" w:rsidP="00FB398F">
      <w:r>
        <w:separator/>
      </w:r>
    </w:p>
  </w:footnote>
  <w:footnote w:type="continuationSeparator" w:id="0">
    <w:p w14:paraId="624F4A9F" w14:textId="77777777" w:rsidR="0003573C" w:rsidRDefault="0003573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573C"/>
    <w:rsid w:val="0003603D"/>
    <w:rsid w:val="0003762A"/>
    <w:rsid w:val="00045088"/>
    <w:rsid w:val="00045A06"/>
    <w:rsid w:val="00050391"/>
    <w:rsid w:val="00055291"/>
    <w:rsid w:val="000563D3"/>
    <w:rsid w:val="00057E44"/>
    <w:rsid w:val="00061299"/>
    <w:rsid w:val="00070576"/>
    <w:rsid w:val="000752BB"/>
    <w:rsid w:val="00081ADF"/>
    <w:rsid w:val="00084A02"/>
    <w:rsid w:val="00084BF7"/>
    <w:rsid w:val="000870E9"/>
    <w:rsid w:val="000904AD"/>
    <w:rsid w:val="00090A8E"/>
    <w:rsid w:val="000932CF"/>
    <w:rsid w:val="00093685"/>
    <w:rsid w:val="00096ED8"/>
    <w:rsid w:val="000A1A88"/>
    <w:rsid w:val="000A2210"/>
    <w:rsid w:val="000A2B5C"/>
    <w:rsid w:val="000A3601"/>
    <w:rsid w:val="000A3657"/>
    <w:rsid w:val="000A6FA8"/>
    <w:rsid w:val="000C1070"/>
    <w:rsid w:val="000C4E72"/>
    <w:rsid w:val="000C64FD"/>
    <w:rsid w:val="000D0D97"/>
    <w:rsid w:val="000D1E7A"/>
    <w:rsid w:val="000E20BA"/>
    <w:rsid w:val="000E24B1"/>
    <w:rsid w:val="000E2735"/>
    <w:rsid w:val="000E32D6"/>
    <w:rsid w:val="000E4CB0"/>
    <w:rsid w:val="000E57F2"/>
    <w:rsid w:val="000E72A7"/>
    <w:rsid w:val="000F1162"/>
    <w:rsid w:val="000F3467"/>
    <w:rsid w:val="000F38DE"/>
    <w:rsid w:val="000F532A"/>
    <w:rsid w:val="000F5D6C"/>
    <w:rsid w:val="00101520"/>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4AD3"/>
    <w:rsid w:val="001A60B1"/>
    <w:rsid w:val="001B2C39"/>
    <w:rsid w:val="001B3675"/>
    <w:rsid w:val="001B5E10"/>
    <w:rsid w:val="001B6304"/>
    <w:rsid w:val="001B6AB3"/>
    <w:rsid w:val="001B73D5"/>
    <w:rsid w:val="001C0681"/>
    <w:rsid w:val="001C62B3"/>
    <w:rsid w:val="001C7C8C"/>
    <w:rsid w:val="001D0D6A"/>
    <w:rsid w:val="001D20A4"/>
    <w:rsid w:val="001E00D1"/>
    <w:rsid w:val="001E0E58"/>
    <w:rsid w:val="001E14F3"/>
    <w:rsid w:val="001E15ED"/>
    <w:rsid w:val="001E61AA"/>
    <w:rsid w:val="001F1DBB"/>
    <w:rsid w:val="00202695"/>
    <w:rsid w:val="0020309E"/>
    <w:rsid w:val="00210B58"/>
    <w:rsid w:val="00222423"/>
    <w:rsid w:val="00225B28"/>
    <w:rsid w:val="00226891"/>
    <w:rsid w:val="00227138"/>
    <w:rsid w:val="00230D9B"/>
    <w:rsid w:val="002313AC"/>
    <w:rsid w:val="00235FB2"/>
    <w:rsid w:val="00237BC1"/>
    <w:rsid w:val="002430B4"/>
    <w:rsid w:val="002447D0"/>
    <w:rsid w:val="002454C5"/>
    <w:rsid w:val="00245E19"/>
    <w:rsid w:val="00246AEB"/>
    <w:rsid w:val="002471F9"/>
    <w:rsid w:val="00250005"/>
    <w:rsid w:val="0025254F"/>
    <w:rsid w:val="0025566D"/>
    <w:rsid w:val="0025595C"/>
    <w:rsid w:val="00257149"/>
    <w:rsid w:val="002576E7"/>
    <w:rsid w:val="00260357"/>
    <w:rsid w:val="00264F04"/>
    <w:rsid w:val="00267554"/>
    <w:rsid w:val="0028338F"/>
    <w:rsid w:val="002915C4"/>
    <w:rsid w:val="00297E6B"/>
    <w:rsid w:val="002A0F52"/>
    <w:rsid w:val="002A1D1C"/>
    <w:rsid w:val="002A4D64"/>
    <w:rsid w:val="002B0F5F"/>
    <w:rsid w:val="002B4969"/>
    <w:rsid w:val="002B6554"/>
    <w:rsid w:val="002C2091"/>
    <w:rsid w:val="002D05F0"/>
    <w:rsid w:val="002D2829"/>
    <w:rsid w:val="002D7D4A"/>
    <w:rsid w:val="002E3846"/>
    <w:rsid w:val="002E3F78"/>
    <w:rsid w:val="002F14A7"/>
    <w:rsid w:val="002F400C"/>
    <w:rsid w:val="002F43A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1665"/>
    <w:rsid w:val="0038314C"/>
    <w:rsid w:val="00386FC7"/>
    <w:rsid w:val="00387E05"/>
    <w:rsid w:val="00390A32"/>
    <w:rsid w:val="0039783C"/>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0B5"/>
    <w:rsid w:val="003F5E32"/>
    <w:rsid w:val="003F751C"/>
    <w:rsid w:val="003F75F6"/>
    <w:rsid w:val="00404670"/>
    <w:rsid w:val="00414CA0"/>
    <w:rsid w:val="00421D2F"/>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65E60"/>
    <w:rsid w:val="00471D77"/>
    <w:rsid w:val="00475587"/>
    <w:rsid w:val="00480BC2"/>
    <w:rsid w:val="00481474"/>
    <w:rsid w:val="004845C3"/>
    <w:rsid w:val="004929C2"/>
    <w:rsid w:val="00493FDD"/>
    <w:rsid w:val="0049586B"/>
    <w:rsid w:val="004A3E44"/>
    <w:rsid w:val="004B2018"/>
    <w:rsid w:val="004B2896"/>
    <w:rsid w:val="004B38E9"/>
    <w:rsid w:val="004B3FBA"/>
    <w:rsid w:val="004B6599"/>
    <w:rsid w:val="004C3FF2"/>
    <w:rsid w:val="004C6CA7"/>
    <w:rsid w:val="004C7A19"/>
    <w:rsid w:val="004D1F23"/>
    <w:rsid w:val="004D4357"/>
    <w:rsid w:val="004D4950"/>
    <w:rsid w:val="004E2393"/>
    <w:rsid w:val="004E3745"/>
    <w:rsid w:val="004E42BE"/>
    <w:rsid w:val="004E4F42"/>
    <w:rsid w:val="004E63D5"/>
    <w:rsid w:val="004F03FD"/>
    <w:rsid w:val="004F52F0"/>
    <w:rsid w:val="004F55B1"/>
    <w:rsid w:val="004F6250"/>
    <w:rsid w:val="004F677C"/>
    <w:rsid w:val="004F6D8F"/>
    <w:rsid w:val="00505503"/>
    <w:rsid w:val="0051107B"/>
    <w:rsid w:val="00512F9C"/>
    <w:rsid w:val="005140BB"/>
    <w:rsid w:val="00522D4E"/>
    <w:rsid w:val="00527CDB"/>
    <w:rsid w:val="005341C9"/>
    <w:rsid w:val="005369CA"/>
    <w:rsid w:val="00536DE9"/>
    <w:rsid w:val="00541E08"/>
    <w:rsid w:val="00547CEF"/>
    <w:rsid w:val="00554FE0"/>
    <w:rsid w:val="0055789A"/>
    <w:rsid w:val="00560952"/>
    <w:rsid w:val="005652D1"/>
    <w:rsid w:val="005660A0"/>
    <w:rsid w:val="00566A4F"/>
    <w:rsid w:val="00567384"/>
    <w:rsid w:val="00567D64"/>
    <w:rsid w:val="00567E1B"/>
    <w:rsid w:val="00575F0E"/>
    <w:rsid w:val="00577106"/>
    <w:rsid w:val="005975CF"/>
    <w:rsid w:val="005978D4"/>
    <w:rsid w:val="005A23FA"/>
    <w:rsid w:val="005A728C"/>
    <w:rsid w:val="005B22B9"/>
    <w:rsid w:val="005B2A67"/>
    <w:rsid w:val="005B3DCD"/>
    <w:rsid w:val="005B4AD4"/>
    <w:rsid w:val="005B61B2"/>
    <w:rsid w:val="005B6ACA"/>
    <w:rsid w:val="005C2798"/>
    <w:rsid w:val="005C36C3"/>
    <w:rsid w:val="005C3E4D"/>
    <w:rsid w:val="005C56EE"/>
    <w:rsid w:val="005D1714"/>
    <w:rsid w:val="005D7638"/>
    <w:rsid w:val="005E6852"/>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0324"/>
    <w:rsid w:val="006534C5"/>
    <w:rsid w:val="006537BB"/>
    <w:rsid w:val="0065643E"/>
    <w:rsid w:val="00662559"/>
    <w:rsid w:val="00667E07"/>
    <w:rsid w:val="0067172A"/>
    <w:rsid w:val="00671785"/>
    <w:rsid w:val="00672BA9"/>
    <w:rsid w:val="00673005"/>
    <w:rsid w:val="006804BE"/>
    <w:rsid w:val="0068434A"/>
    <w:rsid w:val="0069008E"/>
    <w:rsid w:val="0069087E"/>
    <w:rsid w:val="006925C4"/>
    <w:rsid w:val="0069341F"/>
    <w:rsid w:val="006A02B7"/>
    <w:rsid w:val="006A7019"/>
    <w:rsid w:val="006B0009"/>
    <w:rsid w:val="006B2102"/>
    <w:rsid w:val="006B46D5"/>
    <w:rsid w:val="006B46F4"/>
    <w:rsid w:val="006C121C"/>
    <w:rsid w:val="006C445D"/>
    <w:rsid w:val="006C7AF3"/>
    <w:rsid w:val="006D0B9D"/>
    <w:rsid w:val="006D1C53"/>
    <w:rsid w:val="006D6548"/>
    <w:rsid w:val="006E0E20"/>
    <w:rsid w:val="006E35C7"/>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11972"/>
    <w:rsid w:val="0072548A"/>
    <w:rsid w:val="007277A6"/>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08E7"/>
    <w:rsid w:val="007B1AC1"/>
    <w:rsid w:val="007B5A08"/>
    <w:rsid w:val="007B693D"/>
    <w:rsid w:val="007C113F"/>
    <w:rsid w:val="007C4CDC"/>
    <w:rsid w:val="007D0182"/>
    <w:rsid w:val="007E041B"/>
    <w:rsid w:val="007E199A"/>
    <w:rsid w:val="007E1AED"/>
    <w:rsid w:val="007E2415"/>
    <w:rsid w:val="007E3696"/>
    <w:rsid w:val="007E39F3"/>
    <w:rsid w:val="007E405E"/>
    <w:rsid w:val="007E68F4"/>
    <w:rsid w:val="007E6DE2"/>
    <w:rsid w:val="007F31BA"/>
    <w:rsid w:val="007F4078"/>
    <w:rsid w:val="007F7098"/>
    <w:rsid w:val="0080014B"/>
    <w:rsid w:val="00801793"/>
    <w:rsid w:val="00803642"/>
    <w:rsid w:val="00806EA2"/>
    <w:rsid w:val="00812A2B"/>
    <w:rsid w:val="00814A4C"/>
    <w:rsid w:val="008278A8"/>
    <w:rsid w:val="00831AAB"/>
    <w:rsid w:val="00833BCD"/>
    <w:rsid w:val="00834B82"/>
    <w:rsid w:val="008351BC"/>
    <w:rsid w:val="0083574E"/>
    <w:rsid w:val="0083640C"/>
    <w:rsid w:val="008374E3"/>
    <w:rsid w:val="008378E1"/>
    <w:rsid w:val="0084157B"/>
    <w:rsid w:val="00842BFB"/>
    <w:rsid w:val="00846B85"/>
    <w:rsid w:val="00847DC3"/>
    <w:rsid w:val="00847F49"/>
    <w:rsid w:val="008517FD"/>
    <w:rsid w:val="008535C5"/>
    <w:rsid w:val="00853765"/>
    <w:rsid w:val="008546CC"/>
    <w:rsid w:val="008550C2"/>
    <w:rsid w:val="0085516F"/>
    <w:rsid w:val="00867186"/>
    <w:rsid w:val="00870AF6"/>
    <w:rsid w:val="00871485"/>
    <w:rsid w:val="00876F06"/>
    <w:rsid w:val="00877452"/>
    <w:rsid w:val="00881268"/>
    <w:rsid w:val="0088394A"/>
    <w:rsid w:val="008860BD"/>
    <w:rsid w:val="00887399"/>
    <w:rsid w:val="0088779E"/>
    <w:rsid w:val="008912AF"/>
    <w:rsid w:val="00892114"/>
    <w:rsid w:val="00892CB9"/>
    <w:rsid w:val="008935CB"/>
    <w:rsid w:val="00896BB4"/>
    <w:rsid w:val="008A3626"/>
    <w:rsid w:val="008B0E7E"/>
    <w:rsid w:val="008B426B"/>
    <w:rsid w:val="008B65BD"/>
    <w:rsid w:val="008B7900"/>
    <w:rsid w:val="008C60DB"/>
    <w:rsid w:val="008C71BF"/>
    <w:rsid w:val="008C7FE0"/>
    <w:rsid w:val="008D5717"/>
    <w:rsid w:val="008D6E5D"/>
    <w:rsid w:val="008E44A9"/>
    <w:rsid w:val="008E6B4D"/>
    <w:rsid w:val="008E6BFF"/>
    <w:rsid w:val="008F21AF"/>
    <w:rsid w:val="008F2400"/>
    <w:rsid w:val="008F311A"/>
    <w:rsid w:val="008F3FE6"/>
    <w:rsid w:val="008F4741"/>
    <w:rsid w:val="008F61BA"/>
    <w:rsid w:val="008F62A1"/>
    <w:rsid w:val="008F6E3C"/>
    <w:rsid w:val="008F7C55"/>
    <w:rsid w:val="00903AC4"/>
    <w:rsid w:val="00914A23"/>
    <w:rsid w:val="00930754"/>
    <w:rsid w:val="00934F68"/>
    <w:rsid w:val="009355AC"/>
    <w:rsid w:val="00935F38"/>
    <w:rsid w:val="00937586"/>
    <w:rsid w:val="00947889"/>
    <w:rsid w:val="009478BD"/>
    <w:rsid w:val="00957962"/>
    <w:rsid w:val="00960E98"/>
    <w:rsid w:val="00963A82"/>
    <w:rsid w:val="00965807"/>
    <w:rsid w:val="00972912"/>
    <w:rsid w:val="00976D1F"/>
    <w:rsid w:val="00981C81"/>
    <w:rsid w:val="009838FC"/>
    <w:rsid w:val="009A2D24"/>
    <w:rsid w:val="009A3DA1"/>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373D4"/>
    <w:rsid w:val="00A402B3"/>
    <w:rsid w:val="00A544B7"/>
    <w:rsid w:val="00A618CF"/>
    <w:rsid w:val="00A62770"/>
    <w:rsid w:val="00A62EEB"/>
    <w:rsid w:val="00A635C8"/>
    <w:rsid w:val="00A6604D"/>
    <w:rsid w:val="00A660FF"/>
    <w:rsid w:val="00A71EA0"/>
    <w:rsid w:val="00A72A41"/>
    <w:rsid w:val="00A73277"/>
    <w:rsid w:val="00A73395"/>
    <w:rsid w:val="00A771E3"/>
    <w:rsid w:val="00A82B4C"/>
    <w:rsid w:val="00A86C15"/>
    <w:rsid w:val="00A93A4C"/>
    <w:rsid w:val="00A94D5D"/>
    <w:rsid w:val="00A97CEA"/>
    <w:rsid w:val="00AA1D9B"/>
    <w:rsid w:val="00AA2543"/>
    <w:rsid w:val="00AA3804"/>
    <w:rsid w:val="00AA55C2"/>
    <w:rsid w:val="00AB0664"/>
    <w:rsid w:val="00AB0ACA"/>
    <w:rsid w:val="00AB1D41"/>
    <w:rsid w:val="00AB53FA"/>
    <w:rsid w:val="00AC5E9A"/>
    <w:rsid w:val="00AC704B"/>
    <w:rsid w:val="00AD553E"/>
    <w:rsid w:val="00AD5848"/>
    <w:rsid w:val="00AE5ADA"/>
    <w:rsid w:val="00AF423B"/>
    <w:rsid w:val="00AF6145"/>
    <w:rsid w:val="00B01386"/>
    <w:rsid w:val="00B01915"/>
    <w:rsid w:val="00B01BB5"/>
    <w:rsid w:val="00B02037"/>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2D2A"/>
    <w:rsid w:val="00B84C5A"/>
    <w:rsid w:val="00B858F5"/>
    <w:rsid w:val="00B92F13"/>
    <w:rsid w:val="00B93668"/>
    <w:rsid w:val="00BA39BC"/>
    <w:rsid w:val="00BA68C6"/>
    <w:rsid w:val="00BB12F1"/>
    <w:rsid w:val="00BB276E"/>
    <w:rsid w:val="00BB3FEE"/>
    <w:rsid w:val="00BB5EB0"/>
    <w:rsid w:val="00BB799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3CAD"/>
    <w:rsid w:val="00C15193"/>
    <w:rsid w:val="00C15609"/>
    <w:rsid w:val="00C15F6A"/>
    <w:rsid w:val="00C23EA7"/>
    <w:rsid w:val="00C256F3"/>
    <w:rsid w:val="00C270A2"/>
    <w:rsid w:val="00C3142B"/>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A43D0"/>
    <w:rsid w:val="00CA6F17"/>
    <w:rsid w:val="00CB6BC1"/>
    <w:rsid w:val="00CB7021"/>
    <w:rsid w:val="00CC7986"/>
    <w:rsid w:val="00CD3294"/>
    <w:rsid w:val="00CD3B6B"/>
    <w:rsid w:val="00CD4524"/>
    <w:rsid w:val="00CD784D"/>
    <w:rsid w:val="00CF3A1C"/>
    <w:rsid w:val="00CF40F8"/>
    <w:rsid w:val="00D006CA"/>
    <w:rsid w:val="00D008DA"/>
    <w:rsid w:val="00D0416F"/>
    <w:rsid w:val="00D05851"/>
    <w:rsid w:val="00D06D9D"/>
    <w:rsid w:val="00D10FED"/>
    <w:rsid w:val="00D11736"/>
    <w:rsid w:val="00D12EE8"/>
    <w:rsid w:val="00D1385B"/>
    <w:rsid w:val="00D14CDF"/>
    <w:rsid w:val="00D15D8E"/>
    <w:rsid w:val="00D15FF1"/>
    <w:rsid w:val="00D167F4"/>
    <w:rsid w:val="00D2092A"/>
    <w:rsid w:val="00D21BC3"/>
    <w:rsid w:val="00D2216D"/>
    <w:rsid w:val="00D300B3"/>
    <w:rsid w:val="00D31A6F"/>
    <w:rsid w:val="00D353D1"/>
    <w:rsid w:val="00D367DB"/>
    <w:rsid w:val="00D36E05"/>
    <w:rsid w:val="00D4202A"/>
    <w:rsid w:val="00D44F27"/>
    <w:rsid w:val="00D45304"/>
    <w:rsid w:val="00D46165"/>
    <w:rsid w:val="00D461C7"/>
    <w:rsid w:val="00D50424"/>
    <w:rsid w:val="00D525C9"/>
    <w:rsid w:val="00D57D3E"/>
    <w:rsid w:val="00D60CB5"/>
    <w:rsid w:val="00D76249"/>
    <w:rsid w:val="00D77799"/>
    <w:rsid w:val="00D950D4"/>
    <w:rsid w:val="00D971CE"/>
    <w:rsid w:val="00D97BCD"/>
    <w:rsid w:val="00DA4AD0"/>
    <w:rsid w:val="00DA599E"/>
    <w:rsid w:val="00DA71A3"/>
    <w:rsid w:val="00DA7D12"/>
    <w:rsid w:val="00DB601E"/>
    <w:rsid w:val="00DC23CF"/>
    <w:rsid w:val="00DC6562"/>
    <w:rsid w:val="00DD76B7"/>
    <w:rsid w:val="00DE130D"/>
    <w:rsid w:val="00DE1F89"/>
    <w:rsid w:val="00DE24CF"/>
    <w:rsid w:val="00DE407C"/>
    <w:rsid w:val="00DE7C7D"/>
    <w:rsid w:val="00DF11FA"/>
    <w:rsid w:val="00DF2992"/>
    <w:rsid w:val="00DF2D0C"/>
    <w:rsid w:val="00DF5C8C"/>
    <w:rsid w:val="00E00058"/>
    <w:rsid w:val="00E01B9D"/>
    <w:rsid w:val="00E0468F"/>
    <w:rsid w:val="00E04F5E"/>
    <w:rsid w:val="00E0522E"/>
    <w:rsid w:val="00E10182"/>
    <w:rsid w:val="00E120F4"/>
    <w:rsid w:val="00E14D39"/>
    <w:rsid w:val="00E17172"/>
    <w:rsid w:val="00E175E3"/>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617DA"/>
    <w:rsid w:val="00E63F34"/>
    <w:rsid w:val="00E63FEA"/>
    <w:rsid w:val="00E65E0E"/>
    <w:rsid w:val="00E6715A"/>
    <w:rsid w:val="00E74F60"/>
    <w:rsid w:val="00E75DC9"/>
    <w:rsid w:val="00E81610"/>
    <w:rsid w:val="00E83949"/>
    <w:rsid w:val="00E84910"/>
    <w:rsid w:val="00E85B28"/>
    <w:rsid w:val="00E91976"/>
    <w:rsid w:val="00E947A6"/>
    <w:rsid w:val="00E97FC7"/>
    <w:rsid w:val="00EA0690"/>
    <w:rsid w:val="00EA3956"/>
    <w:rsid w:val="00EA7136"/>
    <w:rsid w:val="00EB145F"/>
    <w:rsid w:val="00EB325A"/>
    <w:rsid w:val="00EC02A5"/>
    <w:rsid w:val="00EC176B"/>
    <w:rsid w:val="00EC2E65"/>
    <w:rsid w:val="00EC33CD"/>
    <w:rsid w:val="00EC5BE5"/>
    <w:rsid w:val="00EC72D7"/>
    <w:rsid w:val="00ED2650"/>
    <w:rsid w:val="00ED721A"/>
    <w:rsid w:val="00EE393D"/>
    <w:rsid w:val="00EF01CF"/>
    <w:rsid w:val="00EF6A47"/>
    <w:rsid w:val="00EF7AF9"/>
    <w:rsid w:val="00F00952"/>
    <w:rsid w:val="00F01495"/>
    <w:rsid w:val="00F10138"/>
    <w:rsid w:val="00F10475"/>
    <w:rsid w:val="00F13F92"/>
    <w:rsid w:val="00F22ECA"/>
    <w:rsid w:val="00F240E8"/>
    <w:rsid w:val="00F244FA"/>
    <w:rsid w:val="00F366A2"/>
    <w:rsid w:val="00F3705D"/>
    <w:rsid w:val="00F43025"/>
    <w:rsid w:val="00F44F43"/>
    <w:rsid w:val="00F450E1"/>
    <w:rsid w:val="00F50DF4"/>
    <w:rsid w:val="00F537B5"/>
    <w:rsid w:val="00F56049"/>
    <w:rsid w:val="00F5718D"/>
    <w:rsid w:val="00F5735B"/>
    <w:rsid w:val="00F57AFE"/>
    <w:rsid w:val="00F6278E"/>
    <w:rsid w:val="00F63C41"/>
    <w:rsid w:val="00F63E96"/>
    <w:rsid w:val="00F701E3"/>
    <w:rsid w:val="00F71008"/>
    <w:rsid w:val="00F71F8C"/>
    <w:rsid w:val="00F72F5C"/>
    <w:rsid w:val="00F8459B"/>
    <w:rsid w:val="00F86AD4"/>
    <w:rsid w:val="00F91EC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BodyTextIndent">
    <w:name w:val="Body Text Indent"/>
    <w:basedOn w:val="Normal"/>
    <w:link w:val="BodyTextIndentChar"/>
    <w:uiPriority w:val="99"/>
    <w:unhideWhenUsed/>
    <w:rsid w:val="005B61B2"/>
    <w:pPr>
      <w:spacing w:after="120" w:line="259" w:lineRule="auto"/>
      <w:ind w:left="283"/>
    </w:pPr>
    <w:rPr>
      <w:lang w:val="en-GB"/>
    </w:rPr>
  </w:style>
  <w:style w:type="character" w:customStyle="1" w:styleId="BodyTextIndentChar">
    <w:name w:val="Body Text Indent Char"/>
    <w:basedOn w:val="DefaultParagraphFont"/>
    <w:link w:val="BodyTextIndent"/>
    <w:uiPriority w:val="99"/>
    <w:rsid w:val="005B61B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stat.gov.cy/el/SubthemeStatistics?s=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9</cp:revision>
  <cp:lastPrinted>2023-05-10T07:54:00Z</cp:lastPrinted>
  <dcterms:created xsi:type="dcterms:W3CDTF">2023-05-30T08:47:00Z</dcterms:created>
  <dcterms:modified xsi:type="dcterms:W3CDTF">2023-06-01T06:18:00Z</dcterms:modified>
</cp:coreProperties>
</file>