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D342" w14:textId="6A48F432" w:rsidR="00BF6947" w:rsidRPr="00D8417D" w:rsidRDefault="001D6B30" w:rsidP="00BF6947">
      <w:pPr>
        <w:jc w:val="right"/>
        <w:rPr>
          <w:rFonts w:ascii="Verdana" w:eastAsia="Malgun Gothic" w:hAnsi="Verdana" w:cs="Arial"/>
          <w:sz w:val="18"/>
          <w:szCs w:val="18"/>
          <w:lang w:val="el-GR"/>
        </w:rPr>
      </w:pPr>
      <w:r w:rsidRPr="00A17085">
        <w:rPr>
          <w:rFonts w:ascii="Verdana" w:hAnsi="Verdana" w:cs="Arial"/>
          <w:sz w:val="18"/>
          <w:szCs w:val="18"/>
          <w:lang w:val="el-GR"/>
        </w:rPr>
        <w:t>1</w:t>
      </w:r>
      <w:r w:rsidR="003D4771" w:rsidRPr="00F12BE1">
        <w:rPr>
          <w:rFonts w:ascii="Verdana" w:hAnsi="Verdana" w:cs="Arial"/>
          <w:sz w:val="18"/>
          <w:szCs w:val="18"/>
          <w:lang w:val="el-GR"/>
        </w:rPr>
        <w:t>1</w:t>
      </w:r>
      <w:r w:rsidRPr="00A17085">
        <w:rPr>
          <w:rFonts w:ascii="Verdana" w:hAnsi="Verdana" w:cs="Arial"/>
          <w:sz w:val="18"/>
          <w:szCs w:val="18"/>
          <w:lang w:val="el-GR"/>
        </w:rPr>
        <w:t xml:space="preserve"> </w:t>
      </w:r>
      <w:r w:rsidR="00CF41AE">
        <w:rPr>
          <w:rFonts w:ascii="Verdana" w:hAnsi="Verdana" w:cs="Arial"/>
          <w:sz w:val="18"/>
          <w:szCs w:val="18"/>
          <w:lang w:val="el-GR"/>
        </w:rPr>
        <w:t>Αυγούστου</w:t>
      </w:r>
      <w:r w:rsidR="00BF6947" w:rsidRPr="00D8417D">
        <w:rPr>
          <w:rFonts w:ascii="Verdana" w:eastAsia="Malgun Gothic" w:hAnsi="Verdana" w:cs="Arial"/>
          <w:sz w:val="18"/>
          <w:szCs w:val="18"/>
          <w:lang w:val="el-GR"/>
        </w:rPr>
        <w:t>, 202</w:t>
      </w:r>
      <w:r w:rsidR="002D60AC">
        <w:rPr>
          <w:rFonts w:ascii="Verdana" w:eastAsia="Malgun Gothic" w:hAnsi="Verdana" w:cs="Arial"/>
          <w:sz w:val="18"/>
          <w:szCs w:val="18"/>
          <w:lang w:val="el-GR"/>
        </w:rPr>
        <w:t>5</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931511" w:rsidRDefault="00BF6947" w:rsidP="00BF6947">
      <w:pPr>
        <w:jc w:val="center"/>
        <w:rPr>
          <w:rFonts w:ascii="Verdana" w:eastAsia="Malgun Gothic" w:hAnsi="Verdana" w:cs="Arial"/>
          <w:b/>
          <w:sz w:val="24"/>
          <w:szCs w:val="24"/>
          <w:lang w:val="el-GR"/>
        </w:rPr>
      </w:pPr>
      <w:r w:rsidRPr="00931511">
        <w:rPr>
          <w:rFonts w:ascii="Verdana" w:eastAsia="Malgun Gothic" w:hAnsi="Verdana" w:cs="Arial"/>
          <w:b/>
          <w:sz w:val="24"/>
          <w:szCs w:val="24"/>
          <w:lang w:val="el-GR"/>
        </w:rPr>
        <w:t>ΔΕΛΤΙΟ ΤΥΠΟΥ</w:t>
      </w:r>
      <w:r w:rsidR="00C161CD" w:rsidRPr="00931511">
        <w:rPr>
          <w:rFonts w:ascii="Verdana" w:eastAsia="Malgun Gothic" w:hAnsi="Verdana" w:cs="Arial"/>
          <w:b/>
          <w:sz w:val="24"/>
          <w:szCs w:val="24"/>
          <w:lang w:val="el-GR"/>
        </w:rPr>
        <w:t xml:space="preserve"> </w:t>
      </w:r>
      <w:r w:rsidR="007E68FF" w:rsidRPr="00931511">
        <w:rPr>
          <w:rFonts w:ascii="Verdana" w:eastAsia="Malgun Gothic" w:hAnsi="Verdana" w:cs="Arial"/>
          <w:b/>
          <w:sz w:val="24"/>
          <w:szCs w:val="24"/>
          <w:lang w:val="el-GR"/>
        </w:rPr>
        <w:t xml:space="preserve"> </w:t>
      </w:r>
    </w:p>
    <w:p w14:paraId="2A18CC71" w14:textId="77777777" w:rsidR="00BF6947" w:rsidRPr="00931511" w:rsidRDefault="00BF6947" w:rsidP="00BF6947">
      <w:pPr>
        <w:rPr>
          <w:rFonts w:ascii="Verdana" w:eastAsia="Malgun Gothic" w:hAnsi="Verdana" w:cs="Arial"/>
          <w:sz w:val="18"/>
          <w:szCs w:val="18"/>
          <w:lang w:val="el-GR"/>
        </w:rPr>
      </w:pPr>
    </w:p>
    <w:p w14:paraId="4EF15FD5" w14:textId="77777777" w:rsidR="006055F8" w:rsidRPr="00931511" w:rsidRDefault="00BF6947" w:rsidP="006055F8">
      <w:pPr>
        <w:keepNext/>
        <w:spacing w:line="276" w:lineRule="auto"/>
        <w:jc w:val="center"/>
        <w:outlineLvl w:val="5"/>
        <w:rPr>
          <w:rFonts w:ascii="Verdana" w:eastAsia="Times New Roman" w:hAnsi="Verdana"/>
          <w:b/>
          <w:u w:val="single"/>
          <w:shd w:val="clear" w:color="auto" w:fill="FFFFFF"/>
          <w:lang w:val="el-GR"/>
        </w:rPr>
      </w:pPr>
      <w:r w:rsidRPr="00931511">
        <w:rPr>
          <w:rFonts w:ascii="Verdana" w:eastAsia="Times New Roman" w:hAnsi="Verdana"/>
          <w:b/>
          <w:u w:val="single"/>
          <w:shd w:val="clear" w:color="auto" w:fill="FFFFFF"/>
          <w:lang w:val="el-GR"/>
        </w:rPr>
        <w:t>ΣΤΑΤΙΣΤΙΚΕΣ ΕΞΩΤΕΡΙΚΟΥ ΕΜΠΟΡΙΟΥ:</w:t>
      </w:r>
    </w:p>
    <w:p w14:paraId="1467DE86" w14:textId="6C06237E" w:rsidR="00BF6947" w:rsidRPr="00846F95" w:rsidRDefault="00CF41AE"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ΜΑΪΟΣ</w:t>
      </w:r>
      <w:r w:rsidR="0037357D" w:rsidRPr="00931511">
        <w:rPr>
          <w:rFonts w:ascii="Verdana" w:eastAsia="Times New Roman" w:hAnsi="Verdana"/>
          <w:b/>
          <w:u w:val="single"/>
          <w:shd w:val="clear" w:color="auto" w:fill="FFFFFF"/>
          <w:lang w:val="el-GR"/>
        </w:rPr>
        <w:t xml:space="preserve"> </w:t>
      </w:r>
      <w:r w:rsidR="00BF6947" w:rsidRPr="00931511">
        <w:rPr>
          <w:rFonts w:ascii="Verdana" w:eastAsia="Times New Roman" w:hAnsi="Verdana"/>
          <w:b/>
          <w:u w:val="single"/>
          <w:shd w:val="clear" w:color="auto" w:fill="FFFFFF"/>
          <w:lang w:val="el-GR"/>
        </w:rPr>
        <w:t>202</w:t>
      </w:r>
      <w:r w:rsidR="00775CFC" w:rsidRPr="00931511">
        <w:rPr>
          <w:rFonts w:ascii="Verdana" w:eastAsia="Times New Roman" w:hAnsi="Verdana"/>
          <w:b/>
          <w:u w:val="single"/>
          <w:shd w:val="clear" w:color="auto" w:fill="FFFFFF"/>
          <w:lang w:val="el-GR"/>
        </w:rPr>
        <w:t>5</w:t>
      </w:r>
      <w:r w:rsidR="00BF6947" w:rsidRPr="00931511">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ΙΟΥΝΙΟΣ</w:t>
      </w:r>
      <w:r w:rsidR="00BF6947" w:rsidRPr="00931511">
        <w:rPr>
          <w:rFonts w:ascii="Verdana" w:eastAsia="Times New Roman" w:hAnsi="Verdana"/>
          <w:b/>
          <w:bCs/>
          <w:u w:val="single"/>
          <w:shd w:val="clear" w:color="auto" w:fill="FFFFFF"/>
          <w:lang w:val="el-GR"/>
        </w:rPr>
        <w:t xml:space="preserve"> 202</w:t>
      </w:r>
      <w:r w:rsidR="00C76BC5" w:rsidRPr="00931511">
        <w:rPr>
          <w:rFonts w:ascii="Verdana" w:eastAsia="Times New Roman" w:hAnsi="Verdana"/>
          <w:b/>
          <w:bCs/>
          <w:u w:val="single"/>
          <w:shd w:val="clear" w:color="auto" w:fill="FFFFFF"/>
          <w:lang w:val="el-GR"/>
        </w:rPr>
        <w:t>5</w:t>
      </w:r>
      <w:r w:rsidR="00C74E72" w:rsidRPr="00931511">
        <w:rPr>
          <w:rFonts w:ascii="Verdana" w:eastAsia="Times New Roman" w:hAnsi="Verdana"/>
          <w:b/>
          <w:bCs/>
          <w:u w:val="single"/>
          <w:shd w:val="clear" w:color="auto" w:fill="FFFFFF"/>
          <w:lang w:val="el-GR"/>
        </w:rPr>
        <w:t xml:space="preserve"> </w:t>
      </w:r>
      <w:r w:rsidR="00BF6947" w:rsidRPr="00846F95">
        <w:rPr>
          <w:rFonts w:ascii="Verdana" w:eastAsia="Times New Roman" w:hAnsi="Verdana"/>
          <w:b/>
          <w:bCs/>
          <w:u w:val="single"/>
          <w:shd w:val="clear" w:color="auto" w:fill="FFFFFF"/>
          <w:lang w:val="el-GR"/>
        </w:rPr>
        <w:t>(ΠΡΟΚΑΤΑΡΚΤΙΚΑ ΣΤΟΙΧΕΙΑ)</w:t>
      </w:r>
    </w:p>
    <w:p w14:paraId="269C32D2" w14:textId="77777777" w:rsidR="00BF6947" w:rsidRPr="00846F95" w:rsidRDefault="00BF6947" w:rsidP="00BF6947">
      <w:pPr>
        <w:tabs>
          <w:tab w:val="left" w:pos="709"/>
        </w:tabs>
        <w:jc w:val="both"/>
        <w:rPr>
          <w:rFonts w:ascii="Verdana" w:eastAsia="Times New Roman" w:hAnsi="Verdana"/>
          <w:bCs/>
          <w:w w:val="110"/>
          <w:sz w:val="18"/>
          <w:szCs w:val="18"/>
          <w:lang w:val="el-GR"/>
        </w:rPr>
      </w:pPr>
    </w:p>
    <w:p w14:paraId="1ECEBE71" w14:textId="3113EDED" w:rsidR="0045602C" w:rsidRPr="00B30D0E" w:rsidRDefault="00CF41AE" w:rsidP="00BF6947">
      <w:pPr>
        <w:rPr>
          <w:rFonts w:ascii="Verdana" w:eastAsia="Malgun Gothic" w:hAnsi="Verdana" w:cs="Arial"/>
          <w:b/>
          <w:sz w:val="18"/>
          <w:szCs w:val="18"/>
          <w:u w:val="single"/>
          <w:lang w:val="el-GR"/>
        </w:rPr>
      </w:pPr>
      <w:r w:rsidRPr="00B30D0E">
        <w:rPr>
          <w:rFonts w:ascii="Verdana" w:eastAsia="Malgun Gothic" w:hAnsi="Verdana" w:cs="Arial"/>
          <w:b/>
          <w:sz w:val="18"/>
          <w:szCs w:val="18"/>
          <w:u w:val="single"/>
          <w:lang w:val="el-GR"/>
        </w:rPr>
        <w:t>Ιούνιος</w:t>
      </w:r>
      <w:r w:rsidR="00BF6947" w:rsidRPr="00B30D0E">
        <w:rPr>
          <w:rFonts w:ascii="Verdana" w:eastAsia="Malgun Gothic" w:hAnsi="Verdana" w:cs="Arial"/>
          <w:b/>
          <w:sz w:val="18"/>
          <w:szCs w:val="18"/>
          <w:u w:val="single"/>
          <w:lang w:val="el-GR"/>
        </w:rPr>
        <w:t xml:space="preserve"> 202</w:t>
      </w:r>
      <w:r w:rsidR="00C76BC5" w:rsidRPr="00B30D0E">
        <w:rPr>
          <w:rFonts w:ascii="Verdana" w:eastAsia="Malgun Gothic" w:hAnsi="Verdana" w:cs="Arial"/>
          <w:b/>
          <w:sz w:val="18"/>
          <w:szCs w:val="18"/>
          <w:u w:val="single"/>
          <w:lang w:val="el-GR"/>
        </w:rPr>
        <w:t>5</w:t>
      </w:r>
      <w:r w:rsidR="00BF6947" w:rsidRPr="00B30D0E">
        <w:rPr>
          <w:rFonts w:ascii="Verdana" w:eastAsia="Malgun Gothic" w:hAnsi="Verdana" w:cs="Arial"/>
          <w:b/>
          <w:sz w:val="18"/>
          <w:szCs w:val="18"/>
          <w:u w:val="single"/>
          <w:lang w:val="el-GR"/>
        </w:rPr>
        <w:t>, Προκαταρκτικά Στοιχεία</w:t>
      </w:r>
    </w:p>
    <w:p w14:paraId="5B548692" w14:textId="77777777" w:rsidR="00522D4E" w:rsidRPr="00B30D0E" w:rsidRDefault="00522D4E" w:rsidP="00BF6947">
      <w:pPr>
        <w:rPr>
          <w:rFonts w:ascii="Verdana" w:eastAsia="Malgun Gothic" w:hAnsi="Verdana" w:cs="Arial"/>
          <w:b/>
          <w:sz w:val="18"/>
          <w:szCs w:val="18"/>
          <w:u w:val="single"/>
          <w:lang w:val="el-GR"/>
        </w:rPr>
      </w:pPr>
    </w:p>
    <w:p w14:paraId="7AA61508" w14:textId="11882261" w:rsidR="00BF6947" w:rsidRPr="005E70A5" w:rsidRDefault="00747561" w:rsidP="00BF6947">
      <w:pPr>
        <w:jc w:val="both"/>
        <w:rPr>
          <w:rFonts w:ascii="Verdana" w:hAnsi="Verdana"/>
          <w:sz w:val="18"/>
          <w:szCs w:val="18"/>
          <w:shd w:val="clear" w:color="auto" w:fill="FFFFFF"/>
          <w:lang w:val="el-GR"/>
        </w:rPr>
      </w:pPr>
      <w:r w:rsidRPr="00B30D0E">
        <w:rPr>
          <w:rFonts w:ascii="Verdana" w:hAnsi="Verdana"/>
          <w:b/>
          <w:bCs/>
          <w:sz w:val="18"/>
          <w:szCs w:val="18"/>
          <w:shd w:val="clear" w:color="auto" w:fill="FFFFFF"/>
          <w:lang w:val="el-GR"/>
        </w:rPr>
        <w:t>Οι</w:t>
      </w:r>
      <w:r w:rsidR="00BF6947" w:rsidRPr="00B30D0E">
        <w:rPr>
          <w:rFonts w:ascii="Verdana" w:hAnsi="Verdana"/>
          <w:b/>
          <w:bCs/>
          <w:sz w:val="18"/>
          <w:szCs w:val="18"/>
          <w:shd w:val="clear" w:color="auto" w:fill="FFFFFF"/>
          <w:lang w:val="el-GR"/>
        </w:rPr>
        <w:t xml:space="preserve"> συνολικές εισαγωγές αγαθών </w:t>
      </w:r>
      <w:r w:rsidR="00AF423B" w:rsidRPr="00B30D0E">
        <w:rPr>
          <w:rFonts w:ascii="Verdana" w:hAnsi="Verdana"/>
          <w:b/>
          <w:bCs/>
          <w:sz w:val="18"/>
          <w:szCs w:val="18"/>
          <w:shd w:val="clear" w:color="auto" w:fill="FFFFFF"/>
          <w:lang w:val="el-GR"/>
        </w:rPr>
        <w:t xml:space="preserve">τον </w:t>
      </w:r>
      <w:r w:rsidR="00451DE2" w:rsidRPr="00B30D0E">
        <w:rPr>
          <w:rFonts w:ascii="Verdana" w:hAnsi="Verdana"/>
          <w:b/>
          <w:bCs/>
          <w:sz w:val="18"/>
          <w:szCs w:val="18"/>
          <w:shd w:val="clear" w:color="auto" w:fill="FFFFFF"/>
          <w:lang w:val="el-GR"/>
        </w:rPr>
        <w:t>Ιούνιο</w:t>
      </w:r>
      <w:r w:rsidR="00AF423B" w:rsidRPr="00B30D0E">
        <w:rPr>
          <w:rFonts w:ascii="Verdana" w:hAnsi="Verdana"/>
          <w:b/>
          <w:bCs/>
          <w:sz w:val="18"/>
          <w:szCs w:val="18"/>
          <w:shd w:val="clear" w:color="auto" w:fill="FFFFFF"/>
          <w:lang w:val="el-GR"/>
        </w:rPr>
        <w:t xml:space="preserve"> 202</w:t>
      </w:r>
      <w:r w:rsidR="00C76BC5" w:rsidRPr="00B30D0E">
        <w:rPr>
          <w:rFonts w:ascii="Verdana" w:hAnsi="Verdana"/>
          <w:b/>
          <w:bCs/>
          <w:sz w:val="18"/>
          <w:szCs w:val="18"/>
          <w:shd w:val="clear" w:color="auto" w:fill="FFFFFF"/>
          <w:lang w:val="el-GR"/>
        </w:rPr>
        <w:t>5</w:t>
      </w:r>
      <w:r w:rsidR="00AF423B" w:rsidRPr="00B30D0E">
        <w:rPr>
          <w:rFonts w:ascii="Verdana" w:hAnsi="Verdana"/>
          <w:b/>
          <w:bCs/>
          <w:sz w:val="18"/>
          <w:szCs w:val="18"/>
          <w:shd w:val="clear" w:color="auto" w:fill="FFFFFF"/>
          <w:lang w:val="el-GR"/>
        </w:rPr>
        <w:t xml:space="preserve"> </w:t>
      </w:r>
      <w:r w:rsidR="00BF6947" w:rsidRPr="00B30D0E">
        <w:rPr>
          <w:rFonts w:ascii="Verdana" w:hAnsi="Verdana"/>
          <w:b/>
          <w:bCs/>
          <w:sz w:val="18"/>
          <w:szCs w:val="18"/>
          <w:shd w:val="clear" w:color="auto" w:fill="FFFFFF"/>
          <w:lang w:val="el-GR"/>
        </w:rPr>
        <w:t>ήταν €</w:t>
      </w:r>
      <w:r w:rsidR="009F2F1D" w:rsidRPr="00B30D0E">
        <w:rPr>
          <w:rFonts w:ascii="Verdana" w:hAnsi="Verdana"/>
          <w:b/>
          <w:bCs/>
          <w:sz w:val="18"/>
          <w:szCs w:val="18"/>
          <w:shd w:val="clear" w:color="auto" w:fill="FFFFFF"/>
          <w:lang w:val="el-GR"/>
        </w:rPr>
        <w:t>1.114,7</w:t>
      </w:r>
      <w:r w:rsidR="00D65D7E" w:rsidRPr="00B30D0E">
        <w:rPr>
          <w:rFonts w:ascii="Verdana" w:hAnsi="Verdana"/>
          <w:b/>
          <w:bCs/>
          <w:sz w:val="18"/>
          <w:szCs w:val="18"/>
          <w:shd w:val="clear" w:color="auto" w:fill="FFFFFF"/>
          <w:lang w:val="el-GR"/>
        </w:rPr>
        <w:t xml:space="preserve"> </w:t>
      </w:r>
      <w:r w:rsidR="00BF6947" w:rsidRPr="00B30D0E">
        <w:rPr>
          <w:rFonts w:ascii="Verdana" w:hAnsi="Verdana"/>
          <w:b/>
          <w:bCs/>
          <w:sz w:val="18"/>
          <w:szCs w:val="18"/>
          <w:shd w:val="clear" w:color="auto" w:fill="FFFFFF"/>
          <w:lang w:val="el-GR"/>
        </w:rPr>
        <w:t>εκ.</w:t>
      </w:r>
      <w:r w:rsidR="00BF6947" w:rsidRPr="00B30D0E">
        <w:rPr>
          <w:rFonts w:ascii="Verdana" w:hAnsi="Verdana"/>
          <w:sz w:val="18"/>
          <w:szCs w:val="18"/>
          <w:shd w:val="clear" w:color="auto" w:fill="FFFFFF"/>
          <w:lang w:val="el-GR"/>
        </w:rPr>
        <w:t xml:space="preserve"> σε σύγκριση με</w:t>
      </w:r>
      <w:r w:rsidR="001D6B30" w:rsidRPr="00B30D0E">
        <w:rPr>
          <w:rFonts w:ascii="Verdana" w:hAnsi="Verdana"/>
          <w:sz w:val="18"/>
          <w:szCs w:val="18"/>
          <w:shd w:val="clear" w:color="auto" w:fill="FFFFFF"/>
          <w:lang w:val="el-GR"/>
        </w:rPr>
        <w:t xml:space="preserve"> </w:t>
      </w:r>
      <w:r w:rsidR="00BF6947" w:rsidRPr="00B30D0E">
        <w:rPr>
          <w:rFonts w:ascii="Verdana" w:hAnsi="Verdana"/>
          <w:sz w:val="18"/>
          <w:szCs w:val="18"/>
          <w:shd w:val="clear" w:color="auto" w:fill="FFFFFF"/>
          <w:lang w:val="el-GR"/>
        </w:rPr>
        <w:t>€</w:t>
      </w:r>
      <w:r w:rsidR="009F2F1D" w:rsidRPr="00B30D0E">
        <w:rPr>
          <w:rFonts w:ascii="Verdana" w:hAnsi="Verdana"/>
          <w:sz w:val="18"/>
          <w:szCs w:val="18"/>
          <w:shd w:val="clear" w:color="auto" w:fill="FFFFFF"/>
          <w:lang w:val="el-GR"/>
        </w:rPr>
        <w:t>920,3</w:t>
      </w:r>
      <w:r w:rsidR="00BF6947" w:rsidRPr="00B30D0E">
        <w:rPr>
          <w:rFonts w:ascii="Verdana" w:hAnsi="Verdana"/>
          <w:sz w:val="18"/>
          <w:szCs w:val="18"/>
          <w:shd w:val="clear" w:color="auto" w:fill="FFFFFF"/>
          <w:lang w:val="el-GR"/>
        </w:rPr>
        <w:t xml:space="preserve"> εκ. τον</w:t>
      </w:r>
      <w:r w:rsidR="001D6B30" w:rsidRPr="00B30D0E">
        <w:rPr>
          <w:rFonts w:ascii="Verdana" w:hAnsi="Verdana"/>
          <w:sz w:val="18"/>
          <w:szCs w:val="18"/>
          <w:shd w:val="clear" w:color="auto" w:fill="FFFFFF"/>
          <w:lang w:val="el-GR"/>
        </w:rPr>
        <w:t xml:space="preserve"> </w:t>
      </w:r>
      <w:r w:rsidR="00451DE2" w:rsidRPr="00B30D0E">
        <w:rPr>
          <w:rFonts w:ascii="Verdana" w:hAnsi="Verdana"/>
          <w:sz w:val="18"/>
          <w:szCs w:val="18"/>
          <w:shd w:val="clear" w:color="auto" w:fill="FFFFFF"/>
          <w:lang w:val="el-GR"/>
        </w:rPr>
        <w:t>Ιούνιο</w:t>
      </w:r>
      <w:r w:rsidR="00BF6947" w:rsidRPr="00B30D0E">
        <w:rPr>
          <w:rFonts w:ascii="Verdana" w:hAnsi="Verdana"/>
          <w:sz w:val="18"/>
          <w:szCs w:val="18"/>
          <w:shd w:val="clear" w:color="auto" w:fill="FFFFFF"/>
          <w:lang w:val="el-GR"/>
        </w:rPr>
        <w:t xml:space="preserve"> 202</w:t>
      </w:r>
      <w:r w:rsidR="00C76BC5" w:rsidRPr="00B30D0E">
        <w:rPr>
          <w:rFonts w:ascii="Verdana" w:hAnsi="Verdana"/>
          <w:sz w:val="18"/>
          <w:szCs w:val="18"/>
          <w:shd w:val="clear" w:color="auto" w:fill="FFFFFF"/>
          <w:lang w:val="el-GR"/>
        </w:rPr>
        <w:t>4</w:t>
      </w:r>
      <w:r w:rsidR="00BF6947" w:rsidRPr="00B30D0E">
        <w:rPr>
          <w:rFonts w:ascii="Verdana" w:hAnsi="Verdana"/>
          <w:sz w:val="18"/>
          <w:szCs w:val="18"/>
          <w:shd w:val="clear" w:color="auto" w:fill="FFFFFF"/>
          <w:lang w:val="el-GR"/>
        </w:rPr>
        <w:t xml:space="preserve">, καταγράφοντας </w:t>
      </w:r>
      <w:r w:rsidR="009F2F1D" w:rsidRPr="00B30D0E">
        <w:rPr>
          <w:rFonts w:ascii="Verdana" w:hAnsi="Verdana"/>
          <w:sz w:val="18"/>
          <w:szCs w:val="18"/>
          <w:shd w:val="clear" w:color="auto" w:fill="FFFFFF"/>
          <w:lang w:val="el-GR"/>
        </w:rPr>
        <w:t>αύξηση</w:t>
      </w:r>
      <w:r w:rsidR="00BF6947" w:rsidRPr="00B30D0E">
        <w:rPr>
          <w:rFonts w:ascii="Verdana" w:hAnsi="Verdana"/>
          <w:sz w:val="18"/>
          <w:szCs w:val="18"/>
          <w:shd w:val="clear" w:color="auto" w:fill="FFFFFF"/>
          <w:lang w:val="el-GR"/>
        </w:rPr>
        <w:t xml:space="preserve"> </w:t>
      </w:r>
      <w:r w:rsidR="009F2F1D" w:rsidRPr="00B30D0E">
        <w:rPr>
          <w:rFonts w:ascii="Verdana" w:hAnsi="Verdana"/>
          <w:sz w:val="18"/>
          <w:szCs w:val="18"/>
          <w:shd w:val="clear" w:color="auto" w:fill="FFFFFF"/>
          <w:lang w:val="el-GR"/>
        </w:rPr>
        <w:t>21,1</w:t>
      </w:r>
      <w:r w:rsidR="00BF6947" w:rsidRPr="00B30D0E">
        <w:rPr>
          <w:rFonts w:ascii="Verdana" w:hAnsi="Verdana"/>
          <w:sz w:val="18"/>
          <w:szCs w:val="18"/>
          <w:shd w:val="clear" w:color="auto" w:fill="FFFFFF"/>
          <w:lang w:val="el-GR"/>
        </w:rPr>
        <w:t>%. Οι εισαγωγές από άλλα Κράτη Μέλη της ΕΕ</w:t>
      </w:r>
      <w:r w:rsidR="00AF423B" w:rsidRPr="00B30D0E">
        <w:rPr>
          <w:rFonts w:ascii="Verdana" w:hAnsi="Verdana"/>
          <w:sz w:val="18"/>
          <w:szCs w:val="18"/>
          <w:shd w:val="clear" w:color="auto" w:fill="FFFFFF"/>
          <w:lang w:val="el-GR"/>
        </w:rPr>
        <w:t xml:space="preserve"> </w:t>
      </w:r>
      <w:r w:rsidR="00BF6947" w:rsidRPr="00B30D0E">
        <w:rPr>
          <w:rFonts w:ascii="Verdana" w:hAnsi="Verdana"/>
          <w:sz w:val="18"/>
          <w:szCs w:val="18"/>
          <w:shd w:val="clear" w:color="auto" w:fill="FFFFFF"/>
          <w:lang w:val="el-GR"/>
        </w:rPr>
        <w:t>ήταν €</w:t>
      </w:r>
      <w:r w:rsidR="009F2F1D" w:rsidRPr="00B30D0E">
        <w:rPr>
          <w:rFonts w:ascii="Verdana" w:hAnsi="Verdana"/>
          <w:sz w:val="18"/>
          <w:szCs w:val="18"/>
          <w:shd w:val="clear" w:color="auto" w:fill="FFFFFF"/>
          <w:lang w:val="el-GR"/>
        </w:rPr>
        <w:t>588,0</w:t>
      </w:r>
      <w:r w:rsidR="00BF6947" w:rsidRPr="00B30D0E">
        <w:rPr>
          <w:rFonts w:ascii="Verdana" w:hAnsi="Verdana"/>
          <w:sz w:val="18"/>
          <w:szCs w:val="18"/>
          <w:shd w:val="clear" w:color="auto" w:fill="FFFFFF"/>
          <w:lang w:val="el-GR"/>
        </w:rPr>
        <w:t xml:space="preserve"> εκ. και από τρίτες χώρες €</w:t>
      </w:r>
      <w:r w:rsidR="009F2F1D" w:rsidRPr="00B30D0E">
        <w:rPr>
          <w:rFonts w:ascii="Verdana" w:hAnsi="Verdana"/>
          <w:sz w:val="18"/>
          <w:szCs w:val="18"/>
          <w:shd w:val="clear" w:color="auto" w:fill="FFFFFF"/>
          <w:lang w:val="el-GR"/>
        </w:rPr>
        <w:t>526,7</w:t>
      </w:r>
      <w:r w:rsidR="00D65D7E" w:rsidRPr="00B30D0E">
        <w:rPr>
          <w:rFonts w:ascii="Verdana" w:hAnsi="Verdana"/>
          <w:sz w:val="18"/>
          <w:szCs w:val="18"/>
          <w:shd w:val="clear" w:color="auto" w:fill="FFFFFF"/>
          <w:lang w:val="el-GR"/>
        </w:rPr>
        <w:t xml:space="preserve"> </w:t>
      </w:r>
      <w:r w:rsidR="00BF6947" w:rsidRPr="00B30D0E">
        <w:rPr>
          <w:rFonts w:ascii="Verdana" w:hAnsi="Verdana"/>
          <w:sz w:val="18"/>
          <w:szCs w:val="18"/>
          <w:shd w:val="clear" w:color="auto" w:fill="FFFFFF"/>
          <w:lang w:val="el-GR"/>
        </w:rPr>
        <w:t>εκ. σε σύγκριση με €</w:t>
      </w:r>
      <w:r w:rsidR="009F2F1D" w:rsidRPr="00B30D0E">
        <w:rPr>
          <w:rFonts w:ascii="Verdana" w:hAnsi="Verdana"/>
          <w:sz w:val="18"/>
          <w:szCs w:val="18"/>
          <w:shd w:val="clear" w:color="auto" w:fill="FFFFFF"/>
          <w:lang w:val="el-GR"/>
        </w:rPr>
        <w:t>554,3</w:t>
      </w:r>
      <w:r w:rsidR="003F50B5" w:rsidRPr="00B30D0E">
        <w:rPr>
          <w:rFonts w:ascii="Verdana" w:hAnsi="Verdana"/>
          <w:sz w:val="18"/>
          <w:szCs w:val="18"/>
          <w:shd w:val="clear" w:color="auto" w:fill="FFFFFF"/>
          <w:lang w:val="el-GR"/>
        </w:rPr>
        <w:t xml:space="preserve"> </w:t>
      </w:r>
      <w:r w:rsidR="00BF6947" w:rsidRPr="00B30D0E">
        <w:rPr>
          <w:rFonts w:ascii="Verdana" w:hAnsi="Verdana"/>
          <w:sz w:val="18"/>
          <w:szCs w:val="18"/>
          <w:shd w:val="clear" w:color="auto" w:fill="FFFFFF"/>
          <w:lang w:val="el-GR"/>
        </w:rPr>
        <w:t>εκ. και €</w:t>
      </w:r>
      <w:r w:rsidR="009F2F1D" w:rsidRPr="00B30D0E">
        <w:rPr>
          <w:rFonts w:ascii="Verdana" w:hAnsi="Verdana"/>
          <w:sz w:val="18"/>
          <w:szCs w:val="18"/>
          <w:shd w:val="clear" w:color="auto" w:fill="FFFFFF"/>
          <w:lang w:val="el-GR"/>
        </w:rPr>
        <w:t>366,0</w:t>
      </w:r>
      <w:r w:rsidR="00BF6947" w:rsidRPr="00B30D0E">
        <w:rPr>
          <w:rFonts w:ascii="Verdana" w:hAnsi="Verdana"/>
          <w:sz w:val="18"/>
          <w:szCs w:val="18"/>
          <w:shd w:val="clear" w:color="auto" w:fill="FFFFFF"/>
          <w:lang w:val="el-GR"/>
        </w:rPr>
        <w:t xml:space="preserve"> εκ. αντίστοιχα τον </w:t>
      </w:r>
      <w:r w:rsidR="00451DE2" w:rsidRPr="00B30D0E">
        <w:rPr>
          <w:rFonts w:ascii="Verdana" w:hAnsi="Verdana"/>
          <w:sz w:val="18"/>
          <w:szCs w:val="18"/>
          <w:shd w:val="clear" w:color="auto" w:fill="FFFFFF"/>
          <w:lang w:val="el-GR"/>
        </w:rPr>
        <w:t xml:space="preserve">Ιούνιο </w:t>
      </w:r>
      <w:r w:rsidR="00BF6947" w:rsidRPr="00B30D0E">
        <w:rPr>
          <w:rFonts w:ascii="Verdana" w:hAnsi="Verdana"/>
          <w:sz w:val="18"/>
          <w:szCs w:val="18"/>
          <w:lang w:val="el-GR"/>
        </w:rPr>
        <w:t>202</w:t>
      </w:r>
      <w:r w:rsidR="00C76BC5" w:rsidRPr="00B30D0E">
        <w:rPr>
          <w:rFonts w:ascii="Verdana" w:hAnsi="Verdana"/>
          <w:sz w:val="18"/>
          <w:szCs w:val="18"/>
          <w:lang w:val="el-GR"/>
        </w:rPr>
        <w:t>4</w:t>
      </w:r>
      <w:r w:rsidR="00BF6947" w:rsidRPr="00B30D0E">
        <w:rPr>
          <w:rFonts w:ascii="Verdana" w:hAnsi="Verdana"/>
          <w:sz w:val="18"/>
          <w:szCs w:val="18"/>
          <w:lang w:val="el-GR"/>
        </w:rPr>
        <w:t xml:space="preserve">. Οι εισαγωγές τον </w:t>
      </w:r>
      <w:r w:rsidR="00451DE2" w:rsidRPr="00B30D0E">
        <w:rPr>
          <w:rFonts w:ascii="Verdana" w:hAnsi="Verdana"/>
          <w:sz w:val="18"/>
          <w:szCs w:val="18"/>
          <w:lang w:val="el-GR"/>
        </w:rPr>
        <w:t xml:space="preserve">Ιούνιο </w:t>
      </w:r>
      <w:r w:rsidR="00BF6947" w:rsidRPr="00B30D0E">
        <w:rPr>
          <w:rFonts w:ascii="Verdana" w:hAnsi="Verdana"/>
          <w:sz w:val="18"/>
          <w:szCs w:val="18"/>
          <w:lang w:val="el-GR"/>
        </w:rPr>
        <w:t>202</w:t>
      </w:r>
      <w:r w:rsidR="00C76BC5" w:rsidRPr="00B30D0E">
        <w:rPr>
          <w:rFonts w:ascii="Verdana" w:hAnsi="Verdana"/>
          <w:sz w:val="18"/>
          <w:szCs w:val="18"/>
          <w:lang w:val="el-GR"/>
        </w:rPr>
        <w:t>5</w:t>
      </w:r>
      <w:r w:rsidR="00BF6947" w:rsidRPr="00B30D0E">
        <w:rPr>
          <w:rFonts w:ascii="Verdana" w:hAnsi="Verdana"/>
          <w:sz w:val="18"/>
          <w:szCs w:val="18"/>
          <w:lang w:val="el-GR"/>
        </w:rPr>
        <w:t xml:space="preserve"> περιλαμβάνουν τη </w:t>
      </w:r>
      <w:r w:rsidR="00D20130" w:rsidRPr="00B30D0E">
        <w:rPr>
          <w:rFonts w:ascii="Verdana" w:hAnsi="Verdana"/>
          <w:sz w:val="18"/>
          <w:szCs w:val="18"/>
          <w:lang w:val="el-GR"/>
        </w:rPr>
        <w:t>μεταβίβαση</w:t>
      </w:r>
      <w:r w:rsidR="00152E5C" w:rsidRPr="00B30D0E">
        <w:rPr>
          <w:rFonts w:ascii="Verdana" w:hAnsi="Verdana"/>
          <w:sz w:val="18"/>
          <w:szCs w:val="18"/>
          <w:lang w:val="el-GR"/>
        </w:rPr>
        <w:t xml:space="preserve"> οικονομικής ιδιοκτησίας</w:t>
      </w:r>
      <w:r w:rsidR="00290464" w:rsidRPr="00B30D0E">
        <w:rPr>
          <w:rFonts w:ascii="Verdana" w:hAnsi="Verdana"/>
          <w:sz w:val="18"/>
          <w:szCs w:val="18"/>
          <w:lang w:val="el-GR"/>
        </w:rPr>
        <w:t xml:space="preserve"> πλοίων</w:t>
      </w:r>
      <w:r w:rsidR="00BF6947" w:rsidRPr="00B30D0E">
        <w:rPr>
          <w:rFonts w:ascii="Verdana" w:hAnsi="Verdana"/>
          <w:sz w:val="18"/>
          <w:szCs w:val="18"/>
          <w:lang w:val="el-GR"/>
        </w:rPr>
        <w:t>, συνολικής αξίας €</w:t>
      </w:r>
      <w:r w:rsidR="009F2F1D" w:rsidRPr="00B30D0E">
        <w:rPr>
          <w:rFonts w:ascii="Verdana" w:hAnsi="Verdana"/>
          <w:sz w:val="18"/>
          <w:szCs w:val="18"/>
          <w:lang w:val="el-GR"/>
        </w:rPr>
        <w:t>50,6</w:t>
      </w:r>
      <w:r w:rsidR="00BF6947" w:rsidRPr="00B30D0E">
        <w:rPr>
          <w:rFonts w:ascii="Verdana" w:hAnsi="Verdana"/>
          <w:sz w:val="18"/>
          <w:szCs w:val="18"/>
          <w:lang w:val="el-GR"/>
        </w:rPr>
        <w:t xml:space="preserve"> εκ. έναντι €</w:t>
      </w:r>
      <w:r w:rsidR="009F2F1D" w:rsidRPr="00B30D0E">
        <w:rPr>
          <w:rFonts w:ascii="Verdana" w:hAnsi="Verdana"/>
          <w:sz w:val="18"/>
          <w:szCs w:val="18"/>
          <w:lang w:val="el-GR"/>
        </w:rPr>
        <w:t>77,8</w:t>
      </w:r>
      <w:r w:rsidR="00BF6947" w:rsidRPr="00B30D0E">
        <w:rPr>
          <w:rFonts w:ascii="Verdana" w:hAnsi="Verdana"/>
          <w:sz w:val="18"/>
          <w:szCs w:val="18"/>
          <w:lang w:val="el-GR"/>
        </w:rPr>
        <w:t xml:space="preserve"> εκ. τον </w:t>
      </w:r>
      <w:r w:rsidR="00451DE2" w:rsidRPr="00B30D0E">
        <w:rPr>
          <w:rFonts w:ascii="Verdana" w:hAnsi="Verdana"/>
          <w:sz w:val="18"/>
          <w:szCs w:val="18"/>
          <w:lang w:val="el-GR"/>
        </w:rPr>
        <w:t>Ιούνιο</w:t>
      </w:r>
      <w:r w:rsidR="00BF6947" w:rsidRPr="00B30D0E">
        <w:rPr>
          <w:rFonts w:ascii="Verdana" w:hAnsi="Verdana"/>
          <w:sz w:val="18"/>
          <w:szCs w:val="18"/>
          <w:lang w:val="el-GR"/>
        </w:rPr>
        <w:t xml:space="preserve"> 202</w:t>
      </w:r>
      <w:r w:rsidR="00C76BC5" w:rsidRPr="00B30D0E">
        <w:rPr>
          <w:rFonts w:ascii="Verdana" w:hAnsi="Verdana"/>
          <w:sz w:val="18"/>
          <w:szCs w:val="18"/>
          <w:lang w:val="el-GR"/>
        </w:rPr>
        <w:t>4</w:t>
      </w:r>
      <w:r w:rsidR="00BF6947" w:rsidRPr="00B30D0E">
        <w:rPr>
          <w:rFonts w:ascii="Verdana" w:hAnsi="Verdana"/>
          <w:sz w:val="18"/>
          <w:szCs w:val="18"/>
          <w:lang w:val="el-GR"/>
        </w:rPr>
        <w:t>.</w:t>
      </w:r>
    </w:p>
    <w:p w14:paraId="5081D562" w14:textId="77777777" w:rsidR="00BF6947" w:rsidRPr="005E70A5" w:rsidRDefault="00BF6947" w:rsidP="00BF6947">
      <w:pPr>
        <w:ind w:left="539" w:hanging="539"/>
        <w:jc w:val="both"/>
        <w:rPr>
          <w:rFonts w:ascii="Verdana" w:hAnsi="Verdana"/>
          <w:sz w:val="18"/>
          <w:szCs w:val="18"/>
          <w:shd w:val="clear" w:color="auto" w:fill="FFFFFF"/>
          <w:lang w:val="el-GR"/>
        </w:rPr>
      </w:pPr>
    </w:p>
    <w:p w14:paraId="2AD877C0" w14:textId="5A01E5BC" w:rsidR="00EE5194" w:rsidRPr="00E902F9" w:rsidRDefault="00BF6947" w:rsidP="00EE5194">
      <w:pPr>
        <w:jc w:val="both"/>
        <w:rPr>
          <w:rFonts w:ascii="Verdana" w:hAnsi="Verdana"/>
          <w:sz w:val="18"/>
          <w:szCs w:val="18"/>
          <w:lang w:val="el-GR"/>
        </w:rPr>
      </w:pPr>
      <w:r w:rsidRPr="00E902F9">
        <w:rPr>
          <w:rFonts w:ascii="Verdana" w:hAnsi="Verdana"/>
          <w:b/>
          <w:bCs/>
          <w:sz w:val="18"/>
          <w:szCs w:val="18"/>
          <w:lang w:val="el-GR"/>
        </w:rPr>
        <w:t xml:space="preserve">Οι συνολικές εξαγωγές αγαθών τον </w:t>
      </w:r>
      <w:r w:rsidR="00451DE2" w:rsidRPr="00E902F9">
        <w:rPr>
          <w:rFonts w:ascii="Verdana" w:hAnsi="Verdana"/>
          <w:b/>
          <w:bCs/>
          <w:sz w:val="18"/>
          <w:szCs w:val="18"/>
          <w:lang w:val="el-GR"/>
        </w:rPr>
        <w:t>Ιούνιο</w:t>
      </w:r>
      <w:r w:rsidRPr="00E902F9">
        <w:rPr>
          <w:rFonts w:ascii="Verdana" w:hAnsi="Verdana"/>
          <w:b/>
          <w:bCs/>
          <w:sz w:val="18"/>
          <w:szCs w:val="18"/>
          <w:lang w:val="el-GR"/>
        </w:rPr>
        <w:t xml:space="preserve"> 202</w:t>
      </w:r>
      <w:r w:rsidR="00C76BC5" w:rsidRPr="00E902F9">
        <w:rPr>
          <w:rFonts w:ascii="Verdana" w:hAnsi="Verdana"/>
          <w:b/>
          <w:bCs/>
          <w:sz w:val="18"/>
          <w:szCs w:val="18"/>
          <w:lang w:val="el-GR"/>
        </w:rPr>
        <w:t>5</w:t>
      </w:r>
      <w:r w:rsidRPr="00E902F9">
        <w:rPr>
          <w:rFonts w:ascii="Verdana" w:hAnsi="Verdana"/>
          <w:b/>
          <w:bCs/>
          <w:sz w:val="18"/>
          <w:szCs w:val="18"/>
          <w:lang w:val="el-GR"/>
        </w:rPr>
        <w:t xml:space="preserve"> ήταν €</w:t>
      </w:r>
      <w:r w:rsidR="0003405E" w:rsidRPr="00E902F9">
        <w:rPr>
          <w:rFonts w:ascii="Verdana" w:hAnsi="Verdana"/>
          <w:b/>
          <w:bCs/>
          <w:sz w:val="18"/>
          <w:szCs w:val="18"/>
          <w:lang w:val="el-GR"/>
        </w:rPr>
        <w:t>506,5</w:t>
      </w:r>
      <w:r w:rsidR="00E859E7" w:rsidRPr="00E902F9">
        <w:rPr>
          <w:rFonts w:ascii="Verdana" w:hAnsi="Verdana"/>
          <w:b/>
          <w:bCs/>
          <w:sz w:val="18"/>
          <w:szCs w:val="18"/>
          <w:lang w:val="el-GR"/>
        </w:rPr>
        <w:t xml:space="preserve"> </w:t>
      </w:r>
      <w:r w:rsidRPr="00E902F9">
        <w:rPr>
          <w:rFonts w:ascii="Verdana" w:hAnsi="Verdana"/>
          <w:b/>
          <w:bCs/>
          <w:sz w:val="18"/>
          <w:szCs w:val="18"/>
          <w:lang w:val="el-GR"/>
        </w:rPr>
        <w:t>εκ.</w:t>
      </w:r>
      <w:r w:rsidRPr="00E902F9">
        <w:rPr>
          <w:rFonts w:ascii="Verdana" w:hAnsi="Verdana"/>
          <w:sz w:val="18"/>
          <w:szCs w:val="18"/>
          <w:lang w:val="el-GR"/>
        </w:rPr>
        <w:t xml:space="preserve"> σε σύγκριση με €</w:t>
      </w:r>
      <w:r w:rsidR="0003405E" w:rsidRPr="00E902F9">
        <w:rPr>
          <w:rFonts w:ascii="Verdana" w:hAnsi="Verdana"/>
          <w:sz w:val="18"/>
          <w:szCs w:val="18"/>
          <w:lang w:val="el-GR"/>
        </w:rPr>
        <w:t>452,5</w:t>
      </w:r>
      <w:r w:rsidRPr="00E902F9">
        <w:rPr>
          <w:rFonts w:ascii="Verdana" w:hAnsi="Verdana"/>
          <w:sz w:val="18"/>
          <w:szCs w:val="18"/>
          <w:lang w:val="el-GR"/>
        </w:rPr>
        <w:t xml:space="preserve"> εκ. τον </w:t>
      </w:r>
      <w:r w:rsidR="00451DE2" w:rsidRPr="00E902F9">
        <w:rPr>
          <w:rFonts w:ascii="Verdana" w:hAnsi="Verdana"/>
          <w:sz w:val="18"/>
          <w:szCs w:val="18"/>
          <w:lang w:val="el-GR"/>
        </w:rPr>
        <w:t>Ιούνιο</w:t>
      </w:r>
      <w:r w:rsidR="002D60AC" w:rsidRPr="00E902F9">
        <w:rPr>
          <w:rFonts w:ascii="Verdana" w:hAnsi="Verdana"/>
          <w:sz w:val="18"/>
          <w:szCs w:val="18"/>
          <w:lang w:val="el-GR"/>
        </w:rPr>
        <w:t xml:space="preserve"> </w:t>
      </w:r>
      <w:r w:rsidRPr="00E902F9">
        <w:rPr>
          <w:rFonts w:ascii="Verdana" w:hAnsi="Verdana"/>
          <w:sz w:val="18"/>
          <w:szCs w:val="18"/>
          <w:lang w:val="el-GR"/>
        </w:rPr>
        <w:t>202</w:t>
      </w:r>
      <w:r w:rsidR="00C76BC5" w:rsidRPr="00E902F9">
        <w:rPr>
          <w:rFonts w:ascii="Verdana" w:hAnsi="Verdana"/>
          <w:sz w:val="18"/>
          <w:szCs w:val="18"/>
          <w:lang w:val="el-GR"/>
        </w:rPr>
        <w:t>4</w:t>
      </w:r>
      <w:r w:rsidRPr="00E902F9">
        <w:rPr>
          <w:rFonts w:ascii="Verdana" w:hAnsi="Verdana"/>
          <w:sz w:val="18"/>
          <w:szCs w:val="18"/>
          <w:lang w:val="el-GR"/>
        </w:rPr>
        <w:t xml:space="preserve">, σημειώνοντας </w:t>
      </w:r>
      <w:r w:rsidR="0003405E" w:rsidRPr="00E902F9">
        <w:rPr>
          <w:rFonts w:ascii="Verdana" w:hAnsi="Verdana"/>
          <w:sz w:val="18"/>
          <w:szCs w:val="18"/>
          <w:lang w:val="el-GR"/>
        </w:rPr>
        <w:t>αύξηση</w:t>
      </w:r>
      <w:r w:rsidR="00903820" w:rsidRPr="00E902F9">
        <w:rPr>
          <w:rFonts w:ascii="Verdana" w:hAnsi="Verdana"/>
          <w:sz w:val="18"/>
          <w:szCs w:val="18"/>
          <w:lang w:val="el-GR"/>
        </w:rPr>
        <w:t xml:space="preserve"> </w:t>
      </w:r>
      <w:r w:rsidR="0003405E" w:rsidRPr="00E902F9">
        <w:rPr>
          <w:rFonts w:ascii="Verdana" w:hAnsi="Verdana"/>
          <w:sz w:val="18"/>
          <w:szCs w:val="18"/>
          <w:lang w:val="el-GR"/>
        </w:rPr>
        <w:t>11,9</w:t>
      </w:r>
      <w:r w:rsidRPr="00E902F9">
        <w:rPr>
          <w:rFonts w:ascii="Verdana" w:hAnsi="Verdana"/>
          <w:sz w:val="18"/>
          <w:szCs w:val="18"/>
          <w:lang w:val="el-GR"/>
        </w:rPr>
        <w:t>%. Οι εξαγωγές προς άλλα Κράτη Μέλη της ΕΕ ήταν €</w:t>
      </w:r>
      <w:r w:rsidR="0003405E" w:rsidRPr="00E902F9">
        <w:rPr>
          <w:rFonts w:ascii="Verdana" w:hAnsi="Verdana"/>
          <w:sz w:val="18"/>
          <w:szCs w:val="18"/>
          <w:lang w:val="el-GR"/>
        </w:rPr>
        <w:t>141,5</w:t>
      </w:r>
      <w:r w:rsidRPr="00E902F9">
        <w:rPr>
          <w:rFonts w:ascii="Verdana" w:hAnsi="Verdana"/>
          <w:sz w:val="18"/>
          <w:szCs w:val="18"/>
          <w:lang w:val="el-GR"/>
        </w:rPr>
        <w:t xml:space="preserve"> εκ. και προς τρίτες χώρες €</w:t>
      </w:r>
      <w:r w:rsidR="0003405E" w:rsidRPr="00E902F9">
        <w:rPr>
          <w:rFonts w:ascii="Verdana" w:hAnsi="Verdana"/>
          <w:sz w:val="18"/>
          <w:szCs w:val="18"/>
          <w:lang w:val="el-GR"/>
        </w:rPr>
        <w:t>365,0</w:t>
      </w:r>
      <w:r w:rsidR="00E859E7" w:rsidRPr="00E902F9">
        <w:rPr>
          <w:rFonts w:ascii="Verdana" w:hAnsi="Verdana"/>
          <w:sz w:val="18"/>
          <w:szCs w:val="18"/>
          <w:lang w:val="el-GR"/>
        </w:rPr>
        <w:t xml:space="preserve"> </w:t>
      </w:r>
      <w:r w:rsidRPr="00E902F9">
        <w:rPr>
          <w:rFonts w:ascii="Verdana" w:hAnsi="Verdana"/>
          <w:sz w:val="18"/>
          <w:szCs w:val="18"/>
          <w:lang w:val="el-GR"/>
        </w:rPr>
        <w:t>εκ., σε σύγκριση με €</w:t>
      </w:r>
      <w:r w:rsidR="0003405E" w:rsidRPr="00E902F9">
        <w:rPr>
          <w:rFonts w:ascii="Verdana" w:hAnsi="Verdana"/>
          <w:sz w:val="18"/>
          <w:szCs w:val="18"/>
          <w:lang w:val="el-GR"/>
        </w:rPr>
        <w:t>127,8</w:t>
      </w:r>
      <w:r w:rsidR="00E859E7" w:rsidRPr="00E902F9">
        <w:rPr>
          <w:rFonts w:ascii="Verdana" w:hAnsi="Verdana"/>
          <w:sz w:val="18"/>
          <w:szCs w:val="18"/>
          <w:lang w:val="el-GR"/>
        </w:rPr>
        <w:t xml:space="preserve"> </w:t>
      </w:r>
      <w:r w:rsidRPr="00E902F9">
        <w:rPr>
          <w:rFonts w:ascii="Verdana" w:hAnsi="Verdana"/>
          <w:sz w:val="18"/>
          <w:szCs w:val="18"/>
          <w:lang w:val="el-GR"/>
        </w:rPr>
        <w:t>εκ. και €</w:t>
      </w:r>
      <w:r w:rsidR="0003405E" w:rsidRPr="00E902F9">
        <w:rPr>
          <w:rFonts w:ascii="Verdana" w:hAnsi="Verdana"/>
          <w:sz w:val="18"/>
          <w:szCs w:val="18"/>
          <w:lang w:val="el-GR"/>
        </w:rPr>
        <w:t>324,7</w:t>
      </w:r>
      <w:r w:rsidR="002D3E92" w:rsidRPr="00E902F9">
        <w:rPr>
          <w:rFonts w:ascii="Verdana" w:hAnsi="Verdana"/>
          <w:sz w:val="18"/>
          <w:szCs w:val="18"/>
          <w:lang w:val="el-GR"/>
        </w:rPr>
        <w:t xml:space="preserve"> </w:t>
      </w:r>
      <w:r w:rsidRPr="00E902F9">
        <w:rPr>
          <w:rFonts w:ascii="Verdana" w:hAnsi="Verdana"/>
          <w:sz w:val="18"/>
          <w:szCs w:val="18"/>
          <w:lang w:val="el-GR"/>
        </w:rPr>
        <w:t xml:space="preserve">εκ. αντίστοιχα τον </w:t>
      </w:r>
      <w:r w:rsidR="00451DE2" w:rsidRPr="00E902F9">
        <w:rPr>
          <w:rFonts w:ascii="Verdana" w:hAnsi="Verdana"/>
          <w:sz w:val="18"/>
          <w:szCs w:val="18"/>
          <w:lang w:val="el-GR"/>
        </w:rPr>
        <w:t>Ιούνιο</w:t>
      </w:r>
      <w:r w:rsidRPr="00E902F9">
        <w:rPr>
          <w:rFonts w:ascii="Verdana" w:hAnsi="Verdana"/>
          <w:sz w:val="18"/>
          <w:szCs w:val="18"/>
          <w:lang w:val="el-GR"/>
        </w:rPr>
        <w:t xml:space="preserve"> 202</w:t>
      </w:r>
      <w:r w:rsidR="00C76BC5" w:rsidRPr="00E902F9">
        <w:rPr>
          <w:rFonts w:ascii="Verdana" w:hAnsi="Verdana"/>
          <w:sz w:val="18"/>
          <w:szCs w:val="18"/>
          <w:lang w:val="el-GR"/>
        </w:rPr>
        <w:t>4</w:t>
      </w:r>
      <w:r w:rsidRPr="00E902F9">
        <w:rPr>
          <w:rFonts w:ascii="Verdana" w:hAnsi="Verdana"/>
          <w:sz w:val="18"/>
          <w:szCs w:val="18"/>
          <w:lang w:val="el-GR"/>
        </w:rPr>
        <w:t>.</w:t>
      </w:r>
      <w:r w:rsidR="00D65D7E" w:rsidRPr="00E902F9">
        <w:rPr>
          <w:rFonts w:ascii="Verdana" w:hAnsi="Verdana"/>
          <w:sz w:val="18"/>
          <w:szCs w:val="18"/>
          <w:lang w:val="el-GR"/>
        </w:rPr>
        <w:t xml:space="preserve"> </w:t>
      </w:r>
      <w:r w:rsidR="00EE5194" w:rsidRPr="00E902F9">
        <w:rPr>
          <w:rFonts w:ascii="Verdana" w:hAnsi="Verdana"/>
          <w:sz w:val="18"/>
          <w:szCs w:val="18"/>
          <w:shd w:val="clear" w:color="auto" w:fill="FFFFFF"/>
          <w:lang w:val="el-GR"/>
        </w:rPr>
        <w:t xml:space="preserve">Οι εξαγωγές τον </w:t>
      </w:r>
      <w:r w:rsidR="00451DE2" w:rsidRPr="00E902F9">
        <w:rPr>
          <w:rFonts w:ascii="Verdana" w:hAnsi="Verdana"/>
          <w:sz w:val="18"/>
          <w:szCs w:val="18"/>
          <w:shd w:val="clear" w:color="auto" w:fill="FFFFFF"/>
          <w:lang w:val="el-GR"/>
        </w:rPr>
        <w:t>Ιούνιο</w:t>
      </w:r>
      <w:r w:rsidR="00EE5194" w:rsidRPr="00E902F9">
        <w:rPr>
          <w:rFonts w:ascii="Verdana" w:hAnsi="Verdana"/>
          <w:sz w:val="18"/>
          <w:szCs w:val="18"/>
          <w:shd w:val="clear" w:color="auto" w:fill="FFFFFF"/>
          <w:lang w:val="el-GR"/>
        </w:rPr>
        <w:t xml:space="preserve"> 202</w:t>
      </w:r>
      <w:r w:rsidR="00C76BC5" w:rsidRPr="00E902F9">
        <w:rPr>
          <w:rFonts w:ascii="Verdana" w:hAnsi="Verdana"/>
          <w:sz w:val="18"/>
          <w:szCs w:val="18"/>
          <w:shd w:val="clear" w:color="auto" w:fill="FFFFFF"/>
          <w:lang w:val="el-GR"/>
        </w:rPr>
        <w:t>5</w:t>
      </w:r>
      <w:r w:rsidR="00EE5194" w:rsidRPr="00E902F9">
        <w:rPr>
          <w:rFonts w:ascii="Verdana" w:hAnsi="Verdana"/>
          <w:sz w:val="18"/>
          <w:szCs w:val="18"/>
          <w:shd w:val="clear" w:color="auto" w:fill="FFFFFF"/>
          <w:lang w:val="el-GR"/>
        </w:rPr>
        <w:t xml:space="preserve"> περιλαμβάνουν τη μεταβίβαση οικονομικής ιδιοκτησίας πλοίων, συνολικής αξίας €</w:t>
      </w:r>
      <w:r w:rsidR="0003405E" w:rsidRPr="00E902F9">
        <w:rPr>
          <w:rFonts w:ascii="Verdana" w:hAnsi="Verdana"/>
          <w:sz w:val="18"/>
          <w:szCs w:val="18"/>
          <w:shd w:val="clear" w:color="auto" w:fill="FFFFFF"/>
          <w:lang w:val="el-GR"/>
        </w:rPr>
        <w:t>63,3</w:t>
      </w:r>
      <w:r w:rsidR="00D82FBF" w:rsidRPr="00E902F9">
        <w:rPr>
          <w:rFonts w:ascii="Verdana" w:hAnsi="Verdana"/>
          <w:sz w:val="18"/>
          <w:szCs w:val="18"/>
          <w:shd w:val="clear" w:color="auto" w:fill="FFFFFF"/>
          <w:lang w:val="el-GR"/>
        </w:rPr>
        <w:t xml:space="preserve"> </w:t>
      </w:r>
      <w:r w:rsidR="00EE5194" w:rsidRPr="00E902F9">
        <w:rPr>
          <w:rFonts w:ascii="Verdana" w:hAnsi="Verdana"/>
          <w:sz w:val="18"/>
          <w:szCs w:val="18"/>
          <w:shd w:val="clear" w:color="auto" w:fill="FFFFFF"/>
          <w:lang w:val="el-GR"/>
        </w:rPr>
        <w:t>εκ. έναντι €</w:t>
      </w:r>
      <w:r w:rsidR="0003405E" w:rsidRPr="00E902F9">
        <w:rPr>
          <w:rFonts w:ascii="Verdana" w:hAnsi="Verdana"/>
          <w:sz w:val="18"/>
          <w:szCs w:val="18"/>
          <w:shd w:val="clear" w:color="auto" w:fill="FFFFFF"/>
          <w:lang w:val="el-GR"/>
        </w:rPr>
        <w:t>160,6</w:t>
      </w:r>
      <w:r w:rsidR="00EE5194" w:rsidRPr="00E902F9">
        <w:rPr>
          <w:rFonts w:ascii="Verdana" w:hAnsi="Verdana"/>
          <w:sz w:val="18"/>
          <w:szCs w:val="18"/>
          <w:shd w:val="clear" w:color="auto" w:fill="FFFFFF"/>
          <w:lang w:val="el-GR"/>
        </w:rPr>
        <w:t xml:space="preserve"> εκ. τον </w:t>
      </w:r>
      <w:r w:rsidR="00451DE2" w:rsidRPr="00E902F9">
        <w:rPr>
          <w:rFonts w:ascii="Verdana" w:hAnsi="Verdana"/>
          <w:sz w:val="18"/>
          <w:szCs w:val="18"/>
          <w:shd w:val="clear" w:color="auto" w:fill="FFFFFF"/>
          <w:lang w:val="el-GR"/>
        </w:rPr>
        <w:t>Ιούνιο</w:t>
      </w:r>
      <w:r w:rsidR="00EE5194" w:rsidRPr="00E902F9">
        <w:rPr>
          <w:rFonts w:ascii="Verdana" w:hAnsi="Verdana"/>
          <w:sz w:val="18"/>
          <w:szCs w:val="18"/>
          <w:shd w:val="clear" w:color="auto" w:fill="FFFFFF"/>
          <w:lang w:val="el-GR"/>
        </w:rPr>
        <w:t xml:space="preserve"> 202</w:t>
      </w:r>
      <w:r w:rsidR="00C76BC5" w:rsidRPr="00E902F9">
        <w:rPr>
          <w:rFonts w:ascii="Verdana" w:hAnsi="Verdana"/>
          <w:sz w:val="18"/>
          <w:szCs w:val="18"/>
          <w:shd w:val="clear" w:color="auto" w:fill="FFFFFF"/>
          <w:lang w:val="el-GR"/>
        </w:rPr>
        <w:t>4</w:t>
      </w:r>
      <w:r w:rsidR="00EE5194" w:rsidRPr="00E902F9">
        <w:rPr>
          <w:rFonts w:ascii="Verdana" w:hAnsi="Verdana"/>
          <w:sz w:val="18"/>
          <w:szCs w:val="18"/>
          <w:shd w:val="clear" w:color="auto" w:fill="FFFFFF"/>
          <w:lang w:val="el-GR"/>
        </w:rPr>
        <w:t>.</w:t>
      </w:r>
    </w:p>
    <w:p w14:paraId="04EDCB01" w14:textId="77777777" w:rsidR="00BF6947" w:rsidRPr="00E902F9" w:rsidRDefault="00BF6947" w:rsidP="00BF6947">
      <w:pPr>
        <w:jc w:val="both"/>
        <w:rPr>
          <w:rFonts w:ascii="Verdana" w:hAnsi="Verdana"/>
          <w:sz w:val="18"/>
          <w:szCs w:val="18"/>
          <w:shd w:val="clear" w:color="auto" w:fill="FFFFFF"/>
          <w:lang w:val="el-GR"/>
        </w:rPr>
      </w:pPr>
    </w:p>
    <w:p w14:paraId="02EA3411" w14:textId="0A5BB261" w:rsidR="00775CFC" w:rsidRPr="008936A8" w:rsidRDefault="00775CFC" w:rsidP="00775CFC">
      <w:pPr>
        <w:jc w:val="both"/>
        <w:rPr>
          <w:rFonts w:ascii="Verdana" w:hAnsi="Verdana"/>
          <w:sz w:val="18"/>
          <w:szCs w:val="18"/>
          <w:shd w:val="clear" w:color="auto" w:fill="FFFFFF"/>
          <w:lang w:val="el-GR"/>
        </w:rPr>
      </w:pPr>
      <w:r w:rsidRPr="00E902F9">
        <w:rPr>
          <w:rFonts w:ascii="Verdana" w:hAnsi="Verdana"/>
          <w:b/>
          <w:bCs/>
          <w:sz w:val="18"/>
          <w:szCs w:val="18"/>
          <w:shd w:val="clear" w:color="auto" w:fill="FFFFFF"/>
          <w:lang w:val="el-GR"/>
        </w:rPr>
        <w:t>Οι συνολικές εισαγωγές αγαθών για την περίοδο Ιανουαρίου–</w:t>
      </w:r>
      <w:r w:rsidR="00451DE2" w:rsidRPr="00E902F9">
        <w:rPr>
          <w:rFonts w:ascii="Verdana" w:hAnsi="Verdana"/>
          <w:b/>
          <w:bCs/>
          <w:sz w:val="18"/>
          <w:szCs w:val="18"/>
          <w:shd w:val="clear" w:color="auto" w:fill="FFFFFF"/>
          <w:lang w:val="el-GR"/>
        </w:rPr>
        <w:t>Ιουνίου</w:t>
      </w:r>
      <w:r w:rsidRPr="00E902F9">
        <w:rPr>
          <w:rFonts w:ascii="Verdana" w:hAnsi="Verdana"/>
          <w:b/>
          <w:bCs/>
          <w:sz w:val="18"/>
          <w:szCs w:val="18"/>
          <w:shd w:val="clear" w:color="auto" w:fill="FFFFFF"/>
          <w:lang w:val="el-GR"/>
        </w:rPr>
        <w:t xml:space="preserve"> 202</w:t>
      </w:r>
      <w:r w:rsidR="00D21AEF" w:rsidRPr="00E902F9">
        <w:rPr>
          <w:rFonts w:ascii="Verdana" w:hAnsi="Verdana"/>
          <w:b/>
          <w:bCs/>
          <w:sz w:val="18"/>
          <w:szCs w:val="18"/>
          <w:shd w:val="clear" w:color="auto" w:fill="FFFFFF"/>
          <w:lang w:val="el-GR"/>
        </w:rPr>
        <w:t>5</w:t>
      </w:r>
      <w:r w:rsidRPr="00E902F9">
        <w:rPr>
          <w:rFonts w:ascii="Verdana" w:hAnsi="Verdana"/>
          <w:b/>
          <w:bCs/>
          <w:sz w:val="18"/>
          <w:szCs w:val="18"/>
          <w:shd w:val="clear" w:color="auto" w:fill="FFFFFF"/>
          <w:lang w:val="el-GR"/>
        </w:rPr>
        <w:t xml:space="preserve"> ήταν</w:t>
      </w:r>
      <w:r w:rsidR="001D6B30" w:rsidRPr="00E902F9">
        <w:rPr>
          <w:rFonts w:ascii="Verdana" w:hAnsi="Verdana"/>
          <w:b/>
          <w:bCs/>
          <w:sz w:val="18"/>
          <w:szCs w:val="18"/>
          <w:shd w:val="clear" w:color="auto" w:fill="FFFFFF"/>
          <w:lang w:val="el-GR"/>
        </w:rPr>
        <w:t xml:space="preserve"> </w:t>
      </w:r>
      <w:r w:rsidRPr="00E902F9">
        <w:rPr>
          <w:rFonts w:ascii="Verdana" w:hAnsi="Verdana"/>
          <w:b/>
          <w:bCs/>
          <w:sz w:val="18"/>
          <w:szCs w:val="18"/>
          <w:shd w:val="clear" w:color="auto" w:fill="FFFFFF"/>
          <w:lang w:val="el-GR"/>
        </w:rPr>
        <w:t>€</w:t>
      </w:r>
      <w:r w:rsidR="006A06EE" w:rsidRPr="00E902F9">
        <w:rPr>
          <w:rFonts w:ascii="Verdana" w:hAnsi="Verdana"/>
          <w:b/>
          <w:bCs/>
          <w:sz w:val="18"/>
          <w:szCs w:val="18"/>
          <w:shd w:val="clear" w:color="auto" w:fill="FFFFFF"/>
          <w:lang w:val="el-GR"/>
        </w:rPr>
        <w:t>6.495,6</w:t>
      </w:r>
      <w:r w:rsidRPr="00E902F9">
        <w:rPr>
          <w:rFonts w:ascii="Verdana" w:hAnsi="Verdana"/>
          <w:b/>
          <w:bCs/>
          <w:sz w:val="18"/>
          <w:szCs w:val="18"/>
          <w:shd w:val="clear" w:color="auto" w:fill="FFFFFF"/>
          <w:lang w:val="el-GR"/>
        </w:rPr>
        <w:t xml:space="preserve"> εκ.</w:t>
      </w:r>
      <w:r w:rsidRPr="00E902F9">
        <w:rPr>
          <w:rFonts w:ascii="Verdana" w:hAnsi="Verdana"/>
          <w:sz w:val="18"/>
          <w:szCs w:val="18"/>
          <w:shd w:val="clear" w:color="auto" w:fill="FFFFFF"/>
          <w:lang w:val="el-GR"/>
        </w:rPr>
        <w:t xml:space="preserve"> σε σύγκριση με €</w:t>
      </w:r>
      <w:r w:rsidR="006A06EE" w:rsidRPr="00E902F9">
        <w:rPr>
          <w:rFonts w:ascii="Verdana" w:hAnsi="Verdana"/>
          <w:sz w:val="18"/>
          <w:szCs w:val="18"/>
          <w:shd w:val="clear" w:color="auto" w:fill="FFFFFF"/>
          <w:lang w:val="el-GR"/>
        </w:rPr>
        <w:t>5.645,9</w:t>
      </w:r>
      <w:r w:rsidRPr="00E902F9">
        <w:rPr>
          <w:rFonts w:ascii="Verdana" w:hAnsi="Verdana"/>
          <w:sz w:val="18"/>
          <w:szCs w:val="18"/>
          <w:shd w:val="clear" w:color="auto" w:fill="FFFFFF"/>
          <w:lang w:val="el-GR"/>
        </w:rPr>
        <w:t xml:space="preserve"> εκ. για την περίοδο Ιανουαρίου–</w:t>
      </w:r>
      <w:r w:rsidR="00451DE2" w:rsidRPr="00E902F9">
        <w:rPr>
          <w:rFonts w:ascii="Verdana" w:hAnsi="Verdana"/>
          <w:sz w:val="18"/>
          <w:szCs w:val="18"/>
          <w:shd w:val="clear" w:color="auto" w:fill="FFFFFF"/>
          <w:lang w:val="el-GR"/>
        </w:rPr>
        <w:t>Ιουνίου</w:t>
      </w:r>
      <w:r w:rsidRPr="00E902F9">
        <w:rPr>
          <w:rFonts w:ascii="Verdana" w:hAnsi="Verdana"/>
          <w:sz w:val="18"/>
          <w:szCs w:val="18"/>
          <w:shd w:val="clear" w:color="auto" w:fill="FFFFFF"/>
          <w:lang w:val="el-GR"/>
        </w:rPr>
        <w:t xml:space="preserve"> 202</w:t>
      </w:r>
      <w:r w:rsidR="00D21AEF" w:rsidRPr="00E902F9">
        <w:rPr>
          <w:rFonts w:ascii="Verdana" w:hAnsi="Verdana"/>
          <w:sz w:val="18"/>
          <w:szCs w:val="18"/>
          <w:shd w:val="clear" w:color="auto" w:fill="FFFFFF"/>
          <w:lang w:val="el-GR"/>
        </w:rPr>
        <w:t>4</w:t>
      </w:r>
      <w:r w:rsidRPr="00E902F9">
        <w:rPr>
          <w:rFonts w:ascii="Verdana" w:hAnsi="Verdana"/>
          <w:sz w:val="18"/>
          <w:szCs w:val="18"/>
          <w:shd w:val="clear" w:color="auto" w:fill="FFFFFF"/>
          <w:lang w:val="el-GR"/>
        </w:rPr>
        <w:t xml:space="preserve">, σημειώνοντας </w:t>
      </w:r>
      <w:r w:rsidR="00635C4F" w:rsidRPr="00E902F9">
        <w:rPr>
          <w:rFonts w:ascii="Verdana" w:hAnsi="Verdana"/>
          <w:sz w:val="18"/>
          <w:szCs w:val="18"/>
          <w:shd w:val="clear" w:color="auto" w:fill="FFFFFF"/>
          <w:lang w:val="el-GR"/>
        </w:rPr>
        <w:t>αύξηση</w:t>
      </w:r>
      <w:r w:rsidRPr="00E902F9">
        <w:rPr>
          <w:rFonts w:ascii="Verdana" w:hAnsi="Verdana"/>
          <w:sz w:val="18"/>
          <w:szCs w:val="18"/>
          <w:shd w:val="clear" w:color="auto" w:fill="FFFFFF"/>
          <w:lang w:val="el-GR"/>
        </w:rPr>
        <w:t xml:space="preserve"> </w:t>
      </w:r>
      <w:r w:rsidR="006A06EE" w:rsidRPr="00E902F9">
        <w:rPr>
          <w:rFonts w:ascii="Verdana" w:hAnsi="Verdana"/>
          <w:sz w:val="18"/>
          <w:szCs w:val="18"/>
          <w:shd w:val="clear" w:color="auto" w:fill="FFFFFF"/>
          <w:lang w:val="el-GR"/>
        </w:rPr>
        <w:t>15,0</w:t>
      </w:r>
      <w:r w:rsidRPr="00E902F9">
        <w:rPr>
          <w:rFonts w:ascii="Verdana" w:hAnsi="Verdana"/>
          <w:sz w:val="18"/>
          <w:szCs w:val="18"/>
          <w:shd w:val="clear" w:color="auto" w:fill="FFFFFF"/>
          <w:lang w:val="el-GR"/>
        </w:rPr>
        <w:t xml:space="preserve">%. </w:t>
      </w:r>
      <w:r w:rsidRPr="00E902F9">
        <w:rPr>
          <w:rFonts w:ascii="Verdana" w:hAnsi="Verdana"/>
          <w:b/>
          <w:bCs/>
          <w:sz w:val="18"/>
          <w:szCs w:val="18"/>
          <w:shd w:val="clear" w:color="auto" w:fill="FFFFFF"/>
          <w:lang w:val="el-GR"/>
        </w:rPr>
        <w:t>Οι συνολικές εξαγωγές αγαθών για την περίοδο Ιανουαρίου–</w:t>
      </w:r>
      <w:r w:rsidR="00451DE2" w:rsidRPr="00E902F9">
        <w:rPr>
          <w:rFonts w:ascii="Verdana" w:hAnsi="Verdana"/>
          <w:b/>
          <w:bCs/>
          <w:sz w:val="18"/>
          <w:szCs w:val="18"/>
          <w:shd w:val="clear" w:color="auto" w:fill="FFFFFF"/>
          <w:lang w:val="el-GR"/>
        </w:rPr>
        <w:t>Ιουνίου</w:t>
      </w:r>
      <w:r w:rsidRPr="00E902F9">
        <w:rPr>
          <w:rFonts w:ascii="Verdana" w:hAnsi="Verdana"/>
          <w:b/>
          <w:bCs/>
          <w:sz w:val="18"/>
          <w:szCs w:val="18"/>
          <w:shd w:val="clear" w:color="auto" w:fill="FFFFFF"/>
          <w:lang w:val="el-GR"/>
        </w:rPr>
        <w:t xml:space="preserve"> 202</w:t>
      </w:r>
      <w:r w:rsidR="00D21AEF" w:rsidRPr="00E902F9">
        <w:rPr>
          <w:rFonts w:ascii="Verdana" w:hAnsi="Verdana"/>
          <w:b/>
          <w:bCs/>
          <w:sz w:val="18"/>
          <w:szCs w:val="18"/>
          <w:shd w:val="clear" w:color="auto" w:fill="FFFFFF"/>
          <w:lang w:val="el-GR"/>
        </w:rPr>
        <w:t>5</w:t>
      </w:r>
      <w:r w:rsidRPr="00E902F9">
        <w:rPr>
          <w:rFonts w:ascii="Verdana" w:hAnsi="Verdana"/>
          <w:b/>
          <w:bCs/>
          <w:sz w:val="18"/>
          <w:szCs w:val="18"/>
          <w:shd w:val="clear" w:color="auto" w:fill="FFFFFF"/>
          <w:lang w:val="el-GR"/>
        </w:rPr>
        <w:t xml:space="preserve"> ήταν €</w:t>
      </w:r>
      <w:r w:rsidR="006A06EE" w:rsidRPr="00E902F9">
        <w:rPr>
          <w:rFonts w:ascii="Verdana" w:hAnsi="Verdana"/>
          <w:b/>
          <w:bCs/>
          <w:sz w:val="18"/>
          <w:szCs w:val="18"/>
          <w:shd w:val="clear" w:color="auto" w:fill="FFFFFF"/>
          <w:lang w:val="el-GR"/>
        </w:rPr>
        <w:t>2.624,2</w:t>
      </w:r>
      <w:r w:rsidRPr="00E902F9">
        <w:rPr>
          <w:rFonts w:ascii="Verdana" w:hAnsi="Verdana"/>
          <w:b/>
          <w:bCs/>
          <w:sz w:val="18"/>
          <w:szCs w:val="18"/>
          <w:shd w:val="clear" w:color="auto" w:fill="FFFFFF"/>
          <w:lang w:val="el-GR"/>
        </w:rPr>
        <w:t xml:space="preserve"> εκ.</w:t>
      </w:r>
      <w:r w:rsidRPr="00E902F9">
        <w:rPr>
          <w:rFonts w:ascii="Verdana" w:hAnsi="Verdana"/>
          <w:sz w:val="18"/>
          <w:szCs w:val="18"/>
          <w:shd w:val="clear" w:color="auto" w:fill="FFFFFF"/>
          <w:lang w:val="el-GR"/>
        </w:rPr>
        <w:t xml:space="preserve"> σε σύγκριση με €</w:t>
      </w:r>
      <w:r w:rsidR="006A06EE" w:rsidRPr="00E902F9">
        <w:rPr>
          <w:rFonts w:ascii="Verdana" w:hAnsi="Verdana"/>
          <w:sz w:val="18"/>
          <w:szCs w:val="18"/>
          <w:shd w:val="clear" w:color="auto" w:fill="FFFFFF"/>
          <w:lang w:val="el-GR"/>
        </w:rPr>
        <w:t>1.997,6</w:t>
      </w:r>
      <w:r w:rsidRPr="00E902F9">
        <w:rPr>
          <w:rFonts w:ascii="Verdana" w:hAnsi="Verdana"/>
          <w:sz w:val="18"/>
          <w:szCs w:val="18"/>
          <w:shd w:val="clear" w:color="auto" w:fill="FFFFFF"/>
          <w:lang w:val="el-GR"/>
        </w:rPr>
        <w:t xml:space="preserve"> εκ. για την περίοδο Ιανουαρίου–</w:t>
      </w:r>
      <w:r w:rsidR="00451DE2" w:rsidRPr="00E902F9">
        <w:rPr>
          <w:rFonts w:ascii="Verdana" w:hAnsi="Verdana"/>
          <w:sz w:val="18"/>
          <w:szCs w:val="18"/>
          <w:shd w:val="clear" w:color="auto" w:fill="FFFFFF"/>
          <w:lang w:val="el-GR"/>
        </w:rPr>
        <w:t>Ιουνίου</w:t>
      </w:r>
      <w:r w:rsidRPr="00E902F9">
        <w:rPr>
          <w:rFonts w:ascii="Verdana" w:hAnsi="Verdana"/>
          <w:sz w:val="18"/>
          <w:szCs w:val="18"/>
          <w:shd w:val="clear" w:color="auto" w:fill="FFFFFF"/>
          <w:lang w:val="el-GR"/>
        </w:rPr>
        <w:t xml:space="preserve"> 202</w:t>
      </w:r>
      <w:r w:rsidR="00D21AEF" w:rsidRPr="00E902F9">
        <w:rPr>
          <w:rFonts w:ascii="Verdana" w:hAnsi="Verdana"/>
          <w:sz w:val="18"/>
          <w:szCs w:val="18"/>
          <w:shd w:val="clear" w:color="auto" w:fill="FFFFFF"/>
          <w:lang w:val="el-GR"/>
        </w:rPr>
        <w:t>4</w:t>
      </w:r>
      <w:r w:rsidRPr="00E902F9">
        <w:rPr>
          <w:rFonts w:ascii="Verdana" w:hAnsi="Verdana"/>
          <w:sz w:val="18"/>
          <w:szCs w:val="18"/>
          <w:shd w:val="clear" w:color="auto" w:fill="FFFFFF"/>
          <w:lang w:val="el-GR"/>
        </w:rPr>
        <w:t xml:space="preserve">, σημειώνοντας </w:t>
      </w:r>
      <w:r w:rsidR="00635C4F" w:rsidRPr="00E902F9">
        <w:rPr>
          <w:rFonts w:ascii="Verdana" w:hAnsi="Verdana"/>
          <w:sz w:val="18"/>
          <w:szCs w:val="18"/>
          <w:shd w:val="clear" w:color="auto" w:fill="FFFFFF"/>
          <w:lang w:val="el-GR"/>
        </w:rPr>
        <w:t>αύξηση</w:t>
      </w:r>
      <w:r w:rsidRPr="00E902F9">
        <w:rPr>
          <w:rFonts w:ascii="Verdana" w:hAnsi="Verdana"/>
          <w:sz w:val="18"/>
          <w:szCs w:val="18"/>
          <w:shd w:val="clear" w:color="auto" w:fill="FFFFFF"/>
          <w:lang w:val="el-GR"/>
        </w:rPr>
        <w:t xml:space="preserve"> </w:t>
      </w:r>
      <w:r w:rsidR="006A06EE" w:rsidRPr="00E902F9">
        <w:rPr>
          <w:rFonts w:ascii="Verdana" w:hAnsi="Verdana"/>
          <w:sz w:val="18"/>
          <w:szCs w:val="18"/>
          <w:shd w:val="clear" w:color="auto" w:fill="FFFFFF"/>
          <w:lang w:val="el-GR"/>
        </w:rPr>
        <w:t>31,4</w:t>
      </w:r>
      <w:r w:rsidRPr="00E902F9">
        <w:rPr>
          <w:rFonts w:ascii="Verdana" w:hAnsi="Verdana"/>
          <w:sz w:val="18"/>
          <w:szCs w:val="18"/>
          <w:shd w:val="clear" w:color="auto" w:fill="FFFFFF"/>
          <w:lang w:val="el-GR"/>
        </w:rPr>
        <w:t xml:space="preserve">%. </w:t>
      </w:r>
      <w:r w:rsidRPr="00E902F9">
        <w:rPr>
          <w:rFonts w:ascii="Verdana" w:hAnsi="Verdana"/>
          <w:b/>
          <w:bCs/>
          <w:sz w:val="18"/>
          <w:szCs w:val="18"/>
          <w:shd w:val="clear" w:color="auto" w:fill="FFFFFF"/>
          <w:lang w:val="el-GR"/>
        </w:rPr>
        <w:t>Το έλλειμμα του εμπορικού ισοζυγίου ήταν €</w:t>
      </w:r>
      <w:r w:rsidR="006A06EE" w:rsidRPr="00E902F9">
        <w:rPr>
          <w:rFonts w:ascii="Verdana" w:hAnsi="Verdana"/>
          <w:b/>
          <w:bCs/>
          <w:sz w:val="18"/>
          <w:szCs w:val="18"/>
          <w:shd w:val="clear" w:color="auto" w:fill="FFFFFF"/>
          <w:lang w:val="el-GR"/>
        </w:rPr>
        <w:t>3.871,4</w:t>
      </w:r>
      <w:r w:rsidRPr="00E902F9">
        <w:rPr>
          <w:rFonts w:ascii="Verdana" w:hAnsi="Verdana"/>
          <w:b/>
          <w:bCs/>
          <w:sz w:val="18"/>
          <w:szCs w:val="18"/>
          <w:shd w:val="clear" w:color="auto" w:fill="FFFFFF"/>
          <w:lang w:val="el-GR"/>
        </w:rPr>
        <w:t xml:space="preserve"> εκ. για την περίοδο Ιανουαρίου–</w:t>
      </w:r>
      <w:r w:rsidR="00451DE2" w:rsidRPr="00E902F9">
        <w:rPr>
          <w:rFonts w:ascii="Verdana" w:hAnsi="Verdana"/>
          <w:b/>
          <w:bCs/>
          <w:sz w:val="18"/>
          <w:szCs w:val="18"/>
          <w:shd w:val="clear" w:color="auto" w:fill="FFFFFF"/>
          <w:lang w:val="el-GR"/>
        </w:rPr>
        <w:t>Ιουνίου</w:t>
      </w:r>
      <w:r w:rsidRPr="00E902F9">
        <w:rPr>
          <w:rFonts w:ascii="Verdana" w:hAnsi="Verdana"/>
          <w:b/>
          <w:bCs/>
          <w:sz w:val="18"/>
          <w:szCs w:val="18"/>
          <w:shd w:val="clear" w:color="auto" w:fill="FFFFFF"/>
          <w:lang w:val="el-GR"/>
        </w:rPr>
        <w:t xml:space="preserve"> 202</w:t>
      </w:r>
      <w:r w:rsidR="00D21AEF" w:rsidRPr="00E902F9">
        <w:rPr>
          <w:rFonts w:ascii="Verdana" w:hAnsi="Verdana"/>
          <w:b/>
          <w:bCs/>
          <w:sz w:val="18"/>
          <w:szCs w:val="18"/>
          <w:shd w:val="clear" w:color="auto" w:fill="FFFFFF"/>
          <w:lang w:val="el-GR"/>
        </w:rPr>
        <w:t>5</w:t>
      </w:r>
      <w:r w:rsidRPr="00E902F9">
        <w:rPr>
          <w:rFonts w:ascii="Verdana" w:hAnsi="Verdana"/>
          <w:sz w:val="18"/>
          <w:szCs w:val="18"/>
          <w:shd w:val="clear" w:color="auto" w:fill="FFFFFF"/>
          <w:lang w:val="el-GR"/>
        </w:rPr>
        <w:t xml:space="preserve"> σε σύγκριση με €</w:t>
      </w:r>
      <w:r w:rsidR="006A06EE" w:rsidRPr="00E902F9">
        <w:rPr>
          <w:rFonts w:ascii="Verdana" w:hAnsi="Verdana"/>
          <w:sz w:val="18"/>
          <w:szCs w:val="18"/>
          <w:shd w:val="clear" w:color="auto" w:fill="FFFFFF"/>
          <w:lang w:val="el-GR"/>
        </w:rPr>
        <w:t>3.648,3</w:t>
      </w:r>
      <w:r w:rsidRPr="00E902F9">
        <w:rPr>
          <w:rFonts w:ascii="Verdana" w:hAnsi="Verdana"/>
          <w:sz w:val="18"/>
          <w:szCs w:val="18"/>
          <w:shd w:val="clear" w:color="auto" w:fill="FFFFFF"/>
          <w:lang w:val="el-GR"/>
        </w:rPr>
        <w:t xml:space="preserve"> εκ. την αντίστοιχη περίοδο του 202</w:t>
      </w:r>
      <w:r w:rsidR="00D21AEF" w:rsidRPr="00E902F9">
        <w:rPr>
          <w:rFonts w:ascii="Verdana" w:hAnsi="Verdana"/>
          <w:sz w:val="18"/>
          <w:szCs w:val="18"/>
          <w:shd w:val="clear" w:color="auto" w:fill="FFFFFF"/>
          <w:lang w:val="el-GR"/>
        </w:rPr>
        <w:t>4</w:t>
      </w:r>
      <w:r w:rsidRPr="00E902F9">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46591790" w:rsidR="00EC2E65" w:rsidRPr="009853AF" w:rsidRDefault="0001555C"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0161C01C" wp14:editId="4FE95B1C">
            <wp:extent cx="6071870" cy="3621405"/>
            <wp:effectExtent l="0" t="0" r="5080" b="0"/>
            <wp:docPr id="1461549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22508478" w:rsidR="0045602C" w:rsidRPr="00B4390E" w:rsidRDefault="00451DE2" w:rsidP="00EC2E65">
      <w:pPr>
        <w:rPr>
          <w:rFonts w:ascii="Verdana" w:eastAsia="Malgun Gothic" w:hAnsi="Verdana" w:cs="Arial"/>
          <w:b/>
          <w:sz w:val="18"/>
          <w:szCs w:val="18"/>
          <w:u w:val="single"/>
          <w:lang w:val="el-GR"/>
        </w:rPr>
      </w:pPr>
      <w:r w:rsidRPr="00B4390E">
        <w:rPr>
          <w:rFonts w:ascii="Verdana" w:eastAsia="Malgun Gothic" w:hAnsi="Verdana" w:cs="Arial"/>
          <w:b/>
          <w:sz w:val="18"/>
          <w:szCs w:val="18"/>
          <w:u w:val="single"/>
          <w:lang w:val="el-GR"/>
        </w:rPr>
        <w:lastRenderedPageBreak/>
        <w:t>Μάιος</w:t>
      </w:r>
      <w:r w:rsidR="00EC2E65" w:rsidRPr="00B4390E">
        <w:rPr>
          <w:rFonts w:ascii="Verdana" w:eastAsia="Malgun Gothic" w:hAnsi="Verdana" w:cs="Arial"/>
          <w:b/>
          <w:sz w:val="18"/>
          <w:szCs w:val="18"/>
          <w:u w:val="single"/>
          <w:lang w:val="el-GR"/>
        </w:rPr>
        <w:t xml:space="preserve"> 202</w:t>
      </w:r>
      <w:r w:rsidR="001B0A1B" w:rsidRPr="00B4390E">
        <w:rPr>
          <w:rFonts w:ascii="Verdana" w:eastAsia="Malgun Gothic" w:hAnsi="Verdana" w:cs="Arial"/>
          <w:b/>
          <w:sz w:val="18"/>
          <w:szCs w:val="18"/>
          <w:u w:val="single"/>
          <w:lang w:val="el-GR"/>
        </w:rPr>
        <w:t>5</w:t>
      </w:r>
      <w:r w:rsidR="00EC2E65" w:rsidRPr="00B4390E">
        <w:rPr>
          <w:rFonts w:ascii="Verdana" w:eastAsia="Malgun Gothic" w:hAnsi="Verdana" w:cs="Arial"/>
          <w:b/>
          <w:sz w:val="18"/>
          <w:szCs w:val="18"/>
          <w:u w:val="single"/>
          <w:lang w:val="el-GR"/>
        </w:rPr>
        <w:t>, Τελικά Στοιχεία</w:t>
      </w:r>
    </w:p>
    <w:p w14:paraId="49A58465" w14:textId="77777777" w:rsidR="00AF423B" w:rsidRPr="00B4390E" w:rsidRDefault="00AF423B" w:rsidP="00EC2E65">
      <w:pPr>
        <w:rPr>
          <w:rFonts w:ascii="Verdana" w:eastAsia="Malgun Gothic" w:hAnsi="Verdana" w:cs="Arial"/>
          <w:b/>
          <w:sz w:val="18"/>
          <w:szCs w:val="18"/>
          <w:u w:val="single"/>
          <w:lang w:val="el-GR"/>
        </w:rPr>
      </w:pPr>
    </w:p>
    <w:p w14:paraId="284B43D6" w14:textId="27CE5A03" w:rsidR="00EC2E65" w:rsidRPr="00B4390E" w:rsidRDefault="00EC2E65" w:rsidP="000302B0">
      <w:pPr>
        <w:jc w:val="both"/>
        <w:rPr>
          <w:rFonts w:ascii="Verdana" w:hAnsi="Verdana"/>
          <w:sz w:val="18"/>
          <w:szCs w:val="18"/>
          <w:lang w:val="el-GR"/>
        </w:rPr>
      </w:pPr>
      <w:r w:rsidRPr="00B4390E">
        <w:rPr>
          <w:rFonts w:ascii="Verdana" w:hAnsi="Verdana"/>
          <w:b/>
          <w:bCs/>
          <w:sz w:val="18"/>
          <w:szCs w:val="18"/>
          <w:lang w:val="el-GR"/>
        </w:rPr>
        <w:t>Οι συνολικές εισαγωγές αγαθών ήταν €</w:t>
      </w:r>
      <w:r w:rsidR="00A4234C" w:rsidRPr="00B4390E">
        <w:rPr>
          <w:rFonts w:ascii="Verdana" w:hAnsi="Verdana"/>
          <w:b/>
          <w:bCs/>
          <w:sz w:val="18"/>
          <w:szCs w:val="18"/>
          <w:lang w:val="el-GR"/>
        </w:rPr>
        <w:t>1.005,4</w:t>
      </w:r>
      <w:r w:rsidR="009E0677" w:rsidRPr="00B4390E">
        <w:rPr>
          <w:rFonts w:ascii="Verdana" w:hAnsi="Verdana"/>
          <w:b/>
          <w:bCs/>
          <w:sz w:val="18"/>
          <w:szCs w:val="18"/>
          <w:lang w:val="el-GR"/>
        </w:rPr>
        <w:t xml:space="preserve"> </w:t>
      </w:r>
      <w:r w:rsidRPr="00B4390E">
        <w:rPr>
          <w:rFonts w:ascii="Verdana" w:hAnsi="Verdana"/>
          <w:b/>
          <w:bCs/>
          <w:sz w:val="18"/>
          <w:szCs w:val="18"/>
          <w:lang w:val="el-GR"/>
        </w:rPr>
        <w:t xml:space="preserve">εκ. τον </w:t>
      </w:r>
      <w:r w:rsidR="00451DE2" w:rsidRPr="00B4390E">
        <w:rPr>
          <w:rFonts w:ascii="Verdana" w:hAnsi="Verdana"/>
          <w:b/>
          <w:bCs/>
          <w:sz w:val="18"/>
          <w:szCs w:val="18"/>
          <w:lang w:val="el-GR"/>
        </w:rPr>
        <w:t>Μάιο</w:t>
      </w:r>
      <w:r w:rsidRPr="00B4390E">
        <w:rPr>
          <w:rFonts w:ascii="Verdana" w:hAnsi="Verdana"/>
          <w:b/>
          <w:bCs/>
          <w:sz w:val="18"/>
          <w:szCs w:val="18"/>
          <w:lang w:val="el-GR"/>
        </w:rPr>
        <w:t xml:space="preserve"> 202</w:t>
      </w:r>
      <w:r w:rsidR="001B0A1B" w:rsidRPr="00B4390E">
        <w:rPr>
          <w:rFonts w:ascii="Verdana" w:hAnsi="Verdana"/>
          <w:b/>
          <w:bCs/>
          <w:sz w:val="18"/>
          <w:szCs w:val="18"/>
          <w:lang w:val="el-GR"/>
        </w:rPr>
        <w:t>5</w:t>
      </w:r>
      <w:r w:rsidRPr="00B4390E">
        <w:rPr>
          <w:rFonts w:ascii="Verdana" w:hAnsi="Verdana"/>
          <w:sz w:val="18"/>
          <w:szCs w:val="18"/>
          <w:lang w:val="el-GR"/>
        </w:rPr>
        <w:t xml:space="preserve"> σε σύγκριση με €</w:t>
      </w:r>
      <w:r w:rsidR="00A4234C" w:rsidRPr="00B4390E">
        <w:rPr>
          <w:rFonts w:ascii="Verdana" w:hAnsi="Verdana"/>
          <w:sz w:val="18"/>
          <w:szCs w:val="18"/>
          <w:lang w:val="el-GR"/>
        </w:rPr>
        <w:t>1.060,1</w:t>
      </w:r>
      <w:r w:rsidR="00806EE1" w:rsidRPr="00B4390E">
        <w:rPr>
          <w:rFonts w:ascii="Verdana" w:hAnsi="Verdana"/>
          <w:sz w:val="18"/>
          <w:szCs w:val="18"/>
          <w:lang w:val="el-GR"/>
        </w:rPr>
        <w:t xml:space="preserve"> </w:t>
      </w:r>
      <w:r w:rsidRPr="00B4390E">
        <w:rPr>
          <w:rFonts w:ascii="Verdana" w:hAnsi="Verdana"/>
          <w:sz w:val="18"/>
          <w:szCs w:val="18"/>
          <w:lang w:val="el-GR"/>
        </w:rPr>
        <w:t xml:space="preserve">εκ. τον </w:t>
      </w:r>
      <w:r w:rsidR="00451DE2" w:rsidRPr="00B4390E">
        <w:rPr>
          <w:rFonts w:ascii="Verdana" w:hAnsi="Verdana"/>
          <w:sz w:val="18"/>
          <w:szCs w:val="18"/>
          <w:lang w:val="el-GR"/>
        </w:rPr>
        <w:t>Μάιο</w:t>
      </w:r>
      <w:r w:rsidRPr="00B4390E">
        <w:rPr>
          <w:rFonts w:ascii="Verdana" w:hAnsi="Verdana"/>
          <w:sz w:val="18"/>
          <w:szCs w:val="18"/>
          <w:lang w:val="el-GR"/>
        </w:rPr>
        <w:t xml:space="preserve"> 202</w:t>
      </w:r>
      <w:r w:rsidR="001B0A1B" w:rsidRPr="00B4390E">
        <w:rPr>
          <w:rFonts w:ascii="Verdana" w:hAnsi="Verdana"/>
          <w:sz w:val="18"/>
          <w:szCs w:val="18"/>
          <w:lang w:val="el-GR"/>
        </w:rPr>
        <w:t>4</w:t>
      </w:r>
      <w:r w:rsidRPr="00B4390E">
        <w:rPr>
          <w:rFonts w:ascii="Verdana" w:hAnsi="Verdana"/>
          <w:sz w:val="18"/>
          <w:szCs w:val="18"/>
          <w:lang w:val="el-GR"/>
        </w:rPr>
        <w:t xml:space="preserve">, σημειώνοντας </w:t>
      </w:r>
      <w:r w:rsidR="00A4234C" w:rsidRPr="00B4390E">
        <w:rPr>
          <w:rFonts w:ascii="Verdana" w:hAnsi="Verdana"/>
          <w:sz w:val="18"/>
          <w:szCs w:val="18"/>
          <w:lang w:val="el-GR"/>
        </w:rPr>
        <w:t>μείωση</w:t>
      </w:r>
      <w:r w:rsidRPr="00B4390E">
        <w:rPr>
          <w:rFonts w:ascii="Verdana" w:hAnsi="Verdana"/>
          <w:sz w:val="18"/>
          <w:szCs w:val="18"/>
          <w:lang w:val="el-GR"/>
        </w:rPr>
        <w:t xml:space="preserve"> </w:t>
      </w:r>
      <w:r w:rsidR="00A4234C" w:rsidRPr="00B4390E">
        <w:rPr>
          <w:rFonts w:ascii="Verdana" w:hAnsi="Verdana"/>
          <w:sz w:val="18"/>
          <w:szCs w:val="18"/>
          <w:lang w:val="el-GR"/>
        </w:rPr>
        <w:t>5,2</w:t>
      </w:r>
      <w:r w:rsidR="00FC798F" w:rsidRPr="00B4390E">
        <w:rPr>
          <w:rFonts w:ascii="Verdana" w:hAnsi="Verdana"/>
          <w:sz w:val="18"/>
          <w:szCs w:val="18"/>
          <w:lang w:val="el-GR"/>
        </w:rPr>
        <w:t>%</w:t>
      </w:r>
      <w:r w:rsidRPr="00B4390E">
        <w:rPr>
          <w:rFonts w:ascii="Verdana" w:hAnsi="Verdana"/>
          <w:sz w:val="18"/>
          <w:szCs w:val="18"/>
          <w:lang w:val="el-GR"/>
        </w:rPr>
        <w:t>.</w:t>
      </w:r>
    </w:p>
    <w:p w14:paraId="6A763338" w14:textId="77777777" w:rsidR="00EC2E65" w:rsidRPr="00B4390E" w:rsidRDefault="00EC2E65" w:rsidP="000302B0">
      <w:pPr>
        <w:jc w:val="both"/>
        <w:rPr>
          <w:rFonts w:ascii="Verdana" w:hAnsi="Verdana"/>
          <w:sz w:val="18"/>
          <w:szCs w:val="18"/>
          <w:lang w:val="el-GR"/>
        </w:rPr>
      </w:pPr>
      <w:r w:rsidRPr="00B4390E">
        <w:rPr>
          <w:rFonts w:ascii="Verdana" w:hAnsi="Verdana"/>
          <w:sz w:val="18"/>
          <w:szCs w:val="18"/>
          <w:lang w:val="el-GR"/>
        </w:rPr>
        <w:t xml:space="preserve"> </w:t>
      </w:r>
    </w:p>
    <w:p w14:paraId="3678A2BC" w14:textId="4144B81C" w:rsidR="00883C56" w:rsidRPr="00B4390E" w:rsidRDefault="00EC2E65" w:rsidP="000302B0">
      <w:pPr>
        <w:jc w:val="both"/>
        <w:rPr>
          <w:rFonts w:ascii="Verdana" w:hAnsi="Verdana"/>
          <w:sz w:val="18"/>
          <w:szCs w:val="18"/>
          <w:lang w:val="el-GR"/>
        </w:rPr>
      </w:pPr>
      <w:r w:rsidRPr="00B4390E">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451DE2" w:rsidRPr="00B4390E">
        <w:rPr>
          <w:rFonts w:ascii="Verdana" w:hAnsi="Verdana"/>
          <w:b/>
          <w:bCs/>
          <w:sz w:val="18"/>
          <w:szCs w:val="18"/>
          <w:lang w:val="el-GR"/>
        </w:rPr>
        <w:t>Μάιο</w:t>
      </w:r>
      <w:r w:rsidR="00770A29" w:rsidRPr="00B4390E">
        <w:rPr>
          <w:rFonts w:ascii="Verdana" w:hAnsi="Verdana"/>
          <w:b/>
          <w:bCs/>
          <w:sz w:val="18"/>
          <w:szCs w:val="18"/>
          <w:lang w:val="el-GR"/>
        </w:rPr>
        <w:t xml:space="preserve"> </w:t>
      </w:r>
      <w:r w:rsidRPr="00B4390E">
        <w:rPr>
          <w:rFonts w:ascii="Verdana" w:hAnsi="Verdana"/>
          <w:b/>
          <w:bCs/>
          <w:sz w:val="18"/>
          <w:szCs w:val="18"/>
          <w:lang w:val="el-GR"/>
        </w:rPr>
        <w:t>202</w:t>
      </w:r>
      <w:r w:rsidR="001B0A1B" w:rsidRPr="00B4390E">
        <w:rPr>
          <w:rFonts w:ascii="Verdana" w:hAnsi="Verdana"/>
          <w:b/>
          <w:bCs/>
          <w:sz w:val="18"/>
          <w:szCs w:val="18"/>
          <w:lang w:val="el-GR"/>
        </w:rPr>
        <w:t>5</w:t>
      </w:r>
      <w:r w:rsidRPr="00B4390E">
        <w:rPr>
          <w:rFonts w:ascii="Verdana" w:hAnsi="Verdana"/>
          <w:b/>
          <w:bCs/>
          <w:sz w:val="18"/>
          <w:szCs w:val="18"/>
          <w:lang w:val="el-GR"/>
        </w:rPr>
        <w:t xml:space="preserve"> ήταν €</w:t>
      </w:r>
      <w:r w:rsidR="00A4234C" w:rsidRPr="00B4390E">
        <w:rPr>
          <w:rFonts w:ascii="Verdana" w:hAnsi="Verdana"/>
          <w:b/>
          <w:bCs/>
          <w:sz w:val="18"/>
          <w:szCs w:val="18"/>
          <w:lang w:val="el-GR"/>
        </w:rPr>
        <w:t>212,3</w:t>
      </w:r>
      <w:r w:rsidR="00C14566" w:rsidRPr="00B4390E">
        <w:rPr>
          <w:rFonts w:ascii="Verdana" w:hAnsi="Verdana"/>
          <w:b/>
          <w:bCs/>
          <w:sz w:val="18"/>
          <w:szCs w:val="18"/>
          <w:lang w:val="el-GR"/>
        </w:rPr>
        <w:t xml:space="preserve"> </w:t>
      </w:r>
      <w:r w:rsidRPr="00B4390E">
        <w:rPr>
          <w:rFonts w:ascii="Verdana" w:hAnsi="Verdana"/>
          <w:b/>
          <w:bCs/>
          <w:sz w:val="18"/>
          <w:szCs w:val="18"/>
          <w:lang w:val="el-GR"/>
        </w:rPr>
        <w:t>εκ.</w:t>
      </w:r>
      <w:r w:rsidRPr="00B4390E">
        <w:rPr>
          <w:rFonts w:ascii="Verdana" w:hAnsi="Verdana"/>
          <w:sz w:val="18"/>
          <w:szCs w:val="18"/>
          <w:lang w:val="el-GR"/>
        </w:rPr>
        <w:t xml:space="preserve"> σε σύγκριση με €</w:t>
      </w:r>
      <w:r w:rsidR="00A4234C" w:rsidRPr="00B4390E">
        <w:rPr>
          <w:rFonts w:ascii="Verdana" w:hAnsi="Verdana"/>
          <w:sz w:val="18"/>
          <w:szCs w:val="18"/>
          <w:lang w:val="el-GR"/>
        </w:rPr>
        <w:t>193,9</w:t>
      </w:r>
      <w:r w:rsidRPr="00B4390E">
        <w:rPr>
          <w:rFonts w:ascii="Verdana" w:hAnsi="Verdana"/>
          <w:sz w:val="18"/>
          <w:szCs w:val="18"/>
          <w:lang w:val="el-GR"/>
        </w:rPr>
        <w:t xml:space="preserve"> εκ. τον </w:t>
      </w:r>
      <w:r w:rsidR="00451DE2" w:rsidRPr="00B4390E">
        <w:rPr>
          <w:rFonts w:ascii="Verdana" w:hAnsi="Verdana"/>
          <w:sz w:val="18"/>
          <w:szCs w:val="18"/>
          <w:lang w:val="el-GR"/>
        </w:rPr>
        <w:t>Μάιο</w:t>
      </w:r>
      <w:r w:rsidRPr="00B4390E">
        <w:rPr>
          <w:rFonts w:ascii="Verdana" w:hAnsi="Verdana"/>
          <w:sz w:val="18"/>
          <w:szCs w:val="18"/>
          <w:lang w:val="el-GR"/>
        </w:rPr>
        <w:t xml:space="preserve"> 202</w:t>
      </w:r>
      <w:r w:rsidR="001B0A1B" w:rsidRPr="00B4390E">
        <w:rPr>
          <w:rFonts w:ascii="Verdana" w:hAnsi="Verdana"/>
          <w:sz w:val="18"/>
          <w:szCs w:val="18"/>
          <w:lang w:val="el-GR"/>
        </w:rPr>
        <w:t>4</w:t>
      </w:r>
      <w:r w:rsidRPr="00B4390E">
        <w:rPr>
          <w:rFonts w:ascii="Verdana" w:hAnsi="Verdana"/>
          <w:sz w:val="18"/>
          <w:szCs w:val="18"/>
          <w:lang w:val="el-GR"/>
        </w:rPr>
        <w:t xml:space="preserve">, καταγράφοντας </w:t>
      </w:r>
      <w:r w:rsidR="00861748" w:rsidRPr="00B4390E">
        <w:rPr>
          <w:rFonts w:ascii="Verdana" w:hAnsi="Verdana"/>
          <w:sz w:val="18"/>
          <w:szCs w:val="18"/>
          <w:lang w:val="el-GR"/>
        </w:rPr>
        <w:t xml:space="preserve">αύξηση </w:t>
      </w:r>
      <w:r w:rsidR="00A4234C" w:rsidRPr="00B4390E">
        <w:rPr>
          <w:rFonts w:ascii="Verdana" w:hAnsi="Verdana"/>
          <w:sz w:val="18"/>
          <w:szCs w:val="18"/>
          <w:lang w:val="el-GR"/>
        </w:rPr>
        <w:t>9,5</w:t>
      </w:r>
      <w:r w:rsidRPr="00B4390E">
        <w:rPr>
          <w:rFonts w:ascii="Verdana" w:hAnsi="Verdana"/>
          <w:sz w:val="18"/>
          <w:szCs w:val="18"/>
          <w:lang w:val="el-GR"/>
        </w:rPr>
        <w:t xml:space="preserve">%. </w:t>
      </w:r>
    </w:p>
    <w:p w14:paraId="4114BD10" w14:textId="77777777" w:rsidR="00883C56" w:rsidRPr="00D42EC2" w:rsidRDefault="00883C56" w:rsidP="000302B0">
      <w:pPr>
        <w:jc w:val="both"/>
        <w:rPr>
          <w:rFonts w:ascii="Verdana" w:hAnsi="Verdana"/>
          <w:sz w:val="18"/>
          <w:szCs w:val="18"/>
          <w:lang w:val="el-GR"/>
        </w:rPr>
      </w:pPr>
    </w:p>
    <w:p w14:paraId="5397DA50" w14:textId="77A0E2ED" w:rsidR="00EC2E65" w:rsidRPr="00D42EC2" w:rsidRDefault="00EC2E65" w:rsidP="000302B0">
      <w:pPr>
        <w:jc w:val="both"/>
        <w:rPr>
          <w:rFonts w:ascii="Verdana" w:hAnsi="Verdana"/>
          <w:sz w:val="18"/>
          <w:szCs w:val="18"/>
          <w:lang w:val="el-GR"/>
        </w:rPr>
      </w:pPr>
      <w:r w:rsidRPr="00D42EC2">
        <w:rPr>
          <w:rFonts w:ascii="Verdana" w:hAnsi="Verdana"/>
          <w:b/>
          <w:bCs/>
          <w:sz w:val="18"/>
          <w:szCs w:val="18"/>
          <w:lang w:val="el-GR"/>
        </w:rPr>
        <w:t xml:space="preserve">Η αξία των </w:t>
      </w:r>
      <w:r w:rsidR="00576E34" w:rsidRPr="00D42EC2">
        <w:rPr>
          <w:rFonts w:ascii="Verdana" w:hAnsi="Verdana"/>
          <w:b/>
          <w:bCs/>
          <w:sz w:val="18"/>
          <w:szCs w:val="18"/>
          <w:lang w:val="el-GR"/>
        </w:rPr>
        <w:t xml:space="preserve">εγχώριων </w:t>
      </w:r>
      <w:r w:rsidRPr="00D42EC2">
        <w:rPr>
          <w:rFonts w:ascii="Verdana" w:hAnsi="Verdana"/>
          <w:b/>
          <w:bCs/>
          <w:sz w:val="18"/>
          <w:szCs w:val="18"/>
          <w:lang w:val="el-GR"/>
        </w:rPr>
        <w:t>εξαγωγών βιομηχανικών προϊόντων</w:t>
      </w:r>
      <w:r w:rsidR="00883C56" w:rsidRPr="00D42EC2">
        <w:rPr>
          <w:rFonts w:ascii="Verdana" w:hAnsi="Verdana"/>
          <w:b/>
          <w:bCs/>
          <w:sz w:val="18"/>
          <w:szCs w:val="18"/>
          <w:lang w:val="el-GR"/>
        </w:rPr>
        <w:t>, εξαιρουμένων των προμηθειών πλοίων και αεροπλάνων,</w:t>
      </w:r>
      <w:r w:rsidR="003E6531" w:rsidRPr="00D42EC2">
        <w:rPr>
          <w:rFonts w:ascii="Verdana" w:hAnsi="Verdana"/>
          <w:sz w:val="18"/>
          <w:szCs w:val="18"/>
          <w:lang w:val="el-GR"/>
        </w:rPr>
        <w:t xml:space="preserve"> </w:t>
      </w:r>
      <w:r w:rsidRPr="00D42EC2">
        <w:rPr>
          <w:rFonts w:ascii="Verdana" w:hAnsi="Verdana"/>
          <w:sz w:val="18"/>
          <w:szCs w:val="18"/>
          <w:lang w:val="el-GR"/>
        </w:rPr>
        <w:t xml:space="preserve">για τον </w:t>
      </w:r>
      <w:r w:rsidR="00451DE2" w:rsidRPr="00D42EC2">
        <w:rPr>
          <w:rFonts w:ascii="Verdana" w:hAnsi="Verdana"/>
          <w:sz w:val="18"/>
          <w:szCs w:val="18"/>
          <w:lang w:val="el-GR"/>
        </w:rPr>
        <w:t>Μάιο</w:t>
      </w:r>
      <w:r w:rsidRPr="00D42EC2">
        <w:rPr>
          <w:rFonts w:ascii="Verdana" w:hAnsi="Verdana"/>
          <w:sz w:val="18"/>
          <w:szCs w:val="18"/>
          <w:lang w:val="el-GR"/>
        </w:rPr>
        <w:t xml:space="preserve"> 202</w:t>
      </w:r>
      <w:r w:rsidR="001B0A1B" w:rsidRPr="00D42EC2">
        <w:rPr>
          <w:rFonts w:ascii="Verdana" w:hAnsi="Verdana"/>
          <w:sz w:val="18"/>
          <w:szCs w:val="18"/>
          <w:lang w:val="el-GR"/>
        </w:rPr>
        <w:t>5</w:t>
      </w:r>
      <w:r w:rsidRPr="00D42EC2">
        <w:rPr>
          <w:rFonts w:ascii="Verdana" w:hAnsi="Verdana"/>
          <w:sz w:val="18"/>
          <w:szCs w:val="18"/>
          <w:lang w:val="el-GR"/>
        </w:rPr>
        <w:t xml:space="preserve"> ανήλθε σε €</w:t>
      </w:r>
      <w:r w:rsidR="00A4234C" w:rsidRPr="00D42EC2">
        <w:rPr>
          <w:rFonts w:ascii="Verdana" w:hAnsi="Verdana"/>
          <w:sz w:val="18"/>
          <w:szCs w:val="18"/>
          <w:lang w:val="el-GR"/>
        </w:rPr>
        <w:t>197,8</w:t>
      </w:r>
      <w:r w:rsidR="00397947" w:rsidRPr="00D42EC2">
        <w:rPr>
          <w:rFonts w:ascii="Verdana" w:hAnsi="Verdana"/>
          <w:sz w:val="18"/>
          <w:szCs w:val="18"/>
          <w:lang w:val="el-GR"/>
        </w:rPr>
        <w:t xml:space="preserve"> </w:t>
      </w:r>
      <w:r w:rsidRPr="00D42EC2">
        <w:rPr>
          <w:rFonts w:ascii="Verdana" w:hAnsi="Verdana"/>
          <w:sz w:val="18"/>
          <w:szCs w:val="18"/>
          <w:lang w:val="el-GR"/>
        </w:rPr>
        <w:t>εκ. σε σύγκριση με €</w:t>
      </w:r>
      <w:r w:rsidR="00A4234C" w:rsidRPr="00D42EC2">
        <w:rPr>
          <w:rFonts w:ascii="Verdana" w:hAnsi="Verdana"/>
          <w:sz w:val="18"/>
          <w:szCs w:val="18"/>
          <w:lang w:val="el-GR"/>
        </w:rPr>
        <w:t>176,0</w:t>
      </w:r>
      <w:r w:rsidRPr="00D42EC2">
        <w:rPr>
          <w:rFonts w:ascii="Verdana" w:hAnsi="Verdana"/>
          <w:sz w:val="18"/>
          <w:szCs w:val="18"/>
          <w:lang w:val="el-GR"/>
        </w:rPr>
        <w:t xml:space="preserve"> εκ. τον </w:t>
      </w:r>
      <w:r w:rsidR="00451DE2" w:rsidRPr="00D42EC2">
        <w:rPr>
          <w:rFonts w:ascii="Verdana" w:hAnsi="Verdana"/>
          <w:sz w:val="18"/>
          <w:szCs w:val="18"/>
          <w:lang w:val="el-GR"/>
        </w:rPr>
        <w:t>Μάιο</w:t>
      </w:r>
      <w:r w:rsidRPr="00D42EC2">
        <w:rPr>
          <w:rFonts w:ascii="Verdana" w:hAnsi="Verdana"/>
          <w:sz w:val="18"/>
          <w:szCs w:val="18"/>
          <w:lang w:val="el-GR"/>
        </w:rPr>
        <w:t xml:space="preserve"> 202</w:t>
      </w:r>
      <w:r w:rsidR="001B0A1B" w:rsidRPr="00D42EC2">
        <w:rPr>
          <w:rFonts w:ascii="Verdana" w:hAnsi="Verdana"/>
          <w:sz w:val="18"/>
          <w:szCs w:val="18"/>
          <w:lang w:val="el-GR"/>
        </w:rPr>
        <w:t>4</w:t>
      </w:r>
      <w:r w:rsidR="00883C56" w:rsidRPr="00D42EC2">
        <w:rPr>
          <w:rFonts w:ascii="Verdana" w:hAnsi="Verdana"/>
          <w:b/>
          <w:bCs/>
          <w:sz w:val="18"/>
          <w:szCs w:val="18"/>
          <w:lang w:val="el-GR"/>
        </w:rPr>
        <w:t xml:space="preserve">. Η </w:t>
      </w:r>
      <w:r w:rsidRPr="00D42EC2">
        <w:rPr>
          <w:rFonts w:ascii="Verdana" w:hAnsi="Verdana"/>
          <w:b/>
          <w:bCs/>
          <w:sz w:val="18"/>
          <w:szCs w:val="18"/>
          <w:lang w:val="el-GR"/>
        </w:rPr>
        <w:t>αξία των</w:t>
      </w:r>
      <w:r w:rsidR="00FA18AE" w:rsidRPr="00D42EC2">
        <w:rPr>
          <w:rFonts w:ascii="Verdana" w:hAnsi="Verdana"/>
          <w:b/>
          <w:bCs/>
          <w:sz w:val="18"/>
          <w:szCs w:val="18"/>
          <w:lang w:val="el-GR"/>
        </w:rPr>
        <w:t xml:space="preserve"> εγχώριων</w:t>
      </w:r>
      <w:r w:rsidRPr="00D42EC2">
        <w:rPr>
          <w:rFonts w:ascii="Verdana" w:hAnsi="Verdana"/>
          <w:b/>
          <w:bCs/>
          <w:sz w:val="18"/>
          <w:szCs w:val="18"/>
          <w:lang w:val="el-GR"/>
        </w:rPr>
        <w:t xml:space="preserve"> εξαγωγών γεωργικών προϊόντων</w:t>
      </w:r>
      <w:r w:rsidR="00883C56" w:rsidRPr="00D42EC2">
        <w:rPr>
          <w:rFonts w:ascii="Verdana" w:hAnsi="Verdana"/>
          <w:b/>
          <w:bCs/>
          <w:sz w:val="18"/>
          <w:szCs w:val="18"/>
          <w:lang w:val="el-GR"/>
        </w:rPr>
        <w:t>, εξαιρουμένων των προμηθειών πλοίων και αεροπλάνων,</w:t>
      </w:r>
      <w:r w:rsidRPr="00D42EC2">
        <w:rPr>
          <w:rFonts w:ascii="Verdana" w:hAnsi="Verdana"/>
          <w:sz w:val="18"/>
          <w:szCs w:val="18"/>
          <w:lang w:val="el-GR"/>
        </w:rPr>
        <w:t xml:space="preserve"> για τον </w:t>
      </w:r>
      <w:r w:rsidR="00451DE2" w:rsidRPr="00D42EC2">
        <w:rPr>
          <w:rFonts w:ascii="Verdana" w:hAnsi="Verdana"/>
          <w:sz w:val="18"/>
          <w:szCs w:val="18"/>
          <w:lang w:val="el-GR"/>
        </w:rPr>
        <w:t>Μάιο</w:t>
      </w:r>
      <w:r w:rsidRPr="00D42EC2">
        <w:rPr>
          <w:rFonts w:ascii="Verdana" w:hAnsi="Verdana"/>
          <w:sz w:val="18"/>
          <w:szCs w:val="18"/>
          <w:lang w:val="el-GR"/>
        </w:rPr>
        <w:t xml:space="preserve"> 202</w:t>
      </w:r>
      <w:r w:rsidR="001B0A1B" w:rsidRPr="00D42EC2">
        <w:rPr>
          <w:rFonts w:ascii="Verdana" w:hAnsi="Verdana"/>
          <w:sz w:val="18"/>
          <w:szCs w:val="18"/>
          <w:lang w:val="el-GR"/>
        </w:rPr>
        <w:t>5</w:t>
      </w:r>
      <w:r w:rsidRPr="00D42EC2">
        <w:rPr>
          <w:rFonts w:ascii="Verdana" w:hAnsi="Verdana"/>
          <w:sz w:val="18"/>
          <w:szCs w:val="18"/>
          <w:lang w:val="el-GR"/>
        </w:rPr>
        <w:t xml:space="preserve"> ανήλθε στα €</w:t>
      </w:r>
      <w:r w:rsidR="00A4234C" w:rsidRPr="00D42EC2">
        <w:rPr>
          <w:rFonts w:ascii="Verdana" w:hAnsi="Verdana"/>
          <w:sz w:val="18"/>
          <w:szCs w:val="18"/>
          <w:lang w:val="el-GR"/>
        </w:rPr>
        <w:t>13,2</w:t>
      </w:r>
      <w:r w:rsidR="00A63D75" w:rsidRPr="00D42EC2">
        <w:rPr>
          <w:rFonts w:ascii="Verdana" w:hAnsi="Verdana"/>
          <w:sz w:val="18"/>
          <w:szCs w:val="18"/>
          <w:lang w:val="el-GR"/>
        </w:rPr>
        <w:t xml:space="preserve"> </w:t>
      </w:r>
      <w:r w:rsidRPr="00D42EC2">
        <w:rPr>
          <w:rFonts w:ascii="Verdana" w:hAnsi="Verdana"/>
          <w:sz w:val="18"/>
          <w:szCs w:val="18"/>
          <w:lang w:val="el-GR"/>
        </w:rPr>
        <w:t>εκ. έναντι €</w:t>
      </w:r>
      <w:r w:rsidR="00A4234C" w:rsidRPr="00D42EC2">
        <w:rPr>
          <w:rFonts w:ascii="Verdana" w:hAnsi="Verdana"/>
          <w:sz w:val="18"/>
          <w:szCs w:val="18"/>
          <w:lang w:val="el-GR"/>
        </w:rPr>
        <w:t>16,5</w:t>
      </w:r>
      <w:r w:rsidRPr="00D42EC2">
        <w:rPr>
          <w:rFonts w:ascii="Verdana" w:hAnsi="Verdana"/>
          <w:sz w:val="18"/>
          <w:szCs w:val="18"/>
          <w:lang w:val="el-GR"/>
        </w:rPr>
        <w:t xml:space="preserve"> εκ. τον </w:t>
      </w:r>
      <w:r w:rsidR="00451DE2" w:rsidRPr="00D42EC2">
        <w:rPr>
          <w:rFonts w:ascii="Verdana" w:hAnsi="Verdana"/>
          <w:sz w:val="18"/>
          <w:szCs w:val="18"/>
          <w:lang w:val="el-GR"/>
        </w:rPr>
        <w:t>Μάιο</w:t>
      </w:r>
      <w:r w:rsidRPr="00D42EC2">
        <w:rPr>
          <w:rFonts w:ascii="Verdana" w:hAnsi="Verdana"/>
          <w:sz w:val="18"/>
          <w:szCs w:val="18"/>
          <w:lang w:val="el-GR"/>
        </w:rPr>
        <w:t xml:space="preserve"> 202</w:t>
      </w:r>
      <w:r w:rsidR="001B0A1B" w:rsidRPr="00D42EC2">
        <w:rPr>
          <w:rFonts w:ascii="Verdana" w:hAnsi="Verdana"/>
          <w:sz w:val="18"/>
          <w:szCs w:val="18"/>
          <w:lang w:val="el-GR"/>
        </w:rPr>
        <w:t>4</w:t>
      </w:r>
      <w:r w:rsidRPr="00D42EC2">
        <w:rPr>
          <w:rFonts w:ascii="Verdana" w:hAnsi="Verdana"/>
          <w:sz w:val="18"/>
          <w:szCs w:val="18"/>
          <w:lang w:val="el-GR"/>
        </w:rPr>
        <w:t xml:space="preserve">. </w:t>
      </w:r>
    </w:p>
    <w:p w14:paraId="20335C0A" w14:textId="2FC5ADEB" w:rsidR="00EC2E65" w:rsidRPr="00C95FF4" w:rsidRDefault="00EC2E65" w:rsidP="000302B0">
      <w:pPr>
        <w:jc w:val="both"/>
        <w:rPr>
          <w:rFonts w:ascii="Verdana" w:hAnsi="Verdana"/>
          <w:sz w:val="18"/>
          <w:szCs w:val="18"/>
          <w:highlight w:val="yellow"/>
          <w:lang w:val="el-GR"/>
        </w:rPr>
      </w:pPr>
    </w:p>
    <w:p w14:paraId="4DADD2E8" w14:textId="682E5D8D" w:rsidR="00AF423B" w:rsidRPr="006B0009" w:rsidRDefault="00AF423B" w:rsidP="000302B0">
      <w:pPr>
        <w:jc w:val="both"/>
        <w:rPr>
          <w:rFonts w:ascii="Verdana" w:hAnsi="Verdana"/>
          <w:sz w:val="18"/>
          <w:szCs w:val="18"/>
          <w:lang w:val="el-GR"/>
        </w:rPr>
      </w:pPr>
      <w:r w:rsidRPr="00D42EC2">
        <w:rPr>
          <w:rFonts w:ascii="Verdana" w:hAnsi="Verdana"/>
          <w:b/>
          <w:bCs/>
          <w:sz w:val="18"/>
          <w:szCs w:val="18"/>
          <w:lang w:val="el-GR"/>
        </w:rPr>
        <w:t xml:space="preserve">Οι εξαγωγές ξένων προϊόντων, περιλαμβανομένων των προμηθειών πλοίων και αεροπλάνων, για τον </w:t>
      </w:r>
      <w:r w:rsidR="00451DE2" w:rsidRPr="00D42EC2">
        <w:rPr>
          <w:rFonts w:ascii="Verdana" w:hAnsi="Verdana"/>
          <w:b/>
          <w:bCs/>
          <w:sz w:val="18"/>
          <w:szCs w:val="18"/>
          <w:lang w:val="el-GR"/>
        </w:rPr>
        <w:t xml:space="preserve">Μάιο </w:t>
      </w:r>
      <w:r w:rsidRPr="00D42EC2">
        <w:rPr>
          <w:rFonts w:ascii="Verdana" w:hAnsi="Verdana"/>
          <w:b/>
          <w:bCs/>
          <w:sz w:val="18"/>
          <w:szCs w:val="18"/>
          <w:lang w:val="el-GR"/>
        </w:rPr>
        <w:t>202</w:t>
      </w:r>
      <w:r w:rsidR="001B0A1B" w:rsidRPr="00D42EC2">
        <w:rPr>
          <w:rFonts w:ascii="Verdana" w:hAnsi="Verdana"/>
          <w:b/>
          <w:bCs/>
          <w:sz w:val="18"/>
          <w:szCs w:val="18"/>
          <w:lang w:val="el-GR"/>
        </w:rPr>
        <w:t>5</w:t>
      </w:r>
      <w:r w:rsidRPr="00D42EC2">
        <w:rPr>
          <w:rFonts w:ascii="Verdana" w:hAnsi="Verdana"/>
          <w:b/>
          <w:bCs/>
          <w:sz w:val="18"/>
          <w:szCs w:val="18"/>
          <w:lang w:val="el-GR"/>
        </w:rPr>
        <w:t xml:space="preserve"> ήταν €</w:t>
      </w:r>
      <w:r w:rsidR="00A4234C" w:rsidRPr="00D42EC2">
        <w:rPr>
          <w:rFonts w:ascii="Verdana" w:hAnsi="Verdana"/>
          <w:b/>
          <w:bCs/>
          <w:sz w:val="18"/>
          <w:szCs w:val="18"/>
          <w:lang w:val="el-GR"/>
        </w:rPr>
        <w:t>109,0</w:t>
      </w:r>
      <w:r w:rsidRPr="00D42EC2">
        <w:rPr>
          <w:rFonts w:ascii="Verdana" w:hAnsi="Verdana"/>
          <w:b/>
          <w:bCs/>
          <w:sz w:val="18"/>
          <w:szCs w:val="18"/>
          <w:lang w:val="el-GR"/>
        </w:rPr>
        <w:t xml:space="preserve"> εκ.</w:t>
      </w:r>
      <w:r w:rsidRPr="00D42EC2">
        <w:rPr>
          <w:rFonts w:ascii="Verdana" w:hAnsi="Verdana"/>
          <w:sz w:val="18"/>
          <w:szCs w:val="18"/>
          <w:lang w:val="el-GR"/>
        </w:rPr>
        <w:t xml:space="preserve"> σε σύγκριση με €</w:t>
      </w:r>
      <w:r w:rsidR="00A4234C" w:rsidRPr="00D42EC2">
        <w:rPr>
          <w:rFonts w:ascii="Verdana" w:hAnsi="Verdana"/>
          <w:sz w:val="18"/>
          <w:szCs w:val="18"/>
          <w:lang w:val="el-GR"/>
        </w:rPr>
        <w:t>149,7</w:t>
      </w:r>
      <w:r w:rsidRPr="00D42EC2">
        <w:rPr>
          <w:rFonts w:ascii="Verdana" w:hAnsi="Verdana"/>
          <w:sz w:val="18"/>
          <w:szCs w:val="18"/>
          <w:lang w:val="el-GR"/>
        </w:rPr>
        <w:t xml:space="preserve"> εκ. τον </w:t>
      </w:r>
      <w:r w:rsidR="00451DE2" w:rsidRPr="00D42EC2">
        <w:rPr>
          <w:rFonts w:ascii="Verdana" w:hAnsi="Verdana"/>
          <w:sz w:val="18"/>
          <w:szCs w:val="18"/>
          <w:lang w:val="el-GR"/>
        </w:rPr>
        <w:t>Μάιο</w:t>
      </w:r>
      <w:r w:rsidRPr="00D42EC2">
        <w:rPr>
          <w:rFonts w:ascii="Verdana" w:hAnsi="Verdana"/>
          <w:sz w:val="18"/>
          <w:szCs w:val="18"/>
          <w:lang w:val="el-GR"/>
        </w:rPr>
        <w:t xml:space="preserve"> 202</w:t>
      </w:r>
      <w:r w:rsidR="001B0A1B" w:rsidRPr="00D42EC2">
        <w:rPr>
          <w:rFonts w:ascii="Verdana" w:hAnsi="Verdana"/>
          <w:sz w:val="18"/>
          <w:szCs w:val="18"/>
          <w:lang w:val="el-GR"/>
        </w:rPr>
        <w:t>4</w:t>
      </w:r>
      <w:r w:rsidRPr="00D42EC2">
        <w:rPr>
          <w:rFonts w:ascii="Verdana" w:hAnsi="Verdana"/>
          <w:sz w:val="18"/>
          <w:szCs w:val="18"/>
          <w:lang w:val="el-GR"/>
        </w:rPr>
        <w:t xml:space="preserve">, σημειώνοντας </w:t>
      </w:r>
      <w:r w:rsidR="00ED5C89" w:rsidRPr="00D42EC2">
        <w:rPr>
          <w:rFonts w:ascii="Verdana" w:hAnsi="Verdana"/>
          <w:sz w:val="18"/>
          <w:szCs w:val="18"/>
          <w:lang w:val="el-GR"/>
        </w:rPr>
        <w:t>μείωση</w:t>
      </w:r>
      <w:r w:rsidRPr="00D42EC2">
        <w:rPr>
          <w:rFonts w:ascii="Verdana" w:hAnsi="Verdana"/>
          <w:sz w:val="18"/>
          <w:szCs w:val="18"/>
          <w:lang w:val="el-GR"/>
        </w:rPr>
        <w:t xml:space="preserve"> </w:t>
      </w:r>
      <w:r w:rsidR="00C95FF4" w:rsidRPr="00D42EC2">
        <w:rPr>
          <w:rFonts w:ascii="Verdana" w:hAnsi="Verdana"/>
          <w:sz w:val="18"/>
          <w:szCs w:val="18"/>
          <w:lang w:val="el-GR"/>
        </w:rPr>
        <w:t>27,2</w:t>
      </w:r>
      <w:r w:rsidRPr="00D42EC2">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694CB167" w:rsidR="00EC2E65" w:rsidRPr="00E66937" w:rsidRDefault="00F12BE1"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667F3DEE" wp14:editId="7CB5E630">
            <wp:extent cx="6066155" cy="4511675"/>
            <wp:effectExtent l="0" t="0" r="0" b="3175"/>
            <wp:docPr id="13331779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451167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00E6DBA2" w:rsidR="008F4741" w:rsidRPr="008F4741" w:rsidRDefault="007B08E7" w:rsidP="008F4741">
      <w:pPr>
        <w:jc w:val="both"/>
        <w:rPr>
          <w:rFonts w:ascii="Verdana" w:hAnsi="Verdana" w:cs="Arial"/>
          <w:sz w:val="18"/>
          <w:szCs w:val="18"/>
          <w:lang w:val="el-GR"/>
        </w:rPr>
      </w:pPr>
      <w:r w:rsidRPr="00530768">
        <w:rPr>
          <w:rFonts w:ascii="Verdana" w:hAnsi="Verdana" w:cs="Arial"/>
          <w:sz w:val="18"/>
          <w:szCs w:val="18"/>
          <w:lang w:val="el-GR"/>
        </w:rPr>
        <w:t>Περισσότερα στοιχεία δημοσιεύονται στο μηνιαίο δημοσίευμα ‘Σ</w:t>
      </w:r>
      <w:r w:rsidR="009853AF" w:rsidRPr="00530768">
        <w:rPr>
          <w:rFonts w:ascii="Verdana" w:hAnsi="Verdana" w:cs="Arial"/>
          <w:sz w:val="18"/>
          <w:szCs w:val="18"/>
          <w:lang w:val="el-GR"/>
        </w:rPr>
        <w:t>τατιστικές</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νδοενωσιακού</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και</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με</w:t>
      </w:r>
      <w:r w:rsidRPr="00530768">
        <w:rPr>
          <w:rFonts w:ascii="Verdana" w:hAnsi="Verdana" w:cs="Arial"/>
          <w:sz w:val="18"/>
          <w:szCs w:val="18"/>
          <w:lang w:val="el-GR"/>
        </w:rPr>
        <w:t xml:space="preserve"> Τ</w:t>
      </w:r>
      <w:r w:rsidR="009853AF" w:rsidRPr="00530768">
        <w:rPr>
          <w:rFonts w:ascii="Verdana" w:hAnsi="Verdana" w:cs="Arial"/>
          <w:sz w:val="18"/>
          <w:szCs w:val="18"/>
          <w:lang w:val="el-GR"/>
        </w:rPr>
        <w:t>ρίτες</w:t>
      </w:r>
      <w:r w:rsidRPr="00530768">
        <w:rPr>
          <w:rFonts w:ascii="Verdana" w:hAnsi="Verdana" w:cs="Arial"/>
          <w:sz w:val="18"/>
          <w:szCs w:val="18"/>
          <w:lang w:val="el-GR"/>
        </w:rPr>
        <w:t xml:space="preserve"> Χ</w:t>
      </w:r>
      <w:r w:rsidR="009853AF" w:rsidRPr="00530768">
        <w:rPr>
          <w:rFonts w:ascii="Verdana" w:hAnsi="Verdana" w:cs="Arial"/>
          <w:sz w:val="18"/>
          <w:szCs w:val="18"/>
          <w:lang w:val="el-GR"/>
        </w:rPr>
        <w:t>ώρες</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υνοπτικά</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τοιχεία</w:t>
      </w:r>
      <w:r w:rsidRPr="00530768">
        <w:rPr>
          <w:rFonts w:ascii="Verdana" w:hAnsi="Verdana" w:cs="Arial"/>
          <w:sz w:val="18"/>
          <w:szCs w:val="18"/>
          <w:lang w:val="el-GR"/>
        </w:rPr>
        <w:t xml:space="preserve">) </w:t>
      </w:r>
      <w:r w:rsidR="00CB5B7E" w:rsidRPr="00530768">
        <w:rPr>
          <w:rFonts w:ascii="Verdana" w:hAnsi="Verdana" w:cs="Arial"/>
          <w:sz w:val="18"/>
          <w:szCs w:val="18"/>
          <w:lang w:val="el-GR"/>
        </w:rPr>
        <w:t>–</w:t>
      </w:r>
      <w:r w:rsidRPr="00530768">
        <w:rPr>
          <w:rFonts w:ascii="Verdana" w:hAnsi="Verdana" w:cs="Arial"/>
          <w:sz w:val="18"/>
          <w:szCs w:val="18"/>
          <w:lang w:val="el-GR"/>
        </w:rPr>
        <w:t xml:space="preserve"> </w:t>
      </w:r>
      <w:r w:rsidR="00451DE2">
        <w:rPr>
          <w:rFonts w:ascii="Verdana" w:hAnsi="Verdana"/>
          <w:sz w:val="18"/>
          <w:szCs w:val="18"/>
          <w:lang w:val="el-GR"/>
        </w:rPr>
        <w:t>Μάιος</w:t>
      </w:r>
      <w:r w:rsidRPr="00530768">
        <w:rPr>
          <w:rFonts w:ascii="Verdana" w:hAnsi="Verdana" w:cs="Arial"/>
          <w:sz w:val="18"/>
          <w:szCs w:val="18"/>
          <w:lang w:val="el-GR"/>
        </w:rPr>
        <w:t xml:space="preserve"> 202</w:t>
      </w:r>
      <w:r w:rsidR="00237687">
        <w:rPr>
          <w:rFonts w:ascii="Verdana" w:hAnsi="Verdana" w:cs="Arial"/>
          <w:sz w:val="18"/>
          <w:szCs w:val="18"/>
          <w:lang w:val="el-GR"/>
        </w:rPr>
        <w:t>5</w:t>
      </w:r>
      <w:r w:rsidRPr="00530768">
        <w:rPr>
          <w:rFonts w:ascii="Verdana" w:hAnsi="Verdana" w:cs="Arial"/>
          <w:sz w:val="18"/>
          <w:szCs w:val="18"/>
          <w:lang w:val="el-GR"/>
        </w:rPr>
        <w:t>’</w:t>
      </w:r>
      <w:r w:rsidR="008F4741" w:rsidRPr="00530768">
        <w:rPr>
          <w:rFonts w:ascii="Verdana" w:hAnsi="Verdana" w:cs="Arial"/>
          <w:sz w:val="18"/>
          <w:szCs w:val="18"/>
          <w:lang w:val="el-GR"/>
        </w:rPr>
        <w:t xml:space="preserve"> </w:t>
      </w:r>
      <w:r w:rsidR="005C3E4D" w:rsidRPr="00530768">
        <w:rPr>
          <w:rFonts w:ascii="Verdana" w:hAnsi="Verdana" w:cs="Arial"/>
          <w:sz w:val="18"/>
          <w:szCs w:val="18"/>
          <w:lang w:val="el-GR"/>
        </w:rPr>
        <w:t xml:space="preserve">καθώς </w:t>
      </w:r>
      <w:r w:rsidR="008F4741" w:rsidRPr="00530768">
        <w:rPr>
          <w:rFonts w:ascii="Verdana" w:hAnsi="Verdana" w:cs="Arial"/>
          <w:sz w:val="18"/>
          <w:szCs w:val="18"/>
          <w:lang w:val="el-GR"/>
        </w:rPr>
        <w:t xml:space="preserve">και στη βάση δεδομένων </w:t>
      </w:r>
      <w:r w:rsidR="009838FC" w:rsidRPr="00530768">
        <w:rPr>
          <w:rFonts w:ascii="Verdana" w:hAnsi="Verdana" w:cs="Arial"/>
          <w:sz w:val="18"/>
          <w:szCs w:val="18"/>
          <w:lang w:val="el-GR"/>
        </w:rPr>
        <w:t>CYSTAT-DB</w:t>
      </w:r>
      <w:r w:rsidR="008F4741" w:rsidRPr="00530768">
        <w:rPr>
          <w:rFonts w:ascii="Verdana" w:hAnsi="Verdana" w:cs="Arial"/>
          <w:sz w:val="18"/>
          <w:szCs w:val="18"/>
          <w:lang w:val="el-GR"/>
        </w:rPr>
        <w:t xml:space="preserve">, κάτω από το </w:t>
      </w:r>
      <w:r w:rsidR="00381665" w:rsidRPr="00530768">
        <w:rPr>
          <w:rFonts w:ascii="Verdana" w:hAnsi="Verdana" w:cs="Arial"/>
          <w:sz w:val="18"/>
          <w:szCs w:val="18"/>
          <w:lang w:val="el-GR"/>
        </w:rPr>
        <w:t>υπόθεμα</w:t>
      </w:r>
      <w:r w:rsidR="008F4741" w:rsidRPr="00530768">
        <w:rPr>
          <w:rFonts w:ascii="Verdana" w:hAnsi="Verdana" w:cs="Arial"/>
          <w:sz w:val="18"/>
          <w:szCs w:val="18"/>
          <w:lang w:val="el-GR"/>
        </w:rPr>
        <w:t xml:space="preserve"> Εξωτερικό Εμπόριο.</w:t>
      </w:r>
    </w:p>
    <w:p w14:paraId="1AF40FE6" w14:textId="59749450" w:rsidR="007B08E7" w:rsidRDefault="007B08E7" w:rsidP="000E4CB0">
      <w:pPr>
        <w:jc w:val="both"/>
        <w:rPr>
          <w:rFonts w:ascii="Verdana" w:hAnsi="Verdana" w:cs="Arial"/>
          <w:sz w:val="18"/>
          <w:szCs w:val="18"/>
          <w:lang w:val="el-GR"/>
        </w:rPr>
      </w:pPr>
    </w:p>
    <w:p w14:paraId="1E83A7C2" w14:textId="77777777" w:rsidR="00E82D1B" w:rsidRPr="008F4741" w:rsidRDefault="00E82D1B"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72465774" w14:textId="77777777" w:rsidR="00B809F7" w:rsidRDefault="00B809F7"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p w14:paraId="07C32F1E" w14:textId="77777777" w:rsidR="00B809F7" w:rsidRDefault="00B809F7"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3305"/>
        <w:gridCol w:w="3508"/>
      </w:tblGrid>
      <w:tr w:rsidR="00A2424D" w:rsidRPr="00A2424D" w14:paraId="7B0AC158" w14:textId="77777777" w:rsidTr="00F12BE1">
        <w:trPr>
          <w:trHeight w:val="389"/>
          <w:jc w:val="center"/>
        </w:trPr>
        <w:tc>
          <w:tcPr>
            <w:tcW w:w="10292" w:type="dxa"/>
            <w:gridSpan w:val="3"/>
            <w:tcBorders>
              <w:top w:val="nil"/>
              <w:left w:val="nil"/>
              <w:bottom w:val="single" w:sz="4" w:space="0" w:color="366092"/>
              <w:right w:val="nil"/>
            </w:tcBorders>
            <w:vAlign w:val="center"/>
            <w:hideMark/>
          </w:tcPr>
          <w:p w14:paraId="4FA4A996" w14:textId="77777777" w:rsidR="004C3FF2" w:rsidRPr="00A2424D" w:rsidRDefault="004C3FF2" w:rsidP="001D1496">
            <w:pPr>
              <w:rPr>
                <w:rFonts w:ascii="Verdana" w:eastAsia="Malgun Gothic" w:hAnsi="Verdana" w:cs="Arial"/>
                <w:b/>
                <w:color w:val="366092"/>
                <w:sz w:val="18"/>
                <w:szCs w:val="18"/>
                <w:lang w:val="el-GR"/>
              </w:rPr>
            </w:pPr>
            <w:bookmarkStart w:id="0" w:name="_Hlk71021327"/>
            <w:r w:rsidRPr="00A2424D">
              <w:rPr>
                <w:rFonts w:ascii="Verdana" w:eastAsia="Malgun Gothic" w:hAnsi="Verdana" w:cs="Arial"/>
                <w:b/>
                <w:color w:val="366092"/>
                <w:sz w:val="18"/>
                <w:szCs w:val="18"/>
                <w:lang w:val="el-GR"/>
              </w:rPr>
              <w:lastRenderedPageBreak/>
              <w:t>Πίνακας</w:t>
            </w:r>
          </w:p>
        </w:tc>
      </w:tr>
      <w:tr w:rsidR="00A2424D" w:rsidRPr="00A2424D" w14:paraId="65473E77" w14:textId="77777777" w:rsidTr="00F12BE1">
        <w:trPr>
          <w:trHeight w:val="355"/>
          <w:jc w:val="center"/>
        </w:trPr>
        <w:tc>
          <w:tcPr>
            <w:tcW w:w="3479" w:type="dxa"/>
            <w:vMerge w:val="restart"/>
            <w:tcBorders>
              <w:top w:val="single" w:sz="4" w:space="0" w:color="366092"/>
              <w:left w:val="nil"/>
              <w:right w:val="nil"/>
            </w:tcBorders>
            <w:vAlign w:val="center"/>
            <w:hideMark/>
          </w:tcPr>
          <w:p w14:paraId="66A855B6" w14:textId="77777777" w:rsidR="004C3FF2" w:rsidRPr="00A2424D" w:rsidRDefault="004C3FF2" w:rsidP="001D1496">
            <w:pPr>
              <w:jc w:val="cente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lang w:val="el-GR"/>
              </w:rPr>
              <w:t>Έτος και Μήνας</w:t>
            </w:r>
          </w:p>
        </w:tc>
        <w:tc>
          <w:tcPr>
            <w:tcW w:w="3305" w:type="dxa"/>
            <w:tcBorders>
              <w:top w:val="single" w:sz="4" w:space="0" w:color="366092"/>
              <w:left w:val="nil"/>
              <w:bottom w:val="nil"/>
              <w:right w:val="nil"/>
            </w:tcBorders>
            <w:vAlign w:val="center"/>
            <w:hideMark/>
          </w:tcPr>
          <w:p w14:paraId="62ED13FC" w14:textId="78BDB945"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 xml:space="preserve">Συνολικές Εισαγωγές </w:t>
            </w:r>
          </w:p>
        </w:tc>
        <w:tc>
          <w:tcPr>
            <w:tcW w:w="3508" w:type="dxa"/>
            <w:tcBorders>
              <w:top w:val="single" w:sz="4" w:space="0" w:color="366092"/>
              <w:left w:val="nil"/>
              <w:bottom w:val="nil"/>
              <w:right w:val="nil"/>
            </w:tcBorders>
            <w:vAlign w:val="center"/>
            <w:hideMark/>
          </w:tcPr>
          <w:p w14:paraId="3C24A7D4" w14:textId="22AB4E3F"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 xml:space="preserve">Συνολικές Εξαγωγές </w:t>
            </w:r>
          </w:p>
        </w:tc>
      </w:tr>
      <w:tr w:rsidR="00A2424D" w:rsidRPr="00A2424D" w14:paraId="3FA1B746" w14:textId="77777777" w:rsidTr="00F12BE1">
        <w:trPr>
          <w:trHeight w:val="322"/>
          <w:jc w:val="center"/>
        </w:trPr>
        <w:tc>
          <w:tcPr>
            <w:tcW w:w="3479" w:type="dxa"/>
            <w:vMerge/>
            <w:tcBorders>
              <w:left w:val="nil"/>
              <w:bottom w:val="single" w:sz="4" w:space="0" w:color="366092"/>
              <w:right w:val="nil"/>
            </w:tcBorders>
            <w:vAlign w:val="center"/>
          </w:tcPr>
          <w:p w14:paraId="79343BE3" w14:textId="77777777" w:rsidR="004C3FF2" w:rsidRPr="00A2424D" w:rsidRDefault="004C3FF2" w:rsidP="001D1496">
            <w:pPr>
              <w:jc w:val="center"/>
              <w:rPr>
                <w:rFonts w:ascii="Verdana" w:eastAsia="Malgun Gothic" w:hAnsi="Verdana" w:cs="Arial"/>
                <w:b/>
                <w:color w:val="366092"/>
                <w:sz w:val="18"/>
                <w:szCs w:val="18"/>
                <w:lang w:val="el-GR"/>
              </w:rPr>
            </w:pPr>
          </w:p>
        </w:tc>
        <w:tc>
          <w:tcPr>
            <w:tcW w:w="3305" w:type="dxa"/>
            <w:tcBorders>
              <w:top w:val="nil"/>
              <w:left w:val="nil"/>
              <w:bottom w:val="single" w:sz="4" w:space="0" w:color="366092"/>
              <w:right w:val="nil"/>
            </w:tcBorders>
            <w:vAlign w:val="center"/>
          </w:tcPr>
          <w:p w14:paraId="63EA5971" w14:textId="53B2235D"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€000’</w:t>
            </w:r>
            <w:r w:rsidR="00A1554F" w:rsidRPr="00A2424D">
              <w:rPr>
                <w:rFonts w:ascii="Verdana" w:eastAsia="Malgun Gothic" w:hAnsi="Verdana" w:cs="Arial"/>
                <w:b/>
                <w:color w:val="366092"/>
                <w:sz w:val="18"/>
                <w:szCs w:val="18"/>
                <w:lang w:val="el-GR"/>
              </w:rPr>
              <w:t>ς</w:t>
            </w:r>
          </w:p>
        </w:tc>
        <w:tc>
          <w:tcPr>
            <w:tcW w:w="3508" w:type="dxa"/>
            <w:tcBorders>
              <w:top w:val="nil"/>
              <w:left w:val="nil"/>
              <w:bottom w:val="single" w:sz="4" w:space="0" w:color="366092"/>
              <w:right w:val="nil"/>
            </w:tcBorders>
            <w:vAlign w:val="center"/>
          </w:tcPr>
          <w:p w14:paraId="30762622" w14:textId="1262F448"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€000’</w:t>
            </w:r>
            <w:r w:rsidR="00A1554F" w:rsidRPr="00A2424D">
              <w:rPr>
                <w:rFonts w:ascii="Verdana" w:eastAsia="Malgun Gothic" w:hAnsi="Verdana" w:cs="Arial"/>
                <w:b/>
                <w:color w:val="366092"/>
                <w:sz w:val="18"/>
                <w:szCs w:val="18"/>
                <w:lang w:val="el-GR"/>
              </w:rPr>
              <w:t>ς</w:t>
            </w:r>
          </w:p>
        </w:tc>
      </w:tr>
      <w:tr w:rsidR="00A2424D" w:rsidRPr="00A2424D" w14:paraId="2D5FBEEA" w14:textId="77777777" w:rsidTr="00F12BE1">
        <w:trPr>
          <w:trHeight w:val="323"/>
          <w:jc w:val="center"/>
        </w:trPr>
        <w:tc>
          <w:tcPr>
            <w:tcW w:w="3479" w:type="dxa"/>
            <w:tcBorders>
              <w:top w:val="single" w:sz="4" w:space="0" w:color="366092"/>
              <w:left w:val="nil"/>
              <w:bottom w:val="nil"/>
              <w:right w:val="nil"/>
            </w:tcBorders>
            <w:vAlign w:val="center"/>
          </w:tcPr>
          <w:p w14:paraId="1280967F" w14:textId="6DDFF53B" w:rsidR="00106AD8" w:rsidRPr="00A2424D" w:rsidRDefault="00B66A2B" w:rsidP="001D1496">
            <w:pPr>
              <w:ind w:left="216"/>
              <w:rPr>
                <w:rFonts w:ascii="Verdana" w:eastAsia="Malgun Gothic" w:hAnsi="Verdana" w:cs="Arial"/>
                <w:b/>
                <w:color w:val="366092"/>
                <w:sz w:val="18"/>
                <w:szCs w:val="18"/>
                <w:u w:val="single"/>
                <w:lang w:val="el-GR"/>
              </w:rPr>
            </w:pPr>
            <w:r w:rsidRPr="00A2424D">
              <w:rPr>
                <w:rFonts w:ascii="Verdana" w:eastAsia="Malgun Gothic" w:hAnsi="Verdana" w:cs="Arial"/>
                <w:b/>
                <w:color w:val="366092"/>
                <w:sz w:val="18"/>
                <w:szCs w:val="18"/>
                <w:u w:val="single"/>
                <w:lang w:val="el-GR"/>
              </w:rPr>
              <w:t>202</w:t>
            </w:r>
            <w:r w:rsidR="00333478" w:rsidRPr="00A2424D">
              <w:rPr>
                <w:rFonts w:ascii="Verdana" w:eastAsia="Malgun Gothic" w:hAnsi="Verdana" w:cs="Arial"/>
                <w:b/>
                <w:color w:val="366092"/>
                <w:sz w:val="18"/>
                <w:szCs w:val="18"/>
                <w:u w:val="single"/>
                <w:lang w:val="el-GR"/>
              </w:rPr>
              <w:t>5</w:t>
            </w:r>
          </w:p>
        </w:tc>
        <w:tc>
          <w:tcPr>
            <w:tcW w:w="3305" w:type="dxa"/>
            <w:tcBorders>
              <w:top w:val="single" w:sz="4" w:space="0" w:color="366092"/>
              <w:left w:val="nil"/>
              <w:bottom w:val="nil"/>
              <w:right w:val="nil"/>
            </w:tcBorders>
            <w:vAlign w:val="center"/>
          </w:tcPr>
          <w:p w14:paraId="6A1A42AD" w14:textId="20B2E55D" w:rsidR="00106AD8" w:rsidRPr="00A2424D" w:rsidRDefault="00106AD8" w:rsidP="00CA4919">
            <w:pPr>
              <w:rPr>
                <w:rFonts w:ascii="Verdana" w:eastAsia="Malgun Gothic" w:hAnsi="Verdana" w:cs="Arial"/>
                <w:b/>
                <w:color w:val="366092"/>
                <w:sz w:val="18"/>
                <w:szCs w:val="18"/>
              </w:rPr>
            </w:pPr>
          </w:p>
        </w:tc>
        <w:tc>
          <w:tcPr>
            <w:tcW w:w="3508" w:type="dxa"/>
            <w:tcBorders>
              <w:top w:val="single" w:sz="4" w:space="0" w:color="366092"/>
              <w:left w:val="nil"/>
              <w:bottom w:val="nil"/>
              <w:right w:val="nil"/>
            </w:tcBorders>
            <w:vAlign w:val="center"/>
          </w:tcPr>
          <w:p w14:paraId="0C7CDE10" w14:textId="0586D556" w:rsidR="00106AD8" w:rsidRPr="00A2424D" w:rsidRDefault="00106AD8" w:rsidP="00CA4919">
            <w:pPr>
              <w:rPr>
                <w:rFonts w:ascii="Verdana" w:eastAsia="Malgun Gothic" w:hAnsi="Verdana" w:cs="Arial"/>
                <w:b/>
                <w:color w:val="366092"/>
                <w:sz w:val="18"/>
                <w:szCs w:val="18"/>
              </w:rPr>
            </w:pPr>
          </w:p>
        </w:tc>
      </w:tr>
      <w:tr w:rsidR="00A2424D" w:rsidRPr="00A2424D" w14:paraId="7EDCC8B5" w14:textId="77777777" w:rsidTr="009A153B">
        <w:trPr>
          <w:trHeight w:val="363"/>
          <w:jc w:val="center"/>
        </w:trPr>
        <w:tc>
          <w:tcPr>
            <w:tcW w:w="3479" w:type="dxa"/>
            <w:tcBorders>
              <w:top w:val="nil"/>
              <w:left w:val="nil"/>
              <w:bottom w:val="nil"/>
              <w:right w:val="nil"/>
            </w:tcBorders>
            <w:vAlign w:val="center"/>
          </w:tcPr>
          <w:p w14:paraId="70F45F2D" w14:textId="41027F82" w:rsidR="00B66A2B" w:rsidRPr="00A2424D" w:rsidRDefault="00451DE2" w:rsidP="00B66A2B">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Ιούνιος</w:t>
            </w:r>
          </w:p>
        </w:tc>
        <w:tc>
          <w:tcPr>
            <w:tcW w:w="3305" w:type="dxa"/>
            <w:tcBorders>
              <w:top w:val="nil"/>
              <w:left w:val="nil"/>
              <w:bottom w:val="nil"/>
              <w:right w:val="nil"/>
            </w:tcBorders>
            <w:vAlign w:val="center"/>
          </w:tcPr>
          <w:p w14:paraId="69F42AD8" w14:textId="34F53DE7" w:rsidR="00B66A2B" w:rsidRPr="00A2424D" w:rsidRDefault="00AD05F9" w:rsidP="00CA74DC">
            <w:pPr>
              <w:rPr>
                <w:rFonts w:ascii="Verdana" w:hAnsi="Verdana" w:cs="Arial"/>
                <w:color w:val="366092"/>
                <w:sz w:val="18"/>
                <w:szCs w:val="18"/>
                <w:lang w:val="el-GR"/>
              </w:rPr>
            </w:pPr>
            <w:r>
              <w:rPr>
                <w:rFonts w:ascii="Verdana" w:hAnsi="Verdana" w:cs="Arial"/>
                <w:color w:val="366092"/>
                <w:sz w:val="18"/>
                <w:szCs w:val="18"/>
                <w:lang w:val="el-GR"/>
              </w:rPr>
              <w:t xml:space="preserve">            1.114.711</w:t>
            </w:r>
          </w:p>
        </w:tc>
        <w:tc>
          <w:tcPr>
            <w:tcW w:w="3508" w:type="dxa"/>
            <w:tcBorders>
              <w:top w:val="nil"/>
              <w:left w:val="nil"/>
              <w:bottom w:val="nil"/>
              <w:right w:val="nil"/>
            </w:tcBorders>
            <w:vAlign w:val="center"/>
          </w:tcPr>
          <w:p w14:paraId="571C9714" w14:textId="0AFF1F65" w:rsidR="00B66A2B" w:rsidRPr="00A2424D" w:rsidRDefault="00AD05F9" w:rsidP="00CA74DC">
            <w:pPr>
              <w:ind w:firstLineChars="300" w:firstLine="540"/>
              <w:rPr>
                <w:rFonts w:ascii="Verdana" w:hAnsi="Verdana" w:cs="Arial"/>
                <w:color w:val="366092"/>
                <w:sz w:val="18"/>
                <w:szCs w:val="18"/>
                <w:lang w:val="el-GR"/>
              </w:rPr>
            </w:pPr>
            <w:r>
              <w:rPr>
                <w:rFonts w:ascii="Verdana" w:hAnsi="Verdana" w:cs="Arial"/>
                <w:color w:val="366092"/>
                <w:sz w:val="18"/>
                <w:szCs w:val="18"/>
                <w:lang w:val="el-GR"/>
              </w:rPr>
              <w:t xml:space="preserve">      506.511</w:t>
            </w:r>
          </w:p>
        </w:tc>
      </w:tr>
      <w:tr w:rsidR="00451DE2" w:rsidRPr="00A2424D" w14:paraId="30009A40" w14:textId="77777777" w:rsidTr="009A153B">
        <w:trPr>
          <w:trHeight w:val="363"/>
          <w:jc w:val="center"/>
        </w:trPr>
        <w:tc>
          <w:tcPr>
            <w:tcW w:w="3479" w:type="dxa"/>
            <w:tcBorders>
              <w:top w:val="nil"/>
              <w:left w:val="nil"/>
              <w:bottom w:val="nil"/>
              <w:right w:val="nil"/>
            </w:tcBorders>
            <w:vAlign w:val="center"/>
          </w:tcPr>
          <w:p w14:paraId="2588E936" w14:textId="434DEA04" w:rsidR="00451DE2" w:rsidRDefault="00451DE2" w:rsidP="00451DE2">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Μάιος</w:t>
            </w:r>
          </w:p>
        </w:tc>
        <w:tc>
          <w:tcPr>
            <w:tcW w:w="3305" w:type="dxa"/>
            <w:tcBorders>
              <w:top w:val="nil"/>
              <w:left w:val="nil"/>
              <w:bottom w:val="nil"/>
              <w:right w:val="nil"/>
            </w:tcBorders>
            <w:vAlign w:val="center"/>
          </w:tcPr>
          <w:p w14:paraId="10678B25" w14:textId="6BCBC215" w:rsidR="00451DE2" w:rsidRDefault="00451DE2" w:rsidP="00451DE2">
            <w:pPr>
              <w:rPr>
                <w:rFonts w:ascii="Verdana" w:hAnsi="Verdana" w:cs="Arial"/>
                <w:color w:val="366092"/>
                <w:sz w:val="18"/>
                <w:szCs w:val="18"/>
                <w:lang w:val="el-GR"/>
              </w:rPr>
            </w:pPr>
            <w:r>
              <w:rPr>
                <w:rFonts w:ascii="Verdana" w:hAnsi="Verdana" w:cs="Arial"/>
                <w:color w:val="366092"/>
                <w:sz w:val="18"/>
                <w:szCs w:val="18"/>
                <w:lang w:val="el-GR"/>
              </w:rPr>
              <w:t xml:space="preserve">            1.00</w:t>
            </w:r>
            <w:r w:rsidR="001236D1">
              <w:rPr>
                <w:rFonts w:ascii="Verdana" w:hAnsi="Verdana" w:cs="Arial"/>
                <w:color w:val="366092"/>
                <w:sz w:val="18"/>
                <w:szCs w:val="18"/>
                <w:lang w:val="el-GR"/>
              </w:rPr>
              <w:t>5</w:t>
            </w:r>
            <w:r>
              <w:rPr>
                <w:rFonts w:ascii="Verdana" w:hAnsi="Verdana" w:cs="Arial"/>
                <w:color w:val="366092"/>
                <w:sz w:val="18"/>
                <w:szCs w:val="18"/>
                <w:lang w:val="el-GR"/>
              </w:rPr>
              <w:t>.</w:t>
            </w:r>
            <w:r w:rsidR="001236D1">
              <w:rPr>
                <w:rFonts w:ascii="Verdana" w:hAnsi="Verdana" w:cs="Arial"/>
                <w:color w:val="366092"/>
                <w:sz w:val="18"/>
                <w:szCs w:val="18"/>
                <w:lang w:val="el-GR"/>
              </w:rPr>
              <w:t>415</w:t>
            </w:r>
          </w:p>
        </w:tc>
        <w:tc>
          <w:tcPr>
            <w:tcW w:w="3508" w:type="dxa"/>
            <w:tcBorders>
              <w:top w:val="nil"/>
              <w:left w:val="nil"/>
              <w:bottom w:val="nil"/>
              <w:right w:val="nil"/>
            </w:tcBorders>
            <w:vAlign w:val="center"/>
          </w:tcPr>
          <w:p w14:paraId="6F51CBB4" w14:textId="28F9812E" w:rsidR="00451DE2" w:rsidRDefault="00451DE2" w:rsidP="00451DE2">
            <w:pPr>
              <w:ind w:firstLineChars="300" w:firstLine="540"/>
              <w:rPr>
                <w:rFonts w:ascii="Verdana" w:hAnsi="Verdana" w:cs="Arial"/>
                <w:color w:val="366092"/>
                <w:sz w:val="18"/>
                <w:szCs w:val="18"/>
                <w:lang w:val="el-GR"/>
              </w:rPr>
            </w:pPr>
            <w:r>
              <w:rPr>
                <w:rFonts w:ascii="Verdana" w:hAnsi="Verdana" w:cs="Arial"/>
                <w:color w:val="366092"/>
                <w:sz w:val="18"/>
                <w:szCs w:val="18"/>
                <w:lang w:val="el-GR"/>
              </w:rPr>
              <w:t xml:space="preserve">      3</w:t>
            </w:r>
            <w:r w:rsidR="001236D1">
              <w:rPr>
                <w:rFonts w:ascii="Verdana" w:hAnsi="Verdana" w:cs="Arial"/>
                <w:color w:val="366092"/>
                <w:sz w:val="18"/>
                <w:szCs w:val="18"/>
                <w:lang w:val="el-GR"/>
              </w:rPr>
              <w:t>21</w:t>
            </w:r>
            <w:r>
              <w:rPr>
                <w:rFonts w:ascii="Verdana" w:hAnsi="Verdana" w:cs="Arial"/>
                <w:color w:val="366092"/>
                <w:sz w:val="18"/>
                <w:szCs w:val="18"/>
                <w:lang w:val="el-GR"/>
              </w:rPr>
              <w:t>.</w:t>
            </w:r>
            <w:r w:rsidR="001236D1">
              <w:rPr>
                <w:rFonts w:ascii="Verdana" w:hAnsi="Verdana" w:cs="Arial"/>
                <w:color w:val="366092"/>
                <w:sz w:val="18"/>
                <w:szCs w:val="18"/>
                <w:lang w:val="el-GR"/>
              </w:rPr>
              <w:t>280</w:t>
            </w:r>
          </w:p>
        </w:tc>
      </w:tr>
      <w:tr w:rsidR="00451DE2" w:rsidRPr="00A2424D" w14:paraId="02B8057B" w14:textId="77777777" w:rsidTr="009A153B">
        <w:trPr>
          <w:trHeight w:val="363"/>
          <w:jc w:val="center"/>
        </w:trPr>
        <w:tc>
          <w:tcPr>
            <w:tcW w:w="3479" w:type="dxa"/>
            <w:tcBorders>
              <w:top w:val="nil"/>
              <w:left w:val="nil"/>
              <w:bottom w:val="nil"/>
              <w:right w:val="nil"/>
            </w:tcBorders>
            <w:vAlign w:val="center"/>
          </w:tcPr>
          <w:p w14:paraId="48BDA6EE" w14:textId="19367FCE" w:rsidR="00451DE2" w:rsidRDefault="00451DE2" w:rsidP="00451DE2">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Απρίλιος</w:t>
            </w:r>
          </w:p>
        </w:tc>
        <w:tc>
          <w:tcPr>
            <w:tcW w:w="3305" w:type="dxa"/>
            <w:tcBorders>
              <w:top w:val="nil"/>
              <w:left w:val="nil"/>
              <w:bottom w:val="nil"/>
              <w:right w:val="nil"/>
            </w:tcBorders>
            <w:vAlign w:val="center"/>
          </w:tcPr>
          <w:p w14:paraId="2EB9D85F" w14:textId="10BA6D02" w:rsidR="00451DE2" w:rsidRDefault="00451DE2" w:rsidP="00451DE2">
            <w:pPr>
              <w:rPr>
                <w:rFonts w:ascii="Verdana" w:hAnsi="Verdana" w:cs="Arial"/>
                <w:color w:val="366092"/>
                <w:sz w:val="18"/>
                <w:szCs w:val="18"/>
                <w:lang w:val="el-GR"/>
              </w:rPr>
            </w:pPr>
            <w:r>
              <w:rPr>
                <w:rFonts w:ascii="Verdana" w:hAnsi="Verdana" w:cs="Arial"/>
                <w:color w:val="366092"/>
                <w:sz w:val="18"/>
                <w:szCs w:val="18"/>
                <w:lang w:val="el-GR"/>
              </w:rPr>
              <w:t xml:space="preserve">            1.16</w:t>
            </w:r>
            <w:r w:rsidR="001236D1">
              <w:rPr>
                <w:rFonts w:ascii="Verdana" w:hAnsi="Verdana" w:cs="Arial"/>
                <w:color w:val="366092"/>
                <w:sz w:val="18"/>
                <w:szCs w:val="18"/>
                <w:lang w:val="el-GR"/>
              </w:rPr>
              <w:t>5</w:t>
            </w:r>
            <w:r>
              <w:rPr>
                <w:rFonts w:ascii="Verdana" w:hAnsi="Verdana" w:cs="Arial"/>
                <w:color w:val="366092"/>
                <w:sz w:val="18"/>
                <w:szCs w:val="18"/>
                <w:lang w:val="el-GR"/>
              </w:rPr>
              <w:t>.</w:t>
            </w:r>
            <w:r w:rsidR="001236D1">
              <w:rPr>
                <w:rFonts w:ascii="Verdana" w:hAnsi="Verdana" w:cs="Arial"/>
                <w:color w:val="366092"/>
                <w:sz w:val="18"/>
                <w:szCs w:val="18"/>
                <w:lang w:val="el-GR"/>
              </w:rPr>
              <w:t>181</w:t>
            </w:r>
          </w:p>
        </w:tc>
        <w:tc>
          <w:tcPr>
            <w:tcW w:w="3508" w:type="dxa"/>
            <w:tcBorders>
              <w:top w:val="nil"/>
              <w:left w:val="nil"/>
              <w:bottom w:val="nil"/>
              <w:right w:val="nil"/>
            </w:tcBorders>
            <w:vAlign w:val="center"/>
          </w:tcPr>
          <w:p w14:paraId="2AAE7B2C" w14:textId="37202CA2" w:rsidR="00451DE2" w:rsidRDefault="00451DE2" w:rsidP="00451DE2">
            <w:pPr>
              <w:ind w:firstLineChars="300" w:firstLine="540"/>
              <w:rPr>
                <w:rFonts w:ascii="Verdana" w:hAnsi="Verdana" w:cs="Arial"/>
                <w:color w:val="366092"/>
                <w:sz w:val="18"/>
                <w:szCs w:val="18"/>
                <w:lang w:val="el-GR"/>
              </w:rPr>
            </w:pPr>
            <w:r>
              <w:rPr>
                <w:rFonts w:ascii="Verdana" w:hAnsi="Verdana" w:cs="Arial"/>
                <w:color w:val="366092"/>
                <w:sz w:val="18"/>
                <w:szCs w:val="18"/>
                <w:lang w:val="el-GR"/>
              </w:rPr>
              <w:t xml:space="preserve">      390.694</w:t>
            </w:r>
          </w:p>
        </w:tc>
      </w:tr>
      <w:tr w:rsidR="00451DE2" w:rsidRPr="00A2424D" w14:paraId="1F176F5A" w14:textId="77777777" w:rsidTr="009A153B">
        <w:trPr>
          <w:trHeight w:val="363"/>
          <w:jc w:val="center"/>
        </w:trPr>
        <w:tc>
          <w:tcPr>
            <w:tcW w:w="3479" w:type="dxa"/>
            <w:tcBorders>
              <w:top w:val="nil"/>
              <w:left w:val="nil"/>
              <w:bottom w:val="nil"/>
              <w:right w:val="nil"/>
            </w:tcBorders>
            <w:vAlign w:val="center"/>
          </w:tcPr>
          <w:p w14:paraId="2F92E8DF" w14:textId="0AF0689C"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Μάρτιος</w:t>
            </w:r>
          </w:p>
        </w:tc>
        <w:tc>
          <w:tcPr>
            <w:tcW w:w="3305" w:type="dxa"/>
            <w:tcBorders>
              <w:top w:val="nil"/>
              <w:left w:val="nil"/>
              <w:bottom w:val="nil"/>
              <w:right w:val="nil"/>
            </w:tcBorders>
            <w:vAlign w:val="center"/>
          </w:tcPr>
          <w:p w14:paraId="31FC7780" w14:textId="7C956742" w:rsidR="00451DE2" w:rsidRPr="00A2424D" w:rsidRDefault="00451DE2" w:rsidP="00451DE2">
            <w:pPr>
              <w:rPr>
                <w:rFonts w:ascii="Verdana" w:hAnsi="Verdana" w:cs="Arial"/>
                <w:color w:val="366092"/>
                <w:sz w:val="18"/>
                <w:szCs w:val="18"/>
                <w:lang w:val="el-GR"/>
              </w:rPr>
            </w:pPr>
            <w:r w:rsidRPr="00A2424D">
              <w:rPr>
                <w:rFonts w:ascii="Verdana" w:hAnsi="Verdana" w:cs="Arial"/>
                <w:color w:val="366092"/>
                <w:sz w:val="18"/>
                <w:szCs w:val="18"/>
                <w:lang w:val="el-GR"/>
              </w:rPr>
              <w:t xml:space="preserve">            1.</w:t>
            </w:r>
            <w:r>
              <w:rPr>
                <w:rFonts w:ascii="Verdana" w:hAnsi="Verdana" w:cs="Arial"/>
                <w:color w:val="366092"/>
                <w:sz w:val="18"/>
                <w:szCs w:val="18"/>
                <w:lang w:val="el-GR"/>
              </w:rPr>
              <w:t>038</w:t>
            </w:r>
            <w:r w:rsidRPr="00A2424D">
              <w:rPr>
                <w:rFonts w:ascii="Verdana" w:hAnsi="Verdana" w:cs="Arial"/>
                <w:color w:val="366092"/>
                <w:sz w:val="18"/>
                <w:szCs w:val="18"/>
                <w:lang w:val="el-GR"/>
              </w:rPr>
              <w:t>.</w:t>
            </w:r>
            <w:r>
              <w:rPr>
                <w:rFonts w:ascii="Verdana" w:hAnsi="Verdana" w:cs="Arial"/>
                <w:color w:val="366092"/>
                <w:sz w:val="18"/>
                <w:szCs w:val="18"/>
                <w:lang w:val="el-GR"/>
              </w:rPr>
              <w:t>590</w:t>
            </w:r>
          </w:p>
        </w:tc>
        <w:tc>
          <w:tcPr>
            <w:tcW w:w="3508" w:type="dxa"/>
            <w:tcBorders>
              <w:top w:val="nil"/>
              <w:left w:val="nil"/>
              <w:bottom w:val="nil"/>
              <w:right w:val="nil"/>
            </w:tcBorders>
            <w:vAlign w:val="center"/>
          </w:tcPr>
          <w:p w14:paraId="3D81293A" w14:textId="467AB6C5" w:rsidR="00451DE2" w:rsidRPr="00A2424D" w:rsidRDefault="00451DE2" w:rsidP="00451DE2">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4</w:t>
            </w:r>
            <w:r>
              <w:rPr>
                <w:rFonts w:ascii="Verdana" w:hAnsi="Verdana" w:cs="Arial"/>
                <w:color w:val="366092"/>
                <w:sz w:val="18"/>
                <w:szCs w:val="18"/>
                <w:lang w:val="el-GR"/>
              </w:rPr>
              <w:t>71</w:t>
            </w:r>
            <w:r w:rsidRPr="00A2424D">
              <w:rPr>
                <w:rFonts w:ascii="Verdana" w:hAnsi="Verdana" w:cs="Arial"/>
                <w:color w:val="366092"/>
                <w:sz w:val="18"/>
                <w:szCs w:val="18"/>
                <w:lang w:val="el-GR"/>
              </w:rPr>
              <w:t>.</w:t>
            </w:r>
            <w:r w:rsidR="001236D1">
              <w:rPr>
                <w:rFonts w:ascii="Verdana" w:hAnsi="Verdana" w:cs="Arial"/>
                <w:color w:val="366092"/>
                <w:sz w:val="18"/>
                <w:szCs w:val="18"/>
                <w:lang w:val="el-GR"/>
              </w:rPr>
              <w:t>661</w:t>
            </w:r>
          </w:p>
        </w:tc>
      </w:tr>
      <w:tr w:rsidR="00451DE2" w:rsidRPr="00A2424D" w14:paraId="0418747E" w14:textId="77777777" w:rsidTr="009A153B">
        <w:trPr>
          <w:trHeight w:val="505"/>
          <w:jc w:val="center"/>
        </w:trPr>
        <w:tc>
          <w:tcPr>
            <w:tcW w:w="3479" w:type="dxa"/>
            <w:tcBorders>
              <w:top w:val="nil"/>
              <w:left w:val="nil"/>
              <w:bottom w:val="nil"/>
              <w:right w:val="nil"/>
            </w:tcBorders>
            <w:vAlign w:val="center"/>
          </w:tcPr>
          <w:p w14:paraId="11D45C45" w14:textId="7BEF083B"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Φεβρουάριος</w:t>
            </w:r>
          </w:p>
        </w:tc>
        <w:tc>
          <w:tcPr>
            <w:tcW w:w="3305" w:type="dxa"/>
            <w:tcBorders>
              <w:top w:val="nil"/>
              <w:left w:val="nil"/>
              <w:bottom w:val="nil"/>
              <w:right w:val="nil"/>
            </w:tcBorders>
            <w:vAlign w:val="center"/>
          </w:tcPr>
          <w:p w14:paraId="1AE485FB" w14:textId="2A25BB32" w:rsidR="00451DE2" w:rsidRPr="00A2424D" w:rsidRDefault="00451DE2" w:rsidP="00451DE2">
            <w:pPr>
              <w:rPr>
                <w:rFonts w:ascii="Verdana" w:hAnsi="Verdana" w:cs="Arial"/>
                <w:color w:val="366092"/>
                <w:sz w:val="18"/>
                <w:szCs w:val="18"/>
                <w:lang w:val="el-GR"/>
              </w:rPr>
            </w:pPr>
            <w:r w:rsidRPr="00A2424D">
              <w:rPr>
                <w:rFonts w:ascii="Verdana" w:hAnsi="Verdana" w:cs="Arial"/>
                <w:color w:val="366092"/>
                <w:sz w:val="18"/>
                <w:szCs w:val="18"/>
                <w:lang w:val="el-GR"/>
              </w:rPr>
              <w:t xml:space="preserve">            1.03</w:t>
            </w:r>
            <w:r w:rsidR="001236D1">
              <w:rPr>
                <w:rFonts w:ascii="Verdana" w:hAnsi="Verdana" w:cs="Arial"/>
                <w:color w:val="366092"/>
                <w:sz w:val="18"/>
                <w:szCs w:val="18"/>
                <w:lang w:val="el-GR"/>
              </w:rPr>
              <w:t>7</w:t>
            </w:r>
            <w:r w:rsidRPr="00A2424D">
              <w:rPr>
                <w:rFonts w:ascii="Verdana" w:hAnsi="Verdana" w:cs="Arial"/>
                <w:color w:val="366092"/>
                <w:sz w:val="18"/>
                <w:szCs w:val="18"/>
                <w:lang w:val="el-GR"/>
              </w:rPr>
              <w:t>.</w:t>
            </w:r>
            <w:r w:rsidR="001236D1">
              <w:rPr>
                <w:rFonts w:ascii="Verdana" w:hAnsi="Verdana" w:cs="Arial"/>
                <w:color w:val="366092"/>
                <w:sz w:val="18"/>
                <w:szCs w:val="18"/>
                <w:lang w:val="el-GR"/>
              </w:rPr>
              <w:t>789</w:t>
            </w:r>
          </w:p>
        </w:tc>
        <w:tc>
          <w:tcPr>
            <w:tcW w:w="3508" w:type="dxa"/>
            <w:tcBorders>
              <w:top w:val="nil"/>
              <w:left w:val="nil"/>
              <w:bottom w:val="nil"/>
              <w:right w:val="nil"/>
            </w:tcBorders>
            <w:vAlign w:val="center"/>
          </w:tcPr>
          <w:p w14:paraId="4BF4A987" w14:textId="60027146" w:rsidR="00451DE2" w:rsidRPr="00A2424D" w:rsidRDefault="00451DE2" w:rsidP="00451DE2">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49</w:t>
            </w:r>
            <w:r>
              <w:rPr>
                <w:rFonts w:ascii="Verdana" w:hAnsi="Verdana" w:cs="Arial"/>
                <w:color w:val="366092"/>
                <w:sz w:val="18"/>
                <w:szCs w:val="18"/>
                <w:lang w:val="el-GR"/>
              </w:rPr>
              <w:t>3</w:t>
            </w:r>
            <w:r w:rsidRPr="00A2424D">
              <w:rPr>
                <w:rFonts w:ascii="Verdana" w:hAnsi="Verdana" w:cs="Arial"/>
                <w:color w:val="366092"/>
                <w:sz w:val="18"/>
                <w:szCs w:val="18"/>
                <w:lang w:val="el-GR"/>
              </w:rPr>
              <w:t>.</w:t>
            </w:r>
            <w:r>
              <w:rPr>
                <w:rFonts w:ascii="Verdana" w:hAnsi="Verdana" w:cs="Arial"/>
                <w:color w:val="366092"/>
                <w:sz w:val="18"/>
                <w:szCs w:val="18"/>
                <w:lang w:val="el-GR"/>
              </w:rPr>
              <w:t>484</w:t>
            </w:r>
          </w:p>
        </w:tc>
      </w:tr>
      <w:tr w:rsidR="00451DE2" w:rsidRPr="00A2424D" w14:paraId="1EAC43A1" w14:textId="77777777" w:rsidTr="009A153B">
        <w:trPr>
          <w:trHeight w:val="333"/>
          <w:jc w:val="center"/>
        </w:trPr>
        <w:tc>
          <w:tcPr>
            <w:tcW w:w="3479" w:type="dxa"/>
            <w:tcBorders>
              <w:top w:val="nil"/>
              <w:left w:val="nil"/>
              <w:bottom w:val="nil"/>
              <w:right w:val="nil"/>
            </w:tcBorders>
            <w:vAlign w:val="center"/>
          </w:tcPr>
          <w:p w14:paraId="78206CD5" w14:textId="43B4D1E0"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Ιανουάριος</w:t>
            </w:r>
          </w:p>
        </w:tc>
        <w:tc>
          <w:tcPr>
            <w:tcW w:w="3305" w:type="dxa"/>
            <w:tcBorders>
              <w:top w:val="nil"/>
              <w:left w:val="nil"/>
              <w:bottom w:val="nil"/>
              <w:right w:val="nil"/>
            </w:tcBorders>
            <w:vAlign w:val="center"/>
          </w:tcPr>
          <w:p w14:paraId="0EFC2244" w14:textId="0912D4E6" w:rsidR="00451DE2" w:rsidRPr="00A2424D" w:rsidRDefault="00451DE2" w:rsidP="00451DE2">
            <w:pPr>
              <w:rPr>
                <w:rFonts w:ascii="Verdana" w:hAnsi="Verdana" w:cs="Arial"/>
                <w:color w:val="366092"/>
                <w:sz w:val="18"/>
                <w:szCs w:val="18"/>
                <w:lang w:val="el-GR"/>
              </w:rPr>
            </w:pPr>
            <w:r w:rsidRPr="00A2424D">
              <w:rPr>
                <w:rFonts w:ascii="Verdana" w:hAnsi="Verdana" w:cs="Arial"/>
                <w:color w:val="366092"/>
                <w:sz w:val="18"/>
                <w:szCs w:val="18"/>
                <w:lang w:val="el-GR"/>
              </w:rPr>
              <w:t xml:space="preserve">            1.133.873</w:t>
            </w:r>
          </w:p>
        </w:tc>
        <w:tc>
          <w:tcPr>
            <w:tcW w:w="3508" w:type="dxa"/>
            <w:tcBorders>
              <w:top w:val="nil"/>
              <w:left w:val="nil"/>
              <w:bottom w:val="nil"/>
              <w:right w:val="nil"/>
            </w:tcBorders>
            <w:vAlign w:val="center"/>
          </w:tcPr>
          <w:p w14:paraId="79BB39FB" w14:textId="65F463CD" w:rsidR="00451DE2" w:rsidRPr="00A2424D" w:rsidRDefault="00451DE2" w:rsidP="00451DE2">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Pr="00A2424D">
              <w:rPr>
                <w:rFonts w:ascii="Verdana" w:hAnsi="Verdana" w:cs="Arial"/>
                <w:color w:val="366092"/>
                <w:sz w:val="18"/>
                <w:szCs w:val="18"/>
              </w:rPr>
              <w:t xml:space="preserve"> </w:t>
            </w:r>
            <w:r w:rsidRPr="00A2424D">
              <w:rPr>
                <w:rFonts w:ascii="Verdana" w:hAnsi="Verdana" w:cs="Arial"/>
                <w:color w:val="366092"/>
                <w:sz w:val="18"/>
                <w:szCs w:val="18"/>
                <w:lang w:val="el-GR"/>
              </w:rPr>
              <w:t xml:space="preserve"> 440.555</w:t>
            </w:r>
          </w:p>
        </w:tc>
      </w:tr>
      <w:tr w:rsidR="00451DE2" w:rsidRPr="00A2424D" w14:paraId="1E948672" w14:textId="77777777" w:rsidTr="009A153B">
        <w:trPr>
          <w:trHeight w:val="579"/>
          <w:jc w:val="center"/>
        </w:trPr>
        <w:tc>
          <w:tcPr>
            <w:tcW w:w="3479" w:type="dxa"/>
            <w:tcBorders>
              <w:top w:val="nil"/>
              <w:left w:val="nil"/>
              <w:bottom w:val="nil"/>
              <w:right w:val="nil"/>
            </w:tcBorders>
            <w:vAlign w:val="center"/>
            <w:hideMark/>
          </w:tcPr>
          <w:p w14:paraId="24BD9F9F" w14:textId="4029BE28" w:rsidR="00451DE2" w:rsidRPr="00A2424D" w:rsidRDefault="00451DE2" w:rsidP="00451DE2">
            <w:pPr>
              <w:ind w:left="216"/>
              <w:rPr>
                <w:rFonts w:ascii="Verdana" w:eastAsia="Malgun Gothic" w:hAnsi="Verdana" w:cs="Arial"/>
                <w:b/>
                <w:color w:val="366092"/>
                <w:sz w:val="18"/>
                <w:szCs w:val="18"/>
                <w:u w:val="single"/>
                <w:lang w:val="el-GR"/>
              </w:rPr>
            </w:pPr>
            <w:r w:rsidRPr="00A2424D">
              <w:rPr>
                <w:rFonts w:ascii="Verdana" w:eastAsia="Malgun Gothic" w:hAnsi="Verdana" w:cs="Arial"/>
                <w:b/>
                <w:color w:val="366092"/>
                <w:sz w:val="18"/>
                <w:szCs w:val="18"/>
                <w:u w:val="single"/>
                <w:lang w:val="el-GR"/>
              </w:rPr>
              <w:t>2024</w:t>
            </w:r>
          </w:p>
        </w:tc>
        <w:tc>
          <w:tcPr>
            <w:tcW w:w="3305" w:type="dxa"/>
            <w:tcBorders>
              <w:top w:val="nil"/>
              <w:left w:val="nil"/>
              <w:bottom w:val="nil"/>
              <w:right w:val="nil"/>
            </w:tcBorders>
            <w:vAlign w:val="center"/>
          </w:tcPr>
          <w:p w14:paraId="5DA3C112" w14:textId="66A70979" w:rsidR="00451DE2" w:rsidRPr="00A2424D" w:rsidRDefault="00451DE2" w:rsidP="00451DE2">
            <w:pPr>
              <w:ind w:firstLineChars="300" w:firstLine="542"/>
              <w:jc w:val="both"/>
              <w:rPr>
                <w:rFonts w:ascii="Verdana" w:hAnsi="Verdana" w:cs="Arial"/>
                <w:b/>
                <w:bCs/>
                <w:color w:val="366092"/>
                <w:sz w:val="18"/>
                <w:szCs w:val="18"/>
                <w:lang w:val="el-GR"/>
              </w:rPr>
            </w:pPr>
            <w:r w:rsidRPr="00A2424D">
              <w:rPr>
                <w:rFonts w:ascii="Verdana" w:hAnsi="Verdana" w:cs="Arial"/>
                <w:b/>
                <w:bCs/>
                <w:color w:val="366092"/>
                <w:sz w:val="18"/>
                <w:szCs w:val="18"/>
              </w:rPr>
              <w:t>12.</w:t>
            </w:r>
            <w:r w:rsidRPr="00A2424D">
              <w:rPr>
                <w:rFonts w:ascii="Verdana" w:hAnsi="Verdana" w:cs="Arial"/>
                <w:b/>
                <w:bCs/>
                <w:color w:val="366092"/>
                <w:sz w:val="18"/>
                <w:szCs w:val="18"/>
                <w:lang w:val="el-GR"/>
              </w:rPr>
              <w:t>400</w:t>
            </w:r>
            <w:r w:rsidRPr="00A2424D">
              <w:rPr>
                <w:rFonts w:ascii="Verdana" w:hAnsi="Verdana" w:cs="Arial"/>
                <w:b/>
                <w:bCs/>
                <w:color w:val="366092"/>
                <w:sz w:val="18"/>
                <w:szCs w:val="18"/>
              </w:rPr>
              <w:t>.</w:t>
            </w:r>
            <w:r w:rsidRPr="00A2424D">
              <w:rPr>
                <w:rFonts w:ascii="Verdana" w:hAnsi="Verdana" w:cs="Arial"/>
                <w:b/>
                <w:bCs/>
                <w:color w:val="366092"/>
                <w:sz w:val="18"/>
                <w:szCs w:val="18"/>
                <w:lang w:val="el-GR"/>
              </w:rPr>
              <w:t>565</w:t>
            </w:r>
          </w:p>
        </w:tc>
        <w:tc>
          <w:tcPr>
            <w:tcW w:w="3508" w:type="dxa"/>
            <w:tcBorders>
              <w:top w:val="nil"/>
              <w:left w:val="nil"/>
              <w:bottom w:val="nil"/>
              <w:right w:val="nil"/>
            </w:tcBorders>
            <w:vAlign w:val="center"/>
          </w:tcPr>
          <w:p w14:paraId="29117A7B" w14:textId="006C1340" w:rsidR="00451DE2" w:rsidRPr="00A2424D" w:rsidRDefault="00451DE2" w:rsidP="00451DE2">
            <w:pPr>
              <w:jc w:val="both"/>
              <w:rPr>
                <w:rFonts w:ascii="Verdana" w:hAnsi="Verdana" w:cs="Arial"/>
                <w:b/>
                <w:bCs/>
                <w:color w:val="366092"/>
                <w:sz w:val="18"/>
                <w:szCs w:val="18"/>
                <w:lang w:val="el-GR"/>
              </w:rPr>
            </w:pPr>
            <w:r w:rsidRPr="00A2424D">
              <w:rPr>
                <w:rFonts w:ascii="Verdana" w:hAnsi="Verdana" w:cs="Arial"/>
                <w:b/>
                <w:bCs/>
                <w:color w:val="366092"/>
                <w:sz w:val="18"/>
                <w:szCs w:val="18"/>
              </w:rPr>
              <w:t xml:space="preserve">          4.154.</w:t>
            </w:r>
            <w:r w:rsidRPr="00A2424D">
              <w:rPr>
                <w:rFonts w:ascii="Verdana" w:hAnsi="Verdana" w:cs="Arial"/>
                <w:b/>
                <w:bCs/>
                <w:color w:val="366092"/>
                <w:sz w:val="18"/>
                <w:szCs w:val="18"/>
                <w:lang w:val="el-GR"/>
              </w:rPr>
              <w:t>095</w:t>
            </w:r>
          </w:p>
        </w:tc>
      </w:tr>
      <w:tr w:rsidR="00451DE2" w:rsidRPr="00A2424D" w14:paraId="1530E935" w14:textId="77777777" w:rsidTr="009A153B">
        <w:trPr>
          <w:trHeight w:val="418"/>
          <w:jc w:val="center"/>
        </w:trPr>
        <w:tc>
          <w:tcPr>
            <w:tcW w:w="3479" w:type="dxa"/>
            <w:tcBorders>
              <w:top w:val="nil"/>
              <w:left w:val="nil"/>
              <w:bottom w:val="nil"/>
              <w:right w:val="nil"/>
            </w:tcBorders>
            <w:vAlign w:val="center"/>
            <w:hideMark/>
          </w:tcPr>
          <w:p w14:paraId="42F67B03"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Δεκέμβριος</w:t>
            </w:r>
          </w:p>
        </w:tc>
        <w:tc>
          <w:tcPr>
            <w:tcW w:w="3305" w:type="dxa"/>
            <w:tcBorders>
              <w:top w:val="nil"/>
              <w:left w:val="nil"/>
              <w:bottom w:val="nil"/>
              <w:right w:val="nil"/>
            </w:tcBorders>
            <w:vAlign w:val="center"/>
          </w:tcPr>
          <w:p w14:paraId="04D9F364" w14:textId="1D1F6584"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1.341.371</w:t>
            </w:r>
          </w:p>
        </w:tc>
        <w:tc>
          <w:tcPr>
            <w:tcW w:w="3508" w:type="dxa"/>
            <w:tcBorders>
              <w:top w:val="nil"/>
              <w:left w:val="nil"/>
              <w:bottom w:val="nil"/>
              <w:right w:val="nil"/>
            </w:tcBorders>
            <w:vAlign w:val="center"/>
          </w:tcPr>
          <w:p w14:paraId="385AF9E0" w14:textId="7084662B" w:rsidR="00451DE2" w:rsidRPr="00A2424D" w:rsidRDefault="00451DE2" w:rsidP="00451DE2">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367.861</w:t>
            </w:r>
          </w:p>
        </w:tc>
      </w:tr>
      <w:tr w:rsidR="00451DE2" w:rsidRPr="00A2424D" w14:paraId="7D3670E0" w14:textId="77777777" w:rsidTr="009A153B">
        <w:trPr>
          <w:trHeight w:val="418"/>
          <w:jc w:val="center"/>
        </w:trPr>
        <w:tc>
          <w:tcPr>
            <w:tcW w:w="3479" w:type="dxa"/>
            <w:tcBorders>
              <w:top w:val="nil"/>
              <w:left w:val="nil"/>
              <w:bottom w:val="nil"/>
              <w:right w:val="nil"/>
            </w:tcBorders>
            <w:vAlign w:val="center"/>
            <w:hideMark/>
          </w:tcPr>
          <w:p w14:paraId="106F6023"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Νοέμβριος</w:t>
            </w:r>
          </w:p>
        </w:tc>
        <w:tc>
          <w:tcPr>
            <w:tcW w:w="3305" w:type="dxa"/>
            <w:tcBorders>
              <w:top w:val="nil"/>
              <w:left w:val="nil"/>
              <w:bottom w:val="nil"/>
              <w:right w:val="nil"/>
            </w:tcBorders>
            <w:vAlign w:val="center"/>
          </w:tcPr>
          <w:p w14:paraId="1BC7D5F1" w14:textId="744928E7"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1.150.430</w:t>
            </w:r>
          </w:p>
        </w:tc>
        <w:tc>
          <w:tcPr>
            <w:tcW w:w="3508" w:type="dxa"/>
            <w:tcBorders>
              <w:top w:val="nil"/>
              <w:left w:val="nil"/>
              <w:bottom w:val="nil"/>
              <w:right w:val="nil"/>
            </w:tcBorders>
            <w:vAlign w:val="center"/>
          </w:tcPr>
          <w:p w14:paraId="5C672D01" w14:textId="17C93F40" w:rsidR="00451DE2" w:rsidRPr="00A2424D" w:rsidRDefault="00451DE2" w:rsidP="00451DE2">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378.303</w:t>
            </w:r>
          </w:p>
        </w:tc>
      </w:tr>
      <w:tr w:rsidR="00451DE2" w:rsidRPr="00A2424D" w14:paraId="632DBAAF" w14:textId="77777777" w:rsidTr="009A153B">
        <w:trPr>
          <w:trHeight w:val="418"/>
          <w:jc w:val="center"/>
        </w:trPr>
        <w:tc>
          <w:tcPr>
            <w:tcW w:w="3479" w:type="dxa"/>
            <w:tcBorders>
              <w:top w:val="nil"/>
              <w:left w:val="nil"/>
              <w:bottom w:val="nil"/>
              <w:right w:val="nil"/>
            </w:tcBorders>
            <w:vAlign w:val="center"/>
            <w:hideMark/>
          </w:tcPr>
          <w:p w14:paraId="2C9548B2"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Οκτώβριος</w:t>
            </w:r>
          </w:p>
        </w:tc>
        <w:tc>
          <w:tcPr>
            <w:tcW w:w="3305" w:type="dxa"/>
            <w:tcBorders>
              <w:top w:val="nil"/>
              <w:left w:val="nil"/>
              <w:bottom w:val="nil"/>
              <w:right w:val="nil"/>
            </w:tcBorders>
            <w:vAlign w:val="center"/>
          </w:tcPr>
          <w:p w14:paraId="7612B04C" w14:textId="2BC105E3"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1.258.134</w:t>
            </w:r>
          </w:p>
        </w:tc>
        <w:tc>
          <w:tcPr>
            <w:tcW w:w="3508" w:type="dxa"/>
            <w:tcBorders>
              <w:top w:val="nil"/>
              <w:left w:val="nil"/>
              <w:bottom w:val="nil"/>
              <w:right w:val="nil"/>
            </w:tcBorders>
            <w:vAlign w:val="center"/>
          </w:tcPr>
          <w:p w14:paraId="4602596E" w14:textId="7701DA9C" w:rsidR="00451DE2" w:rsidRPr="00A2424D" w:rsidRDefault="00451DE2" w:rsidP="00451DE2">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443.935</w:t>
            </w:r>
          </w:p>
        </w:tc>
      </w:tr>
      <w:tr w:rsidR="00451DE2" w:rsidRPr="00A2424D" w14:paraId="6DAA7528" w14:textId="77777777" w:rsidTr="009A153B">
        <w:trPr>
          <w:trHeight w:val="418"/>
          <w:jc w:val="center"/>
        </w:trPr>
        <w:tc>
          <w:tcPr>
            <w:tcW w:w="3479" w:type="dxa"/>
            <w:tcBorders>
              <w:top w:val="nil"/>
              <w:left w:val="nil"/>
              <w:bottom w:val="nil"/>
              <w:right w:val="nil"/>
            </w:tcBorders>
            <w:vAlign w:val="center"/>
            <w:hideMark/>
          </w:tcPr>
          <w:p w14:paraId="6C5FB0BA"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Σεπτέμβριος</w:t>
            </w:r>
          </w:p>
        </w:tc>
        <w:tc>
          <w:tcPr>
            <w:tcW w:w="3305" w:type="dxa"/>
            <w:tcBorders>
              <w:top w:val="nil"/>
              <w:left w:val="nil"/>
              <w:bottom w:val="nil"/>
              <w:right w:val="nil"/>
            </w:tcBorders>
            <w:vAlign w:val="center"/>
          </w:tcPr>
          <w:p w14:paraId="2E0BB1A7" w14:textId="1622473D"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962.778</w:t>
            </w:r>
          </w:p>
        </w:tc>
        <w:tc>
          <w:tcPr>
            <w:tcW w:w="3508" w:type="dxa"/>
            <w:tcBorders>
              <w:top w:val="nil"/>
              <w:left w:val="nil"/>
              <w:bottom w:val="nil"/>
              <w:right w:val="nil"/>
            </w:tcBorders>
            <w:vAlign w:val="center"/>
          </w:tcPr>
          <w:p w14:paraId="11AB24AB" w14:textId="035202AC" w:rsidR="00451DE2" w:rsidRPr="00A2424D" w:rsidRDefault="00451DE2" w:rsidP="00451DE2">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351.158</w:t>
            </w:r>
          </w:p>
        </w:tc>
      </w:tr>
      <w:tr w:rsidR="00451DE2" w:rsidRPr="00A2424D" w14:paraId="6DC0216F" w14:textId="77777777" w:rsidTr="009A153B">
        <w:trPr>
          <w:trHeight w:val="418"/>
          <w:jc w:val="center"/>
        </w:trPr>
        <w:tc>
          <w:tcPr>
            <w:tcW w:w="3479" w:type="dxa"/>
            <w:tcBorders>
              <w:top w:val="nil"/>
              <w:left w:val="nil"/>
              <w:bottom w:val="nil"/>
              <w:right w:val="nil"/>
            </w:tcBorders>
            <w:vAlign w:val="center"/>
            <w:hideMark/>
          </w:tcPr>
          <w:p w14:paraId="3F5D72D9"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Αύγουστος</w:t>
            </w:r>
          </w:p>
        </w:tc>
        <w:tc>
          <w:tcPr>
            <w:tcW w:w="3305" w:type="dxa"/>
            <w:tcBorders>
              <w:top w:val="nil"/>
              <w:left w:val="nil"/>
              <w:bottom w:val="nil"/>
              <w:right w:val="nil"/>
            </w:tcBorders>
            <w:vAlign w:val="center"/>
          </w:tcPr>
          <w:p w14:paraId="7F0BB749" w14:textId="3CBFB71C"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975.470</w:t>
            </w:r>
          </w:p>
        </w:tc>
        <w:tc>
          <w:tcPr>
            <w:tcW w:w="3508" w:type="dxa"/>
            <w:tcBorders>
              <w:top w:val="nil"/>
              <w:left w:val="nil"/>
              <w:bottom w:val="nil"/>
              <w:right w:val="nil"/>
            </w:tcBorders>
            <w:vAlign w:val="center"/>
          </w:tcPr>
          <w:p w14:paraId="7F835E28" w14:textId="2C71A0F9"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288.500</w:t>
            </w:r>
          </w:p>
        </w:tc>
      </w:tr>
      <w:tr w:rsidR="00451DE2" w:rsidRPr="00A2424D" w14:paraId="6C6A85FC" w14:textId="77777777" w:rsidTr="009A153B">
        <w:trPr>
          <w:trHeight w:val="418"/>
          <w:jc w:val="center"/>
        </w:trPr>
        <w:tc>
          <w:tcPr>
            <w:tcW w:w="3479" w:type="dxa"/>
            <w:tcBorders>
              <w:top w:val="nil"/>
              <w:left w:val="nil"/>
              <w:bottom w:val="nil"/>
              <w:right w:val="nil"/>
            </w:tcBorders>
            <w:vAlign w:val="center"/>
            <w:hideMark/>
          </w:tcPr>
          <w:p w14:paraId="7ECF97BB"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Ιούλιος</w:t>
            </w:r>
          </w:p>
        </w:tc>
        <w:tc>
          <w:tcPr>
            <w:tcW w:w="3305" w:type="dxa"/>
            <w:tcBorders>
              <w:top w:val="nil"/>
              <w:left w:val="nil"/>
              <w:bottom w:val="nil"/>
              <w:right w:val="nil"/>
            </w:tcBorders>
            <w:vAlign w:val="center"/>
          </w:tcPr>
          <w:p w14:paraId="7CFCDD3C" w14:textId="4348B1BC"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1.066.459</w:t>
            </w:r>
          </w:p>
        </w:tc>
        <w:tc>
          <w:tcPr>
            <w:tcW w:w="3508" w:type="dxa"/>
            <w:tcBorders>
              <w:top w:val="nil"/>
              <w:left w:val="nil"/>
              <w:bottom w:val="nil"/>
              <w:right w:val="nil"/>
            </w:tcBorders>
            <w:vAlign w:val="center"/>
          </w:tcPr>
          <w:p w14:paraId="0BC05431" w14:textId="42F93D1C"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326.752</w:t>
            </w:r>
          </w:p>
        </w:tc>
      </w:tr>
      <w:tr w:rsidR="00451DE2" w:rsidRPr="00A2424D" w14:paraId="5DFD5AB0" w14:textId="77777777" w:rsidTr="009A153B">
        <w:trPr>
          <w:trHeight w:val="418"/>
          <w:jc w:val="center"/>
        </w:trPr>
        <w:tc>
          <w:tcPr>
            <w:tcW w:w="3479" w:type="dxa"/>
            <w:tcBorders>
              <w:top w:val="nil"/>
              <w:left w:val="nil"/>
              <w:bottom w:val="nil"/>
              <w:right w:val="nil"/>
            </w:tcBorders>
            <w:vAlign w:val="center"/>
            <w:hideMark/>
          </w:tcPr>
          <w:p w14:paraId="4DA2F880"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Ιούνιος</w:t>
            </w:r>
          </w:p>
        </w:tc>
        <w:tc>
          <w:tcPr>
            <w:tcW w:w="3305" w:type="dxa"/>
            <w:tcBorders>
              <w:top w:val="nil"/>
              <w:left w:val="nil"/>
              <w:bottom w:val="nil"/>
              <w:right w:val="nil"/>
            </w:tcBorders>
            <w:vAlign w:val="center"/>
          </w:tcPr>
          <w:p w14:paraId="00242C55" w14:textId="040E5FBB"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920.281</w:t>
            </w:r>
          </w:p>
        </w:tc>
        <w:tc>
          <w:tcPr>
            <w:tcW w:w="3508" w:type="dxa"/>
            <w:tcBorders>
              <w:top w:val="nil"/>
              <w:left w:val="nil"/>
              <w:bottom w:val="nil"/>
              <w:right w:val="nil"/>
            </w:tcBorders>
            <w:vAlign w:val="center"/>
          </w:tcPr>
          <w:p w14:paraId="06C56697" w14:textId="3CF50ED8"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452.530</w:t>
            </w:r>
          </w:p>
        </w:tc>
      </w:tr>
      <w:tr w:rsidR="00451DE2" w:rsidRPr="00A2424D" w14:paraId="17442EA8" w14:textId="77777777" w:rsidTr="009A153B">
        <w:trPr>
          <w:trHeight w:val="418"/>
          <w:jc w:val="center"/>
        </w:trPr>
        <w:tc>
          <w:tcPr>
            <w:tcW w:w="3479" w:type="dxa"/>
            <w:tcBorders>
              <w:top w:val="nil"/>
              <w:left w:val="nil"/>
              <w:bottom w:val="nil"/>
              <w:right w:val="nil"/>
            </w:tcBorders>
            <w:vAlign w:val="center"/>
            <w:hideMark/>
          </w:tcPr>
          <w:p w14:paraId="5B8D041E"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Μάιος</w:t>
            </w:r>
          </w:p>
        </w:tc>
        <w:tc>
          <w:tcPr>
            <w:tcW w:w="3305" w:type="dxa"/>
            <w:tcBorders>
              <w:top w:val="nil"/>
              <w:left w:val="nil"/>
              <w:bottom w:val="nil"/>
              <w:right w:val="nil"/>
            </w:tcBorders>
            <w:vAlign w:val="center"/>
          </w:tcPr>
          <w:p w14:paraId="4BE3DCEC" w14:textId="21891972"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1.060.066</w:t>
            </w:r>
          </w:p>
        </w:tc>
        <w:tc>
          <w:tcPr>
            <w:tcW w:w="3508" w:type="dxa"/>
            <w:tcBorders>
              <w:top w:val="nil"/>
              <w:left w:val="nil"/>
              <w:bottom w:val="nil"/>
              <w:right w:val="nil"/>
            </w:tcBorders>
            <w:vAlign w:val="center"/>
          </w:tcPr>
          <w:p w14:paraId="7F9F2465" w14:textId="1CDBB28E"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343.620</w:t>
            </w:r>
          </w:p>
        </w:tc>
      </w:tr>
      <w:tr w:rsidR="00451DE2" w:rsidRPr="00A2424D" w14:paraId="026B0846" w14:textId="77777777" w:rsidTr="009A153B">
        <w:trPr>
          <w:trHeight w:val="418"/>
          <w:jc w:val="center"/>
        </w:trPr>
        <w:tc>
          <w:tcPr>
            <w:tcW w:w="3479" w:type="dxa"/>
            <w:tcBorders>
              <w:top w:val="nil"/>
              <w:left w:val="nil"/>
              <w:bottom w:val="nil"/>
              <w:right w:val="nil"/>
            </w:tcBorders>
            <w:vAlign w:val="center"/>
            <w:hideMark/>
          </w:tcPr>
          <w:p w14:paraId="2DBE8F2A"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Απρίλιος</w:t>
            </w:r>
          </w:p>
        </w:tc>
        <w:tc>
          <w:tcPr>
            <w:tcW w:w="3305" w:type="dxa"/>
            <w:tcBorders>
              <w:top w:val="nil"/>
              <w:left w:val="nil"/>
              <w:bottom w:val="nil"/>
              <w:right w:val="nil"/>
            </w:tcBorders>
            <w:vAlign w:val="center"/>
          </w:tcPr>
          <w:p w14:paraId="02871794" w14:textId="4B39AE5D"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1.106.750</w:t>
            </w:r>
          </w:p>
        </w:tc>
        <w:tc>
          <w:tcPr>
            <w:tcW w:w="3508" w:type="dxa"/>
            <w:tcBorders>
              <w:top w:val="nil"/>
              <w:left w:val="nil"/>
              <w:bottom w:val="nil"/>
              <w:right w:val="nil"/>
            </w:tcBorders>
            <w:vAlign w:val="center"/>
          </w:tcPr>
          <w:p w14:paraId="13A029AA" w14:textId="49E9A681"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352.366</w:t>
            </w:r>
          </w:p>
        </w:tc>
      </w:tr>
      <w:tr w:rsidR="00451DE2" w:rsidRPr="00A2424D" w14:paraId="39FB1827" w14:textId="77777777" w:rsidTr="009A153B">
        <w:trPr>
          <w:trHeight w:val="418"/>
          <w:jc w:val="center"/>
        </w:trPr>
        <w:tc>
          <w:tcPr>
            <w:tcW w:w="3479" w:type="dxa"/>
            <w:tcBorders>
              <w:top w:val="nil"/>
              <w:left w:val="nil"/>
              <w:bottom w:val="nil"/>
              <w:right w:val="nil"/>
            </w:tcBorders>
            <w:vAlign w:val="center"/>
            <w:hideMark/>
          </w:tcPr>
          <w:p w14:paraId="5F2921AC"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Μάρτιος</w:t>
            </w:r>
          </w:p>
        </w:tc>
        <w:tc>
          <w:tcPr>
            <w:tcW w:w="3305" w:type="dxa"/>
            <w:tcBorders>
              <w:top w:val="nil"/>
              <w:left w:val="nil"/>
              <w:bottom w:val="nil"/>
              <w:right w:val="nil"/>
            </w:tcBorders>
            <w:vAlign w:val="center"/>
          </w:tcPr>
          <w:p w14:paraId="47FD9ED3" w14:textId="43A737B1"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828.143</w:t>
            </w:r>
          </w:p>
        </w:tc>
        <w:tc>
          <w:tcPr>
            <w:tcW w:w="3508" w:type="dxa"/>
            <w:tcBorders>
              <w:top w:val="nil"/>
              <w:left w:val="nil"/>
              <w:bottom w:val="nil"/>
              <w:right w:val="nil"/>
            </w:tcBorders>
            <w:vAlign w:val="center"/>
          </w:tcPr>
          <w:p w14:paraId="67C2DF3D" w14:textId="42F7680B"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263.114</w:t>
            </w:r>
          </w:p>
        </w:tc>
      </w:tr>
      <w:tr w:rsidR="00451DE2" w:rsidRPr="00A2424D" w14:paraId="13D0D476" w14:textId="77777777" w:rsidTr="009A153B">
        <w:trPr>
          <w:trHeight w:val="418"/>
          <w:jc w:val="center"/>
        </w:trPr>
        <w:tc>
          <w:tcPr>
            <w:tcW w:w="3479" w:type="dxa"/>
            <w:tcBorders>
              <w:top w:val="nil"/>
              <w:left w:val="nil"/>
              <w:bottom w:val="nil"/>
              <w:right w:val="nil"/>
            </w:tcBorders>
            <w:vAlign w:val="center"/>
            <w:hideMark/>
          </w:tcPr>
          <w:p w14:paraId="70DA66B5"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Φεβρουάριος</w:t>
            </w:r>
          </w:p>
        </w:tc>
        <w:tc>
          <w:tcPr>
            <w:tcW w:w="3305" w:type="dxa"/>
            <w:tcBorders>
              <w:top w:val="nil"/>
              <w:left w:val="nil"/>
              <w:bottom w:val="nil"/>
              <w:right w:val="nil"/>
            </w:tcBorders>
            <w:vAlign w:val="center"/>
          </w:tcPr>
          <w:p w14:paraId="05A32618" w14:textId="4D993711"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863.680</w:t>
            </w:r>
          </w:p>
        </w:tc>
        <w:tc>
          <w:tcPr>
            <w:tcW w:w="3508" w:type="dxa"/>
            <w:tcBorders>
              <w:top w:val="nil"/>
              <w:left w:val="nil"/>
              <w:bottom w:val="nil"/>
              <w:right w:val="nil"/>
            </w:tcBorders>
            <w:vAlign w:val="center"/>
          </w:tcPr>
          <w:p w14:paraId="5EF90F67" w14:textId="7BD0B831"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274.127</w:t>
            </w:r>
          </w:p>
        </w:tc>
      </w:tr>
      <w:tr w:rsidR="00451DE2" w:rsidRPr="00A2424D" w14:paraId="7FAC4AC3" w14:textId="77777777" w:rsidTr="00F12BE1">
        <w:trPr>
          <w:trHeight w:val="418"/>
          <w:jc w:val="center"/>
        </w:trPr>
        <w:tc>
          <w:tcPr>
            <w:tcW w:w="3479" w:type="dxa"/>
            <w:tcBorders>
              <w:top w:val="nil"/>
              <w:left w:val="nil"/>
              <w:bottom w:val="single" w:sz="4" w:space="0" w:color="366092"/>
              <w:right w:val="nil"/>
            </w:tcBorders>
            <w:vAlign w:val="center"/>
            <w:hideMark/>
          </w:tcPr>
          <w:p w14:paraId="4D7377E0" w14:textId="77777777" w:rsidR="00451DE2" w:rsidRPr="00A2424D" w:rsidRDefault="00451DE2" w:rsidP="00451DE2">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Ιανουάριος</w:t>
            </w:r>
          </w:p>
        </w:tc>
        <w:tc>
          <w:tcPr>
            <w:tcW w:w="3305" w:type="dxa"/>
            <w:tcBorders>
              <w:top w:val="nil"/>
              <w:left w:val="nil"/>
              <w:bottom w:val="single" w:sz="4" w:space="0" w:color="366092"/>
              <w:right w:val="nil"/>
            </w:tcBorders>
            <w:vAlign w:val="center"/>
          </w:tcPr>
          <w:p w14:paraId="61CAB160" w14:textId="0E2422F6"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867.003</w:t>
            </w:r>
          </w:p>
        </w:tc>
        <w:tc>
          <w:tcPr>
            <w:tcW w:w="3508" w:type="dxa"/>
            <w:tcBorders>
              <w:top w:val="nil"/>
              <w:left w:val="nil"/>
              <w:bottom w:val="single" w:sz="4" w:space="0" w:color="366092"/>
              <w:right w:val="nil"/>
            </w:tcBorders>
            <w:vAlign w:val="center"/>
          </w:tcPr>
          <w:p w14:paraId="3803AA62" w14:textId="47CA1A9E" w:rsidR="00451DE2" w:rsidRPr="00A2424D" w:rsidRDefault="00451DE2" w:rsidP="00451DE2">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311.828</w:t>
            </w:r>
          </w:p>
        </w:tc>
      </w:tr>
      <w:tr w:rsidR="00451DE2" w:rsidRPr="007F061A" w14:paraId="65A37CA7" w14:textId="77777777" w:rsidTr="00F12BE1">
        <w:trPr>
          <w:trHeight w:val="533"/>
          <w:jc w:val="center"/>
        </w:trPr>
        <w:tc>
          <w:tcPr>
            <w:tcW w:w="10292" w:type="dxa"/>
            <w:gridSpan w:val="3"/>
            <w:tcBorders>
              <w:top w:val="single" w:sz="4" w:space="0" w:color="366092"/>
              <w:left w:val="nil"/>
              <w:bottom w:val="nil"/>
              <w:right w:val="nil"/>
            </w:tcBorders>
            <w:vAlign w:val="center"/>
          </w:tcPr>
          <w:p w14:paraId="0FBD20E4" w14:textId="0E8991AD" w:rsidR="00451DE2" w:rsidRPr="00C83E99" w:rsidRDefault="00451DE2" w:rsidP="00451DE2">
            <w:pPr>
              <w:rPr>
                <w:rFonts w:ascii="Verdana" w:hAnsi="Verdana"/>
                <w:color w:val="366092"/>
                <w:sz w:val="16"/>
                <w:szCs w:val="16"/>
                <w:shd w:val="clear" w:color="auto" w:fill="FFFFFF"/>
                <w:lang w:val="el-GR"/>
              </w:rPr>
            </w:pPr>
            <w:r w:rsidRPr="00C83E99">
              <w:rPr>
                <w:rFonts w:ascii="Verdana" w:eastAsia="Malgun Gothic" w:hAnsi="Verdana" w:cs="Arial"/>
                <w:color w:val="366092"/>
                <w:sz w:val="16"/>
                <w:szCs w:val="16"/>
                <w:lang w:val="el-GR"/>
              </w:rPr>
              <w:t>Σημείωση: Τα στοιχεία εισαγωγών για τους μήνες Φεβρουάριο, Απρίλιο</w:t>
            </w:r>
            <w:r w:rsidR="007F061A" w:rsidRPr="00C83E99">
              <w:rPr>
                <w:rFonts w:ascii="Verdana" w:eastAsia="Malgun Gothic" w:hAnsi="Verdana" w:cs="Arial"/>
                <w:color w:val="366092"/>
                <w:sz w:val="16"/>
                <w:szCs w:val="16"/>
                <w:lang w:val="el-GR"/>
              </w:rPr>
              <w:t xml:space="preserve"> και Μάιο</w:t>
            </w:r>
            <w:r w:rsidRPr="00C83E99">
              <w:rPr>
                <w:rFonts w:ascii="Verdana" w:eastAsia="Malgun Gothic" w:hAnsi="Verdana" w:cs="Arial"/>
                <w:color w:val="366092"/>
                <w:sz w:val="16"/>
                <w:szCs w:val="16"/>
                <w:lang w:val="el-GR"/>
              </w:rPr>
              <w:t xml:space="preserve"> 2025 και τα στοιχεία εξαγωγών για τους μήνες Μάρτιο και </w:t>
            </w:r>
            <w:r w:rsidR="007F061A" w:rsidRPr="00C83E99">
              <w:rPr>
                <w:rFonts w:ascii="Verdana" w:eastAsia="Malgun Gothic" w:hAnsi="Verdana" w:cs="Arial"/>
                <w:color w:val="366092"/>
                <w:sz w:val="16"/>
                <w:szCs w:val="16"/>
                <w:lang w:val="el-GR"/>
              </w:rPr>
              <w:t>Μάιο</w:t>
            </w:r>
            <w:r w:rsidRPr="00C83E99">
              <w:rPr>
                <w:rFonts w:ascii="Verdana" w:eastAsia="Malgun Gothic" w:hAnsi="Verdana" w:cs="Arial"/>
                <w:color w:val="366092"/>
                <w:sz w:val="16"/>
                <w:szCs w:val="16"/>
                <w:lang w:val="el-GR"/>
              </w:rPr>
              <w:t xml:space="preserve"> 2025 έχουν αναθεωρηθεί. </w:t>
            </w:r>
            <w:r w:rsidRPr="00C83E99">
              <w:rPr>
                <w:rFonts w:ascii="Verdana" w:hAnsi="Verdana"/>
                <w:color w:val="366092"/>
                <w:sz w:val="16"/>
                <w:szCs w:val="16"/>
                <w:shd w:val="clear" w:color="auto" w:fill="FFFFFF"/>
                <w:lang w:val="el-GR"/>
              </w:rPr>
              <w:t xml:space="preserve">Τα στοιχεία </w:t>
            </w:r>
            <w:r w:rsidR="007F061A" w:rsidRPr="00C83E99">
              <w:rPr>
                <w:rFonts w:ascii="Verdana" w:hAnsi="Verdana"/>
                <w:color w:val="366092"/>
                <w:sz w:val="16"/>
                <w:szCs w:val="16"/>
                <w:shd w:val="clear" w:color="auto" w:fill="FFFFFF"/>
                <w:lang w:val="el-GR"/>
              </w:rPr>
              <w:t>Ιουνίου</w:t>
            </w:r>
            <w:r w:rsidRPr="00C83E99">
              <w:rPr>
                <w:rFonts w:ascii="Verdana" w:hAnsi="Verdana"/>
                <w:color w:val="366092"/>
                <w:sz w:val="16"/>
                <w:szCs w:val="16"/>
                <w:shd w:val="clear" w:color="auto" w:fill="FFFFFF"/>
                <w:lang w:val="el-GR"/>
              </w:rPr>
              <w:t xml:space="preserve"> 2025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649A750" w14:textId="77777777" w:rsidR="00333478" w:rsidRDefault="00333478" w:rsidP="000E4CB0">
      <w:pPr>
        <w:jc w:val="both"/>
        <w:rPr>
          <w:rFonts w:ascii="Verdana" w:hAnsi="Verdana" w:cs="Arial"/>
          <w:sz w:val="18"/>
          <w:szCs w:val="18"/>
          <w:lang w:val="el-GR"/>
        </w:rPr>
      </w:pPr>
    </w:p>
    <w:p w14:paraId="19F90509" w14:textId="77777777" w:rsidR="00333478" w:rsidRDefault="00333478" w:rsidP="000E4CB0">
      <w:pPr>
        <w:jc w:val="both"/>
        <w:rPr>
          <w:rFonts w:ascii="Verdana" w:hAnsi="Verdana" w:cs="Arial"/>
          <w:sz w:val="18"/>
          <w:szCs w:val="18"/>
          <w:lang w:val="el-GR"/>
        </w:rPr>
      </w:pPr>
    </w:p>
    <w:p w14:paraId="7EEE06C9" w14:textId="77777777" w:rsidR="00333478" w:rsidRDefault="00333478" w:rsidP="000E4CB0">
      <w:pPr>
        <w:jc w:val="both"/>
        <w:rPr>
          <w:rFonts w:ascii="Verdana" w:hAnsi="Verdana" w:cs="Arial"/>
          <w:sz w:val="18"/>
          <w:szCs w:val="18"/>
          <w:lang w:val="el-GR"/>
        </w:rPr>
      </w:pPr>
    </w:p>
    <w:p w14:paraId="3D908215" w14:textId="77777777" w:rsidR="00333478" w:rsidRDefault="00333478" w:rsidP="000E4CB0">
      <w:pPr>
        <w:jc w:val="both"/>
        <w:rPr>
          <w:rFonts w:ascii="Verdana" w:hAnsi="Verdana" w:cs="Arial"/>
          <w:sz w:val="18"/>
          <w:szCs w:val="18"/>
          <w:lang w:val="el-GR"/>
        </w:rPr>
      </w:pPr>
    </w:p>
    <w:p w14:paraId="53CE270D" w14:textId="77777777" w:rsidR="00333478" w:rsidRDefault="00333478" w:rsidP="000E4CB0">
      <w:pPr>
        <w:jc w:val="both"/>
        <w:rPr>
          <w:rFonts w:ascii="Verdana" w:hAnsi="Verdana" w:cs="Arial"/>
          <w:sz w:val="18"/>
          <w:szCs w:val="18"/>
          <w:lang w:val="el-GR"/>
        </w:rPr>
      </w:pPr>
    </w:p>
    <w:p w14:paraId="3A3E6350" w14:textId="77777777" w:rsidR="00333478" w:rsidRDefault="00333478" w:rsidP="000E4CB0">
      <w:pPr>
        <w:jc w:val="both"/>
        <w:rPr>
          <w:rFonts w:ascii="Verdana" w:hAnsi="Verdana" w:cs="Arial"/>
          <w:sz w:val="18"/>
          <w:szCs w:val="18"/>
          <w:lang w:val="el-GR"/>
        </w:rPr>
      </w:pPr>
    </w:p>
    <w:p w14:paraId="4998EDC3" w14:textId="77777777" w:rsidR="00333478" w:rsidRDefault="00333478" w:rsidP="000E4CB0">
      <w:pPr>
        <w:jc w:val="both"/>
        <w:rPr>
          <w:rFonts w:ascii="Verdana" w:hAnsi="Verdana" w:cs="Arial"/>
          <w:sz w:val="18"/>
          <w:szCs w:val="18"/>
          <w:lang w:val="el-GR"/>
        </w:rPr>
      </w:pPr>
    </w:p>
    <w:p w14:paraId="3CCA3100" w14:textId="77777777" w:rsidR="00333478" w:rsidRDefault="00333478" w:rsidP="000E4CB0">
      <w:pPr>
        <w:jc w:val="both"/>
        <w:rPr>
          <w:rFonts w:ascii="Verdana" w:hAnsi="Verdana" w:cs="Arial"/>
          <w:sz w:val="18"/>
          <w:szCs w:val="18"/>
          <w:lang w:val="el-GR"/>
        </w:rPr>
      </w:pPr>
    </w:p>
    <w:p w14:paraId="68BBC39A" w14:textId="77777777" w:rsidR="00333478" w:rsidRDefault="00333478" w:rsidP="000E4CB0">
      <w:pPr>
        <w:jc w:val="both"/>
        <w:rPr>
          <w:rFonts w:ascii="Verdana" w:hAnsi="Verdana" w:cs="Arial"/>
          <w:sz w:val="18"/>
          <w:szCs w:val="18"/>
          <w:lang w:val="el-GR"/>
        </w:rPr>
      </w:pPr>
    </w:p>
    <w:p w14:paraId="251C556F" w14:textId="77777777" w:rsidR="00333478" w:rsidRDefault="00333478" w:rsidP="000E4CB0">
      <w:pPr>
        <w:jc w:val="both"/>
        <w:rPr>
          <w:rFonts w:ascii="Verdana" w:hAnsi="Verdana" w:cs="Arial"/>
          <w:sz w:val="18"/>
          <w:szCs w:val="18"/>
          <w:lang w:val="el-GR"/>
        </w:rPr>
      </w:pPr>
    </w:p>
    <w:p w14:paraId="4A3D1374" w14:textId="77777777" w:rsidR="00333478" w:rsidRDefault="00333478" w:rsidP="000E4CB0">
      <w:pPr>
        <w:jc w:val="both"/>
        <w:rPr>
          <w:rFonts w:ascii="Verdana" w:hAnsi="Verdana" w:cs="Arial"/>
          <w:sz w:val="18"/>
          <w:szCs w:val="18"/>
          <w:lang w:val="el-GR"/>
        </w:rPr>
      </w:pPr>
    </w:p>
    <w:p w14:paraId="7EC5960B" w14:textId="77777777" w:rsidR="00333478" w:rsidRDefault="00333478"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5D690B88" w14:textId="21EC44AA" w:rsidR="001712CF" w:rsidRPr="006814B2" w:rsidRDefault="001712CF" w:rsidP="000E4CB0">
      <w:pPr>
        <w:jc w:val="both"/>
        <w:rPr>
          <w:rFonts w:ascii="Verdana" w:hAnsi="Verdana" w:cs="Arial"/>
          <w:sz w:val="18"/>
          <w:szCs w:val="18"/>
          <w:lang w:val="el-GR"/>
        </w:rPr>
      </w:pPr>
    </w:p>
    <w:p w14:paraId="0634A5BD" w14:textId="77777777" w:rsidR="00055BA3" w:rsidRPr="006814B2" w:rsidRDefault="00055BA3"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6E9B0DE5" w14:textId="77777777" w:rsidR="00333478" w:rsidRDefault="00333478" w:rsidP="000E4CB0">
      <w:pPr>
        <w:jc w:val="both"/>
        <w:rPr>
          <w:rFonts w:ascii="Verdana" w:hAnsi="Verdana" w:cs="Arial"/>
          <w:sz w:val="18"/>
          <w:szCs w:val="18"/>
          <w:lang w:val="el-GR"/>
        </w:rPr>
      </w:pPr>
    </w:p>
    <w:p w14:paraId="7FF14CC0" w14:textId="77777777" w:rsidR="00333478" w:rsidRDefault="00333478" w:rsidP="000E4CB0">
      <w:pPr>
        <w:jc w:val="both"/>
        <w:rPr>
          <w:rFonts w:ascii="Verdana" w:hAnsi="Verdana" w:cs="Arial"/>
          <w:sz w:val="18"/>
          <w:szCs w:val="18"/>
          <w:lang w:val="el-GR"/>
        </w:rPr>
      </w:pPr>
    </w:p>
    <w:p w14:paraId="34A42BE9" w14:textId="77777777" w:rsidR="00CA74DC" w:rsidRPr="0019767E" w:rsidRDefault="00CA74DC"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r w:rsidRPr="006E6DDE">
        <w:rPr>
          <w:rFonts w:ascii="Verdana" w:hAnsi="Verdana"/>
          <w:b/>
          <w:bCs/>
          <w:sz w:val="18"/>
          <w:szCs w:val="18"/>
          <w:shd w:val="clear" w:color="auto" w:fill="FFFFFF"/>
          <w:lang w:val="el-GR"/>
        </w:rPr>
        <w:t>ενδοενωσιακές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r w:rsidRPr="00E65CF4">
        <w:rPr>
          <w:rFonts w:ascii="Verdana" w:hAnsi="Verdana"/>
          <w:b/>
          <w:bCs/>
          <w:sz w:val="18"/>
          <w:szCs w:val="18"/>
          <w:shd w:val="clear" w:color="auto" w:fill="FFFFFF"/>
          <w:lang w:val="el-GR"/>
        </w:rPr>
        <w:t>ενδοενωσιακές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176F99" w:rsidP="00176F99">
      <w:pPr>
        <w:rPr>
          <w:rFonts w:ascii="Verdana" w:hAnsi="Verdana"/>
          <w:sz w:val="18"/>
          <w:szCs w:val="18"/>
          <w:lang w:val="el-GR"/>
        </w:rPr>
      </w:pPr>
      <w:hyperlink r:id="rId11" w:history="1">
        <w:r w:rsidRPr="00774F10">
          <w:rPr>
            <w:rStyle w:val="Hyperlink"/>
            <w:rFonts w:ascii="Verdana" w:hAnsi="Verdana"/>
            <w:sz w:val="18"/>
            <w:szCs w:val="18"/>
          </w:rPr>
          <w:t>CYSTAT</w:t>
        </w:r>
        <w:r w:rsidRPr="00D80DE5">
          <w:rPr>
            <w:rStyle w:val="Hyperlink"/>
            <w:rFonts w:ascii="Verdana" w:hAnsi="Verdana"/>
            <w:sz w:val="18"/>
            <w:szCs w:val="18"/>
            <w:lang w:val="el-GR"/>
          </w:rPr>
          <w:t>-</w:t>
        </w:r>
        <w:r w:rsidRPr="00774F10">
          <w:rPr>
            <w:rStyle w:val="Hyperlink"/>
            <w:rFonts w:ascii="Verdana" w:hAnsi="Verdana"/>
            <w:sz w:val="18"/>
            <w:szCs w:val="18"/>
          </w:rPr>
          <w:t>DB</w:t>
        </w:r>
      </w:hyperlink>
      <w:r w:rsidRPr="00D80DE5">
        <w:rPr>
          <w:rFonts w:ascii="Verdana" w:hAnsi="Verdana"/>
          <w:sz w:val="18"/>
          <w:szCs w:val="18"/>
          <w:lang w:val="el-GR"/>
        </w:rPr>
        <w:t xml:space="preserve"> (Βάση Δεδομένων)</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r>
        <w:rPr>
          <w:rFonts w:ascii="Verdana" w:hAnsi="Verdana"/>
          <w:sz w:val="18"/>
          <w:szCs w:val="18"/>
          <w:lang w:val="el-GR"/>
        </w:rPr>
        <w:t>Σωφρόνης Βίκης</w:t>
      </w:r>
      <w:r w:rsidRPr="00B06171">
        <w:rPr>
          <w:rFonts w:ascii="Verdana" w:hAnsi="Verdana"/>
          <w:sz w:val="18"/>
          <w:szCs w:val="18"/>
          <w:lang w:val="el-GR"/>
        </w:rPr>
        <w:t xml:space="preserve">: </w:t>
      </w:r>
      <w:r w:rsidRPr="00313402">
        <w:rPr>
          <w:rFonts w:ascii="Verdana" w:hAnsi="Verdana"/>
          <w:sz w:val="18"/>
          <w:szCs w:val="18"/>
          <w:lang w:val="el-GR"/>
        </w:rPr>
        <w:t>Αρ. Τηλ: +357 22 60</w:t>
      </w:r>
      <w:r w:rsidRPr="00B06171">
        <w:rPr>
          <w:rFonts w:ascii="Verdana" w:hAnsi="Verdana"/>
          <w:sz w:val="18"/>
          <w:szCs w:val="18"/>
          <w:lang w:val="el-GR"/>
        </w:rPr>
        <w:t>2206</w:t>
      </w:r>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r>
        <w:rPr>
          <w:rFonts w:ascii="Verdana" w:hAnsi="Verdana"/>
          <w:color w:val="0000FF"/>
          <w:sz w:val="18"/>
          <w:szCs w:val="18"/>
          <w:u w:val="single"/>
          <w:shd w:val="clear" w:color="auto" w:fill="FFFFFF"/>
        </w:rPr>
        <w:t>svikis</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cystat</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mof</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Αρ. Τηλ: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Ηλ. </w:t>
      </w:r>
      <w:r w:rsidR="00DD03D0">
        <w:rPr>
          <w:rFonts w:ascii="Verdana" w:hAnsi="Verdana"/>
          <w:sz w:val="18"/>
          <w:szCs w:val="18"/>
          <w:lang w:val="el-GR"/>
        </w:rPr>
        <w:t>Ταχ.</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r w:rsidRPr="001E7DB9">
        <w:rPr>
          <w:rFonts w:ascii="Verdana" w:hAnsi="Verdana"/>
          <w:color w:val="0000FF"/>
          <w:sz w:val="18"/>
          <w:szCs w:val="18"/>
          <w:u w:val="single"/>
          <w:shd w:val="clear" w:color="auto" w:fill="FFFFFF"/>
        </w:rPr>
        <w:t>ileontiou</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cystat</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mof</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2"/>
      <w:footerReference w:type="default" r:id="rId13"/>
      <w:headerReference w:type="first" r:id="rId14"/>
      <w:footerReference w:type="first" r:id="rId15"/>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E3E1B" w14:textId="77777777" w:rsidR="009C5AB5" w:rsidRDefault="009C5AB5" w:rsidP="00FB398F">
      <w:r>
        <w:separator/>
      </w:r>
    </w:p>
  </w:endnote>
  <w:endnote w:type="continuationSeparator" w:id="0">
    <w:p w14:paraId="7C8DD982" w14:textId="77777777" w:rsidR="009C5AB5" w:rsidRDefault="009C5AB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EB4BB0">
      <w:rPr>
        <w:noProof/>
      </w:rPr>
      <w:t>4</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081CA9"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081CA9">
      <w:rPr>
        <w:rFonts w:ascii="Verdana" w:hAnsi="Verdana" w:cs="Arial"/>
        <w:iCs/>
        <w:sz w:val="16"/>
        <w:szCs w:val="16"/>
        <w:lang w:val="el-GR"/>
      </w:rPr>
      <w:t>Διεύθυνση: Μιχα</w:t>
    </w:r>
    <w:r w:rsidR="00FD5B5F" w:rsidRPr="00081CA9">
      <w:rPr>
        <w:rFonts w:ascii="Verdana" w:hAnsi="Verdana" w:cs="Arial"/>
        <w:iCs/>
        <w:sz w:val="16"/>
        <w:szCs w:val="16"/>
        <w:lang w:val="el-GR"/>
      </w:rPr>
      <w:t>ήλ</w:t>
    </w:r>
    <w:r w:rsidRPr="00081CA9">
      <w:rPr>
        <w:rFonts w:ascii="Verdana" w:hAnsi="Verdana" w:cs="Arial"/>
        <w:iCs/>
        <w:sz w:val="16"/>
        <w:szCs w:val="16"/>
        <w:lang w:val="el-GR"/>
      </w:rPr>
      <w:t xml:space="preserve"> Καραολή, 1444 Λευκωσία, Κύπρος</w:t>
    </w:r>
  </w:p>
  <w:p w14:paraId="701EBEC3" w14:textId="01F6DA82" w:rsidR="004E4F42" w:rsidRPr="00081CA9" w:rsidRDefault="004E4F42" w:rsidP="000932CF">
    <w:pPr>
      <w:pStyle w:val="Footer"/>
      <w:tabs>
        <w:tab w:val="left" w:pos="4500"/>
      </w:tabs>
      <w:jc w:val="center"/>
      <w:rPr>
        <w:rFonts w:ascii="Verdana" w:hAnsi="Verdana" w:cs="Arial"/>
        <w:iCs/>
        <w:sz w:val="16"/>
        <w:szCs w:val="16"/>
        <w:lang w:val="de-DE"/>
      </w:rPr>
    </w:pPr>
    <w:r w:rsidRPr="00081CA9">
      <w:rPr>
        <w:rFonts w:ascii="Verdana" w:hAnsi="Verdana" w:cs="Arial"/>
        <w:iCs/>
        <w:sz w:val="16"/>
        <w:szCs w:val="16"/>
        <w:lang w:val="el-GR"/>
      </w:rPr>
      <w:t>Τηλ</w:t>
    </w:r>
    <w:r w:rsidR="00081CA9" w:rsidRPr="00081CA9">
      <w:rPr>
        <w:rFonts w:ascii="Verdana" w:hAnsi="Verdana" w:cs="Arial"/>
        <w:iCs/>
        <w:sz w:val="16"/>
        <w:szCs w:val="16"/>
        <w:lang w:val="el-GR"/>
      </w:rPr>
      <w:t>.: 22 602129,</w:t>
    </w:r>
    <w:r w:rsidR="00081CA9">
      <w:rPr>
        <w:rFonts w:ascii="Verdana" w:hAnsi="Verdana" w:cs="Arial"/>
        <w:iCs/>
        <w:sz w:val="16"/>
        <w:szCs w:val="16"/>
        <w:lang w:val="el-GR"/>
      </w:rPr>
      <w:t xml:space="preserve"> Ηλ. Ταχ.</w:t>
    </w:r>
    <w:r w:rsidRPr="00081CA9">
      <w:rPr>
        <w:rFonts w:ascii="Verdana" w:hAnsi="Verdana" w:cs="Arial"/>
        <w:iCs/>
        <w:sz w:val="16"/>
        <w:szCs w:val="16"/>
        <w:lang w:val="de-DE"/>
      </w:rPr>
      <w:t xml:space="preserve">: </w:t>
    </w:r>
    <w:hyperlink r:id="rId1" w:history="1">
      <w:r w:rsidRPr="00081CA9">
        <w:rPr>
          <w:rStyle w:val="Hyperlink"/>
          <w:rFonts w:ascii="Verdana" w:hAnsi="Verdana" w:cs="Arial"/>
          <w:iCs/>
          <w:sz w:val="16"/>
          <w:szCs w:val="16"/>
          <w:lang w:val="de-DE"/>
        </w:rPr>
        <w:t>enquiries@cystat.mof.gov.cy</w:t>
      </w:r>
    </w:hyperlink>
    <w:r w:rsidRPr="00081CA9">
      <w:rPr>
        <w:rFonts w:ascii="Verdana" w:hAnsi="Verdana" w:cs="Arial"/>
        <w:iCs/>
        <w:sz w:val="16"/>
        <w:szCs w:val="16"/>
        <w:lang w:val="de-DE"/>
      </w:rPr>
      <w:t xml:space="preserve">  </w:t>
    </w:r>
  </w:p>
  <w:p w14:paraId="66893A8B" w14:textId="77A4E9ED" w:rsidR="004E4F42" w:rsidRPr="000302B0" w:rsidRDefault="000302B0" w:rsidP="000932CF">
    <w:pPr>
      <w:pStyle w:val="Footer"/>
      <w:tabs>
        <w:tab w:val="left" w:pos="4500"/>
      </w:tabs>
      <w:jc w:val="center"/>
      <w:rPr>
        <w:rFonts w:ascii="Verdana" w:hAnsi="Verdana" w:cs="Arial"/>
        <w:sz w:val="16"/>
        <w:szCs w:val="16"/>
        <w:lang w:val="el-GR"/>
      </w:rPr>
    </w:pPr>
    <w:r>
      <w:rPr>
        <w:rFonts w:ascii="Verdana" w:hAnsi="Verdana" w:cs="Arial"/>
        <w:iCs/>
        <w:sz w:val="16"/>
        <w:szCs w:val="16"/>
        <w:lang w:val="el-GR"/>
      </w:rPr>
      <w:t>Διαδικτυακή Πύλη</w:t>
    </w:r>
    <w:r w:rsidR="004E4F42" w:rsidRPr="000302B0">
      <w:rPr>
        <w:rFonts w:ascii="Verdana" w:hAnsi="Verdana" w:cs="Arial"/>
        <w:iCs/>
        <w:sz w:val="16"/>
        <w:szCs w:val="16"/>
        <w:lang w:val="el-GR"/>
      </w:rPr>
      <w:t xml:space="preserve">: </w:t>
    </w:r>
    <w:hyperlink r:id="rId2" w:history="1">
      <w:r w:rsidR="004E4F42" w:rsidRPr="00081CA9">
        <w:rPr>
          <w:rStyle w:val="Hyperlink"/>
          <w:rFonts w:ascii="Verdana" w:hAnsi="Verdana" w:cs="Arial"/>
          <w:iCs/>
          <w:sz w:val="16"/>
          <w:szCs w:val="16"/>
        </w:rPr>
        <w:t>http</w:t>
      </w:r>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www</w:t>
      </w:r>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cystat</w:t>
      </w:r>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gov</w:t>
      </w:r>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cy</w:t>
      </w:r>
    </w:hyperlink>
    <w:r w:rsidR="004E4F42" w:rsidRPr="000302B0">
      <w:rPr>
        <w:rFonts w:ascii="Verdana" w:hAnsi="Verdana" w:cs="Arial"/>
        <w:iCs/>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3E55B" w14:textId="77777777" w:rsidR="009C5AB5" w:rsidRDefault="009C5AB5" w:rsidP="00FB398F">
      <w:r>
        <w:separator/>
      </w:r>
    </w:p>
  </w:footnote>
  <w:footnote w:type="continuationSeparator" w:id="0">
    <w:p w14:paraId="295156FE" w14:textId="77777777" w:rsidR="009C5AB5" w:rsidRDefault="009C5AB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6FAEAB89">
              <wp:simplePos x="0" y="0"/>
              <wp:positionH relativeFrom="column">
                <wp:posOffset>4070985</wp:posOffset>
              </wp:positionH>
              <wp:positionV relativeFrom="paragraph">
                <wp:posOffset>100330</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470EE5" w:rsidRDefault="004E4F42" w:rsidP="00470EE5">
                          <w:pPr>
                            <w:jc w:val="center"/>
                            <w:rPr>
                              <w:rFonts w:ascii="Verdana" w:hAnsi="Verdana" w:cs="Arial"/>
                              <w:b/>
                              <w:sz w:val="20"/>
                              <w:szCs w:val="20"/>
                            </w:rPr>
                          </w:pPr>
                          <w:r w:rsidRPr="00470EE5">
                            <w:rPr>
                              <w:rFonts w:ascii="Verdana" w:hAnsi="Verdana" w:cs="Arial"/>
                              <w:b/>
                              <w:bCs/>
                              <w:sz w:val="20"/>
                              <w:szCs w:val="20"/>
                            </w:rPr>
                            <w:t>ΣΤΑΤΙΣΤΙΚΗ ΥΠΗΡΕΣΙΑ</w:t>
                          </w:r>
                          <w:r w:rsidRPr="00470EE5">
                            <w:rPr>
                              <w:rFonts w:ascii="Verdana" w:hAnsi="Verdana" w:cs="Arial"/>
                              <w:b/>
                              <w:sz w:val="20"/>
                              <w:szCs w:val="20"/>
                            </w:rPr>
                            <w:t xml:space="preserve">  </w:t>
                          </w:r>
                        </w:p>
                        <w:p w14:paraId="7F363AC1" w14:textId="77777777" w:rsidR="004E4F42" w:rsidRPr="00470EE5" w:rsidRDefault="004E4F42" w:rsidP="00470EE5">
                          <w:pPr>
                            <w:jc w:val="center"/>
                            <w:rPr>
                              <w:rFonts w:ascii="Verdana" w:hAnsi="Verdana" w:cs="Arial"/>
                              <w:b/>
                              <w:sz w:val="20"/>
                              <w:szCs w:val="20"/>
                            </w:rPr>
                          </w:pPr>
                          <w:r w:rsidRPr="00470EE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0.55pt;margin-top:7.9pt;width:150.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L9wEAANE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am65IvIkRkXUF9JN4Ik6/oHdCmA/zL2UCeKrn/&#10;sxeoODNfLWlHTJfRhClYrj4uKMDLTHWZEVYSVMkDZ9N2Gybj7h3qtqNK07Qs3JDejU5SPHV1ap98&#10;kxQ6eTwa8zJOp55e4uYfAAAA//8DAFBLAwQUAAYACAAAACEAjbPhRd4AAAAJAQAADwAAAGRycy9k&#10;b3ducmV2LnhtbEyPy26DMBBF95X6D9ZE6qZqDBEhhGKitlKrbvP4AIMngILHCDuB/H2nq3Y5ukd3&#10;zi12s+3FDUffOVIQLyMQSLUzHTUKTsfPlwyED5qM7h2hgjt62JWPD4XOjZtoj7dDaASXkM+1gjaE&#10;IZfS1y1a7ZduQOLs7EarA59jI82oJy63vVxFUSqt7og/tHrAjxbry+FqFZy/p+f1dqq+wmmzT9J3&#10;3W0qd1fqaTG/vYIIOIc/GH71WR1KdqrclYwXvYI0iWNGOVjzBAa2ySoFUSnIkgxkWcj/C8ofAAAA&#10;//8DAFBLAQItABQABgAIAAAAIQC2gziS/gAAAOEBAAATAAAAAAAAAAAAAAAAAAAAAABbQ29udGVu&#10;dF9UeXBlc10ueG1sUEsBAi0AFAAGAAgAAAAhADj9If/WAAAAlAEAAAsAAAAAAAAAAAAAAAAALwEA&#10;AF9yZWxzLy5yZWxzUEsBAi0AFAAGAAgAAAAhAD+uuEv3AQAA0QMAAA4AAAAAAAAAAAAAAAAALgIA&#10;AGRycy9lMm9Eb2MueG1sUEsBAi0AFAAGAAgAAAAhAI2z4UXeAAAACQEAAA8AAAAAAAAAAAAAAAAA&#10;UQQAAGRycy9kb3ducmV2LnhtbFBLBQYAAAAABAAEAPMAAABcBQAAAAA=&#10;" stroked="f">
              <v:textbox>
                <w:txbxContent>
                  <w:p w14:paraId="505F9DD1" w14:textId="77777777" w:rsidR="004E4F42" w:rsidRPr="00470EE5" w:rsidRDefault="004E4F42" w:rsidP="00470EE5">
                    <w:pPr>
                      <w:jc w:val="center"/>
                      <w:rPr>
                        <w:rFonts w:ascii="Verdana" w:hAnsi="Verdana" w:cs="Arial"/>
                        <w:b/>
                        <w:sz w:val="20"/>
                        <w:szCs w:val="20"/>
                      </w:rPr>
                    </w:pPr>
                    <w:r w:rsidRPr="00470EE5">
                      <w:rPr>
                        <w:rFonts w:ascii="Verdana" w:hAnsi="Verdana" w:cs="Arial"/>
                        <w:b/>
                        <w:bCs/>
                        <w:sz w:val="20"/>
                        <w:szCs w:val="20"/>
                      </w:rPr>
                      <w:t>ΣΤΑΤΙΣΤΙΚΗ ΥΠΗΡΕΣΙΑ</w:t>
                    </w:r>
                    <w:r w:rsidRPr="00470EE5">
                      <w:rPr>
                        <w:rFonts w:ascii="Verdana" w:hAnsi="Verdana" w:cs="Arial"/>
                        <w:b/>
                        <w:sz w:val="20"/>
                        <w:szCs w:val="20"/>
                      </w:rPr>
                      <w:t xml:space="preserve">  </w:t>
                    </w:r>
                  </w:p>
                  <w:p w14:paraId="7F363AC1" w14:textId="77777777" w:rsidR="004E4F42" w:rsidRPr="00470EE5" w:rsidRDefault="004E4F42" w:rsidP="00470EE5">
                    <w:pPr>
                      <w:jc w:val="center"/>
                      <w:rPr>
                        <w:rFonts w:ascii="Verdana" w:hAnsi="Verdana" w:cs="Arial"/>
                        <w:b/>
                        <w:sz w:val="20"/>
                        <w:szCs w:val="20"/>
                      </w:rPr>
                    </w:pPr>
                    <w:r w:rsidRPr="00470EE5">
                      <w:rPr>
                        <w:rFonts w:ascii="Verdana" w:hAnsi="Verdana" w:cs="Arial"/>
                        <w:bCs/>
                        <w:sz w:val="20"/>
                        <w:szCs w:val="20"/>
                      </w:rPr>
                      <w:t>1444 ΛΕΥΚΩΣΙΑ</w:t>
                    </w:r>
                  </w:p>
                </w:txbxContent>
              </v:textbox>
            </v:shape>
          </w:pict>
        </mc:Fallback>
      </mc:AlternateContent>
    </w:r>
  </w:p>
  <w:p w14:paraId="788C084B" w14:textId="52E27B4E" w:rsidR="004E4F42" w:rsidRPr="00470EE5"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470EE5">
      <w:rPr>
        <w:rFonts w:ascii="Verdana" w:hAnsi="Verdana" w:cs="Arial"/>
        <w:bCs/>
        <w:sz w:val="20"/>
        <w:szCs w:val="20"/>
      </w:rPr>
      <w:t>ΚΥΠΡΙΑΚΗ ΔΗΜΟΚΡΑΤΙΑ</w:t>
    </w:r>
    <w:r w:rsidRPr="00470EE5">
      <w:rPr>
        <w:rFonts w:ascii="Verdana" w:hAnsi="Verdana"/>
        <w:b/>
        <w:bCs/>
        <w:sz w:val="20"/>
        <w:szCs w:val="20"/>
        <w:lang w:val="en-US"/>
      </w:rPr>
      <w:t xml:space="preserve"> </w:t>
    </w:r>
    <w:r w:rsidRPr="00470EE5">
      <w:rPr>
        <w:rFonts w:ascii="Verdana" w:hAnsi="Verdana"/>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09889201">
    <w:abstractNumId w:val="4"/>
  </w:num>
  <w:num w:numId="2" w16cid:durableId="1097485099">
    <w:abstractNumId w:val="1"/>
  </w:num>
  <w:num w:numId="3" w16cid:durableId="391124778">
    <w:abstractNumId w:val="2"/>
  </w:num>
  <w:num w:numId="4" w16cid:durableId="441343236">
    <w:abstractNumId w:val="3"/>
  </w:num>
  <w:num w:numId="5" w16cid:durableId="865287789">
    <w:abstractNumId w:val="0"/>
  </w:num>
  <w:num w:numId="6" w16cid:durableId="902831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591"/>
    <w:rsid w:val="00002458"/>
    <w:rsid w:val="000040B7"/>
    <w:rsid w:val="00004A1D"/>
    <w:rsid w:val="0000542E"/>
    <w:rsid w:val="00006743"/>
    <w:rsid w:val="00010ABD"/>
    <w:rsid w:val="00011704"/>
    <w:rsid w:val="00013E40"/>
    <w:rsid w:val="0001555C"/>
    <w:rsid w:val="000161B1"/>
    <w:rsid w:val="00023097"/>
    <w:rsid w:val="00024F8C"/>
    <w:rsid w:val="00025A39"/>
    <w:rsid w:val="00027127"/>
    <w:rsid w:val="00027304"/>
    <w:rsid w:val="00027853"/>
    <w:rsid w:val="000302B0"/>
    <w:rsid w:val="00030E18"/>
    <w:rsid w:val="00031D32"/>
    <w:rsid w:val="000324AB"/>
    <w:rsid w:val="00033D0E"/>
    <w:rsid w:val="0003405E"/>
    <w:rsid w:val="00035B02"/>
    <w:rsid w:val="0003603D"/>
    <w:rsid w:val="0003762A"/>
    <w:rsid w:val="00040275"/>
    <w:rsid w:val="000417BA"/>
    <w:rsid w:val="000444B6"/>
    <w:rsid w:val="00045088"/>
    <w:rsid w:val="00045A06"/>
    <w:rsid w:val="00046366"/>
    <w:rsid w:val="00047034"/>
    <w:rsid w:val="0004769E"/>
    <w:rsid w:val="0005010F"/>
    <w:rsid w:val="00050391"/>
    <w:rsid w:val="00055291"/>
    <w:rsid w:val="00055BA3"/>
    <w:rsid w:val="000563D3"/>
    <w:rsid w:val="00057E44"/>
    <w:rsid w:val="00061299"/>
    <w:rsid w:val="000613C8"/>
    <w:rsid w:val="00063B66"/>
    <w:rsid w:val="00070576"/>
    <w:rsid w:val="0007104F"/>
    <w:rsid w:val="0007255A"/>
    <w:rsid w:val="0007458A"/>
    <w:rsid w:val="000752BB"/>
    <w:rsid w:val="00081ADF"/>
    <w:rsid w:val="00081CA9"/>
    <w:rsid w:val="00084969"/>
    <w:rsid w:val="00084A02"/>
    <w:rsid w:val="00084BF7"/>
    <w:rsid w:val="000870E9"/>
    <w:rsid w:val="000904AD"/>
    <w:rsid w:val="00091758"/>
    <w:rsid w:val="000932CF"/>
    <w:rsid w:val="00093685"/>
    <w:rsid w:val="00094F63"/>
    <w:rsid w:val="00096853"/>
    <w:rsid w:val="00096B7E"/>
    <w:rsid w:val="00096ED8"/>
    <w:rsid w:val="00097E25"/>
    <w:rsid w:val="000A1A88"/>
    <w:rsid w:val="000A2B5C"/>
    <w:rsid w:val="000A3601"/>
    <w:rsid w:val="000A3657"/>
    <w:rsid w:val="000A3D45"/>
    <w:rsid w:val="000A3D77"/>
    <w:rsid w:val="000A4B09"/>
    <w:rsid w:val="000A6E09"/>
    <w:rsid w:val="000A6FA8"/>
    <w:rsid w:val="000A758C"/>
    <w:rsid w:val="000B6582"/>
    <w:rsid w:val="000C1070"/>
    <w:rsid w:val="000C4E72"/>
    <w:rsid w:val="000C5CF7"/>
    <w:rsid w:val="000C64FD"/>
    <w:rsid w:val="000C7283"/>
    <w:rsid w:val="000D0D97"/>
    <w:rsid w:val="000D1E7A"/>
    <w:rsid w:val="000D3708"/>
    <w:rsid w:val="000D5BF7"/>
    <w:rsid w:val="000D6B4A"/>
    <w:rsid w:val="000D747C"/>
    <w:rsid w:val="000E01A8"/>
    <w:rsid w:val="000E01EC"/>
    <w:rsid w:val="000E24B1"/>
    <w:rsid w:val="000E2735"/>
    <w:rsid w:val="000E32D6"/>
    <w:rsid w:val="000E4CB0"/>
    <w:rsid w:val="000E57F2"/>
    <w:rsid w:val="000E72A7"/>
    <w:rsid w:val="000F0DF2"/>
    <w:rsid w:val="000F1162"/>
    <w:rsid w:val="000F1C7E"/>
    <w:rsid w:val="000F3368"/>
    <w:rsid w:val="000F3467"/>
    <w:rsid w:val="000F38DE"/>
    <w:rsid w:val="000F532A"/>
    <w:rsid w:val="000F5D6C"/>
    <w:rsid w:val="00100DC9"/>
    <w:rsid w:val="00101520"/>
    <w:rsid w:val="00106852"/>
    <w:rsid w:val="00106AD8"/>
    <w:rsid w:val="00106BFF"/>
    <w:rsid w:val="001071FE"/>
    <w:rsid w:val="00107438"/>
    <w:rsid w:val="001108AE"/>
    <w:rsid w:val="00110F9D"/>
    <w:rsid w:val="00113203"/>
    <w:rsid w:val="0011354F"/>
    <w:rsid w:val="00114A67"/>
    <w:rsid w:val="001163B2"/>
    <w:rsid w:val="00121D0D"/>
    <w:rsid w:val="001236D1"/>
    <w:rsid w:val="001253B6"/>
    <w:rsid w:val="001262C3"/>
    <w:rsid w:val="00127320"/>
    <w:rsid w:val="00127456"/>
    <w:rsid w:val="001312D8"/>
    <w:rsid w:val="0013137B"/>
    <w:rsid w:val="00135B38"/>
    <w:rsid w:val="0013768B"/>
    <w:rsid w:val="00140E7A"/>
    <w:rsid w:val="00142711"/>
    <w:rsid w:val="00142A9F"/>
    <w:rsid w:val="00143340"/>
    <w:rsid w:val="00150324"/>
    <w:rsid w:val="0015118B"/>
    <w:rsid w:val="001519CE"/>
    <w:rsid w:val="00152E5C"/>
    <w:rsid w:val="00153CB5"/>
    <w:rsid w:val="00154416"/>
    <w:rsid w:val="00161CF3"/>
    <w:rsid w:val="00162C00"/>
    <w:rsid w:val="001639EF"/>
    <w:rsid w:val="00164DEE"/>
    <w:rsid w:val="0016589F"/>
    <w:rsid w:val="001674F6"/>
    <w:rsid w:val="001679A1"/>
    <w:rsid w:val="0017064F"/>
    <w:rsid w:val="001712CF"/>
    <w:rsid w:val="00172D9B"/>
    <w:rsid w:val="00172ECD"/>
    <w:rsid w:val="00173E91"/>
    <w:rsid w:val="00176F99"/>
    <w:rsid w:val="0017769A"/>
    <w:rsid w:val="00180140"/>
    <w:rsid w:val="00182917"/>
    <w:rsid w:val="00183DFC"/>
    <w:rsid w:val="00184384"/>
    <w:rsid w:val="00184FF4"/>
    <w:rsid w:val="00186717"/>
    <w:rsid w:val="00187A35"/>
    <w:rsid w:val="00187FFC"/>
    <w:rsid w:val="00191365"/>
    <w:rsid w:val="00191E94"/>
    <w:rsid w:val="0019391C"/>
    <w:rsid w:val="0019718D"/>
    <w:rsid w:val="0019767E"/>
    <w:rsid w:val="001A06DE"/>
    <w:rsid w:val="001A1956"/>
    <w:rsid w:val="001A2018"/>
    <w:rsid w:val="001A501C"/>
    <w:rsid w:val="001A5E9A"/>
    <w:rsid w:val="001A60B1"/>
    <w:rsid w:val="001A6C19"/>
    <w:rsid w:val="001B0A1B"/>
    <w:rsid w:val="001B2B2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4023"/>
    <w:rsid w:val="001C62B3"/>
    <w:rsid w:val="001C7C8C"/>
    <w:rsid w:val="001D033C"/>
    <w:rsid w:val="001D0D6A"/>
    <w:rsid w:val="001D20A4"/>
    <w:rsid w:val="001D35AE"/>
    <w:rsid w:val="001D6B30"/>
    <w:rsid w:val="001E00D1"/>
    <w:rsid w:val="001E011A"/>
    <w:rsid w:val="001E0E58"/>
    <w:rsid w:val="001E0FBF"/>
    <w:rsid w:val="001E14F3"/>
    <w:rsid w:val="001E15ED"/>
    <w:rsid w:val="001E18A7"/>
    <w:rsid w:val="001E36B7"/>
    <w:rsid w:val="001E61AA"/>
    <w:rsid w:val="001F1389"/>
    <w:rsid w:val="001F17E8"/>
    <w:rsid w:val="001F18EE"/>
    <w:rsid w:val="001F1DBB"/>
    <w:rsid w:val="001F259D"/>
    <w:rsid w:val="001F3730"/>
    <w:rsid w:val="001F5C2E"/>
    <w:rsid w:val="001F654C"/>
    <w:rsid w:val="001F7D44"/>
    <w:rsid w:val="0020140E"/>
    <w:rsid w:val="0020195F"/>
    <w:rsid w:val="0020248A"/>
    <w:rsid w:val="00202695"/>
    <w:rsid w:val="00202AF9"/>
    <w:rsid w:val="0020309E"/>
    <w:rsid w:val="0020475A"/>
    <w:rsid w:val="002051D3"/>
    <w:rsid w:val="00207697"/>
    <w:rsid w:val="002102C3"/>
    <w:rsid w:val="00210B58"/>
    <w:rsid w:val="00214549"/>
    <w:rsid w:val="00222423"/>
    <w:rsid w:val="00222467"/>
    <w:rsid w:val="00225B28"/>
    <w:rsid w:val="00226891"/>
    <w:rsid w:val="00226A41"/>
    <w:rsid w:val="00227138"/>
    <w:rsid w:val="00230A0C"/>
    <w:rsid w:val="00230D9B"/>
    <w:rsid w:val="002313AC"/>
    <w:rsid w:val="00234F09"/>
    <w:rsid w:val="00235FB2"/>
    <w:rsid w:val="00237687"/>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2F7F"/>
    <w:rsid w:val="0025566D"/>
    <w:rsid w:val="0025595C"/>
    <w:rsid w:val="00256FC1"/>
    <w:rsid w:val="00257149"/>
    <w:rsid w:val="002576E7"/>
    <w:rsid w:val="00260357"/>
    <w:rsid w:val="0026363C"/>
    <w:rsid w:val="00264F04"/>
    <w:rsid w:val="00266F2C"/>
    <w:rsid w:val="00267554"/>
    <w:rsid w:val="00272FFB"/>
    <w:rsid w:val="002743CA"/>
    <w:rsid w:val="002743F1"/>
    <w:rsid w:val="00276FDB"/>
    <w:rsid w:val="0028338F"/>
    <w:rsid w:val="00284FF8"/>
    <w:rsid w:val="00287DF1"/>
    <w:rsid w:val="00290464"/>
    <w:rsid w:val="00290497"/>
    <w:rsid w:val="00291525"/>
    <w:rsid w:val="002915C4"/>
    <w:rsid w:val="00291613"/>
    <w:rsid w:val="00291FCC"/>
    <w:rsid w:val="00292739"/>
    <w:rsid w:val="00292A6A"/>
    <w:rsid w:val="00295799"/>
    <w:rsid w:val="00295AF4"/>
    <w:rsid w:val="00296549"/>
    <w:rsid w:val="00297AC9"/>
    <w:rsid w:val="00297E6B"/>
    <w:rsid w:val="002A083F"/>
    <w:rsid w:val="002A0971"/>
    <w:rsid w:val="002A0BAE"/>
    <w:rsid w:val="002A17E0"/>
    <w:rsid w:val="002A1D1C"/>
    <w:rsid w:val="002A2A94"/>
    <w:rsid w:val="002A2EB9"/>
    <w:rsid w:val="002A3690"/>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60AC"/>
    <w:rsid w:val="002D7D4A"/>
    <w:rsid w:val="002E1706"/>
    <w:rsid w:val="002E2BE5"/>
    <w:rsid w:val="002E3846"/>
    <w:rsid w:val="002E3C2D"/>
    <w:rsid w:val="002E3F78"/>
    <w:rsid w:val="002E5CC6"/>
    <w:rsid w:val="002E65BC"/>
    <w:rsid w:val="002F14A7"/>
    <w:rsid w:val="002F3915"/>
    <w:rsid w:val="002F400C"/>
    <w:rsid w:val="002F4D76"/>
    <w:rsid w:val="002F569C"/>
    <w:rsid w:val="002F6D26"/>
    <w:rsid w:val="00301ECD"/>
    <w:rsid w:val="00302148"/>
    <w:rsid w:val="0030231E"/>
    <w:rsid w:val="003033E2"/>
    <w:rsid w:val="003042C4"/>
    <w:rsid w:val="00304CB4"/>
    <w:rsid w:val="00304F9B"/>
    <w:rsid w:val="00306EF8"/>
    <w:rsid w:val="00311A1E"/>
    <w:rsid w:val="00312C15"/>
    <w:rsid w:val="00313402"/>
    <w:rsid w:val="00313F37"/>
    <w:rsid w:val="003141D0"/>
    <w:rsid w:val="00314A0A"/>
    <w:rsid w:val="003168C1"/>
    <w:rsid w:val="00322FBE"/>
    <w:rsid w:val="00323B9C"/>
    <w:rsid w:val="00325632"/>
    <w:rsid w:val="00326B51"/>
    <w:rsid w:val="00327549"/>
    <w:rsid w:val="003322DF"/>
    <w:rsid w:val="0033315D"/>
    <w:rsid w:val="00333478"/>
    <w:rsid w:val="003342A5"/>
    <w:rsid w:val="00334616"/>
    <w:rsid w:val="003348E4"/>
    <w:rsid w:val="00335AE8"/>
    <w:rsid w:val="00336C36"/>
    <w:rsid w:val="00340F91"/>
    <w:rsid w:val="003437CA"/>
    <w:rsid w:val="00343815"/>
    <w:rsid w:val="003451AD"/>
    <w:rsid w:val="003522BB"/>
    <w:rsid w:val="00352B69"/>
    <w:rsid w:val="00352F6C"/>
    <w:rsid w:val="00354941"/>
    <w:rsid w:val="00354DB7"/>
    <w:rsid w:val="003556EA"/>
    <w:rsid w:val="003559AE"/>
    <w:rsid w:val="00364D5C"/>
    <w:rsid w:val="0037357D"/>
    <w:rsid w:val="00375C5A"/>
    <w:rsid w:val="00381665"/>
    <w:rsid w:val="0038314C"/>
    <w:rsid w:val="00386FC7"/>
    <w:rsid w:val="00387E05"/>
    <w:rsid w:val="003909E1"/>
    <w:rsid w:val="00390A32"/>
    <w:rsid w:val="0039592A"/>
    <w:rsid w:val="00396EAB"/>
    <w:rsid w:val="003977F4"/>
    <w:rsid w:val="0039783C"/>
    <w:rsid w:val="00397947"/>
    <w:rsid w:val="003A020F"/>
    <w:rsid w:val="003A1E91"/>
    <w:rsid w:val="003A40F2"/>
    <w:rsid w:val="003A4D2D"/>
    <w:rsid w:val="003A50D1"/>
    <w:rsid w:val="003B196D"/>
    <w:rsid w:val="003B1E83"/>
    <w:rsid w:val="003B2710"/>
    <w:rsid w:val="003B2BA9"/>
    <w:rsid w:val="003B4057"/>
    <w:rsid w:val="003B4608"/>
    <w:rsid w:val="003C2392"/>
    <w:rsid w:val="003C3592"/>
    <w:rsid w:val="003C411B"/>
    <w:rsid w:val="003C5174"/>
    <w:rsid w:val="003C5240"/>
    <w:rsid w:val="003C5FBF"/>
    <w:rsid w:val="003C76E6"/>
    <w:rsid w:val="003C7B67"/>
    <w:rsid w:val="003D14E0"/>
    <w:rsid w:val="003D1EA5"/>
    <w:rsid w:val="003D3348"/>
    <w:rsid w:val="003D3DB1"/>
    <w:rsid w:val="003D4771"/>
    <w:rsid w:val="003D4E63"/>
    <w:rsid w:val="003D6822"/>
    <w:rsid w:val="003D6949"/>
    <w:rsid w:val="003D70B6"/>
    <w:rsid w:val="003D724C"/>
    <w:rsid w:val="003E0B88"/>
    <w:rsid w:val="003E0CE2"/>
    <w:rsid w:val="003E397C"/>
    <w:rsid w:val="003E6531"/>
    <w:rsid w:val="003F0D98"/>
    <w:rsid w:val="003F1ED7"/>
    <w:rsid w:val="003F49E4"/>
    <w:rsid w:val="003F4D2F"/>
    <w:rsid w:val="003F50B5"/>
    <w:rsid w:val="003F5E32"/>
    <w:rsid w:val="003F751C"/>
    <w:rsid w:val="003F75F6"/>
    <w:rsid w:val="003F7AB1"/>
    <w:rsid w:val="004025AF"/>
    <w:rsid w:val="00404670"/>
    <w:rsid w:val="004069D7"/>
    <w:rsid w:val="00407613"/>
    <w:rsid w:val="00410E3F"/>
    <w:rsid w:val="00410FCA"/>
    <w:rsid w:val="0041372C"/>
    <w:rsid w:val="00414CA0"/>
    <w:rsid w:val="004165A9"/>
    <w:rsid w:val="00417AE2"/>
    <w:rsid w:val="00422F54"/>
    <w:rsid w:val="0042679D"/>
    <w:rsid w:val="00431516"/>
    <w:rsid w:val="00433027"/>
    <w:rsid w:val="00435D34"/>
    <w:rsid w:val="004361B3"/>
    <w:rsid w:val="004367D9"/>
    <w:rsid w:val="004373D5"/>
    <w:rsid w:val="0044132A"/>
    <w:rsid w:val="00441C49"/>
    <w:rsid w:val="0044249D"/>
    <w:rsid w:val="0044379F"/>
    <w:rsid w:val="00444FCC"/>
    <w:rsid w:val="00445A60"/>
    <w:rsid w:val="00445C1A"/>
    <w:rsid w:val="004461D2"/>
    <w:rsid w:val="00446B5F"/>
    <w:rsid w:val="00446FB1"/>
    <w:rsid w:val="004508DA"/>
    <w:rsid w:val="00450E01"/>
    <w:rsid w:val="00451DE2"/>
    <w:rsid w:val="00452753"/>
    <w:rsid w:val="00453D02"/>
    <w:rsid w:val="00454186"/>
    <w:rsid w:val="00455CC5"/>
    <w:rsid w:val="0045602C"/>
    <w:rsid w:val="00457A89"/>
    <w:rsid w:val="0046078F"/>
    <w:rsid w:val="00463214"/>
    <w:rsid w:val="0046434D"/>
    <w:rsid w:val="00464AAD"/>
    <w:rsid w:val="004656FA"/>
    <w:rsid w:val="00465E60"/>
    <w:rsid w:val="004707E4"/>
    <w:rsid w:val="00470D14"/>
    <w:rsid w:val="00470EE5"/>
    <w:rsid w:val="00471D77"/>
    <w:rsid w:val="00474910"/>
    <w:rsid w:val="00475587"/>
    <w:rsid w:val="004762E6"/>
    <w:rsid w:val="00476812"/>
    <w:rsid w:val="0048075D"/>
    <w:rsid w:val="00480BC2"/>
    <w:rsid w:val="00481474"/>
    <w:rsid w:val="004845C3"/>
    <w:rsid w:val="00485877"/>
    <w:rsid w:val="004929C2"/>
    <w:rsid w:val="00493FDD"/>
    <w:rsid w:val="0049586B"/>
    <w:rsid w:val="00497443"/>
    <w:rsid w:val="004A11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594F"/>
    <w:rsid w:val="004E63D5"/>
    <w:rsid w:val="004F03FD"/>
    <w:rsid w:val="004F0BD1"/>
    <w:rsid w:val="004F1B4E"/>
    <w:rsid w:val="004F52F0"/>
    <w:rsid w:val="004F60CD"/>
    <w:rsid w:val="004F6250"/>
    <w:rsid w:val="004F6767"/>
    <w:rsid w:val="004F677C"/>
    <w:rsid w:val="004F6D8F"/>
    <w:rsid w:val="00503548"/>
    <w:rsid w:val="00505503"/>
    <w:rsid w:val="00507057"/>
    <w:rsid w:val="005102E9"/>
    <w:rsid w:val="00510996"/>
    <w:rsid w:val="0051107B"/>
    <w:rsid w:val="00512F9C"/>
    <w:rsid w:val="00513564"/>
    <w:rsid w:val="005140BB"/>
    <w:rsid w:val="005144B5"/>
    <w:rsid w:val="00522845"/>
    <w:rsid w:val="00522D4E"/>
    <w:rsid w:val="0052477F"/>
    <w:rsid w:val="00527CDB"/>
    <w:rsid w:val="00530768"/>
    <w:rsid w:val="00530BD8"/>
    <w:rsid w:val="005341C9"/>
    <w:rsid w:val="00535475"/>
    <w:rsid w:val="005358B4"/>
    <w:rsid w:val="005369CA"/>
    <w:rsid w:val="00536DE9"/>
    <w:rsid w:val="00537799"/>
    <w:rsid w:val="00541E08"/>
    <w:rsid w:val="00547CEF"/>
    <w:rsid w:val="005544CE"/>
    <w:rsid w:val="00554FE0"/>
    <w:rsid w:val="0055789A"/>
    <w:rsid w:val="00557995"/>
    <w:rsid w:val="00560400"/>
    <w:rsid w:val="00560952"/>
    <w:rsid w:val="00561920"/>
    <w:rsid w:val="00562329"/>
    <w:rsid w:val="005628FE"/>
    <w:rsid w:val="00563319"/>
    <w:rsid w:val="005640AE"/>
    <w:rsid w:val="00564E31"/>
    <w:rsid w:val="005652D1"/>
    <w:rsid w:val="005660A0"/>
    <w:rsid w:val="00566A4F"/>
    <w:rsid w:val="00567384"/>
    <w:rsid w:val="00567D64"/>
    <w:rsid w:val="00567E1B"/>
    <w:rsid w:val="00573F34"/>
    <w:rsid w:val="00575F0E"/>
    <w:rsid w:val="00576E34"/>
    <w:rsid w:val="00577106"/>
    <w:rsid w:val="00591CA2"/>
    <w:rsid w:val="00593CDD"/>
    <w:rsid w:val="00595D22"/>
    <w:rsid w:val="005975CF"/>
    <w:rsid w:val="005978D4"/>
    <w:rsid w:val="00597957"/>
    <w:rsid w:val="005A23FA"/>
    <w:rsid w:val="005A2CE8"/>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C7EB5"/>
    <w:rsid w:val="005D1714"/>
    <w:rsid w:val="005D1732"/>
    <w:rsid w:val="005D309F"/>
    <w:rsid w:val="005D3D28"/>
    <w:rsid w:val="005D4B02"/>
    <w:rsid w:val="005D7638"/>
    <w:rsid w:val="005E08D8"/>
    <w:rsid w:val="005E10A0"/>
    <w:rsid w:val="005E1D0F"/>
    <w:rsid w:val="005E61BC"/>
    <w:rsid w:val="005E6852"/>
    <w:rsid w:val="005E70A5"/>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3420"/>
    <w:rsid w:val="00626604"/>
    <w:rsid w:val="00626A29"/>
    <w:rsid w:val="006305AF"/>
    <w:rsid w:val="00632777"/>
    <w:rsid w:val="00633750"/>
    <w:rsid w:val="00634491"/>
    <w:rsid w:val="00635C4F"/>
    <w:rsid w:val="00636537"/>
    <w:rsid w:val="0063679C"/>
    <w:rsid w:val="00636E23"/>
    <w:rsid w:val="00637055"/>
    <w:rsid w:val="00641D59"/>
    <w:rsid w:val="00642031"/>
    <w:rsid w:val="00644507"/>
    <w:rsid w:val="0064550A"/>
    <w:rsid w:val="00646880"/>
    <w:rsid w:val="00647D2A"/>
    <w:rsid w:val="006519A7"/>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3DA3"/>
    <w:rsid w:val="00675823"/>
    <w:rsid w:val="00676AF9"/>
    <w:rsid w:val="00676D6F"/>
    <w:rsid w:val="00677A1A"/>
    <w:rsid w:val="006804BE"/>
    <w:rsid w:val="006814B2"/>
    <w:rsid w:val="0068434A"/>
    <w:rsid w:val="0068779A"/>
    <w:rsid w:val="0069008E"/>
    <w:rsid w:val="0069087E"/>
    <w:rsid w:val="00691A27"/>
    <w:rsid w:val="00691DF8"/>
    <w:rsid w:val="006925C4"/>
    <w:rsid w:val="0069341F"/>
    <w:rsid w:val="0069454E"/>
    <w:rsid w:val="00695DC2"/>
    <w:rsid w:val="00695E53"/>
    <w:rsid w:val="0069740E"/>
    <w:rsid w:val="006A02B7"/>
    <w:rsid w:val="006A06EE"/>
    <w:rsid w:val="006A1F6D"/>
    <w:rsid w:val="006A1FB8"/>
    <w:rsid w:val="006A2C1A"/>
    <w:rsid w:val="006A7019"/>
    <w:rsid w:val="006B0009"/>
    <w:rsid w:val="006B2102"/>
    <w:rsid w:val="006B46D5"/>
    <w:rsid w:val="006B46F4"/>
    <w:rsid w:val="006B7847"/>
    <w:rsid w:val="006C121C"/>
    <w:rsid w:val="006C41F5"/>
    <w:rsid w:val="006C42F7"/>
    <w:rsid w:val="006C445D"/>
    <w:rsid w:val="006C6952"/>
    <w:rsid w:val="006C7AF3"/>
    <w:rsid w:val="006D0B9D"/>
    <w:rsid w:val="006D1C53"/>
    <w:rsid w:val="006D20BD"/>
    <w:rsid w:val="006D27EA"/>
    <w:rsid w:val="006D2DED"/>
    <w:rsid w:val="006D417E"/>
    <w:rsid w:val="006D5050"/>
    <w:rsid w:val="006D6548"/>
    <w:rsid w:val="006E0E20"/>
    <w:rsid w:val="006E4256"/>
    <w:rsid w:val="006E44AF"/>
    <w:rsid w:val="006E4984"/>
    <w:rsid w:val="006E4BBA"/>
    <w:rsid w:val="006E5F43"/>
    <w:rsid w:val="006E60A6"/>
    <w:rsid w:val="006F0D4C"/>
    <w:rsid w:val="006F0F69"/>
    <w:rsid w:val="006F116B"/>
    <w:rsid w:val="006F117F"/>
    <w:rsid w:val="006F13DF"/>
    <w:rsid w:val="006F22DE"/>
    <w:rsid w:val="006F2436"/>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2C5C"/>
    <w:rsid w:val="00714007"/>
    <w:rsid w:val="00714094"/>
    <w:rsid w:val="00720714"/>
    <w:rsid w:val="00720BE5"/>
    <w:rsid w:val="00724821"/>
    <w:rsid w:val="0072548A"/>
    <w:rsid w:val="00726104"/>
    <w:rsid w:val="00726401"/>
    <w:rsid w:val="007277A6"/>
    <w:rsid w:val="00732480"/>
    <w:rsid w:val="00736F20"/>
    <w:rsid w:val="00740199"/>
    <w:rsid w:val="00742805"/>
    <w:rsid w:val="007437AB"/>
    <w:rsid w:val="00743DBA"/>
    <w:rsid w:val="00745425"/>
    <w:rsid w:val="00747561"/>
    <w:rsid w:val="007525F1"/>
    <w:rsid w:val="007534F8"/>
    <w:rsid w:val="007545AD"/>
    <w:rsid w:val="007562C3"/>
    <w:rsid w:val="00761D25"/>
    <w:rsid w:val="00762044"/>
    <w:rsid w:val="00763722"/>
    <w:rsid w:val="00764BC1"/>
    <w:rsid w:val="0076591D"/>
    <w:rsid w:val="00765BA8"/>
    <w:rsid w:val="00770869"/>
    <w:rsid w:val="00770A29"/>
    <w:rsid w:val="007738AA"/>
    <w:rsid w:val="00773BA8"/>
    <w:rsid w:val="00775CFC"/>
    <w:rsid w:val="00780A62"/>
    <w:rsid w:val="00783241"/>
    <w:rsid w:val="00784BDC"/>
    <w:rsid w:val="0078557D"/>
    <w:rsid w:val="00785C5E"/>
    <w:rsid w:val="00785CDB"/>
    <w:rsid w:val="00790022"/>
    <w:rsid w:val="0079041E"/>
    <w:rsid w:val="00792F28"/>
    <w:rsid w:val="007935CA"/>
    <w:rsid w:val="0079543F"/>
    <w:rsid w:val="00795880"/>
    <w:rsid w:val="007969FB"/>
    <w:rsid w:val="007A4367"/>
    <w:rsid w:val="007A506B"/>
    <w:rsid w:val="007B0047"/>
    <w:rsid w:val="007B059D"/>
    <w:rsid w:val="007B05A8"/>
    <w:rsid w:val="007B0867"/>
    <w:rsid w:val="007B08E7"/>
    <w:rsid w:val="007B0B57"/>
    <w:rsid w:val="007B1126"/>
    <w:rsid w:val="007B1AC1"/>
    <w:rsid w:val="007B1F7D"/>
    <w:rsid w:val="007B2E86"/>
    <w:rsid w:val="007B52F0"/>
    <w:rsid w:val="007B5A08"/>
    <w:rsid w:val="007B693D"/>
    <w:rsid w:val="007C1AB5"/>
    <w:rsid w:val="007C35D9"/>
    <w:rsid w:val="007C4CDC"/>
    <w:rsid w:val="007D3363"/>
    <w:rsid w:val="007D3596"/>
    <w:rsid w:val="007D4127"/>
    <w:rsid w:val="007E041B"/>
    <w:rsid w:val="007E1313"/>
    <w:rsid w:val="007E199A"/>
    <w:rsid w:val="007E1AED"/>
    <w:rsid w:val="007E2415"/>
    <w:rsid w:val="007E3696"/>
    <w:rsid w:val="007E39F3"/>
    <w:rsid w:val="007E405E"/>
    <w:rsid w:val="007E68F4"/>
    <w:rsid w:val="007E68FF"/>
    <w:rsid w:val="007E6DE2"/>
    <w:rsid w:val="007F061A"/>
    <w:rsid w:val="007F2709"/>
    <w:rsid w:val="007F2EC1"/>
    <w:rsid w:val="007F31BA"/>
    <w:rsid w:val="007F4078"/>
    <w:rsid w:val="007F40D0"/>
    <w:rsid w:val="007F6554"/>
    <w:rsid w:val="007F7098"/>
    <w:rsid w:val="0080014B"/>
    <w:rsid w:val="00801793"/>
    <w:rsid w:val="00803642"/>
    <w:rsid w:val="0080429F"/>
    <w:rsid w:val="0080547C"/>
    <w:rsid w:val="00805745"/>
    <w:rsid w:val="00806C25"/>
    <w:rsid w:val="00806E85"/>
    <w:rsid w:val="00806EA2"/>
    <w:rsid w:val="00806EE1"/>
    <w:rsid w:val="00812A2B"/>
    <w:rsid w:val="00814A4C"/>
    <w:rsid w:val="00814BED"/>
    <w:rsid w:val="008175E9"/>
    <w:rsid w:val="00820213"/>
    <w:rsid w:val="008232AB"/>
    <w:rsid w:val="00823820"/>
    <w:rsid w:val="008242C5"/>
    <w:rsid w:val="008278A8"/>
    <w:rsid w:val="00831046"/>
    <w:rsid w:val="00831AAB"/>
    <w:rsid w:val="00833BCD"/>
    <w:rsid w:val="00834B82"/>
    <w:rsid w:val="008351BC"/>
    <w:rsid w:val="0083574E"/>
    <w:rsid w:val="0083640C"/>
    <w:rsid w:val="008374E3"/>
    <w:rsid w:val="008378E1"/>
    <w:rsid w:val="008400F6"/>
    <w:rsid w:val="008408C6"/>
    <w:rsid w:val="008412F2"/>
    <w:rsid w:val="0084157B"/>
    <w:rsid w:val="00842158"/>
    <w:rsid w:val="00842BFB"/>
    <w:rsid w:val="008434C8"/>
    <w:rsid w:val="00843CD7"/>
    <w:rsid w:val="00845A93"/>
    <w:rsid w:val="00846B85"/>
    <w:rsid w:val="00846F95"/>
    <w:rsid w:val="00847DC3"/>
    <w:rsid w:val="00847F49"/>
    <w:rsid w:val="008517FD"/>
    <w:rsid w:val="00852693"/>
    <w:rsid w:val="008535C5"/>
    <w:rsid w:val="00853765"/>
    <w:rsid w:val="00853F1F"/>
    <w:rsid w:val="00854607"/>
    <w:rsid w:val="0085460C"/>
    <w:rsid w:val="008546CC"/>
    <w:rsid w:val="008550C2"/>
    <w:rsid w:val="0085516F"/>
    <w:rsid w:val="00855A37"/>
    <w:rsid w:val="00861748"/>
    <w:rsid w:val="00862597"/>
    <w:rsid w:val="00867186"/>
    <w:rsid w:val="00870AF6"/>
    <w:rsid w:val="00871485"/>
    <w:rsid w:val="00872B3A"/>
    <w:rsid w:val="00873158"/>
    <w:rsid w:val="00874212"/>
    <w:rsid w:val="00876F06"/>
    <w:rsid w:val="0087720E"/>
    <w:rsid w:val="00877452"/>
    <w:rsid w:val="00880F65"/>
    <w:rsid w:val="00881268"/>
    <w:rsid w:val="00883056"/>
    <w:rsid w:val="0088394A"/>
    <w:rsid w:val="00883C56"/>
    <w:rsid w:val="008860BD"/>
    <w:rsid w:val="00887399"/>
    <w:rsid w:val="0088779E"/>
    <w:rsid w:val="00890117"/>
    <w:rsid w:val="00890388"/>
    <w:rsid w:val="008912AF"/>
    <w:rsid w:val="00892114"/>
    <w:rsid w:val="00892CB9"/>
    <w:rsid w:val="0089353C"/>
    <w:rsid w:val="008935CB"/>
    <w:rsid w:val="008936A8"/>
    <w:rsid w:val="00896BB4"/>
    <w:rsid w:val="008A3626"/>
    <w:rsid w:val="008A4486"/>
    <w:rsid w:val="008A4DD4"/>
    <w:rsid w:val="008A5E53"/>
    <w:rsid w:val="008A7207"/>
    <w:rsid w:val="008B0E7E"/>
    <w:rsid w:val="008B426B"/>
    <w:rsid w:val="008B65BD"/>
    <w:rsid w:val="008B7900"/>
    <w:rsid w:val="008C0787"/>
    <w:rsid w:val="008C0992"/>
    <w:rsid w:val="008C2C8C"/>
    <w:rsid w:val="008C2FF5"/>
    <w:rsid w:val="008C60DB"/>
    <w:rsid w:val="008C612A"/>
    <w:rsid w:val="008C64C9"/>
    <w:rsid w:val="008C71BF"/>
    <w:rsid w:val="008C7FE0"/>
    <w:rsid w:val="008D4A2C"/>
    <w:rsid w:val="008D5335"/>
    <w:rsid w:val="008D5717"/>
    <w:rsid w:val="008D629A"/>
    <w:rsid w:val="008D654D"/>
    <w:rsid w:val="008D6E5D"/>
    <w:rsid w:val="008E44A9"/>
    <w:rsid w:val="008E54C7"/>
    <w:rsid w:val="008E6089"/>
    <w:rsid w:val="008E6B4D"/>
    <w:rsid w:val="008E6BFF"/>
    <w:rsid w:val="008F039E"/>
    <w:rsid w:val="008F1601"/>
    <w:rsid w:val="008F18EF"/>
    <w:rsid w:val="008F21AF"/>
    <w:rsid w:val="008F2400"/>
    <w:rsid w:val="008F3133"/>
    <w:rsid w:val="008F3E1B"/>
    <w:rsid w:val="008F4741"/>
    <w:rsid w:val="008F61BA"/>
    <w:rsid w:val="008F62A1"/>
    <w:rsid w:val="008F6995"/>
    <w:rsid w:val="008F6E3C"/>
    <w:rsid w:val="008F7C55"/>
    <w:rsid w:val="00903598"/>
    <w:rsid w:val="00903820"/>
    <w:rsid w:val="00903B46"/>
    <w:rsid w:val="00905AD8"/>
    <w:rsid w:val="00912C09"/>
    <w:rsid w:val="00914A23"/>
    <w:rsid w:val="00916C6C"/>
    <w:rsid w:val="009172D8"/>
    <w:rsid w:val="0092270F"/>
    <w:rsid w:val="009268F9"/>
    <w:rsid w:val="00930754"/>
    <w:rsid w:val="00930810"/>
    <w:rsid w:val="00931511"/>
    <w:rsid w:val="00931E6F"/>
    <w:rsid w:val="00934F68"/>
    <w:rsid w:val="00934FDF"/>
    <w:rsid w:val="009350E7"/>
    <w:rsid w:val="009355AC"/>
    <w:rsid w:val="00935F38"/>
    <w:rsid w:val="00937586"/>
    <w:rsid w:val="0093791F"/>
    <w:rsid w:val="009404AE"/>
    <w:rsid w:val="00942CC2"/>
    <w:rsid w:val="00945A50"/>
    <w:rsid w:val="009470CB"/>
    <w:rsid w:val="00947889"/>
    <w:rsid w:val="009478BD"/>
    <w:rsid w:val="009478D5"/>
    <w:rsid w:val="009514B4"/>
    <w:rsid w:val="00953B0B"/>
    <w:rsid w:val="00957962"/>
    <w:rsid w:val="00957E54"/>
    <w:rsid w:val="00960E98"/>
    <w:rsid w:val="009613C4"/>
    <w:rsid w:val="00962339"/>
    <w:rsid w:val="009626B0"/>
    <w:rsid w:val="009635C7"/>
    <w:rsid w:val="00963A82"/>
    <w:rsid w:val="00965807"/>
    <w:rsid w:val="00967E5E"/>
    <w:rsid w:val="00971851"/>
    <w:rsid w:val="00972912"/>
    <w:rsid w:val="00972F9C"/>
    <w:rsid w:val="00974564"/>
    <w:rsid w:val="00976D1F"/>
    <w:rsid w:val="00977ADD"/>
    <w:rsid w:val="00977E55"/>
    <w:rsid w:val="00981C81"/>
    <w:rsid w:val="0098231E"/>
    <w:rsid w:val="00982AE2"/>
    <w:rsid w:val="009838FC"/>
    <w:rsid w:val="00985395"/>
    <w:rsid w:val="009853AF"/>
    <w:rsid w:val="00985522"/>
    <w:rsid w:val="00986657"/>
    <w:rsid w:val="00990A27"/>
    <w:rsid w:val="00990ABF"/>
    <w:rsid w:val="0099427E"/>
    <w:rsid w:val="009966F9"/>
    <w:rsid w:val="009A0109"/>
    <w:rsid w:val="009A0DD9"/>
    <w:rsid w:val="009A153B"/>
    <w:rsid w:val="009A2741"/>
    <w:rsid w:val="009A2D24"/>
    <w:rsid w:val="009A3E7F"/>
    <w:rsid w:val="009A456C"/>
    <w:rsid w:val="009A65C8"/>
    <w:rsid w:val="009B00E0"/>
    <w:rsid w:val="009B01FC"/>
    <w:rsid w:val="009B292A"/>
    <w:rsid w:val="009B3D08"/>
    <w:rsid w:val="009B4D2F"/>
    <w:rsid w:val="009B57F0"/>
    <w:rsid w:val="009B76D5"/>
    <w:rsid w:val="009C165D"/>
    <w:rsid w:val="009C3CEA"/>
    <w:rsid w:val="009C583D"/>
    <w:rsid w:val="009C59BA"/>
    <w:rsid w:val="009C5AB5"/>
    <w:rsid w:val="009C5C63"/>
    <w:rsid w:val="009C6D51"/>
    <w:rsid w:val="009D2611"/>
    <w:rsid w:val="009D2E81"/>
    <w:rsid w:val="009D518D"/>
    <w:rsid w:val="009D79D2"/>
    <w:rsid w:val="009E02D0"/>
    <w:rsid w:val="009E0677"/>
    <w:rsid w:val="009E247C"/>
    <w:rsid w:val="009E31BA"/>
    <w:rsid w:val="009E4212"/>
    <w:rsid w:val="009F0528"/>
    <w:rsid w:val="009F0806"/>
    <w:rsid w:val="009F0848"/>
    <w:rsid w:val="009F233B"/>
    <w:rsid w:val="009F2F1D"/>
    <w:rsid w:val="009F4E78"/>
    <w:rsid w:val="009F5A00"/>
    <w:rsid w:val="009F7741"/>
    <w:rsid w:val="00A02EC2"/>
    <w:rsid w:val="00A033FB"/>
    <w:rsid w:val="00A0399F"/>
    <w:rsid w:val="00A04214"/>
    <w:rsid w:val="00A055AC"/>
    <w:rsid w:val="00A05D16"/>
    <w:rsid w:val="00A0621C"/>
    <w:rsid w:val="00A0659F"/>
    <w:rsid w:val="00A079BA"/>
    <w:rsid w:val="00A14181"/>
    <w:rsid w:val="00A14CF6"/>
    <w:rsid w:val="00A14E8C"/>
    <w:rsid w:val="00A1554F"/>
    <w:rsid w:val="00A17085"/>
    <w:rsid w:val="00A1779C"/>
    <w:rsid w:val="00A20C70"/>
    <w:rsid w:val="00A21E99"/>
    <w:rsid w:val="00A2424D"/>
    <w:rsid w:val="00A26491"/>
    <w:rsid w:val="00A33875"/>
    <w:rsid w:val="00A360A1"/>
    <w:rsid w:val="00A373D4"/>
    <w:rsid w:val="00A402B3"/>
    <w:rsid w:val="00A4234C"/>
    <w:rsid w:val="00A43284"/>
    <w:rsid w:val="00A45367"/>
    <w:rsid w:val="00A45639"/>
    <w:rsid w:val="00A474AF"/>
    <w:rsid w:val="00A53C71"/>
    <w:rsid w:val="00A544B7"/>
    <w:rsid w:val="00A6000D"/>
    <w:rsid w:val="00A6037B"/>
    <w:rsid w:val="00A60500"/>
    <w:rsid w:val="00A618CF"/>
    <w:rsid w:val="00A62770"/>
    <w:rsid w:val="00A62EEB"/>
    <w:rsid w:val="00A635C8"/>
    <w:rsid w:val="00A63D75"/>
    <w:rsid w:val="00A65511"/>
    <w:rsid w:val="00A660FF"/>
    <w:rsid w:val="00A71EA0"/>
    <w:rsid w:val="00A72A41"/>
    <w:rsid w:val="00A73277"/>
    <w:rsid w:val="00A73395"/>
    <w:rsid w:val="00A7631D"/>
    <w:rsid w:val="00A771E3"/>
    <w:rsid w:val="00A806CF"/>
    <w:rsid w:val="00A811DC"/>
    <w:rsid w:val="00A81E08"/>
    <w:rsid w:val="00A82B4C"/>
    <w:rsid w:val="00A83D8B"/>
    <w:rsid w:val="00A84079"/>
    <w:rsid w:val="00A86C15"/>
    <w:rsid w:val="00A87B23"/>
    <w:rsid w:val="00A92A4F"/>
    <w:rsid w:val="00A939AC"/>
    <w:rsid w:val="00A93A4C"/>
    <w:rsid w:val="00A93FA3"/>
    <w:rsid w:val="00A94D5D"/>
    <w:rsid w:val="00A957D8"/>
    <w:rsid w:val="00A97CEA"/>
    <w:rsid w:val="00AA09FE"/>
    <w:rsid w:val="00AA1D9B"/>
    <w:rsid w:val="00AA2543"/>
    <w:rsid w:val="00AA3804"/>
    <w:rsid w:val="00AA3995"/>
    <w:rsid w:val="00AA3F3A"/>
    <w:rsid w:val="00AA55C2"/>
    <w:rsid w:val="00AA5A7E"/>
    <w:rsid w:val="00AA6323"/>
    <w:rsid w:val="00AA78B3"/>
    <w:rsid w:val="00AB0ACA"/>
    <w:rsid w:val="00AB1D41"/>
    <w:rsid w:val="00AB2EE7"/>
    <w:rsid w:val="00AB3A99"/>
    <w:rsid w:val="00AC16F3"/>
    <w:rsid w:val="00AC3719"/>
    <w:rsid w:val="00AC4D75"/>
    <w:rsid w:val="00AC5E9A"/>
    <w:rsid w:val="00AC704B"/>
    <w:rsid w:val="00AD05F9"/>
    <w:rsid w:val="00AD4D5A"/>
    <w:rsid w:val="00AD553E"/>
    <w:rsid w:val="00AD5848"/>
    <w:rsid w:val="00AD5B3F"/>
    <w:rsid w:val="00AE017F"/>
    <w:rsid w:val="00AE0818"/>
    <w:rsid w:val="00AE538B"/>
    <w:rsid w:val="00AE5ADA"/>
    <w:rsid w:val="00AF1342"/>
    <w:rsid w:val="00AF423B"/>
    <w:rsid w:val="00AF5BF3"/>
    <w:rsid w:val="00AF6145"/>
    <w:rsid w:val="00B0023C"/>
    <w:rsid w:val="00B01386"/>
    <w:rsid w:val="00B0188E"/>
    <w:rsid w:val="00B01915"/>
    <w:rsid w:val="00B01BB5"/>
    <w:rsid w:val="00B02037"/>
    <w:rsid w:val="00B026CC"/>
    <w:rsid w:val="00B035B6"/>
    <w:rsid w:val="00B04AF4"/>
    <w:rsid w:val="00B05214"/>
    <w:rsid w:val="00B06171"/>
    <w:rsid w:val="00B0697D"/>
    <w:rsid w:val="00B126EB"/>
    <w:rsid w:val="00B14954"/>
    <w:rsid w:val="00B167EE"/>
    <w:rsid w:val="00B25337"/>
    <w:rsid w:val="00B27595"/>
    <w:rsid w:val="00B30D0E"/>
    <w:rsid w:val="00B30D97"/>
    <w:rsid w:val="00B31074"/>
    <w:rsid w:val="00B31443"/>
    <w:rsid w:val="00B3181A"/>
    <w:rsid w:val="00B32B18"/>
    <w:rsid w:val="00B34349"/>
    <w:rsid w:val="00B352FF"/>
    <w:rsid w:val="00B35A7C"/>
    <w:rsid w:val="00B3794F"/>
    <w:rsid w:val="00B41E9F"/>
    <w:rsid w:val="00B4390E"/>
    <w:rsid w:val="00B44ECD"/>
    <w:rsid w:val="00B450D1"/>
    <w:rsid w:val="00B47443"/>
    <w:rsid w:val="00B5201B"/>
    <w:rsid w:val="00B530B9"/>
    <w:rsid w:val="00B53D47"/>
    <w:rsid w:val="00B54A25"/>
    <w:rsid w:val="00B57311"/>
    <w:rsid w:val="00B60071"/>
    <w:rsid w:val="00B618C3"/>
    <w:rsid w:val="00B62E56"/>
    <w:rsid w:val="00B63652"/>
    <w:rsid w:val="00B668B0"/>
    <w:rsid w:val="00B66A2B"/>
    <w:rsid w:val="00B66AC6"/>
    <w:rsid w:val="00B70F5C"/>
    <w:rsid w:val="00B71873"/>
    <w:rsid w:val="00B75AE5"/>
    <w:rsid w:val="00B765D1"/>
    <w:rsid w:val="00B800C0"/>
    <w:rsid w:val="00B809F7"/>
    <w:rsid w:val="00B80F0A"/>
    <w:rsid w:val="00B8132B"/>
    <w:rsid w:val="00B826E1"/>
    <w:rsid w:val="00B82D2A"/>
    <w:rsid w:val="00B84C5A"/>
    <w:rsid w:val="00B858F5"/>
    <w:rsid w:val="00B85C68"/>
    <w:rsid w:val="00B87139"/>
    <w:rsid w:val="00B92F13"/>
    <w:rsid w:val="00B93668"/>
    <w:rsid w:val="00B93F9D"/>
    <w:rsid w:val="00B95535"/>
    <w:rsid w:val="00B97AB5"/>
    <w:rsid w:val="00B97ADB"/>
    <w:rsid w:val="00BA39BC"/>
    <w:rsid w:val="00BA4246"/>
    <w:rsid w:val="00BA68C6"/>
    <w:rsid w:val="00BB12F1"/>
    <w:rsid w:val="00BB276E"/>
    <w:rsid w:val="00BB3489"/>
    <w:rsid w:val="00BB359F"/>
    <w:rsid w:val="00BB3FEE"/>
    <w:rsid w:val="00BB5E3B"/>
    <w:rsid w:val="00BB5EB0"/>
    <w:rsid w:val="00BB5F7F"/>
    <w:rsid w:val="00BB7990"/>
    <w:rsid w:val="00BC2420"/>
    <w:rsid w:val="00BC245A"/>
    <w:rsid w:val="00BC258B"/>
    <w:rsid w:val="00BC3910"/>
    <w:rsid w:val="00BC4B7E"/>
    <w:rsid w:val="00BC7B0B"/>
    <w:rsid w:val="00BD16FA"/>
    <w:rsid w:val="00BD2C5C"/>
    <w:rsid w:val="00BD41C3"/>
    <w:rsid w:val="00BD488B"/>
    <w:rsid w:val="00BD4947"/>
    <w:rsid w:val="00BD75A6"/>
    <w:rsid w:val="00BD7CCC"/>
    <w:rsid w:val="00BE002A"/>
    <w:rsid w:val="00BE0283"/>
    <w:rsid w:val="00BE1BC9"/>
    <w:rsid w:val="00BE229B"/>
    <w:rsid w:val="00BE3A91"/>
    <w:rsid w:val="00BE4116"/>
    <w:rsid w:val="00BE5CDA"/>
    <w:rsid w:val="00BE608F"/>
    <w:rsid w:val="00BF03D1"/>
    <w:rsid w:val="00BF23BB"/>
    <w:rsid w:val="00BF25AC"/>
    <w:rsid w:val="00BF33DD"/>
    <w:rsid w:val="00BF47B0"/>
    <w:rsid w:val="00BF4C2F"/>
    <w:rsid w:val="00BF5755"/>
    <w:rsid w:val="00BF659B"/>
    <w:rsid w:val="00BF684B"/>
    <w:rsid w:val="00BF6947"/>
    <w:rsid w:val="00C016F3"/>
    <w:rsid w:val="00C0395B"/>
    <w:rsid w:val="00C0634A"/>
    <w:rsid w:val="00C11CE1"/>
    <w:rsid w:val="00C13CAD"/>
    <w:rsid w:val="00C14566"/>
    <w:rsid w:val="00C14B21"/>
    <w:rsid w:val="00C15193"/>
    <w:rsid w:val="00C15609"/>
    <w:rsid w:val="00C15EB7"/>
    <w:rsid w:val="00C15F6A"/>
    <w:rsid w:val="00C161CD"/>
    <w:rsid w:val="00C1694D"/>
    <w:rsid w:val="00C20742"/>
    <w:rsid w:val="00C20AF1"/>
    <w:rsid w:val="00C20CD8"/>
    <w:rsid w:val="00C20D52"/>
    <w:rsid w:val="00C23EA7"/>
    <w:rsid w:val="00C256F3"/>
    <w:rsid w:val="00C270A2"/>
    <w:rsid w:val="00C3100C"/>
    <w:rsid w:val="00C315B5"/>
    <w:rsid w:val="00C31C3A"/>
    <w:rsid w:val="00C341AF"/>
    <w:rsid w:val="00C34FB1"/>
    <w:rsid w:val="00C35E28"/>
    <w:rsid w:val="00C37026"/>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1EC3"/>
    <w:rsid w:val="00C623EB"/>
    <w:rsid w:val="00C64C6B"/>
    <w:rsid w:val="00C66F2E"/>
    <w:rsid w:val="00C6785C"/>
    <w:rsid w:val="00C70FD1"/>
    <w:rsid w:val="00C71455"/>
    <w:rsid w:val="00C71C32"/>
    <w:rsid w:val="00C72B76"/>
    <w:rsid w:val="00C733AA"/>
    <w:rsid w:val="00C74E72"/>
    <w:rsid w:val="00C76BC5"/>
    <w:rsid w:val="00C81529"/>
    <w:rsid w:val="00C82246"/>
    <w:rsid w:val="00C83027"/>
    <w:rsid w:val="00C83E99"/>
    <w:rsid w:val="00C84B8A"/>
    <w:rsid w:val="00C84DD5"/>
    <w:rsid w:val="00C85ADE"/>
    <w:rsid w:val="00C85E65"/>
    <w:rsid w:val="00C86E66"/>
    <w:rsid w:val="00C87CA1"/>
    <w:rsid w:val="00C911B4"/>
    <w:rsid w:val="00C915EF"/>
    <w:rsid w:val="00C91687"/>
    <w:rsid w:val="00C91B3B"/>
    <w:rsid w:val="00C94262"/>
    <w:rsid w:val="00C94816"/>
    <w:rsid w:val="00C95FF4"/>
    <w:rsid w:val="00C96904"/>
    <w:rsid w:val="00C976E1"/>
    <w:rsid w:val="00CA04BA"/>
    <w:rsid w:val="00CA148E"/>
    <w:rsid w:val="00CA3A9A"/>
    <w:rsid w:val="00CA43D0"/>
    <w:rsid w:val="00CA4919"/>
    <w:rsid w:val="00CA6F17"/>
    <w:rsid w:val="00CA74DC"/>
    <w:rsid w:val="00CB5B7E"/>
    <w:rsid w:val="00CB6BC1"/>
    <w:rsid w:val="00CB6D3B"/>
    <w:rsid w:val="00CB7021"/>
    <w:rsid w:val="00CC0A97"/>
    <w:rsid w:val="00CC56E9"/>
    <w:rsid w:val="00CC63F9"/>
    <w:rsid w:val="00CC7514"/>
    <w:rsid w:val="00CC7986"/>
    <w:rsid w:val="00CD22EB"/>
    <w:rsid w:val="00CD3294"/>
    <w:rsid w:val="00CD4524"/>
    <w:rsid w:val="00CD784D"/>
    <w:rsid w:val="00CE278E"/>
    <w:rsid w:val="00CE3963"/>
    <w:rsid w:val="00CE3C9A"/>
    <w:rsid w:val="00CE4C36"/>
    <w:rsid w:val="00CE587A"/>
    <w:rsid w:val="00CE6727"/>
    <w:rsid w:val="00CF3A1C"/>
    <w:rsid w:val="00CF40F8"/>
    <w:rsid w:val="00CF41AE"/>
    <w:rsid w:val="00CF4AB0"/>
    <w:rsid w:val="00D006CA"/>
    <w:rsid w:val="00D008DA"/>
    <w:rsid w:val="00D01531"/>
    <w:rsid w:val="00D016BF"/>
    <w:rsid w:val="00D0416F"/>
    <w:rsid w:val="00D05851"/>
    <w:rsid w:val="00D06865"/>
    <w:rsid w:val="00D1097D"/>
    <w:rsid w:val="00D10FED"/>
    <w:rsid w:val="00D1163F"/>
    <w:rsid w:val="00D11736"/>
    <w:rsid w:val="00D12EE8"/>
    <w:rsid w:val="00D1385B"/>
    <w:rsid w:val="00D14CDF"/>
    <w:rsid w:val="00D1527C"/>
    <w:rsid w:val="00D15D8E"/>
    <w:rsid w:val="00D15FF1"/>
    <w:rsid w:val="00D167F4"/>
    <w:rsid w:val="00D17D68"/>
    <w:rsid w:val="00D20130"/>
    <w:rsid w:val="00D2092A"/>
    <w:rsid w:val="00D21AEF"/>
    <w:rsid w:val="00D21BC3"/>
    <w:rsid w:val="00D2216D"/>
    <w:rsid w:val="00D22640"/>
    <w:rsid w:val="00D300B3"/>
    <w:rsid w:val="00D319E1"/>
    <w:rsid w:val="00D31A6F"/>
    <w:rsid w:val="00D346A1"/>
    <w:rsid w:val="00D35156"/>
    <w:rsid w:val="00D353D1"/>
    <w:rsid w:val="00D367DB"/>
    <w:rsid w:val="00D36E05"/>
    <w:rsid w:val="00D4202A"/>
    <w:rsid w:val="00D4209F"/>
    <w:rsid w:val="00D42BC5"/>
    <w:rsid w:val="00D42EC2"/>
    <w:rsid w:val="00D439AA"/>
    <w:rsid w:val="00D44F27"/>
    <w:rsid w:val="00D45304"/>
    <w:rsid w:val="00D46165"/>
    <w:rsid w:val="00D461C7"/>
    <w:rsid w:val="00D50424"/>
    <w:rsid w:val="00D525C9"/>
    <w:rsid w:val="00D5301E"/>
    <w:rsid w:val="00D5721C"/>
    <w:rsid w:val="00D57D3E"/>
    <w:rsid w:val="00D60CB5"/>
    <w:rsid w:val="00D64F52"/>
    <w:rsid w:val="00D65590"/>
    <w:rsid w:val="00D65A7D"/>
    <w:rsid w:val="00D65D7E"/>
    <w:rsid w:val="00D663A7"/>
    <w:rsid w:val="00D66457"/>
    <w:rsid w:val="00D67098"/>
    <w:rsid w:val="00D7177F"/>
    <w:rsid w:val="00D76249"/>
    <w:rsid w:val="00D77799"/>
    <w:rsid w:val="00D82FBF"/>
    <w:rsid w:val="00D8417D"/>
    <w:rsid w:val="00D93EF2"/>
    <w:rsid w:val="00D95044"/>
    <w:rsid w:val="00D950D4"/>
    <w:rsid w:val="00D95C42"/>
    <w:rsid w:val="00D971CE"/>
    <w:rsid w:val="00D9767C"/>
    <w:rsid w:val="00D97BCD"/>
    <w:rsid w:val="00DA145C"/>
    <w:rsid w:val="00DA1973"/>
    <w:rsid w:val="00DA1E3A"/>
    <w:rsid w:val="00DA4AD0"/>
    <w:rsid w:val="00DA4CD6"/>
    <w:rsid w:val="00DA520B"/>
    <w:rsid w:val="00DA599E"/>
    <w:rsid w:val="00DA5C34"/>
    <w:rsid w:val="00DA71A3"/>
    <w:rsid w:val="00DA7D12"/>
    <w:rsid w:val="00DB2DB2"/>
    <w:rsid w:val="00DB52B2"/>
    <w:rsid w:val="00DB601E"/>
    <w:rsid w:val="00DC18F3"/>
    <w:rsid w:val="00DC23CF"/>
    <w:rsid w:val="00DC2941"/>
    <w:rsid w:val="00DC5875"/>
    <w:rsid w:val="00DC6562"/>
    <w:rsid w:val="00DD03D0"/>
    <w:rsid w:val="00DD0A44"/>
    <w:rsid w:val="00DD0B16"/>
    <w:rsid w:val="00DD6AF7"/>
    <w:rsid w:val="00DD6EB1"/>
    <w:rsid w:val="00DD76B7"/>
    <w:rsid w:val="00DE130D"/>
    <w:rsid w:val="00DE1F89"/>
    <w:rsid w:val="00DE24CF"/>
    <w:rsid w:val="00DE28B1"/>
    <w:rsid w:val="00DE407C"/>
    <w:rsid w:val="00DE4AB6"/>
    <w:rsid w:val="00DE51A9"/>
    <w:rsid w:val="00DE660A"/>
    <w:rsid w:val="00DE7C7D"/>
    <w:rsid w:val="00DF11FA"/>
    <w:rsid w:val="00DF2992"/>
    <w:rsid w:val="00DF2D0C"/>
    <w:rsid w:val="00DF5C8C"/>
    <w:rsid w:val="00DF5CDB"/>
    <w:rsid w:val="00DF7FD5"/>
    <w:rsid w:val="00E00058"/>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190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4F60"/>
    <w:rsid w:val="00E7595D"/>
    <w:rsid w:val="00E75DC9"/>
    <w:rsid w:val="00E81610"/>
    <w:rsid w:val="00E81F99"/>
    <w:rsid w:val="00E82D1B"/>
    <w:rsid w:val="00E84910"/>
    <w:rsid w:val="00E859E7"/>
    <w:rsid w:val="00E85B28"/>
    <w:rsid w:val="00E902F9"/>
    <w:rsid w:val="00E9035C"/>
    <w:rsid w:val="00E91976"/>
    <w:rsid w:val="00E93AFC"/>
    <w:rsid w:val="00E947A6"/>
    <w:rsid w:val="00E94D02"/>
    <w:rsid w:val="00E97D01"/>
    <w:rsid w:val="00E97FC7"/>
    <w:rsid w:val="00EA0690"/>
    <w:rsid w:val="00EA088D"/>
    <w:rsid w:val="00EA207A"/>
    <w:rsid w:val="00EA3956"/>
    <w:rsid w:val="00EA62BF"/>
    <w:rsid w:val="00EA7136"/>
    <w:rsid w:val="00EA7E51"/>
    <w:rsid w:val="00EB1219"/>
    <w:rsid w:val="00EB325A"/>
    <w:rsid w:val="00EB4BB0"/>
    <w:rsid w:val="00EB5DDC"/>
    <w:rsid w:val="00EB5E96"/>
    <w:rsid w:val="00EC02A5"/>
    <w:rsid w:val="00EC176B"/>
    <w:rsid w:val="00EC2E65"/>
    <w:rsid w:val="00EC33CD"/>
    <w:rsid w:val="00EC5BE5"/>
    <w:rsid w:val="00EC6A6D"/>
    <w:rsid w:val="00ED2650"/>
    <w:rsid w:val="00ED5C89"/>
    <w:rsid w:val="00ED626B"/>
    <w:rsid w:val="00ED69D1"/>
    <w:rsid w:val="00ED6CDF"/>
    <w:rsid w:val="00ED721A"/>
    <w:rsid w:val="00ED7759"/>
    <w:rsid w:val="00ED7D4D"/>
    <w:rsid w:val="00EE02DE"/>
    <w:rsid w:val="00EE13FE"/>
    <w:rsid w:val="00EE36C9"/>
    <w:rsid w:val="00EE393D"/>
    <w:rsid w:val="00EE5194"/>
    <w:rsid w:val="00EF01CF"/>
    <w:rsid w:val="00EF09CE"/>
    <w:rsid w:val="00EF1C5B"/>
    <w:rsid w:val="00EF1F82"/>
    <w:rsid w:val="00EF5EF9"/>
    <w:rsid w:val="00EF6A47"/>
    <w:rsid w:val="00EF7AF9"/>
    <w:rsid w:val="00F000EE"/>
    <w:rsid w:val="00F006CA"/>
    <w:rsid w:val="00F00952"/>
    <w:rsid w:val="00F01495"/>
    <w:rsid w:val="00F04687"/>
    <w:rsid w:val="00F10138"/>
    <w:rsid w:val="00F10475"/>
    <w:rsid w:val="00F11C1C"/>
    <w:rsid w:val="00F12BE1"/>
    <w:rsid w:val="00F13F92"/>
    <w:rsid w:val="00F17029"/>
    <w:rsid w:val="00F22ECA"/>
    <w:rsid w:val="00F240E8"/>
    <w:rsid w:val="00F244FA"/>
    <w:rsid w:val="00F3220A"/>
    <w:rsid w:val="00F325B9"/>
    <w:rsid w:val="00F33192"/>
    <w:rsid w:val="00F346BA"/>
    <w:rsid w:val="00F366A2"/>
    <w:rsid w:val="00F3705D"/>
    <w:rsid w:val="00F42716"/>
    <w:rsid w:val="00F43025"/>
    <w:rsid w:val="00F44C49"/>
    <w:rsid w:val="00F44E4E"/>
    <w:rsid w:val="00F44F43"/>
    <w:rsid w:val="00F450E1"/>
    <w:rsid w:val="00F46355"/>
    <w:rsid w:val="00F50DF4"/>
    <w:rsid w:val="00F537B5"/>
    <w:rsid w:val="00F56049"/>
    <w:rsid w:val="00F566C9"/>
    <w:rsid w:val="00F5718D"/>
    <w:rsid w:val="00F5735B"/>
    <w:rsid w:val="00F57AFE"/>
    <w:rsid w:val="00F60F63"/>
    <w:rsid w:val="00F6278E"/>
    <w:rsid w:val="00F63C41"/>
    <w:rsid w:val="00F63E96"/>
    <w:rsid w:val="00F65C2A"/>
    <w:rsid w:val="00F66AE9"/>
    <w:rsid w:val="00F6710C"/>
    <w:rsid w:val="00F677D2"/>
    <w:rsid w:val="00F67C76"/>
    <w:rsid w:val="00F701E3"/>
    <w:rsid w:val="00F70A0E"/>
    <w:rsid w:val="00F71008"/>
    <w:rsid w:val="00F7130A"/>
    <w:rsid w:val="00F71F8C"/>
    <w:rsid w:val="00F72163"/>
    <w:rsid w:val="00F72F5C"/>
    <w:rsid w:val="00F75AC3"/>
    <w:rsid w:val="00F8023E"/>
    <w:rsid w:val="00F806BA"/>
    <w:rsid w:val="00F8333F"/>
    <w:rsid w:val="00F8459B"/>
    <w:rsid w:val="00F852C7"/>
    <w:rsid w:val="00F86AD4"/>
    <w:rsid w:val="00F91EF1"/>
    <w:rsid w:val="00FA0113"/>
    <w:rsid w:val="00FA0A02"/>
    <w:rsid w:val="00FA12B2"/>
    <w:rsid w:val="00FA18AE"/>
    <w:rsid w:val="00FA468C"/>
    <w:rsid w:val="00FA753A"/>
    <w:rsid w:val="00FA7610"/>
    <w:rsid w:val="00FA7A80"/>
    <w:rsid w:val="00FB02BD"/>
    <w:rsid w:val="00FB0D8A"/>
    <w:rsid w:val="00FB0FE5"/>
    <w:rsid w:val="00FB398F"/>
    <w:rsid w:val="00FB4E50"/>
    <w:rsid w:val="00FB4EF8"/>
    <w:rsid w:val="00FB54AE"/>
    <w:rsid w:val="00FB61AB"/>
    <w:rsid w:val="00FB6372"/>
    <w:rsid w:val="00FB709A"/>
    <w:rsid w:val="00FB78DD"/>
    <w:rsid w:val="00FC0992"/>
    <w:rsid w:val="00FC12D9"/>
    <w:rsid w:val="00FC269B"/>
    <w:rsid w:val="00FC2BDE"/>
    <w:rsid w:val="00FC3EF3"/>
    <w:rsid w:val="00FC4647"/>
    <w:rsid w:val="00FC54C5"/>
    <w:rsid w:val="00FC5675"/>
    <w:rsid w:val="00FC5D35"/>
    <w:rsid w:val="00FC7643"/>
    <w:rsid w:val="00FC798F"/>
    <w:rsid w:val="00FC7D7B"/>
    <w:rsid w:val="00FD0233"/>
    <w:rsid w:val="00FD2049"/>
    <w:rsid w:val="00FD20E2"/>
    <w:rsid w:val="00FD2140"/>
    <w:rsid w:val="00FD37F6"/>
    <w:rsid w:val="00FD4129"/>
    <w:rsid w:val="00FD49E2"/>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docId w15:val="{0B9CBFA4-AAE3-4191-BA86-E1551EAF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 w:type="paragraph" w:styleId="Revision">
    <w:name w:val="Revision"/>
    <w:hidden/>
    <w:uiPriority w:val="99"/>
    <w:semiHidden/>
    <w:rsid w:val="007F655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2C58-A136-40BE-808B-D1935553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7131</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80</cp:revision>
  <cp:lastPrinted>2025-05-12T08:31:00Z</cp:lastPrinted>
  <dcterms:created xsi:type="dcterms:W3CDTF">2025-04-08T08:33:00Z</dcterms:created>
  <dcterms:modified xsi:type="dcterms:W3CDTF">2025-08-11T08:45:00Z</dcterms:modified>
</cp:coreProperties>
</file>