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D342" w14:textId="0390A069" w:rsidR="00BF6947" w:rsidRPr="00D8417D" w:rsidRDefault="002A0BAE" w:rsidP="00BF6947">
      <w:pPr>
        <w:jc w:val="right"/>
        <w:rPr>
          <w:rFonts w:ascii="Verdana" w:eastAsia="Malgun Gothic" w:hAnsi="Verdana" w:cs="Arial"/>
          <w:sz w:val="18"/>
          <w:szCs w:val="18"/>
          <w:lang w:val="el-GR"/>
        </w:rPr>
      </w:pPr>
      <w:r w:rsidRPr="003E397C">
        <w:rPr>
          <w:rFonts w:ascii="Verdana" w:hAnsi="Verdana" w:cs="Arial"/>
          <w:sz w:val="18"/>
          <w:szCs w:val="18"/>
          <w:lang w:val="el-GR"/>
        </w:rPr>
        <w:t xml:space="preserve">10 </w:t>
      </w:r>
      <w:r w:rsidR="000B6582">
        <w:rPr>
          <w:rFonts w:ascii="Verdana" w:hAnsi="Verdana" w:cs="Arial"/>
          <w:sz w:val="18"/>
          <w:szCs w:val="18"/>
          <w:lang w:val="el-GR"/>
        </w:rPr>
        <w:t>Φεβρουαρίου</w:t>
      </w:r>
      <w:r w:rsidR="00BF6947" w:rsidRPr="00D8417D">
        <w:rPr>
          <w:rFonts w:ascii="Verdana" w:eastAsia="Malgun Gothic" w:hAnsi="Verdana" w:cs="Arial"/>
          <w:sz w:val="18"/>
          <w:szCs w:val="18"/>
          <w:lang w:val="el-GR"/>
        </w:rPr>
        <w:t>, 202</w:t>
      </w:r>
      <w:r w:rsidR="002D60AC">
        <w:rPr>
          <w:rFonts w:ascii="Verdana" w:eastAsia="Malgun Gothic" w:hAnsi="Verdana" w:cs="Arial"/>
          <w:sz w:val="18"/>
          <w:szCs w:val="18"/>
          <w:lang w:val="el-GR"/>
        </w:rPr>
        <w:t>5</w:t>
      </w:r>
    </w:p>
    <w:p w14:paraId="5E87EAC9" w14:textId="77777777" w:rsidR="00D950D4" w:rsidRPr="00D8417D" w:rsidRDefault="00D950D4" w:rsidP="00BF6947">
      <w:pPr>
        <w:jc w:val="center"/>
        <w:rPr>
          <w:rFonts w:ascii="Verdana" w:eastAsia="Malgun Gothic" w:hAnsi="Verdana" w:cs="Arial"/>
          <w:b/>
          <w:sz w:val="24"/>
          <w:szCs w:val="24"/>
          <w:lang w:val="el-GR"/>
        </w:rPr>
      </w:pPr>
    </w:p>
    <w:p w14:paraId="2A26B5CA" w14:textId="73AC34D2" w:rsidR="00BF6947" w:rsidRPr="00D8417D" w:rsidRDefault="00BF6947" w:rsidP="00BF6947">
      <w:pPr>
        <w:jc w:val="center"/>
        <w:rPr>
          <w:rFonts w:ascii="Verdana" w:eastAsia="Malgun Gothic" w:hAnsi="Verdana" w:cs="Arial"/>
          <w:b/>
          <w:sz w:val="24"/>
          <w:szCs w:val="24"/>
          <w:lang w:val="el-GR"/>
        </w:rPr>
      </w:pPr>
      <w:r w:rsidRPr="00D8417D">
        <w:rPr>
          <w:rFonts w:ascii="Verdana" w:eastAsia="Malgun Gothic" w:hAnsi="Verdana" w:cs="Arial"/>
          <w:b/>
          <w:sz w:val="24"/>
          <w:szCs w:val="24"/>
          <w:lang w:val="el-GR"/>
        </w:rPr>
        <w:t>ΔΕΛΤΙΟ ΤΥΠΟΥ</w:t>
      </w:r>
      <w:r w:rsidR="00C161CD" w:rsidRPr="00D8417D">
        <w:rPr>
          <w:rFonts w:ascii="Verdana" w:eastAsia="Malgun Gothic" w:hAnsi="Verdana" w:cs="Arial"/>
          <w:b/>
          <w:sz w:val="24"/>
          <w:szCs w:val="24"/>
          <w:lang w:val="el-GR"/>
        </w:rPr>
        <w:t xml:space="preserve"> </w:t>
      </w:r>
      <w:r w:rsidR="007E68FF" w:rsidRPr="00D8417D">
        <w:rPr>
          <w:rFonts w:ascii="Verdana" w:eastAsia="Malgun Gothic" w:hAnsi="Verdana" w:cs="Arial"/>
          <w:b/>
          <w:sz w:val="24"/>
          <w:szCs w:val="24"/>
          <w:lang w:val="el-GR"/>
        </w:rPr>
        <w:t xml:space="preserve"> </w:t>
      </w:r>
    </w:p>
    <w:p w14:paraId="2A18CC71" w14:textId="77777777" w:rsidR="00BF6947" w:rsidRPr="00D8417D" w:rsidRDefault="00BF6947" w:rsidP="00BF6947">
      <w:pPr>
        <w:rPr>
          <w:rFonts w:ascii="Verdana" w:eastAsia="Malgun Gothic" w:hAnsi="Verdana" w:cs="Arial"/>
          <w:sz w:val="18"/>
          <w:szCs w:val="18"/>
          <w:lang w:val="el-GR"/>
        </w:rPr>
      </w:pPr>
    </w:p>
    <w:p w14:paraId="4EF15FD5" w14:textId="77777777" w:rsidR="006055F8" w:rsidRPr="00D8417D" w:rsidRDefault="00BF6947" w:rsidP="006055F8">
      <w:pPr>
        <w:keepNext/>
        <w:spacing w:line="276" w:lineRule="auto"/>
        <w:jc w:val="center"/>
        <w:outlineLvl w:val="5"/>
        <w:rPr>
          <w:rFonts w:ascii="Verdana" w:eastAsia="Times New Roman" w:hAnsi="Verdana"/>
          <w:b/>
          <w:u w:val="single"/>
          <w:shd w:val="clear" w:color="auto" w:fill="FFFFFF"/>
          <w:lang w:val="el-GR"/>
        </w:rPr>
      </w:pPr>
      <w:r w:rsidRPr="00D8417D">
        <w:rPr>
          <w:rFonts w:ascii="Verdana" w:eastAsia="Times New Roman" w:hAnsi="Verdana"/>
          <w:b/>
          <w:u w:val="single"/>
          <w:shd w:val="clear" w:color="auto" w:fill="FFFFFF"/>
          <w:lang w:val="el-GR"/>
        </w:rPr>
        <w:t>ΣΤΑΤΙΣΤΙΚΕΣ ΕΞΩΤΕΡΙΚΟΥ ΕΜΠΟΡΙΟΥ:</w:t>
      </w:r>
    </w:p>
    <w:p w14:paraId="1467DE86" w14:textId="0BA59F9B" w:rsidR="00BF6947" w:rsidRPr="006C41F5" w:rsidRDefault="000B6582" w:rsidP="006055F8">
      <w:pPr>
        <w:keepNext/>
        <w:spacing w:line="276" w:lineRule="auto"/>
        <w:jc w:val="center"/>
        <w:outlineLvl w:val="5"/>
        <w:rPr>
          <w:rFonts w:ascii="Verdana" w:eastAsia="Times New Roman" w:hAnsi="Verdana"/>
          <w:b/>
          <w:u w:val="single"/>
          <w:shd w:val="clear" w:color="auto" w:fill="FFFFFF"/>
          <w:lang w:val="el-GR"/>
        </w:rPr>
      </w:pPr>
      <w:r w:rsidRPr="006C41F5">
        <w:rPr>
          <w:rFonts w:ascii="Verdana" w:eastAsia="Times New Roman" w:hAnsi="Verdana"/>
          <w:b/>
          <w:bCs/>
          <w:u w:val="single"/>
          <w:shd w:val="clear" w:color="auto" w:fill="FFFFFF"/>
          <w:lang w:val="el-GR"/>
        </w:rPr>
        <w:t>ΝΟΕΜΒΡΙΟΣ</w:t>
      </w:r>
      <w:r w:rsidR="0037357D" w:rsidRPr="006C41F5">
        <w:rPr>
          <w:rFonts w:ascii="Verdana" w:eastAsia="Times New Roman" w:hAnsi="Verdana"/>
          <w:b/>
          <w:u w:val="single"/>
          <w:shd w:val="clear" w:color="auto" w:fill="FFFFFF"/>
          <w:lang w:val="el-GR"/>
        </w:rPr>
        <w:t xml:space="preserve"> </w:t>
      </w:r>
      <w:r w:rsidR="00BF6947" w:rsidRPr="006C41F5">
        <w:rPr>
          <w:rFonts w:ascii="Verdana" w:eastAsia="Times New Roman" w:hAnsi="Verdana"/>
          <w:b/>
          <w:u w:val="single"/>
          <w:shd w:val="clear" w:color="auto" w:fill="FFFFFF"/>
          <w:lang w:val="el-GR"/>
        </w:rPr>
        <w:t>202</w:t>
      </w:r>
      <w:r w:rsidR="00CD22EB" w:rsidRPr="006C41F5">
        <w:rPr>
          <w:rFonts w:ascii="Verdana" w:eastAsia="Times New Roman" w:hAnsi="Verdana"/>
          <w:b/>
          <w:u w:val="single"/>
          <w:shd w:val="clear" w:color="auto" w:fill="FFFFFF"/>
          <w:lang w:val="el-GR"/>
        </w:rPr>
        <w:t>4</w:t>
      </w:r>
      <w:r w:rsidR="00BF6947" w:rsidRPr="006C41F5">
        <w:rPr>
          <w:rFonts w:ascii="Verdana" w:eastAsia="Times New Roman" w:hAnsi="Verdana"/>
          <w:b/>
          <w:bCs/>
          <w:u w:val="single"/>
          <w:shd w:val="clear" w:color="auto" w:fill="FFFFFF"/>
          <w:lang w:val="el-GR"/>
        </w:rPr>
        <w:t xml:space="preserve"> (ΤΕΛΙΚΑ ΣΤΟΙΧΕΙΑ) ΚΑΙ </w:t>
      </w:r>
      <w:r w:rsidRPr="006C41F5">
        <w:rPr>
          <w:rFonts w:ascii="Verdana" w:eastAsia="Times New Roman" w:hAnsi="Verdana"/>
          <w:b/>
          <w:bCs/>
          <w:u w:val="single"/>
          <w:shd w:val="clear" w:color="auto" w:fill="FFFFFF"/>
          <w:lang w:val="el-GR"/>
        </w:rPr>
        <w:t>ΔΕΚΕΜΒΡΙΟΣ</w:t>
      </w:r>
      <w:r w:rsidR="00BF6947" w:rsidRPr="006C41F5">
        <w:rPr>
          <w:rFonts w:ascii="Verdana" w:eastAsia="Times New Roman" w:hAnsi="Verdana"/>
          <w:b/>
          <w:bCs/>
          <w:u w:val="single"/>
          <w:shd w:val="clear" w:color="auto" w:fill="FFFFFF"/>
          <w:lang w:val="el-GR"/>
        </w:rPr>
        <w:t xml:space="preserve"> 202</w:t>
      </w:r>
      <w:r w:rsidR="0037357D" w:rsidRPr="006C41F5">
        <w:rPr>
          <w:rFonts w:ascii="Verdana" w:eastAsia="Times New Roman" w:hAnsi="Verdana"/>
          <w:b/>
          <w:bCs/>
          <w:u w:val="single"/>
          <w:shd w:val="clear" w:color="auto" w:fill="FFFFFF"/>
          <w:lang w:val="el-GR"/>
        </w:rPr>
        <w:t>4</w:t>
      </w:r>
      <w:r w:rsidR="00C74E72" w:rsidRPr="006C41F5">
        <w:rPr>
          <w:rFonts w:ascii="Verdana" w:eastAsia="Times New Roman" w:hAnsi="Verdana"/>
          <w:b/>
          <w:bCs/>
          <w:u w:val="single"/>
          <w:shd w:val="clear" w:color="auto" w:fill="FFFFFF"/>
          <w:lang w:val="el-GR"/>
        </w:rPr>
        <w:t xml:space="preserve"> </w:t>
      </w:r>
      <w:r w:rsidR="00BF6947" w:rsidRPr="006C41F5">
        <w:rPr>
          <w:rFonts w:ascii="Verdana" w:eastAsia="Times New Roman" w:hAnsi="Verdana"/>
          <w:b/>
          <w:bCs/>
          <w:u w:val="single"/>
          <w:shd w:val="clear" w:color="auto" w:fill="FFFFFF"/>
          <w:lang w:val="el-GR"/>
        </w:rPr>
        <w:t>(ΠΡΟΚΑΤΑΡΚΤΙΚΑ ΣΤΟΙΧΕΙΑ)</w:t>
      </w:r>
    </w:p>
    <w:p w14:paraId="269C32D2" w14:textId="77777777" w:rsidR="00BF6947" w:rsidRPr="006C41F5" w:rsidRDefault="00BF6947" w:rsidP="00BF6947">
      <w:pPr>
        <w:tabs>
          <w:tab w:val="left" w:pos="709"/>
        </w:tabs>
        <w:jc w:val="both"/>
        <w:rPr>
          <w:rFonts w:ascii="Verdana" w:eastAsia="Times New Roman" w:hAnsi="Verdana"/>
          <w:bCs/>
          <w:w w:val="110"/>
          <w:sz w:val="18"/>
          <w:szCs w:val="18"/>
          <w:lang w:val="el-GR"/>
        </w:rPr>
      </w:pPr>
    </w:p>
    <w:p w14:paraId="1ECEBE71" w14:textId="71989323" w:rsidR="0045602C" w:rsidRPr="006C41F5" w:rsidRDefault="000B6582" w:rsidP="00BF6947">
      <w:pPr>
        <w:rPr>
          <w:rFonts w:ascii="Verdana" w:eastAsia="Malgun Gothic" w:hAnsi="Verdana" w:cs="Arial"/>
          <w:b/>
          <w:sz w:val="18"/>
          <w:szCs w:val="18"/>
          <w:u w:val="single"/>
          <w:lang w:val="el-GR"/>
        </w:rPr>
      </w:pPr>
      <w:r w:rsidRPr="006C41F5">
        <w:rPr>
          <w:rFonts w:ascii="Verdana" w:eastAsia="Malgun Gothic" w:hAnsi="Verdana" w:cs="Arial"/>
          <w:b/>
          <w:sz w:val="18"/>
          <w:szCs w:val="18"/>
          <w:u w:val="single"/>
          <w:lang w:val="el-GR"/>
        </w:rPr>
        <w:t>Δεκέμβριος</w:t>
      </w:r>
      <w:r w:rsidR="00BF6947" w:rsidRPr="006C41F5">
        <w:rPr>
          <w:rFonts w:ascii="Verdana" w:eastAsia="Malgun Gothic" w:hAnsi="Verdana" w:cs="Arial"/>
          <w:b/>
          <w:sz w:val="18"/>
          <w:szCs w:val="18"/>
          <w:u w:val="single"/>
          <w:lang w:val="el-GR"/>
        </w:rPr>
        <w:t xml:space="preserve"> 202</w:t>
      </w:r>
      <w:r w:rsidR="0037357D" w:rsidRPr="006C41F5">
        <w:rPr>
          <w:rFonts w:ascii="Verdana" w:eastAsia="Malgun Gothic" w:hAnsi="Verdana" w:cs="Arial"/>
          <w:b/>
          <w:sz w:val="18"/>
          <w:szCs w:val="18"/>
          <w:u w:val="single"/>
          <w:lang w:val="el-GR"/>
        </w:rPr>
        <w:t>4</w:t>
      </w:r>
      <w:r w:rsidR="00BF6947" w:rsidRPr="006C41F5">
        <w:rPr>
          <w:rFonts w:ascii="Verdana" w:eastAsia="Malgun Gothic" w:hAnsi="Verdana" w:cs="Arial"/>
          <w:b/>
          <w:sz w:val="18"/>
          <w:szCs w:val="18"/>
          <w:u w:val="single"/>
          <w:lang w:val="el-GR"/>
        </w:rPr>
        <w:t>, Προκαταρκτικά Στοιχεία</w:t>
      </w:r>
    </w:p>
    <w:p w14:paraId="5B548692" w14:textId="77777777" w:rsidR="00522D4E" w:rsidRPr="00F8023E" w:rsidRDefault="00522D4E" w:rsidP="00BF6947">
      <w:pPr>
        <w:rPr>
          <w:rFonts w:ascii="Verdana" w:eastAsia="Malgun Gothic" w:hAnsi="Verdana" w:cs="Arial"/>
          <w:b/>
          <w:sz w:val="18"/>
          <w:szCs w:val="18"/>
          <w:u w:val="single"/>
          <w:lang w:val="el-GR"/>
        </w:rPr>
      </w:pPr>
    </w:p>
    <w:p w14:paraId="7AA61508" w14:textId="51597E4C" w:rsidR="00BF6947" w:rsidRPr="00F8023E" w:rsidRDefault="00747561" w:rsidP="00BF6947">
      <w:pPr>
        <w:jc w:val="both"/>
        <w:rPr>
          <w:rFonts w:ascii="Verdana" w:hAnsi="Verdana"/>
          <w:sz w:val="18"/>
          <w:szCs w:val="18"/>
          <w:shd w:val="clear" w:color="auto" w:fill="FFFFFF"/>
          <w:lang w:val="el-GR"/>
        </w:rPr>
      </w:pPr>
      <w:r w:rsidRPr="00F8023E">
        <w:rPr>
          <w:rFonts w:ascii="Verdana" w:hAnsi="Verdana"/>
          <w:b/>
          <w:bCs/>
          <w:sz w:val="18"/>
          <w:szCs w:val="18"/>
          <w:shd w:val="clear" w:color="auto" w:fill="FFFFFF"/>
          <w:lang w:val="el-GR"/>
        </w:rPr>
        <w:t>Οι</w:t>
      </w:r>
      <w:r w:rsidR="00BF6947" w:rsidRPr="00F8023E">
        <w:rPr>
          <w:rFonts w:ascii="Verdana" w:hAnsi="Verdana"/>
          <w:b/>
          <w:bCs/>
          <w:sz w:val="18"/>
          <w:szCs w:val="18"/>
          <w:shd w:val="clear" w:color="auto" w:fill="FFFFFF"/>
          <w:lang w:val="el-GR"/>
        </w:rPr>
        <w:t xml:space="preserve"> συνολικές εισαγωγές αγαθών </w:t>
      </w:r>
      <w:r w:rsidR="00AF423B" w:rsidRPr="00F8023E">
        <w:rPr>
          <w:rFonts w:ascii="Verdana" w:hAnsi="Verdana"/>
          <w:b/>
          <w:bCs/>
          <w:sz w:val="18"/>
          <w:szCs w:val="18"/>
          <w:shd w:val="clear" w:color="auto" w:fill="FFFFFF"/>
          <w:lang w:val="el-GR"/>
        </w:rPr>
        <w:t xml:space="preserve">τον </w:t>
      </w:r>
      <w:r w:rsidR="000B6582" w:rsidRPr="00F8023E">
        <w:rPr>
          <w:rFonts w:ascii="Verdana" w:hAnsi="Verdana"/>
          <w:b/>
          <w:bCs/>
          <w:sz w:val="18"/>
          <w:szCs w:val="18"/>
          <w:shd w:val="clear" w:color="auto" w:fill="FFFFFF"/>
          <w:lang w:val="el-GR"/>
        </w:rPr>
        <w:t>Δεκέμβριο</w:t>
      </w:r>
      <w:r w:rsidR="00AF423B" w:rsidRPr="00F8023E">
        <w:rPr>
          <w:rFonts w:ascii="Verdana" w:hAnsi="Verdana"/>
          <w:b/>
          <w:bCs/>
          <w:sz w:val="18"/>
          <w:szCs w:val="18"/>
          <w:shd w:val="clear" w:color="auto" w:fill="FFFFFF"/>
          <w:lang w:val="el-GR"/>
        </w:rPr>
        <w:t xml:space="preserve"> 202</w:t>
      </w:r>
      <w:r w:rsidR="0037357D" w:rsidRPr="00F8023E">
        <w:rPr>
          <w:rFonts w:ascii="Verdana" w:hAnsi="Verdana"/>
          <w:b/>
          <w:bCs/>
          <w:sz w:val="18"/>
          <w:szCs w:val="18"/>
          <w:shd w:val="clear" w:color="auto" w:fill="FFFFFF"/>
          <w:lang w:val="el-GR"/>
        </w:rPr>
        <w:t>4</w:t>
      </w:r>
      <w:r w:rsidR="00AF423B" w:rsidRPr="00F8023E">
        <w:rPr>
          <w:rFonts w:ascii="Verdana" w:hAnsi="Verdana"/>
          <w:b/>
          <w:bCs/>
          <w:sz w:val="18"/>
          <w:szCs w:val="18"/>
          <w:shd w:val="clear" w:color="auto" w:fill="FFFFFF"/>
          <w:lang w:val="el-GR"/>
        </w:rPr>
        <w:t xml:space="preserve"> </w:t>
      </w:r>
      <w:r w:rsidR="00BF6947" w:rsidRPr="00F8023E">
        <w:rPr>
          <w:rFonts w:ascii="Verdana" w:hAnsi="Verdana"/>
          <w:b/>
          <w:bCs/>
          <w:sz w:val="18"/>
          <w:szCs w:val="18"/>
          <w:shd w:val="clear" w:color="auto" w:fill="FFFFFF"/>
          <w:lang w:val="el-GR"/>
        </w:rPr>
        <w:t>ήταν €</w:t>
      </w:r>
      <w:r w:rsidR="009F7741" w:rsidRPr="00F8023E">
        <w:rPr>
          <w:rFonts w:ascii="Verdana" w:hAnsi="Verdana"/>
          <w:b/>
          <w:bCs/>
          <w:sz w:val="18"/>
          <w:szCs w:val="18"/>
          <w:shd w:val="clear" w:color="auto" w:fill="FFFFFF"/>
          <w:lang w:val="el-GR"/>
        </w:rPr>
        <w:t>1.314,3</w:t>
      </w:r>
      <w:r w:rsidR="00BF6947" w:rsidRPr="00F8023E">
        <w:rPr>
          <w:rFonts w:ascii="Verdana" w:hAnsi="Verdana"/>
          <w:b/>
          <w:bCs/>
          <w:sz w:val="18"/>
          <w:szCs w:val="18"/>
          <w:shd w:val="clear" w:color="auto" w:fill="FFFFFF"/>
          <w:lang w:val="el-GR"/>
        </w:rPr>
        <w:t xml:space="preserve"> εκ.</w:t>
      </w:r>
      <w:r w:rsidR="00BF6947" w:rsidRPr="00F8023E">
        <w:rPr>
          <w:rFonts w:ascii="Verdana" w:hAnsi="Verdana"/>
          <w:sz w:val="18"/>
          <w:szCs w:val="18"/>
          <w:shd w:val="clear" w:color="auto" w:fill="FFFFFF"/>
          <w:lang w:val="el-GR"/>
        </w:rPr>
        <w:t xml:space="preserve"> σε σύγκριση με €</w:t>
      </w:r>
      <w:r w:rsidR="009F7741" w:rsidRPr="00F8023E">
        <w:rPr>
          <w:rFonts w:ascii="Verdana" w:hAnsi="Verdana"/>
          <w:sz w:val="18"/>
          <w:szCs w:val="18"/>
          <w:shd w:val="clear" w:color="auto" w:fill="FFFFFF"/>
          <w:lang w:val="el-GR"/>
        </w:rPr>
        <w:t>954,</w:t>
      </w:r>
      <w:r w:rsidR="000417BA" w:rsidRPr="00F8023E">
        <w:rPr>
          <w:rFonts w:ascii="Verdana" w:hAnsi="Verdana"/>
          <w:sz w:val="18"/>
          <w:szCs w:val="18"/>
          <w:shd w:val="clear" w:color="auto" w:fill="FFFFFF"/>
          <w:lang w:val="el-GR"/>
        </w:rPr>
        <w:t>1</w:t>
      </w:r>
      <w:r w:rsidR="00BF6947" w:rsidRPr="00F8023E">
        <w:rPr>
          <w:rFonts w:ascii="Verdana" w:hAnsi="Verdana"/>
          <w:sz w:val="18"/>
          <w:szCs w:val="18"/>
          <w:shd w:val="clear" w:color="auto" w:fill="FFFFFF"/>
          <w:lang w:val="el-GR"/>
        </w:rPr>
        <w:t xml:space="preserve"> εκ. τον </w:t>
      </w:r>
      <w:r w:rsidR="000B6582" w:rsidRPr="00F8023E">
        <w:rPr>
          <w:rFonts w:ascii="Verdana" w:hAnsi="Verdana"/>
          <w:sz w:val="18"/>
          <w:szCs w:val="18"/>
          <w:shd w:val="clear" w:color="auto" w:fill="FFFFFF"/>
          <w:lang w:val="el-GR"/>
        </w:rPr>
        <w:t>Δεκέμβριο</w:t>
      </w:r>
      <w:r w:rsidR="00BF6947" w:rsidRPr="00F8023E">
        <w:rPr>
          <w:rFonts w:ascii="Verdana" w:hAnsi="Verdana"/>
          <w:sz w:val="18"/>
          <w:szCs w:val="18"/>
          <w:shd w:val="clear" w:color="auto" w:fill="FFFFFF"/>
          <w:lang w:val="el-GR"/>
        </w:rPr>
        <w:t xml:space="preserve"> 202</w:t>
      </w:r>
      <w:r w:rsidR="0037357D" w:rsidRPr="00F8023E">
        <w:rPr>
          <w:rFonts w:ascii="Verdana" w:hAnsi="Verdana"/>
          <w:sz w:val="18"/>
          <w:szCs w:val="18"/>
          <w:shd w:val="clear" w:color="auto" w:fill="FFFFFF"/>
          <w:lang w:val="el-GR"/>
        </w:rPr>
        <w:t>3</w:t>
      </w:r>
      <w:r w:rsidR="00BF6947" w:rsidRPr="00F8023E">
        <w:rPr>
          <w:rFonts w:ascii="Verdana" w:hAnsi="Verdana"/>
          <w:sz w:val="18"/>
          <w:szCs w:val="18"/>
          <w:shd w:val="clear" w:color="auto" w:fill="FFFFFF"/>
          <w:lang w:val="el-GR"/>
        </w:rPr>
        <w:t xml:space="preserve">, καταγράφοντας </w:t>
      </w:r>
      <w:r w:rsidR="00B60071" w:rsidRPr="00F8023E">
        <w:rPr>
          <w:rFonts w:ascii="Verdana" w:hAnsi="Verdana"/>
          <w:sz w:val="18"/>
          <w:szCs w:val="18"/>
          <w:shd w:val="clear" w:color="auto" w:fill="FFFFFF"/>
          <w:lang w:val="el-GR"/>
        </w:rPr>
        <w:t>αύξηση</w:t>
      </w:r>
      <w:r w:rsidR="00BF6947" w:rsidRPr="00F8023E">
        <w:rPr>
          <w:rFonts w:ascii="Verdana" w:hAnsi="Verdana"/>
          <w:sz w:val="18"/>
          <w:szCs w:val="18"/>
          <w:shd w:val="clear" w:color="auto" w:fill="FFFFFF"/>
          <w:lang w:val="el-GR"/>
        </w:rPr>
        <w:t xml:space="preserve"> </w:t>
      </w:r>
      <w:r w:rsidR="009F7741" w:rsidRPr="00F8023E">
        <w:rPr>
          <w:rFonts w:ascii="Verdana" w:hAnsi="Verdana"/>
          <w:sz w:val="18"/>
          <w:szCs w:val="18"/>
          <w:shd w:val="clear" w:color="auto" w:fill="FFFFFF"/>
          <w:lang w:val="el-GR"/>
        </w:rPr>
        <w:t>37,8</w:t>
      </w:r>
      <w:r w:rsidR="00BF6947" w:rsidRPr="00F8023E">
        <w:rPr>
          <w:rFonts w:ascii="Verdana" w:hAnsi="Verdana"/>
          <w:sz w:val="18"/>
          <w:szCs w:val="18"/>
          <w:shd w:val="clear" w:color="auto" w:fill="FFFFFF"/>
          <w:lang w:val="el-GR"/>
        </w:rPr>
        <w:t>%. Οι εισαγωγές από άλλα Κράτη Μέλη της ΕΕ</w:t>
      </w:r>
      <w:r w:rsidR="00AF423B" w:rsidRPr="00F8023E">
        <w:rPr>
          <w:rFonts w:ascii="Verdana" w:hAnsi="Verdana"/>
          <w:sz w:val="18"/>
          <w:szCs w:val="18"/>
          <w:shd w:val="clear" w:color="auto" w:fill="FFFFFF"/>
          <w:lang w:val="el-GR"/>
        </w:rPr>
        <w:t xml:space="preserve"> </w:t>
      </w:r>
      <w:r w:rsidR="00BF6947" w:rsidRPr="00F8023E">
        <w:rPr>
          <w:rFonts w:ascii="Verdana" w:hAnsi="Verdana"/>
          <w:sz w:val="18"/>
          <w:szCs w:val="18"/>
          <w:shd w:val="clear" w:color="auto" w:fill="FFFFFF"/>
          <w:lang w:val="el-GR"/>
        </w:rPr>
        <w:t>ήταν €</w:t>
      </w:r>
      <w:r w:rsidR="009F7741" w:rsidRPr="00F8023E">
        <w:rPr>
          <w:rFonts w:ascii="Verdana" w:hAnsi="Verdana"/>
          <w:sz w:val="18"/>
          <w:szCs w:val="18"/>
          <w:shd w:val="clear" w:color="auto" w:fill="FFFFFF"/>
          <w:lang w:val="el-GR"/>
        </w:rPr>
        <w:t>662,7</w:t>
      </w:r>
      <w:r w:rsidR="00BF6947" w:rsidRPr="00F8023E">
        <w:rPr>
          <w:rFonts w:ascii="Verdana" w:hAnsi="Verdana"/>
          <w:sz w:val="18"/>
          <w:szCs w:val="18"/>
          <w:shd w:val="clear" w:color="auto" w:fill="FFFFFF"/>
          <w:lang w:val="el-GR"/>
        </w:rPr>
        <w:t xml:space="preserve"> εκ. και από τρίτες χώρες €</w:t>
      </w:r>
      <w:r w:rsidR="009F7741" w:rsidRPr="00F8023E">
        <w:rPr>
          <w:rFonts w:ascii="Verdana" w:hAnsi="Verdana"/>
          <w:sz w:val="18"/>
          <w:szCs w:val="18"/>
          <w:shd w:val="clear" w:color="auto" w:fill="FFFFFF"/>
          <w:lang w:val="el-GR"/>
        </w:rPr>
        <w:t>651,6</w:t>
      </w:r>
      <w:r w:rsidR="007B0B57" w:rsidRPr="00F8023E">
        <w:rPr>
          <w:rFonts w:ascii="Verdana" w:hAnsi="Verdana"/>
          <w:sz w:val="18"/>
          <w:szCs w:val="18"/>
          <w:shd w:val="clear" w:color="auto" w:fill="FFFFFF"/>
          <w:lang w:val="el-GR"/>
        </w:rPr>
        <w:t xml:space="preserve"> </w:t>
      </w:r>
      <w:r w:rsidR="00BF6947" w:rsidRPr="00F8023E">
        <w:rPr>
          <w:rFonts w:ascii="Verdana" w:hAnsi="Verdana"/>
          <w:sz w:val="18"/>
          <w:szCs w:val="18"/>
          <w:shd w:val="clear" w:color="auto" w:fill="FFFFFF"/>
          <w:lang w:val="el-GR"/>
        </w:rPr>
        <w:t>εκ. σε σύγκριση με €</w:t>
      </w:r>
      <w:r w:rsidR="009F7741" w:rsidRPr="00F8023E">
        <w:rPr>
          <w:rFonts w:ascii="Verdana" w:hAnsi="Verdana"/>
          <w:sz w:val="18"/>
          <w:szCs w:val="18"/>
          <w:shd w:val="clear" w:color="auto" w:fill="FFFFFF"/>
          <w:lang w:val="el-GR"/>
        </w:rPr>
        <w:t>595,</w:t>
      </w:r>
      <w:r w:rsidR="000417BA" w:rsidRPr="00F8023E">
        <w:rPr>
          <w:rFonts w:ascii="Verdana" w:hAnsi="Verdana"/>
          <w:sz w:val="18"/>
          <w:szCs w:val="18"/>
          <w:shd w:val="clear" w:color="auto" w:fill="FFFFFF"/>
          <w:lang w:val="el-GR"/>
        </w:rPr>
        <w:t>0</w:t>
      </w:r>
      <w:r w:rsidR="003F50B5" w:rsidRPr="00F8023E">
        <w:rPr>
          <w:rFonts w:ascii="Verdana" w:hAnsi="Verdana"/>
          <w:sz w:val="18"/>
          <w:szCs w:val="18"/>
          <w:shd w:val="clear" w:color="auto" w:fill="FFFFFF"/>
          <w:lang w:val="el-GR"/>
        </w:rPr>
        <w:t xml:space="preserve"> </w:t>
      </w:r>
      <w:r w:rsidR="00BF6947" w:rsidRPr="00F8023E">
        <w:rPr>
          <w:rFonts w:ascii="Verdana" w:hAnsi="Verdana"/>
          <w:sz w:val="18"/>
          <w:szCs w:val="18"/>
          <w:shd w:val="clear" w:color="auto" w:fill="FFFFFF"/>
          <w:lang w:val="el-GR"/>
        </w:rPr>
        <w:t>εκ. και €</w:t>
      </w:r>
      <w:r w:rsidR="009F7741" w:rsidRPr="00F8023E">
        <w:rPr>
          <w:rFonts w:ascii="Verdana" w:hAnsi="Verdana"/>
          <w:sz w:val="18"/>
          <w:szCs w:val="18"/>
          <w:shd w:val="clear" w:color="auto" w:fill="FFFFFF"/>
          <w:lang w:val="el-GR"/>
        </w:rPr>
        <w:t>359,</w:t>
      </w:r>
      <w:r w:rsidR="000417BA" w:rsidRPr="00F8023E">
        <w:rPr>
          <w:rFonts w:ascii="Verdana" w:hAnsi="Verdana"/>
          <w:sz w:val="18"/>
          <w:szCs w:val="18"/>
          <w:shd w:val="clear" w:color="auto" w:fill="FFFFFF"/>
          <w:lang w:val="el-GR"/>
        </w:rPr>
        <w:t>1</w:t>
      </w:r>
      <w:r w:rsidR="00BF6947" w:rsidRPr="00F8023E">
        <w:rPr>
          <w:rFonts w:ascii="Verdana" w:hAnsi="Verdana"/>
          <w:sz w:val="18"/>
          <w:szCs w:val="18"/>
          <w:shd w:val="clear" w:color="auto" w:fill="FFFFFF"/>
          <w:lang w:val="el-GR"/>
        </w:rPr>
        <w:t xml:space="preserve"> εκ. αντίστοιχα τον </w:t>
      </w:r>
      <w:r w:rsidR="000B6582" w:rsidRPr="00F8023E">
        <w:rPr>
          <w:rFonts w:ascii="Verdana" w:hAnsi="Verdana"/>
          <w:sz w:val="18"/>
          <w:szCs w:val="18"/>
          <w:shd w:val="clear" w:color="auto" w:fill="FFFFFF"/>
          <w:lang w:val="el-GR"/>
        </w:rPr>
        <w:t>Δεκέ</w:t>
      </w:r>
      <w:r w:rsidR="002D60AC" w:rsidRPr="00F8023E">
        <w:rPr>
          <w:rFonts w:ascii="Verdana" w:hAnsi="Verdana"/>
          <w:sz w:val="18"/>
          <w:szCs w:val="18"/>
          <w:shd w:val="clear" w:color="auto" w:fill="FFFFFF"/>
          <w:lang w:val="el-GR"/>
        </w:rPr>
        <w:t>μβριο</w:t>
      </w:r>
      <w:r w:rsidR="00BF6947" w:rsidRPr="00F8023E">
        <w:rPr>
          <w:rFonts w:ascii="Verdana" w:hAnsi="Verdana"/>
          <w:sz w:val="18"/>
          <w:szCs w:val="18"/>
          <w:shd w:val="clear" w:color="auto" w:fill="FFFFFF"/>
          <w:lang w:val="el-GR"/>
        </w:rPr>
        <w:t xml:space="preserve"> </w:t>
      </w:r>
      <w:r w:rsidR="00BF6947" w:rsidRPr="00F8023E">
        <w:rPr>
          <w:rFonts w:ascii="Verdana" w:hAnsi="Verdana"/>
          <w:sz w:val="18"/>
          <w:szCs w:val="18"/>
          <w:lang w:val="el-GR"/>
        </w:rPr>
        <w:t>202</w:t>
      </w:r>
      <w:r w:rsidR="0037357D" w:rsidRPr="00F8023E">
        <w:rPr>
          <w:rFonts w:ascii="Verdana" w:hAnsi="Verdana"/>
          <w:sz w:val="18"/>
          <w:szCs w:val="18"/>
          <w:lang w:val="el-GR"/>
        </w:rPr>
        <w:t>3</w:t>
      </w:r>
      <w:r w:rsidR="00BF6947" w:rsidRPr="00F8023E">
        <w:rPr>
          <w:rFonts w:ascii="Verdana" w:hAnsi="Verdana"/>
          <w:sz w:val="18"/>
          <w:szCs w:val="18"/>
          <w:lang w:val="el-GR"/>
        </w:rPr>
        <w:t xml:space="preserve">. Οι εισαγωγές τον </w:t>
      </w:r>
      <w:r w:rsidR="000B6582" w:rsidRPr="00F8023E">
        <w:rPr>
          <w:rFonts w:ascii="Verdana" w:hAnsi="Verdana"/>
          <w:sz w:val="18"/>
          <w:szCs w:val="18"/>
          <w:shd w:val="clear" w:color="auto" w:fill="FFFFFF"/>
          <w:lang w:val="el-GR"/>
        </w:rPr>
        <w:t>Δεκ</w:t>
      </w:r>
      <w:r w:rsidR="002D60AC" w:rsidRPr="00F8023E">
        <w:rPr>
          <w:rFonts w:ascii="Verdana" w:hAnsi="Verdana"/>
          <w:sz w:val="18"/>
          <w:szCs w:val="18"/>
          <w:shd w:val="clear" w:color="auto" w:fill="FFFFFF"/>
          <w:lang w:val="el-GR"/>
        </w:rPr>
        <w:t>έμβριο</w:t>
      </w:r>
      <w:r w:rsidR="00BF6947" w:rsidRPr="00F8023E">
        <w:rPr>
          <w:rFonts w:ascii="Verdana" w:hAnsi="Verdana"/>
          <w:sz w:val="18"/>
          <w:szCs w:val="18"/>
          <w:lang w:val="el-GR"/>
        </w:rPr>
        <w:t xml:space="preserve"> 202</w:t>
      </w:r>
      <w:r w:rsidR="0037357D" w:rsidRPr="00F8023E">
        <w:rPr>
          <w:rFonts w:ascii="Verdana" w:hAnsi="Verdana"/>
          <w:sz w:val="18"/>
          <w:szCs w:val="18"/>
          <w:lang w:val="el-GR"/>
        </w:rPr>
        <w:t>4</w:t>
      </w:r>
      <w:r w:rsidR="00BF6947" w:rsidRPr="00F8023E">
        <w:rPr>
          <w:rFonts w:ascii="Verdana" w:hAnsi="Verdana"/>
          <w:sz w:val="18"/>
          <w:szCs w:val="18"/>
          <w:lang w:val="el-GR"/>
        </w:rPr>
        <w:t xml:space="preserve"> περιλαμβάνουν τη </w:t>
      </w:r>
      <w:r w:rsidR="00D20130" w:rsidRPr="00F8023E">
        <w:rPr>
          <w:rFonts w:ascii="Verdana" w:hAnsi="Verdana"/>
          <w:sz w:val="18"/>
          <w:szCs w:val="18"/>
          <w:lang w:val="el-GR"/>
        </w:rPr>
        <w:t>μεταβίβαση</w:t>
      </w:r>
      <w:r w:rsidR="00152E5C" w:rsidRPr="00F8023E">
        <w:rPr>
          <w:rFonts w:ascii="Verdana" w:hAnsi="Verdana"/>
          <w:sz w:val="18"/>
          <w:szCs w:val="18"/>
          <w:lang w:val="el-GR"/>
        </w:rPr>
        <w:t xml:space="preserve"> οικονομικής ιδιοκτησίας</w:t>
      </w:r>
      <w:r w:rsidR="00290464" w:rsidRPr="00F8023E">
        <w:rPr>
          <w:rFonts w:ascii="Verdana" w:hAnsi="Verdana"/>
          <w:sz w:val="18"/>
          <w:szCs w:val="18"/>
          <w:lang w:val="el-GR"/>
        </w:rPr>
        <w:t xml:space="preserve"> πλοίων</w:t>
      </w:r>
      <w:r w:rsidR="000417BA" w:rsidRPr="00F8023E">
        <w:rPr>
          <w:rFonts w:ascii="Verdana" w:hAnsi="Verdana"/>
          <w:sz w:val="18"/>
          <w:szCs w:val="18"/>
          <w:lang w:val="el-GR"/>
        </w:rPr>
        <w:t xml:space="preserve"> και αεροπλάνων</w:t>
      </w:r>
      <w:r w:rsidR="00BF6947" w:rsidRPr="00F8023E">
        <w:rPr>
          <w:rFonts w:ascii="Verdana" w:hAnsi="Verdana"/>
          <w:sz w:val="18"/>
          <w:szCs w:val="18"/>
          <w:lang w:val="el-GR"/>
        </w:rPr>
        <w:t>, συνολικής αξίας €</w:t>
      </w:r>
      <w:r w:rsidR="000417BA" w:rsidRPr="00F8023E">
        <w:rPr>
          <w:rFonts w:ascii="Verdana" w:hAnsi="Verdana"/>
          <w:sz w:val="18"/>
          <w:szCs w:val="18"/>
          <w:lang w:val="el-GR"/>
        </w:rPr>
        <w:t>372,5</w:t>
      </w:r>
      <w:r w:rsidR="00BF6947" w:rsidRPr="00F8023E">
        <w:rPr>
          <w:rFonts w:ascii="Verdana" w:hAnsi="Verdana"/>
          <w:sz w:val="18"/>
          <w:szCs w:val="18"/>
          <w:lang w:val="el-GR"/>
        </w:rPr>
        <w:t xml:space="preserve"> εκ. έναντι €</w:t>
      </w:r>
      <w:r w:rsidR="000417BA" w:rsidRPr="00F8023E">
        <w:rPr>
          <w:rFonts w:ascii="Verdana" w:hAnsi="Verdana"/>
          <w:sz w:val="18"/>
          <w:szCs w:val="18"/>
          <w:lang w:val="el-GR"/>
        </w:rPr>
        <w:t>4,8</w:t>
      </w:r>
      <w:r w:rsidR="00BF6947" w:rsidRPr="00F8023E">
        <w:rPr>
          <w:rFonts w:ascii="Verdana" w:hAnsi="Verdana"/>
          <w:sz w:val="18"/>
          <w:szCs w:val="18"/>
          <w:lang w:val="el-GR"/>
        </w:rPr>
        <w:t xml:space="preserve"> εκ. τον </w:t>
      </w:r>
      <w:r w:rsidR="000B6582" w:rsidRPr="00F8023E">
        <w:rPr>
          <w:rFonts w:ascii="Verdana" w:hAnsi="Verdana"/>
          <w:sz w:val="18"/>
          <w:szCs w:val="18"/>
          <w:shd w:val="clear" w:color="auto" w:fill="FFFFFF"/>
          <w:lang w:val="el-GR"/>
        </w:rPr>
        <w:t>Δεκ</w:t>
      </w:r>
      <w:r w:rsidR="002D60AC" w:rsidRPr="00F8023E">
        <w:rPr>
          <w:rFonts w:ascii="Verdana" w:hAnsi="Verdana"/>
          <w:sz w:val="18"/>
          <w:szCs w:val="18"/>
          <w:shd w:val="clear" w:color="auto" w:fill="FFFFFF"/>
          <w:lang w:val="el-GR"/>
        </w:rPr>
        <w:t>έμβριο</w:t>
      </w:r>
      <w:r w:rsidR="00BF6947" w:rsidRPr="00F8023E">
        <w:rPr>
          <w:rFonts w:ascii="Verdana" w:hAnsi="Verdana"/>
          <w:sz w:val="18"/>
          <w:szCs w:val="18"/>
          <w:lang w:val="el-GR"/>
        </w:rPr>
        <w:t xml:space="preserve"> 202</w:t>
      </w:r>
      <w:r w:rsidR="0037357D" w:rsidRPr="00F8023E">
        <w:rPr>
          <w:rFonts w:ascii="Verdana" w:hAnsi="Verdana"/>
          <w:sz w:val="18"/>
          <w:szCs w:val="18"/>
          <w:lang w:val="el-GR"/>
        </w:rPr>
        <w:t>3</w:t>
      </w:r>
      <w:r w:rsidR="00BF6947" w:rsidRPr="00F8023E">
        <w:rPr>
          <w:rFonts w:ascii="Verdana" w:hAnsi="Verdana"/>
          <w:sz w:val="18"/>
          <w:szCs w:val="18"/>
          <w:lang w:val="el-GR"/>
        </w:rPr>
        <w:t>.</w:t>
      </w:r>
    </w:p>
    <w:p w14:paraId="5081D562" w14:textId="77777777" w:rsidR="00BF6947" w:rsidRPr="00F8023E" w:rsidRDefault="00BF6947" w:rsidP="00BF6947">
      <w:pPr>
        <w:ind w:left="539" w:hanging="539"/>
        <w:jc w:val="both"/>
        <w:rPr>
          <w:rFonts w:ascii="Verdana" w:hAnsi="Verdana"/>
          <w:sz w:val="18"/>
          <w:szCs w:val="18"/>
          <w:shd w:val="clear" w:color="auto" w:fill="FFFFFF"/>
          <w:lang w:val="el-GR"/>
        </w:rPr>
      </w:pPr>
    </w:p>
    <w:p w14:paraId="63B10167" w14:textId="0737E759" w:rsidR="00EE5194" w:rsidRPr="00F8023E" w:rsidRDefault="00BF6947" w:rsidP="00BF6947">
      <w:pPr>
        <w:jc w:val="both"/>
        <w:rPr>
          <w:rFonts w:ascii="Verdana" w:hAnsi="Verdana"/>
          <w:sz w:val="18"/>
          <w:szCs w:val="18"/>
          <w:lang w:val="el-GR"/>
        </w:rPr>
      </w:pPr>
      <w:r w:rsidRPr="00F8023E">
        <w:rPr>
          <w:rFonts w:ascii="Verdana" w:hAnsi="Verdana"/>
          <w:b/>
          <w:bCs/>
          <w:sz w:val="18"/>
          <w:szCs w:val="18"/>
          <w:lang w:val="el-GR"/>
        </w:rPr>
        <w:t xml:space="preserve">Οι συνολικές εξαγωγές αγαθών τον </w:t>
      </w:r>
      <w:r w:rsidR="000B6582" w:rsidRPr="00F8023E">
        <w:rPr>
          <w:rFonts w:ascii="Verdana" w:hAnsi="Verdana"/>
          <w:b/>
          <w:bCs/>
          <w:sz w:val="18"/>
          <w:szCs w:val="18"/>
          <w:lang w:val="el-GR"/>
        </w:rPr>
        <w:t>Δεκ</w:t>
      </w:r>
      <w:r w:rsidR="002D60AC" w:rsidRPr="00F8023E">
        <w:rPr>
          <w:rFonts w:ascii="Verdana" w:hAnsi="Verdana"/>
          <w:b/>
          <w:bCs/>
          <w:sz w:val="18"/>
          <w:szCs w:val="18"/>
          <w:lang w:val="el-GR"/>
        </w:rPr>
        <w:t>έμβριο</w:t>
      </w:r>
      <w:r w:rsidRPr="00F8023E">
        <w:rPr>
          <w:rFonts w:ascii="Verdana" w:hAnsi="Verdana"/>
          <w:b/>
          <w:bCs/>
          <w:sz w:val="18"/>
          <w:szCs w:val="18"/>
          <w:lang w:val="el-GR"/>
        </w:rPr>
        <w:t xml:space="preserve"> 202</w:t>
      </w:r>
      <w:r w:rsidR="0037357D" w:rsidRPr="00F8023E">
        <w:rPr>
          <w:rFonts w:ascii="Verdana" w:hAnsi="Verdana"/>
          <w:b/>
          <w:bCs/>
          <w:sz w:val="18"/>
          <w:szCs w:val="18"/>
          <w:lang w:val="el-GR"/>
        </w:rPr>
        <w:t>4</w:t>
      </w:r>
      <w:r w:rsidRPr="00F8023E">
        <w:rPr>
          <w:rFonts w:ascii="Verdana" w:hAnsi="Verdana"/>
          <w:b/>
          <w:bCs/>
          <w:sz w:val="18"/>
          <w:szCs w:val="18"/>
          <w:lang w:val="el-GR"/>
        </w:rPr>
        <w:t xml:space="preserve"> ήταν €</w:t>
      </w:r>
      <w:r w:rsidR="00676AF9" w:rsidRPr="00F8023E">
        <w:rPr>
          <w:rFonts w:ascii="Verdana" w:hAnsi="Verdana"/>
          <w:b/>
          <w:bCs/>
          <w:sz w:val="18"/>
          <w:szCs w:val="18"/>
          <w:lang w:val="el-GR"/>
        </w:rPr>
        <w:t>359,0</w:t>
      </w:r>
      <w:r w:rsidR="00E859E7" w:rsidRPr="00F8023E">
        <w:rPr>
          <w:rFonts w:ascii="Verdana" w:hAnsi="Verdana"/>
          <w:b/>
          <w:bCs/>
          <w:sz w:val="18"/>
          <w:szCs w:val="18"/>
          <w:lang w:val="el-GR"/>
        </w:rPr>
        <w:t xml:space="preserve"> </w:t>
      </w:r>
      <w:r w:rsidRPr="00F8023E">
        <w:rPr>
          <w:rFonts w:ascii="Verdana" w:hAnsi="Verdana"/>
          <w:b/>
          <w:bCs/>
          <w:sz w:val="18"/>
          <w:szCs w:val="18"/>
          <w:lang w:val="el-GR"/>
        </w:rPr>
        <w:t>εκ.</w:t>
      </w:r>
      <w:r w:rsidRPr="00F8023E">
        <w:rPr>
          <w:rFonts w:ascii="Verdana" w:hAnsi="Verdana"/>
          <w:sz w:val="18"/>
          <w:szCs w:val="18"/>
          <w:lang w:val="el-GR"/>
        </w:rPr>
        <w:t xml:space="preserve"> σε σύγκριση με €</w:t>
      </w:r>
      <w:r w:rsidR="00676AF9" w:rsidRPr="00F8023E">
        <w:rPr>
          <w:rFonts w:ascii="Verdana" w:hAnsi="Verdana"/>
          <w:sz w:val="18"/>
          <w:szCs w:val="18"/>
          <w:lang w:val="el-GR"/>
        </w:rPr>
        <w:t>392,4</w:t>
      </w:r>
      <w:r w:rsidRPr="00F8023E">
        <w:rPr>
          <w:rFonts w:ascii="Verdana" w:hAnsi="Verdana"/>
          <w:sz w:val="18"/>
          <w:szCs w:val="18"/>
          <w:lang w:val="el-GR"/>
        </w:rPr>
        <w:t xml:space="preserve"> εκ. τον </w:t>
      </w:r>
      <w:r w:rsidR="000B6582" w:rsidRPr="00F8023E">
        <w:rPr>
          <w:rFonts w:ascii="Verdana" w:hAnsi="Verdana"/>
          <w:sz w:val="18"/>
          <w:szCs w:val="18"/>
          <w:lang w:val="el-GR"/>
        </w:rPr>
        <w:t>Δεκ</w:t>
      </w:r>
      <w:r w:rsidR="002D60AC" w:rsidRPr="00F8023E">
        <w:rPr>
          <w:rFonts w:ascii="Verdana" w:hAnsi="Verdana"/>
          <w:sz w:val="18"/>
          <w:szCs w:val="18"/>
          <w:lang w:val="el-GR"/>
        </w:rPr>
        <w:t xml:space="preserve">έμβριο </w:t>
      </w:r>
      <w:r w:rsidRPr="00F8023E">
        <w:rPr>
          <w:rFonts w:ascii="Verdana" w:hAnsi="Verdana"/>
          <w:sz w:val="18"/>
          <w:szCs w:val="18"/>
          <w:lang w:val="el-GR"/>
        </w:rPr>
        <w:t>202</w:t>
      </w:r>
      <w:r w:rsidR="0037357D" w:rsidRPr="00F8023E">
        <w:rPr>
          <w:rFonts w:ascii="Verdana" w:hAnsi="Verdana"/>
          <w:sz w:val="18"/>
          <w:szCs w:val="18"/>
          <w:lang w:val="el-GR"/>
        </w:rPr>
        <w:t>3</w:t>
      </w:r>
      <w:r w:rsidRPr="00F8023E">
        <w:rPr>
          <w:rFonts w:ascii="Verdana" w:hAnsi="Verdana"/>
          <w:sz w:val="18"/>
          <w:szCs w:val="18"/>
          <w:lang w:val="el-GR"/>
        </w:rPr>
        <w:t xml:space="preserve">, σημειώνοντας </w:t>
      </w:r>
      <w:r w:rsidR="00D82FBF" w:rsidRPr="00F8023E">
        <w:rPr>
          <w:rFonts w:ascii="Verdana" w:hAnsi="Verdana"/>
          <w:sz w:val="18"/>
          <w:szCs w:val="18"/>
          <w:lang w:val="el-GR"/>
        </w:rPr>
        <w:t>μείωση</w:t>
      </w:r>
      <w:r w:rsidR="00903820" w:rsidRPr="00F8023E">
        <w:rPr>
          <w:rFonts w:ascii="Verdana" w:hAnsi="Verdana"/>
          <w:sz w:val="18"/>
          <w:szCs w:val="18"/>
          <w:lang w:val="el-GR"/>
        </w:rPr>
        <w:t xml:space="preserve"> </w:t>
      </w:r>
      <w:r w:rsidR="00676AF9" w:rsidRPr="00F8023E">
        <w:rPr>
          <w:rFonts w:ascii="Verdana" w:hAnsi="Verdana"/>
          <w:sz w:val="18"/>
          <w:szCs w:val="18"/>
          <w:lang w:val="el-GR"/>
        </w:rPr>
        <w:t>8,5</w:t>
      </w:r>
      <w:r w:rsidRPr="00F8023E">
        <w:rPr>
          <w:rFonts w:ascii="Verdana" w:hAnsi="Verdana"/>
          <w:sz w:val="18"/>
          <w:szCs w:val="18"/>
          <w:lang w:val="el-GR"/>
        </w:rPr>
        <w:t>%. Οι εξαγωγές προς άλλα Κράτη Μέλη της ΕΕ ήταν €</w:t>
      </w:r>
      <w:r w:rsidR="00676AF9" w:rsidRPr="00F8023E">
        <w:rPr>
          <w:rFonts w:ascii="Verdana" w:hAnsi="Verdana"/>
          <w:sz w:val="18"/>
          <w:szCs w:val="18"/>
          <w:lang w:val="el-GR"/>
        </w:rPr>
        <w:t>88,0</w:t>
      </w:r>
      <w:r w:rsidRPr="00F8023E">
        <w:rPr>
          <w:rFonts w:ascii="Verdana" w:hAnsi="Verdana"/>
          <w:sz w:val="18"/>
          <w:szCs w:val="18"/>
          <w:lang w:val="el-GR"/>
        </w:rPr>
        <w:t xml:space="preserve"> εκ. και προς τρίτες χώρες €</w:t>
      </w:r>
      <w:r w:rsidR="00676AF9" w:rsidRPr="00F8023E">
        <w:rPr>
          <w:rFonts w:ascii="Verdana" w:hAnsi="Verdana"/>
          <w:sz w:val="18"/>
          <w:szCs w:val="18"/>
          <w:lang w:val="el-GR"/>
        </w:rPr>
        <w:t>271,0</w:t>
      </w:r>
      <w:r w:rsidR="00E859E7" w:rsidRPr="00F8023E">
        <w:rPr>
          <w:rFonts w:ascii="Verdana" w:hAnsi="Verdana"/>
          <w:sz w:val="18"/>
          <w:szCs w:val="18"/>
          <w:lang w:val="el-GR"/>
        </w:rPr>
        <w:t xml:space="preserve"> </w:t>
      </w:r>
      <w:r w:rsidRPr="00F8023E">
        <w:rPr>
          <w:rFonts w:ascii="Verdana" w:hAnsi="Verdana"/>
          <w:sz w:val="18"/>
          <w:szCs w:val="18"/>
          <w:lang w:val="el-GR"/>
        </w:rPr>
        <w:t>εκ., σε σύγκριση με €</w:t>
      </w:r>
      <w:r w:rsidR="00676AF9" w:rsidRPr="00F8023E">
        <w:rPr>
          <w:rFonts w:ascii="Verdana" w:hAnsi="Verdana"/>
          <w:sz w:val="18"/>
          <w:szCs w:val="18"/>
          <w:lang w:val="el-GR"/>
        </w:rPr>
        <w:t>92,9</w:t>
      </w:r>
      <w:r w:rsidR="00E859E7" w:rsidRPr="00F8023E">
        <w:rPr>
          <w:rFonts w:ascii="Verdana" w:hAnsi="Verdana"/>
          <w:sz w:val="18"/>
          <w:szCs w:val="18"/>
          <w:lang w:val="el-GR"/>
        </w:rPr>
        <w:t xml:space="preserve"> </w:t>
      </w:r>
      <w:r w:rsidRPr="00F8023E">
        <w:rPr>
          <w:rFonts w:ascii="Verdana" w:hAnsi="Verdana"/>
          <w:sz w:val="18"/>
          <w:szCs w:val="18"/>
          <w:lang w:val="el-GR"/>
        </w:rPr>
        <w:t>εκ. και €</w:t>
      </w:r>
      <w:r w:rsidR="00676AF9" w:rsidRPr="00F8023E">
        <w:rPr>
          <w:rFonts w:ascii="Verdana" w:hAnsi="Verdana"/>
          <w:sz w:val="18"/>
          <w:szCs w:val="18"/>
          <w:lang w:val="el-GR"/>
        </w:rPr>
        <w:t>299,5</w:t>
      </w:r>
      <w:r w:rsidR="002D3E92" w:rsidRPr="00F8023E">
        <w:rPr>
          <w:rFonts w:ascii="Verdana" w:hAnsi="Verdana"/>
          <w:sz w:val="18"/>
          <w:szCs w:val="18"/>
          <w:lang w:val="el-GR"/>
        </w:rPr>
        <w:t xml:space="preserve"> </w:t>
      </w:r>
      <w:r w:rsidRPr="00F8023E">
        <w:rPr>
          <w:rFonts w:ascii="Verdana" w:hAnsi="Verdana"/>
          <w:sz w:val="18"/>
          <w:szCs w:val="18"/>
          <w:lang w:val="el-GR"/>
        </w:rPr>
        <w:t xml:space="preserve">εκ. αντίστοιχα τον </w:t>
      </w:r>
      <w:r w:rsidR="000B6582" w:rsidRPr="00F8023E">
        <w:rPr>
          <w:rFonts w:ascii="Verdana" w:hAnsi="Verdana"/>
          <w:sz w:val="18"/>
          <w:szCs w:val="18"/>
          <w:lang w:val="el-GR"/>
        </w:rPr>
        <w:t>Δεκ</w:t>
      </w:r>
      <w:r w:rsidR="002D60AC" w:rsidRPr="00F8023E">
        <w:rPr>
          <w:rFonts w:ascii="Verdana" w:hAnsi="Verdana"/>
          <w:sz w:val="18"/>
          <w:szCs w:val="18"/>
          <w:lang w:val="el-GR"/>
        </w:rPr>
        <w:t>έμβριο</w:t>
      </w:r>
      <w:r w:rsidRPr="00F8023E">
        <w:rPr>
          <w:rFonts w:ascii="Verdana" w:hAnsi="Verdana"/>
          <w:sz w:val="18"/>
          <w:szCs w:val="18"/>
          <w:lang w:val="el-GR"/>
        </w:rPr>
        <w:t xml:space="preserve"> 202</w:t>
      </w:r>
      <w:r w:rsidR="0037357D" w:rsidRPr="00F8023E">
        <w:rPr>
          <w:rFonts w:ascii="Verdana" w:hAnsi="Verdana"/>
          <w:sz w:val="18"/>
          <w:szCs w:val="18"/>
          <w:lang w:val="el-GR"/>
        </w:rPr>
        <w:t>3</w:t>
      </w:r>
      <w:r w:rsidRPr="00F8023E">
        <w:rPr>
          <w:rFonts w:ascii="Verdana" w:hAnsi="Verdana"/>
          <w:sz w:val="18"/>
          <w:szCs w:val="18"/>
          <w:lang w:val="el-GR"/>
        </w:rPr>
        <w:t>.</w:t>
      </w:r>
    </w:p>
    <w:p w14:paraId="2AD877C0" w14:textId="56E509DA" w:rsidR="00EE5194" w:rsidRPr="00F8023E" w:rsidRDefault="00EE5194" w:rsidP="00EE5194">
      <w:pPr>
        <w:jc w:val="both"/>
        <w:rPr>
          <w:rFonts w:ascii="Verdana" w:hAnsi="Verdana"/>
          <w:sz w:val="18"/>
          <w:szCs w:val="18"/>
          <w:shd w:val="clear" w:color="auto" w:fill="FFFFFF"/>
          <w:lang w:val="el-GR"/>
        </w:rPr>
      </w:pPr>
      <w:r w:rsidRPr="00F8023E">
        <w:rPr>
          <w:rFonts w:ascii="Verdana" w:hAnsi="Verdana"/>
          <w:sz w:val="18"/>
          <w:szCs w:val="18"/>
          <w:shd w:val="clear" w:color="auto" w:fill="FFFFFF"/>
          <w:lang w:val="el-GR"/>
        </w:rPr>
        <w:t xml:space="preserve">Οι εξαγωγές τον </w:t>
      </w:r>
      <w:r w:rsidR="000B6582" w:rsidRPr="00F8023E">
        <w:rPr>
          <w:rFonts w:ascii="Verdana" w:hAnsi="Verdana"/>
          <w:sz w:val="18"/>
          <w:szCs w:val="18"/>
          <w:lang w:val="el-GR"/>
        </w:rPr>
        <w:t>Δεκ</w:t>
      </w:r>
      <w:r w:rsidR="002D60AC" w:rsidRPr="00F8023E">
        <w:rPr>
          <w:rFonts w:ascii="Verdana" w:hAnsi="Verdana"/>
          <w:sz w:val="18"/>
          <w:szCs w:val="18"/>
          <w:lang w:val="el-GR"/>
        </w:rPr>
        <w:t>έμβριο</w:t>
      </w:r>
      <w:r w:rsidRPr="00F8023E">
        <w:rPr>
          <w:rFonts w:ascii="Verdana" w:hAnsi="Verdana"/>
          <w:sz w:val="18"/>
          <w:szCs w:val="18"/>
          <w:shd w:val="clear" w:color="auto" w:fill="FFFFFF"/>
          <w:lang w:val="el-GR"/>
        </w:rPr>
        <w:t xml:space="preserve"> 2024 περιλαμβάνουν τη μεταβίβαση οικονομικής ιδιοκτησίας πλοίων, συνολικής αξίας €</w:t>
      </w:r>
      <w:r w:rsidR="00676AF9" w:rsidRPr="00F8023E">
        <w:rPr>
          <w:rFonts w:ascii="Verdana" w:hAnsi="Verdana"/>
          <w:sz w:val="18"/>
          <w:szCs w:val="18"/>
          <w:shd w:val="clear" w:color="auto" w:fill="FFFFFF"/>
          <w:lang w:val="el-GR"/>
        </w:rPr>
        <w:t>41,4</w:t>
      </w:r>
      <w:r w:rsidR="00D82FBF" w:rsidRPr="00F8023E">
        <w:rPr>
          <w:rFonts w:ascii="Verdana" w:hAnsi="Verdana"/>
          <w:sz w:val="18"/>
          <w:szCs w:val="18"/>
          <w:shd w:val="clear" w:color="auto" w:fill="FFFFFF"/>
          <w:lang w:val="el-GR"/>
        </w:rPr>
        <w:t xml:space="preserve"> </w:t>
      </w:r>
      <w:r w:rsidRPr="00F8023E">
        <w:rPr>
          <w:rFonts w:ascii="Verdana" w:hAnsi="Verdana"/>
          <w:sz w:val="18"/>
          <w:szCs w:val="18"/>
          <w:shd w:val="clear" w:color="auto" w:fill="FFFFFF"/>
          <w:lang w:val="el-GR"/>
        </w:rPr>
        <w:t>εκ. έναντι €</w:t>
      </w:r>
      <w:r w:rsidR="00676AF9" w:rsidRPr="00F8023E">
        <w:rPr>
          <w:rFonts w:ascii="Verdana" w:hAnsi="Verdana"/>
          <w:sz w:val="18"/>
          <w:szCs w:val="18"/>
          <w:shd w:val="clear" w:color="auto" w:fill="FFFFFF"/>
          <w:lang w:val="el-GR"/>
        </w:rPr>
        <w:t>100,1</w:t>
      </w:r>
      <w:r w:rsidRPr="00F8023E">
        <w:rPr>
          <w:rFonts w:ascii="Verdana" w:hAnsi="Verdana"/>
          <w:sz w:val="18"/>
          <w:szCs w:val="18"/>
          <w:shd w:val="clear" w:color="auto" w:fill="FFFFFF"/>
          <w:lang w:val="el-GR"/>
        </w:rPr>
        <w:t xml:space="preserve"> εκ. τον </w:t>
      </w:r>
      <w:r w:rsidR="000B6582" w:rsidRPr="00F8023E">
        <w:rPr>
          <w:rFonts w:ascii="Verdana" w:hAnsi="Verdana"/>
          <w:sz w:val="18"/>
          <w:szCs w:val="18"/>
          <w:lang w:val="el-GR"/>
        </w:rPr>
        <w:t>Δεκ</w:t>
      </w:r>
      <w:r w:rsidR="002D60AC" w:rsidRPr="00F8023E">
        <w:rPr>
          <w:rFonts w:ascii="Verdana" w:hAnsi="Verdana"/>
          <w:sz w:val="18"/>
          <w:szCs w:val="18"/>
          <w:lang w:val="el-GR"/>
        </w:rPr>
        <w:t>έμβριο</w:t>
      </w:r>
      <w:r w:rsidRPr="00F8023E">
        <w:rPr>
          <w:rFonts w:ascii="Verdana" w:hAnsi="Verdana"/>
          <w:sz w:val="18"/>
          <w:szCs w:val="18"/>
          <w:shd w:val="clear" w:color="auto" w:fill="FFFFFF"/>
          <w:lang w:val="el-GR"/>
        </w:rPr>
        <w:t xml:space="preserve"> 2023.</w:t>
      </w:r>
    </w:p>
    <w:p w14:paraId="04EDCB01" w14:textId="77777777" w:rsidR="00BF6947" w:rsidRPr="00FD49E2" w:rsidRDefault="00BF6947" w:rsidP="00BF6947">
      <w:pPr>
        <w:jc w:val="both"/>
        <w:rPr>
          <w:rFonts w:ascii="Verdana" w:hAnsi="Verdana"/>
          <w:sz w:val="18"/>
          <w:szCs w:val="18"/>
          <w:highlight w:val="green"/>
          <w:shd w:val="clear" w:color="auto" w:fill="FFFFFF"/>
          <w:lang w:val="el-GR"/>
        </w:rPr>
      </w:pPr>
    </w:p>
    <w:p w14:paraId="1A14FCE0" w14:textId="1CE30E30" w:rsidR="00CD22EB" w:rsidRPr="008936A8" w:rsidRDefault="00CD22EB" w:rsidP="00CD22EB">
      <w:pPr>
        <w:jc w:val="both"/>
        <w:rPr>
          <w:rFonts w:ascii="Verdana" w:hAnsi="Verdana"/>
          <w:sz w:val="18"/>
          <w:szCs w:val="18"/>
          <w:shd w:val="clear" w:color="auto" w:fill="FFFFFF"/>
          <w:lang w:val="el-GR"/>
        </w:rPr>
      </w:pPr>
      <w:r w:rsidRPr="00F8023E">
        <w:rPr>
          <w:rFonts w:ascii="Verdana" w:hAnsi="Verdana"/>
          <w:b/>
          <w:bCs/>
          <w:sz w:val="18"/>
          <w:szCs w:val="18"/>
          <w:shd w:val="clear" w:color="auto" w:fill="FFFFFF"/>
          <w:lang w:val="el-GR"/>
        </w:rPr>
        <w:t>Οι συνολικές εισαγωγές αγαθών για την περίοδο Ιανουαρίου–</w:t>
      </w:r>
      <w:r w:rsidR="000B6582" w:rsidRPr="00F8023E">
        <w:rPr>
          <w:rFonts w:ascii="Verdana" w:hAnsi="Verdana"/>
          <w:b/>
          <w:bCs/>
          <w:sz w:val="18"/>
          <w:szCs w:val="18"/>
          <w:shd w:val="clear" w:color="auto" w:fill="FFFFFF"/>
          <w:lang w:val="el-GR"/>
        </w:rPr>
        <w:t>Δεκ</w:t>
      </w:r>
      <w:r w:rsidR="002D60AC" w:rsidRPr="00F8023E">
        <w:rPr>
          <w:rFonts w:ascii="Verdana" w:hAnsi="Verdana"/>
          <w:b/>
          <w:bCs/>
          <w:sz w:val="18"/>
          <w:szCs w:val="18"/>
          <w:shd w:val="clear" w:color="auto" w:fill="FFFFFF"/>
          <w:lang w:val="el-GR"/>
        </w:rPr>
        <w:t>εμβρίου</w:t>
      </w:r>
      <w:r w:rsidR="00F6710C" w:rsidRPr="00F8023E">
        <w:rPr>
          <w:rFonts w:ascii="Verdana" w:hAnsi="Verdana"/>
          <w:b/>
          <w:bCs/>
          <w:sz w:val="18"/>
          <w:szCs w:val="18"/>
          <w:shd w:val="clear" w:color="auto" w:fill="FFFFFF"/>
          <w:lang w:val="el-GR"/>
        </w:rPr>
        <w:t xml:space="preserve"> </w:t>
      </w:r>
      <w:r w:rsidRPr="00F8023E">
        <w:rPr>
          <w:rFonts w:ascii="Verdana" w:hAnsi="Verdana"/>
          <w:b/>
          <w:bCs/>
          <w:sz w:val="18"/>
          <w:szCs w:val="18"/>
          <w:shd w:val="clear" w:color="auto" w:fill="FFFFFF"/>
          <w:lang w:val="el-GR"/>
        </w:rPr>
        <w:t>202</w:t>
      </w:r>
      <w:r w:rsidR="00DA145C" w:rsidRPr="00F8023E">
        <w:rPr>
          <w:rFonts w:ascii="Verdana" w:hAnsi="Verdana"/>
          <w:b/>
          <w:bCs/>
          <w:sz w:val="18"/>
          <w:szCs w:val="18"/>
          <w:shd w:val="clear" w:color="auto" w:fill="FFFFFF"/>
          <w:lang w:val="el-GR"/>
        </w:rPr>
        <w:t>4</w:t>
      </w:r>
      <w:r w:rsidRPr="00F8023E">
        <w:rPr>
          <w:rFonts w:ascii="Verdana" w:hAnsi="Verdana"/>
          <w:b/>
          <w:bCs/>
          <w:sz w:val="18"/>
          <w:szCs w:val="18"/>
          <w:shd w:val="clear" w:color="auto" w:fill="FFFFFF"/>
          <w:lang w:val="el-GR"/>
        </w:rPr>
        <w:t xml:space="preserve"> ήταν €</w:t>
      </w:r>
      <w:r w:rsidR="00FD49E2" w:rsidRPr="00F8023E">
        <w:rPr>
          <w:rFonts w:ascii="Verdana" w:hAnsi="Verdana"/>
          <w:b/>
          <w:bCs/>
          <w:sz w:val="18"/>
          <w:szCs w:val="18"/>
          <w:shd w:val="clear" w:color="auto" w:fill="FFFFFF"/>
          <w:lang w:val="el-GR"/>
        </w:rPr>
        <w:t>12.256,1</w:t>
      </w:r>
      <w:r w:rsidRPr="00F8023E">
        <w:rPr>
          <w:rFonts w:ascii="Verdana" w:hAnsi="Verdana"/>
          <w:b/>
          <w:bCs/>
          <w:sz w:val="18"/>
          <w:szCs w:val="18"/>
          <w:shd w:val="clear" w:color="auto" w:fill="FFFFFF"/>
          <w:lang w:val="el-GR"/>
        </w:rPr>
        <w:t xml:space="preserve"> εκ.</w:t>
      </w:r>
      <w:r w:rsidRPr="00F8023E">
        <w:rPr>
          <w:rFonts w:ascii="Verdana" w:hAnsi="Verdana"/>
          <w:sz w:val="18"/>
          <w:szCs w:val="18"/>
          <w:shd w:val="clear" w:color="auto" w:fill="FFFFFF"/>
          <w:lang w:val="el-GR"/>
        </w:rPr>
        <w:t xml:space="preserve"> σε σύγκριση με €</w:t>
      </w:r>
      <w:r w:rsidR="00FD49E2" w:rsidRPr="00F8023E">
        <w:rPr>
          <w:rFonts w:ascii="Verdana" w:hAnsi="Verdana"/>
          <w:sz w:val="18"/>
          <w:szCs w:val="18"/>
          <w:shd w:val="clear" w:color="auto" w:fill="FFFFFF"/>
          <w:lang w:val="el-GR"/>
        </w:rPr>
        <w:t>13.179,8</w:t>
      </w:r>
      <w:r w:rsidRPr="00F8023E">
        <w:rPr>
          <w:rFonts w:ascii="Verdana" w:hAnsi="Verdana"/>
          <w:sz w:val="18"/>
          <w:szCs w:val="18"/>
          <w:shd w:val="clear" w:color="auto" w:fill="FFFFFF"/>
          <w:lang w:val="el-GR"/>
        </w:rPr>
        <w:t xml:space="preserve"> εκ. για την περίοδο Ιανουαρίου–</w:t>
      </w:r>
      <w:r w:rsidR="000B6582" w:rsidRPr="00F8023E">
        <w:rPr>
          <w:rFonts w:ascii="Verdana" w:hAnsi="Verdana"/>
          <w:sz w:val="18"/>
          <w:szCs w:val="18"/>
          <w:shd w:val="clear" w:color="auto" w:fill="FFFFFF"/>
          <w:lang w:val="el-GR"/>
        </w:rPr>
        <w:t>Δεκ</w:t>
      </w:r>
      <w:r w:rsidR="002D60AC" w:rsidRPr="00F8023E">
        <w:rPr>
          <w:rFonts w:ascii="Verdana" w:hAnsi="Verdana"/>
          <w:sz w:val="18"/>
          <w:szCs w:val="18"/>
          <w:shd w:val="clear" w:color="auto" w:fill="FFFFFF"/>
          <w:lang w:val="el-GR"/>
        </w:rPr>
        <w:t>εμβρίου</w:t>
      </w:r>
      <w:r w:rsidRPr="00F8023E">
        <w:rPr>
          <w:rFonts w:ascii="Verdana" w:hAnsi="Verdana"/>
          <w:sz w:val="18"/>
          <w:szCs w:val="18"/>
          <w:shd w:val="clear" w:color="auto" w:fill="FFFFFF"/>
          <w:lang w:val="el-GR"/>
        </w:rPr>
        <w:t xml:space="preserve"> 202</w:t>
      </w:r>
      <w:r w:rsidR="00DA145C" w:rsidRPr="00F8023E">
        <w:rPr>
          <w:rFonts w:ascii="Verdana" w:hAnsi="Verdana"/>
          <w:sz w:val="18"/>
          <w:szCs w:val="18"/>
          <w:shd w:val="clear" w:color="auto" w:fill="FFFFFF"/>
          <w:lang w:val="el-GR"/>
        </w:rPr>
        <w:t>3</w:t>
      </w:r>
      <w:r w:rsidRPr="00F8023E">
        <w:rPr>
          <w:rFonts w:ascii="Verdana" w:hAnsi="Verdana"/>
          <w:sz w:val="18"/>
          <w:szCs w:val="18"/>
          <w:shd w:val="clear" w:color="auto" w:fill="FFFFFF"/>
          <w:lang w:val="el-GR"/>
        </w:rPr>
        <w:t xml:space="preserve">, σημειώνοντας </w:t>
      </w:r>
      <w:r w:rsidR="00291FCC" w:rsidRPr="00F8023E">
        <w:rPr>
          <w:rFonts w:ascii="Verdana" w:hAnsi="Verdana"/>
          <w:sz w:val="18"/>
          <w:szCs w:val="18"/>
          <w:shd w:val="clear" w:color="auto" w:fill="FFFFFF"/>
          <w:lang w:val="el-GR"/>
        </w:rPr>
        <w:t>μείω</w:t>
      </w:r>
      <w:r w:rsidR="00530BD8" w:rsidRPr="00F8023E">
        <w:rPr>
          <w:rFonts w:ascii="Verdana" w:hAnsi="Verdana"/>
          <w:sz w:val="18"/>
          <w:szCs w:val="18"/>
          <w:shd w:val="clear" w:color="auto" w:fill="FFFFFF"/>
          <w:lang w:val="el-GR"/>
        </w:rPr>
        <w:t>ση</w:t>
      </w:r>
      <w:r w:rsidRPr="00F8023E">
        <w:rPr>
          <w:rFonts w:ascii="Verdana" w:hAnsi="Verdana"/>
          <w:sz w:val="18"/>
          <w:szCs w:val="18"/>
          <w:shd w:val="clear" w:color="auto" w:fill="FFFFFF"/>
          <w:lang w:val="el-GR"/>
        </w:rPr>
        <w:t xml:space="preserve"> </w:t>
      </w:r>
      <w:r w:rsidR="00FD49E2" w:rsidRPr="00F8023E">
        <w:rPr>
          <w:rFonts w:ascii="Verdana" w:hAnsi="Verdana"/>
          <w:sz w:val="18"/>
          <w:szCs w:val="18"/>
          <w:shd w:val="clear" w:color="auto" w:fill="FFFFFF"/>
          <w:lang w:val="el-GR"/>
        </w:rPr>
        <w:t>7,0</w:t>
      </w:r>
      <w:r w:rsidRPr="00F8023E">
        <w:rPr>
          <w:rFonts w:ascii="Verdana" w:hAnsi="Verdana"/>
          <w:sz w:val="18"/>
          <w:szCs w:val="18"/>
          <w:shd w:val="clear" w:color="auto" w:fill="FFFFFF"/>
          <w:lang w:val="el-GR"/>
        </w:rPr>
        <w:t xml:space="preserve">%. </w:t>
      </w:r>
      <w:r w:rsidRPr="00F8023E">
        <w:rPr>
          <w:rFonts w:ascii="Verdana" w:hAnsi="Verdana"/>
          <w:b/>
          <w:bCs/>
          <w:sz w:val="18"/>
          <w:szCs w:val="18"/>
          <w:shd w:val="clear" w:color="auto" w:fill="FFFFFF"/>
          <w:lang w:val="el-GR"/>
        </w:rPr>
        <w:t>Οι συνολικές εξαγωγές αγαθών για την περίοδο Ιανουαρίου–</w:t>
      </w:r>
      <w:r w:rsidR="000B6582" w:rsidRPr="00F8023E">
        <w:rPr>
          <w:rFonts w:ascii="Verdana" w:hAnsi="Verdana"/>
          <w:b/>
          <w:bCs/>
          <w:sz w:val="18"/>
          <w:szCs w:val="18"/>
          <w:shd w:val="clear" w:color="auto" w:fill="FFFFFF"/>
          <w:lang w:val="el-GR"/>
        </w:rPr>
        <w:t>Δεκ</w:t>
      </w:r>
      <w:r w:rsidR="002D60AC" w:rsidRPr="00F8023E">
        <w:rPr>
          <w:rFonts w:ascii="Verdana" w:hAnsi="Verdana"/>
          <w:b/>
          <w:bCs/>
          <w:sz w:val="18"/>
          <w:szCs w:val="18"/>
          <w:shd w:val="clear" w:color="auto" w:fill="FFFFFF"/>
          <w:lang w:val="el-GR"/>
        </w:rPr>
        <w:t>εμβρίου</w:t>
      </w:r>
      <w:r w:rsidRPr="00F8023E">
        <w:rPr>
          <w:rFonts w:ascii="Verdana" w:hAnsi="Verdana"/>
          <w:b/>
          <w:bCs/>
          <w:sz w:val="18"/>
          <w:szCs w:val="18"/>
          <w:shd w:val="clear" w:color="auto" w:fill="FFFFFF"/>
          <w:lang w:val="el-GR"/>
        </w:rPr>
        <w:t xml:space="preserve"> 202</w:t>
      </w:r>
      <w:r w:rsidR="00DA145C" w:rsidRPr="00F8023E">
        <w:rPr>
          <w:rFonts w:ascii="Verdana" w:hAnsi="Verdana"/>
          <w:b/>
          <w:bCs/>
          <w:sz w:val="18"/>
          <w:szCs w:val="18"/>
          <w:shd w:val="clear" w:color="auto" w:fill="FFFFFF"/>
          <w:lang w:val="el-GR"/>
        </w:rPr>
        <w:t>4</w:t>
      </w:r>
      <w:r w:rsidRPr="00F8023E">
        <w:rPr>
          <w:rFonts w:ascii="Verdana" w:hAnsi="Verdana"/>
          <w:b/>
          <w:bCs/>
          <w:sz w:val="18"/>
          <w:szCs w:val="18"/>
          <w:shd w:val="clear" w:color="auto" w:fill="FFFFFF"/>
          <w:lang w:val="el-GR"/>
        </w:rPr>
        <w:t xml:space="preserve"> ήταν €</w:t>
      </w:r>
      <w:r w:rsidR="00FD49E2" w:rsidRPr="00F8023E">
        <w:rPr>
          <w:rFonts w:ascii="Verdana" w:hAnsi="Verdana"/>
          <w:b/>
          <w:bCs/>
          <w:sz w:val="18"/>
          <w:szCs w:val="18"/>
          <w:shd w:val="clear" w:color="auto" w:fill="FFFFFF"/>
          <w:lang w:val="el-GR"/>
        </w:rPr>
        <w:t>4.121,</w:t>
      </w:r>
      <w:r w:rsidR="00F8023E" w:rsidRPr="00F8023E">
        <w:rPr>
          <w:rFonts w:ascii="Verdana" w:hAnsi="Verdana"/>
          <w:b/>
          <w:bCs/>
          <w:sz w:val="18"/>
          <w:szCs w:val="18"/>
          <w:shd w:val="clear" w:color="auto" w:fill="FFFFFF"/>
          <w:lang w:val="el-GR"/>
        </w:rPr>
        <w:t>8</w:t>
      </w:r>
      <w:r w:rsidRPr="00F8023E">
        <w:rPr>
          <w:rFonts w:ascii="Verdana" w:hAnsi="Verdana"/>
          <w:b/>
          <w:bCs/>
          <w:sz w:val="18"/>
          <w:szCs w:val="18"/>
          <w:shd w:val="clear" w:color="auto" w:fill="FFFFFF"/>
          <w:lang w:val="el-GR"/>
        </w:rPr>
        <w:t xml:space="preserve"> εκ.</w:t>
      </w:r>
      <w:r w:rsidRPr="00F8023E">
        <w:rPr>
          <w:rFonts w:ascii="Verdana" w:hAnsi="Verdana"/>
          <w:sz w:val="18"/>
          <w:szCs w:val="18"/>
          <w:shd w:val="clear" w:color="auto" w:fill="FFFFFF"/>
          <w:lang w:val="el-GR"/>
        </w:rPr>
        <w:t xml:space="preserve"> σε σύγκριση με €</w:t>
      </w:r>
      <w:r w:rsidR="00FD49E2" w:rsidRPr="00F8023E">
        <w:rPr>
          <w:rFonts w:ascii="Verdana" w:hAnsi="Verdana"/>
          <w:sz w:val="18"/>
          <w:szCs w:val="18"/>
          <w:shd w:val="clear" w:color="auto" w:fill="FFFFFF"/>
          <w:lang w:val="el-GR"/>
        </w:rPr>
        <w:t>4.709,4</w:t>
      </w:r>
      <w:r w:rsidRPr="00F8023E">
        <w:rPr>
          <w:rFonts w:ascii="Verdana" w:hAnsi="Verdana"/>
          <w:sz w:val="18"/>
          <w:szCs w:val="18"/>
          <w:shd w:val="clear" w:color="auto" w:fill="FFFFFF"/>
          <w:lang w:val="el-GR"/>
        </w:rPr>
        <w:t xml:space="preserve"> εκ. για την περίοδο Ιανουαρίου–</w:t>
      </w:r>
      <w:r w:rsidR="000B6582" w:rsidRPr="00F8023E">
        <w:rPr>
          <w:rFonts w:ascii="Verdana" w:hAnsi="Verdana"/>
          <w:sz w:val="18"/>
          <w:szCs w:val="18"/>
          <w:shd w:val="clear" w:color="auto" w:fill="FFFFFF"/>
          <w:lang w:val="el-GR"/>
        </w:rPr>
        <w:t>Δεκ</w:t>
      </w:r>
      <w:r w:rsidR="002D60AC" w:rsidRPr="00F8023E">
        <w:rPr>
          <w:rFonts w:ascii="Verdana" w:hAnsi="Verdana"/>
          <w:sz w:val="18"/>
          <w:szCs w:val="18"/>
          <w:shd w:val="clear" w:color="auto" w:fill="FFFFFF"/>
          <w:lang w:val="el-GR"/>
        </w:rPr>
        <w:t>εμβρίου</w:t>
      </w:r>
      <w:r w:rsidRPr="00F8023E">
        <w:rPr>
          <w:rFonts w:ascii="Verdana" w:hAnsi="Verdana"/>
          <w:sz w:val="18"/>
          <w:szCs w:val="18"/>
          <w:shd w:val="clear" w:color="auto" w:fill="FFFFFF"/>
          <w:lang w:val="el-GR"/>
        </w:rPr>
        <w:t xml:space="preserve"> 202</w:t>
      </w:r>
      <w:r w:rsidR="00DA145C" w:rsidRPr="00F8023E">
        <w:rPr>
          <w:rFonts w:ascii="Verdana" w:hAnsi="Verdana"/>
          <w:sz w:val="18"/>
          <w:szCs w:val="18"/>
          <w:shd w:val="clear" w:color="auto" w:fill="FFFFFF"/>
          <w:lang w:val="el-GR"/>
        </w:rPr>
        <w:t>3</w:t>
      </w:r>
      <w:r w:rsidRPr="00F8023E">
        <w:rPr>
          <w:rFonts w:ascii="Verdana" w:hAnsi="Verdana"/>
          <w:sz w:val="18"/>
          <w:szCs w:val="18"/>
          <w:shd w:val="clear" w:color="auto" w:fill="FFFFFF"/>
          <w:lang w:val="el-GR"/>
        </w:rPr>
        <w:t xml:space="preserve">, σημειώνοντας μείωση </w:t>
      </w:r>
      <w:r w:rsidR="00FD49E2" w:rsidRPr="00F8023E">
        <w:rPr>
          <w:rFonts w:ascii="Verdana" w:hAnsi="Verdana"/>
          <w:sz w:val="18"/>
          <w:szCs w:val="18"/>
          <w:shd w:val="clear" w:color="auto" w:fill="FFFFFF"/>
          <w:lang w:val="el-GR"/>
        </w:rPr>
        <w:t>12,5</w:t>
      </w:r>
      <w:r w:rsidRPr="00F8023E">
        <w:rPr>
          <w:rFonts w:ascii="Verdana" w:hAnsi="Verdana"/>
          <w:sz w:val="18"/>
          <w:szCs w:val="18"/>
          <w:shd w:val="clear" w:color="auto" w:fill="FFFFFF"/>
          <w:lang w:val="el-GR"/>
        </w:rPr>
        <w:t xml:space="preserve">%. </w:t>
      </w:r>
      <w:r w:rsidRPr="00F8023E">
        <w:rPr>
          <w:rFonts w:ascii="Verdana" w:hAnsi="Verdana"/>
          <w:b/>
          <w:bCs/>
          <w:sz w:val="18"/>
          <w:szCs w:val="18"/>
          <w:shd w:val="clear" w:color="auto" w:fill="FFFFFF"/>
          <w:lang w:val="el-GR"/>
        </w:rPr>
        <w:t>Το έλλειμμα του εμπορικού ισοζυγίου ήταν €</w:t>
      </w:r>
      <w:r w:rsidR="00FD49E2" w:rsidRPr="00F8023E">
        <w:rPr>
          <w:rFonts w:ascii="Verdana" w:hAnsi="Verdana"/>
          <w:b/>
          <w:bCs/>
          <w:sz w:val="18"/>
          <w:szCs w:val="18"/>
          <w:shd w:val="clear" w:color="auto" w:fill="FFFFFF"/>
          <w:lang w:val="el-GR"/>
        </w:rPr>
        <w:t>8.134,</w:t>
      </w:r>
      <w:r w:rsidR="00F8023E" w:rsidRPr="00F8023E">
        <w:rPr>
          <w:rFonts w:ascii="Verdana" w:hAnsi="Verdana"/>
          <w:b/>
          <w:bCs/>
          <w:sz w:val="18"/>
          <w:szCs w:val="18"/>
          <w:shd w:val="clear" w:color="auto" w:fill="FFFFFF"/>
          <w:lang w:val="el-GR"/>
        </w:rPr>
        <w:t>3</w:t>
      </w:r>
      <w:r w:rsidRPr="00F8023E">
        <w:rPr>
          <w:rFonts w:ascii="Verdana" w:hAnsi="Verdana"/>
          <w:b/>
          <w:bCs/>
          <w:sz w:val="18"/>
          <w:szCs w:val="18"/>
          <w:shd w:val="clear" w:color="auto" w:fill="FFFFFF"/>
          <w:lang w:val="el-GR"/>
        </w:rPr>
        <w:t xml:space="preserve"> εκ. για την περίοδο Ιανουαρίου–</w:t>
      </w:r>
      <w:r w:rsidR="000B6582" w:rsidRPr="00F8023E">
        <w:rPr>
          <w:rFonts w:ascii="Verdana" w:hAnsi="Verdana"/>
          <w:b/>
          <w:bCs/>
          <w:sz w:val="18"/>
          <w:szCs w:val="18"/>
          <w:shd w:val="clear" w:color="auto" w:fill="FFFFFF"/>
          <w:lang w:val="el-GR"/>
        </w:rPr>
        <w:t>Δεκ</w:t>
      </w:r>
      <w:r w:rsidR="002D60AC" w:rsidRPr="00F8023E">
        <w:rPr>
          <w:rFonts w:ascii="Verdana" w:hAnsi="Verdana"/>
          <w:b/>
          <w:bCs/>
          <w:sz w:val="18"/>
          <w:szCs w:val="18"/>
          <w:shd w:val="clear" w:color="auto" w:fill="FFFFFF"/>
          <w:lang w:val="el-GR"/>
        </w:rPr>
        <w:t>εμβρίου</w:t>
      </w:r>
      <w:r w:rsidRPr="00F8023E">
        <w:rPr>
          <w:rFonts w:ascii="Verdana" w:hAnsi="Verdana"/>
          <w:b/>
          <w:bCs/>
          <w:sz w:val="18"/>
          <w:szCs w:val="18"/>
          <w:shd w:val="clear" w:color="auto" w:fill="FFFFFF"/>
          <w:lang w:val="el-GR"/>
        </w:rPr>
        <w:t xml:space="preserve"> 202</w:t>
      </w:r>
      <w:r w:rsidR="00DA145C" w:rsidRPr="00F8023E">
        <w:rPr>
          <w:rFonts w:ascii="Verdana" w:hAnsi="Verdana"/>
          <w:b/>
          <w:bCs/>
          <w:sz w:val="18"/>
          <w:szCs w:val="18"/>
          <w:shd w:val="clear" w:color="auto" w:fill="FFFFFF"/>
          <w:lang w:val="el-GR"/>
        </w:rPr>
        <w:t>4</w:t>
      </w:r>
      <w:r w:rsidRPr="00F8023E">
        <w:rPr>
          <w:rFonts w:ascii="Verdana" w:hAnsi="Verdana"/>
          <w:sz w:val="18"/>
          <w:szCs w:val="18"/>
          <w:shd w:val="clear" w:color="auto" w:fill="FFFFFF"/>
          <w:lang w:val="el-GR"/>
        </w:rPr>
        <w:t xml:space="preserve"> σε σύγκριση με €</w:t>
      </w:r>
      <w:r w:rsidR="00FD49E2" w:rsidRPr="00F8023E">
        <w:rPr>
          <w:rFonts w:ascii="Verdana" w:hAnsi="Verdana"/>
          <w:sz w:val="18"/>
          <w:szCs w:val="18"/>
          <w:shd w:val="clear" w:color="auto" w:fill="FFFFFF"/>
          <w:lang w:val="el-GR"/>
        </w:rPr>
        <w:t>8.470,4</w:t>
      </w:r>
      <w:r w:rsidR="00DE4AB6" w:rsidRPr="00F8023E">
        <w:rPr>
          <w:rFonts w:ascii="Verdana" w:hAnsi="Verdana"/>
          <w:sz w:val="18"/>
          <w:szCs w:val="18"/>
          <w:shd w:val="clear" w:color="auto" w:fill="FFFFFF"/>
          <w:lang w:val="el-GR"/>
        </w:rPr>
        <w:t xml:space="preserve"> </w:t>
      </w:r>
      <w:r w:rsidRPr="00F8023E">
        <w:rPr>
          <w:rFonts w:ascii="Verdana" w:hAnsi="Verdana"/>
          <w:sz w:val="18"/>
          <w:szCs w:val="18"/>
          <w:shd w:val="clear" w:color="auto" w:fill="FFFFFF"/>
          <w:lang w:val="el-GR"/>
        </w:rPr>
        <w:t>εκ. την αντίστοιχη περίοδο του 202</w:t>
      </w:r>
      <w:r w:rsidR="00DA145C" w:rsidRPr="00F8023E">
        <w:rPr>
          <w:rFonts w:ascii="Verdana" w:hAnsi="Verdana"/>
          <w:sz w:val="18"/>
          <w:szCs w:val="18"/>
          <w:shd w:val="clear" w:color="auto" w:fill="FFFFFF"/>
          <w:lang w:val="el-GR"/>
        </w:rPr>
        <w:t>3</w:t>
      </w:r>
      <w:r w:rsidRPr="00F8023E">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6A96BC33" w:rsidR="00EC2E65" w:rsidRPr="009853AF" w:rsidRDefault="00EA207A"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5CB08D86" wp14:editId="66A1DC8B">
            <wp:extent cx="6071870" cy="3621405"/>
            <wp:effectExtent l="0" t="0" r="5080" b="0"/>
            <wp:docPr id="1018483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33B0DA30" w:rsidR="0045602C" w:rsidRPr="00CE278E" w:rsidRDefault="00454186" w:rsidP="00EC2E65">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lastRenderedPageBreak/>
        <w:t>Νοέμ</w:t>
      </w:r>
      <w:r w:rsidR="00F67C76">
        <w:rPr>
          <w:rFonts w:ascii="Verdana" w:eastAsia="Malgun Gothic" w:hAnsi="Verdana" w:cs="Arial"/>
          <w:b/>
          <w:sz w:val="18"/>
          <w:szCs w:val="18"/>
          <w:u w:val="single"/>
          <w:lang w:val="el-GR"/>
        </w:rPr>
        <w:t>βριος</w:t>
      </w:r>
      <w:r w:rsidR="00EC2E65" w:rsidRPr="00CE278E">
        <w:rPr>
          <w:rFonts w:ascii="Verdana" w:eastAsia="Malgun Gothic" w:hAnsi="Verdana" w:cs="Arial"/>
          <w:b/>
          <w:sz w:val="18"/>
          <w:szCs w:val="18"/>
          <w:u w:val="single"/>
          <w:lang w:val="el-GR"/>
        </w:rPr>
        <w:t xml:space="preserve"> 202</w:t>
      </w:r>
      <w:r w:rsidR="00A6037B" w:rsidRPr="00CE278E">
        <w:rPr>
          <w:rFonts w:ascii="Verdana" w:eastAsia="Malgun Gothic" w:hAnsi="Verdana" w:cs="Arial"/>
          <w:b/>
          <w:sz w:val="18"/>
          <w:szCs w:val="18"/>
          <w:u w:val="single"/>
          <w:lang w:val="el-GR"/>
        </w:rPr>
        <w:t>4</w:t>
      </w:r>
      <w:r w:rsidR="00EC2E65" w:rsidRPr="00CE278E">
        <w:rPr>
          <w:rFonts w:ascii="Verdana" w:eastAsia="Malgun Gothic" w:hAnsi="Verdana" w:cs="Arial"/>
          <w:b/>
          <w:sz w:val="18"/>
          <w:szCs w:val="18"/>
          <w:u w:val="single"/>
          <w:lang w:val="el-GR"/>
        </w:rPr>
        <w:t>, Τελικά Στοιχεία</w:t>
      </w:r>
    </w:p>
    <w:p w14:paraId="49A58465" w14:textId="77777777" w:rsidR="00AF423B" w:rsidRPr="00CE278E" w:rsidRDefault="00AF423B" w:rsidP="00EC2E65">
      <w:pPr>
        <w:rPr>
          <w:rFonts w:ascii="Verdana" w:eastAsia="Malgun Gothic" w:hAnsi="Verdana" w:cs="Arial"/>
          <w:b/>
          <w:sz w:val="18"/>
          <w:szCs w:val="18"/>
          <w:u w:val="single"/>
          <w:lang w:val="el-GR"/>
        </w:rPr>
      </w:pPr>
    </w:p>
    <w:p w14:paraId="284B43D6" w14:textId="205D0DC9" w:rsidR="00EC2E65" w:rsidRPr="00CE278E" w:rsidRDefault="00EC2E65" w:rsidP="00EC2E65">
      <w:pPr>
        <w:jc w:val="both"/>
        <w:rPr>
          <w:rFonts w:ascii="Verdana" w:hAnsi="Verdana"/>
          <w:sz w:val="18"/>
          <w:szCs w:val="18"/>
          <w:lang w:val="el-GR"/>
        </w:rPr>
      </w:pPr>
      <w:r w:rsidRPr="00AA3995">
        <w:rPr>
          <w:rFonts w:ascii="Verdana" w:hAnsi="Verdana"/>
          <w:b/>
          <w:bCs/>
          <w:sz w:val="18"/>
          <w:szCs w:val="18"/>
          <w:lang w:val="el-GR"/>
        </w:rPr>
        <w:t>Οι συνολικές εισαγωγές αγαθών ήταν €</w:t>
      </w:r>
      <w:r w:rsidR="006A2C1A" w:rsidRPr="00AA3995">
        <w:rPr>
          <w:rFonts w:ascii="Verdana" w:hAnsi="Verdana"/>
          <w:b/>
          <w:bCs/>
          <w:sz w:val="18"/>
          <w:szCs w:val="18"/>
          <w:lang w:val="el-GR"/>
        </w:rPr>
        <w:t>1.139,6</w:t>
      </w:r>
      <w:r w:rsidR="009E0677" w:rsidRPr="00AA3995">
        <w:rPr>
          <w:rFonts w:ascii="Verdana" w:hAnsi="Verdana"/>
          <w:b/>
          <w:bCs/>
          <w:sz w:val="18"/>
          <w:szCs w:val="18"/>
          <w:lang w:val="el-GR"/>
        </w:rPr>
        <w:t xml:space="preserve"> </w:t>
      </w:r>
      <w:r w:rsidRPr="00AA3995">
        <w:rPr>
          <w:rFonts w:ascii="Verdana" w:hAnsi="Verdana"/>
          <w:b/>
          <w:bCs/>
          <w:sz w:val="18"/>
          <w:szCs w:val="18"/>
          <w:lang w:val="el-GR"/>
        </w:rPr>
        <w:t xml:space="preserve">εκ. τον </w:t>
      </w:r>
      <w:r w:rsidR="00454186" w:rsidRPr="00AA3995">
        <w:rPr>
          <w:rFonts w:ascii="Verdana" w:hAnsi="Verdana"/>
          <w:b/>
          <w:bCs/>
          <w:sz w:val="18"/>
          <w:szCs w:val="18"/>
          <w:lang w:val="el-GR"/>
        </w:rPr>
        <w:t>Νοέμβ</w:t>
      </w:r>
      <w:r w:rsidR="00F67C76" w:rsidRPr="00AA3995">
        <w:rPr>
          <w:rFonts w:ascii="Verdana" w:hAnsi="Verdana"/>
          <w:b/>
          <w:bCs/>
          <w:sz w:val="18"/>
          <w:szCs w:val="18"/>
          <w:lang w:val="el-GR"/>
        </w:rPr>
        <w:t>ριο</w:t>
      </w:r>
      <w:r w:rsidRPr="00AA3995">
        <w:rPr>
          <w:rFonts w:ascii="Verdana" w:hAnsi="Verdana"/>
          <w:b/>
          <w:bCs/>
          <w:sz w:val="18"/>
          <w:szCs w:val="18"/>
          <w:lang w:val="el-GR"/>
        </w:rPr>
        <w:t xml:space="preserve"> 202</w:t>
      </w:r>
      <w:r w:rsidR="00A6037B" w:rsidRPr="00AA3995">
        <w:rPr>
          <w:rFonts w:ascii="Verdana" w:hAnsi="Verdana"/>
          <w:b/>
          <w:bCs/>
          <w:sz w:val="18"/>
          <w:szCs w:val="18"/>
          <w:lang w:val="el-GR"/>
        </w:rPr>
        <w:t>4</w:t>
      </w:r>
      <w:r w:rsidRPr="00AA3995">
        <w:rPr>
          <w:rFonts w:ascii="Verdana" w:hAnsi="Verdana"/>
          <w:sz w:val="18"/>
          <w:szCs w:val="18"/>
          <w:lang w:val="el-GR"/>
        </w:rPr>
        <w:t xml:space="preserve"> σε σύγκριση με €</w:t>
      </w:r>
      <w:r w:rsidR="006A2C1A" w:rsidRPr="00AA3995">
        <w:rPr>
          <w:rFonts w:ascii="Verdana" w:hAnsi="Verdana"/>
          <w:sz w:val="18"/>
          <w:szCs w:val="18"/>
          <w:lang w:val="el-GR"/>
        </w:rPr>
        <w:t>1.098,6</w:t>
      </w:r>
      <w:r w:rsidR="0038314C" w:rsidRPr="00AA3995">
        <w:rPr>
          <w:rFonts w:ascii="Verdana" w:hAnsi="Verdana"/>
          <w:sz w:val="18"/>
          <w:szCs w:val="18"/>
          <w:lang w:val="el-GR"/>
        </w:rPr>
        <w:t xml:space="preserve"> </w:t>
      </w:r>
      <w:r w:rsidRPr="00AA3995">
        <w:rPr>
          <w:rFonts w:ascii="Verdana" w:hAnsi="Verdana"/>
          <w:sz w:val="18"/>
          <w:szCs w:val="18"/>
          <w:lang w:val="el-GR"/>
        </w:rPr>
        <w:t xml:space="preserve">εκ. τον </w:t>
      </w:r>
      <w:r w:rsidR="00454186" w:rsidRPr="00AA3995">
        <w:rPr>
          <w:rFonts w:ascii="Verdana" w:hAnsi="Verdana"/>
          <w:sz w:val="18"/>
          <w:szCs w:val="18"/>
          <w:lang w:val="el-GR"/>
        </w:rPr>
        <w:t>Νοέμ</w:t>
      </w:r>
      <w:r w:rsidR="00F67C76" w:rsidRPr="00AA3995">
        <w:rPr>
          <w:rFonts w:ascii="Verdana" w:hAnsi="Verdana"/>
          <w:sz w:val="18"/>
          <w:szCs w:val="18"/>
          <w:lang w:val="el-GR"/>
        </w:rPr>
        <w:t>βριο</w:t>
      </w:r>
      <w:r w:rsidRPr="00AA3995">
        <w:rPr>
          <w:rFonts w:ascii="Verdana" w:hAnsi="Verdana"/>
          <w:sz w:val="18"/>
          <w:szCs w:val="18"/>
          <w:lang w:val="el-GR"/>
        </w:rPr>
        <w:t xml:space="preserve"> 202</w:t>
      </w:r>
      <w:r w:rsidR="00A6037B" w:rsidRPr="00AA3995">
        <w:rPr>
          <w:rFonts w:ascii="Verdana" w:hAnsi="Verdana"/>
          <w:sz w:val="18"/>
          <w:szCs w:val="18"/>
          <w:lang w:val="el-GR"/>
        </w:rPr>
        <w:t>3</w:t>
      </w:r>
      <w:r w:rsidRPr="00AA3995">
        <w:rPr>
          <w:rFonts w:ascii="Verdana" w:hAnsi="Verdana"/>
          <w:sz w:val="18"/>
          <w:szCs w:val="18"/>
          <w:lang w:val="el-GR"/>
        </w:rPr>
        <w:t xml:space="preserve">, σημειώνοντας </w:t>
      </w:r>
      <w:r w:rsidR="00861748" w:rsidRPr="00AA3995">
        <w:rPr>
          <w:rFonts w:ascii="Verdana" w:hAnsi="Verdana"/>
          <w:sz w:val="18"/>
          <w:szCs w:val="18"/>
          <w:lang w:val="el-GR"/>
        </w:rPr>
        <w:t>αύξηση</w:t>
      </w:r>
      <w:r w:rsidRPr="00AA3995">
        <w:rPr>
          <w:rFonts w:ascii="Verdana" w:hAnsi="Verdana"/>
          <w:sz w:val="18"/>
          <w:szCs w:val="18"/>
          <w:lang w:val="el-GR"/>
        </w:rPr>
        <w:t xml:space="preserve"> </w:t>
      </w:r>
      <w:r w:rsidR="006A2C1A" w:rsidRPr="00AA3995">
        <w:rPr>
          <w:rFonts w:ascii="Verdana" w:hAnsi="Verdana"/>
          <w:sz w:val="18"/>
          <w:szCs w:val="18"/>
          <w:lang w:val="el-GR"/>
        </w:rPr>
        <w:t>3,7</w:t>
      </w:r>
      <w:r w:rsidR="00FC798F" w:rsidRPr="00AA3995">
        <w:rPr>
          <w:rFonts w:ascii="Verdana" w:hAnsi="Verdana"/>
          <w:sz w:val="18"/>
          <w:szCs w:val="18"/>
          <w:lang w:val="el-GR"/>
        </w:rPr>
        <w:t>%</w:t>
      </w:r>
      <w:r w:rsidRPr="00AA3995">
        <w:rPr>
          <w:rFonts w:ascii="Verdana" w:hAnsi="Verdana"/>
          <w:sz w:val="18"/>
          <w:szCs w:val="18"/>
          <w:lang w:val="el-GR"/>
        </w:rPr>
        <w:t>.</w:t>
      </w:r>
    </w:p>
    <w:p w14:paraId="6A763338" w14:textId="77777777" w:rsidR="00EC2E65" w:rsidRPr="00CE278E" w:rsidRDefault="00EC2E65" w:rsidP="00EC2E65">
      <w:pPr>
        <w:rPr>
          <w:rFonts w:ascii="Verdana" w:hAnsi="Verdana"/>
          <w:sz w:val="18"/>
          <w:szCs w:val="18"/>
          <w:lang w:val="el-GR"/>
        </w:rPr>
      </w:pPr>
      <w:r w:rsidRPr="00CE278E">
        <w:rPr>
          <w:rFonts w:ascii="Verdana" w:hAnsi="Verdana"/>
          <w:sz w:val="18"/>
          <w:szCs w:val="18"/>
          <w:lang w:val="el-GR"/>
        </w:rPr>
        <w:t xml:space="preserve"> </w:t>
      </w:r>
    </w:p>
    <w:p w14:paraId="3678A2BC" w14:textId="77777777" w:rsidR="00883C56" w:rsidRPr="00883C56" w:rsidRDefault="00EC2E65" w:rsidP="00EC2E65">
      <w:pPr>
        <w:jc w:val="both"/>
        <w:rPr>
          <w:rFonts w:ascii="Verdana" w:hAnsi="Verdana"/>
          <w:sz w:val="18"/>
          <w:szCs w:val="18"/>
          <w:lang w:val="el-GR"/>
        </w:rPr>
      </w:pPr>
      <w:r w:rsidRPr="00AA3995">
        <w:rPr>
          <w:rFonts w:ascii="Verdana" w:hAnsi="Verdana"/>
          <w:b/>
          <w:bCs/>
          <w:sz w:val="18"/>
          <w:szCs w:val="18"/>
          <w:lang w:val="el-GR"/>
        </w:rPr>
        <w:t xml:space="preserve">Οι εξαγωγές εγχώρια παραγόμενων προϊόντων, περιλαμβανομένων των προμηθειών πλοίων και αεροπλάνων, για τον </w:t>
      </w:r>
      <w:r w:rsidR="00454186" w:rsidRPr="00AA3995">
        <w:rPr>
          <w:rFonts w:ascii="Verdana" w:hAnsi="Verdana"/>
          <w:b/>
          <w:bCs/>
          <w:sz w:val="18"/>
          <w:szCs w:val="18"/>
          <w:lang w:val="el-GR"/>
        </w:rPr>
        <w:t>Νοέμ</w:t>
      </w:r>
      <w:r w:rsidR="00F67C76" w:rsidRPr="00AA3995">
        <w:rPr>
          <w:rFonts w:ascii="Verdana" w:hAnsi="Verdana"/>
          <w:b/>
          <w:bCs/>
          <w:sz w:val="18"/>
          <w:szCs w:val="18"/>
          <w:lang w:val="el-GR"/>
        </w:rPr>
        <w:t>βριο</w:t>
      </w:r>
      <w:r w:rsidRPr="00AA3995">
        <w:rPr>
          <w:rFonts w:ascii="Verdana" w:hAnsi="Verdana"/>
          <w:b/>
          <w:bCs/>
          <w:sz w:val="18"/>
          <w:szCs w:val="18"/>
          <w:lang w:val="el-GR"/>
        </w:rPr>
        <w:t xml:space="preserve"> 202</w:t>
      </w:r>
      <w:r w:rsidR="00A6037B" w:rsidRPr="00AA3995">
        <w:rPr>
          <w:rFonts w:ascii="Verdana" w:hAnsi="Verdana"/>
          <w:b/>
          <w:bCs/>
          <w:sz w:val="18"/>
          <w:szCs w:val="18"/>
          <w:lang w:val="el-GR"/>
        </w:rPr>
        <w:t>4</w:t>
      </w:r>
      <w:r w:rsidRPr="00AA3995">
        <w:rPr>
          <w:rFonts w:ascii="Verdana" w:hAnsi="Verdana"/>
          <w:b/>
          <w:bCs/>
          <w:sz w:val="18"/>
          <w:szCs w:val="18"/>
          <w:lang w:val="el-GR"/>
        </w:rPr>
        <w:t xml:space="preserve"> ήταν €</w:t>
      </w:r>
      <w:r w:rsidR="006A2C1A" w:rsidRPr="00AA3995">
        <w:rPr>
          <w:rFonts w:ascii="Verdana" w:hAnsi="Verdana"/>
          <w:b/>
          <w:bCs/>
          <w:sz w:val="18"/>
          <w:szCs w:val="18"/>
          <w:lang w:val="el-GR"/>
        </w:rPr>
        <w:t>244,1</w:t>
      </w:r>
      <w:r w:rsidR="00C14566" w:rsidRPr="00AA3995">
        <w:rPr>
          <w:rFonts w:ascii="Verdana" w:hAnsi="Verdana"/>
          <w:b/>
          <w:bCs/>
          <w:sz w:val="18"/>
          <w:szCs w:val="18"/>
          <w:lang w:val="el-GR"/>
        </w:rPr>
        <w:t xml:space="preserve"> </w:t>
      </w:r>
      <w:r w:rsidRPr="00AA3995">
        <w:rPr>
          <w:rFonts w:ascii="Verdana" w:hAnsi="Verdana"/>
          <w:b/>
          <w:bCs/>
          <w:sz w:val="18"/>
          <w:szCs w:val="18"/>
          <w:lang w:val="el-GR"/>
        </w:rPr>
        <w:t>εκ.</w:t>
      </w:r>
      <w:r w:rsidRPr="00AA3995">
        <w:rPr>
          <w:rFonts w:ascii="Verdana" w:hAnsi="Verdana"/>
          <w:sz w:val="18"/>
          <w:szCs w:val="18"/>
          <w:lang w:val="el-GR"/>
        </w:rPr>
        <w:t xml:space="preserve"> σε σύγκριση με €</w:t>
      </w:r>
      <w:r w:rsidR="006A2C1A" w:rsidRPr="00AA3995">
        <w:rPr>
          <w:rFonts w:ascii="Verdana" w:hAnsi="Verdana"/>
          <w:sz w:val="18"/>
          <w:szCs w:val="18"/>
          <w:lang w:val="el-GR"/>
        </w:rPr>
        <w:t>226,6</w:t>
      </w:r>
      <w:r w:rsidRPr="00AA3995">
        <w:rPr>
          <w:rFonts w:ascii="Verdana" w:hAnsi="Verdana"/>
          <w:sz w:val="18"/>
          <w:szCs w:val="18"/>
          <w:lang w:val="el-GR"/>
        </w:rPr>
        <w:t xml:space="preserve"> εκ. τον </w:t>
      </w:r>
      <w:r w:rsidR="00454186" w:rsidRPr="00AA3995">
        <w:rPr>
          <w:rFonts w:ascii="Verdana" w:hAnsi="Verdana"/>
          <w:sz w:val="18"/>
          <w:szCs w:val="18"/>
          <w:lang w:val="el-GR"/>
        </w:rPr>
        <w:t>Νοέμ</w:t>
      </w:r>
      <w:r w:rsidR="00F67C76" w:rsidRPr="00AA3995">
        <w:rPr>
          <w:rFonts w:ascii="Verdana" w:hAnsi="Verdana"/>
          <w:sz w:val="18"/>
          <w:szCs w:val="18"/>
          <w:lang w:val="el-GR"/>
        </w:rPr>
        <w:t>βριο</w:t>
      </w:r>
      <w:r w:rsidRPr="00AA3995">
        <w:rPr>
          <w:rFonts w:ascii="Verdana" w:hAnsi="Verdana"/>
          <w:sz w:val="18"/>
          <w:szCs w:val="18"/>
          <w:lang w:val="el-GR"/>
        </w:rPr>
        <w:t xml:space="preserve"> 202</w:t>
      </w:r>
      <w:r w:rsidR="00A6037B" w:rsidRPr="00AA3995">
        <w:rPr>
          <w:rFonts w:ascii="Verdana" w:hAnsi="Verdana"/>
          <w:sz w:val="18"/>
          <w:szCs w:val="18"/>
          <w:lang w:val="el-GR"/>
        </w:rPr>
        <w:t>3</w:t>
      </w:r>
      <w:r w:rsidRPr="00AA3995">
        <w:rPr>
          <w:rFonts w:ascii="Verdana" w:hAnsi="Verdana"/>
          <w:sz w:val="18"/>
          <w:szCs w:val="18"/>
          <w:lang w:val="el-GR"/>
        </w:rPr>
        <w:t xml:space="preserve">, καταγράφοντας </w:t>
      </w:r>
      <w:r w:rsidR="00861748" w:rsidRPr="00AA3995">
        <w:rPr>
          <w:rFonts w:ascii="Verdana" w:hAnsi="Verdana"/>
          <w:sz w:val="18"/>
          <w:szCs w:val="18"/>
          <w:lang w:val="el-GR"/>
        </w:rPr>
        <w:t xml:space="preserve">αύξηση </w:t>
      </w:r>
      <w:r w:rsidR="006A2C1A" w:rsidRPr="00AA3995">
        <w:rPr>
          <w:rFonts w:ascii="Verdana" w:hAnsi="Verdana"/>
          <w:sz w:val="18"/>
          <w:szCs w:val="18"/>
          <w:lang w:val="el-GR"/>
        </w:rPr>
        <w:t>7,7</w:t>
      </w:r>
      <w:r w:rsidRPr="00AA3995">
        <w:rPr>
          <w:rFonts w:ascii="Verdana" w:hAnsi="Verdana"/>
          <w:sz w:val="18"/>
          <w:szCs w:val="18"/>
          <w:lang w:val="el-GR"/>
        </w:rPr>
        <w:t xml:space="preserve">%. </w:t>
      </w:r>
    </w:p>
    <w:p w14:paraId="4114BD10" w14:textId="77777777" w:rsidR="00883C56" w:rsidRPr="00C20D52" w:rsidRDefault="00883C56" w:rsidP="00EC2E65">
      <w:pPr>
        <w:jc w:val="both"/>
        <w:rPr>
          <w:rFonts w:ascii="Verdana" w:hAnsi="Verdana"/>
          <w:sz w:val="18"/>
          <w:szCs w:val="18"/>
          <w:lang w:val="el-GR"/>
        </w:rPr>
      </w:pPr>
    </w:p>
    <w:p w14:paraId="5397DA50" w14:textId="4D4549D7" w:rsidR="00EC2E65" w:rsidRPr="00CE278E" w:rsidRDefault="00EC2E65" w:rsidP="00EC2E65">
      <w:pPr>
        <w:jc w:val="both"/>
        <w:rPr>
          <w:rFonts w:ascii="Verdana" w:hAnsi="Verdana"/>
          <w:sz w:val="18"/>
          <w:szCs w:val="18"/>
          <w:lang w:val="el-GR"/>
        </w:rPr>
      </w:pPr>
      <w:r w:rsidRPr="00C20D52">
        <w:rPr>
          <w:rFonts w:ascii="Verdana" w:hAnsi="Verdana"/>
          <w:b/>
          <w:bCs/>
          <w:sz w:val="18"/>
          <w:szCs w:val="18"/>
          <w:lang w:val="el-GR"/>
        </w:rPr>
        <w:t xml:space="preserve">Η αξία των </w:t>
      </w:r>
      <w:r w:rsidR="00576E34">
        <w:rPr>
          <w:rFonts w:ascii="Verdana" w:hAnsi="Verdana"/>
          <w:b/>
          <w:bCs/>
          <w:sz w:val="18"/>
          <w:szCs w:val="18"/>
          <w:lang w:val="el-GR"/>
        </w:rPr>
        <w:t xml:space="preserve">εγχώριων </w:t>
      </w:r>
      <w:r w:rsidRPr="00C20D52">
        <w:rPr>
          <w:rFonts w:ascii="Verdana" w:hAnsi="Verdana"/>
          <w:b/>
          <w:bCs/>
          <w:sz w:val="18"/>
          <w:szCs w:val="18"/>
          <w:lang w:val="el-GR"/>
        </w:rPr>
        <w:t>εξαγωγών βιομηχανικών προϊόντων</w:t>
      </w:r>
      <w:r w:rsidR="00883C56" w:rsidRPr="00C20D52">
        <w:rPr>
          <w:rFonts w:ascii="Verdana" w:hAnsi="Verdana"/>
          <w:b/>
          <w:bCs/>
          <w:sz w:val="18"/>
          <w:szCs w:val="18"/>
          <w:lang w:val="el-GR"/>
        </w:rPr>
        <w:t>, εξαιρουμένων των προμηθειών πλοίων και αεροπλάνων,</w:t>
      </w:r>
      <w:r w:rsidR="00883C56">
        <w:rPr>
          <w:rFonts w:ascii="Verdana" w:hAnsi="Verdana"/>
          <w:sz w:val="18"/>
          <w:szCs w:val="18"/>
          <w:lang w:val="el-GR"/>
        </w:rPr>
        <w:t xml:space="preserve"> </w:t>
      </w:r>
      <w:r w:rsidRPr="00AA3995">
        <w:rPr>
          <w:rFonts w:ascii="Verdana" w:hAnsi="Verdana"/>
          <w:sz w:val="18"/>
          <w:szCs w:val="18"/>
          <w:lang w:val="el-GR"/>
        </w:rPr>
        <w:t xml:space="preserve"> για τον </w:t>
      </w:r>
      <w:r w:rsidR="00454186" w:rsidRPr="00AA3995">
        <w:rPr>
          <w:rFonts w:ascii="Verdana" w:hAnsi="Verdana"/>
          <w:sz w:val="18"/>
          <w:szCs w:val="18"/>
          <w:lang w:val="el-GR"/>
        </w:rPr>
        <w:t>Νοέμ</w:t>
      </w:r>
      <w:r w:rsidR="00F67C76" w:rsidRPr="00AA3995">
        <w:rPr>
          <w:rFonts w:ascii="Verdana" w:hAnsi="Verdana"/>
          <w:sz w:val="18"/>
          <w:szCs w:val="18"/>
          <w:lang w:val="el-GR"/>
        </w:rPr>
        <w:t>βριο</w:t>
      </w:r>
      <w:r w:rsidRPr="00AA3995">
        <w:rPr>
          <w:rFonts w:ascii="Verdana" w:hAnsi="Verdana"/>
          <w:sz w:val="18"/>
          <w:szCs w:val="18"/>
          <w:lang w:val="el-GR"/>
        </w:rPr>
        <w:t xml:space="preserve"> 202</w:t>
      </w:r>
      <w:r w:rsidR="00A6037B" w:rsidRPr="00AA3995">
        <w:rPr>
          <w:rFonts w:ascii="Verdana" w:hAnsi="Verdana"/>
          <w:sz w:val="18"/>
          <w:szCs w:val="18"/>
          <w:lang w:val="el-GR"/>
        </w:rPr>
        <w:t>4</w:t>
      </w:r>
      <w:r w:rsidRPr="00AA3995">
        <w:rPr>
          <w:rFonts w:ascii="Verdana" w:hAnsi="Verdana"/>
          <w:sz w:val="18"/>
          <w:szCs w:val="18"/>
          <w:lang w:val="el-GR"/>
        </w:rPr>
        <w:t xml:space="preserve"> ανήλθε σε €</w:t>
      </w:r>
      <w:r w:rsidR="006A2C1A" w:rsidRPr="00AA3995">
        <w:rPr>
          <w:rFonts w:ascii="Verdana" w:hAnsi="Verdana"/>
          <w:sz w:val="18"/>
          <w:szCs w:val="18"/>
          <w:lang w:val="el-GR"/>
        </w:rPr>
        <w:t>236,5</w:t>
      </w:r>
      <w:r w:rsidRPr="00AA3995">
        <w:rPr>
          <w:rFonts w:ascii="Verdana" w:hAnsi="Verdana"/>
          <w:sz w:val="18"/>
          <w:szCs w:val="18"/>
          <w:lang w:val="el-GR"/>
        </w:rPr>
        <w:t xml:space="preserve"> εκ. σε σύγκριση με €</w:t>
      </w:r>
      <w:r w:rsidR="006A2C1A" w:rsidRPr="00AA3995">
        <w:rPr>
          <w:rFonts w:ascii="Verdana" w:hAnsi="Verdana"/>
          <w:sz w:val="18"/>
          <w:szCs w:val="18"/>
          <w:lang w:val="el-GR"/>
        </w:rPr>
        <w:t>218,2</w:t>
      </w:r>
      <w:r w:rsidRPr="00AA3995">
        <w:rPr>
          <w:rFonts w:ascii="Verdana" w:hAnsi="Verdana"/>
          <w:sz w:val="18"/>
          <w:szCs w:val="18"/>
          <w:lang w:val="el-GR"/>
        </w:rPr>
        <w:t xml:space="preserve"> εκ. τον </w:t>
      </w:r>
      <w:r w:rsidR="00454186" w:rsidRPr="00AA3995">
        <w:rPr>
          <w:rFonts w:ascii="Verdana" w:hAnsi="Verdana"/>
          <w:sz w:val="18"/>
          <w:szCs w:val="18"/>
          <w:lang w:val="el-GR"/>
        </w:rPr>
        <w:t>Νοέμ</w:t>
      </w:r>
      <w:r w:rsidR="00F67C76" w:rsidRPr="00AA3995">
        <w:rPr>
          <w:rFonts w:ascii="Verdana" w:hAnsi="Verdana"/>
          <w:sz w:val="18"/>
          <w:szCs w:val="18"/>
          <w:lang w:val="el-GR"/>
        </w:rPr>
        <w:t>βριο</w:t>
      </w:r>
      <w:r w:rsidRPr="00AA3995">
        <w:rPr>
          <w:rFonts w:ascii="Verdana" w:hAnsi="Verdana"/>
          <w:sz w:val="18"/>
          <w:szCs w:val="18"/>
          <w:lang w:val="el-GR"/>
        </w:rPr>
        <w:t xml:space="preserve"> 202</w:t>
      </w:r>
      <w:r w:rsidR="00A6037B" w:rsidRPr="00AA3995">
        <w:rPr>
          <w:rFonts w:ascii="Verdana" w:hAnsi="Verdana"/>
          <w:sz w:val="18"/>
          <w:szCs w:val="18"/>
          <w:lang w:val="el-GR"/>
        </w:rPr>
        <w:t>3</w:t>
      </w:r>
      <w:r w:rsidR="00883C56" w:rsidRPr="00C20D52">
        <w:rPr>
          <w:rFonts w:ascii="Verdana" w:hAnsi="Verdana"/>
          <w:b/>
          <w:bCs/>
          <w:sz w:val="18"/>
          <w:szCs w:val="18"/>
          <w:lang w:val="el-GR"/>
        </w:rPr>
        <w:t xml:space="preserve">. Η </w:t>
      </w:r>
      <w:r w:rsidRPr="00C20D52">
        <w:rPr>
          <w:rFonts w:ascii="Verdana" w:hAnsi="Verdana"/>
          <w:b/>
          <w:bCs/>
          <w:sz w:val="18"/>
          <w:szCs w:val="18"/>
          <w:lang w:val="el-GR"/>
        </w:rPr>
        <w:t>αξία των</w:t>
      </w:r>
      <w:r w:rsidR="00FA18AE">
        <w:rPr>
          <w:rFonts w:ascii="Verdana" w:hAnsi="Verdana"/>
          <w:b/>
          <w:bCs/>
          <w:sz w:val="18"/>
          <w:szCs w:val="18"/>
          <w:lang w:val="el-GR"/>
        </w:rPr>
        <w:t xml:space="preserve"> εγχώριων</w:t>
      </w:r>
      <w:r w:rsidRPr="00C20D52">
        <w:rPr>
          <w:rFonts w:ascii="Verdana" w:hAnsi="Verdana"/>
          <w:b/>
          <w:bCs/>
          <w:sz w:val="18"/>
          <w:szCs w:val="18"/>
          <w:lang w:val="el-GR"/>
        </w:rPr>
        <w:t xml:space="preserve"> εξαγωγών γεωργικών προϊόντων</w:t>
      </w:r>
      <w:r w:rsidR="00883C56" w:rsidRPr="00C20D52">
        <w:rPr>
          <w:rFonts w:ascii="Verdana" w:hAnsi="Verdana"/>
          <w:b/>
          <w:bCs/>
          <w:sz w:val="18"/>
          <w:szCs w:val="18"/>
          <w:lang w:val="el-GR"/>
        </w:rPr>
        <w:t>, εξαιρουμένων των προμηθειών πλοίων και αεροπλάνων,</w:t>
      </w:r>
      <w:r w:rsidRPr="00AA3995">
        <w:rPr>
          <w:rFonts w:ascii="Verdana" w:hAnsi="Verdana"/>
          <w:sz w:val="18"/>
          <w:szCs w:val="18"/>
          <w:lang w:val="el-GR"/>
        </w:rPr>
        <w:t xml:space="preserve"> για τον </w:t>
      </w:r>
      <w:r w:rsidR="00454186" w:rsidRPr="00AA3995">
        <w:rPr>
          <w:rFonts w:ascii="Verdana" w:hAnsi="Verdana"/>
          <w:sz w:val="18"/>
          <w:szCs w:val="18"/>
          <w:lang w:val="el-GR"/>
        </w:rPr>
        <w:t>Νοέμ</w:t>
      </w:r>
      <w:r w:rsidR="00F67C76" w:rsidRPr="00AA3995">
        <w:rPr>
          <w:rFonts w:ascii="Verdana" w:hAnsi="Verdana"/>
          <w:sz w:val="18"/>
          <w:szCs w:val="18"/>
          <w:lang w:val="el-GR"/>
        </w:rPr>
        <w:t>βριο</w:t>
      </w:r>
      <w:r w:rsidRPr="00AA3995">
        <w:rPr>
          <w:rFonts w:ascii="Verdana" w:hAnsi="Verdana"/>
          <w:sz w:val="18"/>
          <w:szCs w:val="18"/>
          <w:lang w:val="el-GR"/>
        </w:rPr>
        <w:t xml:space="preserve"> 202</w:t>
      </w:r>
      <w:r w:rsidR="00A6037B" w:rsidRPr="00AA3995">
        <w:rPr>
          <w:rFonts w:ascii="Verdana" w:hAnsi="Verdana"/>
          <w:sz w:val="18"/>
          <w:szCs w:val="18"/>
          <w:lang w:val="el-GR"/>
        </w:rPr>
        <w:t>4</w:t>
      </w:r>
      <w:r w:rsidRPr="00AA3995">
        <w:rPr>
          <w:rFonts w:ascii="Verdana" w:hAnsi="Verdana"/>
          <w:sz w:val="18"/>
          <w:szCs w:val="18"/>
          <w:lang w:val="el-GR"/>
        </w:rPr>
        <w:t xml:space="preserve"> ανήλθε στα €</w:t>
      </w:r>
      <w:r w:rsidR="006A2C1A" w:rsidRPr="00AA3995">
        <w:rPr>
          <w:rFonts w:ascii="Verdana" w:hAnsi="Verdana"/>
          <w:sz w:val="18"/>
          <w:szCs w:val="18"/>
          <w:lang w:val="el-GR"/>
        </w:rPr>
        <w:t>6,5</w:t>
      </w:r>
      <w:r w:rsidR="001A1956" w:rsidRPr="00AA3995">
        <w:rPr>
          <w:rFonts w:ascii="Verdana" w:hAnsi="Verdana"/>
          <w:sz w:val="18"/>
          <w:szCs w:val="18"/>
          <w:lang w:val="el-GR"/>
        </w:rPr>
        <w:t xml:space="preserve"> </w:t>
      </w:r>
      <w:r w:rsidRPr="00AA3995">
        <w:rPr>
          <w:rFonts w:ascii="Verdana" w:hAnsi="Verdana"/>
          <w:sz w:val="18"/>
          <w:szCs w:val="18"/>
          <w:lang w:val="el-GR"/>
        </w:rPr>
        <w:t>εκ. έναντι €</w:t>
      </w:r>
      <w:r w:rsidR="006A2C1A" w:rsidRPr="00AA3995">
        <w:rPr>
          <w:rFonts w:ascii="Verdana" w:hAnsi="Verdana"/>
          <w:sz w:val="18"/>
          <w:szCs w:val="18"/>
          <w:lang w:val="el-GR"/>
        </w:rPr>
        <w:t>6,6</w:t>
      </w:r>
      <w:r w:rsidRPr="00AA3995">
        <w:rPr>
          <w:rFonts w:ascii="Verdana" w:hAnsi="Verdana"/>
          <w:sz w:val="18"/>
          <w:szCs w:val="18"/>
          <w:lang w:val="el-GR"/>
        </w:rPr>
        <w:t xml:space="preserve"> εκ. τον </w:t>
      </w:r>
      <w:r w:rsidR="00454186" w:rsidRPr="00AA3995">
        <w:rPr>
          <w:rFonts w:ascii="Verdana" w:hAnsi="Verdana"/>
          <w:sz w:val="18"/>
          <w:szCs w:val="18"/>
          <w:lang w:val="el-GR"/>
        </w:rPr>
        <w:t>Νοέμ</w:t>
      </w:r>
      <w:r w:rsidR="00F67C76" w:rsidRPr="00AA3995">
        <w:rPr>
          <w:rFonts w:ascii="Verdana" w:hAnsi="Verdana"/>
          <w:sz w:val="18"/>
          <w:szCs w:val="18"/>
          <w:lang w:val="el-GR"/>
        </w:rPr>
        <w:t>βριο</w:t>
      </w:r>
      <w:r w:rsidRPr="00AA3995">
        <w:rPr>
          <w:rFonts w:ascii="Verdana" w:hAnsi="Verdana"/>
          <w:sz w:val="18"/>
          <w:szCs w:val="18"/>
          <w:lang w:val="el-GR"/>
        </w:rPr>
        <w:t xml:space="preserve"> 202</w:t>
      </w:r>
      <w:r w:rsidR="00A6037B" w:rsidRPr="00AA3995">
        <w:rPr>
          <w:rFonts w:ascii="Verdana" w:hAnsi="Verdana"/>
          <w:sz w:val="18"/>
          <w:szCs w:val="18"/>
          <w:lang w:val="el-GR"/>
        </w:rPr>
        <w:t>3</w:t>
      </w:r>
      <w:r w:rsidRPr="00AA3995">
        <w:rPr>
          <w:rFonts w:ascii="Verdana" w:hAnsi="Verdana"/>
          <w:sz w:val="18"/>
          <w:szCs w:val="18"/>
          <w:lang w:val="el-GR"/>
        </w:rPr>
        <w:t>.</w:t>
      </w:r>
      <w:r w:rsidRPr="00CE278E">
        <w:rPr>
          <w:rFonts w:ascii="Verdana" w:hAnsi="Verdana"/>
          <w:sz w:val="18"/>
          <w:szCs w:val="18"/>
          <w:lang w:val="el-GR"/>
        </w:rPr>
        <w:t xml:space="preserve"> </w:t>
      </w:r>
    </w:p>
    <w:p w14:paraId="20335C0A" w14:textId="2FC5ADEB" w:rsidR="00EC2E65" w:rsidRPr="00AA3995" w:rsidRDefault="00EC2E65" w:rsidP="000E4CB0">
      <w:pPr>
        <w:jc w:val="both"/>
        <w:rPr>
          <w:rFonts w:ascii="Verdana" w:hAnsi="Verdana"/>
          <w:sz w:val="18"/>
          <w:szCs w:val="18"/>
          <w:lang w:val="el-GR"/>
        </w:rPr>
      </w:pPr>
    </w:p>
    <w:p w14:paraId="4DADD2E8" w14:textId="3AE4B417" w:rsidR="00AF423B" w:rsidRPr="006B0009" w:rsidRDefault="00AF423B" w:rsidP="000E4CB0">
      <w:pPr>
        <w:jc w:val="both"/>
        <w:rPr>
          <w:rFonts w:ascii="Verdana" w:hAnsi="Verdana"/>
          <w:sz w:val="18"/>
          <w:szCs w:val="18"/>
          <w:lang w:val="el-GR"/>
        </w:rPr>
      </w:pPr>
      <w:r w:rsidRPr="00AA3995">
        <w:rPr>
          <w:rFonts w:ascii="Verdana" w:hAnsi="Verdana"/>
          <w:b/>
          <w:bCs/>
          <w:sz w:val="18"/>
          <w:szCs w:val="18"/>
          <w:lang w:val="el-GR"/>
        </w:rPr>
        <w:t xml:space="preserve">Οι εξαγωγές ξένων προϊόντων, περιλαμβανομένων των προμηθειών πλοίων και αεροπλάνων, για τον </w:t>
      </w:r>
      <w:r w:rsidR="00454186" w:rsidRPr="00AA3995">
        <w:rPr>
          <w:rFonts w:ascii="Verdana" w:hAnsi="Verdana"/>
          <w:b/>
          <w:bCs/>
          <w:sz w:val="18"/>
          <w:szCs w:val="18"/>
          <w:lang w:val="el-GR"/>
        </w:rPr>
        <w:t>Νοέμ</w:t>
      </w:r>
      <w:r w:rsidR="00F67C76" w:rsidRPr="00AA3995">
        <w:rPr>
          <w:rFonts w:ascii="Verdana" w:hAnsi="Verdana"/>
          <w:b/>
          <w:bCs/>
          <w:sz w:val="18"/>
          <w:szCs w:val="18"/>
          <w:lang w:val="el-GR"/>
        </w:rPr>
        <w:t>βριο</w:t>
      </w:r>
      <w:r w:rsidR="003D6949" w:rsidRPr="00AA3995">
        <w:rPr>
          <w:rFonts w:ascii="Verdana" w:hAnsi="Verdana"/>
          <w:b/>
          <w:bCs/>
          <w:sz w:val="18"/>
          <w:szCs w:val="18"/>
          <w:lang w:val="el-GR"/>
        </w:rPr>
        <w:t xml:space="preserve"> </w:t>
      </w:r>
      <w:r w:rsidRPr="00AA3995">
        <w:rPr>
          <w:rFonts w:ascii="Verdana" w:hAnsi="Verdana"/>
          <w:b/>
          <w:bCs/>
          <w:sz w:val="18"/>
          <w:szCs w:val="18"/>
          <w:lang w:val="el-GR"/>
        </w:rPr>
        <w:t>202</w:t>
      </w:r>
      <w:r w:rsidR="00A6037B" w:rsidRPr="00AA3995">
        <w:rPr>
          <w:rFonts w:ascii="Verdana" w:hAnsi="Verdana"/>
          <w:b/>
          <w:bCs/>
          <w:sz w:val="18"/>
          <w:szCs w:val="18"/>
          <w:lang w:val="el-GR"/>
        </w:rPr>
        <w:t>4</w:t>
      </w:r>
      <w:r w:rsidRPr="00AA3995">
        <w:rPr>
          <w:rFonts w:ascii="Verdana" w:hAnsi="Verdana"/>
          <w:b/>
          <w:bCs/>
          <w:sz w:val="18"/>
          <w:szCs w:val="18"/>
          <w:lang w:val="el-GR"/>
        </w:rPr>
        <w:t xml:space="preserve"> ήταν €</w:t>
      </w:r>
      <w:r w:rsidR="006A2C1A" w:rsidRPr="00AA3995">
        <w:rPr>
          <w:rFonts w:ascii="Verdana" w:hAnsi="Verdana"/>
          <w:b/>
          <w:bCs/>
          <w:sz w:val="18"/>
          <w:szCs w:val="18"/>
          <w:lang w:val="el-GR"/>
        </w:rPr>
        <w:t>134,1</w:t>
      </w:r>
      <w:r w:rsidRPr="00AA3995">
        <w:rPr>
          <w:rFonts w:ascii="Verdana" w:hAnsi="Verdana"/>
          <w:b/>
          <w:bCs/>
          <w:sz w:val="18"/>
          <w:szCs w:val="18"/>
          <w:lang w:val="el-GR"/>
        </w:rPr>
        <w:t xml:space="preserve"> εκ.</w:t>
      </w:r>
      <w:r w:rsidRPr="00AA3995">
        <w:rPr>
          <w:rFonts w:ascii="Verdana" w:hAnsi="Verdana"/>
          <w:sz w:val="18"/>
          <w:szCs w:val="18"/>
          <w:lang w:val="el-GR"/>
        </w:rPr>
        <w:t xml:space="preserve"> σε σύγκριση με €</w:t>
      </w:r>
      <w:r w:rsidR="006A2C1A" w:rsidRPr="00AA3995">
        <w:rPr>
          <w:rFonts w:ascii="Verdana" w:hAnsi="Verdana"/>
          <w:sz w:val="18"/>
          <w:szCs w:val="18"/>
          <w:lang w:val="el-GR"/>
        </w:rPr>
        <w:t>519,2</w:t>
      </w:r>
      <w:r w:rsidRPr="00AA3995">
        <w:rPr>
          <w:rFonts w:ascii="Verdana" w:hAnsi="Verdana"/>
          <w:sz w:val="18"/>
          <w:szCs w:val="18"/>
          <w:lang w:val="el-GR"/>
        </w:rPr>
        <w:t xml:space="preserve"> εκ. τον </w:t>
      </w:r>
      <w:r w:rsidR="00454186" w:rsidRPr="00AA3995">
        <w:rPr>
          <w:rFonts w:ascii="Verdana" w:hAnsi="Verdana"/>
          <w:sz w:val="18"/>
          <w:szCs w:val="18"/>
          <w:lang w:val="el-GR"/>
        </w:rPr>
        <w:t>Νοέμ</w:t>
      </w:r>
      <w:r w:rsidR="00F67C76" w:rsidRPr="00AA3995">
        <w:rPr>
          <w:rFonts w:ascii="Verdana" w:hAnsi="Verdana"/>
          <w:sz w:val="18"/>
          <w:szCs w:val="18"/>
          <w:lang w:val="el-GR"/>
        </w:rPr>
        <w:t>βριο</w:t>
      </w:r>
      <w:r w:rsidRPr="00AA3995">
        <w:rPr>
          <w:rFonts w:ascii="Verdana" w:hAnsi="Verdana"/>
          <w:sz w:val="18"/>
          <w:szCs w:val="18"/>
          <w:lang w:val="el-GR"/>
        </w:rPr>
        <w:t xml:space="preserve"> 202</w:t>
      </w:r>
      <w:r w:rsidR="00A6037B" w:rsidRPr="00AA3995">
        <w:rPr>
          <w:rFonts w:ascii="Verdana" w:hAnsi="Verdana"/>
          <w:sz w:val="18"/>
          <w:szCs w:val="18"/>
          <w:lang w:val="el-GR"/>
        </w:rPr>
        <w:t>3</w:t>
      </w:r>
      <w:r w:rsidRPr="00AA3995">
        <w:rPr>
          <w:rFonts w:ascii="Verdana" w:hAnsi="Verdana"/>
          <w:sz w:val="18"/>
          <w:szCs w:val="18"/>
          <w:lang w:val="el-GR"/>
        </w:rPr>
        <w:t xml:space="preserve">, σημειώνοντας </w:t>
      </w:r>
      <w:r w:rsidR="006A2C1A" w:rsidRPr="00AA3995">
        <w:rPr>
          <w:rFonts w:ascii="Verdana" w:hAnsi="Verdana"/>
          <w:sz w:val="18"/>
          <w:szCs w:val="18"/>
          <w:lang w:val="el-GR"/>
        </w:rPr>
        <w:t>μείωση</w:t>
      </w:r>
      <w:r w:rsidRPr="00AA3995">
        <w:rPr>
          <w:rFonts w:ascii="Verdana" w:hAnsi="Verdana"/>
          <w:sz w:val="18"/>
          <w:szCs w:val="18"/>
          <w:lang w:val="el-GR"/>
        </w:rPr>
        <w:t xml:space="preserve"> </w:t>
      </w:r>
      <w:r w:rsidR="006A2C1A" w:rsidRPr="00AA3995">
        <w:rPr>
          <w:rFonts w:ascii="Verdana" w:hAnsi="Verdana"/>
          <w:sz w:val="18"/>
          <w:szCs w:val="18"/>
          <w:lang w:val="el-GR"/>
        </w:rPr>
        <w:t>74,2</w:t>
      </w:r>
      <w:r w:rsidRPr="00AA3995">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47980BE2" w:rsidR="00EC2E65" w:rsidRPr="00E66937" w:rsidRDefault="008412F2"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28FC1041" wp14:editId="49B533FB">
            <wp:extent cx="6041390" cy="4505325"/>
            <wp:effectExtent l="0" t="0" r="0" b="9525"/>
            <wp:docPr id="736964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390" cy="450532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6162C754" w:rsidR="008F4741" w:rsidRPr="008F4741" w:rsidRDefault="007B08E7" w:rsidP="008F4741">
      <w:pPr>
        <w:jc w:val="both"/>
        <w:rPr>
          <w:rFonts w:ascii="Verdana" w:hAnsi="Verdana" w:cs="Arial"/>
          <w:sz w:val="18"/>
          <w:szCs w:val="18"/>
          <w:lang w:val="el-GR"/>
        </w:rPr>
      </w:pPr>
      <w:r w:rsidRPr="00530768">
        <w:rPr>
          <w:rFonts w:ascii="Verdana" w:hAnsi="Verdana" w:cs="Arial"/>
          <w:sz w:val="18"/>
          <w:szCs w:val="18"/>
          <w:lang w:val="el-GR"/>
        </w:rPr>
        <w:t>Περισσότερα στοιχεία δημοσιεύονται στο μηνιαίο δημοσίευμα ‘Σ</w:t>
      </w:r>
      <w:r w:rsidR="009853AF" w:rsidRPr="00530768">
        <w:rPr>
          <w:rFonts w:ascii="Verdana" w:hAnsi="Verdana" w:cs="Arial"/>
          <w:sz w:val="18"/>
          <w:szCs w:val="18"/>
          <w:lang w:val="el-GR"/>
        </w:rPr>
        <w:t>τατιστικές</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νδοενωσιακού</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και</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με</w:t>
      </w:r>
      <w:r w:rsidRPr="00530768">
        <w:rPr>
          <w:rFonts w:ascii="Verdana" w:hAnsi="Verdana" w:cs="Arial"/>
          <w:sz w:val="18"/>
          <w:szCs w:val="18"/>
          <w:lang w:val="el-GR"/>
        </w:rPr>
        <w:t xml:space="preserve"> Τ</w:t>
      </w:r>
      <w:r w:rsidR="009853AF" w:rsidRPr="00530768">
        <w:rPr>
          <w:rFonts w:ascii="Verdana" w:hAnsi="Verdana" w:cs="Arial"/>
          <w:sz w:val="18"/>
          <w:szCs w:val="18"/>
          <w:lang w:val="el-GR"/>
        </w:rPr>
        <w:t>ρίτες</w:t>
      </w:r>
      <w:r w:rsidRPr="00530768">
        <w:rPr>
          <w:rFonts w:ascii="Verdana" w:hAnsi="Verdana" w:cs="Arial"/>
          <w:sz w:val="18"/>
          <w:szCs w:val="18"/>
          <w:lang w:val="el-GR"/>
        </w:rPr>
        <w:t xml:space="preserve"> Χ</w:t>
      </w:r>
      <w:r w:rsidR="009853AF" w:rsidRPr="00530768">
        <w:rPr>
          <w:rFonts w:ascii="Verdana" w:hAnsi="Verdana" w:cs="Arial"/>
          <w:sz w:val="18"/>
          <w:szCs w:val="18"/>
          <w:lang w:val="el-GR"/>
        </w:rPr>
        <w:t>ώρες</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υνοπτικά</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τοιχεία</w:t>
      </w:r>
      <w:r w:rsidRPr="00530768">
        <w:rPr>
          <w:rFonts w:ascii="Verdana" w:hAnsi="Verdana" w:cs="Arial"/>
          <w:sz w:val="18"/>
          <w:szCs w:val="18"/>
          <w:lang w:val="el-GR"/>
        </w:rPr>
        <w:t xml:space="preserve">) </w:t>
      </w:r>
      <w:r w:rsidR="00CB5B7E" w:rsidRPr="00530768">
        <w:rPr>
          <w:rFonts w:ascii="Verdana" w:hAnsi="Verdana" w:cs="Arial"/>
          <w:sz w:val="18"/>
          <w:szCs w:val="18"/>
          <w:lang w:val="el-GR"/>
        </w:rPr>
        <w:t>–</w:t>
      </w:r>
      <w:r w:rsidRPr="00530768">
        <w:rPr>
          <w:rFonts w:ascii="Verdana" w:hAnsi="Verdana" w:cs="Arial"/>
          <w:sz w:val="18"/>
          <w:szCs w:val="18"/>
          <w:lang w:val="el-GR"/>
        </w:rPr>
        <w:t xml:space="preserve"> </w:t>
      </w:r>
      <w:r w:rsidR="00454186" w:rsidRPr="00530768">
        <w:rPr>
          <w:rFonts w:ascii="Verdana" w:hAnsi="Verdana" w:cs="Arial"/>
          <w:sz w:val="18"/>
          <w:szCs w:val="18"/>
          <w:lang w:val="el-GR"/>
        </w:rPr>
        <w:t>Νοέμ</w:t>
      </w:r>
      <w:r w:rsidR="001A06DE" w:rsidRPr="00530768">
        <w:rPr>
          <w:rFonts w:ascii="Verdana" w:hAnsi="Verdana" w:cs="Arial"/>
          <w:sz w:val="18"/>
          <w:szCs w:val="18"/>
          <w:lang w:val="el-GR"/>
        </w:rPr>
        <w:t>βριος</w:t>
      </w:r>
      <w:r w:rsidRPr="00530768">
        <w:rPr>
          <w:rFonts w:ascii="Verdana" w:hAnsi="Verdana" w:cs="Arial"/>
          <w:sz w:val="18"/>
          <w:szCs w:val="18"/>
          <w:lang w:val="el-GR"/>
        </w:rPr>
        <w:t xml:space="preserve"> 202</w:t>
      </w:r>
      <w:r w:rsidR="00C400E6" w:rsidRPr="00530768">
        <w:rPr>
          <w:rFonts w:ascii="Verdana" w:hAnsi="Verdana" w:cs="Arial"/>
          <w:sz w:val="18"/>
          <w:szCs w:val="18"/>
          <w:lang w:val="el-GR"/>
        </w:rPr>
        <w:t>4</w:t>
      </w:r>
      <w:r w:rsidRPr="00530768">
        <w:rPr>
          <w:rFonts w:ascii="Verdana" w:hAnsi="Verdana" w:cs="Arial"/>
          <w:sz w:val="18"/>
          <w:szCs w:val="18"/>
          <w:lang w:val="el-GR"/>
        </w:rPr>
        <w:t>’</w:t>
      </w:r>
      <w:r w:rsidR="008F4741" w:rsidRPr="00530768">
        <w:rPr>
          <w:rFonts w:ascii="Verdana" w:hAnsi="Verdana" w:cs="Arial"/>
          <w:sz w:val="18"/>
          <w:szCs w:val="18"/>
          <w:lang w:val="el-GR"/>
        </w:rPr>
        <w:t xml:space="preserve"> </w:t>
      </w:r>
      <w:r w:rsidR="005C3E4D" w:rsidRPr="00530768">
        <w:rPr>
          <w:rFonts w:ascii="Verdana" w:hAnsi="Verdana" w:cs="Arial"/>
          <w:sz w:val="18"/>
          <w:szCs w:val="18"/>
          <w:lang w:val="el-GR"/>
        </w:rPr>
        <w:t xml:space="preserve">καθώς </w:t>
      </w:r>
      <w:r w:rsidR="008F4741" w:rsidRPr="00530768">
        <w:rPr>
          <w:rFonts w:ascii="Verdana" w:hAnsi="Verdana" w:cs="Arial"/>
          <w:sz w:val="18"/>
          <w:szCs w:val="18"/>
          <w:lang w:val="el-GR"/>
        </w:rPr>
        <w:t xml:space="preserve">και στη βάση δεδομένων </w:t>
      </w:r>
      <w:r w:rsidR="009838FC" w:rsidRPr="00530768">
        <w:rPr>
          <w:rFonts w:ascii="Verdana" w:hAnsi="Verdana" w:cs="Arial"/>
          <w:sz w:val="18"/>
          <w:szCs w:val="18"/>
          <w:lang w:val="el-GR"/>
        </w:rPr>
        <w:t>CYSTAT-DB</w:t>
      </w:r>
      <w:r w:rsidR="008F4741" w:rsidRPr="00530768">
        <w:rPr>
          <w:rFonts w:ascii="Verdana" w:hAnsi="Verdana" w:cs="Arial"/>
          <w:sz w:val="18"/>
          <w:szCs w:val="18"/>
          <w:lang w:val="el-GR"/>
        </w:rPr>
        <w:t xml:space="preserve">, κάτω από το </w:t>
      </w:r>
      <w:r w:rsidR="00381665" w:rsidRPr="00530768">
        <w:rPr>
          <w:rFonts w:ascii="Verdana" w:hAnsi="Verdana" w:cs="Arial"/>
          <w:sz w:val="18"/>
          <w:szCs w:val="18"/>
          <w:lang w:val="el-GR"/>
        </w:rPr>
        <w:t>υπόθεμα</w:t>
      </w:r>
      <w:r w:rsidR="008F4741" w:rsidRPr="00530768">
        <w:rPr>
          <w:rFonts w:ascii="Verdana" w:hAnsi="Verdana" w:cs="Arial"/>
          <w:sz w:val="18"/>
          <w:szCs w:val="18"/>
          <w:lang w:val="el-GR"/>
        </w:rPr>
        <w:t xml:space="preserve"> Εξωτερικό Εμπόριο.</w:t>
      </w:r>
    </w:p>
    <w:p w14:paraId="1AF40FE6" w14:textId="59749450" w:rsidR="007B08E7" w:rsidRPr="008F4741" w:rsidRDefault="007B08E7"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rPr>
      </w:pPr>
    </w:p>
    <w:p w14:paraId="30EC99C9" w14:textId="77777777" w:rsidR="00F43AD3" w:rsidRDefault="00F43AD3" w:rsidP="000E4CB0">
      <w:pPr>
        <w:jc w:val="both"/>
        <w:rPr>
          <w:rFonts w:ascii="Verdana" w:hAnsi="Verdana" w:cs="Arial"/>
          <w:sz w:val="18"/>
          <w:szCs w:val="18"/>
        </w:rPr>
      </w:pPr>
    </w:p>
    <w:p w14:paraId="180B25D4" w14:textId="77777777" w:rsidR="00F43AD3" w:rsidRPr="00F43AD3" w:rsidRDefault="00F43AD3" w:rsidP="000E4CB0">
      <w:pPr>
        <w:jc w:val="both"/>
        <w:rPr>
          <w:rFonts w:ascii="Verdana" w:hAnsi="Verdana" w:cs="Arial"/>
          <w:sz w:val="18"/>
          <w:szCs w:val="18"/>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232"/>
        <w:gridCol w:w="3431"/>
      </w:tblGrid>
      <w:tr w:rsidR="004C3FF2" w:rsidRPr="00AC4D75" w14:paraId="7B0AC158" w14:textId="77777777" w:rsidTr="00A474AF">
        <w:trPr>
          <w:trHeight w:val="389"/>
          <w:jc w:val="center"/>
        </w:trPr>
        <w:tc>
          <w:tcPr>
            <w:tcW w:w="10065" w:type="dxa"/>
            <w:gridSpan w:val="3"/>
            <w:tcBorders>
              <w:top w:val="nil"/>
              <w:left w:val="nil"/>
              <w:bottom w:val="single" w:sz="4" w:space="0" w:color="365F91"/>
              <w:right w:val="nil"/>
            </w:tcBorders>
            <w:vAlign w:val="center"/>
            <w:hideMark/>
          </w:tcPr>
          <w:p w14:paraId="4FA4A996" w14:textId="77777777" w:rsidR="004C3FF2" w:rsidRPr="00AC4D75" w:rsidRDefault="004C3FF2" w:rsidP="001D1496">
            <w:pPr>
              <w:rPr>
                <w:rFonts w:ascii="Verdana" w:eastAsia="Malgun Gothic" w:hAnsi="Verdana" w:cs="Arial"/>
                <w:b/>
                <w:color w:val="365F91"/>
                <w:sz w:val="18"/>
                <w:szCs w:val="18"/>
                <w:lang w:val="el-GR"/>
              </w:rPr>
            </w:pPr>
            <w:bookmarkStart w:id="0" w:name="_Hlk71021327"/>
            <w:r w:rsidRPr="00AC4D75">
              <w:rPr>
                <w:rFonts w:ascii="Verdana" w:eastAsia="Malgun Gothic" w:hAnsi="Verdana" w:cs="Arial"/>
                <w:b/>
                <w:color w:val="365F91"/>
                <w:sz w:val="18"/>
                <w:szCs w:val="18"/>
                <w:lang w:val="el-GR"/>
              </w:rPr>
              <w:lastRenderedPageBreak/>
              <w:t>Πίνακας</w:t>
            </w:r>
          </w:p>
        </w:tc>
      </w:tr>
      <w:tr w:rsidR="004C3FF2" w:rsidRPr="00AC4D75" w14:paraId="65473E77" w14:textId="77777777" w:rsidTr="00A474AF">
        <w:trPr>
          <w:trHeight w:val="355"/>
          <w:jc w:val="center"/>
        </w:trPr>
        <w:tc>
          <w:tcPr>
            <w:tcW w:w="3402" w:type="dxa"/>
            <w:vMerge w:val="restart"/>
            <w:tcBorders>
              <w:top w:val="single" w:sz="4" w:space="0" w:color="365F91"/>
              <w:left w:val="nil"/>
              <w:right w:val="nil"/>
            </w:tcBorders>
            <w:vAlign w:val="center"/>
            <w:hideMark/>
          </w:tcPr>
          <w:p w14:paraId="66A855B6"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8BDB945" w:rsidR="004C3FF2" w:rsidRPr="00AC4D75"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 xml:space="preserve">Συνολικές Εισαγωγές </w:t>
            </w:r>
          </w:p>
        </w:tc>
        <w:tc>
          <w:tcPr>
            <w:tcW w:w="3431" w:type="dxa"/>
            <w:tcBorders>
              <w:top w:val="single" w:sz="4" w:space="0" w:color="365F91"/>
              <w:left w:val="nil"/>
              <w:bottom w:val="nil"/>
              <w:right w:val="nil"/>
            </w:tcBorders>
            <w:vAlign w:val="center"/>
            <w:hideMark/>
          </w:tcPr>
          <w:p w14:paraId="3C24A7D4" w14:textId="22AB4E3F" w:rsidR="004C3FF2" w:rsidRPr="00AC4D75"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 xml:space="preserve">Συνολικές Εξαγωγές </w:t>
            </w:r>
          </w:p>
        </w:tc>
      </w:tr>
      <w:tr w:rsidR="004C3FF2" w:rsidRPr="00AC4D75" w14:paraId="3FA1B746" w14:textId="77777777" w:rsidTr="00A474AF">
        <w:trPr>
          <w:trHeight w:val="322"/>
          <w:jc w:val="center"/>
        </w:trPr>
        <w:tc>
          <w:tcPr>
            <w:tcW w:w="3402" w:type="dxa"/>
            <w:vMerge/>
            <w:tcBorders>
              <w:left w:val="nil"/>
              <w:bottom w:val="single" w:sz="4" w:space="0" w:color="365F91"/>
              <w:right w:val="nil"/>
            </w:tcBorders>
            <w:vAlign w:val="center"/>
          </w:tcPr>
          <w:p w14:paraId="79343BE3" w14:textId="77777777" w:rsidR="004C3FF2" w:rsidRPr="00AC4D75"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79421F75" w:rsidR="004C3FF2" w:rsidRPr="00A1554F"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c>
          <w:tcPr>
            <w:tcW w:w="3431" w:type="dxa"/>
            <w:tcBorders>
              <w:top w:val="nil"/>
              <w:left w:val="nil"/>
              <w:bottom w:val="single" w:sz="4" w:space="0" w:color="365F91"/>
              <w:right w:val="nil"/>
            </w:tcBorders>
            <w:vAlign w:val="center"/>
          </w:tcPr>
          <w:p w14:paraId="30762622" w14:textId="1262F448" w:rsidR="004C3FF2" w:rsidRPr="00A1554F"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r>
      <w:tr w:rsidR="00106AD8" w:rsidRPr="00AC4D75" w14:paraId="2D5FBEEA" w14:textId="77777777" w:rsidTr="00A474AF">
        <w:trPr>
          <w:trHeight w:val="323"/>
          <w:jc w:val="center"/>
        </w:trPr>
        <w:tc>
          <w:tcPr>
            <w:tcW w:w="3402" w:type="dxa"/>
            <w:tcBorders>
              <w:top w:val="single" w:sz="4" w:space="0" w:color="365F91"/>
              <w:left w:val="nil"/>
              <w:bottom w:val="nil"/>
              <w:right w:val="nil"/>
            </w:tcBorders>
            <w:vAlign w:val="center"/>
          </w:tcPr>
          <w:p w14:paraId="1280967F" w14:textId="2E2858EC" w:rsidR="00106AD8" w:rsidRPr="00AC4D75" w:rsidRDefault="00B66A2B" w:rsidP="001D1496">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2024</w:t>
            </w:r>
          </w:p>
        </w:tc>
        <w:tc>
          <w:tcPr>
            <w:tcW w:w="3232" w:type="dxa"/>
            <w:tcBorders>
              <w:top w:val="single" w:sz="4" w:space="0" w:color="365F91"/>
              <w:left w:val="nil"/>
              <w:bottom w:val="nil"/>
              <w:right w:val="nil"/>
            </w:tcBorders>
            <w:vAlign w:val="center"/>
          </w:tcPr>
          <w:p w14:paraId="6A1A42AD" w14:textId="20B2E55D" w:rsidR="00106AD8" w:rsidRPr="00CA4919" w:rsidRDefault="00106AD8" w:rsidP="00CA4919">
            <w:pPr>
              <w:rPr>
                <w:rFonts w:ascii="Verdana" w:eastAsia="Malgun Gothic" w:hAnsi="Verdana" w:cs="Arial"/>
                <w:b/>
                <w:color w:val="365F91"/>
                <w:sz w:val="18"/>
                <w:szCs w:val="18"/>
              </w:rPr>
            </w:pPr>
          </w:p>
        </w:tc>
        <w:tc>
          <w:tcPr>
            <w:tcW w:w="3431" w:type="dxa"/>
            <w:tcBorders>
              <w:top w:val="single" w:sz="4" w:space="0" w:color="365F91"/>
              <w:left w:val="nil"/>
              <w:bottom w:val="nil"/>
              <w:right w:val="nil"/>
            </w:tcBorders>
            <w:vAlign w:val="center"/>
          </w:tcPr>
          <w:p w14:paraId="0C7CDE10" w14:textId="0586D556" w:rsidR="00106AD8" w:rsidRPr="00CA4919" w:rsidRDefault="00106AD8" w:rsidP="00CA4919">
            <w:pPr>
              <w:rPr>
                <w:rFonts w:ascii="Verdana" w:eastAsia="Malgun Gothic" w:hAnsi="Verdana" w:cs="Arial"/>
                <w:b/>
                <w:color w:val="365F91"/>
                <w:sz w:val="18"/>
                <w:szCs w:val="18"/>
              </w:rPr>
            </w:pPr>
          </w:p>
        </w:tc>
      </w:tr>
      <w:tr w:rsidR="00B66A2B" w:rsidRPr="00AC4D75" w14:paraId="5F824C7F" w14:textId="77777777" w:rsidTr="00EF5EF9">
        <w:trPr>
          <w:trHeight w:val="418"/>
          <w:jc w:val="center"/>
        </w:trPr>
        <w:tc>
          <w:tcPr>
            <w:tcW w:w="3402" w:type="dxa"/>
            <w:tcBorders>
              <w:top w:val="nil"/>
              <w:left w:val="nil"/>
              <w:bottom w:val="nil"/>
              <w:right w:val="nil"/>
            </w:tcBorders>
            <w:vAlign w:val="center"/>
          </w:tcPr>
          <w:p w14:paraId="09BAAEBB" w14:textId="37D22818"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b/>
                <w:bCs/>
                <w:color w:val="365F91"/>
                <w:sz w:val="18"/>
                <w:szCs w:val="18"/>
                <w:lang w:val="el-GR"/>
              </w:rPr>
              <w:t>Ιανουάριος - Δεκέμβριος</w:t>
            </w:r>
          </w:p>
        </w:tc>
        <w:tc>
          <w:tcPr>
            <w:tcW w:w="3232" w:type="dxa"/>
            <w:tcBorders>
              <w:top w:val="nil"/>
              <w:left w:val="nil"/>
              <w:bottom w:val="nil"/>
              <w:right w:val="nil"/>
            </w:tcBorders>
            <w:vAlign w:val="center"/>
          </w:tcPr>
          <w:p w14:paraId="59CDE91D" w14:textId="4E5A6574" w:rsidR="00B66A2B" w:rsidRPr="00BE229B" w:rsidRDefault="00B66A2B" w:rsidP="00B66A2B">
            <w:pPr>
              <w:jc w:val="both"/>
              <w:rPr>
                <w:rFonts w:ascii="Verdana" w:hAnsi="Verdana" w:cs="Arial"/>
                <w:color w:val="2F5496"/>
                <w:sz w:val="18"/>
                <w:szCs w:val="18"/>
                <w:lang w:val="el-GR"/>
              </w:rPr>
            </w:pPr>
            <w:r>
              <w:rPr>
                <w:rFonts w:ascii="Verdana" w:eastAsia="Malgun Gothic" w:hAnsi="Verdana" w:cs="Arial"/>
                <w:b/>
                <w:color w:val="365F91"/>
                <w:sz w:val="18"/>
                <w:szCs w:val="18"/>
              </w:rPr>
              <w:t xml:space="preserve">          12.256.051</w:t>
            </w:r>
          </w:p>
        </w:tc>
        <w:tc>
          <w:tcPr>
            <w:tcW w:w="3431" w:type="dxa"/>
            <w:tcBorders>
              <w:top w:val="nil"/>
              <w:left w:val="nil"/>
              <w:bottom w:val="nil"/>
              <w:right w:val="nil"/>
            </w:tcBorders>
            <w:vAlign w:val="center"/>
          </w:tcPr>
          <w:p w14:paraId="4B74EBAE" w14:textId="4E9F40F3" w:rsidR="00B66A2B" w:rsidRPr="00BE229B" w:rsidRDefault="00B66A2B" w:rsidP="00B66A2B">
            <w:pPr>
              <w:ind w:firstLineChars="300" w:firstLine="540"/>
              <w:jc w:val="both"/>
              <w:rPr>
                <w:rFonts w:ascii="Verdana" w:hAnsi="Verdana" w:cs="Arial"/>
                <w:color w:val="2F5496"/>
                <w:sz w:val="18"/>
                <w:szCs w:val="18"/>
                <w:lang w:val="el-GR"/>
              </w:rPr>
            </w:pPr>
            <w:r>
              <w:rPr>
                <w:rFonts w:ascii="Verdana" w:eastAsia="Malgun Gothic" w:hAnsi="Verdana" w:cs="Arial"/>
                <w:b/>
                <w:color w:val="365F91"/>
                <w:sz w:val="18"/>
                <w:szCs w:val="18"/>
              </w:rPr>
              <w:t xml:space="preserve">      4.121.834</w:t>
            </w:r>
          </w:p>
        </w:tc>
      </w:tr>
      <w:tr w:rsidR="00B66A2B" w:rsidRPr="00AC4D75" w14:paraId="130C9E3E" w14:textId="77777777" w:rsidTr="00EF5EF9">
        <w:trPr>
          <w:trHeight w:val="418"/>
          <w:jc w:val="center"/>
        </w:trPr>
        <w:tc>
          <w:tcPr>
            <w:tcW w:w="3402" w:type="dxa"/>
            <w:tcBorders>
              <w:top w:val="nil"/>
              <w:left w:val="nil"/>
              <w:bottom w:val="nil"/>
              <w:right w:val="nil"/>
            </w:tcBorders>
            <w:vAlign w:val="center"/>
          </w:tcPr>
          <w:p w14:paraId="4F72E387" w14:textId="05A98A59" w:rsidR="00B66A2B" w:rsidRDefault="00B66A2B"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Δεκέμβριος </w:t>
            </w:r>
          </w:p>
        </w:tc>
        <w:tc>
          <w:tcPr>
            <w:tcW w:w="3232" w:type="dxa"/>
            <w:tcBorders>
              <w:top w:val="nil"/>
              <w:left w:val="nil"/>
              <w:bottom w:val="nil"/>
              <w:right w:val="nil"/>
            </w:tcBorders>
            <w:vAlign w:val="center"/>
          </w:tcPr>
          <w:p w14:paraId="058F8884" w14:textId="542D286F" w:rsidR="00B66A2B"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1.314.282</w:t>
            </w:r>
          </w:p>
        </w:tc>
        <w:tc>
          <w:tcPr>
            <w:tcW w:w="3431" w:type="dxa"/>
            <w:tcBorders>
              <w:top w:val="nil"/>
              <w:left w:val="nil"/>
              <w:bottom w:val="nil"/>
              <w:right w:val="nil"/>
            </w:tcBorders>
            <w:vAlign w:val="center"/>
          </w:tcPr>
          <w:p w14:paraId="6E74D497" w14:textId="63751BB0" w:rsidR="00B66A2B"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359.049</w:t>
            </w:r>
          </w:p>
        </w:tc>
      </w:tr>
      <w:tr w:rsidR="00B66A2B" w:rsidRPr="00AC4D75" w14:paraId="00625AFF" w14:textId="77777777" w:rsidTr="00EF5EF9">
        <w:trPr>
          <w:trHeight w:val="418"/>
          <w:jc w:val="center"/>
        </w:trPr>
        <w:tc>
          <w:tcPr>
            <w:tcW w:w="3402" w:type="dxa"/>
            <w:tcBorders>
              <w:top w:val="nil"/>
              <w:left w:val="nil"/>
              <w:bottom w:val="nil"/>
              <w:right w:val="nil"/>
            </w:tcBorders>
            <w:vAlign w:val="center"/>
          </w:tcPr>
          <w:p w14:paraId="24485A64" w14:textId="42F7C7DB" w:rsidR="00B66A2B" w:rsidRDefault="00B66A2B"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06C0639B" w14:textId="2D00041F" w:rsidR="00B66A2B" w:rsidRPr="00153CB5" w:rsidRDefault="00B66A2B" w:rsidP="00B66A2B">
            <w:pPr>
              <w:ind w:firstLineChars="300" w:firstLine="540"/>
              <w:jc w:val="both"/>
              <w:rPr>
                <w:rFonts w:ascii="Verdana" w:hAnsi="Verdana" w:cs="Arial"/>
                <w:color w:val="2F5496"/>
                <w:sz w:val="18"/>
                <w:szCs w:val="18"/>
                <w:lang w:val="el-GR"/>
              </w:rPr>
            </w:pPr>
            <w:r w:rsidRPr="0052086B">
              <w:rPr>
                <w:rFonts w:ascii="Verdana" w:hAnsi="Verdana" w:cs="Arial"/>
                <w:color w:val="2F5496"/>
                <w:sz w:val="18"/>
                <w:szCs w:val="18"/>
              </w:rPr>
              <w:t xml:space="preserve">    1.1</w:t>
            </w:r>
            <w:r>
              <w:rPr>
                <w:rFonts w:ascii="Verdana" w:hAnsi="Verdana" w:cs="Arial"/>
                <w:color w:val="2F5496"/>
                <w:sz w:val="18"/>
                <w:szCs w:val="18"/>
                <w:lang w:val="el-GR"/>
              </w:rPr>
              <w:t>39</w:t>
            </w:r>
            <w:r w:rsidRPr="0052086B">
              <w:rPr>
                <w:rFonts w:ascii="Verdana" w:hAnsi="Verdana" w:cs="Arial"/>
                <w:color w:val="2F5496"/>
                <w:sz w:val="18"/>
                <w:szCs w:val="18"/>
              </w:rPr>
              <w:t>.</w:t>
            </w:r>
            <w:r>
              <w:rPr>
                <w:rFonts w:ascii="Verdana" w:hAnsi="Verdana" w:cs="Arial"/>
                <w:color w:val="2F5496"/>
                <w:sz w:val="18"/>
                <w:szCs w:val="18"/>
                <w:lang w:val="el-GR"/>
              </w:rPr>
              <w:t>622</w:t>
            </w:r>
          </w:p>
        </w:tc>
        <w:tc>
          <w:tcPr>
            <w:tcW w:w="3431" w:type="dxa"/>
            <w:tcBorders>
              <w:top w:val="nil"/>
              <w:left w:val="nil"/>
              <w:bottom w:val="nil"/>
              <w:right w:val="nil"/>
            </w:tcBorders>
            <w:vAlign w:val="center"/>
          </w:tcPr>
          <w:p w14:paraId="1DB9EA68" w14:textId="60ECE890" w:rsidR="00B66A2B" w:rsidRPr="00153CB5" w:rsidRDefault="00B66A2B" w:rsidP="00B66A2B">
            <w:pPr>
              <w:ind w:firstLineChars="300" w:firstLine="540"/>
              <w:jc w:val="both"/>
              <w:rPr>
                <w:rFonts w:ascii="Verdana" w:hAnsi="Verdana" w:cs="Arial"/>
                <w:color w:val="2F5496"/>
                <w:sz w:val="18"/>
                <w:szCs w:val="18"/>
                <w:lang w:val="el-GR"/>
              </w:rPr>
            </w:pPr>
            <w:r w:rsidRPr="0052086B">
              <w:rPr>
                <w:rFonts w:ascii="Verdana" w:hAnsi="Verdana" w:cs="Arial"/>
                <w:color w:val="2F5496"/>
                <w:sz w:val="18"/>
                <w:szCs w:val="18"/>
              </w:rPr>
              <w:t xml:space="preserve">          37</w:t>
            </w:r>
            <w:r>
              <w:rPr>
                <w:rFonts w:ascii="Verdana" w:hAnsi="Verdana" w:cs="Arial"/>
                <w:color w:val="2F5496"/>
                <w:sz w:val="18"/>
                <w:szCs w:val="18"/>
                <w:lang w:val="el-GR"/>
              </w:rPr>
              <w:t>8</w:t>
            </w:r>
            <w:r w:rsidRPr="0052086B">
              <w:rPr>
                <w:rFonts w:ascii="Verdana" w:hAnsi="Verdana" w:cs="Arial"/>
                <w:color w:val="2F5496"/>
                <w:sz w:val="18"/>
                <w:szCs w:val="18"/>
              </w:rPr>
              <w:t>.</w:t>
            </w:r>
            <w:r>
              <w:rPr>
                <w:rFonts w:ascii="Verdana" w:hAnsi="Verdana" w:cs="Arial"/>
                <w:color w:val="2F5496"/>
                <w:sz w:val="18"/>
                <w:szCs w:val="18"/>
                <w:lang w:val="el-GR"/>
              </w:rPr>
              <w:t>172</w:t>
            </w:r>
          </w:p>
        </w:tc>
      </w:tr>
      <w:tr w:rsidR="00B66A2B" w:rsidRPr="00AC4D75" w14:paraId="098A3DC4" w14:textId="77777777" w:rsidTr="00EF5EF9">
        <w:trPr>
          <w:trHeight w:val="418"/>
          <w:jc w:val="center"/>
        </w:trPr>
        <w:tc>
          <w:tcPr>
            <w:tcW w:w="3402" w:type="dxa"/>
            <w:tcBorders>
              <w:top w:val="nil"/>
              <w:left w:val="nil"/>
              <w:bottom w:val="nil"/>
              <w:right w:val="nil"/>
            </w:tcBorders>
            <w:vAlign w:val="center"/>
          </w:tcPr>
          <w:p w14:paraId="64D30A7B" w14:textId="22204233" w:rsidR="00B66A2B" w:rsidRDefault="00B66A2B"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0F460AB5" w14:textId="5FCB171A" w:rsidR="00B66A2B"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1.242.622</w:t>
            </w:r>
          </w:p>
        </w:tc>
        <w:tc>
          <w:tcPr>
            <w:tcW w:w="3431" w:type="dxa"/>
            <w:tcBorders>
              <w:top w:val="nil"/>
              <w:left w:val="nil"/>
              <w:bottom w:val="nil"/>
              <w:right w:val="nil"/>
            </w:tcBorders>
            <w:vAlign w:val="center"/>
          </w:tcPr>
          <w:p w14:paraId="0D1569D8" w14:textId="64ED0409" w:rsidR="00B66A2B"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442.</w:t>
            </w:r>
            <w:r>
              <w:rPr>
                <w:rFonts w:ascii="Verdana" w:hAnsi="Verdana" w:cs="Arial"/>
                <w:color w:val="2F5496"/>
                <w:sz w:val="18"/>
                <w:szCs w:val="18"/>
              </w:rPr>
              <w:t>950</w:t>
            </w:r>
          </w:p>
        </w:tc>
      </w:tr>
      <w:tr w:rsidR="00B66A2B" w:rsidRPr="00AC4D75" w14:paraId="01DB7A39" w14:textId="77777777" w:rsidTr="00EF5EF9">
        <w:trPr>
          <w:trHeight w:val="418"/>
          <w:jc w:val="center"/>
        </w:trPr>
        <w:tc>
          <w:tcPr>
            <w:tcW w:w="3402" w:type="dxa"/>
            <w:tcBorders>
              <w:top w:val="nil"/>
              <w:left w:val="nil"/>
              <w:bottom w:val="nil"/>
              <w:right w:val="nil"/>
            </w:tcBorders>
            <w:vAlign w:val="center"/>
          </w:tcPr>
          <w:p w14:paraId="0C5772D9" w14:textId="5B716220" w:rsidR="00B66A2B" w:rsidRDefault="00B66A2B"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11DD98B9" w14:textId="6B646915" w:rsidR="00B66A2B" w:rsidRPr="00F000EE"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95</w:t>
            </w:r>
            <w:r>
              <w:rPr>
                <w:rFonts w:ascii="Verdana" w:hAnsi="Verdana" w:cs="Arial"/>
                <w:color w:val="2F5496"/>
                <w:sz w:val="18"/>
                <w:szCs w:val="18"/>
                <w:lang w:val="el-GR"/>
              </w:rPr>
              <w:t>3</w:t>
            </w:r>
            <w:r>
              <w:rPr>
                <w:rFonts w:ascii="Verdana" w:hAnsi="Verdana" w:cs="Arial"/>
                <w:color w:val="2F5496"/>
                <w:sz w:val="18"/>
                <w:szCs w:val="18"/>
              </w:rPr>
              <w:t>.</w:t>
            </w:r>
            <w:r>
              <w:rPr>
                <w:rFonts w:ascii="Verdana" w:hAnsi="Verdana" w:cs="Arial"/>
                <w:color w:val="2F5496"/>
                <w:sz w:val="18"/>
                <w:szCs w:val="18"/>
                <w:lang w:val="el-GR"/>
              </w:rPr>
              <w:t>33</w:t>
            </w:r>
            <w:r>
              <w:rPr>
                <w:rFonts w:ascii="Verdana" w:hAnsi="Verdana" w:cs="Arial"/>
                <w:color w:val="2F5496"/>
                <w:sz w:val="18"/>
                <w:szCs w:val="18"/>
              </w:rPr>
              <w:t>9</w:t>
            </w:r>
          </w:p>
        </w:tc>
        <w:tc>
          <w:tcPr>
            <w:tcW w:w="3431" w:type="dxa"/>
            <w:tcBorders>
              <w:top w:val="nil"/>
              <w:left w:val="nil"/>
              <w:bottom w:val="nil"/>
              <w:right w:val="nil"/>
            </w:tcBorders>
            <w:vAlign w:val="center"/>
          </w:tcPr>
          <w:p w14:paraId="7D38A9EA" w14:textId="14DDB516" w:rsidR="00B66A2B" w:rsidRPr="00F000EE"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w:t>
            </w:r>
            <w:r w:rsidRPr="00A45639">
              <w:rPr>
                <w:rFonts w:ascii="Verdana" w:hAnsi="Verdana" w:cs="Arial"/>
                <w:color w:val="2F5496"/>
                <w:sz w:val="18"/>
                <w:szCs w:val="18"/>
              </w:rPr>
              <w:t>350.508</w:t>
            </w:r>
          </w:p>
        </w:tc>
      </w:tr>
      <w:tr w:rsidR="00B66A2B" w:rsidRPr="00AC4D75" w14:paraId="052E9841" w14:textId="77777777" w:rsidTr="00EF5EF9">
        <w:trPr>
          <w:trHeight w:val="418"/>
          <w:jc w:val="center"/>
        </w:trPr>
        <w:tc>
          <w:tcPr>
            <w:tcW w:w="3402" w:type="dxa"/>
            <w:tcBorders>
              <w:top w:val="nil"/>
              <w:left w:val="nil"/>
              <w:bottom w:val="nil"/>
              <w:right w:val="nil"/>
            </w:tcBorders>
            <w:vAlign w:val="center"/>
          </w:tcPr>
          <w:p w14:paraId="6AAD473B" w14:textId="3A72A449" w:rsidR="00B66A2B" w:rsidRDefault="00B66A2B"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14928DCF" w14:textId="1C6742A6" w:rsidR="00B66A2B"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9</w:t>
            </w:r>
            <w:r>
              <w:rPr>
                <w:rFonts w:ascii="Verdana" w:hAnsi="Verdana" w:cs="Arial"/>
                <w:color w:val="2F5496"/>
                <w:sz w:val="18"/>
                <w:szCs w:val="18"/>
              </w:rPr>
              <w:t>6</w:t>
            </w:r>
            <w:r>
              <w:rPr>
                <w:rFonts w:ascii="Verdana" w:hAnsi="Verdana" w:cs="Arial"/>
                <w:color w:val="2F5496"/>
                <w:sz w:val="18"/>
                <w:szCs w:val="18"/>
                <w:lang w:val="el-GR"/>
              </w:rPr>
              <w:t>8.783</w:t>
            </w:r>
          </w:p>
        </w:tc>
        <w:tc>
          <w:tcPr>
            <w:tcW w:w="3431" w:type="dxa"/>
            <w:tcBorders>
              <w:top w:val="nil"/>
              <w:left w:val="nil"/>
              <w:bottom w:val="nil"/>
              <w:right w:val="nil"/>
            </w:tcBorders>
            <w:vAlign w:val="center"/>
          </w:tcPr>
          <w:p w14:paraId="5556FCD7" w14:textId="4E423820" w:rsidR="00B66A2B" w:rsidRPr="00E16BE5" w:rsidRDefault="00B66A2B" w:rsidP="00B66A2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276.</w:t>
            </w:r>
            <w:r>
              <w:rPr>
                <w:rFonts w:ascii="Verdana" w:hAnsi="Verdana" w:cs="Arial"/>
                <w:color w:val="2F5496"/>
                <w:sz w:val="18"/>
                <w:szCs w:val="18"/>
              </w:rPr>
              <w:t>716</w:t>
            </w:r>
          </w:p>
        </w:tc>
      </w:tr>
      <w:tr w:rsidR="00B66A2B" w:rsidRPr="00AC4D75" w14:paraId="0E283457" w14:textId="77777777" w:rsidTr="00EF5EF9">
        <w:trPr>
          <w:trHeight w:val="418"/>
          <w:jc w:val="center"/>
        </w:trPr>
        <w:tc>
          <w:tcPr>
            <w:tcW w:w="3402" w:type="dxa"/>
            <w:tcBorders>
              <w:top w:val="nil"/>
              <w:left w:val="nil"/>
              <w:bottom w:val="nil"/>
              <w:right w:val="nil"/>
            </w:tcBorders>
            <w:vAlign w:val="center"/>
          </w:tcPr>
          <w:p w14:paraId="58D09B68" w14:textId="0AD53D0E" w:rsidR="00B66A2B" w:rsidRDefault="00B66A2B"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55E6B807" w14:textId="5944687E" w:rsidR="00B66A2B" w:rsidRPr="00E16BE5" w:rsidRDefault="00B66A2B" w:rsidP="00B66A2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1.05</w:t>
            </w:r>
            <w:r>
              <w:rPr>
                <w:rFonts w:ascii="Verdana" w:hAnsi="Verdana" w:cs="Arial"/>
                <w:color w:val="2F5496"/>
                <w:sz w:val="18"/>
                <w:szCs w:val="18"/>
              </w:rPr>
              <w:t>2</w:t>
            </w:r>
            <w:r>
              <w:rPr>
                <w:rFonts w:ascii="Verdana" w:hAnsi="Verdana" w:cs="Arial"/>
                <w:color w:val="2F5496"/>
                <w:sz w:val="18"/>
                <w:szCs w:val="18"/>
                <w:lang w:val="el-GR"/>
              </w:rPr>
              <w:t>.</w:t>
            </w:r>
            <w:r>
              <w:rPr>
                <w:rFonts w:ascii="Verdana" w:hAnsi="Verdana" w:cs="Arial"/>
                <w:color w:val="2F5496"/>
                <w:sz w:val="18"/>
                <w:szCs w:val="18"/>
              </w:rPr>
              <w:t>834</w:t>
            </w:r>
          </w:p>
        </w:tc>
        <w:tc>
          <w:tcPr>
            <w:tcW w:w="3431" w:type="dxa"/>
            <w:tcBorders>
              <w:top w:val="nil"/>
              <w:left w:val="nil"/>
              <w:bottom w:val="nil"/>
              <w:right w:val="nil"/>
            </w:tcBorders>
            <w:vAlign w:val="center"/>
          </w:tcPr>
          <w:p w14:paraId="0F2EB6D1" w14:textId="074AF014" w:rsidR="00B66A2B"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327.116</w:t>
            </w:r>
          </w:p>
        </w:tc>
      </w:tr>
      <w:tr w:rsidR="00B66A2B" w:rsidRPr="00AC4D75" w14:paraId="5593EC2E" w14:textId="77777777" w:rsidTr="00EF5EF9">
        <w:trPr>
          <w:trHeight w:val="418"/>
          <w:jc w:val="center"/>
        </w:trPr>
        <w:tc>
          <w:tcPr>
            <w:tcW w:w="3402" w:type="dxa"/>
            <w:tcBorders>
              <w:top w:val="nil"/>
              <w:left w:val="nil"/>
              <w:bottom w:val="nil"/>
              <w:right w:val="nil"/>
            </w:tcBorders>
            <w:vAlign w:val="center"/>
          </w:tcPr>
          <w:p w14:paraId="6D77C5FD" w14:textId="6ED8C40B" w:rsidR="00B66A2B" w:rsidRDefault="00B66A2B"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26F37BF0" w14:textId="1B249AF6" w:rsidR="00B66A2B" w:rsidRPr="00E16BE5" w:rsidRDefault="00B66A2B" w:rsidP="00B66A2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912.946</w:t>
            </w:r>
          </w:p>
        </w:tc>
        <w:tc>
          <w:tcPr>
            <w:tcW w:w="3431" w:type="dxa"/>
            <w:tcBorders>
              <w:top w:val="nil"/>
              <w:left w:val="nil"/>
              <w:bottom w:val="nil"/>
              <w:right w:val="nil"/>
            </w:tcBorders>
            <w:vAlign w:val="center"/>
          </w:tcPr>
          <w:p w14:paraId="65E677EF" w14:textId="105A0C30" w:rsidR="00B66A2B" w:rsidRPr="00E16BE5" w:rsidRDefault="00B66A2B" w:rsidP="00B66A2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4</w:t>
            </w:r>
            <w:r>
              <w:rPr>
                <w:rFonts w:ascii="Verdana" w:hAnsi="Verdana" w:cs="Arial"/>
                <w:color w:val="2F5496"/>
                <w:sz w:val="18"/>
                <w:szCs w:val="18"/>
              </w:rPr>
              <w:t>50</w:t>
            </w:r>
            <w:r>
              <w:rPr>
                <w:rFonts w:ascii="Verdana" w:hAnsi="Verdana" w:cs="Arial"/>
                <w:color w:val="2F5496"/>
                <w:sz w:val="18"/>
                <w:szCs w:val="18"/>
                <w:lang w:val="el-GR"/>
              </w:rPr>
              <w:t>.</w:t>
            </w:r>
            <w:r>
              <w:rPr>
                <w:rFonts w:ascii="Verdana" w:hAnsi="Verdana" w:cs="Arial"/>
                <w:color w:val="2F5496"/>
                <w:sz w:val="18"/>
                <w:szCs w:val="18"/>
              </w:rPr>
              <w:t>447</w:t>
            </w:r>
          </w:p>
        </w:tc>
      </w:tr>
      <w:tr w:rsidR="00B66A2B" w:rsidRPr="00AC4D75" w14:paraId="4E0E0299" w14:textId="77777777" w:rsidTr="00EF5EF9">
        <w:trPr>
          <w:trHeight w:val="418"/>
          <w:jc w:val="center"/>
        </w:trPr>
        <w:tc>
          <w:tcPr>
            <w:tcW w:w="3402" w:type="dxa"/>
            <w:tcBorders>
              <w:top w:val="nil"/>
              <w:left w:val="nil"/>
              <w:bottom w:val="nil"/>
              <w:right w:val="nil"/>
            </w:tcBorders>
            <w:vAlign w:val="center"/>
          </w:tcPr>
          <w:p w14:paraId="5E7B7B8C" w14:textId="0736FE60" w:rsidR="00B66A2B" w:rsidRDefault="00B66A2B"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23F8BC1" w14:textId="17BC0493" w:rsidR="00B66A2B" w:rsidRPr="00A0399F"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1.0</w:t>
            </w:r>
            <w:r>
              <w:rPr>
                <w:rFonts w:ascii="Verdana" w:hAnsi="Verdana" w:cs="Arial"/>
                <w:color w:val="2F5496"/>
                <w:sz w:val="18"/>
                <w:szCs w:val="18"/>
                <w:lang w:val="el-GR"/>
              </w:rPr>
              <w:t>48</w:t>
            </w:r>
            <w:r>
              <w:rPr>
                <w:rFonts w:ascii="Verdana" w:hAnsi="Verdana" w:cs="Arial"/>
                <w:color w:val="2F5496"/>
                <w:sz w:val="18"/>
                <w:szCs w:val="18"/>
              </w:rPr>
              <w:t>.</w:t>
            </w:r>
            <w:r>
              <w:rPr>
                <w:rFonts w:ascii="Verdana" w:hAnsi="Verdana" w:cs="Arial"/>
                <w:color w:val="2F5496"/>
                <w:sz w:val="18"/>
                <w:szCs w:val="18"/>
                <w:lang w:val="el-GR"/>
              </w:rPr>
              <w:t>332</w:t>
            </w:r>
          </w:p>
        </w:tc>
        <w:tc>
          <w:tcPr>
            <w:tcW w:w="3431" w:type="dxa"/>
            <w:tcBorders>
              <w:top w:val="nil"/>
              <w:left w:val="nil"/>
              <w:bottom w:val="nil"/>
              <w:right w:val="nil"/>
            </w:tcBorders>
            <w:vAlign w:val="center"/>
          </w:tcPr>
          <w:p w14:paraId="1AE13DD6" w14:textId="286CEA7E" w:rsidR="00B66A2B" w:rsidRPr="007111D8"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3</w:t>
            </w:r>
            <w:r>
              <w:rPr>
                <w:rFonts w:ascii="Verdana" w:hAnsi="Verdana" w:cs="Arial"/>
                <w:color w:val="2F5496"/>
                <w:sz w:val="18"/>
                <w:szCs w:val="18"/>
                <w:lang w:val="el-GR"/>
              </w:rPr>
              <w:t>40</w:t>
            </w:r>
            <w:r>
              <w:rPr>
                <w:rFonts w:ascii="Verdana" w:hAnsi="Verdana" w:cs="Arial"/>
                <w:color w:val="2F5496"/>
                <w:sz w:val="18"/>
                <w:szCs w:val="18"/>
              </w:rPr>
              <w:t>.</w:t>
            </w:r>
            <w:r>
              <w:rPr>
                <w:rFonts w:ascii="Verdana" w:hAnsi="Verdana" w:cs="Arial"/>
                <w:color w:val="2F5496"/>
                <w:sz w:val="18"/>
                <w:szCs w:val="18"/>
                <w:lang w:val="el-GR"/>
              </w:rPr>
              <w:t>793</w:t>
            </w:r>
          </w:p>
        </w:tc>
      </w:tr>
      <w:tr w:rsidR="00B66A2B" w:rsidRPr="00AC4D75" w14:paraId="3EF39AB1" w14:textId="77777777" w:rsidTr="00EF5EF9">
        <w:trPr>
          <w:trHeight w:val="418"/>
          <w:jc w:val="center"/>
        </w:trPr>
        <w:tc>
          <w:tcPr>
            <w:tcW w:w="3402" w:type="dxa"/>
            <w:tcBorders>
              <w:top w:val="nil"/>
              <w:left w:val="nil"/>
              <w:bottom w:val="nil"/>
              <w:right w:val="nil"/>
            </w:tcBorders>
            <w:vAlign w:val="center"/>
          </w:tcPr>
          <w:p w14:paraId="0D4EF074" w14:textId="31723450" w:rsidR="00B66A2B" w:rsidRDefault="00B66A2B"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286B5C65" w14:textId="19140753" w:rsidR="00B66A2B" w:rsidRPr="00D95044" w:rsidRDefault="00B66A2B" w:rsidP="00B66A2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w:t>
            </w:r>
            <w:r>
              <w:rPr>
                <w:rFonts w:ascii="Verdana" w:hAnsi="Verdana" w:cs="Arial"/>
                <w:color w:val="2F5496"/>
                <w:sz w:val="18"/>
                <w:szCs w:val="18"/>
              </w:rPr>
              <w:t>9</w:t>
            </w:r>
            <w:r>
              <w:rPr>
                <w:rFonts w:ascii="Verdana" w:hAnsi="Verdana" w:cs="Arial"/>
                <w:color w:val="2F5496"/>
                <w:sz w:val="18"/>
                <w:szCs w:val="18"/>
                <w:lang w:val="el-GR"/>
              </w:rPr>
              <w:t>8.529</w:t>
            </w:r>
          </w:p>
        </w:tc>
        <w:tc>
          <w:tcPr>
            <w:tcW w:w="3431" w:type="dxa"/>
            <w:tcBorders>
              <w:top w:val="nil"/>
              <w:left w:val="nil"/>
              <w:bottom w:val="nil"/>
              <w:right w:val="nil"/>
            </w:tcBorders>
            <w:vAlign w:val="center"/>
          </w:tcPr>
          <w:p w14:paraId="39C468C2" w14:textId="3BBCEFFB" w:rsidR="00B66A2B" w:rsidRPr="007111D8"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w:t>
            </w:r>
            <w:r>
              <w:rPr>
                <w:rFonts w:ascii="Verdana" w:hAnsi="Verdana" w:cs="Arial"/>
                <w:color w:val="2F5496"/>
                <w:sz w:val="18"/>
                <w:szCs w:val="18"/>
              </w:rPr>
              <w:t>350</w:t>
            </w:r>
            <w:r>
              <w:rPr>
                <w:rFonts w:ascii="Verdana" w:hAnsi="Verdana" w:cs="Arial"/>
                <w:color w:val="2F5496"/>
                <w:sz w:val="18"/>
                <w:szCs w:val="18"/>
                <w:lang w:val="el-GR"/>
              </w:rPr>
              <w:t>.</w:t>
            </w:r>
            <w:r>
              <w:rPr>
                <w:rFonts w:ascii="Verdana" w:hAnsi="Verdana" w:cs="Arial"/>
                <w:color w:val="2F5496"/>
                <w:sz w:val="18"/>
                <w:szCs w:val="18"/>
              </w:rPr>
              <w:t>7</w:t>
            </w:r>
            <w:r>
              <w:rPr>
                <w:rFonts w:ascii="Verdana" w:hAnsi="Verdana" w:cs="Arial"/>
                <w:color w:val="2F5496"/>
                <w:sz w:val="18"/>
                <w:szCs w:val="18"/>
                <w:lang w:val="el-GR"/>
              </w:rPr>
              <w:t>50</w:t>
            </w:r>
          </w:p>
        </w:tc>
      </w:tr>
      <w:tr w:rsidR="00B66A2B" w:rsidRPr="00AC4D75" w14:paraId="164FB464" w14:textId="77777777" w:rsidTr="00EF5EF9">
        <w:trPr>
          <w:trHeight w:val="418"/>
          <w:jc w:val="center"/>
        </w:trPr>
        <w:tc>
          <w:tcPr>
            <w:tcW w:w="3402" w:type="dxa"/>
            <w:tcBorders>
              <w:top w:val="nil"/>
              <w:left w:val="nil"/>
              <w:bottom w:val="nil"/>
              <w:right w:val="nil"/>
            </w:tcBorders>
            <w:vAlign w:val="center"/>
          </w:tcPr>
          <w:p w14:paraId="349E9B43" w14:textId="4DC3828F" w:rsidR="00B66A2B" w:rsidRDefault="00B66A2B"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3B71E59" w14:textId="106A5E60" w:rsidR="00B66A2B" w:rsidRPr="00D95044" w:rsidRDefault="00B66A2B" w:rsidP="00B66A2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Pr>
                <w:rFonts w:ascii="Verdana" w:hAnsi="Verdana" w:cs="Arial"/>
                <w:color w:val="2F5496"/>
                <w:sz w:val="18"/>
                <w:szCs w:val="18"/>
              </w:rPr>
              <w:t>066</w:t>
            </w:r>
          </w:p>
        </w:tc>
        <w:tc>
          <w:tcPr>
            <w:tcW w:w="3431" w:type="dxa"/>
            <w:tcBorders>
              <w:top w:val="nil"/>
              <w:left w:val="nil"/>
              <w:bottom w:val="nil"/>
              <w:right w:val="nil"/>
            </w:tcBorders>
            <w:vAlign w:val="center"/>
          </w:tcPr>
          <w:p w14:paraId="63142155" w14:textId="164068E4" w:rsidR="00B66A2B" w:rsidRPr="00D95044" w:rsidRDefault="00B66A2B" w:rsidP="00B66A2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w:t>
            </w:r>
            <w:r>
              <w:rPr>
                <w:rFonts w:ascii="Verdana" w:hAnsi="Verdana" w:cs="Arial"/>
                <w:color w:val="2F5496"/>
                <w:sz w:val="18"/>
                <w:szCs w:val="18"/>
              </w:rPr>
              <w:t>009</w:t>
            </w:r>
          </w:p>
        </w:tc>
      </w:tr>
      <w:tr w:rsidR="00B66A2B" w:rsidRPr="00AC4D75" w14:paraId="1643A4A6" w14:textId="77777777" w:rsidTr="00033D0E">
        <w:trPr>
          <w:trHeight w:val="418"/>
          <w:jc w:val="center"/>
        </w:trPr>
        <w:tc>
          <w:tcPr>
            <w:tcW w:w="3402" w:type="dxa"/>
            <w:tcBorders>
              <w:top w:val="nil"/>
              <w:left w:val="nil"/>
              <w:bottom w:val="nil"/>
              <w:right w:val="nil"/>
            </w:tcBorders>
            <w:vAlign w:val="center"/>
          </w:tcPr>
          <w:p w14:paraId="394F44A6" w14:textId="272058EB" w:rsidR="00B66A2B" w:rsidRDefault="00B66A2B" w:rsidP="00B66A2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3109544B" w14:textId="2C0037C9" w:rsidR="00B66A2B" w:rsidRDefault="00B66A2B" w:rsidP="00B66A2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31" w:type="dxa"/>
            <w:tcBorders>
              <w:top w:val="nil"/>
              <w:left w:val="nil"/>
              <w:bottom w:val="nil"/>
              <w:right w:val="nil"/>
            </w:tcBorders>
            <w:vAlign w:val="center"/>
          </w:tcPr>
          <w:p w14:paraId="4DF39FBB" w14:textId="4CD8247F" w:rsidR="00B66A2B" w:rsidRPr="00D95044" w:rsidRDefault="00B66A2B" w:rsidP="00B66A2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Pr>
                <w:rFonts w:ascii="Verdana" w:hAnsi="Verdana" w:cs="Arial"/>
                <w:color w:val="2F5496"/>
                <w:sz w:val="18"/>
                <w:szCs w:val="18"/>
              </w:rPr>
              <w:t>7</w:t>
            </w:r>
            <w:r>
              <w:rPr>
                <w:rFonts w:ascii="Verdana" w:hAnsi="Verdana" w:cs="Arial"/>
                <w:color w:val="2F5496"/>
                <w:sz w:val="18"/>
                <w:szCs w:val="18"/>
                <w:lang w:val="el-GR"/>
              </w:rPr>
              <w:t>3.</w:t>
            </w:r>
            <w:r>
              <w:rPr>
                <w:rFonts w:ascii="Verdana" w:hAnsi="Verdana" w:cs="Arial"/>
                <w:color w:val="2F5496"/>
                <w:sz w:val="18"/>
                <w:szCs w:val="18"/>
              </w:rPr>
              <w:t>236</w:t>
            </w:r>
          </w:p>
        </w:tc>
      </w:tr>
      <w:tr w:rsidR="00B66A2B" w:rsidRPr="00AC4D75" w14:paraId="7EDCC8B5" w14:textId="77777777" w:rsidTr="00A474AF">
        <w:trPr>
          <w:trHeight w:val="418"/>
          <w:jc w:val="center"/>
        </w:trPr>
        <w:tc>
          <w:tcPr>
            <w:tcW w:w="3402" w:type="dxa"/>
            <w:tcBorders>
              <w:top w:val="nil"/>
              <w:left w:val="nil"/>
              <w:bottom w:val="nil"/>
              <w:right w:val="nil"/>
            </w:tcBorders>
            <w:vAlign w:val="center"/>
          </w:tcPr>
          <w:p w14:paraId="70F45F2D" w14:textId="301AADBB"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9F42AD8" w14:textId="25883D4A" w:rsidR="00B66A2B" w:rsidRPr="00AC4D75" w:rsidRDefault="00B66A2B" w:rsidP="00B66A2B">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31" w:type="dxa"/>
            <w:tcBorders>
              <w:top w:val="nil"/>
              <w:left w:val="nil"/>
              <w:bottom w:val="nil"/>
              <w:right w:val="nil"/>
            </w:tcBorders>
            <w:vAlign w:val="center"/>
          </w:tcPr>
          <w:p w14:paraId="571C9714" w14:textId="1B0B4B15" w:rsidR="00B66A2B" w:rsidRPr="00D95044" w:rsidRDefault="00B66A2B" w:rsidP="00B66A2B">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Pr>
                <w:rFonts w:ascii="Verdana" w:hAnsi="Verdana" w:cs="Arial"/>
                <w:color w:val="2F5496"/>
                <w:sz w:val="18"/>
                <w:szCs w:val="18"/>
              </w:rPr>
              <w:t>88</w:t>
            </w:r>
          </w:p>
        </w:tc>
      </w:tr>
      <w:tr w:rsidR="00B66A2B" w:rsidRPr="00AC4D75" w14:paraId="1E948672" w14:textId="77777777" w:rsidTr="00A474AF">
        <w:trPr>
          <w:trHeight w:val="326"/>
          <w:jc w:val="center"/>
        </w:trPr>
        <w:tc>
          <w:tcPr>
            <w:tcW w:w="3402" w:type="dxa"/>
            <w:tcBorders>
              <w:top w:val="nil"/>
              <w:left w:val="nil"/>
              <w:bottom w:val="nil"/>
              <w:right w:val="nil"/>
            </w:tcBorders>
            <w:vAlign w:val="center"/>
            <w:hideMark/>
          </w:tcPr>
          <w:p w14:paraId="24BD9F9F" w14:textId="4454E3F4" w:rsidR="00B66A2B" w:rsidRPr="00AC4D75" w:rsidRDefault="00B66A2B" w:rsidP="00B66A2B">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2023</w:t>
            </w:r>
          </w:p>
        </w:tc>
        <w:tc>
          <w:tcPr>
            <w:tcW w:w="3232" w:type="dxa"/>
            <w:tcBorders>
              <w:top w:val="nil"/>
              <w:left w:val="nil"/>
              <w:bottom w:val="nil"/>
              <w:right w:val="nil"/>
            </w:tcBorders>
            <w:vAlign w:val="center"/>
          </w:tcPr>
          <w:p w14:paraId="19A1576D" w14:textId="77777777" w:rsidR="00B66A2B" w:rsidRPr="00AC4D75" w:rsidRDefault="00B66A2B" w:rsidP="00B66A2B">
            <w:pPr>
              <w:jc w:val="both"/>
              <w:rPr>
                <w:rFonts w:ascii="Verdana" w:eastAsia="Malgun Gothic" w:hAnsi="Verdana" w:cs="Arial"/>
                <w:b/>
                <w:color w:val="365F91"/>
                <w:sz w:val="18"/>
                <w:szCs w:val="18"/>
                <w:lang w:val="el-GR"/>
              </w:rPr>
            </w:pPr>
          </w:p>
          <w:p w14:paraId="5DA3C112" w14:textId="77777777" w:rsidR="00B66A2B" w:rsidRPr="00AC4D75" w:rsidRDefault="00B66A2B" w:rsidP="00B66A2B">
            <w:pPr>
              <w:ind w:firstLineChars="300" w:firstLine="540"/>
              <w:jc w:val="both"/>
              <w:rPr>
                <w:rFonts w:ascii="Verdana" w:hAnsi="Verdana" w:cs="Arial"/>
                <w:color w:val="2F5496"/>
                <w:sz w:val="18"/>
                <w:szCs w:val="18"/>
              </w:rPr>
            </w:pPr>
          </w:p>
        </w:tc>
        <w:tc>
          <w:tcPr>
            <w:tcW w:w="3431" w:type="dxa"/>
            <w:tcBorders>
              <w:top w:val="nil"/>
              <w:left w:val="nil"/>
              <w:bottom w:val="nil"/>
              <w:right w:val="nil"/>
            </w:tcBorders>
            <w:vAlign w:val="center"/>
          </w:tcPr>
          <w:p w14:paraId="6E32AC86" w14:textId="77777777" w:rsidR="00B66A2B" w:rsidRPr="00AC4D75" w:rsidRDefault="00B66A2B" w:rsidP="00B66A2B">
            <w:pPr>
              <w:jc w:val="center"/>
              <w:rPr>
                <w:rFonts w:ascii="Verdana" w:eastAsia="Malgun Gothic" w:hAnsi="Verdana" w:cs="Arial"/>
                <w:b/>
                <w:color w:val="365F91"/>
                <w:sz w:val="18"/>
                <w:szCs w:val="18"/>
                <w:lang w:val="el-GR"/>
              </w:rPr>
            </w:pPr>
          </w:p>
          <w:p w14:paraId="29117A7B" w14:textId="77777777" w:rsidR="00B66A2B" w:rsidRPr="00AC4D75" w:rsidRDefault="00B66A2B" w:rsidP="00B66A2B">
            <w:pPr>
              <w:ind w:firstLineChars="300" w:firstLine="540"/>
              <w:jc w:val="both"/>
              <w:rPr>
                <w:rFonts w:ascii="Verdana" w:hAnsi="Verdana" w:cs="Arial"/>
                <w:color w:val="2F5496"/>
                <w:sz w:val="18"/>
                <w:szCs w:val="18"/>
              </w:rPr>
            </w:pPr>
          </w:p>
        </w:tc>
      </w:tr>
      <w:tr w:rsidR="00B66A2B" w:rsidRPr="00AC4D75" w14:paraId="7783BC38" w14:textId="77777777" w:rsidTr="00A474AF">
        <w:trPr>
          <w:trHeight w:val="418"/>
          <w:jc w:val="center"/>
        </w:trPr>
        <w:tc>
          <w:tcPr>
            <w:tcW w:w="3402" w:type="dxa"/>
            <w:tcBorders>
              <w:top w:val="nil"/>
              <w:left w:val="nil"/>
              <w:bottom w:val="nil"/>
              <w:right w:val="nil"/>
            </w:tcBorders>
            <w:vAlign w:val="center"/>
          </w:tcPr>
          <w:p w14:paraId="5EB37492" w14:textId="387EB8A0" w:rsidR="00B66A2B" w:rsidRPr="00AC4D75" w:rsidRDefault="00B66A2B" w:rsidP="00B66A2B">
            <w:pPr>
              <w:ind w:left="680"/>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lang w:val="el-GR"/>
              </w:rPr>
              <w:t xml:space="preserve">Ιανουάριος - Δεκέμβριος </w:t>
            </w:r>
          </w:p>
        </w:tc>
        <w:tc>
          <w:tcPr>
            <w:tcW w:w="3232" w:type="dxa"/>
            <w:tcBorders>
              <w:top w:val="nil"/>
              <w:left w:val="nil"/>
              <w:bottom w:val="nil"/>
              <w:right w:val="nil"/>
            </w:tcBorders>
            <w:vAlign w:val="center"/>
          </w:tcPr>
          <w:p w14:paraId="258BFBE1" w14:textId="084D7EA4" w:rsidR="00B66A2B" w:rsidRPr="008C0992" w:rsidRDefault="00B66A2B" w:rsidP="00B66A2B">
            <w:pPr>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Pr>
                <w:rFonts w:ascii="Verdana" w:eastAsia="Malgun Gothic" w:hAnsi="Verdana" w:cs="Arial"/>
                <w:b/>
                <w:bCs/>
                <w:color w:val="365F91"/>
                <w:sz w:val="18"/>
                <w:szCs w:val="18"/>
                <w:lang w:val="el-GR"/>
              </w:rPr>
              <w:t>3</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179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758</w:t>
            </w:r>
          </w:p>
        </w:tc>
        <w:tc>
          <w:tcPr>
            <w:tcW w:w="3431" w:type="dxa"/>
            <w:tcBorders>
              <w:top w:val="nil"/>
              <w:left w:val="nil"/>
              <w:bottom w:val="nil"/>
              <w:right w:val="nil"/>
            </w:tcBorders>
            <w:vAlign w:val="center"/>
          </w:tcPr>
          <w:p w14:paraId="064A9D5D" w14:textId="37A2D7C5" w:rsidR="00B66A2B" w:rsidRPr="00A0399F" w:rsidRDefault="00B66A2B" w:rsidP="00B66A2B">
            <w:pPr>
              <w:ind w:left="-1348" w:firstLineChars="1048" w:firstLine="1886"/>
              <w:rPr>
                <w:rFonts w:ascii="Verdana" w:hAnsi="Verdana" w:cs="Arial"/>
                <w:b/>
                <w:bCs/>
                <w:color w:val="2F5496"/>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709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389</w:t>
            </w:r>
          </w:p>
        </w:tc>
      </w:tr>
      <w:tr w:rsidR="00B66A2B" w:rsidRPr="00AC4D75" w14:paraId="1530E935" w14:textId="77777777" w:rsidTr="00A474AF">
        <w:trPr>
          <w:trHeight w:val="418"/>
          <w:jc w:val="center"/>
        </w:trPr>
        <w:tc>
          <w:tcPr>
            <w:tcW w:w="3402" w:type="dxa"/>
            <w:tcBorders>
              <w:top w:val="nil"/>
              <w:left w:val="nil"/>
              <w:bottom w:val="nil"/>
              <w:right w:val="nil"/>
            </w:tcBorders>
            <w:vAlign w:val="center"/>
            <w:hideMark/>
          </w:tcPr>
          <w:p w14:paraId="42F67B03"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5EAE2113" w:rsidR="00B66A2B" w:rsidRPr="00AC4D75" w:rsidRDefault="00B66A2B" w:rsidP="00B66A2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w:t>
            </w:r>
            <w:r>
              <w:rPr>
                <w:rFonts w:ascii="Verdana" w:eastAsia="Malgun Gothic" w:hAnsi="Verdana" w:cs="Arial"/>
                <w:color w:val="365F91"/>
                <w:sz w:val="18"/>
                <w:szCs w:val="18"/>
                <w:lang w:val="el-GR"/>
              </w:rPr>
              <w:t>54</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146</w:t>
            </w:r>
          </w:p>
        </w:tc>
        <w:tc>
          <w:tcPr>
            <w:tcW w:w="3431" w:type="dxa"/>
            <w:tcBorders>
              <w:top w:val="nil"/>
              <w:left w:val="nil"/>
              <w:bottom w:val="nil"/>
              <w:right w:val="nil"/>
            </w:tcBorders>
            <w:vAlign w:val="center"/>
          </w:tcPr>
          <w:p w14:paraId="385AF9E0" w14:textId="62B7FAE4" w:rsidR="00B66A2B" w:rsidRPr="00AC4D75" w:rsidRDefault="00B66A2B" w:rsidP="00B66A2B">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w:t>
            </w:r>
            <w:r>
              <w:rPr>
                <w:rFonts w:ascii="Verdana" w:eastAsia="Malgun Gothic" w:hAnsi="Verdana" w:cs="Arial"/>
                <w:color w:val="365F91"/>
                <w:sz w:val="18"/>
                <w:szCs w:val="18"/>
                <w:lang w:val="el-GR"/>
              </w:rPr>
              <w:t>92</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429</w:t>
            </w:r>
          </w:p>
        </w:tc>
      </w:tr>
      <w:tr w:rsidR="00B66A2B" w:rsidRPr="00AC4D75" w14:paraId="7D3670E0" w14:textId="77777777" w:rsidTr="00A474AF">
        <w:trPr>
          <w:trHeight w:val="418"/>
          <w:jc w:val="center"/>
        </w:trPr>
        <w:tc>
          <w:tcPr>
            <w:tcW w:w="3402" w:type="dxa"/>
            <w:tcBorders>
              <w:top w:val="nil"/>
              <w:left w:val="nil"/>
              <w:bottom w:val="nil"/>
              <w:right w:val="nil"/>
            </w:tcBorders>
            <w:vAlign w:val="center"/>
            <w:hideMark/>
          </w:tcPr>
          <w:p w14:paraId="106F6023"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4046A053" w:rsidR="00B66A2B" w:rsidRPr="00AC4D75" w:rsidRDefault="00B66A2B" w:rsidP="00B66A2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1.0</w:t>
            </w:r>
            <w:r>
              <w:rPr>
                <w:rFonts w:ascii="Verdana" w:eastAsia="Malgun Gothic" w:hAnsi="Verdana" w:cs="Arial"/>
                <w:color w:val="365F91"/>
                <w:sz w:val="18"/>
                <w:szCs w:val="18"/>
                <w:lang w:val="el-GR"/>
              </w:rPr>
              <w:t>9</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573</w:t>
            </w:r>
          </w:p>
        </w:tc>
        <w:tc>
          <w:tcPr>
            <w:tcW w:w="3431" w:type="dxa"/>
            <w:tcBorders>
              <w:top w:val="nil"/>
              <w:left w:val="nil"/>
              <w:bottom w:val="nil"/>
              <w:right w:val="nil"/>
            </w:tcBorders>
            <w:vAlign w:val="center"/>
          </w:tcPr>
          <w:p w14:paraId="5C672D01" w14:textId="030F0A79" w:rsidR="00B66A2B" w:rsidRPr="00AC4D75" w:rsidRDefault="00B66A2B" w:rsidP="00B66A2B">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785</w:t>
            </w:r>
          </w:p>
        </w:tc>
      </w:tr>
      <w:tr w:rsidR="00B66A2B" w:rsidRPr="00AC4D75" w14:paraId="632DBAAF" w14:textId="77777777" w:rsidTr="00A474AF">
        <w:trPr>
          <w:trHeight w:val="418"/>
          <w:jc w:val="center"/>
        </w:trPr>
        <w:tc>
          <w:tcPr>
            <w:tcW w:w="3402" w:type="dxa"/>
            <w:tcBorders>
              <w:top w:val="nil"/>
              <w:left w:val="nil"/>
              <w:bottom w:val="nil"/>
              <w:right w:val="nil"/>
            </w:tcBorders>
            <w:vAlign w:val="center"/>
            <w:hideMark/>
          </w:tcPr>
          <w:p w14:paraId="2C9548B2"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1333E1B6" w:rsidR="00B66A2B" w:rsidRPr="008C0992" w:rsidRDefault="00B66A2B" w:rsidP="00B66A2B">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w:t>
            </w:r>
            <w:r>
              <w:rPr>
                <w:rFonts w:ascii="Verdana" w:eastAsia="Malgun Gothic" w:hAnsi="Verdana" w:cs="Arial"/>
                <w:color w:val="365F91"/>
                <w:sz w:val="18"/>
                <w:szCs w:val="18"/>
                <w:lang w:val="el-GR"/>
              </w:rPr>
              <w:t>56</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959</w:t>
            </w:r>
          </w:p>
        </w:tc>
        <w:tc>
          <w:tcPr>
            <w:tcW w:w="3431" w:type="dxa"/>
            <w:tcBorders>
              <w:top w:val="nil"/>
              <w:left w:val="nil"/>
              <w:bottom w:val="nil"/>
              <w:right w:val="nil"/>
            </w:tcBorders>
            <w:vAlign w:val="center"/>
          </w:tcPr>
          <w:p w14:paraId="4602596E" w14:textId="6FA9408F" w:rsidR="00B66A2B" w:rsidRPr="00A0399F" w:rsidRDefault="00B66A2B" w:rsidP="00B66A2B">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28</w:t>
            </w:r>
            <w:r>
              <w:rPr>
                <w:rFonts w:ascii="Verdana" w:eastAsia="Malgun Gothic" w:hAnsi="Verdana" w:cs="Arial"/>
                <w:color w:val="365F91"/>
                <w:sz w:val="18"/>
                <w:szCs w:val="18"/>
                <w:lang w:val="el-GR"/>
              </w:rPr>
              <w:t>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770</w:t>
            </w:r>
          </w:p>
        </w:tc>
      </w:tr>
      <w:tr w:rsidR="00B66A2B" w:rsidRPr="00AC4D75" w14:paraId="6DAA7528" w14:textId="77777777" w:rsidTr="00A474AF">
        <w:trPr>
          <w:trHeight w:val="418"/>
          <w:jc w:val="center"/>
        </w:trPr>
        <w:tc>
          <w:tcPr>
            <w:tcW w:w="3402" w:type="dxa"/>
            <w:tcBorders>
              <w:top w:val="nil"/>
              <w:left w:val="nil"/>
              <w:bottom w:val="nil"/>
              <w:right w:val="nil"/>
            </w:tcBorders>
            <w:vAlign w:val="center"/>
            <w:hideMark/>
          </w:tcPr>
          <w:p w14:paraId="6C5FB0BA"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7D168BC2" w:rsidR="00B66A2B" w:rsidRPr="00AC4D75" w:rsidRDefault="00B66A2B" w:rsidP="00B66A2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Pr>
                <w:rFonts w:ascii="Verdana" w:eastAsia="Malgun Gothic" w:hAnsi="Verdana" w:cs="Arial"/>
                <w:color w:val="365F91"/>
                <w:sz w:val="18"/>
                <w:szCs w:val="18"/>
                <w:lang w:val="el-GR"/>
              </w:rPr>
              <w:t>101</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388</w:t>
            </w:r>
          </w:p>
        </w:tc>
        <w:tc>
          <w:tcPr>
            <w:tcW w:w="3431" w:type="dxa"/>
            <w:tcBorders>
              <w:top w:val="nil"/>
              <w:left w:val="nil"/>
              <w:bottom w:val="nil"/>
              <w:right w:val="nil"/>
            </w:tcBorders>
            <w:vAlign w:val="center"/>
          </w:tcPr>
          <w:p w14:paraId="11AB24AB" w14:textId="03BA1DBB" w:rsidR="00B66A2B" w:rsidRPr="00A0399F" w:rsidRDefault="00B66A2B" w:rsidP="00B66A2B">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44</w:t>
            </w:r>
            <w:r>
              <w:rPr>
                <w:rFonts w:ascii="Verdana" w:eastAsia="Malgun Gothic" w:hAnsi="Verdana" w:cs="Arial"/>
                <w:color w:val="365F91"/>
                <w:sz w:val="18"/>
                <w:szCs w:val="18"/>
                <w:lang w:val="el-GR"/>
              </w:rPr>
              <w:t>4</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197</w:t>
            </w:r>
          </w:p>
        </w:tc>
      </w:tr>
      <w:tr w:rsidR="00B66A2B" w:rsidRPr="00AC4D75" w14:paraId="6DC0216F" w14:textId="77777777" w:rsidTr="00A474AF">
        <w:trPr>
          <w:trHeight w:val="418"/>
          <w:jc w:val="center"/>
        </w:trPr>
        <w:tc>
          <w:tcPr>
            <w:tcW w:w="3402" w:type="dxa"/>
            <w:tcBorders>
              <w:top w:val="nil"/>
              <w:left w:val="nil"/>
              <w:bottom w:val="nil"/>
              <w:right w:val="nil"/>
            </w:tcBorders>
            <w:vAlign w:val="center"/>
            <w:hideMark/>
          </w:tcPr>
          <w:p w14:paraId="3F5D72D9"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281D0E04" w:rsidR="00B66A2B" w:rsidRPr="008C0992" w:rsidRDefault="00B66A2B" w:rsidP="00B66A2B">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w:t>
            </w:r>
            <w:r>
              <w:rPr>
                <w:rFonts w:ascii="Verdana" w:eastAsia="Malgun Gothic" w:hAnsi="Verdana" w:cs="Arial"/>
                <w:color w:val="365F91"/>
                <w:sz w:val="18"/>
                <w:szCs w:val="18"/>
                <w:lang w:val="el-GR"/>
              </w:rPr>
              <w:t>243</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104</w:t>
            </w:r>
          </w:p>
        </w:tc>
        <w:tc>
          <w:tcPr>
            <w:tcW w:w="3431" w:type="dxa"/>
            <w:tcBorders>
              <w:top w:val="nil"/>
              <w:left w:val="nil"/>
              <w:bottom w:val="nil"/>
              <w:right w:val="nil"/>
            </w:tcBorders>
            <w:vAlign w:val="center"/>
          </w:tcPr>
          <w:p w14:paraId="7F835E28" w14:textId="707584B5" w:rsidR="00B66A2B" w:rsidRPr="00A0399F" w:rsidRDefault="00B66A2B" w:rsidP="00B66A2B">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w:t>
            </w:r>
            <w:r>
              <w:rPr>
                <w:rFonts w:ascii="Verdana" w:eastAsia="Malgun Gothic" w:hAnsi="Verdana" w:cs="Arial"/>
                <w:color w:val="365F91"/>
                <w:sz w:val="18"/>
                <w:szCs w:val="18"/>
                <w:lang w:val="el-GR"/>
              </w:rPr>
              <w:t>799</w:t>
            </w:r>
          </w:p>
        </w:tc>
      </w:tr>
      <w:tr w:rsidR="00B66A2B" w:rsidRPr="00AC4D75" w14:paraId="6C6A85FC" w14:textId="77777777" w:rsidTr="00A474AF">
        <w:trPr>
          <w:trHeight w:val="418"/>
          <w:jc w:val="center"/>
        </w:trPr>
        <w:tc>
          <w:tcPr>
            <w:tcW w:w="3402" w:type="dxa"/>
            <w:tcBorders>
              <w:top w:val="nil"/>
              <w:left w:val="nil"/>
              <w:bottom w:val="nil"/>
              <w:right w:val="nil"/>
            </w:tcBorders>
            <w:vAlign w:val="center"/>
            <w:hideMark/>
          </w:tcPr>
          <w:p w14:paraId="7ECF97BB"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28F844B6" w:rsidR="00B66A2B" w:rsidRPr="00AC4D75" w:rsidRDefault="00B66A2B" w:rsidP="00B66A2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w:t>
            </w:r>
            <w:r>
              <w:rPr>
                <w:rFonts w:ascii="Verdana" w:eastAsia="Malgun Gothic" w:hAnsi="Verdana" w:cs="Arial"/>
                <w:color w:val="365F91"/>
                <w:sz w:val="18"/>
                <w:szCs w:val="18"/>
                <w:lang w:val="el-GR"/>
              </w:rPr>
              <w:t>17</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523</w:t>
            </w:r>
          </w:p>
        </w:tc>
        <w:tc>
          <w:tcPr>
            <w:tcW w:w="3431" w:type="dxa"/>
            <w:tcBorders>
              <w:top w:val="nil"/>
              <w:left w:val="nil"/>
              <w:bottom w:val="nil"/>
              <w:right w:val="nil"/>
            </w:tcBorders>
            <w:vAlign w:val="center"/>
          </w:tcPr>
          <w:p w14:paraId="0BC05431" w14:textId="0ED22A1F" w:rsidR="00B66A2B" w:rsidRPr="00AC4D75" w:rsidRDefault="00B66A2B" w:rsidP="00B66A2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w:t>
            </w:r>
            <w:r>
              <w:rPr>
                <w:rFonts w:ascii="Verdana" w:eastAsia="Malgun Gothic" w:hAnsi="Verdana" w:cs="Arial"/>
                <w:color w:val="365F91"/>
                <w:sz w:val="18"/>
                <w:szCs w:val="18"/>
                <w:lang w:val="el-GR"/>
              </w:rPr>
              <w:t>95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606</w:t>
            </w:r>
          </w:p>
        </w:tc>
      </w:tr>
      <w:tr w:rsidR="00B66A2B" w:rsidRPr="00AC4D75" w14:paraId="5DFD5AB0" w14:textId="77777777" w:rsidTr="00A474AF">
        <w:trPr>
          <w:trHeight w:val="418"/>
          <w:jc w:val="center"/>
        </w:trPr>
        <w:tc>
          <w:tcPr>
            <w:tcW w:w="3402" w:type="dxa"/>
            <w:tcBorders>
              <w:top w:val="nil"/>
              <w:left w:val="nil"/>
              <w:bottom w:val="nil"/>
              <w:right w:val="nil"/>
            </w:tcBorders>
            <w:vAlign w:val="center"/>
            <w:hideMark/>
          </w:tcPr>
          <w:p w14:paraId="4DA2F880"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41509DDC" w:rsidR="00B66A2B" w:rsidRPr="00AC4D75" w:rsidRDefault="00B66A2B" w:rsidP="00B66A2B">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w:t>
            </w:r>
            <w:r>
              <w:rPr>
                <w:rFonts w:ascii="Verdana" w:eastAsia="Malgun Gothic" w:hAnsi="Verdana" w:cs="Arial"/>
                <w:color w:val="365F91"/>
                <w:sz w:val="18"/>
                <w:szCs w:val="18"/>
                <w:lang w:val="el-GR"/>
              </w:rPr>
              <w:t>76</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567</w:t>
            </w:r>
          </w:p>
        </w:tc>
        <w:tc>
          <w:tcPr>
            <w:tcW w:w="3431" w:type="dxa"/>
            <w:tcBorders>
              <w:top w:val="nil"/>
              <w:left w:val="nil"/>
              <w:bottom w:val="nil"/>
              <w:right w:val="nil"/>
            </w:tcBorders>
            <w:vAlign w:val="center"/>
          </w:tcPr>
          <w:p w14:paraId="06C56697" w14:textId="71D84607" w:rsidR="00B66A2B" w:rsidRPr="00A0399F" w:rsidRDefault="00B66A2B" w:rsidP="00B66A2B">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856</w:t>
            </w:r>
          </w:p>
        </w:tc>
      </w:tr>
      <w:tr w:rsidR="00B66A2B" w:rsidRPr="00AC4D75" w14:paraId="17442EA8" w14:textId="77777777" w:rsidTr="00A474AF">
        <w:trPr>
          <w:trHeight w:val="418"/>
          <w:jc w:val="center"/>
        </w:trPr>
        <w:tc>
          <w:tcPr>
            <w:tcW w:w="3402" w:type="dxa"/>
            <w:tcBorders>
              <w:top w:val="nil"/>
              <w:left w:val="nil"/>
              <w:bottom w:val="nil"/>
              <w:right w:val="nil"/>
            </w:tcBorders>
            <w:vAlign w:val="center"/>
            <w:hideMark/>
          </w:tcPr>
          <w:p w14:paraId="5B8D041E"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79B51D25" w:rsidR="00B66A2B" w:rsidRPr="00AC4D75" w:rsidRDefault="00B66A2B" w:rsidP="00B66A2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w:t>
            </w:r>
            <w:r>
              <w:rPr>
                <w:rFonts w:ascii="Verdana" w:eastAsia="Malgun Gothic" w:hAnsi="Verdana" w:cs="Arial"/>
                <w:color w:val="365F91"/>
                <w:sz w:val="18"/>
                <w:szCs w:val="18"/>
                <w:lang w:val="el-GR"/>
              </w:rPr>
              <w:t>15</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991</w:t>
            </w:r>
            <w:r w:rsidRPr="00AC4D75">
              <w:rPr>
                <w:rFonts w:ascii="Verdana" w:eastAsia="Malgun Gothic" w:hAnsi="Verdana" w:cs="Arial"/>
                <w:color w:val="365F91"/>
                <w:sz w:val="18"/>
                <w:szCs w:val="18"/>
                <w:lang w:val="el-GR"/>
              </w:rPr>
              <w:t xml:space="preserve"> </w:t>
            </w:r>
          </w:p>
        </w:tc>
        <w:tc>
          <w:tcPr>
            <w:tcW w:w="3431" w:type="dxa"/>
            <w:tcBorders>
              <w:top w:val="nil"/>
              <w:left w:val="nil"/>
              <w:bottom w:val="nil"/>
              <w:right w:val="nil"/>
            </w:tcBorders>
            <w:vAlign w:val="center"/>
          </w:tcPr>
          <w:p w14:paraId="7F9F2465" w14:textId="1A674482" w:rsidR="00B66A2B" w:rsidRPr="00AC4D75" w:rsidRDefault="00B66A2B" w:rsidP="00B66A2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w:t>
            </w:r>
            <w:r>
              <w:rPr>
                <w:rFonts w:ascii="Verdana" w:eastAsia="Malgun Gothic" w:hAnsi="Verdana" w:cs="Arial"/>
                <w:color w:val="365F91"/>
                <w:sz w:val="18"/>
                <w:szCs w:val="18"/>
                <w:lang w:val="el-GR"/>
              </w:rPr>
              <w:t>3</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444</w:t>
            </w:r>
          </w:p>
        </w:tc>
      </w:tr>
      <w:tr w:rsidR="00B66A2B" w:rsidRPr="00AC4D75" w14:paraId="026B0846" w14:textId="77777777" w:rsidTr="00A474AF">
        <w:trPr>
          <w:trHeight w:val="418"/>
          <w:jc w:val="center"/>
        </w:trPr>
        <w:tc>
          <w:tcPr>
            <w:tcW w:w="3402" w:type="dxa"/>
            <w:tcBorders>
              <w:top w:val="nil"/>
              <w:left w:val="nil"/>
              <w:bottom w:val="nil"/>
              <w:right w:val="nil"/>
            </w:tcBorders>
            <w:vAlign w:val="center"/>
            <w:hideMark/>
          </w:tcPr>
          <w:p w14:paraId="2DBE8F2A"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3661F536" w:rsidR="00B66A2B" w:rsidRPr="00AC4D75" w:rsidRDefault="00B66A2B" w:rsidP="00B66A2B">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932</w:t>
            </w:r>
            <w:r w:rsidRPr="00AC4D75">
              <w:rPr>
                <w:rFonts w:ascii="Verdana" w:hAnsi="Verdana" w:cs="Arial"/>
                <w:color w:val="2F5496"/>
                <w:sz w:val="18"/>
                <w:szCs w:val="18"/>
                <w:lang w:val="el-GR"/>
              </w:rPr>
              <w:t>.</w:t>
            </w:r>
            <w:r>
              <w:rPr>
                <w:rFonts w:ascii="Verdana" w:hAnsi="Verdana" w:cs="Arial"/>
                <w:color w:val="2F5496"/>
                <w:sz w:val="18"/>
                <w:szCs w:val="18"/>
                <w:lang w:val="el-GR"/>
              </w:rPr>
              <w:t>823</w:t>
            </w:r>
          </w:p>
        </w:tc>
        <w:tc>
          <w:tcPr>
            <w:tcW w:w="3431" w:type="dxa"/>
            <w:tcBorders>
              <w:top w:val="nil"/>
              <w:left w:val="nil"/>
              <w:bottom w:val="nil"/>
              <w:right w:val="nil"/>
            </w:tcBorders>
            <w:vAlign w:val="center"/>
          </w:tcPr>
          <w:p w14:paraId="13A029AA" w14:textId="5B15E490" w:rsidR="00B66A2B" w:rsidRPr="00AC4D75" w:rsidRDefault="00B66A2B" w:rsidP="00B66A2B">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w:t>
            </w:r>
            <w:r>
              <w:rPr>
                <w:rFonts w:ascii="Verdana" w:hAnsi="Verdana" w:cs="Arial"/>
                <w:color w:val="2F5496"/>
                <w:sz w:val="18"/>
                <w:szCs w:val="18"/>
                <w:lang w:val="el-GR"/>
              </w:rPr>
              <w:t>4</w:t>
            </w:r>
            <w:r w:rsidRPr="00AC4D75">
              <w:rPr>
                <w:rFonts w:ascii="Verdana" w:hAnsi="Verdana" w:cs="Arial"/>
                <w:color w:val="2F5496"/>
                <w:sz w:val="18"/>
                <w:szCs w:val="18"/>
                <w:lang w:val="el-GR"/>
              </w:rPr>
              <w:t>.</w:t>
            </w:r>
            <w:r>
              <w:rPr>
                <w:rFonts w:ascii="Verdana" w:hAnsi="Verdana" w:cs="Arial"/>
                <w:color w:val="2F5496"/>
                <w:sz w:val="18"/>
                <w:szCs w:val="18"/>
                <w:lang w:val="el-GR"/>
              </w:rPr>
              <w:t>630</w:t>
            </w:r>
          </w:p>
        </w:tc>
      </w:tr>
      <w:tr w:rsidR="00B66A2B" w:rsidRPr="00AC4D75" w14:paraId="39FB1827" w14:textId="77777777" w:rsidTr="00A474AF">
        <w:trPr>
          <w:trHeight w:val="418"/>
          <w:jc w:val="center"/>
        </w:trPr>
        <w:tc>
          <w:tcPr>
            <w:tcW w:w="3402" w:type="dxa"/>
            <w:tcBorders>
              <w:top w:val="nil"/>
              <w:left w:val="nil"/>
              <w:bottom w:val="nil"/>
              <w:right w:val="nil"/>
            </w:tcBorders>
            <w:vAlign w:val="center"/>
            <w:hideMark/>
          </w:tcPr>
          <w:p w14:paraId="5F2921AC"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5C671EBC" w:rsidR="00B66A2B" w:rsidRPr="007D3596" w:rsidRDefault="00B66A2B" w:rsidP="00B66A2B">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w:t>
            </w:r>
            <w:r>
              <w:rPr>
                <w:rFonts w:ascii="Verdana" w:hAnsi="Verdana" w:cs="Arial"/>
                <w:color w:val="2F5496"/>
                <w:sz w:val="18"/>
                <w:szCs w:val="18"/>
                <w:lang w:val="el-GR"/>
              </w:rPr>
              <w:t>035</w:t>
            </w:r>
            <w:r w:rsidRPr="00AC4D75">
              <w:rPr>
                <w:rFonts w:ascii="Verdana" w:hAnsi="Verdana" w:cs="Arial"/>
                <w:color w:val="2F5496"/>
                <w:sz w:val="18"/>
                <w:szCs w:val="18"/>
                <w:lang w:val="el-GR"/>
              </w:rPr>
              <w:t>.</w:t>
            </w:r>
            <w:r>
              <w:rPr>
                <w:rFonts w:ascii="Verdana" w:hAnsi="Verdana" w:cs="Arial"/>
                <w:color w:val="2F5496"/>
                <w:sz w:val="18"/>
                <w:szCs w:val="18"/>
                <w:lang w:val="el-GR"/>
              </w:rPr>
              <w:t>073</w:t>
            </w:r>
          </w:p>
        </w:tc>
        <w:tc>
          <w:tcPr>
            <w:tcW w:w="3431" w:type="dxa"/>
            <w:tcBorders>
              <w:top w:val="nil"/>
              <w:left w:val="nil"/>
              <w:bottom w:val="nil"/>
              <w:right w:val="nil"/>
            </w:tcBorders>
            <w:vAlign w:val="center"/>
          </w:tcPr>
          <w:p w14:paraId="67C2DF3D" w14:textId="1781C37E" w:rsidR="00B66A2B" w:rsidRPr="008C0992" w:rsidRDefault="00B66A2B" w:rsidP="00B66A2B">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w:t>
            </w:r>
            <w:r>
              <w:rPr>
                <w:rFonts w:ascii="Verdana" w:hAnsi="Verdana" w:cs="Arial"/>
                <w:color w:val="2F5496"/>
                <w:sz w:val="18"/>
                <w:szCs w:val="18"/>
                <w:lang w:val="el-GR"/>
              </w:rPr>
              <w:t>6</w:t>
            </w:r>
            <w:r w:rsidRPr="00AC4D75">
              <w:rPr>
                <w:rFonts w:ascii="Verdana" w:hAnsi="Verdana" w:cs="Arial"/>
                <w:color w:val="2F5496"/>
                <w:sz w:val="18"/>
                <w:szCs w:val="18"/>
              </w:rPr>
              <w:t>.</w:t>
            </w:r>
            <w:r>
              <w:rPr>
                <w:rFonts w:ascii="Verdana" w:hAnsi="Verdana" w:cs="Arial"/>
                <w:color w:val="2F5496"/>
                <w:sz w:val="18"/>
                <w:szCs w:val="18"/>
                <w:lang w:val="el-GR"/>
              </w:rPr>
              <w:t>672</w:t>
            </w:r>
          </w:p>
        </w:tc>
      </w:tr>
      <w:tr w:rsidR="00B66A2B" w:rsidRPr="00AC4D75" w14:paraId="13D0D476" w14:textId="77777777" w:rsidTr="00A474AF">
        <w:trPr>
          <w:trHeight w:val="418"/>
          <w:jc w:val="center"/>
        </w:trPr>
        <w:tc>
          <w:tcPr>
            <w:tcW w:w="3402" w:type="dxa"/>
            <w:tcBorders>
              <w:top w:val="nil"/>
              <w:left w:val="nil"/>
              <w:bottom w:val="nil"/>
              <w:right w:val="nil"/>
            </w:tcBorders>
            <w:vAlign w:val="center"/>
            <w:hideMark/>
          </w:tcPr>
          <w:p w14:paraId="70DA66B5"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7B12F13A" w:rsidR="00B66A2B" w:rsidRPr="008C0992" w:rsidRDefault="00B66A2B" w:rsidP="00B66A2B">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 xml:space="preserve"> 794.000</w:t>
            </w:r>
          </w:p>
        </w:tc>
        <w:tc>
          <w:tcPr>
            <w:tcW w:w="3431" w:type="dxa"/>
            <w:tcBorders>
              <w:top w:val="nil"/>
              <w:left w:val="nil"/>
              <w:bottom w:val="nil"/>
              <w:right w:val="nil"/>
            </w:tcBorders>
            <w:vAlign w:val="center"/>
          </w:tcPr>
          <w:p w14:paraId="5EF90F67" w14:textId="0C60079E" w:rsidR="00B66A2B" w:rsidRPr="008C0992" w:rsidRDefault="00B66A2B" w:rsidP="00B66A2B">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w:t>
            </w:r>
            <w:r>
              <w:rPr>
                <w:rFonts w:ascii="Verdana" w:hAnsi="Verdana" w:cs="Arial"/>
                <w:color w:val="2F5496"/>
                <w:sz w:val="18"/>
                <w:szCs w:val="18"/>
                <w:lang w:val="el-GR"/>
              </w:rPr>
              <w:t>2</w:t>
            </w:r>
            <w:r w:rsidRPr="00AC4D75">
              <w:rPr>
                <w:rFonts w:ascii="Verdana" w:hAnsi="Verdana" w:cs="Arial"/>
                <w:color w:val="2F5496"/>
                <w:sz w:val="18"/>
                <w:szCs w:val="18"/>
              </w:rPr>
              <w:t>.</w:t>
            </w:r>
            <w:r>
              <w:rPr>
                <w:rFonts w:ascii="Verdana" w:hAnsi="Verdana" w:cs="Arial"/>
                <w:color w:val="2F5496"/>
                <w:sz w:val="18"/>
                <w:szCs w:val="18"/>
                <w:lang w:val="el-GR"/>
              </w:rPr>
              <w:t>520</w:t>
            </w:r>
          </w:p>
        </w:tc>
      </w:tr>
      <w:tr w:rsidR="00B66A2B" w:rsidRPr="00AC4D75" w14:paraId="7FAC4AC3" w14:textId="77777777" w:rsidTr="00C71455">
        <w:trPr>
          <w:trHeight w:val="418"/>
          <w:jc w:val="center"/>
        </w:trPr>
        <w:tc>
          <w:tcPr>
            <w:tcW w:w="3402" w:type="dxa"/>
            <w:tcBorders>
              <w:top w:val="nil"/>
              <w:left w:val="nil"/>
              <w:bottom w:val="nil"/>
              <w:right w:val="nil"/>
            </w:tcBorders>
            <w:shd w:val="clear" w:color="auto" w:fill="auto"/>
            <w:vAlign w:val="center"/>
            <w:hideMark/>
          </w:tcPr>
          <w:p w14:paraId="4D7377E0"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shd w:val="clear" w:color="auto" w:fill="auto"/>
            <w:vAlign w:val="center"/>
          </w:tcPr>
          <w:p w14:paraId="61CAB160" w14:textId="4943BEA3" w:rsidR="00B66A2B" w:rsidRPr="00AC4D75" w:rsidRDefault="00B66A2B" w:rsidP="00B66A2B">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1.753.611</w:t>
            </w:r>
          </w:p>
        </w:tc>
        <w:tc>
          <w:tcPr>
            <w:tcW w:w="3431" w:type="dxa"/>
            <w:tcBorders>
              <w:top w:val="nil"/>
              <w:left w:val="nil"/>
              <w:bottom w:val="nil"/>
              <w:right w:val="nil"/>
            </w:tcBorders>
            <w:shd w:val="clear" w:color="auto" w:fill="auto"/>
            <w:vAlign w:val="center"/>
          </w:tcPr>
          <w:p w14:paraId="3803AA62" w14:textId="619CED61" w:rsidR="00B66A2B" w:rsidRPr="008C0992" w:rsidRDefault="00B66A2B" w:rsidP="00B66A2B">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Pr>
                <w:rFonts w:ascii="Verdana" w:hAnsi="Verdana" w:cs="Arial"/>
                <w:color w:val="2F5496"/>
                <w:sz w:val="18"/>
                <w:szCs w:val="18"/>
                <w:lang w:val="el-GR"/>
              </w:rPr>
              <w:t>17</w:t>
            </w:r>
            <w:r w:rsidRPr="00AC4D75">
              <w:rPr>
                <w:rFonts w:ascii="Verdana" w:hAnsi="Verdana" w:cs="Arial"/>
                <w:color w:val="2F5496"/>
                <w:sz w:val="18"/>
                <w:szCs w:val="18"/>
              </w:rPr>
              <w:t>.</w:t>
            </w:r>
            <w:r>
              <w:rPr>
                <w:rFonts w:ascii="Verdana" w:hAnsi="Verdana" w:cs="Arial"/>
                <w:color w:val="2F5496"/>
                <w:sz w:val="18"/>
                <w:szCs w:val="18"/>
                <w:lang w:val="el-GR"/>
              </w:rPr>
              <w:t>682</w:t>
            </w:r>
          </w:p>
        </w:tc>
      </w:tr>
      <w:tr w:rsidR="00B66A2B" w:rsidRPr="003C411B" w14:paraId="65A37CA7" w14:textId="77777777" w:rsidTr="00A474AF">
        <w:trPr>
          <w:trHeight w:val="533"/>
          <w:jc w:val="center"/>
        </w:trPr>
        <w:tc>
          <w:tcPr>
            <w:tcW w:w="10065" w:type="dxa"/>
            <w:gridSpan w:val="3"/>
            <w:tcBorders>
              <w:top w:val="single" w:sz="4" w:space="0" w:color="365F91"/>
              <w:left w:val="nil"/>
              <w:bottom w:val="nil"/>
              <w:right w:val="nil"/>
            </w:tcBorders>
            <w:shd w:val="clear" w:color="auto" w:fill="auto"/>
            <w:vAlign w:val="center"/>
          </w:tcPr>
          <w:p w14:paraId="0FBD20E4" w14:textId="78FD3233" w:rsidR="00B66A2B" w:rsidRPr="00CE278E" w:rsidRDefault="00B66A2B" w:rsidP="00B66A2B">
            <w:pPr>
              <w:rPr>
                <w:rFonts w:ascii="Verdana" w:hAnsi="Verdana"/>
                <w:color w:val="2F5496"/>
                <w:sz w:val="16"/>
                <w:szCs w:val="16"/>
                <w:shd w:val="clear" w:color="auto" w:fill="FFFFFF"/>
                <w:lang w:val="el-GR"/>
              </w:rPr>
            </w:pPr>
            <w:r w:rsidRPr="00A45639">
              <w:rPr>
                <w:rFonts w:ascii="Verdana" w:eastAsia="Malgun Gothic" w:hAnsi="Verdana" w:cs="Arial"/>
                <w:color w:val="2F5496"/>
                <w:sz w:val="16"/>
                <w:szCs w:val="16"/>
                <w:lang w:val="el-GR"/>
              </w:rPr>
              <w:t xml:space="preserve">Σημείωση: Τα στοιχεία εισαγωγών για τους μήνες Μάιο-Ιούνιο 2024 και Αύγουστο-Νοέμβριο 2024 καθώς και τα στοιχεία εξαγωγών για τον μήνα Νοέμβριο 2024 έχουν αναθεωρηθεί. </w:t>
            </w:r>
            <w:r w:rsidRPr="00A45639">
              <w:rPr>
                <w:rFonts w:ascii="Verdana" w:hAnsi="Verdana"/>
                <w:color w:val="2F5496"/>
                <w:sz w:val="16"/>
                <w:szCs w:val="16"/>
                <w:shd w:val="clear" w:color="auto" w:fill="FFFFFF"/>
                <w:lang w:val="el-GR"/>
              </w:rPr>
              <w:t>Τα στοιχεία Δεκεμβρίου 2024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5D690B88" w14:textId="21EC44AA" w:rsidR="001712CF" w:rsidRPr="00636537" w:rsidRDefault="001712CF" w:rsidP="000E4CB0">
      <w:pPr>
        <w:jc w:val="both"/>
        <w:rPr>
          <w:rFonts w:ascii="Verdana" w:hAnsi="Verdana" w:cs="Arial"/>
          <w:sz w:val="18"/>
          <w:szCs w:val="18"/>
          <w:lang w:val="el-GR"/>
        </w:rPr>
      </w:pPr>
    </w:p>
    <w:p w14:paraId="152E8B21" w14:textId="77777777" w:rsidR="00BD2C5C" w:rsidRPr="00306EF8" w:rsidRDefault="00BD2C5C"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r w:rsidRPr="006E6DDE">
        <w:rPr>
          <w:rFonts w:ascii="Verdana" w:hAnsi="Verdana"/>
          <w:b/>
          <w:bCs/>
          <w:sz w:val="18"/>
          <w:szCs w:val="18"/>
          <w:shd w:val="clear" w:color="auto" w:fill="FFFFFF"/>
          <w:lang w:val="el-GR"/>
        </w:rPr>
        <w:t>ενδοενωσιακές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r w:rsidRPr="00E65CF4">
        <w:rPr>
          <w:rFonts w:ascii="Verdana" w:hAnsi="Verdana"/>
          <w:b/>
          <w:bCs/>
          <w:sz w:val="18"/>
          <w:szCs w:val="18"/>
          <w:shd w:val="clear" w:color="auto" w:fill="FFFFFF"/>
          <w:lang w:val="el-GR"/>
        </w:rPr>
        <w:t>ενδοενωσιακές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176F99" w:rsidP="00176F99">
      <w:pPr>
        <w:rPr>
          <w:rFonts w:ascii="Verdana" w:hAnsi="Verdana"/>
          <w:sz w:val="18"/>
          <w:szCs w:val="18"/>
          <w:lang w:val="el-GR"/>
        </w:rPr>
      </w:pPr>
      <w:hyperlink r:id="rId11" w:history="1">
        <w:r w:rsidRPr="00774F10">
          <w:rPr>
            <w:rStyle w:val="Hyperlink"/>
            <w:rFonts w:ascii="Verdana" w:hAnsi="Verdana"/>
            <w:sz w:val="18"/>
            <w:szCs w:val="18"/>
          </w:rPr>
          <w:t>CYSTAT</w:t>
        </w:r>
        <w:r w:rsidRPr="00D80DE5">
          <w:rPr>
            <w:rStyle w:val="Hyperlink"/>
            <w:rFonts w:ascii="Verdana" w:hAnsi="Verdana"/>
            <w:sz w:val="18"/>
            <w:szCs w:val="18"/>
            <w:lang w:val="el-GR"/>
          </w:rPr>
          <w:t>-</w:t>
        </w:r>
        <w:r w:rsidRPr="00774F10">
          <w:rPr>
            <w:rStyle w:val="Hyperlink"/>
            <w:rFonts w:ascii="Verdana" w:hAnsi="Verdana"/>
            <w:sz w:val="18"/>
            <w:szCs w:val="18"/>
          </w:rPr>
          <w:t>DB</w:t>
        </w:r>
      </w:hyperlink>
      <w:r w:rsidRPr="00D80DE5">
        <w:rPr>
          <w:rFonts w:ascii="Verdana" w:hAnsi="Verdana"/>
          <w:sz w:val="18"/>
          <w:szCs w:val="18"/>
          <w:lang w:val="el-GR"/>
        </w:rPr>
        <w:t xml:space="preserve"> (Βάση Δεδομένων)</w:t>
      </w:r>
    </w:p>
    <w:p w14:paraId="1014300D" w14:textId="77777777" w:rsidR="00176F99" w:rsidRDefault="00176F99" w:rsidP="00176F99">
      <w:pPr>
        <w:rPr>
          <w:rFonts w:ascii="Verdana" w:hAnsi="Verdana"/>
          <w:sz w:val="18"/>
          <w:szCs w:val="18"/>
          <w:lang w:val="el-GR"/>
        </w:rPr>
      </w:pPr>
      <w:hyperlink r:id="rId12" w:history="1">
        <w:r w:rsidRPr="00D80DE5">
          <w:rPr>
            <w:rStyle w:val="Hyperlink"/>
            <w:rFonts w:ascii="Verdana" w:hAnsi="Verdana"/>
            <w:sz w:val="18"/>
            <w:szCs w:val="18"/>
            <w:lang w:val="el-GR"/>
          </w:rPr>
          <w:t>Προκαθορισμένοι Πίνακες</w:t>
        </w:r>
      </w:hyperlink>
      <w:r w:rsidRPr="00D80DE5">
        <w:rPr>
          <w:rFonts w:ascii="Verdana" w:hAnsi="Verdana"/>
          <w:sz w:val="18"/>
          <w:szCs w:val="18"/>
          <w:lang w:val="el-GR"/>
        </w:rPr>
        <w:t xml:space="preserve"> (</w:t>
      </w:r>
      <w:r w:rsidRPr="00040F97">
        <w:rPr>
          <w:rFonts w:ascii="Verdana" w:hAnsi="Verdana"/>
          <w:sz w:val="18"/>
          <w:szCs w:val="18"/>
        </w:rPr>
        <w:t>Excel</w:t>
      </w:r>
      <w:r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r>
        <w:rPr>
          <w:rFonts w:ascii="Verdana" w:hAnsi="Verdana"/>
          <w:sz w:val="18"/>
          <w:szCs w:val="18"/>
          <w:lang w:val="el-GR"/>
        </w:rPr>
        <w:t>Σωφρόνης Βίκης</w:t>
      </w:r>
      <w:r w:rsidRPr="00B06171">
        <w:rPr>
          <w:rFonts w:ascii="Verdana" w:hAnsi="Verdana"/>
          <w:sz w:val="18"/>
          <w:szCs w:val="18"/>
          <w:lang w:val="el-GR"/>
        </w:rPr>
        <w:t xml:space="preserve">: </w:t>
      </w:r>
      <w:r w:rsidRPr="00313402">
        <w:rPr>
          <w:rFonts w:ascii="Verdana" w:hAnsi="Verdana"/>
          <w:sz w:val="18"/>
          <w:szCs w:val="18"/>
          <w:lang w:val="el-GR"/>
        </w:rPr>
        <w:t>Αρ. Τηλ: +357 22 60</w:t>
      </w:r>
      <w:r w:rsidRPr="00B06171">
        <w:rPr>
          <w:rFonts w:ascii="Verdana" w:hAnsi="Verdana"/>
          <w:sz w:val="18"/>
          <w:szCs w:val="18"/>
          <w:lang w:val="el-GR"/>
        </w:rPr>
        <w:t>2206</w:t>
      </w:r>
      <w:r w:rsidRPr="00313402">
        <w:rPr>
          <w:rFonts w:ascii="Verdana" w:hAnsi="Verdana"/>
          <w:sz w:val="18"/>
          <w:szCs w:val="18"/>
          <w:lang w:val="el-GR"/>
        </w:rPr>
        <w:t xml:space="preserve">, Ηλ. </w:t>
      </w:r>
      <w:r w:rsidR="00DD03D0">
        <w:rPr>
          <w:rFonts w:ascii="Verdana" w:hAnsi="Verdana"/>
          <w:sz w:val="18"/>
          <w:szCs w:val="18"/>
          <w:lang w:val="el-GR"/>
        </w:rPr>
        <w:t>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r>
        <w:rPr>
          <w:rFonts w:ascii="Verdana" w:hAnsi="Verdana"/>
          <w:color w:val="0000FF"/>
          <w:sz w:val="18"/>
          <w:szCs w:val="18"/>
          <w:u w:val="single"/>
          <w:shd w:val="clear" w:color="auto" w:fill="FFFFFF"/>
        </w:rPr>
        <w:t>svikis</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cystat</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mof</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Αρ. Τηλ: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Ηλ. </w:t>
      </w:r>
      <w:r w:rsidR="00DD03D0">
        <w:rPr>
          <w:rFonts w:ascii="Verdana" w:hAnsi="Verdana"/>
          <w:sz w:val="18"/>
          <w:szCs w:val="18"/>
          <w:lang w:val="el-GR"/>
        </w:rPr>
        <w:t>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r w:rsidRPr="001E7DB9">
        <w:rPr>
          <w:rFonts w:ascii="Verdana" w:hAnsi="Verdana"/>
          <w:color w:val="0000FF"/>
          <w:sz w:val="18"/>
          <w:szCs w:val="18"/>
          <w:u w:val="single"/>
          <w:shd w:val="clear" w:color="auto" w:fill="FFFFFF"/>
        </w:rPr>
        <w:t>ileontiou</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cystat</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mof</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even" r:id="rId13"/>
      <w:headerReference w:type="default" r:id="rId14"/>
      <w:footerReference w:type="even" r:id="rId15"/>
      <w:footerReference w:type="default" r:id="rId16"/>
      <w:headerReference w:type="first" r:id="rId17"/>
      <w:footerReference w:type="first" r:id="rId18"/>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A0B2" w14:textId="77777777" w:rsidR="0032673A" w:rsidRDefault="0032673A" w:rsidP="00FB398F">
      <w:r>
        <w:separator/>
      </w:r>
    </w:p>
  </w:endnote>
  <w:endnote w:type="continuationSeparator" w:id="0">
    <w:p w14:paraId="58808E92" w14:textId="77777777" w:rsidR="0032673A" w:rsidRDefault="0032673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1285" w14:textId="77777777" w:rsidR="009613C4" w:rsidRDefault="00961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1D712109"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F43AD3">
      <w:rPr>
        <w:rFonts w:ascii="Arial" w:hAnsi="Arial" w:cs="Arial"/>
        <w:i/>
        <w:iCs/>
        <w:sz w:val="16"/>
        <w:szCs w:val="16"/>
      </w:rPr>
      <w:t xml:space="preserve">.:  22 602129, </w:t>
    </w:r>
    <w:r w:rsidRPr="00233FBF">
      <w:rPr>
        <w:rFonts w:ascii="Arial" w:hAnsi="Arial" w:cs="Arial"/>
        <w:i/>
        <w:iCs/>
        <w:sz w:val="16"/>
        <w:szCs w:val="16"/>
        <w:lang w:val="de-DE"/>
      </w:rPr>
      <w:t xml:space="preserve">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63311" w14:textId="77777777" w:rsidR="0032673A" w:rsidRDefault="0032673A" w:rsidP="00FB398F">
      <w:r>
        <w:separator/>
      </w:r>
    </w:p>
  </w:footnote>
  <w:footnote w:type="continuationSeparator" w:id="0">
    <w:p w14:paraId="3B878FB6" w14:textId="77777777" w:rsidR="0032673A" w:rsidRDefault="0032673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4D926" w14:textId="77777777" w:rsidR="009613C4" w:rsidRDefault="00961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591"/>
    <w:rsid w:val="00002458"/>
    <w:rsid w:val="000040B7"/>
    <w:rsid w:val="00004A1D"/>
    <w:rsid w:val="0000542E"/>
    <w:rsid w:val="00006743"/>
    <w:rsid w:val="00010ABD"/>
    <w:rsid w:val="00011704"/>
    <w:rsid w:val="00013E40"/>
    <w:rsid w:val="000161B1"/>
    <w:rsid w:val="00023097"/>
    <w:rsid w:val="00024F8C"/>
    <w:rsid w:val="00025A39"/>
    <w:rsid w:val="00027127"/>
    <w:rsid w:val="00027304"/>
    <w:rsid w:val="00027853"/>
    <w:rsid w:val="00030E18"/>
    <w:rsid w:val="00031D32"/>
    <w:rsid w:val="000324AB"/>
    <w:rsid w:val="00033D0E"/>
    <w:rsid w:val="00035B02"/>
    <w:rsid w:val="0003603D"/>
    <w:rsid w:val="0003762A"/>
    <w:rsid w:val="000417BA"/>
    <w:rsid w:val="000444B6"/>
    <w:rsid w:val="00045088"/>
    <w:rsid w:val="00045A06"/>
    <w:rsid w:val="00046366"/>
    <w:rsid w:val="00047034"/>
    <w:rsid w:val="00050391"/>
    <w:rsid w:val="00055291"/>
    <w:rsid w:val="000563D3"/>
    <w:rsid w:val="00057E44"/>
    <w:rsid w:val="00061299"/>
    <w:rsid w:val="00063B66"/>
    <w:rsid w:val="00070576"/>
    <w:rsid w:val="0007104F"/>
    <w:rsid w:val="0007255A"/>
    <w:rsid w:val="0007458A"/>
    <w:rsid w:val="000752BB"/>
    <w:rsid w:val="00081ADF"/>
    <w:rsid w:val="00084969"/>
    <w:rsid w:val="00084A02"/>
    <w:rsid w:val="00084BF7"/>
    <w:rsid w:val="000870E9"/>
    <w:rsid w:val="000904AD"/>
    <w:rsid w:val="00091758"/>
    <w:rsid w:val="000932CF"/>
    <w:rsid w:val="00093685"/>
    <w:rsid w:val="00094F63"/>
    <w:rsid w:val="00096853"/>
    <w:rsid w:val="00096B7E"/>
    <w:rsid w:val="00096ED8"/>
    <w:rsid w:val="000A1A88"/>
    <w:rsid w:val="000A2B5C"/>
    <w:rsid w:val="000A3601"/>
    <w:rsid w:val="000A3657"/>
    <w:rsid w:val="000A3D77"/>
    <w:rsid w:val="000A4B09"/>
    <w:rsid w:val="000A6E09"/>
    <w:rsid w:val="000A6FA8"/>
    <w:rsid w:val="000A758C"/>
    <w:rsid w:val="000B6582"/>
    <w:rsid w:val="000C1070"/>
    <w:rsid w:val="000C4E72"/>
    <w:rsid w:val="000C5CF7"/>
    <w:rsid w:val="000C64FD"/>
    <w:rsid w:val="000C7283"/>
    <w:rsid w:val="000D0D97"/>
    <w:rsid w:val="000D1E7A"/>
    <w:rsid w:val="000D3708"/>
    <w:rsid w:val="000D5BF7"/>
    <w:rsid w:val="000D6B4A"/>
    <w:rsid w:val="000D747C"/>
    <w:rsid w:val="000E01A8"/>
    <w:rsid w:val="000E01EC"/>
    <w:rsid w:val="000E24B1"/>
    <w:rsid w:val="000E2735"/>
    <w:rsid w:val="000E32D6"/>
    <w:rsid w:val="000E4CB0"/>
    <w:rsid w:val="000E57F2"/>
    <w:rsid w:val="000E72A7"/>
    <w:rsid w:val="000F0DF2"/>
    <w:rsid w:val="000F1162"/>
    <w:rsid w:val="000F1C7E"/>
    <w:rsid w:val="000F3368"/>
    <w:rsid w:val="000F3467"/>
    <w:rsid w:val="000F38DE"/>
    <w:rsid w:val="000F532A"/>
    <w:rsid w:val="000F5D6C"/>
    <w:rsid w:val="00100DC9"/>
    <w:rsid w:val="00101520"/>
    <w:rsid w:val="00106852"/>
    <w:rsid w:val="00106AD8"/>
    <w:rsid w:val="00106BFF"/>
    <w:rsid w:val="001071FE"/>
    <w:rsid w:val="00107438"/>
    <w:rsid w:val="001108AE"/>
    <w:rsid w:val="00110F9D"/>
    <w:rsid w:val="00113203"/>
    <w:rsid w:val="00114A67"/>
    <w:rsid w:val="001163B2"/>
    <w:rsid w:val="001253B6"/>
    <w:rsid w:val="001262C3"/>
    <w:rsid w:val="00127320"/>
    <w:rsid w:val="00127456"/>
    <w:rsid w:val="001312D8"/>
    <w:rsid w:val="0013137B"/>
    <w:rsid w:val="00135B38"/>
    <w:rsid w:val="0013768B"/>
    <w:rsid w:val="00140E7A"/>
    <w:rsid w:val="00142711"/>
    <w:rsid w:val="00142A9F"/>
    <w:rsid w:val="00150324"/>
    <w:rsid w:val="0015118B"/>
    <w:rsid w:val="001519CE"/>
    <w:rsid w:val="00152E5C"/>
    <w:rsid w:val="00153CB5"/>
    <w:rsid w:val="00154416"/>
    <w:rsid w:val="00161CF3"/>
    <w:rsid w:val="00162C00"/>
    <w:rsid w:val="001639EF"/>
    <w:rsid w:val="00164DEE"/>
    <w:rsid w:val="0016589F"/>
    <w:rsid w:val="001674F6"/>
    <w:rsid w:val="001679A1"/>
    <w:rsid w:val="0017064F"/>
    <w:rsid w:val="001712CF"/>
    <w:rsid w:val="00172ECD"/>
    <w:rsid w:val="00173E91"/>
    <w:rsid w:val="00176F99"/>
    <w:rsid w:val="0017769A"/>
    <w:rsid w:val="00180140"/>
    <w:rsid w:val="00182917"/>
    <w:rsid w:val="00183DFC"/>
    <w:rsid w:val="00184384"/>
    <w:rsid w:val="00186717"/>
    <w:rsid w:val="00187A35"/>
    <w:rsid w:val="00187FFC"/>
    <w:rsid w:val="00191365"/>
    <w:rsid w:val="00191E94"/>
    <w:rsid w:val="0019391C"/>
    <w:rsid w:val="0019718D"/>
    <w:rsid w:val="001A06DE"/>
    <w:rsid w:val="001A1956"/>
    <w:rsid w:val="001A2018"/>
    <w:rsid w:val="001A501C"/>
    <w:rsid w:val="001A5E9A"/>
    <w:rsid w:val="001A60B1"/>
    <w:rsid w:val="001A6C19"/>
    <w:rsid w:val="001B2B2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4023"/>
    <w:rsid w:val="001C62B3"/>
    <w:rsid w:val="001C7C8C"/>
    <w:rsid w:val="001D033C"/>
    <w:rsid w:val="001D0D6A"/>
    <w:rsid w:val="001D20A4"/>
    <w:rsid w:val="001D35AE"/>
    <w:rsid w:val="001E00D1"/>
    <w:rsid w:val="001E011A"/>
    <w:rsid w:val="001E0E58"/>
    <w:rsid w:val="001E0FBF"/>
    <w:rsid w:val="001E14F3"/>
    <w:rsid w:val="001E15ED"/>
    <w:rsid w:val="001E18A7"/>
    <w:rsid w:val="001E36B7"/>
    <w:rsid w:val="001E61AA"/>
    <w:rsid w:val="001F1389"/>
    <w:rsid w:val="001F17E8"/>
    <w:rsid w:val="001F18EE"/>
    <w:rsid w:val="001F1DBB"/>
    <w:rsid w:val="001F259D"/>
    <w:rsid w:val="001F3730"/>
    <w:rsid w:val="001F654C"/>
    <w:rsid w:val="001F7D44"/>
    <w:rsid w:val="0020140E"/>
    <w:rsid w:val="0020195F"/>
    <w:rsid w:val="0020248A"/>
    <w:rsid w:val="00202695"/>
    <w:rsid w:val="00202AF9"/>
    <w:rsid w:val="0020309E"/>
    <w:rsid w:val="002051D3"/>
    <w:rsid w:val="00207697"/>
    <w:rsid w:val="002102C3"/>
    <w:rsid w:val="00210B58"/>
    <w:rsid w:val="00214549"/>
    <w:rsid w:val="00222423"/>
    <w:rsid w:val="00222467"/>
    <w:rsid w:val="00225B28"/>
    <w:rsid w:val="00226891"/>
    <w:rsid w:val="00226A41"/>
    <w:rsid w:val="00227138"/>
    <w:rsid w:val="00230D9B"/>
    <w:rsid w:val="002313AC"/>
    <w:rsid w:val="00234F09"/>
    <w:rsid w:val="00235FB2"/>
    <w:rsid w:val="00237BC1"/>
    <w:rsid w:val="00242674"/>
    <w:rsid w:val="002430B4"/>
    <w:rsid w:val="002447D0"/>
    <w:rsid w:val="002453B3"/>
    <w:rsid w:val="002454C5"/>
    <w:rsid w:val="002457B1"/>
    <w:rsid w:val="00245E19"/>
    <w:rsid w:val="00246AEB"/>
    <w:rsid w:val="002471F9"/>
    <w:rsid w:val="00247808"/>
    <w:rsid w:val="00250005"/>
    <w:rsid w:val="0025254F"/>
    <w:rsid w:val="00252855"/>
    <w:rsid w:val="0025566D"/>
    <w:rsid w:val="0025595C"/>
    <w:rsid w:val="00256FC1"/>
    <w:rsid w:val="00257149"/>
    <w:rsid w:val="002576E7"/>
    <w:rsid w:val="00260357"/>
    <w:rsid w:val="0026363C"/>
    <w:rsid w:val="00264F04"/>
    <w:rsid w:val="00266F2C"/>
    <w:rsid w:val="00267554"/>
    <w:rsid w:val="00272FFB"/>
    <w:rsid w:val="002743CA"/>
    <w:rsid w:val="002743F1"/>
    <w:rsid w:val="00276FDB"/>
    <w:rsid w:val="0028338F"/>
    <w:rsid w:val="00284FF8"/>
    <w:rsid w:val="00287DF1"/>
    <w:rsid w:val="00290464"/>
    <w:rsid w:val="00290497"/>
    <w:rsid w:val="00291525"/>
    <w:rsid w:val="002915C4"/>
    <w:rsid w:val="00291FCC"/>
    <w:rsid w:val="00292739"/>
    <w:rsid w:val="00292A6A"/>
    <w:rsid w:val="00295799"/>
    <w:rsid w:val="00295AF4"/>
    <w:rsid w:val="00297AC9"/>
    <w:rsid w:val="00297E6B"/>
    <w:rsid w:val="002A083F"/>
    <w:rsid w:val="002A0971"/>
    <w:rsid w:val="002A0BAE"/>
    <w:rsid w:val="002A17E0"/>
    <w:rsid w:val="002A1D1C"/>
    <w:rsid w:val="002A2A94"/>
    <w:rsid w:val="002A2EB9"/>
    <w:rsid w:val="002A3690"/>
    <w:rsid w:val="002A4D64"/>
    <w:rsid w:val="002A6E0E"/>
    <w:rsid w:val="002B2A5E"/>
    <w:rsid w:val="002B2C99"/>
    <w:rsid w:val="002B4969"/>
    <w:rsid w:val="002B53FD"/>
    <w:rsid w:val="002B6554"/>
    <w:rsid w:val="002C16B4"/>
    <w:rsid w:val="002C2091"/>
    <w:rsid w:val="002C21DC"/>
    <w:rsid w:val="002C2278"/>
    <w:rsid w:val="002C327D"/>
    <w:rsid w:val="002C357A"/>
    <w:rsid w:val="002C4757"/>
    <w:rsid w:val="002D05F0"/>
    <w:rsid w:val="002D2829"/>
    <w:rsid w:val="002D3E92"/>
    <w:rsid w:val="002D51A4"/>
    <w:rsid w:val="002D60AC"/>
    <w:rsid w:val="002D7D4A"/>
    <w:rsid w:val="002E1706"/>
    <w:rsid w:val="002E2BE5"/>
    <w:rsid w:val="002E3846"/>
    <w:rsid w:val="002E3C2D"/>
    <w:rsid w:val="002E3F78"/>
    <w:rsid w:val="002F14A7"/>
    <w:rsid w:val="002F400C"/>
    <w:rsid w:val="002F4D76"/>
    <w:rsid w:val="002F569C"/>
    <w:rsid w:val="002F6D26"/>
    <w:rsid w:val="00301ECD"/>
    <w:rsid w:val="00302148"/>
    <w:rsid w:val="0030231E"/>
    <w:rsid w:val="003033E2"/>
    <w:rsid w:val="003042C4"/>
    <w:rsid w:val="00304CB4"/>
    <w:rsid w:val="00304F9B"/>
    <w:rsid w:val="00306EF8"/>
    <w:rsid w:val="00311A1E"/>
    <w:rsid w:val="00312C15"/>
    <w:rsid w:val="00313402"/>
    <w:rsid w:val="00313F37"/>
    <w:rsid w:val="003141D0"/>
    <w:rsid w:val="00314A0A"/>
    <w:rsid w:val="003168C1"/>
    <w:rsid w:val="00322FBE"/>
    <w:rsid w:val="00323B9C"/>
    <w:rsid w:val="00325632"/>
    <w:rsid w:val="0032673A"/>
    <w:rsid w:val="00327549"/>
    <w:rsid w:val="003322DF"/>
    <w:rsid w:val="0033315D"/>
    <w:rsid w:val="003342A5"/>
    <w:rsid w:val="00334616"/>
    <w:rsid w:val="003348E4"/>
    <w:rsid w:val="00336C36"/>
    <w:rsid w:val="003437CA"/>
    <w:rsid w:val="00343815"/>
    <w:rsid w:val="003451AD"/>
    <w:rsid w:val="003522BB"/>
    <w:rsid w:val="00352F6C"/>
    <w:rsid w:val="00354941"/>
    <w:rsid w:val="003556EA"/>
    <w:rsid w:val="003559AE"/>
    <w:rsid w:val="00364D5C"/>
    <w:rsid w:val="0037357D"/>
    <w:rsid w:val="00375C5A"/>
    <w:rsid w:val="00381665"/>
    <w:rsid w:val="0038314C"/>
    <w:rsid w:val="00386FC7"/>
    <w:rsid w:val="00387E05"/>
    <w:rsid w:val="00390A32"/>
    <w:rsid w:val="0039592A"/>
    <w:rsid w:val="00396EAB"/>
    <w:rsid w:val="003977F4"/>
    <w:rsid w:val="0039783C"/>
    <w:rsid w:val="003A1E91"/>
    <w:rsid w:val="003A40F2"/>
    <w:rsid w:val="003A4D2D"/>
    <w:rsid w:val="003A50D1"/>
    <w:rsid w:val="003B196D"/>
    <w:rsid w:val="003B1E83"/>
    <w:rsid w:val="003B2710"/>
    <w:rsid w:val="003B2BA9"/>
    <w:rsid w:val="003B4057"/>
    <w:rsid w:val="003B4608"/>
    <w:rsid w:val="003C2392"/>
    <w:rsid w:val="003C3592"/>
    <w:rsid w:val="003C411B"/>
    <w:rsid w:val="003C5174"/>
    <w:rsid w:val="003C5240"/>
    <w:rsid w:val="003C5FBF"/>
    <w:rsid w:val="003C76E6"/>
    <w:rsid w:val="003D14E0"/>
    <w:rsid w:val="003D1EA5"/>
    <w:rsid w:val="003D3348"/>
    <w:rsid w:val="003D3DB1"/>
    <w:rsid w:val="003D4E63"/>
    <w:rsid w:val="003D6822"/>
    <w:rsid w:val="003D6949"/>
    <w:rsid w:val="003D70B6"/>
    <w:rsid w:val="003D724C"/>
    <w:rsid w:val="003E0B88"/>
    <w:rsid w:val="003E0CE2"/>
    <w:rsid w:val="003E397C"/>
    <w:rsid w:val="003F1ED7"/>
    <w:rsid w:val="003F49E4"/>
    <w:rsid w:val="003F4D2F"/>
    <w:rsid w:val="003F50B5"/>
    <w:rsid w:val="003F5E32"/>
    <w:rsid w:val="003F751C"/>
    <w:rsid w:val="003F75F6"/>
    <w:rsid w:val="003F7AB1"/>
    <w:rsid w:val="00404670"/>
    <w:rsid w:val="004069D7"/>
    <w:rsid w:val="00407613"/>
    <w:rsid w:val="00410E3F"/>
    <w:rsid w:val="00410FCA"/>
    <w:rsid w:val="0041372C"/>
    <w:rsid w:val="00414CA0"/>
    <w:rsid w:val="004165A9"/>
    <w:rsid w:val="00422F54"/>
    <w:rsid w:val="0042679D"/>
    <w:rsid w:val="00431516"/>
    <w:rsid w:val="00433027"/>
    <w:rsid w:val="00435D34"/>
    <w:rsid w:val="004361B3"/>
    <w:rsid w:val="004373D5"/>
    <w:rsid w:val="0044132A"/>
    <w:rsid w:val="00441C49"/>
    <w:rsid w:val="0044249D"/>
    <w:rsid w:val="0044379F"/>
    <w:rsid w:val="00444FCC"/>
    <w:rsid w:val="00445A60"/>
    <w:rsid w:val="00445C1A"/>
    <w:rsid w:val="004461D2"/>
    <w:rsid w:val="00446B5F"/>
    <w:rsid w:val="00446FB1"/>
    <w:rsid w:val="004508DA"/>
    <w:rsid w:val="00450E01"/>
    <w:rsid w:val="00452753"/>
    <w:rsid w:val="00453D02"/>
    <w:rsid w:val="00454186"/>
    <w:rsid w:val="00455CC5"/>
    <w:rsid w:val="0045602C"/>
    <w:rsid w:val="00457A89"/>
    <w:rsid w:val="0046078F"/>
    <w:rsid w:val="00463214"/>
    <w:rsid w:val="0046434D"/>
    <w:rsid w:val="00464AAD"/>
    <w:rsid w:val="004656FA"/>
    <w:rsid w:val="00465E60"/>
    <w:rsid w:val="004707E4"/>
    <w:rsid w:val="00470D14"/>
    <w:rsid w:val="00471D77"/>
    <w:rsid w:val="00474910"/>
    <w:rsid w:val="00475587"/>
    <w:rsid w:val="004762E6"/>
    <w:rsid w:val="00476812"/>
    <w:rsid w:val="0048075D"/>
    <w:rsid w:val="00480BC2"/>
    <w:rsid w:val="00481474"/>
    <w:rsid w:val="004845C3"/>
    <w:rsid w:val="00485877"/>
    <w:rsid w:val="004929C2"/>
    <w:rsid w:val="00493FDD"/>
    <w:rsid w:val="0049586B"/>
    <w:rsid w:val="00497443"/>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0BD1"/>
    <w:rsid w:val="004F1B4E"/>
    <w:rsid w:val="004F52F0"/>
    <w:rsid w:val="004F60CD"/>
    <w:rsid w:val="004F6250"/>
    <w:rsid w:val="004F6767"/>
    <w:rsid w:val="004F677C"/>
    <w:rsid w:val="004F6D8F"/>
    <w:rsid w:val="00505503"/>
    <w:rsid w:val="00507057"/>
    <w:rsid w:val="00510996"/>
    <w:rsid w:val="0051107B"/>
    <w:rsid w:val="00512F9C"/>
    <w:rsid w:val="00513564"/>
    <w:rsid w:val="005140BB"/>
    <w:rsid w:val="005144B5"/>
    <w:rsid w:val="00522845"/>
    <w:rsid w:val="00522D4E"/>
    <w:rsid w:val="0052477F"/>
    <w:rsid w:val="00527CDB"/>
    <w:rsid w:val="00530768"/>
    <w:rsid w:val="00530BD8"/>
    <w:rsid w:val="005341C9"/>
    <w:rsid w:val="00535475"/>
    <w:rsid w:val="005369CA"/>
    <w:rsid w:val="00536DE9"/>
    <w:rsid w:val="00537799"/>
    <w:rsid w:val="00541E08"/>
    <w:rsid w:val="00547CEF"/>
    <w:rsid w:val="005544CE"/>
    <w:rsid w:val="00554FE0"/>
    <w:rsid w:val="0055789A"/>
    <w:rsid w:val="00557995"/>
    <w:rsid w:val="00560400"/>
    <w:rsid w:val="00560952"/>
    <w:rsid w:val="00561920"/>
    <w:rsid w:val="00562329"/>
    <w:rsid w:val="005628FE"/>
    <w:rsid w:val="00563319"/>
    <w:rsid w:val="005640AE"/>
    <w:rsid w:val="00564E31"/>
    <w:rsid w:val="005652D1"/>
    <w:rsid w:val="005660A0"/>
    <w:rsid w:val="00566A4F"/>
    <w:rsid w:val="00567384"/>
    <w:rsid w:val="00567D64"/>
    <w:rsid w:val="00567E1B"/>
    <w:rsid w:val="00575F0E"/>
    <w:rsid w:val="00576E34"/>
    <w:rsid w:val="00577106"/>
    <w:rsid w:val="00591CA2"/>
    <w:rsid w:val="00593CDD"/>
    <w:rsid w:val="00595D22"/>
    <w:rsid w:val="005975CF"/>
    <w:rsid w:val="005978D4"/>
    <w:rsid w:val="005A23FA"/>
    <w:rsid w:val="005A2CE8"/>
    <w:rsid w:val="005A3E1E"/>
    <w:rsid w:val="005A6EC7"/>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C7755"/>
    <w:rsid w:val="005D1714"/>
    <w:rsid w:val="005D1732"/>
    <w:rsid w:val="005D309F"/>
    <w:rsid w:val="005D4B02"/>
    <w:rsid w:val="005D7638"/>
    <w:rsid w:val="005E08D8"/>
    <w:rsid w:val="005E10A0"/>
    <w:rsid w:val="005E61BC"/>
    <w:rsid w:val="005E6852"/>
    <w:rsid w:val="005F12F5"/>
    <w:rsid w:val="005F4957"/>
    <w:rsid w:val="005F7C7D"/>
    <w:rsid w:val="006001F4"/>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6604"/>
    <w:rsid w:val="00626A29"/>
    <w:rsid w:val="006305AF"/>
    <w:rsid w:val="00632777"/>
    <w:rsid w:val="00633750"/>
    <w:rsid w:val="00634491"/>
    <w:rsid w:val="00636537"/>
    <w:rsid w:val="0063679C"/>
    <w:rsid w:val="00636E23"/>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5823"/>
    <w:rsid w:val="00676AF9"/>
    <w:rsid w:val="00676D6F"/>
    <w:rsid w:val="00677A1A"/>
    <w:rsid w:val="006804BE"/>
    <w:rsid w:val="0068434A"/>
    <w:rsid w:val="0068779A"/>
    <w:rsid w:val="0069008E"/>
    <w:rsid w:val="0069087E"/>
    <w:rsid w:val="00691A27"/>
    <w:rsid w:val="00691DF8"/>
    <w:rsid w:val="006925C4"/>
    <w:rsid w:val="0069341F"/>
    <w:rsid w:val="0069454E"/>
    <w:rsid w:val="00695E53"/>
    <w:rsid w:val="006A02B7"/>
    <w:rsid w:val="006A1FB8"/>
    <w:rsid w:val="006A2C1A"/>
    <w:rsid w:val="006A7019"/>
    <w:rsid w:val="006B0009"/>
    <w:rsid w:val="006B2102"/>
    <w:rsid w:val="006B46D5"/>
    <w:rsid w:val="006B46F4"/>
    <w:rsid w:val="006B7847"/>
    <w:rsid w:val="006C121C"/>
    <w:rsid w:val="006C41F5"/>
    <w:rsid w:val="006C42F7"/>
    <w:rsid w:val="006C445D"/>
    <w:rsid w:val="006C6952"/>
    <w:rsid w:val="006C7AF3"/>
    <w:rsid w:val="006D0B9D"/>
    <w:rsid w:val="006D1C53"/>
    <w:rsid w:val="006D20BD"/>
    <w:rsid w:val="006D27EA"/>
    <w:rsid w:val="006D2DED"/>
    <w:rsid w:val="006D6548"/>
    <w:rsid w:val="006E0E20"/>
    <w:rsid w:val="006E4256"/>
    <w:rsid w:val="006E4984"/>
    <w:rsid w:val="006E4BBA"/>
    <w:rsid w:val="006E5F43"/>
    <w:rsid w:val="006E60A6"/>
    <w:rsid w:val="006F0F69"/>
    <w:rsid w:val="006F116B"/>
    <w:rsid w:val="006F117F"/>
    <w:rsid w:val="006F13DF"/>
    <w:rsid w:val="006F22DE"/>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2C5C"/>
    <w:rsid w:val="00714094"/>
    <w:rsid w:val="00720714"/>
    <w:rsid w:val="00720BE5"/>
    <w:rsid w:val="0072548A"/>
    <w:rsid w:val="00726401"/>
    <w:rsid w:val="007277A6"/>
    <w:rsid w:val="00736F20"/>
    <w:rsid w:val="00740199"/>
    <w:rsid w:val="007437AB"/>
    <w:rsid w:val="00743DBA"/>
    <w:rsid w:val="00745425"/>
    <w:rsid w:val="00746E85"/>
    <w:rsid w:val="00747561"/>
    <w:rsid w:val="007525F1"/>
    <w:rsid w:val="007534F8"/>
    <w:rsid w:val="007545AD"/>
    <w:rsid w:val="007562C3"/>
    <w:rsid w:val="00761D25"/>
    <w:rsid w:val="00762044"/>
    <w:rsid w:val="00763722"/>
    <w:rsid w:val="00764BC1"/>
    <w:rsid w:val="0076591D"/>
    <w:rsid w:val="00765BA8"/>
    <w:rsid w:val="00770869"/>
    <w:rsid w:val="007738AA"/>
    <w:rsid w:val="00780A62"/>
    <w:rsid w:val="00783241"/>
    <w:rsid w:val="00784BDC"/>
    <w:rsid w:val="00785C5E"/>
    <w:rsid w:val="00785CDB"/>
    <w:rsid w:val="00790022"/>
    <w:rsid w:val="0079041E"/>
    <w:rsid w:val="00792F28"/>
    <w:rsid w:val="007935CA"/>
    <w:rsid w:val="0079543F"/>
    <w:rsid w:val="00795880"/>
    <w:rsid w:val="007969FB"/>
    <w:rsid w:val="007A4367"/>
    <w:rsid w:val="007A506B"/>
    <w:rsid w:val="007B0047"/>
    <w:rsid w:val="007B059D"/>
    <w:rsid w:val="007B05A8"/>
    <w:rsid w:val="007B0867"/>
    <w:rsid w:val="007B08E7"/>
    <w:rsid w:val="007B0B57"/>
    <w:rsid w:val="007B1126"/>
    <w:rsid w:val="007B1AC1"/>
    <w:rsid w:val="007B52F0"/>
    <w:rsid w:val="007B5A08"/>
    <w:rsid w:val="007B693D"/>
    <w:rsid w:val="007C35D9"/>
    <w:rsid w:val="007C4CDC"/>
    <w:rsid w:val="007D3363"/>
    <w:rsid w:val="007D3596"/>
    <w:rsid w:val="007D4127"/>
    <w:rsid w:val="007E041B"/>
    <w:rsid w:val="007E1313"/>
    <w:rsid w:val="007E199A"/>
    <w:rsid w:val="007E1AED"/>
    <w:rsid w:val="007E2415"/>
    <w:rsid w:val="007E3696"/>
    <w:rsid w:val="007E39F3"/>
    <w:rsid w:val="007E405E"/>
    <w:rsid w:val="007E68F4"/>
    <w:rsid w:val="007E68FF"/>
    <w:rsid w:val="007E6DE2"/>
    <w:rsid w:val="007F2709"/>
    <w:rsid w:val="007F2EC1"/>
    <w:rsid w:val="007F31BA"/>
    <w:rsid w:val="007F4078"/>
    <w:rsid w:val="007F40D0"/>
    <w:rsid w:val="007F7098"/>
    <w:rsid w:val="0080014B"/>
    <w:rsid w:val="00801793"/>
    <w:rsid w:val="00803642"/>
    <w:rsid w:val="0080429F"/>
    <w:rsid w:val="0080547C"/>
    <w:rsid w:val="00806C25"/>
    <w:rsid w:val="00806E85"/>
    <w:rsid w:val="00806EA2"/>
    <w:rsid w:val="00812A2B"/>
    <w:rsid w:val="00814A4C"/>
    <w:rsid w:val="00820213"/>
    <w:rsid w:val="00823820"/>
    <w:rsid w:val="008242C5"/>
    <w:rsid w:val="008278A8"/>
    <w:rsid w:val="00831AAB"/>
    <w:rsid w:val="00833BCD"/>
    <w:rsid w:val="00834B82"/>
    <w:rsid w:val="008351BC"/>
    <w:rsid w:val="0083574E"/>
    <w:rsid w:val="0083640C"/>
    <w:rsid w:val="008374E3"/>
    <w:rsid w:val="008378E1"/>
    <w:rsid w:val="008400F6"/>
    <w:rsid w:val="008412F2"/>
    <w:rsid w:val="0084157B"/>
    <w:rsid w:val="00842BFB"/>
    <w:rsid w:val="00845A93"/>
    <w:rsid w:val="00846B85"/>
    <w:rsid w:val="00847DC3"/>
    <w:rsid w:val="00847F49"/>
    <w:rsid w:val="008517FD"/>
    <w:rsid w:val="00852693"/>
    <w:rsid w:val="008535C5"/>
    <w:rsid w:val="00853765"/>
    <w:rsid w:val="00853F1F"/>
    <w:rsid w:val="0085460C"/>
    <w:rsid w:val="008546CC"/>
    <w:rsid w:val="008550C2"/>
    <w:rsid w:val="0085516F"/>
    <w:rsid w:val="00855A37"/>
    <w:rsid w:val="00861748"/>
    <w:rsid w:val="00862597"/>
    <w:rsid w:val="00867186"/>
    <w:rsid w:val="00870AF6"/>
    <w:rsid w:val="00871485"/>
    <w:rsid w:val="00872B3A"/>
    <w:rsid w:val="00873158"/>
    <w:rsid w:val="00874212"/>
    <w:rsid w:val="00876F06"/>
    <w:rsid w:val="0087720E"/>
    <w:rsid w:val="00877452"/>
    <w:rsid w:val="00880F65"/>
    <w:rsid w:val="00881268"/>
    <w:rsid w:val="0088394A"/>
    <w:rsid w:val="00883C56"/>
    <w:rsid w:val="008860BD"/>
    <w:rsid w:val="00887399"/>
    <w:rsid w:val="0088779E"/>
    <w:rsid w:val="00890117"/>
    <w:rsid w:val="00890388"/>
    <w:rsid w:val="008912AF"/>
    <w:rsid w:val="00892114"/>
    <w:rsid w:val="00892CB9"/>
    <w:rsid w:val="0089353C"/>
    <w:rsid w:val="008935CB"/>
    <w:rsid w:val="008936A8"/>
    <w:rsid w:val="00896BB4"/>
    <w:rsid w:val="008A3626"/>
    <w:rsid w:val="008A4486"/>
    <w:rsid w:val="008A4DD4"/>
    <w:rsid w:val="008B0E7E"/>
    <w:rsid w:val="008B426B"/>
    <w:rsid w:val="008B65BD"/>
    <w:rsid w:val="008B7900"/>
    <w:rsid w:val="008C0787"/>
    <w:rsid w:val="008C0992"/>
    <w:rsid w:val="008C2C8C"/>
    <w:rsid w:val="008C2FF5"/>
    <w:rsid w:val="008C60DB"/>
    <w:rsid w:val="008C612A"/>
    <w:rsid w:val="008C64C9"/>
    <w:rsid w:val="008C71BF"/>
    <w:rsid w:val="008C7FE0"/>
    <w:rsid w:val="008D4A2C"/>
    <w:rsid w:val="008D5335"/>
    <w:rsid w:val="008D5717"/>
    <w:rsid w:val="008D629A"/>
    <w:rsid w:val="008D654D"/>
    <w:rsid w:val="008D6E5D"/>
    <w:rsid w:val="008E44A9"/>
    <w:rsid w:val="008E54C7"/>
    <w:rsid w:val="008E6089"/>
    <w:rsid w:val="008E6B4D"/>
    <w:rsid w:val="008E6BFF"/>
    <w:rsid w:val="008F1601"/>
    <w:rsid w:val="008F18EF"/>
    <w:rsid w:val="008F21AF"/>
    <w:rsid w:val="008F2400"/>
    <w:rsid w:val="008F3133"/>
    <w:rsid w:val="008F3E1B"/>
    <w:rsid w:val="008F4741"/>
    <w:rsid w:val="008F61BA"/>
    <w:rsid w:val="008F62A1"/>
    <w:rsid w:val="008F6995"/>
    <w:rsid w:val="008F6E3C"/>
    <w:rsid w:val="008F7C55"/>
    <w:rsid w:val="00903598"/>
    <w:rsid w:val="00903820"/>
    <w:rsid w:val="00912745"/>
    <w:rsid w:val="00912C09"/>
    <w:rsid w:val="00914A23"/>
    <w:rsid w:val="009172D8"/>
    <w:rsid w:val="009268F9"/>
    <w:rsid w:val="00930754"/>
    <w:rsid w:val="00931E6F"/>
    <w:rsid w:val="00934F68"/>
    <w:rsid w:val="00934FDF"/>
    <w:rsid w:val="009350E7"/>
    <w:rsid w:val="009355AC"/>
    <w:rsid w:val="00935F38"/>
    <w:rsid w:val="00937586"/>
    <w:rsid w:val="0093791F"/>
    <w:rsid w:val="009404AE"/>
    <w:rsid w:val="00942CC2"/>
    <w:rsid w:val="00945A50"/>
    <w:rsid w:val="009470CB"/>
    <w:rsid w:val="00947889"/>
    <w:rsid w:val="009478BD"/>
    <w:rsid w:val="009478D5"/>
    <w:rsid w:val="009514B4"/>
    <w:rsid w:val="00953B0B"/>
    <w:rsid w:val="00957962"/>
    <w:rsid w:val="00957E54"/>
    <w:rsid w:val="00960E98"/>
    <w:rsid w:val="009613C4"/>
    <w:rsid w:val="00962339"/>
    <w:rsid w:val="009626B0"/>
    <w:rsid w:val="009635C7"/>
    <w:rsid w:val="00963A82"/>
    <w:rsid w:val="00965807"/>
    <w:rsid w:val="00967E5E"/>
    <w:rsid w:val="00972912"/>
    <w:rsid w:val="00972F9C"/>
    <w:rsid w:val="00976D1F"/>
    <w:rsid w:val="00977ADD"/>
    <w:rsid w:val="00977E55"/>
    <w:rsid w:val="00981C81"/>
    <w:rsid w:val="0098231E"/>
    <w:rsid w:val="009838FC"/>
    <w:rsid w:val="009853AF"/>
    <w:rsid w:val="00985522"/>
    <w:rsid w:val="00990A27"/>
    <w:rsid w:val="00990ABF"/>
    <w:rsid w:val="0099427E"/>
    <w:rsid w:val="009966F9"/>
    <w:rsid w:val="009A0109"/>
    <w:rsid w:val="009A0DD9"/>
    <w:rsid w:val="009A2D24"/>
    <w:rsid w:val="009A3E7F"/>
    <w:rsid w:val="009A456C"/>
    <w:rsid w:val="009A65C8"/>
    <w:rsid w:val="009B00E0"/>
    <w:rsid w:val="009B01FC"/>
    <w:rsid w:val="009B292A"/>
    <w:rsid w:val="009B3D08"/>
    <w:rsid w:val="009B4D2F"/>
    <w:rsid w:val="009B76D5"/>
    <w:rsid w:val="009C165D"/>
    <w:rsid w:val="009C3CEA"/>
    <w:rsid w:val="009C583D"/>
    <w:rsid w:val="009C5C63"/>
    <w:rsid w:val="009C6D51"/>
    <w:rsid w:val="009D2611"/>
    <w:rsid w:val="009D518D"/>
    <w:rsid w:val="009D79D2"/>
    <w:rsid w:val="009E02D0"/>
    <w:rsid w:val="009E0677"/>
    <w:rsid w:val="009E247C"/>
    <w:rsid w:val="009E31BA"/>
    <w:rsid w:val="009E4212"/>
    <w:rsid w:val="009F0528"/>
    <w:rsid w:val="009F0806"/>
    <w:rsid w:val="009F0848"/>
    <w:rsid w:val="009F233B"/>
    <w:rsid w:val="009F4E78"/>
    <w:rsid w:val="009F7741"/>
    <w:rsid w:val="00A02EC2"/>
    <w:rsid w:val="00A033FB"/>
    <w:rsid w:val="00A0399F"/>
    <w:rsid w:val="00A055AC"/>
    <w:rsid w:val="00A05D16"/>
    <w:rsid w:val="00A0621C"/>
    <w:rsid w:val="00A0659F"/>
    <w:rsid w:val="00A079BA"/>
    <w:rsid w:val="00A14181"/>
    <w:rsid w:val="00A14CF6"/>
    <w:rsid w:val="00A14E8C"/>
    <w:rsid w:val="00A1554F"/>
    <w:rsid w:val="00A20C70"/>
    <w:rsid w:val="00A21E99"/>
    <w:rsid w:val="00A26491"/>
    <w:rsid w:val="00A33875"/>
    <w:rsid w:val="00A360A1"/>
    <w:rsid w:val="00A373D4"/>
    <w:rsid w:val="00A402B3"/>
    <w:rsid w:val="00A43284"/>
    <w:rsid w:val="00A45639"/>
    <w:rsid w:val="00A474AF"/>
    <w:rsid w:val="00A53C71"/>
    <w:rsid w:val="00A544B7"/>
    <w:rsid w:val="00A6000D"/>
    <w:rsid w:val="00A6037B"/>
    <w:rsid w:val="00A60500"/>
    <w:rsid w:val="00A618CF"/>
    <w:rsid w:val="00A62770"/>
    <w:rsid w:val="00A62EEB"/>
    <w:rsid w:val="00A635C8"/>
    <w:rsid w:val="00A65511"/>
    <w:rsid w:val="00A660FF"/>
    <w:rsid w:val="00A71EA0"/>
    <w:rsid w:val="00A72A41"/>
    <w:rsid w:val="00A73277"/>
    <w:rsid w:val="00A73395"/>
    <w:rsid w:val="00A771E3"/>
    <w:rsid w:val="00A806CF"/>
    <w:rsid w:val="00A811DC"/>
    <w:rsid w:val="00A82B4C"/>
    <w:rsid w:val="00A83D8B"/>
    <w:rsid w:val="00A84079"/>
    <w:rsid w:val="00A86C15"/>
    <w:rsid w:val="00A92A4F"/>
    <w:rsid w:val="00A939AC"/>
    <w:rsid w:val="00A93A4C"/>
    <w:rsid w:val="00A93FA3"/>
    <w:rsid w:val="00A94D5D"/>
    <w:rsid w:val="00A957D8"/>
    <w:rsid w:val="00A97CEA"/>
    <w:rsid w:val="00AA09FE"/>
    <w:rsid w:val="00AA1D9B"/>
    <w:rsid w:val="00AA2543"/>
    <w:rsid w:val="00AA3804"/>
    <w:rsid w:val="00AA3995"/>
    <w:rsid w:val="00AA3F3A"/>
    <w:rsid w:val="00AA55C2"/>
    <w:rsid w:val="00AA5A7E"/>
    <w:rsid w:val="00AA6323"/>
    <w:rsid w:val="00AA78B3"/>
    <w:rsid w:val="00AB0ACA"/>
    <w:rsid w:val="00AB1D41"/>
    <w:rsid w:val="00AB2EE7"/>
    <w:rsid w:val="00AB3A99"/>
    <w:rsid w:val="00AC16F3"/>
    <w:rsid w:val="00AC3719"/>
    <w:rsid w:val="00AC4D75"/>
    <w:rsid w:val="00AC5E9A"/>
    <w:rsid w:val="00AC704B"/>
    <w:rsid w:val="00AD4D5A"/>
    <w:rsid w:val="00AD553E"/>
    <w:rsid w:val="00AD5848"/>
    <w:rsid w:val="00AD5B3F"/>
    <w:rsid w:val="00AE017F"/>
    <w:rsid w:val="00AE538B"/>
    <w:rsid w:val="00AE5ADA"/>
    <w:rsid w:val="00AF423B"/>
    <w:rsid w:val="00AF5BF3"/>
    <w:rsid w:val="00AF6145"/>
    <w:rsid w:val="00B01386"/>
    <w:rsid w:val="00B0188E"/>
    <w:rsid w:val="00B01915"/>
    <w:rsid w:val="00B01BB5"/>
    <w:rsid w:val="00B02037"/>
    <w:rsid w:val="00B026CC"/>
    <w:rsid w:val="00B035B6"/>
    <w:rsid w:val="00B04AF4"/>
    <w:rsid w:val="00B05214"/>
    <w:rsid w:val="00B06171"/>
    <w:rsid w:val="00B126EB"/>
    <w:rsid w:val="00B14954"/>
    <w:rsid w:val="00B167EE"/>
    <w:rsid w:val="00B25337"/>
    <w:rsid w:val="00B27595"/>
    <w:rsid w:val="00B30D97"/>
    <w:rsid w:val="00B31074"/>
    <w:rsid w:val="00B31443"/>
    <w:rsid w:val="00B3181A"/>
    <w:rsid w:val="00B32B18"/>
    <w:rsid w:val="00B34349"/>
    <w:rsid w:val="00B352FF"/>
    <w:rsid w:val="00B35A7C"/>
    <w:rsid w:val="00B3794F"/>
    <w:rsid w:val="00B41E9F"/>
    <w:rsid w:val="00B44ECD"/>
    <w:rsid w:val="00B450D1"/>
    <w:rsid w:val="00B47443"/>
    <w:rsid w:val="00B5201B"/>
    <w:rsid w:val="00B53D47"/>
    <w:rsid w:val="00B54A25"/>
    <w:rsid w:val="00B57311"/>
    <w:rsid w:val="00B60071"/>
    <w:rsid w:val="00B618C3"/>
    <w:rsid w:val="00B62E56"/>
    <w:rsid w:val="00B63652"/>
    <w:rsid w:val="00B668B0"/>
    <w:rsid w:val="00B66A2B"/>
    <w:rsid w:val="00B66AC6"/>
    <w:rsid w:val="00B70F5C"/>
    <w:rsid w:val="00B71873"/>
    <w:rsid w:val="00B75AE5"/>
    <w:rsid w:val="00B765D1"/>
    <w:rsid w:val="00B800C0"/>
    <w:rsid w:val="00B8132B"/>
    <w:rsid w:val="00B826E1"/>
    <w:rsid w:val="00B82D2A"/>
    <w:rsid w:val="00B84C5A"/>
    <w:rsid w:val="00B858F5"/>
    <w:rsid w:val="00B85C68"/>
    <w:rsid w:val="00B87139"/>
    <w:rsid w:val="00B92F13"/>
    <w:rsid w:val="00B93668"/>
    <w:rsid w:val="00B93F9D"/>
    <w:rsid w:val="00B95535"/>
    <w:rsid w:val="00BA39BC"/>
    <w:rsid w:val="00BA68C6"/>
    <w:rsid w:val="00BB12F1"/>
    <w:rsid w:val="00BB276E"/>
    <w:rsid w:val="00BB3489"/>
    <w:rsid w:val="00BB359F"/>
    <w:rsid w:val="00BB3FEE"/>
    <w:rsid w:val="00BB5E3B"/>
    <w:rsid w:val="00BB5EB0"/>
    <w:rsid w:val="00BB5F7F"/>
    <w:rsid w:val="00BB7990"/>
    <w:rsid w:val="00BC245A"/>
    <w:rsid w:val="00BC258B"/>
    <w:rsid w:val="00BC3910"/>
    <w:rsid w:val="00BC4B7E"/>
    <w:rsid w:val="00BC7B0B"/>
    <w:rsid w:val="00BD16FA"/>
    <w:rsid w:val="00BD2C5C"/>
    <w:rsid w:val="00BD41C3"/>
    <w:rsid w:val="00BD488B"/>
    <w:rsid w:val="00BD4947"/>
    <w:rsid w:val="00BD7CCC"/>
    <w:rsid w:val="00BE002A"/>
    <w:rsid w:val="00BE0283"/>
    <w:rsid w:val="00BE1BC9"/>
    <w:rsid w:val="00BE229B"/>
    <w:rsid w:val="00BE3A91"/>
    <w:rsid w:val="00BE4116"/>
    <w:rsid w:val="00BE5CDA"/>
    <w:rsid w:val="00BE608F"/>
    <w:rsid w:val="00BF03D1"/>
    <w:rsid w:val="00BF23BB"/>
    <w:rsid w:val="00BF33DD"/>
    <w:rsid w:val="00BF47B0"/>
    <w:rsid w:val="00BF5755"/>
    <w:rsid w:val="00BF659B"/>
    <w:rsid w:val="00BF684B"/>
    <w:rsid w:val="00BF6947"/>
    <w:rsid w:val="00C016F3"/>
    <w:rsid w:val="00C0634A"/>
    <w:rsid w:val="00C11CE1"/>
    <w:rsid w:val="00C13CAD"/>
    <w:rsid w:val="00C14566"/>
    <w:rsid w:val="00C14B21"/>
    <w:rsid w:val="00C15193"/>
    <w:rsid w:val="00C15609"/>
    <w:rsid w:val="00C15F6A"/>
    <w:rsid w:val="00C161CD"/>
    <w:rsid w:val="00C20742"/>
    <w:rsid w:val="00C20CD8"/>
    <w:rsid w:val="00C20D52"/>
    <w:rsid w:val="00C23EA7"/>
    <w:rsid w:val="00C256F3"/>
    <w:rsid w:val="00C270A2"/>
    <w:rsid w:val="00C3100C"/>
    <w:rsid w:val="00C315B5"/>
    <w:rsid w:val="00C31C3A"/>
    <w:rsid w:val="00C341AF"/>
    <w:rsid w:val="00C34FB1"/>
    <w:rsid w:val="00C35E28"/>
    <w:rsid w:val="00C400E6"/>
    <w:rsid w:val="00C426AF"/>
    <w:rsid w:val="00C42DB3"/>
    <w:rsid w:val="00C469C1"/>
    <w:rsid w:val="00C50070"/>
    <w:rsid w:val="00C50659"/>
    <w:rsid w:val="00C51B39"/>
    <w:rsid w:val="00C52249"/>
    <w:rsid w:val="00C5338A"/>
    <w:rsid w:val="00C54EF9"/>
    <w:rsid w:val="00C5543B"/>
    <w:rsid w:val="00C56BBF"/>
    <w:rsid w:val="00C572AA"/>
    <w:rsid w:val="00C57A9A"/>
    <w:rsid w:val="00C6016A"/>
    <w:rsid w:val="00C60B3F"/>
    <w:rsid w:val="00C623EB"/>
    <w:rsid w:val="00C64C6B"/>
    <w:rsid w:val="00C66F2E"/>
    <w:rsid w:val="00C6785C"/>
    <w:rsid w:val="00C70FD1"/>
    <w:rsid w:val="00C71455"/>
    <w:rsid w:val="00C71C32"/>
    <w:rsid w:val="00C72B76"/>
    <w:rsid w:val="00C733AA"/>
    <w:rsid w:val="00C74E72"/>
    <w:rsid w:val="00C82246"/>
    <w:rsid w:val="00C83027"/>
    <w:rsid w:val="00C84B8A"/>
    <w:rsid w:val="00C84DD5"/>
    <w:rsid w:val="00C85ADE"/>
    <w:rsid w:val="00C85E65"/>
    <w:rsid w:val="00C86E66"/>
    <w:rsid w:val="00C87CA1"/>
    <w:rsid w:val="00C911B4"/>
    <w:rsid w:val="00C915EF"/>
    <w:rsid w:val="00C91687"/>
    <w:rsid w:val="00C91B3B"/>
    <w:rsid w:val="00C94262"/>
    <w:rsid w:val="00C96904"/>
    <w:rsid w:val="00C976E1"/>
    <w:rsid w:val="00CA04BA"/>
    <w:rsid w:val="00CA148E"/>
    <w:rsid w:val="00CA3A9A"/>
    <w:rsid w:val="00CA43D0"/>
    <w:rsid w:val="00CA4919"/>
    <w:rsid w:val="00CA6F17"/>
    <w:rsid w:val="00CB5B7E"/>
    <w:rsid w:val="00CB6BC1"/>
    <w:rsid w:val="00CB6D3B"/>
    <w:rsid w:val="00CB7021"/>
    <w:rsid w:val="00CC0A97"/>
    <w:rsid w:val="00CC56E9"/>
    <w:rsid w:val="00CC63F9"/>
    <w:rsid w:val="00CC7514"/>
    <w:rsid w:val="00CC7986"/>
    <w:rsid w:val="00CD22EB"/>
    <w:rsid w:val="00CD3294"/>
    <w:rsid w:val="00CD4524"/>
    <w:rsid w:val="00CD784D"/>
    <w:rsid w:val="00CE278E"/>
    <w:rsid w:val="00CE3963"/>
    <w:rsid w:val="00CE3C9A"/>
    <w:rsid w:val="00CE4C36"/>
    <w:rsid w:val="00CE6727"/>
    <w:rsid w:val="00CF3A1C"/>
    <w:rsid w:val="00CF40F8"/>
    <w:rsid w:val="00D006CA"/>
    <w:rsid w:val="00D008DA"/>
    <w:rsid w:val="00D01531"/>
    <w:rsid w:val="00D0416F"/>
    <w:rsid w:val="00D05851"/>
    <w:rsid w:val="00D1097D"/>
    <w:rsid w:val="00D10FED"/>
    <w:rsid w:val="00D1163F"/>
    <w:rsid w:val="00D11736"/>
    <w:rsid w:val="00D12EE8"/>
    <w:rsid w:val="00D1385B"/>
    <w:rsid w:val="00D14CDF"/>
    <w:rsid w:val="00D1527C"/>
    <w:rsid w:val="00D15D8E"/>
    <w:rsid w:val="00D15FF1"/>
    <w:rsid w:val="00D167F4"/>
    <w:rsid w:val="00D17D68"/>
    <w:rsid w:val="00D20130"/>
    <w:rsid w:val="00D2092A"/>
    <w:rsid w:val="00D21BC3"/>
    <w:rsid w:val="00D2216D"/>
    <w:rsid w:val="00D22640"/>
    <w:rsid w:val="00D300B3"/>
    <w:rsid w:val="00D31A6F"/>
    <w:rsid w:val="00D346A1"/>
    <w:rsid w:val="00D35156"/>
    <w:rsid w:val="00D353D1"/>
    <w:rsid w:val="00D367DB"/>
    <w:rsid w:val="00D36E05"/>
    <w:rsid w:val="00D4202A"/>
    <w:rsid w:val="00D4209F"/>
    <w:rsid w:val="00D42BC5"/>
    <w:rsid w:val="00D439AA"/>
    <w:rsid w:val="00D44F27"/>
    <w:rsid w:val="00D45304"/>
    <w:rsid w:val="00D46165"/>
    <w:rsid w:val="00D461C7"/>
    <w:rsid w:val="00D50424"/>
    <w:rsid w:val="00D525C9"/>
    <w:rsid w:val="00D5301E"/>
    <w:rsid w:val="00D5721C"/>
    <w:rsid w:val="00D57D3E"/>
    <w:rsid w:val="00D60CB5"/>
    <w:rsid w:val="00D65590"/>
    <w:rsid w:val="00D65A7D"/>
    <w:rsid w:val="00D663A7"/>
    <w:rsid w:val="00D7177F"/>
    <w:rsid w:val="00D76249"/>
    <w:rsid w:val="00D77799"/>
    <w:rsid w:val="00D82FBF"/>
    <w:rsid w:val="00D8417D"/>
    <w:rsid w:val="00D93EF2"/>
    <w:rsid w:val="00D95044"/>
    <w:rsid w:val="00D950D4"/>
    <w:rsid w:val="00D95C42"/>
    <w:rsid w:val="00D971CE"/>
    <w:rsid w:val="00D97BCD"/>
    <w:rsid w:val="00DA145C"/>
    <w:rsid w:val="00DA1973"/>
    <w:rsid w:val="00DA1E3A"/>
    <w:rsid w:val="00DA4AD0"/>
    <w:rsid w:val="00DA599E"/>
    <w:rsid w:val="00DA5C34"/>
    <w:rsid w:val="00DA71A3"/>
    <w:rsid w:val="00DA7D12"/>
    <w:rsid w:val="00DB2DB2"/>
    <w:rsid w:val="00DB52B2"/>
    <w:rsid w:val="00DB601E"/>
    <w:rsid w:val="00DC18F3"/>
    <w:rsid w:val="00DC23CF"/>
    <w:rsid w:val="00DC2941"/>
    <w:rsid w:val="00DC5875"/>
    <w:rsid w:val="00DC6562"/>
    <w:rsid w:val="00DD03D0"/>
    <w:rsid w:val="00DD0A44"/>
    <w:rsid w:val="00DD0B16"/>
    <w:rsid w:val="00DD6AF7"/>
    <w:rsid w:val="00DD76B7"/>
    <w:rsid w:val="00DE130D"/>
    <w:rsid w:val="00DE1F89"/>
    <w:rsid w:val="00DE24CF"/>
    <w:rsid w:val="00DE28B1"/>
    <w:rsid w:val="00DE407C"/>
    <w:rsid w:val="00DE4AB6"/>
    <w:rsid w:val="00DE51A9"/>
    <w:rsid w:val="00DE660A"/>
    <w:rsid w:val="00DE7C7D"/>
    <w:rsid w:val="00DF11FA"/>
    <w:rsid w:val="00DF2992"/>
    <w:rsid w:val="00DF2D0C"/>
    <w:rsid w:val="00DF5C8C"/>
    <w:rsid w:val="00DF7FD5"/>
    <w:rsid w:val="00E00058"/>
    <w:rsid w:val="00E01B9D"/>
    <w:rsid w:val="00E02520"/>
    <w:rsid w:val="00E0468F"/>
    <w:rsid w:val="00E04F5E"/>
    <w:rsid w:val="00E0522E"/>
    <w:rsid w:val="00E10182"/>
    <w:rsid w:val="00E10999"/>
    <w:rsid w:val="00E120F4"/>
    <w:rsid w:val="00E138C6"/>
    <w:rsid w:val="00E14D39"/>
    <w:rsid w:val="00E161B1"/>
    <w:rsid w:val="00E16BE5"/>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203"/>
    <w:rsid w:val="00E40456"/>
    <w:rsid w:val="00E40EAE"/>
    <w:rsid w:val="00E43023"/>
    <w:rsid w:val="00E436AC"/>
    <w:rsid w:val="00E44F7A"/>
    <w:rsid w:val="00E44FF8"/>
    <w:rsid w:val="00E50292"/>
    <w:rsid w:val="00E5066A"/>
    <w:rsid w:val="00E52CF9"/>
    <w:rsid w:val="00E533C1"/>
    <w:rsid w:val="00E60DDC"/>
    <w:rsid w:val="00E617DA"/>
    <w:rsid w:val="00E63F34"/>
    <w:rsid w:val="00E63FEA"/>
    <w:rsid w:val="00E6424D"/>
    <w:rsid w:val="00E65E0E"/>
    <w:rsid w:val="00E66614"/>
    <w:rsid w:val="00E66937"/>
    <w:rsid w:val="00E66D1B"/>
    <w:rsid w:val="00E6715A"/>
    <w:rsid w:val="00E74F60"/>
    <w:rsid w:val="00E7595D"/>
    <w:rsid w:val="00E75DC9"/>
    <w:rsid w:val="00E81610"/>
    <w:rsid w:val="00E81F99"/>
    <w:rsid w:val="00E84910"/>
    <w:rsid w:val="00E859E7"/>
    <w:rsid w:val="00E85B28"/>
    <w:rsid w:val="00E9035C"/>
    <w:rsid w:val="00E91976"/>
    <w:rsid w:val="00E93AFC"/>
    <w:rsid w:val="00E947A6"/>
    <w:rsid w:val="00E94D02"/>
    <w:rsid w:val="00E97D01"/>
    <w:rsid w:val="00E97FC7"/>
    <w:rsid w:val="00EA0690"/>
    <w:rsid w:val="00EA088D"/>
    <w:rsid w:val="00EA207A"/>
    <w:rsid w:val="00EA3956"/>
    <w:rsid w:val="00EA62BF"/>
    <w:rsid w:val="00EA7136"/>
    <w:rsid w:val="00EA7E51"/>
    <w:rsid w:val="00EB1219"/>
    <w:rsid w:val="00EB325A"/>
    <w:rsid w:val="00EB5DDC"/>
    <w:rsid w:val="00EB5E96"/>
    <w:rsid w:val="00EC02A5"/>
    <w:rsid w:val="00EC176B"/>
    <w:rsid w:val="00EC2E65"/>
    <w:rsid w:val="00EC33CD"/>
    <w:rsid w:val="00EC5BE5"/>
    <w:rsid w:val="00EC6A6D"/>
    <w:rsid w:val="00ED2650"/>
    <w:rsid w:val="00ED626B"/>
    <w:rsid w:val="00ED69D1"/>
    <w:rsid w:val="00ED6CDF"/>
    <w:rsid w:val="00ED721A"/>
    <w:rsid w:val="00ED7D4D"/>
    <w:rsid w:val="00EE02DE"/>
    <w:rsid w:val="00EE13FE"/>
    <w:rsid w:val="00EE36C9"/>
    <w:rsid w:val="00EE393D"/>
    <w:rsid w:val="00EE5194"/>
    <w:rsid w:val="00EF01CF"/>
    <w:rsid w:val="00EF09CE"/>
    <w:rsid w:val="00EF1C5B"/>
    <w:rsid w:val="00EF1F82"/>
    <w:rsid w:val="00EF5EF9"/>
    <w:rsid w:val="00EF6A47"/>
    <w:rsid w:val="00EF7AF9"/>
    <w:rsid w:val="00F000EE"/>
    <w:rsid w:val="00F006CA"/>
    <w:rsid w:val="00F00952"/>
    <w:rsid w:val="00F01495"/>
    <w:rsid w:val="00F04687"/>
    <w:rsid w:val="00F10138"/>
    <w:rsid w:val="00F10475"/>
    <w:rsid w:val="00F11C1C"/>
    <w:rsid w:val="00F13F92"/>
    <w:rsid w:val="00F17029"/>
    <w:rsid w:val="00F22ECA"/>
    <w:rsid w:val="00F240E8"/>
    <w:rsid w:val="00F244FA"/>
    <w:rsid w:val="00F3220A"/>
    <w:rsid w:val="00F33192"/>
    <w:rsid w:val="00F346BA"/>
    <w:rsid w:val="00F366A2"/>
    <w:rsid w:val="00F3705D"/>
    <w:rsid w:val="00F43025"/>
    <w:rsid w:val="00F43AD3"/>
    <w:rsid w:val="00F44E4E"/>
    <w:rsid w:val="00F44F43"/>
    <w:rsid w:val="00F450E1"/>
    <w:rsid w:val="00F46355"/>
    <w:rsid w:val="00F50DF4"/>
    <w:rsid w:val="00F537B5"/>
    <w:rsid w:val="00F56049"/>
    <w:rsid w:val="00F566C9"/>
    <w:rsid w:val="00F5718D"/>
    <w:rsid w:val="00F5735B"/>
    <w:rsid w:val="00F57AFE"/>
    <w:rsid w:val="00F60F63"/>
    <w:rsid w:val="00F6278E"/>
    <w:rsid w:val="00F63C41"/>
    <w:rsid w:val="00F63E96"/>
    <w:rsid w:val="00F65C2A"/>
    <w:rsid w:val="00F66AE9"/>
    <w:rsid w:val="00F6710C"/>
    <w:rsid w:val="00F677D2"/>
    <w:rsid w:val="00F67C76"/>
    <w:rsid w:val="00F701E3"/>
    <w:rsid w:val="00F70A0E"/>
    <w:rsid w:val="00F71008"/>
    <w:rsid w:val="00F7130A"/>
    <w:rsid w:val="00F71F8C"/>
    <w:rsid w:val="00F72163"/>
    <w:rsid w:val="00F72F5C"/>
    <w:rsid w:val="00F75AC3"/>
    <w:rsid w:val="00F8023E"/>
    <w:rsid w:val="00F806BA"/>
    <w:rsid w:val="00F8333F"/>
    <w:rsid w:val="00F8459B"/>
    <w:rsid w:val="00F86AD4"/>
    <w:rsid w:val="00F91EF1"/>
    <w:rsid w:val="00FA0113"/>
    <w:rsid w:val="00FA0A02"/>
    <w:rsid w:val="00FA12B2"/>
    <w:rsid w:val="00FA18AE"/>
    <w:rsid w:val="00FA468C"/>
    <w:rsid w:val="00FA753A"/>
    <w:rsid w:val="00FA7610"/>
    <w:rsid w:val="00FB02BD"/>
    <w:rsid w:val="00FB0D8A"/>
    <w:rsid w:val="00FB0FE5"/>
    <w:rsid w:val="00FB398F"/>
    <w:rsid w:val="00FB4EF8"/>
    <w:rsid w:val="00FB54AE"/>
    <w:rsid w:val="00FB61AB"/>
    <w:rsid w:val="00FB6372"/>
    <w:rsid w:val="00FB709A"/>
    <w:rsid w:val="00FB78DD"/>
    <w:rsid w:val="00FC12D9"/>
    <w:rsid w:val="00FC269B"/>
    <w:rsid w:val="00FC2BDE"/>
    <w:rsid w:val="00FC3EF3"/>
    <w:rsid w:val="00FC54C5"/>
    <w:rsid w:val="00FC5675"/>
    <w:rsid w:val="00FC5D35"/>
    <w:rsid w:val="00FC798F"/>
    <w:rsid w:val="00FC7D7B"/>
    <w:rsid w:val="00FD0233"/>
    <w:rsid w:val="00FD2049"/>
    <w:rsid w:val="00FD20E2"/>
    <w:rsid w:val="00FD2140"/>
    <w:rsid w:val="00FD37F6"/>
    <w:rsid w:val="00FD4129"/>
    <w:rsid w:val="00FD49E2"/>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ystat.gov.cy/el/SubthemeStatistics?s=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7952</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32</cp:revision>
  <cp:lastPrinted>2025-02-07T05:31:00Z</cp:lastPrinted>
  <dcterms:created xsi:type="dcterms:W3CDTF">2025-01-08T12:06:00Z</dcterms:created>
  <dcterms:modified xsi:type="dcterms:W3CDTF">2025-02-10T09:47:00Z</dcterms:modified>
</cp:coreProperties>
</file>