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2855" w14:textId="77777777" w:rsidR="00BE6DAB" w:rsidRDefault="00BE6DAB" w:rsidP="00BF6947">
      <w:pPr>
        <w:jc w:val="right"/>
        <w:rPr>
          <w:rFonts w:ascii="Verdana" w:hAnsi="Verdana" w:cs="Arial"/>
          <w:sz w:val="18"/>
          <w:szCs w:val="18"/>
          <w:lang w:val="el-GR"/>
        </w:rPr>
      </w:pPr>
    </w:p>
    <w:p w14:paraId="719C69AA" w14:textId="77777777" w:rsidR="00BE6DAB" w:rsidRDefault="00BE6DAB" w:rsidP="00BF6947">
      <w:pPr>
        <w:jc w:val="right"/>
        <w:rPr>
          <w:rFonts w:ascii="Verdana" w:hAnsi="Verdana" w:cs="Arial"/>
          <w:sz w:val="18"/>
          <w:szCs w:val="18"/>
          <w:lang w:val="el-GR"/>
        </w:rPr>
      </w:pPr>
    </w:p>
    <w:p w14:paraId="43EDD342" w14:textId="03D731C1" w:rsidR="00BF6947" w:rsidRPr="00BF6947" w:rsidRDefault="00120876" w:rsidP="00BF6947">
      <w:pPr>
        <w:jc w:val="right"/>
        <w:rPr>
          <w:rFonts w:ascii="Verdana" w:eastAsia="Malgun Gothic" w:hAnsi="Verdana" w:cs="Arial"/>
          <w:sz w:val="18"/>
          <w:szCs w:val="18"/>
          <w:lang w:val="el-GR"/>
        </w:rPr>
      </w:pPr>
      <w:r>
        <w:rPr>
          <w:rFonts w:ascii="Verdana" w:hAnsi="Verdana" w:cs="Arial"/>
          <w:sz w:val="18"/>
          <w:szCs w:val="18"/>
          <w:lang w:val="el-GR"/>
        </w:rPr>
        <w:t>13</w:t>
      </w:r>
      <w:r w:rsidR="00BF6947" w:rsidRPr="00BF6947">
        <w:rPr>
          <w:rFonts w:ascii="Verdana" w:hAnsi="Verdana" w:cs="Arial"/>
          <w:sz w:val="18"/>
          <w:szCs w:val="18"/>
          <w:lang w:val="el-GR"/>
        </w:rPr>
        <w:t xml:space="preserve"> </w:t>
      </w:r>
      <w:r>
        <w:rPr>
          <w:rFonts w:ascii="Verdana" w:hAnsi="Verdana" w:cs="Arial"/>
          <w:sz w:val="18"/>
          <w:szCs w:val="18"/>
          <w:lang w:val="el-GR"/>
        </w:rPr>
        <w:t>Μαρτίου</w:t>
      </w:r>
      <w:r w:rsidR="00BF6947" w:rsidRPr="00BF6947">
        <w:rPr>
          <w:rFonts w:ascii="Verdana" w:eastAsia="Malgun Gothic" w:hAnsi="Verdana" w:cs="Arial"/>
          <w:sz w:val="18"/>
          <w:szCs w:val="18"/>
          <w:lang w:val="el-GR"/>
        </w:rPr>
        <w:t>, 202</w:t>
      </w:r>
      <w:r w:rsidR="006D1C53">
        <w:rPr>
          <w:rFonts w:ascii="Verdana" w:eastAsia="Malgun Gothic" w:hAnsi="Verdana" w:cs="Arial"/>
          <w:sz w:val="18"/>
          <w:szCs w:val="18"/>
          <w:lang w:val="el-GR"/>
        </w:rPr>
        <w:t>3</w:t>
      </w:r>
    </w:p>
    <w:p w14:paraId="5E87EAC9" w14:textId="77777777" w:rsidR="00D950D4" w:rsidRPr="00BE6DAB" w:rsidRDefault="00D950D4" w:rsidP="00BF6947">
      <w:pPr>
        <w:jc w:val="center"/>
        <w:rPr>
          <w:rFonts w:ascii="Verdana" w:eastAsia="Malgun Gothic" w:hAnsi="Verdana" w:cs="Arial"/>
          <w:b/>
          <w:lang w:val="el-GR"/>
        </w:rPr>
      </w:pPr>
    </w:p>
    <w:p w14:paraId="2A26B5CA" w14:textId="0A11D4F6" w:rsidR="00BF6947" w:rsidRPr="00BF6947" w:rsidRDefault="00BF6947" w:rsidP="00BF6947">
      <w:pPr>
        <w:jc w:val="center"/>
        <w:rPr>
          <w:rFonts w:ascii="Verdana" w:eastAsia="Malgun Gothic" w:hAnsi="Verdana" w:cs="Arial"/>
          <w:b/>
          <w:sz w:val="24"/>
          <w:szCs w:val="24"/>
          <w:lang w:val="el-GR"/>
        </w:rPr>
      </w:pPr>
      <w:r w:rsidRPr="00BF6947">
        <w:rPr>
          <w:rFonts w:ascii="Verdana" w:eastAsia="Malgun Gothic" w:hAnsi="Verdana" w:cs="Arial"/>
          <w:b/>
          <w:sz w:val="24"/>
          <w:szCs w:val="24"/>
          <w:lang w:val="el-GR"/>
        </w:rPr>
        <w:t>ΔΕΛΤΙΟ ΤΥΠΟΥ</w:t>
      </w:r>
    </w:p>
    <w:p w14:paraId="2A18CC71" w14:textId="77777777" w:rsidR="00BF6947" w:rsidRPr="00BE6DAB" w:rsidRDefault="00BF6947" w:rsidP="00BF6947">
      <w:pPr>
        <w:rPr>
          <w:rFonts w:ascii="Verdana" w:eastAsia="Malgun Gothic" w:hAnsi="Verdana" w:cs="Arial"/>
          <w:lang w:val="el-GR"/>
        </w:rPr>
      </w:pPr>
    </w:p>
    <w:p w14:paraId="1467DE86" w14:textId="19FC2C0F" w:rsidR="00BF6947" w:rsidRPr="00BF6947" w:rsidRDefault="00BF6947" w:rsidP="00BF6947">
      <w:pPr>
        <w:keepNext/>
        <w:spacing w:line="276" w:lineRule="auto"/>
        <w:outlineLvl w:val="5"/>
        <w:rPr>
          <w:rFonts w:ascii="Verdana" w:eastAsia="Times New Roman" w:hAnsi="Verdana"/>
          <w:bCs/>
          <w:u w:val="single"/>
          <w:shd w:val="clear" w:color="auto" w:fill="FFFFFF"/>
          <w:lang w:val="el-GR"/>
        </w:rPr>
      </w:pPr>
      <w:r w:rsidRPr="00BF6947">
        <w:rPr>
          <w:rFonts w:ascii="Verdana" w:eastAsia="Times New Roman" w:hAnsi="Verdana"/>
          <w:bCs/>
          <w:u w:val="single"/>
          <w:shd w:val="clear" w:color="auto" w:fill="FFFFFF"/>
          <w:lang w:val="el-GR"/>
        </w:rPr>
        <w:t xml:space="preserve">ΣΤΑΤΙΣΤΙΚΕΣ ΕΞΩΤΕΡΙΚΟΥ ΕΜΠΟΡΙΟΥ: </w:t>
      </w:r>
      <w:r w:rsidR="002E49EF">
        <w:rPr>
          <w:rFonts w:ascii="Verdana" w:eastAsia="Times New Roman" w:hAnsi="Verdana"/>
          <w:b/>
          <w:bCs/>
          <w:u w:val="single"/>
          <w:shd w:val="clear" w:color="auto" w:fill="FFFFFF"/>
          <w:lang w:val="el-GR"/>
        </w:rPr>
        <w:t>ΔΕΚΕΜΒΡΙΟΣ</w:t>
      </w:r>
      <w:r w:rsidRPr="00E10182">
        <w:rPr>
          <w:rFonts w:ascii="Verdana" w:eastAsia="Times New Roman" w:hAnsi="Verdana"/>
          <w:b/>
          <w:u w:val="single"/>
          <w:shd w:val="clear" w:color="auto" w:fill="FFFFFF"/>
          <w:lang w:val="el-GR"/>
        </w:rPr>
        <w:t xml:space="preserve"> </w:t>
      </w:r>
      <w:r w:rsidRPr="00BF6947">
        <w:rPr>
          <w:rFonts w:ascii="Verdana" w:eastAsia="Times New Roman" w:hAnsi="Verdana"/>
          <w:b/>
          <w:bCs/>
          <w:u w:val="single"/>
          <w:shd w:val="clear" w:color="auto" w:fill="FFFFFF"/>
          <w:lang w:val="el-GR"/>
        </w:rPr>
        <w:t xml:space="preserve">2022 (ΤΕΛΙΚΑ ΣΤΟΙΧΕΙΑ) ΚΑΙ </w:t>
      </w:r>
      <w:r w:rsidR="002E49EF">
        <w:rPr>
          <w:rFonts w:ascii="Verdana" w:eastAsia="Times New Roman" w:hAnsi="Verdana"/>
          <w:b/>
          <w:bCs/>
          <w:u w:val="single"/>
          <w:shd w:val="clear" w:color="auto" w:fill="FFFFFF"/>
          <w:lang w:val="el-GR"/>
        </w:rPr>
        <w:t>ΙΑΝΟΥΑΡΙΟΣ</w:t>
      </w:r>
      <w:r w:rsidRPr="00BF6947">
        <w:rPr>
          <w:rFonts w:ascii="Verdana" w:eastAsia="Times New Roman" w:hAnsi="Verdana"/>
          <w:b/>
          <w:bCs/>
          <w:u w:val="single"/>
          <w:shd w:val="clear" w:color="auto" w:fill="FFFFFF"/>
          <w:lang w:val="el-GR"/>
        </w:rPr>
        <w:t xml:space="preserve"> 202</w:t>
      </w:r>
      <w:r w:rsidR="002E49EF">
        <w:rPr>
          <w:rFonts w:ascii="Verdana" w:eastAsia="Times New Roman" w:hAnsi="Verdana"/>
          <w:b/>
          <w:bCs/>
          <w:u w:val="single"/>
          <w:shd w:val="clear" w:color="auto" w:fill="FFFFFF"/>
          <w:lang w:val="el-GR"/>
        </w:rPr>
        <w:t>3</w:t>
      </w:r>
      <w:r w:rsidRPr="00BF6947">
        <w:rPr>
          <w:rFonts w:ascii="Verdana" w:eastAsia="Times New Roman" w:hAnsi="Verdana"/>
          <w:b/>
          <w:bCs/>
          <w:u w:val="single"/>
          <w:shd w:val="clear" w:color="auto" w:fill="FFFFFF"/>
          <w:lang w:val="el-GR"/>
        </w:rPr>
        <w:t xml:space="preserve"> (ΠΡΟΚΑΤΑΡΚΤΙΚΑ ΣΤΟΙΧΕΙΑ)</w:t>
      </w:r>
    </w:p>
    <w:p w14:paraId="6FD07B7D" w14:textId="77777777" w:rsidR="00BF6947" w:rsidRPr="00BE6DAB" w:rsidRDefault="00BF6947" w:rsidP="00BF6947">
      <w:pPr>
        <w:jc w:val="center"/>
        <w:rPr>
          <w:rFonts w:ascii="Verdana" w:hAnsi="Verdana"/>
          <w:b/>
          <w:bCs/>
          <w:shd w:val="clear" w:color="auto" w:fill="FFFFFF"/>
          <w:lang w:val="el-GR"/>
        </w:rPr>
      </w:pPr>
    </w:p>
    <w:p w14:paraId="19E86E8E" w14:textId="77777777" w:rsidR="00E56D81" w:rsidRDefault="00BF6947" w:rsidP="00BF6947">
      <w:pPr>
        <w:jc w:val="center"/>
        <w:rPr>
          <w:rFonts w:ascii="Verdana" w:eastAsia="Malgun Gothic" w:hAnsi="Verdana" w:cs="Arial"/>
          <w:b/>
          <w:lang w:val="el-GR"/>
        </w:rPr>
      </w:pPr>
      <w:r w:rsidRPr="006C121C">
        <w:rPr>
          <w:rFonts w:ascii="Verdana" w:eastAsia="Malgun Gothic" w:hAnsi="Verdana" w:cs="Arial"/>
          <w:b/>
          <w:lang w:val="el-GR"/>
        </w:rPr>
        <w:t xml:space="preserve">Ετήσια Μεταβολή τον </w:t>
      </w:r>
      <w:r w:rsidR="002E49EF">
        <w:rPr>
          <w:rFonts w:ascii="Verdana" w:eastAsia="Malgun Gothic" w:hAnsi="Verdana" w:cs="Arial"/>
          <w:b/>
          <w:lang w:val="el-GR"/>
        </w:rPr>
        <w:t>Ιανουάριο</w:t>
      </w:r>
      <w:r w:rsidRPr="006C121C">
        <w:rPr>
          <w:rFonts w:ascii="Verdana" w:eastAsia="Malgun Gothic" w:hAnsi="Verdana" w:cs="Arial"/>
          <w:b/>
          <w:lang w:val="el-GR"/>
        </w:rPr>
        <w:t>,</w:t>
      </w:r>
      <w:r w:rsidR="00C91687" w:rsidRPr="00C91687">
        <w:rPr>
          <w:rFonts w:ascii="Verdana" w:eastAsia="Malgun Gothic" w:hAnsi="Verdana" w:cs="Arial"/>
          <w:b/>
          <w:lang w:val="el-GR"/>
        </w:rPr>
        <w:t xml:space="preserve"> </w:t>
      </w:r>
      <w:r w:rsidRPr="006C121C">
        <w:rPr>
          <w:rFonts w:ascii="Verdana" w:eastAsia="Malgun Gothic" w:hAnsi="Verdana" w:cs="Arial"/>
          <w:b/>
          <w:lang w:val="el-GR"/>
        </w:rPr>
        <w:t>+</w:t>
      </w:r>
      <w:r w:rsidR="00D77799" w:rsidRPr="00D77799">
        <w:rPr>
          <w:rFonts w:ascii="Verdana" w:eastAsia="Malgun Gothic" w:hAnsi="Verdana" w:cs="Arial"/>
          <w:b/>
          <w:lang w:val="el-GR"/>
        </w:rPr>
        <w:t>1</w:t>
      </w:r>
      <w:r w:rsidR="00494FCA" w:rsidRPr="00494FCA">
        <w:rPr>
          <w:rFonts w:ascii="Verdana" w:eastAsia="Malgun Gothic" w:hAnsi="Verdana" w:cs="Arial"/>
          <w:b/>
          <w:lang w:val="el-GR"/>
        </w:rPr>
        <w:t>27</w:t>
      </w:r>
      <w:r w:rsidRPr="006C121C">
        <w:rPr>
          <w:rFonts w:ascii="Verdana" w:eastAsia="Malgun Gothic" w:hAnsi="Verdana" w:cs="Arial"/>
          <w:b/>
          <w:lang w:val="el-GR"/>
        </w:rPr>
        <w:t>,</w:t>
      </w:r>
      <w:r w:rsidR="00494FCA" w:rsidRPr="00494FCA">
        <w:rPr>
          <w:rFonts w:ascii="Verdana" w:eastAsia="Malgun Gothic" w:hAnsi="Verdana" w:cs="Arial"/>
          <w:b/>
          <w:lang w:val="el-GR"/>
        </w:rPr>
        <w:t>4</w:t>
      </w:r>
      <w:r w:rsidRPr="006C121C">
        <w:rPr>
          <w:rFonts w:ascii="Verdana" w:eastAsia="Malgun Gothic" w:hAnsi="Verdana" w:cs="Arial"/>
          <w:b/>
          <w:lang w:val="el-GR"/>
        </w:rPr>
        <w:t xml:space="preserve">% στις Εισαγωγές </w:t>
      </w:r>
    </w:p>
    <w:p w14:paraId="2C1E6F2F" w14:textId="3C7CC6EE" w:rsidR="00BF6947" w:rsidRPr="006C121C" w:rsidRDefault="00BF6947" w:rsidP="00BF6947">
      <w:pPr>
        <w:jc w:val="center"/>
        <w:rPr>
          <w:rFonts w:ascii="Verdana" w:eastAsia="Malgun Gothic" w:hAnsi="Verdana" w:cs="Arial"/>
          <w:b/>
          <w:lang w:val="el-GR"/>
        </w:rPr>
      </w:pPr>
      <w:r w:rsidRPr="006C121C">
        <w:rPr>
          <w:rFonts w:ascii="Verdana" w:eastAsia="Malgun Gothic" w:hAnsi="Verdana" w:cs="Arial"/>
          <w:b/>
          <w:lang w:val="el-GR"/>
        </w:rPr>
        <w:t>και</w:t>
      </w:r>
      <w:r w:rsidR="008546CC">
        <w:rPr>
          <w:rFonts w:ascii="Verdana" w:eastAsia="Malgun Gothic" w:hAnsi="Verdana" w:cs="Arial"/>
          <w:b/>
          <w:lang w:val="el-GR"/>
        </w:rPr>
        <w:t xml:space="preserve"> </w:t>
      </w:r>
      <w:r w:rsidR="00D77799" w:rsidRPr="00D77799">
        <w:rPr>
          <w:rFonts w:ascii="Verdana" w:eastAsia="Malgun Gothic" w:hAnsi="Verdana" w:cs="Arial"/>
          <w:b/>
          <w:lang w:val="el-GR"/>
        </w:rPr>
        <w:t>+</w:t>
      </w:r>
      <w:r w:rsidR="00494FCA" w:rsidRPr="00494FCA">
        <w:rPr>
          <w:rFonts w:ascii="Verdana" w:eastAsia="Malgun Gothic" w:hAnsi="Verdana" w:cs="Arial"/>
          <w:b/>
          <w:lang w:val="el-GR"/>
        </w:rPr>
        <w:t>41</w:t>
      </w:r>
      <w:r w:rsidRPr="006C121C">
        <w:rPr>
          <w:rFonts w:ascii="Verdana" w:eastAsia="Malgun Gothic" w:hAnsi="Verdana" w:cs="Arial"/>
          <w:b/>
          <w:lang w:val="el-GR"/>
        </w:rPr>
        <w:t>,</w:t>
      </w:r>
      <w:r w:rsidR="00494FCA" w:rsidRPr="00494FCA">
        <w:rPr>
          <w:rFonts w:ascii="Verdana" w:eastAsia="Malgun Gothic" w:hAnsi="Verdana" w:cs="Arial"/>
          <w:b/>
          <w:lang w:val="el-GR"/>
        </w:rPr>
        <w:t>4</w:t>
      </w:r>
      <w:r w:rsidRPr="006C121C">
        <w:rPr>
          <w:rFonts w:ascii="Verdana" w:eastAsia="Malgun Gothic" w:hAnsi="Verdana" w:cs="Arial"/>
          <w:b/>
          <w:lang w:val="el-GR"/>
        </w:rPr>
        <w:t xml:space="preserve">% στις Εξαγωγές </w:t>
      </w:r>
    </w:p>
    <w:p w14:paraId="269C32D2" w14:textId="0012AF38" w:rsidR="00BF6947" w:rsidRDefault="00BF6947" w:rsidP="00BF6947">
      <w:pPr>
        <w:tabs>
          <w:tab w:val="left" w:pos="709"/>
        </w:tabs>
        <w:jc w:val="both"/>
        <w:rPr>
          <w:rFonts w:ascii="Verdana" w:eastAsia="Times New Roman" w:hAnsi="Verdana"/>
          <w:bCs/>
          <w:w w:val="110"/>
          <w:sz w:val="18"/>
          <w:szCs w:val="18"/>
          <w:lang w:val="el-GR"/>
        </w:rPr>
      </w:pPr>
    </w:p>
    <w:p w14:paraId="67D8995C" w14:textId="77777777" w:rsidR="00BE6DAB" w:rsidRPr="00BF6947" w:rsidRDefault="00BE6DAB" w:rsidP="00BF6947">
      <w:pPr>
        <w:tabs>
          <w:tab w:val="left" w:pos="709"/>
        </w:tabs>
        <w:jc w:val="both"/>
        <w:rPr>
          <w:rFonts w:ascii="Verdana" w:eastAsia="Times New Roman" w:hAnsi="Verdana"/>
          <w:bCs/>
          <w:w w:val="110"/>
          <w:sz w:val="18"/>
          <w:szCs w:val="18"/>
          <w:lang w:val="el-GR"/>
        </w:rPr>
      </w:pPr>
    </w:p>
    <w:p w14:paraId="1ECEBE71" w14:textId="702FDCEC" w:rsidR="0045602C" w:rsidRDefault="002E49EF" w:rsidP="00BF6947">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Ιανουάριος</w:t>
      </w:r>
      <w:r w:rsidR="00BF6947" w:rsidRPr="00BF6947">
        <w:rPr>
          <w:rFonts w:ascii="Verdana" w:eastAsia="Malgun Gothic" w:hAnsi="Verdana" w:cs="Arial"/>
          <w:b/>
          <w:sz w:val="18"/>
          <w:szCs w:val="18"/>
          <w:u w:val="single"/>
          <w:lang w:val="el-GR"/>
        </w:rPr>
        <w:t xml:space="preserve"> 202</w:t>
      </w:r>
      <w:r>
        <w:rPr>
          <w:rFonts w:ascii="Verdana" w:eastAsia="Malgun Gothic" w:hAnsi="Verdana" w:cs="Arial"/>
          <w:b/>
          <w:sz w:val="18"/>
          <w:szCs w:val="18"/>
          <w:u w:val="single"/>
          <w:lang w:val="el-GR"/>
        </w:rPr>
        <w:t>3</w:t>
      </w:r>
      <w:r w:rsidR="00BF6947" w:rsidRPr="00BF6947">
        <w:rPr>
          <w:rFonts w:ascii="Verdana" w:eastAsia="Malgun Gothic" w:hAnsi="Verdana" w:cs="Arial"/>
          <w:b/>
          <w:sz w:val="18"/>
          <w:szCs w:val="18"/>
          <w:u w:val="single"/>
          <w:lang w:val="el-GR"/>
        </w:rPr>
        <w:t>, Προκαταρκτικά Στοιχεία</w:t>
      </w:r>
    </w:p>
    <w:p w14:paraId="5B548692" w14:textId="77777777" w:rsidR="00522D4E" w:rsidRPr="00BF6947" w:rsidRDefault="00522D4E" w:rsidP="00BF6947">
      <w:pPr>
        <w:rPr>
          <w:rFonts w:ascii="Verdana" w:eastAsia="Malgun Gothic" w:hAnsi="Verdana" w:cs="Arial"/>
          <w:b/>
          <w:sz w:val="18"/>
          <w:szCs w:val="18"/>
          <w:u w:val="single"/>
          <w:lang w:val="el-GR"/>
        </w:rPr>
      </w:pPr>
    </w:p>
    <w:p w14:paraId="7AA61508" w14:textId="7668E94B" w:rsidR="00BF6947" w:rsidRPr="006B0009" w:rsidRDefault="00BF6947" w:rsidP="00BF6947">
      <w:pPr>
        <w:jc w:val="both"/>
        <w:rPr>
          <w:rFonts w:ascii="Verdana" w:hAnsi="Verdana"/>
          <w:sz w:val="18"/>
          <w:szCs w:val="18"/>
          <w:shd w:val="clear" w:color="auto" w:fill="FFFFFF"/>
          <w:lang w:val="el-GR"/>
        </w:rPr>
      </w:pPr>
      <w:proofErr w:type="spellStart"/>
      <w:r w:rsidRPr="006B0009">
        <w:rPr>
          <w:rFonts w:ascii="Verdana" w:hAnsi="Verdana"/>
          <w:sz w:val="18"/>
          <w:szCs w:val="18"/>
          <w:shd w:val="clear" w:color="auto" w:fill="FFFFFF"/>
          <w:lang w:val="el-GR"/>
        </w:rPr>
        <w:t>Oι</w:t>
      </w:r>
      <w:proofErr w:type="spellEnd"/>
      <w:r w:rsidRPr="006B0009">
        <w:rPr>
          <w:rFonts w:ascii="Verdana" w:hAnsi="Verdana"/>
          <w:sz w:val="18"/>
          <w:szCs w:val="18"/>
          <w:shd w:val="clear" w:color="auto" w:fill="FFFFFF"/>
          <w:lang w:val="el-GR"/>
        </w:rPr>
        <w:t xml:space="preserve"> συνολικές εισαγωγές αγαθών </w:t>
      </w:r>
      <w:r w:rsidR="00AF423B" w:rsidRPr="006B0009">
        <w:rPr>
          <w:rFonts w:ascii="Verdana" w:hAnsi="Verdana"/>
          <w:sz w:val="18"/>
          <w:szCs w:val="18"/>
          <w:shd w:val="clear" w:color="auto" w:fill="FFFFFF"/>
          <w:lang w:val="el-GR"/>
        </w:rPr>
        <w:t xml:space="preserve">τον </w:t>
      </w:r>
      <w:r w:rsidR="002E49EF">
        <w:rPr>
          <w:rFonts w:ascii="Verdana" w:hAnsi="Verdana"/>
          <w:sz w:val="18"/>
          <w:szCs w:val="18"/>
          <w:shd w:val="clear" w:color="auto" w:fill="FFFFFF"/>
          <w:lang w:val="el-GR"/>
        </w:rPr>
        <w:t>Ιανουάριο</w:t>
      </w:r>
      <w:r w:rsidR="00AF423B"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3</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EB671D" w:rsidRPr="00EB671D">
        <w:rPr>
          <w:rFonts w:ascii="Verdana" w:hAnsi="Verdana"/>
          <w:sz w:val="18"/>
          <w:szCs w:val="18"/>
          <w:shd w:val="clear" w:color="auto" w:fill="FFFFFF"/>
          <w:lang w:val="el-GR"/>
        </w:rPr>
        <w:t>1.707</w:t>
      </w:r>
      <w:r w:rsidRPr="006B0009">
        <w:rPr>
          <w:rFonts w:ascii="Verdana" w:hAnsi="Verdana"/>
          <w:sz w:val="18"/>
          <w:szCs w:val="18"/>
          <w:shd w:val="clear" w:color="auto" w:fill="FFFFFF"/>
          <w:lang w:val="el-GR"/>
        </w:rPr>
        <w:t>,</w:t>
      </w:r>
      <w:r w:rsidR="00EB671D" w:rsidRPr="00EB671D">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σε σύγκριση με €</w:t>
      </w:r>
      <w:r w:rsidR="00EB671D" w:rsidRPr="00EB671D">
        <w:rPr>
          <w:rFonts w:ascii="Verdana" w:hAnsi="Verdana"/>
          <w:sz w:val="18"/>
          <w:szCs w:val="18"/>
          <w:shd w:val="clear" w:color="auto" w:fill="FFFFFF"/>
          <w:lang w:val="el-GR"/>
        </w:rPr>
        <w:t>751</w:t>
      </w:r>
      <w:r w:rsidRPr="006B0009">
        <w:rPr>
          <w:rFonts w:ascii="Verdana" w:hAnsi="Verdana"/>
          <w:sz w:val="18"/>
          <w:szCs w:val="18"/>
          <w:shd w:val="clear" w:color="auto" w:fill="FFFFFF"/>
          <w:lang w:val="el-GR"/>
        </w:rPr>
        <w:t>,</w:t>
      </w:r>
      <w:r w:rsidR="00EB671D" w:rsidRPr="00EB671D">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εκ.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καταγράφοντας αύξηση </w:t>
      </w:r>
      <w:r w:rsidR="00D77799" w:rsidRPr="00D77799">
        <w:rPr>
          <w:rFonts w:ascii="Verdana" w:hAnsi="Verdana"/>
          <w:sz w:val="18"/>
          <w:szCs w:val="18"/>
          <w:shd w:val="clear" w:color="auto" w:fill="FFFFFF"/>
          <w:lang w:val="el-GR"/>
        </w:rPr>
        <w:t>1</w:t>
      </w:r>
      <w:r w:rsidR="00EB671D" w:rsidRPr="00EB671D">
        <w:rPr>
          <w:rFonts w:ascii="Verdana" w:hAnsi="Verdana"/>
          <w:sz w:val="18"/>
          <w:szCs w:val="18"/>
          <w:shd w:val="clear" w:color="auto" w:fill="FFFFFF"/>
          <w:lang w:val="el-GR"/>
        </w:rPr>
        <w:t>27</w:t>
      </w:r>
      <w:r w:rsidRPr="006B0009">
        <w:rPr>
          <w:rFonts w:ascii="Verdana" w:hAnsi="Verdana"/>
          <w:sz w:val="18"/>
          <w:szCs w:val="18"/>
          <w:shd w:val="clear" w:color="auto" w:fill="FFFFFF"/>
          <w:lang w:val="el-GR"/>
        </w:rPr>
        <w:t>,</w:t>
      </w:r>
      <w:r w:rsidR="00EB671D" w:rsidRPr="00EB671D">
        <w:rPr>
          <w:rFonts w:ascii="Verdana" w:hAnsi="Verdana"/>
          <w:sz w:val="18"/>
          <w:szCs w:val="18"/>
          <w:shd w:val="clear" w:color="auto" w:fill="FFFFFF"/>
          <w:lang w:val="el-GR"/>
        </w:rPr>
        <w:t>4</w:t>
      </w:r>
      <w:r w:rsidRPr="006B0009">
        <w:rPr>
          <w:rFonts w:ascii="Verdana" w:hAnsi="Verdana"/>
          <w:sz w:val="18"/>
          <w:szCs w:val="18"/>
          <w:shd w:val="clear" w:color="auto" w:fill="FFFFFF"/>
          <w:lang w:val="el-GR"/>
        </w:rPr>
        <w:t>%. Οι εισαγωγές από άλλα Κράτη Μέλη της ΕΕ</w:t>
      </w:r>
      <w:r w:rsidR="00AF423B" w:rsidRPr="006B0009">
        <w:rPr>
          <w:rFonts w:ascii="Verdana" w:hAnsi="Verdana"/>
          <w:sz w:val="18"/>
          <w:szCs w:val="18"/>
          <w:shd w:val="clear" w:color="auto" w:fill="FFFFFF"/>
          <w:lang w:val="el-GR"/>
        </w:rPr>
        <w:t xml:space="preserve"> </w:t>
      </w:r>
      <w:r w:rsidRPr="006B0009">
        <w:rPr>
          <w:rFonts w:ascii="Verdana" w:hAnsi="Verdana"/>
          <w:sz w:val="18"/>
          <w:szCs w:val="18"/>
          <w:shd w:val="clear" w:color="auto" w:fill="FFFFFF"/>
          <w:lang w:val="el-GR"/>
        </w:rPr>
        <w:t>ήταν €</w:t>
      </w:r>
      <w:r w:rsidR="00EB671D" w:rsidRPr="00EB671D">
        <w:rPr>
          <w:rFonts w:ascii="Verdana" w:hAnsi="Verdana"/>
          <w:sz w:val="18"/>
          <w:szCs w:val="18"/>
          <w:shd w:val="clear" w:color="auto" w:fill="FFFFFF"/>
          <w:lang w:val="el-GR"/>
        </w:rPr>
        <w:t>501</w:t>
      </w:r>
      <w:r w:rsidRPr="006B0009">
        <w:rPr>
          <w:rFonts w:ascii="Verdana" w:hAnsi="Verdana"/>
          <w:sz w:val="18"/>
          <w:szCs w:val="18"/>
          <w:shd w:val="clear" w:color="auto" w:fill="FFFFFF"/>
          <w:lang w:val="el-GR"/>
        </w:rPr>
        <w:t>,</w:t>
      </w:r>
      <w:r w:rsidR="00EB671D" w:rsidRPr="00EB671D">
        <w:rPr>
          <w:rFonts w:ascii="Verdana" w:hAnsi="Verdana"/>
          <w:sz w:val="18"/>
          <w:szCs w:val="18"/>
          <w:shd w:val="clear" w:color="auto" w:fill="FFFFFF"/>
          <w:lang w:val="el-GR"/>
        </w:rPr>
        <w:t>5</w:t>
      </w:r>
      <w:r w:rsidRPr="006B0009">
        <w:rPr>
          <w:rFonts w:ascii="Verdana" w:hAnsi="Verdana"/>
          <w:sz w:val="18"/>
          <w:szCs w:val="18"/>
          <w:shd w:val="clear" w:color="auto" w:fill="FFFFFF"/>
          <w:lang w:val="el-GR"/>
        </w:rPr>
        <w:t xml:space="preserve"> εκ. και από τρίτες χώρες €</w:t>
      </w:r>
      <w:r w:rsidR="00EB671D" w:rsidRPr="00EB671D">
        <w:rPr>
          <w:rFonts w:ascii="Verdana" w:hAnsi="Verdana"/>
          <w:sz w:val="18"/>
          <w:szCs w:val="18"/>
          <w:shd w:val="clear" w:color="auto" w:fill="FFFFFF"/>
          <w:lang w:val="el-GR"/>
        </w:rPr>
        <w:t>1.206</w:t>
      </w:r>
      <w:r w:rsidRPr="006B0009">
        <w:rPr>
          <w:rFonts w:ascii="Verdana" w:hAnsi="Verdana"/>
          <w:sz w:val="18"/>
          <w:szCs w:val="18"/>
          <w:shd w:val="clear" w:color="auto" w:fill="FFFFFF"/>
          <w:lang w:val="el-GR"/>
        </w:rPr>
        <w:t>,</w:t>
      </w:r>
      <w:r w:rsidR="00EB671D" w:rsidRPr="00EB671D">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σε σύγκριση με €</w:t>
      </w:r>
      <w:r w:rsidR="00AE7ACA" w:rsidRPr="00AE7ACA">
        <w:rPr>
          <w:rFonts w:ascii="Verdana" w:hAnsi="Verdana"/>
          <w:sz w:val="18"/>
          <w:szCs w:val="18"/>
          <w:shd w:val="clear" w:color="auto" w:fill="FFFFFF"/>
          <w:lang w:val="el-GR"/>
        </w:rPr>
        <w:t>525</w:t>
      </w:r>
      <w:r w:rsidRPr="006B0009">
        <w:rPr>
          <w:rFonts w:ascii="Verdana" w:hAnsi="Verdana"/>
          <w:sz w:val="18"/>
          <w:szCs w:val="18"/>
          <w:shd w:val="clear" w:color="auto" w:fill="FFFFFF"/>
          <w:lang w:val="el-GR"/>
        </w:rPr>
        <w:t>,</w:t>
      </w:r>
      <w:r w:rsidR="00AE7ACA" w:rsidRPr="00AE7ACA">
        <w:rPr>
          <w:rFonts w:ascii="Verdana" w:hAnsi="Verdana"/>
          <w:sz w:val="18"/>
          <w:szCs w:val="18"/>
          <w:shd w:val="clear" w:color="auto" w:fill="FFFFFF"/>
          <w:lang w:val="el-GR"/>
        </w:rPr>
        <w:t>8</w:t>
      </w:r>
      <w:r w:rsidRPr="006B0009">
        <w:rPr>
          <w:rFonts w:ascii="Verdana" w:hAnsi="Verdana"/>
          <w:sz w:val="18"/>
          <w:szCs w:val="18"/>
          <w:shd w:val="clear" w:color="auto" w:fill="FFFFFF"/>
          <w:lang w:val="el-GR"/>
        </w:rPr>
        <w:t xml:space="preserve"> εκ. και €</w:t>
      </w:r>
      <w:r w:rsidR="00AE7ACA" w:rsidRPr="00AE7ACA">
        <w:rPr>
          <w:rFonts w:ascii="Verdana" w:hAnsi="Verdana"/>
          <w:sz w:val="18"/>
          <w:szCs w:val="18"/>
          <w:shd w:val="clear" w:color="auto" w:fill="FFFFFF"/>
          <w:lang w:val="el-GR"/>
        </w:rPr>
        <w:t>225</w:t>
      </w:r>
      <w:r w:rsidRPr="006B0009">
        <w:rPr>
          <w:rFonts w:ascii="Verdana" w:hAnsi="Verdana"/>
          <w:sz w:val="18"/>
          <w:szCs w:val="18"/>
          <w:shd w:val="clear" w:color="auto" w:fill="FFFFFF"/>
          <w:lang w:val="el-GR"/>
        </w:rPr>
        <w:t>,</w:t>
      </w:r>
      <w:r w:rsidR="00AE7ACA" w:rsidRPr="00AE7ACA">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αντίστοιχα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Οι εισαγωγές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(πλοία), συνολικής αξίας €</w:t>
      </w:r>
      <w:r w:rsidR="00AE7ACA" w:rsidRPr="00AE7ACA">
        <w:rPr>
          <w:rFonts w:ascii="Verdana" w:hAnsi="Verdana"/>
          <w:sz w:val="18"/>
          <w:szCs w:val="18"/>
          <w:shd w:val="clear" w:color="auto" w:fill="FFFFFF"/>
          <w:lang w:val="el-GR"/>
        </w:rPr>
        <w:t>926</w:t>
      </w:r>
      <w:r w:rsidRPr="006B0009">
        <w:rPr>
          <w:rFonts w:ascii="Verdana" w:hAnsi="Verdana"/>
          <w:sz w:val="18"/>
          <w:szCs w:val="18"/>
          <w:shd w:val="clear" w:color="auto" w:fill="FFFFFF"/>
          <w:lang w:val="el-GR"/>
        </w:rPr>
        <w:t>,</w:t>
      </w:r>
      <w:r w:rsidR="00AE7ACA" w:rsidRPr="00AE7ACA">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έναντι €</w:t>
      </w:r>
      <w:r w:rsidR="00AE7ACA" w:rsidRPr="00AE7ACA">
        <w:rPr>
          <w:rFonts w:ascii="Verdana" w:hAnsi="Verdana"/>
          <w:sz w:val="18"/>
          <w:szCs w:val="18"/>
          <w:shd w:val="clear" w:color="auto" w:fill="FFFFFF"/>
          <w:lang w:val="el-GR"/>
        </w:rPr>
        <w:t>73</w:t>
      </w:r>
      <w:r w:rsidRPr="006B0009">
        <w:rPr>
          <w:rFonts w:ascii="Verdana" w:hAnsi="Verdana"/>
          <w:sz w:val="18"/>
          <w:szCs w:val="18"/>
          <w:shd w:val="clear" w:color="auto" w:fill="FFFFFF"/>
          <w:lang w:val="el-GR"/>
        </w:rPr>
        <w:t>,</w:t>
      </w:r>
      <w:r w:rsidR="00AE7ACA" w:rsidRPr="00AE7ACA">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p>
    <w:p w14:paraId="5081D562" w14:textId="77777777" w:rsidR="00BF6947" w:rsidRPr="006B0009" w:rsidRDefault="00BF6947" w:rsidP="00BF6947">
      <w:pPr>
        <w:ind w:left="539" w:hanging="539"/>
        <w:jc w:val="both"/>
        <w:rPr>
          <w:rFonts w:ascii="Verdana" w:hAnsi="Verdana"/>
          <w:sz w:val="18"/>
          <w:szCs w:val="18"/>
          <w:shd w:val="clear" w:color="auto" w:fill="FFFFFF"/>
          <w:lang w:val="el-GR"/>
        </w:rPr>
      </w:pPr>
    </w:p>
    <w:p w14:paraId="1FE3E5A6" w14:textId="18FEF509" w:rsidR="00BF6947" w:rsidRPr="006B0009" w:rsidRDefault="00BF6947" w:rsidP="00BF6947">
      <w:pPr>
        <w:jc w:val="both"/>
        <w:rPr>
          <w:rFonts w:ascii="Verdana" w:hAnsi="Verdana"/>
          <w:sz w:val="18"/>
          <w:szCs w:val="18"/>
          <w:shd w:val="clear" w:color="auto" w:fill="FFFFFF"/>
          <w:lang w:val="el-GR"/>
        </w:rPr>
      </w:pPr>
      <w:r w:rsidRPr="006B0009">
        <w:rPr>
          <w:rFonts w:ascii="Verdana" w:hAnsi="Verdana"/>
          <w:sz w:val="18"/>
          <w:szCs w:val="18"/>
          <w:shd w:val="clear" w:color="auto" w:fill="FFFFFF"/>
          <w:lang w:val="el-GR"/>
        </w:rPr>
        <w:t xml:space="preserve">Οι συνολικές εξαγωγές αγαθών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ήταν €</w:t>
      </w:r>
      <w:r w:rsidR="00E62961" w:rsidRPr="00E62961">
        <w:rPr>
          <w:rFonts w:ascii="Verdana" w:hAnsi="Verdana"/>
          <w:sz w:val="18"/>
          <w:szCs w:val="18"/>
          <w:shd w:val="clear" w:color="auto" w:fill="FFFFFF"/>
          <w:lang w:val="el-GR"/>
        </w:rPr>
        <w:t>3</w:t>
      </w:r>
      <w:r w:rsidR="00CD6E1D" w:rsidRPr="00CD6E1D">
        <w:rPr>
          <w:rFonts w:ascii="Verdana" w:hAnsi="Verdana"/>
          <w:sz w:val="18"/>
          <w:szCs w:val="18"/>
          <w:shd w:val="clear" w:color="auto" w:fill="FFFFFF"/>
          <w:lang w:val="el-GR"/>
        </w:rPr>
        <w:t>1</w:t>
      </w:r>
      <w:r w:rsidR="00E62961" w:rsidRPr="00E62961">
        <w:rPr>
          <w:rFonts w:ascii="Verdana" w:hAnsi="Verdana"/>
          <w:sz w:val="18"/>
          <w:szCs w:val="18"/>
          <w:shd w:val="clear" w:color="auto" w:fill="FFFFFF"/>
          <w:lang w:val="el-GR"/>
        </w:rPr>
        <w:t>4</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σε σύγκριση με €</w:t>
      </w:r>
      <w:r w:rsidR="00E62961" w:rsidRPr="00E62961">
        <w:rPr>
          <w:rFonts w:ascii="Verdana" w:hAnsi="Verdana"/>
          <w:sz w:val="18"/>
          <w:szCs w:val="18"/>
          <w:shd w:val="clear" w:color="auto" w:fill="FFFFFF"/>
          <w:lang w:val="el-GR"/>
        </w:rPr>
        <w:t>222</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4</w:t>
      </w:r>
      <w:r w:rsidRPr="006B0009">
        <w:rPr>
          <w:rFonts w:ascii="Verdana" w:hAnsi="Verdana"/>
          <w:sz w:val="18"/>
          <w:szCs w:val="18"/>
          <w:shd w:val="clear" w:color="auto" w:fill="FFFFFF"/>
          <w:lang w:val="el-GR"/>
        </w:rPr>
        <w:t xml:space="preserve"> εκ.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σημειώνοντας </w:t>
      </w:r>
      <w:r w:rsidR="00D971CE">
        <w:rPr>
          <w:rFonts w:ascii="Verdana" w:hAnsi="Verdana"/>
          <w:sz w:val="18"/>
          <w:szCs w:val="18"/>
          <w:shd w:val="clear" w:color="auto" w:fill="FFFFFF"/>
          <w:lang w:val="el-GR"/>
        </w:rPr>
        <w:t>αύξηση</w:t>
      </w:r>
      <w:r w:rsidRPr="006B0009">
        <w:rPr>
          <w:rFonts w:ascii="Verdana" w:hAnsi="Verdana"/>
          <w:sz w:val="18"/>
          <w:szCs w:val="18"/>
          <w:shd w:val="clear" w:color="auto" w:fill="FFFFFF"/>
          <w:lang w:val="el-GR"/>
        </w:rPr>
        <w:t xml:space="preserve"> </w:t>
      </w:r>
      <w:r w:rsidR="00E62961" w:rsidRPr="00E62961">
        <w:rPr>
          <w:rFonts w:ascii="Verdana" w:hAnsi="Verdana"/>
          <w:sz w:val="18"/>
          <w:szCs w:val="18"/>
          <w:shd w:val="clear" w:color="auto" w:fill="FFFFFF"/>
          <w:lang w:val="el-GR"/>
        </w:rPr>
        <w:t>41</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4</w:t>
      </w:r>
      <w:r w:rsidRPr="006B0009">
        <w:rPr>
          <w:rFonts w:ascii="Verdana" w:hAnsi="Verdana"/>
          <w:sz w:val="18"/>
          <w:szCs w:val="18"/>
          <w:shd w:val="clear" w:color="auto" w:fill="FFFFFF"/>
          <w:lang w:val="el-GR"/>
        </w:rPr>
        <w:t>%. Οι εξαγωγές προς άλλα Κράτη Μέλη της ΕΕ ήταν €</w:t>
      </w:r>
      <w:r w:rsidR="00E62961" w:rsidRPr="00E62961">
        <w:rPr>
          <w:rFonts w:ascii="Verdana" w:hAnsi="Verdana"/>
          <w:sz w:val="18"/>
          <w:szCs w:val="18"/>
          <w:shd w:val="clear" w:color="auto" w:fill="FFFFFF"/>
          <w:lang w:val="el-GR"/>
        </w:rPr>
        <w:t>68</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1</w:t>
      </w:r>
      <w:r w:rsidRPr="006B0009">
        <w:rPr>
          <w:rFonts w:ascii="Verdana" w:hAnsi="Verdana"/>
          <w:sz w:val="18"/>
          <w:szCs w:val="18"/>
          <w:shd w:val="clear" w:color="auto" w:fill="FFFFFF"/>
          <w:lang w:val="el-GR"/>
        </w:rPr>
        <w:t xml:space="preserve"> εκ. και προς τρίτες χώρες €</w:t>
      </w:r>
      <w:r w:rsidR="00E62961" w:rsidRPr="00E62961">
        <w:rPr>
          <w:rFonts w:ascii="Verdana" w:hAnsi="Verdana"/>
          <w:sz w:val="18"/>
          <w:szCs w:val="18"/>
          <w:shd w:val="clear" w:color="auto" w:fill="FFFFFF"/>
          <w:lang w:val="el-GR"/>
        </w:rPr>
        <w:t>246</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εκ., σε σύγκριση με €</w:t>
      </w:r>
      <w:r w:rsidR="00E62961" w:rsidRPr="00E62961">
        <w:rPr>
          <w:rFonts w:ascii="Verdana" w:hAnsi="Verdana"/>
          <w:sz w:val="18"/>
          <w:szCs w:val="18"/>
          <w:shd w:val="clear" w:color="auto" w:fill="FFFFFF"/>
          <w:lang w:val="el-GR"/>
        </w:rPr>
        <w:t>70</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και €</w:t>
      </w:r>
      <w:r w:rsidR="00E62961" w:rsidRPr="00E62961">
        <w:rPr>
          <w:rFonts w:ascii="Verdana" w:hAnsi="Verdana"/>
          <w:sz w:val="18"/>
          <w:szCs w:val="18"/>
          <w:shd w:val="clear" w:color="auto" w:fill="FFFFFF"/>
          <w:lang w:val="el-GR"/>
        </w:rPr>
        <w:t>151</w:t>
      </w:r>
      <w:r w:rsidRPr="006B0009">
        <w:rPr>
          <w:rFonts w:ascii="Verdana" w:hAnsi="Verdana"/>
          <w:sz w:val="18"/>
          <w:szCs w:val="18"/>
          <w:shd w:val="clear" w:color="auto" w:fill="FFFFFF"/>
          <w:lang w:val="el-GR"/>
        </w:rPr>
        <w:t>,</w:t>
      </w:r>
      <w:r w:rsidR="00E62961" w:rsidRPr="00E62961">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αντίστοιχα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2</w:t>
      </w:r>
      <w:r w:rsidRPr="006B0009">
        <w:rPr>
          <w:rFonts w:ascii="Verdana" w:hAnsi="Verdana"/>
          <w:sz w:val="18"/>
          <w:szCs w:val="18"/>
          <w:shd w:val="clear" w:color="auto" w:fill="FFFFFF"/>
          <w:lang w:val="el-GR"/>
        </w:rPr>
        <w:t xml:space="preserve">. Οι εξαγωγές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3</w:t>
      </w:r>
      <w:r w:rsidRPr="006B0009">
        <w:rPr>
          <w:rFonts w:ascii="Verdana" w:hAnsi="Verdana"/>
          <w:sz w:val="18"/>
          <w:szCs w:val="18"/>
          <w:shd w:val="clear" w:color="auto" w:fill="FFFFFF"/>
          <w:lang w:val="el-GR"/>
        </w:rPr>
        <w:t xml:space="preserve"> περιλαμβάνουν τη μεταφορά οικονομικής ιδιοκτησίας κινητού εξοπλισμού μεταφορών (πλοία), συνολικής αξίας €</w:t>
      </w:r>
      <w:r w:rsidR="00911FB2" w:rsidRPr="00911FB2">
        <w:rPr>
          <w:rFonts w:ascii="Verdana" w:hAnsi="Verdana"/>
          <w:sz w:val="18"/>
          <w:szCs w:val="18"/>
          <w:shd w:val="clear" w:color="auto" w:fill="FFFFFF"/>
          <w:lang w:val="el-GR"/>
        </w:rPr>
        <w:t>106</w:t>
      </w:r>
      <w:r w:rsidRPr="006B0009">
        <w:rPr>
          <w:rFonts w:ascii="Verdana" w:hAnsi="Verdana"/>
          <w:sz w:val="18"/>
          <w:szCs w:val="18"/>
          <w:shd w:val="clear" w:color="auto" w:fill="FFFFFF"/>
          <w:lang w:val="el-GR"/>
        </w:rPr>
        <w:t>,</w:t>
      </w:r>
      <w:r w:rsidR="00911FB2" w:rsidRPr="00911FB2">
        <w:rPr>
          <w:rFonts w:ascii="Verdana" w:hAnsi="Verdana"/>
          <w:sz w:val="18"/>
          <w:szCs w:val="18"/>
          <w:shd w:val="clear" w:color="auto" w:fill="FFFFFF"/>
          <w:lang w:val="el-GR"/>
        </w:rPr>
        <w:t>9</w:t>
      </w:r>
      <w:r w:rsidRPr="006B0009">
        <w:rPr>
          <w:rFonts w:ascii="Verdana" w:hAnsi="Verdana"/>
          <w:sz w:val="18"/>
          <w:szCs w:val="18"/>
          <w:shd w:val="clear" w:color="auto" w:fill="FFFFFF"/>
          <w:lang w:val="el-GR"/>
        </w:rPr>
        <w:t xml:space="preserve"> εκ. έναντι €</w:t>
      </w:r>
      <w:r w:rsidR="00911FB2" w:rsidRPr="00911FB2">
        <w:rPr>
          <w:rFonts w:ascii="Verdana" w:hAnsi="Verdana"/>
          <w:sz w:val="18"/>
          <w:szCs w:val="18"/>
          <w:shd w:val="clear" w:color="auto" w:fill="FFFFFF"/>
          <w:lang w:val="el-GR"/>
        </w:rPr>
        <w:t>63</w:t>
      </w:r>
      <w:r w:rsidRPr="006B0009">
        <w:rPr>
          <w:rFonts w:ascii="Verdana" w:hAnsi="Verdana"/>
          <w:sz w:val="18"/>
          <w:szCs w:val="18"/>
          <w:shd w:val="clear" w:color="auto" w:fill="FFFFFF"/>
          <w:lang w:val="el-GR"/>
        </w:rPr>
        <w:t>,</w:t>
      </w:r>
      <w:r w:rsidR="00911FB2" w:rsidRPr="00911FB2">
        <w:rPr>
          <w:rFonts w:ascii="Verdana" w:hAnsi="Verdana"/>
          <w:sz w:val="18"/>
          <w:szCs w:val="18"/>
          <w:shd w:val="clear" w:color="auto" w:fill="FFFFFF"/>
          <w:lang w:val="el-GR"/>
        </w:rPr>
        <w:t>7</w:t>
      </w:r>
      <w:r w:rsidRPr="006B0009">
        <w:rPr>
          <w:rFonts w:ascii="Verdana" w:hAnsi="Verdana"/>
          <w:sz w:val="18"/>
          <w:szCs w:val="18"/>
          <w:shd w:val="clear" w:color="auto" w:fill="FFFFFF"/>
          <w:lang w:val="el-GR"/>
        </w:rPr>
        <w:t xml:space="preserve"> εκ. τον </w:t>
      </w:r>
      <w:r w:rsidR="002E49EF">
        <w:rPr>
          <w:rFonts w:ascii="Verdana" w:hAnsi="Verdana"/>
          <w:sz w:val="18"/>
          <w:szCs w:val="18"/>
          <w:shd w:val="clear" w:color="auto" w:fill="FFFFFF"/>
          <w:lang w:val="el-GR"/>
        </w:rPr>
        <w:t>Ιανουάριο</w:t>
      </w:r>
      <w:r w:rsidRPr="006B0009">
        <w:rPr>
          <w:rFonts w:ascii="Verdana" w:hAnsi="Verdana"/>
          <w:sz w:val="18"/>
          <w:szCs w:val="18"/>
          <w:shd w:val="clear" w:color="auto" w:fill="FFFFFF"/>
          <w:lang w:val="el-GR"/>
        </w:rPr>
        <w:t xml:space="preserve"> 202</w:t>
      </w:r>
      <w:r w:rsidR="002E49EF">
        <w:rPr>
          <w:rFonts w:ascii="Verdana" w:hAnsi="Verdana"/>
          <w:sz w:val="18"/>
          <w:szCs w:val="18"/>
          <w:shd w:val="clear" w:color="auto" w:fill="FFFFFF"/>
          <w:lang w:val="el-GR"/>
        </w:rPr>
        <w:t>2</w:t>
      </w:r>
      <w:r w:rsidRPr="006B0009">
        <w:rPr>
          <w:rFonts w:ascii="Verdana" w:hAnsi="Verdana"/>
          <w:sz w:val="18"/>
          <w:szCs w:val="18"/>
          <w:shd w:val="clear" w:color="auto" w:fill="FFFFFF"/>
          <w:lang w:val="el-GR"/>
        </w:rPr>
        <w:t>.</w:t>
      </w:r>
    </w:p>
    <w:p w14:paraId="04EDCB01" w14:textId="77777777" w:rsidR="00BF6947" w:rsidRPr="006B0009" w:rsidRDefault="00BF6947" w:rsidP="00BF6947">
      <w:pPr>
        <w:jc w:val="both"/>
        <w:rPr>
          <w:rFonts w:ascii="Verdana" w:hAnsi="Verdana"/>
          <w:sz w:val="18"/>
          <w:szCs w:val="18"/>
          <w:shd w:val="clear" w:color="auto" w:fill="FFFFFF"/>
          <w:lang w:val="el-GR"/>
        </w:rPr>
      </w:pPr>
    </w:p>
    <w:p w14:paraId="5731227B" w14:textId="77777777" w:rsidR="006B0009" w:rsidRPr="006B0009" w:rsidRDefault="006B0009" w:rsidP="00BF6947">
      <w:pPr>
        <w:jc w:val="both"/>
        <w:rPr>
          <w:rFonts w:ascii="Verdana" w:hAnsi="Verdana"/>
          <w:sz w:val="18"/>
          <w:szCs w:val="18"/>
          <w:shd w:val="clear" w:color="auto" w:fill="FFFFFF"/>
          <w:lang w:val="el-GR"/>
        </w:rPr>
      </w:pPr>
    </w:p>
    <w:p w14:paraId="555B3283" w14:textId="636811F0" w:rsidR="007437AB" w:rsidRDefault="007437AB" w:rsidP="000E4CB0">
      <w:pPr>
        <w:jc w:val="both"/>
        <w:rPr>
          <w:rFonts w:ascii="Verdana" w:hAnsi="Verdana" w:cs="Arial"/>
          <w:sz w:val="18"/>
          <w:szCs w:val="18"/>
          <w:lang w:val="el-GR"/>
        </w:rPr>
      </w:pPr>
    </w:p>
    <w:p w14:paraId="11014ED5" w14:textId="41533D9B" w:rsidR="00EC2E65" w:rsidRPr="003C2094" w:rsidRDefault="003C2094" w:rsidP="00EC2E65">
      <w:pPr>
        <w:jc w:val="center"/>
        <w:rPr>
          <w:rFonts w:ascii="Verdana" w:hAnsi="Verdana" w:cs="Arial"/>
          <w:sz w:val="18"/>
          <w:szCs w:val="18"/>
          <w:lang w:val="el-GR"/>
        </w:rPr>
      </w:pPr>
      <w:r>
        <w:rPr>
          <w:noProof/>
        </w:rPr>
        <w:drawing>
          <wp:inline distT="0" distB="0" distL="0" distR="0" wp14:anchorId="316F488A" wp14:editId="078C4226">
            <wp:extent cx="6067425" cy="3498574"/>
            <wp:effectExtent l="0" t="0" r="9525" b="6985"/>
            <wp:docPr id="7" name="Chart 7">
              <a:extLst xmlns:a="http://schemas.openxmlformats.org/drawingml/2006/main">
                <a:ext uri="{FF2B5EF4-FFF2-40B4-BE49-F238E27FC236}">
                  <a16:creationId xmlns:a16="http://schemas.microsoft.com/office/drawing/2014/main" id="{BAA49377-BECD-77B7-E64B-1002C51396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6A4EAE" w14:textId="7DF55750" w:rsidR="001712CF" w:rsidRDefault="001712CF" w:rsidP="000E4CB0">
      <w:pPr>
        <w:jc w:val="both"/>
        <w:rPr>
          <w:rFonts w:ascii="Verdana" w:hAnsi="Verdana" w:cs="Arial"/>
          <w:sz w:val="18"/>
          <w:szCs w:val="18"/>
          <w:lang w:val="el-GR"/>
        </w:rPr>
      </w:pPr>
    </w:p>
    <w:p w14:paraId="48239D82" w14:textId="77777777" w:rsidR="006B0009" w:rsidRDefault="006B0009" w:rsidP="000E4CB0">
      <w:pPr>
        <w:jc w:val="both"/>
        <w:rPr>
          <w:rFonts w:ascii="Verdana" w:hAnsi="Verdana" w:cs="Arial"/>
          <w:sz w:val="18"/>
          <w:szCs w:val="18"/>
          <w:lang w:val="el-GR"/>
        </w:rPr>
      </w:pPr>
    </w:p>
    <w:p w14:paraId="36E36DFA" w14:textId="3241FD25" w:rsidR="00FA1F31" w:rsidRPr="00BE6DAB" w:rsidRDefault="00FA1F31" w:rsidP="000E4CB0">
      <w:pPr>
        <w:jc w:val="both"/>
        <w:rPr>
          <w:rFonts w:ascii="Verdana" w:hAnsi="Verdana" w:cs="Arial"/>
          <w:sz w:val="18"/>
          <w:szCs w:val="18"/>
        </w:rPr>
      </w:pPr>
    </w:p>
    <w:p w14:paraId="44FE0518" w14:textId="77777777" w:rsidR="00FA1F31" w:rsidRPr="003C2094" w:rsidRDefault="00FA1F31" w:rsidP="000E4CB0">
      <w:pPr>
        <w:jc w:val="both"/>
        <w:rPr>
          <w:rFonts w:ascii="Verdana" w:hAnsi="Verdana" w:cs="Arial"/>
          <w:sz w:val="18"/>
          <w:szCs w:val="18"/>
          <w:lang w:val="el-GR"/>
        </w:rPr>
      </w:pPr>
    </w:p>
    <w:p w14:paraId="7557FF82" w14:textId="3CF5A2DD" w:rsidR="0045602C" w:rsidRDefault="00D03211" w:rsidP="00EC2E65">
      <w:pPr>
        <w:rPr>
          <w:rFonts w:ascii="Verdana" w:eastAsia="Malgun Gothic" w:hAnsi="Verdana" w:cs="Arial"/>
          <w:b/>
          <w:sz w:val="18"/>
          <w:szCs w:val="18"/>
          <w:u w:val="single"/>
          <w:lang w:val="el-GR"/>
        </w:rPr>
      </w:pPr>
      <w:r>
        <w:rPr>
          <w:rFonts w:ascii="Verdana" w:eastAsia="Malgun Gothic" w:hAnsi="Verdana" w:cs="Arial"/>
          <w:b/>
          <w:sz w:val="18"/>
          <w:szCs w:val="18"/>
          <w:u w:val="single"/>
          <w:lang w:val="el-GR"/>
        </w:rPr>
        <w:t>Δεκέμβριος</w:t>
      </w:r>
      <w:r w:rsidR="00EC2E65" w:rsidRPr="00AC6AE4">
        <w:rPr>
          <w:rFonts w:ascii="Verdana" w:eastAsia="Malgun Gothic" w:hAnsi="Verdana" w:cs="Arial"/>
          <w:b/>
          <w:sz w:val="18"/>
          <w:szCs w:val="18"/>
          <w:u w:val="single"/>
          <w:lang w:val="el-GR"/>
        </w:rPr>
        <w:t xml:space="preserve"> 2022, Τελικά Στοιχεία</w:t>
      </w:r>
    </w:p>
    <w:p w14:paraId="49A58465" w14:textId="77777777" w:rsidR="00AF423B" w:rsidRPr="00AC6AE4" w:rsidRDefault="00AF423B" w:rsidP="00EC2E65">
      <w:pPr>
        <w:rPr>
          <w:rFonts w:ascii="Verdana" w:eastAsia="Malgun Gothic" w:hAnsi="Verdana" w:cs="Arial"/>
          <w:b/>
          <w:sz w:val="18"/>
          <w:szCs w:val="18"/>
          <w:u w:val="single"/>
          <w:lang w:val="el-GR"/>
        </w:rPr>
      </w:pPr>
    </w:p>
    <w:p w14:paraId="284B43D6" w14:textId="29C2069D"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Οι συνολικές εισαγωγές αγαθών ήταν €</w:t>
      </w:r>
      <w:r w:rsidR="0001703B" w:rsidRPr="0001703B">
        <w:rPr>
          <w:rFonts w:ascii="Verdana" w:hAnsi="Verdana"/>
          <w:sz w:val="18"/>
          <w:szCs w:val="18"/>
          <w:lang w:val="el-GR"/>
        </w:rPr>
        <w:t>808,5</w:t>
      </w:r>
      <w:r w:rsidRPr="006B0009">
        <w:rPr>
          <w:rFonts w:ascii="Verdana" w:hAnsi="Verdana"/>
          <w:sz w:val="18"/>
          <w:szCs w:val="18"/>
          <w:lang w:val="el-GR"/>
        </w:rPr>
        <w:t xml:space="preserve"> εκ. τον </w:t>
      </w:r>
      <w:r w:rsidR="00D03211">
        <w:rPr>
          <w:rFonts w:ascii="Verdana" w:hAnsi="Verdana"/>
          <w:sz w:val="18"/>
          <w:szCs w:val="18"/>
          <w:lang w:val="el-GR"/>
        </w:rPr>
        <w:t>Δεκέμβριο</w:t>
      </w:r>
      <w:r w:rsidRPr="006B0009">
        <w:rPr>
          <w:rFonts w:ascii="Verdana" w:hAnsi="Verdana"/>
          <w:sz w:val="18"/>
          <w:szCs w:val="18"/>
          <w:lang w:val="el-GR"/>
        </w:rPr>
        <w:t xml:space="preserve"> 2022 σε σύγκριση με €</w:t>
      </w:r>
      <w:r w:rsidR="0001703B" w:rsidRPr="0001703B">
        <w:rPr>
          <w:rFonts w:ascii="Verdana" w:hAnsi="Verdana"/>
          <w:sz w:val="18"/>
          <w:szCs w:val="18"/>
          <w:lang w:val="el-GR"/>
        </w:rPr>
        <w:t>723,6</w:t>
      </w:r>
      <w:r w:rsidR="0038314C" w:rsidRPr="0038314C">
        <w:rPr>
          <w:rFonts w:ascii="Verdana" w:hAnsi="Verdana"/>
          <w:sz w:val="18"/>
          <w:szCs w:val="18"/>
          <w:lang w:val="el-GR"/>
        </w:rPr>
        <w:t xml:space="preserve"> </w:t>
      </w:r>
      <w:r w:rsidRPr="006B0009">
        <w:rPr>
          <w:rFonts w:ascii="Verdana" w:hAnsi="Verdana"/>
          <w:sz w:val="18"/>
          <w:szCs w:val="18"/>
          <w:lang w:val="el-GR"/>
        </w:rPr>
        <w:t xml:space="preserve">εκ. τον </w:t>
      </w:r>
      <w:r w:rsidR="00D03211">
        <w:rPr>
          <w:rFonts w:ascii="Verdana" w:hAnsi="Verdana"/>
          <w:sz w:val="18"/>
          <w:szCs w:val="18"/>
          <w:lang w:val="el-GR"/>
        </w:rPr>
        <w:t>Δεκέμβριο</w:t>
      </w:r>
      <w:r w:rsidRPr="006B0009">
        <w:rPr>
          <w:rFonts w:ascii="Verdana" w:hAnsi="Verdana"/>
          <w:sz w:val="18"/>
          <w:szCs w:val="18"/>
          <w:lang w:val="el-GR"/>
        </w:rPr>
        <w:t xml:space="preserve"> 2021, σημειώνοντας αύξηση </w:t>
      </w:r>
      <w:r w:rsidR="0001703B" w:rsidRPr="0001703B">
        <w:rPr>
          <w:rFonts w:ascii="Verdana" w:hAnsi="Verdana"/>
          <w:sz w:val="18"/>
          <w:szCs w:val="18"/>
          <w:lang w:val="el-GR"/>
        </w:rPr>
        <w:t>11,7</w:t>
      </w:r>
      <w:r w:rsidRPr="006B0009">
        <w:rPr>
          <w:rFonts w:ascii="Verdana" w:hAnsi="Verdana"/>
          <w:sz w:val="18"/>
          <w:szCs w:val="18"/>
          <w:lang w:val="el-GR"/>
        </w:rPr>
        <w:t>%.</w:t>
      </w:r>
    </w:p>
    <w:p w14:paraId="6A763338" w14:textId="77777777" w:rsidR="00EC2E65" w:rsidRPr="006B0009" w:rsidRDefault="00EC2E65" w:rsidP="00EC2E65">
      <w:pPr>
        <w:rPr>
          <w:rFonts w:ascii="Verdana" w:hAnsi="Verdana"/>
          <w:sz w:val="18"/>
          <w:szCs w:val="18"/>
          <w:lang w:val="el-GR"/>
        </w:rPr>
      </w:pPr>
      <w:r w:rsidRPr="006B0009">
        <w:rPr>
          <w:rFonts w:ascii="Verdana" w:hAnsi="Verdana"/>
          <w:sz w:val="18"/>
          <w:szCs w:val="18"/>
          <w:lang w:val="el-GR"/>
        </w:rPr>
        <w:t xml:space="preserve"> </w:t>
      </w:r>
    </w:p>
    <w:p w14:paraId="5397DA50" w14:textId="67CDA6FB" w:rsidR="00EC2E65" w:rsidRPr="006B0009" w:rsidRDefault="00EC2E65" w:rsidP="00EC2E65">
      <w:pPr>
        <w:jc w:val="both"/>
        <w:rPr>
          <w:rFonts w:ascii="Verdana" w:hAnsi="Verdana"/>
          <w:sz w:val="18"/>
          <w:szCs w:val="18"/>
          <w:lang w:val="el-GR"/>
        </w:rPr>
      </w:pPr>
      <w:r w:rsidRPr="006B0009">
        <w:rPr>
          <w:rFonts w:ascii="Verdana" w:hAnsi="Verdana"/>
          <w:sz w:val="18"/>
          <w:szCs w:val="18"/>
          <w:lang w:val="el-GR"/>
        </w:rPr>
        <w:t xml:space="preserve">Οι εξαγωγές εγχώρια παραγόμενων προϊόντων, περιλαμβανομένων των προμηθειών πλοίων και αεροπλάνων, για τον </w:t>
      </w:r>
      <w:r w:rsidR="00D03211">
        <w:rPr>
          <w:rFonts w:ascii="Verdana" w:hAnsi="Verdana"/>
          <w:sz w:val="18"/>
          <w:szCs w:val="18"/>
          <w:lang w:val="el-GR"/>
        </w:rPr>
        <w:t>Δεκέμβριο</w:t>
      </w:r>
      <w:r w:rsidRPr="006B0009">
        <w:rPr>
          <w:rFonts w:ascii="Verdana" w:hAnsi="Verdana"/>
          <w:sz w:val="18"/>
          <w:szCs w:val="18"/>
          <w:lang w:val="el-GR"/>
        </w:rPr>
        <w:t xml:space="preserve"> 2022 ήταν €</w:t>
      </w:r>
      <w:r w:rsidR="0001703B" w:rsidRPr="0001703B">
        <w:rPr>
          <w:rFonts w:ascii="Verdana" w:hAnsi="Verdana"/>
          <w:sz w:val="18"/>
          <w:szCs w:val="18"/>
          <w:lang w:val="el-GR"/>
        </w:rPr>
        <w:t>103,0</w:t>
      </w:r>
      <w:r w:rsidRPr="006B0009">
        <w:rPr>
          <w:rFonts w:ascii="Verdana" w:hAnsi="Verdana"/>
          <w:sz w:val="18"/>
          <w:szCs w:val="18"/>
          <w:lang w:val="el-GR"/>
        </w:rPr>
        <w:t xml:space="preserve"> εκ. σε σύγκριση με €</w:t>
      </w:r>
      <w:r w:rsidR="0001703B" w:rsidRPr="0001703B">
        <w:rPr>
          <w:rFonts w:ascii="Verdana" w:hAnsi="Verdana"/>
          <w:sz w:val="18"/>
          <w:szCs w:val="18"/>
          <w:lang w:val="el-GR"/>
        </w:rPr>
        <w:t>101,2</w:t>
      </w:r>
      <w:r w:rsidRPr="006B0009">
        <w:rPr>
          <w:rFonts w:ascii="Verdana" w:hAnsi="Verdana"/>
          <w:sz w:val="18"/>
          <w:szCs w:val="18"/>
          <w:lang w:val="el-GR"/>
        </w:rPr>
        <w:t xml:space="preserve"> εκ. τον </w:t>
      </w:r>
      <w:r w:rsidR="00892BDA">
        <w:rPr>
          <w:rFonts w:ascii="Verdana" w:hAnsi="Verdana"/>
          <w:sz w:val="18"/>
          <w:szCs w:val="18"/>
          <w:lang w:val="el-GR"/>
        </w:rPr>
        <w:t>Δεκέμβριο</w:t>
      </w:r>
      <w:r w:rsidRPr="006B0009">
        <w:rPr>
          <w:rFonts w:ascii="Verdana" w:hAnsi="Verdana"/>
          <w:sz w:val="18"/>
          <w:szCs w:val="18"/>
          <w:lang w:val="el-GR"/>
        </w:rPr>
        <w:t xml:space="preserve"> 2021, καταγράφοντας </w:t>
      </w:r>
      <w:r w:rsidR="0001703B">
        <w:rPr>
          <w:rFonts w:ascii="Verdana" w:hAnsi="Verdana"/>
          <w:sz w:val="18"/>
          <w:szCs w:val="18"/>
          <w:lang w:val="el-GR"/>
        </w:rPr>
        <w:t>αύξηση</w:t>
      </w:r>
      <w:r w:rsidRPr="006B0009">
        <w:rPr>
          <w:rFonts w:ascii="Verdana" w:hAnsi="Verdana"/>
          <w:sz w:val="18"/>
          <w:szCs w:val="18"/>
          <w:lang w:val="el-GR"/>
        </w:rPr>
        <w:t xml:space="preserve"> </w:t>
      </w:r>
      <w:r w:rsidR="0001703B">
        <w:rPr>
          <w:rFonts w:ascii="Verdana" w:hAnsi="Verdana"/>
          <w:sz w:val="18"/>
          <w:szCs w:val="18"/>
          <w:lang w:val="el-GR"/>
        </w:rPr>
        <w:t>1,8</w:t>
      </w:r>
      <w:r w:rsidRPr="006B0009">
        <w:rPr>
          <w:rFonts w:ascii="Verdana" w:hAnsi="Verdana"/>
          <w:sz w:val="18"/>
          <w:szCs w:val="18"/>
          <w:lang w:val="el-GR"/>
        </w:rPr>
        <w:t xml:space="preserve">%. Η αξία των εξαγωγών βιομηχανικών προϊόντων για τον </w:t>
      </w:r>
      <w:r w:rsidR="00892BDA">
        <w:rPr>
          <w:rFonts w:ascii="Verdana" w:hAnsi="Verdana"/>
          <w:sz w:val="18"/>
          <w:szCs w:val="18"/>
          <w:lang w:val="el-GR"/>
        </w:rPr>
        <w:t>Δεκέμβριο</w:t>
      </w:r>
      <w:r w:rsidRPr="006B0009">
        <w:rPr>
          <w:rFonts w:ascii="Verdana" w:hAnsi="Verdana"/>
          <w:sz w:val="18"/>
          <w:szCs w:val="18"/>
          <w:lang w:val="el-GR"/>
        </w:rPr>
        <w:t xml:space="preserve"> 2022 ανήλθε σε €</w:t>
      </w:r>
      <w:r w:rsidR="0001703B">
        <w:rPr>
          <w:rFonts w:ascii="Verdana" w:hAnsi="Verdana"/>
          <w:sz w:val="18"/>
          <w:szCs w:val="18"/>
          <w:lang w:val="el-GR"/>
        </w:rPr>
        <w:t>94,8</w:t>
      </w:r>
      <w:r w:rsidRPr="006B0009">
        <w:rPr>
          <w:rFonts w:ascii="Verdana" w:hAnsi="Verdana"/>
          <w:sz w:val="18"/>
          <w:szCs w:val="18"/>
          <w:lang w:val="el-GR"/>
        </w:rPr>
        <w:t xml:space="preserve"> εκ. σε σύγκριση με €</w:t>
      </w:r>
      <w:r w:rsidR="0001703B">
        <w:rPr>
          <w:rFonts w:ascii="Verdana" w:hAnsi="Verdana"/>
          <w:sz w:val="18"/>
          <w:szCs w:val="18"/>
          <w:lang w:val="el-GR"/>
        </w:rPr>
        <w:t>92,7</w:t>
      </w:r>
      <w:r w:rsidRPr="006B0009">
        <w:rPr>
          <w:rFonts w:ascii="Verdana" w:hAnsi="Verdana"/>
          <w:sz w:val="18"/>
          <w:szCs w:val="18"/>
          <w:lang w:val="el-GR"/>
        </w:rPr>
        <w:t xml:space="preserve"> εκ. τον </w:t>
      </w:r>
      <w:r w:rsidR="00892BDA">
        <w:rPr>
          <w:rFonts w:ascii="Verdana" w:hAnsi="Verdana"/>
          <w:sz w:val="18"/>
          <w:szCs w:val="18"/>
          <w:lang w:val="el-GR"/>
        </w:rPr>
        <w:t>Δεκέμβριο</w:t>
      </w:r>
      <w:r w:rsidRPr="006B0009">
        <w:rPr>
          <w:rFonts w:ascii="Verdana" w:hAnsi="Verdana"/>
          <w:sz w:val="18"/>
          <w:szCs w:val="18"/>
          <w:lang w:val="el-GR"/>
        </w:rPr>
        <w:t xml:space="preserve"> 2021, ενώ η αξία των εξαγωγών γεωργικών προϊόντων για τον </w:t>
      </w:r>
      <w:r w:rsidR="00892BDA">
        <w:rPr>
          <w:rFonts w:ascii="Verdana" w:hAnsi="Verdana"/>
          <w:sz w:val="18"/>
          <w:szCs w:val="18"/>
          <w:lang w:val="el-GR"/>
        </w:rPr>
        <w:t>Δεκέμβριο</w:t>
      </w:r>
      <w:r w:rsidRPr="006B0009">
        <w:rPr>
          <w:rFonts w:ascii="Verdana" w:hAnsi="Verdana"/>
          <w:sz w:val="18"/>
          <w:szCs w:val="18"/>
          <w:lang w:val="el-GR"/>
        </w:rPr>
        <w:t xml:space="preserve"> 2022 ανήλθε στα €</w:t>
      </w:r>
      <w:r w:rsidR="0001703B">
        <w:rPr>
          <w:rFonts w:ascii="Verdana" w:hAnsi="Verdana"/>
          <w:sz w:val="18"/>
          <w:szCs w:val="18"/>
          <w:lang w:val="el-GR"/>
        </w:rPr>
        <w:t>7,3</w:t>
      </w:r>
      <w:r w:rsidRPr="006B0009">
        <w:rPr>
          <w:rFonts w:ascii="Verdana" w:hAnsi="Verdana"/>
          <w:sz w:val="18"/>
          <w:szCs w:val="18"/>
          <w:lang w:val="el-GR"/>
        </w:rPr>
        <w:t xml:space="preserve"> εκ. έναντι €</w:t>
      </w:r>
      <w:r w:rsidR="0001703B">
        <w:rPr>
          <w:rFonts w:ascii="Verdana" w:hAnsi="Verdana"/>
          <w:sz w:val="18"/>
          <w:szCs w:val="18"/>
          <w:lang w:val="el-GR"/>
        </w:rPr>
        <w:t>7,1</w:t>
      </w:r>
      <w:r w:rsidRPr="006B0009">
        <w:rPr>
          <w:rFonts w:ascii="Verdana" w:hAnsi="Verdana"/>
          <w:sz w:val="18"/>
          <w:szCs w:val="18"/>
          <w:lang w:val="el-GR"/>
        </w:rPr>
        <w:t xml:space="preserve"> εκ. τον </w:t>
      </w:r>
      <w:r w:rsidR="00892BDA">
        <w:rPr>
          <w:rFonts w:ascii="Verdana" w:hAnsi="Verdana"/>
          <w:sz w:val="18"/>
          <w:szCs w:val="18"/>
          <w:lang w:val="el-GR"/>
        </w:rPr>
        <w:t>Δεκέμβριο</w:t>
      </w:r>
      <w:r w:rsidRPr="006B0009">
        <w:rPr>
          <w:rFonts w:ascii="Verdana" w:hAnsi="Verdana"/>
          <w:sz w:val="18"/>
          <w:szCs w:val="18"/>
          <w:lang w:val="el-GR"/>
        </w:rPr>
        <w:t xml:space="preserve"> 2021. </w:t>
      </w:r>
    </w:p>
    <w:p w14:paraId="20335C0A" w14:textId="2FC5ADEB" w:rsidR="00EC2E65" w:rsidRPr="006B0009" w:rsidRDefault="00EC2E65" w:rsidP="000E4CB0">
      <w:pPr>
        <w:jc w:val="both"/>
        <w:rPr>
          <w:rFonts w:ascii="Verdana" w:hAnsi="Verdana"/>
          <w:sz w:val="18"/>
          <w:szCs w:val="18"/>
          <w:lang w:val="el-GR"/>
        </w:rPr>
      </w:pPr>
    </w:p>
    <w:p w14:paraId="4DADD2E8" w14:textId="0F1DF831" w:rsidR="00AF423B" w:rsidRPr="006B0009" w:rsidRDefault="00AF423B" w:rsidP="000E4CB0">
      <w:pPr>
        <w:jc w:val="both"/>
        <w:rPr>
          <w:rFonts w:ascii="Verdana" w:hAnsi="Verdana"/>
          <w:sz w:val="18"/>
          <w:szCs w:val="18"/>
          <w:lang w:val="el-GR"/>
        </w:rPr>
      </w:pPr>
      <w:r w:rsidRPr="006B0009">
        <w:rPr>
          <w:rFonts w:ascii="Verdana" w:hAnsi="Verdana"/>
          <w:sz w:val="18"/>
          <w:szCs w:val="18"/>
          <w:lang w:val="el-GR"/>
        </w:rPr>
        <w:t xml:space="preserve">Οι εξαγωγές ξένων προϊόντων, περιλαμβανομένων των προμηθειών πλοίων και αεροπλάνων, για τον </w:t>
      </w:r>
      <w:r w:rsidR="00892BDA">
        <w:rPr>
          <w:rFonts w:ascii="Verdana" w:hAnsi="Verdana"/>
          <w:sz w:val="18"/>
          <w:szCs w:val="18"/>
          <w:lang w:val="el-GR"/>
        </w:rPr>
        <w:t>Δεκέμβριο</w:t>
      </w:r>
      <w:r w:rsidRPr="006B0009">
        <w:rPr>
          <w:rFonts w:ascii="Verdana" w:hAnsi="Verdana"/>
          <w:sz w:val="18"/>
          <w:szCs w:val="18"/>
          <w:lang w:val="el-GR"/>
        </w:rPr>
        <w:t xml:space="preserve"> 2022 ήταν €</w:t>
      </w:r>
      <w:r w:rsidR="0001703B">
        <w:rPr>
          <w:rFonts w:ascii="Verdana" w:hAnsi="Verdana"/>
          <w:sz w:val="18"/>
          <w:szCs w:val="18"/>
          <w:lang w:val="el-GR"/>
        </w:rPr>
        <w:t>487,1</w:t>
      </w:r>
      <w:r w:rsidRPr="006B0009">
        <w:rPr>
          <w:rFonts w:ascii="Verdana" w:hAnsi="Verdana"/>
          <w:sz w:val="18"/>
          <w:szCs w:val="18"/>
          <w:lang w:val="el-GR"/>
        </w:rPr>
        <w:t xml:space="preserve"> εκ. σε σύγκριση με €</w:t>
      </w:r>
      <w:r w:rsidR="0001703B">
        <w:rPr>
          <w:rFonts w:ascii="Verdana" w:hAnsi="Verdana"/>
          <w:sz w:val="18"/>
          <w:szCs w:val="18"/>
          <w:lang w:val="el-GR"/>
        </w:rPr>
        <w:t>250,1</w:t>
      </w:r>
      <w:r w:rsidRPr="006B0009">
        <w:rPr>
          <w:rFonts w:ascii="Verdana" w:hAnsi="Verdana"/>
          <w:sz w:val="18"/>
          <w:szCs w:val="18"/>
          <w:lang w:val="el-GR"/>
        </w:rPr>
        <w:t xml:space="preserve"> εκ. τον </w:t>
      </w:r>
      <w:r w:rsidR="00892BDA">
        <w:rPr>
          <w:rFonts w:ascii="Verdana" w:hAnsi="Verdana"/>
          <w:sz w:val="18"/>
          <w:szCs w:val="18"/>
          <w:lang w:val="el-GR"/>
        </w:rPr>
        <w:t>Δεκέμβριο</w:t>
      </w:r>
      <w:r w:rsidRPr="006B0009">
        <w:rPr>
          <w:rFonts w:ascii="Verdana" w:hAnsi="Verdana"/>
          <w:sz w:val="18"/>
          <w:szCs w:val="18"/>
          <w:lang w:val="el-GR"/>
        </w:rPr>
        <w:t xml:space="preserve"> 2021, σημειώνοντας </w:t>
      </w:r>
      <w:r w:rsidR="00D60CB5">
        <w:rPr>
          <w:rFonts w:ascii="Verdana" w:hAnsi="Verdana"/>
          <w:sz w:val="18"/>
          <w:szCs w:val="18"/>
          <w:lang w:val="el-GR"/>
        </w:rPr>
        <w:t>αύξηση</w:t>
      </w:r>
      <w:r w:rsidRPr="006B0009">
        <w:rPr>
          <w:rFonts w:ascii="Verdana" w:hAnsi="Verdana"/>
          <w:sz w:val="18"/>
          <w:szCs w:val="18"/>
          <w:lang w:val="el-GR"/>
        </w:rPr>
        <w:t xml:space="preserve"> </w:t>
      </w:r>
      <w:r w:rsidR="0001703B">
        <w:rPr>
          <w:rFonts w:ascii="Verdana" w:hAnsi="Verdana"/>
          <w:sz w:val="18"/>
          <w:szCs w:val="18"/>
          <w:lang w:val="el-GR"/>
        </w:rPr>
        <w:t>94,8</w:t>
      </w:r>
      <w:r w:rsidRPr="006B0009">
        <w:rPr>
          <w:rFonts w:ascii="Verdana" w:hAnsi="Verdana"/>
          <w:sz w:val="18"/>
          <w:szCs w:val="18"/>
          <w:lang w:val="el-GR"/>
        </w:rPr>
        <w:t>%.</w:t>
      </w:r>
    </w:p>
    <w:p w14:paraId="1AA167D8" w14:textId="7EBD70CA" w:rsidR="00176F99" w:rsidRDefault="00176F99" w:rsidP="000E4CB0">
      <w:pPr>
        <w:jc w:val="both"/>
        <w:rPr>
          <w:rFonts w:ascii="Verdana" w:hAnsi="Verdana" w:cs="Arial"/>
          <w:sz w:val="18"/>
          <w:szCs w:val="18"/>
          <w:lang w:val="el-GR"/>
        </w:rPr>
      </w:pPr>
    </w:p>
    <w:p w14:paraId="449CEE3E" w14:textId="77777777" w:rsidR="00D006CA" w:rsidRDefault="00D006CA" w:rsidP="000E4CB0">
      <w:pPr>
        <w:jc w:val="both"/>
        <w:rPr>
          <w:rFonts w:ascii="Verdana" w:hAnsi="Verdana" w:cs="Arial"/>
          <w:sz w:val="18"/>
          <w:szCs w:val="18"/>
          <w:lang w:val="el-GR"/>
        </w:rPr>
      </w:pPr>
    </w:p>
    <w:p w14:paraId="34E217CB" w14:textId="555BD180" w:rsidR="00EC2E65" w:rsidRPr="006C445D" w:rsidRDefault="00686801" w:rsidP="00176F99">
      <w:pPr>
        <w:jc w:val="center"/>
        <w:rPr>
          <w:rFonts w:ascii="Verdana" w:hAnsi="Verdana" w:cs="Arial"/>
          <w:sz w:val="18"/>
          <w:szCs w:val="18"/>
          <w:lang w:val="el-GR"/>
        </w:rPr>
      </w:pPr>
      <w:r>
        <w:rPr>
          <w:noProof/>
        </w:rPr>
        <w:drawing>
          <wp:inline distT="0" distB="0" distL="0" distR="0" wp14:anchorId="3E80FF28" wp14:editId="23E8A457">
            <wp:extent cx="6067425" cy="4500438"/>
            <wp:effectExtent l="0" t="0" r="9525" b="14605"/>
            <wp:docPr id="11" name="Chart 11">
              <a:extLst xmlns:a="http://schemas.openxmlformats.org/drawingml/2006/main">
                <a:ext uri="{FF2B5EF4-FFF2-40B4-BE49-F238E27FC236}">
                  <a16:creationId xmlns:a16="http://schemas.microsoft.com/office/drawing/2014/main" id="{30D0D440-7301-F8CE-818E-71ED76537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36B08F" w14:textId="7020505D" w:rsidR="00EC2E65" w:rsidRDefault="00EC2E65" w:rsidP="000E4CB0">
      <w:pPr>
        <w:jc w:val="both"/>
        <w:rPr>
          <w:rFonts w:ascii="Verdana" w:hAnsi="Verdana" w:cs="Arial"/>
          <w:sz w:val="18"/>
          <w:szCs w:val="18"/>
          <w:lang w:val="el-GR"/>
        </w:rPr>
      </w:pPr>
    </w:p>
    <w:p w14:paraId="22B7E7B6" w14:textId="04410890" w:rsidR="00EC2E65" w:rsidRDefault="00EC2E65" w:rsidP="000E4CB0">
      <w:pPr>
        <w:jc w:val="both"/>
        <w:rPr>
          <w:rFonts w:ascii="Verdana" w:hAnsi="Verdana" w:cs="Arial"/>
          <w:sz w:val="18"/>
          <w:szCs w:val="18"/>
          <w:lang w:val="el-GR"/>
        </w:rPr>
      </w:pPr>
    </w:p>
    <w:p w14:paraId="5666D3E5" w14:textId="41DBE7E9" w:rsidR="00EC2E65" w:rsidRDefault="00EC2E65" w:rsidP="00176F99">
      <w:pPr>
        <w:jc w:val="both"/>
        <w:rPr>
          <w:rFonts w:ascii="Verdana" w:hAnsi="Verdana" w:cs="Arial"/>
          <w:sz w:val="18"/>
          <w:szCs w:val="18"/>
          <w:lang w:val="el-GR"/>
        </w:rPr>
      </w:pPr>
    </w:p>
    <w:p w14:paraId="2C5CA8D1" w14:textId="29BD02CC" w:rsidR="00EC2E65" w:rsidRDefault="00EC2E65" w:rsidP="000E4CB0">
      <w:pPr>
        <w:jc w:val="both"/>
        <w:rPr>
          <w:rFonts w:ascii="Verdana" w:hAnsi="Verdana" w:cs="Arial"/>
          <w:sz w:val="18"/>
          <w:szCs w:val="18"/>
          <w:lang w:val="el-GR"/>
        </w:rPr>
      </w:pPr>
    </w:p>
    <w:p w14:paraId="532123ED" w14:textId="396C1071" w:rsidR="00176F99" w:rsidRDefault="00176F99" w:rsidP="000E4CB0">
      <w:pPr>
        <w:jc w:val="both"/>
        <w:rPr>
          <w:rFonts w:ascii="Verdana" w:hAnsi="Verdana" w:cs="Arial"/>
          <w:sz w:val="18"/>
          <w:szCs w:val="18"/>
          <w:lang w:val="el-GR"/>
        </w:rPr>
      </w:pPr>
    </w:p>
    <w:p w14:paraId="01BF949F" w14:textId="064B9381" w:rsidR="00176F99" w:rsidRDefault="00176F99" w:rsidP="000E4CB0">
      <w:pPr>
        <w:jc w:val="both"/>
        <w:rPr>
          <w:rFonts w:ascii="Verdana" w:hAnsi="Verdana" w:cs="Arial"/>
          <w:sz w:val="18"/>
          <w:szCs w:val="18"/>
          <w:lang w:val="el-GR"/>
        </w:rPr>
      </w:pPr>
    </w:p>
    <w:p w14:paraId="1C66611B" w14:textId="513AD9C6" w:rsidR="00176F99" w:rsidRDefault="00176F99" w:rsidP="000E4CB0">
      <w:pPr>
        <w:jc w:val="both"/>
        <w:rPr>
          <w:rFonts w:ascii="Verdana" w:hAnsi="Verdana" w:cs="Arial"/>
          <w:sz w:val="18"/>
          <w:szCs w:val="18"/>
          <w:lang w:val="el-GR"/>
        </w:rPr>
      </w:pPr>
    </w:p>
    <w:p w14:paraId="59C15D9D" w14:textId="2F90D127" w:rsidR="00176F99" w:rsidRDefault="00176F99" w:rsidP="000E4CB0">
      <w:pPr>
        <w:jc w:val="both"/>
        <w:rPr>
          <w:rFonts w:ascii="Verdana" w:hAnsi="Verdana" w:cs="Arial"/>
          <w:sz w:val="18"/>
          <w:szCs w:val="18"/>
          <w:lang w:val="el-GR"/>
        </w:rPr>
      </w:pPr>
    </w:p>
    <w:p w14:paraId="61B4A4B3" w14:textId="7C3BB60C" w:rsidR="00176F99" w:rsidRDefault="00176F99" w:rsidP="000E4CB0">
      <w:pPr>
        <w:jc w:val="both"/>
        <w:rPr>
          <w:rFonts w:ascii="Verdana" w:hAnsi="Verdana" w:cs="Arial"/>
          <w:sz w:val="18"/>
          <w:szCs w:val="18"/>
          <w:lang w:val="el-GR"/>
        </w:rPr>
      </w:pPr>
    </w:p>
    <w:p w14:paraId="19C3DD61" w14:textId="24C0969E" w:rsidR="00176F99" w:rsidRDefault="00176F99" w:rsidP="000E4CB0">
      <w:pPr>
        <w:jc w:val="both"/>
        <w:rPr>
          <w:rFonts w:ascii="Verdana" w:hAnsi="Verdana" w:cs="Arial"/>
          <w:sz w:val="18"/>
          <w:szCs w:val="18"/>
          <w:lang w:val="el-GR"/>
        </w:rPr>
      </w:pPr>
    </w:p>
    <w:p w14:paraId="0B5EFD86" w14:textId="24B2B8E9" w:rsidR="00176F99" w:rsidRDefault="00176F99" w:rsidP="000E4CB0">
      <w:pPr>
        <w:jc w:val="both"/>
        <w:rPr>
          <w:rFonts w:ascii="Verdana" w:hAnsi="Verdana" w:cs="Arial"/>
          <w:sz w:val="18"/>
          <w:szCs w:val="18"/>
          <w:lang w:val="el-GR"/>
        </w:rPr>
      </w:pPr>
    </w:p>
    <w:p w14:paraId="776C797D" w14:textId="4B8DBB33" w:rsidR="00176F99" w:rsidRDefault="00176F99" w:rsidP="000E4CB0">
      <w:pPr>
        <w:jc w:val="both"/>
        <w:rPr>
          <w:rFonts w:ascii="Verdana" w:hAnsi="Verdana" w:cs="Arial"/>
          <w:sz w:val="18"/>
          <w:szCs w:val="18"/>
          <w:lang w:val="el-GR"/>
        </w:rPr>
      </w:pPr>
    </w:p>
    <w:p w14:paraId="17537C81" w14:textId="1EF11779" w:rsidR="00176F99" w:rsidRDefault="00176F99" w:rsidP="000E4CB0">
      <w:pPr>
        <w:jc w:val="both"/>
        <w:rPr>
          <w:rFonts w:ascii="Verdana" w:hAnsi="Verdana" w:cs="Arial"/>
          <w:sz w:val="18"/>
          <w:szCs w:val="18"/>
          <w:lang w:val="el-GR"/>
        </w:rPr>
      </w:pPr>
    </w:p>
    <w:p w14:paraId="221E3ADA" w14:textId="008771F5" w:rsidR="00176F99" w:rsidRDefault="00176F99" w:rsidP="000E4CB0">
      <w:pPr>
        <w:jc w:val="both"/>
        <w:rPr>
          <w:rFonts w:ascii="Verdana" w:hAnsi="Verdana" w:cs="Arial"/>
          <w:sz w:val="18"/>
          <w:szCs w:val="18"/>
          <w:lang w:val="el-GR"/>
        </w:rPr>
      </w:pPr>
    </w:p>
    <w:p w14:paraId="672B729B" w14:textId="39171809" w:rsidR="00176F99" w:rsidRDefault="00176F99" w:rsidP="000E4CB0">
      <w:pPr>
        <w:jc w:val="both"/>
        <w:rPr>
          <w:rFonts w:ascii="Verdana" w:hAnsi="Verdana" w:cs="Arial"/>
          <w:sz w:val="18"/>
          <w:szCs w:val="18"/>
          <w:lang w:val="el-GR"/>
        </w:rPr>
      </w:pPr>
    </w:p>
    <w:p w14:paraId="4601F167" w14:textId="6103042D" w:rsidR="00176F99" w:rsidRDefault="00176F99" w:rsidP="000E4CB0">
      <w:pPr>
        <w:jc w:val="both"/>
        <w:rPr>
          <w:rFonts w:ascii="Verdana" w:hAnsi="Verdana" w:cs="Arial"/>
          <w:sz w:val="18"/>
          <w:szCs w:val="18"/>
          <w:lang w:val="el-GR"/>
        </w:rPr>
      </w:pPr>
    </w:p>
    <w:p w14:paraId="4BC42F8D" w14:textId="5ACAD83E" w:rsidR="00176F99" w:rsidRDefault="00176F99" w:rsidP="000E4CB0">
      <w:pPr>
        <w:jc w:val="both"/>
        <w:rPr>
          <w:rFonts w:ascii="Verdana" w:hAnsi="Verdana" w:cs="Arial"/>
          <w:sz w:val="18"/>
          <w:szCs w:val="18"/>
          <w:lang w:val="el-GR"/>
        </w:rPr>
      </w:pPr>
    </w:p>
    <w:p w14:paraId="32D6A80D" w14:textId="3DAED120" w:rsidR="00176F99" w:rsidRDefault="00176F99" w:rsidP="000E4CB0">
      <w:pPr>
        <w:jc w:val="both"/>
        <w:rPr>
          <w:rFonts w:ascii="Verdana" w:hAnsi="Verdana" w:cs="Arial"/>
          <w:sz w:val="18"/>
          <w:szCs w:val="18"/>
          <w:lang w:val="el-GR"/>
        </w:rPr>
      </w:pPr>
    </w:p>
    <w:p w14:paraId="76997F0E" w14:textId="177CCB5B" w:rsidR="00176F99" w:rsidRDefault="00176F99" w:rsidP="000E4CB0">
      <w:pPr>
        <w:jc w:val="both"/>
        <w:rPr>
          <w:rFonts w:ascii="Verdana" w:hAnsi="Verdana" w:cs="Arial"/>
          <w:sz w:val="18"/>
          <w:szCs w:val="18"/>
          <w:lang w:val="el-GR"/>
        </w:rPr>
      </w:pPr>
    </w:p>
    <w:p w14:paraId="0A11CEC4" w14:textId="77777777" w:rsidR="00176F99" w:rsidRDefault="00176F99" w:rsidP="000E4CB0">
      <w:pPr>
        <w:jc w:val="both"/>
        <w:rPr>
          <w:rFonts w:ascii="Verdana" w:hAnsi="Verdana" w:cs="Arial"/>
          <w:sz w:val="18"/>
          <w:szCs w:val="18"/>
          <w:lang w:val="el-G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0"/>
        <w:gridCol w:w="3232"/>
        <w:gridCol w:w="3426"/>
      </w:tblGrid>
      <w:tr w:rsidR="00EC2E65" w:rsidRPr="00AC6AE4" w14:paraId="52AB1661" w14:textId="77777777" w:rsidTr="008E3901">
        <w:trPr>
          <w:trHeight w:val="389"/>
          <w:jc w:val="center"/>
        </w:trPr>
        <w:tc>
          <w:tcPr>
            <w:tcW w:w="9588" w:type="dxa"/>
            <w:gridSpan w:val="3"/>
            <w:tcBorders>
              <w:top w:val="nil"/>
              <w:left w:val="nil"/>
              <w:bottom w:val="single" w:sz="4" w:space="0" w:color="365F91"/>
              <w:right w:val="nil"/>
            </w:tcBorders>
            <w:vAlign w:val="center"/>
            <w:hideMark/>
          </w:tcPr>
          <w:p w14:paraId="1BF64B15" w14:textId="77777777" w:rsidR="00EC2E65" w:rsidRPr="00AC6AE4" w:rsidRDefault="00EC2E65" w:rsidP="00C51D1E">
            <w:pPr>
              <w:rPr>
                <w:rFonts w:ascii="Verdana" w:eastAsia="Malgun Gothic" w:hAnsi="Verdana" w:cs="Arial"/>
                <w:b/>
                <w:color w:val="365F91"/>
                <w:sz w:val="18"/>
                <w:szCs w:val="18"/>
                <w:lang w:val="el-GR"/>
              </w:rPr>
            </w:pPr>
            <w:bookmarkStart w:id="0" w:name="_Hlk71021327"/>
            <w:r w:rsidRPr="00AC6AE4">
              <w:rPr>
                <w:rFonts w:ascii="Verdana" w:eastAsia="Malgun Gothic" w:hAnsi="Verdana" w:cs="Arial"/>
                <w:b/>
                <w:color w:val="365F91"/>
                <w:sz w:val="18"/>
                <w:szCs w:val="18"/>
                <w:lang w:val="el-GR"/>
              </w:rPr>
              <w:t>Πίνακας</w:t>
            </w:r>
          </w:p>
        </w:tc>
      </w:tr>
      <w:tr w:rsidR="00EC2E65" w:rsidRPr="00522D4E" w14:paraId="75228040" w14:textId="77777777" w:rsidTr="008E3901">
        <w:trPr>
          <w:trHeight w:val="355"/>
          <w:jc w:val="center"/>
        </w:trPr>
        <w:tc>
          <w:tcPr>
            <w:tcW w:w="2930" w:type="dxa"/>
            <w:vMerge w:val="restart"/>
            <w:tcBorders>
              <w:top w:val="single" w:sz="4" w:space="0" w:color="365F91"/>
              <w:left w:val="nil"/>
              <w:right w:val="nil"/>
            </w:tcBorders>
            <w:vAlign w:val="center"/>
            <w:hideMark/>
          </w:tcPr>
          <w:p w14:paraId="08867875" w14:textId="55C8BF99"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Έτος</w:t>
            </w:r>
            <w:r w:rsidR="00F5718D">
              <w:rPr>
                <w:rFonts w:ascii="Verdana" w:eastAsia="Malgun Gothic" w:hAnsi="Verdana" w:cs="Arial"/>
                <w:b/>
                <w:color w:val="365F91"/>
                <w:sz w:val="18"/>
                <w:szCs w:val="18"/>
                <w:lang w:val="el-GR"/>
              </w:rPr>
              <w:t xml:space="preserve"> και Μήνας</w:t>
            </w:r>
          </w:p>
        </w:tc>
        <w:tc>
          <w:tcPr>
            <w:tcW w:w="3232" w:type="dxa"/>
            <w:tcBorders>
              <w:top w:val="single" w:sz="4" w:space="0" w:color="365F91"/>
              <w:left w:val="nil"/>
              <w:bottom w:val="nil"/>
              <w:right w:val="nil"/>
            </w:tcBorders>
            <w:vAlign w:val="center"/>
            <w:hideMark/>
          </w:tcPr>
          <w:p w14:paraId="29C7E597" w14:textId="4AC8AD6F" w:rsidR="00EC2E65" w:rsidRPr="004D7F70"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Συνολικές </w:t>
            </w:r>
            <w:r w:rsidR="00A72A41">
              <w:rPr>
                <w:rFonts w:ascii="Verdana" w:eastAsia="Malgun Gothic" w:hAnsi="Verdana" w:cs="Arial"/>
                <w:b/>
                <w:color w:val="365F91"/>
                <w:sz w:val="18"/>
                <w:szCs w:val="18"/>
                <w:lang w:val="el-GR"/>
              </w:rPr>
              <w:t>Ε</w:t>
            </w:r>
            <w:r>
              <w:rPr>
                <w:rFonts w:ascii="Verdana" w:eastAsia="Malgun Gothic" w:hAnsi="Verdana" w:cs="Arial"/>
                <w:b/>
                <w:color w:val="365F91"/>
                <w:sz w:val="18"/>
                <w:szCs w:val="18"/>
                <w:lang w:val="el-GR"/>
              </w:rPr>
              <w:t>ισαγωγές</w:t>
            </w:r>
            <w:r w:rsidRPr="00AF3F25">
              <w:rPr>
                <w:rFonts w:ascii="Verdana" w:eastAsia="Malgun Gothic" w:hAnsi="Verdana" w:cs="Arial"/>
                <w:b/>
                <w:color w:val="365F91"/>
                <w:sz w:val="18"/>
                <w:szCs w:val="18"/>
                <w:lang w:val="el-GR"/>
              </w:rPr>
              <w:t xml:space="preserve"> </w:t>
            </w:r>
          </w:p>
        </w:tc>
        <w:tc>
          <w:tcPr>
            <w:tcW w:w="3426" w:type="dxa"/>
            <w:tcBorders>
              <w:top w:val="single" w:sz="4" w:space="0" w:color="365F91"/>
              <w:left w:val="nil"/>
              <w:bottom w:val="nil"/>
              <w:right w:val="nil"/>
            </w:tcBorders>
            <w:vAlign w:val="center"/>
            <w:hideMark/>
          </w:tcPr>
          <w:p w14:paraId="74BF9776" w14:textId="486E52F0"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Συνολικές </w:t>
            </w:r>
            <w:r w:rsidR="00A72A41">
              <w:rPr>
                <w:rFonts w:ascii="Verdana" w:eastAsia="Malgun Gothic" w:hAnsi="Verdana" w:cs="Arial"/>
                <w:b/>
                <w:color w:val="365F91"/>
                <w:sz w:val="18"/>
                <w:szCs w:val="18"/>
                <w:lang w:val="el-GR"/>
              </w:rPr>
              <w:t>Ε</w:t>
            </w:r>
            <w:r>
              <w:rPr>
                <w:rFonts w:ascii="Verdana" w:eastAsia="Malgun Gothic" w:hAnsi="Verdana" w:cs="Arial"/>
                <w:b/>
                <w:color w:val="365F91"/>
                <w:sz w:val="18"/>
                <w:szCs w:val="18"/>
                <w:lang w:val="el-GR"/>
              </w:rPr>
              <w:t>ξαγωγές</w:t>
            </w:r>
            <w:r w:rsidRPr="00AF3F25">
              <w:rPr>
                <w:rFonts w:ascii="Verdana" w:eastAsia="Malgun Gothic" w:hAnsi="Verdana" w:cs="Arial"/>
                <w:b/>
                <w:color w:val="365F91"/>
                <w:sz w:val="18"/>
                <w:szCs w:val="18"/>
                <w:lang w:val="el-GR"/>
              </w:rPr>
              <w:t xml:space="preserve"> </w:t>
            </w:r>
          </w:p>
        </w:tc>
      </w:tr>
      <w:tr w:rsidR="00EC2E65" w14:paraId="2C4C79F2" w14:textId="77777777" w:rsidTr="008E3901">
        <w:trPr>
          <w:trHeight w:val="322"/>
          <w:jc w:val="center"/>
        </w:trPr>
        <w:tc>
          <w:tcPr>
            <w:tcW w:w="2930" w:type="dxa"/>
            <w:vMerge/>
            <w:tcBorders>
              <w:left w:val="nil"/>
              <w:bottom w:val="single" w:sz="4" w:space="0" w:color="365F91"/>
              <w:right w:val="nil"/>
            </w:tcBorders>
            <w:vAlign w:val="center"/>
          </w:tcPr>
          <w:p w14:paraId="479F1727" w14:textId="77777777" w:rsidR="00EC2E65" w:rsidRDefault="00EC2E65" w:rsidP="00C51D1E">
            <w:pPr>
              <w:jc w:val="center"/>
              <w:rPr>
                <w:rFonts w:ascii="Verdana" w:eastAsia="Malgun Gothic" w:hAnsi="Verdana" w:cs="Arial"/>
                <w:b/>
                <w:color w:val="365F91"/>
                <w:sz w:val="18"/>
                <w:szCs w:val="18"/>
                <w:lang w:val="el-GR"/>
              </w:rPr>
            </w:pPr>
          </w:p>
        </w:tc>
        <w:tc>
          <w:tcPr>
            <w:tcW w:w="3232" w:type="dxa"/>
            <w:tcBorders>
              <w:top w:val="nil"/>
              <w:left w:val="nil"/>
              <w:bottom w:val="single" w:sz="4" w:space="0" w:color="365F91"/>
              <w:right w:val="nil"/>
            </w:tcBorders>
            <w:vAlign w:val="center"/>
          </w:tcPr>
          <w:p w14:paraId="3D480F68" w14:textId="77777777" w:rsidR="00EC2E65" w:rsidRPr="004D7F70" w:rsidRDefault="00EC2E65" w:rsidP="00C51D1E">
            <w:pPr>
              <w:jc w:val="center"/>
              <w:rPr>
                <w:rFonts w:ascii="Verdana" w:eastAsia="Malgun Gothic" w:hAnsi="Verdana" w:cs="Arial"/>
                <w:b/>
                <w:color w:val="365F91"/>
                <w:sz w:val="18"/>
                <w:szCs w:val="18"/>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c>
          <w:tcPr>
            <w:tcW w:w="3426" w:type="dxa"/>
            <w:tcBorders>
              <w:top w:val="nil"/>
              <w:left w:val="nil"/>
              <w:bottom w:val="single" w:sz="4" w:space="0" w:color="365F91"/>
              <w:right w:val="nil"/>
            </w:tcBorders>
            <w:vAlign w:val="center"/>
          </w:tcPr>
          <w:p w14:paraId="1083D343" w14:textId="77777777" w:rsidR="00EC2E65" w:rsidRDefault="00EC2E65" w:rsidP="00C51D1E">
            <w:pPr>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€000’</w:t>
            </w:r>
            <w:r>
              <w:rPr>
                <w:rFonts w:ascii="Verdana" w:eastAsia="Malgun Gothic" w:hAnsi="Verdana" w:cs="Arial"/>
                <w:b/>
                <w:color w:val="365F91"/>
                <w:sz w:val="18"/>
                <w:szCs w:val="18"/>
              </w:rPr>
              <w:t>s</w:t>
            </w:r>
          </w:p>
        </w:tc>
      </w:tr>
      <w:tr w:rsidR="00EC2E65" w14:paraId="12A35C37" w14:textId="77777777" w:rsidTr="008E3901">
        <w:trPr>
          <w:trHeight w:val="364"/>
          <w:jc w:val="center"/>
        </w:trPr>
        <w:tc>
          <w:tcPr>
            <w:tcW w:w="2930" w:type="dxa"/>
            <w:tcBorders>
              <w:top w:val="single" w:sz="4" w:space="0" w:color="365F91"/>
              <w:left w:val="nil"/>
              <w:bottom w:val="nil"/>
              <w:right w:val="nil"/>
            </w:tcBorders>
            <w:vAlign w:val="center"/>
            <w:hideMark/>
          </w:tcPr>
          <w:p w14:paraId="0CEF1322" w14:textId="0D42F5D4" w:rsidR="00EC2E65" w:rsidRDefault="00EC2E65" w:rsidP="00C51D1E">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w:t>
            </w:r>
            <w:r w:rsidR="00670E5F">
              <w:rPr>
                <w:rFonts w:ascii="Verdana" w:eastAsia="Malgun Gothic" w:hAnsi="Verdana" w:cs="Arial"/>
                <w:b/>
                <w:color w:val="365F91"/>
                <w:sz w:val="18"/>
                <w:szCs w:val="18"/>
                <w:u w:val="single"/>
                <w:lang w:val="el-GR"/>
              </w:rPr>
              <w:t>3</w:t>
            </w:r>
          </w:p>
        </w:tc>
        <w:tc>
          <w:tcPr>
            <w:tcW w:w="3232" w:type="dxa"/>
            <w:tcBorders>
              <w:top w:val="single" w:sz="4" w:space="0" w:color="365F91"/>
              <w:left w:val="nil"/>
              <w:bottom w:val="nil"/>
              <w:right w:val="nil"/>
            </w:tcBorders>
            <w:tcMar>
              <w:right w:w="1247" w:type="dxa"/>
            </w:tcMar>
            <w:vAlign w:val="center"/>
          </w:tcPr>
          <w:p w14:paraId="4ABDA723" w14:textId="77777777" w:rsidR="00EC2E65" w:rsidRDefault="00EC2E65" w:rsidP="008E3901">
            <w:pPr>
              <w:jc w:val="right"/>
              <w:rPr>
                <w:rFonts w:ascii="Verdana" w:eastAsia="Malgun Gothic" w:hAnsi="Verdana" w:cs="Arial"/>
                <w:b/>
                <w:color w:val="365F91"/>
                <w:sz w:val="18"/>
                <w:szCs w:val="18"/>
                <w:lang w:val="el-GR"/>
              </w:rPr>
            </w:pPr>
          </w:p>
          <w:p w14:paraId="68C1D4DC" w14:textId="77777777" w:rsidR="00EC2E65" w:rsidRDefault="00EC2E65" w:rsidP="008E3901">
            <w:pPr>
              <w:jc w:val="right"/>
              <w:rPr>
                <w:rFonts w:ascii="Verdana" w:eastAsia="Malgun Gothic" w:hAnsi="Verdana" w:cs="Arial"/>
                <w:b/>
                <w:color w:val="365F91"/>
                <w:sz w:val="18"/>
                <w:szCs w:val="18"/>
                <w:lang w:val="el-GR"/>
              </w:rPr>
            </w:pPr>
          </w:p>
        </w:tc>
        <w:tc>
          <w:tcPr>
            <w:tcW w:w="3426" w:type="dxa"/>
            <w:tcBorders>
              <w:top w:val="single" w:sz="4" w:space="0" w:color="365F91"/>
              <w:left w:val="nil"/>
              <w:bottom w:val="nil"/>
              <w:right w:val="nil"/>
            </w:tcBorders>
            <w:tcMar>
              <w:right w:w="1247" w:type="dxa"/>
            </w:tcMar>
            <w:vAlign w:val="center"/>
          </w:tcPr>
          <w:p w14:paraId="6F0FF262" w14:textId="77777777" w:rsidR="00EC2E65" w:rsidRDefault="00EC2E65" w:rsidP="008E3901">
            <w:pPr>
              <w:jc w:val="right"/>
              <w:rPr>
                <w:rFonts w:ascii="Verdana" w:eastAsia="Malgun Gothic" w:hAnsi="Verdana" w:cs="Arial"/>
                <w:b/>
                <w:color w:val="365F91"/>
                <w:sz w:val="18"/>
                <w:szCs w:val="18"/>
                <w:lang w:val="el-GR"/>
              </w:rPr>
            </w:pPr>
          </w:p>
          <w:p w14:paraId="51D27A1C" w14:textId="77777777" w:rsidR="00EC2E65" w:rsidRDefault="00EC2E65" w:rsidP="008E3901">
            <w:pPr>
              <w:jc w:val="right"/>
              <w:rPr>
                <w:rFonts w:ascii="Verdana" w:eastAsia="Malgun Gothic" w:hAnsi="Verdana" w:cs="Arial"/>
                <w:b/>
                <w:color w:val="365F91"/>
                <w:sz w:val="18"/>
                <w:szCs w:val="18"/>
                <w:lang w:val="el-GR"/>
              </w:rPr>
            </w:pPr>
          </w:p>
        </w:tc>
      </w:tr>
      <w:tr w:rsidR="00BF03D1" w14:paraId="78EB2248" w14:textId="77777777" w:rsidTr="008E3901">
        <w:trPr>
          <w:trHeight w:val="418"/>
          <w:jc w:val="center"/>
        </w:trPr>
        <w:tc>
          <w:tcPr>
            <w:tcW w:w="2930" w:type="dxa"/>
            <w:tcBorders>
              <w:top w:val="nil"/>
              <w:left w:val="nil"/>
              <w:bottom w:val="nil"/>
              <w:right w:val="nil"/>
            </w:tcBorders>
            <w:vAlign w:val="center"/>
            <w:hideMark/>
          </w:tcPr>
          <w:p w14:paraId="7B7D8B6C" w14:textId="77777777" w:rsidR="00BF03D1" w:rsidRPr="006A19D6" w:rsidRDefault="00BF03D1" w:rsidP="00BF03D1">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tcMar>
              <w:right w:w="1247" w:type="dxa"/>
            </w:tcMar>
            <w:vAlign w:val="center"/>
            <w:hideMark/>
          </w:tcPr>
          <w:p w14:paraId="1A5AA7C5" w14:textId="464CB070" w:rsidR="00BF03D1" w:rsidRPr="002B7C38" w:rsidRDefault="00EA2DAA" w:rsidP="008E3901">
            <w:pPr>
              <w:ind w:firstLineChars="300" w:firstLine="540"/>
              <w:jc w:val="right"/>
              <w:rPr>
                <w:rFonts w:ascii="Verdana" w:hAnsi="Verdana" w:cs="Arial"/>
                <w:color w:val="2F5496"/>
                <w:sz w:val="18"/>
                <w:szCs w:val="18"/>
              </w:rPr>
            </w:pPr>
            <w:r>
              <w:rPr>
                <w:rFonts w:ascii="Verdana" w:hAnsi="Verdana" w:cs="Arial"/>
                <w:color w:val="2F5496"/>
                <w:sz w:val="18"/>
                <w:szCs w:val="18"/>
              </w:rPr>
              <w:t>1.707.78</w:t>
            </w:r>
            <w:r w:rsidR="008C581B">
              <w:rPr>
                <w:rFonts w:ascii="Verdana" w:hAnsi="Verdana" w:cs="Arial"/>
                <w:color w:val="2F5496"/>
                <w:sz w:val="18"/>
                <w:szCs w:val="18"/>
              </w:rPr>
              <w:t>1</w:t>
            </w:r>
          </w:p>
        </w:tc>
        <w:tc>
          <w:tcPr>
            <w:tcW w:w="3426" w:type="dxa"/>
            <w:tcBorders>
              <w:top w:val="nil"/>
              <w:left w:val="nil"/>
              <w:bottom w:val="nil"/>
              <w:right w:val="nil"/>
            </w:tcBorders>
            <w:tcMar>
              <w:right w:w="1247" w:type="dxa"/>
            </w:tcMar>
            <w:vAlign w:val="center"/>
            <w:hideMark/>
          </w:tcPr>
          <w:p w14:paraId="22E2FC05" w14:textId="481EDF63" w:rsidR="00BF03D1" w:rsidRPr="002B7C38" w:rsidRDefault="00EA2DAA" w:rsidP="008E3901">
            <w:pPr>
              <w:ind w:firstLineChars="300" w:firstLine="540"/>
              <w:jc w:val="right"/>
              <w:rPr>
                <w:rFonts w:ascii="Verdana" w:hAnsi="Verdana" w:cs="Arial"/>
                <w:color w:val="2F5496"/>
                <w:sz w:val="18"/>
                <w:szCs w:val="18"/>
              </w:rPr>
            </w:pPr>
            <w:r>
              <w:rPr>
                <w:rFonts w:ascii="Verdana" w:hAnsi="Verdana" w:cs="Arial"/>
                <w:color w:val="2F5496"/>
                <w:sz w:val="18"/>
                <w:szCs w:val="18"/>
              </w:rPr>
              <w:t>314.444</w:t>
            </w:r>
          </w:p>
        </w:tc>
      </w:tr>
      <w:tr w:rsidR="00670E5F" w14:paraId="01781304" w14:textId="77777777" w:rsidTr="008E3901">
        <w:trPr>
          <w:trHeight w:val="326"/>
          <w:jc w:val="center"/>
        </w:trPr>
        <w:tc>
          <w:tcPr>
            <w:tcW w:w="2930" w:type="dxa"/>
            <w:tcBorders>
              <w:top w:val="nil"/>
              <w:left w:val="nil"/>
              <w:bottom w:val="nil"/>
              <w:right w:val="nil"/>
            </w:tcBorders>
            <w:vAlign w:val="center"/>
            <w:hideMark/>
          </w:tcPr>
          <w:p w14:paraId="6F8F1585" w14:textId="16D68BCB" w:rsidR="00670E5F" w:rsidRDefault="00670E5F" w:rsidP="00670E5F">
            <w:pPr>
              <w:ind w:left="216"/>
              <w:rPr>
                <w:rFonts w:ascii="Verdana" w:eastAsia="Malgun Gothic" w:hAnsi="Verdana" w:cs="Arial"/>
                <w:b/>
                <w:color w:val="365F91"/>
                <w:sz w:val="18"/>
                <w:szCs w:val="18"/>
                <w:u w:val="single"/>
                <w:lang w:val="el-GR"/>
              </w:rPr>
            </w:pPr>
            <w:r>
              <w:rPr>
                <w:rFonts w:ascii="Verdana" w:eastAsia="Malgun Gothic" w:hAnsi="Verdana" w:cs="Arial"/>
                <w:b/>
                <w:color w:val="365F91"/>
                <w:sz w:val="18"/>
                <w:szCs w:val="18"/>
                <w:u w:val="single"/>
                <w:lang w:val="el-GR"/>
              </w:rPr>
              <w:t>2022</w:t>
            </w:r>
          </w:p>
        </w:tc>
        <w:tc>
          <w:tcPr>
            <w:tcW w:w="3232" w:type="dxa"/>
            <w:tcBorders>
              <w:top w:val="nil"/>
              <w:left w:val="nil"/>
              <w:bottom w:val="nil"/>
              <w:right w:val="nil"/>
            </w:tcBorders>
            <w:tcMar>
              <w:right w:w="1247" w:type="dxa"/>
            </w:tcMar>
            <w:vAlign w:val="center"/>
          </w:tcPr>
          <w:p w14:paraId="3FBD9BF9" w14:textId="77777777" w:rsidR="00670E5F" w:rsidRDefault="00670E5F" w:rsidP="008E3901">
            <w:pPr>
              <w:jc w:val="right"/>
              <w:rPr>
                <w:rFonts w:ascii="Verdana" w:eastAsia="Malgun Gothic" w:hAnsi="Verdana" w:cs="Arial"/>
                <w:b/>
                <w:color w:val="365F91"/>
                <w:sz w:val="18"/>
                <w:szCs w:val="18"/>
                <w:lang w:val="el-GR"/>
              </w:rPr>
            </w:pPr>
          </w:p>
          <w:p w14:paraId="5F3988C6" w14:textId="77777777" w:rsidR="00670E5F" w:rsidRPr="002B7C38" w:rsidRDefault="00670E5F" w:rsidP="008E3901">
            <w:pPr>
              <w:ind w:firstLineChars="300" w:firstLine="540"/>
              <w:jc w:val="right"/>
              <w:rPr>
                <w:rFonts w:ascii="Verdana" w:hAnsi="Verdana" w:cs="Arial"/>
                <w:color w:val="2F5496"/>
                <w:sz w:val="18"/>
                <w:szCs w:val="18"/>
              </w:rPr>
            </w:pPr>
          </w:p>
        </w:tc>
        <w:tc>
          <w:tcPr>
            <w:tcW w:w="3426" w:type="dxa"/>
            <w:tcBorders>
              <w:top w:val="nil"/>
              <w:left w:val="nil"/>
              <w:bottom w:val="nil"/>
              <w:right w:val="nil"/>
            </w:tcBorders>
            <w:tcMar>
              <w:right w:w="1247" w:type="dxa"/>
            </w:tcMar>
            <w:vAlign w:val="center"/>
          </w:tcPr>
          <w:p w14:paraId="68158642" w14:textId="77777777" w:rsidR="00670E5F" w:rsidRDefault="00670E5F" w:rsidP="008E3901">
            <w:pPr>
              <w:jc w:val="right"/>
              <w:rPr>
                <w:rFonts w:ascii="Verdana" w:eastAsia="Malgun Gothic" w:hAnsi="Verdana" w:cs="Arial"/>
                <w:b/>
                <w:color w:val="365F91"/>
                <w:sz w:val="18"/>
                <w:szCs w:val="18"/>
                <w:lang w:val="el-GR"/>
              </w:rPr>
            </w:pPr>
          </w:p>
          <w:p w14:paraId="3D40FEB4" w14:textId="77777777" w:rsidR="00670E5F" w:rsidRPr="002B7C38" w:rsidRDefault="00670E5F" w:rsidP="008E3901">
            <w:pPr>
              <w:ind w:firstLineChars="300" w:firstLine="540"/>
              <w:jc w:val="right"/>
              <w:rPr>
                <w:rFonts w:ascii="Verdana" w:hAnsi="Verdana" w:cs="Arial"/>
                <w:color w:val="2F5496"/>
                <w:sz w:val="18"/>
                <w:szCs w:val="18"/>
              </w:rPr>
            </w:pPr>
          </w:p>
        </w:tc>
      </w:tr>
      <w:tr w:rsidR="00670E5F" w14:paraId="4DFC7D53" w14:textId="77777777" w:rsidTr="008E3901">
        <w:trPr>
          <w:trHeight w:val="418"/>
          <w:jc w:val="center"/>
        </w:trPr>
        <w:tc>
          <w:tcPr>
            <w:tcW w:w="2930" w:type="dxa"/>
            <w:tcBorders>
              <w:top w:val="nil"/>
              <w:left w:val="nil"/>
              <w:bottom w:val="nil"/>
              <w:right w:val="nil"/>
            </w:tcBorders>
            <w:vAlign w:val="center"/>
            <w:hideMark/>
          </w:tcPr>
          <w:p w14:paraId="767E28D6" w14:textId="6A8774A1"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Δεκέμβριος</w:t>
            </w:r>
          </w:p>
        </w:tc>
        <w:tc>
          <w:tcPr>
            <w:tcW w:w="3232" w:type="dxa"/>
            <w:tcBorders>
              <w:top w:val="nil"/>
              <w:left w:val="nil"/>
              <w:bottom w:val="nil"/>
              <w:right w:val="nil"/>
            </w:tcBorders>
            <w:tcMar>
              <w:right w:w="1247" w:type="dxa"/>
            </w:tcMar>
            <w:vAlign w:val="center"/>
          </w:tcPr>
          <w:p w14:paraId="60F19646" w14:textId="5BD0059D" w:rsidR="00670E5F" w:rsidRPr="00280A21" w:rsidRDefault="00280A21" w:rsidP="008E3901">
            <w:pPr>
              <w:ind w:firstLineChars="300" w:firstLine="540"/>
              <w:jc w:val="right"/>
              <w:rPr>
                <w:rFonts w:ascii="Verdana" w:hAnsi="Verdana" w:cs="Arial"/>
                <w:color w:val="2F5496"/>
                <w:sz w:val="18"/>
                <w:szCs w:val="18"/>
                <w:lang w:val="el-GR"/>
              </w:rPr>
            </w:pPr>
            <w:r>
              <w:rPr>
                <w:rFonts w:ascii="Verdana" w:hAnsi="Verdana" w:cs="Arial"/>
                <w:color w:val="2F5496"/>
                <w:sz w:val="18"/>
                <w:szCs w:val="18"/>
                <w:lang w:val="el-GR"/>
              </w:rPr>
              <w:t>808.474</w:t>
            </w:r>
          </w:p>
        </w:tc>
        <w:tc>
          <w:tcPr>
            <w:tcW w:w="3426" w:type="dxa"/>
            <w:tcBorders>
              <w:top w:val="nil"/>
              <w:left w:val="nil"/>
              <w:bottom w:val="nil"/>
              <w:right w:val="nil"/>
            </w:tcBorders>
            <w:tcMar>
              <w:right w:w="1247" w:type="dxa"/>
            </w:tcMar>
            <w:vAlign w:val="center"/>
          </w:tcPr>
          <w:p w14:paraId="2F1EDC77" w14:textId="60A1E578" w:rsidR="00670E5F" w:rsidRPr="00280A21" w:rsidRDefault="00280A21" w:rsidP="008E3901">
            <w:pPr>
              <w:ind w:firstLineChars="300" w:firstLine="540"/>
              <w:jc w:val="right"/>
              <w:rPr>
                <w:rFonts w:ascii="Verdana" w:hAnsi="Verdana" w:cs="Arial"/>
                <w:color w:val="2F5496"/>
                <w:sz w:val="18"/>
                <w:szCs w:val="18"/>
                <w:lang w:val="el-GR"/>
              </w:rPr>
            </w:pPr>
            <w:r>
              <w:rPr>
                <w:rFonts w:ascii="Verdana" w:hAnsi="Verdana" w:cs="Arial"/>
                <w:color w:val="2F5496"/>
                <w:sz w:val="18"/>
                <w:szCs w:val="18"/>
                <w:lang w:val="el-GR"/>
              </w:rPr>
              <w:t>590.039</w:t>
            </w:r>
          </w:p>
        </w:tc>
      </w:tr>
      <w:tr w:rsidR="00670E5F" w14:paraId="41C528E7" w14:textId="77777777" w:rsidTr="008E3901">
        <w:trPr>
          <w:trHeight w:val="418"/>
          <w:jc w:val="center"/>
        </w:trPr>
        <w:tc>
          <w:tcPr>
            <w:tcW w:w="2930" w:type="dxa"/>
            <w:tcBorders>
              <w:top w:val="nil"/>
              <w:left w:val="nil"/>
              <w:bottom w:val="nil"/>
              <w:right w:val="nil"/>
            </w:tcBorders>
            <w:vAlign w:val="center"/>
            <w:hideMark/>
          </w:tcPr>
          <w:p w14:paraId="6A60A68D" w14:textId="5817783F"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Νοέμβριος</w:t>
            </w:r>
          </w:p>
        </w:tc>
        <w:tc>
          <w:tcPr>
            <w:tcW w:w="3232" w:type="dxa"/>
            <w:tcBorders>
              <w:top w:val="nil"/>
              <w:left w:val="nil"/>
              <w:bottom w:val="nil"/>
              <w:right w:val="nil"/>
            </w:tcBorders>
            <w:tcMar>
              <w:right w:w="1247" w:type="dxa"/>
            </w:tcMar>
            <w:vAlign w:val="center"/>
          </w:tcPr>
          <w:p w14:paraId="18E2616B" w14:textId="2A4E0A4A" w:rsidR="00670E5F" w:rsidRPr="002B7C38" w:rsidRDefault="00280A21" w:rsidP="008E3901">
            <w:pPr>
              <w:ind w:firstLineChars="300" w:firstLine="540"/>
              <w:jc w:val="right"/>
              <w:rPr>
                <w:rFonts w:ascii="Verdana" w:hAnsi="Verdana" w:cs="Arial"/>
                <w:color w:val="2F5496"/>
                <w:sz w:val="18"/>
                <w:szCs w:val="18"/>
              </w:rPr>
            </w:pPr>
            <w:r>
              <w:rPr>
                <w:rFonts w:ascii="Verdana" w:hAnsi="Verdana" w:cs="Arial"/>
                <w:color w:val="2F5496"/>
                <w:sz w:val="18"/>
                <w:szCs w:val="18"/>
                <w:lang w:val="el-GR"/>
              </w:rPr>
              <w:t>1.008.768</w:t>
            </w:r>
          </w:p>
        </w:tc>
        <w:tc>
          <w:tcPr>
            <w:tcW w:w="3426" w:type="dxa"/>
            <w:tcBorders>
              <w:top w:val="nil"/>
              <w:left w:val="nil"/>
              <w:bottom w:val="nil"/>
              <w:right w:val="nil"/>
            </w:tcBorders>
            <w:tcMar>
              <w:right w:w="1247" w:type="dxa"/>
            </w:tcMar>
            <w:vAlign w:val="center"/>
          </w:tcPr>
          <w:p w14:paraId="3FBFF274" w14:textId="28E9EE6D" w:rsidR="00670E5F" w:rsidRPr="00280A21" w:rsidRDefault="00280A21" w:rsidP="008E3901">
            <w:pPr>
              <w:ind w:firstLineChars="300" w:firstLine="540"/>
              <w:jc w:val="right"/>
              <w:rPr>
                <w:rFonts w:ascii="Verdana" w:hAnsi="Verdana" w:cs="Arial"/>
                <w:color w:val="2F5496"/>
                <w:sz w:val="18"/>
                <w:szCs w:val="18"/>
                <w:lang w:val="el-GR"/>
              </w:rPr>
            </w:pPr>
            <w:r>
              <w:rPr>
                <w:rFonts w:ascii="Verdana" w:hAnsi="Verdana" w:cs="Arial"/>
                <w:color w:val="2F5496"/>
                <w:sz w:val="18"/>
                <w:szCs w:val="18"/>
                <w:lang w:val="el-GR"/>
              </w:rPr>
              <w:t>345.186</w:t>
            </w:r>
          </w:p>
        </w:tc>
      </w:tr>
      <w:tr w:rsidR="00670E5F" w14:paraId="6BF11D01" w14:textId="77777777" w:rsidTr="008E3901">
        <w:trPr>
          <w:trHeight w:val="418"/>
          <w:jc w:val="center"/>
        </w:trPr>
        <w:tc>
          <w:tcPr>
            <w:tcW w:w="2930" w:type="dxa"/>
            <w:tcBorders>
              <w:top w:val="nil"/>
              <w:left w:val="nil"/>
              <w:bottom w:val="nil"/>
              <w:right w:val="nil"/>
            </w:tcBorders>
            <w:vAlign w:val="center"/>
            <w:hideMark/>
          </w:tcPr>
          <w:p w14:paraId="43BEFAD0" w14:textId="59BA9662"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Οκτώβριος</w:t>
            </w:r>
          </w:p>
        </w:tc>
        <w:tc>
          <w:tcPr>
            <w:tcW w:w="3232" w:type="dxa"/>
            <w:tcBorders>
              <w:top w:val="nil"/>
              <w:left w:val="nil"/>
              <w:bottom w:val="nil"/>
              <w:right w:val="nil"/>
            </w:tcBorders>
            <w:tcMar>
              <w:right w:w="1247" w:type="dxa"/>
            </w:tcMar>
            <w:vAlign w:val="center"/>
          </w:tcPr>
          <w:p w14:paraId="10A8CFB0" w14:textId="11E8F42F" w:rsidR="00670E5F" w:rsidRPr="002B7C38" w:rsidRDefault="00280A21" w:rsidP="008E3901">
            <w:pPr>
              <w:ind w:firstLineChars="300" w:firstLine="540"/>
              <w:jc w:val="right"/>
              <w:rPr>
                <w:rFonts w:ascii="Verdana" w:hAnsi="Verdana" w:cs="Arial"/>
                <w:color w:val="2F5496"/>
                <w:sz w:val="18"/>
                <w:szCs w:val="18"/>
              </w:rPr>
            </w:pPr>
            <w:r>
              <w:rPr>
                <w:rFonts w:ascii="Verdana" w:hAnsi="Verdana" w:cs="Arial"/>
                <w:color w:val="2F5496"/>
                <w:sz w:val="18"/>
                <w:szCs w:val="18"/>
                <w:lang w:val="el-GR"/>
              </w:rPr>
              <w:t>931.164</w:t>
            </w:r>
          </w:p>
        </w:tc>
        <w:tc>
          <w:tcPr>
            <w:tcW w:w="3426" w:type="dxa"/>
            <w:tcBorders>
              <w:top w:val="nil"/>
              <w:left w:val="nil"/>
              <w:bottom w:val="nil"/>
              <w:right w:val="nil"/>
            </w:tcBorders>
            <w:tcMar>
              <w:right w:w="1247" w:type="dxa"/>
            </w:tcMar>
            <w:vAlign w:val="center"/>
          </w:tcPr>
          <w:p w14:paraId="37344969" w14:textId="316C9614" w:rsidR="00670E5F" w:rsidRPr="00FB77EB" w:rsidRDefault="00280A21" w:rsidP="008E3901">
            <w:pPr>
              <w:ind w:firstLineChars="300" w:firstLine="540"/>
              <w:jc w:val="right"/>
              <w:rPr>
                <w:rFonts w:ascii="Verdana" w:hAnsi="Verdana" w:cs="Arial"/>
                <w:color w:val="2F5496"/>
                <w:sz w:val="18"/>
                <w:szCs w:val="18"/>
              </w:rPr>
            </w:pPr>
            <w:r>
              <w:rPr>
                <w:rFonts w:ascii="Verdana" w:hAnsi="Verdana" w:cs="Arial"/>
                <w:color w:val="2F5496"/>
                <w:sz w:val="18"/>
                <w:szCs w:val="18"/>
                <w:lang w:val="el-GR"/>
              </w:rPr>
              <w:t>417.17</w:t>
            </w:r>
            <w:r w:rsidR="00FB77EB">
              <w:rPr>
                <w:rFonts w:ascii="Verdana" w:hAnsi="Verdana" w:cs="Arial"/>
                <w:color w:val="2F5496"/>
                <w:sz w:val="18"/>
                <w:szCs w:val="18"/>
              </w:rPr>
              <w:t>2</w:t>
            </w:r>
          </w:p>
        </w:tc>
      </w:tr>
      <w:tr w:rsidR="00670E5F" w14:paraId="60C3DB49" w14:textId="77777777" w:rsidTr="008E3901">
        <w:trPr>
          <w:trHeight w:val="418"/>
          <w:jc w:val="center"/>
        </w:trPr>
        <w:tc>
          <w:tcPr>
            <w:tcW w:w="2930" w:type="dxa"/>
            <w:tcBorders>
              <w:top w:val="nil"/>
              <w:left w:val="nil"/>
              <w:bottom w:val="nil"/>
              <w:right w:val="nil"/>
            </w:tcBorders>
            <w:vAlign w:val="center"/>
            <w:hideMark/>
          </w:tcPr>
          <w:p w14:paraId="1BF2A3BB" w14:textId="53816246"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Σεπτέμβριος</w:t>
            </w:r>
          </w:p>
        </w:tc>
        <w:tc>
          <w:tcPr>
            <w:tcW w:w="3232" w:type="dxa"/>
            <w:tcBorders>
              <w:top w:val="nil"/>
              <w:left w:val="nil"/>
              <w:bottom w:val="nil"/>
              <w:right w:val="nil"/>
            </w:tcBorders>
            <w:tcMar>
              <w:right w:w="1247" w:type="dxa"/>
            </w:tcMar>
            <w:vAlign w:val="center"/>
          </w:tcPr>
          <w:p w14:paraId="467FF3DB" w14:textId="6D7783D6" w:rsidR="00670E5F" w:rsidRPr="00280A21" w:rsidRDefault="00280A21" w:rsidP="008E3901">
            <w:pPr>
              <w:ind w:firstLineChars="300" w:firstLine="540"/>
              <w:jc w:val="right"/>
              <w:rPr>
                <w:rFonts w:ascii="Verdana" w:hAnsi="Verdana" w:cs="Arial"/>
                <w:color w:val="2F5496"/>
                <w:sz w:val="18"/>
                <w:szCs w:val="18"/>
                <w:lang w:val="el-GR"/>
              </w:rPr>
            </w:pPr>
            <w:r>
              <w:rPr>
                <w:rFonts w:ascii="Verdana" w:hAnsi="Verdana" w:cs="Arial"/>
                <w:color w:val="2F5496"/>
                <w:sz w:val="18"/>
                <w:szCs w:val="18"/>
                <w:lang w:val="el-GR"/>
              </w:rPr>
              <w:t>869.426</w:t>
            </w:r>
          </w:p>
        </w:tc>
        <w:tc>
          <w:tcPr>
            <w:tcW w:w="3426" w:type="dxa"/>
            <w:tcBorders>
              <w:top w:val="nil"/>
              <w:left w:val="nil"/>
              <w:bottom w:val="nil"/>
              <w:right w:val="nil"/>
            </w:tcBorders>
            <w:tcMar>
              <w:right w:w="1247" w:type="dxa"/>
            </w:tcMar>
            <w:vAlign w:val="center"/>
          </w:tcPr>
          <w:p w14:paraId="35BAF7DE" w14:textId="2DC645DF" w:rsidR="00670E5F" w:rsidRPr="00280A21" w:rsidRDefault="00280A21" w:rsidP="008E3901">
            <w:pPr>
              <w:ind w:firstLineChars="300" w:firstLine="540"/>
              <w:jc w:val="right"/>
              <w:rPr>
                <w:rFonts w:ascii="Verdana" w:hAnsi="Verdana" w:cs="Arial"/>
                <w:color w:val="2F5496"/>
                <w:sz w:val="18"/>
                <w:szCs w:val="18"/>
                <w:lang w:val="el-GR"/>
              </w:rPr>
            </w:pPr>
            <w:r>
              <w:rPr>
                <w:rFonts w:ascii="Verdana" w:hAnsi="Verdana" w:cs="Arial"/>
                <w:color w:val="2F5496"/>
                <w:sz w:val="18"/>
                <w:szCs w:val="18"/>
                <w:lang w:val="el-GR"/>
              </w:rPr>
              <w:t>287.744</w:t>
            </w:r>
          </w:p>
        </w:tc>
      </w:tr>
      <w:tr w:rsidR="00670E5F" w14:paraId="31EE599B" w14:textId="77777777" w:rsidTr="008E3901">
        <w:trPr>
          <w:trHeight w:val="418"/>
          <w:jc w:val="center"/>
        </w:trPr>
        <w:tc>
          <w:tcPr>
            <w:tcW w:w="2930" w:type="dxa"/>
            <w:tcBorders>
              <w:top w:val="nil"/>
              <w:left w:val="nil"/>
              <w:bottom w:val="nil"/>
              <w:right w:val="nil"/>
            </w:tcBorders>
            <w:vAlign w:val="center"/>
            <w:hideMark/>
          </w:tcPr>
          <w:p w14:paraId="54C05EFA" w14:textId="73DD62F7"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Αύγουστος</w:t>
            </w:r>
          </w:p>
        </w:tc>
        <w:tc>
          <w:tcPr>
            <w:tcW w:w="3232" w:type="dxa"/>
            <w:tcBorders>
              <w:top w:val="nil"/>
              <w:left w:val="nil"/>
              <w:bottom w:val="nil"/>
              <w:right w:val="nil"/>
            </w:tcBorders>
            <w:tcMar>
              <w:right w:w="1247" w:type="dxa"/>
            </w:tcMar>
            <w:vAlign w:val="center"/>
          </w:tcPr>
          <w:p w14:paraId="73088664" w14:textId="03B90EC0" w:rsidR="00670E5F" w:rsidRPr="00650553" w:rsidRDefault="00280A21" w:rsidP="008E3901">
            <w:pPr>
              <w:jc w:val="right"/>
              <w:rPr>
                <w:rFonts w:ascii="Verdana" w:eastAsia="Malgun Gothic" w:hAnsi="Verdana" w:cs="Arial"/>
                <w:color w:val="365F91"/>
                <w:sz w:val="18"/>
                <w:szCs w:val="18"/>
              </w:rPr>
            </w:pPr>
            <w:r>
              <w:rPr>
                <w:rFonts w:ascii="Verdana" w:hAnsi="Verdana" w:cs="Arial"/>
                <w:color w:val="2F5496"/>
                <w:sz w:val="18"/>
                <w:szCs w:val="18"/>
                <w:lang w:val="el-GR"/>
              </w:rPr>
              <w:t>963.21</w:t>
            </w:r>
            <w:r w:rsidR="008C581B">
              <w:rPr>
                <w:rFonts w:ascii="Verdana" w:hAnsi="Verdana" w:cs="Arial"/>
                <w:color w:val="2F5496"/>
                <w:sz w:val="18"/>
                <w:szCs w:val="18"/>
              </w:rPr>
              <w:t>5</w:t>
            </w:r>
          </w:p>
        </w:tc>
        <w:tc>
          <w:tcPr>
            <w:tcW w:w="3426" w:type="dxa"/>
            <w:tcBorders>
              <w:top w:val="nil"/>
              <w:left w:val="nil"/>
              <w:bottom w:val="nil"/>
              <w:right w:val="nil"/>
            </w:tcBorders>
            <w:tcMar>
              <w:right w:w="1247" w:type="dxa"/>
            </w:tcMar>
            <w:vAlign w:val="center"/>
          </w:tcPr>
          <w:p w14:paraId="2918A7E9" w14:textId="40682F5B"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268.201</w:t>
            </w:r>
          </w:p>
        </w:tc>
      </w:tr>
      <w:tr w:rsidR="00670E5F" w14:paraId="10E28F30" w14:textId="77777777" w:rsidTr="008E3901">
        <w:trPr>
          <w:trHeight w:val="418"/>
          <w:jc w:val="center"/>
        </w:trPr>
        <w:tc>
          <w:tcPr>
            <w:tcW w:w="2930" w:type="dxa"/>
            <w:tcBorders>
              <w:top w:val="nil"/>
              <w:left w:val="nil"/>
              <w:bottom w:val="nil"/>
              <w:right w:val="nil"/>
            </w:tcBorders>
            <w:vAlign w:val="center"/>
            <w:hideMark/>
          </w:tcPr>
          <w:p w14:paraId="1FF05F7C" w14:textId="018740BB"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Ιούλιος</w:t>
            </w:r>
          </w:p>
        </w:tc>
        <w:tc>
          <w:tcPr>
            <w:tcW w:w="3232" w:type="dxa"/>
            <w:tcBorders>
              <w:top w:val="nil"/>
              <w:left w:val="nil"/>
              <w:bottom w:val="nil"/>
              <w:right w:val="nil"/>
            </w:tcBorders>
            <w:tcMar>
              <w:right w:w="1247" w:type="dxa"/>
            </w:tcMar>
            <w:vAlign w:val="center"/>
          </w:tcPr>
          <w:p w14:paraId="638BD928" w14:textId="2FC14508" w:rsidR="00670E5F" w:rsidRPr="00650553" w:rsidRDefault="00280A21" w:rsidP="008E3901">
            <w:pPr>
              <w:jc w:val="right"/>
              <w:rPr>
                <w:rFonts w:ascii="Verdana" w:eastAsia="Malgun Gothic" w:hAnsi="Verdana" w:cs="Arial"/>
                <w:color w:val="365F91"/>
                <w:sz w:val="18"/>
                <w:szCs w:val="18"/>
              </w:rPr>
            </w:pPr>
            <w:r>
              <w:rPr>
                <w:rFonts w:ascii="Verdana" w:hAnsi="Verdana" w:cs="Arial"/>
                <w:color w:val="2F5496"/>
                <w:sz w:val="18"/>
                <w:szCs w:val="18"/>
                <w:lang w:val="el-GR"/>
              </w:rPr>
              <w:t>1.034.17</w:t>
            </w:r>
            <w:r w:rsidR="008C581B">
              <w:rPr>
                <w:rFonts w:ascii="Verdana" w:hAnsi="Verdana" w:cs="Arial"/>
                <w:color w:val="2F5496"/>
                <w:sz w:val="18"/>
                <w:szCs w:val="18"/>
              </w:rPr>
              <w:t>0</w:t>
            </w:r>
          </w:p>
        </w:tc>
        <w:tc>
          <w:tcPr>
            <w:tcW w:w="3426" w:type="dxa"/>
            <w:tcBorders>
              <w:top w:val="nil"/>
              <w:left w:val="nil"/>
              <w:bottom w:val="nil"/>
              <w:right w:val="nil"/>
            </w:tcBorders>
            <w:tcMar>
              <w:right w:w="1247" w:type="dxa"/>
            </w:tcMar>
            <w:vAlign w:val="center"/>
          </w:tcPr>
          <w:p w14:paraId="0716CDD1" w14:textId="09EDC078"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425.272</w:t>
            </w:r>
          </w:p>
        </w:tc>
      </w:tr>
      <w:tr w:rsidR="00670E5F" w14:paraId="7F356470" w14:textId="77777777" w:rsidTr="008E3901">
        <w:trPr>
          <w:trHeight w:val="418"/>
          <w:jc w:val="center"/>
        </w:trPr>
        <w:tc>
          <w:tcPr>
            <w:tcW w:w="2930" w:type="dxa"/>
            <w:tcBorders>
              <w:top w:val="nil"/>
              <w:left w:val="nil"/>
              <w:bottom w:val="nil"/>
              <w:right w:val="nil"/>
            </w:tcBorders>
            <w:vAlign w:val="center"/>
            <w:hideMark/>
          </w:tcPr>
          <w:p w14:paraId="5E9BEA1F" w14:textId="6DD88F28"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Ιούνιος</w:t>
            </w:r>
          </w:p>
        </w:tc>
        <w:tc>
          <w:tcPr>
            <w:tcW w:w="3232" w:type="dxa"/>
            <w:tcBorders>
              <w:top w:val="nil"/>
              <w:left w:val="nil"/>
              <w:bottom w:val="nil"/>
              <w:right w:val="nil"/>
            </w:tcBorders>
            <w:tcMar>
              <w:right w:w="1247" w:type="dxa"/>
            </w:tcMar>
            <w:vAlign w:val="center"/>
          </w:tcPr>
          <w:p w14:paraId="1E717E41" w14:textId="011D6672" w:rsidR="00670E5F" w:rsidRPr="00650553" w:rsidRDefault="00280A21" w:rsidP="008E3901">
            <w:pPr>
              <w:jc w:val="right"/>
              <w:rPr>
                <w:rFonts w:ascii="Verdana" w:eastAsia="Malgun Gothic" w:hAnsi="Verdana" w:cs="Arial"/>
                <w:color w:val="365F91"/>
                <w:sz w:val="18"/>
                <w:szCs w:val="18"/>
              </w:rPr>
            </w:pPr>
            <w:r>
              <w:rPr>
                <w:rFonts w:ascii="Verdana" w:hAnsi="Verdana" w:cs="Arial"/>
                <w:color w:val="2F5496"/>
                <w:sz w:val="18"/>
                <w:szCs w:val="18"/>
                <w:lang w:val="el-GR"/>
              </w:rPr>
              <w:t>1.203.9</w:t>
            </w:r>
            <w:r w:rsidR="008C581B">
              <w:rPr>
                <w:rFonts w:ascii="Verdana" w:hAnsi="Verdana" w:cs="Arial"/>
                <w:color w:val="2F5496"/>
                <w:sz w:val="18"/>
                <w:szCs w:val="18"/>
              </w:rPr>
              <w:t>70</w:t>
            </w:r>
          </w:p>
        </w:tc>
        <w:tc>
          <w:tcPr>
            <w:tcW w:w="3426" w:type="dxa"/>
            <w:tcBorders>
              <w:top w:val="nil"/>
              <w:left w:val="nil"/>
              <w:bottom w:val="nil"/>
              <w:right w:val="nil"/>
            </w:tcBorders>
            <w:tcMar>
              <w:right w:w="1247" w:type="dxa"/>
            </w:tcMar>
            <w:vAlign w:val="center"/>
          </w:tcPr>
          <w:p w14:paraId="03055909" w14:textId="6A235B68"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293.641</w:t>
            </w:r>
          </w:p>
        </w:tc>
      </w:tr>
      <w:tr w:rsidR="00670E5F" w14:paraId="0FF2A43E" w14:textId="77777777" w:rsidTr="008E3901">
        <w:trPr>
          <w:trHeight w:val="418"/>
          <w:jc w:val="center"/>
        </w:trPr>
        <w:tc>
          <w:tcPr>
            <w:tcW w:w="2930" w:type="dxa"/>
            <w:tcBorders>
              <w:top w:val="nil"/>
              <w:left w:val="nil"/>
              <w:bottom w:val="nil"/>
              <w:right w:val="nil"/>
            </w:tcBorders>
            <w:vAlign w:val="center"/>
            <w:hideMark/>
          </w:tcPr>
          <w:p w14:paraId="3E5B2968" w14:textId="01104DCA"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Μάιος</w:t>
            </w:r>
          </w:p>
        </w:tc>
        <w:tc>
          <w:tcPr>
            <w:tcW w:w="3232" w:type="dxa"/>
            <w:tcBorders>
              <w:top w:val="nil"/>
              <w:left w:val="nil"/>
              <w:bottom w:val="nil"/>
              <w:right w:val="nil"/>
            </w:tcBorders>
            <w:tcMar>
              <w:right w:w="1247" w:type="dxa"/>
            </w:tcMar>
            <w:vAlign w:val="center"/>
          </w:tcPr>
          <w:p w14:paraId="4A5049FB" w14:textId="7008613C" w:rsidR="00670E5F" w:rsidRPr="00280A21" w:rsidRDefault="00280A21" w:rsidP="008E3901">
            <w:pPr>
              <w:jc w:val="right"/>
              <w:rPr>
                <w:rFonts w:ascii="Verdana" w:eastAsia="Malgun Gothic" w:hAnsi="Verdana" w:cs="Arial"/>
                <w:color w:val="365F91"/>
                <w:sz w:val="18"/>
                <w:szCs w:val="18"/>
                <w:lang w:val="el-GR"/>
              </w:rPr>
            </w:pPr>
            <w:r>
              <w:rPr>
                <w:rFonts w:ascii="Verdana" w:hAnsi="Verdana" w:cs="Arial"/>
                <w:color w:val="2F5496"/>
                <w:sz w:val="18"/>
                <w:szCs w:val="18"/>
                <w:lang w:val="el-GR"/>
              </w:rPr>
              <w:t>1.165.742</w:t>
            </w:r>
          </w:p>
        </w:tc>
        <w:tc>
          <w:tcPr>
            <w:tcW w:w="3426" w:type="dxa"/>
            <w:tcBorders>
              <w:top w:val="nil"/>
              <w:left w:val="nil"/>
              <w:bottom w:val="nil"/>
              <w:right w:val="nil"/>
            </w:tcBorders>
            <w:tcMar>
              <w:right w:w="1247" w:type="dxa"/>
            </w:tcMar>
            <w:vAlign w:val="center"/>
          </w:tcPr>
          <w:p w14:paraId="0532FBCD" w14:textId="2EB71CD9"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435.116</w:t>
            </w:r>
          </w:p>
        </w:tc>
      </w:tr>
      <w:tr w:rsidR="00670E5F" w14:paraId="1784E5D8" w14:textId="77777777" w:rsidTr="008E3901">
        <w:trPr>
          <w:trHeight w:val="418"/>
          <w:jc w:val="center"/>
        </w:trPr>
        <w:tc>
          <w:tcPr>
            <w:tcW w:w="2930" w:type="dxa"/>
            <w:tcBorders>
              <w:top w:val="nil"/>
              <w:left w:val="nil"/>
              <w:bottom w:val="nil"/>
              <w:right w:val="nil"/>
            </w:tcBorders>
            <w:vAlign w:val="center"/>
            <w:hideMark/>
          </w:tcPr>
          <w:p w14:paraId="6A939DE9" w14:textId="004DF674"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Απρίλιος</w:t>
            </w:r>
          </w:p>
        </w:tc>
        <w:tc>
          <w:tcPr>
            <w:tcW w:w="3232" w:type="dxa"/>
            <w:tcBorders>
              <w:top w:val="nil"/>
              <w:left w:val="nil"/>
              <w:bottom w:val="nil"/>
              <w:right w:val="nil"/>
            </w:tcBorders>
            <w:tcMar>
              <w:right w:w="1247" w:type="dxa"/>
            </w:tcMar>
            <w:vAlign w:val="center"/>
          </w:tcPr>
          <w:p w14:paraId="3C1DE71C" w14:textId="64719A44" w:rsidR="00670E5F" w:rsidRPr="00280A21" w:rsidRDefault="00280A21" w:rsidP="008E3901">
            <w:pPr>
              <w:jc w:val="right"/>
              <w:rPr>
                <w:rFonts w:ascii="Verdana" w:eastAsia="Malgun Gothic" w:hAnsi="Verdana" w:cs="Arial"/>
                <w:color w:val="365F91"/>
                <w:sz w:val="18"/>
                <w:szCs w:val="18"/>
                <w:lang w:val="el-GR"/>
              </w:rPr>
            </w:pPr>
            <w:r>
              <w:rPr>
                <w:rFonts w:ascii="Verdana" w:hAnsi="Verdana" w:cs="Arial"/>
                <w:color w:val="2F5496"/>
                <w:sz w:val="18"/>
                <w:szCs w:val="18"/>
                <w:lang w:val="el-GR"/>
              </w:rPr>
              <w:t>838.640</w:t>
            </w:r>
          </w:p>
        </w:tc>
        <w:tc>
          <w:tcPr>
            <w:tcW w:w="3426" w:type="dxa"/>
            <w:tcBorders>
              <w:top w:val="nil"/>
              <w:left w:val="nil"/>
              <w:bottom w:val="nil"/>
              <w:right w:val="nil"/>
            </w:tcBorders>
            <w:tcMar>
              <w:right w:w="1247" w:type="dxa"/>
            </w:tcMar>
            <w:vAlign w:val="center"/>
          </w:tcPr>
          <w:p w14:paraId="6237F37D" w14:textId="600E51BD"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279.026</w:t>
            </w:r>
          </w:p>
        </w:tc>
      </w:tr>
      <w:tr w:rsidR="00670E5F" w14:paraId="40D58E2E" w14:textId="77777777" w:rsidTr="008E3901">
        <w:trPr>
          <w:trHeight w:val="418"/>
          <w:jc w:val="center"/>
        </w:trPr>
        <w:tc>
          <w:tcPr>
            <w:tcW w:w="2930" w:type="dxa"/>
            <w:tcBorders>
              <w:top w:val="nil"/>
              <w:left w:val="nil"/>
              <w:bottom w:val="nil"/>
              <w:right w:val="nil"/>
            </w:tcBorders>
            <w:vAlign w:val="center"/>
            <w:hideMark/>
          </w:tcPr>
          <w:p w14:paraId="6072445E" w14:textId="2A2C3E88"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Μάρτιος</w:t>
            </w:r>
          </w:p>
        </w:tc>
        <w:tc>
          <w:tcPr>
            <w:tcW w:w="3232" w:type="dxa"/>
            <w:tcBorders>
              <w:top w:val="nil"/>
              <w:left w:val="nil"/>
              <w:bottom w:val="nil"/>
              <w:right w:val="nil"/>
            </w:tcBorders>
            <w:tcMar>
              <w:right w:w="1247" w:type="dxa"/>
            </w:tcMar>
            <w:vAlign w:val="center"/>
          </w:tcPr>
          <w:p w14:paraId="1AB5AD22" w14:textId="13D1A05F" w:rsidR="00670E5F" w:rsidRPr="00280A21" w:rsidRDefault="00280A21" w:rsidP="008E3901">
            <w:pPr>
              <w:jc w:val="right"/>
              <w:rPr>
                <w:rFonts w:ascii="Verdana" w:eastAsia="Malgun Gothic" w:hAnsi="Verdana" w:cs="Arial"/>
                <w:color w:val="365F91"/>
                <w:sz w:val="18"/>
                <w:szCs w:val="18"/>
                <w:lang w:val="el-GR"/>
              </w:rPr>
            </w:pPr>
            <w:r>
              <w:rPr>
                <w:rFonts w:ascii="Verdana" w:hAnsi="Verdana" w:cs="Arial"/>
                <w:color w:val="2F5496"/>
                <w:sz w:val="18"/>
                <w:szCs w:val="18"/>
                <w:lang w:val="el-GR"/>
              </w:rPr>
              <w:t>978.975</w:t>
            </w:r>
          </w:p>
        </w:tc>
        <w:tc>
          <w:tcPr>
            <w:tcW w:w="3426" w:type="dxa"/>
            <w:tcBorders>
              <w:top w:val="nil"/>
              <w:left w:val="nil"/>
              <w:bottom w:val="nil"/>
              <w:right w:val="nil"/>
            </w:tcBorders>
            <w:tcMar>
              <w:right w:w="1247" w:type="dxa"/>
            </w:tcMar>
            <w:vAlign w:val="center"/>
          </w:tcPr>
          <w:p w14:paraId="46BFA2CE" w14:textId="29E364A5"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324.377</w:t>
            </w:r>
          </w:p>
        </w:tc>
      </w:tr>
      <w:tr w:rsidR="00670E5F" w14:paraId="53222ECC" w14:textId="77777777" w:rsidTr="008E3901">
        <w:trPr>
          <w:trHeight w:val="418"/>
          <w:jc w:val="center"/>
        </w:trPr>
        <w:tc>
          <w:tcPr>
            <w:tcW w:w="2930" w:type="dxa"/>
            <w:tcBorders>
              <w:top w:val="nil"/>
              <w:left w:val="nil"/>
              <w:bottom w:val="nil"/>
              <w:right w:val="nil"/>
            </w:tcBorders>
            <w:vAlign w:val="center"/>
            <w:hideMark/>
          </w:tcPr>
          <w:p w14:paraId="5BBC5047" w14:textId="62052AA0" w:rsidR="00670E5F" w:rsidRDefault="00670E5F" w:rsidP="00670E5F">
            <w:pPr>
              <w:ind w:left="680"/>
              <w:rPr>
                <w:rFonts w:ascii="Verdana" w:eastAsia="Malgun Gothic" w:hAnsi="Verdana" w:cs="Arial"/>
                <w:color w:val="365F91"/>
                <w:sz w:val="18"/>
                <w:szCs w:val="18"/>
                <w:lang w:val="el-GR"/>
              </w:rPr>
            </w:pPr>
            <w:r w:rsidRPr="006A19D6">
              <w:rPr>
                <w:rFonts w:ascii="Verdana" w:eastAsia="Malgun Gothic" w:hAnsi="Verdana" w:cs="Arial"/>
                <w:color w:val="365F91"/>
                <w:sz w:val="18"/>
                <w:szCs w:val="18"/>
                <w:lang w:val="el-GR"/>
              </w:rPr>
              <w:t>Φεβρουάριος</w:t>
            </w:r>
          </w:p>
        </w:tc>
        <w:tc>
          <w:tcPr>
            <w:tcW w:w="3232" w:type="dxa"/>
            <w:tcBorders>
              <w:top w:val="nil"/>
              <w:left w:val="nil"/>
              <w:bottom w:val="nil"/>
              <w:right w:val="nil"/>
            </w:tcBorders>
            <w:tcMar>
              <w:right w:w="1247" w:type="dxa"/>
            </w:tcMar>
            <w:vAlign w:val="center"/>
          </w:tcPr>
          <w:p w14:paraId="62609E44" w14:textId="25BFBD39" w:rsidR="00670E5F" w:rsidRPr="00280A21" w:rsidRDefault="00280A21" w:rsidP="008E3901">
            <w:pPr>
              <w:jc w:val="right"/>
              <w:rPr>
                <w:rFonts w:ascii="Verdana" w:eastAsia="Malgun Gothic" w:hAnsi="Verdana" w:cs="Arial"/>
                <w:color w:val="365F91"/>
                <w:sz w:val="18"/>
                <w:szCs w:val="18"/>
                <w:lang w:val="el-GR"/>
              </w:rPr>
            </w:pPr>
            <w:r>
              <w:rPr>
                <w:rFonts w:ascii="Verdana" w:hAnsi="Verdana" w:cs="Arial"/>
                <w:color w:val="2F5496"/>
                <w:sz w:val="18"/>
                <w:szCs w:val="18"/>
                <w:lang w:val="el-GR"/>
              </w:rPr>
              <w:t>736.253</w:t>
            </w:r>
          </w:p>
        </w:tc>
        <w:tc>
          <w:tcPr>
            <w:tcW w:w="3426" w:type="dxa"/>
            <w:tcBorders>
              <w:top w:val="nil"/>
              <w:left w:val="nil"/>
              <w:bottom w:val="nil"/>
              <w:right w:val="nil"/>
            </w:tcBorders>
            <w:tcMar>
              <w:right w:w="1247" w:type="dxa"/>
            </w:tcMar>
            <w:vAlign w:val="center"/>
          </w:tcPr>
          <w:p w14:paraId="2FA474D0" w14:textId="7377F99C"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300.875</w:t>
            </w:r>
          </w:p>
        </w:tc>
      </w:tr>
      <w:tr w:rsidR="00670E5F" w14:paraId="237D1F5B" w14:textId="77777777" w:rsidTr="008E3901">
        <w:trPr>
          <w:trHeight w:val="418"/>
          <w:jc w:val="center"/>
        </w:trPr>
        <w:tc>
          <w:tcPr>
            <w:tcW w:w="2930" w:type="dxa"/>
            <w:tcBorders>
              <w:top w:val="nil"/>
              <w:left w:val="nil"/>
              <w:bottom w:val="nil"/>
              <w:right w:val="nil"/>
            </w:tcBorders>
            <w:vAlign w:val="center"/>
            <w:hideMark/>
          </w:tcPr>
          <w:p w14:paraId="616A1CC7" w14:textId="56EC4D68" w:rsidR="00670E5F" w:rsidRDefault="00670E5F" w:rsidP="00670E5F">
            <w:pPr>
              <w:ind w:left="680"/>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Ιανουάριος</w:t>
            </w:r>
          </w:p>
        </w:tc>
        <w:tc>
          <w:tcPr>
            <w:tcW w:w="3232" w:type="dxa"/>
            <w:tcBorders>
              <w:top w:val="nil"/>
              <w:left w:val="nil"/>
              <w:bottom w:val="nil"/>
              <w:right w:val="nil"/>
            </w:tcBorders>
            <w:tcMar>
              <w:right w:w="1247" w:type="dxa"/>
            </w:tcMar>
            <w:vAlign w:val="center"/>
          </w:tcPr>
          <w:p w14:paraId="3EDEE1E0" w14:textId="2A73563A" w:rsidR="00670E5F" w:rsidRPr="008C581B" w:rsidRDefault="00280A21" w:rsidP="008E3901">
            <w:pPr>
              <w:jc w:val="right"/>
              <w:rPr>
                <w:rFonts w:ascii="Verdana" w:eastAsia="Malgun Gothic" w:hAnsi="Verdana" w:cs="Arial"/>
                <w:color w:val="365F91"/>
                <w:sz w:val="18"/>
                <w:szCs w:val="18"/>
              </w:rPr>
            </w:pPr>
            <w:r>
              <w:rPr>
                <w:rFonts w:ascii="Verdana" w:hAnsi="Verdana" w:cs="Arial"/>
                <w:color w:val="2F5496"/>
                <w:sz w:val="18"/>
                <w:szCs w:val="18"/>
                <w:lang w:val="el-GR"/>
              </w:rPr>
              <w:t>751.1</w:t>
            </w:r>
            <w:r w:rsidR="008C581B">
              <w:rPr>
                <w:rFonts w:ascii="Verdana" w:hAnsi="Verdana" w:cs="Arial"/>
                <w:color w:val="2F5496"/>
                <w:sz w:val="18"/>
                <w:szCs w:val="18"/>
              </w:rPr>
              <w:t>70</w:t>
            </w:r>
          </w:p>
        </w:tc>
        <w:tc>
          <w:tcPr>
            <w:tcW w:w="3426" w:type="dxa"/>
            <w:tcBorders>
              <w:top w:val="nil"/>
              <w:left w:val="nil"/>
              <w:bottom w:val="nil"/>
              <w:right w:val="nil"/>
            </w:tcBorders>
            <w:tcMar>
              <w:right w:w="1247" w:type="dxa"/>
            </w:tcMar>
            <w:vAlign w:val="center"/>
          </w:tcPr>
          <w:p w14:paraId="078C1137" w14:textId="4FDE124C" w:rsidR="00670E5F" w:rsidRPr="00280A21" w:rsidRDefault="00280A21" w:rsidP="008E3901">
            <w:pPr>
              <w:jc w:val="right"/>
              <w:rPr>
                <w:rFonts w:ascii="Verdana" w:eastAsia="Malgun Gothic" w:hAnsi="Verdana" w:cs="Arial"/>
                <w:color w:val="365F91"/>
                <w:sz w:val="18"/>
                <w:szCs w:val="18"/>
                <w:lang w:val="el-GR"/>
              </w:rPr>
            </w:pPr>
            <w:r>
              <w:rPr>
                <w:rFonts w:ascii="Verdana" w:eastAsia="Malgun Gothic" w:hAnsi="Verdana" w:cs="Arial"/>
                <w:color w:val="365F91"/>
                <w:sz w:val="18"/>
                <w:szCs w:val="18"/>
                <w:lang w:val="el-GR"/>
              </w:rPr>
              <w:t>222.399</w:t>
            </w:r>
          </w:p>
        </w:tc>
      </w:tr>
      <w:tr w:rsidR="00BF03D1" w:rsidRPr="00BE6DAB" w14:paraId="4025CE6D" w14:textId="77777777" w:rsidTr="008E3901">
        <w:trPr>
          <w:trHeight w:val="533"/>
          <w:jc w:val="center"/>
        </w:trPr>
        <w:tc>
          <w:tcPr>
            <w:tcW w:w="9588" w:type="dxa"/>
            <w:gridSpan w:val="3"/>
            <w:tcBorders>
              <w:top w:val="single" w:sz="4" w:space="0" w:color="365F91"/>
              <w:left w:val="nil"/>
              <w:bottom w:val="nil"/>
              <w:right w:val="nil"/>
            </w:tcBorders>
            <w:vAlign w:val="center"/>
          </w:tcPr>
          <w:p w14:paraId="1228BEA1" w14:textId="22E834AE" w:rsidR="00BF03D1" w:rsidRPr="004E13E2" w:rsidRDefault="00BF03D1" w:rsidP="00BF03D1">
            <w:pPr>
              <w:rPr>
                <w:rFonts w:ascii="Verdana" w:eastAsia="Malgun Gothic" w:hAnsi="Verdana" w:cs="Arial"/>
                <w:color w:val="2F5496"/>
                <w:sz w:val="16"/>
                <w:szCs w:val="16"/>
                <w:lang w:val="el-GR"/>
              </w:rPr>
            </w:pPr>
            <w:r w:rsidRPr="00D60CB5">
              <w:rPr>
                <w:rFonts w:ascii="Verdana" w:eastAsia="Malgun Gothic" w:hAnsi="Verdana" w:cs="Arial"/>
                <w:color w:val="2F5496"/>
                <w:sz w:val="16"/>
                <w:szCs w:val="16"/>
                <w:lang w:val="el-GR"/>
              </w:rPr>
              <w:t xml:space="preserve">Σημείωση: </w:t>
            </w:r>
            <w:r w:rsidRPr="00D60CB5">
              <w:rPr>
                <w:rFonts w:ascii="Verdana" w:hAnsi="Verdana"/>
                <w:color w:val="2F5496"/>
                <w:sz w:val="16"/>
                <w:szCs w:val="16"/>
                <w:shd w:val="clear" w:color="auto" w:fill="FFFFFF"/>
                <w:lang w:val="el-GR"/>
              </w:rPr>
              <w:t xml:space="preserve">Τα στοιχεία </w:t>
            </w:r>
            <w:r w:rsidR="00670E5F">
              <w:rPr>
                <w:rFonts w:ascii="Verdana" w:hAnsi="Verdana"/>
                <w:color w:val="2F5496"/>
                <w:sz w:val="16"/>
                <w:szCs w:val="16"/>
                <w:shd w:val="clear" w:color="auto" w:fill="FFFFFF"/>
                <w:lang w:val="el-GR"/>
              </w:rPr>
              <w:t xml:space="preserve">του έτους </w:t>
            </w:r>
            <w:r w:rsidRPr="00D60CB5">
              <w:rPr>
                <w:rFonts w:ascii="Verdana" w:hAnsi="Verdana"/>
                <w:color w:val="2F5496"/>
                <w:sz w:val="16"/>
                <w:szCs w:val="16"/>
                <w:shd w:val="clear" w:color="auto" w:fill="FFFFFF"/>
                <w:lang w:val="el-GR"/>
              </w:rPr>
              <w:t xml:space="preserve">2022 </w:t>
            </w:r>
            <w:r w:rsidR="00F5718D" w:rsidRPr="00D60CB5">
              <w:rPr>
                <w:rFonts w:ascii="Verdana" w:hAnsi="Verdana"/>
                <w:color w:val="2F5496"/>
                <w:sz w:val="16"/>
                <w:szCs w:val="16"/>
                <w:shd w:val="clear" w:color="auto" w:fill="FFFFFF"/>
                <w:lang w:val="el-GR"/>
              </w:rPr>
              <w:t>έχουν</w:t>
            </w:r>
            <w:r w:rsidRPr="00D60CB5">
              <w:rPr>
                <w:rFonts w:ascii="Verdana" w:hAnsi="Verdana"/>
                <w:color w:val="2F5496"/>
                <w:sz w:val="16"/>
                <w:szCs w:val="16"/>
                <w:shd w:val="clear" w:color="auto" w:fill="FFFFFF"/>
                <w:lang w:val="el-GR"/>
              </w:rPr>
              <w:t xml:space="preserve"> αναθεωρη</w:t>
            </w:r>
            <w:r w:rsidR="00F5718D" w:rsidRPr="00D60CB5">
              <w:rPr>
                <w:rFonts w:ascii="Verdana" w:hAnsi="Verdana"/>
                <w:color w:val="2F5496"/>
                <w:sz w:val="16"/>
                <w:szCs w:val="16"/>
                <w:shd w:val="clear" w:color="auto" w:fill="FFFFFF"/>
                <w:lang w:val="el-GR"/>
              </w:rPr>
              <w:t>θεί. Τ</w:t>
            </w:r>
            <w:r w:rsidRPr="00D60CB5">
              <w:rPr>
                <w:rFonts w:ascii="Verdana" w:hAnsi="Verdana"/>
                <w:color w:val="2F5496"/>
                <w:sz w:val="16"/>
                <w:szCs w:val="16"/>
                <w:shd w:val="clear" w:color="auto" w:fill="FFFFFF"/>
                <w:lang w:val="el-GR"/>
              </w:rPr>
              <w:t xml:space="preserve">α στοιχεία </w:t>
            </w:r>
            <w:r w:rsidR="00670E5F">
              <w:rPr>
                <w:rFonts w:ascii="Verdana" w:hAnsi="Verdana"/>
                <w:color w:val="2F5496"/>
                <w:sz w:val="16"/>
                <w:szCs w:val="16"/>
                <w:shd w:val="clear" w:color="auto" w:fill="FFFFFF"/>
                <w:lang w:val="el-GR"/>
              </w:rPr>
              <w:t>Ιανουαρίου</w:t>
            </w:r>
            <w:r w:rsidRPr="00D60CB5">
              <w:rPr>
                <w:rFonts w:ascii="Verdana" w:hAnsi="Verdana"/>
                <w:color w:val="2F5496"/>
                <w:sz w:val="16"/>
                <w:szCs w:val="16"/>
                <w:shd w:val="clear" w:color="auto" w:fill="FFFFFF"/>
                <w:lang w:val="el-GR"/>
              </w:rPr>
              <w:t xml:space="preserve"> 202</w:t>
            </w:r>
            <w:r w:rsidR="00670E5F">
              <w:rPr>
                <w:rFonts w:ascii="Verdana" w:hAnsi="Verdana"/>
                <w:color w:val="2F5496"/>
                <w:sz w:val="16"/>
                <w:szCs w:val="16"/>
                <w:shd w:val="clear" w:color="auto" w:fill="FFFFFF"/>
                <w:lang w:val="el-GR"/>
              </w:rPr>
              <w:t>3</w:t>
            </w:r>
            <w:r w:rsidRPr="00D60CB5">
              <w:rPr>
                <w:rFonts w:ascii="Verdana" w:hAnsi="Verdana"/>
                <w:color w:val="2F5496"/>
                <w:sz w:val="16"/>
                <w:szCs w:val="16"/>
                <w:shd w:val="clear" w:color="auto" w:fill="FFFFFF"/>
                <w:lang w:val="el-GR"/>
              </w:rPr>
              <w:t xml:space="preserve"> είναι προκαταρκτικά.</w:t>
            </w:r>
          </w:p>
        </w:tc>
      </w:tr>
      <w:bookmarkEnd w:id="0"/>
    </w:tbl>
    <w:p w14:paraId="1B3210F7" w14:textId="77777777" w:rsidR="00EC2E65" w:rsidRDefault="00EC2E65" w:rsidP="000E4CB0">
      <w:pPr>
        <w:jc w:val="both"/>
        <w:rPr>
          <w:rFonts w:ascii="Verdana" w:hAnsi="Verdana" w:cs="Arial"/>
          <w:sz w:val="18"/>
          <w:szCs w:val="18"/>
          <w:lang w:val="el-GR"/>
        </w:rPr>
      </w:pPr>
    </w:p>
    <w:p w14:paraId="22C70BE1" w14:textId="491F6DF6" w:rsidR="001712CF" w:rsidRDefault="001712CF" w:rsidP="000E4CB0">
      <w:pPr>
        <w:jc w:val="both"/>
        <w:rPr>
          <w:rFonts w:ascii="Verdana" w:hAnsi="Verdana" w:cs="Arial"/>
          <w:sz w:val="18"/>
          <w:szCs w:val="18"/>
          <w:lang w:val="el-GR"/>
        </w:rPr>
      </w:pPr>
    </w:p>
    <w:p w14:paraId="55CA4B2F" w14:textId="4CB33B97" w:rsidR="001712CF" w:rsidRDefault="001712CF" w:rsidP="000E4CB0">
      <w:pPr>
        <w:jc w:val="both"/>
        <w:rPr>
          <w:rFonts w:ascii="Verdana" w:hAnsi="Verdana" w:cs="Arial"/>
          <w:sz w:val="18"/>
          <w:szCs w:val="18"/>
          <w:lang w:val="el-GR"/>
        </w:rPr>
      </w:pPr>
    </w:p>
    <w:p w14:paraId="1301F0D1" w14:textId="4C80370D" w:rsidR="001712CF" w:rsidRDefault="001712CF" w:rsidP="000E4CB0">
      <w:pPr>
        <w:jc w:val="both"/>
        <w:rPr>
          <w:rFonts w:ascii="Verdana" w:hAnsi="Verdana" w:cs="Arial"/>
          <w:sz w:val="18"/>
          <w:szCs w:val="18"/>
          <w:lang w:val="el-GR"/>
        </w:rPr>
      </w:pPr>
    </w:p>
    <w:p w14:paraId="6DCCBF3E" w14:textId="62D19F56" w:rsidR="001712CF" w:rsidRDefault="001712CF" w:rsidP="000E4CB0">
      <w:pPr>
        <w:jc w:val="both"/>
        <w:rPr>
          <w:rFonts w:ascii="Verdana" w:hAnsi="Verdana" w:cs="Arial"/>
          <w:sz w:val="18"/>
          <w:szCs w:val="18"/>
          <w:lang w:val="el-GR"/>
        </w:rPr>
      </w:pPr>
    </w:p>
    <w:p w14:paraId="1EDAA326" w14:textId="56B3E026" w:rsidR="001712CF" w:rsidRDefault="001712CF" w:rsidP="000E4CB0">
      <w:pPr>
        <w:jc w:val="both"/>
        <w:rPr>
          <w:rFonts w:ascii="Verdana" w:hAnsi="Verdana" w:cs="Arial"/>
          <w:sz w:val="18"/>
          <w:szCs w:val="18"/>
          <w:lang w:val="el-GR"/>
        </w:rPr>
      </w:pPr>
    </w:p>
    <w:p w14:paraId="4DAAF921" w14:textId="33245356" w:rsidR="00507EE8" w:rsidRDefault="00507EE8" w:rsidP="000E4CB0">
      <w:pPr>
        <w:jc w:val="both"/>
        <w:rPr>
          <w:rFonts w:ascii="Verdana" w:hAnsi="Verdana" w:cs="Arial"/>
          <w:sz w:val="18"/>
          <w:szCs w:val="18"/>
          <w:lang w:val="el-GR"/>
        </w:rPr>
      </w:pPr>
    </w:p>
    <w:p w14:paraId="139DD6BF" w14:textId="29442253" w:rsidR="00507EE8" w:rsidRDefault="00507EE8" w:rsidP="000E4CB0">
      <w:pPr>
        <w:jc w:val="both"/>
        <w:rPr>
          <w:rFonts w:ascii="Verdana" w:hAnsi="Verdana" w:cs="Arial"/>
          <w:sz w:val="18"/>
          <w:szCs w:val="18"/>
          <w:lang w:val="el-GR"/>
        </w:rPr>
      </w:pPr>
    </w:p>
    <w:p w14:paraId="35E581D3" w14:textId="40B253EB" w:rsidR="00507EE8" w:rsidRDefault="00507EE8" w:rsidP="000E4CB0">
      <w:pPr>
        <w:jc w:val="both"/>
        <w:rPr>
          <w:rFonts w:ascii="Verdana" w:hAnsi="Verdana" w:cs="Arial"/>
          <w:sz w:val="18"/>
          <w:szCs w:val="18"/>
          <w:lang w:val="el-GR"/>
        </w:rPr>
      </w:pPr>
    </w:p>
    <w:p w14:paraId="144A372A" w14:textId="7E330319" w:rsidR="00507EE8" w:rsidRDefault="00507EE8" w:rsidP="000E4CB0">
      <w:pPr>
        <w:jc w:val="both"/>
        <w:rPr>
          <w:rFonts w:ascii="Verdana" w:hAnsi="Verdana" w:cs="Arial"/>
          <w:sz w:val="18"/>
          <w:szCs w:val="18"/>
          <w:lang w:val="el-GR"/>
        </w:rPr>
      </w:pPr>
    </w:p>
    <w:p w14:paraId="060AC2CF" w14:textId="65E021E4" w:rsidR="00507EE8" w:rsidRDefault="00507EE8" w:rsidP="000E4CB0">
      <w:pPr>
        <w:jc w:val="both"/>
        <w:rPr>
          <w:rFonts w:ascii="Verdana" w:hAnsi="Verdana" w:cs="Arial"/>
          <w:sz w:val="18"/>
          <w:szCs w:val="18"/>
          <w:lang w:val="el-GR"/>
        </w:rPr>
      </w:pPr>
    </w:p>
    <w:p w14:paraId="6281057D" w14:textId="0ABC6833" w:rsidR="00507EE8" w:rsidRDefault="00507EE8" w:rsidP="000E4CB0">
      <w:pPr>
        <w:jc w:val="both"/>
        <w:rPr>
          <w:rFonts w:ascii="Verdana" w:hAnsi="Verdana" w:cs="Arial"/>
          <w:sz w:val="18"/>
          <w:szCs w:val="18"/>
          <w:lang w:val="el-GR"/>
        </w:rPr>
      </w:pPr>
    </w:p>
    <w:p w14:paraId="78F6338E" w14:textId="1824D649" w:rsidR="00507EE8" w:rsidRDefault="00507EE8" w:rsidP="000E4CB0">
      <w:pPr>
        <w:jc w:val="both"/>
        <w:rPr>
          <w:rFonts w:ascii="Verdana" w:hAnsi="Verdana" w:cs="Arial"/>
          <w:sz w:val="18"/>
          <w:szCs w:val="18"/>
          <w:lang w:val="el-GR"/>
        </w:rPr>
      </w:pPr>
    </w:p>
    <w:p w14:paraId="583D6032" w14:textId="45A0486A" w:rsidR="00507EE8" w:rsidRDefault="00507EE8" w:rsidP="000E4CB0">
      <w:pPr>
        <w:jc w:val="both"/>
        <w:rPr>
          <w:rFonts w:ascii="Verdana" w:hAnsi="Verdana" w:cs="Arial"/>
          <w:sz w:val="18"/>
          <w:szCs w:val="18"/>
          <w:lang w:val="el-GR"/>
        </w:rPr>
      </w:pPr>
    </w:p>
    <w:p w14:paraId="3106D3B7" w14:textId="6DF4D8B6" w:rsidR="00507EE8" w:rsidRDefault="00507EE8" w:rsidP="000E4CB0">
      <w:pPr>
        <w:jc w:val="both"/>
        <w:rPr>
          <w:rFonts w:ascii="Verdana" w:hAnsi="Verdana" w:cs="Arial"/>
          <w:sz w:val="18"/>
          <w:szCs w:val="18"/>
          <w:lang w:val="el-GR"/>
        </w:rPr>
      </w:pPr>
    </w:p>
    <w:p w14:paraId="652AB806" w14:textId="32E2AC66" w:rsidR="00507EE8" w:rsidRDefault="00507EE8" w:rsidP="000E4CB0">
      <w:pPr>
        <w:jc w:val="both"/>
        <w:rPr>
          <w:rFonts w:ascii="Verdana" w:hAnsi="Verdana" w:cs="Arial"/>
          <w:sz w:val="18"/>
          <w:szCs w:val="18"/>
          <w:lang w:val="el-GR"/>
        </w:rPr>
      </w:pPr>
    </w:p>
    <w:p w14:paraId="3CFCA650" w14:textId="43851C0F" w:rsidR="00507EE8" w:rsidRDefault="00507EE8" w:rsidP="000E4CB0">
      <w:pPr>
        <w:jc w:val="both"/>
        <w:rPr>
          <w:rFonts w:ascii="Verdana" w:hAnsi="Verdana" w:cs="Arial"/>
          <w:sz w:val="18"/>
          <w:szCs w:val="18"/>
          <w:lang w:val="el-GR"/>
        </w:rPr>
      </w:pPr>
    </w:p>
    <w:p w14:paraId="649252D9" w14:textId="5C814225" w:rsidR="00507EE8" w:rsidRDefault="00507EE8" w:rsidP="000E4CB0">
      <w:pPr>
        <w:jc w:val="both"/>
        <w:rPr>
          <w:rFonts w:ascii="Verdana" w:hAnsi="Verdana" w:cs="Arial"/>
          <w:sz w:val="18"/>
          <w:szCs w:val="18"/>
          <w:lang w:val="el-GR"/>
        </w:rPr>
      </w:pPr>
    </w:p>
    <w:p w14:paraId="65D3742F" w14:textId="7C1D1ABE" w:rsidR="00507EE8" w:rsidRDefault="00507EE8" w:rsidP="000E4CB0">
      <w:pPr>
        <w:jc w:val="both"/>
        <w:rPr>
          <w:rFonts w:ascii="Verdana" w:hAnsi="Verdana" w:cs="Arial"/>
          <w:sz w:val="18"/>
          <w:szCs w:val="18"/>
          <w:lang w:val="el-GR"/>
        </w:rPr>
      </w:pPr>
    </w:p>
    <w:p w14:paraId="0397EBE7" w14:textId="7641C093" w:rsidR="00507EE8" w:rsidRDefault="00507EE8" w:rsidP="000E4CB0">
      <w:pPr>
        <w:jc w:val="both"/>
        <w:rPr>
          <w:rFonts w:ascii="Verdana" w:hAnsi="Verdana" w:cs="Arial"/>
          <w:sz w:val="18"/>
          <w:szCs w:val="18"/>
          <w:lang w:val="el-GR"/>
        </w:rPr>
      </w:pPr>
    </w:p>
    <w:p w14:paraId="5385C86E" w14:textId="4E66F5B5" w:rsidR="00507EE8" w:rsidRDefault="00507EE8" w:rsidP="000E4CB0">
      <w:pPr>
        <w:jc w:val="both"/>
        <w:rPr>
          <w:rFonts w:ascii="Verdana" w:hAnsi="Verdana" w:cs="Arial"/>
          <w:sz w:val="18"/>
          <w:szCs w:val="18"/>
          <w:lang w:val="el-GR"/>
        </w:rPr>
      </w:pPr>
    </w:p>
    <w:p w14:paraId="5EED011C" w14:textId="45507FA4" w:rsidR="00507EE8" w:rsidRDefault="00507EE8" w:rsidP="000E4CB0">
      <w:pPr>
        <w:jc w:val="both"/>
        <w:rPr>
          <w:rFonts w:ascii="Verdana" w:hAnsi="Verdana" w:cs="Arial"/>
          <w:sz w:val="18"/>
          <w:szCs w:val="18"/>
          <w:lang w:val="el-GR"/>
        </w:rPr>
      </w:pPr>
    </w:p>
    <w:p w14:paraId="3C3D82B5" w14:textId="77777777" w:rsidR="00507EE8" w:rsidRDefault="00507EE8" w:rsidP="000E4CB0">
      <w:pPr>
        <w:jc w:val="both"/>
        <w:rPr>
          <w:rFonts w:ascii="Verdana" w:hAnsi="Verdana" w:cs="Arial"/>
          <w:sz w:val="18"/>
          <w:szCs w:val="18"/>
          <w:lang w:val="el-GR"/>
        </w:rPr>
      </w:pPr>
    </w:p>
    <w:p w14:paraId="71573331" w14:textId="3953C2E8" w:rsidR="001712CF" w:rsidRDefault="001712CF" w:rsidP="000E4CB0">
      <w:pPr>
        <w:jc w:val="both"/>
        <w:rPr>
          <w:rFonts w:ascii="Verdana" w:hAnsi="Verdana" w:cs="Arial"/>
          <w:sz w:val="18"/>
          <w:szCs w:val="18"/>
          <w:lang w:val="el-GR"/>
        </w:rPr>
      </w:pPr>
    </w:p>
    <w:p w14:paraId="5D690B88" w14:textId="21EC44AA" w:rsidR="001712CF" w:rsidRDefault="001712CF" w:rsidP="000E4CB0">
      <w:pPr>
        <w:jc w:val="both"/>
        <w:rPr>
          <w:rFonts w:ascii="Verdana" w:hAnsi="Verdana" w:cs="Arial"/>
          <w:sz w:val="18"/>
          <w:szCs w:val="18"/>
          <w:lang w:val="el-GR"/>
        </w:rPr>
      </w:pPr>
    </w:p>
    <w:p w14:paraId="0012E296" w14:textId="6F8B4A23" w:rsidR="001712CF" w:rsidRDefault="001712CF" w:rsidP="000E4CB0">
      <w:pPr>
        <w:jc w:val="both"/>
        <w:rPr>
          <w:rFonts w:ascii="Verdana" w:hAnsi="Verdana" w:cs="Arial"/>
          <w:sz w:val="18"/>
          <w:szCs w:val="18"/>
          <w:lang w:val="el-GR"/>
        </w:rPr>
      </w:pPr>
    </w:p>
    <w:p w14:paraId="4DA82304" w14:textId="46543322" w:rsidR="001712CF" w:rsidRDefault="001712CF" w:rsidP="000E4CB0">
      <w:pPr>
        <w:jc w:val="both"/>
        <w:rPr>
          <w:rFonts w:ascii="Verdana" w:hAnsi="Verdana" w:cs="Arial"/>
          <w:sz w:val="18"/>
          <w:szCs w:val="18"/>
          <w:lang w:val="el-GR"/>
        </w:rPr>
      </w:pPr>
    </w:p>
    <w:p w14:paraId="273A81A9" w14:textId="0A8CEFDD" w:rsidR="001712CF" w:rsidRDefault="001712CF" w:rsidP="000E4CB0">
      <w:pPr>
        <w:jc w:val="both"/>
        <w:rPr>
          <w:rFonts w:ascii="Verdana" w:hAnsi="Verdana" w:cs="Arial"/>
          <w:sz w:val="18"/>
          <w:szCs w:val="18"/>
          <w:lang w:val="el-GR"/>
        </w:rPr>
      </w:pPr>
    </w:p>
    <w:p w14:paraId="5BDA9EFD" w14:textId="6D124878" w:rsidR="001712CF" w:rsidRDefault="001712CF" w:rsidP="000E4CB0">
      <w:pPr>
        <w:jc w:val="both"/>
        <w:rPr>
          <w:rFonts w:ascii="Verdana" w:hAnsi="Verdana" w:cs="Arial"/>
          <w:sz w:val="18"/>
          <w:szCs w:val="18"/>
          <w:lang w:val="el-GR"/>
        </w:rPr>
      </w:pPr>
    </w:p>
    <w:p w14:paraId="71730765" w14:textId="64EFABCB" w:rsidR="001712CF" w:rsidRDefault="001712CF" w:rsidP="000E4CB0">
      <w:pPr>
        <w:jc w:val="both"/>
        <w:rPr>
          <w:rFonts w:ascii="Verdana" w:hAnsi="Verdana" w:cs="Arial"/>
          <w:sz w:val="18"/>
          <w:szCs w:val="18"/>
          <w:lang w:val="el-GR"/>
        </w:rPr>
      </w:pPr>
    </w:p>
    <w:p w14:paraId="105EE929" w14:textId="24239546" w:rsidR="001712CF" w:rsidRDefault="001712CF" w:rsidP="000E4CB0">
      <w:pPr>
        <w:jc w:val="both"/>
        <w:rPr>
          <w:rFonts w:ascii="Verdana" w:hAnsi="Verdana" w:cs="Arial"/>
          <w:sz w:val="18"/>
          <w:szCs w:val="18"/>
          <w:lang w:val="el-GR"/>
        </w:rPr>
      </w:pPr>
    </w:p>
    <w:p w14:paraId="04226DEF" w14:textId="37E01296" w:rsidR="001712CF" w:rsidRDefault="001712CF" w:rsidP="000E4CB0">
      <w:pPr>
        <w:jc w:val="both"/>
        <w:rPr>
          <w:rFonts w:ascii="Verdana" w:hAnsi="Verdana" w:cs="Arial"/>
          <w:sz w:val="18"/>
          <w:szCs w:val="18"/>
          <w:lang w:val="el-GR"/>
        </w:rPr>
      </w:pPr>
    </w:p>
    <w:p w14:paraId="6364E34C" w14:textId="77777777" w:rsidR="00176F99" w:rsidRPr="007C7BBA" w:rsidRDefault="00176F99" w:rsidP="00176F99">
      <w:pPr>
        <w:tabs>
          <w:tab w:val="left" w:pos="1080"/>
          <w:tab w:val="left" w:pos="6840"/>
        </w:tabs>
        <w:jc w:val="center"/>
        <w:rPr>
          <w:rFonts w:ascii="Verdana" w:eastAsia="Malgun Gothic" w:hAnsi="Verdana" w:cs="Arial"/>
          <w:b/>
          <w:u w:val="single"/>
          <w:lang w:val="el-GR"/>
        </w:rPr>
      </w:pPr>
      <w:r w:rsidRPr="007C7BBA">
        <w:rPr>
          <w:rFonts w:ascii="Verdana" w:eastAsia="Malgun Gothic" w:hAnsi="Verdana" w:cs="Arial"/>
          <w:b/>
          <w:u w:val="single"/>
          <w:lang w:val="el-GR"/>
        </w:rPr>
        <w:t>ΜΕΘΟΔΟΛΟΓΙΚΕΣ ΠΛΗΡΟΦΟΡΙΕΣ</w:t>
      </w:r>
    </w:p>
    <w:p w14:paraId="3070B37A" w14:textId="77777777" w:rsidR="00176F99" w:rsidRPr="00E65CF4" w:rsidRDefault="00176F99" w:rsidP="00176F99">
      <w:pPr>
        <w:tabs>
          <w:tab w:val="left" w:pos="1080"/>
          <w:tab w:val="left" w:pos="6840"/>
        </w:tabs>
        <w:jc w:val="both"/>
        <w:rPr>
          <w:rFonts w:ascii="Verdana" w:eastAsia="Malgun Gothic" w:hAnsi="Verdana" w:cs="Arial"/>
          <w:sz w:val="18"/>
          <w:szCs w:val="18"/>
          <w:highlight w:val="yellow"/>
          <w:lang w:val="el-GR"/>
        </w:rPr>
      </w:pPr>
    </w:p>
    <w:p w14:paraId="6EA21321" w14:textId="77777777" w:rsidR="00176F99" w:rsidRPr="00E65CF4" w:rsidRDefault="00176F99" w:rsidP="00176F99">
      <w:pPr>
        <w:rPr>
          <w:rFonts w:ascii="Verdana" w:hAnsi="Verdana"/>
          <w:sz w:val="18"/>
          <w:szCs w:val="18"/>
          <w:highlight w:val="yellow"/>
          <w:lang w:val="el-GR"/>
        </w:rPr>
      </w:pPr>
    </w:p>
    <w:p w14:paraId="5AC4C196"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Στατιστική Αξία</w:t>
      </w:r>
    </w:p>
    <w:p w14:paraId="49438736" w14:textId="77777777" w:rsidR="00176F99" w:rsidRPr="00E65CF4" w:rsidRDefault="00176F99" w:rsidP="00176F99">
      <w:pPr>
        <w:rPr>
          <w:rFonts w:ascii="Verdana" w:hAnsi="Verdana"/>
          <w:b/>
          <w:bCs/>
          <w:sz w:val="18"/>
          <w:szCs w:val="18"/>
          <w:u w:val="single"/>
          <w:shd w:val="clear" w:color="auto" w:fill="FFFFFF"/>
          <w:lang w:val="el-GR"/>
        </w:rPr>
      </w:pPr>
    </w:p>
    <w:p w14:paraId="3EA6F5CA" w14:textId="60BBC751"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Η στατιστική αξία είναι η αξία των αγαθών κατά τη στιγμή και στον τόπο όπου τα αγαθά διασχίζουν τα σύνορα </w:t>
      </w:r>
      <w:r w:rsidR="00FD74E1">
        <w:rPr>
          <w:rFonts w:ascii="Verdana" w:hAnsi="Verdana"/>
          <w:sz w:val="18"/>
          <w:szCs w:val="18"/>
          <w:shd w:val="clear" w:color="auto" w:fill="FFFFFF"/>
          <w:lang w:val="el-GR"/>
        </w:rPr>
        <w:t>της Κύπρου.</w:t>
      </w:r>
      <w:r w:rsidRPr="00E65CF4">
        <w:rPr>
          <w:rFonts w:ascii="Verdana" w:hAnsi="Verdana"/>
          <w:sz w:val="18"/>
          <w:szCs w:val="18"/>
          <w:shd w:val="clear" w:color="auto" w:fill="FFFFFF"/>
          <w:lang w:val="el-GR"/>
        </w:rPr>
        <w:t xml:space="preserve"> </w:t>
      </w:r>
    </w:p>
    <w:p w14:paraId="263011B0" w14:textId="77777777" w:rsidR="00176F99" w:rsidRDefault="00176F99" w:rsidP="00176F99">
      <w:pPr>
        <w:jc w:val="both"/>
        <w:rPr>
          <w:rFonts w:ascii="Verdana" w:hAnsi="Verdana"/>
          <w:sz w:val="18"/>
          <w:szCs w:val="18"/>
          <w:highlight w:val="yellow"/>
          <w:shd w:val="clear" w:color="auto" w:fill="FFFFFF"/>
          <w:lang w:val="el-GR"/>
        </w:rPr>
      </w:pPr>
    </w:p>
    <w:p w14:paraId="1D235578" w14:textId="77777777" w:rsidR="00176F99" w:rsidRPr="00E65CF4" w:rsidRDefault="00176F99" w:rsidP="00176F99">
      <w:pPr>
        <w:jc w:val="both"/>
        <w:rPr>
          <w:rFonts w:ascii="Verdana" w:hAnsi="Verdana"/>
          <w:sz w:val="18"/>
          <w:szCs w:val="18"/>
          <w:highlight w:val="yellow"/>
          <w:shd w:val="clear" w:color="auto" w:fill="FFFFFF"/>
          <w:lang w:val="el-GR"/>
        </w:rPr>
      </w:pPr>
    </w:p>
    <w:p w14:paraId="6F92AFD6" w14:textId="27D58E40"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 xml:space="preserve">Εγχώρια </w:t>
      </w:r>
      <w:r w:rsidR="00F72F5C">
        <w:rPr>
          <w:rFonts w:ascii="Verdana" w:hAnsi="Verdana"/>
          <w:b/>
          <w:bCs/>
          <w:sz w:val="18"/>
          <w:szCs w:val="18"/>
          <w:u w:val="single"/>
          <w:shd w:val="clear" w:color="auto" w:fill="FFFFFF"/>
          <w:lang w:val="el-GR"/>
        </w:rPr>
        <w:t>Π</w:t>
      </w:r>
      <w:r w:rsidRPr="00E65CF4">
        <w:rPr>
          <w:rFonts w:ascii="Verdana" w:hAnsi="Verdana"/>
          <w:b/>
          <w:bCs/>
          <w:sz w:val="18"/>
          <w:szCs w:val="18"/>
          <w:u w:val="single"/>
          <w:shd w:val="clear" w:color="auto" w:fill="FFFFFF"/>
          <w:lang w:val="el-GR"/>
        </w:rPr>
        <w:t xml:space="preserve">αραγόμενα και </w:t>
      </w:r>
      <w:r>
        <w:rPr>
          <w:rFonts w:ascii="Verdana" w:hAnsi="Verdana"/>
          <w:b/>
          <w:bCs/>
          <w:sz w:val="18"/>
          <w:szCs w:val="18"/>
          <w:u w:val="single"/>
          <w:shd w:val="clear" w:color="auto" w:fill="FFFFFF"/>
          <w:lang w:val="el-GR"/>
        </w:rPr>
        <w:t>Ξ</w:t>
      </w:r>
      <w:r w:rsidRPr="00E65CF4">
        <w:rPr>
          <w:rFonts w:ascii="Verdana" w:hAnsi="Verdana"/>
          <w:b/>
          <w:bCs/>
          <w:sz w:val="18"/>
          <w:szCs w:val="18"/>
          <w:u w:val="single"/>
          <w:shd w:val="clear" w:color="auto" w:fill="FFFFFF"/>
          <w:lang w:val="el-GR"/>
        </w:rPr>
        <w:t xml:space="preserve">ένα </w:t>
      </w:r>
      <w:r w:rsidR="00154416">
        <w:rPr>
          <w:rFonts w:ascii="Verdana" w:hAnsi="Verdana"/>
          <w:b/>
          <w:bCs/>
          <w:sz w:val="18"/>
          <w:szCs w:val="18"/>
          <w:u w:val="single"/>
          <w:shd w:val="clear" w:color="auto" w:fill="FFFFFF"/>
          <w:lang w:val="el-GR"/>
        </w:rPr>
        <w:t>Προϊόντα</w:t>
      </w:r>
    </w:p>
    <w:p w14:paraId="69709D60" w14:textId="77777777" w:rsidR="00176F99" w:rsidRPr="00E65CF4" w:rsidRDefault="00176F99" w:rsidP="00176F99">
      <w:pPr>
        <w:jc w:val="both"/>
        <w:rPr>
          <w:rFonts w:ascii="Verdana" w:hAnsi="Verdana"/>
          <w:b/>
          <w:bCs/>
          <w:sz w:val="18"/>
          <w:szCs w:val="18"/>
          <w:u w:val="single"/>
          <w:shd w:val="clear" w:color="auto" w:fill="FFFFFF"/>
          <w:lang w:val="el-GR"/>
        </w:rPr>
      </w:pPr>
    </w:p>
    <w:p w14:paraId="3C9BC89E" w14:textId="76ECAE99" w:rsidR="00965807"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Εγχώρια παραγόμενα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παράγονται εξ’ ολοκλήρου στην Κύπρο ή εμπορεύματα που παράχθηκαν σε άλλη χώρα αλλά πραγματοποιήθηκε εντός Κύπρου</w:t>
      </w:r>
      <w:r>
        <w:rPr>
          <w:rFonts w:ascii="Verdana" w:hAnsi="Verdana"/>
          <w:sz w:val="18"/>
          <w:szCs w:val="18"/>
          <w:shd w:val="clear" w:color="auto" w:fill="FFFFFF"/>
          <w:lang w:val="el-GR"/>
        </w:rPr>
        <w:t xml:space="preserve"> η τελευταία</w:t>
      </w:r>
      <w:r w:rsidRPr="00E65CF4">
        <w:rPr>
          <w:rFonts w:ascii="Verdana" w:hAnsi="Verdana"/>
          <w:sz w:val="18"/>
          <w:szCs w:val="18"/>
          <w:shd w:val="clear" w:color="auto" w:fill="FFFFFF"/>
          <w:lang w:val="el-GR"/>
        </w:rPr>
        <w:t xml:space="preserve"> οικονομικά ουσιαστική μεταποίηση ή επεξεργασία που οδήγησε στην κατασκευή νέου </w:t>
      </w:r>
      <w:r w:rsidRPr="00CA7EF6">
        <w:rPr>
          <w:rFonts w:ascii="Verdana" w:hAnsi="Verdana"/>
          <w:sz w:val="18"/>
          <w:szCs w:val="18"/>
          <w:shd w:val="clear" w:color="auto" w:fill="FFFFFF"/>
          <w:lang w:val="el-GR"/>
        </w:rPr>
        <w:t>προϊόντος ή αντιπροσωπεύει σημαντικό στάδιο της διαδικασίας κατασκευής. Προϊόντα</w:t>
      </w:r>
      <w:r>
        <w:rPr>
          <w:rFonts w:ascii="Verdana" w:hAnsi="Verdana"/>
          <w:sz w:val="18"/>
          <w:szCs w:val="18"/>
          <w:shd w:val="clear" w:color="auto" w:fill="FFFFFF"/>
          <w:lang w:val="el-GR"/>
        </w:rPr>
        <w:t xml:space="preserve"> τα οποία αρχικά είχαν εισαχθεί και έτυχαν επιδιόρθωσης ή άλλης μη σημαντικής διαδικασίας η οποία δεν τα αλλάζει ουσιαστικά δεν καθορίζονται ως εγχώρια.</w:t>
      </w:r>
    </w:p>
    <w:p w14:paraId="205256CD" w14:textId="13764E05" w:rsidR="00176F99" w:rsidRPr="00E65CF4" w:rsidRDefault="00176F99" w:rsidP="00176F99">
      <w:pPr>
        <w:jc w:val="both"/>
        <w:rPr>
          <w:rFonts w:ascii="Verdana" w:hAnsi="Verdana"/>
          <w:sz w:val="18"/>
          <w:szCs w:val="18"/>
          <w:shd w:val="clear" w:color="auto" w:fill="FFFFFF"/>
          <w:lang w:val="el-GR"/>
        </w:rPr>
      </w:pPr>
      <w:r>
        <w:rPr>
          <w:rFonts w:ascii="Verdana" w:hAnsi="Verdana"/>
          <w:sz w:val="18"/>
          <w:szCs w:val="18"/>
          <w:shd w:val="clear" w:color="auto" w:fill="FFFFFF"/>
          <w:lang w:val="el-GR"/>
        </w:rPr>
        <w:t xml:space="preserve">     </w:t>
      </w:r>
    </w:p>
    <w:p w14:paraId="11D8B1AB" w14:textId="5DB2583F" w:rsidR="00176F99" w:rsidRPr="00E65CF4" w:rsidRDefault="00176F99" w:rsidP="00176F99">
      <w:pPr>
        <w:jc w:val="both"/>
        <w:rPr>
          <w:rFonts w:ascii="Verdana" w:hAnsi="Verdana"/>
          <w:sz w:val="18"/>
          <w:szCs w:val="18"/>
          <w:shd w:val="clear" w:color="auto" w:fill="FFFFFF"/>
          <w:lang w:val="el-GR"/>
        </w:rPr>
      </w:pPr>
      <w:r w:rsidRPr="00E65CF4">
        <w:rPr>
          <w:rFonts w:ascii="Verdana" w:hAnsi="Verdana"/>
          <w:b/>
          <w:bCs/>
          <w:sz w:val="18"/>
          <w:szCs w:val="18"/>
          <w:shd w:val="clear" w:color="auto" w:fill="FFFFFF"/>
          <w:lang w:val="el-GR"/>
        </w:rPr>
        <w:t xml:space="preserve">Ξένα </w:t>
      </w:r>
      <w:r w:rsidR="00154416">
        <w:rPr>
          <w:rFonts w:ascii="Verdana" w:hAnsi="Verdana"/>
          <w:b/>
          <w:bCs/>
          <w:sz w:val="18"/>
          <w:szCs w:val="18"/>
          <w:shd w:val="clear" w:color="auto" w:fill="FFFFFF"/>
          <w:lang w:val="el-GR"/>
        </w:rPr>
        <w:t>προϊόντα</w:t>
      </w:r>
      <w:r w:rsidRPr="00E65CF4">
        <w:rPr>
          <w:rFonts w:ascii="Verdana" w:hAnsi="Verdana"/>
          <w:sz w:val="18"/>
          <w:szCs w:val="18"/>
          <w:shd w:val="clear" w:color="auto" w:fill="FFFFFF"/>
          <w:lang w:val="el-GR"/>
        </w:rPr>
        <w:t xml:space="preserve"> είναι τα εμπορεύματα που παράχθηκαν σε άλλη χώρα εκτός Κύπρου</w:t>
      </w:r>
      <w:r>
        <w:rPr>
          <w:rFonts w:ascii="Verdana" w:hAnsi="Verdana"/>
          <w:sz w:val="18"/>
          <w:szCs w:val="18"/>
          <w:shd w:val="clear" w:color="auto" w:fill="FFFFFF"/>
          <w:lang w:val="el-GR"/>
        </w:rPr>
        <w:t xml:space="preserve"> και τα παράγωγα εμπορεύματα τα οποία έτυχαν σημαντικής επεξεργασίας σε χώρα εκτός Κύπρου η οποία τους απέδωσε την καταγωγή στην εν λόγω χώρα</w:t>
      </w:r>
      <w:r w:rsidRPr="00E65CF4">
        <w:rPr>
          <w:rFonts w:ascii="Verdana" w:hAnsi="Verdana"/>
          <w:sz w:val="18"/>
          <w:szCs w:val="18"/>
          <w:shd w:val="clear" w:color="auto" w:fill="FFFFFF"/>
          <w:lang w:val="el-GR"/>
        </w:rPr>
        <w:t>.</w:t>
      </w:r>
    </w:p>
    <w:p w14:paraId="4124B3A1" w14:textId="77777777" w:rsidR="00176F99" w:rsidRDefault="00176F99" w:rsidP="00176F99">
      <w:pPr>
        <w:jc w:val="both"/>
        <w:rPr>
          <w:rFonts w:ascii="Verdana" w:hAnsi="Verdana"/>
          <w:sz w:val="18"/>
          <w:szCs w:val="18"/>
          <w:shd w:val="clear" w:color="auto" w:fill="FFFFFF"/>
          <w:lang w:val="el-GR"/>
        </w:rPr>
      </w:pPr>
    </w:p>
    <w:p w14:paraId="380BFE68" w14:textId="77777777" w:rsidR="00176F99" w:rsidRPr="00E65CF4" w:rsidRDefault="00176F99" w:rsidP="00176F99">
      <w:pPr>
        <w:jc w:val="both"/>
        <w:rPr>
          <w:rFonts w:ascii="Verdana" w:hAnsi="Verdana"/>
          <w:sz w:val="18"/>
          <w:szCs w:val="18"/>
          <w:shd w:val="clear" w:color="auto" w:fill="FFFFFF"/>
          <w:lang w:val="el-GR"/>
        </w:rPr>
      </w:pPr>
    </w:p>
    <w:p w14:paraId="3F2BAA3B" w14:textId="77777777" w:rsidR="00176F99" w:rsidRPr="00E65CF4" w:rsidRDefault="00176F99" w:rsidP="00176F99">
      <w:pPr>
        <w:jc w:val="both"/>
        <w:rPr>
          <w:rFonts w:ascii="Verdana" w:hAnsi="Verdana"/>
          <w:b/>
          <w:bCs/>
          <w:sz w:val="18"/>
          <w:szCs w:val="18"/>
          <w:u w:val="single"/>
          <w:shd w:val="clear" w:color="auto" w:fill="FFFFFF"/>
          <w:lang w:val="el-GR"/>
        </w:rPr>
      </w:pPr>
      <w:r w:rsidRPr="00E65CF4">
        <w:rPr>
          <w:rFonts w:ascii="Verdana" w:hAnsi="Verdana"/>
          <w:b/>
          <w:bCs/>
          <w:sz w:val="18"/>
          <w:szCs w:val="18"/>
          <w:u w:val="single"/>
          <w:shd w:val="clear" w:color="auto" w:fill="FFFFFF"/>
          <w:lang w:val="el-GR"/>
        </w:rPr>
        <w:t>Εμπορικός Εταίρος</w:t>
      </w:r>
    </w:p>
    <w:p w14:paraId="092E7A18" w14:textId="77777777" w:rsidR="00176F99" w:rsidRPr="00E65CF4" w:rsidRDefault="00176F99" w:rsidP="00176F99">
      <w:pPr>
        <w:jc w:val="both"/>
        <w:rPr>
          <w:rFonts w:ascii="Verdana" w:hAnsi="Verdana"/>
          <w:b/>
          <w:bCs/>
          <w:sz w:val="18"/>
          <w:szCs w:val="18"/>
          <w:u w:val="single"/>
          <w:shd w:val="clear" w:color="auto" w:fill="FFFFFF"/>
          <w:lang w:val="el-GR"/>
        </w:rPr>
      </w:pPr>
    </w:p>
    <w:p w14:paraId="570EAA55" w14:textId="29577564" w:rsidR="00176F99"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Οι </w:t>
      </w:r>
      <w:r w:rsidRPr="006E6DDE">
        <w:rPr>
          <w:rFonts w:ascii="Verdana" w:hAnsi="Verdana"/>
          <w:sz w:val="18"/>
          <w:szCs w:val="18"/>
          <w:shd w:val="clear" w:color="auto" w:fill="FFFFFF"/>
          <w:lang w:val="el-GR"/>
        </w:rPr>
        <w:t xml:space="preserve"> </w:t>
      </w:r>
      <w:proofErr w:type="spellStart"/>
      <w:r w:rsidRPr="006E6DDE">
        <w:rPr>
          <w:rFonts w:ascii="Verdana" w:hAnsi="Verdana"/>
          <w:b/>
          <w:bCs/>
          <w:sz w:val="18"/>
          <w:szCs w:val="18"/>
          <w:shd w:val="clear" w:color="auto" w:fill="FFFFFF"/>
          <w:lang w:val="el-GR"/>
        </w:rPr>
        <w:t>ενδοενωσιακές</w:t>
      </w:r>
      <w:proofErr w:type="spellEnd"/>
      <w:r w:rsidRPr="006E6DDE">
        <w:rPr>
          <w:rFonts w:ascii="Verdana" w:hAnsi="Verdana"/>
          <w:b/>
          <w:bCs/>
          <w:sz w:val="18"/>
          <w:szCs w:val="18"/>
          <w:shd w:val="clear" w:color="auto" w:fill="FFFFFF"/>
          <w:lang w:val="el-GR"/>
        </w:rPr>
        <w:t xml:space="preserve"> εξαγωγές</w:t>
      </w:r>
      <w:r w:rsidRPr="006E6DDE">
        <w:rPr>
          <w:rFonts w:ascii="Verdana" w:hAnsi="Verdana"/>
          <w:sz w:val="18"/>
          <w:szCs w:val="18"/>
          <w:shd w:val="clear" w:color="auto" w:fill="FFFFFF"/>
          <w:lang w:val="el-GR"/>
        </w:rPr>
        <w:t xml:space="preserve"> </w:t>
      </w:r>
      <w:r>
        <w:rPr>
          <w:rFonts w:ascii="Verdana" w:hAnsi="Verdana"/>
          <w:sz w:val="18"/>
          <w:szCs w:val="18"/>
          <w:shd w:val="clear" w:color="auto" w:fill="FFFFFF"/>
          <w:lang w:val="el-GR"/>
        </w:rPr>
        <w:t xml:space="preserve">και οι </w:t>
      </w:r>
      <w:r w:rsidRPr="00675696">
        <w:rPr>
          <w:rFonts w:ascii="Verdana" w:hAnsi="Verdana"/>
          <w:b/>
          <w:bCs/>
          <w:sz w:val="18"/>
          <w:szCs w:val="18"/>
          <w:shd w:val="clear" w:color="auto" w:fill="FFFFFF"/>
          <w:lang w:val="el-GR"/>
        </w:rPr>
        <w:t>εξαγωγές</w:t>
      </w:r>
      <w:r w:rsidRPr="002360C7">
        <w:rPr>
          <w:rFonts w:ascii="Verdana" w:hAnsi="Verdana"/>
          <w:b/>
          <w:bCs/>
          <w:sz w:val="18"/>
          <w:szCs w:val="18"/>
          <w:shd w:val="clear" w:color="auto" w:fill="FFFFFF"/>
          <w:lang w:val="el-GR"/>
        </w:rPr>
        <w:t xml:space="preserve"> προς</w:t>
      </w:r>
      <w:r w:rsidRPr="006E6DDE">
        <w:rPr>
          <w:rFonts w:ascii="Verdana" w:hAnsi="Verdana"/>
          <w:b/>
          <w:bCs/>
          <w:sz w:val="18"/>
          <w:szCs w:val="18"/>
          <w:shd w:val="clear" w:color="auto" w:fill="FFFFFF"/>
          <w:lang w:val="el-GR"/>
        </w:rPr>
        <w:t xml:space="preserve"> </w:t>
      </w:r>
      <w:r w:rsidR="00F72F5C">
        <w:rPr>
          <w:rFonts w:ascii="Verdana" w:hAnsi="Verdana"/>
          <w:b/>
          <w:bCs/>
          <w:sz w:val="18"/>
          <w:szCs w:val="18"/>
          <w:shd w:val="clear" w:color="auto" w:fill="FFFFFF"/>
          <w:lang w:val="el-GR"/>
        </w:rPr>
        <w:t>τ</w:t>
      </w:r>
      <w:r w:rsidRPr="006E6DDE">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6E6DDE">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καταρτίζονται με βάση </w:t>
      </w:r>
      <w:r>
        <w:rPr>
          <w:rFonts w:ascii="Verdana" w:hAnsi="Verdana"/>
          <w:sz w:val="18"/>
          <w:szCs w:val="18"/>
          <w:shd w:val="clear" w:color="auto" w:fill="FFFFFF"/>
          <w:lang w:val="el-GR"/>
        </w:rPr>
        <w:t xml:space="preserve">το Κράτος Μέλος </w:t>
      </w:r>
      <w:r w:rsidR="00154416">
        <w:rPr>
          <w:rFonts w:ascii="Verdana" w:hAnsi="Verdana"/>
          <w:sz w:val="18"/>
          <w:szCs w:val="18"/>
          <w:shd w:val="clear" w:color="auto" w:fill="FFFFFF"/>
          <w:lang w:val="el-GR"/>
        </w:rPr>
        <w:t xml:space="preserve">της ΕΕ </w:t>
      </w:r>
      <w:r>
        <w:rPr>
          <w:rFonts w:ascii="Verdana" w:hAnsi="Verdana"/>
          <w:sz w:val="18"/>
          <w:szCs w:val="18"/>
          <w:shd w:val="clear" w:color="auto" w:fill="FFFFFF"/>
          <w:lang w:val="el-GR"/>
        </w:rPr>
        <w:t xml:space="preserve">και </w:t>
      </w:r>
      <w:r w:rsidRPr="007A1325">
        <w:rPr>
          <w:rFonts w:ascii="Verdana" w:hAnsi="Verdana"/>
          <w:sz w:val="18"/>
          <w:szCs w:val="18"/>
          <w:shd w:val="clear" w:color="auto" w:fill="FFFFFF"/>
          <w:lang w:val="el-GR"/>
        </w:rPr>
        <w:t>τη χώρα τελικού προορισμού αντίστοιχα</w:t>
      </w:r>
      <w:r w:rsidRPr="006E6DDE">
        <w:rPr>
          <w:rFonts w:ascii="Verdana" w:hAnsi="Verdana"/>
          <w:sz w:val="18"/>
          <w:szCs w:val="18"/>
          <w:shd w:val="clear" w:color="auto" w:fill="FFFFFF"/>
          <w:lang w:val="el-GR"/>
        </w:rPr>
        <w:t xml:space="preserve">, δηλ. το τελευταίο κράτος </w:t>
      </w:r>
      <w:r w:rsidR="00154416">
        <w:rPr>
          <w:rFonts w:ascii="Verdana" w:hAnsi="Verdana"/>
          <w:sz w:val="18"/>
          <w:szCs w:val="18"/>
          <w:shd w:val="clear" w:color="auto" w:fill="FFFFFF"/>
          <w:lang w:val="el-GR"/>
        </w:rPr>
        <w:t>σ</w:t>
      </w:r>
      <w:r w:rsidRPr="006E6DDE">
        <w:rPr>
          <w:rFonts w:ascii="Verdana" w:hAnsi="Verdana"/>
          <w:sz w:val="18"/>
          <w:szCs w:val="18"/>
          <w:shd w:val="clear" w:color="auto" w:fill="FFFFFF"/>
          <w:lang w:val="el-GR"/>
        </w:rPr>
        <w:t>το οποίο, κατά τη στιγμή της εξαγωγής</w:t>
      </w:r>
      <w:r w:rsidR="00154416">
        <w:rPr>
          <w:rFonts w:ascii="Verdana" w:hAnsi="Verdana"/>
          <w:sz w:val="18"/>
          <w:szCs w:val="18"/>
          <w:shd w:val="clear" w:color="auto" w:fill="FFFFFF"/>
          <w:lang w:val="el-GR"/>
        </w:rPr>
        <w:t>,</w:t>
      </w:r>
      <w:r w:rsidRPr="006E6DDE">
        <w:rPr>
          <w:rFonts w:ascii="Verdana" w:hAnsi="Verdana"/>
          <w:sz w:val="18"/>
          <w:szCs w:val="18"/>
          <w:shd w:val="clear" w:color="auto" w:fill="FFFFFF"/>
          <w:lang w:val="el-GR"/>
        </w:rPr>
        <w:t xml:space="preserve"> είναι γνωστό ότι αποστέλλονται τα εμπορεύματα. </w:t>
      </w:r>
    </w:p>
    <w:p w14:paraId="68A960E2" w14:textId="77777777" w:rsidR="00176F99" w:rsidRPr="00E65CF4" w:rsidRDefault="00176F99" w:rsidP="00176F99">
      <w:pPr>
        <w:jc w:val="both"/>
        <w:rPr>
          <w:rFonts w:ascii="Verdana" w:hAnsi="Verdana"/>
          <w:sz w:val="18"/>
          <w:szCs w:val="18"/>
          <w:highlight w:val="yellow"/>
          <w:shd w:val="clear" w:color="auto" w:fill="FFFFFF"/>
          <w:lang w:val="el-GR"/>
        </w:rPr>
      </w:pPr>
    </w:p>
    <w:p w14:paraId="44F6AE6B" w14:textId="4C2A1123" w:rsidR="00176F99" w:rsidRPr="00E65CF4" w:rsidRDefault="00176F99" w:rsidP="00176F99">
      <w:pPr>
        <w:jc w:val="both"/>
        <w:rPr>
          <w:rFonts w:ascii="Verdana" w:hAnsi="Verdana"/>
          <w:sz w:val="18"/>
          <w:szCs w:val="18"/>
          <w:shd w:val="clear" w:color="auto" w:fill="FFFFFF"/>
          <w:lang w:val="el-GR"/>
        </w:rPr>
      </w:pPr>
      <w:r w:rsidRPr="0015537D">
        <w:rPr>
          <w:rFonts w:ascii="Verdana" w:hAnsi="Verdana"/>
          <w:sz w:val="18"/>
          <w:szCs w:val="18"/>
          <w:shd w:val="clear" w:color="auto" w:fill="FFFFFF"/>
          <w:lang w:val="el-GR"/>
        </w:rPr>
        <w:t xml:space="preserve">Ως εμπορικός εταίρος για τις </w:t>
      </w:r>
      <w:r w:rsidRPr="00675696">
        <w:rPr>
          <w:rFonts w:ascii="Verdana" w:hAnsi="Verdana"/>
          <w:b/>
          <w:bCs/>
          <w:sz w:val="18"/>
          <w:szCs w:val="18"/>
          <w:shd w:val="clear" w:color="auto" w:fill="FFFFFF"/>
          <w:lang w:val="el-GR"/>
        </w:rPr>
        <w:t>εισαγωγές</w:t>
      </w:r>
      <w:r w:rsidRPr="002360C7">
        <w:rPr>
          <w:rFonts w:ascii="Verdana" w:hAnsi="Verdana"/>
          <w:b/>
          <w:bCs/>
          <w:sz w:val="18"/>
          <w:szCs w:val="18"/>
          <w:shd w:val="clear" w:color="auto" w:fill="FFFFFF"/>
          <w:lang w:val="el-GR"/>
        </w:rPr>
        <w:t xml:space="preserve"> από </w:t>
      </w:r>
      <w:r w:rsidR="00F72F5C">
        <w:rPr>
          <w:rFonts w:ascii="Verdana" w:hAnsi="Verdana"/>
          <w:b/>
          <w:bCs/>
          <w:sz w:val="18"/>
          <w:szCs w:val="18"/>
          <w:shd w:val="clear" w:color="auto" w:fill="FFFFFF"/>
          <w:lang w:val="el-GR"/>
        </w:rPr>
        <w:t>τ</w:t>
      </w:r>
      <w:r w:rsidRPr="002360C7">
        <w:rPr>
          <w:rFonts w:ascii="Verdana" w:hAnsi="Verdana"/>
          <w:b/>
          <w:bCs/>
          <w:sz w:val="18"/>
          <w:szCs w:val="18"/>
          <w:shd w:val="clear" w:color="auto" w:fill="FFFFFF"/>
          <w:lang w:val="el-GR"/>
        </w:rPr>
        <w:t xml:space="preserve">ρίτες </w:t>
      </w:r>
      <w:r w:rsidR="00F72F5C">
        <w:rPr>
          <w:rFonts w:ascii="Verdana" w:hAnsi="Verdana"/>
          <w:b/>
          <w:bCs/>
          <w:sz w:val="18"/>
          <w:szCs w:val="18"/>
          <w:shd w:val="clear" w:color="auto" w:fill="FFFFFF"/>
          <w:lang w:val="el-GR"/>
        </w:rPr>
        <w:t>χ</w:t>
      </w:r>
      <w:r w:rsidRPr="002360C7">
        <w:rPr>
          <w:rFonts w:ascii="Verdana" w:hAnsi="Verdana"/>
          <w:b/>
          <w:bCs/>
          <w:sz w:val="18"/>
          <w:szCs w:val="18"/>
          <w:shd w:val="clear" w:color="auto" w:fill="FFFFFF"/>
          <w:lang w:val="el-GR"/>
        </w:rPr>
        <w:t>ώρες</w:t>
      </w:r>
      <w:r w:rsidRPr="006E6DDE">
        <w:rPr>
          <w:rFonts w:ascii="Verdana" w:hAnsi="Verdana"/>
          <w:sz w:val="18"/>
          <w:szCs w:val="18"/>
          <w:shd w:val="clear" w:color="auto" w:fill="FFFFFF"/>
          <w:lang w:val="el-GR"/>
        </w:rPr>
        <w:t xml:space="preserve"> νοείται </w:t>
      </w:r>
      <w:r w:rsidRPr="007A1325">
        <w:rPr>
          <w:rFonts w:ascii="Verdana" w:hAnsi="Verdana"/>
          <w:sz w:val="18"/>
          <w:szCs w:val="18"/>
          <w:shd w:val="clear" w:color="auto" w:fill="FFFFFF"/>
          <w:lang w:val="el-GR"/>
        </w:rPr>
        <w:t>η χώρα καταγωγής</w:t>
      </w:r>
      <w:r w:rsidRPr="006E6DDE">
        <w:rPr>
          <w:rFonts w:ascii="Verdana" w:hAnsi="Verdana"/>
          <w:sz w:val="18"/>
          <w:szCs w:val="18"/>
          <w:shd w:val="clear" w:color="auto" w:fill="FFFFFF"/>
          <w:lang w:val="el-GR"/>
        </w:rPr>
        <w:t xml:space="preserve"> των εμπορευμάτων, δηλ. η χώρα στην οποία τα εμπορεύματα παράγονται εξ’ ολοκλήρου.</w:t>
      </w:r>
      <w:r>
        <w:rPr>
          <w:rFonts w:ascii="Verdana" w:hAnsi="Verdana"/>
          <w:sz w:val="18"/>
          <w:szCs w:val="18"/>
          <w:shd w:val="clear" w:color="auto" w:fill="FFFFFF"/>
          <w:lang w:val="el-GR"/>
        </w:rPr>
        <w:t xml:space="preserve"> Ένα εμπόρευμα, στην παραγωγή του οποίου εμπλέκονται δύο ή περισσότερες χώρες, κατάγεται από τη χώρα στην οποία συντελέστηκε η τελευταία, οικονομικά ουσιαστική μεταποίηση ή επεξεργασία που οδήγησε στην κατασκευή νέου προϊόντος ή αντιπροσωπεύει σημαντικό στάδιο της διαδικασίας κατασκευής.</w:t>
      </w:r>
      <w:r w:rsidRPr="006E6DDE">
        <w:rPr>
          <w:rFonts w:ascii="Verdana" w:hAnsi="Verdana"/>
          <w:sz w:val="18"/>
          <w:szCs w:val="18"/>
          <w:shd w:val="clear" w:color="auto" w:fill="FFFFFF"/>
          <w:lang w:val="el-GR"/>
        </w:rPr>
        <w:t xml:space="preserve"> </w:t>
      </w:r>
    </w:p>
    <w:p w14:paraId="468E236D" w14:textId="77777777" w:rsidR="00176F99" w:rsidRPr="00E65CF4" w:rsidRDefault="00176F99" w:rsidP="00176F99">
      <w:pPr>
        <w:jc w:val="both"/>
        <w:rPr>
          <w:rFonts w:ascii="Verdana" w:hAnsi="Verdana"/>
          <w:sz w:val="18"/>
          <w:szCs w:val="18"/>
          <w:shd w:val="clear" w:color="auto" w:fill="FFFFFF"/>
          <w:lang w:val="el-GR"/>
        </w:rPr>
      </w:pPr>
    </w:p>
    <w:p w14:paraId="55F1DD4B" w14:textId="77777777" w:rsidR="00176F99" w:rsidRPr="00E65CF4" w:rsidRDefault="00176F99" w:rsidP="00176F99">
      <w:pPr>
        <w:jc w:val="both"/>
        <w:rPr>
          <w:rFonts w:ascii="Verdana" w:hAnsi="Verdana"/>
          <w:sz w:val="18"/>
          <w:szCs w:val="18"/>
          <w:shd w:val="clear" w:color="auto" w:fill="FFFFFF"/>
          <w:lang w:val="el-GR"/>
        </w:rPr>
      </w:pPr>
      <w:r w:rsidRPr="00E65CF4">
        <w:rPr>
          <w:rFonts w:ascii="Verdana" w:hAnsi="Verdana"/>
          <w:sz w:val="18"/>
          <w:szCs w:val="18"/>
          <w:shd w:val="clear" w:color="auto" w:fill="FFFFFF"/>
          <w:lang w:val="el-GR"/>
        </w:rPr>
        <w:t xml:space="preserve">Ως εμπορικός εταίρος για τις </w:t>
      </w:r>
      <w:proofErr w:type="spellStart"/>
      <w:r w:rsidRPr="00E65CF4">
        <w:rPr>
          <w:rFonts w:ascii="Verdana" w:hAnsi="Verdana"/>
          <w:b/>
          <w:bCs/>
          <w:sz w:val="18"/>
          <w:szCs w:val="18"/>
          <w:shd w:val="clear" w:color="auto" w:fill="FFFFFF"/>
          <w:lang w:val="el-GR"/>
        </w:rPr>
        <w:t>ενδοενωσιακές</w:t>
      </w:r>
      <w:proofErr w:type="spellEnd"/>
      <w:r w:rsidRPr="00E65CF4">
        <w:rPr>
          <w:rFonts w:ascii="Verdana" w:hAnsi="Verdana"/>
          <w:b/>
          <w:bCs/>
          <w:sz w:val="18"/>
          <w:szCs w:val="18"/>
          <w:shd w:val="clear" w:color="auto" w:fill="FFFFFF"/>
          <w:lang w:val="el-GR"/>
        </w:rPr>
        <w:t xml:space="preserve"> εισαγωγές</w:t>
      </w:r>
      <w:r w:rsidRPr="00E65CF4">
        <w:rPr>
          <w:rFonts w:ascii="Verdana" w:hAnsi="Verdana"/>
          <w:sz w:val="18"/>
          <w:szCs w:val="18"/>
          <w:shd w:val="clear" w:color="auto" w:fill="FFFFFF"/>
          <w:lang w:val="el-GR"/>
        </w:rPr>
        <w:t xml:space="preserve"> νοείται το </w:t>
      </w:r>
      <w:r w:rsidRPr="007A1325">
        <w:rPr>
          <w:rFonts w:ascii="Verdana" w:hAnsi="Verdana"/>
          <w:sz w:val="18"/>
          <w:szCs w:val="18"/>
          <w:shd w:val="clear" w:color="auto" w:fill="FFFFFF"/>
          <w:lang w:val="el-GR"/>
        </w:rPr>
        <w:t>Κράτος Μέλος προέλευσης</w:t>
      </w:r>
      <w:r w:rsidRPr="00E65CF4">
        <w:rPr>
          <w:rFonts w:ascii="Verdana" w:hAnsi="Verdana"/>
          <w:b/>
          <w:bCs/>
          <w:sz w:val="18"/>
          <w:szCs w:val="18"/>
          <w:shd w:val="clear" w:color="auto" w:fill="FFFFFF"/>
          <w:lang w:val="el-GR"/>
        </w:rPr>
        <w:t xml:space="preserve"> </w:t>
      </w:r>
      <w:r w:rsidRPr="00E65CF4">
        <w:rPr>
          <w:rFonts w:ascii="Verdana" w:hAnsi="Verdana"/>
          <w:sz w:val="18"/>
          <w:szCs w:val="18"/>
          <w:shd w:val="clear" w:color="auto" w:fill="FFFFFF"/>
          <w:lang w:val="el-GR"/>
        </w:rPr>
        <w:t>των εμπορευμάτων</w:t>
      </w:r>
      <w:r w:rsidRPr="004344B7">
        <w:rPr>
          <w:rFonts w:ascii="Verdana" w:hAnsi="Verdana"/>
          <w:sz w:val="18"/>
          <w:szCs w:val="18"/>
          <w:shd w:val="clear" w:color="auto" w:fill="FFFFFF"/>
          <w:lang w:val="el-GR"/>
        </w:rPr>
        <w:t>.</w:t>
      </w:r>
      <w:r w:rsidRPr="00E65CF4">
        <w:rPr>
          <w:rFonts w:ascii="Verdana" w:hAnsi="Verdana"/>
          <w:sz w:val="18"/>
          <w:szCs w:val="18"/>
          <w:shd w:val="clear" w:color="auto" w:fill="FFFFFF"/>
          <w:lang w:val="el-GR"/>
        </w:rPr>
        <w:t xml:space="preserve"> </w:t>
      </w:r>
    </w:p>
    <w:p w14:paraId="3AC37823" w14:textId="77777777" w:rsidR="00176F99" w:rsidRPr="00E65CF4" w:rsidRDefault="00176F99" w:rsidP="00176F99">
      <w:pPr>
        <w:jc w:val="both"/>
        <w:rPr>
          <w:rFonts w:ascii="Verdana" w:hAnsi="Verdana"/>
          <w:sz w:val="18"/>
          <w:szCs w:val="18"/>
          <w:highlight w:val="yellow"/>
          <w:shd w:val="clear" w:color="auto" w:fill="FFFFFF"/>
          <w:lang w:val="el-GR"/>
        </w:rPr>
      </w:pPr>
    </w:p>
    <w:p w14:paraId="77E4B426" w14:textId="6064EBCC" w:rsidR="00176F99" w:rsidRPr="00E65CF4" w:rsidRDefault="00176F99" w:rsidP="00176F99">
      <w:pPr>
        <w:jc w:val="both"/>
        <w:rPr>
          <w:rFonts w:ascii="Verdana" w:hAnsi="Verdana"/>
          <w:sz w:val="18"/>
          <w:szCs w:val="18"/>
          <w:lang w:val="el-GR"/>
        </w:rPr>
      </w:pPr>
      <w:r w:rsidRPr="00E65CF4">
        <w:rPr>
          <w:rFonts w:ascii="Verdana" w:hAnsi="Verdana"/>
          <w:sz w:val="18"/>
          <w:szCs w:val="18"/>
          <w:lang w:val="el-GR"/>
        </w:rPr>
        <w:t xml:space="preserve">Το Ηνωμένο Βασίλειο περιλαμβάνεται στο εμπόριο με </w:t>
      </w:r>
      <w:r w:rsidR="00F72F5C">
        <w:rPr>
          <w:rFonts w:ascii="Verdana" w:hAnsi="Verdana"/>
          <w:sz w:val="18"/>
          <w:szCs w:val="18"/>
          <w:lang w:val="el-GR"/>
        </w:rPr>
        <w:t>τ</w:t>
      </w:r>
      <w:r w:rsidRPr="00E65CF4">
        <w:rPr>
          <w:rFonts w:ascii="Verdana" w:hAnsi="Verdana"/>
          <w:sz w:val="18"/>
          <w:szCs w:val="18"/>
          <w:lang w:val="el-GR"/>
        </w:rPr>
        <w:t xml:space="preserve">ρίτες </w:t>
      </w:r>
      <w:r w:rsidR="00F72F5C">
        <w:rPr>
          <w:rFonts w:ascii="Verdana" w:hAnsi="Verdana"/>
          <w:sz w:val="18"/>
          <w:szCs w:val="18"/>
          <w:lang w:val="el-GR"/>
        </w:rPr>
        <w:t>χ</w:t>
      </w:r>
      <w:r w:rsidRPr="00E65CF4">
        <w:rPr>
          <w:rFonts w:ascii="Verdana" w:hAnsi="Verdana"/>
          <w:sz w:val="18"/>
          <w:szCs w:val="18"/>
          <w:lang w:val="el-GR"/>
        </w:rPr>
        <w:t xml:space="preserve">ώρες. Οι εισαγωγές από το Ηνωμένο Βασίλειο καταγράφονται βάσει της χώρας προέλευσης μέχρι τις 31 Δεκεμβρίου 2020. Από τον Ιανουάριο 2021 και εντεύθεν, όσον αφορά το εμπόριο με την Βόρειο Ιρλανδία οι εισαγωγές καταγράφονται βάσει της χώρας προέλευσης ενώ για το εμπόριο με το Ηνωμένο Βασίλειο (εξαιρουμένης της Βορείου Ιρλανδίας) οι εισαγωγές καταγράφονται βάσει της χώρας καταγωγής. Για αυτούς τους λόγους, τα στατιστικά στοιχεία εισαγωγών από το Ηνωμένο Βασίλειο δεν είναι απόλυτα συγκρίσιμα με αυτά των άλλων </w:t>
      </w:r>
      <w:r>
        <w:rPr>
          <w:rFonts w:ascii="Verdana" w:hAnsi="Verdana"/>
          <w:sz w:val="18"/>
          <w:szCs w:val="18"/>
          <w:lang w:val="el-GR"/>
        </w:rPr>
        <w:t>τ</w:t>
      </w:r>
      <w:r w:rsidRPr="00E65CF4">
        <w:rPr>
          <w:rFonts w:ascii="Verdana" w:hAnsi="Verdana"/>
          <w:sz w:val="18"/>
          <w:szCs w:val="18"/>
          <w:lang w:val="el-GR"/>
        </w:rPr>
        <w:t xml:space="preserve">ρίτων </w:t>
      </w:r>
      <w:r>
        <w:rPr>
          <w:rFonts w:ascii="Verdana" w:hAnsi="Verdana"/>
          <w:sz w:val="18"/>
          <w:szCs w:val="18"/>
          <w:lang w:val="el-GR"/>
        </w:rPr>
        <w:t>χ</w:t>
      </w:r>
      <w:r w:rsidRPr="00E65CF4">
        <w:rPr>
          <w:rFonts w:ascii="Verdana" w:hAnsi="Verdana"/>
          <w:sz w:val="18"/>
          <w:szCs w:val="18"/>
          <w:lang w:val="el-GR"/>
        </w:rPr>
        <w:t>ωρών, για τις περιόδους πριν και μετά το τέλος του 2020.</w:t>
      </w:r>
    </w:p>
    <w:p w14:paraId="1BE0030D" w14:textId="77777777" w:rsidR="00176F99" w:rsidRPr="00E65CF4" w:rsidRDefault="00176F99" w:rsidP="00176F99">
      <w:pPr>
        <w:jc w:val="both"/>
        <w:rPr>
          <w:rFonts w:ascii="Verdana" w:hAnsi="Verdana"/>
          <w:sz w:val="18"/>
          <w:szCs w:val="18"/>
          <w:highlight w:val="yellow"/>
          <w:shd w:val="clear" w:color="auto" w:fill="FFFFFF"/>
          <w:lang w:val="el-GR"/>
        </w:rPr>
      </w:pPr>
    </w:p>
    <w:p w14:paraId="7BE1DD44" w14:textId="77777777" w:rsidR="00176F99" w:rsidRPr="00AE0687" w:rsidRDefault="00176F99" w:rsidP="00176F99">
      <w:pPr>
        <w:tabs>
          <w:tab w:val="left" w:pos="360"/>
          <w:tab w:val="left" w:pos="6840"/>
        </w:tabs>
        <w:jc w:val="both"/>
        <w:rPr>
          <w:rFonts w:ascii="Verdana" w:eastAsia="Malgun Gothic" w:hAnsi="Verdana" w:cs="Arial"/>
          <w:sz w:val="18"/>
          <w:szCs w:val="18"/>
          <w:lang w:val="el-GR"/>
        </w:rPr>
      </w:pPr>
    </w:p>
    <w:p w14:paraId="22F267DA" w14:textId="77777777" w:rsidR="00176F99" w:rsidRPr="00D80DE5" w:rsidRDefault="00176F99" w:rsidP="00176F99">
      <w:pPr>
        <w:rPr>
          <w:rFonts w:ascii="Verdana" w:hAnsi="Verdana"/>
          <w:i/>
          <w:sz w:val="18"/>
          <w:szCs w:val="18"/>
          <w:lang w:val="el-GR"/>
        </w:rPr>
      </w:pPr>
      <w:r w:rsidRPr="00D80DE5">
        <w:rPr>
          <w:rFonts w:ascii="Verdana" w:hAnsi="Verdana"/>
          <w:b/>
          <w:i/>
          <w:sz w:val="18"/>
          <w:szCs w:val="18"/>
          <w:lang w:val="el-GR"/>
        </w:rPr>
        <w:t>Για περισσότερες πληροφορίες:</w:t>
      </w:r>
      <w:r w:rsidRPr="00D80DE5">
        <w:rPr>
          <w:rFonts w:ascii="Verdana" w:hAnsi="Verdana"/>
          <w:i/>
          <w:sz w:val="18"/>
          <w:szCs w:val="18"/>
          <w:lang w:val="el-GR"/>
        </w:rPr>
        <w:t xml:space="preserve"> </w:t>
      </w:r>
    </w:p>
    <w:p w14:paraId="4886CA45" w14:textId="77777777" w:rsidR="00176F99" w:rsidRPr="00D80DE5" w:rsidRDefault="00176F99" w:rsidP="00176F99">
      <w:pPr>
        <w:rPr>
          <w:rFonts w:ascii="Verdana" w:hAnsi="Verdana"/>
          <w:sz w:val="18"/>
          <w:szCs w:val="18"/>
          <w:lang w:val="el-GR"/>
        </w:rPr>
      </w:pPr>
      <w:r w:rsidRPr="00D80DE5">
        <w:rPr>
          <w:rFonts w:ascii="Verdana" w:hAnsi="Verdana"/>
          <w:sz w:val="18"/>
          <w:szCs w:val="18"/>
          <w:lang w:val="el-GR"/>
        </w:rPr>
        <w:t xml:space="preserve">Πύλη Στατιστικής Υπηρεσίας, υπόθεμα </w:t>
      </w:r>
      <w:hyperlink r:id="rId10" w:history="1">
        <w:r w:rsidRPr="00D80DE5">
          <w:rPr>
            <w:rStyle w:val="Hyperlink"/>
            <w:rFonts w:ascii="Verdana" w:hAnsi="Verdana"/>
            <w:sz w:val="18"/>
            <w:szCs w:val="18"/>
            <w:lang w:val="el-GR"/>
          </w:rPr>
          <w:t>Εξωτερικό Εμπόριο</w:t>
        </w:r>
      </w:hyperlink>
    </w:p>
    <w:p w14:paraId="760A9C1E" w14:textId="77777777" w:rsidR="00176F99" w:rsidRPr="00D80DE5" w:rsidRDefault="00000000" w:rsidP="00176F99">
      <w:pPr>
        <w:rPr>
          <w:rFonts w:ascii="Verdana" w:hAnsi="Verdana"/>
          <w:sz w:val="18"/>
          <w:szCs w:val="18"/>
          <w:lang w:val="el-GR"/>
        </w:rPr>
      </w:pPr>
      <w:hyperlink r:id="rId11" w:history="1">
        <w:r w:rsidR="00176F99" w:rsidRPr="00774F10">
          <w:rPr>
            <w:rStyle w:val="Hyperlink"/>
            <w:rFonts w:ascii="Verdana" w:hAnsi="Verdana"/>
            <w:sz w:val="18"/>
            <w:szCs w:val="18"/>
          </w:rPr>
          <w:t>CYSTAT</w:t>
        </w:r>
        <w:r w:rsidR="00176F99" w:rsidRPr="00D80DE5">
          <w:rPr>
            <w:rStyle w:val="Hyperlink"/>
            <w:rFonts w:ascii="Verdana" w:hAnsi="Verdana"/>
            <w:sz w:val="18"/>
            <w:szCs w:val="18"/>
            <w:lang w:val="el-GR"/>
          </w:rPr>
          <w:t>-</w:t>
        </w:r>
        <w:r w:rsidR="00176F99" w:rsidRPr="00774F10">
          <w:rPr>
            <w:rStyle w:val="Hyperlink"/>
            <w:rFonts w:ascii="Verdana" w:hAnsi="Verdana"/>
            <w:sz w:val="18"/>
            <w:szCs w:val="18"/>
          </w:rPr>
          <w:t>DB</w:t>
        </w:r>
      </w:hyperlink>
      <w:r w:rsidR="00176F99" w:rsidRPr="00D80DE5">
        <w:rPr>
          <w:rFonts w:ascii="Verdana" w:hAnsi="Verdana"/>
          <w:sz w:val="18"/>
          <w:szCs w:val="18"/>
          <w:lang w:val="el-GR"/>
        </w:rPr>
        <w:t xml:space="preserve"> (Βάση Δεδομένων)</w:t>
      </w:r>
    </w:p>
    <w:p w14:paraId="1014300D" w14:textId="77777777" w:rsidR="00176F99" w:rsidRDefault="00000000" w:rsidP="00176F99">
      <w:pPr>
        <w:rPr>
          <w:rFonts w:ascii="Verdana" w:hAnsi="Verdana"/>
          <w:sz w:val="18"/>
          <w:szCs w:val="18"/>
          <w:lang w:val="el-GR"/>
        </w:rPr>
      </w:pPr>
      <w:hyperlink r:id="rId12" w:history="1">
        <w:r w:rsidR="00176F99" w:rsidRPr="00D80DE5">
          <w:rPr>
            <w:rStyle w:val="Hyperlink"/>
            <w:rFonts w:ascii="Verdana" w:hAnsi="Verdana"/>
            <w:sz w:val="18"/>
            <w:szCs w:val="18"/>
            <w:lang w:val="el-GR"/>
          </w:rPr>
          <w:t>Προκαθορισμένοι Πίνακες</w:t>
        </w:r>
      </w:hyperlink>
      <w:r w:rsidR="00176F99" w:rsidRPr="00D80DE5">
        <w:rPr>
          <w:rFonts w:ascii="Verdana" w:hAnsi="Verdana"/>
          <w:sz w:val="18"/>
          <w:szCs w:val="18"/>
          <w:lang w:val="el-GR"/>
        </w:rPr>
        <w:t xml:space="preserve"> (</w:t>
      </w:r>
      <w:r w:rsidR="00176F99" w:rsidRPr="00040F97">
        <w:rPr>
          <w:rFonts w:ascii="Verdana" w:hAnsi="Verdana"/>
          <w:sz w:val="18"/>
          <w:szCs w:val="18"/>
        </w:rPr>
        <w:t>Excel</w:t>
      </w:r>
      <w:r w:rsidR="00176F99" w:rsidRPr="00D80DE5">
        <w:rPr>
          <w:rFonts w:ascii="Verdana" w:hAnsi="Verdana"/>
          <w:sz w:val="18"/>
          <w:szCs w:val="18"/>
          <w:lang w:val="el-GR"/>
        </w:rPr>
        <w:t>)</w:t>
      </w:r>
    </w:p>
    <w:p w14:paraId="71840DA7" w14:textId="77777777" w:rsidR="00176F99" w:rsidRPr="00207AC8" w:rsidRDefault="00176F99" w:rsidP="00176F99">
      <w:pPr>
        <w:rPr>
          <w:rStyle w:val="Hyperlink"/>
          <w:rFonts w:ascii="Verdana" w:hAnsi="Verdana"/>
          <w:sz w:val="18"/>
          <w:szCs w:val="18"/>
          <w:lang w:val="el-GR"/>
        </w:rPr>
      </w:pPr>
      <w:r>
        <w:rPr>
          <w:rFonts w:ascii="Verdana" w:hAnsi="Verdana"/>
          <w:sz w:val="18"/>
          <w:szCs w:val="18"/>
          <w:lang w:val="el-GR"/>
        </w:rPr>
        <w:fldChar w:fldCharType="begin"/>
      </w:r>
      <w:r>
        <w:rPr>
          <w:rFonts w:ascii="Verdana" w:hAnsi="Verdana"/>
          <w:sz w:val="18"/>
          <w:szCs w:val="18"/>
          <w:lang w:val="el-GR"/>
        </w:rPr>
        <w:instrText xml:space="preserve"> HYPERLINK "https://www.cystat.gov.cy/el/PublicationList?s=36" </w:instrText>
      </w:r>
      <w:r>
        <w:rPr>
          <w:rFonts w:ascii="Verdana" w:hAnsi="Verdana"/>
          <w:sz w:val="18"/>
          <w:szCs w:val="18"/>
          <w:lang w:val="el-GR"/>
        </w:rPr>
      </w:r>
      <w:r>
        <w:rPr>
          <w:rFonts w:ascii="Verdana" w:hAnsi="Verdana"/>
          <w:sz w:val="18"/>
          <w:szCs w:val="18"/>
          <w:lang w:val="el-GR"/>
        </w:rPr>
        <w:fldChar w:fldCharType="separate"/>
      </w:r>
      <w:r w:rsidRPr="005B794D">
        <w:rPr>
          <w:rStyle w:val="Hyperlink"/>
          <w:rFonts w:ascii="Verdana" w:hAnsi="Verdana"/>
          <w:sz w:val="18"/>
          <w:szCs w:val="18"/>
          <w:lang w:val="el-GR"/>
        </w:rPr>
        <w:t>Εκδόσεις</w:t>
      </w:r>
    </w:p>
    <w:p w14:paraId="720CC2F1" w14:textId="77777777" w:rsidR="00176F99" w:rsidRPr="00207AC8" w:rsidRDefault="00176F99" w:rsidP="00176F99">
      <w:pPr>
        <w:rPr>
          <w:rStyle w:val="Hyperlink"/>
          <w:lang w:val="el-GR"/>
        </w:rPr>
      </w:pPr>
      <w:r>
        <w:rPr>
          <w:rFonts w:ascii="Verdana" w:hAnsi="Verdana"/>
          <w:sz w:val="18"/>
          <w:szCs w:val="18"/>
          <w:lang w:val="el-GR"/>
        </w:rPr>
        <w:fldChar w:fldCharType="end"/>
      </w:r>
      <w:r>
        <w:rPr>
          <w:rStyle w:val="Hyperlink"/>
          <w:rFonts w:ascii="Verdana" w:hAnsi="Verdana"/>
          <w:sz w:val="18"/>
          <w:szCs w:val="18"/>
          <w:lang w:val="el-GR"/>
        </w:rPr>
        <w:fldChar w:fldCharType="begin"/>
      </w:r>
      <w:r>
        <w:rPr>
          <w:rStyle w:val="Hyperlink"/>
          <w:rFonts w:ascii="Verdana" w:hAnsi="Verdana"/>
          <w:sz w:val="18"/>
          <w:szCs w:val="18"/>
          <w:lang w:val="el-GR"/>
        </w:rPr>
        <w:instrText xml:space="preserve"> HYPERLINK "https://www.cystat.gov.cy/el/MethodologicalDetails?m=2189" \o "Μεθοδολογικές Πληροφορίες - Εξωτερικό Εμπόριο" \t "_blank" </w:instrText>
      </w:r>
      <w:r>
        <w:rPr>
          <w:rStyle w:val="Hyperlink"/>
          <w:rFonts w:ascii="Verdana" w:hAnsi="Verdana"/>
          <w:sz w:val="18"/>
          <w:szCs w:val="18"/>
          <w:lang w:val="el-GR"/>
        </w:rPr>
      </w:r>
      <w:r>
        <w:rPr>
          <w:rStyle w:val="Hyperlink"/>
          <w:rFonts w:ascii="Verdana" w:hAnsi="Verdana"/>
          <w:sz w:val="18"/>
          <w:szCs w:val="18"/>
          <w:lang w:val="el-GR"/>
        </w:rPr>
        <w:fldChar w:fldCharType="separate"/>
      </w:r>
      <w:r w:rsidRPr="00613942">
        <w:rPr>
          <w:rStyle w:val="Hyperlink"/>
          <w:rFonts w:ascii="Verdana" w:hAnsi="Verdana"/>
          <w:sz w:val="18"/>
          <w:szCs w:val="18"/>
          <w:lang w:val="el-GR"/>
        </w:rPr>
        <w:t>Μεθοδολογικές Πληροφορίες</w:t>
      </w:r>
    </w:p>
    <w:p w14:paraId="2EAF0B26" w14:textId="65607117" w:rsidR="001526D2" w:rsidRDefault="00176F99" w:rsidP="00176F99">
      <w:pPr>
        <w:jc w:val="both"/>
        <w:rPr>
          <w:rStyle w:val="Hyperlink"/>
          <w:rFonts w:ascii="Verdana" w:hAnsi="Verdana"/>
          <w:sz w:val="18"/>
          <w:szCs w:val="18"/>
          <w:lang w:val="el-GR"/>
        </w:rPr>
      </w:pPr>
      <w:r>
        <w:rPr>
          <w:rStyle w:val="Hyperlink"/>
          <w:rFonts w:ascii="Verdana" w:hAnsi="Verdana"/>
          <w:sz w:val="18"/>
          <w:szCs w:val="18"/>
          <w:lang w:val="el-GR"/>
        </w:rPr>
        <w:fldChar w:fldCharType="end"/>
      </w:r>
    </w:p>
    <w:p w14:paraId="4746C24E" w14:textId="77777777" w:rsidR="001526D2" w:rsidRPr="00AE0687" w:rsidRDefault="001526D2" w:rsidP="00176F99">
      <w:pPr>
        <w:jc w:val="both"/>
        <w:rPr>
          <w:rFonts w:ascii="Verdana" w:hAnsi="Verdana"/>
          <w:sz w:val="18"/>
          <w:szCs w:val="18"/>
          <w:lang w:val="el-GR"/>
        </w:rPr>
      </w:pPr>
    </w:p>
    <w:p w14:paraId="7726CB8E" w14:textId="77777777" w:rsidR="00176F99" w:rsidRPr="00AF6C4C" w:rsidRDefault="00176F99" w:rsidP="00176F99">
      <w:pPr>
        <w:jc w:val="both"/>
        <w:rPr>
          <w:rFonts w:ascii="Verdana" w:eastAsia="Malgun Gothic" w:hAnsi="Verdana" w:cs="Arial"/>
          <w:b/>
          <w:bCs/>
          <w:i/>
          <w:sz w:val="18"/>
          <w:szCs w:val="18"/>
          <w:u w:val="single"/>
          <w:lang w:val="el-GR"/>
        </w:rPr>
      </w:pPr>
      <w:r w:rsidRPr="00AF6C4C">
        <w:rPr>
          <w:rFonts w:ascii="Verdana" w:eastAsia="Malgun Gothic" w:hAnsi="Verdana" w:cs="Arial"/>
          <w:b/>
          <w:bCs/>
          <w:i/>
          <w:sz w:val="18"/>
          <w:szCs w:val="18"/>
          <w:u w:val="single"/>
          <w:lang w:val="el-GR"/>
        </w:rPr>
        <w:t>Επικοινωνία</w:t>
      </w:r>
    </w:p>
    <w:p w14:paraId="265BEB37" w14:textId="77777777" w:rsidR="00176F99" w:rsidRPr="00D33811" w:rsidRDefault="00176F99" w:rsidP="00176F99">
      <w:pPr>
        <w:rPr>
          <w:rFonts w:ascii="Verdana" w:hAnsi="Verdana"/>
          <w:color w:val="0000FF"/>
          <w:sz w:val="18"/>
          <w:szCs w:val="18"/>
          <w:u w:val="single"/>
          <w:shd w:val="clear" w:color="auto" w:fill="FFFFFF"/>
          <w:lang w:val="el-GR"/>
        </w:rPr>
      </w:pPr>
      <w:bookmarkStart w:id="1" w:name="_Hlk71021977"/>
      <w:r w:rsidRPr="00313402">
        <w:rPr>
          <w:rFonts w:ascii="Verdana" w:hAnsi="Verdana"/>
          <w:sz w:val="18"/>
          <w:szCs w:val="18"/>
          <w:lang w:val="el-GR"/>
        </w:rPr>
        <w:t xml:space="preserve">Ιωάννα Λεοντίου: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2" w:name="_Hlk71022000"/>
      <w:r w:rsidRPr="00313402">
        <w:rPr>
          <w:rFonts w:ascii="Verdana" w:hAnsi="Verdana"/>
          <w:sz w:val="18"/>
          <w:szCs w:val="18"/>
          <w:lang w:val="el-GR"/>
        </w:rPr>
        <w:t>+357 22 605122</w:t>
      </w:r>
      <w:bookmarkEnd w:id="2"/>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3" w:name="_Hlk71022004"/>
      <w:proofErr w:type="spellStart"/>
      <w:r w:rsidRPr="001E7DB9">
        <w:rPr>
          <w:rFonts w:ascii="Verdana" w:hAnsi="Verdana"/>
          <w:color w:val="0000FF"/>
          <w:sz w:val="18"/>
          <w:szCs w:val="18"/>
          <w:u w:val="single"/>
          <w:shd w:val="clear" w:color="auto" w:fill="FFFFFF"/>
        </w:rPr>
        <w:t>ileontiou</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3"/>
    </w:p>
    <w:p w14:paraId="58EF467F" w14:textId="72780E23" w:rsidR="001712CF" w:rsidRDefault="00176F99" w:rsidP="00176F99">
      <w:pPr>
        <w:rPr>
          <w:rFonts w:ascii="Verdana" w:hAnsi="Verdana" w:cs="Arial"/>
          <w:sz w:val="18"/>
          <w:szCs w:val="18"/>
          <w:lang w:val="el-GR"/>
        </w:rPr>
      </w:pPr>
      <w:proofErr w:type="spellStart"/>
      <w:r w:rsidRPr="00313402">
        <w:rPr>
          <w:rFonts w:ascii="Verdana" w:hAnsi="Verdana"/>
          <w:sz w:val="18"/>
          <w:szCs w:val="18"/>
          <w:lang w:val="el-GR"/>
        </w:rPr>
        <w:t>Ελίνα</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Τουμπακή</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Αρ</w:t>
      </w:r>
      <w:proofErr w:type="spellEnd"/>
      <w:r w:rsidRPr="00313402">
        <w:rPr>
          <w:rFonts w:ascii="Verdana" w:hAnsi="Verdana"/>
          <w:sz w:val="18"/>
          <w:szCs w:val="18"/>
          <w:lang w:val="el-GR"/>
        </w:rPr>
        <w:t xml:space="preserve">. </w:t>
      </w:r>
      <w:proofErr w:type="spellStart"/>
      <w:r w:rsidRPr="00313402">
        <w:rPr>
          <w:rFonts w:ascii="Verdana" w:hAnsi="Verdana"/>
          <w:sz w:val="18"/>
          <w:szCs w:val="18"/>
          <w:lang w:val="el-GR"/>
        </w:rPr>
        <w:t>Τηλ</w:t>
      </w:r>
      <w:proofErr w:type="spellEnd"/>
      <w:r w:rsidRPr="00313402">
        <w:rPr>
          <w:rFonts w:ascii="Verdana" w:hAnsi="Verdana"/>
          <w:sz w:val="18"/>
          <w:szCs w:val="18"/>
          <w:lang w:val="el-GR"/>
        </w:rPr>
        <w:t xml:space="preserve">: </w:t>
      </w:r>
      <w:bookmarkStart w:id="4" w:name="_Hlk71022018"/>
      <w:r w:rsidRPr="00313402">
        <w:rPr>
          <w:rFonts w:ascii="Verdana" w:hAnsi="Verdana"/>
          <w:sz w:val="18"/>
          <w:szCs w:val="18"/>
          <w:lang w:val="el-GR"/>
        </w:rPr>
        <w:t>+357 22 602214</w:t>
      </w:r>
      <w:bookmarkEnd w:id="4"/>
      <w:r w:rsidRPr="00313402">
        <w:rPr>
          <w:rFonts w:ascii="Verdana" w:hAnsi="Verdana"/>
          <w:sz w:val="18"/>
          <w:szCs w:val="18"/>
          <w:lang w:val="el-GR"/>
        </w:rPr>
        <w:t xml:space="preserve">, </w:t>
      </w:r>
      <w:proofErr w:type="spellStart"/>
      <w:r w:rsidRPr="00313402">
        <w:rPr>
          <w:rFonts w:ascii="Verdana" w:hAnsi="Verdana"/>
          <w:sz w:val="18"/>
          <w:szCs w:val="18"/>
          <w:lang w:val="el-GR"/>
        </w:rPr>
        <w:t>Ηλ</w:t>
      </w:r>
      <w:proofErr w:type="spellEnd"/>
      <w:r w:rsidRPr="00313402">
        <w:rPr>
          <w:rFonts w:ascii="Verdana" w:hAnsi="Verdana"/>
          <w:sz w:val="18"/>
          <w:szCs w:val="18"/>
          <w:lang w:val="el-GR"/>
        </w:rPr>
        <w:t>. Διεύθυνση</w:t>
      </w:r>
      <w:r w:rsidRPr="00AE0687">
        <w:rPr>
          <w:rFonts w:ascii="Verdana" w:hAnsi="Verdana"/>
          <w:sz w:val="18"/>
          <w:szCs w:val="18"/>
          <w:shd w:val="clear" w:color="auto" w:fill="FFFFFF"/>
          <w:lang w:val="el-GR"/>
        </w:rPr>
        <w:t>:</w:t>
      </w:r>
      <w:r w:rsidRPr="00AE0687">
        <w:rPr>
          <w:rFonts w:ascii="Verdana" w:hAnsi="Verdana"/>
          <w:sz w:val="18"/>
          <w:szCs w:val="18"/>
          <w:shd w:val="clear" w:color="auto" w:fill="FFFFFF"/>
        </w:rPr>
        <w:t> </w:t>
      </w:r>
      <w:bookmarkStart w:id="5" w:name="_Hlk71022024"/>
      <w:proofErr w:type="spellStart"/>
      <w:r w:rsidRPr="001E7DB9">
        <w:rPr>
          <w:rFonts w:ascii="Verdana" w:hAnsi="Verdana"/>
          <w:color w:val="0000FF"/>
          <w:sz w:val="18"/>
          <w:szCs w:val="18"/>
          <w:u w:val="single"/>
          <w:shd w:val="clear" w:color="auto" w:fill="FFFFFF"/>
        </w:rPr>
        <w:t>etoumbaki</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cystat</w:t>
      </w:r>
      <w:proofErr w:type="spellEnd"/>
      <w:r w:rsidRPr="001E7DB9">
        <w:rPr>
          <w:rFonts w:ascii="Verdana" w:hAnsi="Verdana"/>
          <w:color w:val="0000FF"/>
          <w:sz w:val="18"/>
          <w:szCs w:val="18"/>
          <w:u w:val="single"/>
          <w:shd w:val="clear" w:color="auto" w:fill="FFFFFF"/>
          <w:lang w:val="el-GR"/>
        </w:rPr>
        <w:t>.</w:t>
      </w:r>
      <w:proofErr w:type="spellStart"/>
      <w:r w:rsidRPr="001E7DB9">
        <w:rPr>
          <w:rFonts w:ascii="Verdana" w:hAnsi="Verdana"/>
          <w:color w:val="0000FF"/>
          <w:sz w:val="18"/>
          <w:szCs w:val="18"/>
          <w:u w:val="single"/>
          <w:shd w:val="clear" w:color="auto" w:fill="FFFFFF"/>
        </w:rPr>
        <w:t>mof</w:t>
      </w:r>
      <w:proofErr w:type="spellEnd"/>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gov</w:t>
      </w:r>
      <w:r w:rsidRPr="001E7DB9">
        <w:rPr>
          <w:rFonts w:ascii="Verdana" w:hAnsi="Verdana"/>
          <w:color w:val="0000FF"/>
          <w:sz w:val="18"/>
          <w:szCs w:val="18"/>
          <w:u w:val="single"/>
          <w:shd w:val="clear" w:color="auto" w:fill="FFFFFF"/>
          <w:lang w:val="el-GR"/>
        </w:rPr>
        <w:t>.</w:t>
      </w:r>
      <w:r w:rsidRPr="001E7DB9">
        <w:rPr>
          <w:rFonts w:ascii="Verdana" w:hAnsi="Verdana"/>
          <w:color w:val="0000FF"/>
          <w:sz w:val="18"/>
          <w:szCs w:val="18"/>
          <w:u w:val="single"/>
          <w:shd w:val="clear" w:color="auto" w:fill="FFFFFF"/>
        </w:rPr>
        <w:t>cy</w:t>
      </w:r>
      <w:bookmarkEnd w:id="1"/>
      <w:bookmarkEnd w:id="5"/>
    </w:p>
    <w:p w14:paraId="68D257CC" w14:textId="687F1422" w:rsidR="001712CF" w:rsidRDefault="001712CF" w:rsidP="000E4CB0">
      <w:pPr>
        <w:jc w:val="both"/>
        <w:rPr>
          <w:rFonts w:ascii="Verdana" w:hAnsi="Verdana" w:cs="Arial"/>
          <w:sz w:val="18"/>
          <w:szCs w:val="18"/>
          <w:lang w:val="el-GR"/>
        </w:rPr>
      </w:pPr>
    </w:p>
    <w:p w14:paraId="6E34532F" w14:textId="6868356C" w:rsidR="001712CF" w:rsidRDefault="001712CF" w:rsidP="000E4CB0">
      <w:pPr>
        <w:jc w:val="both"/>
        <w:rPr>
          <w:rFonts w:ascii="Verdana" w:hAnsi="Verdana" w:cs="Arial"/>
          <w:sz w:val="18"/>
          <w:szCs w:val="18"/>
          <w:lang w:val="el-GR"/>
        </w:rPr>
      </w:pPr>
    </w:p>
    <w:p w14:paraId="00D65A1D" w14:textId="3A4BB0E6" w:rsidR="001712CF" w:rsidRDefault="001712CF" w:rsidP="000E4CB0">
      <w:pPr>
        <w:jc w:val="both"/>
        <w:rPr>
          <w:rFonts w:ascii="Verdana" w:hAnsi="Verdana" w:cs="Arial"/>
          <w:sz w:val="18"/>
          <w:szCs w:val="18"/>
          <w:lang w:val="el-GR"/>
        </w:rPr>
      </w:pPr>
    </w:p>
    <w:sectPr w:rsidR="001712CF" w:rsidSect="00EC2E65">
      <w:headerReference w:type="default" r:id="rId13"/>
      <w:footerReference w:type="default" r:id="rId14"/>
      <w:headerReference w:type="first" r:id="rId15"/>
      <w:footerReference w:type="first" r:id="rId16"/>
      <w:pgSz w:w="11907" w:h="16840" w:code="9"/>
      <w:pgMar w:top="567" w:right="1185" w:bottom="1021" w:left="1134"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6B2C4" w14:textId="77777777" w:rsidR="000E111E" w:rsidRDefault="000E111E" w:rsidP="00FB398F">
      <w:r>
        <w:separator/>
      </w:r>
    </w:p>
  </w:endnote>
  <w:endnote w:type="continuationSeparator" w:id="0">
    <w:p w14:paraId="10462BD3" w14:textId="77777777" w:rsidR="000E111E" w:rsidRDefault="000E111E"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4DEB"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CD8F"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01EBEC3" w14:textId="7390D2C8"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E6DAB">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66893A8B"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5F94" w14:textId="77777777" w:rsidR="000E111E" w:rsidRDefault="000E111E" w:rsidP="00FB398F">
      <w:r>
        <w:separator/>
      </w:r>
    </w:p>
  </w:footnote>
  <w:footnote w:type="continuationSeparator" w:id="0">
    <w:p w14:paraId="341EE784" w14:textId="77777777" w:rsidR="000E111E" w:rsidRDefault="000E111E"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C9C0"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2EC" w14:textId="13591C2C" w:rsidR="004E4F42" w:rsidRDefault="001712CF"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6192" behindDoc="0" locked="0" layoutInCell="1" allowOverlap="1" wp14:anchorId="3290AC8A" wp14:editId="7DB4922F">
          <wp:simplePos x="0" y="0"/>
          <wp:positionH relativeFrom="column">
            <wp:posOffset>523875</wp:posOffset>
          </wp:positionH>
          <wp:positionV relativeFrom="paragraph">
            <wp:posOffset>168910</wp:posOffset>
          </wp:positionV>
          <wp:extent cx="676275" cy="676275"/>
          <wp:effectExtent l="0" t="0" r="0"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sz w:val="18"/>
        <w:szCs w:val="18"/>
        <w:lang w:val="en-US" w:eastAsia="en-US"/>
      </w:rPr>
      <mc:AlternateContent>
        <mc:Choice Requires="wps">
          <w:drawing>
            <wp:anchor distT="0" distB="0" distL="114300" distR="114300" simplePos="0" relativeHeight="251657216" behindDoc="0" locked="0" layoutInCell="1" allowOverlap="1" wp14:anchorId="733809BD" wp14:editId="5EF28F37">
              <wp:simplePos x="0" y="0"/>
              <wp:positionH relativeFrom="column">
                <wp:posOffset>4772660</wp:posOffset>
              </wp:positionH>
              <wp:positionV relativeFrom="paragraph">
                <wp:posOffset>-69215</wp:posOffset>
              </wp:positionV>
              <wp:extent cx="1287780" cy="1047750"/>
              <wp:effectExtent l="0" t="0" r="825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809BD" id="_x0000_t202" coordsize="21600,21600" o:spt="202" path="m,l,21600r21600,l21600,xe">
              <v:stroke joinstyle="miter"/>
              <v:path gradientshapeok="t" o:connecttype="rect"/>
            </v:shapetype>
            <v:shape id="Text Box 14"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4991D6F2" w14:textId="78D732FF" w:rsidR="004E4F42" w:rsidRDefault="001712CF" w:rsidP="000932CF">
                    <w:r w:rsidRPr="00B96284">
                      <w:rPr>
                        <w:noProof/>
                      </w:rPr>
                      <w:drawing>
                        <wp:inline distT="0" distB="0" distL="0" distR="0" wp14:anchorId="39104761" wp14:editId="2EE741E1">
                          <wp:extent cx="1095375" cy="790575"/>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rFonts w:ascii="Arial" w:hAnsi="Arial" w:cs="Arial"/>
        <w:bCs/>
        <w:noProof/>
        <w:sz w:val="18"/>
        <w:szCs w:val="18"/>
        <w:lang w:val="en-US" w:eastAsia="en-US"/>
      </w:rPr>
      <mc:AlternateContent>
        <mc:Choice Requires="wps">
          <w:drawing>
            <wp:anchor distT="0" distB="0" distL="114300" distR="114300" simplePos="0" relativeHeight="251658240" behindDoc="0" locked="0" layoutInCell="1" allowOverlap="1" wp14:anchorId="47DA8F2C" wp14:editId="2000D464">
              <wp:simplePos x="0" y="0"/>
              <wp:positionH relativeFrom="column">
                <wp:posOffset>3439160</wp:posOffset>
              </wp:positionH>
              <wp:positionV relativeFrom="paragraph">
                <wp:posOffset>-221615</wp:posOffset>
              </wp:positionV>
              <wp:extent cx="1468755" cy="12001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A8F2C" id="Text Box 15"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616EEE85" w14:textId="3B17AE7F" w:rsidR="004E4F42" w:rsidRDefault="001712CF" w:rsidP="000932CF">
                    <w:r w:rsidRPr="00B96284">
                      <w:rPr>
                        <w:noProof/>
                      </w:rPr>
                      <w:drawing>
                        <wp:inline distT="0" distB="0" distL="0" distR="0" wp14:anchorId="408F2A7B" wp14:editId="1D17F4D1">
                          <wp:extent cx="1276350" cy="100965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775607B8"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3A7322B1"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6E06BC16"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136A8564" w14:textId="2A169524" w:rsidR="004E4F42" w:rsidRDefault="001712CF" w:rsidP="000932CF">
    <w:pPr>
      <w:pStyle w:val="Header"/>
      <w:tabs>
        <w:tab w:val="clear" w:pos="4153"/>
        <w:tab w:val="center" w:pos="1620"/>
        <w:tab w:val="left" w:pos="2160"/>
        <w:tab w:val="center" w:pos="7655"/>
      </w:tabs>
      <w:spacing w:line="360" w:lineRule="auto"/>
      <w:rPr>
        <w:rFonts w:ascii="Arial" w:hAnsi="Arial" w:cs="Arial"/>
        <w:bCs/>
        <w:sz w:val="18"/>
        <w:szCs w:val="18"/>
      </w:rPr>
    </w:pPr>
    <w:r w:rsidRPr="00D14CDF">
      <w:rPr>
        <w:rFonts w:ascii="Arial" w:hAnsi="Arial" w:cs="Arial"/>
        <w:b/>
        <w:bCs/>
        <w:noProof/>
        <w:sz w:val="20"/>
        <w:szCs w:val="20"/>
        <w:lang w:val="en-US" w:eastAsia="en-US"/>
      </w:rPr>
      <mc:AlternateContent>
        <mc:Choice Requires="wps">
          <w:drawing>
            <wp:anchor distT="0" distB="0" distL="114300" distR="114300" simplePos="0" relativeHeight="251659264" behindDoc="0" locked="0" layoutInCell="1" allowOverlap="1" wp14:anchorId="26B35A09" wp14:editId="52949B4C">
              <wp:simplePos x="0" y="0"/>
              <wp:positionH relativeFrom="column">
                <wp:posOffset>4159250</wp:posOffset>
              </wp:positionH>
              <wp:positionV relativeFrom="paragraph">
                <wp:posOffset>104140</wp:posOffset>
              </wp:positionV>
              <wp:extent cx="1828800" cy="43815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5A09" id="Text Box 16"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505F9DD1"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7F363AC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788C084B"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2F272394"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0B8CA1D6"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19554438">
    <w:abstractNumId w:val="4"/>
  </w:num>
  <w:num w:numId="2" w16cid:durableId="894270092">
    <w:abstractNumId w:val="1"/>
  </w:num>
  <w:num w:numId="3" w16cid:durableId="593363562">
    <w:abstractNumId w:val="2"/>
  </w:num>
  <w:num w:numId="4" w16cid:durableId="1130973206">
    <w:abstractNumId w:val="3"/>
  </w:num>
  <w:num w:numId="5" w16cid:durableId="994458099">
    <w:abstractNumId w:val="0"/>
  </w:num>
  <w:num w:numId="6" w16cid:durableId="1395081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054A"/>
    <w:rsid w:val="00013E40"/>
    <w:rsid w:val="000161B1"/>
    <w:rsid w:val="0001703B"/>
    <w:rsid w:val="00025A39"/>
    <w:rsid w:val="00027853"/>
    <w:rsid w:val="00030E18"/>
    <w:rsid w:val="00031D32"/>
    <w:rsid w:val="0003603D"/>
    <w:rsid w:val="0003762A"/>
    <w:rsid w:val="00045088"/>
    <w:rsid w:val="00045A06"/>
    <w:rsid w:val="00050391"/>
    <w:rsid w:val="00055291"/>
    <w:rsid w:val="000563D3"/>
    <w:rsid w:val="00057E44"/>
    <w:rsid w:val="00061299"/>
    <w:rsid w:val="00070576"/>
    <w:rsid w:val="000752BB"/>
    <w:rsid w:val="00081ADF"/>
    <w:rsid w:val="00084A02"/>
    <w:rsid w:val="00084BF7"/>
    <w:rsid w:val="000870E9"/>
    <w:rsid w:val="000932CF"/>
    <w:rsid w:val="00096ED8"/>
    <w:rsid w:val="000A1A88"/>
    <w:rsid w:val="000A2B5C"/>
    <w:rsid w:val="000A3601"/>
    <w:rsid w:val="000A3657"/>
    <w:rsid w:val="000A6FA8"/>
    <w:rsid w:val="000C1070"/>
    <w:rsid w:val="000C26FD"/>
    <w:rsid w:val="000C4E72"/>
    <w:rsid w:val="000D0D97"/>
    <w:rsid w:val="000D1E7A"/>
    <w:rsid w:val="000E111E"/>
    <w:rsid w:val="000E24B1"/>
    <w:rsid w:val="000E2735"/>
    <w:rsid w:val="000E32D6"/>
    <w:rsid w:val="000E4CB0"/>
    <w:rsid w:val="000E57F2"/>
    <w:rsid w:val="000E72A7"/>
    <w:rsid w:val="000F1162"/>
    <w:rsid w:val="000F3467"/>
    <w:rsid w:val="000F38DE"/>
    <w:rsid w:val="000F532A"/>
    <w:rsid w:val="000F5D6C"/>
    <w:rsid w:val="00106852"/>
    <w:rsid w:val="00110F9D"/>
    <w:rsid w:val="00114A67"/>
    <w:rsid w:val="00120876"/>
    <w:rsid w:val="001253B6"/>
    <w:rsid w:val="001262C3"/>
    <w:rsid w:val="00127320"/>
    <w:rsid w:val="00127456"/>
    <w:rsid w:val="001312D8"/>
    <w:rsid w:val="0013137B"/>
    <w:rsid w:val="0015118B"/>
    <w:rsid w:val="001519CE"/>
    <w:rsid w:val="001526D2"/>
    <w:rsid w:val="00154416"/>
    <w:rsid w:val="00161CF3"/>
    <w:rsid w:val="00162C00"/>
    <w:rsid w:val="001639EF"/>
    <w:rsid w:val="0016589F"/>
    <w:rsid w:val="001712CF"/>
    <w:rsid w:val="00176F99"/>
    <w:rsid w:val="0017769A"/>
    <w:rsid w:val="00183DFC"/>
    <w:rsid w:val="00184384"/>
    <w:rsid w:val="00186717"/>
    <w:rsid w:val="00187FFC"/>
    <w:rsid w:val="0019391C"/>
    <w:rsid w:val="001A2018"/>
    <w:rsid w:val="001A60B1"/>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20309E"/>
    <w:rsid w:val="00210B58"/>
    <w:rsid w:val="0021179C"/>
    <w:rsid w:val="00222423"/>
    <w:rsid w:val="00225B28"/>
    <w:rsid w:val="00226891"/>
    <w:rsid w:val="00230D9B"/>
    <w:rsid w:val="002313AC"/>
    <w:rsid w:val="00235FB2"/>
    <w:rsid w:val="00237BC1"/>
    <w:rsid w:val="002430B4"/>
    <w:rsid w:val="002447D0"/>
    <w:rsid w:val="002454C5"/>
    <w:rsid w:val="00245E19"/>
    <w:rsid w:val="00246AEB"/>
    <w:rsid w:val="002471F9"/>
    <w:rsid w:val="00250005"/>
    <w:rsid w:val="0025254F"/>
    <w:rsid w:val="0025566D"/>
    <w:rsid w:val="0025595C"/>
    <w:rsid w:val="00257149"/>
    <w:rsid w:val="002576E7"/>
    <w:rsid w:val="00260357"/>
    <w:rsid w:val="002645B2"/>
    <w:rsid w:val="00264F04"/>
    <w:rsid w:val="00265D7A"/>
    <w:rsid w:val="00267554"/>
    <w:rsid w:val="00280A21"/>
    <w:rsid w:val="0028338F"/>
    <w:rsid w:val="002915C4"/>
    <w:rsid w:val="0029529E"/>
    <w:rsid w:val="00297E6B"/>
    <w:rsid w:val="002A1D1C"/>
    <w:rsid w:val="002A4D64"/>
    <w:rsid w:val="002B4969"/>
    <w:rsid w:val="002B6554"/>
    <w:rsid w:val="002D05F0"/>
    <w:rsid w:val="002D2829"/>
    <w:rsid w:val="002D7D4A"/>
    <w:rsid w:val="002E3846"/>
    <w:rsid w:val="002E3F78"/>
    <w:rsid w:val="002E49EF"/>
    <w:rsid w:val="002F400C"/>
    <w:rsid w:val="002F4D76"/>
    <w:rsid w:val="002F6D26"/>
    <w:rsid w:val="0030231E"/>
    <w:rsid w:val="003042C4"/>
    <w:rsid w:val="00304CB4"/>
    <w:rsid w:val="00313402"/>
    <w:rsid w:val="00313F37"/>
    <w:rsid w:val="003141D0"/>
    <w:rsid w:val="003168C1"/>
    <w:rsid w:val="00322FBE"/>
    <w:rsid w:val="00325632"/>
    <w:rsid w:val="00327549"/>
    <w:rsid w:val="003342A5"/>
    <w:rsid w:val="00334616"/>
    <w:rsid w:val="00336C36"/>
    <w:rsid w:val="00343815"/>
    <w:rsid w:val="003522BB"/>
    <w:rsid w:val="00352F6C"/>
    <w:rsid w:val="003556EA"/>
    <w:rsid w:val="00375C5A"/>
    <w:rsid w:val="0038314C"/>
    <w:rsid w:val="00386FC7"/>
    <w:rsid w:val="00390A32"/>
    <w:rsid w:val="003A1E91"/>
    <w:rsid w:val="003A40F2"/>
    <w:rsid w:val="003A50D1"/>
    <w:rsid w:val="003B196D"/>
    <w:rsid w:val="003B1E83"/>
    <w:rsid w:val="003B2710"/>
    <w:rsid w:val="003B4608"/>
    <w:rsid w:val="003C2094"/>
    <w:rsid w:val="003C2392"/>
    <w:rsid w:val="003C5174"/>
    <w:rsid w:val="003C5240"/>
    <w:rsid w:val="003C76E6"/>
    <w:rsid w:val="003D14E0"/>
    <w:rsid w:val="003D1EA5"/>
    <w:rsid w:val="003D3348"/>
    <w:rsid w:val="003D3DB1"/>
    <w:rsid w:val="003D4E63"/>
    <w:rsid w:val="003D6822"/>
    <w:rsid w:val="003D724C"/>
    <w:rsid w:val="003E0CE2"/>
    <w:rsid w:val="003F49E4"/>
    <w:rsid w:val="003F4D2F"/>
    <w:rsid w:val="003F5E32"/>
    <w:rsid w:val="003F75F6"/>
    <w:rsid w:val="00404670"/>
    <w:rsid w:val="00414CA0"/>
    <w:rsid w:val="00422F54"/>
    <w:rsid w:val="00426ECE"/>
    <w:rsid w:val="00431516"/>
    <w:rsid w:val="004361B3"/>
    <w:rsid w:val="0044249D"/>
    <w:rsid w:val="0044379F"/>
    <w:rsid w:val="00444FCC"/>
    <w:rsid w:val="00446FB1"/>
    <w:rsid w:val="00447AB8"/>
    <w:rsid w:val="00452753"/>
    <w:rsid w:val="0045602C"/>
    <w:rsid w:val="00457A89"/>
    <w:rsid w:val="0046078F"/>
    <w:rsid w:val="00463214"/>
    <w:rsid w:val="0046434D"/>
    <w:rsid w:val="004656FA"/>
    <w:rsid w:val="00471D77"/>
    <w:rsid w:val="00475587"/>
    <w:rsid w:val="0047592F"/>
    <w:rsid w:val="00480BC2"/>
    <w:rsid w:val="004845C3"/>
    <w:rsid w:val="004929C2"/>
    <w:rsid w:val="00493FDD"/>
    <w:rsid w:val="00494FCA"/>
    <w:rsid w:val="0049586B"/>
    <w:rsid w:val="004A3E44"/>
    <w:rsid w:val="004B2018"/>
    <w:rsid w:val="004B2896"/>
    <w:rsid w:val="004B38E9"/>
    <w:rsid w:val="004B3FBA"/>
    <w:rsid w:val="004B6599"/>
    <w:rsid w:val="004C6CA7"/>
    <w:rsid w:val="004C7A19"/>
    <w:rsid w:val="004D4357"/>
    <w:rsid w:val="004D4950"/>
    <w:rsid w:val="004E2393"/>
    <w:rsid w:val="004E3745"/>
    <w:rsid w:val="004E42BE"/>
    <w:rsid w:val="004E4F42"/>
    <w:rsid w:val="004E63D5"/>
    <w:rsid w:val="004F03FD"/>
    <w:rsid w:val="004F52F0"/>
    <w:rsid w:val="004F6250"/>
    <w:rsid w:val="004F677C"/>
    <w:rsid w:val="004F6D8F"/>
    <w:rsid w:val="00505503"/>
    <w:rsid w:val="00507EE8"/>
    <w:rsid w:val="0051107B"/>
    <w:rsid w:val="00512F9C"/>
    <w:rsid w:val="005140BB"/>
    <w:rsid w:val="00522D4E"/>
    <w:rsid w:val="00527CDB"/>
    <w:rsid w:val="005341C9"/>
    <w:rsid w:val="005369CA"/>
    <w:rsid w:val="00536DE9"/>
    <w:rsid w:val="00541E08"/>
    <w:rsid w:val="00554FE0"/>
    <w:rsid w:val="0055789A"/>
    <w:rsid w:val="00560952"/>
    <w:rsid w:val="005652D1"/>
    <w:rsid w:val="005660A0"/>
    <w:rsid w:val="00566A4F"/>
    <w:rsid w:val="00567384"/>
    <w:rsid w:val="00567D64"/>
    <w:rsid w:val="00567E1B"/>
    <w:rsid w:val="00575F0E"/>
    <w:rsid w:val="005978D4"/>
    <w:rsid w:val="005A23FA"/>
    <w:rsid w:val="005B2A67"/>
    <w:rsid w:val="005B3DCD"/>
    <w:rsid w:val="005B4AD4"/>
    <w:rsid w:val="005C2798"/>
    <w:rsid w:val="005C36C3"/>
    <w:rsid w:val="005C56EE"/>
    <w:rsid w:val="005D1714"/>
    <w:rsid w:val="005D7638"/>
    <w:rsid w:val="005E6852"/>
    <w:rsid w:val="005F12F5"/>
    <w:rsid w:val="005F7C7D"/>
    <w:rsid w:val="006044B7"/>
    <w:rsid w:val="006071CE"/>
    <w:rsid w:val="006075B5"/>
    <w:rsid w:val="0061018C"/>
    <w:rsid w:val="0061094E"/>
    <w:rsid w:val="00613440"/>
    <w:rsid w:val="00613BE3"/>
    <w:rsid w:val="0062327B"/>
    <w:rsid w:val="00632777"/>
    <w:rsid w:val="00633750"/>
    <w:rsid w:val="00634491"/>
    <w:rsid w:val="0063679C"/>
    <w:rsid w:val="00637055"/>
    <w:rsid w:val="00641D59"/>
    <w:rsid w:val="00644507"/>
    <w:rsid w:val="00646880"/>
    <w:rsid w:val="00647D2A"/>
    <w:rsid w:val="006534C5"/>
    <w:rsid w:val="006537BB"/>
    <w:rsid w:val="0065643E"/>
    <w:rsid w:val="00662559"/>
    <w:rsid w:val="00667E07"/>
    <w:rsid w:val="00670E5F"/>
    <w:rsid w:val="0067172A"/>
    <w:rsid w:val="00671785"/>
    <w:rsid w:val="00672BA9"/>
    <w:rsid w:val="00673005"/>
    <w:rsid w:val="006804BE"/>
    <w:rsid w:val="0068434A"/>
    <w:rsid w:val="00686801"/>
    <w:rsid w:val="0069008E"/>
    <w:rsid w:val="0069087E"/>
    <w:rsid w:val="006925C4"/>
    <w:rsid w:val="006A02B7"/>
    <w:rsid w:val="006A7019"/>
    <w:rsid w:val="006B0009"/>
    <w:rsid w:val="006B46D5"/>
    <w:rsid w:val="006B46F4"/>
    <w:rsid w:val="006C121C"/>
    <w:rsid w:val="006C445D"/>
    <w:rsid w:val="006C7AF3"/>
    <w:rsid w:val="006D0B9D"/>
    <w:rsid w:val="006D1C53"/>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0735E"/>
    <w:rsid w:val="00711475"/>
    <w:rsid w:val="0072548A"/>
    <w:rsid w:val="007277A6"/>
    <w:rsid w:val="007437AB"/>
    <w:rsid w:val="00745425"/>
    <w:rsid w:val="007534F8"/>
    <w:rsid w:val="007545AD"/>
    <w:rsid w:val="00761D25"/>
    <w:rsid w:val="00763722"/>
    <w:rsid w:val="00764BC1"/>
    <w:rsid w:val="00770869"/>
    <w:rsid w:val="007738AA"/>
    <w:rsid w:val="00780A62"/>
    <w:rsid w:val="00783241"/>
    <w:rsid w:val="00784BDC"/>
    <w:rsid w:val="00785CDB"/>
    <w:rsid w:val="00792F28"/>
    <w:rsid w:val="007935CA"/>
    <w:rsid w:val="0079543F"/>
    <w:rsid w:val="00795880"/>
    <w:rsid w:val="007A4367"/>
    <w:rsid w:val="007B0867"/>
    <w:rsid w:val="007B1AC1"/>
    <w:rsid w:val="007B5A08"/>
    <w:rsid w:val="007B693D"/>
    <w:rsid w:val="007C4CDC"/>
    <w:rsid w:val="007E041B"/>
    <w:rsid w:val="007E199A"/>
    <w:rsid w:val="007E1AED"/>
    <w:rsid w:val="007E2415"/>
    <w:rsid w:val="007E3696"/>
    <w:rsid w:val="007E39F3"/>
    <w:rsid w:val="007E405E"/>
    <w:rsid w:val="007E68F4"/>
    <w:rsid w:val="007E6DE2"/>
    <w:rsid w:val="007F31BA"/>
    <w:rsid w:val="007F4078"/>
    <w:rsid w:val="007F7098"/>
    <w:rsid w:val="0080014B"/>
    <w:rsid w:val="00801793"/>
    <w:rsid w:val="00803642"/>
    <w:rsid w:val="00806EA2"/>
    <w:rsid w:val="00812A2B"/>
    <w:rsid w:val="00814A4C"/>
    <w:rsid w:val="008278A8"/>
    <w:rsid w:val="00831AAB"/>
    <w:rsid w:val="00833BCD"/>
    <w:rsid w:val="00834B82"/>
    <w:rsid w:val="0083574E"/>
    <w:rsid w:val="0083640C"/>
    <w:rsid w:val="008374E3"/>
    <w:rsid w:val="0084031E"/>
    <w:rsid w:val="0084157B"/>
    <w:rsid w:val="00842BFB"/>
    <w:rsid w:val="00846B85"/>
    <w:rsid w:val="00847DC3"/>
    <w:rsid w:val="00847F49"/>
    <w:rsid w:val="008535C5"/>
    <w:rsid w:val="00853765"/>
    <w:rsid w:val="008546CC"/>
    <w:rsid w:val="0085516F"/>
    <w:rsid w:val="00867186"/>
    <w:rsid w:val="00870AF6"/>
    <w:rsid w:val="00877452"/>
    <w:rsid w:val="00881268"/>
    <w:rsid w:val="0088394A"/>
    <w:rsid w:val="008860BD"/>
    <w:rsid w:val="00887399"/>
    <w:rsid w:val="0088779E"/>
    <w:rsid w:val="008912AF"/>
    <w:rsid w:val="00892114"/>
    <w:rsid w:val="00892BDA"/>
    <w:rsid w:val="00892CB9"/>
    <w:rsid w:val="008935CB"/>
    <w:rsid w:val="00896BB4"/>
    <w:rsid w:val="008B0E7E"/>
    <w:rsid w:val="008B426B"/>
    <w:rsid w:val="008B65BD"/>
    <w:rsid w:val="008B7900"/>
    <w:rsid w:val="008C581B"/>
    <w:rsid w:val="008C60DB"/>
    <w:rsid w:val="008C71BF"/>
    <w:rsid w:val="008C7FE0"/>
    <w:rsid w:val="008D5717"/>
    <w:rsid w:val="008E3901"/>
    <w:rsid w:val="008E44A9"/>
    <w:rsid w:val="008E6B4D"/>
    <w:rsid w:val="008E6BFF"/>
    <w:rsid w:val="008F21AF"/>
    <w:rsid w:val="008F2400"/>
    <w:rsid w:val="008F61BA"/>
    <w:rsid w:val="008F6E3C"/>
    <w:rsid w:val="008F7C55"/>
    <w:rsid w:val="00911FB2"/>
    <w:rsid w:val="00914A23"/>
    <w:rsid w:val="00925661"/>
    <w:rsid w:val="00930754"/>
    <w:rsid w:val="00934F68"/>
    <w:rsid w:val="009355AC"/>
    <w:rsid w:val="00935F38"/>
    <w:rsid w:val="00937586"/>
    <w:rsid w:val="00947889"/>
    <w:rsid w:val="009478BD"/>
    <w:rsid w:val="00960E98"/>
    <w:rsid w:val="00963A82"/>
    <w:rsid w:val="00965807"/>
    <w:rsid w:val="00972912"/>
    <w:rsid w:val="00976D1F"/>
    <w:rsid w:val="00981C81"/>
    <w:rsid w:val="009A2D24"/>
    <w:rsid w:val="009A456C"/>
    <w:rsid w:val="009B00E0"/>
    <w:rsid w:val="009B292A"/>
    <w:rsid w:val="009B76D5"/>
    <w:rsid w:val="009C165D"/>
    <w:rsid w:val="009C3CEA"/>
    <w:rsid w:val="009C583D"/>
    <w:rsid w:val="009D2306"/>
    <w:rsid w:val="009D2611"/>
    <w:rsid w:val="009D79D2"/>
    <w:rsid w:val="009E247C"/>
    <w:rsid w:val="009E31BA"/>
    <w:rsid w:val="009F0528"/>
    <w:rsid w:val="009F0806"/>
    <w:rsid w:val="009F233B"/>
    <w:rsid w:val="00A05D16"/>
    <w:rsid w:val="00A0659F"/>
    <w:rsid w:val="00A079BA"/>
    <w:rsid w:val="00A14E8C"/>
    <w:rsid w:val="00A20C70"/>
    <w:rsid w:val="00A33875"/>
    <w:rsid w:val="00A360A1"/>
    <w:rsid w:val="00A402B3"/>
    <w:rsid w:val="00A544B7"/>
    <w:rsid w:val="00A618CF"/>
    <w:rsid w:val="00A62770"/>
    <w:rsid w:val="00A62EEB"/>
    <w:rsid w:val="00A635C8"/>
    <w:rsid w:val="00A660FF"/>
    <w:rsid w:val="00A72A41"/>
    <w:rsid w:val="00A73277"/>
    <w:rsid w:val="00A73395"/>
    <w:rsid w:val="00A771E3"/>
    <w:rsid w:val="00A82B4C"/>
    <w:rsid w:val="00A86C15"/>
    <w:rsid w:val="00A93A4C"/>
    <w:rsid w:val="00A94D5D"/>
    <w:rsid w:val="00AA1D9B"/>
    <w:rsid w:val="00AA2543"/>
    <w:rsid w:val="00AA3804"/>
    <w:rsid w:val="00AA55C2"/>
    <w:rsid w:val="00AB0ACA"/>
    <w:rsid w:val="00AB1D41"/>
    <w:rsid w:val="00AC5E9A"/>
    <w:rsid w:val="00AC704B"/>
    <w:rsid w:val="00AD553E"/>
    <w:rsid w:val="00AD5848"/>
    <w:rsid w:val="00AE5ADA"/>
    <w:rsid w:val="00AE7ACA"/>
    <w:rsid w:val="00AF423B"/>
    <w:rsid w:val="00AF6145"/>
    <w:rsid w:val="00B01386"/>
    <w:rsid w:val="00B01915"/>
    <w:rsid w:val="00B01BB5"/>
    <w:rsid w:val="00B02037"/>
    <w:rsid w:val="00B026CC"/>
    <w:rsid w:val="00B04AF4"/>
    <w:rsid w:val="00B05214"/>
    <w:rsid w:val="00B30D97"/>
    <w:rsid w:val="00B31074"/>
    <w:rsid w:val="00B3181A"/>
    <w:rsid w:val="00B34349"/>
    <w:rsid w:val="00B35A7C"/>
    <w:rsid w:val="00B3794F"/>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0F6A"/>
    <w:rsid w:val="00B93668"/>
    <w:rsid w:val="00BA68C6"/>
    <w:rsid w:val="00BB12F1"/>
    <w:rsid w:val="00BB276E"/>
    <w:rsid w:val="00BB3ADD"/>
    <w:rsid w:val="00BB3FEE"/>
    <w:rsid w:val="00BB5EB0"/>
    <w:rsid w:val="00BC245A"/>
    <w:rsid w:val="00BC4B7E"/>
    <w:rsid w:val="00BD16FA"/>
    <w:rsid w:val="00BD41C3"/>
    <w:rsid w:val="00BD488B"/>
    <w:rsid w:val="00BD7CCC"/>
    <w:rsid w:val="00BE002A"/>
    <w:rsid w:val="00BE0283"/>
    <w:rsid w:val="00BE1BC9"/>
    <w:rsid w:val="00BE5CDA"/>
    <w:rsid w:val="00BE608F"/>
    <w:rsid w:val="00BE6DAB"/>
    <w:rsid w:val="00BF03D1"/>
    <w:rsid w:val="00BF23BB"/>
    <w:rsid w:val="00BF33DD"/>
    <w:rsid w:val="00BF5755"/>
    <w:rsid w:val="00BF684B"/>
    <w:rsid w:val="00BF6947"/>
    <w:rsid w:val="00C016F3"/>
    <w:rsid w:val="00C15193"/>
    <w:rsid w:val="00C15609"/>
    <w:rsid w:val="00C15F6A"/>
    <w:rsid w:val="00C23EA7"/>
    <w:rsid w:val="00C256F3"/>
    <w:rsid w:val="00C270A2"/>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E65"/>
    <w:rsid w:val="00C87CA1"/>
    <w:rsid w:val="00C911B4"/>
    <w:rsid w:val="00C915EF"/>
    <w:rsid w:val="00C91687"/>
    <w:rsid w:val="00C91B3B"/>
    <w:rsid w:val="00C94262"/>
    <w:rsid w:val="00C976E1"/>
    <w:rsid w:val="00CA148E"/>
    <w:rsid w:val="00CA3A9A"/>
    <w:rsid w:val="00CB6BC1"/>
    <w:rsid w:val="00CB7021"/>
    <w:rsid w:val="00CD3294"/>
    <w:rsid w:val="00CD4524"/>
    <w:rsid w:val="00CD6E1D"/>
    <w:rsid w:val="00CD784D"/>
    <w:rsid w:val="00CF3A1C"/>
    <w:rsid w:val="00CF40F8"/>
    <w:rsid w:val="00D006CA"/>
    <w:rsid w:val="00D008DA"/>
    <w:rsid w:val="00D03211"/>
    <w:rsid w:val="00D0416F"/>
    <w:rsid w:val="00D05851"/>
    <w:rsid w:val="00D10FED"/>
    <w:rsid w:val="00D11736"/>
    <w:rsid w:val="00D12EE8"/>
    <w:rsid w:val="00D14CDF"/>
    <w:rsid w:val="00D15FF1"/>
    <w:rsid w:val="00D167F4"/>
    <w:rsid w:val="00D2092A"/>
    <w:rsid w:val="00D21BC3"/>
    <w:rsid w:val="00D2216D"/>
    <w:rsid w:val="00D300B3"/>
    <w:rsid w:val="00D31A6F"/>
    <w:rsid w:val="00D353D1"/>
    <w:rsid w:val="00D367DB"/>
    <w:rsid w:val="00D36E05"/>
    <w:rsid w:val="00D44F27"/>
    <w:rsid w:val="00D45304"/>
    <w:rsid w:val="00D46165"/>
    <w:rsid w:val="00D461C7"/>
    <w:rsid w:val="00D50424"/>
    <w:rsid w:val="00D525C9"/>
    <w:rsid w:val="00D57D3E"/>
    <w:rsid w:val="00D60CB5"/>
    <w:rsid w:val="00D76249"/>
    <w:rsid w:val="00D77799"/>
    <w:rsid w:val="00D950D4"/>
    <w:rsid w:val="00D971CE"/>
    <w:rsid w:val="00D97BCD"/>
    <w:rsid w:val="00DA5712"/>
    <w:rsid w:val="00DA71A3"/>
    <w:rsid w:val="00DA7D12"/>
    <w:rsid w:val="00DB601E"/>
    <w:rsid w:val="00DB7C6B"/>
    <w:rsid w:val="00DC23CF"/>
    <w:rsid w:val="00DC6562"/>
    <w:rsid w:val="00DD76B7"/>
    <w:rsid w:val="00DE130D"/>
    <w:rsid w:val="00DE1F89"/>
    <w:rsid w:val="00DE24CF"/>
    <w:rsid w:val="00DE407C"/>
    <w:rsid w:val="00DE7C7D"/>
    <w:rsid w:val="00DF11FA"/>
    <w:rsid w:val="00DF2992"/>
    <w:rsid w:val="00DF2D0C"/>
    <w:rsid w:val="00DF5C8C"/>
    <w:rsid w:val="00E00058"/>
    <w:rsid w:val="00E01B9D"/>
    <w:rsid w:val="00E0468F"/>
    <w:rsid w:val="00E04F5E"/>
    <w:rsid w:val="00E0522E"/>
    <w:rsid w:val="00E10182"/>
    <w:rsid w:val="00E120F4"/>
    <w:rsid w:val="00E17172"/>
    <w:rsid w:val="00E23A86"/>
    <w:rsid w:val="00E249AF"/>
    <w:rsid w:val="00E3181C"/>
    <w:rsid w:val="00E3280A"/>
    <w:rsid w:val="00E34ECC"/>
    <w:rsid w:val="00E372AF"/>
    <w:rsid w:val="00E37D68"/>
    <w:rsid w:val="00E40456"/>
    <w:rsid w:val="00E40EAE"/>
    <w:rsid w:val="00E436AC"/>
    <w:rsid w:val="00E44F7A"/>
    <w:rsid w:val="00E44FF8"/>
    <w:rsid w:val="00E5066A"/>
    <w:rsid w:val="00E52CF9"/>
    <w:rsid w:val="00E56D81"/>
    <w:rsid w:val="00E62961"/>
    <w:rsid w:val="00E63F34"/>
    <w:rsid w:val="00E63FEA"/>
    <w:rsid w:val="00E65E0E"/>
    <w:rsid w:val="00E6715A"/>
    <w:rsid w:val="00E75DC9"/>
    <w:rsid w:val="00E81610"/>
    <w:rsid w:val="00E84910"/>
    <w:rsid w:val="00E85B28"/>
    <w:rsid w:val="00E91976"/>
    <w:rsid w:val="00E926FE"/>
    <w:rsid w:val="00E947A6"/>
    <w:rsid w:val="00E97FC7"/>
    <w:rsid w:val="00EA0690"/>
    <w:rsid w:val="00EA2DAA"/>
    <w:rsid w:val="00EA3956"/>
    <w:rsid w:val="00EA7136"/>
    <w:rsid w:val="00EB325A"/>
    <w:rsid w:val="00EB671D"/>
    <w:rsid w:val="00EC02A5"/>
    <w:rsid w:val="00EC176B"/>
    <w:rsid w:val="00EC2E65"/>
    <w:rsid w:val="00EC33CD"/>
    <w:rsid w:val="00EC5BE5"/>
    <w:rsid w:val="00ED2650"/>
    <w:rsid w:val="00ED721A"/>
    <w:rsid w:val="00EE393D"/>
    <w:rsid w:val="00EF01CF"/>
    <w:rsid w:val="00EF6A47"/>
    <w:rsid w:val="00EF7AF9"/>
    <w:rsid w:val="00F00952"/>
    <w:rsid w:val="00F01495"/>
    <w:rsid w:val="00F10138"/>
    <w:rsid w:val="00F10475"/>
    <w:rsid w:val="00F13F92"/>
    <w:rsid w:val="00F22ECA"/>
    <w:rsid w:val="00F240E8"/>
    <w:rsid w:val="00F244FA"/>
    <w:rsid w:val="00F366A2"/>
    <w:rsid w:val="00F44F43"/>
    <w:rsid w:val="00F450E1"/>
    <w:rsid w:val="00F50DF4"/>
    <w:rsid w:val="00F5718D"/>
    <w:rsid w:val="00F57AFE"/>
    <w:rsid w:val="00F6278E"/>
    <w:rsid w:val="00F63C41"/>
    <w:rsid w:val="00F63E96"/>
    <w:rsid w:val="00F701E3"/>
    <w:rsid w:val="00F71008"/>
    <w:rsid w:val="00F71F8C"/>
    <w:rsid w:val="00F72F5C"/>
    <w:rsid w:val="00F8459B"/>
    <w:rsid w:val="00F8589F"/>
    <w:rsid w:val="00F86AD4"/>
    <w:rsid w:val="00FA0113"/>
    <w:rsid w:val="00FA12B2"/>
    <w:rsid w:val="00FA1F31"/>
    <w:rsid w:val="00FA7610"/>
    <w:rsid w:val="00FB02BD"/>
    <w:rsid w:val="00FB398F"/>
    <w:rsid w:val="00FB4EF8"/>
    <w:rsid w:val="00FB54AE"/>
    <w:rsid w:val="00FB709A"/>
    <w:rsid w:val="00FB77EB"/>
    <w:rsid w:val="00FB78DD"/>
    <w:rsid w:val="00FC3EF3"/>
    <w:rsid w:val="00FC5D35"/>
    <w:rsid w:val="00FD2049"/>
    <w:rsid w:val="00FD2140"/>
    <w:rsid w:val="00FD5B5F"/>
    <w:rsid w:val="00FD5BDE"/>
    <w:rsid w:val="00FD68EC"/>
    <w:rsid w:val="00FD74E1"/>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06004"/>
  <w15:chartTrackingRefBased/>
  <w15:docId w15:val="{3C92A706-7834-4F8D-9E56-CCFBA4D1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basedOn w:val="DefaultParagraphFont"/>
    <w:uiPriority w:val="99"/>
    <w:semiHidden/>
    <w:unhideWhenUsed/>
    <w:rsid w:val="001526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157424217">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stat.gov.cy/el/KeyFiguresList?s=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ystatdb.cystat.gov.cy/pxweb/el/8.CYSTAT-DB/8.CYSTAT-DB__External%20Trade_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ystat.gov.cy/el/SubthemeStatistics?s=36"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30.emf"/><Relationship Id="rId4" Type="http://schemas.openxmlformats.org/officeDocument/2006/relationships/image" Target="media/image3.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Verdana" panose="020B0604030504040204" pitchFamily="34" charset="0"/>
                <a:ea typeface="+mn-ea"/>
                <a:cs typeface="+mn-cs"/>
              </a:defRPr>
            </a:pPr>
            <a:r>
              <a:rPr lang="el-GR" sz="1100" b="1" u="sng" baseline="0">
                <a:solidFill>
                  <a:sysClr val="windowText" lastClr="000000"/>
                </a:solidFill>
                <a:latin typeface="Verdana" panose="020B0604030504040204" pitchFamily="34" charset="0"/>
              </a:rPr>
              <a:t>Διάγραμμα</a:t>
            </a:r>
            <a:r>
              <a:rPr lang="en-US" sz="1100" b="1" u="sng" baseline="0">
                <a:solidFill>
                  <a:sysClr val="windowText" lastClr="000000"/>
                </a:solidFill>
                <a:latin typeface="Verdana" panose="020B0604030504040204" pitchFamily="34" charset="0"/>
              </a:rPr>
              <a:t> </a:t>
            </a:r>
            <a:r>
              <a:rPr lang="el-GR" sz="1100" b="1" u="sng" baseline="0">
                <a:solidFill>
                  <a:sysClr val="windowText" lastClr="000000"/>
                </a:solidFill>
                <a:latin typeface="Verdana" panose="020B0604030504040204" pitchFamily="34" charset="0"/>
              </a:rPr>
              <a:t>1</a:t>
            </a:r>
            <a:r>
              <a:rPr lang="en-US" sz="1100" b="1" u="sng" baseline="0">
                <a:solidFill>
                  <a:sysClr val="windowText" lastClr="000000"/>
                </a:solidFill>
                <a:latin typeface="Verdana" panose="020B0604030504040204" pitchFamily="34" charset="0"/>
              </a:rPr>
              <a:t>: </a:t>
            </a:r>
            <a:r>
              <a:rPr lang="el-GR" sz="1100" b="1" u="sng" baseline="0">
                <a:solidFill>
                  <a:sysClr val="windowText" lastClr="000000"/>
                </a:solidFill>
                <a:latin typeface="Verdana" panose="020B0604030504040204" pitchFamily="34" charset="0"/>
              </a:rPr>
              <a:t>Ενδοενωσιακό Εμπόριο και Εμπόριο με Τρίτες Χώρες 202</a:t>
            </a:r>
            <a:r>
              <a:rPr lang="en-US" sz="1100" b="1" u="sng" baseline="0">
                <a:solidFill>
                  <a:sysClr val="windowText" lastClr="000000"/>
                </a:solidFill>
                <a:latin typeface="Verdana" panose="020B0604030504040204" pitchFamily="34" charset="0"/>
              </a:rPr>
              <a:t>1</a:t>
            </a:r>
            <a:r>
              <a:rPr lang="el-GR" sz="1100" b="1" u="sng" baseline="0">
                <a:solidFill>
                  <a:sysClr val="windowText" lastClr="000000"/>
                </a:solidFill>
                <a:latin typeface="Verdana" panose="020B0604030504040204" pitchFamily="34" charset="0"/>
              </a:rPr>
              <a:t>-202</a:t>
            </a:r>
            <a:r>
              <a:rPr lang="en-US" sz="1100" b="1" u="sng" baseline="0">
                <a:solidFill>
                  <a:sysClr val="windowText" lastClr="000000"/>
                </a:solidFill>
                <a:latin typeface="Verdana" panose="020B0604030504040204" pitchFamily="34" charset="0"/>
              </a:rPr>
              <a:t>3</a:t>
            </a:r>
          </a:p>
        </c:rich>
      </c:tx>
      <c:layout>
        <c:manualLayout>
          <c:xMode val="edge"/>
          <c:yMode val="edge"/>
          <c:x val="0.11597391320317021"/>
          <c:y val="1.1494303435534245E-2"/>
        </c:manualLayout>
      </c:layout>
      <c:overlay val="0"/>
      <c:spPr>
        <a:noFill/>
        <a:ln w="25400">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Verdana" panose="020B0604030504040204" pitchFamily="34" charset="0"/>
              <a:ea typeface="+mn-ea"/>
              <a:cs typeface="+mn-cs"/>
            </a:defRPr>
          </a:pPr>
          <a:endParaRPr lang="en-CY"/>
        </a:p>
      </c:txPr>
    </c:title>
    <c:autoTitleDeleted val="0"/>
    <c:plotArea>
      <c:layout>
        <c:manualLayout>
          <c:layoutTarget val="inner"/>
          <c:xMode val="edge"/>
          <c:yMode val="edge"/>
          <c:x val="0.10106361412566053"/>
          <c:y val="0.15235326031173477"/>
          <c:w val="0.86702384174112712"/>
          <c:h val="0.56719981231396355"/>
        </c:manualLayout>
      </c:layout>
      <c:lineChart>
        <c:grouping val="standard"/>
        <c:varyColors val="0"/>
        <c:ser>
          <c:idx val="0"/>
          <c:order val="0"/>
          <c:tx>
            <c:strRef>
              <c:f>'IMP_EXP_DATA_2020-2021-2022'!$L$1</c:f>
              <c:strCache>
                <c:ptCount val="1"/>
                <c:pt idx="0">
                  <c:v>Ενδοενωσιακές Εισαγωγές </c:v>
                </c:pt>
              </c:strCache>
            </c:strRef>
          </c:tx>
          <c:spPr>
            <a:ln w="28575" cap="rnd" cmpd="sng" algn="ctr">
              <a:solidFill>
                <a:schemeClr val="accent1">
                  <a:shade val="95000"/>
                  <a:satMod val="105000"/>
                </a:schemeClr>
              </a:solidFill>
              <a:prstDash val="solid"/>
              <a:round/>
            </a:ln>
            <a:effectLst/>
          </c:spPr>
          <c:marker>
            <c:symbol val="circle"/>
            <c:size val="5"/>
            <c:spPr>
              <a:solidFill>
                <a:schemeClr val="accent1"/>
              </a:solidFill>
              <a:ln w="9525" cap="flat" cmpd="sng" algn="ctr">
                <a:solidFill>
                  <a:schemeClr val="accent1">
                    <a:shade val="95000"/>
                    <a:satMod val="105000"/>
                  </a:schemeClr>
                </a:solidFill>
                <a:prstDash val="solid"/>
                <a:round/>
              </a:ln>
              <a:effectLst/>
            </c:spPr>
          </c:marker>
          <c:cat>
            <c:strRef>
              <c:f>'IMP_EXP_DATA_2020-2021-2022'!$B$14:$B$38</c:f>
              <c:strCache>
                <c:ptCount val="25"/>
                <c:pt idx="0">
                  <c:v>Ιαν 2021</c:v>
                </c:pt>
                <c:pt idx="1">
                  <c:v>Φεβ 2021</c:v>
                </c:pt>
                <c:pt idx="2">
                  <c:v>Μαρ 2021</c:v>
                </c:pt>
                <c:pt idx="3">
                  <c:v>Απρ 2021</c:v>
                </c:pt>
                <c:pt idx="4">
                  <c:v>Μάιος 2021</c:v>
                </c:pt>
                <c:pt idx="5">
                  <c:v>Ιουν 2021</c:v>
                </c:pt>
                <c:pt idx="6">
                  <c:v>Ιουλ 2021</c:v>
                </c:pt>
                <c:pt idx="7">
                  <c:v>Αυγ 2021</c:v>
                </c:pt>
                <c:pt idx="8">
                  <c:v>Σεπ 2021</c:v>
                </c:pt>
                <c:pt idx="9">
                  <c:v>Οκτ 2021</c:v>
                </c:pt>
                <c:pt idx="10">
                  <c:v>Νοε 2021</c:v>
                </c:pt>
                <c:pt idx="11">
                  <c:v>Δεκ 2021</c:v>
                </c:pt>
                <c:pt idx="12">
                  <c:v>Ιαν 2022</c:v>
                </c:pt>
                <c:pt idx="13">
                  <c:v>Φεβ 2022</c:v>
                </c:pt>
                <c:pt idx="14">
                  <c:v>Μαρ 2022</c:v>
                </c:pt>
                <c:pt idx="15">
                  <c:v>Απρ 2022</c:v>
                </c:pt>
                <c:pt idx="16">
                  <c:v>Μάιος 2022</c:v>
                </c:pt>
                <c:pt idx="17">
                  <c:v>Ιουν 2022</c:v>
                </c:pt>
                <c:pt idx="18">
                  <c:v>Ιουλ 2022</c:v>
                </c:pt>
                <c:pt idx="19">
                  <c:v>Αυγ 2022</c:v>
                </c:pt>
                <c:pt idx="20">
                  <c:v>Σεπ 2022</c:v>
                </c:pt>
                <c:pt idx="21">
                  <c:v>Οκτ 2022</c:v>
                </c:pt>
                <c:pt idx="22">
                  <c:v>Νοε 2022</c:v>
                </c:pt>
                <c:pt idx="23">
                  <c:v>Δεκ 2022</c:v>
                </c:pt>
                <c:pt idx="24">
                  <c:v>Ιαν 2023</c:v>
                </c:pt>
              </c:strCache>
            </c:strRef>
          </c:cat>
          <c:val>
            <c:numRef>
              <c:f>'IMP_EXP_DATA_2020-2021-2022'!$M$14:$M$38</c:f>
              <c:numCache>
                <c:formatCode>#,##0.0</c:formatCode>
                <c:ptCount val="25"/>
                <c:pt idx="0">
                  <c:v>372.81099999999998</c:v>
                </c:pt>
                <c:pt idx="1">
                  <c:v>383.262</c:v>
                </c:pt>
                <c:pt idx="2">
                  <c:v>421.71199999999999</c:v>
                </c:pt>
                <c:pt idx="3">
                  <c:v>511.79500000000002</c:v>
                </c:pt>
                <c:pt idx="4">
                  <c:v>494.86099999999999</c:v>
                </c:pt>
                <c:pt idx="5">
                  <c:v>492.28199999999998</c:v>
                </c:pt>
                <c:pt idx="6">
                  <c:v>564.923</c:v>
                </c:pt>
                <c:pt idx="7">
                  <c:v>464.42399999999998</c:v>
                </c:pt>
                <c:pt idx="8">
                  <c:v>443.68799999999999</c:v>
                </c:pt>
                <c:pt idx="9">
                  <c:v>498.351</c:v>
                </c:pt>
                <c:pt idx="10">
                  <c:v>525.48400000000004</c:v>
                </c:pt>
                <c:pt idx="11">
                  <c:v>456.85199999999998</c:v>
                </c:pt>
                <c:pt idx="12">
                  <c:v>525.76300000000003</c:v>
                </c:pt>
                <c:pt idx="13">
                  <c:v>461.40899999999999</c:v>
                </c:pt>
                <c:pt idx="14">
                  <c:v>599.36300000000006</c:v>
                </c:pt>
                <c:pt idx="15">
                  <c:v>538.024</c:v>
                </c:pt>
                <c:pt idx="16">
                  <c:v>684.32899999999995</c:v>
                </c:pt>
                <c:pt idx="17">
                  <c:v>579.01900000000001</c:v>
                </c:pt>
                <c:pt idx="18">
                  <c:v>604.14099999999996</c:v>
                </c:pt>
                <c:pt idx="19">
                  <c:v>618.03700000000003</c:v>
                </c:pt>
                <c:pt idx="20">
                  <c:v>555.83299999999997</c:v>
                </c:pt>
                <c:pt idx="21">
                  <c:v>586.05200000000002</c:v>
                </c:pt>
                <c:pt idx="22">
                  <c:v>600.82399999999996</c:v>
                </c:pt>
                <c:pt idx="23">
                  <c:v>513.61900000000003</c:v>
                </c:pt>
                <c:pt idx="24">
                  <c:v>501.51600000000002</c:v>
                </c:pt>
              </c:numCache>
            </c:numRef>
          </c:val>
          <c:smooth val="0"/>
          <c:extLst>
            <c:ext xmlns:c16="http://schemas.microsoft.com/office/drawing/2014/chart" uri="{C3380CC4-5D6E-409C-BE32-E72D297353CC}">
              <c16:uniqueId val="{00000000-2C9B-44BC-A90F-C8C1F349EB2C}"/>
            </c:ext>
          </c:extLst>
        </c:ser>
        <c:ser>
          <c:idx val="1"/>
          <c:order val="1"/>
          <c:tx>
            <c:strRef>
              <c:f>'IMP_EXP_DATA_2020-2021-2022'!$F$1</c:f>
              <c:strCache>
                <c:ptCount val="1"/>
                <c:pt idx="0">
                  <c:v>Εισαγωγές από Τρίτες Χώρες </c:v>
                </c:pt>
              </c:strCache>
            </c:strRef>
          </c:tx>
          <c:spPr>
            <a:ln w="28575" cap="rnd" cmpd="sng" algn="ctr">
              <a:solidFill>
                <a:schemeClr val="accent3">
                  <a:shade val="95000"/>
                  <a:satMod val="105000"/>
                </a:schemeClr>
              </a:solidFill>
              <a:prstDash val="solid"/>
              <a:round/>
            </a:ln>
            <a:effectLst/>
          </c:spPr>
          <c:marker>
            <c:symbol val="triangle"/>
            <c:size val="5"/>
            <c:spPr>
              <a:solidFill>
                <a:schemeClr val="accent3"/>
              </a:solidFill>
              <a:ln w="9525" cap="flat" cmpd="sng" algn="ctr">
                <a:solidFill>
                  <a:schemeClr val="accent3">
                    <a:shade val="95000"/>
                    <a:satMod val="105000"/>
                  </a:schemeClr>
                </a:solidFill>
                <a:prstDash val="solid"/>
                <a:round/>
              </a:ln>
              <a:effectLst/>
            </c:spPr>
          </c:marker>
          <c:cat>
            <c:strRef>
              <c:f>'IMP_EXP_DATA_2020-2021-2022'!$B$14:$B$38</c:f>
              <c:strCache>
                <c:ptCount val="25"/>
                <c:pt idx="0">
                  <c:v>Ιαν 2021</c:v>
                </c:pt>
                <c:pt idx="1">
                  <c:v>Φεβ 2021</c:v>
                </c:pt>
                <c:pt idx="2">
                  <c:v>Μαρ 2021</c:v>
                </c:pt>
                <c:pt idx="3">
                  <c:v>Απρ 2021</c:v>
                </c:pt>
                <c:pt idx="4">
                  <c:v>Μάιος 2021</c:v>
                </c:pt>
                <c:pt idx="5">
                  <c:v>Ιουν 2021</c:v>
                </c:pt>
                <c:pt idx="6">
                  <c:v>Ιουλ 2021</c:v>
                </c:pt>
                <c:pt idx="7">
                  <c:v>Αυγ 2021</c:v>
                </c:pt>
                <c:pt idx="8">
                  <c:v>Σεπ 2021</c:v>
                </c:pt>
                <c:pt idx="9">
                  <c:v>Οκτ 2021</c:v>
                </c:pt>
                <c:pt idx="10">
                  <c:v>Νοε 2021</c:v>
                </c:pt>
                <c:pt idx="11">
                  <c:v>Δεκ 2021</c:v>
                </c:pt>
                <c:pt idx="12">
                  <c:v>Ιαν 2022</c:v>
                </c:pt>
                <c:pt idx="13">
                  <c:v>Φεβ 2022</c:v>
                </c:pt>
                <c:pt idx="14">
                  <c:v>Μαρ 2022</c:v>
                </c:pt>
                <c:pt idx="15">
                  <c:v>Απρ 2022</c:v>
                </c:pt>
                <c:pt idx="16">
                  <c:v>Μάιος 2022</c:v>
                </c:pt>
                <c:pt idx="17">
                  <c:v>Ιουν 2022</c:v>
                </c:pt>
                <c:pt idx="18">
                  <c:v>Ιουλ 2022</c:v>
                </c:pt>
                <c:pt idx="19">
                  <c:v>Αυγ 2022</c:v>
                </c:pt>
                <c:pt idx="20">
                  <c:v>Σεπ 2022</c:v>
                </c:pt>
                <c:pt idx="21">
                  <c:v>Οκτ 2022</c:v>
                </c:pt>
                <c:pt idx="22">
                  <c:v>Νοε 2022</c:v>
                </c:pt>
                <c:pt idx="23">
                  <c:v>Δεκ 2022</c:v>
                </c:pt>
                <c:pt idx="24">
                  <c:v>Ιαν 2023</c:v>
                </c:pt>
              </c:strCache>
            </c:strRef>
          </c:cat>
          <c:val>
            <c:numRef>
              <c:f>'IMP_EXP_DATA_2020-2021-2022'!$G$14:$G$38</c:f>
              <c:numCache>
                <c:formatCode>#,##0.0</c:formatCode>
                <c:ptCount val="25"/>
                <c:pt idx="0">
                  <c:v>221.07499999999999</c:v>
                </c:pt>
                <c:pt idx="1">
                  <c:v>364.911</c:v>
                </c:pt>
                <c:pt idx="2">
                  <c:v>198.221</c:v>
                </c:pt>
                <c:pt idx="3">
                  <c:v>198.375</c:v>
                </c:pt>
                <c:pt idx="4">
                  <c:v>183.88</c:v>
                </c:pt>
                <c:pt idx="5">
                  <c:v>279.21800000000002</c:v>
                </c:pt>
                <c:pt idx="6">
                  <c:v>224.44</c:v>
                </c:pt>
                <c:pt idx="7">
                  <c:v>247.691</c:v>
                </c:pt>
                <c:pt idx="8">
                  <c:v>200.02600000000001</c:v>
                </c:pt>
                <c:pt idx="9">
                  <c:v>225.071</c:v>
                </c:pt>
                <c:pt idx="10">
                  <c:v>411.58100000000002</c:v>
                </c:pt>
                <c:pt idx="11">
                  <c:v>266.71800000000002</c:v>
                </c:pt>
                <c:pt idx="12">
                  <c:v>225.40700000000001</c:v>
                </c:pt>
                <c:pt idx="13">
                  <c:v>274.84399999999999</c:v>
                </c:pt>
                <c:pt idx="14">
                  <c:v>379.61200000000002</c:v>
                </c:pt>
                <c:pt idx="15">
                  <c:v>300.61599999999999</c:v>
                </c:pt>
                <c:pt idx="16">
                  <c:v>481.41300000000001</c:v>
                </c:pt>
                <c:pt idx="17">
                  <c:v>624.95100000000002</c:v>
                </c:pt>
                <c:pt idx="18">
                  <c:v>430.029</c:v>
                </c:pt>
                <c:pt idx="19">
                  <c:v>345.178</c:v>
                </c:pt>
                <c:pt idx="20">
                  <c:v>313.59300000000002</c:v>
                </c:pt>
                <c:pt idx="21">
                  <c:v>345.11200000000002</c:v>
                </c:pt>
                <c:pt idx="22">
                  <c:v>407.94400000000002</c:v>
                </c:pt>
                <c:pt idx="23">
                  <c:v>294.85500000000002</c:v>
                </c:pt>
                <c:pt idx="24">
                  <c:v>1206.2650000000001</c:v>
                </c:pt>
              </c:numCache>
            </c:numRef>
          </c:val>
          <c:smooth val="0"/>
          <c:extLst>
            <c:ext xmlns:c16="http://schemas.microsoft.com/office/drawing/2014/chart" uri="{C3380CC4-5D6E-409C-BE32-E72D297353CC}">
              <c16:uniqueId val="{00000001-2C9B-44BC-A90F-C8C1F349EB2C}"/>
            </c:ext>
          </c:extLst>
        </c:ser>
        <c:ser>
          <c:idx val="2"/>
          <c:order val="2"/>
          <c:tx>
            <c:strRef>
              <c:f>'IMP_EXP_DATA_2020-2021-2022'!$O$1</c:f>
              <c:strCache>
                <c:ptCount val="1"/>
                <c:pt idx="0">
                  <c:v>Ενδοενωσιακές Εξαγωγές</c:v>
                </c:pt>
              </c:strCache>
            </c:strRef>
          </c:tx>
          <c:spPr>
            <a:ln w="28575" cap="rnd" cmpd="sng" algn="ctr">
              <a:solidFill>
                <a:schemeClr val="accent5">
                  <a:shade val="95000"/>
                  <a:satMod val="105000"/>
                </a:schemeClr>
              </a:solidFill>
              <a:prstDash val="solid"/>
              <a:round/>
            </a:ln>
            <a:effectLst/>
          </c:spPr>
          <c:marker>
            <c:symbol val="diamond"/>
            <c:size val="5"/>
            <c:spPr>
              <a:solidFill>
                <a:schemeClr val="accent5"/>
              </a:solidFill>
              <a:ln w="9525" cap="flat" cmpd="sng" algn="ctr">
                <a:solidFill>
                  <a:schemeClr val="accent5">
                    <a:shade val="95000"/>
                    <a:satMod val="105000"/>
                  </a:schemeClr>
                </a:solidFill>
                <a:prstDash val="solid"/>
                <a:round/>
              </a:ln>
              <a:effectLst/>
            </c:spPr>
          </c:marker>
          <c:cat>
            <c:strRef>
              <c:f>'IMP_EXP_DATA_2020-2021-2022'!$B$14:$B$38</c:f>
              <c:strCache>
                <c:ptCount val="25"/>
                <c:pt idx="0">
                  <c:v>Ιαν 2021</c:v>
                </c:pt>
                <c:pt idx="1">
                  <c:v>Φεβ 2021</c:v>
                </c:pt>
                <c:pt idx="2">
                  <c:v>Μαρ 2021</c:v>
                </c:pt>
                <c:pt idx="3">
                  <c:v>Απρ 2021</c:v>
                </c:pt>
                <c:pt idx="4">
                  <c:v>Μάιος 2021</c:v>
                </c:pt>
                <c:pt idx="5">
                  <c:v>Ιουν 2021</c:v>
                </c:pt>
                <c:pt idx="6">
                  <c:v>Ιουλ 2021</c:v>
                </c:pt>
                <c:pt idx="7">
                  <c:v>Αυγ 2021</c:v>
                </c:pt>
                <c:pt idx="8">
                  <c:v>Σεπ 2021</c:v>
                </c:pt>
                <c:pt idx="9">
                  <c:v>Οκτ 2021</c:v>
                </c:pt>
                <c:pt idx="10">
                  <c:v>Νοε 2021</c:v>
                </c:pt>
                <c:pt idx="11">
                  <c:v>Δεκ 2021</c:v>
                </c:pt>
                <c:pt idx="12">
                  <c:v>Ιαν 2022</c:v>
                </c:pt>
                <c:pt idx="13">
                  <c:v>Φεβ 2022</c:v>
                </c:pt>
                <c:pt idx="14">
                  <c:v>Μαρ 2022</c:v>
                </c:pt>
                <c:pt idx="15">
                  <c:v>Απρ 2022</c:v>
                </c:pt>
                <c:pt idx="16">
                  <c:v>Μάιος 2022</c:v>
                </c:pt>
                <c:pt idx="17">
                  <c:v>Ιουν 2022</c:v>
                </c:pt>
                <c:pt idx="18">
                  <c:v>Ιουλ 2022</c:v>
                </c:pt>
                <c:pt idx="19">
                  <c:v>Αυγ 2022</c:v>
                </c:pt>
                <c:pt idx="20">
                  <c:v>Σεπ 2022</c:v>
                </c:pt>
                <c:pt idx="21">
                  <c:v>Οκτ 2022</c:v>
                </c:pt>
                <c:pt idx="22">
                  <c:v>Νοε 2022</c:v>
                </c:pt>
                <c:pt idx="23">
                  <c:v>Δεκ 2022</c:v>
                </c:pt>
                <c:pt idx="24">
                  <c:v>Ιαν 2023</c:v>
                </c:pt>
              </c:strCache>
            </c:strRef>
          </c:cat>
          <c:val>
            <c:numRef>
              <c:f>'IMP_EXP_DATA_2020-2021-2022'!$P$14:$P$38</c:f>
              <c:numCache>
                <c:formatCode>#,##0.0</c:formatCode>
                <c:ptCount val="25"/>
                <c:pt idx="0">
                  <c:v>66.319000000000003</c:v>
                </c:pt>
                <c:pt idx="1">
                  <c:v>59.052</c:v>
                </c:pt>
                <c:pt idx="2">
                  <c:v>71.385999999999996</c:v>
                </c:pt>
                <c:pt idx="3">
                  <c:v>85.224999999999994</c:v>
                </c:pt>
                <c:pt idx="4">
                  <c:v>71.275999999999996</c:v>
                </c:pt>
                <c:pt idx="5">
                  <c:v>85.840999999999994</c:v>
                </c:pt>
                <c:pt idx="6">
                  <c:v>95.022999999999996</c:v>
                </c:pt>
                <c:pt idx="7">
                  <c:v>54.116999999999997</c:v>
                </c:pt>
                <c:pt idx="8">
                  <c:v>83.438000000000002</c:v>
                </c:pt>
                <c:pt idx="9">
                  <c:v>72.664000000000001</c:v>
                </c:pt>
                <c:pt idx="10">
                  <c:v>101.03</c:v>
                </c:pt>
                <c:pt idx="11">
                  <c:v>79.716999999999999</c:v>
                </c:pt>
                <c:pt idx="12">
                  <c:v>70.722999999999999</c:v>
                </c:pt>
                <c:pt idx="13">
                  <c:v>68.81</c:v>
                </c:pt>
                <c:pt idx="14">
                  <c:v>100.373</c:v>
                </c:pt>
                <c:pt idx="15">
                  <c:v>85.307000000000002</c:v>
                </c:pt>
                <c:pt idx="16">
                  <c:v>120.614</c:v>
                </c:pt>
                <c:pt idx="17">
                  <c:v>107.163</c:v>
                </c:pt>
                <c:pt idx="18">
                  <c:v>103.49299999999999</c:v>
                </c:pt>
                <c:pt idx="19">
                  <c:v>78.337000000000003</c:v>
                </c:pt>
                <c:pt idx="20">
                  <c:v>120.874</c:v>
                </c:pt>
                <c:pt idx="21">
                  <c:v>80.23</c:v>
                </c:pt>
                <c:pt idx="22">
                  <c:v>75.944000000000003</c:v>
                </c:pt>
                <c:pt idx="23">
                  <c:v>77.769000000000005</c:v>
                </c:pt>
                <c:pt idx="24">
                  <c:v>68.13</c:v>
                </c:pt>
              </c:numCache>
            </c:numRef>
          </c:val>
          <c:smooth val="0"/>
          <c:extLst>
            <c:ext xmlns:c16="http://schemas.microsoft.com/office/drawing/2014/chart" uri="{C3380CC4-5D6E-409C-BE32-E72D297353CC}">
              <c16:uniqueId val="{00000002-2C9B-44BC-A90F-C8C1F349EB2C}"/>
            </c:ext>
          </c:extLst>
        </c:ser>
        <c:ser>
          <c:idx val="3"/>
          <c:order val="3"/>
          <c:tx>
            <c:strRef>
              <c:f>'IMP_EXP_DATA_2020-2021-2022'!$I$1</c:f>
              <c:strCache>
                <c:ptCount val="1"/>
                <c:pt idx="0">
                  <c:v>Εξαγωγές προς Τρίτες Χώρες </c:v>
                </c:pt>
              </c:strCache>
            </c:strRef>
          </c:tx>
          <c:spPr>
            <a:ln w="28575" cap="rnd" cmpd="sng" algn="ctr">
              <a:solidFill>
                <a:schemeClr val="accent1">
                  <a:lumMod val="60000"/>
                  <a:shade val="95000"/>
                  <a:satMod val="105000"/>
                </a:schemeClr>
              </a:solidFill>
              <a:prstDash val="solid"/>
              <a:round/>
            </a:ln>
            <a:effectLst/>
          </c:spPr>
          <c:marker>
            <c:symbol val="x"/>
            <c:size val="5"/>
            <c:spPr>
              <a:solidFill>
                <a:schemeClr val="accent1">
                  <a:lumMod val="60000"/>
                </a:schemeClr>
              </a:solidFill>
              <a:ln w="9525" cap="flat" cmpd="sng" algn="ctr">
                <a:solidFill>
                  <a:schemeClr val="accent1">
                    <a:lumMod val="60000"/>
                    <a:shade val="95000"/>
                    <a:satMod val="105000"/>
                  </a:schemeClr>
                </a:solidFill>
                <a:prstDash val="solid"/>
                <a:round/>
              </a:ln>
              <a:effectLst/>
            </c:spPr>
          </c:marker>
          <c:cat>
            <c:strRef>
              <c:f>'IMP_EXP_DATA_2020-2021-2022'!$B$14:$B$38</c:f>
              <c:strCache>
                <c:ptCount val="25"/>
                <c:pt idx="0">
                  <c:v>Ιαν 2021</c:v>
                </c:pt>
                <c:pt idx="1">
                  <c:v>Φεβ 2021</c:v>
                </c:pt>
                <c:pt idx="2">
                  <c:v>Μαρ 2021</c:v>
                </c:pt>
                <c:pt idx="3">
                  <c:v>Απρ 2021</c:v>
                </c:pt>
                <c:pt idx="4">
                  <c:v>Μάιος 2021</c:v>
                </c:pt>
                <c:pt idx="5">
                  <c:v>Ιουν 2021</c:v>
                </c:pt>
                <c:pt idx="6">
                  <c:v>Ιουλ 2021</c:v>
                </c:pt>
                <c:pt idx="7">
                  <c:v>Αυγ 2021</c:v>
                </c:pt>
                <c:pt idx="8">
                  <c:v>Σεπ 2021</c:v>
                </c:pt>
                <c:pt idx="9">
                  <c:v>Οκτ 2021</c:v>
                </c:pt>
                <c:pt idx="10">
                  <c:v>Νοε 2021</c:v>
                </c:pt>
                <c:pt idx="11">
                  <c:v>Δεκ 2021</c:v>
                </c:pt>
                <c:pt idx="12">
                  <c:v>Ιαν 2022</c:v>
                </c:pt>
                <c:pt idx="13">
                  <c:v>Φεβ 2022</c:v>
                </c:pt>
                <c:pt idx="14">
                  <c:v>Μαρ 2022</c:v>
                </c:pt>
                <c:pt idx="15">
                  <c:v>Απρ 2022</c:v>
                </c:pt>
                <c:pt idx="16">
                  <c:v>Μάιος 2022</c:v>
                </c:pt>
                <c:pt idx="17">
                  <c:v>Ιουν 2022</c:v>
                </c:pt>
                <c:pt idx="18">
                  <c:v>Ιουλ 2022</c:v>
                </c:pt>
                <c:pt idx="19">
                  <c:v>Αυγ 2022</c:v>
                </c:pt>
                <c:pt idx="20">
                  <c:v>Σεπ 2022</c:v>
                </c:pt>
                <c:pt idx="21">
                  <c:v>Οκτ 2022</c:v>
                </c:pt>
                <c:pt idx="22">
                  <c:v>Νοε 2022</c:v>
                </c:pt>
                <c:pt idx="23">
                  <c:v>Δεκ 2022</c:v>
                </c:pt>
                <c:pt idx="24">
                  <c:v>Ιαν 2023</c:v>
                </c:pt>
              </c:strCache>
            </c:strRef>
          </c:cat>
          <c:val>
            <c:numRef>
              <c:f>'IMP_EXP_DATA_2020-2021-2022'!$J$14:$J$38</c:f>
              <c:numCache>
                <c:formatCode>#,##0.0</c:formatCode>
                <c:ptCount val="25"/>
                <c:pt idx="0">
                  <c:v>91.17</c:v>
                </c:pt>
                <c:pt idx="1">
                  <c:v>120.09699999999999</c:v>
                </c:pt>
                <c:pt idx="2">
                  <c:v>152.98699999999999</c:v>
                </c:pt>
                <c:pt idx="3">
                  <c:v>159.74100000000001</c:v>
                </c:pt>
                <c:pt idx="4">
                  <c:v>156.49600000000001</c:v>
                </c:pt>
                <c:pt idx="5">
                  <c:v>228.31200000000001</c:v>
                </c:pt>
                <c:pt idx="6">
                  <c:v>258.02499999999998</c:v>
                </c:pt>
                <c:pt idx="7">
                  <c:v>230.11199999999999</c:v>
                </c:pt>
                <c:pt idx="8">
                  <c:v>121.34099999999999</c:v>
                </c:pt>
                <c:pt idx="9">
                  <c:v>389.81799999999998</c:v>
                </c:pt>
                <c:pt idx="10">
                  <c:v>268.55200000000002</c:v>
                </c:pt>
                <c:pt idx="11">
                  <c:v>271.63400000000001</c:v>
                </c:pt>
                <c:pt idx="12">
                  <c:v>151.67599999999999</c:v>
                </c:pt>
                <c:pt idx="13">
                  <c:v>232.065</c:v>
                </c:pt>
                <c:pt idx="14">
                  <c:v>224.00399999999999</c:v>
                </c:pt>
                <c:pt idx="15">
                  <c:v>193.71899999999999</c:v>
                </c:pt>
                <c:pt idx="16">
                  <c:v>314.50200000000001</c:v>
                </c:pt>
                <c:pt idx="17">
                  <c:v>186.47800000000001</c:v>
                </c:pt>
                <c:pt idx="18">
                  <c:v>321.779</c:v>
                </c:pt>
                <c:pt idx="19">
                  <c:v>189.864</c:v>
                </c:pt>
                <c:pt idx="20">
                  <c:v>166.87</c:v>
                </c:pt>
                <c:pt idx="21">
                  <c:v>336.94200000000001</c:v>
                </c:pt>
                <c:pt idx="22">
                  <c:v>269.24200000000002</c:v>
                </c:pt>
                <c:pt idx="23">
                  <c:v>512.27</c:v>
                </c:pt>
                <c:pt idx="24">
                  <c:v>246.31399999999999</c:v>
                </c:pt>
              </c:numCache>
            </c:numRef>
          </c:val>
          <c:smooth val="0"/>
          <c:extLst>
            <c:ext xmlns:c16="http://schemas.microsoft.com/office/drawing/2014/chart" uri="{C3380CC4-5D6E-409C-BE32-E72D297353CC}">
              <c16:uniqueId val="{00000003-2C9B-44BC-A90F-C8C1F349EB2C}"/>
            </c:ext>
          </c:extLst>
        </c:ser>
        <c:dLbls>
          <c:showLegendKey val="0"/>
          <c:showVal val="0"/>
          <c:showCatName val="0"/>
          <c:showSerName val="0"/>
          <c:showPercent val="0"/>
          <c:showBubbleSize val="0"/>
        </c:dLbls>
        <c:marker val="1"/>
        <c:smooth val="0"/>
        <c:axId val="1575599791"/>
        <c:axId val="1"/>
      </c:lineChart>
      <c:catAx>
        <c:axId val="1575599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crossAx val="1"/>
        <c:crosses val="autoZero"/>
        <c:auto val="1"/>
        <c:lblAlgn val="ctr"/>
        <c:lblOffset val="100"/>
        <c:tickLblSkip val="1"/>
        <c:noMultiLvlLbl val="0"/>
      </c:catAx>
      <c:valAx>
        <c:axId val="1"/>
        <c:scaling>
          <c:orientation val="minMax"/>
          <c:max val="1250"/>
          <c:min val="0"/>
        </c:scaling>
        <c:delete val="0"/>
        <c:axPos val="l"/>
        <c:majorGridlines>
          <c:spPr>
            <a:ln w="9525"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mn-ea"/>
                    <a:cs typeface="+mn-cs"/>
                  </a:defRPr>
                </a:pPr>
                <a:r>
                  <a:rPr lang="en-US" sz="900" b="1" i="0" baseline="0">
                    <a:solidFill>
                      <a:sysClr val="windowText" lastClr="000000"/>
                    </a:solidFill>
                    <a:effectLst/>
                    <a:latin typeface="Verdana" panose="020B0604030504040204" pitchFamily="34" charset="0"/>
                  </a:rPr>
                  <a:t>€</a:t>
                </a:r>
                <a:r>
                  <a:rPr lang="el-GR" sz="900" b="1" i="0" baseline="0">
                    <a:solidFill>
                      <a:sysClr val="windowText" lastClr="000000"/>
                    </a:solidFill>
                    <a:effectLst/>
                    <a:latin typeface="Verdana" panose="020B0604030504040204" pitchFamily="34" charset="0"/>
                  </a:rPr>
                  <a:t> εκ.</a:t>
                </a:r>
                <a:endParaRPr lang="en-CY" sz="900" b="1" baseline="0">
                  <a:solidFill>
                    <a:sysClr val="windowText" lastClr="000000"/>
                  </a:solidFill>
                  <a:effectLst/>
                  <a:latin typeface="Verdana" panose="020B0604030504040204" pitchFamily="34" charset="0"/>
                </a:endParaRPr>
              </a:p>
            </c:rich>
          </c:tx>
          <c:layout>
            <c:manualLayout>
              <c:xMode val="edge"/>
              <c:yMode val="edge"/>
              <c:x val="1.2970244713326542E-2"/>
              <c:y val="0.39865335268845586"/>
            </c:manualLayout>
          </c:layout>
          <c:overlay val="0"/>
          <c:spPr>
            <a:noFill/>
            <a:ln w="25400">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Verdana" panose="020B0604030504040204" pitchFamily="34" charset="0"/>
                  <a:ea typeface="+mn-ea"/>
                  <a:cs typeface="+mn-cs"/>
                </a:defRPr>
              </a:pPr>
              <a:endParaRPr lang="en-CY"/>
            </a:p>
          </c:txPr>
        </c:title>
        <c:numFmt formatCode="#,##0" sourceLinked="0"/>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crossAx val="1575599791"/>
        <c:crosses val="autoZero"/>
        <c:crossBetween val="between"/>
        <c:majorUnit val="250"/>
      </c:valAx>
      <c:spPr>
        <a:solidFill>
          <a:schemeClr val="bg1"/>
        </a:solidFill>
        <a:ln>
          <a:noFill/>
        </a:ln>
        <a:effectLst/>
      </c:spPr>
    </c:plotArea>
    <c:legend>
      <c:legendPos val="r"/>
      <c:layout>
        <c:manualLayout>
          <c:xMode val="edge"/>
          <c:yMode val="edge"/>
          <c:x val="9.5368447839330878E-2"/>
          <c:y val="0.9047716242173639"/>
          <c:w val="0.75196990486079351"/>
          <c:h val="8.2035806976641881E-2"/>
        </c:manualLayout>
      </c:layout>
      <c:overlay val="0"/>
      <c:spPr>
        <a:noFill/>
        <a:ln w="25400">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Verdana" panose="020B0604030504040204" pitchFamily="34" charset="0"/>
              <a:ea typeface="+mn-ea"/>
              <a:cs typeface="+mn-cs"/>
            </a:defRPr>
          </a:pPr>
          <a:endParaRPr lang="en-CY"/>
        </a:p>
      </c:txPr>
    </c:legend>
    <c:plotVisOnly val="1"/>
    <c:dispBlanksAs val="gap"/>
    <c:showDLblsOverMax val="0"/>
  </c:chart>
  <c:spPr>
    <a:solidFill>
      <a:schemeClr val="bg1"/>
    </a:solidFill>
    <a:ln w="9525" cap="flat" cmpd="sng" algn="ctr">
      <a:solidFill>
        <a:srgbClr val="558ED5">
          <a:alpha val="49804"/>
        </a:srgbClr>
      </a:solidFill>
      <a:prstDash val="solid"/>
      <a:round/>
    </a:ln>
    <a:effectLst/>
  </c:spPr>
  <c:txPr>
    <a:bodyPr/>
    <a:lstStyle/>
    <a:p>
      <a:pPr>
        <a:defRPr/>
      </a:pPr>
      <a:endParaRPr lang="en-CY"/>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l-GR" sz="1100" b="1" u="sng">
                <a:solidFill>
                  <a:sysClr val="windowText" lastClr="000000"/>
                </a:solidFill>
                <a:latin typeface="Verdana" panose="020B0604030504040204" pitchFamily="34" charset="0"/>
                <a:ea typeface="Verdana" panose="020B0604030504040204" pitchFamily="34" charset="0"/>
              </a:rPr>
              <a:t>Διάγραμμα</a:t>
            </a:r>
            <a:r>
              <a:rPr lang="el-GR" sz="1100" b="1" u="sng" baseline="0">
                <a:solidFill>
                  <a:sysClr val="windowText" lastClr="000000"/>
                </a:solidFill>
                <a:latin typeface="Verdana" panose="020B0604030504040204" pitchFamily="34" charset="0"/>
                <a:ea typeface="Verdana" panose="020B0604030504040204" pitchFamily="34" charset="0"/>
              </a:rPr>
              <a:t> </a:t>
            </a:r>
            <a:r>
              <a:rPr lang="en-US" sz="1100" b="1" u="sng" baseline="0">
                <a:solidFill>
                  <a:sysClr val="windowText" lastClr="000000"/>
                </a:solidFill>
                <a:latin typeface="Verdana" panose="020B0604030504040204" pitchFamily="34" charset="0"/>
                <a:ea typeface="Verdana" panose="020B0604030504040204" pitchFamily="34" charset="0"/>
              </a:rPr>
              <a:t>2: </a:t>
            </a:r>
            <a:r>
              <a:rPr lang="el-GR" sz="1100" b="1" u="sng" baseline="0">
                <a:solidFill>
                  <a:sysClr val="windowText" lastClr="000000"/>
                </a:solidFill>
                <a:latin typeface="Verdana" panose="020B0604030504040204" pitchFamily="34" charset="0"/>
                <a:ea typeface="Verdana" panose="020B0604030504040204" pitchFamily="34" charset="0"/>
              </a:rPr>
              <a:t>Εξαγωγές Εγχώρια Παραγόμενων Προϊόντων,</a:t>
            </a:r>
            <a:r>
              <a:rPr lang="en-US" sz="1100" b="1" u="sng">
                <a:solidFill>
                  <a:sysClr val="windowText" lastClr="000000"/>
                </a:solidFill>
                <a:latin typeface="Verdana" panose="020B0604030504040204" pitchFamily="34" charset="0"/>
                <a:ea typeface="Verdana" panose="020B0604030504040204" pitchFamily="34" charset="0"/>
              </a:rPr>
              <a:t> </a:t>
            </a:r>
            <a:r>
              <a:rPr lang="el-GR" sz="1100" b="1" u="sng">
                <a:solidFill>
                  <a:sysClr val="windowText" lastClr="000000"/>
                </a:solidFill>
                <a:latin typeface="Verdana" panose="020B0604030504040204" pitchFamily="34" charset="0"/>
                <a:ea typeface="Verdana" panose="020B0604030504040204" pitchFamily="34" charset="0"/>
              </a:rPr>
              <a:t>Ιανουάριος</a:t>
            </a:r>
            <a:r>
              <a:rPr lang="el-GR" sz="1100" b="1" u="sng" baseline="0">
                <a:solidFill>
                  <a:sysClr val="windowText" lastClr="000000"/>
                </a:solidFill>
                <a:latin typeface="Verdana" panose="020B0604030504040204" pitchFamily="34" charset="0"/>
                <a:ea typeface="Verdana" panose="020B0604030504040204" pitchFamily="34" charset="0"/>
              </a:rPr>
              <a:t> - Δεκέμβριος</a:t>
            </a:r>
            <a:r>
              <a:rPr lang="el-GR" sz="1100" b="1" u="sng">
                <a:solidFill>
                  <a:sysClr val="windowText" lastClr="000000"/>
                </a:solidFill>
                <a:latin typeface="Verdana" panose="020B0604030504040204" pitchFamily="34" charset="0"/>
                <a:ea typeface="Verdana" panose="020B0604030504040204" pitchFamily="34" charset="0"/>
              </a:rPr>
              <a:t> 2022</a:t>
            </a:r>
            <a:endParaRPr lang="en-US" sz="1100" b="1" u="sng">
              <a:solidFill>
                <a:sysClr val="windowText" lastClr="000000"/>
              </a:solidFill>
              <a:latin typeface="Verdana" panose="020B0604030504040204" pitchFamily="34" charset="0"/>
              <a:ea typeface="Verdana" panose="020B0604030504040204" pitchFamily="34" charset="0"/>
            </a:endParaRPr>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4113524271004585E-2"/>
          <c:y val="0.20227247784391927"/>
          <c:w val="0.53966204773853821"/>
          <c:h val="0.70486835147512195"/>
        </c:manualLayout>
      </c:layout>
      <c:pie3DChart>
        <c:varyColors val="1"/>
        <c:ser>
          <c:idx val="0"/>
          <c:order val="0"/>
          <c:tx>
            <c:v>Product</c:v>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619-42FA-ABFB-AA2220E62FF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619-42FA-ABFB-AA2220E62FF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619-42FA-ABFB-AA2220E62FF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619-42FA-ABFB-AA2220E62FF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619-42FA-ABFB-AA2220E62FF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619-42FA-ABFB-AA2220E62FF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619-42FA-ABFB-AA2220E62FF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A619-42FA-ABFB-AA2220E62FF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A619-42FA-ABFB-AA2220E62FF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A619-42FA-ABFB-AA2220E62FFE}"/>
              </c:ext>
            </c:extLst>
          </c:dPt>
          <c:dPt>
            <c:idx val="10"/>
            <c:bubble3D val="0"/>
            <c:spPr>
              <a:solidFill>
                <a:schemeClr val="accent5">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5-A619-42FA-ABFB-AA2220E62FFE}"/>
              </c:ext>
            </c:extLst>
          </c:dPt>
          <c:dLbls>
            <c:numFmt formatCode="0.0%" sourceLinked="0"/>
            <c:spPr>
              <a:noFill/>
              <a:ln w="25400">
                <a:noFill/>
              </a:ln>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Verdana" panose="020B0604030504040204" pitchFamily="34" charset="0"/>
                    <a:ea typeface="Verdana" panose="020B0604030504040204" pitchFamily="34" charset="0"/>
                    <a:cs typeface="+mn-cs"/>
                  </a:defRPr>
                </a:pPr>
                <a:endParaRPr lang="en-CY"/>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'DOMESTIC-EXPORTS_2022'!$D$7:$D$14</c:f>
              <c:strCache>
                <c:ptCount val="8"/>
                <c:pt idx="0">
                  <c:v>Ορυκτά καύσιμα και λάδια</c:v>
                </c:pt>
                <c:pt idx="1">
                  <c:v>Φαρμακευτικά προϊόντα</c:v>
                </c:pt>
                <c:pt idx="2">
                  <c:v>Χαλούμι</c:v>
                </c:pt>
                <c:pt idx="3">
                  <c:v>Απορρίμματα και θραύσματα από χαρτί, γυαλί και μέταλλα</c:v>
                </c:pt>
                <c:pt idx="4">
                  <c:v>Πατάτες</c:v>
                </c:pt>
                <c:pt idx="5">
                  <c:v>Χυμοί φρούτων και λαχανικών</c:v>
                </c:pt>
                <c:pt idx="6">
                  <c:v>Ψάρια</c:v>
                </c:pt>
                <c:pt idx="7">
                  <c:v>Άλλα</c:v>
                </c:pt>
              </c:strCache>
            </c:strRef>
          </c:cat>
          <c:val>
            <c:numRef>
              <c:f>'DOMESTIC-EXPORTS_2022'!$C$7:$C$14</c:f>
              <c:numCache>
                <c:formatCode>#,##0.0</c:formatCode>
                <c:ptCount val="8"/>
                <c:pt idx="0">
                  <c:v>27.576297400000001</c:v>
                </c:pt>
                <c:pt idx="1">
                  <c:v>20.353915700000002</c:v>
                </c:pt>
                <c:pt idx="2">
                  <c:v>17.209909</c:v>
                </c:pt>
                <c:pt idx="3">
                  <c:v>5.2635068</c:v>
                </c:pt>
                <c:pt idx="4">
                  <c:v>2.5640265000000002</c:v>
                </c:pt>
                <c:pt idx="5">
                  <c:v>2.0549856000000002</c:v>
                </c:pt>
                <c:pt idx="6">
                  <c:v>1.9599865000000001</c:v>
                </c:pt>
                <c:pt idx="7">
                  <c:v>23.017372500000008</c:v>
                </c:pt>
              </c:numCache>
            </c:numRef>
          </c:val>
          <c:extLst>
            <c:ext xmlns:c16="http://schemas.microsoft.com/office/drawing/2014/chart" uri="{C3380CC4-5D6E-409C-BE32-E72D297353CC}">
              <c16:uniqueId val="{00000016-A619-42FA-ABFB-AA2220E62FF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1273060647638822"/>
          <c:y val="0.16221317789821726"/>
          <c:w val="0.38287873356489782"/>
          <c:h val="0.82018665848587113"/>
        </c:manualLayout>
      </c:layout>
      <c:overlay val="0"/>
      <c:spPr>
        <a:noFill/>
        <a:ln w="25400">
          <a:noFill/>
        </a:ln>
      </c:spPr>
      <c:txPr>
        <a:bodyPr rot="0" spcFirstLastPara="1" vertOverflow="ellipsis" vert="horz" wrap="square" anchor="ctr" anchorCtr="1"/>
        <a:lstStyle/>
        <a:p>
          <a:pPr rtl="0">
            <a:defRPr sz="900" b="0" i="0" u="none" strike="noStrike" kern="1200" baseline="0">
              <a:solidFill>
                <a:sysClr val="windowText" lastClr="000000"/>
              </a:solidFill>
              <a:latin typeface="Verdana" panose="020B0604030504040204" pitchFamily="34" charset="0"/>
              <a:ea typeface="+mn-ea"/>
              <a:cs typeface="+mn-cs"/>
            </a:defRPr>
          </a:pPr>
          <a:endParaRPr lang="en-CY"/>
        </a:p>
      </c:txPr>
    </c:legend>
    <c:plotVisOnly val="1"/>
    <c:dispBlanksAs val="gap"/>
    <c:showDLblsOverMax val="0"/>
  </c:chart>
  <c:spPr>
    <a:solidFill>
      <a:schemeClr val="bg1"/>
    </a:solidFill>
    <a:ln w="9525" cap="flat" cmpd="sng" algn="ctr">
      <a:solidFill>
        <a:srgbClr val="558ED5">
          <a:alpha val="50000"/>
        </a:srgbClr>
      </a:solidFill>
      <a:round/>
    </a:ln>
    <a:effectLst/>
  </c:spPr>
  <c:txPr>
    <a:bodyPr/>
    <a:lstStyle/>
    <a:p>
      <a:pPr>
        <a:defRPr/>
      </a:pPr>
      <a:endParaRPr lang="en-CY"/>
    </a:p>
  </c:tx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5895</CharactersWithSpaces>
  <SharedDoc>false</SharedDoc>
  <HLinks>
    <vt:vector size="12" baseType="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Ester Sophocleous</cp:lastModifiedBy>
  <cp:revision>40</cp:revision>
  <cp:lastPrinted>2023-03-13T07:41:00Z</cp:lastPrinted>
  <dcterms:created xsi:type="dcterms:W3CDTF">2023-02-08T09:22:00Z</dcterms:created>
  <dcterms:modified xsi:type="dcterms:W3CDTF">2023-03-13T08:03:00Z</dcterms:modified>
</cp:coreProperties>
</file>